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54.xml" ContentType="application/vnd.openxmlformats-officedocument.wordprocessingml.header+xml"/>
  <Override PartName="/word/footer2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72.xml" ContentType="application/vnd.openxmlformats-officedocument.wordprocessingml.header+xml"/>
  <Override PartName="/word/footer36.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footer37.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4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footer41.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11.xml" ContentType="application/vnd.openxmlformats-officedocument.wordprocessingml.header+xml"/>
  <Override PartName="/word/footer44.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footer5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footer56.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48.xml" ContentType="application/vnd.openxmlformats-officedocument.wordprocessingml.header+xml"/>
  <Override PartName="/word/footer59.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03766162"/>
    <w:bookmarkStart w:id="1" w:name="_GoBack"/>
    <w:bookmarkEnd w:id="1"/>
    <w:p w:rsidR="00EF4428" w:rsidRDefault="00EF4428" w:rsidP="00EF4428">
      <w:r w:rsidRPr="00EF4428">
        <w:rPr>
          <w:noProof/>
        </w:rPr>
        <mc:AlternateContent>
          <mc:Choice Requires="wps">
            <w:drawing>
              <wp:anchor distT="0" distB="0" distL="114300" distR="114300" simplePos="0" relativeHeight="251662336" behindDoc="0" locked="0" layoutInCell="1" allowOverlap="1" wp14:anchorId="24247130" wp14:editId="25170A91">
                <wp:simplePos x="0" y="0"/>
                <wp:positionH relativeFrom="column">
                  <wp:posOffset>1658620</wp:posOffset>
                </wp:positionH>
                <wp:positionV relativeFrom="paragraph">
                  <wp:posOffset>767080</wp:posOffset>
                </wp:positionV>
                <wp:extent cx="4776470" cy="1371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1371600"/>
                        </a:xfrm>
                        <a:prstGeom prst="rect">
                          <a:avLst/>
                        </a:prstGeom>
                        <a:noFill/>
                        <a:ln w="9525">
                          <a:noFill/>
                          <a:miter lim="800000"/>
                          <a:headEnd/>
                          <a:tailEnd/>
                        </a:ln>
                      </wps:spPr>
                      <wps:txbx>
                        <w:txbxContent>
                          <w:p w:rsidR="00841B85" w:rsidRPr="00F84602" w:rsidRDefault="00841B85" w:rsidP="00EF4428">
                            <w:pPr>
                              <w:spacing w:line="216" w:lineRule="auto"/>
                              <w:ind w:left="792"/>
                              <w:rPr>
                                <w:rFonts w:ascii="Arial" w:hAnsi="Arial" w:cs="Arial"/>
                                <w:sz w:val="52"/>
                                <w:szCs w:val="52"/>
                              </w:rPr>
                            </w:pPr>
                            <w:r w:rsidRPr="00F84602">
                              <w:rPr>
                                <w:rFonts w:ascii="Arial" w:hAnsi="Arial" w:cs="Arial"/>
                                <w:b/>
                                <w:color w:val="201547"/>
                                <w:sz w:val="52"/>
                                <w:szCs w:val="52"/>
                              </w:rPr>
                              <w:t>2</w:t>
                            </w:r>
                            <w:r>
                              <w:rPr>
                                <w:rFonts w:ascii="Arial" w:hAnsi="Arial" w:cs="Arial"/>
                                <w:b/>
                                <w:color w:val="201547"/>
                                <w:sz w:val="52"/>
                                <w:szCs w:val="52"/>
                              </w:rPr>
                              <w:t>015–</w:t>
                            </w:r>
                            <w:r w:rsidRPr="00F84602">
                              <w:rPr>
                                <w:rFonts w:ascii="Arial" w:hAnsi="Arial" w:cs="Arial"/>
                                <w:b/>
                                <w:color w:val="201547"/>
                                <w:sz w:val="52"/>
                                <w:szCs w:val="52"/>
                              </w:rPr>
                              <w:t>16</w:t>
                            </w:r>
                            <w:r w:rsidRPr="00F84602">
                              <w:rPr>
                                <w:rFonts w:ascii="Arial" w:hAnsi="Arial" w:cs="Arial"/>
                                <w:sz w:val="52"/>
                                <w:szCs w:val="52"/>
                              </w:rPr>
                              <w:t xml:space="preserve"> Model Report for</w:t>
                            </w:r>
                            <w:r w:rsidRPr="00F84602">
                              <w:rPr>
                                <w:rFonts w:ascii="Arial" w:hAnsi="Arial" w:cs="Arial"/>
                                <w:sz w:val="52"/>
                                <w:szCs w:val="52"/>
                              </w:rPr>
                              <w:br/>
                              <w:t>Victorian Government</w:t>
                            </w:r>
                            <w:r w:rsidRPr="00F84602">
                              <w:rPr>
                                <w:rFonts w:ascii="Arial" w:hAnsi="Arial" w:cs="Arial"/>
                                <w:sz w:val="52"/>
                                <w:szCs w:val="52"/>
                              </w:rPr>
                              <w:br/>
                              <w:t>Departments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0.6pt;margin-top:60.4pt;width:376.1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lADQIAAPUDAAAOAAAAZHJzL2Uyb0RvYy54bWysU11v2yAUfZ+0/4B4X2ynSdxaIVXXrtOk&#10;7kNq9wMIxjEacBmQ2N2v3wWnabS9TfODBdx7D/ece1hfj0aTg/RBgWW0mpWUSCugVXbH6Pen+3eX&#10;lITIbcs1WMnoswz0evP2zXpwjZxDD7qVniCIDc3gGO1jdE1RBNFLw8MMnLQY7MAbHnHrd0Xr+YDo&#10;RhfzslwVA/jWeRAyBDy9m4J0k/G7Tor4teuCjEQzir3F/Pf5v03/YrPmzc5z1ytxbIP/QxeGK4uX&#10;nqDueORk79VfUEYJDwG6OBNgCug6JWTmgGyq8g82jz13MnNBcYI7yRT+H6z4cvjmiWoZvShrSiw3&#10;OKQnOUbyHkYyT/oMLjSY9ugwMY54jHPOXIN7APEjEAu3Pbc7eeM9DL3kLfZXpcrirHTCCQlkO3yG&#10;Fq/h+wgZaOy8SeKhHATRcU7Pp9mkVgQeLup6tagxJDBWXdTVqszTK3jzUu58iB8lGJIWjHocfobn&#10;h4cQUzu8eUlJt1m4V1pnA2hLBkavlvNlLjiLGBXRn1oZRi/L9E2OSSw/2DYXR670tMYLtD3STkwn&#10;znHcjpiYtNhC+4wCeJh8iO8GFz34X5QM6EFGw88995IS/cmiiFfVYpFMmzeLZT3HjT+PbM8j3AqE&#10;YjRSMi1vYzb6xPUGxe5UluG1k2Ov6K2szvEdJPOe73PW62vd/AYAAP//AwBQSwMEFAAGAAgAAAAh&#10;ADD/WjffAAAADAEAAA8AAABkcnMvZG93bnJldi54bWxMj8tOwzAQRfdI/IM1SOyonaREbYhTIRBb&#10;EOUhdefG0yQiHkex24S/Z7qiy9E9unNuuZldL044hs6ThmShQCDV3nbUaPj8eLlbgQjRkDW9J9Tw&#10;iwE21fVVaQrrJ3rH0zY2gksoFEZDG+NQSBnqFp0JCz8gcXbwozORz7GRdjQTl7tepkrl0pmO+ENr&#10;Bnxqsf7ZHp2Gr9fD7nup3ppndz9MflaS3FpqfXszPz6AiDjHfxjO+qwOFTvt/ZFsEL2GNE9SRjlI&#10;FW84EyrJliD2GrIsX4GsSnk5ovoDAAD//wMAUEsBAi0AFAAGAAgAAAAhALaDOJL+AAAA4QEAABMA&#10;AAAAAAAAAAAAAAAAAAAAAFtDb250ZW50X1R5cGVzXS54bWxQSwECLQAUAAYACAAAACEAOP0h/9YA&#10;AACUAQAACwAAAAAAAAAAAAAAAAAvAQAAX3JlbHMvLnJlbHNQSwECLQAUAAYACAAAACEAjcF5QA0C&#10;AAD1AwAADgAAAAAAAAAAAAAAAAAuAgAAZHJzL2Uyb0RvYy54bWxQSwECLQAUAAYACAAAACEAMP9a&#10;N98AAAAMAQAADwAAAAAAAAAAAAAAAABnBAAAZHJzL2Rvd25yZXYueG1sUEsFBgAAAAAEAAQA8wAA&#10;AHMFAAAAAA==&#10;" filled="f" stroked="f">
                <v:textbox>
                  <w:txbxContent>
                    <w:p w:rsidR="00841B85" w:rsidRPr="00F84602" w:rsidRDefault="00841B85" w:rsidP="00EF4428">
                      <w:pPr>
                        <w:spacing w:line="216" w:lineRule="auto"/>
                        <w:ind w:left="792"/>
                        <w:rPr>
                          <w:rFonts w:ascii="Arial" w:hAnsi="Arial" w:cs="Arial"/>
                          <w:sz w:val="52"/>
                          <w:szCs w:val="52"/>
                        </w:rPr>
                      </w:pPr>
                      <w:r w:rsidRPr="00F84602">
                        <w:rPr>
                          <w:rFonts w:ascii="Arial" w:hAnsi="Arial" w:cs="Arial"/>
                          <w:b/>
                          <w:color w:val="201547"/>
                          <w:sz w:val="52"/>
                          <w:szCs w:val="52"/>
                        </w:rPr>
                        <w:t>2</w:t>
                      </w:r>
                      <w:r>
                        <w:rPr>
                          <w:rFonts w:ascii="Arial" w:hAnsi="Arial" w:cs="Arial"/>
                          <w:b/>
                          <w:color w:val="201547"/>
                          <w:sz w:val="52"/>
                          <w:szCs w:val="52"/>
                        </w:rPr>
                        <w:t>015–</w:t>
                      </w:r>
                      <w:r w:rsidRPr="00F84602">
                        <w:rPr>
                          <w:rFonts w:ascii="Arial" w:hAnsi="Arial" w:cs="Arial"/>
                          <w:b/>
                          <w:color w:val="201547"/>
                          <w:sz w:val="52"/>
                          <w:szCs w:val="52"/>
                        </w:rPr>
                        <w:t>16</w:t>
                      </w:r>
                      <w:r w:rsidRPr="00F84602">
                        <w:rPr>
                          <w:rFonts w:ascii="Arial" w:hAnsi="Arial" w:cs="Arial"/>
                          <w:sz w:val="52"/>
                          <w:szCs w:val="52"/>
                        </w:rPr>
                        <w:t xml:space="preserve"> Model Report for</w:t>
                      </w:r>
                      <w:r w:rsidRPr="00F84602">
                        <w:rPr>
                          <w:rFonts w:ascii="Arial" w:hAnsi="Arial" w:cs="Arial"/>
                          <w:sz w:val="52"/>
                          <w:szCs w:val="52"/>
                        </w:rPr>
                        <w:br/>
                        <w:t>Victorian Government</w:t>
                      </w:r>
                      <w:r w:rsidRPr="00F84602">
                        <w:rPr>
                          <w:rFonts w:ascii="Arial" w:hAnsi="Arial" w:cs="Arial"/>
                          <w:sz w:val="52"/>
                          <w:szCs w:val="52"/>
                        </w:rPr>
                        <w:br/>
                        <w:t>Departments</w:t>
                      </w:r>
                    </w:p>
                  </w:txbxContent>
                </v:textbox>
              </v:shape>
            </w:pict>
          </mc:Fallback>
        </mc:AlternateContent>
      </w:r>
    </w:p>
    <w:p w:rsidR="00EF4428" w:rsidRDefault="00B44F04" w:rsidP="00EF4428">
      <w:r w:rsidRPr="00EF4428">
        <w:rPr>
          <w:noProof/>
        </w:rPr>
        <mc:AlternateContent>
          <mc:Choice Requires="wps">
            <w:drawing>
              <wp:anchor distT="0" distB="0" distL="114300" distR="114300" simplePos="0" relativeHeight="251663360" behindDoc="0" locked="0" layoutInCell="1" allowOverlap="1" wp14:anchorId="7FFD2521" wp14:editId="2D8655A1">
                <wp:simplePos x="0" y="0"/>
                <wp:positionH relativeFrom="column">
                  <wp:posOffset>-81915</wp:posOffset>
                </wp:positionH>
                <wp:positionV relativeFrom="paragraph">
                  <wp:posOffset>7174230</wp:posOffset>
                </wp:positionV>
                <wp:extent cx="4776470" cy="137160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1371600"/>
                        </a:xfrm>
                        <a:prstGeom prst="rect">
                          <a:avLst/>
                        </a:prstGeom>
                        <a:noFill/>
                        <a:ln w="9525">
                          <a:noFill/>
                          <a:miter lim="800000"/>
                          <a:headEnd/>
                          <a:tailEnd/>
                        </a:ln>
                      </wps:spPr>
                      <wps:txbx>
                        <w:txbxContent>
                          <w:p w:rsidR="00841B85" w:rsidRPr="00507050" w:rsidRDefault="00841B85" w:rsidP="00EF4428">
                            <w:pPr>
                              <w:rPr>
                                <w:rFonts w:ascii="Arial" w:hAnsi="Arial" w:cs="Arial"/>
                                <w:sz w:val="30"/>
                                <w:szCs w:val="30"/>
                              </w:rPr>
                            </w:pPr>
                            <w:r w:rsidRPr="00507050">
                              <w:rPr>
                                <w:rFonts w:ascii="Arial" w:hAnsi="Arial" w:cs="Arial"/>
                                <w:sz w:val="30"/>
                                <w:szCs w:val="30"/>
                              </w:rPr>
                              <w:t xml:space="preserve">Model financial statements and report </w:t>
                            </w:r>
                            <w:r w:rsidRPr="00507050">
                              <w:rPr>
                                <w:rFonts w:ascii="Arial" w:hAnsi="Arial" w:cs="Arial"/>
                                <w:sz w:val="30"/>
                                <w:szCs w:val="30"/>
                              </w:rPr>
                              <w:br/>
                              <w:t>of operations guidance for reporting</w:t>
                            </w:r>
                            <w:r w:rsidRPr="00507050">
                              <w:rPr>
                                <w:rFonts w:ascii="Arial" w:hAnsi="Arial" w:cs="Arial"/>
                                <w:sz w:val="30"/>
                                <w:szCs w:val="30"/>
                              </w:rPr>
                              <w:br/>
                              <w:t>period ending 30 June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45pt;margin-top:564.9pt;width:376.1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1xNDgIAAPsDAAAOAAAAZHJzL2Uyb0RvYy54bWysU9tuGyEQfa/Uf0C817vr2t5kZRylSVNV&#10;Si9S0g/ALOtFBYYC9m769RlYx7Hat6o8oIGZOcw5M6yvRqPJQfqgwDJazUpKpBXQKrtj9Mfj3bsL&#10;SkLktuUarGT0SQZ6tXn7Zj24Rs6hB91KTxDEhmZwjPYxuqYoguil4WEGTlp0duANj3j0u6L1fEB0&#10;o4t5Wa6KAXzrPAgZAt7eTk66yfhdJ0X81nVBRqIZxdpi3n3et2kvNmve7Dx3vRLHMvg/VGG4svjo&#10;CeqWR072Xv0FZZTwEKCLMwGmgK5TQmYOyKYq/2Dz0HMnMxcUJ7iTTOH/wYqvh++eqJbRuqbEcoM9&#10;epRjJB9gJPMkz+BCg1EPDuPiiNfY5kw1uHsQPwOxcNNzu5PX3sPQS95ieVXKLM5SJ5yQQLbDF2jx&#10;Gb6PkIHGzpukHapBEB3b9HRqTSpF4OWirleLGl0CfdX7ulqVuXkFb17SnQ/xkwRDksGox95neH64&#10;DzGVw5uXkPSahTulde6/tmRg9HI5X+aEM49REcdTK8PoRZnWNDCJ5Ufb5uTIlZ5sfEDbI+3EdOIc&#10;x+2YBc6aJEm20D6hDh6macTfg0YP/jclA04io+HXnntJif5sUcvLarFIo5sPi2U9x4M/92zPPdwK&#10;hGI0UjKZNzGP+0T5GjXvVFbjtZJjyThhWaTjb0gjfH7OUa9/dvMMAAD//wMAUEsDBBQABgAIAAAA&#10;IQCqMPv/4AAAAA0BAAAPAAAAZHJzL2Rvd25yZXYueG1sTI/NTsMwEITvSLyDtZW4tXabFpo0ToVA&#10;XEH9AYmbG2+TiHgdxW4T3p7lBLfdndHsN/l2dK24Yh8aTxrmMwUCqfS2oUrD8fAyXYMI0ZA1rSfU&#10;8I0BtsXtTW4y6wfa4XUfK8EhFDKjoY6xy6QMZY3OhJnvkFg7+96ZyGtfSdubgcNdKxdK3UtnGuIP&#10;tenwqcbya39xGt5fz58fS/VWPbtVN/hRSXKp1PpuMj5uQEQc458ZfvEZHQpmOvkL2SBaDdP5ImUr&#10;CzxwCbY8JGkC4sSnZLlagyxy+b9F8QMAAP//AwBQSwECLQAUAAYACAAAACEAtoM4kv4AAADhAQAA&#10;EwAAAAAAAAAAAAAAAAAAAAAAW0NvbnRlbnRfVHlwZXNdLnhtbFBLAQItABQABgAIAAAAIQA4/SH/&#10;1gAAAJQBAAALAAAAAAAAAAAAAAAAAC8BAABfcmVscy8ucmVsc1BLAQItABQABgAIAAAAIQB131xN&#10;DgIAAPsDAAAOAAAAAAAAAAAAAAAAAC4CAABkcnMvZTJvRG9jLnhtbFBLAQItABQABgAIAAAAIQCq&#10;MPv/4AAAAA0BAAAPAAAAAAAAAAAAAAAAAGgEAABkcnMvZG93bnJldi54bWxQSwUGAAAAAAQABADz&#10;AAAAdQUAAAAA&#10;" filled="f" stroked="f">
                <v:textbox>
                  <w:txbxContent>
                    <w:p w:rsidR="00841B85" w:rsidRPr="00507050" w:rsidRDefault="00841B85" w:rsidP="00EF4428">
                      <w:pPr>
                        <w:rPr>
                          <w:rFonts w:ascii="Arial" w:hAnsi="Arial" w:cs="Arial"/>
                          <w:sz w:val="30"/>
                          <w:szCs w:val="30"/>
                        </w:rPr>
                      </w:pPr>
                      <w:r w:rsidRPr="00507050">
                        <w:rPr>
                          <w:rFonts w:ascii="Arial" w:hAnsi="Arial" w:cs="Arial"/>
                          <w:sz w:val="30"/>
                          <w:szCs w:val="30"/>
                        </w:rPr>
                        <w:t xml:space="preserve">Model financial statements and report </w:t>
                      </w:r>
                      <w:r w:rsidRPr="00507050">
                        <w:rPr>
                          <w:rFonts w:ascii="Arial" w:hAnsi="Arial" w:cs="Arial"/>
                          <w:sz w:val="30"/>
                          <w:szCs w:val="30"/>
                        </w:rPr>
                        <w:br/>
                        <w:t>of operations guidance for reporting</w:t>
                      </w:r>
                      <w:r w:rsidRPr="00507050">
                        <w:rPr>
                          <w:rFonts w:ascii="Arial" w:hAnsi="Arial" w:cs="Arial"/>
                          <w:sz w:val="30"/>
                          <w:szCs w:val="30"/>
                        </w:rPr>
                        <w:br/>
                        <w:t>period ending 30 June 2016</w:t>
                      </w:r>
                    </w:p>
                  </w:txbxContent>
                </v:textbox>
              </v:shape>
            </w:pict>
          </mc:Fallback>
        </mc:AlternateContent>
      </w:r>
    </w:p>
    <w:p w:rsidR="003126DE" w:rsidRDefault="003126DE" w:rsidP="003126DE">
      <w:pPr>
        <w:spacing w:line="240" w:lineRule="atLeast"/>
        <w:rPr>
          <w:lang w:eastAsia="en-US"/>
        </w:rPr>
      </w:pPr>
      <w:r>
        <w:rPr>
          <w:lang w:eastAsia="en-US"/>
        </w:rPr>
        <w:br w:type="page"/>
      </w:r>
    </w:p>
    <w:p w:rsidR="003126DE" w:rsidRDefault="003126DE" w:rsidP="00EF4428">
      <w:pPr>
        <w:rPr>
          <w:lang w:eastAsia="en-US"/>
        </w:rPr>
      </w:pPr>
    </w:p>
    <w:p w:rsidR="003126DE" w:rsidRDefault="003126DE" w:rsidP="00EF4428">
      <w:pPr>
        <w:rPr>
          <w:lang w:eastAsia="en-US"/>
        </w:rPr>
      </w:pPr>
    </w:p>
    <w:p w:rsidR="003126DE" w:rsidRDefault="003126DE" w:rsidP="00EF4428">
      <w:pPr>
        <w:rPr>
          <w:lang w:eastAsia="en-US"/>
        </w:rPr>
      </w:pPr>
    </w:p>
    <w:p w:rsidR="003126DE" w:rsidRDefault="003126DE" w:rsidP="00EF4428">
      <w:pPr>
        <w:rPr>
          <w:lang w:eastAsia="en-US"/>
        </w:rPr>
      </w:pPr>
    </w:p>
    <w:p w:rsidR="003126DE" w:rsidRDefault="003126DE" w:rsidP="00EF4428">
      <w:pPr>
        <w:rPr>
          <w:lang w:eastAsia="en-US"/>
        </w:rPr>
      </w:pPr>
    </w:p>
    <w:p w:rsidR="003126DE" w:rsidRDefault="003126DE" w:rsidP="00EF4428">
      <w:pPr>
        <w:rPr>
          <w:lang w:eastAsia="en-US"/>
        </w:rPr>
      </w:pPr>
    </w:p>
    <w:p w:rsidR="003126DE" w:rsidRDefault="003126DE" w:rsidP="00EF4428">
      <w:pPr>
        <w:rPr>
          <w:lang w:eastAsia="en-US"/>
        </w:rPr>
      </w:pPr>
      <w:r w:rsidRPr="003126DE">
        <w:rPr>
          <w:noProof/>
        </w:rPr>
        <mc:AlternateContent>
          <mc:Choice Requires="wpg">
            <w:drawing>
              <wp:inline distT="0" distB="0" distL="0" distR="0">
                <wp:extent cx="4572000" cy="7625715"/>
                <wp:effectExtent l="0" t="0" r="0" b="0"/>
                <wp:docPr id="296" name="Group 9"/>
                <wp:cNvGraphicFramePr/>
                <a:graphic xmlns:a="http://schemas.openxmlformats.org/drawingml/2006/main">
                  <a:graphicData uri="http://schemas.microsoft.com/office/word/2010/wordprocessingGroup">
                    <wpg:wgp>
                      <wpg:cNvGrpSpPr/>
                      <wpg:grpSpPr>
                        <a:xfrm>
                          <a:off x="0" y="0"/>
                          <a:ext cx="4572000" cy="7625715"/>
                          <a:chOff x="0" y="0"/>
                          <a:chExt cx="4572000" cy="7625715"/>
                        </a:xfrm>
                      </wpg:grpSpPr>
                      <wps:wsp>
                        <wps:cNvPr id="297" name="Rectangle 297"/>
                        <wps:cNvSpPr/>
                        <wps:spPr>
                          <a:xfrm>
                            <a:off x="0" y="0"/>
                            <a:ext cx="4572000" cy="7625715"/>
                          </a:xfrm>
                          <a:prstGeom prst="rect">
                            <a:avLst/>
                          </a:prstGeom>
                        </wps:spPr>
                        <wps:txbx>
                          <w:txbxContent>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rPr>
                                <w:t>The Secretary</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Department of Treasury and Finance</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rPr>
                                <w:t>1 Treasury Place</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rPr>
                                <w:t>Melbourne Victoria, 3002</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Australia</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Telephone: +61 3 9651 5111</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it-IT"/>
                                </w:rPr>
                                <w:t>Facsimile: +61 3 9651 5298</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Website: dtf.vic.gov.au</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Authorised by the Victorian Government</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1 Treasury Place, Melbourne, 3002</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 State of Victoria (Department of Treasury and Finance) 2016</w:t>
                              </w:r>
                            </w:p>
                            <w:p w:rsidR="00841B85"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You are free to re-use this work under a Creative Commons</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Attribution 4.0 licence, provided you credit the State of</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Victoria (Department of Treasury and Finance) as author,</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indicate if changes were made and comply with the other</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licence terms. The licence does not apply to any branding,</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including Government logos.</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ISSN 1833-5721</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Published April 2016</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b/>
                                  <w:bCs/>
                                  <w:color w:val="000000" w:themeColor="text1"/>
                                  <w:kern w:val="24"/>
                                  <w:sz w:val="20"/>
                                  <w:szCs w:val="20"/>
                                </w:rPr>
                                <w:t>Important disclaimer</w:t>
                              </w:r>
                              <w:r>
                                <w:rPr>
                                  <w:rFonts w:asciiTheme="minorHAnsi" w:hAnsi="Calibri" w:cstheme="minorBidi"/>
                                  <w:color w:val="000000" w:themeColor="text1"/>
                                  <w:kern w:val="24"/>
                                  <w:sz w:val="20"/>
                                  <w:szCs w:val="20"/>
                                </w:rPr>
                                <w:t>:</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The Department of Treasury and Finance is not</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engaged in rendering legal, accounting or other</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professional advice.</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While all reasonable care has been taken in the</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preparation of information contained in this</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publication, no responsibility is taken for any action(s)</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taken on the basis of information contained herein nor</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for any errors or omissions in that information.</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The Department of Treasury and Finance expressly</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disclaims any liability whatsoever, to any person,</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whether purchaser or not, in relation to any reliance,</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in whole or in part, on such information.</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Persons should consult a suitably qualified professional</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adviser to obtain advice tailored to their particular</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circumstances.</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The Department of Technology is a fictitious department</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and has been used only for the purposes of illustrating</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financial reporting requirements for Victorian</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rPr>
                                <w:t xml:space="preserve">government departments. </w:t>
                              </w:r>
                            </w:p>
                          </w:txbxContent>
                        </wps:txbx>
                        <wps:bodyPr>
                          <a:spAutoFit/>
                        </wps:bodyPr>
                      </wps:wsp>
                      <pic:pic xmlns:pic="http://schemas.openxmlformats.org/drawingml/2006/picture">
                        <pic:nvPicPr>
                          <pic:cNvPr id="298" name="Picture 298">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81947" y="2068812"/>
                            <a:ext cx="1114425" cy="381000"/>
                          </a:xfrm>
                          <a:prstGeom prst="rect">
                            <a:avLst/>
                          </a:prstGeom>
                          <a:noFill/>
                          <a:ln>
                            <a:noFill/>
                          </a:ln>
                        </pic:spPr>
                      </pic:pic>
                    </wpg:wgp>
                  </a:graphicData>
                </a:graphic>
              </wp:inline>
            </w:drawing>
          </mc:Choice>
          <mc:Fallback>
            <w:pict>
              <v:group id="Group 9" o:spid="_x0000_s1028" style="width:5in;height:600.45pt;mso-position-horizontal-relative:char;mso-position-vertical-relative:line" coordsize="45720,7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eVNIAMAALEHAAAOAAAAZHJzL2Uyb0RvYy54bWysVdtu2zAMfR+wfxD8&#10;nvqypE6MJEWXXjCg24p1+wBFlmOhsiVIyqUY9u8jJdvt2gIt2j3E0YWiDg/Jo/nJoZFkx40Vql1E&#10;6VESEd4yVYp2s4h+/bwYTSNiHW1LKlXLF9Edt9HJ8uOH+V4XPFO1kiU3BJy0ttjrRVQ7p4s4tqzm&#10;DbVHSvMWNitlGupgajZxaegevDcyzpLkON4rU2qjGLcWVs/CZrT0/quKM/e9qix3RC4iwOb81/jv&#10;Gr/xck6LjaG6FqyDQd+AoqGihUsHV2fUUbI14omrRjCjrKrcEVNNrKpKMO5jgGjS5FE0l0ZttY9l&#10;U+w3eqAJqH3E05vdsm+7a0NEuYiy2XFEWtpAkvy9ZIbk7PWmAJtLo2/0tekWNmGG8R4q0+A/REIO&#10;nta7gVZ+cITB4niSQ6qAfQZ7+XE2ydNJIJ7VkJ0n51h9/sLJuL84RnwDnL2GIrL3PNn38XRTU809&#10;/RY5GHjKe55+QHnRdiM5yWZ5YMtbDlTZwgJr7+VpiJYW2lh3yVVDcLCIDADwZUd3V9ZBdsC0N4EJ&#10;8hEA4Mgd1oeQ6R7qWpV3AZ7Vp1unLoT3gcb9lvcBnC7nWrACfl0RwugJuS83K5xyW8OjzknzKh8N&#10;NbdbPYJ+0dSJtZDC3fneh8gRVLu7FgzDwMnDPIH0hHqGfbwWsjT1bNVStLcrKdhtBwQE4VFDPRNL&#10;aNYzxbYNb11QH8MlYFKtrYW2ETEFdpL5UqZIcTwAuseGSPutf4CvpdAXQkosFhz/d2S8WfMALvMk&#10;QHdCzeB12Kdeq35n09MkmWWfR6tJshqNk/x8dDob56M8Oc/HyXiartLVHzydjout5VeKUXmmRYcV&#10;Vp/w+KwwdRIeJM9LJ9lRL9ChhAGQL+UeIlQ1UoJYrWHYdWAHY2e4YzUOK2CuWwfjYcNn4J5ZzAf2&#10;A1nvv6oShI5C0XsyHsnYNIWoIwJylSXH02maYToDUShoaZqOx9kkCNqnaYriFpD3fvomfFWf0qKF&#10;1pPS3yFbvGlYgGhwxQcSWtkPIRLf3/5d8Fx1bxg+PA/n3ur+pV3+BQAA//8DAFBLAwQUAAYACAAA&#10;ACEA3vrWJvMAAADaAQAAGQAAAGRycy9fcmVscy9lMm9Eb2MueG1sLnJlbHOskc1KAzEQx+9C3yHM&#10;3c1uERFptpcq9OBF6gPEZHY3NJmEJJbu23f8QgsFLx4nw/z+H1mtj8GLA+biIinomhYEkonW0ajg&#10;Zfd4fQeiVE1W+0ioYMYC635xtXpGrysflcmlIphCRcFUa7qXspgJgy5NTEi8GWIOuvKYR5m02esR&#10;5bJtb2X+zYD+jCm2VkHe2iWI3ZxY+W92HAZncBPNW0CqFySkC6zNQJ1HrAoCWqc/H7sm0Qjysofu&#10;Pz1MnCZ7R/sfH1/RTEau9IAmhsDFfvTlOREVLPJ1ljdNK7+PnqLlTh6OFTNp/25cnv1IfwIAAP//&#10;AwBQSwMEFAAGAAgAAAAhAJze70PbAAAABgEAAA8AAABkcnMvZG93bnJldi54bWxMj09Lw0AQxe+C&#10;32EZwZvdRPFPYzalFPVUBFtBeptmp0lodjZkt0n67R296GWY4T3e+02+mFyrBupD49lAOktAEZfe&#10;NlwZ+Ny+3jyBChHZYuuZDJwpwKK4vMgxs37kDxo2sVISwiFDA3WMXaZ1KGtyGGa+Ixbt4HuHUc6+&#10;0rbHUcJdq2+T5EE7bFgaauxoVVN53JycgbcRx+Vd+jKsj4fVebe9f/9ap2TM9dW0fAYVaYp/ZvjB&#10;F3QohGnvT2yDag3II/F3ivYoVaD2YpJlDrrI9X/84hsAAP//AwBQSwMECgAAAAAAAAAhAOobJHWD&#10;EgAAgxIAABQAAABkcnMvbWVkaWEvaW1hZ2UxLnBuZ4lQTkcNChoKAAAADUlIRFIAAABYAAAAHwgG&#10;AAAAY8gK4A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BGdBTUEAALGOfPtRkwAAACBjSFJNAAB6JQAAgIMAAPn/AACA6QAAdTAAAOpgAAA6mAAAF2+S&#10;X8VGAAAHnklEQVR42uyaX2zbxh3Hv0fSQVPUGvPUDdoA+U3qS5hkyWMsrXvZsqYkgu2l6yI/Dagx&#10;SOpWry3syEqcLhOSycKQAsO2mlifC9P5A+wfIsotsEV2IhopIL1JDzW2Psm124eZf24PJE+kZTu2&#10;Y6tpmjNOPPHuKPLD7/3ud78zoZRGCCGf4Wna90QpJQQABYDbf78FjuPAcRx4ngfH8eA5DhzvHTkO&#10;hHDgCAEhBCDEvwooKKhD4VAHjuNm27bdo2PDth04js3qHOqw9pRS/2ZY+UlIP375JwAAAoD6cHme&#10;dzPHd8s879ZxvAeZgBAuyNeD44F1XJi27eVg2Q5DdhyHgQ2CfpIgCwDCcHkBQujo5ptzt1CpVFCr&#10;1bC2uha60GBkEKdOnULqeym8dPZHsB0eHGe5L8TmQEC8dxkYPg51RwK8MUT2B+79hTq0DzQ0Go3Q&#10;+UQiAfmcjOMnj/UVMgFA/3bnrxAEgUEVBMHNvICqPo/ilSKWl5d3dMFoNIqxt8YwPHwalm3Dti1Y&#10;lpdtC5ZlM4VvpuS9qvi///kU18vX0Ww0AQDJZBKSJAEADMOArusAgHgijtHMKL75ref7omACgP6z&#10;+g8IvNAFKwxgQBCQn5iENquxDqIoQpZlxGIxDA8PAwCq1Sra7TY0TcPKygprKysyfjX2Sxx+9jAs&#10;y4JpWbAsE5ZlhU2GD9jxbPkebPHnq58jM5rF6uoqZFlGqVRCLBYLtWm328jlctA0DZFIBJeLlw8c&#10;MgN858M7GPDBDggYEAZCcEVRRDabRSaTgSiKW15QVVXkcjkGOp6I40/v/RHPHD4MyzJhmiZT8qaQ&#10;6d4AT7x5Ac1GE+l0GjMzM93h6Zmg4PVUVcXIyAjiiTguXbl44IA5AOA9GyzwPAQ+rFxJklCv15HP&#10;57eFCwDpdBqtVosNzWajiavFayFbzjGPhHSz97cRzE5tbrPRhCzLGHvjjYe2T6fTkGUZzUYT9xfq&#10;B24mOADgfLeM51HV50NwK5VKz3DbLomiiEqlwiBrsxqq1XnwvLA5ZM53+xCCvNOkfeDea6lUQuKF&#10;Fzb6oZuOhlKpFOp74IBdBbsqLl4pMlAzMzMPVe12kP2+xd8UPV/ag0s8n5rzPAyCLmSyO8iNRgPJ&#10;ZLJHBCMjI2yEjIyMhOpisRiSyWSPp3FwCvYe/ubcLeYtZLNZpsK9JFEUmVKWl5dx88YttmBxIW9t&#10;InabNrtPVVU3LW/X58AA+2qqVCoMTiaTYY10XYeiKEilUkilUigUClvWTU9Ph+ydr+LKnUpAvV3T&#10;QMijmYjHPbkLDULAEYJarea6WLLMwOi6jlQqFeqk6zp0XUcmk4GiKD11S0tLbDaXZRmqqqJWq7kr&#10;wABYoAu365Xv/iEMw9h0MvOVm06nd9TnABXsPqi/Qjt69ChrkMvlmN1qtVps0jt//jxTsiRJaLVa&#10;mJ2dDfnIAFh5bXWtaw7Y0ee6dxORSCSg6zra7XbofNBdC5Z9n1jXdSQSif4oeOPkErRP/ptOp9OI&#10;xWIMtD+R+Cr162RZ7plQuu4X+9i3B5DPyWhMNZDL5TA7O7ujPr5o5HNyfxT8VU7HTx5DPBGHpmk9&#10;3sJWcDVNQzwR70tcgvODLUF/MWiffDWrqoqVlRUYhoGhoSEUCoWur+stk4N1weHY9UvZx74+xK/f&#10;HkMkEoGqqlAUhf1m0A9ut9tQFAXT09OIRCIYzYz2b5Lzb2QwMoi11TUsLS2xBvl8nt30kSNHQuD8&#10;OsMweur85F9rMDIISgPLYVD479T7tueHeC7yHMrXp/Hbd4rQNA2apkGSJEiSBFEUoes6E00/gz1s&#10;3r577y4OHTqEwoUCtFkNoiii0+mEPINyucxiDMlkEvl8nqm3XC6ztsE6ABgaGkK73caL338R10pX&#10;8b/1dZjmOkzLhGlasP24hGPDsR0WhN9r6PJxCleyYM+/F/+FgYFD+Gj+I2R+kWHLyWw2+0g/4AdW&#10;AGDqnSn88MwPsG6uY900YZkmTGsD4EcI+DyuAXcOANvSSaaGEY1GAQCFQqHH9dlNWllZYbN1NBr1&#10;AvF+aNKB49li31w8qYkDAIc6sG13H+3S5YsMkKIooRjvbuCmUinWd+zNMS/AbnchB0KUbJKlT9aW&#10;EZvcAdDx/DhduF+jxoM6ffVnr/pTPZUkidbrdbrT1Gq1qCRJrL+syNR4UKcL92v04uWL7PzXKHe/&#10;ZF/P0MX6AjU+NqisyOy8KIp0cnKSdjqdLcF2Oh06OTlJRVFk/U6eOkmXPjboorFAx/PjX0e4tGf1&#10;P5Efx8uKDEEQcK14De//5f09bxkVLk3CsizcvVvDaz9/7eCHYsC8BHczgqvUjd/7ZiKCeSI/7ir5&#10;QZ2+p/6ZRqPRHb+xaDRKy78vU+NBnS4aC/TdP7zbN7VQSrctB899aQr2U/b1DF756StsF0KvVHFj&#10;7sa22/Zn5bNIJofZXtvc3A1MFab6p5RNFPxlKvehAcLjJ45hIn8B3/5ONLAbEQw3IuS3+v94svzJ&#10;J/jd1RLmq/P9HYoBiI+DadhxBPb08GmceekMTnz3BL4RiYRjuJ5r9dnqKu4t3sPtm7f7DvYrq+Cn&#10;aR8AU0qfJYR88RTFgYwo8v8BAEx6oA6ogY0KAAAAAElFTkSuQmCCUEsBAi0AFAAGAAgAAAAhALGC&#10;Z7YKAQAAEwIAABMAAAAAAAAAAAAAAAAAAAAAAFtDb250ZW50X1R5cGVzXS54bWxQSwECLQAUAAYA&#10;CAAAACEAOP0h/9YAAACUAQAACwAAAAAAAAAAAAAAAAA7AQAAX3JlbHMvLnJlbHNQSwECLQAUAAYA&#10;CAAAACEA8InlTSADAACxBwAADgAAAAAAAAAAAAAAAAA6AgAAZHJzL2Uyb0RvYy54bWxQSwECLQAU&#10;AAYACAAAACEA3vrWJvMAAADaAQAAGQAAAAAAAAAAAAAAAACGBQAAZHJzL19yZWxzL2Uyb0RvYy54&#10;bWwucmVsc1BLAQItABQABgAIAAAAIQCc3u9D2wAAAAYBAAAPAAAAAAAAAAAAAAAAALAGAABkcnMv&#10;ZG93bnJldi54bWxQSwECLQAKAAAAAAAAACEA6hskdYMSAACDEgAAFAAAAAAAAAAAAAAAAAC4BwAA&#10;ZHJzL21lZGlhL2ltYWdlMS5wbmdQSwUGAAAAAAYABgB8AQAAbRoAAAAA&#10;">
                <v:rect id="Rectangle 297" o:spid="_x0000_s1029" style="position:absolute;width:45720;height:76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ZdcUA&#10;AADcAAAADwAAAGRycy9kb3ducmV2LnhtbESP3YrCMBSE74V9h3AEb0RTRXTtGmXxB6p3dn2AY3O2&#10;rTYnpYla336zIHg5zMw3zGLVmkrcqXGlZQWjYQSCOLO65FzB6Wc3+AThPLLGyjIpeJKD1fKjs8BY&#10;2wcf6Z76XAQIuxgVFN7XsZQuK8igG9qaOHi/tjHog2xyqRt8BLip5DiKptJgyWGhwJrWBWXX9GYU&#10;7A+Tw2mdyMt1Xm76ySyN5Hm6VarXbb+/QHhq/Tv8aidawXg+g/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tl1xQAAANwAAAAPAAAAAAAAAAAAAAAAAJgCAABkcnMv&#10;ZG93bnJldi54bWxQSwUGAAAAAAQABAD1AAAAigMAAAAA&#10;" filled="f" stroked="f">
                  <v:textbox style="mso-fit-shape-to-text:t">
                    <w:txbxContent>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rPr>
                          <w:t>The Secretary</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Department of Treasury and Finance</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rPr>
                          <w:t>1 Treasury Place</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rPr>
                          <w:t>Melbourne Victoria, 3002</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Australia</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Telephone: +61 3 9651 5111</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it-IT"/>
                          </w:rPr>
                          <w:t>Facsimile: +61 3 9651 5298</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Website: dtf.vic.gov.au</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proofErr w:type="spellStart"/>
                        <w:r>
                          <w:rPr>
                            <w:rFonts w:asciiTheme="minorHAnsi" w:hAnsi="Calibri" w:cstheme="minorBidi"/>
                            <w:color w:val="000000" w:themeColor="text1"/>
                            <w:kern w:val="24"/>
                            <w:sz w:val="20"/>
                            <w:szCs w:val="20"/>
                            <w:lang w:val="en-US"/>
                          </w:rPr>
                          <w:t>Authorised</w:t>
                        </w:r>
                        <w:proofErr w:type="spellEnd"/>
                        <w:r>
                          <w:rPr>
                            <w:rFonts w:asciiTheme="minorHAnsi" w:hAnsi="Calibri" w:cstheme="minorBidi"/>
                            <w:color w:val="000000" w:themeColor="text1"/>
                            <w:kern w:val="24"/>
                            <w:sz w:val="20"/>
                            <w:szCs w:val="20"/>
                            <w:lang w:val="en-US"/>
                          </w:rPr>
                          <w:t xml:space="preserve"> by the Victorian Government</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1 Treasury Place, Melbourne, 3002</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 State of Victoria (Department of Treasury and Finance) 2016</w:t>
                        </w:r>
                      </w:p>
                      <w:p w:rsidR="00841B85"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You are free to re-use this work under a Creative Commons</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 xml:space="preserve">Attribution 4.0 </w:t>
                        </w:r>
                        <w:proofErr w:type="spellStart"/>
                        <w:r>
                          <w:rPr>
                            <w:rFonts w:asciiTheme="minorHAnsi" w:hAnsi="Calibri" w:cstheme="minorBidi"/>
                            <w:color w:val="000000" w:themeColor="text1"/>
                            <w:kern w:val="24"/>
                            <w:sz w:val="20"/>
                            <w:szCs w:val="20"/>
                            <w:lang w:val="en-US"/>
                          </w:rPr>
                          <w:t>licence</w:t>
                        </w:r>
                        <w:proofErr w:type="spellEnd"/>
                        <w:r>
                          <w:rPr>
                            <w:rFonts w:asciiTheme="minorHAnsi" w:hAnsi="Calibri" w:cstheme="minorBidi"/>
                            <w:color w:val="000000" w:themeColor="text1"/>
                            <w:kern w:val="24"/>
                            <w:sz w:val="20"/>
                            <w:szCs w:val="20"/>
                            <w:lang w:val="en-US"/>
                          </w:rPr>
                          <w:t>, provided you credit the State of</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Victoria (Department of Treasury and Finance) as author,</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indicate if changes were made and comply with the other</w:t>
                        </w:r>
                      </w:p>
                      <w:p w:rsidR="00841B85" w:rsidRDefault="00841B85" w:rsidP="003126DE">
                        <w:pPr>
                          <w:pStyle w:val="NormalWeb"/>
                          <w:spacing w:before="0" w:beforeAutospacing="0" w:after="0" w:afterAutospacing="0"/>
                        </w:pPr>
                        <w:proofErr w:type="spellStart"/>
                        <w:r>
                          <w:rPr>
                            <w:rFonts w:asciiTheme="minorHAnsi" w:hAnsi="Calibri" w:cstheme="minorBidi"/>
                            <w:color w:val="000000" w:themeColor="text1"/>
                            <w:kern w:val="24"/>
                            <w:sz w:val="20"/>
                            <w:szCs w:val="20"/>
                            <w:lang w:val="en-US"/>
                          </w:rPr>
                          <w:t>licence</w:t>
                        </w:r>
                        <w:proofErr w:type="spellEnd"/>
                        <w:r>
                          <w:rPr>
                            <w:rFonts w:asciiTheme="minorHAnsi" w:hAnsi="Calibri" w:cstheme="minorBidi"/>
                            <w:color w:val="000000" w:themeColor="text1"/>
                            <w:kern w:val="24"/>
                            <w:sz w:val="20"/>
                            <w:szCs w:val="20"/>
                            <w:lang w:val="en-US"/>
                          </w:rPr>
                          <w:t xml:space="preserve"> terms. The </w:t>
                        </w:r>
                        <w:proofErr w:type="spellStart"/>
                        <w:r>
                          <w:rPr>
                            <w:rFonts w:asciiTheme="minorHAnsi" w:hAnsi="Calibri" w:cstheme="minorBidi"/>
                            <w:color w:val="000000" w:themeColor="text1"/>
                            <w:kern w:val="24"/>
                            <w:sz w:val="20"/>
                            <w:szCs w:val="20"/>
                            <w:lang w:val="en-US"/>
                          </w:rPr>
                          <w:t>licence</w:t>
                        </w:r>
                        <w:proofErr w:type="spellEnd"/>
                        <w:r>
                          <w:rPr>
                            <w:rFonts w:asciiTheme="minorHAnsi" w:hAnsi="Calibri" w:cstheme="minorBidi"/>
                            <w:color w:val="000000" w:themeColor="text1"/>
                            <w:kern w:val="24"/>
                            <w:sz w:val="20"/>
                            <w:szCs w:val="20"/>
                            <w:lang w:val="en-US"/>
                          </w:rPr>
                          <w:t xml:space="preserve"> does not apply to any branding,</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including Government logos.</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ISSN 1833-5721</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Published April 2016</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b/>
                            <w:bCs/>
                            <w:color w:val="000000" w:themeColor="text1"/>
                            <w:kern w:val="24"/>
                            <w:sz w:val="20"/>
                            <w:szCs w:val="20"/>
                          </w:rPr>
                          <w:t>Important disclaimer</w:t>
                        </w:r>
                        <w:r>
                          <w:rPr>
                            <w:rFonts w:asciiTheme="minorHAnsi" w:hAnsi="Calibri" w:cstheme="minorBidi"/>
                            <w:color w:val="000000" w:themeColor="text1"/>
                            <w:kern w:val="24"/>
                            <w:sz w:val="20"/>
                            <w:szCs w:val="20"/>
                          </w:rPr>
                          <w:t>:</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The Department of Treasury and Finance is not</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engaged in rendering legal, accounting or other</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professional advice.</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While all reasonable care has been taken in the</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preparation of information contained in this</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publication, no responsibility is taken for any action(s)</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taken on the basis of information contained herein nor</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for any errors or omissions in that information.</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The Department of Treasury and Finance expressly</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disclaims any liability whatsoever, to any person,</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whether purchaser or not, in relation to any reliance,</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in whole or in part, on such information.</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Persons should consult a suitably qualified professional</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adviser to obtain advice tailored to their particular</w:t>
                        </w:r>
                      </w:p>
                      <w:p w:rsidR="00841B85" w:rsidRDefault="00841B85" w:rsidP="003126DE">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circumstances.</w:t>
                        </w:r>
                      </w:p>
                      <w:p w:rsidR="00841B85" w:rsidRPr="003126DE" w:rsidRDefault="00841B85" w:rsidP="003126DE">
                        <w:pPr>
                          <w:pStyle w:val="NormalWeb"/>
                          <w:spacing w:before="0" w:beforeAutospacing="0" w:after="0" w:afterAutospacing="0"/>
                          <w:rPr>
                            <w:rFonts w:asciiTheme="minorHAnsi" w:hAnsiTheme="minorHAnsi"/>
                            <w:sz w:val="12"/>
                            <w:szCs w:val="12"/>
                          </w:rPr>
                        </w:pP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The Department of Technology is a fictitious department</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and has been used only for the purposes of illustrating</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lang w:val="en-US"/>
                          </w:rPr>
                          <w:t>financial reporting requirements for Victorian</w:t>
                        </w:r>
                      </w:p>
                      <w:p w:rsidR="00841B85" w:rsidRDefault="00841B85" w:rsidP="003126DE">
                        <w:pPr>
                          <w:pStyle w:val="NormalWeb"/>
                          <w:spacing w:before="0" w:beforeAutospacing="0" w:after="0" w:afterAutospacing="0"/>
                        </w:pPr>
                        <w:r>
                          <w:rPr>
                            <w:rFonts w:asciiTheme="minorHAnsi" w:hAnsi="Calibri" w:cstheme="minorBidi"/>
                            <w:color w:val="000000" w:themeColor="text1"/>
                            <w:kern w:val="24"/>
                            <w:sz w:val="20"/>
                            <w:szCs w:val="20"/>
                          </w:rPr>
                          <w:t xml:space="preserve">government departments.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30" type="#_x0000_t75" href="http://creativecommons.org/licenses/by/4.0/" style="position:absolute;left:819;top:20688;width:11144;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GrS/AAAA3AAAAA8AAABkcnMvZG93bnJldi54bWxET02LwjAQvQv7H8IseLOpRYtWoyyCIHuz&#10;q3gdmrENNpPSZGv995uDsMfH+97uR9uKgXpvHCuYJykI4sppw7WCy89xtgLhA7LG1jEpeJGH/e5j&#10;ssVCuyefaShDLWII+wIVNCF0hZS+asiiT1xHHLm76y2GCPta6h6fMdy2MkvTXFo0HBsa7OjQUPUo&#10;f62C9TkfSvp2dX5b3a6HZfZaoDFKTT/Hrw2IQGP4F7/dJ60gW8e18Uw8AnL3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qRq0vwAAANwAAAAPAAAAAAAAAAAAAAAAAJ8CAABk&#10;cnMvZG93bnJldi54bWxQSwUGAAAAAAQABAD3AAAAiwMAAAAA&#10;" o:button="t">
                  <v:fill o:detectmouseclick="t"/>
                  <v:imagedata r:id="rId11" o:title=""/>
                </v:shape>
                <w10:anchorlock/>
              </v:group>
            </w:pict>
          </mc:Fallback>
        </mc:AlternateContent>
      </w:r>
    </w:p>
    <w:p w:rsidR="003126DE" w:rsidRPr="00EF4428" w:rsidRDefault="003126DE" w:rsidP="00EF4428">
      <w:pPr>
        <w:rPr>
          <w:lang w:eastAsia="en-US"/>
        </w:rPr>
        <w:sectPr w:rsidR="003126DE" w:rsidRPr="00EF4428" w:rsidSect="00F75940">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152" w:right="864" w:bottom="1152" w:left="864" w:header="432" w:footer="432" w:gutter="0"/>
          <w:pgNumType w:fmt="lowerRoman" w:start="1"/>
          <w:cols w:space="720"/>
        </w:sectPr>
      </w:pPr>
    </w:p>
    <w:p w:rsidR="00930D72" w:rsidRPr="003E340D" w:rsidRDefault="00930D72" w:rsidP="00837665">
      <w:pPr>
        <w:pStyle w:val="TOCHeading"/>
      </w:pPr>
      <w:r w:rsidRPr="003E340D">
        <w:lastRenderedPageBreak/>
        <w:t>A message from the Minister for Finance</w:t>
      </w:r>
    </w:p>
    <w:p w:rsidR="00930D72" w:rsidRPr="003E340D" w:rsidRDefault="00930D72" w:rsidP="00837665">
      <w:pPr>
        <w:ind w:left="432" w:right="113"/>
      </w:pPr>
      <w:r w:rsidRPr="003E340D">
        <w:t xml:space="preserve">I </w:t>
      </w:r>
      <w:r w:rsidRPr="003E340D">
        <w:rPr>
          <w:rFonts w:eastAsia="Times New Roman" w:cs="Times New Roman"/>
          <w:lang w:eastAsia="en-US"/>
        </w:rPr>
        <w:t>am</w:t>
      </w:r>
      <w:r w:rsidRPr="003E340D">
        <w:t xml:space="preserve"> pleased to endorse the </w:t>
      </w:r>
      <w:r w:rsidR="003978C4" w:rsidRPr="003E340D">
        <w:t>201</w:t>
      </w:r>
      <w:r w:rsidR="002F2E59" w:rsidRPr="003E340D">
        <w:t>5</w:t>
      </w:r>
      <w:r w:rsidR="005A4BB0">
        <w:noBreakHyphen/>
      </w:r>
      <w:r w:rsidR="003978C4" w:rsidRPr="003E340D">
        <w:t>1</w:t>
      </w:r>
      <w:r w:rsidR="002F2E59" w:rsidRPr="003E340D">
        <w:t>6</w:t>
      </w:r>
      <w:r w:rsidR="00E906C3" w:rsidRPr="003E340D">
        <w:t xml:space="preserve"> </w:t>
      </w:r>
      <w:r w:rsidRPr="003E340D">
        <w:rPr>
          <w:bCs/>
          <w:i/>
          <w:iCs/>
        </w:rPr>
        <w:t>Model Report for Victorian Government Departments</w:t>
      </w:r>
      <w:r w:rsidRPr="003E340D">
        <w:t xml:space="preserve"> (the </w:t>
      </w:r>
      <w:r w:rsidRPr="003E340D">
        <w:rPr>
          <w:iCs/>
        </w:rPr>
        <w:t>Model</w:t>
      </w:r>
      <w:r w:rsidRPr="003E340D">
        <w:t>) together with the revised user guidance material.</w:t>
      </w:r>
    </w:p>
    <w:p w:rsidR="00930D72" w:rsidRPr="003E340D" w:rsidRDefault="00930D72" w:rsidP="00837665">
      <w:pPr>
        <w:ind w:left="432" w:right="113"/>
      </w:pPr>
      <w:r w:rsidRPr="003E340D">
        <w:t>This publication serves as the State</w:t>
      </w:r>
      <w:r w:rsidR="005A4BB0">
        <w:t>’</w:t>
      </w:r>
      <w:r w:rsidRPr="003E340D">
        <w:t xml:space="preserve">s primary compliance guide under Standing Direction 4.2 </w:t>
      </w:r>
      <w:r w:rsidRPr="003E340D">
        <w:rPr>
          <w:i/>
          <w:iCs/>
        </w:rPr>
        <w:t>Reporting Requirements in terms of Part 7 of the</w:t>
      </w:r>
      <w:r w:rsidRPr="003E340D">
        <w:rPr>
          <w:i/>
        </w:rPr>
        <w:t xml:space="preserve"> </w:t>
      </w:r>
      <w:r w:rsidRPr="003E340D">
        <w:rPr>
          <w:i/>
          <w:iCs/>
        </w:rPr>
        <w:t xml:space="preserve">Financial Management </w:t>
      </w:r>
      <w:r w:rsidR="006C19A5" w:rsidRPr="003E340D">
        <w:rPr>
          <w:i/>
          <w:iCs/>
        </w:rPr>
        <w:t>Act </w:t>
      </w:r>
      <w:r w:rsidRPr="003E340D">
        <w:rPr>
          <w:i/>
          <w:iCs/>
        </w:rPr>
        <w:t>1994</w:t>
      </w:r>
      <w:r w:rsidRPr="003E340D">
        <w:t>, which assists in the preparation of annual reports.</w:t>
      </w:r>
    </w:p>
    <w:p w:rsidR="00930D72" w:rsidRPr="003E340D" w:rsidRDefault="00930D72" w:rsidP="00837665">
      <w:pPr>
        <w:ind w:left="432" w:right="113"/>
      </w:pPr>
      <w:r w:rsidRPr="003E340D">
        <w:t xml:space="preserve">The </w:t>
      </w:r>
      <w:r w:rsidRPr="003E340D">
        <w:rPr>
          <w:rFonts w:eastAsia="Times New Roman" w:cs="Times New Roman"/>
          <w:lang w:eastAsia="en-US"/>
        </w:rPr>
        <w:t>provision</w:t>
      </w:r>
      <w:r w:rsidRPr="003E340D">
        <w:t xml:space="preserve"> of high quality and accurate information through annual reports is an essential part of open, accountable and effective government. This version of the Model</w:t>
      </w:r>
      <w:r w:rsidRPr="003E340D">
        <w:rPr>
          <w:i/>
        </w:rPr>
        <w:t xml:space="preserve"> </w:t>
      </w:r>
      <w:r w:rsidRPr="003E340D">
        <w:t xml:space="preserve">contains further enhancements based on user feedback, and revisions consistent with the relevant Australian Accounting Standards including Interpretations (AASs) and Financial Reporting Directions (FRDs). </w:t>
      </w:r>
      <w:r w:rsidRPr="003E340D">
        <w:rPr>
          <w:snapToGrid w:val="0"/>
        </w:rPr>
        <w:t>The Model</w:t>
      </w:r>
      <w:r w:rsidRPr="003E340D">
        <w:rPr>
          <w:i/>
          <w:snapToGrid w:val="0"/>
        </w:rPr>
        <w:t xml:space="preserve"> </w:t>
      </w:r>
      <w:r w:rsidRPr="003E340D">
        <w:rPr>
          <w:snapToGrid w:val="0"/>
        </w:rPr>
        <w:t>will also assist with the preparation of, and the information collected for, the State</w:t>
      </w:r>
      <w:r w:rsidR="005A4BB0">
        <w:rPr>
          <w:snapToGrid w:val="0"/>
        </w:rPr>
        <w:t>’</w:t>
      </w:r>
      <w:r w:rsidRPr="003E340D">
        <w:rPr>
          <w:snapToGrid w:val="0"/>
        </w:rPr>
        <w:t>s consolidated Annual Financial Report.</w:t>
      </w:r>
    </w:p>
    <w:p w:rsidR="00930D72" w:rsidRPr="003E340D" w:rsidRDefault="00930D72" w:rsidP="00837665">
      <w:pPr>
        <w:ind w:left="432" w:right="113"/>
        <w:rPr>
          <w:snapToGrid w:val="0"/>
        </w:rPr>
      </w:pPr>
      <w:r w:rsidRPr="003E340D">
        <w:rPr>
          <w:snapToGrid w:val="0"/>
        </w:rPr>
        <w:t xml:space="preserve">All Victorian government departments are required to comply with the </w:t>
      </w:r>
      <w:r w:rsidRPr="003E340D">
        <w:rPr>
          <w:iCs/>
          <w:snapToGrid w:val="0"/>
        </w:rPr>
        <w:t>Model. In addition</w:t>
      </w:r>
      <w:r w:rsidRPr="003E340D">
        <w:rPr>
          <w:i/>
          <w:iCs/>
          <w:snapToGrid w:val="0"/>
        </w:rPr>
        <w:t>,</w:t>
      </w:r>
      <w:r w:rsidRPr="003E340D">
        <w:rPr>
          <w:snapToGrid w:val="0"/>
        </w:rPr>
        <w:t xml:space="preserve"> many of our public </w:t>
      </w:r>
      <w:r w:rsidRPr="003E340D">
        <w:rPr>
          <w:rFonts w:eastAsia="Times New Roman" w:cs="Times New Roman"/>
          <w:lang w:eastAsia="en-US"/>
        </w:rPr>
        <w:t>sector</w:t>
      </w:r>
      <w:r w:rsidRPr="003E340D">
        <w:rPr>
          <w:snapToGrid w:val="0"/>
        </w:rPr>
        <w:t xml:space="preserve"> entities operating as stand</w:t>
      </w:r>
      <w:r w:rsidR="005A4BB0">
        <w:rPr>
          <w:snapToGrid w:val="0"/>
        </w:rPr>
        <w:noBreakHyphen/>
      </w:r>
      <w:r w:rsidRPr="003E340D">
        <w:rPr>
          <w:snapToGrid w:val="0"/>
        </w:rPr>
        <w:t xml:space="preserve">alone business enterprises use this public sector Model as the authoritative guide to assist them in the preparation of their </w:t>
      </w:r>
      <w:r w:rsidRPr="003E340D">
        <w:t>annual</w:t>
      </w:r>
      <w:r w:rsidRPr="003E340D">
        <w:rPr>
          <w:snapToGrid w:val="0"/>
        </w:rPr>
        <w:t xml:space="preserve"> reports. I strongly encourage all Victorian public sector entities to follow this </w:t>
      </w:r>
      <w:r w:rsidRPr="003E340D">
        <w:rPr>
          <w:iCs/>
          <w:snapToGrid w:val="0"/>
        </w:rPr>
        <w:t>Model</w:t>
      </w:r>
      <w:r w:rsidRPr="003E340D">
        <w:rPr>
          <w:snapToGrid w:val="0"/>
        </w:rPr>
        <w:t xml:space="preserve"> where relevant and appropriate for their users, to ensure that Victoria maintains its high standard of reporting on the use of all public resources. </w:t>
      </w:r>
    </w:p>
    <w:p w:rsidR="00930D72" w:rsidRPr="003E340D" w:rsidRDefault="00930D72" w:rsidP="00837665">
      <w:pPr>
        <w:ind w:left="432" w:right="113"/>
        <w:rPr>
          <w:snapToGrid w:val="0"/>
        </w:rPr>
      </w:pPr>
      <w:r w:rsidRPr="003E340D">
        <w:rPr>
          <w:snapToGrid w:val="0"/>
        </w:rPr>
        <w:t xml:space="preserve">I commend </w:t>
      </w:r>
      <w:r w:rsidR="00E12B56">
        <w:rPr>
          <w:snapToGrid w:val="0"/>
        </w:rPr>
        <w:t xml:space="preserve">this revision of the Model to you as </w:t>
      </w:r>
      <w:r w:rsidRPr="003E340D">
        <w:rPr>
          <w:snapToGrid w:val="0"/>
        </w:rPr>
        <w:t>the benchmark for Victorian public sector financial reporting.</w:t>
      </w:r>
    </w:p>
    <w:p w:rsidR="00930D72" w:rsidRPr="003E340D" w:rsidRDefault="00930D72" w:rsidP="00837665">
      <w:pPr>
        <w:ind w:left="432" w:right="113"/>
        <w:rPr>
          <w:rFonts w:eastAsia="Times New Roman" w:cs="Times New Roman"/>
          <w:lang w:eastAsia="en-US"/>
        </w:rPr>
      </w:pPr>
    </w:p>
    <w:p w:rsidR="00930D72" w:rsidRPr="003E340D" w:rsidRDefault="00930D72" w:rsidP="00837665">
      <w:pPr>
        <w:ind w:left="432" w:right="113"/>
        <w:rPr>
          <w:rFonts w:eastAsia="Times New Roman" w:cs="Times New Roman"/>
          <w:lang w:eastAsia="en-US"/>
        </w:rPr>
      </w:pPr>
    </w:p>
    <w:p w:rsidR="00930D72" w:rsidRPr="003E340D" w:rsidRDefault="00930D72" w:rsidP="00837665">
      <w:pPr>
        <w:ind w:left="432" w:right="113"/>
        <w:rPr>
          <w:rFonts w:eastAsia="Times New Roman" w:cs="Times New Roman"/>
          <w:lang w:eastAsia="en-US"/>
        </w:rPr>
      </w:pPr>
    </w:p>
    <w:p w:rsidR="00930D72" w:rsidRPr="003E340D" w:rsidRDefault="00930D72" w:rsidP="00370217">
      <w:pPr>
        <w:spacing w:before="0"/>
        <w:ind w:left="900" w:right="440"/>
        <w:rPr>
          <w:snapToGrid w:val="0"/>
          <w:sz w:val="2"/>
          <w:szCs w:val="2"/>
        </w:rPr>
      </w:pPr>
    </w:p>
    <w:p w:rsidR="00930D72" w:rsidRPr="003E340D" w:rsidRDefault="0061769E" w:rsidP="00837665">
      <w:pPr>
        <w:ind w:left="432" w:right="432"/>
        <w:rPr>
          <w:rFonts w:eastAsia="Times New Roman" w:cs="Times New Roman"/>
          <w:b/>
          <w:bCs/>
        </w:rPr>
      </w:pPr>
      <w:r w:rsidRPr="003E340D">
        <w:rPr>
          <w:rFonts w:eastAsia="Times New Roman" w:cs="Times New Roman"/>
          <w:b/>
          <w:bCs/>
        </w:rPr>
        <w:t>ROBIN SCOTT</w:t>
      </w:r>
      <w:r w:rsidR="00930D72" w:rsidRPr="003E340D">
        <w:rPr>
          <w:rFonts w:eastAsia="Times New Roman" w:cs="Times New Roman"/>
          <w:b/>
          <w:bCs/>
        </w:rPr>
        <w:t xml:space="preserve"> MP</w:t>
      </w:r>
    </w:p>
    <w:p w:rsidR="00930D72" w:rsidRPr="003E340D" w:rsidRDefault="00930D72" w:rsidP="00837665">
      <w:pPr>
        <w:spacing w:before="0"/>
        <w:ind w:left="432" w:right="115"/>
        <w:rPr>
          <w:rFonts w:eastAsia="Times New Roman" w:cs="Times New Roman"/>
          <w:lang w:eastAsia="en-US"/>
        </w:rPr>
      </w:pPr>
      <w:r w:rsidRPr="003E340D">
        <w:t>Minist</w:t>
      </w:r>
      <w:r w:rsidRPr="003E340D">
        <w:rPr>
          <w:rFonts w:eastAsia="Times New Roman" w:cs="Times New Roman"/>
          <w:lang w:eastAsia="en-US"/>
        </w:rPr>
        <w:t>er for Finance</w:t>
      </w:r>
    </w:p>
    <w:p w:rsidR="00930D72" w:rsidRPr="003E340D" w:rsidRDefault="00930D72" w:rsidP="00837665">
      <w:pPr>
        <w:ind w:left="432" w:right="113"/>
        <w:rPr>
          <w:rFonts w:eastAsia="Times New Roman" w:cs="Times New Roman"/>
          <w:lang w:eastAsia="en-US"/>
        </w:rPr>
      </w:pPr>
    </w:p>
    <w:p w:rsidR="00930D72" w:rsidRPr="003E340D" w:rsidRDefault="00930D72" w:rsidP="00576E46">
      <w:pPr>
        <w:pStyle w:val="NoteHeadingcontinued"/>
      </w:pPr>
      <w:r w:rsidRPr="003E340D">
        <w:br w:type="page"/>
      </w:r>
      <w:r w:rsidRPr="003E340D">
        <w:lastRenderedPageBreak/>
        <w:t>Acknowledgments</w:t>
      </w:r>
    </w:p>
    <w:p w:rsidR="00930D72" w:rsidRPr="003E340D" w:rsidRDefault="00930D72" w:rsidP="0039092F">
      <w:r w:rsidRPr="003E340D">
        <w:t>The Department of Treasury and Finance (DTF) wishes to acknowledge the suggestions and comments provided by users and departments for the preparation of the</w:t>
      </w:r>
      <w:r w:rsidR="00D62AA5" w:rsidRPr="003E340D">
        <w:t xml:space="preserve"> </w:t>
      </w:r>
      <w:r w:rsidR="003978C4" w:rsidRPr="003E340D">
        <w:t>201</w:t>
      </w:r>
      <w:r w:rsidR="002F2E59" w:rsidRPr="003E340D">
        <w:t>6</w:t>
      </w:r>
      <w:r w:rsidRPr="003E340D">
        <w:t> edition of this publication. DTF would also like to express its gratitude to the Victorian Auditor</w:t>
      </w:r>
      <w:r w:rsidR="005A4BB0">
        <w:noBreakHyphen/>
      </w:r>
      <w:r w:rsidRPr="003E340D">
        <w:t>General</w:t>
      </w:r>
      <w:r w:rsidR="005A4BB0">
        <w:t>’</w:t>
      </w:r>
      <w:r w:rsidRPr="003E340D">
        <w:t xml:space="preserve">s Office for its significant contribution and support of the </w:t>
      </w:r>
      <w:r w:rsidRPr="003E340D">
        <w:rPr>
          <w:iCs/>
        </w:rPr>
        <w:t>Model</w:t>
      </w:r>
      <w:r w:rsidRPr="003E340D">
        <w:t xml:space="preserve">. </w:t>
      </w:r>
    </w:p>
    <w:p w:rsidR="00930D72" w:rsidRPr="003E340D" w:rsidRDefault="00930D72" w:rsidP="002946EB"/>
    <w:p w:rsidR="00930D72" w:rsidRPr="003E340D" w:rsidRDefault="00930D72" w:rsidP="002946EB"/>
    <w:p w:rsidR="00930D72" w:rsidRPr="003E340D" w:rsidRDefault="00930D72" w:rsidP="002946EB">
      <w:pPr>
        <w:sectPr w:rsidR="00930D72" w:rsidRPr="003E340D" w:rsidSect="00EF4428">
          <w:headerReference w:type="default" r:id="rId18"/>
          <w:footerReference w:type="even" r:id="rId19"/>
          <w:footerReference w:type="default" r:id="rId20"/>
          <w:pgSz w:w="11906" w:h="16838" w:code="9"/>
          <w:pgMar w:top="1152" w:right="864" w:bottom="1152" w:left="864" w:header="432" w:footer="432" w:gutter="0"/>
          <w:pgNumType w:fmt="lowerRoman" w:start="1"/>
          <w:cols w:space="720"/>
        </w:sectPr>
      </w:pPr>
    </w:p>
    <w:p w:rsidR="00193527" w:rsidRDefault="00193527" w:rsidP="00193527">
      <w:pPr>
        <w:pStyle w:val="TableofContentsheading"/>
      </w:pPr>
      <w:r w:rsidRPr="003E340D">
        <w:lastRenderedPageBreak/>
        <w:t>Table of contents</w:t>
      </w:r>
    </w:p>
    <w:p w:rsidR="00E95B63" w:rsidRDefault="005A4031">
      <w:pPr>
        <w:pStyle w:val="TOC1"/>
        <w:rPr>
          <w:rFonts w:asciiTheme="minorHAnsi" w:eastAsiaTheme="minorEastAsia" w:hAnsiTheme="minorHAnsi" w:cstheme="minorBidi"/>
          <w:b w:val="0"/>
          <w:sz w:val="22"/>
          <w:szCs w:val="22"/>
        </w:rPr>
      </w:pPr>
      <w:r>
        <w:fldChar w:fldCharType="begin"/>
      </w:r>
      <w:r>
        <w:instrText xml:space="preserve"> TOC \h \z \t "Heading 1,2,Chapter Heading,1,Heading 1 Pt3,2" </w:instrText>
      </w:r>
      <w:r>
        <w:fldChar w:fldCharType="separate"/>
      </w:r>
      <w:hyperlink w:anchor="_Toc448492996" w:history="1">
        <w:r w:rsidR="00E95B63" w:rsidRPr="007122C9">
          <w:rPr>
            <w:rStyle w:val="Hyperlink"/>
          </w:rPr>
          <w:t>Introduction</w:t>
        </w:r>
        <w:r w:rsidR="00E95B63">
          <w:rPr>
            <w:webHidden/>
          </w:rPr>
          <w:tab/>
        </w:r>
        <w:r w:rsidR="00E95B63">
          <w:rPr>
            <w:webHidden/>
          </w:rPr>
          <w:fldChar w:fldCharType="begin" w:fldLock="1"/>
        </w:r>
        <w:r w:rsidR="00E95B63">
          <w:rPr>
            <w:webHidden/>
          </w:rPr>
          <w:instrText xml:space="preserve"> PAGEREF _Toc448492996 \h </w:instrText>
        </w:r>
        <w:r w:rsidR="00E95B63">
          <w:rPr>
            <w:webHidden/>
          </w:rPr>
        </w:r>
        <w:r w:rsidR="00E95B63">
          <w:rPr>
            <w:webHidden/>
          </w:rPr>
          <w:fldChar w:fldCharType="separate"/>
        </w:r>
        <w:r w:rsidR="00E95B63">
          <w:rPr>
            <w:webHidden/>
          </w:rPr>
          <w:t>1</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2997" w:history="1">
        <w:r w:rsidR="00E95B63" w:rsidRPr="007122C9">
          <w:rPr>
            <w:rStyle w:val="Hyperlink"/>
          </w:rPr>
          <w:t>Legislative background</w:t>
        </w:r>
        <w:r w:rsidR="00E95B63">
          <w:rPr>
            <w:webHidden/>
          </w:rPr>
          <w:tab/>
        </w:r>
        <w:r w:rsidR="00E95B63">
          <w:rPr>
            <w:webHidden/>
          </w:rPr>
          <w:fldChar w:fldCharType="begin" w:fldLock="1"/>
        </w:r>
        <w:r w:rsidR="00E95B63">
          <w:rPr>
            <w:webHidden/>
          </w:rPr>
          <w:instrText xml:space="preserve"> PAGEREF _Toc448492997 \h </w:instrText>
        </w:r>
        <w:r w:rsidR="00E95B63">
          <w:rPr>
            <w:webHidden/>
          </w:rPr>
        </w:r>
        <w:r w:rsidR="00E95B63">
          <w:rPr>
            <w:webHidden/>
          </w:rPr>
          <w:fldChar w:fldCharType="separate"/>
        </w:r>
        <w:r w:rsidR="00E95B63">
          <w:rPr>
            <w:webHidden/>
          </w:rPr>
          <w:t>1</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2998" w:history="1">
        <w:r w:rsidR="00E95B63" w:rsidRPr="007122C9">
          <w:rPr>
            <w:rStyle w:val="Hyperlink"/>
          </w:rPr>
          <w:t>Financial accountability and reporting</w:t>
        </w:r>
        <w:r w:rsidR="00E95B63">
          <w:rPr>
            <w:webHidden/>
          </w:rPr>
          <w:tab/>
        </w:r>
        <w:r w:rsidR="00E95B63">
          <w:rPr>
            <w:webHidden/>
          </w:rPr>
          <w:fldChar w:fldCharType="begin" w:fldLock="1"/>
        </w:r>
        <w:r w:rsidR="00E95B63">
          <w:rPr>
            <w:webHidden/>
          </w:rPr>
          <w:instrText xml:space="preserve"> PAGEREF _Toc448492998 \h </w:instrText>
        </w:r>
        <w:r w:rsidR="00E95B63">
          <w:rPr>
            <w:webHidden/>
          </w:rPr>
        </w:r>
        <w:r w:rsidR="00E95B63">
          <w:rPr>
            <w:webHidden/>
          </w:rPr>
          <w:fldChar w:fldCharType="separate"/>
        </w:r>
        <w:r w:rsidR="00E95B63">
          <w:rPr>
            <w:webHidden/>
          </w:rPr>
          <w:t>1</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2999" w:history="1">
        <w:r w:rsidR="00E95B63" w:rsidRPr="007122C9">
          <w:rPr>
            <w:rStyle w:val="Hyperlink"/>
          </w:rPr>
          <w:t>Reporting structure of the State of Victoria</w:t>
        </w:r>
        <w:r w:rsidR="00E95B63">
          <w:rPr>
            <w:webHidden/>
          </w:rPr>
          <w:tab/>
        </w:r>
        <w:r w:rsidR="00E95B63">
          <w:rPr>
            <w:webHidden/>
          </w:rPr>
          <w:fldChar w:fldCharType="begin" w:fldLock="1"/>
        </w:r>
        <w:r w:rsidR="00E95B63">
          <w:rPr>
            <w:webHidden/>
          </w:rPr>
          <w:instrText xml:space="preserve"> PAGEREF _Toc448492999 \h </w:instrText>
        </w:r>
        <w:r w:rsidR="00E95B63">
          <w:rPr>
            <w:webHidden/>
          </w:rPr>
        </w:r>
        <w:r w:rsidR="00E95B63">
          <w:rPr>
            <w:webHidden/>
          </w:rPr>
          <w:fldChar w:fldCharType="separate"/>
        </w:r>
        <w:r w:rsidR="00E95B63">
          <w:rPr>
            <w:webHidden/>
          </w:rPr>
          <w:t>3</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00" w:history="1">
        <w:r w:rsidR="00E95B63" w:rsidRPr="007122C9">
          <w:rPr>
            <w:rStyle w:val="Hyperlink"/>
          </w:rPr>
          <w:t>Basis of each financial publication</w:t>
        </w:r>
        <w:r w:rsidR="00E95B63">
          <w:rPr>
            <w:webHidden/>
          </w:rPr>
          <w:tab/>
        </w:r>
        <w:r w:rsidR="00E95B63">
          <w:rPr>
            <w:webHidden/>
          </w:rPr>
          <w:fldChar w:fldCharType="begin" w:fldLock="1"/>
        </w:r>
        <w:r w:rsidR="00E95B63">
          <w:rPr>
            <w:webHidden/>
          </w:rPr>
          <w:instrText xml:space="preserve"> PAGEREF _Toc448493000 \h </w:instrText>
        </w:r>
        <w:r w:rsidR="00E95B63">
          <w:rPr>
            <w:webHidden/>
          </w:rPr>
        </w:r>
        <w:r w:rsidR="00E95B63">
          <w:rPr>
            <w:webHidden/>
          </w:rPr>
          <w:fldChar w:fldCharType="separate"/>
        </w:r>
        <w:r w:rsidR="00E95B63">
          <w:rPr>
            <w:webHidden/>
          </w:rPr>
          <w:t>4</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01" w:history="1">
        <w:r w:rsidR="00E95B63" w:rsidRPr="007122C9">
          <w:rPr>
            <w:rStyle w:val="Hyperlink"/>
          </w:rPr>
          <w:t>The Model report – purpose and scope</w:t>
        </w:r>
        <w:r w:rsidR="00E95B63">
          <w:rPr>
            <w:webHidden/>
          </w:rPr>
          <w:tab/>
        </w:r>
        <w:r w:rsidR="00E95B63">
          <w:rPr>
            <w:webHidden/>
          </w:rPr>
          <w:fldChar w:fldCharType="begin" w:fldLock="1"/>
        </w:r>
        <w:r w:rsidR="00E95B63">
          <w:rPr>
            <w:webHidden/>
          </w:rPr>
          <w:instrText xml:space="preserve"> PAGEREF _Toc448493001 \h </w:instrText>
        </w:r>
        <w:r w:rsidR="00E95B63">
          <w:rPr>
            <w:webHidden/>
          </w:rPr>
        </w:r>
        <w:r w:rsidR="00E95B63">
          <w:rPr>
            <w:webHidden/>
          </w:rPr>
          <w:fldChar w:fldCharType="separate"/>
        </w:r>
        <w:r w:rsidR="00E95B63">
          <w:rPr>
            <w:webHidden/>
          </w:rPr>
          <w:t>5</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02" w:history="1">
        <w:r w:rsidR="00E95B63" w:rsidRPr="007122C9">
          <w:rPr>
            <w:rStyle w:val="Hyperlink"/>
          </w:rPr>
          <w:t>How to use the Model report</w:t>
        </w:r>
        <w:r w:rsidR="00E95B63">
          <w:rPr>
            <w:webHidden/>
          </w:rPr>
          <w:tab/>
        </w:r>
        <w:r w:rsidR="00E95B63">
          <w:rPr>
            <w:webHidden/>
          </w:rPr>
          <w:fldChar w:fldCharType="begin" w:fldLock="1"/>
        </w:r>
        <w:r w:rsidR="00E95B63">
          <w:rPr>
            <w:webHidden/>
          </w:rPr>
          <w:instrText xml:space="preserve"> PAGEREF _Toc448493002 \h </w:instrText>
        </w:r>
        <w:r w:rsidR="00E95B63">
          <w:rPr>
            <w:webHidden/>
          </w:rPr>
        </w:r>
        <w:r w:rsidR="00E95B63">
          <w:rPr>
            <w:webHidden/>
          </w:rPr>
          <w:fldChar w:fldCharType="separate"/>
        </w:r>
        <w:r w:rsidR="00E95B63">
          <w:rPr>
            <w:webHidden/>
          </w:rPr>
          <w:t>5</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03" w:history="1">
        <w:r w:rsidR="00E95B63" w:rsidRPr="007122C9">
          <w:rPr>
            <w:rStyle w:val="Hyperlink"/>
          </w:rPr>
          <w:t>Structure of the Model report and disclosure requirements</w:t>
        </w:r>
        <w:r w:rsidR="00E95B63">
          <w:rPr>
            <w:webHidden/>
          </w:rPr>
          <w:tab/>
        </w:r>
        <w:r w:rsidR="00E95B63">
          <w:rPr>
            <w:webHidden/>
          </w:rPr>
          <w:fldChar w:fldCharType="begin" w:fldLock="1"/>
        </w:r>
        <w:r w:rsidR="00E95B63">
          <w:rPr>
            <w:webHidden/>
          </w:rPr>
          <w:instrText xml:space="preserve"> PAGEREF _Toc448493003 \h </w:instrText>
        </w:r>
        <w:r w:rsidR="00E95B63">
          <w:rPr>
            <w:webHidden/>
          </w:rPr>
        </w:r>
        <w:r w:rsidR="00E95B63">
          <w:rPr>
            <w:webHidden/>
          </w:rPr>
          <w:fldChar w:fldCharType="separate"/>
        </w:r>
        <w:r w:rsidR="00E95B63">
          <w:rPr>
            <w:webHidden/>
          </w:rPr>
          <w:t>6</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04" w:history="1">
        <w:r w:rsidR="00E95B63" w:rsidRPr="007122C9">
          <w:rPr>
            <w:rStyle w:val="Hyperlink"/>
          </w:rPr>
          <w:t>‘Keys’ used in the illustrations and guidance</w:t>
        </w:r>
        <w:r w:rsidR="00E95B63">
          <w:rPr>
            <w:webHidden/>
          </w:rPr>
          <w:tab/>
        </w:r>
        <w:r w:rsidR="00E95B63">
          <w:rPr>
            <w:webHidden/>
          </w:rPr>
          <w:fldChar w:fldCharType="begin" w:fldLock="1"/>
        </w:r>
        <w:r w:rsidR="00E95B63">
          <w:rPr>
            <w:webHidden/>
          </w:rPr>
          <w:instrText xml:space="preserve"> PAGEREF _Toc448493004 \h </w:instrText>
        </w:r>
        <w:r w:rsidR="00E95B63">
          <w:rPr>
            <w:webHidden/>
          </w:rPr>
        </w:r>
        <w:r w:rsidR="00E95B63">
          <w:rPr>
            <w:webHidden/>
          </w:rPr>
          <w:fldChar w:fldCharType="separate"/>
        </w:r>
        <w:r w:rsidR="00E95B63">
          <w:rPr>
            <w:webHidden/>
          </w:rPr>
          <w:t>6</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05" w:history="1">
        <w:r w:rsidR="00E95B63" w:rsidRPr="007122C9">
          <w:rPr>
            <w:rStyle w:val="Hyperlink"/>
          </w:rPr>
          <w:t>Source references</w:t>
        </w:r>
        <w:r w:rsidR="00E95B63">
          <w:rPr>
            <w:webHidden/>
          </w:rPr>
          <w:tab/>
        </w:r>
        <w:r w:rsidR="00E95B63">
          <w:rPr>
            <w:webHidden/>
          </w:rPr>
          <w:fldChar w:fldCharType="begin" w:fldLock="1"/>
        </w:r>
        <w:r w:rsidR="00E95B63">
          <w:rPr>
            <w:webHidden/>
          </w:rPr>
          <w:instrText xml:space="preserve"> PAGEREF _Toc448493005 \h </w:instrText>
        </w:r>
        <w:r w:rsidR="00E95B63">
          <w:rPr>
            <w:webHidden/>
          </w:rPr>
        </w:r>
        <w:r w:rsidR="00E95B63">
          <w:rPr>
            <w:webHidden/>
          </w:rPr>
          <w:fldChar w:fldCharType="separate"/>
        </w:r>
        <w:r w:rsidR="00E95B63">
          <w:rPr>
            <w:webHidden/>
          </w:rPr>
          <w:t>7</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06" w:history="1">
        <w:r w:rsidR="00E95B63" w:rsidRPr="007122C9">
          <w:rPr>
            <w:rStyle w:val="Hyperlink"/>
          </w:rPr>
          <w:t>The design and printing of annual reports</w:t>
        </w:r>
        <w:r w:rsidR="00E95B63">
          <w:rPr>
            <w:webHidden/>
          </w:rPr>
          <w:tab/>
        </w:r>
        <w:r w:rsidR="00E95B63">
          <w:rPr>
            <w:webHidden/>
          </w:rPr>
          <w:fldChar w:fldCharType="begin" w:fldLock="1"/>
        </w:r>
        <w:r w:rsidR="00E95B63">
          <w:rPr>
            <w:webHidden/>
          </w:rPr>
          <w:instrText xml:space="preserve"> PAGEREF _Toc448493006 \h </w:instrText>
        </w:r>
        <w:r w:rsidR="00E95B63">
          <w:rPr>
            <w:webHidden/>
          </w:rPr>
        </w:r>
        <w:r w:rsidR="00E95B63">
          <w:rPr>
            <w:webHidden/>
          </w:rPr>
          <w:fldChar w:fldCharType="separate"/>
        </w:r>
        <w:r w:rsidR="00E95B63">
          <w:rPr>
            <w:webHidden/>
          </w:rPr>
          <w:t>7</w:t>
        </w:r>
        <w:r w:rsidR="00E95B63">
          <w:rPr>
            <w:webHidden/>
          </w:rPr>
          <w:fldChar w:fldCharType="end"/>
        </w:r>
      </w:hyperlink>
    </w:p>
    <w:p w:rsidR="00E95B63" w:rsidRDefault="00B934BC">
      <w:pPr>
        <w:pStyle w:val="TOC1"/>
        <w:rPr>
          <w:rFonts w:asciiTheme="minorHAnsi" w:eastAsiaTheme="minorEastAsia" w:hAnsiTheme="minorHAnsi" w:cstheme="minorBidi"/>
          <w:b w:val="0"/>
          <w:sz w:val="22"/>
          <w:szCs w:val="22"/>
        </w:rPr>
      </w:pPr>
      <w:hyperlink w:anchor="_Toc448493007" w:history="1">
        <w:r w:rsidR="00E95B63" w:rsidRPr="007122C9">
          <w:rPr>
            <w:rStyle w:val="Hyperlink"/>
          </w:rPr>
          <w:t>Department of Technology – Model report of operations</w:t>
        </w:r>
        <w:r w:rsidR="00E95B63">
          <w:rPr>
            <w:webHidden/>
          </w:rPr>
          <w:tab/>
        </w:r>
        <w:r w:rsidR="00E95B63">
          <w:rPr>
            <w:webHidden/>
          </w:rPr>
          <w:fldChar w:fldCharType="begin" w:fldLock="1"/>
        </w:r>
        <w:r w:rsidR="00E95B63">
          <w:rPr>
            <w:webHidden/>
          </w:rPr>
          <w:instrText xml:space="preserve"> PAGEREF _Toc448493007 \h </w:instrText>
        </w:r>
        <w:r w:rsidR="00E95B63">
          <w:rPr>
            <w:webHidden/>
          </w:rPr>
        </w:r>
        <w:r w:rsidR="00E95B63">
          <w:rPr>
            <w:webHidden/>
          </w:rPr>
          <w:fldChar w:fldCharType="separate"/>
        </w:r>
        <w:r w:rsidR="00E95B63">
          <w:rPr>
            <w:webHidden/>
          </w:rPr>
          <w:t>9</w:t>
        </w:r>
        <w:r w:rsidR="00E95B63">
          <w:rPr>
            <w:webHidden/>
          </w:rPr>
          <w:fldChar w:fldCharType="end"/>
        </w:r>
      </w:hyperlink>
    </w:p>
    <w:p w:rsidR="00E95B63" w:rsidRDefault="00B934BC">
      <w:pPr>
        <w:pStyle w:val="TOC1"/>
        <w:rPr>
          <w:rFonts w:asciiTheme="minorHAnsi" w:eastAsiaTheme="minorEastAsia" w:hAnsiTheme="minorHAnsi" w:cstheme="minorBidi"/>
          <w:b w:val="0"/>
          <w:sz w:val="22"/>
          <w:szCs w:val="22"/>
        </w:rPr>
      </w:pPr>
      <w:hyperlink w:anchor="_Toc448493008" w:history="1">
        <w:r w:rsidR="00E95B63" w:rsidRPr="007122C9">
          <w:rPr>
            <w:rStyle w:val="Hyperlink"/>
          </w:rPr>
          <w:t>Department of Technology – Model financial statements</w:t>
        </w:r>
        <w:r w:rsidR="00E95B63">
          <w:rPr>
            <w:webHidden/>
          </w:rPr>
          <w:tab/>
        </w:r>
        <w:r w:rsidR="00E95B63">
          <w:rPr>
            <w:webHidden/>
          </w:rPr>
          <w:fldChar w:fldCharType="begin" w:fldLock="1"/>
        </w:r>
        <w:r w:rsidR="00E95B63">
          <w:rPr>
            <w:webHidden/>
          </w:rPr>
          <w:instrText xml:space="preserve"> PAGEREF _Toc448493008 \h </w:instrText>
        </w:r>
        <w:r w:rsidR="00E95B63">
          <w:rPr>
            <w:webHidden/>
          </w:rPr>
        </w:r>
        <w:r w:rsidR="00E95B63">
          <w:rPr>
            <w:webHidden/>
          </w:rPr>
          <w:fldChar w:fldCharType="separate"/>
        </w:r>
        <w:r w:rsidR="00E95B63">
          <w:rPr>
            <w:webHidden/>
          </w:rPr>
          <w:t>73</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09" w:history="1">
        <w:r w:rsidR="00E95B63" w:rsidRPr="007122C9">
          <w:rPr>
            <w:rStyle w:val="Hyperlink"/>
          </w:rPr>
          <w:t>Accountable Officer’s and Chief Finance and Accounting Officer’s declaration</w:t>
        </w:r>
        <w:r w:rsidR="00E95B63">
          <w:rPr>
            <w:webHidden/>
          </w:rPr>
          <w:tab/>
        </w:r>
        <w:r w:rsidR="00E95B63">
          <w:rPr>
            <w:webHidden/>
          </w:rPr>
          <w:fldChar w:fldCharType="begin" w:fldLock="1"/>
        </w:r>
        <w:r w:rsidR="00E95B63">
          <w:rPr>
            <w:webHidden/>
          </w:rPr>
          <w:instrText xml:space="preserve"> PAGEREF _Toc448493009 \h </w:instrText>
        </w:r>
        <w:r w:rsidR="00E95B63">
          <w:rPr>
            <w:webHidden/>
          </w:rPr>
        </w:r>
        <w:r w:rsidR="00E95B63">
          <w:rPr>
            <w:webHidden/>
          </w:rPr>
          <w:fldChar w:fldCharType="separate"/>
        </w:r>
        <w:r w:rsidR="00E95B63">
          <w:rPr>
            <w:webHidden/>
          </w:rPr>
          <w:t>83</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10" w:history="1">
        <w:r w:rsidR="00E95B63" w:rsidRPr="007122C9">
          <w:rPr>
            <w:rStyle w:val="Hyperlink"/>
          </w:rPr>
          <w:t>Comprehensive operating statement for the financial year ended 30 June 2016</w:t>
        </w:r>
        <w:r w:rsidR="00E95B63">
          <w:rPr>
            <w:webHidden/>
          </w:rPr>
          <w:tab/>
        </w:r>
        <w:r w:rsidR="00E95B63">
          <w:rPr>
            <w:webHidden/>
          </w:rPr>
          <w:fldChar w:fldCharType="begin" w:fldLock="1"/>
        </w:r>
        <w:r w:rsidR="00E95B63">
          <w:rPr>
            <w:webHidden/>
          </w:rPr>
          <w:instrText xml:space="preserve"> PAGEREF _Toc448493010 \h </w:instrText>
        </w:r>
        <w:r w:rsidR="00E95B63">
          <w:rPr>
            <w:webHidden/>
          </w:rPr>
        </w:r>
        <w:r w:rsidR="00E95B63">
          <w:rPr>
            <w:webHidden/>
          </w:rPr>
          <w:fldChar w:fldCharType="separate"/>
        </w:r>
        <w:r w:rsidR="00E95B63">
          <w:rPr>
            <w:webHidden/>
          </w:rPr>
          <w:t>86</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11" w:history="1">
        <w:r w:rsidR="00E95B63" w:rsidRPr="007122C9">
          <w:rPr>
            <w:rStyle w:val="Hyperlink"/>
          </w:rPr>
          <w:t>Balance sheet as at 30 June 2016</w:t>
        </w:r>
        <w:r w:rsidR="00E95B63">
          <w:rPr>
            <w:webHidden/>
          </w:rPr>
          <w:tab/>
        </w:r>
        <w:r w:rsidR="00E95B63">
          <w:rPr>
            <w:webHidden/>
          </w:rPr>
          <w:fldChar w:fldCharType="begin" w:fldLock="1"/>
        </w:r>
        <w:r w:rsidR="00E95B63">
          <w:rPr>
            <w:webHidden/>
          </w:rPr>
          <w:instrText xml:space="preserve"> PAGEREF _Toc448493011 \h </w:instrText>
        </w:r>
        <w:r w:rsidR="00E95B63">
          <w:rPr>
            <w:webHidden/>
          </w:rPr>
        </w:r>
        <w:r w:rsidR="00E95B63">
          <w:rPr>
            <w:webHidden/>
          </w:rPr>
          <w:fldChar w:fldCharType="separate"/>
        </w:r>
        <w:r w:rsidR="00E95B63">
          <w:rPr>
            <w:webHidden/>
          </w:rPr>
          <w:t>90</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12" w:history="1">
        <w:r w:rsidR="00E95B63" w:rsidRPr="007122C9">
          <w:rPr>
            <w:rStyle w:val="Hyperlink"/>
          </w:rPr>
          <w:t>Statement of changes in equity for the financial year ended 30 June 2016</w:t>
        </w:r>
        <w:r w:rsidR="00E95B63">
          <w:rPr>
            <w:webHidden/>
          </w:rPr>
          <w:tab/>
        </w:r>
        <w:r w:rsidR="00E95B63">
          <w:rPr>
            <w:webHidden/>
          </w:rPr>
          <w:fldChar w:fldCharType="begin" w:fldLock="1"/>
        </w:r>
        <w:r w:rsidR="00E95B63">
          <w:rPr>
            <w:webHidden/>
          </w:rPr>
          <w:instrText xml:space="preserve"> PAGEREF _Toc448493012 \h </w:instrText>
        </w:r>
        <w:r w:rsidR="00E95B63">
          <w:rPr>
            <w:webHidden/>
          </w:rPr>
        </w:r>
        <w:r w:rsidR="00E95B63">
          <w:rPr>
            <w:webHidden/>
          </w:rPr>
          <w:fldChar w:fldCharType="separate"/>
        </w:r>
        <w:r w:rsidR="00E95B63">
          <w:rPr>
            <w:webHidden/>
          </w:rPr>
          <w:t>94</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13" w:history="1">
        <w:r w:rsidR="00E95B63" w:rsidRPr="007122C9">
          <w:rPr>
            <w:rStyle w:val="Hyperlink"/>
          </w:rPr>
          <w:t>Cash flow statement for the financial year ended 30 June 2016</w:t>
        </w:r>
        <w:r w:rsidR="00E95B63">
          <w:rPr>
            <w:webHidden/>
          </w:rPr>
          <w:tab/>
        </w:r>
        <w:r w:rsidR="00E95B63">
          <w:rPr>
            <w:webHidden/>
          </w:rPr>
          <w:fldChar w:fldCharType="begin" w:fldLock="1"/>
        </w:r>
        <w:r w:rsidR="00E95B63">
          <w:rPr>
            <w:webHidden/>
          </w:rPr>
          <w:instrText xml:space="preserve"> PAGEREF _Toc448493013 \h </w:instrText>
        </w:r>
        <w:r w:rsidR="00E95B63">
          <w:rPr>
            <w:webHidden/>
          </w:rPr>
        </w:r>
        <w:r w:rsidR="00E95B63">
          <w:rPr>
            <w:webHidden/>
          </w:rPr>
          <w:fldChar w:fldCharType="separate"/>
        </w:r>
        <w:r w:rsidR="00E95B63">
          <w:rPr>
            <w:webHidden/>
          </w:rPr>
          <w:t>97</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14" w:history="1">
        <w:r w:rsidR="00E95B63" w:rsidRPr="007122C9">
          <w:rPr>
            <w:rStyle w:val="Hyperlink"/>
          </w:rPr>
          <w:t>Notes to the financial statements</w:t>
        </w:r>
        <w:r w:rsidR="00E95B63">
          <w:rPr>
            <w:webHidden/>
          </w:rPr>
          <w:tab/>
        </w:r>
        <w:r w:rsidR="00E95B63">
          <w:rPr>
            <w:webHidden/>
          </w:rPr>
          <w:fldChar w:fldCharType="begin" w:fldLock="1"/>
        </w:r>
        <w:r w:rsidR="00E95B63">
          <w:rPr>
            <w:webHidden/>
          </w:rPr>
          <w:instrText xml:space="preserve"> PAGEREF _Toc448493014 \h </w:instrText>
        </w:r>
        <w:r w:rsidR="00E95B63">
          <w:rPr>
            <w:webHidden/>
          </w:rPr>
        </w:r>
        <w:r w:rsidR="00E95B63">
          <w:rPr>
            <w:webHidden/>
          </w:rPr>
          <w:fldChar w:fldCharType="separate"/>
        </w:r>
        <w:r w:rsidR="00E95B63">
          <w:rPr>
            <w:webHidden/>
          </w:rPr>
          <w:t>101</w:t>
        </w:r>
        <w:r w:rsidR="00E95B63">
          <w:rPr>
            <w:webHidden/>
          </w:rPr>
          <w:fldChar w:fldCharType="end"/>
        </w:r>
      </w:hyperlink>
    </w:p>
    <w:p w:rsidR="00E95B63" w:rsidRDefault="00B934BC">
      <w:pPr>
        <w:pStyle w:val="TOC1"/>
        <w:rPr>
          <w:rFonts w:asciiTheme="minorHAnsi" w:eastAsiaTheme="minorEastAsia" w:hAnsiTheme="minorHAnsi" w:cstheme="minorBidi"/>
          <w:b w:val="0"/>
          <w:sz w:val="22"/>
          <w:szCs w:val="22"/>
        </w:rPr>
      </w:pPr>
      <w:hyperlink w:anchor="_Toc448493015" w:history="1">
        <w:r w:rsidR="00E95B63" w:rsidRPr="007122C9">
          <w:rPr>
            <w:rStyle w:val="Hyperlink"/>
          </w:rPr>
          <w:t>Appendix 1: Extracts of whole of government financial statements and analysis of disclosures</w:t>
        </w:r>
        <w:r w:rsidR="00E95B63">
          <w:rPr>
            <w:webHidden/>
          </w:rPr>
          <w:tab/>
        </w:r>
        <w:r w:rsidR="00E95B63">
          <w:rPr>
            <w:webHidden/>
          </w:rPr>
          <w:fldChar w:fldCharType="begin" w:fldLock="1"/>
        </w:r>
        <w:r w:rsidR="00E95B63">
          <w:rPr>
            <w:webHidden/>
          </w:rPr>
          <w:instrText xml:space="preserve"> PAGEREF _Toc448493015 \h </w:instrText>
        </w:r>
        <w:r w:rsidR="00E95B63">
          <w:rPr>
            <w:webHidden/>
          </w:rPr>
        </w:r>
        <w:r w:rsidR="00E95B63">
          <w:rPr>
            <w:webHidden/>
          </w:rPr>
          <w:fldChar w:fldCharType="separate"/>
        </w:r>
        <w:r w:rsidR="00E95B63">
          <w:rPr>
            <w:webHidden/>
          </w:rPr>
          <w:t>317</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16" w:history="1">
        <w:r w:rsidR="00E95B63" w:rsidRPr="007122C9">
          <w:rPr>
            <w:rStyle w:val="Hyperlink"/>
          </w:rPr>
          <w:t>Appendix 1(a) – Extract of estimated financial statements from the 2015</w:t>
        </w:r>
        <w:r w:rsidR="00E95B63" w:rsidRPr="007122C9">
          <w:rPr>
            <w:rStyle w:val="Hyperlink"/>
          </w:rPr>
          <w:noBreakHyphen/>
          <w:t>16 Statement of Finances: Budget Paper No. 5</w:t>
        </w:r>
        <w:r w:rsidR="00E95B63">
          <w:rPr>
            <w:webHidden/>
          </w:rPr>
          <w:tab/>
        </w:r>
        <w:r w:rsidR="00E95B63">
          <w:rPr>
            <w:webHidden/>
          </w:rPr>
          <w:fldChar w:fldCharType="begin" w:fldLock="1"/>
        </w:r>
        <w:r w:rsidR="00E95B63">
          <w:rPr>
            <w:webHidden/>
          </w:rPr>
          <w:instrText xml:space="preserve"> PAGEREF _Toc448493016 \h </w:instrText>
        </w:r>
        <w:r w:rsidR="00E95B63">
          <w:rPr>
            <w:webHidden/>
          </w:rPr>
        </w:r>
        <w:r w:rsidR="00E95B63">
          <w:rPr>
            <w:webHidden/>
          </w:rPr>
          <w:fldChar w:fldCharType="separate"/>
        </w:r>
        <w:r w:rsidR="00E95B63">
          <w:rPr>
            <w:webHidden/>
          </w:rPr>
          <w:t>317</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17" w:history="1">
        <w:r w:rsidR="00E95B63" w:rsidRPr="007122C9">
          <w:rPr>
            <w:rStyle w:val="Hyperlink"/>
          </w:rPr>
          <w:t xml:space="preserve">Appendix 1(b) – Extract of financial statements from the </w:t>
        </w:r>
        <w:r w:rsidR="00E95B63" w:rsidRPr="007122C9">
          <w:rPr>
            <w:rStyle w:val="Hyperlink"/>
            <w:i/>
          </w:rPr>
          <w:t>2015</w:t>
        </w:r>
        <w:r w:rsidR="00E95B63" w:rsidRPr="007122C9">
          <w:rPr>
            <w:rStyle w:val="Hyperlink"/>
            <w:i/>
          </w:rPr>
          <w:noBreakHyphen/>
          <w:t>16 Quarterly Financial Report No. 1</w:t>
        </w:r>
        <w:r w:rsidR="00E95B63">
          <w:rPr>
            <w:webHidden/>
          </w:rPr>
          <w:tab/>
        </w:r>
        <w:r w:rsidR="00E95B63">
          <w:rPr>
            <w:webHidden/>
          </w:rPr>
          <w:fldChar w:fldCharType="begin" w:fldLock="1"/>
        </w:r>
        <w:r w:rsidR="00E95B63">
          <w:rPr>
            <w:webHidden/>
          </w:rPr>
          <w:instrText xml:space="preserve"> PAGEREF _Toc448493017 \h </w:instrText>
        </w:r>
        <w:r w:rsidR="00E95B63">
          <w:rPr>
            <w:webHidden/>
          </w:rPr>
        </w:r>
        <w:r w:rsidR="00E95B63">
          <w:rPr>
            <w:webHidden/>
          </w:rPr>
          <w:fldChar w:fldCharType="separate"/>
        </w:r>
        <w:r w:rsidR="00E95B63">
          <w:rPr>
            <w:webHidden/>
          </w:rPr>
          <w:t>322</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18" w:history="1">
        <w:r w:rsidR="00E95B63" w:rsidRPr="007122C9">
          <w:rPr>
            <w:rStyle w:val="Hyperlink"/>
          </w:rPr>
          <w:t xml:space="preserve">Appendix 1(c) – Extract of financial statements from the </w:t>
        </w:r>
        <w:r w:rsidR="00E95B63" w:rsidRPr="007122C9">
          <w:rPr>
            <w:rStyle w:val="Hyperlink"/>
            <w:i/>
          </w:rPr>
          <w:t>2015</w:t>
        </w:r>
        <w:r w:rsidR="00E95B63" w:rsidRPr="007122C9">
          <w:rPr>
            <w:rStyle w:val="Hyperlink"/>
            <w:i/>
          </w:rPr>
          <w:noBreakHyphen/>
          <w:t>16 Mid</w:t>
        </w:r>
        <w:r w:rsidR="00E95B63" w:rsidRPr="007122C9">
          <w:rPr>
            <w:rStyle w:val="Hyperlink"/>
            <w:i/>
          </w:rPr>
          <w:noBreakHyphen/>
          <w:t>Year Financial Report</w:t>
        </w:r>
        <w:r w:rsidR="00E95B63">
          <w:rPr>
            <w:webHidden/>
          </w:rPr>
          <w:tab/>
        </w:r>
        <w:r w:rsidR="00E95B63">
          <w:rPr>
            <w:webHidden/>
          </w:rPr>
          <w:fldChar w:fldCharType="begin" w:fldLock="1"/>
        </w:r>
        <w:r w:rsidR="00E95B63">
          <w:rPr>
            <w:webHidden/>
          </w:rPr>
          <w:instrText xml:space="preserve"> PAGEREF _Toc448493018 \h </w:instrText>
        </w:r>
        <w:r w:rsidR="00E95B63">
          <w:rPr>
            <w:webHidden/>
          </w:rPr>
        </w:r>
        <w:r w:rsidR="00E95B63">
          <w:rPr>
            <w:webHidden/>
          </w:rPr>
          <w:fldChar w:fldCharType="separate"/>
        </w:r>
        <w:r w:rsidR="00E95B63">
          <w:rPr>
            <w:webHidden/>
          </w:rPr>
          <w:t>327</w:t>
        </w:r>
        <w:r w:rsidR="00E95B63">
          <w:rPr>
            <w:webHidden/>
          </w:rPr>
          <w:fldChar w:fldCharType="end"/>
        </w:r>
      </w:hyperlink>
    </w:p>
    <w:p w:rsidR="00E95B63" w:rsidRDefault="00B934BC">
      <w:pPr>
        <w:pStyle w:val="TOC2"/>
        <w:rPr>
          <w:rFonts w:asciiTheme="minorHAnsi" w:eastAsiaTheme="minorEastAsia" w:hAnsiTheme="minorHAnsi" w:cstheme="minorBidi"/>
          <w:sz w:val="22"/>
          <w:szCs w:val="22"/>
        </w:rPr>
      </w:pPr>
      <w:hyperlink w:anchor="_Toc448493019" w:history="1">
        <w:r w:rsidR="00E95B63" w:rsidRPr="007122C9">
          <w:rPr>
            <w:rStyle w:val="Hyperlink"/>
          </w:rPr>
          <w:t>Appendix 1(d) – Analysis of disclosures made in Victorian financial publications</w:t>
        </w:r>
        <w:r w:rsidR="00E95B63">
          <w:rPr>
            <w:webHidden/>
          </w:rPr>
          <w:tab/>
        </w:r>
        <w:r w:rsidR="00E95B63">
          <w:rPr>
            <w:webHidden/>
          </w:rPr>
          <w:fldChar w:fldCharType="begin" w:fldLock="1"/>
        </w:r>
        <w:r w:rsidR="00E95B63">
          <w:rPr>
            <w:webHidden/>
          </w:rPr>
          <w:instrText xml:space="preserve"> PAGEREF _Toc448493019 \h </w:instrText>
        </w:r>
        <w:r w:rsidR="00E95B63">
          <w:rPr>
            <w:webHidden/>
          </w:rPr>
        </w:r>
        <w:r w:rsidR="00E95B63">
          <w:rPr>
            <w:webHidden/>
          </w:rPr>
          <w:fldChar w:fldCharType="separate"/>
        </w:r>
        <w:r w:rsidR="00E95B63">
          <w:rPr>
            <w:webHidden/>
          </w:rPr>
          <w:t>334</w:t>
        </w:r>
        <w:r w:rsidR="00E95B63">
          <w:rPr>
            <w:webHidden/>
          </w:rPr>
          <w:fldChar w:fldCharType="end"/>
        </w:r>
      </w:hyperlink>
    </w:p>
    <w:p w:rsidR="00E95B63" w:rsidRDefault="00B934BC">
      <w:pPr>
        <w:pStyle w:val="TOC1"/>
        <w:rPr>
          <w:rFonts w:asciiTheme="minorHAnsi" w:eastAsiaTheme="minorEastAsia" w:hAnsiTheme="minorHAnsi" w:cstheme="minorBidi"/>
          <w:b w:val="0"/>
          <w:sz w:val="22"/>
          <w:szCs w:val="22"/>
        </w:rPr>
      </w:pPr>
      <w:hyperlink w:anchor="_Toc448493020" w:history="1">
        <w:r w:rsidR="00E95B63" w:rsidRPr="007122C9">
          <w:rPr>
            <w:rStyle w:val="Hyperlink"/>
          </w:rPr>
          <w:t>Appendix 2 – Practical classification guide between transactions and other economic flows</w:t>
        </w:r>
        <w:r w:rsidR="00E95B63">
          <w:rPr>
            <w:webHidden/>
          </w:rPr>
          <w:tab/>
        </w:r>
        <w:r w:rsidR="00E95B63">
          <w:rPr>
            <w:webHidden/>
          </w:rPr>
          <w:fldChar w:fldCharType="begin" w:fldLock="1"/>
        </w:r>
        <w:r w:rsidR="00E95B63">
          <w:rPr>
            <w:webHidden/>
          </w:rPr>
          <w:instrText xml:space="preserve"> PAGEREF _Toc448493020 \h </w:instrText>
        </w:r>
        <w:r w:rsidR="00E95B63">
          <w:rPr>
            <w:webHidden/>
          </w:rPr>
        </w:r>
        <w:r w:rsidR="00E95B63">
          <w:rPr>
            <w:webHidden/>
          </w:rPr>
          <w:fldChar w:fldCharType="separate"/>
        </w:r>
        <w:r w:rsidR="00E95B63">
          <w:rPr>
            <w:webHidden/>
          </w:rPr>
          <w:t>337</w:t>
        </w:r>
        <w:r w:rsidR="00E95B63">
          <w:rPr>
            <w:webHidden/>
          </w:rPr>
          <w:fldChar w:fldCharType="end"/>
        </w:r>
      </w:hyperlink>
    </w:p>
    <w:p w:rsidR="00E95B63" w:rsidRDefault="00B934BC">
      <w:pPr>
        <w:pStyle w:val="TOC1"/>
        <w:rPr>
          <w:rFonts w:asciiTheme="minorHAnsi" w:eastAsiaTheme="minorEastAsia" w:hAnsiTheme="minorHAnsi" w:cstheme="minorBidi"/>
          <w:b w:val="0"/>
          <w:sz w:val="22"/>
          <w:szCs w:val="22"/>
        </w:rPr>
      </w:pPr>
      <w:hyperlink w:anchor="_Toc448493021" w:history="1">
        <w:r w:rsidR="00E95B63" w:rsidRPr="007122C9">
          <w:rPr>
            <w:rStyle w:val="Hyperlink"/>
          </w:rPr>
          <w:t>Appendix 3 – Fair value measurement indicative expectations</w:t>
        </w:r>
        <w:r w:rsidR="00E95B63">
          <w:rPr>
            <w:webHidden/>
          </w:rPr>
          <w:tab/>
        </w:r>
        <w:r w:rsidR="00E95B63">
          <w:rPr>
            <w:webHidden/>
          </w:rPr>
          <w:fldChar w:fldCharType="begin" w:fldLock="1"/>
        </w:r>
        <w:r w:rsidR="00E95B63">
          <w:rPr>
            <w:webHidden/>
          </w:rPr>
          <w:instrText xml:space="preserve"> PAGEREF _Toc448493021 \h </w:instrText>
        </w:r>
        <w:r w:rsidR="00E95B63">
          <w:rPr>
            <w:webHidden/>
          </w:rPr>
        </w:r>
        <w:r w:rsidR="00E95B63">
          <w:rPr>
            <w:webHidden/>
          </w:rPr>
          <w:fldChar w:fldCharType="separate"/>
        </w:r>
        <w:r w:rsidR="00E95B63">
          <w:rPr>
            <w:webHidden/>
          </w:rPr>
          <w:t>338</w:t>
        </w:r>
        <w:r w:rsidR="00E95B63">
          <w:rPr>
            <w:webHidden/>
          </w:rPr>
          <w:fldChar w:fldCharType="end"/>
        </w:r>
      </w:hyperlink>
    </w:p>
    <w:p w:rsidR="00E95B63" w:rsidRDefault="00B934BC">
      <w:pPr>
        <w:pStyle w:val="TOC1"/>
        <w:rPr>
          <w:rFonts w:asciiTheme="minorHAnsi" w:eastAsiaTheme="minorEastAsia" w:hAnsiTheme="minorHAnsi" w:cstheme="minorBidi"/>
          <w:b w:val="0"/>
          <w:sz w:val="22"/>
          <w:szCs w:val="22"/>
        </w:rPr>
      </w:pPr>
      <w:hyperlink w:anchor="_Toc448493022" w:history="1">
        <w:r w:rsidR="00E95B63" w:rsidRPr="007122C9">
          <w:rPr>
            <w:rStyle w:val="Hyperlink"/>
          </w:rPr>
          <w:t>Appendix 4 – Annual leave provisions</w:t>
        </w:r>
        <w:r w:rsidR="00E95B63">
          <w:rPr>
            <w:webHidden/>
          </w:rPr>
          <w:tab/>
        </w:r>
        <w:r w:rsidR="00E95B63">
          <w:rPr>
            <w:webHidden/>
          </w:rPr>
          <w:fldChar w:fldCharType="begin" w:fldLock="1"/>
        </w:r>
        <w:r w:rsidR="00E95B63">
          <w:rPr>
            <w:webHidden/>
          </w:rPr>
          <w:instrText xml:space="preserve"> PAGEREF _Toc448493022 \h </w:instrText>
        </w:r>
        <w:r w:rsidR="00E95B63">
          <w:rPr>
            <w:webHidden/>
          </w:rPr>
        </w:r>
        <w:r w:rsidR="00E95B63">
          <w:rPr>
            <w:webHidden/>
          </w:rPr>
          <w:fldChar w:fldCharType="separate"/>
        </w:r>
        <w:r w:rsidR="00E95B63">
          <w:rPr>
            <w:webHidden/>
          </w:rPr>
          <w:t>339</w:t>
        </w:r>
        <w:r w:rsidR="00E95B63">
          <w:rPr>
            <w:webHidden/>
          </w:rPr>
          <w:fldChar w:fldCharType="end"/>
        </w:r>
      </w:hyperlink>
    </w:p>
    <w:p w:rsidR="00E95B63" w:rsidRDefault="00B934BC">
      <w:pPr>
        <w:pStyle w:val="TOC1"/>
        <w:rPr>
          <w:rFonts w:asciiTheme="minorHAnsi" w:eastAsiaTheme="minorEastAsia" w:hAnsiTheme="minorHAnsi" w:cstheme="minorBidi"/>
          <w:b w:val="0"/>
          <w:sz w:val="22"/>
          <w:szCs w:val="22"/>
        </w:rPr>
      </w:pPr>
      <w:hyperlink w:anchor="_Toc448493023" w:history="1">
        <w:r w:rsidR="00E95B63" w:rsidRPr="007122C9">
          <w:rPr>
            <w:rStyle w:val="Hyperlink"/>
          </w:rPr>
          <w:t>Appendix 5 – Summary of new/revised accounting standards effective for current and future reporting periods</w:t>
        </w:r>
        <w:r w:rsidR="00E95B63">
          <w:rPr>
            <w:webHidden/>
          </w:rPr>
          <w:tab/>
        </w:r>
        <w:r w:rsidR="00E95B63">
          <w:rPr>
            <w:webHidden/>
          </w:rPr>
          <w:fldChar w:fldCharType="begin" w:fldLock="1"/>
        </w:r>
        <w:r w:rsidR="00E95B63">
          <w:rPr>
            <w:webHidden/>
          </w:rPr>
          <w:instrText xml:space="preserve"> PAGEREF _Toc448493023 \h </w:instrText>
        </w:r>
        <w:r w:rsidR="00E95B63">
          <w:rPr>
            <w:webHidden/>
          </w:rPr>
        </w:r>
        <w:r w:rsidR="00E95B63">
          <w:rPr>
            <w:webHidden/>
          </w:rPr>
          <w:fldChar w:fldCharType="separate"/>
        </w:r>
        <w:r w:rsidR="00E95B63">
          <w:rPr>
            <w:webHidden/>
          </w:rPr>
          <w:t>342</w:t>
        </w:r>
        <w:r w:rsidR="00E95B63">
          <w:rPr>
            <w:webHidden/>
          </w:rPr>
          <w:fldChar w:fldCharType="end"/>
        </w:r>
      </w:hyperlink>
    </w:p>
    <w:p w:rsidR="00E95B63" w:rsidRDefault="00B934BC">
      <w:pPr>
        <w:pStyle w:val="TOC1"/>
        <w:rPr>
          <w:rFonts w:asciiTheme="minorHAnsi" w:eastAsiaTheme="minorEastAsia" w:hAnsiTheme="minorHAnsi" w:cstheme="minorBidi"/>
          <w:b w:val="0"/>
          <w:sz w:val="22"/>
          <w:szCs w:val="22"/>
        </w:rPr>
      </w:pPr>
      <w:hyperlink w:anchor="_Toc448493024" w:history="1">
        <w:r w:rsidR="00E95B63" w:rsidRPr="007122C9">
          <w:rPr>
            <w:rStyle w:val="Hyperlink"/>
          </w:rPr>
          <w:t>Appendix 6 – Budgetary reporting: explanation of material variances between budget and actual outcomes</w:t>
        </w:r>
        <w:r w:rsidR="00E95B63">
          <w:rPr>
            <w:webHidden/>
          </w:rPr>
          <w:tab/>
        </w:r>
        <w:r w:rsidR="00E95B63">
          <w:rPr>
            <w:webHidden/>
          </w:rPr>
          <w:fldChar w:fldCharType="begin" w:fldLock="1"/>
        </w:r>
        <w:r w:rsidR="00E95B63">
          <w:rPr>
            <w:webHidden/>
          </w:rPr>
          <w:instrText xml:space="preserve"> PAGEREF _Toc448493024 \h </w:instrText>
        </w:r>
        <w:r w:rsidR="00E95B63">
          <w:rPr>
            <w:webHidden/>
          </w:rPr>
        </w:r>
        <w:r w:rsidR="00E95B63">
          <w:rPr>
            <w:webHidden/>
          </w:rPr>
          <w:fldChar w:fldCharType="separate"/>
        </w:r>
        <w:r w:rsidR="00E95B63">
          <w:rPr>
            <w:webHidden/>
          </w:rPr>
          <w:t>345</w:t>
        </w:r>
        <w:r w:rsidR="00E95B63">
          <w:rPr>
            <w:webHidden/>
          </w:rPr>
          <w:fldChar w:fldCharType="end"/>
        </w:r>
      </w:hyperlink>
    </w:p>
    <w:p w:rsidR="00E95B63" w:rsidRDefault="00B934BC">
      <w:pPr>
        <w:pStyle w:val="TOC1"/>
        <w:rPr>
          <w:rFonts w:asciiTheme="minorHAnsi" w:eastAsiaTheme="minorEastAsia" w:hAnsiTheme="minorHAnsi" w:cstheme="minorBidi"/>
          <w:b w:val="0"/>
          <w:sz w:val="22"/>
          <w:szCs w:val="22"/>
        </w:rPr>
      </w:pPr>
      <w:hyperlink w:anchor="_Toc448493025" w:history="1">
        <w:r w:rsidR="00E95B63" w:rsidRPr="007122C9">
          <w:rPr>
            <w:rStyle w:val="Hyperlink"/>
          </w:rPr>
          <w:t>Appendix 7 – AASB 10 Consolidated Financial Statements checklist – control analysis for Victorian public sector entities</w:t>
        </w:r>
        <w:r w:rsidR="00E95B63">
          <w:rPr>
            <w:webHidden/>
          </w:rPr>
          <w:tab/>
        </w:r>
        <w:r w:rsidR="00E95B63">
          <w:rPr>
            <w:webHidden/>
          </w:rPr>
          <w:fldChar w:fldCharType="begin" w:fldLock="1"/>
        </w:r>
        <w:r w:rsidR="00E95B63">
          <w:rPr>
            <w:webHidden/>
          </w:rPr>
          <w:instrText xml:space="preserve"> PAGEREF _Toc448493025 \h </w:instrText>
        </w:r>
        <w:r w:rsidR="00E95B63">
          <w:rPr>
            <w:webHidden/>
          </w:rPr>
        </w:r>
        <w:r w:rsidR="00E95B63">
          <w:rPr>
            <w:webHidden/>
          </w:rPr>
          <w:fldChar w:fldCharType="separate"/>
        </w:r>
        <w:r w:rsidR="00E95B63">
          <w:rPr>
            <w:webHidden/>
          </w:rPr>
          <w:t>353</w:t>
        </w:r>
        <w:r w:rsidR="00E95B63">
          <w:rPr>
            <w:webHidden/>
          </w:rPr>
          <w:fldChar w:fldCharType="end"/>
        </w:r>
      </w:hyperlink>
    </w:p>
    <w:p w:rsidR="005A4031" w:rsidRDefault="005A4031" w:rsidP="005A4031">
      <w:r>
        <w:fldChar w:fldCharType="end"/>
      </w:r>
    </w:p>
    <w:p w:rsidR="00437BF2" w:rsidRPr="003E340D" w:rsidRDefault="00437BF2" w:rsidP="00437BF2">
      <w:pPr>
        <w:rPr>
          <w:rFonts w:ascii="Calibri" w:hAnsi="Calibri" w:cs="Arial"/>
          <w:noProof/>
          <w:sz w:val="24"/>
          <w:szCs w:val="24"/>
        </w:rPr>
      </w:pPr>
      <w:r w:rsidRPr="003E340D">
        <w:br w:type="page"/>
      </w:r>
    </w:p>
    <w:p w:rsidR="00930D72" w:rsidRPr="003E340D" w:rsidRDefault="00930D72" w:rsidP="004D37EB"/>
    <w:p w:rsidR="00930D72" w:rsidRPr="003E340D" w:rsidRDefault="00930D72" w:rsidP="004D1BF2"/>
    <w:p w:rsidR="00930D72" w:rsidRPr="003E340D" w:rsidRDefault="00930D72" w:rsidP="002946EB"/>
    <w:p w:rsidR="00930D72" w:rsidRPr="003E340D" w:rsidRDefault="00930D72" w:rsidP="002946EB">
      <w:pPr>
        <w:sectPr w:rsidR="00930D72" w:rsidRPr="003E340D" w:rsidSect="008479D2">
          <w:headerReference w:type="even" r:id="rId21"/>
          <w:footerReference w:type="even" r:id="rId22"/>
          <w:footerReference w:type="first" r:id="rId23"/>
          <w:pgSz w:w="11906" w:h="16838" w:code="9"/>
          <w:pgMar w:top="1152" w:right="864" w:bottom="1152" w:left="864" w:header="432" w:footer="432" w:gutter="0"/>
          <w:pgNumType w:fmt="lowerRoman"/>
          <w:cols w:space="360"/>
          <w:titlePg/>
        </w:sectPr>
      </w:pPr>
    </w:p>
    <w:p w:rsidR="00930D72" w:rsidRPr="003E340D" w:rsidRDefault="00930D72" w:rsidP="00244F5E">
      <w:pPr>
        <w:pStyle w:val="ChapterHeading"/>
      </w:pPr>
      <w:bookmarkStart w:id="2" w:name="_Toc220302161"/>
      <w:bookmarkStart w:id="3" w:name="_Toc388277730"/>
      <w:bookmarkStart w:id="4" w:name="_Toc448492996"/>
      <w:bookmarkEnd w:id="0"/>
      <w:r w:rsidRPr="003E340D">
        <w:lastRenderedPageBreak/>
        <w:t>Introduction</w:t>
      </w:r>
      <w:bookmarkEnd w:id="2"/>
      <w:bookmarkEnd w:id="3"/>
      <w:bookmarkEnd w:id="4"/>
    </w:p>
    <w:p w:rsidR="00930D72" w:rsidRPr="003E340D" w:rsidRDefault="00930D72" w:rsidP="00540F7E">
      <w:r w:rsidRPr="003E340D">
        <w:t>The Victorian Government provides a number of publications to inform Parliament, and the wider community about its financial plans, outcome and position. Many relate to individual agencies while others, on a consolidated basis, cover a sector or the whole of Victorian Government. Public sector agencies fund, deliver and regulate a wide range of services on behalf of the Government, mainly related to education, health, public safety, transport and communication. Most of these services are funded through taxes, levies, fees from the sale of goods and services, and grants from the Commonwealth Government. Through their day</w:t>
      </w:r>
      <w:r w:rsidR="005A4BB0">
        <w:noBreakHyphen/>
      </w:r>
      <w:r w:rsidRPr="003E340D">
        <w:t>to</w:t>
      </w:r>
      <w:r w:rsidR="005A4BB0">
        <w:noBreakHyphen/>
      </w:r>
      <w:r w:rsidRPr="003E340D">
        <w:t>day operations, all public sector bodies are involved in the financial management of and accountability for the State</w:t>
      </w:r>
      <w:r w:rsidR="005A4BB0">
        <w:t>’</w:t>
      </w:r>
      <w:r w:rsidRPr="003E340D">
        <w:t>s finances.</w:t>
      </w:r>
    </w:p>
    <w:p w:rsidR="00930D72" w:rsidRPr="003E340D" w:rsidRDefault="00930D72" w:rsidP="00244F5E">
      <w:pPr>
        <w:pStyle w:val="Heading1"/>
      </w:pPr>
      <w:bookmarkStart w:id="5" w:name="_Toc388277731"/>
      <w:bookmarkStart w:id="6" w:name="_Toc448492997"/>
      <w:r w:rsidRPr="003E340D">
        <w:t>Legislative background</w:t>
      </w:r>
      <w:bookmarkEnd w:id="5"/>
      <w:bookmarkEnd w:id="6"/>
    </w:p>
    <w:p w:rsidR="00930D72" w:rsidRPr="003E340D" w:rsidRDefault="00930D72" w:rsidP="00540F7E">
      <w:r w:rsidRPr="003E340D">
        <w:rPr>
          <w:iCs/>
        </w:rPr>
        <w:t>The</w:t>
      </w:r>
      <w:r w:rsidRPr="003E340D">
        <w:rPr>
          <w:i/>
          <w:iCs/>
        </w:rPr>
        <w:t xml:space="preserve"> Constitution </w:t>
      </w:r>
      <w:r w:rsidR="006C19A5" w:rsidRPr="003E340D">
        <w:rPr>
          <w:i/>
          <w:iCs/>
        </w:rPr>
        <w:t>Act </w:t>
      </w:r>
      <w:r w:rsidRPr="003E340D">
        <w:rPr>
          <w:i/>
          <w:iCs/>
        </w:rPr>
        <w:t xml:space="preserve">1975 </w:t>
      </w:r>
      <w:r w:rsidRPr="003E340D">
        <w:t>sets down that only Parliament can give approval to the executive government to spend public funds.</w:t>
      </w:r>
      <w:r w:rsidRPr="003E340D">
        <w:rPr>
          <w:i/>
          <w:iCs/>
        </w:rPr>
        <w:t xml:space="preserve"> </w:t>
      </w:r>
      <w:r w:rsidRPr="003E340D">
        <w:t>The Government in turn is committed to sound financial management of the State</w:t>
      </w:r>
      <w:r w:rsidR="005A4BB0">
        <w:t>’</w:t>
      </w:r>
      <w:r w:rsidRPr="003E340D">
        <w:t xml:space="preserve">s public services and infrastructure assets. All Victorian public sector bodies operate under a prudent financial management framework comprising elements from the </w:t>
      </w:r>
      <w:r w:rsidRPr="003E340D">
        <w:rPr>
          <w:i/>
          <w:iCs/>
        </w:rPr>
        <w:t xml:space="preserve">Constitution </w:t>
      </w:r>
      <w:r w:rsidR="006C19A5" w:rsidRPr="003E340D">
        <w:rPr>
          <w:i/>
          <w:iCs/>
        </w:rPr>
        <w:t>Act </w:t>
      </w:r>
      <w:r w:rsidRPr="003E340D">
        <w:rPr>
          <w:i/>
          <w:iCs/>
        </w:rPr>
        <w:t>1975</w:t>
      </w:r>
      <w:r w:rsidRPr="003E340D">
        <w:t xml:space="preserve">, </w:t>
      </w:r>
      <w:r w:rsidRPr="003E340D">
        <w:rPr>
          <w:i/>
          <w:iCs/>
        </w:rPr>
        <w:t>Appropriation Acts</w:t>
      </w:r>
      <w:r w:rsidRPr="003E340D">
        <w:t xml:space="preserve"> (annual and standing), the </w:t>
      </w:r>
      <w:r w:rsidRPr="003E340D">
        <w:rPr>
          <w:i/>
          <w:iCs/>
        </w:rPr>
        <w:t xml:space="preserve">Financial Management </w:t>
      </w:r>
      <w:r w:rsidR="006C19A5" w:rsidRPr="003E340D">
        <w:rPr>
          <w:i/>
          <w:iCs/>
        </w:rPr>
        <w:t>Act </w:t>
      </w:r>
      <w:r w:rsidRPr="003E340D">
        <w:rPr>
          <w:i/>
          <w:iCs/>
        </w:rPr>
        <w:t>1994</w:t>
      </w:r>
      <w:r w:rsidRPr="003E340D">
        <w:t xml:space="preserve"> (FMA), the </w:t>
      </w:r>
      <w:r w:rsidRPr="003E340D">
        <w:rPr>
          <w:i/>
          <w:iCs/>
        </w:rPr>
        <w:t xml:space="preserve">Borrowing and Investment Powers </w:t>
      </w:r>
      <w:r w:rsidR="006C19A5" w:rsidRPr="003E340D">
        <w:rPr>
          <w:i/>
          <w:iCs/>
        </w:rPr>
        <w:t>Act </w:t>
      </w:r>
      <w:r w:rsidRPr="003E340D">
        <w:rPr>
          <w:i/>
          <w:iCs/>
        </w:rPr>
        <w:t>1987</w:t>
      </w:r>
      <w:r w:rsidRPr="003E340D">
        <w:t xml:space="preserve">, the </w:t>
      </w:r>
      <w:r w:rsidRPr="003E340D">
        <w:rPr>
          <w:i/>
          <w:iCs/>
        </w:rPr>
        <w:t>Public Administrati</w:t>
      </w:r>
      <w:r w:rsidR="00C74C0C" w:rsidRPr="003E340D">
        <w:rPr>
          <w:i/>
          <w:iCs/>
        </w:rPr>
        <w:t>on</w:t>
      </w:r>
      <w:r w:rsidRPr="003E340D">
        <w:rPr>
          <w:i/>
          <w:iCs/>
        </w:rPr>
        <w:t xml:space="preserve"> </w:t>
      </w:r>
      <w:r w:rsidR="006C19A5" w:rsidRPr="003E340D">
        <w:rPr>
          <w:i/>
          <w:iCs/>
        </w:rPr>
        <w:t>Act </w:t>
      </w:r>
      <w:r w:rsidRPr="003E340D">
        <w:rPr>
          <w:i/>
          <w:iCs/>
        </w:rPr>
        <w:t>2004</w:t>
      </w:r>
      <w:r w:rsidRPr="003E340D">
        <w:t xml:space="preserve"> and the </w:t>
      </w:r>
      <w:r w:rsidRPr="003E340D">
        <w:rPr>
          <w:i/>
          <w:iCs/>
        </w:rPr>
        <w:t>Audit Act 1994</w:t>
      </w:r>
      <w:r w:rsidRPr="003E340D">
        <w:t xml:space="preserve">. All of these Acts may contain sections that affect the requirements of the budget and financial reporting obligations to Parliament. In particular the FMA governs the use of public money, and the accountability processes and subordinate legislation with which the Government, departments and other public sector bodies are obliged to comply. </w:t>
      </w:r>
      <w:r w:rsidR="00E1729E" w:rsidRPr="003E340D">
        <w:t xml:space="preserve">Note that </w:t>
      </w:r>
      <w:r w:rsidR="00FC46F8" w:rsidRPr="003E340D">
        <w:t xml:space="preserve">the terms </w:t>
      </w:r>
      <w:r w:rsidR="005A4BB0">
        <w:t>‘</w:t>
      </w:r>
      <w:r w:rsidR="00E1729E" w:rsidRPr="003E340D">
        <w:t>department</w:t>
      </w:r>
      <w:r w:rsidR="005A4BB0">
        <w:t>’</w:t>
      </w:r>
      <w:r w:rsidR="00E1729E" w:rsidRPr="003E340D">
        <w:t xml:space="preserve"> and </w:t>
      </w:r>
      <w:r w:rsidR="005A4BB0">
        <w:t>‘</w:t>
      </w:r>
      <w:r w:rsidR="00E1729E" w:rsidRPr="003E340D">
        <w:t>publ</w:t>
      </w:r>
      <w:r w:rsidR="0011472B" w:rsidRPr="003E340D">
        <w:t>ic body</w:t>
      </w:r>
      <w:r w:rsidR="005A4BB0">
        <w:t>’</w:t>
      </w:r>
      <w:r w:rsidR="0011472B" w:rsidRPr="003E340D">
        <w:t xml:space="preserve"> are defined in the FMA</w:t>
      </w:r>
      <w:r w:rsidR="00E1729E" w:rsidRPr="003E340D">
        <w:t>.</w:t>
      </w:r>
      <w:r w:rsidR="0011472B" w:rsidRPr="003E340D">
        <w:t xml:space="preserve"> </w:t>
      </w:r>
      <w:r w:rsidR="005A4BB0">
        <w:t>‘</w:t>
      </w:r>
      <w:r w:rsidR="00E1729E" w:rsidRPr="003E340D">
        <w:t>Public sector agencies</w:t>
      </w:r>
      <w:r w:rsidR="005A4BB0">
        <w:t>’</w:t>
      </w:r>
      <w:r w:rsidR="00E1729E" w:rsidRPr="003E340D">
        <w:t xml:space="preserve"> is a term used in the Standing Directions of the Minister for Finance which </w:t>
      </w:r>
      <w:r w:rsidR="008C6D3C" w:rsidRPr="003E340D">
        <w:t>include</w:t>
      </w:r>
      <w:r w:rsidR="00E1729E" w:rsidRPr="003E340D">
        <w:t>s departments and public bodies.</w:t>
      </w:r>
    </w:p>
    <w:p w:rsidR="00930D72" w:rsidRPr="003E340D" w:rsidRDefault="00930D72" w:rsidP="00540F7E">
      <w:pPr>
        <w:pStyle w:val="Heading1"/>
      </w:pPr>
      <w:bookmarkStart w:id="7" w:name="_Toc388277732"/>
      <w:bookmarkStart w:id="8" w:name="_Toc448492998"/>
      <w:r w:rsidRPr="003E340D">
        <w:t>Financial accountability and reporting</w:t>
      </w:r>
      <w:bookmarkEnd w:id="7"/>
      <w:bookmarkEnd w:id="8"/>
      <w:r w:rsidRPr="003E340D">
        <w:t xml:space="preserve"> </w:t>
      </w:r>
    </w:p>
    <w:p w:rsidR="00930D72" w:rsidRPr="003E340D" w:rsidRDefault="00930D72" w:rsidP="00244F5E">
      <w:pPr>
        <w:pStyle w:val="Heading2"/>
      </w:pPr>
      <w:r w:rsidRPr="003E340D">
        <w:t>Key financial publications for the State of Victoria</w:t>
      </w:r>
    </w:p>
    <w:p w:rsidR="00930D72" w:rsidRPr="003E340D" w:rsidRDefault="00930D72" w:rsidP="00244F5E">
      <w:r w:rsidRPr="003E340D">
        <w:t>The Department of Treasury and Finance (DTF) is responsible for the coordination, preparation and publication of the State</w:t>
      </w:r>
      <w:r w:rsidR="005A4BB0">
        <w:t>’</w:t>
      </w:r>
      <w:r w:rsidRPr="003E340D">
        <w:t xml:space="preserve">s main planning and financial accountability documents that are required under the FMA. These include budgetary and financial reports, which are summarised in Diagram 1 </w:t>
      </w:r>
      <w:r w:rsidR="003978C4" w:rsidRPr="003E340D">
        <w:rPr>
          <w:i/>
        </w:rPr>
        <w:t>201</w:t>
      </w:r>
      <w:r w:rsidR="00353F02" w:rsidRPr="003E340D">
        <w:rPr>
          <w:i/>
        </w:rPr>
        <w:t>5</w:t>
      </w:r>
      <w:r w:rsidR="005A4BB0">
        <w:rPr>
          <w:i/>
        </w:rPr>
        <w:noBreakHyphen/>
      </w:r>
      <w:r w:rsidR="003978C4" w:rsidRPr="003E340D">
        <w:rPr>
          <w:i/>
        </w:rPr>
        <w:t>1</w:t>
      </w:r>
      <w:r w:rsidR="00353F02" w:rsidRPr="003E340D">
        <w:rPr>
          <w:i/>
        </w:rPr>
        <w:t>6</w:t>
      </w:r>
      <w:r w:rsidR="003978C4" w:rsidRPr="003E340D">
        <w:rPr>
          <w:i/>
        </w:rPr>
        <w:t xml:space="preserve"> </w:t>
      </w:r>
      <w:r w:rsidR="00EC3311" w:rsidRPr="003E340D">
        <w:rPr>
          <w:i/>
          <w:iCs/>
        </w:rPr>
        <w:t>annual financial publication c</w:t>
      </w:r>
      <w:r w:rsidRPr="003E340D">
        <w:rPr>
          <w:i/>
          <w:iCs/>
        </w:rPr>
        <w:t xml:space="preserve">ycle </w:t>
      </w:r>
      <w:r w:rsidRPr="003E340D">
        <w:rPr>
          <w:iCs/>
        </w:rPr>
        <w:t>and include:</w:t>
      </w:r>
    </w:p>
    <w:p w:rsidR="00930D72" w:rsidRPr="003E340D" w:rsidRDefault="00930D72" w:rsidP="00791D33">
      <w:pPr>
        <w:pStyle w:val="Bullet"/>
      </w:pPr>
      <w:r w:rsidRPr="003E340D">
        <w:t>State budget papers (BPs) in conjunction with the Appropriation Bills;</w:t>
      </w:r>
    </w:p>
    <w:p w:rsidR="00930D72" w:rsidRPr="003E340D" w:rsidRDefault="00930D72" w:rsidP="00791D33">
      <w:pPr>
        <w:pStyle w:val="Bullet"/>
      </w:pPr>
      <w:r w:rsidRPr="003E340D">
        <w:t>Budget Update;</w:t>
      </w:r>
    </w:p>
    <w:p w:rsidR="00930D72" w:rsidRPr="003E340D" w:rsidRDefault="00AA76A6" w:rsidP="00791D33">
      <w:pPr>
        <w:pStyle w:val="Bullet"/>
      </w:pPr>
      <w:r w:rsidRPr="003E340D">
        <w:t xml:space="preserve">Annual </w:t>
      </w:r>
      <w:r w:rsidR="00930D72" w:rsidRPr="003E340D">
        <w:t>Financial Report (AFR);</w:t>
      </w:r>
    </w:p>
    <w:p w:rsidR="00930D72" w:rsidRPr="003E340D" w:rsidRDefault="00930D72" w:rsidP="00791D33">
      <w:pPr>
        <w:pStyle w:val="Bullet"/>
      </w:pPr>
      <w:r w:rsidRPr="003E340D">
        <w:t>interim financial reports, including Quarterly Financial Reports and Mid</w:t>
      </w:r>
      <w:r w:rsidR="005A4BB0">
        <w:noBreakHyphen/>
      </w:r>
      <w:r w:rsidRPr="003E340D">
        <w:t>Year Financial Report (QFR and MYFR); and</w:t>
      </w:r>
    </w:p>
    <w:p w:rsidR="00930D72" w:rsidRPr="003E340D" w:rsidRDefault="00930D72" w:rsidP="00791D33">
      <w:pPr>
        <w:pStyle w:val="Bullet"/>
      </w:pPr>
      <w:r w:rsidRPr="003E340D">
        <w:t>Pre</w:t>
      </w:r>
      <w:r w:rsidR="005A4BB0">
        <w:noBreakHyphen/>
      </w:r>
      <w:r w:rsidRPr="003E340D">
        <w:t>Election Budget Update (PEBU) – only in election years.</w:t>
      </w:r>
    </w:p>
    <w:p w:rsidR="00930D72" w:rsidRPr="003E340D" w:rsidRDefault="00930D72" w:rsidP="00244F5E">
      <w:r w:rsidRPr="003E340D">
        <w:t>Each of these publications provides a consolidated set of financial statements and accompanying notes based on data submitted by departments and other public sector agencies. In addition to the consolidated financial statements, each department and agency prepares its own entity annual report.</w:t>
      </w:r>
    </w:p>
    <w:p w:rsidR="00B77107" w:rsidRPr="003E340D" w:rsidRDefault="00930D72" w:rsidP="00540F7E">
      <w:r w:rsidRPr="003E340D">
        <w:t>DTF also provides the State</w:t>
      </w:r>
      <w:r w:rsidR="005A4BB0">
        <w:t>’</w:t>
      </w:r>
      <w:r w:rsidRPr="003E340D">
        <w:t>s consolidated financial data to the Australian Bureau of Statistics (ABS) for inclusion in the national accounts and other statistical reports. The analysis and application of this data has significant consequences for the State. For example, the ABS publishes interstate comparisons of this financial data,</w:t>
      </w:r>
      <w:r w:rsidRPr="003E340D">
        <w:rPr>
          <w:vertAlign w:val="superscript"/>
        </w:rPr>
        <w:footnoteReference w:id="1"/>
      </w:r>
      <w:r w:rsidRPr="003E340D">
        <w:rPr>
          <w:vertAlign w:val="superscript"/>
        </w:rPr>
        <w:t xml:space="preserve"> </w:t>
      </w:r>
      <w:r w:rsidRPr="003E340D">
        <w:t xml:space="preserve">which is relied upon by national authorities such as the Commonwealth Grants Commission when allocating the GST pool and other Commonwealth grant funding across the states and territories. </w:t>
      </w:r>
    </w:p>
    <w:p w:rsidR="001116B0" w:rsidRPr="003E340D" w:rsidRDefault="00930D72" w:rsidP="0039092F">
      <w:r w:rsidRPr="003E340D">
        <w:lastRenderedPageBreak/>
        <w:t>Therefore, high quality financial data is required, not only to fairly reflect the Government</w:t>
      </w:r>
      <w:r w:rsidR="005A4BB0">
        <w:t>’</w:t>
      </w:r>
      <w:r w:rsidRPr="003E340D">
        <w:t>s financial performance and management of the State</w:t>
      </w:r>
      <w:r w:rsidR="005A4BB0">
        <w:t>’</w:t>
      </w:r>
      <w:r w:rsidRPr="003E340D">
        <w:t xml:space="preserve">s resources, but also to fairly represent the level of activity in the State that impacts on the quantum of funding received by Victoria from the Commonwealth Government. </w:t>
      </w:r>
    </w:p>
    <w:p w:rsidR="00930D72" w:rsidRPr="003E340D" w:rsidRDefault="00930D72" w:rsidP="0039092F">
      <w:pPr>
        <w:pStyle w:val="Heading2"/>
      </w:pPr>
      <w:r w:rsidRPr="003E340D">
        <w:t>Resource materials</w:t>
      </w:r>
    </w:p>
    <w:p w:rsidR="00930D72" w:rsidRPr="003E340D" w:rsidRDefault="00930D72" w:rsidP="00540F7E">
      <w:r w:rsidRPr="003E340D">
        <w:t>In support of the State</w:t>
      </w:r>
      <w:r w:rsidR="005A4BB0">
        <w:t>’</w:t>
      </w:r>
      <w:r w:rsidRPr="003E340D">
        <w:t>s financial management legislative framework and provision of high quality financial data, DTF issues budgetary, regulatory and other financial reporting materials to enable consistency in the way public sector bodies record and submit their financial data to DTF. Some of the main guidance materials include:</w:t>
      </w:r>
    </w:p>
    <w:p w:rsidR="00930D72" w:rsidRPr="003E340D" w:rsidRDefault="00930D72" w:rsidP="00791D33">
      <w:pPr>
        <w:pStyle w:val="Bullet"/>
      </w:pPr>
      <w:r w:rsidRPr="003E340D">
        <w:t xml:space="preserve">Standing Directions of the Minister for Finance, including about </w:t>
      </w:r>
      <w:r w:rsidR="00967D80" w:rsidRPr="003E340D">
        <w:t>38</w:t>
      </w:r>
      <w:r w:rsidRPr="003E340D">
        <w:t xml:space="preserve"> Financial Reporting Directions (FRDs)</w:t>
      </w:r>
      <w:r w:rsidRPr="003E340D">
        <w:rPr>
          <w:vertAlign w:val="superscript"/>
        </w:rPr>
        <w:footnoteReference w:id="2"/>
      </w:r>
      <w:r w:rsidRPr="003E340D">
        <w:t>;</w:t>
      </w:r>
    </w:p>
    <w:p w:rsidR="00930D72" w:rsidRPr="003E340D" w:rsidRDefault="00930D72" w:rsidP="00791D33">
      <w:pPr>
        <w:pStyle w:val="Bullet"/>
      </w:pPr>
      <w:r w:rsidRPr="003E340D">
        <w:t>Budget and Financial Management Guidances (BFMGs)</w:t>
      </w:r>
      <w:r w:rsidRPr="003E340D">
        <w:rPr>
          <w:vertAlign w:val="superscript"/>
        </w:rPr>
        <w:footnoteReference w:id="3"/>
      </w:r>
      <w:r w:rsidRPr="003E340D">
        <w:t xml:space="preserve">; and </w:t>
      </w:r>
    </w:p>
    <w:p w:rsidR="00FB1C75" w:rsidRPr="003E340D" w:rsidRDefault="002F2E59" w:rsidP="00791D33">
      <w:pPr>
        <w:pStyle w:val="Bullet"/>
      </w:pPr>
      <w:r w:rsidRPr="003E340D">
        <w:t>T</w:t>
      </w:r>
      <w:r w:rsidR="00930D72" w:rsidRPr="003E340D">
        <w:t xml:space="preserve">he </w:t>
      </w:r>
      <w:r w:rsidR="00930D72" w:rsidRPr="003E340D">
        <w:rPr>
          <w:iCs/>
        </w:rPr>
        <w:t>Model Report</w:t>
      </w:r>
      <w:r w:rsidR="00930D72" w:rsidRPr="003E340D">
        <w:t xml:space="preserve"> for Victorian Government Departments which is revised and issued annually</w:t>
      </w:r>
      <w:r w:rsidR="00930D72" w:rsidRPr="003E340D">
        <w:rPr>
          <w:vertAlign w:val="superscript"/>
        </w:rPr>
        <w:t>2</w:t>
      </w:r>
      <w:r w:rsidR="00930D72" w:rsidRPr="003E340D">
        <w:t>.</w:t>
      </w:r>
    </w:p>
    <w:p w:rsidR="00FB1C75" w:rsidRPr="003E340D" w:rsidRDefault="00FB1C75" w:rsidP="00791D33">
      <w:pPr>
        <w:pStyle w:val="Bullet"/>
        <w:numPr>
          <w:ilvl w:val="0"/>
          <w:numId w:val="0"/>
        </w:numPr>
      </w:pPr>
      <w:r w:rsidRPr="003E340D">
        <w:t xml:space="preserve">The Minister for Finance has </w:t>
      </w:r>
      <w:r w:rsidR="00F92E2E" w:rsidRPr="003E340D">
        <w:t>issued the</w:t>
      </w:r>
      <w:r w:rsidRPr="003E340D">
        <w:t xml:space="preserve"> revise</w:t>
      </w:r>
      <w:r w:rsidR="00F92E2E" w:rsidRPr="003E340D">
        <w:t xml:space="preserve">d </w:t>
      </w:r>
      <w:r w:rsidR="003C30FD" w:rsidRPr="003E340D">
        <w:t>Standing Directions</w:t>
      </w:r>
      <w:r w:rsidRPr="003E340D">
        <w:t xml:space="preserve"> under the </w:t>
      </w:r>
      <w:r w:rsidR="00F92E2E" w:rsidRPr="003E340D">
        <w:t>FMA</w:t>
      </w:r>
      <w:r w:rsidR="00396615" w:rsidRPr="003E340D">
        <w:t xml:space="preserve">, which will be applicable from </w:t>
      </w:r>
      <w:r w:rsidR="003261F1" w:rsidRPr="003E340D">
        <w:t>1</w:t>
      </w:r>
      <w:r w:rsidR="00C50327" w:rsidRPr="003E340D">
        <w:t> </w:t>
      </w:r>
      <w:r w:rsidR="003261F1" w:rsidRPr="003E340D">
        <w:t xml:space="preserve">July 2016. </w:t>
      </w:r>
      <w:r w:rsidRPr="003E340D">
        <w:t>The reform will help modernise Victoria</w:t>
      </w:r>
      <w:r w:rsidR="005A4BB0">
        <w:t>’</w:t>
      </w:r>
      <w:r w:rsidRPr="003E340D">
        <w:t>s public financial management through strengthened accountability, planning and decision</w:t>
      </w:r>
      <w:r w:rsidR="005A4BB0">
        <w:noBreakHyphen/>
      </w:r>
      <w:r w:rsidRPr="003E340D">
        <w:t>making, and a stronger flow of information between departments, agencies and government.</w:t>
      </w:r>
      <w:r w:rsidR="00145466" w:rsidRPr="003E340D">
        <w:t xml:space="preserve"> DTF will review </w:t>
      </w:r>
      <w:r w:rsidR="00D72952" w:rsidRPr="003E340D">
        <w:t xml:space="preserve">the relevant </w:t>
      </w:r>
      <w:r w:rsidR="00145466" w:rsidRPr="003E340D">
        <w:t>references in the 2016</w:t>
      </w:r>
      <w:r w:rsidR="005A4BB0">
        <w:noBreakHyphen/>
      </w:r>
      <w:r w:rsidR="00145466" w:rsidRPr="003E340D">
        <w:t>17 Model Report to align with the revised Standing Directions.</w:t>
      </w:r>
    </w:p>
    <w:p w:rsidR="00930D72" w:rsidRPr="003E340D" w:rsidRDefault="00930D72" w:rsidP="00244F5E">
      <w:pPr>
        <w:pStyle w:val="Caption"/>
      </w:pPr>
      <w:r w:rsidRPr="003E340D">
        <w:t xml:space="preserve">Diagram 1: </w:t>
      </w:r>
      <w:r w:rsidR="003978C4" w:rsidRPr="003E340D">
        <w:t>201</w:t>
      </w:r>
      <w:r w:rsidR="002F2E59" w:rsidRPr="003E340D">
        <w:t>5</w:t>
      </w:r>
      <w:r w:rsidR="005A4BB0">
        <w:noBreakHyphen/>
      </w:r>
      <w:r w:rsidR="003978C4" w:rsidRPr="003E340D">
        <w:t>1</w:t>
      </w:r>
      <w:r w:rsidR="002F2E59" w:rsidRPr="003E340D">
        <w:t>6</w:t>
      </w:r>
      <w:r w:rsidR="003978C4" w:rsidRPr="003E340D">
        <w:t xml:space="preserve"> </w:t>
      </w:r>
      <w:r w:rsidRPr="003E340D">
        <w:t>annual financial publication cycle</w:t>
      </w:r>
    </w:p>
    <w:p w:rsidR="00930D72" w:rsidRPr="003E340D" w:rsidRDefault="00930D72" w:rsidP="00540F7E">
      <w:pPr>
        <w:jc w:val="center"/>
      </w:pPr>
      <w:r w:rsidRPr="003E340D">
        <w:rPr>
          <w:noProof/>
        </w:rPr>
        <w:drawing>
          <wp:inline distT="0" distB="0" distL="0" distR="0" wp14:anchorId="158FD809" wp14:editId="4A5F7CE1">
            <wp:extent cx="3548829" cy="3569185"/>
            <wp:effectExtent l="0" t="0" r="0" b="0"/>
            <wp:docPr id="200" name="Picture 1" descr="Model report 2011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report 2011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779" cy="3573157"/>
                    </a:xfrm>
                    <a:prstGeom prst="rect">
                      <a:avLst/>
                    </a:prstGeom>
                    <a:noFill/>
                    <a:ln>
                      <a:noFill/>
                    </a:ln>
                  </pic:spPr>
                </pic:pic>
              </a:graphicData>
            </a:graphic>
          </wp:inline>
        </w:drawing>
      </w:r>
    </w:p>
    <w:p w:rsidR="00930D72" w:rsidRPr="003E340D" w:rsidRDefault="00930D72" w:rsidP="00244F5E">
      <w:pPr>
        <w:pStyle w:val="Source"/>
      </w:pPr>
      <w:r w:rsidRPr="003E340D">
        <w:t xml:space="preserve">Source: Department of Treasury and Finance </w:t>
      </w:r>
    </w:p>
    <w:p w:rsidR="00930D72" w:rsidRPr="003E340D" w:rsidRDefault="00930D72" w:rsidP="00244F5E">
      <w:pPr>
        <w:pStyle w:val="Notes"/>
      </w:pPr>
      <w:r w:rsidRPr="003E340D">
        <w:t xml:space="preserve">Notes: </w:t>
      </w:r>
    </w:p>
    <w:p w:rsidR="00930D72" w:rsidRPr="003E340D" w:rsidRDefault="00930D72" w:rsidP="00540F7E">
      <w:pPr>
        <w:pStyle w:val="Notes"/>
      </w:pPr>
      <w:r w:rsidRPr="003E340D">
        <w:t>(i)</w:t>
      </w:r>
      <w:r w:rsidRPr="003E340D">
        <w:tab/>
        <w:t>The darker the shading the more intensive the work effort.</w:t>
      </w:r>
    </w:p>
    <w:p w:rsidR="00930D72" w:rsidRPr="003E340D" w:rsidRDefault="00930D72" w:rsidP="00540F7E">
      <w:pPr>
        <w:pStyle w:val="Notes"/>
      </w:pPr>
      <w:r w:rsidRPr="003E340D">
        <w:t>(ii)</w:t>
      </w:r>
      <w:r w:rsidRPr="003E340D">
        <w:tab/>
        <w:t>PEBU is only published in an election year. Refer to Diagram 3.</w:t>
      </w:r>
    </w:p>
    <w:p w:rsidR="00930D72" w:rsidRPr="003E340D" w:rsidRDefault="00930D72" w:rsidP="00540F7E">
      <w:pPr>
        <w:pStyle w:val="Notes"/>
      </w:pPr>
      <w:r w:rsidRPr="003E340D">
        <w:t>(iii)</w:t>
      </w:r>
      <w:r w:rsidRPr="003E340D">
        <w:tab/>
        <w:t>Appropriation Bills are prepared and tabled with the Budget.</w:t>
      </w:r>
    </w:p>
    <w:p w:rsidR="00930D72" w:rsidRPr="003E340D" w:rsidRDefault="00930D72" w:rsidP="001E6345">
      <w:pPr>
        <w:pStyle w:val="Notes"/>
      </w:pPr>
      <w:r w:rsidRPr="003E340D">
        <w:t>(iv)</w:t>
      </w:r>
      <w:r w:rsidRPr="003E340D">
        <w:tab/>
        <w:t>The timelines illustrated above are indicative only.</w:t>
      </w:r>
    </w:p>
    <w:p w:rsidR="005665EF" w:rsidRPr="003E340D" w:rsidRDefault="005665EF" w:rsidP="00540F7E">
      <w:pPr>
        <w:pStyle w:val="Heading1"/>
      </w:pPr>
      <w:bookmarkStart w:id="9" w:name="_Toc388277733"/>
    </w:p>
    <w:p w:rsidR="00930D72" w:rsidRPr="003E340D" w:rsidRDefault="00930D72" w:rsidP="00540F7E">
      <w:pPr>
        <w:pStyle w:val="Heading1"/>
      </w:pPr>
      <w:bookmarkStart w:id="10" w:name="_Toc448492999"/>
      <w:r w:rsidRPr="003E340D">
        <w:t>Reporting structure of the State of Victoria</w:t>
      </w:r>
      <w:bookmarkEnd w:id="9"/>
      <w:bookmarkEnd w:id="10"/>
    </w:p>
    <w:p w:rsidR="00F0655F" w:rsidRPr="003E340D" w:rsidRDefault="00930D72" w:rsidP="00540F7E">
      <w:r w:rsidRPr="003E340D">
        <w:t>The Victorian public sector includes a range of agencies established by legislation for specified purposes, including departments, statutory authorities, state</w:t>
      </w:r>
      <w:r w:rsidR="005A4BB0">
        <w:noBreakHyphen/>
      </w:r>
      <w:r w:rsidRPr="003E340D">
        <w:t xml:space="preserve">owned corporations, school councils, boards, trusts, and advisory and management committees. Most of these agencies are established as </w:t>
      </w:r>
      <w:r w:rsidR="005A4BB0">
        <w:t>‘</w:t>
      </w:r>
      <w:r w:rsidRPr="003E340D">
        <w:t>not</w:t>
      </w:r>
      <w:r w:rsidR="005A4BB0">
        <w:noBreakHyphen/>
      </w:r>
      <w:r w:rsidRPr="003E340D">
        <w:t>for</w:t>
      </w:r>
      <w:r w:rsidR="005A4BB0">
        <w:noBreakHyphen/>
      </w:r>
      <w:r w:rsidRPr="003E340D">
        <w:t>profit</w:t>
      </w:r>
      <w:r w:rsidR="005A4BB0">
        <w:t>’</w:t>
      </w:r>
      <w:r w:rsidRPr="003E340D">
        <w:t xml:space="preserve"> organisations, with a small group of</w:t>
      </w:r>
      <w:r w:rsidR="00CD07A3" w:rsidRPr="003E340D">
        <w:t> </w:t>
      </w:r>
      <w:r w:rsidRPr="003E340D">
        <w:t>1</w:t>
      </w:r>
      <w:r w:rsidR="00C7677C" w:rsidRPr="003E340D">
        <w:t>6</w:t>
      </w:r>
      <w:r w:rsidRPr="003E340D">
        <w:t xml:space="preserve"> entities, mainly from the finance and metropolitan water portfolios, operating as </w:t>
      </w:r>
      <w:r w:rsidR="005A4BB0">
        <w:t>‘</w:t>
      </w:r>
      <w:r w:rsidRPr="003E340D">
        <w:t>for</w:t>
      </w:r>
      <w:r w:rsidR="005A4BB0">
        <w:noBreakHyphen/>
      </w:r>
      <w:r w:rsidRPr="003E340D">
        <w:t>profit</w:t>
      </w:r>
      <w:r w:rsidR="005A4BB0">
        <w:t>’</w:t>
      </w:r>
      <w:r w:rsidRPr="003E340D">
        <w:t xml:space="preserve"> organisations. </w:t>
      </w:r>
    </w:p>
    <w:p w:rsidR="00930D72" w:rsidRPr="003E340D" w:rsidRDefault="00930D72" w:rsidP="00540F7E">
      <w:r w:rsidRPr="003E340D">
        <w:t>The reporting structure for the State is based on the System of National Accounts,</w:t>
      </w:r>
      <w:r w:rsidRPr="003E340D">
        <w:rPr>
          <w:vertAlign w:val="superscript"/>
        </w:rPr>
        <w:footnoteReference w:customMarkFollows="1" w:id="4"/>
        <w:sym w:font="Symbol" w:char="F034"/>
      </w:r>
      <w:r w:rsidRPr="003E340D">
        <w:t xml:space="preserve"> which classifies public sector bodies into either the general government sector, public non</w:t>
      </w:r>
      <w:r w:rsidR="005A4BB0">
        <w:noBreakHyphen/>
      </w:r>
      <w:r w:rsidRPr="003E340D">
        <w:t xml:space="preserve">financial corporations (PNFCs) or public financial corporations (PFCs) sectors. Diagram 2 </w:t>
      </w:r>
      <w:r w:rsidRPr="003E340D">
        <w:rPr>
          <w:i/>
          <w:iCs/>
        </w:rPr>
        <w:t>Reporting structure of the State of Victoria,</w:t>
      </w:r>
      <w:r w:rsidRPr="003E340D">
        <w:t xml:space="preserve"> provides an overview of this reporting structure. </w:t>
      </w:r>
    </w:p>
    <w:p w:rsidR="00930D72" w:rsidRPr="003E340D" w:rsidRDefault="00930D72" w:rsidP="00E348C3">
      <w:pPr>
        <w:pStyle w:val="Tableheading"/>
      </w:pPr>
      <w:r w:rsidRPr="003E340D">
        <w:t>Diagram 2: Reporting structure of the State of Victoria</w:t>
      </w:r>
    </w:p>
    <w:p w:rsidR="00930D72" w:rsidRPr="003E340D" w:rsidRDefault="00930D72" w:rsidP="003119FE">
      <w:pPr>
        <w:spacing w:before="0"/>
        <w:jc w:val="center"/>
      </w:pPr>
      <w:r w:rsidRPr="003E340D">
        <w:rPr>
          <w:b/>
          <w:bCs/>
          <w:noProof/>
          <w:sz w:val="28"/>
          <w:szCs w:val="28"/>
        </w:rPr>
        <mc:AlternateContent>
          <mc:Choice Requires="wpg">
            <w:drawing>
              <wp:inline distT="0" distB="0" distL="0" distR="0" wp14:anchorId="4C4692A3" wp14:editId="4A745B52">
                <wp:extent cx="4991100" cy="2354580"/>
                <wp:effectExtent l="0" t="0" r="19050" b="26670"/>
                <wp:docPr id="20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2354580"/>
                          <a:chOff x="1762" y="4976"/>
                          <a:chExt cx="7860" cy="3708"/>
                        </a:xfrm>
                      </wpg:grpSpPr>
                      <wps:wsp>
                        <wps:cNvPr id="203" name="Rectangle 643"/>
                        <wps:cNvSpPr>
                          <a:spLocks noChangeArrowheads="1"/>
                        </wps:cNvSpPr>
                        <wps:spPr bwMode="auto">
                          <a:xfrm>
                            <a:off x="1762" y="4976"/>
                            <a:ext cx="7860" cy="602"/>
                          </a:xfrm>
                          <a:prstGeom prst="rect">
                            <a:avLst/>
                          </a:prstGeom>
                          <a:solidFill>
                            <a:srgbClr val="FFFFFF"/>
                          </a:solidFill>
                          <a:ln w="9525">
                            <a:solidFill>
                              <a:srgbClr val="000000"/>
                            </a:solidFill>
                            <a:miter lim="800000"/>
                            <a:headEnd/>
                            <a:tailEnd/>
                          </a:ln>
                        </wps:spPr>
                        <wps:txbx>
                          <w:txbxContent>
                            <w:p w:rsidR="00841B85" w:rsidRPr="00EE6A5A" w:rsidRDefault="00841B85" w:rsidP="007B38DD">
                              <w:pPr>
                                <w:spacing w:before="100"/>
                                <w:jc w:val="center"/>
                                <w:rPr>
                                  <w:rFonts w:ascii="Calibri" w:hAnsi="Calibri" w:cs="Arial"/>
                                  <w:sz w:val="20"/>
                                  <w:szCs w:val="20"/>
                                </w:rPr>
                              </w:pPr>
                              <w:r w:rsidRPr="00EE6A5A">
                                <w:rPr>
                                  <w:rFonts w:ascii="Calibri" w:hAnsi="Calibri" w:cs="Arial"/>
                                  <w:sz w:val="20"/>
                                  <w:szCs w:val="20"/>
                                </w:rPr>
                                <w:t>State of Victoria</w:t>
                              </w:r>
                            </w:p>
                          </w:txbxContent>
                        </wps:txbx>
                        <wps:bodyPr rot="0" vert="horz" wrap="square" lIns="91440" tIns="45720" rIns="91440" bIns="45720" anchor="t" anchorCtr="0" upright="1">
                          <a:noAutofit/>
                        </wps:bodyPr>
                      </wps:wsp>
                      <wps:wsp>
                        <wps:cNvPr id="204" name="Rectangle 644"/>
                        <wps:cNvSpPr>
                          <a:spLocks noChangeArrowheads="1"/>
                        </wps:cNvSpPr>
                        <wps:spPr bwMode="auto">
                          <a:xfrm>
                            <a:off x="1762" y="6012"/>
                            <a:ext cx="5615" cy="447"/>
                          </a:xfrm>
                          <a:prstGeom prst="rect">
                            <a:avLst/>
                          </a:prstGeom>
                          <a:solidFill>
                            <a:srgbClr val="FFFFFF"/>
                          </a:solidFill>
                          <a:ln w="9525">
                            <a:solidFill>
                              <a:srgbClr val="000000"/>
                            </a:solidFill>
                            <a:miter lim="800000"/>
                            <a:headEnd/>
                            <a:tailEnd/>
                          </a:ln>
                        </wps:spPr>
                        <wps:txbx>
                          <w:txbxContent>
                            <w:p w:rsidR="00841B85" w:rsidRPr="00EE6A5A" w:rsidRDefault="00841B85" w:rsidP="00540F7E">
                              <w:pPr>
                                <w:spacing w:before="0"/>
                                <w:jc w:val="center"/>
                                <w:rPr>
                                  <w:rFonts w:ascii="Calibri" w:hAnsi="Calibri" w:cs="Arial"/>
                                  <w:sz w:val="20"/>
                                  <w:szCs w:val="20"/>
                                </w:rPr>
                              </w:pPr>
                              <w:r w:rsidRPr="00EE6A5A">
                                <w:rPr>
                                  <w:rFonts w:ascii="Calibri" w:hAnsi="Calibri" w:cs="Arial"/>
                                  <w:sz w:val="20"/>
                                  <w:szCs w:val="20"/>
                                </w:rPr>
                                <w:t>Non</w:t>
                              </w:r>
                              <w:r>
                                <w:rPr>
                                  <w:rFonts w:ascii="Calibri" w:hAnsi="Calibri" w:cs="Arial"/>
                                  <w:sz w:val="20"/>
                                  <w:szCs w:val="20"/>
                                </w:rPr>
                                <w:noBreakHyphen/>
                              </w:r>
                              <w:r w:rsidRPr="00EE6A5A">
                                <w:rPr>
                                  <w:rFonts w:ascii="Calibri" w:hAnsi="Calibri" w:cs="Arial"/>
                                  <w:sz w:val="20"/>
                                  <w:szCs w:val="20"/>
                                </w:rPr>
                                <w:t>financial public sector</w:t>
                              </w:r>
                            </w:p>
                          </w:txbxContent>
                        </wps:txbx>
                        <wps:bodyPr rot="0" vert="horz" wrap="square" lIns="91440" tIns="45720" rIns="91440" bIns="45720" anchor="t" anchorCtr="0" upright="1">
                          <a:noAutofit/>
                        </wps:bodyPr>
                      </wps:wsp>
                      <wps:wsp>
                        <wps:cNvPr id="205" name="Rectangle 645"/>
                        <wps:cNvSpPr>
                          <a:spLocks noChangeArrowheads="1"/>
                        </wps:cNvSpPr>
                        <wps:spPr bwMode="auto">
                          <a:xfrm>
                            <a:off x="1762" y="6892"/>
                            <a:ext cx="2563" cy="677"/>
                          </a:xfrm>
                          <a:prstGeom prst="rect">
                            <a:avLst/>
                          </a:prstGeom>
                          <a:solidFill>
                            <a:srgbClr val="FFFFFF"/>
                          </a:solidFill>
                          <a:ln w="9525">
                            <a:solidFill>
                              <a:srgbClr val="000000"/>
                            </a:solidFill>
                            <a:miter lim="800000"/>
                            <a:headEnd/>
                            <a:tailEnd/>
                          </a:ln>
                        </wps:spPr>
                        <wps:txbx>
                          <w:txbxContent>
                            <w:p w:rsidR="00841B85" w:rsidRPr="00EE6A5A" w:rsidRDefault="00841B85" w:rsidP="007B38DD">
                              <w:pPr>
                                <w:jc w:val="center"/>
                                <w:rPr>
                                  <w:rFonts w:ascii="Calibri" w:hAnsi="Calibri" w:cs="Arial"/>
                                  <w:sz w:val="20"/>
                                  <w:szCs w:val="20"/>
                                </w:rPr>
                              </w:pPr>
                              <w:r w:rsidRPr="00EE6A5A">
                                <w:rPr>
                                  <w:rFonts w:ascii="Calibri" w:hAnsi="Calibri" w:cs="Arial"/>
                                  <w:sz w:val="20"/>
                                  <w:szCs w:val="20"/>
                                </w:rPr>
                                <w:t>General government</w:t>
                              </w:r>
                            </w:p>
                          </w:txbxContent>
                        </wps:txbx>
                        <wps:bodyPr rot="0" vert="horz" wrap="square" lIns="91440" tIns="45720" rIns="91440" bIns="45720" anchor="t" anchorCtr="0" upright="1">
                          <a:noAutofit/>
                        </wps:bodyPr>
                      </wps:wsp>
                      <wps:wsp>
                        <wps:cNvPr id="206" name="Rectangle 646"/>
                        <wps:cNvSpPr>
                          <a:spLocks noChangeArrowheads="1"/>
                        </wps:cNvSpPr>
                        <wps:spPr bwMode="auto">
                          <a:xfrm>
                            <a:off x="4398" y="6892"/>
                            <a:ext cx="2563" cy="677"/>
                          </a:xfrm>
                          <a:prstGeom prst="rect">
                            <a:avLst/>
                          </a:prstGeom>
                          <a:solidFill>
                            <a:srgbClr val="FFFFFF"/>
                          </a:solidFill>
                          <a:ln w="9525">
                            <a:solidFill>
                              <a:srgbClr val="000000"/>
                            </a:solidFill>
                            <a:miter lim="800000"/>
                            <a:headEnd/>
                            <a:tailEnd/>
                          </a:ln>
                        </wps:spPr>
                        <wps:txbx>
                          <w:txbxContent>
                            <w:p w:rsidR="00841B85" w:rsidRPr="00EE6A5A" w:rsidRDefault="00841B85" w:rsidP="00540F7E">
                              <w:pPr>
                                <w:spacing w:before="0"/>
                                <w:jc w:val="center"/>
                                <w:rPr>
                                  <w:rFonts w:ascii="Calibri" w:hAnsi="Calibri" w:cs="Arial"/>
                                  <w:sz w:val="20"/>
                                  <w:szCs w:val="20"/>
                                </w:rPr>
                              </w:pPr>
                              <w:r w:rsidRPr="00EE6A5A">
                                <w:rPr>
                                  <w:rFonts w:ascii="Calibri" w:hAnsi="Calibri" w:cs="Arial"/>
                                  <w:sz w:val="20"/>
                                  <w:szCs w:val="20"/>
                                </w:rPr>
                                <w:t>Public non</w:t>
                              </w:r>
                              <w:r>
                                <w:rPr>
                                  <w:rFonts w:ascii="Calibri" w:hAnsi="Calibri" w:cs="Arial"/>
                                  <w:sz w:val="20"/>
                                  <w:szCs w:val="20"/>
                                </w:rPr>
                                <w:noBreakHyphen/>
                              </w:r>
                              <w:r w:rsidRPr="00EE6A5A">
                                <w:rPr>
                                  <w:rFonts w:ascii="Calibri" w:hAnsi="Calibri" w:cs="Arial"/>
                                  <w:sz w:val="20"/>
                                  <w:szCs w:val="20"/>
                                </w:rPr>
                                <w:t>financial corporations</w:t>
                              </w:r>
                            </w:p>
                          </w:txbxContent>
                        </wps:txbx>
                        <wps:bodyPr rot="0" vert="horz" wrap="square" lIns="91440" tIns="45720" rIns="91440" bIns="45720" anchor="t" anchorCtr="0" upright="1">
                          <a:noAutofit/>
                        </wps:bodyPr>
                      </wps:wsp>
                      <wps:wsp>
                        <wps:cNvPr id="207" name="Rectangle 647"/>
                        <wps:cNvSpPr>
                          <a:spLocks noChangeArrowheads="1"/>
                        </wps:cNvSpPr>
                        <wps:spPr bwMode="auto">
                          <a:xfrm>
                            <a:off x="7026" y="6892"/>
                            <a:ext cx="2563" cy="677"/>
                          </a:xfrm>
                          <a:prstGeom prst="rect">
                            <a:avLst/>
                          </a:prstGeom>
                          <a:solidFill>
                            <a:srgbClr val="FFFFFF"/>
                          </a:solidFill>
                          <a:ln w="9525">
                            <a:solidFill>
                              <a:srgbClr val="000000"/>
                            </a:solidFill>
                            <a:miter lim="800000"/>
                            <a:headEnd/>
                            <a:tailEnd/>
                          </a:ln>
                        </wps:spPr>
                        <wps:txbx>
                          <w:txbxContent>
                            <w:p w:rsidR="00841B85" w:rsidRPr="00EE6A5A" w:rsidRDefault="00841B85" w:rsidP="008B04C2">
                              <w:pPr>
                                <w:spacing w:before="0"/>
                                <w:jc w:val="center"/>
                                <w:rPr>
                                  <w:rFonts w:ascii="Calibri" w:hAnsi="Calibri" w:cs="Arial"/>
                                  <w:sz w:val="20"/>
                                  <w:szCs w:val="20"/>
                                </w:rPr>
                              </w:pPr>
                              <w:r w:rsidRPr="00EE6A5A">
                                <w:rPr>
                                  <w:rFonts w:ascii="Calibri" w:hAnsi="Calibri" w:cs="Arial"/>
                                  <w:sz w:val="20"/>
                                  <w:szCs w:val="20"/>
                                </w:rPr>
                                <w:t>Public financial corporations</w:t>
                              </w:r>
                            </w:p>
                          </w:txbxContent>
                        </wps:txbx>
                        <wps:bodyPr rot="0" vert="horz" wrap="square" lIns="91440" tIns="45720" rIns="91440" bIns="45720" anchor="t" anchorCtr="0" upright="1">
                          <a:noAutofit/>
                        </wps:bodyPr>
                      </wps:wsp>
                      <wps:wsp>
                        <wps:cNvPr id="210" name="Line 650"/>
                        <wps:cNvCnPr/>
                        <wps:spPr bwMode="auto">
                          <a:xfrm flipV="1">
                            <a:off x="4008" y="5571"/>
                            <a:ext cx="0"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Rectangle 648"/>
                        <wps:cNvSpPr>
                          <a:spLocks noChangeArrowheads="1"/>
                        </wps:cNvSpPr>
                        <wps:spPr bwMode="auto">
                          <a:xfrm>
                            <a:off x="1762" y="8012"/>
                            <a:ext cx="2021" cy="672"/>
                          </a:xfrm>
                          <a:prstGeom prst="rect">
                            <a:avLst/>
                          </a:prstGeom>
                          <a:solidFill>
                            <a:srgbClr val="C0C0C0"/>
                          </a:solidFill>
                          <a:ln w="9525">
                            <a:solidFill>
                              <a:srgbClr val="000000"/>
                            </a:solidFill>
                            <a:miter lim="800000"/>
                            <a:headEnd/>
                            <a:tailEnd/>
                          </a:ln>
                        </wps:spPr>
                        <wps:txbx>
                          <w:txbxContent>
                            <w:p w:rsidR="00841B85" w:rsidRPr="00EE6A5A" w:rsidRDefault="00841B85" w:rsidP="007B38DD">
                              <w:pPr>
                                <w:jc w:val="center"/>
                                <w:rPr>
                                  <w:rFonts w:ascii="Calibri" w:hAnsi="Calibri" w:cs="Arial"/>
                                  <w:sz w:val="20"/>
                                  <w:szCs w:val="20"/>
                                </w:rPr>
                              </w:pPr>
                              <w:r w:rsidRPr="00EE6A5A">
                                <w:rPr>
                                  <w:rFonts w:ascii="Calibri" w:hAnsi="Calibri" w:cs="Arial"/>
                                  <w:sz w:val="20"/>
                                  <w:szCs w:val="20"/>
                                </w:rPr>
                                <w:t>Departments</w:t>
                              </w:r>
                            </w:p>
                          </w:txbxContent>
                        </wps:txbx>
                        <wps:bodyPr rot="0" vert="horz" wrap="square" lIns="91440" tIns="45720" rIns="91440" bIns="45720" anchor="t" anchorCtr="0" upright="1">
                          <a:noAutofit/>
                        </wps:bodyPr>
                      </wps:wsp>
                      <wps:wsp>
                        <wps:cNvPr id="209" name="Rectangle 649"/>
                        <wps:cNvSpPr>
                          <a:spLocks noChangeArrowheads="1"/>
                        </wps:cNvSpPr>
                        <wps:spPr bwMode="auto">
                          <a:xfrm>
                            <a:off x="3768" y="8012"/>
                            <a:ext cx="5839" cy="672"/>
                          </a:xfrm>
                          <a:prstGeom prst="rect">
                            <a:avLst/>
                          </a:prstGeom>
                          <a:solidFill>
                            <a:srgbClr val="FFFFFF"/>
                          </a:solidFill>
                          <a:ln w="9525">
                            <a:solidFill>
                              <a:srgbClr val="000000"/>
                            </a:solidFill>
                            <a:miter lim="800000"/>
                            <a:headEnd/>
                            <a:tailEnd/>
                          </a:ln>
                        </wps:spPr>
                        <wps:txbx>
                          <w:txbxContent>
                            <w:p w:rsidR="00841B85" w:rsidRPr="00EE6A5A" w:rsidRDefault="00841B85" w:rsidP="007B38DD">
                              <w:pPr>
                                <w:jc w:val="center"/>
                                <w:rPr>
                                  <w:rFonts w:ascii="Calibri" w:hAnsi="Calibri" w:cs="Arial"/>
                                  <w:sz w:val="20"/>
                                  <w:szCs w:val="20"/>
                                </w:rPr>
                              </w:pPr>
                              <w:r w:rsidRPr="00EE6A5A">
                                <w:rPr>
                                  <w:rFonts w:ascii="Calibri" w:hAnsi="Calibri" w:cs="Arial"/>
                                  <w:sz w:val="20"/>
                                  <w:szCs w:val="20"/>
                                </w:rPr>
                                <w:t>Statutory authorities and other agencies controlled by government</w:t>
                              </w:r>
                            </w:p>
                          </w:txbxContent>
                        </wps:txbx>
                        <wps:bodyPr rot="0" vert="horz" wrap="square" lIns="91440" tIns="45720" rIns="91440" bIns="45720" anchor="t" anchorCtr="0" upright="1">
                          <a:noAutofit/>
                        </wps:bodyPr>
                      </wps:wsp>
                      <wps:wsp>
                        <wps:cNvPr id="211" name="Line 651"/>
                        <wps:cNvCnPr/>
                        <wps:spPr bwMode="auto">
                          <a:xfrm flipV="1">
                            <a:off x="8106" y="5571"/>
                            <a:ext cx="3" cy="1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652"/>
                        <wps:cNvCnPr/>
                        <wps:spPr bwMode="auto">
                          <a:xfrm flipH="1" flipV="1">
                            <a:off x="3110" y="6452"/>
                            <a:ext cx="0" cy="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653"/>
                        <wps:cNvCnPr/>
                        <wps:spPr bwMode="auto">
                          <a:xfrm flipV="1">
                            <a:off x="5616" y="6452"/>
                            <a:ext cx="0" cy="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654"/>
                        <wps:cNvCnPr/>
                        <wps:spPr bwMode="auto">
                          <a:xfrm flipV="1">
                            <a:off x="2675" y="7572"/>
                            <a:ext cx="0" cy="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655"/>
                        <wps:cNvCnPr/>
                        <wps:spPr bwMode="auto">
                          <a:xfrm flipV="1">
                            <a:off x="4113" y="7557"/>
                            <a:ext cx="0" cy="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656"/>
                        <wps:cNvCnPr/>
                        <wps:spPr bwMode="auto">
                          <a:xfrm flipV="1">
                            <a:off x="5639" y="7572"/>
                            <a:ext cx="0" cy="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657"/>
                        <wps:cNvCnPr/>
                        <wps:spPr bwMode="auto">
                          <a:xfrm flipV="1">
                            <a:off x="8124" y="7572"/>
                            <a:ext cx="0" cy="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42" o:spid="_x0000_s1031" style="width:393pt;height:185.4pt;mso-position-horizontal-relative:char;mso-position-vertical-relative:line" coordorigin="1762,4976" coordsize="7860,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40NgUAAAorAAAOAAAAZHJzL2Uyb0RvYy54bWzsWltvq0YQfq/U/4B4T8zi5aqQo8hO0kqn&#10;bdTT9n3NXQWWLiR2WvW/d/bCxsR2ThsnrtqDIzngXYbZmY9hvpm9+LCpK+MhZV1Jm8hE55ZppE1M&#10;k7LJI/Pnn27OfNPoetIkpKJNGpmPaWd+uPz6q4t1G6Y2LWiVpMwAIU0XrtvILPq+DWezLi7SmnTn&#10;tE0bGMwoq0kPpyyfJYysQXpdzWzLcmdrypKW0TjtOvh1KQfNSyE/y9K4/yHLurQ3qsgE3XrxzcT3&#10;in/PLi9ImDPSFmWs1CCv0KImZQM31aKWpCfGPSt3RNVlzGhHs/48pvWMZlkZp2INsBpkPVvNLaP3&#10;rVhLHq7zVpsJTPvMTq8WG3//cMeMMolM27JNoyE1OEnc13Cxzc2zbvMQZt2y9lN7x+Qa4fAjjX/t&#10;YHj2fJyf53KysVp/RxMQSO57KsyzyVjNRcDCjY3wwqP2QrrpjRh+xEGAkAXOimHMnjvY8ZWf4gKc&#10;ya9DngvKwjAOPFf6MC6u1fWe76qL557l89EZCeWNhbJKOb4ywFz3ZNbuOLN+KkibCm913GDarPPB&#10;rD8CGkmTVymYdi5NK2YOdu2kUY2GLgqYl14xRtdFShJQDIl1cI1BtLyAn3Tgks9aeY+1Bls/2coF&#10;92+bioQt6/rblNYGP4hMBtoLH5KHj10vpw5TuEs7WpXJTVlV4oTlq0XFjAcCz92N+Cjpo2lVY6wj&#10;M3BsR0gejXXbIizx2SeiLnsIIFVZR6avJ5GQm+26SUBNEvakrOQxAKFqBGal6SQG+s1qIx4B7ZQV&#10;TR7BsIzKeAHxDQ4Kyn43jTXEisjsfrsnLDWN6tsGnBMgjHlwESfY8Ww4Ydsjq+0R0sQgKjJ705CH&#10;i14GpPuWlXkBd0LCGg29gscmK4WtubOlVkp9AO7JEIz3IRhzb4wACRh4bwS7FhIwJeGAYMdFjgwV&#10;GHtfPIK1UyYEj2IwQES+2rZjsPOvINgPniHYdlx4RfCXnetNCNZOmRA8QrC7D8Ei9zlRDMbzAHJ5&#10;jtIJwS9mEdopE4JHCPb2IVgEvBMh2LNseIomBAtC9FIerJ0yIXgbwQjSeplFfCwbIHGOoKUKvIvm&#10;jqmE+DApM7KqbH8ZEnxFgrEFLJXD0nE8QfOeklvFYzEe09gdblaBPi9xs4ZyYibI0BtQLqhKKGa1&#10;h2UZ/WMLjL9npaC6QJgis04ToEopFIj4EaiheJhYKJBJTtJ4Pi8KJn8EVnDtX/v4DNvu9Rm2lsuz&#10;q5sFPnNvkOcs58vFYon+5KtFOCzKJEkbvriheIPw32Pxqowkyy66fKMNNRtLFyqDisN/oTRUE7Zp&#10;pHxY+Or476fkZwCf3exWQOZEkVVXGPwdfgZlJTRkt+9WYVhY/E8ha1RFeAO4v2WFQTtliqzbkdUK&#10;9iE4OCE/m3uuDMK7CHb8Oagn+dm7Ifg/UyPTTpkQvI1gBEFulBuIN/nRuYGPLJmy7uYGqmaA5pCW&#10;yFfqUFwfqrKqcDslB19ycgD10jEwRQj7x8D8hiete9PXOTRrJKvCzrPKlk5fBSXWXZgpfZ3S160G&#10;GdINMkWrdBsGJr2eVkFjQLH9CZdlZE606mCb/UDjFum2l8Klbq4chUvb9aAbAXTfg0Yhf3PvoftT&#10;vJzofpMfwqVuZilc6pbJUbjEiAdigUtHFAAnXE5lqGTftqRDuNQtKoVL3Qg5CpfQHQX6PcXLqTz6&#10;ue1yh3CpG08Kl7q9cRQufWRDgjDh8n+IS7FNEDZcimq/2hzKd3Run4sy/9MW1su/AAAA//8DAFBL&#10;AwQUAAYACAAAACEA+kCF7dwAAAAFAQAADwAAAGRycy9kb3ducmV2LnhtbEyPQUvDQBCF74L/YRnB&#10;m93EYhtiNqUU9VQEW0G8TZNpEpqdDdltkv57Ry/18uDxhve+yVaTbdVAvW8cG4hnESjiwpUNVwY+&#10;968PCSgfkEtsHZOBC3lY5bc3GaalG/mDhl2olJSwT9FAHUKXau2Lmiz6meuIJTu63mIQ21e67HGU&#10;ctvqxyhaaIsNy0KNHW1qKk67szXwNuK4nscvw/Z03Fy+90/vX9uYjLm/m9bPoAJN4XoMv/iCDrkw&#10;HdyZS69aA/JI+FPJlslC7MHAfBkloPNM/6fPfwAAAP//AwBQSwECLQAUAAYACAAAACEAtoM4kv4A&#10;AADhAQAAEwAAAAAAAAAAAAAAAAAAAAAAW0NvbnRlbnRfVHlwZXNdLnhtbFBLAQItABQABgAIAAAA&#10;IQA4/SH/1gAAAJQBAAALAAAAAAAAAAAAAAAAAC8BAABfcmVscy8ucmVsc1BLAQItABQABgAIAAAA&#10;IQDxlK40NgUAAAorAAAOAAAAAAAAAAAAAAAAAC4CAABkcnMvZTJvRG9jLnhtbFBLAQItABQABgAI&#10;AAAAIQD6QIXt3AAAAAUBAAAPAAAAAAAAAAAAAAAAAJAHAABkcnMvZG93bnJldi54bWxQSwUGAAAA&#10;AAQABADzAAAAmQgAAAAA&#10;">
                <v:rect id="Rectangle 643" o:spid="_x0000_s1032" style="position:absolute;left:1762;top:4976;width:786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textbox>
                    <w:txbxContent>
                      <w:p w:rsidR="00841B85" w:rsidRPr="00EE6A5A" w:rsidRDefault="00841B85" w:rsidP="007B38DD">
                        <w:pPr>
                          <w:spacing w:before="100"/>
                          <w:jc w:val="center"/>
                          <w:rPr>
                            <w:rFonts w:ascii="Calibri" w:hAnsi="Calibri" w:cs="Arial"/>
                            <w:sz w:val="20"/>
                            <w:szCs w:val="20"/>
                          </w:rPr>
                        </w:pPr>
                        <w:r w:rsidRPr="00EE6A5A">
                          <w:rPr>
                            <w:rFonts w:ascii="Calibri" w:hAnsi="Calibri" w:cs="Arial"/>
                            <w:sz w:val="20"/>
                            <w:szCs w:val="20"/>
                          </w:rPr>
                          <w:t>State of Victoria</w:t>
                        </w:r>
                      </w:p>
                    </w:txbxContent>
                  </v:textbox>
                </v:rect>
                <v:rect id="Rectangle 644" o:spid="_x0000_s1033" style="position:absolute;left:1762;top:6012;width:561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841B85" w:rsidRPr="00EE6A5A" w:rsidRDefault="00841B85" w:rsidP="00540F7E">
                        <w:pPr>
                          <w:spacing w:before="0"/>
                          <w:jc w:val="center"/>
                          <w:rPr>
                            <w:rFonts w:ascii="Calibri" w:hAnsi="Calibri" w:cs="Arial"/>
                            <w:sz w:val="20"/>
                            <w:szCs w:val="20"/>
                          </w:rPr>
                        </w:pPr>
                        <w:r w:rsidRPr="00EE6A5A">
                          <w:rPr>
                            <w:rFonts w:ascii="Calibri" w:hAnsi="Calibri" w:cs="Arial"/>
                            <w:sz w:val="20"/>
                            <w:szCs w:val="20"/>
                          </w:rPr>
                          <w:t>Non</w:t>
                        </w:r>
                        <w:r>
                          <w:rPr>
                            <w:rFonts w:ascii="Calibri" w:hAnsi="Calibri" w:cs="Arial"/>
                            <w:sz w:val="20"/>
                            <w:szCs w:val="20"/>
                          </w:rPr>
                          <w:noBreakHyphen/>
                        </w:r>
                        <w:r w:rsidRPr="00EE6A5A">
                          <w:rPr>
                            <w:rFonts w:ascii="Calibri" w:hAnsi="Calibri" w:cs="Arial"/>
                            <w:sz w:val="20"/>
                            <w:szCs w:val="20"/>
                          </w:rPr>
                          <w:t>financial public sector</w:t>
                        </w:r>
                      </w:p>
                    </w:txbxContent>
                  </v:textbox>
                </v:rect>
                <v:rect id="Rectangle 645" o:spid="_x0000_s1034" style="position:absolute;left:1762;top:6892;width:2563;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841B85" w:rsidRPr="00EE6A5A" w:rsidRDefault="00841B85" w:rsidP="007B38DD">
                        <w:pPr>
                          <w:jc w:val="center"/>
                          <w:rPr>
                            <w:rFonts w:ascii="Calibri" w:hAnsi="Calibri" w:cs="Arial"/>
                            <w:sz w:val="20"/>
                            <w:szCs w:val="20"/>
                          </w:rPr>
                        </w:pPr>
                        <w:r w:rsidRPr="00EE6A5A">
                          <w:rPr>
                            <w:rFonts w:ascii="Calibri" w:hAnsi="Calibri" w:cs="Arial"/>
                            <w:sz w:val="20"/>
                            <w:szCs w:val="20"/>
                          </w:rPr>
                          <w:t>General government</w:t>
                        </w:r>
                      </w:p>
                    </w:txbxContent>
                  </v:textbox>
                </v:rect>
                <v:rect id="Rectangle 646" o:spid="_x0000_s1035" style="position:absolute;left:4398;top:6892;width:2563;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841B85" w:rsidRPr="00EE6A5A" w:rsidRDefault="00841B85" w:rsidP="00540F7E">
                        <w:pPr>
                          <w:spacing w:before="0"/>
                          <w:jc w:val="center"/>
                          <w:rPr>
                            <w:rFonts w:ascii="Calibri" w:hAnsi="Calibri" w:cs="Arial"/>
                            <w:sz w:val="20"/>
                            <w:szCs w:val="20"/>
                          </w:rPr>
                        </w:pPr>
                        <w:r w:rsidRPr="00EE6A5A">
                          <w:rPr>
                            <w:rFonts w:ascii="Calibri" w:hAnsi="Calibri" w:cs="Arial"/>
                            <w:sz w:val="20"/>
                            <w:szCs w:val="20"/>
                          </w:rPr>
                          <w:t>Public non</w:t>
                        </w:r>
                        <w:r>
                          <w:rPr>
                            <w:rFonts w:ascii="Calibri" w:hAnsi="Calibri" w:cs="Arial"/>
                            <w:sz w:val="20"/>
                            <w:szCs w:val="20"/>
                          </w:rPr>
                          <w:noBreakHyphen/>
                        </w:r>
                        <w:r w:rsidRPr="00EE6A5A">
                          <w:rPr>
                            <w:rFonts w:ascii="Calibri" w:hAnsi="Calibri" w:cs="Arial"/>
                            <w:sz w:val="20"/>
                            <w:szCs w:val="20"/>
                          </w:rPr>
                          <w:t>financial corporations</w:t>
                        </w:r>
                      </w:p>
                    </w:txbxContent>
                  </v:textbox>
                </v:rect>
                <v:rect id="Rectangle 647" o:spid="_x0000_s1036" style="position:absolute;left:7026;top:6892;width:2563;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841B85" w:rsidRPr="00EE6A5A" w:rsidRDefault="00841B85" w:rsidP="008B04C2">
                        <w:pPr>
                          <w:spacing w:before="0"/>
                          <w:jc w:val="center"/>
                          <w:rPr>
                            <w:rFonts w:ascii="Calibri" w:hAnsi="Calibri" w:cs="Arial"/>
                            <w:sz w:val="20"/>
                            <w:szCs w:val="20"/>
                          </w:rPr>
                        </w:pPr>
                        <w:r w:rsidRPr="00EE6A5A">
                          <w:rPr>
                            <w:rFonts w:ascii="Calibri" w:hAnsi="Calibri" w:cs="Arial"/>
                            <w:sz w:val="20"/>
                            <w:szCs w:val="20"/>
                          </w:rPr>
                          <w:t>Public financial corporations</w:t>
                        </w:r>
                      </w:p>
                    </w:txbxContent>
                  </v:textbox>
                </v:rect>
                <v:line id="Line 650" o:spid="_x0000_s1037" style="position:absolute;flip:y;visibility:visible;mso-wrap-style:square" from="4008,5571" to="4008,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rect id="Rectangle 648" o:spid="_x0000_s1038" style="position:absolute;left:1762;top:8012;width:2021;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RbcEA&#10;AADcAAAADwAAAGRycy9kb3ducmV2LnhtbERPXWvCMBR9F/wP4Qp701RBcdUoItuYMJBpwddLcm2L&#10;zU1pUtv565cHwcfD+V5ve1uJOzW+dKxgOklAEGtnSs4VZOfP8RKED8gGK8ek4I88bDfDwRpT4zr+&#10;pfsp5CKGsE9RQRFCnUrpdUEW/cTVxJG7usZiiLDJpWmwi+G2krMkWUiLJceGAmvaF6Rvp9Yq0O/t&#10;ocv5cMRH5udfl/ZD/8wzpd5G/W4FIlAfXuKn+9somCVxbT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nEW3BAAAA3AAAAA8AAAAAAAAAAAAAAAAAmAIAAGRycy9kb3du&#10;cmV2LnhtbFBLBQYAAAAABAAEAPUAAACGAwAAAAA=&#10;" fillcolor="silver">
                  <v:textbox>
                    <w:txbxContent>
                      <w:p w:rsidR="00841B85" w:rsidRPr="00EE6A5A" w:rsidRDefault="00841B85" w:rsidP="007B38DD">
                        <w:pPr>
                          <w:jc w:val="center"/>
                          <w:rPr>
                            <w:rFonts w:ascii="Calibri" w:hAnsi="Calibri" w:cs="Arial"/>
                            <w:sz w:val="20"/>
                            <w:szCs w:val="20"/>
                          </w:rPr>
                        </w:pPr>
                        <w:r w:rsidRPr="00EE6A5A">
                          <w:rPr>
                            <w:rFonts w:ascii="Calibri" w:hAnsi="Calibri" w:cs="Arial"/>
                            <w:sz w:val="20"/>
                            <w:szCs w:val="20"/>
                          </w:rPr>
                          <w:t>Departments</w:t>
                        </w:r>
                      </w:p>
                    </w:txbxContent>
                  </v:textbox>
                </v:rect>
                <v:rect id="Rectangle 649" o:spid="_x0000_s1039" style="position:absolute;left:3768;top:8012;width:5839;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841B85" w:rsidRPr="00EE6A5A" w:rsidRDefault="00841B85" w:rsidP="007B38DD">
                        <w:pPr>
                          <w:jc w:val="center"/>
                          <w:rPr>
                            <w:rFonts w:ascii="Calibri" w:hAnsi="Calibri" w:cs="Arial"/>
                            <w:sz w:val="20"/>
                            <w:szCs w:val="20"/>
                          </w:rPr>
                        </w:pPr>
                        <w:r w:rsidRPr="00EE6A5A">
                          <w:rPr>
                            <w:rFonts w:ascii="Calibri" w:hAnsi="Calibri" w:cs="Arial"/>
                            <w:sz w:val="20"/>
                            <w:szCs w:val="20"/>
                          </w:rPr>
                          <w:t>Statutory authorities and other agencies controlled by government</w:t>
                        </w:r>
                      </w:p>
                    </w:txbxContent>
                  </v:textbox>
                </v:rect>
                <v:line id="Line 651" o:spid="_x0000_s1040" style="position:absolute;flip:y;visibility:visible;mso-wrap-style:square" from="8106,5571" to="8109,6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652" o:spid="_x0000_s1041" style="position:absolute;flip:x y;visibility:visible;mso-wrap-style:square" from="3110,6452" to="3110,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LhMUAAADcAAAADwAAAGRycy9kb3ducmV2LnhtbESPQWvCQBSE7wX/w/KE3uomOYiNrlIE&#10;wYMXtdTrS/aZTc2+TbJrTP+9Wyj0OMzMN8xqM9pGDNT72rGCdJaAIC6drrlS8HnevS1A+ICssXFM&#10;Cn7Iw2Y9eVlhrt2DjzScQiUihH2OCkwIbS6lLw1Z9DPXEkfv6nqLIcq+krrHR4TbRmZJMpcWa44L&#10;BlvaGipvp7tVMBT39PvrcLz54tK9FwvTbQ/dXKnX6fixBBFoDP/hv/ZeK8jSDH7Px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XLhMUAAADcAAAADwAAAAAAAAAA&#10;AAAAAAChAgAAZHJzL2Rvd25yZXYueG1sUEsFBgAAAAAEAAQA+QAAAJMDAAAAAA==&#10;">
                  <v:stroke endarrow="block"/>
                </v:line>
                <v:line id="Line 653" o:spid="_x0000_s1042" style="position:absolute;flip:y;visibility:visible;mso-wrap-style:square" from="5616,6452" to="5616,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line id="Line 654" o:spid="_x0000_s1043" style="position:absolute;flip:y;visibility:visible;mso-wrap-style:square" from="2675,7572" to="2675,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v:line id="Line 655" o:spid="_x0000_s1044" style="position:absolute;flip:y;visibility:visible;mso-wrap-style:square" from="4113,7557" to="4113,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line id="Line 656" o:spid="_x0000_s1045" style="position:absolute;flip:y;visibility:visible;mso-wrap-style:square" from="5639,7572" to="5639,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l8UAAADcAAAADwAAAGRycy9kb3ducmV2LnhtbESPQWvCQBCF74L/YZlCL6FuEkFs6iq2&#10;VhCkh2oPPQ7ZaRKanQ3ZUdN/3xUEj48373vzFqvBtepMfWg8G8gmKSji0tuGKwNfx+3THFQQZIut&#10;ZzLwRwFWy/FogYX1F/6k80EqFSEcCjRQi3SF1qGsyWGY+I44ej++dyhR9pW2PV4i3LU6T9OZdthw&#10;bKixo7eayt/DycU3th+8mU6TV6eT5Jnev2WfajHm8WFYv4ASGuR+fEvvrIE8m8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dl8UAAADcAAAADwAAAAAAAAAA&#10;AAAAAAChAgAAZHJzL2Rvd25yZXYueG1sUEsFBgAAAAAEAAQA+QAAAJMDAAAAAA==&#10;">
                  <v:stroke endarrow="block"/>
                </v:line>
                <v:line id="Line 657" o:spid="_x0000_s1046" style="position:absolute;flip:y;visibility:visible;mso-wrap-style:square" from="8124,7572" to="8124,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4DMUAAADcAAAADwAAAGRycy9kb3ducmV2LnhtbESPQWvCQBCF74L/YRnBS9CNCq1NXUVt&#10;hULpoeqhxyE7TYLZ2ZAdNf57t1Dw+HjzvjdvsepcrS7Uhsqzgck4BUWce1txYeB42I3moIIgW6w9&#10;k4EbBVgt+70FZtZf+ZsueylUhHDI0EAp0mRah7wkh2HsG+Lo/frWoUTZFtq2eI1wV+tpmj5phxXH&#10;hhIb2paUn/ZnF9/YffHbbJZsnE6SF3r/kc9UizHDQbd+BSXUyeP4P/1hDUwnz/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v4DMUAAADcAAAADwAAAAAAAAAA&#10;AAAAAAChAgAAZHJzL2Rvd25yZXYueG1sUEsFBgAAAAAEAAQA+QAAAJMDAAAAAA==&#10;">
                  <v:stroke endarrow="block"/>
                </v:line>
                <w10:anchorlock/>
              </v:group>
            </w:pict>
          </mc:Fallback>
        </mc:AlternateContent>
      </w:r>
    </w:p>
    <w:p w:rsidR="00A20066" w:rsidRPr="003E340D" w:rsidRDefault="00A20066" w:rsidP="00A20066">
      <w:pPr>
        <w:pStyle w:val="Notes"/>
        <w:ind w:left="461" w:hanging="461"/>
      </w:pPr>
    </w:p>
    <w:p w:rsidR="00A20066" w:rsidRPr="003E340D" w:rsidRDefault="00A20066" w:rsidP="00A20066">
      <w:pPr>
        <w:pStyle w:val="Notes"/>
      </w:pPr>
    </w:p>
    <w:p w:rsidR="00930D72" w:rsidRPr="003E340D" w:rsidRDefault="00930D72" w:rsidP="00244F5E">
      <w:pPr>
        <w:pStyle w:val="Source"/>
      </w:pPr>
      <w:r w:rsidRPr="003E340D">
        <w:t xml:space="preserve">Source: Department of Treasury and Finance </w:t>
      </w:r>
    </w:p>
    <w:p w:rsidR="00244F5E" w:rsidRPr="003E340D" w:rsidRDefault="00244F5E" w:rsidP="009B11B0">
      <w:pPr>
        <w:pStyle w:val="Notes"/>
      </w:pPr>
    </w:p>
    <w:p w:rsidR="00930D72" w:rsidRPr="003E340D" w:rsidRDefault="00930D72" w:rsidP="00DF5A03">
      <w:pPr>
        <w:tabs>
          <w:tab w:val="left" w:pos="9000"/>
        </w:tabs>
        <w:spacing w:before="100"/>
      </w:pPr>
      <w:r w:rsidRPr="003E340D">
        <w:t xml:space="preserve">The Victorian general government sector is the largest sector and forms the basis of the estimates published in the budget papers. As shown in Diagram 2, the general government sector comprises government departments and other bodies engaged in providing public services free of charge or at prices significantly below the cost of production for example, schools and hospitals. They generally receive more than 50 per cent of their funding from budget appropriations. </w:t>
      </w:r>
    </w:p>
    <w:p w:rsidR="00930D72" w:rsidRPr="003E340D" w:rsidRDefault="00930D72" w:rsidP="00C86FCD">
      <w:pPr>
        <w:spacing w:before="100"/>
      </w:pPr>
      <w:r w:rsidRPr="003E340D">
        <w:t>Organisations in other sectors of government – the PNFCs and PFCs – operate as stand</w:t>
      </w:r>
      <w:r w:rsidR="005A4BB0">
        <w:noBreakHyphen/>
      </w:r>
      <w:r w:rsidRPr="003E340D">
        <w:t>alone business enterprises</w:t>
      </w:r>
      <w:r w:rsidR="008B6410" w:rsidRPr="003E340D">
        <w:t>,</w:t>
      </w:r>
      <w:r w:rsidRPr="003E340D">
        <w:t xml:space="preserve"> which aim to recover most of their costs involved in delivering their goods or services. Such entities include water and port authorities (PNFCs) and the Transport Accident Commission and Treasury Corporation Victoria (PFCs). Both the PNFC and PFC sectors are treated as equity investments of the general government sector. </w:t>
      </w:r>
    </w:p>
    <w:p w:rsidR="00930D72" w:rsidRPr="003E340D" w:rsidRDefault="00930D72" w:rsidP="00C86FCD">
      <w:pPr>
        <w:spacing w:before="100"/>
      </w:pPr>
      <w:r w:rsidRPr="003E340D">
        <w:t>The non</w:t>
      </w:r>
      <w:r w:rsidR="005A4BB0">
        <w:noBreakHyphen/>
      </w:r>
      <w:r w:rsidRPr="003E340D">
        <w:t xml:space="preserve">financial public sector (NFPS) represents a consolidation of the general government sector and PNFCs, after eliminating any transactions and debtor/creditor relationships between those sectors to avoid double counting. Similarly, the whole of state (WOS) is the consolidation (after relevant eliminations) of the NFPS with the PFCs. A </w:t>
      </w:r>
      <w:r w:rsidR="00C7677C" w:rsidRPr="003E340D">
        <w:t xml:space="preserve">more detailed </w:t>
      </w:r>
      <w:r w:rsidRPr="003E340D">
        <w:t xml:space="preserve">explanation of the characteristics of each of these sectors can be found in the </w:t>
      </w:r>
      <w:r w:rsidRPr="003E340D">
        <w:rPr>
          <w:i/>
        </w:rPr>
        <w:t>201</w:t>
      </w:r>
      <w:r w:rsidR="002F2E59" w:rsidRPr="003E340D">
        <w:rPr>
          <w:i/>
        </w:rPr>
        <w:t>4</w:t>
      </w:r>
      <w:r w:rsidR="005A4BB0">
        <w:rPr>
          <w:i/>
        </w:rPr>
        <w:noBreakHyphen/>
      </w:r>
      <w:r w:rsidRPr="003E340D">
        <w:rPr>
          <w:i/>
        </w:rPr>
        <w:t>1</w:t>
      </w:r>
      <w:r w:rsidR="002F2E59" w:rsidRPr="003E340D">
        <w:rPr>
          <w:i/>
        </w:rPr>
        <w:t>5</w:t>
      </w:r>
      <w:r w:rsidRPr="003E340D">
        <w:t xml:space="preserve"> </w:t>
      </w:r>
      <w:r w:rsidRPr="003E340D">
        <w:rPr>
          <w:i/>
          <w:iCs/>
        </w:rPr>
        <w:t>Annual Financial Report</w:t>
      </w:r>
      <w:r w:rsidRPr="003E340D">
        <w:t xml:space="preserve">. </w:t>
      </w:r>
    </w:p>
    <w:p w:rsidR="00C86FCD" w:rsidRPr="003E340D" w:rsidRDefault="00930D72" w:rsidP="00C86FCD">
      <w:pPr>
        <w:spacing w:before="100"/>
      </w:pPr>
      <w:r w:rsidRPr="003E340D">
        <w:t>Under the FMA, the budget papers mainly relate to the general government sector whereas the mid</w:t>
      </w:r>
      <w:r w:rsidR="005A4BB0">
        <w:noBreakHyphen/>
      </w:r>
      <w:r w:rsidRPr="003E340D">
        <w:t>year and annual financial reports include both the WOS and general government sector as required by the accounting standards. A comprehensive list of public sector agencies, identified by sector, that submit financial data for consolidation into the State</w:t>
      </w:r>
      <w:r w:rsidR="005A4BB0">
        <w:t>’</w:t>
      </w:r>
      <w:r w:rsidRPr="003E340D">
        <w:t>s key financial publications can be found in Note 4</w:t>
      </w:r>
      <w:r w:rsidR="00A939CB" w:rsidRPr="003E340D">
        <w:t>2</w:t>
      </w:r>
      <w:r w:rsidRPr="003E340D">
        <w:t xml:space="preserve"> of the </w:t>
      </w:r>
      <w:r w:rsidRPr="003E340D">
        <w:rPr>
          <w:i/>
        </w:rPr>
        <w:t>201</w:t>
      </w:r>
      <w:r w:rsidR="002F2E59" w:rsidRPr="003E340D">
        <w:rPr>
          <w:i/>
        </w:rPr>
        <w:t>4</w:t>
      </w:r>
      <w:r w:rsidR="005A4BB0">
        <w:rPr>
          <w:i/>
        </w:rPr>
        <w:noBreakHyphen/>
      </w:r>
      <w:r w:rsidRPr="003E340D">
        <w:rPr>
          <w:i/>
        </w:rPr>
        <w:t>1</w:t>
      </w:r>
      <w:r w:rsidR="002F2E59" w:rsidRPr="003E340D">
        <w:rPr>
          <w:i/>
        </w:rPr>
        <w:t>5</w:t>
      </w:r>
      <w:r w:rsidRPr="003E340D">
        <w:rPr>
          <w:i/>
        </w:rPr>
        <w:t xml:space="preserve"> </w:t>
      </w:r>
      <w:r w:rsidR="007E785C" w:rsidRPr="003E340D">
        <w:rPr>
          <w:i/>
        </w:rPr>
        <w:t xml:space="preserve">Annual </w:t>
      </w:r>
      <w:r w:rsidRPr="003E340D">
        <w:rPr>
          <w:i/>
        </w:rPr>
        <w:t>Financial Report</w:t>
      </w:r>
      <w:r w:rsidRPr="003E340D">
        <w:t xml:space="preserve">. </w:t>
      </w:r>
    </w:p>
    <w:p w:rsidR="00C86FCD" w:rsidRPr="003E340D" w:rsidRDefault="00C86FCD">
      <w:pPr>
        <w:spacing w:line="240" w:lineRule="atLeast"/>
      </w:pPr>
      <w:r w:rsidRPr="003E340D">
        <w:br w:type="page"/>
      </w:r>
    </w:p>
    <w:p w:rsidR="00244F5E" w:rsidRPr="003E340D" w:rsidRDefault="00930D72" w:rsidP="00C86FCD">
      <w:pPr>
        <w:spacing w:before="100"/>
      </w:pPr>
      <w:r w:rsidRPr="003E340D">
        <w:lastRenderedPageBreak/>
        <w:t xml:space="preserve">Diagram 3 </w:t>
      </w:r>
      <w:r w:rsidRPr="003E340D">
        <w:rPr>
          <w:i/>
          <w:iCs/>
        </w:rPr>
        <w:t xml:space="preserve">Publication coverage and project indicative timelines </w:t>
      </w:r>
      <w:r w:rsidRPr="003E340D">
        <w:t xml:space="preserve">provides further details regarding the reporting sector/entity basis of the key financial publications issued by DTF. </w:t>
      </w:r>
    </w:p>
    <w:p w:rsidR="00F0667C" w:rsidRPr="003E340D" w:rsidRDefault="00F0667C" w:rsidP="00F0667C">
      <w:pPr>
        <w:pStyle w:val="Tableheading"/>
      </w:pPr>
      <w:r w:rsidRPr="003E340D">
        <w:t>Diagram 3: Publication coverage a</w:t>
      </w:r>
      <w:r>
        <w:t>nd project indicative timelines</w:t>
      </w:r>
    </w:p>
    <w:tbl>
      <w:tblPr>
        <w:tblW w:w="9999" w:type="dxa"/>
        <w:tblLayout w:type="fixed"/>
        <w:tblCellMar>
          <w:left w:w="29" w:type="dxa"/>
          <w:right w:w="29" w:type="dxa"/>
        </w:tblCellMar>
        <w:tblLook w:val="0000" w:firstRow="0" w:lastRow="0" w:firstColumn="0" w:lastColumn="0" w:noHBand="0" w:noVBand="0"/>
      </w:tblPr>
      <w:tblGrid>
        <w:gridCol w:w="373"/>
        <w:gridCol w:w="3180"/>
        <w:gridCol w:w="318"/>
        <w:gridCol w:w="318"/>
        <w:gridCol w:w="318"/>
        <w:gridCol w:w="318"/>
        <w:gridCol w:w="318"/>
        <w:gridCol w:w="318"/>
        <w:gridCol w:w="318"/>
        <w:gridCol w:w="318"/>
        <w:gridCol w:w="318"/>
        <w:gridCol w:w="318"/>
        <w:gridCol w:w="318"/>
        <w:gridCol w:w="318"/>
        <w:gridCol w:w="318"/>
        <w:gridCol w:w="318"/>
        <w:gridCol w:w="318"/>
        <w:gridCol w:w="323"/>
        <w:gridCol w:w="383"/>
        <w:gridCol w:w="323"/>
        <w:gridCol w:w="324"/>
        <w:gridCol w:w="323"/>
      </w:tblGrid>
      <w:tr w:rsidR="00F0667C" w:rsidRPr="003E340D" w:rsidTr="00F0667C">
        <w:trPr>
          <w:gridAfter w:val="5"/>
          <w:wAfter w:w="1676" w:type="dxa"/>
          <w:cantSplit/>
        </w:trPr>
        <w:tc>
          <w:tcPr>
            <w:tcW w:w="373" w:type="dxa"/>
            <w:tcBorders>
              <w:left w:val="nil"/>
            </w:tcBorders>
            <w:noWrap/>
            <w:vAlign w:val="bottom"/>
          </w:tcPr>
          <w:p w:rsidR="00F0667C" w:rsidRPr="003E340D" w:rsidRDefault="00F0667C" w:rsidP="00F0667C">
            <w:pPr>
              <w:spacing w:before="0"/>
              <w:jc w:val="center"/>
              <w:rPr>
                <w:rFonts w:ascii="Arial" w:hAnsi="Arial" w:cs="Arial"/>
                <w:sz w:val="20"/>
                <w:szCs w:val="20"/>
              </w:rPr>
            </w:pPr>
          </w:p>
        </w:tc>
        <w:tc>
          <w:tcPr>
            <w:tcW w:w="3180" w:type="dxa"/>
            <w:tcBorders>
              <w:left w:val="nil"/>
              <w:right w:val="single" w:sz="4" w:space="0" w:color="auto"/>
            </w:tcBorders>
            <w:noWrap/>
          </w:tcPr>
          <w:p w:rsidR="00F0667C" w:rsidRPr="003E340D" w:rsidRDefault="00F0667C" w:rsidP="00F0667C">
            <w:pPr>
              <w:rPr>
                <w:sz w:val="17"/>
                <w:szCs w:val="17"/>
              </w:rPr>
            </w:pPr>
          </w:p>
        </w:tc>
        <w:tc>
          <w:tcPr>
            <w:tcW w:w="4770" w:type="dxa"/>
            <w:gridSpan w:val="15"/>
            <w:tcBorders>
              <w:top w:val="single" w:sz="4" w:space="0" w:color="auto"/>
              <w:left w:val="single" w:sz="4" w:space="0" w:color="auto"/>
              <w:bottom w:val="single" w:sz="4" w:space="0" w:color="auto"/>
              <w:right w:val="single" w:sz="4" w:space="0" w:color="auto"/>
            </w:tcBorders>
            <w:noWrap/>
          </w:tcPr>
          <w:p w:rsidR="00F0667C" w:rsidRPr="003E340D" w:rsidRDefault="00F0667C" w:rsidP="00F0667C">
            <w:pPr>
              <w:pStyle w:val="TableofFigures"/>
              <w:jc w:val="center"/>
              <w:rPr>
                <w:b/>
                <w:sz w:val="16"/>
                <w:szCs w:val="16"/>
              </w:rPr>
            </w:pPr>
            <w:r w:rsidRPr="003E340D">
              <w:rPr>
                <w:b/>
              </w:rPr>
              <w:t>Publication timelines</w:t>
            </w:r>
          </w:p>
        </w:tc>
      </w:tr>
      <w:tr w:rsidR="00F0667C" w:rsidRPr="003E340D" w:rsidTr="00F0667C">
        <w:trPr>
          <w:cantSplit/>
        </w:trPr>
        <w:tc>
          <w:tcPr>
            <w:tcW w:w="373" w:type="dxa"/>
            <w:tcBorders>
              <w:left w:val="nil"/>
              <w:bottom w:val="single" w:sz="4" w:space="0" w:color="auto"/>
            </w:tcBorders>
            <w:noWrap/>
            <w:vAlign w:val="bottom"/>
          </w:tcPr>
          <w:p w:rsidR="00F0667C" w:rsidRPr="003E340D" w:rsidRDefault="00F0667C" w:rsidP="00F0667C">
            <w:pPr>
              <w:spacing w:before="0"/>
              <w:jc w:val="center"/>
              <w:rPr>
                <w:rFonts w:ascii="Calibri" w:hAnsi="Calibri" w:cs="Arial"/>
                <w:sz w:val="20"/>
                <w:szCs w:val="20"/>
              </w:rPr>
            </w:pPr>
          </w:p>
        </w:tc>
        <w:tc>
          <w:tcPr>
            <w:tcW w:w="3180" w:type="dxa"/>
            <w:tcBorders>
              <w:left w:val="nil"/>
              <w:bottom w:val="single" w:sz="4" w:space="0" w:color="auto"/>
              <w:right w:val="nil"/>
            </w:tcBorders>
            <w:noWrap/>
          </w:tcPr>
          <w:p w:rsidR="00F0667C" w:rsidRPr="003E340D" w:rsidRDefault="00F0667C" w:rsidP="00F0667C">
            <w:pPr>
              <w:pStyle w:val="Tabletext"/>
            </w:pPr>
          </w:p>
        </w:tc>
        <w:tc>
          <w:tcPr>
            <w:tcW w:w="1908" w:type="dxa"/>
            <w:gridSpan w:val="6"/>
            <w:tcBorders>
              <w:top w:val="single" w:sz="4" w:space="0" w:color="auto"/>
              <w:left w:val="single" w:sz="4" w:space="0" w:color="auto"/>
              <w:bottom w:val="single" w:sz="4" w:space="0" w:color="auto"/>
              <w:right w:val="single" w:sz="4" w:space="0" w:color="auto"/>
            </w:tcBorders>
            <w:noWrap/>
          </w:tcPr>
          <w:p w:rsidR="00F0667C" w:rsidRPr="003E340D" w:rsidRDefault="00F0667C" w:rsidP="00F0667C">
            <w:pPr>
              <w:pStyle w:val="TableofFigures"/>
              <w:jc w:val="center"/>
              <w:rPr>
                <w:b/>
                <w:sz w:val="16"/>
                <w:szCs w:val="16"/>
              </w:rPr>
            </w:pPr>
            <w:r w:rsidRPr="003E340D">
              <w:rPr>
                <w:b/>
              </w:rPr>
              <w:t xml:space="preserve">2015 </w:t>
            </w:r>
          </w:p>
        </w:tc>
        <w:tc>
          <w:tcPr>
            <w:tcW w:w="2862" w:type="dxa"/>
            <w:gridSpan w:val="9"/>
            <w:tcBorders>
              <w:top w:val="single" w:sz="4" w:space="0" w:color="auto"/>
              <w:left w:val="nil"/>
              <w:bottom w:val="single" w:sz="4" w:space="0" w:color="auto"/>
              <w:right w:val="single" w:sz="4" w:space="0" w:color="auto"/>
            </w:tcBorders>
            <w:noWrap/>
          </w:tcPr>
          <w:p w:rsidR="00F0667C" w:rsidRPr="003E340D" w:rsidRDefault="00F0667C" w:rsidP="00F0667C">
            <w:pPr>
              <w:pStyle w:val="TableofFigures"/>
              <w:jc w:val="center"/>
              <w:rPr>
                <w:b/>
                <w:sz w:val="16"/>
                <w:szCs w:val="16"/>
              </w:rPr>
            </w:pPr>
            <w:r w:rsidRPr="003E340D">
              <w:rPr>
                <w:b/>
              </w:rPr>
              <w:t xml:space="preserve">2016 </w:t>
            </w:r>
          </w:p>
        </w:tc>
        <w:tc>
          <w:tcPr>
            <w:tcW w:w="1676" w:type="dxa"/>
            <w:gridSpan w:val="5"/>
            <w:tcBorders>
              <w:top w:val="single" w:sz="4" w:space="0" w:color="auto"/>
              <w:left w:val="single" w:sz="4" w:space="0" w:color="auto"/>
              <w:bottom w:val="single" w:sz="4" w:space="0" w:color="auto"/>
              <w:right w:val="single" w:sz="4" w:space="0" w:color="auto"/>
            </w:tcBorders>
            <w:noWrap/>
          </w:tcPr>
          <w:p w:rsidR="00F0667C" w:rsidRPr="003E340D" w:rsidRDefault="00F0667C" w:rsidP="00F0667C">
            <w:pPr>
              <w:pStyle w:val="TableofFigures"/>
              <w:jc w:val="center"/>
              <w:rPr>
                <w:b/>
              </w:rPr>
            </w:pPr>
            <w:r w:rsidRPr="003E340D">
              <w:rPr>
                <w:b/>
              </w:rPr>
              <w:t>Sector/entities</w:t>
            </w:r>
          </w:p>
        </w:tc>
      </w:tr>
      <w:tr w:rsidR="00F0667C" w:rsidRPr="003E340D" w:rsidTr="00F0667C">
        <w:trPr>
          <w:cantSplit/>
          <w:trHeight w:val="611"/>
        </w:trPr>
        <w:tc>
          <w:tcPr>
            <w:tcW w:w="373" w:type="dxa"/>
            <w:tcBorders>
              <w:left w:val="nil"/>
              <w:bottom w:val="single" w:sz="4" w:space="0" w:color="auto"/>
            </w:tcBorders>
            <w:noWrap/>
            <w:vAlign w:val="bottom"/>
          </w:tcPr>
          <w:p w:rsidR="00F0667C" w:rsidRPr="003E340D" w:rsidRDefault="00F0667C" w:rsidP="00F0667C">
            <w:pPr>
              <w:spacing w:before="0"/>
              <w:jc w:val="center"/>
              <w:rPr>
                <w:rFonts w:ascii="Calibri" w:hAnsi="Calibri" w:cs="Arial"/>
                <w:sz w:val="20"/>
                <w:szCs w:val="20"/>
              </w:rPr>
            </w:pPr>
          </w:p>
        </w:tc>
        <w:tc>
          <w:tcPr>
            <w:tcW w:w="3180" w:type="dxa"/>
            <w:tcBorders>
              <w:left w:val="nil"/>
              <w:bottom w:val="single" w:sz="4" w:space="0" w:color="auto"/>
              <w:right w:val="nil"/>
            </w:tcBorders>
            <w:noWrap/>
          </w:tcPr>
          <w:p w:rsidR="00F0667C" w:rsidRPr="003E340D" w:rsidRDefault="00F0667C" w:rsidP="00F0667C">
            <w:pPr>
              <w:pStyle w:val="Tabletext"/>
            </w:pPr>
            <w:r w:rsidRPr="003E340D">
              <w:t> </w:t>
            </w:r>
          </w:p>
        </w:tc>
        <w:tc>
          <w:tcPr>
            <w:tcW w:w="318" w:type="dxa"/>
            <w:tcBorders>
              <w:top w:val="single" w:sz="4" w:space="0" w:color="auto"/>
              <w:left w:val="single" w:sz="4" w:space="0" w:color="auto"/>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Jul</w:t>
            </w:r>
          </w:p>
        </w:tc>
        <w:tc>
          <w:tcPr>
            <w:tcW w:w="318"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Aug</w:t>
            </w:r>
          </w:p>
        </w:tc>
        <w:tc>
          <w:tcPr>
            <w:tcW w:w="318"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Sep</w:t>
            </w:r>
          </w:p>
        </w:tc>
        <w:tc>
          <w:tcPr>
            <w:tcW w:w="318"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Oct</w:t>
            </w:r>
          </w:p>
        </w:tc>
        <w:tc>
          <w:tcPr>
            <w:tcW w:w="318"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Nov</w:t>
            </w:r>
          </w:p>
        </w:tc>
        <w:tc>
          <w:tcPr>
            <w:tcW w:w="318"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Dec</w:t>
            </w:r>
          </w:p>
        </w:tc>
        <w:tc>
          <w:tcPr>
            <w:tcW w:w="318"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Jan</w:t>
            </w:r>
          </w:p>
        </w:tc>
        <w:tc>
          <w:tcPr>
            <w:tcW w:w="318"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Feb</w:t>
            </w:r>
          </w:p>
        </w:tc>
        <w:tc>
          <w:tcPr>
            <w:tcW w:w="318"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Mar</w:t>
            </w:r>
          </w:p>
        </w:tc>
        <w:tc>
          <w:tcPr>
            <w:tcW w:w="318"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Apr</w:t>
            </w:r>
          </w:p>
        </w:tc>
        <w:tc>
          <w:tcPr>
            <w:tcW w:w="318"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May</w:t>
            </w:r>
          </w:p>
        </w:tc>
        <w:tc>
          <w:tcPr>
            <w:tcW w:w="318"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Jun</w:t>
            </w:r>
          </w:p>
        </w:tc>
        <w:tc>
          <w:tcPr>
            <w:tcW w:w="318" w:type="dxa"/>
            <w:tcBorders>
              <w:top w:val="single" w:sz="4" w:space="0" w:color="auto"/>
              <w:left w:val="nil"/>
              <w:bottom w:val="single" w:sz="4" w:space="0" w:color="auto"/>
              <w:right w:val="single" w:sz="4" w:space="0" w:color="auto"/>
            </w:tcBorders>
            <w:textDirection w:val="btLr"/>
            <w:vAlign w:val="center"/>
          </w:tcPr>
          <w:p w:rsidR="00F0667C" w:rsidRPr="003E340D" w:rsidRDefault="00F0667C" w:rsidP="00F0667C">
            <w:pPr>
              <w:pStyle w:val="TableofFigures"/>
              <w:ind w:left="29"/>
              <w:jc w:val="left"/>
            </w:pPr>
            <w:r w:rsidRPr="003E340D">
              <w:t>Jul</w:t>
            </w:r>
          </w:p>
        </w:tc>
        <w:tc>
          <w:tcPr>
            <w:tcW w:w="318" w:type="dxa"/>
            <w:tcBorders>
              <w:top w:val="single" w:sz="4" w:space="0" w:color="auto"/>
              <w:left w:val="single" w:sz="4" w:space="0" w:color="auto"/>
              <w:bottom w:val="single" w:sz="4" w:space="0" w:color="auto"/>
              <w:right w:val="single" w:sz="4" w:space="0" w:color="auto"/>
            </w:tcBorders>
            <w:textDirection w:val="btLr"/>
            <w:vAlign w:val="center"/>
          </w:tcPr>
          <w:p w:rsidR="00F0667C" w:rsidRPr="003E340D" w:rsidRDefault="00F0667C" w:rsidP="00F0667C">
            <w:pPr>
              <w:pStyle w:val="TableofFigures"/>
              <w:ind w:left="29"/>
              <w:jc w:val="left"/>
            </w:pPr>
            <w:r w:rsidRPr="003E340D">
              <w:t>Aug</w:t>
            </w:r>
          </w:p>
        </w:tc>
        <w:tc>
          <w:tcPr>
            <w:tcW w:w="318" w:type="dxa"/>
            <w:tcBorders>
              <w:top w:val="single" w:sz="4" w:space="0" w:color="auto"/>
              <w:left w:val="single" w:sz="4" w:space="0" w:color="auto"/>
              <w:bottom w:val="single" w:sz="4" w:space="0" w:color="auto"/>
              <w:right w:val="single" w:sz="4" w:space="0" w:color="auto"/>
            </w:tcBorders>
            <w:textDirection w:val="btLr"/>
            <w:vAlign w:val="center"/>
          </w:tcPr>
          <w:p w:rsidR="00F0667C" w:rsidRPr="003E340D" w:rsidRDefault="00F0667C" w:rsidP="00F0667C">
            <w:pPr>
              <w:pStyle w:val="TableofFigures"/>
              <w:ind w:left="29"/>
              <w:jc w:val="left"/>
            </w:pPr>
            <w:r w:rsidRPr="003E340D">
              <w:t>Sep</w:t>
            </w:r>
          </w:p>
        </w:tc>
        <w:tc>
          <w:tcPr>
            <w:tcW w:w="323" w:type="dxa"/>
            <w:tcBorders>
              <w:top w:val="single" w:sz="4" w:space="0" w:color="auto"/>
              <w:left w:val="single" w:sz="4" w:space="0" w:color="auto"/>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WOS</w:t>
            </w:r>
          </w:p>
        </w:tc>
        <w:tc>
          <w:tcPr>
            <w:tcW w:w="383"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GGS</w:t>
            </w:r>
          </w:p>
        </w:tc>
        <w:tc>
          <w:tcPr>
            <w:tcW w:w="323"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Depts</w:t>
            </w:r>
          </w:p>
        </w:tc>
        <w:tc>
          <w:tcPr>
            <w:tcW w:w="324"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PNFCs</w:t>
            </w:r>
          </w:p>
        </w:tc>
        <w:tc>
          <w:tcPr>
            <w:tcW w:w="323" w:type="dxa"/>
            <w:tcBorders>
              <w:top w:val="single" w:sz="4" w:space="0" w:color="auto"/>
              <w:left w:val="nil"/>
              <w:bottom w:val="single" w:sz="4" w:space="0" w:color="auto"/>
              <w:right w:val="single" w:sz="4" w:space="0" w:color="auto"/>
            </w:tcBorders>
            <w:noWrap/>
            <w:textDirection w:val="btLr"/>
            <w:vAlign w:val="center"/>
          </w:tcPr>
          <w:p w:rsidR="00F0667C" w:rsidRPr="003E340D" w:rsidRDefault="00F0667C" w:rsidP="00F0667C">
            <w:pPr>
              <w:pStyle w:val="TableofFigures"/>
              <w:ind w:left="29"/>
              <w:jc w:val="left"/>
            </w:pPr>
            <w:r w:rsidRPr="003E340D">
              <w:t>PFCs</w:t>
            </w:r>
          </w:p>
        </w:tc>
      </w:tr>
      <w:tr w:rsidR="00F0667C" w:rsidRPr="003E340D" w:rsidTr="00F0667C">
        <w:tc>
          <w:tcPr>
            <w:tcW w:w="373" w:type="dxa"/>
            <w:vMerge w:val="restart"/>
            <w:tcBorders>
              <w:top w:val="single" w:sz="4" w:space="0" w:color="auto"/>
              <w:left w:val="single" w:sz="4" w:space="0" w:color="auto"/>
              <w:right w:val="single" w:sz="4" w:space="0" w:color="auto"/>
            </w:tcBorders>
            <w:noWrap/>
            <w:textDirection w:val="btLr"/>
            <w:vAlign w:val="center"/>
          </w:tcPr>
          <w:p w:rsidR="00F0667C" w:rsidRPr="003E340D" w:rsidRDefault="00F0667C" w:rsidP="00F0667C">
            <w:pPr>
              <w:spacing w:before="30" w:after="30"/>
              <w:jc w:val="center"/>
              <w:rPr>
                <w:rFonts w:ascii="Calibri" w:hAnsi="Calibri" w:cs="Arial"/>
                <w:b/>
                <w:bCs/>
                <w:sz w:val="20"/>
                <w:szCs w:val="20"/>
              </w:rPr>
            </w:pPr>
            <w:r w:rsidRPr="003E340D">
              <w:rPr>
                <w:rFonts w:ascii="Calibri" w:hAnsi="Calibri" w:cs="Arial"/>
                <w:b/>
                <w:bCs/>
                <w:sz w:val="20"/>
                <w:szCs w:val="20"/>
              </w:rPr>
              <w:t>ESTIMATES</w:t>
            </w:r>
          </w:p>
        </w:tc>
        <w:tc>
          <w:tcPr>
            <w:tcW w:w="3180" w:type="dxa"/>
            <w:tcBorders>
              <w:top w:val="nil"/>
              <w:left w:val="single" w:sz="4" w:space="0" w:color="auto"/>
              <w:bottom w:val="single" w:sz="4" w:space="0" w:color="auto"/>
              <w:right w:val="single" w:sz="4" w:space="0" w:color="auto"/>
            </w:tcBorders>
            <w:noWrap/>
            <w:vAlign w:val="center"/>
          </w:tcPr>
          <w:p w:rsidR="00F0667C" w:rsidRPr="003E340D" w:rsidRDefault="00F0667C" w:rsidP="00F0667C">
            <w:pPr>
              <w:pStyle w:val="Tabletext"/>
            </w:pPr>
            <w:r w:rsidRPr="003E340D">
              <w:t>ERSC (preliminary to budget)</w:t>
            </w:r>
          </w:p>
        </w:tc>
        <w:tc>
          <w:tcPr>
            <w:tcW w:w="318" w:type="dxa"/>
            <w:tcBorders>
              <w:top w:val="single" w:sz="4" w:space="0" w:color="auto"/>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auto"/>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auto"/>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auto"/>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auto"/>
              <w:left w:val="single" w:sz="4" w:space="0" w:color="C0C0C0"/>
              <w:bottom w:val="single" w:sz="4" w:space="0" w:color="999999"/>
              <w:right w:val="single" w:sz="4" w:space="0" w:color="C0C0C0"/>
            </w:tcBorders>
            <w:shd w:val="clear" w:color="auto" w:fill="71C5E8"/>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auto"/>
              <w:left w:val="single" w:sz="4" w:space="0" w:color="C0C0C0"/>
              <w:bottom w:val="single" w:sz="4" w:space="0" w:color="999999"/>
              <w:right w:val="single" w:sz="4" w:space="0" w:color="auto"/>
            </w:tcBorders>
            <w:shd w:val="clear" w:color="auto" w:fill="71C5E8"/>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auto"/>
              <w:left w:val="nil"/>
              <w:bottom w:val="single" w:sz="4" w:space="0" w:color="999999"/>
              <w:right w:val="single" w:sz="4" w:space="0" w:color="C0C0C0"/>
            </w:tcBorders>
            <w:shd w:val="clear" w:color="auto" w:fill="71C5E8"/>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auto"/>
              <w:left w:val="single" w:sz="4" w:space="0" w:color="C0C0C0"/>
              <w:bottom w:val="single" w:sz="4" w:space="0" w:color="999999"/>
              <w:right w:val="single" w:sz="4" w:space="0" w:color="C0C0C0"/>
            </w:tcBorders>
            <w:shd w:val="clear" w:color="auto" w:fill="71C5E8"/>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auto"/>
              <w:left w:val="single" w:sz="4" w:space="0" w:color="C0C0C0"/>
              <w:bottom w:val="single" w:sz="4" w:space="0" w:color="999999"/>
              <w:right w:val="single" w:sz="4" w:space="0" w:color="C0C0C0"/>
            </w:tcBorders>
            <w:shd w:val="clear" w:color="auto" w:fill="71C5E8"/>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auto"/>
              <w:left w:val="single" w:sz="4" w:space="0" w:color="C0C0C0"/>
              <w:bottom w:val="single" w:sz="4" w:space="0" w:color="999999"/>
              <w:right w:val="single" w:sz="4" w:space="0" w:color="C0C0C0"/>
            </w:tcBorders>
            <w:shd w:val="clear" w:color="auto" w:fill="71C5E8"/>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auto"/>
              <w:left w:val="single" w:sz="4" w:space="0" w:color="C0C0C0"/>
              <w:bottom w:val="single" w:sz="4" w:space="0" w:color="C0C0C0"/>
              <w:right w:val="single" w:sz="4" w:space="0" w:color="C0C0C0"/>
            </w:tcBorders>
            <w:noWrap/>
            <w:vAlign w:val="center"/>
          </w:tcPr>
          <w:p w:rsidR="00F0667C" w:rsidRPr="0072620F" w:rsidRDefault="00F0667C" w:rsidP="00F0667C">
            <w:pPr>
              <w:pStyle w:val="Tabletext"/>
              <w:jc w:val="center"/>
              <w:rPr>
                <w:b/>
              </w:rPr>
            </w:pPr>
          </w:p>
        </w:tc>
        <w:tc>
          <w:tcPr>
            <w:tcW w:w="318" w:type="dxa"/>
            <w:tcBorders>
              <w:top w:val="single" w:sz="4" w:space="0" w:color="auto"/>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auto"/>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auto"/>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auto"/>
              <w:left w:val="single" w:sz="4" w:space="0" w:color="C0C0C0"/>
              <w:bottom w:val="single" w:sz="4" w:space="0" w:color="C0C0C0"/>
              <w:right w:val="single" w:sz="4" w:space="0" w:color="auto"/>
            </w:tcBorders>
            <w:vAlign w:val="center"/>
          </w:tcPr>
          <w:p w:rsidR="00F0667C" w:rsidRPr="00C44CB3" w:rsidRDefault="00F0667C" w:rsidP="00F0667C">
            <w:pPr>
              <w:pStyle w:val="Tabletext"/>
              <w:jc w:val="center"/>
              <w:rPr>
                <w:b/>
              </w:rPr>
            </w:pPr>
          </w:p>
        </w:tc>
        <w:tc>
          <w:tcPr>
            <w:tcW w:w="323" w:type="dxa"/>
            <w:tcBorders>
              <w:top w:val="single" w:sz="4" w:space="0" w:color="auto"/>
              <w:left w:val="single" w:sz="4" w:space="0" w:color="auto"/>
              <w:bottom w:val="single" w:sz="4" w:space="0" w:color="C0C0C0"/>
              <w:right w:val="single" w:sz="4" w:space="0" w:color="C0C0C0"/>
            </w:tcBorders>
            <w:noWrap/>
            <w:vAlign w:val="center"/>
          </w:tcPr>
          <w:p w:rsidR="00F0667C" w:rsidRPr="00C44CB3" w:rsidRDefault="00F0667C" w:rsidP="00F0667C">
            <w:pPr>
              <w:pStyle w:val="Tabletext"/>
              <w:jc w:val="center"/>
            </w:pPr>
          </w:p>
        </w:tc>
        <w:tc>
          <w:tcPr>
            <w:tcW w:w="383" w:type="dxa"/>
            <w:tcBorders>
              <w:top w:val="single" w:sz="4" w:space="0" w:color="auto"/>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rFonts w:cs="Wingdings"/>
              </w:rPr>
            </w:pPr>
          </w:p>
        </w:tc>
        <w:tc>
          <w:tcPr>
            <w:tcW w:w="323" w:type="dxa"/>
            <w:tcBorders>
              <w:top w:val="single" w:sz="4" w:space="0" w:color="auto"/>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rFonts w:cs="Wingdings"/>
              </w:rPr>
            </w:pPr>
          </w:p>
        </w:tc>
        <w:tc>
          <w:tcPr>
            <w:tcW w:w="324" w:type="dxa"/>
            <w:tcBorders>
              <w:top w:val="single" w:sz="4" w:space="0" w:color="auto"/>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rFonts w:cs="Wingdings"/>
              </w:rPr>
            </w:pPr>
          </w:p>
        </w:tc>
        <w:tc>
          <w:tcPr>
            <w:tcW w:w="323" w:type="dxa"/>
            <w:tcBorders>
              <w:top w:val="single" w:sz="4" w:space="0" w:color="auto"/>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pPr>
          </w:p>
        </w:tc>
      </w:tr>
      <w:tr w:rsidR="00F0667C" w:rsidRPr="003E340D" w:rsidTr="00F0667C">
        <w:tc>
          <w:tcPr>
            <w:tcW w:w="373" w:type="dxa"/>
            <w:vMerge/>
            <w:tcBorders>
              <w:left w:val="single" w:sz="4" w:space="0" w:color="auto"/>
              <w:right w:val="single" w:sz="4" w:space="0" w:color="auto"/>
            </w:tcBorders>
            <w:noWrap/>
            <w:textDirection w:val="btLr"/>
            <w:vAlign w:val="center"/>
          </w:tcPr>
          <w:p w:rsidR="00F0667C" w:rsidRPr="003E340D" w:rsidRDefault="00F0667C" w:rsidP="00F0667C">
            <w:pPr>
              <w:spacing w:before="30" w:after="30"/>
              <w:jc w:val="center"/>
              <w:rPr>
                <w:rFonts w:ascii="Arial" w:hAnsi="Arial" w:cs="Arial"/>
                <w:b/>
                <w:bCs/>
                <w:sz w:val="20"/>
                <w:szCs w:val="20"/>
              </w:rPr>
            </w:pPr>
          </w:p>
        </w:tc>
        <w:tc>
          <w:tcPr>
            <w:tcW w:w="3180" w:type="dxa"/>
            <w:tcBorders>
              <w:top w:val="single" w:sz="4" w:space="0" w:color="auto"/>
              <w:left w:val="single" w:sz="4" w:space="0" w:color="auto"/>
              <w:bottom w:val="single" w:sz="4" w:space="0" w:color="auto"/>
              <w:right w:val="single" w:sz="4" w:space="0" w:color="auto"/>
            </w:tcBorders>
            <w:noWrap/>
            <w:vAlign w:val="center"/>
          </w:tcPr>
          <w:p w:rsidR="00F0667C" w:rsidRPr="003E340D" w:rsidRDefault="00F0667C" w:rsidP="00F0667C">
            <w:pPr>
              <w:pStyle w:val="Tabletext"/>
            </w:pPr>
            <w:r w:rsidRPr="003E340D">
              <w:t>Budget Papers No. 1, 2, 3 and 5</w:t>
            </w: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rPr>
                <w:b/>
              </w:rPr>
            </w:pPr>
          </w:p>
        </w:tc>
        <w:tc>
          <w:tcPr>
            <w:tcW w:w="318" w:type="dxa"/>
            <w:tcBorders>
              <w:top w:val="single" w:sz="4" w:space="0" w:color="999999"/>
              <w:left w:val="nil"/>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shd w:val="clear" w:color="auto" w:fill="71C5E8"/>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999999"/>
              <w:left w:val="single" w:sz="4" w:space="0" w:color="C0C0C0"/>
              <w:bottom w:val="single" w:sz="4" w:space="0" w:color="C0C0C0"/>
              <w:right w:val="single" w:sz="4" w:space="0" w:color="C0C0C0"/>
            </w:tcBorders>
            <w:shd w:val="clear" w:color="auto" w:fill="71C5E8"/>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999999"/>
              <w:left w:val="single" w:sz="4" w:space="0" w:color="C0C0C0"/>
              <w:bottom w:val="single" w:sz="4" w:space="0" w:color="C0C0C0"/>
              <w:right w:val="single" w:sz="4" w:space="0" w:color="C0C0C0"/>
            </w:tcBorders>
            <w:shd w:val="clear" w:color="auto" w:fill="71C5E8"/>
            <w:noWrap/>
            <w:vAlign w:val="center"/>
          </w:tcPr>
          <w:p w:rsidR="00F0667C" w:rsidRPr="00C44CB3" w:rsidRDefault="00F0667C" w:rsidP="00F0667C">
            <w:pPr>
              <w:pStyle w:val="Tabletext"/>
              <w:jc w:val="center"/>
              <w:rPr>
                <w:b/>
                <w:color w:val="FFFFFF" w:themeColor="background1"/>
              </w:rPr>
            </w:pPr>
            <w:r w:rsidRPr="00C44CB3">
              <w:rPr>
                <w:b/>
                <w:color w:val="FFFFFF" w:themeColor="background1"/>
                <w:vertAlign w:val="superscript"/>
              </w:rPr>
              <w:t>(a)</w:t>
            </w:r>
          </w:p>
        </w:tc>
        <w:tc>
          <w:tcPr>
            <w:tcW w:w="318" w:type="dxa"/>
            <w:tcBorders>
              <w:top w:val="single" w:sz="4" w:space="0" w:color="999999"/>
              <w:left w:val="single" w:sz="4" w:space="0" w:color="C0C0C0"/>
              <w:bottom w:val="single" w:sz="4" w:space="0" w:color="C0C0C0"/>
              <w:right w:val="single" w:sz="4" w:space="0" w:color="C0C0C0"/>
            </w:tcBorders>
            <w:shd w:val="clear" w:color="auto" w:fill="auto"/>
            <w:noWrap/>
            <w:vAlign w:val="center"/>
          </w:tcPr>
          <w:p w:rsidR="00F0667C" w:rsidRPr="0072620F"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auto"/>
            </w:tcBorders>
            <w:vAlign w:val="center"/>
          </w:tcPr>
          <w:p w:rsidR="00F0667C" w:rsidRPr="00C44CB3" w:rsidRDefault="00F0667C" w:rsidP="00F0667C">
            <w:pPr>
              <w:pStyle w:val="Tabletext"/>
              <w:jc w:val="center"/>
              <w:rPr>
                <w:b/>
              </w:rPr>
            </w:pPr>
          </w:p>
        </w:tc>
        <w:tc>
          <w:tcPr>
            <w:tcW w:w="323" w:type="dxa"/>
            <w:tcBorders>
              <w:top w:val="single" w:sz="4" w:space="0" w:color="999999"/>
              <w:left w:val="single" w:sz="4" w:space="0" w:color="auto"/>
              <w:bottom w:val="single" w:sz="4" w:space="0" w:color="C0C0C0"/>
              <w:right w:val="single" w:sz="4" w:space="0" w:color="C0C0C0"/>
            </w:tcBorders>
            <w:noWrap/>
            <w:vAlign w:val="center"/>
          </w:tcPr>
          <w:p w:rsidR="00F0667C" w:rsidRPr="00C44CB3" w:rsidRDefault="00F0667C" w:rsidP="00F0667C">
            <w:pPr>
              <w:pStyle w:val="Tabletext"/>
              <w:jc w:val="center"/>
            </w:pPr>
          </w:p>
        </w:tc>
        <w:tc>
          <w:tcPr>
            <w:tcW w:w="383"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rFonts w:ascii="Wingdings" w:hAnsi="Wingdings" w:cs="Wingdings"/>
              </w:rPr>
            </w:pPr>
            <w:r w:rsidRPr="00C44CB3">
              <w:rPr>
                <w:rFonts w:ascii="Wingdings" w:hAnsi="Wingdings" w:cs="Wingdings"/>
              </w:rPr>
              <w:t></w:t>
            </w:r>
            <w:r w:rsidRPr="00C44CB3">
              <w:rPr>
                <w:vertAlign w:val="superscript"/>
              </w:rPr>
              <w:t>(c)</w:t>
            </w:r>
          </w:p>
        </w:tc>
        <w:tc>
          <w:tcPr>
            <w:tcW w:w="323"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4"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999999"/>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pPr>
            <w:r w:rsidRPr="00C44CB3">
              <w:rPr>
                <w:rFonts w:ascii="Wingdings" w:hAnsi="Wingdings" w:cs="Wingdings"/>
              </w:rPr>
              <w:t></w:t>
            </w:r>
          </w:p>
        </w:tc>
      </w:tr>
      <w:tr w:rsidR="00F0667C" w:rsidRPr="003E340D" w:rsidTr="00F0667C">
        <w:tc>
          <w:tcPr>
            <w:tcW w:w="373" w:type="dxa"/>
            <w:vMerge/>
            <w:tcBorders>
              <w:left w:val="single" w:sz="4" w:space="0" w:color="auto"/>
              <w:right w:val="single" w:sz="4" w:space="0" w:color="auto"/>
            </w:tcBorders>
            <w:noWrap/>
            <w:textDirection w:val="btLr"/>
            <w:vAlign w:val="center"/>
          </w:tcPr>
          <w:p w:rsidR="00F0667C" w:rsidRPr="003E340D" w:rsidRDefault="00F0667C" w:rsidP="00F0667C">
            <w:pPr>
              <w:spacing w:before="30" w:after="30"/>
              <w:jc w:val="center"/>
              <w:rPr>
                <w:rFonts w:ascii="Arial" w:hAnsi="Arial" w:cs="Arial"/>
                <w:b/>
                <w:bCs/>
                <w:sz w:val="20"/>
                <w:szCs w:val="20"/>
              </w:rPr>
            </w:pPr>
          </w:p>
        </w:tc>
        <w:tc>
          <w:tcPr>
            <w:tcW w:w="3180" w:type="dxa"/>
            <w:tcBorders>
              <w:top w:val="single" w:sz="4" w:space="0" w:color="auto"/>
              <w:left w:val="single" w:sz="4" w:space="0" w:color="auto"/>
              <w:bottom w:val="single" w:sz="4" w:space="0" w:color="auto"/>
              <w:right w:val="single" w:sz="4" w:space="0" w:color="auto"/>
            </w:tcBorders>
            <w:noWrap/>
            <w:vAlign w:val="center"/>
          </w:tcPr>
          <w:p w:rsidR="00F0667C" w:rsidRPr="003E340D" w:rsidRDefault="00F0667C" w:rsidP="00F0667C">
            <w:pPr>
              <w:pStyle w:val="Tabletext"/>
            </w:pPr>
            <w:r w:rsidRPr="003E340D">
              <w:t>Budget Paper No. 4 (BP4)</w:t>
            </w: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rPr>
                <w:b/>
              </w:rPr>
            </w:pPr>
          </w:p>
        </w:tc>
        <w:tc>
          <w:tcPr>
            <w:tcW w:w="318" w:type="dxa"/>
            <w:tcBorders>
              <w:top w:val="single" w:sz="4" w:space="0" w:color="999999"/>
              <w:left w:val="nil"/>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shd w:val="clear" w:color="auto" w:fill="71C5E8"/>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999999"/>
              <w:left w:val="single" w:sz="4" w:space="0" w:color="C0C0C0"/>
              <w:bottom w:val="single" w:sz="4" w:space="0" w:color="C0C0C0"/>
              <w:right w:val="single" w:sz="4" w:space="0" w:color="C0C0C0"/>
            </w:tcBorders>
            <w:shd w:val="clear" w:color="auto" w:fill="71C5E8"/>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999999"/>
              <w:left w:val="single" w:sz="4" w:space="0" w:color="C0C0C0"/>
              <w:bottom w:val="single" w:sz="4" w:space="0" w:color="C0C0C0"/>
              <w:right w:val="single" w:sz="4" w:space="0" w:color="C0C0C0"/>
            </w:tcBorders>
            <w:shd w:val="clear" w:color="auto" w:fill="71C5E8"/>
            <w:noWrap/>
            <w:vAlign w:val="center"/>
          </w:tcPr>
          <w:p w:rsidR="00F0667C" w:rsidRPr="00C44CB3" w:rsidRDefault="00F0667C" w:rsidP="00F0667C">
            <w:pPr>
              <w:pStyle w:val="Tabletext"/>
              <w:jc w:val="center"/>
              <w:rPr>
                <w:b/>
                <w:color w:val="FFFFFF" w:themeColor="background1"/>
              </w:rPr>
            </w:pPr>
            <w:r w:rsidRPr="00C44CB3">
              <w:rPr>
                <w:b/>
                <w:color w:val="FFFFFF" w:themeColor="background1"/>
                <w:vertAlign w:val="superscript"/>
              </w:rPr>
              <w:t>(a)</w:t>
            </w:r>
          </w:p>
        </w:tc>
        <w:tc>
          <w:tcPr>
            <w:tcW w:w="318" w:type="dxa"/>
            <w:tcBorders>
              <w:top w:val="single" w:sz="4" w:space="0" w:color="999999"/>
              <w:left w:val="single" w:sz="4" w:space="0" w:color="C0C0C0"/>
              <w:bottom w:val="single" w:sz="4" w:space="0" w:color="C0C0C0"/>
              <w:right w:val="single" w:sz="4" w:space="0" w:color="C0C0C0"/>
            </w:tcBorders>
            <w:shd w:val="clear" w:color="auto" w:fill="auto"/>
            <w:noWrap/>
            <w:vAlign w:val="center"/>
          </w:tcPr>
          <w:p w:rsidR="00F0667C" w:rsidRPr="0072620F"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999999"/>
              <w:left w:val="single" w:sz="4" w:space="0" w:color="C0C0C0"/>
              <w:bottom w:val="single" w:sz="4" w:space="0" w:color="C0C0C0"/>
              <w:right w:val="single" w:sz="4" w:space="0" w:color="auto"/>
            </w:tcBorders>
            <w:vAlign w:val="center"/>
          </w:tcPr>
          <w:p w:rsidR="00F0667C" w:rsidRPr="00C44CB3" w:rsidRDefault="00F0667C" w:rsidP="00F0667C">
            <w:pPr>
              <w:pStyle w:val="Tabletext"/>
              <w:jc w:val="center"/>
              <w:rPr>
                <w:b/>
              </w:rPr>
            </w:pPr>
          </w:p>
        </w:tc>
        <w:tc>
          <w:tcPr>
            <w:tcW w:w="323" w:type="dxa"/>
            <w:tcBorders>
              <w:top w:val="single" w:sz="4" w:space="0" w:color="999999"/>
              <w:left w:val="single" w:sz="4" w:space="0" w:color="auto"/>
              <w:bottom w:val="single" w:sz="4" w:space="0" w:color="C0C0C0"/>
              <w:right w:val="single" w:sz="4" w:space="0" w:color="C0C0C0"/>
            </w:tcBorders>
            <w:noWrap/>
            <w:vAlign w:val="center"/>
          </w:tcPr>
          <w:p w:rsidR="00F0667C" w:rsidRPr="00C44CB3" w:rsidRDefault="00F0667C" w:rsidP="00F0667C">
            <w:pPr>
              <w:pStyle w:val="Tabletext"/>
              <w:jc w:val="center"/>
            </w:pPr>
          </w:p>
        </w:tc>
        <w:tc>
          <w:tcPr>
            <w:tcW w:w="383"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rFonts w:ascii="Wingdings" w:hAnsi="Wingdings" w:cs="Wingdings"/>
              </w:rPr>
            </w:pPr>
            <w:r w:rsidRPr="00C44CB3">
              <w:rPr>
                <w:rFonts w:ascii="Wingdings" w:hAnsi="Wingdings" w:cs="Wingdings"/>
              </w:rPr>
              <w:t></w:t>
            </w:r>
          </w:p>
        </w:tc>
        <w:tc>
          <w:tcPr>
            <w:tcW w:w="323"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rFonts w:ascii="Wingdings" w:hAnsi="Wingdings" w:cs="Wingdings"/>
              </w:rPr>
            </w:pPr>
            <w:r w:rsidRPr="00C44CB3">
              <w:rPr>
                <w:rFonts w:ascii="Wingdings" w:hAnsi="Wingdings" w:cs="Wingdings"/>
              </w:rPr>
              <w:t></w:t>
            </w:r>
          </w:p>
        </w:tc>
        <w:tc>
          <w:tcPr>
            <w:tcW w:w="324" w:type="dxa"/>
            <w:tcBorders>
              <w:top w:val="single" w:sz="4" w:space="0" w:color="999999"/>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999999"/>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pPr>
          </w:p>
        </w:tc>
      </w:tr>
      <w:tr w:rsidR="00F0667C" w:rsidRPr="003E340D" w:rsidTr="00F0667C">
        <w:tc>
          <w:tcPr>
            <w:tcW w:w="373" w:type="dxa"/>
            <w:vMerge/>
            <w:tcBorders>
              <w:left w:val="single" w:sz="4" w:space="0" w:color="auto"/>
              <w:right w:val="single" w:sz="4" w:space="0" w:color="auto"/>
            </w:tcBorders>
            <w:vAlign w:val="center"/>
          </w:tcPr>
          <w:p w:rsidR="00F0667C" w:rsidRPr="003E340D" w:rsidRDefault="00F0667C" w:rsidP="00F0667C">
            <w:pPr>
              <w:spacing w:before="30" w:after="30"/>
              <w:rPr>
                <w:rFonts w:ascii="Arial" w:hAnsi="Arial" w:cs="Arial"/>
                <w:b/>
                <w:bCs/>
                <w:sz w:val="20"/>
                <w:szCs w:val="20"/>
              </w:rPr>
            </w:pPr>
          </w:p>
        </w:tc>
        <w:tc>
          <w:tcPr>
            <w:tcW w:w="3180" w:type="dxa"/>
            <w:tcBorders>
              <w:top w:val="nil"/>
              <w:left w:val="single" w:sz="4" w:space="0" w:color="auto"/>
              <w:bottom w:val="single" w:sz="4" w:space="0" w:color="auto"/>
              <w:right w:val="single" w:sz="4" w:space="0" w:color="auto"/>
            </w:tcBorders>
            <w:noWrap/>
            <w:vAlign w:val="center"/>
          </w:tcPr>
          <w:p w:rsidR="00F0667C" w:rsidRPr="003E340D" w:rsidRDefault="00F0667C" w:rsidP="00F0667C">
            <w:pPr>
              <w:pStyle w:val="Tabletext"/>
            </w:pPr>
            <w:r w:rsidRPr="003E340D">
              <w:t xml:space="preserve">Budget Update </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auto"/>
            </w:tcBorders>
            <w:shd w:val="clear" w:color="auto" w:fill="53565A"/>
            <w:noWrap/>
            <w:vAlign w:val="center"/>
          </w:tcPr>
          <w:p w:rsidR="00F0667C" w:rsidRPr="00C44CB3" w:rsidRDefault="00F0667C" w:rsidP="00F0667C">
            <w:pPr>
              <w:pStyle w:val="Tabletext"/>
              <w:jc w:val="center"/>
              <w:rPr>
                <w:b/>
                <w:color w:val="FFFFFF" w:themeColor="background1"/>
              </w:rPr>
            </w:pPr>
            <w:r w:rsidRPr="00C44CB3">
              <w:rPr>
                <w:b/>
                <w:color w:val="FFFFFF" w:themeColor="background1"/>
                <w:vertAlign w:val="superscript"/>
              </w:rPr>
              <w:t>(b)</w:t>
            </w:r>
          </w:p>
        </w:tc>
        <w:tc>
          <w:tcPr>
            <w:tcW w:w="318" w:type="dxa"/>
            <w:tcBorders>
              <w:top w:val="single" w:sz="4" w:space="0" w:color="C0C0C0"/>
              <w:left w:val="nil"/>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auto"/>
            </w:tcBorders>
            <w:vAlign w:val="center"/>
          </w:tcPr>
          <w:p w:rsidR="00F0667C" w:rsidRPr="00C44CB3" w:rsidRDefault="00F0667C" w:rsidP="00F0667C">
            <w:pPr>
              <w:pStyle w:val="Tabletext"/>
              <w:jc w:val="center"/>
              <w:rPr>
                <w:b/>
              </w:rP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F0667C" w:rsidRPr="00C44CB3" w:rsidRDefault="00F0667C" w:rsidP="00F0667C">
            <w:pPr>
              <w:pStyle w:val="Tabletext"/>
              <w:jc w:val="center"/>
            </w:pPr>
          </w:p>
        </w:tc>
        <w:tc>
          <w:tcPr>
            <w:tcW w:w="38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3" w:type="dxa"/>
            <w:tcBorders>
              <w:top w:val="single" w:sz="4" w:space="0" w:color="C0C0C0"/>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pPr>
          </w:p>
        </w:tc>
      </w:tr>
      <w:tr w:rsidR="00F0667C" w:rsidRPr="003E340D" w:rsidTr="00F0667C">
        <w:tc>
          <w:tcPr>
            <w:tcW w:w="373" w:type="dxa"/>
            <w:vMerge/>
            <w:tcBorders>
              <w:left w:val="single" w:sz="4" w:space="0" w:color="auto"/>
              <w:bottom w:val="single" w:sz="4" w:space="0" w:color="auto"/>
              <w:right w:val="single" w:sz="4" w:space="0" w:color="auto"/>
            </w:tcBorders>
            <w:textDirection w:val="btLr"/>
            <w:vAlign w:val="center"/>
          </w:tcPr>
          <w:p w:rsidR="00F0667C" w:rsidRPr="003E340D" w:rsidRDefault="00F0667C" w:rsidP="00F0667C">
            <w:pPr>
              <w:rPr>
                <w:rFonts w:ascii="Arial" w:hAnsi="Arial" w:cs="Arial"/>
                <w:b/>
                <w:bCs/>
                <w:sz w:val="20"/>
                <w:szCs w:val="20"/>
              </w:rPr>
            </w:pPr>
          </w:p>
        </w:tc>
        <w:tc>
          <w:tcPr>
            <w:tcW w:w="3180" w:type="dxa"/>
            <w:tcBorders>
              <w:top w:val="nil"/>
              <w:left w:val="single" w:sz="4" w:space="0" w:color="auto"/>
              <w:bottom w:val="single" w:sz="4" w:space="0" w:color="auto"/>
              <w:right w:val="single" w:sz="4" w:space="0" w:color="auto"/>
            </w:tcBorders>
            <w:noWrap/>
            <w:vAlign w:val="center"/>
          </w:tcPr>
          <w:p w:rsidR="00F0667C" w:rsidRPr="003E340D" w:rsidRDefault="00F0667C" w:rsidP="00F0667C">
            <w:pPr>
              <w:pStyle w:val="Tabletext"/>
            </w:pPr>
            <w:r w:rsidRPr="003E340D">
              <w:t>Pre</w:t>
            </w:r>
            <w:r w:rsidR="005A4BB0">
              <w:noBreakHyphen/>
            </w:r>
            <w:r w:rsidRPr="003E340D">
              <w:t>Election Budget Update (PEBU)</w:t>
            </w:r>
            <w:r w:rsidRPr="003E340D">
              <w:rPr>
                <w:sz w:val="16"/>
                <w:szCs w:val="16"/>
                <w:vertAlign w:val="superscript"/>
              </w:rPr>
              <w:t>(e)</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shd w:val="clear" w:color="auto" w:fill="FFFFFF" w:themeFill="background1"/>
            <w:noWrap/>
            <w:vAlign w:val="center"/>
          </w:tcPr>
          <w:p w:rsidR="00F0667C" w:rsidRPr="00C44CB3" w:rsidRDefault="00F0667C" w:rsidP="00F0667C">
            <w:pPr>
              <w:pStyle w:val="Tabletext"/>
              <w:jc w:val="center"/>
              <w:rPr>
                <w:b/>
                <w:vertAlign w:val="superscript"/>
              </w:rPr>
            </w:pPr>
          </w:p>
        </w:tc>
        <w:tc>
          <w:tcPr>
            <w:tcW w:w="318" w:type="dxa"/>
            <w:tcBorders>
              <w:top w:val="single" w:sz="4" w:space="0" w:color="C0C0C0"/>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rPr>
                <w:b/>
              </w:rPr>
            </w:pPr>
          </w:p>
        </w:tc>
        <w:tc>
          <w:tcPr>
            <w:tcW w:w="318" w:type="dxa"/>
            <w:tcBorders>
              <w:top w:val="single" w:sz="4" w:space="0" w:color="C0C0C0"/>
              <w:left w:val="nil"/>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auto"/>
            </w:tcBorders>
            <w:shd w:val="clear" w:color="auto" w:fill="auto"/>
            <w:vAlign w:val="center"/>
          </w:tcPr>
          <w:p w:rsidR="00F0667C" w:rsidRPr="00C44CB3" w:rsidRDefault="00F0667C" w:rsidP="00F0667C">
            <w:pPr>
              <w:pStyle w:val="Tabletext"/>
              <w:jc w:val="center"/>
              <w:rPr>
                <w:b/>
              </w:rP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F0667C" w:rsidRPr="00C44CB3" w:rsidRDefault="00F0667C" w:rsidP="00F0667C">
            <w:pPr>
              <w:pStyle w:val="Tabletext"/>
              <w:jc w:val="center"/>
            </w:pPr>
          </w:p>
        </w:tc>
        <w:tc>
          <w:tcPr>
            <w:tcW w:w="38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3" w:type="dxa"/>
            <w:tcBorders>
              <w:top w:val="single" w:sz="4" w:space="0" w:color="C0C0C0"/>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pPr>
          </w:p>
        </w:tc>
      </w:tr>
      <w:tr w:rsidR="00F0667C" w:rsidRPr="003E340D" w:rsidTr="00F0667C">
        <w:tc>
          <w:tcPr>
            <w:tcW w:w="373" w:type="dxa"/>
            <w:vMerge w:val="restart"/>
            <w:tcBorders>
              <w:left w:val="single" w:sz="4" w:space="0" w:color="auto"/>
              <w:right w:val="single" w:sz="4" w:space="0" w:color="auto"/>
            </w:tcBorders>
            <w:textDirection w:val="btLr"/>
            <w:vAlign w:val="center"/>
          </w:tcPr>
          <w:p w:rsidR="00F0667C" w:rsidRPr="003E340D" w:rsidRDefault="00F0667C" w:rsidP="00F0667C">
            <w:pPr>
              <w:spacing w:before="30" w:after="30"/>
              <w:ind w:left="113" w:right="113"/>
              <w:jc w:val="center"/>
              <w:rPr>
                <w:rFonts w:ascii="Arial" w:hAnsi="Arial" w:cs="Arial"/>
                <w:b/>
                <w:bCs/>
                <w:sz w:val="20"/>
                <w:szCs w:val="20"/>
              </w:rPr>
            </w:pPr>
            <w:r w:rsidRPr="003E340D">
              <w:rPr>
                <w:rFonts w:ascii="Calibri" w:hAnsi="Calibri" w:cs="Arial"/>
                <w:b/>
                <w:bCs/>
                <w:sz w:val="20"/>
                <w:szCs w:val="20"/>
              </w:rPr>
              <w:t>ACTUALS</w:t>
            </w:r>
          </w:p>
        </w:tc>
        <w:tc>
          <w:tcPr>
            <w:tcW w:w="3180" w:type="dxa"/>
            <w:tcBorders>
              <w:top w:val="nil"/>
              <w:left w:val="single" w:sz="4" w:space="0" w:color="auto"/>
              <w:bottom w:val="single" w:sz="4" w:space="0" w:color="auto"/>
              <w:right w:val="single" w:sz="4" w:space="0" w:color="auto"/>
            </w:tcBorders>
            <w:noWrap/>
            <w:vAlign w:val="center"/>
          </w:tcPr>
          <w:p w:rsidR="00F0667C" w:rsidRPr="003E340D" w:rsidRDefault="00F0667C" w:rsidP="00F0667C">
            <w:pPr>
              <w:pStyle w:val="Tabletext"/>
            </w:pPr>
            <w:r w:rsidRPr="003E340D">
              <w:t>Quarterly Financial Report (QFR1)</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r w:rsidRPr="00C44CB3">
              <w:rPr>
                <w:b/>
                <w:color w:val="FFFFFF" w:themeColor="background1"/>
                <w:vertAlign w:val="superscript"/>
              </w:rPr>
              <w:t>(b)</w:t>
            </w:r>
          </w:p>
        </w:tc>
        <w:tc>
          <w:tcPr>
            <w:tcW w:w="318" w:type="dxa"/>
            <w:tcBorders>
              <w:top w:val="single" w:sz="4" w:space="0" w:color="C0C0C0"/>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rPr>
                <w:b/>
              </w:rPr>
            </w:pPr>
          </w:p>
        </w:tc>
        <w:tc>
          <w:tcPr>
            <w:tcW w:w="318" w:type="dxa"/>
            <w:tcBorders>
              <w:top w:val="single" w:sz="4" w:space="0" w:color="C0C0C0"/>
              <w:left w:val="nil"/>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auto"/>
            </w:tcBorders>
            <w:shd w:val="clear" w:color="auto" w:fill="71C5E8"/>
            <w:vAlign w:val="center"/>
          </w:tcPr>
          <w:p w:rsidR="00F0667C" w:rsidRPr="00C44CB3" w:rsidRDefault="00F0667C" w:rsidP="00F0667C">
            <w:pPr>
              <w:pStyle w:val="Tabletext"/>
              <w:jc w:val="center"/>
              <w:rPr>
                <w:b/>
              </w:rP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F0667C" w:rsidRPr="00C44CB3" w:rsidRDefault="00F0667C" w:rsidP="00F0667C">
            <w:pPr>
              <w:pStyle w:val="Tabletext"/>
              <w:jc w:val="center"/>
            </w:pPr>
          </w:p>
        </w:tc>
        <w:tc>
          <w:tcPr>
            <w:tcW w:w="38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3" w:type="dxa"/>
            <w:tcBorders>
              <w:top w:val="single" w:sz="4" w:space="0" w:color="C0C0C0"/>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pPr>
          </w:p>
        </w:tc>
      </w:tr>
      <w:tr w:rsidR="00F0667C" w:rsidRPr="003E340D" w:rsidTr="00F0667C">
        <w:tc>
          <w:tcPr>
            <w:tcW w:w="373" w:type="dxa"/>
            <w:vMerge/>
            <w:tcBorders>
              <w:left w:val="single" w:sz="4" w:space="0" w:color="auto"/>
              <w:right w:val="single" w:sz="4" w:space="0" w:color="auto"/>
            </w:tcBorders>
            <w:noWrap/>
            <w:textDirection w:val="btLr"/>
            <w:vAlign w:val="center"/>
          </w:tcPr>
          <w:p w:rsidR="00F0667C" w:rsidRPr="003E340D" w:rsidRDefault="00F0667C" w:rsidP="00F0667C">
            <w:pPr>
              <w:spacing w:before="30" w:after="30"/>
              <w:ind w:left="113" w:right="113"/>
              <w:jc w:val="center"/>
              <w:rPr>
                <w:rFonts w:ascii="Calibri" w:hAnsi="Calibri" w:cs="Arial"/>
                <w:b/>
                <w:bCs/>
                <w:sz w:val="20"/>
                <w:szCs w:val="20"/>
              </w:rPr>
            </w:pPr>
          </w:p>
        </w:tc>
        <w:tc>
          <w:tcPr>
            <w:tcW w:w="3180" w:type="dxa"/>
            <w:tcBorders>
              <w:top w:val="nil"/>
              <w:left w:val="nil"/>
              <w:bottom w:val="single" w:sz="4" w:space="0" w:color="auto"/>
              <w:right w:val="single" w:sz="4" w:space="0" w:color="auto"/>
            </w:tcBorders>
            <w:noWrap/>
            <w:vAlign w:val="center"/>
          </w:tcPr>
          <w:p w:rsidR="00F0667C" w:rsidRPr="003E340D" w:rsidRDefault="00F0667C" w:rsidP="00F0667C">
            <w:pPr>
              <w:pStyle w:val="Tabletext"/>
            </w:pPr>
            <w:r w:rsidRPr="003E340D">
              <w:t>Mid</w:t>
            </w:r>
            <w:r w:rsidR="005A4BB0">
              <w:noBreakHyphen/>
            </w:r>
            <w:r w:rsidRPr="003E340D">
              <w:t xml:space="preserve">Year Financial Report (MYFR) </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auto"/>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nil"/>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r w:rsidRPr="00C44CB3">
              <w:rPr>
                <w:b/>
                <w:color w:val="FFFFFF" w:themeColor="background1"/>
                <w:vertAlign w:val="superscript"/>
              </w:rPr>
              <w:t>(b)</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rFonts w:ascii="Wingdings" w:hAnsi="Wingdings" w:cs="Wingdings"/>
                <w:b/>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rFonts w:ascii="Wingdings" w:hAnsi="Wingdings" w:cs="Wingdings"/>
                <w:b/>
              </w:rPr>
            </w:pPr>
          </w:p>
        </w:tc>
        <w:tc>
          <w:tcPr>
            <w:tcW w:w="318" w:type="dxa"/>
            <w:tcBorders>
              <w:top w:val="single" w:sz="4" w:space="0" w:color="C0C0C0"/>
              <w:left w:val="single" w:sz="4" w:space="0" w:color="C0C0C0"/>
              <w:bottom w:val="single" w:sz="4" w:space="0" w:color="C0C0C0"/>
              <w:right w:val="single" w:sz="4" w:space="0" w:color="auto"/>
            </w:tcBorders>
            <w:vAlign w:val="center"/>
          </w:tcPr>
          <w:p w:rsidR="00F0667C" w:rsidRPr="00C44CB3" w:rsidRDefault="00F0667C" w:rsidP="00F0667C">
            <w:pPr>
              <w:pStyle w:val="Tabletext"/>
              <w:jc w:val="center"/>
              <w:rPr>
                <w:rFonts w:ascii="Wingdings" w:hAnsi="Wingdings" w:cs="Wingdings"/>
                <w:b/>
              </w:rP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8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pPr>
            <w:r w:rsidRPr="00C44CB3">
              <w:rPr>
                <w:rFonts w:ascii="Wingdings" w:hAnsi="Wingdings" w:cs="Wingdings"/>
              </w:rPr>
              <w:t></w:t>
            </w:r>
          </w:p>
        </w:tc>
      </w:tr>
      <w:tr w:rsidR="00F0667C" w:rsidRPr="003E340D" w:rsidTr="00F0667C">
        <w:tc>
          <w:tcPr>
            <w:tcW w:w="373" w:type="dxa"/>
            <w:vMerge/>
            <w:tcBorders>
              <w:left w:val="single" w:sz="4" w:space="0" w:color="auto"/>
              <w:right w:val="single" w:sz="4" w:space="0" w:color="auto"/>
            </w:tcBorders>
            <w:vAlign w:val="center"/>
          </w:tcPr>
          <w:p w:rsidR="00F0667C" w:rsidRPr="003E340D" w:rsidRDefault="00F0667C" w:rsidP="00F0667C">
            <w:pPr>
              <w:spacing w:before="30" w:after="30"/>
              <w:rPr>
                <w:rFonts w:ascii="Arial" w:hAnsi="Arial" w:cs="Arial"/>
                <w:b/>
                <w:bCs/>
                <w:sz w:val="20"/>
                <w:szCs w:val="20"/>
              </w:rPr>
            </w:pPr>
          </w:p>
        </w:tc>
        <w:tc>
          <w:tcPr>
            <w:tcW w:w="3180" w:type="dxa"/>
            <w:tcBorders>
              <w:top w:val="nil"/>
              <w:left w:val="nil"/>
              <w:bottom w:val="single" w:sz="4" w:space="0" w:color="auto"/>
              <w:right w:val="single" w:sz="4" w:space="0" w:color="auto"/>
            </w:tcBorders>
            <w:vAlign w:val="center"/>
          </w:tcPr>
          <w:p w:rsidR="00F0667C" w:rsidRPr="003E340D" w:rsidRDefault="00F0667C" w:rsidP="00F0667C">
            <w:pPr>
              <w:pStyle w:val="Tabletext"/>
            </w:pPr>
            <w:r w:rsidRPr="003E340D">
              <w:t xml:space="preserve">Quarterly Financial Report No. 2 (QFR 2) </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auto"/>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nil"/>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r w:rsidRPr="00C44CB3">
              <w:rPr>
                <w:b/>
                <w:color w:val="FFFFFF" w:themeColor="background1"/>
                <w:vertAlign w:val="superscript"/>
              </w:rPr>
              <w:t>(b)</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auto"/>
            </w:tcBorders>
            <w:vAlign w:val="center"/>
          </w:tcPr>
          <w:p w:rsidR="00F0667C" w:rsidRPr="00C44CB3" w:rsidRDefault="00F0667C" w:rsidP="00F0667C">
            <w:pPr>
              <w:pStyle w:val="Tabletext"/>
              <w:jc w:val="center"/>
              <w:rPr>
                <w:b/>
              </w:rP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F0667C" w:rsidRPr="00C44CB3" w:rsidRDefault="00F0667C" w:rsidP="00F0667C">
            <w:pPr>
              <w:pStyle w:val="Tabletext"/>
              <w:jc w:val="center"/>
            </w:pPr>
          </w:p>
        </w:tc>
        <w:tc>
          <w:tcPr>
            <w:tcW w:w="38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3" w:type="dxa"/>
            <w:tcBorders>
              <w:top w:val="single" w:sz="4" w:space="0" w:color="C0C0C0"/>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pPr>
          </w:p>
        </w:tc>
      </w:tr>
      <w:tr w:rsidR="00F0667C" w:rsidRPr="003E340D" w:rsidTr="00F0667C">
        <w:tc>
          <w:tcPr>
            <w:tcW w:w="373" w:type="dxa"/>
            <w:vMerge/>
            <w:tcBorders>
              <w:left w:val="single" w:sz="4" w:space="0" w:color="auto"/>
              <w:right w:val="single" w:sz="4" w:space="0" w:color="auto"/>
            </w:tcBorders>
            <w:vAlign w:val="center"/>
          </w:tcPr>
          <w:p w:rsidR="00F0667C" w:rsidRPr="003E340D" w:rsidRDefault="00F0667C" w:rsidP="00F0667C">
            <w:pPr>
              <w:spacing w:before="30" w:after="30"/>
              <w:rPr>
                <w:rFonts w:ascii="Arial" w:hAnsi="Arial" w:cs="Arial"/>
                <w:b/>
                <w:bCs/>
                <w:sz w:val="20"/>
                <w:szCs w:val="20"/>
              </w:rPr>
            </w:pPr>
          </w:p>
        </w:tc>
        <w:tc>
          <w:tcPr>
            <w:tcW w:w="3180" w:type="dxa"/>
            <w:tcBorders>
              <w:top w:val="nil"/>
              <w:left w:val="nil"/>
              <w:bottom w:val="single" w:sz="4" w:space="0" w:color="auto"/>
              <w:right w:val="single" w:sz="4" w:space="0" w:color="auto"/>
            </w:tcBorders>
            <w:vAlign w:val="center"/>
          </w:tcPr>
          <w:p w:rsidR="00F0667C" w:rsidRPr="003E340D" w:rsidRDefault="00F0667C" w:rsidP="00F0667C">
            <w:pPr>
              <w:pStyle w:val="Tabletext"/>
            </w:pPr>
            <w:r w:rsidRPr="003E340D">
              <w:t xml:space="preserve">Quarterly Financial Report No. 3 (QFR 3) </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rPr>
                <w:b/>
              </w:rPr>
            </w:pPr>
          </w:p>
        </w:tc>
        <w:tc>
          <w:tcPr>
            <w:tcW w:w="318" w:type="dxa"/>
            <w:tcBorders>
              <w:top w:val="single" w:sz="4" w:space="0" w:color="C0C0C0"/>
              <w:left w:val="nil"/>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r w:rsidRPr="00C44CB3">
              <w:rPr>
                <w:b/>
                <w:color w:val="FFFFFF" w:themeColor="background1"/>
                <w:vertAlign w:val="superscript"/>
              </w:rPr>
              <w:t>(a)</w:t>
            </w:r>
          </w:p>
        </w:tc>
        <w:tc>
          <w:tcPr>
            <w:tcW w:w="318"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shd w:val="clear" w:color="auto" w:fill="auto"/>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shd w:val="clear" w:color="auto" w:fill="auto"/>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auto"/>
            </w:tcBorders>
            <w:shd w:val="clear" w:color="auto" w:fill="auto"/>
            <w:vAlign w:val="center"/>
          </w:tcPr>
          <w:p w:rsidR="00F0667C" w:rsidRPr="00C44CB3" w:rsidRDefault="00F0667C" w:rsidP="00F0667C">
            <w:pPr>
              <w:pStyle w:val="Tabletext"/>
              <w:jc w:val="center"/>
              <w:rPr>
                <w:b/>
              </w:rP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F0667C" w:rsidRPr="00C44CB3" w:rsidRDefault="00F0667C" w:rsidP="00F0667C">
            <w:pPr>
              <w:pStyle w:val="Tabletext"/>
              <w:jc w:val="center"/>
            </w:pPr>
          </w:p>
        </w:tc>
        <w:tc>
          <w:tcPr>
            <w:tcW w:w="38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3" w:type="dxa"/>
            <w:tcBorders>
              <w:top w:val="single" w:sz="4" w:space="0" w:color="C0C0C0"/>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pPr>
          </w:p>
        </w:tc>
      </w:tr>
      <w:tr w:rsidR="00F0667C" w:rsidRPr="003E340D" w:rsidTr="00F0667C">
        <w:tc>
          <w:tcPr>
            <w:tcW w:w="373" w:type="dxa"/>
            <w:vMerge/>
            <w:tcBorders>
              <w:left w:val="single" w:sz="4" w:space="0" w:color="auto"/>
              <w:right w:val="single" w:sz="4" w:space="0" w:color="auto"/>
            </w:tcBorders>
            <w:vAlign w:val="center"/>
          </w:tcPr>
          <w:p w:rsidR="00F0667C" w:rsidRPr="003E340D" w:rsidRDefault="00F0667C" w:rsidP="00F0667C">
            <w:pPr>
              <w:spacing w:before="30" w:after="30"/>
              <w:rPr>
                <w:rFonts w:ascii="Arial" w:hAnsi="Arial" w:cs="Arial"/>
                <w:b/>
                <w:bCs/>
                <w:sz w:val="20"/>
                <w:szCs w:val="20"/>
              </w:rPr>
            </w:pPr>
          </w:p>
        </w:tc>
        <w:tc>
          <w:tcPr>
            <w:tcW w:w="3180" w:type="dxa"/>
            <w:tcBorders>
              <w:top w:val="single" w:sz="4" w:space="0" w:color="auto"/>
              <w:left w:val="nil"/>
              <w:bottom w:val="single" w:sz="4" w:space="0" w:color="auto"/>
              <w:right w:val="single" w:sz="4" w:space="0" w:color="auto"/>
            </w:tcBorders>
            <w:vAlign w:val="center"/>
          </w:tcPr>
          <w:p w:rsidR="00F0667C" w:rsidRPr="003E340D" w:rsidRDefault="00F0667C" w:rsidP="00F0667C">
            <w:pPr>
              <w:pStyle w:val="Tabletext"/>
            </w:pPr>
            <w:r w:rsidRPr="003E340D">
              <w:t xml:space="preserve">Annual Financial Report (AFR) </w:t>
            </w:r>
          </w:p>
        </w:tc>
        <w:tc>
          <w:tcPr>
            <w:tcW w:w="318" w:type="dxa"/>
            <w:tcBorders>
              <w:top w:val="single" w:sz="4" w:space="0" w:color="C0C0C0"/>
              <w:left w:val="single" w:sz="4" w:space="0" w:color="C0C0C0"/>
              <w:bottom w:val="single" w:sz="4" w:space="0" w:color="C0C0C0"/>
              <w:right w:val="single" w:sz="4" w:space="0" w:color="C0C0C0"/>
            </w:tcBorders>
            <w:shd w:val="clear" w:color="auto" w:fill="D9D9D6"/>
            <w:noWrap/>
            <w:vAlign w:val="center"/>
          </w:tcPr>
          <w:p w:rsidR="00F0667C" w:rsidRPr="00C44CB3" w:rsidRDefault="00F0667C" w:rsidP="00F0667C">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D9D9D6"/>
            <w:noWrap/>
            <w:vAlign w:val="center"/>
          </w:tcPr>
          <w:p w:rsidR="00F0667C" w:rsidRPr="00C44CB3" w:rsidRDefault="00F0667C" w:rsidP="00F0667C">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D9D9D6"/>
            <w:noWrap/>
            <w:vAlign w:val="center"/>
          </w:tcPr>
          <w:p w:rsidR="00F0667C" w:rsidRPr="00C44CB3" w:rsidRDefault="00F0667C" w:rsidP="00F0667C">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D9D9D6"/>
            <w:noWrap/>
            <w:vAlign w:val="center"/>
          </w:tcPr>
          <w:p w:rsidR="00F0667C" w:rsidRPr="00C44CB3" w:rsidRDefault="00F0667C" w:rsidP="00F0667C">
            <w:pPr>
              <w:pStyle w:val="Tabletext"/>
              <w:jc w:val="center"/>
            </w:pPr>
            <w:r w:rsidRPr="00C44CB3">
              <w:rPr>
                <w:vertAlign w:val="superscript"/>
              </w:rPr>
              <w:t>(b)</w:t>
            </w:r>
          </w:p>
        </w:tc>
        <w:tc>
          <w:tcPr>
            <w:tcW w:w="318" w:type="dxa"/>
            <w:tcBorders>
              <w:top w:val="single" w:sz="4" w:space="0" w:color="C0C0C0"/>
              <w:left w:val="single" w:sz="4" w:space="0" w:color="C0C0C0"/>
              <w:bottom w:val="single" w:sz="4" w:space="0" w:color="C0C0C0"/>
              <w:right w:val="single" w:sz="4" w:space="0" w:color="C0C0C0"/>
            </w:tcBorders>
            <w:shd w:val="clear" w:color="auto" w:fill="D9D9D6"/>
            <w:noWrap/>
            <w:vAlign w:val="center"/>
          </w:tcPr>
          <w:p w:rsidR="00F0667C" w:rsidRPr="00C44CB3" w:rsidRDefault="00F0667C" w:rsidP="00F0667C">
            <w:pPr>
              <w:pStyle w:val="Tabletext"/>
              <w:jc w:val="center"/>
            </w:pPr>
          </w:p>
        </w:tc>
        <w:tc>
          <w:tcPr>
            <w:tcW w:w="318" w:type="dxa"/>
            <w:tcBorders>
              <w:top w:val="single" w:sz="4" w:space="0" w:color="C0C0C0"/>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rPr>
                <w:b/>
              </w:rPr>
            </w:pPr>
          </w:p>
        </w:tc>
        <w:tc>
          <w:tcPr>
            <w:tcW w:w="318" w:type="dxa"/>
            <w:tcBorders>
              <w:top w:val="single" w:sz="4" w:space="0" w:color="C0C0C0"/>
              <w:left w:val="nil"/>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vAlign w:val="center"/>
          </w:tcPr>
          <w:p w:rsidR="00F0667C" w:rsidRPr="00C44CB3" w:rsidRDefault="00F0667C" w:rsidP="00F0667C">
            <w:pPr>
              <w:pStyle w:val="Tabletext"/>
              <w:jc w:val="center"/>
              <w:rPr>
                <w:rFonts w:ascii="Wingdings" w:hAnsi="Wingdings" w:cs="Wingdings"/>
                <w:b/>
                <w:color w:val="FFFFFF" w:themeColor="background1"/>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vAlign w:val="center"/>
          </w:tcPr>
          <w:p w:rsidR="00F0667C" w:rsidRPr="00C44CB3" w:rsidRDefault="00F0667C" w:rsidP="00F0667C">
            <w:pPr>
              <w:pStyle w:val="Tabletext"/>
              <w:jc w:val="center"/>
              <w:rPr>
                <w:rFonts w:ascii="Wingdings" w:hAnsi="Wingdings" w:cs="Wingdings"/>
                <w:b/>
                <w:color w:val="FFFFFF" w:themeColor="background1"/>
              </w:rPr>
            </w:pPr>
          </w:p>
        </w:tc>
        <w:tc>
          <w:tcPr>
            <w:tcW w:w="318" w:type="dxa"/>
            <w:tcBorders>
              <w:top w:val="single" w:sz="4" w:space="0" w:color="C0C0C0"/>
              <w:left w:val="single" w:sz="4" w:space="0" w:color="C0C0C0"/>
              <w:bottom w:val="single" w:sz="4" w:space="0" w:color="C0C0C0"/>
              <w:right w:val="single" w:sz="4" w:space="0" w:color="auto"/>
            </w:tcBorders>
            <w:shd w:val="clear" w:color="auto" w:fill="53565A"/>
            <w:vAlign w:val="center"/>
          </w:tcPr>
          <w:p w:rsidR="00F0667C" w:rsidRPr="00C44CB3" w:rsidRDefault="00F0667C" w:rsidP="00F0667C">
            <w:pPr>
              <w:pStyle w:val="Tabletext"/>
              <w:jc w:val="center"/>
              <w:rPr>
                <w:rFonts w:ascii="Wingdings" w:hAnsi="Wingdings" w:cs="Wingdings"/>
                <w:b/>
                <w:color w:val="FFFFFF" w:themeColor="background1"/>
              </w:rPr>
            </w:pPr>
            <w:r w:rsidRPr="00C44CB3">
              <w:rPr>
                <w:b/>
                <w:color w:val="FFFFFF" w:themeColor="background1"/>
                <w:vertAlign w:val="superscript"/>
              </w:rPr>
              <w:t>(d)</w:t>
            </w:r>
          </w:p>
        </w:tc>
        <w:tc>
          <w:tcPr>
            <w:tcW w:w="323" w:type="dxa"/>
            <w:tcBorders>
              <w:top w:val="single" w:sz="4" w:space="0" w:color="C0C0C0"/>
              <w:left w:val="single" w:sz="4" w:space="0" w:color="auto"/>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8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auto"/>
            </w:tcBorders>
            <w:noWrap/>
            <w:vAlign w:val="center"/>
          </w:tcPr>
          <w:p w:rsidR="00F0667C" w:rsidRPr="00C44CB3" w:rsidRDefault="00F0667C" w:rsidP="00F0667C">
            <w:pPr>
              <w:pStyle w:val="Tabletext"/>
              <w:jc w:val="center"/>
            </w:pPr>
            <w:r w:rsidRPr="00C44CB3">
              <w:rPr>
                <w:rFonts w:ascii="Wingdings" w:hAnsi="Wingdings" w:cs="Wingdings"/>
              </w:rPr>
              <w:t></w:t>
            </w:r>
          </w:p>
        </w:tc>
      </w:tr>
      <w:tr w:rsidR="00F0667C" w:rsidRPr="003E340D" w:rsidTr="00F0667C">
        <w:tc>
          <w:tcPr>
            <w:tcW w:w="373" w:type="dxa"/>
            <w:vMerge/>
            <w:tcBorders>
              <w:left w:val="single" w:sz="4" w:space="0" w:color="auto"/>
              <w:bottom w:val="single" w:sz="4" w:space="0" w:color="000000"/>
              <w:right w:val="single" w:sz="4" w:space="0" w:color="auto"/>
            </w:tcBorders>
            <w:vAlign w:val="center"/>
          </w:tcPr>
          <w:p w:rsidR="00F0667C" w:rsidRPr="003E340D" w:rsidRDefault="00F0667C" w:rsidP="00F0667C">
            <w:pPr>
              <w:spacing w:before="30" w:after="30"/>
              <w:rPr>
                <w:rFonts w:ascii="Arial" w:hAnsi="Arial" w:cs="Arial"/>
                <w:b/>
                <w:bCs/>
                <w:sz w:val="20"/>
                <w:szCs w:val="20"/>
              </w:rPr>
            </w:pPr>
          </w:p>
        </w:tc>
        <w:tc>
          <w:tcPr>
            <w:tcW w:w="3180" w:type="dxa"/>
            <w:tcBorders>
              <w:top w:val="single" w:sz="4" w:space="0" w:color="auto"/>
              <w:left w:val="nil"/>
              <w:bottom w:val="single" w:sz="4" w:space="0" w:color="auto"/>
              <w:right w:val="single" w:sz="4" w:space="0" w:color="auto"/>
            </w:tcBorders>
            <w:vAlign w:val="center"/>
          </w:tcPr>
          <w:p w:rsidR="00F0667C" w:rsidRPr="003E340D" w:rsidRDefault="00F0667C" w:rsidP="00F0667C">
            <w:pPr>
              <w:pStyle w:val="Tabletext"/>
            </w:pPr>
            <w:r w:rsidRPr="003E340D">
              <w:t xml:space="preserve">Quarterly Financial Report No. 4 (QFR 4) </w:t>
            </w:r>
          </w:p>
        </w:tc>
        <w:tc>
          <w:tcPr>
            <w:tcW w:w="318" w:type="dxa"/>
            <w:tcBorders>
              <w:top w:val="single" w:sz="4" w:space="0" w:color="C0C0C0"/>
              <w:left w:val="single" w:sz="4" w:space="0" w:color="C0C0C0"/>
              <w:bottom w:val="single" w:sz="4" w:space="0" w:color="auto"/>
              <w:right w:val="single" w:sz="4" w:space="0" w:color="C0C0C0"/>
            </w:tcBorders>
            <w:shd w:val="clear" w:color="auto" w:fill="D9D9D6"/>
            <w:noWrap/>
            <w:vAlign w:val="center"/>
          </w:tcPr>
          <w:p w:rsidR="00F0667C" w:rsidRPr="00C44CB3" w:rsidRDefault="00F0667C" w:rsidP="00F0667C">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shd w:val="clear" w:color="auto" w:fill="D9D9D6"/>
            <w:noWrap/>
            <w:vAlign w:val="center"/>
          </w:tcPr>
          <w:p w:rsidR="00F0667C" w:rsidRPr="00C44CB3" w:rsidRDefault="00F0667C" w:rsidP="00F0667C">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shd w:val="clear" w:color="auto" w:fill="D9D9D6"/>
            <w:noWrap/>
            <w:vAlign w:val="center"/>
          </w:tcPr>
          <w:p w:rsidR="00F0667C" w:rsidRPr="00C44CB3" w:rsidRDefault="00F0667C" w:rsidP="00F0667C">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shd w:val="clear" w:color="auto" w:fill="D9D9D6"/>
            <w:noWrap/>
            <w:vAlign w:val="center"/>
          </w:tcPr>
          <w:p w:rsidR="00F0667C" w:rsidRPr="00C44CB3" w:rsidRDefault="00F0667C" w:rsidP="00F0667C">
            <w:pPr>
              <w:pStyle w:val="Tabletext"/>
              <w:jc w:val="center"/>
            </w:pPr>
            <w:r w:rsidRPr="00C44CB3">
              <w:rPr>
                <w:vertAlign w:val="superscript"/>
              </w:rPr>
              <w:t>(b)</w:t>
            </w:r>
          </w:p>
        </w:tc>
        <w:tc>
          <w:tcPr>
            <w:tcW w:w="318" w:type="dxa"/>
            <w:tcBorders>
              <w:top w:val="single" w:sz="4" w:space="0" w:color="C0C0C0"/>
              <w:left w:val="single" w:sz="4" w:space="0" w:color="C0C0C0"/>
              <w:bottom w:val="single" w:sz="4" w:space="0" w:color="auto"/>
              <w:right w:val="single" w:sz="4" w:space="0" w:color="C0C0C0"/>
            </w:tcBorders>
            <w:shd w:val="clear" w:color="auto" w:fill="D9D9D6"/>
            <w:noWrap/>
            <w:vAlign w:val="center"/>
          </w:tcPr>
          <w:p w:rsidR="00F0667C" w:rsidRPr="00C44CB3" w:rsidRDefault="00F0667C" w:rsidP="00F0667C">
            <w:pPr>
              <w:pStyle w:val="Tabletext"/>
              <w:jc w:val="center"/>
            </w:pPr>
          </w:p>
        </w:tc>
        <w:tc>
          <w:tcPr>
            <w:tcW w:w="318" w:type="dxa"/>
            <w:tcBorders>
              <w:top w:val="single" w:sz="4" w:space="0" w:color="C0C0C0"/>
              <w:left w:val="single" w:sz="4" w:space="0" w:color="C0C0C0"/>
              <w:bottom w:val="single" w:sz="4" w:space="0" w:color="auto"/>
              <w:right w:val="single" w:sz="4" w:space="0" w:color="auto"/>
            </w:tcBorders>
            <w:noWrap/>
            <w:vAlign w:val="center"/>
          </w:tcPr>
          <w:p w:rsidR="00F0667C" w:rsidRPr="00C44CB3" w:rsidRDefault="00F0667C" w:rsidP="00F0667C">
            <w:pPr>
              <w:pStyle w:val="Tabletext"/>
              <w:jc w:val="center"/>
              <w:rPr>
                <w:b/>
              </w:rPr>
            </w:pPr>
          </w:p>
        </w:tc>
        <w:tc>
          <w:tcPr>
            <w:tcW w:w="318" w:type="dxa"/>
            <w:tcBorders>
              <w:top w:val="single" w:sz="4" w:space="0" w:color="C0C0C0"/>
              <w:left w:val="nil"/>
              <w:bottom w:val="single" w:sz="4" w:space="0" w:color="auto"/>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auto"/>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auto"/>
              <w:right w:val="single" w:sz="4" w:space="0" w:color="C0C0C0"/>
            </w:tcBorders>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auto"/>
              <w:right w:val="single" w:sz="4" w:space="0" w:color="C0C0C0"/>
            </w:tcBorders>
            <w:shd w:val="clear" w:color="auto" w:fill="auto"/>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auto"/>
              <w:right w:val="single" w:sz="4" w:space="0" w:color="C0C0C0"/>
            </w:tcBorders>
            <w:shd w:val="clear" w:color="auto" w:fill="auto"/>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auto"/>
              <w:right w:val="single" w:sz="4" w:space="0" w:color="C0C0C0"/>
            </w:tcBorders>
            <w:shd w:val="clear" w:color="auto" w:fill="auto"/>
            <w:noWrap/>
            <w:vAlign w:val="center"/>
          </w:tcPr>
          <w:p w:rsidR="00F0667C" w:rsidRPr="00C44CB3" w:rsidRDefault="00F0667C" w:rsidP="00F0667C">
            <w:pPr>
              <w:pStyle w:val="Tabletext"/>
              <w:jc w:val="center"/>
              <w:rPr>
                <w:b/>
              </w:rPr>
            </w:pPr>
          </w:p>
        </w:tc>
        <w:tc>
          <w:tcPr>
            <w:tcW w:w="318" w:type="dxa"/>
            <w:tcBorders>
              <w:top w:val="single" w:sz="4" w:space="0" w:color="C0C0C0"/>
              <w:left w:val="single" w:sz="4" w:space="0" w:color="C0C0C0"/>
              <w:bottom w:val="single" w:sz="4" w:space="0" w:color="auto"/>
              <w:right w:val="single" w:sz="4" w:space="0" w:color="C0C0C0"/>
            </w:tcBorders>
            <w:shd w:val="clear" w:color="auto" w:fill="53565A"/>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auto"/>
              <w:right w:val="single" w:sz="4" w:space="0" w:color="C0C0C0"/>
            </w:tcBorders>
            <w:shd w:val="clear" w:color="auto" w:fill="53565A"/>
            <w:vAlign w:val="center"/>
          </w:tcPr>
          <w:p w:rsidR="00F0667C" w:rsidRPr="00C44CB3" w:rsidRDefault="00F0667C" w:rsidP="00F0667C">
            <w:pPr>
              <w:pStyle w:val="Tabletext"/>
              <w:jc w:val="center"/>
              <w:rPr>
                <w:b/>
                <w:color w:val="FFFFFF" w:themeColor="background1"/>
              </w:rPr>
            </w:pPr>
          </w:p>
        </w:tc>
        <w:tc>
          <w:tcPr>
            <w:tcW w:w="318" w:type="dxa"/>
            <w:tcBorders>
              <w:top w:val="single" w:sz="4" w:space="0" w:color="C0C0C0"/>
              <w:left w:val="single" w:sz="4" w:space="0" w:color="C0C0C0"/>
              <w:bottom w:val="single" w:sz="4" w:space="0" w:color="auto"/>
              <w:right w:val="single" w:sz="4" w:space="0" w:color="auto"/>
            </w:tcBorders>
            <w:shd w:val="clear" w:color="auto" w:fill="53565A"/>
            <w:vAlign w:val="center"/>
          </w:tcPr>
          <w:p w:rsidR="00F0667C" w:rsidRPr="00C44CB3" w:rsidRDefault="00F0667C" w:rsidP="00F0667C">
            <w:pPr>
              <w:pStyle w:val="Tabletext"/>
              <w:jc w:val="center"/>
              <w:rPr>
                <w:b/>
                <w:color w:val="FFFFFF" w:themeColor="background1"/>
              </w:rPr>
            </w:pPr>
            <w:r w:rsidRPr="00C44CB3">
              <w:rPr>
                <w:b/>
                <w:color w:val="FFFFFF" w:themeColor="background1"/>
                <w:vertAlign w:val="superscript"/>
              </w:rPr>
              <w:t>(d)</w:t>
            </w:r>
          </w:p>
        </w:tc>
        <w:tc>
          <w:tcPr>
            <w:tcW w:w="323" w:type="dxa"/>
            <w:tcBorders>
              <w:top w:val="single" w:sz="4" w:space="0" w:color="C0C0C0"/>
              <w:left w:val="single" w:sz="4" w:space="0" w:color="auto"/>
              <w:bottom w:val="single" w:sz="4" w:space="0" w:color="auto"/>
              <w:right w:val="single" w:sz="4" w:space="0" w:color="C0C0C0"/>
            </w:tcBorders>
            <w:noWrap/>
            <w:vAlign w:val="center"/>
          </w:tcPr>
          <w:p w:rsidR="00F0667C" w:rsidRPr="00C44CB3" w:rsidRDefault="00F0667C" w:rsidP="00F0667C">
            <w:pPr>
              <w:pStyle w:val="Tabletext"/>
              <w:jc w:val="center"/>
            </w:pPr>
          </w:p>
        </w:tc>
        <w:tc>
          <w:tcPr>
            <w:tcW w:w="383" w:type="dxa"/>
            <w:tcBorders>
              <w:top w:val="single" w:sz="4" w:space="0" w:color="C0C0C0"/>
              <w:left w:val="single" w:sz="4" w:space="0" w:color="C0C0C0"/>
              <w:bottom w:val="single" w:sz="4" w:space="0" w:color="auto"/>
              <w:right w:val="single" w:sz="4" w:space="0" w:color="C0C0C0"/>
            </w:tcBorders>
            <w:noWrap/>
            <w:vAlign w:val="center"/>
          </w:tcPr>
          <w:p w:rsidR="00F0667C" w:rsidRPr="00C44CB3" w:rsidRDefault="00F0667C" w:rsidP="00F0667C">
            <w:pPr>
              <w:pStyle w:val="Tabletext"/>
              <w:jc w:val="center"/>
            </w:pPr>
            <w:r w:rsidRPr="00C44CB3">
              <w:rPr>
                <w:rFonts w:ascii="Wingdings" w:hAnsi="Wingdings" w:cs="Wingdings"/>
              </w:rPr>
              <w:t></w:t>
            </w:r>
          </w:p>
        </w:tc>
        <w:tc>
          <w:tcPr>
            <w:tcW w:w="323" w:type="dxa"/>
            <w:tcBorders>
              <w:top w:val="single" w:sz="4" w:space="0" w:color="C0C0C0"/>
              <w:left w:val="single" w:sz="4" w:space="0" w:color="C0C0C0"/>
              <w:bottom w:val="single" w:sz="4" w:space="0" w:color="auto"/>
              <w:right w:val="single" w:sz="4" w:space="0" w:color="C0C0C0"/>
            </w:tcBorders>
            <w:noWrap/>
            <w:vAlign w:val="center"/>
          </w:tcPr>
          <w:p w:rsidR="00F0667C" w:rsidRPr="00C44CB3" w:rsidRDefault="00F0667C" w:rsidP="00F0667C">
            <w:pPr>
              <w:pStyle w:val="Tabletext"/>
              <w:jc w:val="center"/>
            </w:pPr>
          </w:p>
        </w:tc>
        <w:tc>
          <w:tcPr>
            <w:tcW w:w="324" w:type="dxa"/>
            <w:tcBorders>
              <w:top w:val="single" w:sz="4" w:space="0" w:color="C0C0C0"/>
              <w:left w:val="single" w:sz="4" w:space="0" w:color="C0C0C0"/>
              <w:bottom w:val="single" w:sz="4" w:space="0" w:color="auto"/>
              <w:right w:val="single" w:sz="4" w:space="0" w:color="C0C0C0"/>
            </w:tcBorders>
            <w:noWrap/>
            <w:vAlign w:val="center"/>
          </w:tcPr>
          <w:p w:rsidR="00F0667C" w:rsidRPr="00C44CB3" w:rsidRDefault="00F0667C" w:rsidP="00F0667C">
            <w:pPr>
              <w:pStyle w:val="Tabletext"/>
              <w:jc w:val="center"/>
            </w:pPr>
          </w:p>
        </w:tc>
        <w:tc>
          <w:tcPr>
            <w:tcW w:w="323" w:type="dxa"/>
            <w:tcBorders>
              <w:top w:val="single" w:sz="4" w:space="0" w:color="C0C0C0"/>
              <w:left w:val="single" w:sz="4" w:space="0" w:color="C0C0C0"/>
              <w:bottom w:val="single" w:sz="4" w:space="0" w:color="auto"/>
              <w:right w:val="single" w:sz="4" w:space="0" w:color="auto"/>
            </w:tcBorders>
            <w:noWrap/>
            <w:vAlign w:val="center"/>
          </w:tcPr>
          <w:p w:rsidR="00F0667C" w:rsidRPr="00C44CB3" w:rsidRDefault="00F0667C" w:rsidP="00F0667C">
            <w:pPr>
              <w:pStyle w:val="Tabletext"/>
              <w:jc w:val="center"/>
            </w:pPr>
          </w:p>
        </w:tc>
      </w:tr>
    </w:tbl>
    <w:p w:rsidR="00F0667C" w:rsidRPr="003E340D" w:rsidRDefault="00F0667C" w:rsidP="00F0667C">
      <w:pPr>
        <w:pStyle w:val="SmallLine"/>
        <w:rPr>
          <w:sz w:val="8"/>
          <w:szCs w:val="8"/>
        </w:rPr>
      </w:pPr>
    </w:p>
    <w:tbl>
      <w:tblPr>
        <w:tblW w:w="10289" w:type="dxa"/>
        <w:tblLayout w:type="fixed"/>
        <w:tblCellMar>
          <w:left w:w="29" w:type="dxa"/>
          <w:right w:w="29" w:type="dxa"/>
        </w:tblCellMar>
        <w:tblLook w:val="0000" w:firstRow="0" w:lastRow="0" w:firstColumn="0" w:lastColumn="0" w:noHBand="0" w:noVBand="0"/>
      </w:tblPr>
      <w:tblGrid>
        <w:gridCol w:w="493"/>
        <w:gridCol w:w="3046"/>
        <w:gridCol w:w="509"/>
        <w:gridCol w:w="2895"/>
        <w:gridCol w:w="525"/>
        <w:gridCol w:w="2821"/>
      </w:tblGrid>
      <w:tr w:rsidR="00F0667C" w:rsidRPr="003E340D" w:rsidTr="00F0667C">
        <w:trPr>
          <w:trHeight w:hRule="exact" w:val="280"/>
        </w:trPr>
        <w:tc>
          <w:tcPr>
            <w:tcW w:w="493" w:type="dxa"/>
            <w:tcBorders>
              <w:top w:val="single" w:sz="4" w:space="0" w:color="auto"/>
              <w:left w:val="single" w:sz="4" w:space="0" w:color="auto"/>
              <w:bottom w:val="single" w:sz="4" w:space="0" w:color="auto"/>
              <w:right w:val="single" w:sz="4" w:space="0" w:color="auto"/>
            </w:tcBorders>
            <w:shd w:val="clear" w:color="auto" w:fill="D9D9D6"/>
            <w:noWrap/>
            <w:vAlign w:val="bottom"/>
          </w:tcPr>
          <w:p w:rsidR="00F0667C" w:rsidRPr="003E340D" w:rsidRDefault="00F0667C" w:rsidP="00F0667C">
            <w:pPr>
              <w:spacing w:before="40" w:after="40"/>
              <w:rPr>
                <w:rFonts w:ascii="Arial" w:hAnsi="Arial" w:cs="Arial"/>
                <w:sz w:val="20"/>
                <w:szCs w:val="20"/>
              </w:rPr>
            </w:pPr>
            <w:r w:rsidRPr="003E340D">
              <w:rPr>
                <w:rFonts w:ascii="Arial" w:hAnsi="Arial" w:cs="Arial"/>
                <w:sz w:val="20"/>
                <w:szCs w:val="20"/>
              </w:rPr>
              <w:t> </w:t>
            </w:r>
          </w:p>
        </w:tc>
        <w:tc>
          <w:tcPr>
            <w:tcW w:w="3046" w:type="dxa"/>
            <w:tcBorders>
              <w:top w:val="nil"/>
              <w:left w:val="single" w:sz="4" w:space="0" w:color="auto"/>
              <w:bottom w:val="nil"/>
              <w:right w:val="single" w:sz="4" w:space="0" w:color="auto"/>
            </w:tcBorders>
            <w:noWrap/>
            <w:vAlign w:val="bottom"/>
          </w:tcPr>
          <w:p w:rsidR="00F0667C" w:rsidRPr="003E340D" w:rsidRDefault="00F0667C" w:rsidP="00F0667C">
            <w:pPr>
              <w:pStyle w:val="Tabletext"/>
            </w:pPr>
            <w:r w:rsidRPr="003E340D">
              <w:t>2014</w:t>
            </w:r>
            <w:r w:rsidR="005A4BB0">
              <w:noBreakHyphen/>
            </w:r>
            <w:r w:rsidRPr="003E340D">
              <w:t>15 publication</w:t>
            </w:r>
          </w:p>
        </w:tc>
        <w:tc>
          <w:tcPr>
            <w:tcW w:w="509" w:type="dxa"/>
            <w:tcBorders>
              <w:top w:val="single" w:sz="4" w:space="0" w:color="auto"/>
              <w:left w:val="single" w:sz="4" w:space="0" w:color="auto"/>
              <w:bottom w:val="single" w:sz="4" w:space="0" w:color="auto"/>
              <w:right w:val="single" w:sz="4" w:space="0" w:color="auto"/>
            </w:tcBorders>
            <w:shd w:val="clear" w:color="auto" w:fill="53565A"/>
            <w:vAlign w:val="bottom"/>
          </w:tcPr>
          <w:p w:rsidR="00F0667C" w:rsidRPr="00C44CB3" w:rsidRDefault="00F0667C" w:rsidP="00F0667C">
            <w:pPr>
              <w:spacing w:before="40" w:after="40"/>
              <w:rPr>
                <w:rFonts w:ascii="Arial" w:hAnsi="Arial" w:cs="Arial"/>
                <w:color w:val="FFFFFF" w:themeColor="background1"/>
                <w:sz w:val="20"/>
                <w:szCs w:val="20"/>
              </w:rPr>
            </w:pPr>
            <w:r w:rsidRPr="00C44CB3">
              <w:rPr>
                <w:rFonts w:ascii="Arial" w:hAnsi="Arial" w:cs="Arial"/>
                <w:color w:val="FFFFFF" w:themeColor="background1"/>
                <w:sz w:val="20"/>
                <w:szCs w:val="20"/>
              </w:rPr>
              <w:t> </w:t>
            </w:r>
          </w:p>
        </w:tc>
        <w:tc>
          <w:tcPr>
            <w:tcW w:w="2895" w:type="dxa"/>
            <w:tcBorders>
              <w:top w:val="nil"/>
              <w:left w:val="single" w:sz="4" w:space="0" w:color="auto"/>
              <w:bottom w:val="nil"/>
              <w:right w:val="single" w:sz="4" w:space="0" w:color="auto"/>
            </w:tcBorders>
            <w:vAlign w:val="bottom"/>
          </w:tcPr>
          <w:p w:rsidR="00F0667C" w:rsidRPr="003E340D" w:rsidRDefault="00F0667C" w:rsidP="00F0667C">
            <w:pPr>
              <w:pStyle w:val="Tabletext"/>
            </w:pPr>
            <w:r w:rsidRPr="003E340D">
              <w:t>2015</w:t>
            </w:r>
            <w:r w:rsidR="005A4BB0">
              <w:noBreakHyphen/>
            </w:r>
            <w:r w:rsidRPr="003E340D">
              <w:t>16</w:t>
            </w:r>
            <w:r>
              <w:t xml:space="preserve"> </w:t>
            </w:r>
            <w:r w:rsidRPr="003E340D">
              <w:t>publication</w:t>
            </w:r>
          </w:p>
        </w:tc>
        <w:tc>
          <w:tcPr>
            <w:tcW w:w="525" w:type="dxa"/>
            <w:tcBorders>
              <w:top w:val="single" w:sz="4" w:space="0" w:color="auto"/>
              <w:left w:val="single" w:sz="4" w:space="0" w:color="auto"/>
              <w:bottom w:val="single" w:sz="4" w:space="0" w:color="auto"/>
              <w:right w:val="single" w:sz="4" w:space="0" w:color="auto"/>
            </w:tcBorders>
            <w:shd w:val="clear" w:color="auto" w:fill="71C5E8"/>
          </w:tcPr>
          <w:p w:rsidR="00F0667C" w:rsidRPr="003E340D" w:rsidRDefault="00F0667C" w:rsidP="00F0667C">
            <w:pPr>
              <w:spacing w:before="40" w:after="40"/>
              <w:rPr>
                <w:rFonts w:ascii="Arial" w:hAnsi="Arial" w:cs="Arial"/>
                <w:sz w:val="20"/>
                <w:szCs w:val="20"/>
              </w:rPr>
            </w:pPr>
          </w:p>
        </w:tc>
        <w:tc>
          <w:tcPr>
            <w:tcW w:w="2821" w:type="dxa"/>
            <w:tcBorders>
              <w:top w:val="nil"/>
              <w:left w:val="single" w:sz="4" w:space="0" w:color="auto"/>
              <w:bottom w:val="nil"/>
              <w:right w:val="nil"/>
            </w:tcBorders>
          </w:tcPr>
          <w:p w:rsidR="00F0667C" w:rsidRPr="003E340D" w:rsidRDefault="00F0667C" w:rsidP="00F0667C">
            <w:pPr>
              <w:pStyle w:val="Tabletext"/>
            </w:pPr>
            <w:r w:rsidRPr="003E340D">
              <w:t>2016</w:t>
            </w:r>
            <w:r w:rsidR="005A4BB0">
              <w:noBreakHyphen/>
            </w:r>
            <w:r w:rsidRPr="003E340D">
              <w:t>17 publication</w:t>
            </w:r>
          </w:p>
        </w:tc>
      </w:tr>
    </w:tbl>
    <w:p w:rsidR="00F0667C" w:rsidRPr="003E340D" w:rsidRDefault="00F0667C" w:rsidP="00F0667C">
      <w:pPr>
        <w:pStyle w:val="SmallLine"/>
        <w:rPr>
          <w:sz w:val="8"/>
          <w:szCs w:val="8"/>
        </w:rPr>
      </w:pPr>
    </w:p>
    <w:p w:rsidR="00F0667C" w:rsidRPr="003E340D" w:rsidRDefault="00F0667C" w:rsidP="00F0667C">
      <w:pPr>
        <w:pStyle w:val="Notes"/>
      </w:pPr>
      <w:r w:rsidRPr="003E340D">
        <w:t>Notes:</w:t>
      </w:r>
    </w:p>
    <w:p w:rsidR="003F3D5F" w:rsidRDefault="00F0667C" w:rsidP="00F0667C">
      <w:pPr>
        <w:pStyle w:val="Notes"/>
      </w:pPr>
      <w:r w:rsidRPr="003E340D">
        <w:t>(a)</w:t>
      </w:r>
      <w:r w:rsidRPr="003E340D">
        <w:tab/>
        <w:t xml:space="preserve">The </w:t>
      </w:r>
      <w:r w:rsidRPr="003E340D">
        <w:rPr>
          <w:i w:val="0"/>
        </w:rPr>
        <w:t>2016</w:t>
      </w:r>
      <w:r w:rsidR="005A4BB0">
        <w:rPr>
          <w:i w:val="0"/>
        </w:rPr>
        <w:noBreakHyphen/>
      </w:r>
      <w:r w:rsidRPr="003E340D">
        <w:rPr>
          <w:i w:val="0"/>
        </w:rPr>
        <w:t>17 Budget</w:t>
      </w:r>
      <w:r w:rsidRPr="003E340D">
        <w:t xml:space="preserve"> will be tabled on </w:t>
      </w:r>
      <w:r>
        <w:t>27 April</w:t>
      </w:r>
      <w:r w:rsidRPr="003E340D">
        <w:t xml:space="preserve"> 2016</w:t>
      </w:r>
      <w:r w:rsidR="003F3D5F">
        <w:t>.</w:t>
      </w:r>
    </w:p>
    <w:p w:rsidR="00930D72" w:rsidRPr="003E340D" w:rsidRDefault="00930D72" w:rsidP="00F0667C">
      <w:pPr>
        <w:pStyle w:val="Notes"/>
      </w:pPr>
      <w:r w:rsidRPr="003E340D">
        <w:t>(b)</w:t>
      </w:r>
      <w:r w:rsidRPr="003E340D">
        <w:tab/>
        <w:t>Tabled on or before 15</w:t>
      </w:r>
      <w:r w:rsidRPr="003E340D">
        <w:rPr>
          <w:vertAlign w:val="superscript"/>
        </w:rPr>
        <w:t>th</w:t>
      </w:r>
      <w:r w:rsidRPr="003E340D">
        <w:t xml:space="preserve"> of the month. </w:t>
      </w:r>
    </w:p>
    <w:p w:rsidR="00930D72" w:rsidRPr="003E340D" w:rsidRDefault="00930D72" w:rsidP="00540F7E">
      <w:pPr>
        <w:pStyle w:val="Notes"/>
        <w:ind w:left="0" w:firstLine="0"/>
      </w:pPr>
      <w:r w:rsidRPr="003E340D">
        <w:t>(c)</w:t>
      </w:r>
      <w:r w:rsidRPr="003E340D">
        <w:tab/>
        <w:t>Includes limited analysis of the whole of state.</w:t>
      </w:r>
    </w:p>
    <w:p w:rsidR="00930D72" w:rsidRPr="003E340D" w:rsidRDefault="00930D72" w:rsidP="00635F06">
      <w:pPr>
        <w:pStyle w:val="Notes"/>
        <w:ind w:left="426" w:hanging="426"/>
      </w:pPr>
      <w:r w:rsidRPr="003E340D">
        <w:t>(d)</w:t>
      </w:r>
      <w:r w:rsidRPr="003E340D">
        <w:tab/>
        <w:t xml:space="preserve">At the time of issuing of this Model Report, it is anticipated that the indicative project timeline for the </w:t>
      </w:r>
      <w:r w:rsidR="003978C4" w:rsidRPr="003E340D">
        <w:t>201</w:t>
      </w:r>
      <w:r w:rsidR="00584DF8" w:rsidRPr="003E340D">
        <w:t>5</w:t>
      </w:r>
      <w:r w:rsidR="005A4BB0">
        <w:noBreakHyphen/>
      </w:r>
      <w:r w:rsidR="003978C4" w:rsidRPr="003E340D">
        <w:t>1</w:t>
      </w:r>
      <w:r w:rsidR="00584DF8" w:rsidRPr="003E340D">
        <w:t>6</w:t>
      </w:r>
      <w:r w:rsidR="003978C4" w:rsidRPr="003E340D">
        <w:t xml:space="preserve"> </w:t>
      </w:r>
      <w:r w:rsidRPr="003E340D">
        <w:t xml:space="preserve">AFR </w:t>
      </w:r>
      <w:r w:rsidR="00B60CFA" w:rsidRPr="003E340D">
        <w:t xml:space="preserve">is from July </w:t>
      </w:r>
      <w:r w:rsidR="002E3B80" w:rsidRPr="003E340D">
        <w:t xml:space="preserve">2016 </w:t>
      </w:r>
      <w:r w:rsidR="00B60CFA" w:rsidRPr="003E340D">
        <w:t>to October</w:t>
      </w:r>
      <w:r w:rsidR="002E3B80" w:rsidRPr="003E340D">
        <w:t xml:space="preserve"> 2016</w:t>
      </w:r>
      <w:r w:rsidR="00B60CFA" w:rsidRPr="003E340D">
        <w:t>.</w:t>
      </w:r>
    </w:p>
    <w:p w:rsidR="00930D72" w:rsidRPr="003E340D" w:rsidRDefault="00930D72" w:rsidP="00635F06">
      <w:pPr>
        <w:pStyle w:val="Notes"/>
        <w:ind w:left="426" w:hanging="426"/>
      </w:pPr>
      <w:r w:rsidRPr="003E340D">
        <w:t xml:space="preserve">(e) </w:t>
      </w:r>
      <w:r w:rsidRPr="003E340D">
        <w:tab/>
        <w:t xml:space="preserve">The PEBU for the general government sector </w:t>
      </w:r>
      <w:r w:rsidR="00C038AA" w:rsidRPr="003E340D">
        <w:t xml:space="preserve">is </w:t>
      </w:r>
      <w:r w:rsidRPr="003E340D">
        <w:t>due</w:t>
      </w:r>
      <w:r w:rsidR="00AA2AFD" w:rsidRPr="003E340D">
        <w:t xml:space="preserve"> in</w:t>
      </w:r>
      <w:r w:rsidRPr="003E340D">
        <w:t xml:space="preserve"> October/November </w:t>
      </w:r>
      <w:r w:rsidR="00C038AA" w:rsidRPr="003E340D">
        <w:t>2018</w:t>
      </w:r>
      <w:r w:rsidRPr="003E340D">
        <w:t xml:space="preserve">, and </w:t>
      </w:r>
      <w:r w:rsidR="00C038AA" w:rsidRPr="003E340D">
        <w:t xml:space="preserve">will be </w:t>
      </w:r>
      <w:r w:rsidRPr="003E340D">
        <w:t>issued within 10 days after the writ to prorogue Parliament has been issued.</w:t>
      </w:r>
    </w:p>
    <w:p w:rsidR="00930D72" w:rsidRPr="003E340D" w:rsidRDefault="00930D72" w:rsidP="00635F06">
      <w:pPr>
        <w:pStyle w:val="Notes"/>
        <w:ind w:left="426" w:hanging="426"/>
      </w:pPr>
    </w:p>
    <w:tbl>
      <w:tblPr>
        <w:tblW w:w="1017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810"/>
        <w:gridCol w:w="3780"/>
        <w:gridCol w:w="810"/>
        <w:gridCol w:w="810"/>
        <w:gridCol w:w="3960"/>
      </w:tblGrid>
      <w:tr w:rsidR="00930D72" w:rsidRPr="003E340D" w:rsidTr="00CC1A76">
        <w:tc>
          <w:tcPr>
            <w:tcW w:w="810" w:type="dxa"/>
            <w:shd w:val="clear" w:color="auto" w:fill="auto"/>
          </w:tcPr>
          <w:p w:rsidR="00930D72" w:rsidRPr="003E340D" w:rsidRDefault="00930D72" w:rsidP="0031439D">
            <w:pPr>
              <w:pStyle w:val="Notes"/>
              <w:ind w:left="0" w:firstLine="0"/>
              <w:jc w:val="both"/>
            </w:pPr>
            <w:r w:rsidRPr="003E340D">
              <w:t>GGS:</w:t>
            </w:r>
          </w:p>
        </w:tc>
        <w:tc>
          <w:tcPr>
            <w:tcW w:w="3780" w:type="dxa"/>
            <w:tcBorders>
              <w:right w:val="single" w:sz="4" w:space="0" w:color="auto"/>
            </w:tcBorders>
            <w:shd w:val="clear" w:color="auto" w:fill="auto"/>
          </w:tcPr>
          <w:p w:rsidR="00930D72" w:rsidRPr="003E340D" w:rsidRDefault="00930D72" w:rsidP="0031439D">
            <w:pPr>
              <w:pStyle w:val="Notes"/>
              <w:ind w:left="0" w:firstLine="0"/>
              <w:jc w:val="both"/>
            </w:pPr>
            <w:r w:rsidRPr="003E340D">
              <w:t>General government sector</w:t>
            </w:r>
          </w:p>
        </w:tc>
        <w:tc>
          <w:tcPr>
            <w:tcW w:w="810" w:type="dxa"/>
            <w:tcBorders>
              <w:top w:val="nil"/>
              <w:left w:val="single" w:sz="4" w:space="0" w:color="auto"/>
              <w:bottom w:val="nil"/>
              <w:right w:val="single" w:sz="4" w:space="0" w:color="auto"/>
            </w:tcBorders>
            <w:shd w:val="clear" w:color="auto" w:fill="auto"/>
          </w:tcPr>
          <w:p w:rsidR="00930D72" w:rsidRPr="003E340D" w:rsidRDefault="00930D72" w:rsidP="0031439D">
            <w:pPr>
              <w:pStyle w:val="Notes"/>
              <w:ind w:left="0" w:firstLine="0"/>
              <w:jc w:val="both"/>
            </w:pPr>
          </w:p>
        </w:tc>
        <w:tc>
          <w:tcPr>
            <w:tcW w:w="810" w:type="dxa"/>
            <w:tcBorders>
              <w:left w:val="single" w:sz="4" w:space="0" w:color="auto"/>
            </w:tcBorders>
            <w:shd w:val="clear" w:color="auto" w:fill="auto"/>
          </w:tcPr>
          <w:p w:rsidR="00930D72" w:rsidRPr="003E340D" w:rsidRDefault="00930D72" w:rsidP="0031439D">
            <w:pPr>
              <w:pStyle w:val="Notes"/>
              <w:ind w:left="0" w:firstLine="0"/>
              <w:jc w:val="both"/>
            </w:pPr>
            <w:r w:rsidRPr="003E340D">
              <w:t>WOS:</w:t>
            </w:r>
          </w:p>
        </w:tc>
        <w:tc>
          <w:tcPr>
            <w:tcW w:w="3960" w:type="dxa"/>
            <w:shd w:val="clear" w:color="auto" w:fill="auto"/>
          </w:tcPr>
          <w:p w:rsidR="00930D72" w:rsidRPr="003E340D" w:rsidRDefault="00930D72" w:rsidP="0031439D">
            <w:pPr>
              <w:pStyle w:val="Notes"/>
              <w:ind w:left="0" w:firstLine="0"/>
              <w:jc w:val="both"/>
            </w:pPr>
            <w:r w:rsidRPr="003E340D">
              <w:t xml:space="preserve">Whole of state </w:t>
            </w:r>
          </w:p>
        </w:tc>
      </w:tr>
      <w:tr w:rsidR="00930D72" w:rsidRPr="003E340D" w:rsidTr="00CC1A76">
        <w:tc>
          <w:tcPr>
            <w:tcW w:w="810" w:type="dxa"/>
            <w:shd w:val="clear" w:color="auto" w:fill="auto"/>
          </w:tcPr>
          <w:p w:rsidR="00930D72" w:rsidRPr="003E340D" w:rsidRDefault="00930D72" w:rsidP="0031439D">
            <w:pPr>
              <w:pStyle w:val="Notes"/>
              <w:ind w:left="0" w:firstLine="0"/>
              <w:jc w:val="both"/>
            </w:pPr>
            <w:r w:rsidRPr="003E340D">
              <w:t>PNFCs:</w:t>
            </w:r>
          </w:p>
        </w:tc>
        <w:tc>
          <w:tcPr>
            <w:tcW w:w="3780" w:type="dxa"/>
            <w:tcBorders>
              <w:right w:val="single" w:sz="4" w:space="0" w:color="auto"/>
            </w:tcBorders>
            <w:shd w:val="clear" w:color="auto" w:fill="auto"/>
          </w:tcPr>
          <w:p w:rsidR="00930D72" w:rsidRPr="003E340D" w:rsidRDefault="00930D72" w:rsidP="0031439D">
            <w:pPr>
              <w:pStyle w:val="Notes"/>
              <w:spacing w:after="30"/>
              <w:ind w:left="0" w:firstLine="0"/>
              <w:jc w:val="both"/>
              <w:rPr>
                <w:lang w:val="fr-FR"/>
              </w:rPr>
            </w:pPr>
            <w:r w:rsidRPr="003E340D">
              <w:rPr>
                <w:lang w:val="fr-FR"/>
              </w:rPr>
              <w:t>Public non</w:t>
            </w:r>
            <w:r w:rsidR="005A4BB0">
              <w:rPr>
                <w:lang w:val="fr-FR"/>
              </w:rPr>
              <w:noBreakHyphen/>
            </w:r>
            <w:r w:rsidRPr="003E340D">
              <w:rPr>
                <w:lang w:val="fr-FR"/>
              </w:rPr>
              <w:t>financial corporations entities</w:t>
            </w:r>
          </w:p>
        </w:tc>
        <w:tc>
          <w:tcPr>
            <w:tcW w:w="810" w:type="dxa"/>
            <w:tcBorders>
              <w:top w:val="nil"/>
              <w:left w:val="single" w:sz="4" w:space="0" w:color="auto"/>
              <w:bottom w:val="nil"/>
              <w:right w:val="single" w:sz="4" w:space="0" w:color="auto"/>
            </w:tcBorders>
            <w:shd w:val="clear" w:color="auto" w:fill="auto"/>
          </w:tcPr>
          <w:p w:rsidR="00930D72" w:rsidRPr="003E340D" w:rsidRDefault="00930D72" w:rsidP="0031439D">
            <w:pPr>
              <w:pStyle w:val="Notes"/>
              <w:ind w:left="0" w:firstLine="0"/>
              <w:jc w:val="both"/>
              <w:rPr>
                <w:lang w:val="fr-FR"/>
              </w:rPr>
            </w:pPr>
          </w:p>
        </w:tc>
        <w:tc>
          <w:tcPr>
            <w:tcW w:w="810" w:type="dxa"/>
            <w:tcBorders>
              <w:left w:val="single" w:sz="4" w:space="0" w:color="auto"/>
            </w:tcBorders>
            <w:shd w:val="clear" w:color="auto" w:fill="auto"/>
          </w:tcPr>
          <w:p w:rsidR="00930D72" w:rsidRPr="003E340D" w:rsidRDefault="00930D72" w:rsidP="0031439D">
            <w:pPr>
              <w:pStyle w:val="Notes"/>
              <w:spacing w:after="30"/>
              <w:ind w:left="0" w:firstLine="0"/>
              <w:jc w:val="both"/>
            </w:pPr>
            <w:r w:rsidRPr="003E340D">
              <w:t>PFCs:</w:t>
            </w:r>
          </w:p>
        </w:tc>
        <w:tc>
          <w:tcPr>
            <w:tcW w:w="3960" w:type="dxa"/>
            <w:shd w:val="clear" w:color="auto" w:fill="auto"/>
          </w:tcPr>
          <w:p w:rsidR="00930D72" w:rsidRPr="003E340D" w:rsidRDefault="00930D72" w:rsidP="0031439D">
            <w:pPr>
              <w:pStyle w:val="Notes"/>
              <w:spacing w:after="30"/>
              <w:ind w:left="0" w:firstLine="0"/>
              <w:jc w:val="both"/>
            </w:pPr>
            <w:r w:rsidRPr="003E340D">
              <w:t>Public financial corporations entities</w:t>
            </w:r>
          </w:p>
        </w:tc>
      </w:tr>
      <w:tr w:rsidR="00930D72" w:rsidRPr="003E340D" w:rsidTr="00CC1A76">
        <w:tc>
          <w:tcPr>
            <w:tcW w:w="810" w:type="dxa"/>
            <w:shd w:val="clear" w:color="auto" w:fill="auto"/>
          </w:tcPr>
          <w:p w:rsidR="00930D72" w:rsidRPr="003E340D" w:rsidRDefault="00930D72" w:rsidP="0031439D">
            <w:pPr>
              <w:pStyle w:val="Notes"/>
              <w:spacing w:after="30"/>
              <w:ind w:left="0" w:firstLine="0"/>
              <w:jc w:val="both"/>
            </w:pPr>
            <w:r w:rsidRPr="003E340D">
              <w:t>BERC:</w:t>
            </w:r>
          </w:p>
        </w:tc>
        <w:tc>
          <w:tcPr>
            <w:tcW w:w="3780" w:type="dxa"/>
            <w:tcBorders>
              <w:right w:val="single" w:sz="4" w:space="0" w:color="auto"/>
            </w:tcBorders>
            <w:shd w:val="clear" w:color="auto" w:fill="auto"/>
          </w:tcPr>
          <w:p w:rsidR="00930D72" w:rsidRPr="003E340D" w:rsidRDefault="00930D72" w:rsidP="0031439D">
            <w:pPr>
              <w:pStyle w:val="Notes"/>
              <w:spacing w:after="30"/>
              <w:ind w:left="0" w:firstLine="0"/>
              <w:jc w:val="both"/>
            </w:pPr>
            <w:r w:rsidRPr="003E340D">
              <w:t>Budget and Expenditure Review Committee</w:t>
            </w:r>
          </w:p>
        </w:tc>
        <w:tc>
          <w:tcPr>
            <w:tcW w:w="810" w:type="dxa"/>
            <w:tcBorders>
              <w:top w:val="nil"/>
              <w:left w:val="single" w:sz="4" w:space="0" w:color="auto"/>
              <w:bottom w:val="nil"/>
              <w:right w:val="single" w:sz="4" w:space="0" w:color="auto"/>
            </w:tcBorders>
            <w:shd w:val="clear" w:color="auto" w:fill="auto"/>
          </w:tcPr>
          <w:p w:rsidR="00930D72" w:rsidRPr="003E340D" w:rsidRDefault="00930D72" w:rsidP="0031439D">
            <w:pPr>
              <w:pStyle w:val="Notes"/>
              <w:ind w:left="0" w:firstLine="0"/>
              <w:jc w:val="both"/>
            </w:pPr>
          </w:p>
        </w:tc>
        <w:tc>
          <w:tcPr>
            <w:tcW w:w="810" w:type="dxa"/>
            <w:tcBorders>
              <w:left w:val="single" w:sz="4" w:space="0" w:color="auto"/>
            </w:tcBorders>
            <w:shd w:val="clear" w:color="auto" w:fill="auto"/>
          </w:tcPr>
          <w:p w:rsidR="00930D72" w:rsidRPr="003E340D" w:rsidRDefault="00930D72" w:rsidP="004D1BF2">
            <w:pPr>
              <w:pStyle w:val="Notes"/>
              <w:spacing w:after="30"/>
              <w:ind w:left="0" w:firstLine="0"/>
              <w:jc w:val="both"/>
            </w:pPr>
            <w:r w:rsidRPr="003E340D">
              <w:t>GGE:</w:t>
            </w:r>
          </w:p>
        </w:tc>
        <w:tc>
          <w:tcPr>
            <w:tcW w:w="3960" w:type="dxa"/>
            <w:shd w:val="clear" w:color="auto" w:fill="auto"/>
          </w:tcPr>
          <w:p w:rsidR="00930D72" w:rsidRPr="003E340D" w:rsidRDefault="00930D72" w:rsidP="004D1BF2">
            <w:pPr>
              <w:pStyle w:val="Notes"/>
              <w:spacing w:after="30"/>
              <w:ind w:left="0" w:firstLine="0"/>
              <w:jc w:val="both"/>
            </w:pPr>
            <w:r w:rsidRPr="003E340D">
              <w:t xml:space="preserve">General government entities </w:t>
            </w:r>
          </w:p>
        </w:tc>
      </w:tr>
    </w:tbl>
    <w:p w:rsidR="00930D72" w:rsidRPr="003E340D" w:rsidRDefault="00930D72" w:rsidP="00244F5E">
      <w:pPr>
        <w:pStyle w:val="Heading1"/>
      </w:pPr>
      <w:bookmarkStart w:id="11" w:name="_Toc388277734"/>
      <w:bookmarkStart w:id="12" w:name="_Toc448493000"/>
      <w:r w:rsidRPr="003E340D">
        <w:t>Basis of each financial publication</w:t>
      </w:r>
      <w:bookmarkEnd w:id="11"/>
      <w:bookmarkEnd w:id="12"/>
    </w:p>
    <w:p w:rsidR="00930D72" w:rsidRPr="003E340D" w:rsidRDefault="00930D72" w:rsidP="00540F7E">
      <w:r w:rsidRPr="003E340D">
        <w:t xml:space="preserve">Financial statements (including accompanying notes) are prepared in accordance with Australian Accounting Standards (AASs) and relevant FRDs. In addition, the budget papers and AFR need to comply with the Uniform Presentation Framework (UPF) approved by the Australian Loan Council. The UPF is based on the Government finance statistics (GFS) framework designed to provide statistics related to all Australian public sector entities. </w:t>
      </w:r>
    </w:p>
    <w:p w:rsidR="00930D72" w:rsidRPr="003E340D" w:rsidRDefault="00930D72" w:rsidP="00540F7E">
      <w:r w:rsidRPr="003E340D">
        <w:t xml:space="preserve">Since 1 July 2008, </w:t>
      </w:r>
      <w:r w:rsidR="00016A90" w:rsidRPr="003E340D">
        <w:t>AASB </w:t>
      </w:r>
      <w:r w:rsidRPr="003E340D">
        <w:t xml:space="preserve">1049 </w:t>
      </w:r>
      <w:r w:rsidRPr="003E340D">
        <w:rPr>
          <w:i/>
          <w:iCs/>
        </w:rPr>
        <w:t xml:space="preserve">Whole of government and general government sector financial reporting </w:t>
      </w:r>
      <w:r w:rsidRPr="003E340D">
        <w:rPr>
          <w:iCs/>
        </w:rPr>
        <w:t xml:space="preserve">has been </w:t>
      </w:r>
      <w:r w:rsidRPr="003E340D">
        <w:t xml:space="preserve">applied to </w:t>
      </w:r>
      <w:r w:rsidRPr="003E340D">
        <w:rPr>
          <w:bCs/>
        </w:rPr>
        <w:t>whole of government general purpose financial statements and general government sector financial statements</w:t>
      </w:r>
      <w:r w:rsidRPr="003E340D">
        <w:t>. This standard incorporates the major elements of the GFS framework into an accounting standard. It resulted in a comprehensive operating statement presentation largely consistent with that used by Victoria at the consolidated level for some years. The UPF was also updated based on AASB 1049 to provide consistency in the presentation formats of the financial statements with the AAS formats.</w:t>
      </w:r>
    </w:p>
    <w:p w:rsidR="00930D72" w:rsidRPr="003E340D" w:rsidRDefault="00930D72" w:rsidP="00055E31">
      <w:r w:rsidRPr="003E340D">
        <w:t>For further information, extracts from the complete set of most recently published financial statements from the budget estimates, Quarterly Financial Reports (QFR), Mid</w:t>
      </w:r>
      <w:r w:rsidR="005A4BB0">
        <w:noBreakHyphen/>
      </w:r>
      <w:r w:rsidRPr="003E340D">
        <w:t>Year Financial Report (MYFR), and</w:t>
      </w:r>
      <w:r w:rsidR="00244F5E" w:rsidRPr="003E340D">
        <w:t xml:space="preserve"> AFR can be found in Appendix 1 </w:t>
      </w:r>
      <w:r w:rsidRPr="003E340D">
        <w:rPr>
          <w:i/>
          <w:iCs/>
        </w:rPr>
        <w:t>Extracts of whole of government financial statements and analysis of disclosures</w:t>
      </w:r>
      <w:r w:rsidRPr="003E340D">
        <w:t xml:space="preserve">. </w:t>
      </w:r>
    </w:p>
    <w:p w:rsidR="00930D72" w:rsidRPr="003E340D" w:rsidRDefault="00930D72" w:rsidP="00540F7E">
      <w:r w:rsidRPr="003E340D">
        <w:t>In addition to financial statements and notes, most annual reports also include a narrative (management discussion and analysis), usually provided in the report of operations. The best practice is to include non</w:t>
      </w:r>
      <w:r w:rsidR="005A4BB0">
        <w:noBreakHyphen/>
      </w:r>
      <w:r w:rsidRPr="003E340D">
        <w:t>technical analysis and explanation of significant aspects of the financial statements in this narrative report, to assist users in the interpretation of the financial statements.</w:t>
      </w:r>
    </w:p>
    <w:p w:rsidR="00930D72" w:rsidRPr="003E340D" w:rsidRDefault="00930D72" w:rsidP="00540F7E"/>
    <w:p w:rsidR="00930D72" w:rsidRPr="003E340D" w:rsidRDefault="00930D72" w:rsidP="00540F7E">
      <w:pPr>
        <w:pStyle w:val="Heading1"/>
      </w:pPr>
      <w:r w:rsidRPr="003E340D">
        <w:br w:type="page"/>
      </w:r>
      <w:bookmarkStart w:id="13" w:name="_Toc388277735"/>
      <w:bookmarkStart w:id="14" w:name="_Toc448493001"/>
      <w:r w:rsidR="000B5E02" w:rsidRPr="003E340D">
        <w:lastRenderedPageBreak/>
        <w:t>The Model r</w:t>
      </w:r>
      <w:r w:rsidRPr="003E340D">
        <w:t>eport – purpose and scope</w:t>
      </w:r>
      <w:bookmarkEnd w:id="13"/>
      <w:bookmarkEnd w:id="14"/>
    </w:p>
    <w:p w:rsidR="00930D72" w:rsidRPr="003E340D" w:rsidRDefault="00930D72" w:rsidP="00244F5E">
      <w:r w:rsidRPr="003E340D">
        <w:t>In addition to the State</w:t>
      </w:r>
      <w:r w:rsidR="005A4BB0">
        <w:t>’</w:t>
      </w:r>
      <w:r w:rsidRPr="003E340D">
        <w:t xml:space="preserve">s financial publications produced by DTF, the FMA also requires audited annual reports of government departments and public bodies to be tabled in Parliament. </w:t>
      </w:r>
      <w:r w:rsidR="005B1D13" w:rsidRPr="003E340D">
        <w:t>Consistent with the existing tabling policy</w:t>
      </w:r>
      <w:r w:rsidR="000B5E02" w:rsidRPr="003E340D">
        <w:t>,</w:t>
      </w:r>
      <w:r w:rsidRPr="003E340D">
        <w:t xml:space="preserve"> annual reports are required to be tabled within three months after the end of financial year. Where there are insufficient sitting days in the third month after the end of the financial year, reports should be tabled no later than the first sitting day of the following month. </w:t>
      </w:r>
    </w:p>
    <w:p w:rsidR="00414DC0" w:rsidRPr="003E340D" w:rsidRDefault="00930D72" w:rsidP="00D7444C">
      <w:r w:rsidRPr="003E340D">
        <w:t xml:space="preserve">Under </w:t>
      </w:r>
      <w:r w:rsidRPr="003E340D">
        <w:rPr>
          <w:i/>
        </w:rPr>
        <w:t xml:space="preserve">Standing Direction 4.2 </w:t>
      </w:r>
      <w:r w:rsidRPr="003E340D">
        <w:rPr>
          <w:i/>
          <w:iCs/>
        </w:rPr>
        <w:t>Reporting Requirements in terms of Part 7</w:t>
      </w:r>
      <w:r w:rsidRPr="003E340D">
        <w:rPr>
          <w:i/>
        </w:rPr>
        <w:t xml:space="preserve"> </w:t>
      </w:r>
      <w:r w:rsidRPr="003E340D">
        <w:rPr>
          <w:i/>
          <w:iCs/>
        </w:rPr>
        <w:t xml:space="preserve">of the FMA </w:t>
      </w:r>
      <w:r w:rsidRPr="003E340D">
        <w:rPr>
          <w:iCs/>
        </w:rPr>
        <w:t xml:space="preserve">(SD), </w:t>
      </w:r>
      <w:r w:rsidRPr="003E340D">
        <w:rPr>
          <w:b/>
        </w:rPr>
        <w:t xml:space="preserve">all Victorian government departments </w:t>
      </w:r>
      <w:r w:rsidRPr="003E340D">
        <w:t xml:space="preserve">are required to comply with the </w:t>
      </w:r>
      <w:r w:rsidRPr="003E340D">
        <w:rPr>
          <w:iCs/>
        </w:rPr>
        <w:t>Model</w:t>
      </w:r>
      <w:r w:rsidRPr="003E340D">
        <w:t xml:space="preserve"> when preparing and tabling their annual reports in Parliament. </w:t>
      </w:r>
    </w:p>
    <w:p w:rsidR="00414DC0" w:rsidRPr="003E340D" w:rsidRDefault="00930D72" w:rsidP="00D7444C">
      <w:r w:rsidRPr="003E340D">
        <w:t>These departments include the</w:t>
      </w:r>
      <w:r w:rsidR="008865DC" w:rsidRPr="003E340D">
        <w:t xml:space="preserve"> </w:t>
      </w:r>
      <w:r w:rsidRPr="003E340D">
        <w:t>Departments of</w:t>
      </w:r>
      <w:r w:rsidR="00414DC0" w:rsidRPr="003E340D">
        <w:t>:</w:t>
      </w:r>
    </w:p>
    <w:p w:rsidR="00414DC0" w:rsidRPr="003E340D" w:rsidRDefault="00930D72" w:rsidP="00791D33">
      <w:pPr>
        <w:pStyle w:val="Bullet"/>
      </w:pPr>
      <w:r w:rsidRPr="003E340D">
        <w:t xml:space="preserve">Education and </w:t>
      </w:r>
      <w:r w:rsidR="00F13A28" w:rsidRPr="003E340D">
        <w:t>Training</w:t>
      </w:r>
      <w:r w:rsidR="000B5E02" w:rsidRPr="003E340D">
        <w:t>;</w:t>
      </w:r>
    </w:p>
    <w:p w:rsidR="00414DC0" w:rsidRPr="003E340D" w:rsidRDefault="00414DC0" w:rsidP="00791D33">
      <w:pPr>
        <w:pStyle w:val="Bullet"/>
      </w:pPr>
      <w:r w:rsidRPr="003E340D">
        <w:t>Economic Development, Jobs, Transport and Resources</w:t>
      </w:r>
      <w:r w:rsidR="000B5E02" w:rsidRPr="003E340D">
        <w:t>;</w:t>
      </w:r>
    </w:p>
    <w:p w:rsidR="00414DC0" w:rsidRPr="003E340D" w:rsidRDefault="00930D72" w:rsidP="00791D33">
      <w:pPr>
        <w:pStyle w:val="Bullet"/>
      </w:pPr>
      <w:r w:rsidRPr="003E340D">
        <w:t>Environment</w:t>
      </w:r>
      <w:r w:rsidR="00F13A28" w:rsidRPr="003E340D">
        <w:t>, Land, Water and Planning</w:t>
      </w:r>
      <w:r w:rsidR="000B5E02" w:rsidRPr="003E340D">
        <w:t>;</w:t>
      </w:r>
    </w:p>
    <w:p w:rsidR="00414DC0" w:rsidRPr="003E340D" w:rsidRDefault="00930D72" w:rsidP="00791D33">
      <w:pPr>
        <w:pStyle w:val="Bullet"/>
      </w:pPr>
      <w:r w:rsidRPr="003E340D">
        <w:t>Health</w:t>
      </w:r>
      <w:r w:rsidR="00F13A28" w:rsidRPr="003E340D">
        <w:t xml:space="preserve"> and</w:t>
      </w:r>
      <w:r w:rsidR="000B5E02" w:rsidRPr="003E340D">
        <w:t xml:space="preserve"> Human Services;</w:t>
      </w:r>
    </w:p>
    <w:p w:rsidR="00414DC0" w:rsidRPr="003E340D" w:rsidRDefault="00930D72" w:rsidP="00791D33">
      <w:pPr>
        <w:pStyle w:val="Bullet"/>
      </w:pPr>
      <w:r w:rsidRPr="003E340D">
        <w:t>Justice</w:t>
      </w:r>
      <w:r w:rsidR="00F13A28" w:rsidRPr="003E340D">
        <w:t xml:space="preserve"> and Regulation</w:t>
      </w:r>
      <w:r w:rsidR="000B5E02" w:rsidRPr="003E340D">
        <w:t>;</w:t>
      </w:r>
    </w:p>
    <w:p w:rsidR="00414DC0" w:rsidRPr="003E340D" w:rsidRDefault="000B5E02" w:rsidP="00791D33">
      <w:pPr>
        <w:pStyle w:val="Bullet"/>
      </w:pPr>
      <w:r w:rsidRPr="003E340D">
        <w:t>Premier and Cabinet;</w:t>
      </w:r>
      <w:r w:rsidR="00930D72" w:rsidRPr="003E340D">
        <w:t xml:space="preserve"> </w:t>
      </w:r>
      <w:r w:rsidR="00414DC0" w:rsidRPr="003E340D">
        <w:t>and</w:t>
      </w:r>
    </w:p>
    <w:p w:rsidR="00930D72" w:rsidRPr="003E340D" w:rsidRDefault="000B5E02" w:rsidP="00791D33">
      <w:pPr>
        <w:pStyle w:val="Bullet"/>
      </w:pPr>
      <w:r w:rsidRPr="003E340D">
        <w:t>Treasury and Finance.</w:t>
      </w:r>
    </w:p>
    <w:p w:rsidR="00930D72" w:rsidRPr="003E340D" w:rsidRDefault="00930D72" w:rsidP="00244F5E">
      <w:r w:rsidRPr="003E340D">
        <w:t>The Model has adopted the financial statement formats that align with the general government sector and whole of government formats. For consistency and comparability purposes, the Parliament of Victoria and all other Victorian public sector entities are encouraged to produce their annual reports with reference to this Model.</w:t>
      </w:r>
      <w:r w:rsidRPr="003E340D">
        <w:rPr>
          <w:b/>
        </w:rPr>
        <w:t xml:space="preserve"> </w:t>
      </w:r>
      <w:r w:rsidRPr="003E340D">
        <w:rPr>
          <w:b/>
          <w:color w:val="0000FF"/>
        </w:rPr>
        <w:t>J</w:t>
      </w:r>
      <w:r w:rsidRPr="003E340D">
        <w:rPr>
          <w:b/>
          <w:bCs/>
          <w:color w:val="0000FF"/>
        </w:rPr>
        <w:t>udgement is required to determine where to apply or modify the Model to meet the entity</w:t>
      </w:r>
      <w:r w:rsidR="005A4BB0">
        <w:rPr>
          <w:b/>
          <w:bCs/>
          <w:color w:val="0000FF"/>
        </w:rPr>
        <w:noBreakHyphen/>
      </w:r>
      <w:r w:rsidRPr="003E340D">
        <w:rPr>
          <w:b/>
          <w:bCs/>
          <w:color w:val="0000FF"/>
        </w:rPr>
        <w:t>specific reporting requirements</w:t>
      </w:r>
      <w:r w:rsidRPr="003E340D">
        <w:rPr>
          <w:b/>
          <w:bCs/>
        </w:rPr>
        <w:t xml:space="preserve">. </w:t>
      </w:r>
    </w:p>
    <w:p w:rsidR="00930D72" w:rsidRPr="003E340D" w:rsidRDefault="00930D72" w:rsidP="00244F5E">
      <w:pPr>
        <w:pStyle w:val="Heading1"/>
      </w:pPr>
      <w:bookmarkStart w:id="15" w:name="_Toc388277736"/>
      <w:bookmarkStart w:id="16" w:name="_Toc448493002"/>
      <w:r w:rsidRPr="003E340D">
        <w:t xml:space="preserve">How to use the Model </w:t>
      </w:r>
      <w:r w:rsidR="000B5E02" w:rsidRPr="003E340D">
        <w:t>r</w:t>
      </w:r>
      <w:r w:rsidRPr="003E340D">
        <w:t>eport</w:t>
      </w:r>
      <w:bookmarkEnd w:id="15"/>
      <w:bookmarkEnd w:id="16"/>
    </w:p>
    <w:p w:rsidR="00930D72" w:rsidRPr="003E340D" w:rsidRDefault="00930D72" w:rsidP="00540F7E">
      <w:r w:rsidRPr="003E340D">
        <w:t xml:space="preserve">Since its introduction in 2001, the </w:t>
      </w:r>
      <w:r w:rsidRPr="003E340D">
        <w:rPr>
          <w:iCs/>
        </w:rPr>
        <w:t>Model has</w:t>
      </w:r>
      <w:r w:rsidRPr="003E340D">
        <w:rPr>
          <w:i/>
          <w:iCs/>
        </w:rPr>
        <w:t xml:space="preserve"> </w:t>
      </w:r>
      <w:r w:rsidRPr="003E340D">
        <w:t>prescribed a consistent approach to the preparation of both the financial and non</w:t>
      </w:r>
      <w:r w:rsidR="005A4BB0">
        <w:noBreakHyphen/>
      </w:r>
      <w:r w:rsidRPr="003E340D">
        <w:t xml:space="preserve">financial reporting requirements of </w:t>
      </w:r>
      <w:r w:rsidRPr="003E340D">
        <w:rPr>
          <w:b/>
        </w:rPr>
        <w:t>departmental</w:t>
      </w:r>
      <w:r w:rsidRPr="003E340D">
        <w:t xml:space="preserve"> annual reports. It includes:</w:t>
      </w:r>
    </w:p>
    <w:p w:rsidR="00930D72" w:rsidRPr="003E340D" w:rsidRDefault="00930D72" w:rsidP="00791D33">
      <w:pPr>
        <w:pStyle w:val="Bullet"/>
      </w:pPr>
      <w:r w:rsidRPr="003E340D">
        <w:t xml:space="preserve">guidance and commentaries highlighting the minimum disclosure requirements; </w:t>
      </w:r>
    </w:p>
    <w:p w:rsidR="00930D72" w:rsidRPr="003E340D" w:rsidRDefault="00930D72" w:rsidP="00791D33">
      <w:pPr>
        <w:pStyle w:val="Bullet"/>
      </w:pPr>
      <w:r w:rsidRPr="003E340D">
        <w:t xml:space="preserve">convenient references and interpretations of relevant authoritative pronouncements; and </w:t>
      </w:r>
    </w:p>
    <w:p w:rsidR="00930D72" w:rsidRPr="003E340D" w:rsidRDefault="00930D72" w:rsidP="00791D33">
      <w:pPr>
        <w:pStyle w:val="Bullet"/>
      </w:pPr>
      <w:r w:rsidRPr="003E340D">
        <w:t>illustrative AAS and FRD disclosures related to common departmental activities.</w:t>
      </w:r>
    </w:p>
    <w:p w:rsidR="00930D72" w:rsidRPr="003E340D" w:rsidRDefault="00930D72" w:rsidP="00244F5E">
      <w:r w:rsidRPr="003E340D">
        <w:t xml:space="preserve">The </w:t>
      </w:r>
      <w:r w:rsidRPr="003E340D">
        <w:rPr>
          <w:iCs/>
        </w:rPr>
        <w:t>Model</w:t>
      </w:r>
      <w:r w:rsidRPr="003E340D">
        <w:t xml:space="preserve"> addresses the departmental requirements for a complete set of financial statements (refer to the </w:t>
      </w:r>
      <w:r w:rsidRPr="003E340D">
        <w:rPr>
          <w:i/>
        </w:rPr>
        <w:t xml:space="preserve">Model financial statements </w:t>
      </w:r>
      <w:r w:rsidRPr="003E340D">
        <w:t>section) and in a separate section, the requirements of the FMA and FRDs for non</w:t>
      </w:r>
      <w:r w:rsidR="005A4BB0">
        <w:noBreakHyphen/>
      </w:r>
      <w:r w:rsidRPr="003E340D">
        <w:t xml:space="preserve">financial performance disclosures in a report of operations (refer to the </w:t>
      </w:r>
      <w:r w:rsidRPr="003E340D">
        <w:rPr>
          <w:i/>
        </w:rPr>
        <w:t>Model report of operations</w:t>
      </w:r>
      <w:r w:rsidRPr="003E340D">
        <w:t xml:space="preserve"> section). </w:t>
      </w:r>
    </w:p>
    <w:p w:rsidR="00930D72" w:rsidRPr="003E340D" w:rsidRDefault="00930D72" w:rsidP="00244F5E">
      <w:r w:rsidRPr="003E340D">
        <w:t xml:space="preserve">It should be noted that the Model is based on a fictitious department, and therefore the narrative illustrations should be used as a guide only. </w:t>
      </w:r>
    </w:p>
    <w:p w:rsidR="00930D72" w:rsidRPr="003E340D" w:rsidRDefault="00930D72" w:rsidP="00244F5E">
      <w:r w:rsidRPr="003E340D">
        <w:t>This Model will enable preparers to readily identify applicable legislative and accounting reporting requirements, and to view related illustrative examples</w:t>
      </w:r>
      <w:r w:rsidRPr="003E340D">
        <w:rPr>
          <w:i/>
          <w:iCs/>
        </w:rPr>
        <w:t>.</w:t>
      </w:r>
      <w:r w:rsidRPr="003E340D">
        <w:t xml:space="preserve"> In this way, the </w:t>
      </w:r>
      <w:r w:rsidRPr="003E340D">
        <w:rPr>
          <w:iCs/>
        </w:rPr>
        <w:t>Model</w:t>
      </w:r>
      <w:r w:rsidRPr="003E340D">
        <w:t xml:space="preserve"> can be used as a basic guide for developing Victorian public sector financial statements. </w:t>
      </w:r>
      <w:r w:rsidRPr="003E340D">
        <w:rPr>
          <w:b/>
          <w:color w:val="0000FF"/>
        </w:rPr>
        <w:t xml:space="preserve">However, the </w:t>
      </w:r>
      <w:r w:rsidRPr="003E340D">
        <w:rPr>
          <w:b/>
          <w:iCs/>
          <w:color w:val="0000FF"/>
        </w:rPr>
        <w:t>Model</w:t>
      </w:r>
      <w:r w:rsidRPr="003E340D">
        <w:rPr>
          <w:b/>
          <w:i/>
          <w:iCs/>
          <w:color w:val="0000FF"/>
        </w:rPr>
        <w:t xml:space="preserve"> </w:t>
      </w:r>
      <w:r w:rsidRPr="003E340D">
        <w:rPr>
          <w:b/>
          <w:color w:val="0000FF"/>
        </w:rPr>
        <w:t>should not be used as a substitute for referring to actual legislation, AASs and FRDs that are relevant to the entity</w:t>
      </w:r>
      <w:r w:rsidRPr="003E340D">
        <w:rPr>
          <w:b/>
        </w:rPr>
        <w:t>.</w:t>
      </w:r>
    </w:p>
    <w:p w:rsidR="00930D72" w:rsidRPr="003E340D" w:rsidRDefault="00930D72" w:rsidP="00244F5E">
      <w:r w:rsidRPr="003E340D">
        <w:t xml:space="preserve">Further, Appendix 1(d) </w:t>
      </w:r>
      <w:r w:rsidRPr="003E340D">
        <w:rPr>
          <w:i/>
          <w:iCs/>
        </w:rPr>
        <w:t>Analysis of disclosures made in Victorian financial publications</w:t>
      </w:r>
      <w:r w:rsidRPr="003E340D">
        <w:t xml:space="preserve"> provides a handy cross reference guide between the types of disclosure found in the </w:t>
      </w:r>
      <w:r w:rsidRPr="003E340D">
        <w:rPr>
          <w:iCs/>
        </w:rPr>
        <w:t>Model</w:t>
      </w:r>
      <w:r w:rsidR="005A4BB0">
        <w:rPr>
          <w:iCs/>
        </w:rPr>
        <w:t>’</w:t>
      </w:r>
      <w:r w:rsidRPr="003E340D">
        <w:rPr>
          <w:iCs/>
        </w:rPr>
        <w:t>s</w:t>
      </w:r>
      <w:r w:rsidRPr="003E340D">
        <w:rPr>
          <w:i/>
          <w:iCs/>
        </w:rPr>
        <w:t xml:space="preserve"> </w:t>
      </w:r>
      <w:r w:rsidRPr="003E340D">
        <w:t xml:space="preserve">financial statements and notes with those produced in the most recent financial publications for the State. </w:t>
      </w:r>
    </w:p>
    <w:p w:rsidR="00414DC0" w:rsidRPr="003E340D" w:rsidRDefault="00414DC0" w:rsidP="00EA2382">
      <w:bookmarkStart w:id="17" w:name="_Toc388277737"/>
      <w:r w:rsidRPr="003E340D">
        <w:br w:type="page"/>
      </w:r>
    </w:p>
    <w:p w:rsidR="00930D72" w:rsidRPr="003E340D" w:rsidRDefault="00930D72" w:rsidP="00244F5E">
      <w:pPr>
        <w:pStyle w:val="Heading1"/>
      </w:pPr>
      <w:bookmarkStart w:id="18" w:name="_Toc448493003"/>
      <w:r w:rsidRPr="003E340D">
        <w:lastRenderedPageBreak/>
        <w:t xml:space="preserve">Structure of the Model </w:t>
      </w:r>
      <w:r w:rsidR="000B5E02" w:rsidRPr="003E340D">
        <w:t>r</w:t>
      </w:r>
      <w:r w:rsidRPr="003E340D">
        <w:t>eport and disclosure requirements</w:t>
      </w:r>
      <w:bookmarkEnd w:id="17"/>
      <w:bookmarkEnd w:id="18"/>
    </w:p>
    <w:p w:rsidR="00930D72" w:rsidRPr="003E340D" w:rsidRDefault="00930D72" w:rsidP="00244F5E">
      <w:r w:rsidRPr="003E340D">
        <w:t xml:space="preserve">The </w:t>
      </w:r>
      <w:r w:rsidRPr="003E340D">
        <w:rPr>
          <w:iCs/>
        </w:rPr>
        <w:t>Model</w:t>
      </w:r>
      <w:r w:rsidRPr="003E340D">
        <w:t xml:space="preserve"> is based on a fictitious Department of Technology to highlight and illustrate disclosure requirements. It is divided into the following </w:t>
      </w:r>
      <w:r w:rsidR="008E2BE5" w:rsidRPr="003E340D">
        <w:t xml:space="preserve">11 </w:t>
      </w:r>
      <w:r w:rsidRPr="003E340D">
        <w:t>sections:</w:t>
      </w:r>
    </w:p>
    <w:p w:rsidR="00930D72" w:rsidRPr="003E340D" w:rsidRDefault="00930D72" w:rsidP="00791D33">
      <w:pPr>
        <w:pStyle w:val="Bullet"/>
      </w:pPr>
      <w:r w:rsidRPr="003E340D">
        <w:t>Introduction;</w:t>
      </w:r>
    </w:p>
    <w:p w:rsidR="00930D72" w:rsidRPr="003E340D" w:rsidRDefault="00930D72" w:rsidP="00791D33">
      <w:pPr>
        <w:pStyle w:val="Bullet"/>
      </w:pPr>
      <w:r w:rsidRPr="003E340D">
        <w:t>Model report of operations;</w:t>
      </w:r>
    </w:p>
    <w:p w:rsidR="00930D72" w:rsidRPr="003E340D" w:rsidRDefault="00930D72" w:rsidP="00791D33">
      <w:pPr>
        <w:pStyle w:val="Bullet"/>
      </w:pPr>
      <w:r w:rsidRPr="003E340D">
        <w:t xml:space="preserve">Model financial statements, including supplementary information for the third balance sheet disclosure; </w:t>
      </w:r>
    </w:p>
    <w:p w:rsidR="00930D72" w:rsidRPr="003E340D" w:rsidRDefault="00930D72" w:rsidP="00791D33">
      <w:pPr>
        <w:pStyle w:val="Bullet"/>
      </w:pPr>
      <w:r w:rsidRPr="003E340D">
        <w:t xml:space="preserve">Appendix 1 – Extracts of whole of government financial statements and analysis of disclosures; </w:t>
      </w:r>
    </w:p>
    <w:p w:rsidR="00930D72" w:rsidRPr="003E340D" w:rsidRDefault="00930D72" w:rsidP="00791D33">
      <w:pPr>
        <w:pStyle w:val="Bullet"/>
      </w:pPr>
      <w:r w:rsidRPr="003E340D">
        <w:t>Appendix 2</w:t>
      </w:r>
      <w:r w:rsidR="00016A90" w:rsidRPr="003E340D">
        <w:t xml:space="preserve"> – </w:t>
      </w:r>
      <w:r w:rsidRPr="003E340D">
        <w:t xml:space="preserve">Practical classification guide between transactions and other economic flows; </w:t>
      </w:r>
    </w:p>
    <w:p w:rsidR="00930D72" w:rsidRPr="003E340D" w:rsidRDefault="00930D72" w:rsidP="00791D33">
      <w:pPr>
        <w:pStyle w:val="Bullet"/>
      </w:pPr>
      <w:r w:rsidRPr="003E340D">
        <w:t xml:space="preserve">Appendix 3 – Fair value measurement indicative expectations; </w:t>
      </w:r>
    </w:p>
    <w:p w:rsidR="00930D72" w:rsidRPr="003E340D" w:rsidRDefault="00930D72" w:rsidP="00791D33">
      <w:pPr>
        <w:pStyle w:val="Bullet"/>
      </w:pPr>
      <w:r w:rsidRPr="003E340D">
        <w:t>Appendix 4 – Annual leave provisions</w:t>
      </w:r>
      <w:r w:rsidR="007F7A71" w:rsidRPr="003E340D">
        <w:t>;</w:t>
      </w:r>
    </w:p>
    <w:p w:rsidR="0049682C" w:rsidRPr="003E340D" w:rsidRDefault="0049682C" w:rsidP="00791D33">
      <w:pPr>
        <w:pStyle w:val="Bullet"/>
      </w:pPr>
      <w:r w:rsidRPr="003E340D">
        <w:t xml:space="preserve">Appendix 5 – </w:t>
      </w:r>
      <w:r w:rsidR="00F90B7F" w:rsidRPr="003E340D">
        <w:t>S</w:t>
      </w:r>
      <w:r w:rsidR="00464DBA" w:rsidRPr="003E340D">
        <w:t xml:space="preserve">ummary of </w:t>
      </w:r>
      <w:r w:rsidR="000B5E02" w:rsidRPr="003E340D">
        <w:t xml:space="preserve">new/revised accounting standards effective </w:t>
      </w:r>
      <w:r w:rsidR="00F90B7F" w:rsidRPr="003E340D">
        <w:t>for current and future reporting periods</w:t>
      </w:r>
      <w:r w:rsidR="007F7A71" w:rsidRPr="003E340D">
        <w:t>;</w:t>
      </w:r>
      <w:r w:rsidR="00464DBA" w:rsidRPr="003E340D">
        <w:t xml:space="preserve"> </w:t>
      </w:r>
    </w:p>
    <w:p w:rsidR="00F90B7F" w:rsidRPr="003E340D" w:rsidRDefault="00F90B7F" w:rsidP="00791D33">
      <w:pPr>
        <w:pStyle w:val="Bullet"/>
      </w:pPr>
      <w:r w:rsidRPr="003E340D">
        <w:t xml:space="preserve">Appendix 6 – Budgetary </w:t>
      </w:r>
      <w:r w:rsidR="000B5E02" w:rsidRPr="003E340D">
        <w:t>r</w:t>
      </w:r>
      <w:r w:rsidRPr="003E340D">
        <w:t>eporting: Explanation of material variances between budget and actual outcomes</w:t>
      </w:r>
      <w:r w:rsidR="007F7A71" w:rsidRPr="003E340D">
        <w:t>;</w:t>
      </w:r>
      <w:r w:rsidR="0084015F" w:rsidRPr="003E340D">
        <w:t xml:space="preserve"> and</w:t>
      </w:r>
    </w:p>
    <w:p w:rsidR="0084015F" w:rsidRPr="003E340D" w:rsidRDefault="00F90B7F" w:rsidP="00ED249D">
      <w:pPr>
        <w:pStyle w:val="Bullet"/>
        <w:tabs>
          <w:tab w:val="left" w:pos="1593"/>
        </w:tabs>
      </w:pPr>
      <w:r w:rsidRPr="003E340D">
        <w:t xml:space="preserve">Appendix 7 – </w:t>
      </w:r>
      <w:r w:rsidR="009A5762" w:rsidRPr="003E340D">
        <w:t xml:space="preserve">AASB 10 Consolidated Financial Statements checklist – Control analysis for Victorian public sector </w:t>
      </w:r>
      <w:r w:rsidR="009A5762" w:rsidRPr="003E340D">
        <w:tab/>
        <w:t>entities</w:t>
      </w:r>
      <w:r w:rsidR="0084015F" w:rsidRPr="003E340D">
        <w:t>.</w:t>
      </w:r>
    </w:p>
    <w:p w:rsidR="00930D72" w:rsidRPr="003E340D" w:rsidRDefault="00930D72" w:rsidP="00540F7E">
      <w:r w:rsidRPr="003E340D">
        <w:t xml:space="preserve">Departments are expected to use the </w:t>
      </w:r>
      <w:r w:rsidRPr="003E340D">
        <w:rPr>
          <w:i/>
        </w:rPr>
        <w:t>Model report of operations</w:t>
      </w:r>
      <w:r w:rsidRPr="003E340D">
        <w:t xml:space="preserve"> as a guide to minimum disclosure requirement in preparing</w:t>
      </w:r>
      <w:r w:rsidRPr="003E340D">
        <w:rPr>
          <w:color w:val="0000FF"/>
        </w:rPr>
        <w:t xml:space="preserve"> </w:t>
      </w:r>
      <w:r w:rsidRPr="003E340D">
        <w:t xml:space="preserve">their year in review. </w:t>
      </w:r>
    </w:p>
    <w:p w:rsidR="00930D72" w:rsidRPr="003E340D" w:rsidRDefault="00930D72" w:rsidP="00540F7E">
      <w:r w:rsidRPr="003E340D">
        <w:t xml:space="preserve">With regard to the </w:t>
      </w:r>
      <w:r w:rsidRPr="003E340D">
        <w:rPr>
          <w:i/>
        </w:rPr>
        <w:t>Model financial statements</w:t>
      </w:r>
      <w:r w:rsidRPr="003E340D">
        <w:t xml:space="preserve">, </w:t>
      </w:r>
      <w:r w:rsidRPr="003E340D">
        <w:rPr>
          <w:b/>
          <w:bCs/>
        </w:rPr>
        <w:t>departments are required</w:t>
      </w:r>
      <w:r w:rsidRPr="003E340D">
        <w:t xml:space="preserve"> to present their financial statements and notes in the same manner and format as shown in the </w:t>
      </w:r>
      <w:r w:rsidRPr="003E340D">
        <w:rPr>
          <w:i/>
        </w:rPr>
        <w:t>Model financial statements</w:t>
      </w:r>
      <w:r w:rsidRPr="003E340D">
        <w:t>.</w:t>
      </w:r>
    </w:p>
    <w:p w:rsidR="00930D72" w:rsidRPr="003E340D" w:rsidRDefault="00930D72" w:rsidP="00540F7E">
      <w:pPr>
        <w:rPr>
          <w:b/>
        </w:rPr>
      </w:pPr>
      <w:r w:rsidRPr="003E340D">
        <w:rPr>
          <w:b/>
        </w:rPr>
        <w:t xml:space="preserve">The </w:t>
      </w:r>
      <w:r w:rsidRPr="003E340D">
        <w:rPr>
          <w:b/>
          <w:iCs/>
        </w:rPr>
        <w:t>Model</w:t>
      </w:r>
      <w:r w:rsidRPr="003E340D">
        <w:rPr>
          <w:b/>
        </w:rPr>
        <w:t xml:space="preserve"> has been prepared in accordance with the FMA, and </w:t>
      </w:r>
      <w:r w:rsidRPr="003E340D">
        <w:rPr>
          <w:b/>
          <w:snapToGrid w:val="0"/>
        </w:rPr>
        <w:t xml:space="preserve">has been updated incorporating the latest applicable requirements of AASs and FRDs that were available as at </w:t>
      </w:r>
      <w:r w:rsidRPr="003E340D">
        <w:rPr>
          <w:b/>
        </w:rPr>
        <w:t>1 March 201</w:t>
      </w:r>
      <w:r w:rsidR="00584DF8" w:rsidRPr="003E340D">
        <w:rPr>
          <w:b/>
        </w:rPr>
        <w:t>6</w:t>
      </w:r>
      <w:r w:rsidRPr="003E340D">
        <w:rPr>
          <w:b/>
        </w:rPr>
        <w:t xml:space="preserve"> for the </w:t>
      </w:r>
      <w:r w:rsidRPr="003E340D">
        <w:rPr>
          <w:b/>
          <w:snapToGrid w:val="0"/>
        </w:rPr>
        <w:t>reporting period ending 30 June 201</w:t>
      </w:r>
      <w:r w:rsidR="00584DF8" w:rsidRPr="003E340D">
        <w:rPr>
          <w:b/>
          <w:snapToGrid w:val="0"/>
        </w:rPr>
        <w:t>6</w:t>
      </w:r>
      <w:r w:rsidRPr="003E340D">
        <w:rPr>
          <w:b/>
          <w:snapToGrid w:val="0"/>
        </w:rPr>
        <w:t xml:space="preserve">. </w:t>
      </w:r>
      <w:r w:rsidRPr="003E340D">
        <w:rPr>
          <w:b/>
        </w:rPr>
        <w:t xml:space="preserve">Any additional pronouncements applicable to the </w:t>
      </w:r>
      <w:r w:rsidR="003978C4" w:rsidRPr="003E340D">
        <w:rPr>
          <w:b/>
        </w:rPr>
        <w:t>201</w:t>
      </w:r>
      <w:r w:rsidR="00584DF8" w:rsidRPr="003E340D">
        <w:rPr>
          <w:b/>
        </w:rPr>
        <w:t>5</w:t>
      </w:r>
      <w:r w:rsidR="005A4BB0">
        <w:rPr>
          <w:b/>
        </w:rPr>
        <w:noBreakHyphen/>
      </w:r>
      <w:r w:rsidR="003978C4" w:rsidRPr="003E340D">
        <w:rPr>
          <w:b/>
        </w:rPr>
        <w:t>1</w:t>
      </w:r>
      <w:r w:rsidR="00584DF8" w:rsidRPr="003E340D">
        <w:rPr>
          <w:b/>
        </w:rPr>
        <w:t>6</w:t>
      </w:r>
      <w:r w:rsidRPr="003E340D">
        <w:rPr>
          <w:b/>
        </w:rPr>
        <w:t xml:space="preserve"> reporting period that become available post publication of this Model</w:t>
      </w:r>
      <w:r w:rsidRPr="003E340D">
        <w:rPr>
          <w:b/>
          <w:i/>
        </w:rPr>
        <w:t xml:space="preserve"> </w:t>
      </w:r>
      <w:r w:rsidRPr="003E340D">
        <w:rPr>
          <w:b/>
        </w:rPr>
        <w:t xml:space="preserve">will be issued by DTF in the form of </w:t>
      </w:r>
      <w:r w:rsidR="00016A90" w:rsidRPr="003E340D">
        <w:rPr>
          <w:b/>
        </w:rPr>
        <w:t>FRD </w:t>
      </w:r>
      <w:r w:rsidRPr="003E340D">
        <w:rPr>
          <w:b/>
        </w:rPr>
        <w:t>120</w:t>
      </w:r>
      <w:r w:rsidR="00AA2AFD" w:rsidRPr="003E340D">
        <w:rPr>
          <w:b/>
        </w:rPr>
        <w:t>J</w:t>
      </w:r>
      <w:r w:rsidRPr="003E340D">
        <w:rPr>
          <w:b/>
        </w:rPr>
        <w:t xml:space="preserve"> </w:t>
      </w:r>
      <w:r w:rsidRPr="003E340D">
        <w:rPr>
          <w:b/>
          <w:i/>
        </w:rPr>
        <w:t xml:space="preserve">Accounting and reporting pronouncements applicable to </w:t>
      </w:r>
      <w:r w:rsidR="003978C4" w:rsidRPr="003E340D">
        <w:rPr>
          <w:b/>
          <w:i/>
        </w:rPr>
        <w:t>201</w:t>
      </w:r>
      <w:r w:rsidR="00584DF8" w:rsidRPr="003E340D">
        <w:rPr>
          <w:b/>
          <w:i/>
        </w:rPr>
        <w:t>5</w:t>
      </w:r>
      <w:r w:rsidR="005A4BB0">
        <w:rPr>
          <w:b/>
          <w:i/>
        </w:rPr>
        <w:noBreakHyphen/>
      </w:r>
      <w:r w:rsidR="003978C4" w:rsidRPr="003E340D">
        <w:rPr>
          <w:b/>
          <w:i/>
        </w:rPr>
        <w:t>1</w:t>
      </w:r>
      <w:r w:rsidR="00584DF8" w:rsidRPr="003E340D">
        <w:rPr>
          <w:b/>
          <w:i/>
        </w:rPr>
        <w:t>6</w:t>
      </w:r>
      <w:r w:rsidR="003978C4" w:rsidRPr="003E340D">
        <w:rPr>
          <w:b/>
          <w:i/>
        </w:rPr>
        <w:t xml:space="preserve"> </w:t>
      </w:r>
      <w:r w:rsidRPr="003E340D">
        <w:rPr>
          <w:b/>
          <w:i/>
        </w:rPr>
        <w:t xml:space="preserve">reporting period </w:t>
      </w:r>
      <w:r w:rsidRPr="003E340D">
        <w:rPr>
          <w:b/>
        </w:rPr>
        <w:t>closer to year end.</w:t>
      </w:r>
    </w:p>
    <w:p w:rsidR="00930D72" w:rsidRPr="003E340D" w:rsidRDefault="00930D72" w:rsidP="00540F7E">
      <w:r w:rsidRPr="003E340D">
        <w:t>It is assumed in the Model that Accounting Standards issued by the AASB</w:t>
      </w:r>
      <w:r w:rsidR="008B6410" w:rsidRPr="003E340D">
        <w:t>,</w:t>
      </w:r>
      <w:r w:rsidRPr="003E340D">
        <w:t> which are not yet effective</w:t>
      </w:r>
      <w:r w:rsidR="008B6410" w:rsidRPr="003E340D">
        <w:t>,</w:t>
      </w:r>
      <w:r w:rsidRPr="003E340D">
        <w:t xml:space="preserve"> have not been early</w:t>
      </w:r>
      <w:r w:rsidR="007E0FBD" w:rsidRPr="003E340D">
        <w:t xml:space="preserve"> adopted as </w:t>
      </w:r>
      <w:r w:rsidR="00016A90" w:rsidRPr="003E340D">
        <w:t>FRD </w:t>
      </w:r>
      <w:r w:rsidR="007E0FBD" w:rsidRPr="003E340D">
        <w:t>7</w:t>
      </w:r>
      <w:r w:rsidR="00745936" w:rsidRPr="003E340D">
        <w:t>B</w:t>
      </w:r>
      <w:r w:rsidR="007E0FBD" w:rsidRPr="003E340D">
        <w:t xml:space="preserve"> </w:t>
      </w:r>
      <w:r w:rsidR="007E0FBD" w:rsidRPr="003E340D">
        <w:rPr>
          <w:i/>
        </w:rPr>
        <w:t>Early Adoption of Authoritative Accounting Pronouncements</w:t>
      </w:r>
      <w:r w:rsidR="007E0FBD" w:rsidRPr="003E340D">
        <w:t xml:space="preserve"> does not permit early adoption</w:t>
      </w:r>
      <w:r w:rsidRPr="003E340D">
        <w:t>. This policy is outlined in</w:t>
      </w:r>
      <w:r w:rsidRPr="003E340D">
        <w:rPr>
          <w:color w:val="0000FF"/>
        </w:rPr>
        <w:t xml:space="preserve"> </w:t>
      </w:r>
      <w:r w:rsidRPr="003E340D">
        <w:t xml:space="preserve">the </w:t>
      </w:r>
      <w:r w:rsidRPr="003E340D">
        <w:rPr>
          <w:i/>
        </w:rPr>
        <w:t>Model financial statements</w:t>
      </w:r>
      <w:r w:rsidRPr="003E340D">
        <w:t xml:space="preserve"> under Note 1(W) </w:t>
      </w:r>
      <w:r w:rsidRPr="003E340D">
        <w:rPr>
          <w:i/>
        </w:rPr>
        <w:t>A</w:t>
      </w:r>
      <w:r w:rsidR="00414DC0" w:rsidRPr="003E340D">
        <w:rPr>
          <w:i/>
        </w:rPr>
        <w:t xml:space="preserve">ustralian </w:t>
      </w:r>
      <w:r w:rsidRPr="003E340D">
        <w:rPr>
          <w:i/>
        </w:rPr>
        <w:t>A</w:t>
      </w:r>
      <w:r w:rsidR="00414DC0" w:rsidRPr="003E340D">
        <w:rPr>
          <w:i/>
        </w:rPr>
        <w:t xml:space="preserve">ccounting </w:t>
      </w:r>
      <w:r w:rsidRPr="003E340D">
        <w:rPr>
          <w:i/>
        </w:rPr>
        <w:t>S</w:t>
      </w:r>
      <w:r w:rsidR="00414DC0" w:rsidRPr="003E340D">
        <w:rPr>
          <w:i/>
        </w:rPr>
        <w:t>tandard</w:t>
      </w:r>
      <w:r w:rsidRPr="003E340D">
        <w:rPr>
          <w:i/>
        </w:rPr>
        <w:t>s issued that are not yet effective</w:t>
      </w:r>
      <w:r w:rsidRPr="003E340D">
        <w:t>.</w:t>
      </w:r>
    </w:p>
    <w:p w:rsidR="00930D72" w:rsidRPr="003E340D" w:rsidRDefault="00930D72" w:rsidP="00540F7E">
      <w:r w:rsidRPr="003E340D">
        <w:t xml:space="preserve">The </w:t>
      </w:r>
      <w:r w:rsidRPr="003E340D">
        <w:rPr>
          <w:iCs/>
        </w:rPr>
        <w:t>Model</w:t>
      </w:r>
      <w:r w:rsidRPr="003E340D">
        <w:t xml:space="preserve"> focuses on illustrating disclosure requirements for departments. Therefore the Model may not cover all disclosure requirements that might be applicable to non</w:t>
      </w:r>
      <w:r w:rsidR="005A4BB0">
        <w:noBreakHyphen/>
      </w:r>
      <w:r w:rsidRPr="003E340D">
        <w:t>departmental entities. In particular, it does not illustrate income tax equivalent entries applicable to entities in the National Tax Equivalent Regime.</w:t>
      </w:r>
    </w:p>
    <w:p w:rsidR="00930D72" w:rsidRPr="003E340D" w:rsidRDefault="005A4BB0" w:rsidP="00540F7E">
      <w:pPr>
        <w:pStyle w:val="Heading1"/>
      </w:pPr>
      <w:bookmarkStart w:id="19" w:name="_Toc388277738"/>
      <w:bookmarkStart w:id="20" w:name="_Toc448493004"/>
      <w:bookmarkStart w:id="21" w:name="_Toc192645759"/>
      <w:bookmarkStart w:id="22" w:name="_Toc192645912"/>
      <w:bookmarkStart w:id="23" w:name="_Toc215305558"/>
      <w:bookmarkStart w:id="24" w:name="_Toc219691665"/>
      <w:bookmarkStart w:id="25" w:name="_Toc219691662"/>
      <w:r>
        <w:t>‘</w:t>
      </w:r>
      <w:r w:rsidR="00930D72" w:rsidRPr="003E340D">
        <w:t>Keys</w:t>
      </w:r>
      <w:r>
        <w:t>’</w:t>
      </w:r>
      <w:r w:rsidR="00930D72" w:rsidRPr="003E340D">
        <w:t xml:space="preserve"> used in the illustrations and guidance</w:t>
      </w:r>
      <w:bookmarkEnd w:id="19"/>
      <w:bookmarkEnd w:id="20"/>
    </w:p>
    <w:p w:rsidR="00930D72" w:rsidRPr="003E340D" w:rsidRDefault="00930D72" w:rsidP="00540F7E">
      <w:r w:rsidRPr="003E340D">
        <w:t xml:space="preserve">Disclosure illustrations in both the </w:t>
      </w:r>
      <w:r w:rsidRPr="003E340D">
        <w:rPr>
          <w:i/>
        </w:rPr>
        <w:t xml:space="preserve">Model report of operations </w:t>
      </w:r>
      <w:r w:rsidRPr="003E340D">
        <w:t xml:space="preserve">and the </w:t>
      </w:r>
      <w:r w:rsidRPr="003E340D">
        <w:rPr>
          <w:i/>
        </w:rPr>
        <w:t xml:space="preserve">Model financial statements </w:t>
      </w:r>
      <w:r w:rsidRPr="003E340D">
        <w:t xml:space="preserve">are presented in </w:t>
      </w:r>
      <w:r w:rsidRPr="003E340D">
        <w:rPr>
          <w:b/>
        </w:rPr>
        <w:t>black</w:t>
      </w:r>
      <w:r w:rsidRPr="003E340D">
        <w:t xml:space="preserve"> text. These illustrations represent </w:t>
      </w:r>
      <w:r w:rsidRPr="003E340D">
        <w:rPr>
          <w:b/>
        </w:rPr>
        <w:t>the minimum</w:t>
      </w:r>
      <w:r w:rsidRPr="003E340D">
        <w:t xml:space="preserve"> disclosures that Model</w:t>
      </w:r>
      <w:r w:rsidRPr="003E340D">
        <w:rPr>
          <w:i/>
        </w:rPr>
        <w:t xml:space="preserve"> </w:t>
      </w:r>
      <w:r w:rsidRPr="003E340D">
        <w:t>users shall include in their annual reports.</w:t>
      </w:r>
    </w:p>
    <w:p w:rsidR="00930D72" w:rsidRPr="003E340D" w:rsidRDefault="00930D72" w:rsidP="00540F7E">
      <w:r w:rsidRPr="003E340D">
        <w:t xml:space="preserve">Guidance in relation to these illustrations are provided and presented in </w:t>
      </w:r>
      <w:r w:rsidRPr="003E340D">
        <w:rPr>
          <w:b/>
          <w:color w:val="0000FF"/>
        </w:rPr>
        <w:t>blue</w:t>
      </w:r>
      <w:r w:rsidRPr="003E340D">
        <w:t xml:space="preserve"> text. The guidance mainly provides additional clarifications on the preparation, presentation and disclosure requirements of the relevant pronouncements related to these illustrations.</w:t>
      </w:r>
    </w:p>
    <w:p w:rsidR="00414DC0" w:rsidRPr="003E340D" w:rsidRDefault="00414DC0">
      <w:pPr>
        <w:spacing w:line="240" w:lineRule="atLeast"/>
        <w:rPr>
          <w:rFonts w:ascii="Calibri" w:hAnsi="Calibri" w:cs="Arial Bold"/>
          <w:b/>
          <w:bCs/>
          <w:sz w:val="28"/>
          <w:szCs w:val="28"/>
        </w:rPr>
      </w:pPr>
      <w:bookmarkStart w:id="26" w:name="_Toc388277739"/>
      <w:r w:rsidRPr="003E340D">
        <w:br w:type="page"/>
      </w:r>
    </w:p>
    <w:p w:rsidR="00930D72" w:rsidRPr="003E340D" w:rsidRDefault="00930D72" w:rsidP="00540F7E">
      <w:pPr>
        <w:pStyle w:val="Heading1"/>
      </w:pPr>
      <w:bookmarkStart w:id="27" w:name="_Toc448493005"/>
      <w:r w:rsidRPr="003E340D">
        <w:lastRenderedPageBreak/>
        <w:t>Source references</w:t>
      </w:r>
      <w:bookmarkEnd w:id="21"/>
      <w:bookmarkEnd w:id="22"/>
      <w:bookmarkEnd w:id="23"/>
      <w:bookmarkEnd w:id="24"/>
      <w:bookmarkEnd w:id="26"/>
      <w:bookmarkEnd w:id="27"/>
    </w:p>
    <w:p w:rsidR="00930D72" w:rsidRPr="003E340D" w:rsidRDefault="00930D72" w:rsidP="00540F7E">
      <w:r w:rsidRPr="003E340D">
        <w:t xml:space="preserve">References to the relevant requirements are provided in the left hand column of each page of this </w:t>
      </w:r>
      <w:r w:rsidRPr="003E340D">
        <w:rPr>
          <w:iCs/>
        </w:rPr>
        <w:t>Model</w:t>
      </w:r>
      <w:r w:rsidRPr="003E340D">
        <w:t xml:space="preserve">. If further clarity is required as to the appropriate treatment, examination of the source of the disclosure requirement is recommended. </w:t>
      </w:r>
    </w:p>
    <w:p w:rsidR="00930D72" w:rsidRPr="003E340D" w:rsidRDefault="00930D72" w:rsidP="00540F7E">
      <w:r w:rsidRPr="003E340D">
        <w:t xml:space="preserve">The current </w:t>
      </w:r>
      <w:r w:rsidRPr="003E340D">
        <w:rPr>
          <w:iCs/>
        </w:rPr>
        <w:t>Model</w:t>
      </w:r>
      <w:r w:rsidRPr="003E340D">
        <w:rPr>
          <w:i/>
          <w:iCs/>
        </w:rPr>
        <w:t xml:space="preserve"> </w:t>
      </w:r>
      <w:r w:rsidRPr="003E340D">
        <w:t xml:space="preserve">also uses </w:t>
      </w:r>
      <w:r w:rsidR="005A4BB0">
        <w:rPr>
          <w:color w:val="FF0000"/>
        </w:rPr>
        <w:t>‘</w:t>
      </w:r>
      <w:r w:rsidRPr="003E340D">
        <w:rPr>
          <w:b/>
          <w:color w:val="FF0000"/>
        </w:rPr>
        <w:t>New</w:t>
      </w:r>
      <w:r w:rsidR="005A4BB0">
        <w:rPr>
          <w:b/>
          <w:color w:val="FF0000"/>
        </w:rPr>
        <w:t>’</w:t>
      </w:r>
      <w:r w:rsidRPr="003E340D">
        <w:t xml:space="preserve"> or </w:t>
      </w:r>
      <w:r w:rsidR="005A4BB0">
        <w:rPr>
          <w:color w:val="FF0000"/>
        </w:rPr>
        <w:t>‘</w:t>
      </w:r>
      <w:r w:rsidRPr="003E340D">
        <w:rPr>
          <w:b/>
          <w:color w:val="FF0000"/>
        </w:rPr>
        <w:t>Revised</w:t>
      </w:r>
      <w:r w:rsidR="005A4BB0">
        <w:rPr>
          <w:b/>
          <w:color w:val="FF0000"/>
        </w:rPr>
        <w:t>’</w:t>
      </w:r>
      <w:r w:rsidRPr="003E340D">
        <w:t xml:space="preserve"> in the source reference column next to relevant sections to indicate where changes have occurred since the previous edition of the </w:t>
      </w:r>
      <w:r w:rsidRPr="003E340D">
        <w:rPr>
          <w:iCs/>
        </w:rPr>
        <w:t>Model</w:t>
      </w:r>
      <w:r w:rsidRPr="003E340D">
        <w:t xml:space="preserve">. Abbreviations used in the </w:t>
      </w:r>
      <w:r w:rsidRPr="003E340D">
        <w:rPr>
          <w:iCs/>
        </w:rPr>
        <w:t>Model</w:t>
      </w:r>
      <w:r w:rsidRPr="003E340D">
        <w:t xml:space="preserve"> are as follows:</w:t>
      </w:r>
    </w:p>
    <w:p w:rsidR="00930D72" w:rsidRPr="003E340D" w:rsidRDefault="00930D72" w:rsidP="00540F7E">
      <w:pPr>
        <w:pStyle w:val="SmallLine"/>
      </w:pPr>
    </w:p>
    <w:tbl>
      <w:tblPr>
        <w:tblW w:w="10206" w:type="dxa"/>
        <w:tblInd w:w="43" w:type="dxa"/>
        <w:tblLayout w:type="fixed"/>
        <w:tblCellMar>
          <w:left w:w="43" w:type="dxa"/>
          <w:right w:w="43" w:type="dxa"/>
        </w:tblCellMar>
        <w:tblLook w:val="01E0" w:firstRow="1" w:lastRow="1" w:firstColumn="1" w:lastColumn="1" w:noHBand="0" w:noVBand="0"/>
      </w:tblPr>
      <w:tblGrid>
        <w:gridCol w:w="1260"/>
        <w:gridCol w:w="8946"/>
      </w:tblGrid>
      <w:tr w:rsidR="00930D72" w:rsidRPr="003E340D" w:rsidTr="006D1B91">
        <w:tc>
          <w:tcPr>
            <w:tcW w:w="1260" w:type="dxa"/>
            <w:tcBorders>
              <w:top w:val="single" w:sz="4" w:space="0" w:color="auto"/>
              <w:bottom w:val="single" w:sz="4" w:space="0" w:color="auto"/>
            </w:tcBorders>
            <w:shd w:val="clear" w:color="auto" w:fill="auto"/>
            <w:vAlign w:val="center"/>
          </w:tcPr>
          <w:p w:rsidR="00930D72" w:rsidRPr="003E340D" w:rsidRDefault="00930D72" w:rsidP="00E348C3">
            <w:pPr>
              <w:pStyle w:val="Tableheading"/>
            </w:pPr>
            <w:r w:rsidRPr="003E340D">
              <w:t xml:space="preserve">Reference </w:t>
            </w:r>
          </w:p>
        </w:tc>
        <w:tc>
          <w:tcPr>
            <w:tcW w:w="8946" w:type="dxa"/>
            <w:tcBorders>
              <w:top w:val="single" w:sz="4" w:space="0" w:color="auto"/>
              <w:bottom w:val="single" w:sz="4" w:space="0" w:color="auto"/>
            </w:tcBorders>
            <w:shd w:val="clear" w:color="auto" w:fill="auto"/>
          </w:tcPr>
          <w:p w:rsidR="00930D72" w:rsidRPr="003E340D" w:rsidRDefault="00930D72" w:rsidP="00E348C3">
            <w:pPr>
              <w:pStyle w:val="Tableheading"/>
            </w:pPr>
            <w:r w:rsidRPr="003E340D">
              <w:t>Title</w:t>
            </w:r>
          </w:p>
        </w:tc>
      </w:tr>
      <w:tr w:rsidR="00930D72" w:rsidRPr="003E340D" w:rsidTr="006D1B91">
        <w:tc>
          <w:tcPr>
            <w:tcW w:w="1260" w:type="dxa"/>
            <w:tcBorders>
              <w:top w:val="single" w:sz="4" w:space="0" w:color="auto"/>
            </w:tcBorders>
            <w:shd w:val="clear" w:color="auto" w:fill="auto"/>
          </w:tcPr>
          <w:p w:rsidR="00930D72" w:rsidRPr="003E340D" w:rsidRDefault="00930D72" w:rsidP="004A1AFC">
            <w:pPr>
              <w:pStyle w:val="Tabletext"/>
            </w:pPr>
            <w:r w:rsidRPr="003E340D">
              <w:t>AASB </w:t>
            </w:r>
          </w:p>
        </w:tc>
        <w:tc>
          <w:tcPr>
            <w:tcW w:w="8946" w:type="dxa"/>
            <w:tcBorders>
              <w:top w:val="single" w:sz="4" w:space="0" w:color="auto"/>
            </w:tcBorders>
            <w:shd w:val="clear" w:color="auto" w:fill="auto"/>
          </w:tcPr>
          <w:p w:rsidR="00930D72" w:rsidRPr="003E340D" w:rsidRDefault="00930D72" w:rsidP="004A1AFC">
            <w:pPr>
              <w:pStyle w:val="Tabletext"/>
            </w:pPr>
            <w:r w:rsidRPr="003E340D">
              <w:t>Australian Accounting Standards Board</w:t>
            </w:r>
          </w:p>
        </w:tc>
      </w:tr>
      <w:tr w:rsidR="00930D72" w:rsidRPr="003E340D" w:rsidTr="006D1B91">
        <w:tc>
          <w:tcPr>
            <w:tcW w:w="1260" w:type="dxa"/>
            <w:shd w:val="clear" w:color="auto" w:fill="D9D9D9"/>
          </w:tcPr>
          <w:p w:rsidR="00930D72" w:rsidRPr="003E340D" w:rsidRDefault="00930D72" w:rsidP="004A1AFC">
            <w:pPr>
              <w:pStyle w:val="Tabletext"/>
            </w:pPr>
            <w:r w:rsidRPr="003E340D">
              <w:t>AASs</w:t>
            </w:r>
          </w:p>
        </w:tc>
        <w:tc>
          <w:tcPr>
            <w:tcW w:w="8946" w:type="dxa"/>
            <w:shd w:val="clear" w:color="auto" w:fill="D9D9D9"/>
          </w:tcPr>
          <w:p w:rsidR="00930D72" w:rsidRPr="003E340D" w:rsidRDefault="00930D72" w:rsidP="004A1AFC">
            <w:pPr>
              <w:pStyle w:val="Tabletext"/>
            </w:pPr>
            <w:r w:rsidRPr="003E340D">
              <w:t>Australian Accounting Standards, which include Interpretations</w:t>
            </w:r>
          </w:p>
        </w:tc>
      </w:tr>
      <w:tr w:rsidR="00930D72" w:rsidRPr="003E340D" w:rsidTr="006D1B91">
        <w:tc>
          <w:tcPr>
            <w:tcW w:w="1260" w:type="dxa"/>
            <w:shd w:val="clear" w:color="auto" w:fill="auto"/>
          </w:tcPr>
          <w:p w:rsidR="00930D72" w:rsidRPr="003E340D" w:rsidRDefault="00930D72" w:rsidP="004A1AFC">
            <w:pPr>
              <w:pStyle w:val="Tabletext"/>
            </w:pPr>
            <w:r w:rsidRPr="003E340D">
              <w:t>D</w:t>
            </w:r>
            <w:r w:rsidR="00B774BD" w:rsidRPr="003E340D">
              <w:t>o</w:t>
            </w:r>
            <w:r w:rsidRPr="003E340D">
              <w:t>T</w:t>
            </w:r>
          </w:p>
        </w:tc>
        <w:tc>
          <w:tcPr>
            <w:tcW w:w="8946" w:type="dxa"/>
            <w:shd w:val="clear" w:color="auto" w:fill="auto"/>
          </w:tcPr>
          <w:p w:rsidR="00930D72" w:rsidRPr="003E340D" w:rsidRDefault="00930D72" w:rsidP="004A1AFC">
            <w:pPr>
              <w:pStyle w:val="Tabletext"/>
            </w:pPr>
            <w:r w:rsidRPr="003E340D">
              <w:t>Department of Technology (fictitious department)</w:t>
            </w:r>
          </w:p>
        </w:tc>
      </w:tr>
      <w:tr w:rsidR="00930D72" w:rsidRPr="003E340D" w:rsidTr="006D1B91">
        <w:tc>
          <w:tcPr>
            <w:tcW w:w="1260" w:type="dxa"/>
            <w:shd w:val="clear" w:color="auto" w:fill="D9D9D9"/>
          </w:tcPr>
          <w:p w:rsidR="00930D72" w:rsidRPr="003E340D" w:rsidRDefault="00930D72" w:rsidP="004A1AFC">
            <w:pPr>
              <w:pStyle w:val="Tabletext"/>
            </w:pPr>
            <w:r w:rsidRPr="003E340D">
              <w:t>FRD</w:t>
            </w:r>
          </w:p>
        </w:tc>
        <w:tc>
          <w:tcPr>
            <w:tcW w:w="8946" w:type="dxa"/>
            <w:shd w:val="clear" w:color="auto" w:fill="D9D9D9"/>
          </w:tcPr>
          <w:p w:rsidR="00930D72" w:rsidRPr="003E340D" w:rsidRDefault="00930D72" w:rsidP="004A1AFC">
            <w:pPr>
              <w:pStyle w:val="Tabletext"/>
            </w:pPr>
            <w:r w:rsidRPr="003E340D">
              <w:t>Financial Reporting Direction</w:t>
            </w:r>
          </w:p>
        </w:tc>
      </w:tr>
      <w:tr w:rsidR="00930D72" w:rsidRPr="003E340D" w:rsidTr="006D1B91">
        <w:tc>
          <w:tcPr>
            <w:tcW w:w="1260" w:type="dxa"/>
            <w:shd w:val="clear" w:color="auto" w:fill="auto"/>
          </w:tcPr>
          <w:p w:rsidR="00930D72" w:rsidRPr="003E340D" w:rsidRDefault="00930D72" w:rsidP="004A1AFC">
            <w:pPr>
              <w:pStyle w:val="Tabletext"/>
            </w:pPr>
            <w:r w:rsidRPr="003E340D">
              <w:t>SD</w:t>
            </w:r>
          </w:p>
        </w:tc>
        <w:tc>
          <w:tcPr>
            <w:tcW w:w="8946" w:type="dxa"/>
            <w:shd w:val="clear" w:color="auto" w:fill="auto"/>
          </w:tcPr>
          <w:p w:rsidR="00930D72" w:rsidRPr="003E340D" w:rsidRDefault="00930D72" w:rsidP="004A1AFC">
            <w:pPr>
              <w:pStyle w:val="Tabletext"/>
            </w:pPr>
            <w:r w:rsidRPr="003E340D">
              <w:t>Standing Direction</w:t>
            </w:r>
          </w:p>
        </w:tc>
      </w:tr>
      <w:tr w:rsidR="00930D72" w:rsidRPr="003E340D" w:rsidTr="00D7444C">
        <w:tc>
          <w:tcPr>
            <w:tcW w:w="1260" w:type="dxa"/>
            <w:shd w:val="clear" w:color="auto" w:fill="D9D9D9"/>
          </w:tcPr>
          <w:p w:rsidR="00930D72" w:rsidRPr="003E340D" w:rsidRDefault="00930D72" w:rsidP="004A1AFC">
            <w:pPr>
              <w:pStyle w:val="Tabletext"/>
            </w:pPr>
            <w:r w:rsidRPr="003E340D">
              <w:t>IFRIC</w:t>
            </w:r>
          </w:p>
        </w:tc>
        <w:tc>
          <w:tcPr>
            <w:tcW w:w="8946" w:type="dxa"/>
            <w:shd w:val="clear" w:color="auto" w:fill="D9D9D9"/>
          </w:tcPr>
          <w:p w:rsidR="00930D72" w:rsidRPr="003E340D" w:rsidRDefault="00930D72" w:rsidP="004A1AFC">
            <w:pPr>
              <w:pStyle w:val="Tabletext"/>
            </w:pPr>
            <w:r w:rsidRPr="003E340D">
              <w:t>International Financial Reporting Interpretations Committee</w:t>
            </w:r>
          </w:p>
        </w:tc>
      </w:tr>
      <w:tr w:rsidR="00930D72" w:rsidRPr="003E340D" w:rsidTr="00D7444C">
        <w:tc>
          <w:tcPr>
            <w:tcW w:w="1260" w:type="dxa"/>
            <w:tcBorders>
              <w:bottom w:val="single" w:sz="12" w:space="0" w:color="auto"/>
            </w:tcBorders>
            <w:shd w:val="clear" w:color="auto" w:fill="auto"/>
          </w:tcPr>
          <w:p w:rsidR="00930D72" w:rsidRPr="003E340D" w:rsidRDefault="00930D72" w:rsidP="004A1AFC">
            <w:pPr>
              <w:pStyle w:val="Tabletext"/>
            </w:pPr>
            <w:r w:rsidRPr="003E340D">
              <w:t>IFRS</w:t>
            </w:r>
          </w:p>
        </w:tc>
        <w:tc>
          <w:tcPr>
            <w:tcW w:w="8946" w:type="dxa"/>
            <w:tcBorders>
              <w:bottom w:val="single" w:sz="12" w:space="0" w:color="auto"/>
            </w:tcBorders>
            <w:shd w:val="clear" w:color="auto" w:fill="auto"/>
          </w:tcPr>
          <w:p w:rsidR="00930D72" w:rsidRPr="003E340D" w:rsidRDefault="00930D72" w:rsidP="004A1AFC">
            <w:pPr>
              <w:pStyle w:val="Tabletext"/>
            </w:pPr>
            <w:r w:rsidRPr="003E340D">
              <w:t>International Financial Reporting Standards</w:t>
            </w:r>
          </w:p>
        </w:tc>
      </w:tr>
    </w:tbl>
    <w:p w:rsidR="00930D72" w:rsidRPr="003E340D" w:rsidRDefault="00930D72" w:rsidP="008A0112">
      <w:pPr>
        <w:pStyle w:val="Heading1"/>
      </w:pPr>
      <w:bookmarkStart w:id="28" w:name="_Toc388277740"/>
      <w:bookmarkStart w:id="29" w:name="_Toc448493006"/>
      <w:bookmarkEnd w:id="25"/>
      <w:r w:rsidRPr="003E340D">
        <w:t>The design and printing of annual reports</w:t>
      </w:r>
      <w:bookmarkEnd w:id="28"/>
      <w:bookmarkEnd w:id="29"/>
    </w:p>
    <w:p w:rsidR="00930D72" w:rsidRPr="003E340D" w:rsidRDefault="00930D72" w:rsidP="00D97178">
      <w:r w:rsidRPr="003E340D">
        <w:t xml:space="preserve">A financial reporting direction, </w:t>
      </w:r>
      <w:r w:rsidR="00016A90" w:rsidRPr="003E340D">
        <w:t>FRD </w:t>
      </w:r>
      <w:r w:rsidRPr="003E340D">
        <w:t>30</w:t>
      </w:r>
      <w:r w:rsidR="00AA2AFD" w:rsidRPr="003E340D">
        <w:t>C</w:t>
      </w:r>
      <w:r w:rsidRPr="003E340D">
        <w:t xml:space="preserve"> </w:t>
      </w:r>
      <w:r w:rsidRPr="003E340D">
        <w:rPr>
          <w:i/>
        </w:rPr>
        <w:t xml:space="preserve">Standard requirements for the </w:t>
      </w:r>
      <w:r w:rsidR="005941EC" w:rsidRPr="003E340D">
        <w:rPr>
          <w:i/>
        </w:rPr>
        <w:t>publication of</w:t>
      </w:r>
      <w:r w:rsidRPr="003E340D">
        <w:rPr>
          <w:i/>
        </w:rPr>
        <w:t xml:space="preserve"> annual reports </w:t>
      </w:r>
      <w:r w:rsidRPr="003E340D">
        <w:t>on the design, layout and printing of annual reports prescribes specification requirements for the design of annual reports, use of colour and images, standard sizing, paper stocks and other publishing requirements.</w:t>
      </w:r>
    </w:p>
    <w:p w:rsidR="00930D72" w:rsidRPr="003E340D" w:rsidRDefault="00930D72" w:rsidP="00540F7E">
      <w:pPr>
        <w:autoSpaceDE w:val="0"/>
        <w:autoSpaceDN w:val="0"/>
        <w:adjustRightInd w:val="0"/>
      </w:pPr>
      <w:r w:rsidRPr="003E340D">
        <w:t xml:space="preserve">The purpose of this FRD is to reduce the costs of annual reports for public sector entities, reduce the environmental impact of producing annual reports – both in terms of the type of stock used and elements of the process to make them recyclable – and to ensure a more consistent approach in the way public sector annual reports are presented. </w:t>
      </w:r>
    </w:p>
    <w:p w:rsidR="00930D72" w:rsidRDefault="00930D72" w:rsidP="00C3765E">
      <w:pPr>
        <w:autoSpaceDE w:val="0"/>
        <w:autoSpaceDN w:val="0"/>
        <w:adjustRightInd w:val="0"/>
      </w:pPr>
      <w:r w:rsidRPr="003E340D">
        <w:t xml:space="preserve">All departments and government agencies defined as public bodies must comply with the requirements of this FRD. </w:t>
      </w:r>
      <w:r w:rsidR="00016A90" w:rsidRPr="003E340D">
        <w:t>FRD </w:t>
      </w:r>
      <w:r w:rsidRPr="003E340D">
        <w:t>30</w:t>
      </w:r>
      <w:r w:rsidR="00AA2AFD" w:rsidRPr="003E340D">
        <w:t>C</w:t>
      </w:r>
      <w:r w:rsidRPr="003E340D">
        <w:t xml:space="preserve"> can be found on the DTF website </w:t>
      </w:r>
      <w:hyperlink r:id="rId25" w:history="1">
        <w:r w:rsidRPr="003E340D">
          <w:rPr>
            <w:rStyle w:val="Hyperlink"/>
          </w:rPr>
          <w:t>www.dtf.vic.gov.au</w:t>
        </w:r>
      </w:hyperlink>
      <w:r w:rsidRPr="003E340D">
        <w:t xml:space="preserve"> under Financial Reporting Directions.</w:t>
      </w:r>
    </w:p>
    <w:p w:rsidR="00D97178" w:rsidRDefault="00D97178" w:rsidP="00C3765E">
      <w:pPr>
        <w:autoSpaceDE w:val="0"/>
        <w:autoSpaceDN w:val="0"/>
        <w:adjustRightInd w:val="0"/>
      </w:pPr>
    </w:p>
    <w:p w:rsidR="00D97178" w:rsidRDefault="00D97178">
      <w:pPr>
        <w:spacing w:line="240" w:lineRule="atLeast"/>
      </w:pPr>
      <w:r>
        <w:br w:type="page"/>
      </w:r>
    </w:p>
    <w:p w:rsidR="00D97178" w:rsidRDefault="00D97178" w:rsidP="00C3765E">
      <w:pPr>
        <w:autoSpaceDE w:val="0"/>
        <w:autoSpaceDN w:val="0"/>
        <w:adjustRightInd w:val="0"/>
      </w:pPr>
    </w:p>
    <w:p w:rsidR="00142353" w:rsidRDefault="00142353" w:rsidP="00C3765E">
      <w:pPr>
        <w:autoSpaceDE w:val="0"/>
        <w:autoSpaceDN w:val="0"/>
        <w:adjustRightInd w:val="0"/>
        <w:sectPr w:rsidR="00142353" w:rsidSect="00D97178">
          <w:headerReference w:type="even" r:id="rId26"/>
          <w:headerReference w:type="default" r:id="rId27"/>
          <w:footerReference w:type="even" r:id="rId28"/>
          <w:footerReference w:type="default" r:id="rId29"/>
          <w:footerReference w:type="first" r:id="rId30"/>
          <w:type w:val="oddPage"/>
          <w:pgSz w:w="11906" w:h="16838" w:code="9"/>
          <w:pgMar w:top="1152" w:right="864" w:bottom="1152" w:left="864" w:header="432" w:footer="432" w:gutter="0"/>
          <w:pgNumType w:start="1"/>
          <w:cols w:space="360"/>
          <w:titlePg/>
        </w:sectPr>
      </w:pPr>
    </w:p>
    <w:p w:rsidR="00142353" w:rsidRPr="00D96B14" w:rsidRDefault="00142353" w:rsidP="00142353">
      <w:pPr>
        <w:pStyle w:val="ChapterHeading"/>
      </w:pPr>
      <w:bookmarkStart w:id="30" w:name="_Toc192645918"/>
      <w:bookmarkStart w:id="31" w:name="_Toc192646280"/>
      <w:bookmarkStart w:id="32" w:name="_Toc225564580"/>
      <w:bookmarkStart w:id="33" w:name="_Toc324234835"/>
      <w:bookmarkStart w:id="34" w:name="_Toc350413169"/>
      <w:bookmarkStart w:id="35" w:name="_Toc350413631"/>
      <w:bookmarkStart w:id="36" w:name="_Toc353964842"/>
      <w:bookmarkStart w:id="37" w:name="_Toc388277741"/>
      <w:r w:rsidRPr="00A10A37">
        <w:lastRenderedPageBreak/>
        <w:br w:type="column"/>
      </w:r>
      <w:bookmarkStart w:id="38" w:name="_Toc448493007"/>
      <w:r w:rsidRPr="00D96B14">
        <w:lastRenderedPageBreak/>
        <w:t>Department of Technology</w:t>
      </w:r>
      <w:bookmarkEnd w:id="30"/>
      <w:r w:rsidRPr="00D96B14">
        <w:t xml:space="preserve"> – Model report of operations</w:t>
      </w:r>
      <w:bookmarkEnd w:id="31"/>
      <w:bookmarkEnd w:id="32"/>
      <w:bookmarkEnd w:id="33"/>
      <w:bookmarkEnd w:id="34"/>
      <w:bookmarkEnd w:id="35"/>
      <w:bookmarkEnd w:id="36"/>
      <w:bookmarkEnd w:id="37"/>
      <w:bookmarkEnd w:id="38"/>
      <w:r w:rsidRPr="00D96B14">
        <w:t xml:space="preserve"> </w:t>
      </w:r>
    </w:p>
    <w:p w:rsidR="00142353" w:rsidRPr="00D96B14" w:rsidRDefault="00142353" w:rsidP="00142353">
      <w:pPr>
        <w:pStyle w:val="TOCHeading"/>
        <w:ind w:left="0" w:right="115"/>
      </w:pPr>
      <w:r w:rsidRPr="00D96B14">
        <w:t>Contents</w:t>
      </w:r>
    </w:p>
    <w:p w:rsidR="00E95B63" w:rsidRDefault="00142353">
      <w:pPr>
        <w:pStyle w:val="TOC4"/>
        <w:rPr>
          <w:rFonts w:asciiTheme="minorHAnsi" w:eastAsiaTheme="minorEastAsia" w:hAnsiTheme="minorHAnsi" w:cstheme="minorBidi"/>
          <w:sz w:val="22"/>
          <w:szCs w:val="22"/>
        </w:rPr>
      </w:pPr>
      <w:r w:rsidRPr="00D96B14">
        <w:fldChar w:fldCharType="begin"/>
      </w:r>
      <w:r w:rsidRPr="00D96B14">
        <w:instrText xml:space="preserve"> TOC \h \z \t "Heading 2 Blue,4 </w:instrText>
      </w:r>
      <w:r w:rsidRPr="00D96B14">
        <w:fldChar w:fldCharType="separate"/>
      </w:r>
      <w:hyperlink w:anchor="_Toc448493038" w:history="1">
        <w:r w:rsidR="00E95B63" w:rsidRPr="007114F9">
          <w:rPr>
            <w:rStyle w:val="Hyperlink"/>
          </w:rPr>
          <w:t>About the Model report of operations</w:t>
        </w:r>
        <w:r w:rsidR="00E95B63">
          <w:rPr>
            <w:webHidden/>
          </w:rPr>
          <w:tab/>
        </w:r>
        <w:r w:rsidR="00E95B63">
          <w:rPr>
            <w:webHidden/>
          </w:rPr>
          <w:fldChar w:fldCharType="begin" w:fldLock="1"/>
        </w:r>
        <w:r w:rsidR="00E95B63">
          <w:rPr>
            <w:webHidden/>
          </w:rPr>
          <w:instrText xml:space="preserve"> PAGEREF _Toc448493038 \h </w:instrText>
        </w:r>
        <w:r w:rsidR="00E95B63">
          <w:rPr>
            <w:webHidden/>
          </w:rPr>
        </w:r>
        <w:r w:rsidR="00E95B63">
          <w:rPr>
            <w:webHidden/>
          </w:rPr>
          <w:fldChar w:fldCharType="separate"/>
        </w:r>
        <w:r w:rsidR="00E95B63">
          <w:rPr>
            <w:webHidden/>
          </w:rPr>
          <w:t>9</w:t>
        </w:r>
        <w:r w:rsidR="00E95B63">
          <w:rPr>
            <w:webHidden/>
          </w:rPr>
          <w:fldChar w:fldCharType="end"/>
        </w:r>
      </w:hyperlink>
    </w:p>
    <w:p w:rsidR="00E95B63" w:rsidRDefault="00B934BC">
      <w:pPr>
        <w:pStyle w:val="TOC4"/>
        <w:rPr>
          <w:rFonts w:asciiTheme="minorHAnsi" w:eastAsiaTheme="minorEastAsia" w:hAnsiTheme="minorHAnsi" w:cstheme="minorBidi"/>
          <w:sz w:val="22"/>
          <w:szCs w:val="22"/>
        </w:rPr>
      </w:pPr>
      <w:hyperlink w:anchor="_Toc448493039" w:history="1">
        <w:r w:rsidR="00E95B63" w:rsidRPr="007114F9">
          <w:rPr>
            <w:rStyle w:val="Hyperlink"/>
          </w:rPr>
          <w:t>Presentation of report of operations</w:t>
        </w:r>
        <w:r w:rsidR="00E95B63">
          <w:rPr>
            <w:webHidden/>
          </w:rPr>
          <w:tab/>
        </w:r>
        <w:r w:rsidR="00E95B63">
          <w:rPr>
            <w:webHidden/>
          </w:rPr>
          <w:fldChar w:fldCharType="begin" w:fldLock="1"/>
        </w:r>
        <w:r w:rsidR="00E95B63">
          <w:rPr>
            <w:webHidden/>
          </w:rPr>
          <w:instrText xml:space="preserve"> PAGEREF _Toc448493039 \h </w:instrText>
        </w:r>
        <w:r w:rsidR="00E95B63">
          <w:rPr>
            <w:webHidden/>
          </w:rPr>
        </w:r>
        <w:r w:rsidR="00E95B63">
          <w:rPr>
            <w:webHidden/>
          </w:rPr>
          <w:fldChar w:fldCharType="separate"/>
        </w:r>
        <w:r w:rsidR="00E95B63">
          <w:rPr>
            <w:webHidden/>
          </w:rPr>
          <w:t>10</w:t>
        </w:r>
        <w:r w:rsidR="00E95B63">
          <w:rPr>
            <w:webHidden/>
          </w:rPr>
          <w:fldChar w:fldCharType="end"/>
        </w:r>
      </w:hyperlink>
    </w:p>
    <w:p w:rsidR="00E95B63" w:rsidRDefault="00B934BC">
      <w:pPr>
        <w:pStyle w:val="TOC4"/>
        <w:rPr>
          <w:rFonts w:asciiTheme="minorHAnsi" w:eastAsiaTheme="minorEastAsia" w:hAnsiTheme="minorHAnsi" w:cstheme="minorBidi"/>
          <w:sz w:val="22"/>
          <w:szCs w:val="22"/>
        </w:rPr>
      </w:pPr>
      <w:hyperlink w:anchor="_Toc448493040" w:history="1">
        <w:r w:rsidR="00E95B63" w:rsidRPr="007114F9">
          <w:rPr>
            <w:rStyle w:val="Hyperlink"/>
          </w:rPr>
          <w:t>Contents of report of operations</w:t>
        </w:r>
        <w:r w:rsidR="00E95B63">
          <w:rPr>
            <w:webHidden/>
          </w:rPr>
          <w:tab/>
        </w:r>
        <w:r w:rsidR="00E95B63">
          <w:rPr>
            <w:webHidden/>
          </w:rPr>
          <w:fldChar w:fldCharType="begin" w:fldLock="1"/>
        </w:r>
        <w:r w:rsidR="00E95B63">
          <w:rPr>
            <w:webHidden/>
          </w:rPr>
          <w:instrText xml:space="preserve"> PAGEREF _Toc448493040 \h </w:instrText>
        </w:r>
        <w:r w:rsidR="00E95B63">
          <w:rPr>
            <w:webHidden/>
          </w:rPr>
        </w:r>
        <w:r w:rsidR="00E95B63">
          <w:rPr>
            <w:webHidden/>
          </w:rPr>
          <w:fldChar w:fldCharType="separate"/>
        </w:r>
        <w:r w:rsidR="00E95B63">
          <w:rPr>
            <w:webHidden/>
          </w:rPr>
          <w:t>10</w:t>
        </w:r>
        <w:r w:rsidR="00E95B63">
          <w:rPr>
            <w:webHidden/>
          </w:rPr>
          <w:fldChar w:fldCharType="end"/>
        </w:r>
      </w:hyperlink>
    </w:p>
    <w:p w:rsidR="00E95B63" w:rsidRDefault="00B934BC">
      <w:pPr>
        <w:pStyle w:val="TOC4"/>
        <w:rPr>
          <w:rFonts w:asciiTheme="minorHAnsi" w:eastAsiaTheme="minorEastAsia" w:hAnsiTheme="minorHAnsi" w:cstheme="minorBidi"/>
          <w:sz w:val="22"/>
          <w:szCs w:val="22"/>
        </w:rPr>
      </w:pPr>
      <w:hyperlink w:anchor="_Toc448493041" w:history="1">
        <w:r w:rsidR="00E95B63" w:rsidRPr="007114F9">
          <w:rPr>
            <w:rStyle w:val="Hyperlink"/>
          </w:rPr>
          <w:t>Specific requirements under Standing Direction 4.2</w:t>
        </w:r>
        <w:r w:rsidR="00E95B63">
          <w:rPr>
            <w:webHidden/>
          </w:rPr>
          <w:tab/>
        </w:r>
        <w:r w:rsidR="00E95B63">
          <w:rPr>
            <w:webHidden/>
          </w:rPr>
          <w:fldChar w:fldCharType="begin" w:fldLock="1"/>
        </w:r>
        <w:r w:rsidR="00E95B63">
          <w:rPr>
            <w:webHidden/>
          </w:rPr>
          <w:instrText xml:space="preserve"> PAGEREF _Toc448493041 \h </w:instrText>
        </w:r>
        <w:r w:rsidR="00E95B63">
          <w:rPr>
            <w:webHidden/>
          </w:rPr>
        </w:r>
        <w:r w:rsidR="00E95B63">
          <w:rPr>
            <w:webHidden/>
          </w:rPr>
          <w:fldChar w:fldCharType="separate"/>
        </w:r>
        <w:r w:rsidR="00E95B63">
          <w:rPr>
            <w:webHidden/>
          </w:rPr>
          <w:t>10</w:t>
        </w:r>
        <w:r w:rsidR="00E95B63">
          <w:rPr>
            <w:webHidden/>
          </w:rPr>
          <w:fldChar w:fldCharType="end"/>
        </w:r>
      </w:hyperlink>
    </w:p>
    <w:p w:rsidR="00E95B63" w:rsidRDefault="00B934BC">
      <w:pPr>
        <w:pStyle w:val="TOC4"/>
        <w:rPr>
          <w:rFonts w:asciiTheme="minorHAnsi" w:eastAsiaTheme="minorEastAsia" w:hAnsiTheme="minorHAnsi" w:cstheme="minorBidi"/>
          <w:sz w:val="22"/>
          <w:szCs w:val="22"/>
        </w:rPr>
      </w:pPr>
      <w:hyperlink w:anchor="_Toc448493042" w:history="1">
        <w:r w:rsidR="00E95B63" w:rsidRPr="007114F9">
          <w:rPr>
            <w:rStyle w:val="Hyperlink"/>
          </w:rPr>
          <w:t>Disclosure requirement – estimates presented as actual results</w:t>
        </w:r>
        <w:r w:rsidR="00E95B63">
          <w:rPr>
            <w:webHidden/>
          </w:rPr>
          <w:tab/>
        </w:r>
        <w:r w:rsidR="00E95B63">
          <w:rPr>
            <w:webHidden/>
          </w:rPr>
          <w:fldChar w:fldCharType="begin" w:fldLock="1"/>
        </w:r>
        <w:r w:rsidR="00E95B63">
          <w:rPr>
            <w:webHidden/>
          </w:rPr>
          <w:instrText xml:space="preserve"> PAGEREF _Toc448493042 \h </w:instrText>
        </w:r>
        <w:r w:rsidR="00E95B63">
          <w:rPr>
            <w:webHidden/>
          </w:rPr>
        </w:r>
        <w:r w:rsidR="00E95B63">
          <w:rPr>
            <w:webHidden/>
          </w:rPr>
          <w:fldChar w:fldCharType="separate"/>
        </w:r>
        <w:r w:rsidR="00E95B63">
          <w:rPr>
            <w:webHidden/>
          </w:rPr>
          <w:t>11</w:t>
        </w:r>
        <w:r w:rsidR="00E95B63">
          <w:rPr>
            <w:webHidden/>
          </w:rPr>
          <w:fldChar w:fldCharType="end"/>
        </w:r>
      </w:hyperlink>
    </w:p>
    <w:p w:rsidR="00E95B63" w:rsidRDefault="00B934BC">
      <w:pPr>
        <w:pStyle w:val="TOC4"/>
        <w:rPr>
          <w:rFonts w:asciiTheme="minorHAnsi" w:eastAsiaTheme="minorEastAsia" w:hAnsiTheme="minorHAnsi" w:cstheme="minorBidi"/>
          <w:sz w:val="22"/>
          <w:szCs w:val="22"/>
        </w:rPr>
      </w:pPr>
      <w:hyperlink w:anchor="_Toc448493043" w:history="1">
        <w:r w:rsidR="00E95B63" w:rsidRPr="007114F9">
          <w:rPr>
            <w:rStyle w:val="Hyperlink"/>
          </w:rPr>
          <w:t>Department of Technology report of operations – FRD guidance</w:t>
        </w:r>
        <w:r w:rsidR="00E95B63">
          <w:rPr>
            <w:webHidden/>
          </w:rPr>
          <w:tab/>
        </w:r>
        <w:r w:rsidR="00E95B63">
          <w:rPr>
            <w:webHidden/>
          </w:rPr>
          <w:fldChar w:fldCharType="begin" w:fldLock="1"/>
        </w:r>
        <w:r w:rsidR="00E95B63">
          <w:rPr>
            <w:webHidden/>
          </w:rPr>
          <w:instrText xml:space="preserve"> PAGEREF _Toc448493043 \h </w:instrText>
        </w:r>
        <w:r w:rsidR="00E95B63">
          <w:rPr>
            <w:webHidden/>
          </w:rPr>
        </w:r>
        <w:r w:rsidR="00E95B63">
          <w:rPr>
            <w:webHidden/>
          </w:rPr>
          <w:fldChar w:fldCharType="separate"/>
        </w:r>
        <w:r w:rsidR="00E95B63">
          <w:rPr>
            <w:webHidden/>
          </w:rPr>
          <w:t>11</w:t>
        </w:r>
        <w:r w:rsidR="00E95B63">
          <w:rPr>
            <w:webHidden/>
          </w:rPr>
          <w:fldChar w:fldCharType="end"/>
        </w:r>
      </w:hyperlink>
    </w:p>
    <w:p w:rsidR="00E95B63" w:rsidRDefault="00B934BC">
      <w:pPr>
        <w:pStyle w:val="TOC4"/>
        <w:rPr>
          <w:rFonts w:asciiTheme="minorHAnsi" w:eastAsiaTheme="minorEastAsia" w:hAnsiTheme="minorHAnsi" w:cstheme="minorBidi"/>
          <w:sz w:val="22"/>
          <w:szCs w:val="22"/>
        </w:rPr>
      </w:pPr>
      <w:hyperlink w:anchor="_Toc448493044" w:history="1">
        <w:r w:rsidR="00E95B63" w:rsidRPr="007114F9">
          <w:rPr>
            <w:rStyle w:val="Hyperlink"/>
          </w:rPr>
          <w:t>Section 1: Year in review</w:t>
        </w:r>
        <w:r w:rsidR="00E95B63">
          <w:rPr>
            <w:webHidden/>
          </w:rPr>
          <w:tab/>
        </w:r>
        <w:r w:rsidR="00E95B63">
          <w:rPr>
            <w:webHidden/>
          </w:rPr>
          <w:fldChar w:fldCharType="begin" w:fldLock="1"/>
        </w:r>
        <w:r w:rsidR="00E95B63">
          <w:rPr>
            <w:webHidden/>
          </w:rPr>
          <w:instrText xml:space="preserve"> PAGEREF _Toc448493044 \h </w:instrText>
        </w:r>
        <w:r w:rsidR="00E95B63">
          <w:rPr>
            <w:webHidden/>
          </w:rPr>
        </w:r>
        <w:r w:rsidR="00E95B63">
          <w:rPr>
            <w:webHidden/>
          </w:rPr>
          <w:fldChar w:fldCharType="separate"/>
        </w:r>
        <w:r w:rsidR="00E95B63">
          <w:rPr>
            <w:webHidden/>
          </w:rPr>
          <w:t>12</w:t>
        </w:r>
        <w:r w:rsidR="00E95B63">
          <w:rPr>
            <w:webHidden/>
          </w:rPr>
          <w:fldChar w:fldCharType="end"/>
        </w:r>
      </w:hyperlink>
    </w:p>
    <w:p w:rsidR="00E95B63" w:rsidRDefault="00B934BC">
      <w:pPr>
        <w:pStyle w:val="TOC4"/>
        <w:rPr>
          <w:rFonts w:asciiTheme="minorHAnsi" w:eastAsiaTheme="minorEastAsia" w:hAnsiTheme="minorHAnsi" w:cstheme="minorBidi"/>
          <w:sz w:val="22"/>
          <w:szCs w:val="22"/>
        </w:rPr>
      </w:pPr>
      <w:hyperlink w:anchor="_Toc448493045" w:history="1">
        <w:r w:rsidR="00E95B63" w:rsidRPr="007114F9">
          <w:rPr>
            <w:rStyle w:val="Hyperlink"/>
          </w:rPr>
          <w:t>Section 2: Governance and organisational structure</w:t>
        </w:r>
        <w:r w:rsidR="00E95B63">
          <w:rPr>
            <w:webHidden/>
          </w:rPr>
          <w:tab/>
        </w:r>
        <w:r w:rsidR="00E95B63">
          <w:rPr>
            <w:webHidden/>
          </w:rPr>
          <w:fldChar w:fldCharType="begin" w:fldLock="1"/>
        </w:r>
        <w:r w:rsidR="00E95B63">
          <w:rPr>
            <w:webHidden/>
          </w:rPr>
          <w:instrText xml:space="preserve"> PAGEREF _Toc448493045 \h </w:instrText>
        </w:r>
        <w:r w:rsidR="00E95B63">
          <w:rPr>
            <w:webHidden/>
          </w:rPr>
        </w:r>
        <w:r w:rsidR="00E95B63">
          <w:rPr>
            <w:webHidden/>
          </w:rPr>
          <w:fldChar w:fldCharType="separate"/>
        </w:r>
        <w:r w:rsidR="00E95B63">
          <w:rPr>
            <w:webHidden/>
          </w:rPr>
          <w:t>34</w:t>
        </w:r>
        <w:r w:rsidR="00E95B63">
          <w:rPr>
            <w:webHidden/>
          </w:rPr>
          <w:fldChar w:fldCharType="end"/>
        </w:r>
      </w:hyperlink>
    </w:p>
    <w:p w:rsidR="00E95B63" w:rsidRDefault="00B934BC">
      <w:pPr>
        <w:pStyle w:val="TOC4"/>
        <w:rPr>
          <w:rFonts w:asciiTheme="minorHAnsi" w:eastAsiaTheme="minorEastAsia" w:hAnsiTheme="minorHAnsi" w:cstheme="minorBidi"/>
          <w:sz w:val="22"/>
          <w:szCs w:val="22"/>
        </w:rPr>
      </w:pPr>
      <w:hyperlink w:anchor="_Toc448493046" w:history="1">
        <w:r w:rsidR="00E95B63" w:rsidRPr="007114F9">
          <w:rPr>
            <w:rStyle w:val="Hyperlink"/>
          </w:rPr>
          <w:t>Section 3: Workforce data</w:t>
        </w:r>
        <w:r w:rsidR="00E95B63">
          <w:rPr>
            <w:webHidden/>
          </w:rPr>
          <w:tab/>
        </w:r>
        <w:r w:rsidR="00E95B63">
          <w:rPr>
            <w:webHidden/>
          </w:rPr>
          <w:fldChar w:fldCharType="begin" w:fldLock="1"/>
        </w:r>
        <w:r w:rsidR="00E95B63">
          <w:rPr>
            <w:webHidden/>
          </w:rPr>
          <w:instrText xml:space="preserve"> PAGEREF _Toc448493046 \h </w:instrText>
        </w:r>
        <w:r w:rsidR="00E95B63">
          <w:rPr>
            <w:webHidden/>
          </w:rPr>
        </w:r>
        <w:r w:rsidR="00E95B63">
          <w:rPr>
            <w:webHidden/>
          </w:rPr>
          <w:fldChar w:fldCharType="separate"/>
        </w:r>
        <w:r w:rsidR="00E95B63">
          <w:rPr>
            <w:webHidden/>
          </w:rPr>
          <w:t>41</w:t>
        </w:r>
        <w:r w:rsidR="00E95B63">
          <w:rPr>
            <w:webHidden/>
          </w:rPr>
          <w:fldChar w:fldCharType="end"/>
        </w:r>
      </w:hyperlink>
    </w:p>
    <w:p w:rsidR="00E95B63" w:rsidRDefault="00B934BC">
      <w:pPr>
        <w:pStyle w:val="TOC4"/>
        <w:rPr>
          <w:rFonts w:asciiTheme="minorHAnsi" w:eastAsiaTheme="minorEastAsia" w:hAnsiTheme="minorHAnsi" w:cstheme="minorBidi"/>
          <w:sz w:val="22"/>
          <w:szCs w:val="22"/>
        </w:rPr>
      </w:pPr>
      <w:hyperlink w:anchor="_Toc448493047" w:history="1">
        <w:r w:rsidR="00E95B63" w:rsidRPr="007114F9">
          <w:rPr>
            <w:rStyle w:val="Hyperlink"/>
          </w:rPr>
          <w:t>Section 4: Other disclosures</w:t>
        </w:r>
        <w:r w:rsidR="00E95B63">
          <w:rPr>
            <w:webHidden/>
          </w:rPr>
          <w:tab/>
        </w:r>
        <w:r w:rsidR="00E95B63">
          <w:rPr>
            <w:webHidden/>
          </w:rPr>
          <w:fldChar w:fldCharType="begin" w:fldLock="1"/>
        </w:r>
        <w:r w:rsidR="00E95B63">
          <w:rPr>
            <w:webHidden/>
          </w:rPr>
          <w:instrText xml:space="preserve"> PAGEREF _Toc448493047 \h </w:instrText>
        </w:r>
        <w:r w:rsidR="00E95B63">
          <w:rPr>
            <w:webHidden/>
          </w:rPr>
        </w:r>
        <w:r w:rsidR="00E95B63">
          <w:rPr>
            <w:webHidden/>
          </w:rPr>
          <w:fldChar w:fldCharType="separate"/>
        </w:r>
        <w:r w:rsidR="00E95B63">
          <w:rPr>
            <w:webHidden/>
          </w:rPr>
          <w:t>47</w:t>
        </w:r>
        <w:r w:rsidR="00E95B63">
          <w:rPr>
            <w:webHidden/>
          </w:rPr>
          <w:fldChar w:fldCharType="end"/>
        </w:r>
      </w:hyperlink>
    </w:p>
    <w:p w:rsidR="00E95B63" w:rsidRDefault="00B934BC">
      <w:pPr>
        <w:pStyle w:val="TOC4"/>
        <w:rPr>
          <w:rFonts w:asciiTheme="minorHAnsi" w:eastAsiaTheme="minorEastAsia" w:hAnsiTheme="minorHAnsi" w:cstheme="minorBidi"/>
          <w:sz w:val="22"/>
          <w:szCs w:val="22"/>
        </w:rPr>
      </w:pPr>
      <w:hyperlink w:anchor="_Toc448493048" w:history="1">
        <w:r w:rsidR="00E95B63" w:rsidRPr="007114F9">
          <w:rPr>
            <w:rStyle w:val="Hyperlink"/>
          </w:rPr>
          <w:t>Disclosure index</w:t>
        </w:r>
        <w:r w:rsidR="00E95B63">
          <w:rPr>
            <w:webHidden/>
          </w:rPr>
          <w:tab/>
        </w:r>
        <w:r w:rsidR="00E95B63">
          <w:rPr>
            <w:webHidden/>
          </w:rPr>
          <w:fldChar w:fldCharType="begin" w:fldLock="1"/>
        </w:r>
        <w:r w:rsidR="00E95B63">
          <w:rPr>
            <w:webHidden/>
          </w:rPr>
          <w:instrText xml:space="preserve"> PAGEREF _Toc448493048 \h </w:instrText>
        </w:r>
        <w:r w:rsidR="00E95B63">
          <w:rPr>
            <w:webHidden/>
          </w:rPr>
        </w:r>
        <w:r w:rsidR="00E95B63">
          <w:rPr>
            <w:webHidden/>
          </w:rPr>
          <w:fldChar w:fldCharType="separate"/>
        </w:r>
        <w:r w:rsidR="00E95B63">
          <w:rPr>
            <w:webHidden/>
          </w:rPr>
          <w:t>71</w:t>
        </w:r>
        <w:r w:rsidR="00E95B63">
          <w:rPr>
            <w:webHidden/>
          </w:rPr>
          <w:fldChar w:fldCharType="end"/>
        </w:r>
      </w:hyperlink>
    </w:p>
    <w:p w:rsidR="00142353" w:rsidRPr="00D96B14" w:rsidRDefault="00142353" w:rsidP="001C05C4">
      <w:pPr>
        <w:pStyle w:val="TOC4"/>
      </w:pPr>
      <w:r w:rsidRPr="00D96B14">
        <w:fldChar w:fldCharType="end"/>
      </w:r>
    </w:p>
    <w:p w:rsidR="00142353" w:rsidRPr="00D96B14" w:rsidRDefault="00142353" w:rsidP="00142353">
      <w:pPr>
        <w:pStyle w:val="Reference"/>
        <w:rPr>
          <w:lang w:val="en-AU"/>
        </w:rPr>
        <w:sectPr w:rsidR="00142353" w:rsidRPr="00D96B14" w:rsidSect="00142353">
          <w:headerReference w:type="even" r:id="rId31"/>
          <w:headerReference w:type="default" r:id="rId32"/>
          <w:footerReference w:type="even" r:id="rId33"/>
          <w:footerReference w:type="default" r:id="rId34"/>
          <w:headerReference w:type="first" r:id="rId35"/>
          <w:footerReference w:type="first" r:id="rId36"/>
          <w:type w:val="oddPage"/>
          <w:pgSz w:w="11906" w:h="16838" w:code="9"/>
          <w:pgMar w:top="1152" w:right="864" w:bottom="1152" w:left="864" w:header="432" w:footer="432" w:gutter="0"/>
          <w:pgNumType w:start="9"/>
          <w:cols w:num="2" w:space="360" w:equalWidth="0">
            <w:col w:w="1440" w:space="360"/>
            <w:col w:w="8090"/>
          </w:cols>
        </w:sectPr>
      </w:pPr>
    </w:p>
    <w:p w:rsidR="00142353" w:rsidRPr="00D96B14" w:rsidRDefault="00142353" w:rsidP="00142353">
      <w:pPr>
        <w:pStyle w:val="SmallLine"/>
      </w:pPr>
    </w:p>
    <w:p w:rsidR="00142353" w:rsidRPr="00D96B14" w:rsidRDefault="00142353" w:rsidP="00142353">
      <w:pPr>
        <w:pStyle w:val="Heading2Blue"/>
      </w:pPr>
      <w:bookmarkStart w:id="39" w:name="_Toc192578715"/>
      <w:r w:rsidRPr="00D96B14">
        <w:rPr>
          <w:rStyle w:val="ReferenceRedChar"/>
          <w:b w:val="0"/>
          <w:bCs w:val="0"/>
        </w:rPr>
        <w:br w:type="column"/>
      </w:r>
      <w:bookmarkStart w:id="40" w:name="_Toc332019440"/>
      <w:bookmarkStart w:id="41" w:name="_Toc448493038"/>
      <w:r w:rsidRPr="00D96B14">
        <w:lastRenderedPageBreak/>
        <w:t>About the Model report of operations</w:t>
      </w:r>
      <w:bookmarkEnd w:id="39"/>
      <w:bookmarkEnd w:id="40"/>
      <w:bookmarkEnd w:id="41"/>
      <w:r w:rsidRPr="00D96B14">
        <w:t xml:space="preserve"> </w:t>
      </w:r>
    </w:p>
    <w:p w:rsidR="00142353" w:rsidRPr="00D96B14" w:rsidRDefault="00142353" w:rsidP="00142353">
      <w:pPr>
        <w:pStyle w:val="NormalBlue"/>
        <w:sectPr w:rsidR="00142353" w:rsidRPr="00D96B14" w:rsidSect="00190A01">
          <w:headerReference w:type="even" r:id="rId37"/>
          <w:headerReference w:type="default" r:id="rId38"/>
          <w:headerReference w:type="first" r:id="rId39"/>
          <w:type w:val="continuous"/>
          <w:pgSz w:w="11906" w:h="16838" w:code="9"/>
          <w:pgMar w:top="1151" w:right="862" w:bottom="1151" w:left="862" w:header="431" w:footer="431" w:gutter="0"/>
          <w:cols w:num="2" w:space="360" w:equalWidth="0">
            <w:col w:w="1442" w:space="360"/>
            <w:col w:w="8092"/>
          </w:cols>
        </w:sectPr>
      </w:pPr>
    </w:p>
    <w:p w:rsidR="00142353" w:rsidRPr="00D96B14" w:rsidRDefault="00142353" w:rsidP="00142353">
      <w:pPr>
        <w:pStyle w:val="Reference"/>
      </w:pPr>
      <w:r w:rsidRPr="00D96B14">
        <w:lastRenderedPageBreak/>
        <w:t>SD4.2</w:t>
      </w:r>
      <w:r w:rsidRPr="00D96B14">
        <w:br/>
        <w:t>FRD 22G</w:t>
      </w:r>
    </w:p>
    <w:p w:rsidR="00142353" w:rsidRPr="00D96B14" w:rsidRDefault="00142353" w:rsidP="00142353">
      <w:pPr>
        <w:pStyle w:val="NormalBlue"/>
      </w:pPr>
      <w:r w:rsidRPr="00D96B14">
        <w:br w:type="column"/>
      </w:r>
      <w:r w:rsidRPr="00D96B14">
        <w:lastRenderedPageBreak/>
        <w:t xml:space="preserve">The report of operations is an integral part of a </w:t>
      </w:r>
      <w:r w:rsidRPr="00D96B14">
        <w:rPr>
          <w:b/>
        </w:rPr>
        <w:t>department</w:t>
      </w:r>
      <w:r w:rsidR="005A4BB0">
        <w:t>’</w:t>
      </w:r>
      <w:r w:rsidRPr="00D96B14">
        <w:t>s annual report. It provides users with general information about the entity and its activities, operational highlights for the reporting period, future directions and other relevant information not included in the financial statements. It is a document akin to the directors</w:t>
      </w:r>
      <w:r w:rsidR="005A4BB0">
        <w:t>’</w:t>
      </w:r>
      <w:r w:rsidRPr="00D96B14">
        <w:t xml:space="preserve"> report that forms a significant part of the annual reports of companies. </w:t>
      </w:r>
    </w:p>
    <w:p w:rsidR="00142353" w:rsidRPr="00D96B14" w:rsidRDefault="00142353" w:rsidP="00142353">
      <w:pPr>
        <w:pStyle w:val="NormalBlue"/>
      </w:pPr>
      <w:r w:rsidRPr="00D96B14">
        <w:t>The report of operations complements the information presented in the financial statements by providing explanation and analysis of the department</w:t>
      </w:r>
      <w:r w:rsidR="005A4BB0">
        <w:t>’</w:t>
      </w:r>
      <w:r w:rsidRPr="00D96B14">
        <w:t xml:space="preserve">s performance, financial position and cash flow through an objective and balanced discussion and analysis. To that end, it should be comprehensive and, where appropriate, adopt a narrative form which is written in a clear style and supported by figures and graphics that assist understanding of the matters discussed. The report of operations should be balanced and objective, and free from bias. In keeping with this requirement, clear design of the annual report may help communicate this message. </w:t>
      </w:r>
    </w:p>
    <w:p w:rsidR="00142353" w:rsidRPr="00D96B14" w:rsidRDefault="00142353" w:rsidP="00142353">
      <w:pPr>
        <w:pStyle w:val="NormalBlue"/>
        <w:sectPr w:rsidR="00142353" w:rsidRPr="00D96B14" w:rsidSect="00190A01">
          <w:type w:val="continuous"/>
          <w:pgSz w:w="11906" w:h="16838" w:code="9"/>
          <w:pgMar w:top="1151" w:right="862" w:bottom="1151" w:left="862" w:header="431" w:footer="431" w:gutter="0"/>
          <w:cols w:num="2" w:space="360" w:equalWidth="0">
            <w:col w:w="1442" w:space="360"/>
            <w:col w:w="8092"/>
          </w:cols>
        </w:sectPr>
      </w:pPr>
    </w:p>
    <w:p w:rsidR="00142353" w:rsidRPr="00D96B14" w:rsidRDefault="00142353" w:rsidP="00142353">
      <w:pPr>
        <w:pStyle w:val="Reference"/>
      </w:pPr>
      <w:r w:rsidRPr="00D96B14">
        <w:lastRenderedPageBreak/>
        <w:t>FRD 30C</w:t>
      </w:r>
    </w:p>
    <w:p w:rsidR="00142353" w:rsidRPr="00D96B14" w:rsidRDefault="00142353" w:rsidP="00142353">
      <w:pPr>
        <w:pStyle w:val="NormalBlue"/>
      </w:pPr>
      <w:r w:rsidRPr="00D96B14">
        <w:br w:type="column"/>
      </w:r>
      <w:r w:rsidRPr="00D96B14">
        <w:lastRenderedPageBreak/>
        <w:t xml:space="preserve">Additionally, Financial Reporting Direction (FRD) 30C </w:t>
      </w:r>
      <w:r w:rsidRPr="00D96B14">
        <w:rPr>
          <w:i/>
        </w:rPr>
        <w:t>Standard requirements for the publication of annual report</w:t>
      </w:r>
      <w:r w:rsidRPr="00D96B14">
        <w:t xml:space="preserve">s provides specifications on the design of annual reports, use of colour and images, standard sizing, paper stocks, and other publishing requirements, which focus on reducing publication cost and environmental impact, and ensuring greater consistency in government annual reports. The FRDs can be found on the DTF website </w:t>
      </w:r>
      <w:hyperlink r:id="rId40" w:history="1">
        <w:r w:rsidRPr="00D96B14">
          <w:rPr>
            <w:rStyle w:val="Hyperlink"/>
          </w:rPr>
          <w:t>www.dtf.vic.gov.au</w:t>
        </w:r>
      </w:hyperlink>
      <w:r w:rsidRPr="00D96B14">
        <w:t xml:space="preserve"> under FRDs.</w:t>
      </w:r>
    </w:p>
    <w:p w:rsidR="00142353" w:rsidRPr="00D96B14" w:rsidRDefault="00142353" w:rsidP="00142353">
      <w:pPr>
        <w:pStyle w:val="NormalBlue"/>
      </w:pPr>
      <w:r w:rsidRPr="00D96B14">
        <w:t xml:space="preserve">The </w:t>
      </w:r>
      <w:r w:rsidRPr="00D96B14">
        <w:rPr>
          <w:i/>
        </w:rPr>
        <w:t>Model report of operations</w:t>
      </w:r>
      <w:r w:rsidRPr="00D96B14">
        <w:t xml:space="preserve"> incorporates reporting requirements that are current at the time of publication. In addition to complying with the </w:t>
      </w:r>
      <w:r w:rsidRPr="00D96B14">
        <w:rPr>
          <w:i/>
        </w:rPr>
        <w:t>Model report of operations</w:t>
      </w:r>
      <w:r w:rsidRPr="00D96B14">
        <w:t xml:space="preserve">, departments should ensure that their report of operations complies with all new and revised legislative pronouncements that may be issued and applicable subsequent to the publication of the </w:t>
      </w:r>
      <w:r w:rsidRPr="00D96B14">
        <w:rPr>
          <w:iCs/>
        </w:rPr>
        <w:t>Model</w:t>
      </w:r>
      <w:r w:rsidRPr="00D96B14">
        <w:t xml:space="preserve">. </w:t>
      </w:r>
    </w:p>
    <w:p w:rsidR="00142353" w:rsidRPr="00D96B14" w:rsidRDefault="00142353" w:rsidP="00142353">
      <w:pPr>
        <w:pStyle w:val="NormalBlue"/>
      </w:pPr>
      <w:r w:rsidRPr="00D96B14">
        <w:t xml:space="preserve">While the </w:t>
      </w:r>
      <w:r w:rsidRPr="00D96B14">
        <w:rPr>
          <w:i/>
        </w:rPr>
        <w:t>Model report of operations</w:t>
      </w:r>
      <w:r w:rsidRPr="00D96B14">
        <w:t xml:space="preserve"> illustrates examples of disclosures required under FRDs, </w:t>
      </w:r>
      <w:r w:rsidRPr="00D96B14">
        <w:rPr>
          <w:b/>
        </w:rPr>
        <w:t>it does not necessarily illustrate all disclosures</w:t>
      </w:r>
      <w:r w:rsidRPr="00D96B14">
        <w:t xml:space="preserve"> that might be appropriate to report an agency</w:t>
      </w:r>
      <w:r w:rsidR="005A4BB0">
        <w:t>’</w:t>
      </w:r>
      <w:r w:rsidRPr="00D96B14">
        <w:t>s objectives, activities and performance. Officers of a department or entity must use their judgement to identify any other matters that should be reported to ensure that the report of operations is complete and objective.</w:t>
      </w:r>
    </w:p>
    <w:p w:rsidR="00142353" w:rsidRPr="00D96B14" w:rsidRDefault="00142353" w:rsidP="00142353">
      <w:pPr>
        <w:pStyle w:val="NormalBlue"/>
        <w:rPr>
          <w:b/>
        </w:rPr>
      </w:pPr>
      <w:r w:rsidRPr="00D96B14">
        <w:rPr>
          <w:b/>
        </w:rPr>
        <w:t xml:space="preserve">Entities other than departments need to be aware of the FRDs and legislation that affect them specifically, as not all pronouncements in the </w:t>
      </w:r>
      <w:r w:rsidRPr="00D96B14">
        <w:rPr>
          <w:b/>
          <w:iCs/>
        </w:rPr>
        <w:t>Model</w:t>
      </w:r>
      <w:r w:rsidRPr="00D96B14">
        <w:rPr>
          <w:b/>
          <w:i/>
          <w:iCs/>
        </w:rPr>
        <w:t xml:space="preserve"> </w:t>
      </w:r>
      <w:r w:rsidRPr="00D96B14">
        <w:rPr>
          <w:b/>
        </w:rPr>
        <w:t>are applicable to all public sector entities. Professional judgement and awareness of an entity</w:t>
      </w:r>
      <w:r w:rsidR="005A4BB0">
        <w:rPr>
          <w:b/>
        </w:rPr>
        <w:t>’</w:t>
      </w:r>
      <w:r w:rsidRPr="00D96B14">
        <w:rPr>
          <w:b/>
        </w:rPr>
        <w:t xml:space="preserve">s reporting obligations are to be applied when using the </w:t>
      </w:r>
      <w:r w:rsidRPr="00D96B14">
        <w:rPr>
          <w:b/>
          <w:iCs/>
        </w:rPr>
        <w:t>Model</w:t>
      </w:r>
      <w:r w:rsidRPr="00D96B14">
        <w:rPr>
          <w:b/>
          <w:i/>
          <w:iCs/>
        </w:rPr>
        <w:t xml:space="preserve"> </w:t>
      </w:r>
      <w:r w:rsidRPr="00D96B14">
        <w:rPr>
          <w:b/>
        </w:rPr>
        <w:t xml:space="preserve">as a reference point. </w:t>
      </w:r>
    </w:p>
    <w:p w:rsidR="00142353" w:rsidRPr="00D96B14" w:rsidRDefault="00142353" w:rsidP="00142353">
      <w:pPr>
        <w:pStyle w:val="Heading2Blue"/>
      </w:pPr>
      <w:bookmarkStart w:id="42" w:name="_Toc332019441"/>
      <w:r w:rsidRPr="00D96B14">
        <w:br w:type="column"/>
      </w:r>
      <w:r w:rsidRPr="00D96B14">
        <w:lastRenderedPageBreak/>
        <w:br w:type="column"/>
      </w:r>
      <w:bookmarkStart w:id="43" w:name="_Toc448493039"/>
      <w:r w:rsidRPr="00D96B14">
        <w:lastRenderedPageBreak/>
        <w:t>Presentation of report of operations</w:t>
      </w:r>
      <w:bookmarkEnd w:id="42"/>
      <w:bookmarkEnd w:id="43"/>
    </w:p>
    <w:p w:rsidR="00142353" w:rsidRPr="00D96B14" w:rsidRDefault="00142353" w:rsidP="00142353">
      <w:pPr>
        <w:pStyle w:val="NormalBlue"/>
        <w:sectPr w:rsidR="00142353" w:rsidRPr="00D96B14" w:rsidSect="00190A01">
          <w:headerReference w:type="even" r:id="rId41"/>
          <w:headerReference w:type="default" r:id="rId42"/>
          <w:headerReference w:type="first" r:id="rId43"/>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pPr>
      <w:r w:rsidRPr="00D96B14">
        <w:lastRenderedPageBreak/>
        <w:t>SD4.2</w:t>
      </w:r>
    </w:p>
    <w:p w:rsidR="00142353" w:rsidRPr="00D96B14" w:rsidRDefault="00142353" w:rsidP="00142353">
      <w:pPr>
        <w:pStyle w:val="NormalBlue"/>
      </w:pPr>
      <w:r w:rsidRPr="00D96B14">
        <w:br w:type="column"/>
      </w:r>
      <w:r w:rsidRPr="00D96B14">
        <w:lastRenderedPageBreak/>
        <w:t>Presentation of the report of operations as a discrete section of a department</w:t>
      </w:r>
      <w:r w:rsidR="005A4BB0">
        <w:t>’</w:t>
      </w:r>
      <w:r w:rsidRPr="00D96B14">
        <w:t xml:space="preserve">s annual report ensures that the information required is presented in one place. However, a department has the option to select the format that best complements the presentation of its annual report as a whole. </w:t>
      </w:r>
    </w:p>
    <w:p w:rsidR="00142353" w:rsidRPr="00D96B14" w:rsidRDefault="00142353" w:rsidP="00142353">
      <w:pPr>
        <w:pStyle w:val="Heading2Blue"/>
      </w:pPr>
      <w:bookmarkStart w:id="44" w:name="_Toc332019442"/>
      <w:bookmarkStart w:id="45" w:name="_Toc448493040"/>
      <w:r w:rsidRPr="00D96B14">
        <w:t>Contents of report of operations</w:t>
      </w:r>
      <w:bookmarkEnd w:id="44"/>
      <w:bookmarkEnd w:id="45"/>
    </w:p>
    <w:p w:rsidR="00142353" w:rsidRPr="00D96B14" w:rsidRDefault="00142353" w:rsidP="00142353">
      <w:pPr>
        <w:pStyle w:val="NormalBlue"/>
      </w:pPr>
      <w:r w:rsidRPr="00D96B14">
        <w:t xml:space="preserve">The report of operations, for the purposes of the </w:t>
      </w:r>
      <w:r w:rsidRPr="00D96B14">
        <w:rPr>
          <w:iCs/>
        </w:rPr>
        <w:t>Model</w:t>
      </w:r>
      <w:r w:rsidRPr="00D96B14">
        <w:t xml:space="preserve">, illustrates the minimum disclosures required by the </w:t>
      </w:r>
      <w:r w:rsidRPr="00D96B14">
        <w:rPr>
          <w:i/>
          <w:iCs/>
        </w:rPr>
        <w:t>Standing Directions</w:t>
      </w:r>
      <w:r w:rsidRPr="00D96B14">
        <w:t xml:space="preserve"> (SD) of the </w:t>
      </w:r>
      <w:r w:rsidRPr="00D96B14">
        <w:rPr>
          <w:iCs/>
        </w:rPr>
        <w:t>Minister for Finance</w:t>
      </w:r>
      <w:r w:rsidRPr="00D96B14">
        <w:rPr>
          <w:i/>
          <w:iCs/>
        </w:rPr>
        <w:t xml:space="preserve"> </w:t>
      </w:r>
      <w:r w:rsidRPr="00D96B14">
        <w:t xml:space="preserve">and FRDs, as listed in </w:t>
      </w:r>
      <w:r w:rsidRPr="00D96B14">
        <w:rPr>
          <w:i/>
        </w:rPr>
        <w:t xml:space="preserve">Disclosure Index </w:t>
      </w:r>
      <w:r w:rsidRPr="00D96B14">
        <w:t xml:space="preserve">on page 71, as well as sections of the </w:t>
      </w:r>
      <w:r w:rsidRPr="00D96B14">
        <w:rPr>
          <w:i/>
          <w:iCs/>
        </w:rPr>
        <w:t xml:space="preserve">Financial Management Act 1994 </w:t>
      </w:r>
      <w:r w:rsidRPr="00D96B14">
        <w:rPr>
          <w:iCs/>
        </w:rPr>
        <w:t>(FMA)</w:t>
      </w:r>
      <w:r w:rsidRPr="00D96B14">
        <w:rPr>
          <w:i/>
          <w:iCs/>
        </w:rPr>
        <w:t xml:space="preserve"> </w:t>
      </w:r>
      <w:r w:rsidRPr="00D96B14">
        <w:t>and Premier</w:t>
      </w:r>
      <w:r w:rsidR="005A4BB0">
        <w:t>’</w:t>
      </w:r>
      <w:r w:rsidRPr="00D96B14">
        <w:t>s Circulars. Given the different nature of activities carried out by departments, varying levels of detail will be needed to fulfil particular requirements of the SD, FMA, FRDs and Premier</w:t>
      </w:r>
      <w:r w:rsidR="005A4BB0">
        <w:t>’</w:t>
      </w:r>
      <w:r w:rsidRPr="00D96B14">
        <w:t>s Circulars. As with the financial statements, professional judgement is required to identify relevant significant matters and present them in a way that properly informs the reader.</w:t>
      </w:r>
    </w:p>
    <w:p w:rsidR="00142353" w:rsidRPr="00D96B14" w:rsidRDefault="00142353" w:rsidP="00142353">
      <w:pPr>
        <w:pStyle w:val="Heading2Blue"/>
      </w:pPr>
      <w:bookmarkStart w:id="46" w:name="_Toc332019443"/>
      <w:bookmarkStart w:id="47" w:name="_Toc448493041"/>
      <w:r w:rsidRPr="00D96B14">
        <w:t>Specific requirements under Standing Direction 4.2</w:t>
      </w:r>
      <w:bookmarkEnd w:id="46"/>
      <w:bookmarkEnd w:id="47"/>
    </w:p>
    <w:p w:rsidR="00142353" w:rsidRPr="00D96B14" w:rsidRDefault="00142353" w:rsidP="00142353">
      <w:pPr>
        <w:pStyle w:val="Heading2Blue"/>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rPr>
          <w:lang w:val="en-AU"/>
        </w:rPr>
      </w:pPr>
      <w:r w:rsidRPr="00D96B14">
        <w:rPr>
          <w:lang w:val="en-AU"/>
        </w:rPr>
        <w:lastRenderedPageBreak/>
        <w:t>SD4.2(g)</w:t>
      </w:r>
    </w:p>
    <w:p w:rsidR="00142353" w:rsidRPr="00D96B14" w:rsidRDefault="00142353" w:rsidP="00142353">
      <w:pPr>
        <w:pStyle w:val="aalphablue"/>
      </w:pPr>
      <w:r w:rsidRPr="00D96B14">
        <w:br w:type="column"/>
      </w:r>
      <w:r w:rsidRPr="00D96B14">
        <w:lastRenderedPageBreak/>
        <w:t>(a)</w:t>
      </w:r>
      <w:r w:rsidRPr="00D96B14">
        <w:tab/>
        <w:t>The report of operations should include qualitative and quantitative information on the operations of the public sector agency and should be prepared on a basis consistent with the financial statements prepared by the public sector agency pursuant to the FMA. This report should provide users with general information about the entity and its activities, operational highlights for the reporting period, future initiatives and other relevant information not included in the financial statements.</w:t>
      </w:r>
    </w:p>
    <w:p w:rsidR="00142353" w:rsidRPr="00D96B14" w:rsidRDefault="00142353" w:rsidP="00142353">
      <w:pPr>
        <w:pStyle w:val="Reference"/>
        <w:rPr>
          <w:lang w:val="en-AU"/>
        </w:rPr>
        <w:sectPr w:rsidR="00142353" w:rsidRPr="00D96B14" w:rsidSect="00190A01">
          <w:headerReference w:type="even" r:id="rId44"/>
          <w:headerReference w:type="default" r:id="rId45"/>
          <w:headerReference w:type="first" r:id="rId46"/>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pPr>
      <w:r w:rsidRPr="00D96B14">
        <w:lastRenderedPageBreak/>
        <w:t>SD4.2(h)</w:t>
      </w:r>
    </w:p>
    <w:p w:rsidR="00142353" w:rsidRPr="00D96B14" w:rsidRDefault="00142353" w:rsidP="00142353">
      <w:pPr>
        <w:pStyle w:val="aalphablue"/>
      </w:pPr>
      <w:r w:rsidRPr="00D96B14">
        <w:br w:type="column"/>
      </w:r>
      <w:r w:rsidRPr="00D96B14">
        <w:lastRenderedPageBreak/>
        <w:t>(b)</w:t>
      </w:r>
      <w:r w:rsidRPr="00D96B14">
        <w:tab/>
        <w:t>The report of operations must be prepared in accordance with the requirements of the FRDs.</w:t>
      </w:r>
    </w:p>
    <w:p w:rsidR="00142353" w:rsidRPr="00D96B14" w:rsidRDefault="00142353" w:rsidP="00142353">
      <w:pPr>
        <w:pStyle w:val="aalphablue"/>
        <w:sectPr w:rsidR="00142353" w:rsidRPr="00D96B14" w:rsidSect="00190A01">
          <w:headerReference w:type="even" r:id="rId47"/>
          <w:headerReference w:type="default" r:id="rId48"/>
          <w:footerReference w:type="default" r:id="rId49"/>
          <w:headerReference w:type="first" r:id="rId50"/>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pPr>
      <w:r w:rsidRPr="00D96B14">
        <w:lastRenderedPageBreak/>
        <w:t>SD4.2(i)</w:t>
      </w:r>
    </w:p>
    <w:p w:rsidR="00142353" w:rsidRPr="00D96B14" w:rsidRDefault="00142353" w:rsidP="00142353">
      <w:pPr>
        <w:pStyle w:val="aalphablue"/>
      </w:pPr>
      <w:r w:rsidRPr="00D96B14">
        <w:br w:type="column"/>
      </w:r>
      <w:r w:rsidRPr="00D96B14">
        <w:lastRenderedPageBreak/>
        <w:t>(c)</w:t>
      </w:r>
      <w:r w:rsidRPr="00D96B14">
        <w:tab/>
        <w:t xml:space="preserve">The report of operations for government departments must be presented in accordance with the guidelines contained in the </w:t>
      </w:r>
      <w:r w:rsidRPr="00D96B14">
        <w:rPr>
          <w:iCs/>
        </w:rPr>
        <w:t>Model</w:t>
      </w:r>
      <w:r w:rsidRPr="00D96B14">
        <w:t>.</w:t>
      </w:r>
    </w:p>
    <w:p w:rsidR="00142353" w:rsidRPr="00D96B14" w:rsidRDefault="00142353" w:rsidP="00142353">
      <w:pPr>
        <w:pStyle w:val="aalphablue"/>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pPr>
      <w:r w:rsidRPr="00D96B14">
        <w:lastRenderedPageBreak/>
        <w:t>SD4.2(j)</w:t>
      </w:r>
    </w:p>
    <w:p w:rsidR="00142353" w:rsidRPr="00D96B14" w:rsidRDefault="00142353" w:rsidP="00142353">
      <w:pPr>
        <w:pStyle w:val="aalphablue"/>
      </w:pPr>
      <w:r w:rsidRPr="00D96B14">
        <w:br w:type="column"/>
      </w:r>
      <w:r w:rsidRPr="00D96B14">
        <w:lastRenderedPageBreak/>
        <w:t>(d)</w:t>
      </w:r>
      <w:r w:rsidRPr="00D96B14">
        <w:tab/>
        <w:t>The report of operations must be signed and dated by the Accountable Officer in the case of a government department or, in the case of any other public sector agency, a member of the Responsible Body.</w:t>
      </w:r>
    </w:p>
    <w:p w:rsidR="00142353" w:rsidRPr="00D96B14" w:rsidRDefault="00142353" w:rsidP="00142353">
      <w:pPr>
        <w:pStyle w:val="NormalBlue"/>
      </w:pPr>
      <w:r w:rsidRPr="00D96B14">
        <w:t>The information and analysis contained in the report should be balanced and objective, free from bias and complete, dealing even</w:t>
      </w:r>
      <w:r w:rsidR="005A4BB0">
        <w:noBreakHyphen/>
      </w:r>
      <w:r w:rsidRPr="00D96B14">
        <w:t xml:space="preserve">handedly with positive and negative aspects of operations, financial condition, risks and opportunities. While good design and presentation assists communication efficiency, effectiveness and value for money must also be considered. </w:t>
      </w:r>
    </w:p>
    <w:p w:rsidR="00142353" w:rsidRPr="00D96B14" w:rsidRDefault="00142353" w:rsidP="00142353">
      <w:pPr>
        <w:pStyle w:val="NormalBlue"/>
      </w:pPr>
      <w:r w:rsidRPr="00D96B14">
        <w:t xml:space="preserve">The format given in the </w:t>
      </w:r>
      <w:r w:rsidRPr="00D96B14">
        <w:rPr>
          <w:iCs/>
        </w:rPr>
        <w:t>Model</w:t>
      </w:r>
      <w:r w:rsidRPr="00D96B14">
        <w:t xml:space="preserve"> may not be suitable for all departments, because departments differ in both structure and outputs. Each department may choose where they report disclosures as long as it complies with all relevant reporting directions and legislation. </w:t>
      </w:r>
    </w:p>
    <w:p w:rsidR="00142353" w:rsidRPr="00D96B14" w:rsidRDefault="00142353" w:rsidP="00142353">
      <w:pPr>
        <w:pStyle w:val="NormalBlue"/>
      </w:pPr>
      <w:r w:rsidRPr="00D96B14">
        <w:t>For ease of understanding and clarity, it is sometimes more appropriate to include detailed information in an appendix. Where this is done, the report of operations should include a summary of the information together with a cross reference to the applicable appendices.</w:t>
      </w:r>
    </w:p>
    <w:p w:rsidR="00142353" w:rsidRPr="00D96B14" w:rsidRDefault="00142353" w:rsidP="00142353">
      <w:pPr>
        <w:pStyle w:val="NormalBlue"/>
      </w:pPr>
    </w:p>
    <w:p w:rsidR="00142353" w:rsidRPr="00D96B14" w:rsidRDefault="00142353" w:rsidP="00142353">
      <w:pPr>
        <w:pStyle w:val="Heading2Blue"/>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SmallLine"/>
      </w:pPr>
      <w:r w:rsidRPr="00D96B14">
        <w:lastRenderedPageBreak/>
        <w:br w:type="column"/>
      </w:r>
      <w:r w:rsidRPr="00D96B14">
        <w:lastRenderedPageBreak/>
        <w:br w:type="column"/>
      </w:r>
    </w:p>
    <w:p w:rsidR="00142353" w:rsidRPr="00D96B14" w:rsidRDefault="00142353" w:rsidP="00142353">
      <w:pPr>
        <w:pStyle w:val="Reference"/>
      </w:pPr>
      <w:r w:rsidRPr="00D96B14">
        <w:t xml:space="preserve">Recommendation 42, PAEC Report 109 </w:t>
      </w:r>
    </w:p>
    <w:p w:rsidR="00142353" w:rsidRPr="00D96B14" w:rsidRDefault="00142353" w:rsidP="00142353">
      <w:pPr>
        <w:pStyle w:val="Heading2Blue"/>
      </w:pPr>
      <w:r w:rsidRPr="00D96B14">
        <w:br w:type="column"/>
      </w:r>
      <w:bookmarkStart w:id="48" w:name="_Toc448493042"/>
      <w:r w:rsidRPr="00D96B14">
        <w:lastRenderedPageBreak/>
        <w:t>Disclosure requirement – estimates presented as actual results</w:t>
      </w:r>
      <w:bookmarkEnd w:id="48"/>
    </w:p>
    <w:p w:rsidR="00142353" w:rsidRPr="00D96B14" w:rsidRDefault="00142353" w:rsidP="00142353">
      <w:pPr>
        <w:pStyle w:val="NormalBlue"/>
      </w:pPr>
      <w:r w:rsidRPr="00D96B14">
        <w:t xml:space="preserve">Presenting an estimate in the departmental annual report can be appropriate under some circumstances, such as when actual results are not available at the time of compiling the annual report. It is crucial that users of the report of operations appreciate where estimates are presented as actual results, especially if significant variances are expected between the estimates presented in the annual report and the actual result communicated subsequently. </w:t>
      </w:r>
    </w:p>
    <w:p w:rsidR="00142353" w:rsidRPr="00D96B14" w:rsidRDefault="00142353" w:rsidP="00142353">
      <w:pPr>
        <w:pStyle w:val="NormalBlue"/>
      </w:pPr>
      <w:r w:rsidRPr="00D96B14">
        <w:t>Therefore, departments are required to disclose in the report of operations where estimates are presented as actual results for clarification purposes.</w:t>
      </w:r>
    </w:p>
    <w:p w:rsidR="00142353" w:rsidRPr="00D96B14" w:rsidRDefault="00142353" w:rsidP="00142353">
      <w:pPr>
        <w:pStyle w:val="Heading2Blue"/>
      </w:pPr>
      <w:bookmarkStart w:id="49" w:name="_Toc332019444"/>
      <w:bookmarkStart w:id="50" w:name="_Toc448493043"/>
      <w:r w:rsidRPr="00D96B14">
        <w:t>Department of Technology report of operations – FRD guidance</w:t>
      </w:r>
      <w:bookmarkEnd w:id="49"/>
      <w:bookmarkEnd w:id="50"/>
    </w:p>
    <w:p w:rsidR="00142353" w:rsidRPr="00D96B14" w:rsidRDefault="00142353" w:rsidP="00142353">
      <w:pPr>
        <w:pStyle w:val="Reference"/>
        <w:spacing w:before="280"/>
        <w:rPr>
          <w:lang w:val="en-AU"/>
        </w:r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SmallLine"/>
      </w:pPr>
    </w:p>
    <w:p w:rsidR="00142353" w:rsidRPr="00D96B14" w:rsidRDefault="00142353" w:rsidP="00142353">
      <w:pPr>
        <w:pStyle w:val="Reference"/>
        <w:rPr>
          <w:lang w:val="en-AU"/>
        </w:rPr>
      </w:pPr>
      <w:r w:rsidRPr="00D96B14">
        <w:rPr>
          <w:lang w:val="en-AU"/>
        </w:rPr>
        <w:t>SD4.2(j)</w:t>
      </w:r>
    </w:p>
    <w:p w:rsidR="00142353" w:rsidRPr="00D96B14" w:rsidRDefault="00142353" w:rsidP="00142353">
      <w:pPr>
        <w:pStyle w:val="Heading2"/>
      </w:pPr>
      <w:r w:rsidRPr="00D96B14">
        <w:br w:type="column"/>
      </w:r>
      <w:bookmarkStart w:id="51" w:name="_Toc219779085"/>
      <w:r w:rsidRPr="00D96B14">
        <w:lastRenderedPageBreak/>
        <w:t>Accountable Officer</w:t>
      </w:r>
      <w:r w:rsidR="005A4BB0">
        <w:t>’</w:t>
      </w:r>
      <w:r w:rsidRPr="00D96B14">
        <w:t>s declaration</w:t>
      </w:r>
      <w:bookmarkEnd w:id="51"/>
    </w:p>
    <w:p w:rsidR="00142353" w:rsidRPr="00D96B14" w:rsidRDefault="00142353" w:rsidP="00142353">
      <w:r w:rsidRPr="00D96B14">
        <w:t xml:space="preserve">In accordance with the </w:t>
      </w:r>
      <w:r w:rsidRPr="00D96B14">
        <w:rPr>
          <w:i/>
          <w:iCs/>
        </w:rPr>
        <w:t>Financial Management Act 1994</w:t>
      </w:r>
      <w:r w:rsidRPr="00D96B14">
        <w:t>, I am pleased to present the Department of Technology</w:t>
      </w:r>
      <w:r w:rsidR="005A4BB0">
        <w:t>’</w:t>
      </w:r>
      <w:r w:rsidRPr="00D96B14">
        <w:t>s Annual Report for the year ending 30 June 2016.</w:t>
      </w:r>
    </w:p>
    <w:p w:rsidR="00142353" w:rsidRPr="00D96B14" w:rsidRDefault="00142353" w:rsidP="00142353"/>
    <w:p w:rsidR="00142353" w:rsidRPr="00D96B14" w:rsidRDefault="00142353" w:rsidP="00142353">
      <w:pPr>
        <w:rPr>
          <w:color w:val="0000FF"/>
        </w:rPr>
      </w:pPr>
      <w:r w:rsidRPr="00D96B14">
        <w:rPr>
          <w:color w:val="0000FF"/>
        </w:rPr>
        <w:t>[Signature]</w:t>
      </w:r>
    </w:p>
    <w:p w:rsidR="00142353" w:rsidRPr="00D96B14" w:rsidRDefault="00142353" w:rsidP="00142353"/>
    <w:p w:rsidR="00142353" w:rsidRPr="00D96B14" w:rsidRDefault="00142353" w:rsidP="00142353"/>
    <w:p w:rsidR="00142353" w:rsidRPr="00D96B14" w:rsidRDefault="00142353" w:rsidP="00142353">
      <w:r w:rsidRPr="00D96B14">
        <w:t>J Smith</w:t>
      </w:r>
      <w:r w:rsidRPr="00D96B14">
        <w:br/>
        <w:t>Secretary</w:t>
      </w:r>
      <w:r w:rsidRPr="00D96B14">
        <w:br/>
        <w:t>Department of Technology</w:t>
      </w:r>
    </w:p>
    <w:p w:rsidR="00142353" w:rsidRPr="00D96B14" w:rsidRDefault="00142353" w:rsidP="00142353">
      <w:r w:rsidRPr="00D96B14">
        <w:t xml:space="preserve">15 August 2016 </w:t>
      </w:r>
    </w:p>
    <w:p w:rsidR="00142353" w:rsidRPr="00D96B14" w:rsidRDefault="00142353" w:rsidP="00142353"/>
    <w:p w:rsidR="00142353" w:rsidRPr="00D96B14" w:rsidRDefault="00142353" w:rsidP="00142353">
      <w:pPr>
        <w:pStyle w:val="SmallLine"/>
      </w:pPr>
    </w:p>
    <w:p w:rsidR="00142353" w:rsidRPr="00D96B14" w:rsidRDefault="00142353" w:rsidP="00142353">
      <w:pPr>
        <w:pStyle w:val="CommentaryHeading"/>
        <w:pBdr>
          <w:bottom w:val="none" w:sz="0" w:space="0" w:color="auto"/>
        </w:pBdr>
      </w:pPr>
      <w:r w:rsidRPr="00D96B14">
        <w:t>Commentary – Accountable Officer sign</w:t>
      </w:r>
      <w:r w:rsidR="005A4BB0">
        <w:noBreakHyphen/>
      </w:r>
      <w:r w:rsidRPr="00D96B14">
        <w:t>off</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Legislative and documented references</w:t>
      </w:r>
    </w:p>
    <w:p w:rsidR="00142353" w:rsidRPr="00D96B14" w:rsidRDefault="00142353" w:rsidP="00142353">
      <w:pPr>
        <w:pStyle w:val="CommentaryText"/>
        <w:rPr>
          <w:b/>
          <w:bCs/>
          <w:noProof w:val="0"/>
        </w:r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spacing w:before="180"/>
        <w:rPr>
          <w:lang w:val="en-AU"/>
        </w:rPr>
      </w:pPr>
      <w:r w:rsidRPr="00D96B14">
        <w:rPr>
          <w:lang w:val="en-AU"/>
        </w:rPr>
        <w:lastRenderedPageBreak/>
        <w:t>SD4.2(j)</w:t>
      </w:r>
    </w:p>
    <w:p w:rsidR="00142353" w:rsidRPr="00D96B14" w:rsidRDefault="00142353" w:rsidP="00142353">
      <w:pPr>
        <w:pStyle w:val="CommentaryText"/>
        <w:pBdr>
          <w:top w:val="none" w:sz="0" w:space="0" w:color="auto"/>
        </w:pBdr>
        <w:rPr>
          <w:noProof w:val="0"/>
        </w:rPr>
      </w:pPr>
      <w:r w:rsidRPr="00D96B14">
        <w:rPr>
          <w:b/>
          <w:bCs/>
          <w:noProof w:val="0"/>
        </w:rPr>
        <w:br w:type="column"/>
      </w:r>
      <w:r w:rsidRPr="00D96B14">
        <w:rPr>
          <w:b/>
          <w:bCs/>
          <w:noProof w:val="0"/>
        </w:rPr>
        <w:lastRenderedPageBreak/>
        <w:t>SD 4.2(j)</w:t>
      </w:r>
      <w:r w:rsidRPr="00D96B14">
        <w:rPr>
          <w:noProof w:val="0"/>
        </w:rPr>
        <w:t xml:space="preserve"> requires the report of operations to be signed and dated by the Accountable Officer in the case of a government department or, in the case of any other public sector agency, a member of the Responsible Body.</w:t>
      </w:r>
    </w:p>
    <w:p w:rsidR="00142353" w:rsidRPr="00D96B14" w:rsidRDefault="00142353" w:rsidP="00142353">
      <w:pPr>
        <w:pStyle w:val="CommentaryHeading1"/>
        <w:pBdr>
          <w:top w:val="none" w:sz="0" w:space="0" w:color="auto"/>
        </w:pBdr>
        <w:rPr>
          <w:noProof w:val="0"/>
        </w:rPr>
      </w:pPr>
      <w:r w:rsidRPr="00D96B14">
        <w:rPr>
          <w:noProof w:val="0"/>
        </w:rPr>
        <w:t>Guidance</w:t>
      </w:r>
    </w:p>
    <w:p w:rsidR="00142353" w:rsidRPr="00D96B14" w:rsidRDefault="00142353" w:rsidP="00142353">
      <w:pPr>
        <w:pStyle w:val="CommentaryText"/>
        <w:pBdr>
          <w:top w:val="none" w:sz="0" w:space="0" w:color="auto"/>
        </w:pBdr>
        <w:rPr>
          <w:i/>
          <w:iCs/>
        </w:rPr>
      </w:pPr>
      <w:r w:rsidRPr="00D96B14">
        <w:t>The Accountable Officer sign</w:t>
      </w:r>
      <w:r w:rsidR="005A4BB0">
        <w:noBreakHyphen/>
      </w:r>
      <w:r w:rsidRPr="00D96B14">
        <w:t xml:space="preserve">off is usually the first item in the report of operations, and it formally presents the report in accordance with requirements in the </w:t>
      </w:r>
      <w:r w:rsidRPr="00D96B14">
        <w:rPr>
          <w:i/>
          <w:iCs/>
        </w:rPr>
        <w:t>Financial Management Act 1994</w:t>
      </w:r>
      <w:r w:rsidRPr="00D96B14">
        <w:rPr>
          <w:iCs/>
        </w:rPr>
        <w:t xml:space="preserve">. </w:t>
      </w:r>
    </w:p>
    <w:p w:rsidR="00142353" w:rsidRPr="00D96B14" w:rsidRDefault="00142353" w:rsidP="00142353">
      <w:pPr>
        <w:pStyle w:val="CommentaryText"/>
        <w:rPr>
          <w:i/>
          <w:iCs/>
        </w:r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SmallLine"/>
      </w:pPr>
      <w:r w:rsidRPr="00D96B14">
        <w:lastRenderedPageBreak/>
        <w:br w:type="page"/>
      </w:r>
      <w:r w:rsidRPr="00D96B14">
        <w:lastRenderedPageBreak/>
        <w:t>.</w:t>
      </w:r>
      <w:bookmarkStart w:id="52" w:name="_Toc219779088"/>
      <w:r w:rsidRPr="00D96B14">
        <w:t xml:space="preserve"> </w:t>
      </w:r>
    </w:p>
    <w:p w:rsidR="00142353" w:rsidRPr="00D96B14" w:rsidRDefault="00142353" w:rsidP="00142353">
      <w:pPr>
        <w:pStyle w:val="Heading2Blue"/>
        <w:rPr>
          <w:color w:val="auto"/>
        </w:rPr>
      </w:pPr>
      <w:r w:rsidRPr="00D96B14">
        <w:br w:type="column"/>
      </w:r>
      <w:bookmarkStart w:id="53" w:name="_Toc332019445"/>
      <w:bookmarkStart w:id="54" w:name="_Toc448493044"/>
      <w:r w:rsidRPr="00D96B14">
        <w:rPr>
          <w:color w:val="auto"/>
        </w:rPr>
        <w:lastRenderedPageBreak/>
        <w:t>Section 1: Year in review</w:t>
      </w:r>
      <w:bookmarkEnd w:id="52"/>
      <w:bookmarkEnd w:id="53"/>
      <w:bookmarkEnd w:id="54"/>
    </w:p>
    <w:p w:rsidR="00142353" w:rsidRPr="00D96B14" w:rsidRDefault="00142353" w:rsidP="00142353">
      <w:pPr>
        <w:pStyle w:val="SmallLine"/>
      </w:pPr>
    </w:p>
    <w:p w:rsidR="00142353" w:rsidRPr="00D96B14" w:rsidRDefault="00142353" w:rsidP="00142353">
      <w:pPr>
        <w:pStyle w:val="CommentaryHeading"/>
      </w:pPr>
      <w:r w:rsidRPr="00D96B14">
        <w:t>Commentary – Year in review (overview)</w:t>
      </w:r>
    </w:p>
    <w:p w:rsidR="00142353" w:rsidRPr="00D96B14" w:rsidRDefault="00142353" w:rsidP="00142353">
      <w:pPr>
        <w:pStyle w:val="SmallLineBlue"/>
      </w:pP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Legislative and documented references</w:t>
      </w:r>
    </w:p>
    <w:p w:rsidR="00142353" w:rsidRPr="00D96B14" w:rsidRDefault="00142353" w:rsidP="00142353">
      <w:pPr>
        <w:pStyle w:val="CommentaryHeading1"/>
        <w:rPr>
          <w:noProof w:val="0"/>
        </w:rPr>
        <w:sectPr w:rsidR="00142353" w:rsidRPr="00D96B14" w:rsidSect="00190A01">
          <w:headerReference w:type="even" r:id="rId5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Reference"/>
        <w:rPr>
          <w:lang w:val="en-AU"/>
        </w:rPr>
      </w:pPr>
      <w:r w:rsidRPr="00D96B14">
        <w:rPr>
          <w:lang w:val="en-AU"/>
        </w:rPr>
        <w:lastRenderedPageBreak/>
        <w:t>FRD 22G</w:t>
      </w: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r w:rsidRPr="00D96B14">
        <w:rPr>
          <w:lang w:val="en-AU"/>
        </w:rPr>
        <w:t>FRD 22G</w:t>
      </w:r>
    </w:p>
    <w:p w:rsidR="00142353" w:rsidRPr="00D96B14" w:rsidRDefault="00142353" w:rsidP="00142353">
      <w:pPr>
        <w:pStyle w:val="Reference"/>
      </w:pPr>
    </w:p>
    <w:p w:rsidR="00142353" w:rsidRPr="00D96B14" w:rsidRDefault="00142353" w:rsidP="00142353">
      <w:pPr>
        <w:pStyle w:val="CommentaryText"/>
        <w:pBdr>
          <w:top w:val="none" w:sz="0" w:space="0" w:color="auto"/>
        </w:pBdr>
        <w:rPr>
          <w:b/>
          <w:bCs/>
          <w:noProof w:val="0"/>
        </w:rPr>
      </w:pPr>
      <w:r w:rsidRPr="00D96B14">
        <w:rPr>
          <w:b/>
          <w:bCs/>
          <w:noProof w:val="0"/>
        </w:rPr>
        <w:br w:type="column"/>
      </w:r>
      <w:r w:rsidRPr="00D96B14">
        <w:rPr>
          <w:b/>
          <w:bCs/>
          <w:noProof w:val="0"/>
        </w:rPr>
        <w:lastRenderedPageBreak/>
        <w:t xml:space="preserve">FRD 22G </w:t>
      </w:r>
      <w:r w:rsidRPr="00D96B14">
        <w:rPr>
          <w:noProof w:val="0"/>
        </w:rPr>
        <w:t xml:space="preserve">states that the report of operations should include </w:t>
      </w:r>
      <w:r w:rsidR="005A4BB0">
        <w:rPr>
          <w:noProof w:val="0"/>
        </w:rPr>
        <w:t>‘</w:t>
      </w:r>
      <w:r w:rsidRPr="00D96B14">
        <w:rPr>
          <w:noProof w:val="0"/>
        </w:rPr>
        <w:t>purpose, functions, powers and duties of the entity</w:t>
      </w:r>
      <w:r w:rsidR="005A4BB0">
        <w:rPr>
          <w:noProof w:val="0"/>
        </w:rPr>
        <w:t>’</w:t>
      </w:r>
      <w:r w:rsidRPr="00D96B14">
        <w:rPr>
          <w:noProof w:val="0"/>
        </w:rPr>
        <w:t xml:space="preserve">. It goes on to state that </w:t>
      </w:r>
      <w:r w:rsidR="005A4BB0">
        <w:rPr>
          <w:noProof w:val="0"/>
        </w:rPr>
        <w:t>‘</w:t>
      </w:r>
      <w:r w:rsidRPr="00D96B14">
        <w:rPr>
          <w:noProof w:val="0"/>
        </w:rPr>
        <w:t>an entity</w:t>
      </w:r>
      <w:r w:rsidR="005A4BB0">
        <w:rPr>
          <w:noProof w:val="0"/>
        </w:rPr>
        <w:t>’</w:t>
      </w:r>
      <w:r w:rsidRPr="00D96B14">
        <w:rPr>
          <w:noProof w:val="0"/>
        </w:rPr>
        <w:t>s purpose, functions, powers and duties should be linked to a summary of its activities, programs and achievements for the reporting period</w:t>
      </w:r>
      <w:r w:rsidR="005A4BB0">
        <w:rPr>
          <w:noProof w:val="0"/>
        </w:rPr>
        <w:t>’</w:t>
      </w:r>
      <w:r w:rsidRPr="00D96B14">
        <w:rPr>
          <w:noProof w:val="0"/>
        </w:rPr>
        <w:t>.</w:t>
      </w:r>
    </w:p>
    <w:p w:rsidR="00142353" w:rsidRPr="00D96B14" w:rsidRDefault="00142353" w:rsidP="00142353">
      <w:pPr>
        <w:pStyle w:val="CommentaryText"/>
        <w:pBdr>
          <w:top w:val="none" w:sz="0" w:space="0" w:color="auto"/>
        </w:pBdr>
        <w:rPr>
          <w:noProof w:val="0"/>
        </w:rPr>
      </w:pPr>
      <w:r w:rsidRPr="00D96B14">
        <w:rPr>
          <w:noProof w:val="0"/>
        </w:rPr>
        <w:t>Under the Government</w:t>
      </w:r>
      <w:r w:rsidR="005A4BB0">
        <w:rPr>
          <w:noProof w:val="0"/>
        </w:rPr>
        <w:t>’</w:t>
      </w:r>
      <w:r w:rsidRPr="00D96B14">
        <w:rPr>
          <w:noProof w:val="0"/>
        </w:rPr>
        <w:t>s performance management system, the department</w:t>
      </w:r>
      <w:r w:rsidR="005A4BB0">
        <w:rPr>
          <w:noProof w:val="0"/>
        </w:rPr>
        <w:t>’</w:t>
      </w:r>
      <w:r w:rsidRPr="00D96B14">
        <w:rPr>
          <w:noProof w:val="0"/>
        </w:rPr>
        <w:t>s medium</w:t>
      </w:r>
      <w:r w:rsidR="005A4BB0">
        <w:rPr>
          <w:noProof w:val="0"/>
        </w:rPr>
        <w:noBreakHyphen/>
      </w:r>
      <w:r w:rsidRPr="00D96B14">
        <w:rPr>
          <w:noProof w:val="0"/>
        </w:rPr>
        <w:t xml:space="preserve">term departmental objectives should clearly align with its key </w:t>
      </w:r>
      <w:r w:rsidR="005A4BB0">
        <w:rPr>
          <w:noProof w:val="0"/>
        </w:rPr>
        <w:t>‘</w:t>
      </w:r>
      <w:r w:rsidRPr="00D96B14">
        <w:rPr>
          <w:noProof w:val="0"/>
        </w:rPr>
        <w:t>purpose, functions, powers and duties</w:t>
      </w:r>
      <w:r w:rsidR="005A4BB0">
        <w:rPr>
          <w:noProof w:val="0"/>
        </w:rPr>
        <w:t>’</w:t>
      </w:r>
      <w:r w:rsidRPr="00D96B14">
        <w:rPr>
          <w:noProof w:val="0"/>
        </w:rPr>
        <w:t>. Goods and services (outputs) funded by the Government and delivered in a financial year should support the achievement of departmental objectives over time. The effectiveness of a department in delivering on its objectives will be assessed through the reporting of objective indicators.</w:t>
      </w:r>
    </w:p>
    <w:p w:rsidR="00142353" w:rsidRPr="00D96B14" w:rsidRDefault="00142353" w:rsidP="00142353">
      <w:pPr>
        <w:pStyle w:val="CommentaryText"/>
        <w:pBdr>
          <w:top w:val="none" w:sz="0" w:space="0" w:color="auto"/>
        </w:pBdr>
        <w:rPr>
          <w:noProof w:val="0"/>
        </w:rPr>
      </w:pPr>
      <w:r w:rsidRPr="00D96B14">
        <w:rPr>
          <w:noProof w:val="0"/>
        </w:rPr>
        <w:t>In addition, FRD 22G</w:t>
      </w:r>
      <w:r w:rsidRPr="00D96B14">
        <w:rPr>
          <w:b/>
          <w:bCs/>
          <w:noProof w:val="0"/>
        </w:rPr>
        <w:t xml:space="preserve"> </w:t>
      </w:r>
      <w:r w:rsidRPr="00D96B14">
        <w:rPr>
          <w:noProof w:val="0"/>
        </w:rPr>
        <w:t xml:space="preserve">requires that the manner of establishment of the entity and relevant ministers be included, as well as the nature and range of services provided, including the communities served. </w:t>
      </w:r>
    </w:p>
    <w:p w:rsidR="00142353" w:rsidRPr="00D96B14" w:rsidRDefault="00142353" w:rsidP="00142353">
      <w:pPr>
        <w:pStyle w:val="CommentaryHeading1"/>
        <w:pBdr>
          <w:top w:val="none" w:sz="0" w:space="0" w:color="auto"/>
        </w:pBdr>
        <w:rPr>
          <w:noProof w:val="0"/>
        </w:rPr>
      </w:pPr>
      <w:r w:rsidRPr="00D96B14">
        <w:rPr>
          <w:noProof w:val="0"/>
        </w:rPr>
        <w:t>Guidance</w:t>
      </w:r>
    </w:p>
    <w:p w:rsidR="00142353" w:rsidRPr="00D96B14" w:rsidRDefault="00142353" w:rsidP="00142353">
      <w:pPr>
        <w:pStyle w:val="CommentaryText"/>
        <w:pBdr>
          <w:top w:val="none" w:sz="0" w:space="0" w:color="auto"/>
        </w:pBdr>
        <w:rPr>
          <w:noProof w:val="0"/>
        </w:rPr>
      </w:pPr>
      <w:r w:rsidRPr="00D96B14">
        <w:rPr>
          <w:noProof w:val="0"/>
        </w:rPr>
        <w:t>The year in review section is the opening section of a department</w:t>
      </w:r>
      <w:r w:rsidR="005A4BB0">
        <w:rPr>
          <w:noProof w:val="0"/>
        </w:rPr>
        <w:t>’</w:t>
      </w:r>
      <w:r w:rsidRPr="00D96B14">
        <w:rPr>
          <w:noProof w:val="0"/>
        </w:rPr>
        <w:t>s annual report. The introduction should clearly articulate the department</w:t>
      </w:r>
      <w:r w:rsidR="005A4BB0">
        <w:rPr>
          <w:noProof w:val="0"/>
        </w:rPr>
        <w:t>’</w:t>
      </w:r>
      <w:r w:rsidRPr="00D96B14">
        <w:rPr>
          <w:noProof w:val="0"/>
        </w:rPr>
        <w:t>s vision, mission, values, high level purpose, strategic priorities and key achievements.</w:t>
      </w:r>
    </w:p>
    <w:p w:rsidR="00142353" w:rsidRPr="00D96B14" w:rsidRDefault="00142353" w:rsidP="00142353">
      <w:pPr>
        <w:pStyle w:val="CommentaryText"/>
        <w:pBdr>
          <w:top w:val="none" w:sz="0" w:space="0" w:color="auto"/>
        </w:pBdr>
        <w:rPr>
          <w:noProof w:val="0"/>
        </w:rPr>
      </w:pPr>
      <w:r w:rsidRPr="00D96B14">
        <w:t xml:space="preserve">Reference should be made to the </w:t>
      </w:r>
      <w:r w:rsidRPr="00D96B14">
        <w:rPr>
          <w:i/>
        </w:rPr>
        <w:t>progress towards achieving departmental objectives, performance against output performance measures</w:t>
      </w:r>
      <w:r w:rsidRPr="00D96B14">
        <w:t xml:space="preserve"> and </w:t>
      </w:r>
      <w:r w:rsidRPr="00D96B14">
        <w:rPr>
          <w:i/>
        </w:rPr>
        <w:t>financial review</w:t>
      </w:r>
      <w:r w:rsidRPr="00D96B14">
        <w:t xml:space="preserve"> sections when commenting on how the department has achieved its targets. This section should also include the Secretary</w:t>
      </w:r>
      <w:r w:rsidR="005A4BB0">
        <w:t>’</w:t>
      </w:r>
      <w:r w:rsidRPr="00D96B14">
        <w:t>s report, which outlines the achievements by the department for the year and a reference to the aims of the department for the year ahead.</w:t>
      </w:r>
    </w:p>
    <w:p w:rsidR="00142353" w:rsidRPr="00D96B14" w:rsidRDefault="00142353" w:rsidP="00142353">
      <w:pPr>
        <w:pStyle w:val="Heading3"/>
      </w:pPr>
      <w:r w:rsidRPr="00D96B14">
        <w:t>Our vision</w:t>
      </w:r>
    </w:p>
    <w:p w:rsidR="00142353" w:rsidRPr="00D96B14" w:rsidRDefault="00142353" w:rsidP="00142353">
      <w:pPr>
        <w:spacing w:before="100"/>
      </w:pPr>
      <w:r w:rsidRPr="00D96B14">
        <w:t>The department</w:t>
      </w:r>
      <w:r w:rsidR="005A4BB0">
        <w:t>’</w:t>
      </w:r>
      <w:r w:rsidRPr="00D96B14">
        <w:t xml:space="preserve">s vision is for Victoria to be recognised as the highest performing, most innovative and trusted technological state in Australia. </w:t>
      </w:r>
    </w:p>
    <w:p w:rsidR="00142353" w:rsidRPr="00D96B14" w:rsidRDefault="00142353" w:rsidP="00142353">
      <w:pPr>
        <w:pStyle w:val="Heading3"/>
      </w:pPr>
      <w:r w:rsidRPr="00D96B14">
        <w:t>Our mission</w:t>
      </w:r>
    </w:p>
    <w:p w:rsidR="00142353" w:rsidRPr="00D96B14" w:rsidRDefault="00142353" w:rsidP="00142353">
      <w:pPr>
        <w:spacing w:before="100"/>
      </w:pPr>
      <w:r w:rsidRPr="00D96B14">
        <w:t>As a first point of call for public sector technological improvement, to proactively lead and engage the Victorian public sector in continually improving services, standards, governance and workforce development.</w:t>
      </w:r>
    </w:p>
    <w:p w:rsidR="00142353" w:rsidRPr="00D96B14" w:rsidRDefault="00142353" w:rsidP="00142353">
      <w:pPr>
        <w:pStyle w:val="Heading3"/>
      </w:pPr>
      <w:r w:rsidRPr="00D96B14">
        <w:t>Our values</w:t>
      </w:r>
    </w:p>
    <w:p w:rsidR="00142353" w:rsidRPr="00D96B14" w:rsidRDefault="00142353" w:rsidP="00142353">
      <w:pPr>
        <w:spacing w:before="100"/>
      </w:pPr>
      <w:r w:rsidRPr="00D96B14">
        <w:rPr>
          <w:b/>
          <w:bCs/>
        </w:rPr>
        <w:t>Be open:</w:t>
      </w:r>
      <w:r w:rsidRPr="00D96B14">
        <w:t xml:space="preserve"> Listen to and consider our people</w:t>
      </w:r>
      <w:r w:rsidR="005A4BB0">
        <w:t>’</w:t>
      </w:r>
      <w:r w:rsidRPr="00D96B14">
        <w:t>s views. Provide accurate and objective information. Use plain and clear language.</w:t>
      </w:r>
    </w:p>
    <w:p w:rsidR="00142353" w:rsidRPr="00D96B14" w:rsidRDefault="00142353" w:rsidP="00142353">
      <w:pPr>
        <w:spacing w:before="100"/>
      </w:pPr>
      <w:r w:rsidRPr="00D96B14">
        <w:rPr>
          <w:b/>
          <w:bCs/>
        </w:rPr>
        <w:t>Work together:</w:t>
      </w:r>
      <w:r w:rsidRPr="00D96B14">
        <w:t xml:space="preserve"> Demonstrate effective team behaviours. Collaborate across and outside Department of Technology to achieve desired outcomes. Value the contributions of teams as a whole.</w:t>
      </w:r>
    </w:p>
    <w:p w:rsidR="00142353" w:rsidRPr="00D96B14" w:rsidRDefault="00142353" w:rsidP="00142353">
      <w:pPr>
        <w:spacing w:before="100"/>
      </w:pPr>
      <w:r w:rsidRPr="00D96B14">
        <w:rPr>
          <w:b/>
          <w:bCs/>
        </w:rPr>
        <w:t>Respect others:</w:t>
      </w:r>
      <w:r w:rsidRPr="00D96B14">
        <w:t xml:space="preserve"> Treat others as we would like to be treated. Make intelligent use of the range of knowledge and skills held by our people. Apply work practices effectively to our people.</w:t>
      </w:r>
    </w:p>
    <w:p w:rsidR="00142353" w:rsidRPr="00D96B14" w:rsidRDefault="00142353" w:rsidP="00142353">
      <w:pPr>
        <w:spacing w:before="100"/>
      </w:pPr>
      <w:r w:rsidRPr="00D96B14">
        <w:rPr>
          <w:b/>
          <w:bCs/>
        </w:rPr>
        <w:t>Make a difference:</w:t>
      </w:r>
      <w:r w:rsidRPr="00D96B14">
        <w:t xml:space="preserve"> Strive to achieve outcomes which make a difference. Plan how best to achieve desired outcomes. Measure our impact and apply learning from evaluations to future actions.</w:t>
      </w:r>
    </w:p>
    <w:p w:rsidR="00142353" w:rsidRPr="00D96B14" w:rsidRDefault="00142353" w:rsidP="00142353">
      <w:pPr>
        <w:spacing w:before="100"/>
      </w:pPr>
      <w:r w:rsidRPr="00D96B14">
        <w:rPr>
          <w:b/>
          <w:bCs/>
        </w:rPr>
        <w:t>Lead with purpose:</w:t>
      </w:r>
      <w:r w:rsidRPr="00D96B14">
        <w:t xml:space="preserve"> Provide a clear direction for the people we lead. Help people get their jobs done. Set an example by our actions.</w:t>
      </w:r>
    </w:p>
    <w:p w:rsidR="00142353" w:rsidRPr="00D96B14" w:rsidRDefault="00142353" w:rsidP="00142353">
      <w:pPr>
        <w:rPr>
          <w:rFonts w:cs="Arial Bold"/>
        </w:rPr>
      </w:pPr>
      <w:r w:rsidRPr="00D96B14">
        <w:br w:type="page"/>
      </w:r>
      <w:r w:rsidRPr="00D96B14">
        <w:lastRenderedPageBreak/>
        <w:br w:type="column"/>
      </w:r>
      <w:r w:rsidRPr="00D96B14">
        <w:rPr>
          <w:b/>
        </w:rPr>
        <w:lastRenderedPageBreak/>
        <w:t>Focus on safety:</w:t>
      </w:r>
      <w:r w:rsidRPr="00D96B14">
        <w:t xml:space="preserve"> Be aware of safety requirements, potential hazards and procedures in the work area. Take action to minimise or eliminate hazards. Be mindful of potential health and safety risks in all decision making.</w:t>
      </w:r>
    </w:p>
    <w:p w:rsidR="00142353" w:rsidRPr="00D96B14" w:rsidRDefault="00142353" w:rsidP="00142353">
      <w:pPr>
        <w:pStyle w:val="Heading2"/>
      </w:pPr>
      <w:r w:rsidRPr="00D96B14">
        <w:t>Secretary</w:t>
      </w:r>
      <w:r w:rsidR="005A4BB0">
        <w:t>’</w:t>
      </w:r>
      <w:r w:rsidRPr="00D96B14">
        <w:t xml:space="preserve">s report </w:t>
      </w:r>
    </w:p>
    <w:p w:rsidR="00142353" w:rsidRPr="00D96B14" w:rsidRDefault="00142353" w:rsidP="00142353">
      <w:pPr>
        <w:pStyle w:val="NormalBlue"/>
      </w:pPr>
      <w:r w:rsidRPr="00D96B14">
        <w:t xml:space="preserve">[Useful guidance regarding appropriate content can be found in the </w:t>
      </w:r>
      <w:r w:rsidR="005A4BB0">
        <w:t>‘</w:t>
      </w:r>
      <w:r w:rsidRPr="00D96B14">
        <w:t>Year in review</w:t>
      </w:r>
      <w:r w:rsidR="005A4BB0">
        <w:t>’</w:t>
      </w:r>
      <w:r w:rsidRPr="00D96B14">
        <w:t xml:space="preserve"> commentary.]</w:t>
      </w:r>
    </w:p>
    <w:p w:rsidR="00142353" w:rsidRPr="00D96B14" w:rsidRDefault="00142353" w:rsidP="00142353"/>
    <w:p w:rsidR="00142353" w:rsidRPr="00D96B14" w:rsidRDefault="00142353" w:rsidP="00142353">
      <w:pPr>
        <w:pStyle w:val="NormalBlue"/>
      </w:pPr>
      <w:r w:rsidRPr="00D96B14">
        <w:t>[Signature is optional]</w:t>
      </w:r>
    </w:p>
    <w:p w:rsidR="00142353" w:rsidRPr="00D96B14" w:rsidRDefault="00142353" w:rsidP="00142353">
      <w:r w:rsidRPr="00D96B14">
        <w:t>Jane Smith</w:t>
      </w:r>
      <w:r w:rsidRPr="00D96B14">
        <w:br/>
        <w:t>Secretary</w:t>
      </w:r>
    </w:p>
    <w:p w:rsidR="00142353" w:rsidRPr="00D96B14" w:rsidRDefault="00142353" w:rsidP="00142353"/>
    <w:p w:rsidR="00142353" w:rsidRPr="00D96B14" w:rsidRDefault="00142353" w:rsidP="00142353">
      <w:pPr>
        <w:sectPr w:rsidR="00142353" w:rsidRPr="00D96B14" w:rsidSect="00190A01">
          <w:headerReference w:type="even" r:id="rId52"/>
          <w:headerReference w:type="default" r:id="rId53"/>
          <w:footerReference w:type="default" r:id="rId54"/>
          <w:headerReference w:type="first" r:id="rId55"/>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SmallLine"/>
      </w:pPr>
    </w:p>
    <w:p w:rsidR="00142353" w:rsidRPr="00D96B14" w:rsidRDefault="00142353" w:rsidP="00142353">
      <w:pPr>
        <w:pStyle w:val="Reference"/>
        <w:spacing w:before="40"/>
      </w:pPr>
      <w:r w:rsidRPr="00D96B14">
        <w:t xml:space="preserve">FRD 22G </w:t>
      </w:r>
    </w:p>
    <w:p w:rsidR="00142353" w:rsidRPr="00D96B14" w:rsidRDefault="00142353" w:rsidP="00142353">
      <w:pPr>
        <w:pStyle w:val="Heading2"/>
      </w:pPr>
      <w:r w:rsidRPr="00D96B14">
        <w:t xml:space="preserve"> </w:t>
      </w:r>
      <w:r w:rsidRPr="00D96B14">
        <w:br w:type="column"/>
      </w:r>
      <w:bookmarkStart w:id="55" w:name="_Toc219779090"/>
      <w:r w:rsidRPr="00D96B14">
        <w:lastRenderedPageBreak/>
        <w:t>Purpose and functions</w:t>
      </w:r>
      <w:bookmarkEnd w:id="55"/>
      <w:r w:rsidRPr="00D96B14">
        <w:t xml:space="preserve"> </w:t>
      </w:r>
    </w:p>
    <w:p w:rsidR="00142353" w:rsidRPr="00D96B14" w:rsidRDefault="00142353" w:rsidP="00142353">
      <w:r w:rsidRPr="00D96B14">
        <w:t>The Department of Technology (</w:t>
      </w:r>
      <w:r w:rsidR="005A4BB0">
        <w:t>‘</w:t>
      </w:r>
      <w:r w:rsidRPr="00D96B14">
        <w:t>the Department</w:t>
      </w:r>
      <w:r w:rsidR="005A4BB0">
        <w:t>’</w:t>
      </w:r>
      <w:r w:rsidRPr="00D96B14">
        <w:t>) was established in 1998 to centralise and focus strategic policy advice to the Government and the Victorian community in regards to the adoption of new technology. With the establishment of the Department, the Government was able to centralise its research and development efforts, particularly research and development activities in respect of biological technology, and the provision of information technology and telecommunication (IT&amp;T) activities to other government departments. The Department is now recognised as a leading edge provider of technical and strategic advice and support on technology and IT&amp;T issues.</w:t>
      </w:r>
    </w:p>
    <w:p w:rsidR="00142353" w:rsidRPr="00D96B14" w:rsidRDefault="00142353" w:rsidP="00142353">
      <w:r w:rsidRPr="00D96B14">
        <w:t>The Department</w:t>
      </w:r>
      <w:r w:rsidR="005A4BB0">
        <w:t>’</w:t>
      </w:r>
      <w:r w:rsidRPr="00D96B14">
        <w:t>s function is to ensure that the Government and the general Victorian community obtain the benefits of technology, including biological technology, so as to enhance the economic and social prosperity of the community. As a central government agency, the Department plays an important role in advising the Government on technology issues and the provision of technological services for the community.</w:t>
      </w:r>
    </w:p>
    <w:p w:rsidR="00142353" w:rsidRPr="00D96B14" w:rsidRDefault="00142353" w:rsidP="00142353">
      <w:pPr>
        <w:pStyle w:val="Heading2"/>
      </w:pPr>
      <w:r w:rsidRPr="00D96B14">
        <w:t>Changes to the Department during 2015</w:t>
      </w:r>
      <w:r w:rsidR="005A4BB0">
        <w:noBreakHyphen/>
      </w:r>
      <w:r w:rsidRPr="00D96B14">
        <w:t>16</w:t>
      </w:r>
    </w:p>
    <w:p w:rsidR="00142353" w:rsidRPr="00D96B14" w:rsidRDefault="00142353" w:rsidP="00142353">
      <w:pPr>
        <w:pStyle w:val="SmallLine"/>
      </w:pPr>
    </w:p>
    <w:tbl>
      <w:tblPr>
        <w:tblW w:w="8235" w:type="dxa"/>
        <w:tblInd w:w="43" w:type="dxa"/>
        <w:tblBorders>
          <w:top w:val="single" w:sz="12" w:space="0" w:color="auto"/>
          <w:bottom w:val="single" w:sz="12" w:space="0" w:color="auto"/>
          <w:insideH w:val="single" w:sz="6" w:space="0" w:color="auto"/>
        </w:tblBorders>
        <w:tblLayout w:type="fixed"/>
        <w:tblCellMar>
          <w:left w:w="43" w:type="dxa"/>
          <w:right w:w="43" w:type="dxa"/>
        </w:tblCellMar>
        <w:tblLook w:val="01E0" w:firstRow="1" w:lastRow="1" w:firstColumn="1" w:lastColumn="1" w:noHBand="0" w:noVBand="0"/>
      </w:tblPr>
      <w:tblGrid>
        <w:gridCol w:w="2842"/>
        <w:gridCol w:w="2842"/>
        <w:gridCol w:w="2551"/>
      </w:tblGrid>
      <w:tr w:rsidR="00142353" w:rsidRPr="00D96B14" w:rsidTr="004843DB">
        <w:trPr>
          <w:cantSplit/>
        </w:trPr>
        <w:tc>
          <w:tcPr>
            <w:tcW w:w="2842" w:type="dxa"/>
            <w:vAlign w:val="bottom"/>
          </w:tcPr>
          <w:p w:rsidR="00142353" w:rsidRPr="00D96B14" w:rsidRDefault="00142353" w:rsidP="004843DB">
            <w:pPr>
              <w:pStyle w:val="Tabletextheading"/>
              <w:jc w:val="left"/>
            </w:pPr>
            <w:r w:rsidRPr="00D96B14">
              <w:t>2015</w:t>
            </w:r>
            <w:r w:rsidR="005A4BB0">
              <w:noBreakHyphen/>
            </w:r>
            <w:r w:rsidRPr="00D96B14">
              <w:t>16 departmental objective</w:t>
            </w:r>
          </w:p>
        </w:tc>
        <w:tc>
          <w:tcPr>
            <w:tcW w:w="2842" w:type="dxa"/>
            <w:vAlign w:val="bottom"/>
          </w:tcPr>
          <w:p w:rsidR="00142353" w:rsidRPr="00D96B14" w:rsidRDefault="00142353" w:rsidP="004843DB">
            <w:pPr>
              <w:pStyle w:val="Tabletextheading"/>
              <w:jc w:val="left"/>
            </w:pPr>
            <w:r w:rsidRPr="00D96B14">
              <w:t>2015</w:t>
            </w:r>
            <w:r w:rsidR="005A4BB0">
              <w:noBreakHyphen/>
            </w:r>
            <w:r w:rsidRPr="00D96B14">
              <w:t>16 output</w:t>
            </w:r>
          </w:p>
        </w:tc>
        <w:tc>
          <w:tcPr>
            <w:tcW w:w="2551" w:type="dxa"/>
            <w:vAlign w:val="bottom"/>
          </w:tcPr>
          <w:p w:rsidR="00142353" w:rsidRPr="00D96B14" w:rsidRDefault="00142353" w:rsidP="004843DB">
            <w:pPr>
              <w:pStyle w:val="Tabletextheading"/>
              <w:jc w:val="left"/>
            </w:pPr>
            <w:r w:rsidRPr="00D96B14">
              <w:t>Reason for change</w:t>
            </w:r>
          </w:p>
        </w:tc>
      </w:tr>
      <w:tr w:rsidR="00142353" w:rsidRPr="00D96B14" w:rsidTr="004843DB">
        <w:trPr>
          <w:cantSplit/>
        </w:trPr>
        <w:tc>
          <w:tcPr>
            <w:tcW w:w="2842" w:type="dxa"/>
          </w:tcPr>
          <w:p w:rsidR="00142353" w:rsidRPr="00D96B14" w:rsidRDefault="00142353" w:rsidP="004843DB">
            <w:pPr>
              <w:pStyle w:val="Tabletext"/>
            </w:pPr>
            <w:r w:rsidRPr="00D96B14">
              <w:t>Improve the quality of life of Victorians through eradicating certain diseases and enhancing nutrition</w:t>
            </w:r>
          </w:p>
        </w:tc>
        <w:tc>
          <w:tcPr>
            <w:tcW w:w="2842" w:type="dxa"/>
          </w:tcPr>
          <w:p w:rsidR="00142353" w:rsidRPr="00D96B14" w:rsidRDefault="00142353" w:rsidP="004843DB">
            <w:pPr>
              <w:pStyle w:val="Tabletext"/>
            </w:pPr>
            <w:r w:rsidRPr="00D96B14">
              <w:t>Research and development of biological technology</w:t>
            </w:r>
          </w:p>
        </w:tc>
        <w:tc>
          <w:tcPr>
            <w:tcW w:w="2551" w:type="dxa"/>
          </w:tcPr>
          <w:p w:rsidR="00142353" w:rsidRPr="00D96B14" w:rsidRDefault="00142353" w:rsidP="004843DB">
            <w:pPr>
              <w:pStyle w:val="Tabletext"/>
            </w:pPr>
            <w:r w:rsidRPr="00D96B14">
              <w:t>New departmental objective and associated output resulting from machinery of government administrative restructure – 2 August 2015.</w:t>
            </w:r>
          </w:p>
        </w:tc>
      </w:tr>
    </w:tbl>
    <w:p w:rsidR="00142353" w:rsidRPr="00D96B14" w:rsidRDefault="00142353" w:rsidP="00142353"/>
    <w:tbl>
      <w:tblPr>
        <w:tblW w:w="8235" w:type="dxa"/>
        <w:tblInd w:w="43" w:type="dxa"/>
        <w:tblBorders>
          <w:top w:val="single" w:sz="12" w:space="0" w:color="auto"/>
          <w:bottom w:val="single" w:sz="12" w:space="0" w:color="auto"/>
          <w:insideH w:val="single" w:sz="6" w:space="0" w:color="auto"/>
        </w:tblBorders>
        <w:tblLayout w:type="fixed"/>
        <w:tblCellMar>
          <w:left w:w="43" w:type="dxa"/>
          <w:right w:w="43" w:type="dxa"/>
        </w:tblCellMar>
        <w:tblLook w:val="01E0" w:firstRow="1" w:lastRow="1" w:firstColumn="1" w:lastColumn="1" w:noHBand="0" w:noVBand="0"/>
      </w:tblPr>
      <w:tblGrid>
        <w:gridCol w:w="2842"/>
        <w:gridCol w:w="2842"/>
        <w:gridCol w:w="2551"/>
      </w:tblGrid>
      <w:tr w:rsidR="00142353" w:rsidRPr="00D96B14" w:rsidTr="004843DB">
        <w:trPr>
          <w:cantSplit/>
        </w:trPr>
        <w:tc>
          <w:tcPr>
            <w:tcW w:w="2842" w:type="dxa"/>
            <w:vAlign w:val="bottom"/>
          </w:tcPr>
          <w:p w:rsidR="00142353" w:rsidRPr="00D96B14" w:rsidRDefault="00142353" w:rsidP="004843DB">
            <w:pPr>
              <w:pStyle w:val="Tabletextheading"/>
              <w:jc w:val="left"/>
            </w:pPr>
            <w:r w:rsidRPr="00D96B14">
              <w:t>2014</w:t>
            </w:r>
            <w:r w:rsidR="005A4BB0">
              <w:noBreakHyphen/>
            </w:r>
            <w:r w:rsidRPr="00D96B14">
              <w:t>15 departmental objective</w:t>
            </w:r>
          </w:p>
        </w:tc>
        <w:tc>
          <w:tcPr>
            <w:tcW w:w="2842" w:type="dxa"/>
            <w:vAlign w:val="bottom"/>
          </w:tcPr>
          <w:p w:rsidR="00142353" w:rsidRPr="00D96B14" w:rsidRDefault="00142353" w:rsidP="004843DB">
            <w:pPr>
              <w:pStyle w:val="Tabletextheading"/>
              <w:jc w:val="left"/>
            </w:pPr>
            <w:r w:rsidRPr="00D96B14">
              <w:t>2014</w:t>
            </w:r>
            <w:r w:rsidR="005A4BB0">
              <w:noBreakHyphen/>
            </w:r>
            <w:r w:rsidRPr="00D96B14">
              <w:t>15 output</w:t>
            </w:r>
          </w:p>
        </w:tc>
        <w:tc>
          <w:tcPr>
            <w:tcW w:w="2551" w:type="dxa"/>
            <w:vAlign w:val="bottom"/>
          </w:tcPr>
          <w:p w:rsidR="00142353" w:rsidRPr="00D96B14" w:rsidRDefault="00142353" w:rsidP="004843DB">
            <w:pPr>
              <w:pStyle w:val="Tabletextheading"/>
              <w:jc w:val="left"/>
            </w:pPr>
            <w:r w:rsidRPr="00D96B14">
              <w:t>Reason for change</w:t>
            </w:r>
          </w:p>
        </w:tc>
      </w:tr>
      <w:tr w:rsidR="00142353" w:rsidRPr="00D96B14" w:rsidTr="004843DB">
        <w:trPr>
          <w:cantSplit/>
        </w:trPr>
        <w:tc>
          <w:tcPr>
            <w:tcW w:w="2842" w:type="dxa"/>
          </w:tcPr>
          <w:p w:rsidR="00142353" w:rsidRPr="00D96B14" w:rsidRDefault="00142353" w:rsidP="004843DB">
            <w:pPr>
              <w:pStyle w:val="Tabletextblue"/>
              <w:rPr>
                <w:i/>
              </w:rPr>
            </w:pPr>
            <w:r w:rsidRPr="00D96B14">
              <w:rPr>
                <w:i/>
              </w:rPr>
              <w:t>[Insert 2014</w:t>
            </w:r>
            <w:r w:rsidR="005A4BB0">
              <w:rPr>
                <w:i/>
              </w:rPr>
              <w:noBreakHyphen/>
            </w:r>
            <w:r w:rsidRPr="00D96B14">
              <w:rPr>
                <w:i/>
              </w:rPr>
              <w:t>15 departmental objective if different from current year]</w:t>
            </w:r>
          </w:p>
        </w:tc>
        <w:tc>
          <w:tcPr>
            <w:tcW w:w="2842" w:type="dxa"/>
          </w:tcPr>
          <w:p w:rsidR="00142353" w:rsidRPr="00D96B14" w:rsidRDefault="00142353" w:rsidP="004843DB">
            <w:pPr>
              <w:pStyle w:val="Tabletext"/>
            </w:pPr>
            <w:r w:rsidRPr="00D96B14">
              <w:t>New technology administration</w:t>
            </w:r>
          </w:p>
        </w:tc>
        <w:tc>
          <w:tcPr>
            <w:tcW w:w="2551" w:type="dxa"/>
          </w:tcPr>
          <w:p w:rsidR="00142353" w:rsidRPr="00D96B14" w:rsidRDefault="00142353" w:rsidP="004843DB">
            <w:pPr>
              <w:pStyle w:val="Tabletext"/>
            </w:pPr>
            <w:r w:rsidRPr="00D96B14">
              <w:t>Transferred departmental objective and associated output resulting from machinery of government administrative restructure – 2 August 2015.</w:t>
            </w:r>
          </w:p>
        </w:tc>
      </w:tr>
    </w:tbl>
    <w:p w:rsidR="00142353" w:rsidRPr="00D96B14" w:rsidRDefault="00142353" w:rsidP="00142353"/>
    <w:p w:rsidR="00142353" w:rsidRPr="00D96B14" w:rsidRDefault="00142353" w:rsidP="00142353">
      <w:r w:rsidRPr="00D96B14">
        <w:t xml:space="preserve">As a consequence of policy decisions announced by the Government on 2 August 2015, changes were made to the departmental objectives and output structure of the Department during the financial year. </w:t>
      </w:r>
    </w:p>
    <w:p w:rsidR="00142353" w:rsidRPr="00D96B14" w:rsidRDefault="00142353" w:rsidP="00142353">
      <w:r w:rsidRPr="00D96B14">
        <w:t>This report of operations presents the progress made by the Department towards achieving its departmental objectives and full year performance of the outputs, received through the administrative restructure, for which the Department was responsible at the end of the financial year. Correspondingly, the departmental objective and full year performance of the output transferred to another department is reported in the transferee department</w:t>
      </w:r>
      <w:r w:rsidR="005A4BB0">
        <w:t>’</w:t>
      </w:r>
      <w:r w:rsidRPr="00D96B14">
        <w:t xml:space="preserve">s report of </w:t>
      </w:r>
      <w:r w:rsidRPr="00D96B14">
        <w:br w:type="page"/>
      </w:r>
    </w:p>
    <w:p w:rsidR="00142353" w:rsidRPr="00D96B14" w:rsidRDefault="00142353" w:rsidP="00142353">
      <w:r w:rsidRPr="00D96B14">
        <w:lastRenderedPageBreak/>
        <w:br w:type="column"/>
      </w:r>
      <w:r w:rsidRPr="00D96B14">
        <w:lastRenderedPageBreak/>
        <w:t xml:space="preserve">operations. However, it is the responsibility of the transferor to ensure that all financial accounts and reports of the transferred outputs were kept and provided for the purposes of the </w:t>
      </w:r>
      <w:r w:rsidRPr="00D96B14">
        <w:rPr>
          <w:i/>
          <w:iCs/>
        </w:rPr>
        <w:t>Financial Management Act 1994</w:t>
      </w:r>
      <w:r w:rsidRPr="00D96B14">
        <w:t xml:space="preserve"> until 31 August 2015. </w:t>
      </w:r>
    </w:p>
    <w:p w:rsidR="00142353" w:rsidRPr="00D96B14" w:rsidRDefault="00142353" w:rsidP="00142353">
      <w:pPr>
        <w:spacing w:after="120"/>
        <w:rPr>
          <w:i/>
          <w:iCs/>
        </w:rPr>
      </w:pPr>
      <w:r w:rsidRPr="00D96B14">
        <w:rPr>
          <w:i/>
          <w:iCs/>
          <w:color w:val="0000FF"/>
        </w:rPr>
        <w:t>[Departments should also outline changes to departmental objectives and output structure as a result of an internal review of its medium</w:t>
      </w:r>
      <w:r w:rsidR="005A4BB0">
        <w:rPr>
          <w:i/>
          <w:iCs/>
          <w:color w:val="0000FF"/>
        </w:rPr>
        <w:noBreakHyphen/>
      </w:r>
      <w:r w:rsidRPr="00D96B14">
        <w:rPr>
          <w:i/>
          <w:iCs/>
          <w:color w:val="0000FF"/>
        </w:rPr>
        <w:t>term objectives and output structure as part of this disclosure.]</w:t>
      </w:r>
    </w:p>
    <w:p w:rsidR="00142353" w:rsidRPr="00D96B14" w:rsidRDefault="00142353" w:rsidP="00142353">
      <w:r w:rsidRPr="00D96B14">
        <w:t xml:space="preserve">As part of the administrative restructure, the Department is now responsible for achieving the departmental objective of improving the quality of life of Victorians through eradicating certain diseases and enhancing nutrition by delivering services associated with the output </w:t>
      </w:r>
      <w:r w:rsidRPr="00D96B14">
        <w:rPr>
          <w:iCs/>
        </w:rPr>
        <w:t>Research and Development of Biological Technology</w:t>
      </w:r>
      <w:r w:rsidRPr="00D96B14">
        <w:t xml:space="preserve">. Responsibility for this objective and output was previously held by the Department of Natural Resources. All output performance measures are now reported by the Department for the full financial year. </w:t>
      </w:r>
    </w:p>
    <w:p w:rsidR="00142353" w:rsidRPr="00D96B14" w:rsidRDefault="00142353" w:rsidP="00142353">
      <w:r w:rsidRPr="00D96B14">
        <w:t xml:space="preserve">The Department was previously also responsible for achieving </w:t>
      </w:r>
      <w:r w:rsidRPr="00D96B14">
        <w:rPr>
          <w:color w:val="0070C0"/>
        </w:rPr>
        <w:t>[</w:t>
      </w:r>
      <w:r w:rsidRPr="00D96B14">
        <w:rPr>
          <w:i/>
          <w:iCs/>
          <w:color w:val="0000FF"/>
        </w:rPr>
        <w:t>insert affected departmental objective]</w:t>
      </w:r>
      <w:r w:rsidRPr="00D96B14">
        <w:t xml:space="preserve"> with the delivery of services associated with the output </w:t>
      </w:r>
      <w:r w:rsidRPr="00D96B14">
        <w:rPr>
          <w:iCs/>
        </w:rPr>
        <w:t>New Technology Administration</w:t>
      </w:r>
      <w:r w:rsidRPr="00D96B14">
        <w:t xml:space="preserve">. As a result of the administrative restructure, the affected departmental objective and indicator and all output performance measures are now reported by the Department of Cabinet Administration. </w:t>
      </w:r>
    </w:p>
    <w:p w:rsidR="00142353" w:rsidRPr="00D96B14" w:rsidRDefault="00142353" w:rsidP="00142353"/>
    <w:p w:rsidR="00142353" w:rsidRPr="00D96B14" w:rsidRDefault="00142353" w:rsidP="00142353">
      <w:pPr>
        <w:pStyle w:val="SmallLine"/>
      </w:pPr>
    </w:p>
    <w:p w:rsidR="00142353" w:rsidRPr="00D96B14" w:rsidRDefault="00142353" w:rsidP="00142353">
      <w:pPr>
        <w:pStyle w:val="CommentaryHeading"/>
        <w:pBdr>
          <w:bottom w:val="none" w:sz="0" w:space="0" w:color="auto"/>
        </w:pBdr>
      </w:pPr>
      <w:r w:rsidRPr="00D96B14">
        <w:t>Commentary – Changes to a department during 2015</w:t>
      </w:r>
      <w:r w:rsidR="005A4BB0">
        <w:noBreakHyphen/>
      </w:r>
      <w:r w:rsidRPr="00D96B14">
        <w:t>16</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bottom w:val="none" w:sz="0" w:space="0" w:color="auto"/>
        </w:pBdr>
        <w:sectPr w:rsidR="00142353" w:rsidRPr="00D96B14" w:rsidSect="00190A01">
          <w:headerReference w:type="even" r:id="rId56"/>
          <w:footerReference w:type="default" r:id="rId57"/>
          <w:headerReference w:type="first" r:id="rId58"/>
          <w:type w:val="continuous"/>
          <w:pgSz w:w="11906" w:h="16838" w:code="9"/>
          <w:pgMar w:top="1152" w:right="864" w:bottom="1152" w:left="864" w:header="432" w:footer="432" w:gutter="0"/>
          <w:cols w:num="2" w:space="360" w:equalWidth="0">
            <w:col w:w="1440" w:space="360"/>
            <w:col w:w="8090"/>
          </w:cols>
          <w:rtlGutter/>
        </w:sectPr>
      </w:pPr>
      <w:r w:rsidRPr="00D96B14">
        <w:t>Guidance</w:t>
      </w: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CommentaryHeading1"/>
        <w:pBdr>
          <w:top w:val="none" w:sz="0" w:space="0" w:color="auto"/>
          <w:bottom w:val="none" w:sz="0" w:space="0" w:color="auto"/>
        </w:pBdr>
      </w:pPr>
      <w:r w:rsidRPr="00D96B14">
        <w:rPr>
          <w:noProof w:val="0"/>
        </w:rPr>
        <w:br w:type="column"/>
      </w:r>
      <w:r w:rsidRPr="00D96B14">
        <w:lastRenderedPageBreak/>
        <w:t>Expanded guidance on machinery of government changes is provided as follows:</w:t>
      </w:r>
    </w:p>
    <w:p w:rsidR="00142353" w:rsidRPr="00D96B14" w:rsidRDefault="00142353" w:rsidP="00142353">
      <w:pPr>
        <w:pStyle w:val="CommentaryBullet"/>
      </w:pPr>
      <w:r w:rsidRPr="00D96B14">
        <w:t>for illustration on disclosure of comparatives for assets and liabilities transferred, refer to illustrative disclosure in Notes 2 and 3 of the Model Financial Report, in the table disclosure of disaggregated controlled and administered items; and</w:t>
      </w:r>
    </w:p>
    <w:p w:rsidR="00142353" w:rsidRPr="00D96B14" w:rsidRDefault="00142353" w:rsidP="00142353">
      <w:pPr>
        <w:pStyle w:val="CommentaryBullet"/>
      </w:pPr>
      <w:r w:rsidRPr="00D96B14">
        <w:t>for general guidance on machinery of government changes and disclosure in the financial report, refer to illustrative disclosure and guidance provided in Note 9 of the Model Financial Report.</w:t>
      </w:r>
    </w:p>
    <w:p w:rsidR="00142353" w:rsidRPr="00D96B14" w:rsidRDefault="00142353" w:rsidP="00142353">
      <w:pPr>
        <w:pStyle w:val="CommentaryText"/>
        <w:pBdr>
          <w:top w:val="none" w:sz="0" w:space="0" w:color="auto"/>
          <w:bottom w:val="none" w:sz="0" w:space="0" w:color="auto"/>
        </w:pBdr>
      </w:pPr>
      <w:r w:rsidRPr="00D96B14">
        <w:t xml:space="preserve">Any machinery of government changes impacting on departmental objective and output performance reporting needs to be described in the report of operations. The departmental objective and output performance reporting should be disclosed </w:t>
      </w:r>
      <w:r w:rsidRPr="00D96B14">
        <w:rPr>
          <w:u w:val="single"/>
        </w:rPr>
        <w:t>for the full year</w:t>
      </w:r>
      <w:r w:rsidRPr="00D96B14">
        <w:t xml:space="preserve"> by the department administratively responsible for the functions and output delivery </w:t>
      </w:r>
      <w:r w:rsidRPr="00D96B14">
        <w:rPr>
          <w:u w:val="single"/>
        </w:rPr>
        <w:t>at the end of the financial year</w:t>
      </w:r>
      <w:r w:rsidRPr="00D96B14">
        <w:t>.</w:t>
      </w:r>
    </w:p>
    <w:p w:rsidR="00142353" w:rsidRPr="00D96B14" w:rsidRDefault="00142353" w:rsidP="00142353">
      <w:pPr>
        <w:pStyle w:val="CommentaryText"/>
        <w:pBdr>
          <w:top w:val="none" w:sz="0" w:space="0" w:color="auto"/>
          <w:bottom w:val="none" w:sz="0" w:space="0" w:color="auto"/>
        </w:pBdr>
      </w:pPr>
      <w:r w:rsidRPr="00D96B14">
        <w:t>For a department that is abolished because of machinery of government changes, the abolished department is also required to report on the departmental objectives and output performance up to the date as it ceases to exist in its final Report of Operations.</w:t>
      </w:r>
    </w:p>
    <w:p w:rsidR="00142353" w:rsidRPr="00D96B14" w:rsidRDefault="00142353" w:rsidP="00142353">
      <w:pPr>
        <w:pStyle w:val="CommentaryText"/>
        <w:pBdr>
          <w:top w:val="none" w:sz="0" w:space="0" w:color="auto"/>
          <w:bottom w:val="none" w:sz="0" w:space="0" w:color="auto"/>
        </w:pBdr>
        <w:rPr>
          <w:b/>
          <w:bCs/>
        </w:rPr>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r w:rsidRPr="00D96B14">
        <w:t>Note: if only part of an output is transferred, reporting should be on the relevant performance measures that relate to the function being transferred.</w:t>
      </w:r>
    </w:p>
    <w:p w:rsidR="00142353" w:rsidRPr="00D96B14" w:rsidRDefault="00142353" w:rsidP="00142353">
      <w:pPr>
        <w:pStyle w:val="Reference"/>
        <w:spacing w:before="0"/>
        <w:rPr>
          <w:color w:val="FF0000"/>
        </w:rPr>
      </w:pPr>
    </w:p>
    <w:p w:rsidR="00142353" w:rsidRPr="00D96B14" w:rsidRDefault="00142353" w:rsidP="00C862D5">
      <w:pPr>
        <w:pStyle w:val="Reference"/>
        <w:spacing w:before="0"/>
      </w:pPr>
      <w:r w:rsidRPr="00D96B14">
        <w:rPr>
          <w:color w:val="FF0000"/>
        </w:rPr>
        <w:t>Revised</w:t>
      </w:r>
    </w:p>
    <w:p w:rsidR="00142353" w:rsidRPr="00D96B14" w:rsidRDefault="00142353" w:rsidP="00142353">
      <w:pPr>
        <w:pStyle w:val="SmallLine"/>
      </w:pPr>
    </w:p>
    <w:p w:rsidR="00142353" w:rsidRPr="00D96B14" w:rsidRDefault="00142353" w:rsidP="00142353">
      <w:pPr>
        <w:pStyle w:val="Reference"/>
        <w:spacing w:before="0"/>
      </w:pPr>
      <w:r w:rsidRPr="00D96B14">
        <w:t>FRD 8D</w:t>
      </w:r>
    </w:p>
    <w:p w:rsidR="00142353" w:rsidRPr="00D96B14" w:rsidRDefault="00142353" w:rsidP="00142353">
      <w:pPr>
        <w:pStyle w:val="CommentaryHeading2"/>
      </w:pPr>
      <w:r w:rsidRPr="00D96B14">
        <w:br w:type="column"/>
      </w:r>
      <w:r w:rsidRPr="00D96B14">
        <w:lastRenderedPageBreak/>
        <w:t>Departmental objective and output performance reporting of the transferee department</w:t>
      </w:r>
    </w:p>
    <w:p w:rsidR="00142353" w:rsidRPr="00D96B14" w:rsidRDefault="00142353" w:rsidP="00142353">
      <w:pPr>
        <w:pStyle w:val="CommentaryText"/>
        <w:pBdr>
          <w:top w:val="none" w:sz="0" w:space="0" w:color="auto"/>
          <w:bottom w:val="none" w:sz="0" w:space="0" w:color="auto"/>
        </w:pBdr>
      </w:pPr>
      <w:r w:rsidRPr="00D96B14">
        <w:t>As the transferee department is administratively responsible for the outputs at the end of the financial year, it will now report the relevant departmental objective and associated indicator(s), output and associated output performance measures received due to the machinery of government changes for the full year, consistent with FRD 8D. The transferee department will provide commentary on all impacted outputs and associated departmental objectives explaining:</w:t>
      </w:r>
    </w:p>
    <w:p w:rsidR="00142353" w:rsidRPr="00D96B14" w:rsidRDefault="00142353" w:rsidP="00142353">
      <w:pPr>
        <w:pStyle w:val="aalphablue"/>
        <w:pBdr>
          <w:left w:val="single" w:sz="4" w:space="4" w:color="0000FF"/>
          <w:bottom w:val="single" w:sz="4" w:space="1" w:color="0000FF"/>
          <w:right w:val="single" w:sz="4" w:space="4" w:color="0000FF"/>
        </w:pBdr>
      </w:pPr>
      <w:r w:rsidRPr="00D96B14">
        <w:t>(a)</w:t>
      </w:r>
      <w:r w:rsidRPr="00D96B14">
        <w:tab/>
        <w:t>the departmental objective and associated indicator(s) and output and associated performance measures that were transferred to the department;</w:t>
      </w:r>
    </w:p>
    <w:p w:rsidR="00142353" w:rsidRPr="00D96B14" w:rsidRDefault="00142353" w:rsidP="00142353">
      <w:pPr>
        <w:pStyle w:val="aalphablue"/>
        <w:pBdr>
          <w:left w:val="single" w:sz="4" w:space="4" w:color="0000FF"/>
          <w:bottom w:val="single" w:sz="4" w:space="1" w:color="0000FF"/>
          <w:right w:val="single" w:sz="4" w:space="4" w:color="0000FF"/>
        </w:pBdr>
      </w:pPr>
      <w:r w:rsidRPr="00D96B14">
        <w:t>(b)</w:t>
      </w:r>
      <w:r w:rsidRPr="00D96B14">
        <w:tab/>
        <w:t>details of the transferor department; and</w:t>
      </w:r>
    </w:p>
    <w:p w:rsidR="00142353" w:rsidRPr="00D96B14" w:rsidRDefault="00142353" w:rsidP="00142353">
      <w:pPr>
        <w:pStyle w:val="aalphablue"/>
        <w:pBdr>
          <w:left w:val="single" w:sz="4" w:space="4" w:color="0000FF"/>
          <w:bottom w:val="single" w:sz="4" w:space="1" w:color="0000FF"/>
          <w:right w:val="single" w:sz="4" w:space="4" w:color="0000FF"/>
        </w:pBdr>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r w:rsidRPr="00D96B14">
        <w:t>(c)</w:t>
      </w:r>
      <w:r w:rsidRPr="00D96B14">
        <w:tab/>
        <w:t xml:space="preserve">the date on which the administrative arrangement occurred. </w:t>
      </w:r>
    </w:p>
    <w:p w:rsidR="00142353" w:rsidRDefault="00142353" w:rsidP="00142353">
      <w:pPr>
        <w:pStyle w:val="SmallLine"/>
      </w:pPr>
    </w:p>
    <w:p w:rsidR="00142353" w:rsidRDefault="00142353" w:rsidP="00142353">
      <w:pPr>
        <w:pStyle w:val="SmallLine"/>
      </w:pPr>
      <w:r w:rsidRPr="00D96B14">
        <w:br w:type="column"/>
      </w:r>
    </w:p>
    <w:p w:rsidR="00142353" w:rsidRDefault="00142353" w:rsidP="00142353">
      <w:pPr>
        <w:pStyle w:val="CommentaryHeading"/>
      </w:pPr>
      <w:r w:rsidRPr="00D96B14">
        <w:t>Commentary – Changes to a department during 2015</w:t>
      </w:r>
      <w:r w:rsidR="005A4BB0">
        <w:noBreakHyphen/>
      </w:r>
      <w:r w:rsidRPr="00D96B14">
        <w:t>16</w:t>
      </w:r>
      <w:r>
        <w:t xml:space="preserve"> </w:t>
      </w:r>
      <w:r w:rsidRPr="0057699E">
        <w:rPr>
          <w:i/>
        </w:rPr>
        <w:t>(continued)</w:t>
      </w:r>
    </w:p>
    <w:p w:rsidR="00142353" w:rsidRPr="00D96B14" w:rsidRDefault="00142353" w:rsidP="00142353">
      <w:pPr>
        <w:pStyle w:val="SmallLineBlue"/>
      </w:pPr>
    </w:p>
    <w:p w:rsidR="00142353" w:rsidRPr="00D96B14" w:rsidRDefault="00142353" w:rsidP="00142353">
      <w:pPr>
        <w:pStyle w:val="CommentaryHeading2"/>
      </w:pPr>
      <w:r w:rsidRPr="00D96B14">
        <w:t>Departmental objective and output performance reporting of the transferor department</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As the transferor department will no longer be administratively responsible for the outputs at the end of the financial year, it does not need to report on the transferred output and associated output performance, related departmental objective (whole or in part) and associated indicator(s) transferred to another department. The transferor department will need to provide commentary on all impacted departmental objectives and outputs explaining:</w:t>
      </w:r>
    </w:p>
    <w:p w:rsidR="00142353" w:rsidRPr="00D96B14" w:rsidRDefault="00142353" w:rsidP="00142353">
      <w:pPr>
        <w:pStyle w:val="aalphablue"/>
        <w:pBdr>
          <w:left w:val="single" w:sz="4" w:space="4" w:color="0000FF"/>
          <w:right w:val="single" w:sz="4" w:space="4" w:color="0000FF"/>
        </w:pBdr>
      </w:pPr>
      <w:r w:rsidRPr="00D96B14">
        <w:t>(a)</w:t>
      </w:r>
      <w:r w:rsidRPr="00D96B14">
        <w:tab/>
        <w:t>the outputs that were transferred to another department and related departmental objective (whole or in part) and indicator(s);</w:t>
      </w:r>
    </w:p>
    <w:p w:rsidR="00142353" w:rsidRPr="00D96B14" w:rsidRDefault="00142353" w:rsidP="00142353">
      <w:pPr>
        <w:pStyle w:val="aalphablue"/>
        <w:pBdr>
          <w:left w:val="single" w:sz="4" w:space="4" w:color="0000FF"/>
          <w:right w:val="single" w:sz="4" w:space="4" w:color="0000FF"/>
        </w:pBdr>
      </w:pPr>
      <w:r w:rsidRPr="00D96B14">
        <w:t>(b)</w:t>
      </w:r>
      <w:r w:rsidRPr="00D96B14">
        <w:tab/>
        <w:t>details of the transferee department; and</w:t>
      </w:r>
    </w:p>
    <w:p w:rsidR="00142353" w:rsidRPr="00D96B14" w:rsidRDefault="00142353" w:rsidP="00142353">
      <w:pPr>
        <w:pStyle w:val="aalphablue"/>
        <w:pBdr>
          <w:left w:val="single" w:sz="4" w:space="4" w:color="0000FF"/>
          <w:right w:val="single" w:sz="4" w:space="4" w:color="0000FF"/>
        </w:pBdr>
      </w:pPr>
      <w:r w:rsidRPr="00D96B14">
        <w:t>(c)</w:t>
      </w:r>
      <w:r w:rsidRPr="00D96B14">
        <w:tab/>
        <w:t>the date on which the administrative arrangement occurred.</w:t>
      </w:r>
    </w:p>
    <w:p w:rsidR="00142353" w:rsidRPr="00D96B14" w:rsidRDefault="00142353" w:rsidP="00142353">
      <w:pPr>
        <w:pStyle w:val="CommentaryText"/>
        <w:pBdr>
          <w:top w:val="none" w:sz="0" w:space="0" w:color="auto"/>
        </w:pBdr>
      </w:pPr>
      <w:r w:rsidRPr="00D96B14">
        <w:rPr>
          <w:b/>
          <w:bCs/>
          <w:noProof w:val="0"/>
        </w:rPr>
        <w:t>Note</w:t>
      </w:r>
      <w:r w:rsidRPr="00D96B14">
        <w:rPr>
          <w:noProof w:val="0"/>
        </w:rPr>
        <w:t>: The departmental objective and output performance reporting as described above is different from the financial reporting of an administrative restructure. Entities must continue to recognise assets, liabilities, income and expenses arising from the transferred/received outputs during the period, in the financial year in which entities were responsible for those outputs.</w:t>
      </w:r>
    </w:p>
    <w:p w:rsidR="00142353" w:rsidRPr="00D96B14" w:rsidRDefault="00142353" w:rsidP="00142353">
      <w:pPr>
        <w:pStyle w:val="Heading1a"/>
        <w:rPr>
          <w:kern w:val="28"/>
          <w:sz w:val="24"/>
          <w:szCs w:val="24"/>
        </w:rPr>
        <w:sectPr w:rsidR="00142353" w:rsidRPr="00D96B14" w:rsidSect="00190A01">
          <w:pgSz w:w="11906" w:h="16838" w:code="9"/>
          <w:pgMar w:top="1152" w:right="864" w:bottom="1152" w:left="864" w:header="432" w:footer="432" w:gutter="0"/>
          <w:cols w:num="2" w:space="360" w:equalWidth="0">
            <w:col w:w="1440" w:space="360"/>
            <w:col w:w="8090"/>
          </w:cols>
          <w:rtlGutter/>
        </w:sectPr>
      </w:pPr>
      <w:r w:rsidRPr="00D96B14">
        <w:t>Portfolio performance reporting – non</w:t>
      </w:r>
      <w:r w:rsidR="005A4BB0">
        <w:noBreakHyphen/>
      </w:r>
      <w:r w:rsidRPr="00D96B14">
        <w:t>financial section</w:t>
      </w:r>
      <w:r w:rsidRPr="00D96B14">
        <w:rPr>
          <w:kern w:val="28"/>
          <w:sz w:val="24"/>
          <w:szCs w:val="24"/>
        </w:rPr>
        <w:t xml:space="preserve"> </w:t>
      </w:r>
    </w:p>
    <w:p w:rsidR="00142353" w:rsidRPr="00D96B14" w:rsidRDefault="00142353" w:rsidP="00142353">
      <w:pPr>
        <w:pStyle w:val="Reference"/>
        <w:spacing w:before="280"/>
      </w:pPr>
      <w:r w:rsidRPr="00D96B14">
        <w:lastRenderedPageBreak/>
        <w:t>FRD 8D</w:t>
      </w:r>
    </w:p>
    <w:p w:rsidR="00142353" w:rsidRPr="00D96B14" w:rsidRDefault="00142353" w:rsidP="00142353">
      <w:pPr>
        <w:keepNext/>
        <w:spacing w:before="160"/>
        <w:rPr>
          <w:rFonts w:ascii="Calibri" w:hAnsi="Calibri" w:cs="Arial Narrow"/>
          <w:color w:val="0000FF"/>
          <w:sz w:val="16"/>
          <w:szCs w:val="16"/>
          <w:lang w:val="en-GB"/>
        </w:rPr>
      </w:pPr>
      <w:r w:rsidRPr="00D96B14">
        <w:rPr>
          <w:rFonts w:ascii="Calibri" w:hAnsi="Calibri" w:cs="Arial Narrow"/>
          <w:color w:val="0000FF"/>
          <w:sz w:val="16"/>
          <w:szCs w:val="16"/>
          <w:lang w:val="en-GB"/>
        </w:rPr>
        <w:t>Recommendation 15, PAEC Report 118</w:t>
      </w:r>
    </w:p>
    <w:p w:rsidR="00142353" w:rsidRPr="00D96B14" w:rsidRDefault="00142353" w:rsidP="00142353">
      <w:pPr>
        <w:pStyle w:val="Reference"/>
        <w:spacing w:before="200"/>
      </w:pPr>
      <w:r w:rsidRPr="00D96B14">
        <w:t>2014</w:t>
      </w:r>
      <w:r w:rsidR="005A4BB0">
        <w:noBreakHyphen/>
      </w:r>
      <w:r w:rsidRPr="00D96B14">
        <w:t xml:space="preserve">15 Budget Paper No. 3 </w:t>
      </w:r>
      <w:r w:rsidRPr="00D96B14">
        <w:rPr>
          <w:i/>
        </w:rPr>
        <w:t>Service Delivery</w:t>
      </w:r>
      <w:r w:rsidRPr="00D96B14">
        <w:t xml:space="preserve"> </w:t>
      </w: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 w:rsidR="00142353" w:rsidRPr="00D96B14" w:rsidRDefault="00142353" w:rsidP="00142353"/>
    <w:p w:rsidR="00142353" w:rsidRPr="00D96B14" w:rsidRDefault="00142353" w:rsidP="00142353"/>
    <w:p w:rsidR="00142353" w:rsidRPr="00D96B14" w:rsidRDefault="00142353" w:rsidP="00142353"/>
    <w:p w:rsidR="00142353" w:rsidRPr="00D96B14" w:rsidRDefault="00142353" w:rsidP="00142353"/>
    <w:p w:rsidR="00142353" w:rsidRPr="00D96B14" w:rsidRDefault="00142353" w:rsidP="00142353"/>
    <w:p w:rsidR="00142353" w:rsidRPr="00D96B14" w:rsidRDefault="00142353" w:rsidP="00142353">
      <w:pPr>
        <w:pStyle w:val="ReferenceRed"/>
      </w:pPr>
    </w:p>
    <w:p w:rsidR="00142353" w:rsidRPr="00D96B14" w:rsidRDefault="00142353" w:rsidP="00142353">
      <w:pPr>
        <w:pStyle w:val="ReferenceRed"/>
      </w:pPr>
      <w:r w:rsidRPr="00D96B14">
        <w:t>Revised</w:t>
      </w:r>
    </w:p>
    <w:p w:rsidR="00142353" w:rsidRPr="00D96B14" w:rsidRDefault="00142353" w:rsidP="00142353"/>
    <w:p w:rsidR="00142353" w:rsidRPr="00D96B14" w:rsidRDefault="00142353" w:rsidP="00142353">
      <w:pPr>
        <w:pStyle w:val="Heading2"/>
      </w:pPr>
      <w:r w:rsidRPr="00D96B14">
        <w:br w:type="column"/>
      </w:r>
      <w:r w:rsidRPr="00D96B14">
        <w:lastRenderedPageBreak/>
        <w:t>Departmental objectives, indicators and outputs</w:t>
      </w:r>
    </w:p>
    <w:p w:rsidR="00142353" w:rsidRPr="00D96B14" w:rsidRDefault="00142353" w:rsidP="00142353">
      <w:pPr>
        <w:rPr>
          <w:strike/>
        </w:rPr>
      </w:pPr>
      <w:r w:rsidRPr="00D96B14">
        <w:t>The medium</w:t>
      </w:r>
      <w:r w:rsidR="005A4BB0">
        <w:noBreakHyphen/>
      </w:r>
      <w:r w:rsidRPr="00D96B14">
        <w:t>term departmental objectives, associated indicators and linked outputs as set out in the 2015</w:t>
      </w:r>
      <w:r w:rsidR="005A4BB0">
        <w:noBreakHyphen/>
      </w:r>
      <w:r w:rsidRPr="00D96B14">
        <w:t xml:space="preserve">16 State Budget Paper No. 3 </w:t>
      </w:r>
      <w:r w:rsidRPr="00D96B14">
        <w:rPr>
          <w:i/>
        </w:rPr>
        <w:t>Service Delivery</w:t>
      </w:r>
      <w:r w:rsidRPr="00D96B14">
        <w:t xml:space="preserve"> are shown in Table 1. </w:t>
      </w:r>
    </w:p>
    <w:p w:rsidR="00142353" w:rsidRPr="00D96B14" w:rsidRDefault="00142353" w:rsidP="00E348C3">
      <w:pPr>
        <w:pStyle w:val="Tableheading"/>
      </w:pPr>
      <w:r w:rsidRPr="00D96B14">
        <w:t>Table 1 – Departmental objectives, indicators and linked outputs</w:t>
      </w:r>
    </w:p>
    <w:tbl>
      <w:tblPr>
        <w:tblW w:w="8190" w:type="dxa"/>
        <w:tblInd w:w="43" w:type="dxa"/>
        <w:tblBorders>
          <w:top w:val="single" w:sz="4" w:space="0" w:color="auto"/>
          <w:bottom w:val="single" w:sz="4" w:space="0" w:color="auto"/>
          <w:insideH w:val="single" w:sz="4" w:space="0" w:color="auto"/>
        </w:tblBorders>
        <w:tblCellMar>
          <w:left w:w="43" w:type="dxa"/>
          <w:right w:w="43" w:type="dxa"/>
        </w:tblCellMar>
        <w:tblLook w:val="04A0" w:firstRow="1" w:lastRow="0" w:firstColumn="1" w:lastColumn="0" w:noHBand="0" w:noVBand="1"/>
      </w:tblPr>
      <w:tblGrid>
        <w:gridCol w:w="2694"/>
        <w:gridCol w:w="2891"/>
        <w:gridCol w:w="2605"/>
      </w:tblGrid>
      <w:tr w:rsidR="00142353" w:rsidRPr="00D96B14" w:rsidTr="004843DB">
        <w:trPr>
          <w:cantSplit/>
        </w:trPr>
        <w:tc>
          <w:tcPr>
            <w:tcW w:w="2694" w:type="dxa"/>
            <w:tcBorders>
              <w:bottom w:val="single" w:sz="4" w:space="0" w:color="auto"/>
            </w:tcBorders>
            <w:shd w:val="clear" w:color="auto" w:fill="000000" w:themeFill="text1"/>
          </w:tcPr>
          <w:p w:rsidR="00142353" w:rsidRPr="00D96B14" w:rsidRDefault="00142353" w:rsidP="004843DB">
            <w:pPr>
              <w:pStyle w:val="TabletextheadingLeft"/>
            </w:pPr>
            <w:r w:rsidRPr="00D96B14">
              <w:t xml:space="preserve">Departmental objectives </w:t>
            </w:r>
          </w:p>
        </w:tc>
        <w:tc>
          <w:tcPr>
            <w:tcW w:w="2891" w:type="dxa"/>
            <w:tcBorders>
              <w:bottom w:val="single" w:sz="4" w:space="0" w:color="auto"/>
            </w:tcBorders>
            <w:shd w:val="clear" w:color="auto" w:fill="000000" w:themeFill="text1"/>
          </w:tcPr>
          <w:p w:rsidR="00142353" w:rsidRPr="00D96B14" w:rsidRDefault="00142353" w:rsidP="004843DB">
            <w:pPr>
              <w:pStyle w:val="TabletextheadingLeft"/>
            </w:pPr>
            <w:r w:rsidRPr="00D96B14">
              <w:t>Indicators</w:t>
            </w:r>
          </w:p>
        </w:tc>
        <w:tc>
          <w:tcPr>
            <w:tcW w:w="2605" w:type="dxa"/>
            <w:tcBorders>
              <w:bottom w:val="single" w:sz="4" w:space="0" w:color="auto"/>
            </w:tcBorders>
            <w:shd w:val="clear" w:color="auto" w:fill="000000" w:themeFill="text1"/>
          </w:tcPr>
          <w:p w:rsidR="00142353" w:rsidRPr="00D96B14" w:rsidRDefault="00142353" w:rsidP="004843DB">
            <w:pPr>
              <w:pStyle w:val="TabletextheadingLeft"/>
            </w:pPr>
            <w:r w:rsidRPr="00D96B14">
              <w:t>Outputs</w:t>
            </w:r>
          </w:p>
        </w:tc>
      </w:tr>
      <w:tr w:rsidR="00142353" w:rsidRPr="00D96B14" w:rsidTr="004843DB">
        <w:trPr>
          <w:cantSplit/>
        </w:trPr>
        <w:tc>
          <w:tcPr>
            <w:tcW w:w="2694" w:type="dxa"/>
            <w:tcBorders>
              <w:bottom w:val="single" w:sz="12" w:space="0" w:color="auto"/>
            </w:tcBorders>
            <w:shd w:val="clear" w:color="auto" w:fill="auto"/>
          </w:tcPr>
          <w:p w:rsidR="00142353" w:rsidRPr="00D96B14" w:rsidRDefault="00142353" w:rsidP="004843DB">
            <w:pPr>
              <w:pStyle w:val="Tabletext"/>
              <w:rPr>
                <w:b/>
                <w:i/>
                <w:color w:val="0000FF"/>
              </w:rPr>
            </w:pPr>
            <w:r w:rsidRPr="00D96B14">
              <w:rPr>
                <w:i/>
                <w:color w:val="0000FF"/>
              </w:rPr>
              <w:t>[Departments to insert specific departmental objectives as published in the 2015</w:t>
            </w:r>
            <w:r w:rsidR="005A4BB0">
              <w:rPr>
                <w:i/>
                <w:color w:val="0000FF"/>
              </w:rPr>
              <w:noBreakHyphen/>
            </w:r>
            <w:r w:rsidRPr="00D96B14">
              <w:rPr>
                <w:i/>
                <w:color w:val="0000FF"/>
              </w:rPr>
              <w:t>16 Budget]</w:t>
            </w:r>
          </w:p>
        </w:tc>
        <w:tc>
          <w:tcPr>
            <w:tcW w:w="2891" w:type="dxa"/>
            <w:tcBorders>
              <w:bottom w:val="single" w:sz="12" w:space="0" w:color="auto"/>
            </w:tcBorders>
            <w:shd w:val="clear" w:color="auto" w:fill="auto"/>
          </w:tcPr>
          <w:p w:rsidR="00142353" w:rsidRPr="00D96B14" w:rsidRDefault="00142353" w:rsidP="004843DB">
            <w:pPr>
              <w:pStyle w:val="Tabletext"/>
              <w:rPr>
                <w:b/>
                <w:i/>
                <w:color w:val="0000FF"/>
              </w:rPr>
            </w:pPr>
            <w:r w:rsidRPr="00D96B14">
              <w:rPr>
                <w:i/>
                <w:color w:val="0000FF"/>
              </w:rPr>
              <w:t>[Departments to insert specific indicators as published in the 2015</w:t>
            </w:r>
            <w:r w:rsidR="005A4BB0">
              <w:rPr>
                <w:i/>
                <w:color w:val="0000FF"/>
              </w:rPr>
              <w:noBreakHyphen/>
            </w:r>
            <w:r w:rsidRPr="00D96B14">
              <w:rPr>
                <w:i/>
                <w:color w:val="0000FF"/>
              </w:rPr>
              <w:t>16 Budget]</w:t>
            </w:r>
          </w:p>
        </w:tc>
        <w:tc>
          <w:tcPr>
            <w:tcW w:w="2605" w:type="dxa"/>
            <w:tcBorders>
              <w:bottom w:val="single" w:sz="12" w:space="0" w:color="auto"/>
            </w:tcBorders>
            <w:shd w:val="clear" w:color="auto" w:fill="auto"/>
          </w:tcPr>
          <w:p w:rsidR="00142353" w:rsidRPr="00D96B14" w:rsidRDefault="00142353" w:rsidP="004843DB">
            <w:pPr>
              <w:pStyle w:val="Tabletext"/>
              <w:rPr>
                <w:b/>
                <w:i/>
                <w:color w:val="0000FF"/>
              </w:rPr>
            </w:pPr>
            <w:r w:rsidRPr="00D96B14">
              <w:rPr>
                <w:i/>
                <w:color w:val="0000FF"/>
              </w:rPr>
              <w:t>[Departments to insert specific outputs as published in the 2015</w:t>
            </w:r>
            <w:r w:rsidR="005A4BB0">
              <w:rPr>
                <w:i/>
                <w:color w:val="0000FF"/>
              </w:rPr>
              <w:noBreakHyphen/>
            </w:r>
            <w:r w:rsidRPr="00D96B14">
              <w:rPr>
                <w:i/>
                <w:color w:val="0000FF"/>
              </w:rPr>
              <w:t>16 Budget]</w:t>
            </w:r>
          </w:p>
        </w:tc>
      </w:tr>
    </w:tbl>
    <w:p w:rsidR="00142353" w:rsidRPr="00D96B14" w:rsidRDefault="00142353" w:rsidP="00142353">
      <w:pPr>
        <w:pStyle w:val="Notes"/>
        <w:rPr>
          <w:i w:val="0"/>
        </w:rPr>
      </w:pPr>
    </w:p>
    <w:p w:rsidR="00142353" w:rsidRPr="00D96B14" w:rsidRDefault="00142353" w:rsidP="00142353">
      <w:pPr>
        <w:pStyle w:val="Heading2"/>
      </w:pPr>
      <w:r w:rsidRPr="00D96B14">
        <w:t xml:space="preserve">Reporting progress towards achieving departmental objectives in the report of operations </w:t>
      </w:r>
    </w:p>
    <w:p w:rsidR="00142353" w:rsidRPr="00D96B14" w:rsidRDefault="00142353" w:rsidP="00142353">
      <w:r w:rsidRPr="00D96B14">
        <w:t>The Department seeks to measure the progress of the Victorian public sector in adopting new technology in delivering services to the community.</w:t>
      </w:r>
    </w:p>
    <w:p w:rsidR="00142353" w:rsidRPr="00D96B14" w:rsidRDefault="00142353" w:rsidP="00142353">
      <w:r w:rsidRPr="00D96B14">
        <w:t>This section reports the Department</w:t>
      </w:r>
      <w:r w:rsidR="005A4BB0">
        <w:t>’</w:t>
      </w:r>
      <w:r w:rsidRPr="00D96B14">
        <w:t>s progress on its departmental objectives through a range of indicators. Trends in these indicators demonstrate the Department</w:t>
      </w:r>
      <w:r w:rsidR="005A4BB0">
        <w:t>’</w:t>
      </w:r>
      <w:r w:rsidRPr="00D96B14">
        <w:t>s performance.</w:t>
      </w:r>
    </w:p>
    <w:p w:rsidR="00142353" w:rsidRPr="00D96B14" w:rsidRDefault="00142353" w:rsidP="00142353">
      <w:pPr>
        <w:rPr>
          <w:i/>
        </w:rPr>
      </w:pPr>
      <w:r w:rsidRPr="00D96B14">
        <w:rPr>
          <w:i/>
        </w:rPr>
        <w:t>Departmental objective 1</w:t>
      </w:r>
    </w:p>
    <w:p w:rsidR="00142353" w:rsidRPr="00D96B14" w:rsidRDefault="00142353" w:rsidP="00142353">
      <w:pPr>
        <w:spacing w:after="120"/>
        <w:rPr>
          <w:rFonts w:cs="Arial Narrow"/>
          <w:color w:val="0000FF"/>
        </w:rPr>
      </w:pPr>
      <w:r w:rsidRPr="00D96B14">
        <w:rPr>
          <w:rFonts w:cs="Arial Narrow"/>
          <w:i/>
          <w:color w:val="0000FF"/>
        </w:rPr>
        <w:t>[Departments should describe the departmental objective to make clear the department</w:t>
      </w:r>
      <w:r w:rsidR="005A4BB0">
        <w:rPr>
          <w:rFonts w:cs="Arial Narrow"/>
          <w:i/>
          <w:color w:val="0000FF"/>
        </w:rPr>
        <w:t>’</w:t>
      </w:r>
      <w:r w:rsidRPr="00D96B14">
        <w:rPr>
          <w:rFonts w:cs="Arial Narrow"/>
          <w:i/>
          <w:color w:val="0000FF"/>
        </w:rPr>
        <w: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w:t>
      </w:r>
      <w:r w:rsidRPr="00D96B14">
        <w:rPr>
          <w:rFonts w:cs="Arial Narrow"/>
          <w:color w:val="0000FF"/>
        </w:rPr>
        <w:t xml:space="preserve"> </w:t>
      </w:r>
    </w:p>
    <w:p w:rsidR="00142353" w:rsidRPr="00D96B14" w:rsidRDefault="00142353" w:rsidP="00142353">
      <w:pPr>
        <w:rPr>
          <w:rFonts w:cs="Arial Narrow"/>
          <w:i/>
          <w:color w:val="0000FF"/>
        </w:rPr>
      </w:pPr>
      <w:r w:rsidRPr="00D96B14">
        <w:rPr>
          <w:rFonts w:cs="Arial Narrow"/>
          <w:i/>
          <w:color w:val="0000FF"/>
        </w:rPr>
        <w:t>[Departments should include a performance progress story for departmental objective 1 based on the evaluation and interaction of trend information for the associated indicators provided in this section. Include a description of the environment (past, current and an indication of the future), any relevant issues/shortcomings affecting the performance story as demonstrated by the indicators th</w:t>
      </w:r>
      <w:bookmarkStart w:id="56" w:name="OLE_LINK1"/>
      <w:bookmarkStart w:id="57" w:name="OLE_LINK2"/>
      <w:r w:rsidRPr="00D96B14">
        <w:rPr>
          <w:rFonts w:cs="Arial Narrow"/>
          <w:i/>
          <w:color w:val="0000FF"/>
        </w:rPr>
        <w:t>at should be taken into account, including any areas for future improvements</w:t>
      </w:r>
      <w:bookmarkEnd w:id="56"/>
      <w:bookmarkEnd w:id="57"/>
      <w:r w:rsidRPr="00D96B14">
        <w:rPr>
          <w:rFonts w:cs="Arial Narrow"/>
          <w:i/>
          <w:color w:val="0000FF"/>
        </w:rPr>
        <w:t>].</w:t>
      </w:r>
    </w:p>
    <w:p w:rsidR="00142353" w:rsidRPr="00D96B14" w:rsidRDefault="00142353" w:rsidP="00142353">
      <w:pPr>
        <w:spacing w:after="120"/>
        <w:rPr>
          <w:rFonts w:cs="Arial Narrow"/>
          <w:i/>
          <w:color w:val="0000FF"/>
        </w:rPr>
      </w:pPr>
      <w:r w:rsidRPr="00D96B14">
        <w:rPr>
          <w:rFonts w:cs="Arial Narrow"/>
          <w:i/>
          <w:color w:val="0000FF"/>
        </w:rPr>
        <w:t>[Departments should also disclose any key initiatives and/or projects that have contributed to changes in the associated indicators. Where appropriate, departments may also introduce the revised indicators as published in the 2016</w:t>
      </w:r>
      <w:r w:rsidR="005A4BB0">
        <w:rPr>
          <w:rFonts w:cs="Arial Narrow"/>
          <w:i/>
          <w:color w:val="0000FF"/>
        </w:rPr>
        <w:noBreakHyphen/>
      </w:r>
      <w:r w:rsidRPr="00D96B14">
        <w:rPr>
          <w:rFonts w:cs="Arial Narrow"/>
          <w:i/>
          <w:color w:val="0000FF"/>
        </w:rPr>
        <w:t>17 Budget to help explain performance.]</w:t>
      </w:r>
      <w:r>
        <w:rPr>
          <w:rFonts w:cs="Arial Narrow"/>
          <w:i/>
          <w:color w:val="0000FF"/>
        </w:rPr>
        <w:t xml:space="preserve"> </w:t>
      </w:r>
      <w:r w:rsidRPr="00D96B14">
        <w:rPr>
          <w:rFonts w:cs="Arial Narrow"/>
          <w:i/>
          <w:color w:val="0000FF"/>
        </w:rPr>
        <w:br w:type="page"/>
      </w: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p>
    <w:p w:rsidR="00142353" w:rsidRPr="00D96B14" w:rsidRDefault="00142353" w:rsidP="00142353">
      <w:pPr>
        <w:spacing w:after="120"/>
        <w:rPr>
          <w:rFonts w:cs="Arial Narrow"/>
          <w:i/>
          <w:color w:val="0000FF"/>
        </w:rPr>
      </w:pPr>
      <w:r w:rsidRPr="00D96B14">
        <w:rPr>
          <w:rFonts w:cs="Arial Narrow"/>
          <w:i/>
          <w:color w:val="0000FF"/>
        </w:rPr>
        <w:br/>
      </w:r>
      <w:r w:rsidRPr="00D96B14">
        <w:rPr>
          <w:rFonts w:cs="Arial Narrow"/>
          <w:i/>
          <w:color w:val="0000FF"/>
        </w:rPr>
        <w:br/>
      </w:r>
      <w:r w:rsidRPr="00D96B14">
        <w:rPr>
          <w:rFonts w:cs="Arial Narrow"/>
          <w:i/>
          <w:color w:val="0000FF"/>
        </w:rPr>
        <w:br/>
      </w:r>
      <w:r w:rsidRPr="00D96B14">
        <w:rPr>
          <w:rFonts w:cs="Arial Narrow"/>
          <w:i/>
          <w:color w:val="0000FF"/>
        </w:rPr>
        <w:br/>
      </w:r>
    </w:p>
    <w:p w:rsidR="00142353" w:rsidRPr="00D96B14" w:rsidRDefault="00142353" w:rsidP="00142353">
      <w:pPr>
        <w:pStyle w:val="ReferenceRed"/>
      </w:pPr>
      <w:r w:rsidRPr="00D96B14">
        <w:t>Revised</w:t>
      </w:r>
    </w:p>
    <w:p w:rsidR="00142353" w:rsidRPr="00D96B14" w:rsidRDefault="00142353" w:rsidP="00142353">
      <w:pPr>
        <w:spacing w:after="120"/>
        <w:rPr>
          <w:rFonts w:cs="Arial Narrow"/>
          <w:color w:val="0000FF"/>
        </w:rPr>
      </w:pPr>
      <w:r w:rsidRPr="00D96B14">
        <w:rPr>
          <w:rFonts w:cs="Arial Narrow"/>
          <w:i/>
          <w:color w:val="0000FF"/>
        </w:rPr>
        <w:br w:type="column"/>
      </w:r>
      <w:r w:rsidRPr="00D96B14">
        <w:rPr>
          <w:rFonts w:cs="Arial Narrow"/>
          <w:i/>
          <w:color w:val="0000FF"/>
        </w:rPr>
        <w:lastRenderedPageBreak/>
        <w:t>[Departments should include the relevant trend information for each indicator associated with departmental objective 1.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w:t>
      </w:r>
      <w:r w:rsidRPr="00D96B14">
        <w:rPr>
          <w:rFonts w:cs="Arial Narrow"/>
          <w:color w:val="0000FF"/>
        </w:rPr>
        <w:t>.]</w:t>
      </w:r>
    </w:p>
    <w:p w:rsidR="00142353" w:rsidRPr="00E348C3" w:rsidRDefault="00142353" w:rsidP="00E348C3">
      <w:pPr>
        <w:pStyle w:val="Tableheading"/>
        <w:ind w:left="0" w:firstLine="0"/>
      </w:pPr>
      <w:r w:rsidRPr="00E348C3">
        <w:t>Table 2 – Progress towards objective 1</w:t>
      </w:r>
    </w:p>
    <w:tbl>
      <w:tblPr>
        <w:tblW w:w="8078" w:type="dxa"/>
        <w:tblInd w:w="43" w:type="dxa"/>
        <w:tblBorders>
          <w:top w:val="single" w:sz="4" w:space="0" w:color="auto"/>
          <w:bottom w:val="single" w:sz="4" w:space="0" w:color="auto"/>
          <w:insideH w:val="single" w:sz="4" w:space="0" w:color="auto"/>
        </w:tblBorders>
        <w:tblCellMar>
          <w:left w:w="43" w:type="dxa"/>
          <w:right w:w="43" w:type="dxa"/>
        </w:tblCellMar>
        <w:tblLook w:val="04A0" w:firstRow="1" w:lastRow="0" w:firstColumn="1" w:lastColumn="0" w:noHBand="0" w:noVBand="1"/>
      </w:tblPr>
      <w:tblGrid>
        <w:gridCol w:w="3288"/>
        <w:gridCol w:w="1559"/>
        <w:gridCol w:w="1077"/>
        <w:gridCol w:w="1077"/>
        <w:gridCol w:w="1077"/>
      </w:tblGrid>
      <w:tr w:rsidR="00142353" w:rsidRPr="00D96B14" w:rsidTr="004843DB">
        <w:trPr>
          <w:cantSplit/>
        </w:trPr>
        <w:tc>
          <w:tcPr>
            <w:tcW w:w="3288" w:type="dxa"/>
            <w:shd w:val="clear" w:color="auto" w:fill="000000" w:themeFill="text1"/>
          </w:tcPr>
          <w:p w:rsidR="00142353" w:rsidRPr="00D96B14" w:rsidRDefault="00142353" w:rsidP="004843DB">
            <w:pPr>
              <w:pStyle w:val="TabletextheadingLeft"/>
            </w:pPr>
            <w:r w:rsidRPr="00D96B14">
              <w:t>Indicator</w:t>
            </w:r>
          </w:p>
        </w:tc>
        <w:tc>
          <w:tcPr>
            <w:tcW w:w="1559" w:type="dxa"/>
            <w:shd w:val="clear" w:color="auto" w:fill="000000" w:themeFill="text1"/>
          </w:tcPr>
          <w:p w:rsidR="00142353" w:rsidRPr="00D96B14" w:rsidRDefault="00142353" w:rsidP="004843DB">
            <w:pPr>
              <w:pStyle w:val="TabletextheadingCentred"/>
            </w:pPr>
            <w:r w:rsidRPr="00D96B14">
              <w:t>Unit of measure</w:t>
            </w:r>
          </w:p>
        </w:tc>
        <w:tc>
          <w:tcPr>
            <w:tcW w:w="1077" w:type="dxa"/>
            <w:shd w:val="clear" w:color="auto" w:fill="000000" w:themeFill="text1"/>
          </w:tcPr>
          <w:p w:rsidR="00142353" w:rsidRPr="00D96B14" w:rsidRDefault="00142353" w:rsidP="004843DB">
            <w:pPr>
              <w:pStyle w:val="Tabletextheading"/>
            </w:pPr>
            <w:r w:rsidRPr="00D96B14">
              <w:t>2013</w:t>
            </w:r>
            <w:r w:rsidR="005A4BB0">
              <w:noBreakHyphen/>
            </w:r>
            <w:r w:rsidRPr="00D96B14">
              <w:t>14</w:t>
            </w:r>
          </w:p>
        </w:tc>
        <w:tc>
          <w:tcPr>
            <w:tcW w:w="1077" w:type="dxa"/>
            <w:shd w:val="clear" w:color="auto" w:fill="000000" w:themeFill="text1"/>
          </w:tcPr>
          <w:p w:rsidR="00142353" w:rsidRPr="00D96B14" w:rsidRDefault="00142353" w:rsidP="004843DB">
            <w:pPr>
              <w:pStyle w:val="Tabletextheading"/>
            </w:pPr>
            <w:r w:rsidRPr="00D96B14">
              <w:t>2014</w:t>
            </w:r>
            <w:r w:rsidR="005A4BB0">
              <w:noBreakHyphen/>
            </w:r>
            <w:r w:rsidRPr="00D96B14">
              <w:t>15</w:t>
            </w:r>
          </w:p>
        </w:tc>
        <w:tc>
          <w:tcPr>
            <w:tcW w:w="1077" w:type="dxa"/>
            <w:shd w:val="clear" w:color="auto" w:fill="000000" w:themeFill="text1"/>
          </w:tcPr>
          <w:p w:rsidR="00142353" w:rsidRPr="00D96B14" w:rsidRDefault="00142353" w:rsidP="004843DB">
            <w:pPr>
              <w:pStyle w:val="Tabletextheading"/>
            </w:pPr>
            <w:r w:rsidRPr="00D96B14">
              <w:t>2015</w:t>
            </w:r>
            <w:r w:rsidR="005A4BB0">
              <w:noBreakHyphen/>
            </w:r>
            <w:r w:rsidRPr="00D96B14">
              <w:t>16</w:t>
            </w:r>
          </w:p>
        </w:tc>
      </w:tr>
      <w:tr w:rsidR="00142353" w:rsidRPr="00D96B14" w:rsidTr="004843DB">
        <w:trPr>
          <w:cantSplit/>
        </w:trPr>
        <w:tc>
          <w:tcPr>
            <w:tcW w:w="3288" w:type="dxa"/>
            <w:tcBorders>
              <w:bottom w:val="single" w:sz="4" w:space="0" w:color="auto"/>
            </w:tcBorders>
            <w:shd w:val="clear" w:color="auto" w:fill="auto"/>
          </w:tcPr>
          <w:p w:rsidR="00142353" w:rsidRPr="00D96B14" w:rsidRDefault="00142353" w:rsidP="004843DB">
            <w:pPr>
              <w:pStyle w:val="Tabletext"/>
            </w:pPr>
          </w:p>
        </w:tc>
        <w:tc>
          <w:tcPr>
            <w:tcW w:w="1559" w:type="dxa"/>
            <w:tcBorders>
              <w:bottom w:val="single" w:sz="4" w:space="0" w:color="auto"/>
            </w:tcBorders>
            <w:shd w:val="clear" w:color="auto" w:fill="auto"/>
          </w:tcPr>
          <w:p w:rsidR="00142353" w:rsidRPr="00D96B14" w:rsidRDefault="00142353" w:rsidP="004843DB">
            <w:pPr>
              <w:pStyle w:val="Tabletext"/>
              <w:jc w:val="center"/>
            </w:pPr>
          </w:p>
        </w:tc>
        <w:tc>
          <w:tcPr>
            <w:tcW w:w="1077" w:type="dxa"/>
            <w:tcBorders>
              <w:bottom w:val="single" w:sz="4" w:space="0" w:color="auto"/>
            </w:tcBorders>
          </w:tcPr>
          <w:p w:rsidR="00142353" w:rsidRPr="00D96B14" w:rsidRDefault="00142353" w:rsidP="004843DB">
            <w:pPr>
              <w:pStyle w:val="TableofFigures"/>
              <w:rPr>
                <w:noProof/>
              </w:rPr>
            </w:pPr>
          </w:p>
        </w:tc>
        <w:tc>
          <w:tcPr>
            <w:tcW w:w="1077" w:type="dxa"/>
            <w:tcBorders>
              <w:bottom w:val="single" w:sz="4" w:space="0" w:color="auto"/>
            </w:tcBorders>
          </w:tcPr>
          <w:p w:rsidR="00142353" w:rsidRPr="00D96B14" w:rsidRDefault="00142353" w:rsidP="004843DB">
            <w:pPr>
              <w:pStyle w:val="TableofFigures"/>
              <w:rPr>
                <w:noProof/>
              </w:rPr>
            </w:pPr>
          </w:p>
        </w:tc>
        <w:tc>
          <w:tcPr>
            <w:tcW w:w="1077" w:type="dxa"/>
            <w:tcBorders>
              <w:bottom w:val="single" w:sz="4" w:space="0" w:color="auto"/>
            </w:tcBorders>
          </w:tcPr>
          <w:p w:rsidR="00142353" w:rsidRPr="00D96B14" w:rsidRDefault="00142353" w:rsidP="004843DB">
            <w:pPr>
              <w:pStyle w:val="TableofFigures"/>
              <w:rPr>
                <w:noProof/>
              </w:rPr>
            </w:pPr>
          </w:p>
        </w:tc>
      </w:tr>
      <w:tr w:rsidR="00142353" w:rsidRPr="00D96B14" w:rsidTr="004843DB">
        <w:trPr>
          <w:cantSplit/>
        </w:trPr>
        <w:tc>
          <w:tcPr>
            <w:tcW w:w="3288" w:type="dxa"/>
            <w:tcBorders>
              <w:bottom w:val="single" w:sz="12" w:space="0" w:color="auto"/>
            </w:tcBorders>
            <w:shd w:val="clear" w:color="auto" w:fill="auto"/>
          </w:tcPr>
          <w:p w:rsidR="00142353" w:rsidRPr="00D96B14" w:rsidRDefault="00142353" w:rsidP="004843DB">
            <w:pPr>
              <w:pStyle w:val="Tabletext"/>
            </w:pPr>
          </w:p>
        </w:tc>
        <w:tc>
          <w:tcPr>
            <w:tcW w:w="1559" w:type="dxa"/>
            <w:tcBorders>
              <w:bottom w:val="single" w:sz="12" w:space="0" w:color="auto"/>
            </w:tcBorders>
            <w:shd w:val="clear" w:color="auto" w:fill="auto"/>
          </w:tcPr>
          <w:p w:rsidR="00142353" w:rsidRPr="00D96B14" w:rsidRDefault="00142353" w:rsidP="004843DB">
            <w:pPr>
              <w:pStyle w:val="Tabletext"/>
              <w:jc w:val="center"/>
            </w:pPr>
          </w:p>
        </w:tc>
        <w:tc>
          <w:tcPr>
            <w:tcW w:w="1077" w:type="dxa"/>
            <w:tcBorders>
              <w:bottom w:val="single" w:sz="12" w:space="0" w:color="auto"/>
            </w:tcBorders>
          </w:tcPr>
          <w:p w:rsidR="00142353" w:rsidRPr="00D96B14" w:rsidRDefault="00142353" w:rsidP="004843DB">
            <w:pPr>
              <w:pStyle w:val="TableofFigures"/>
              <w:rPr>
                <w:noProof/>
              </w:rPr>
            </w:pPr>
          </w:p>
        </w:tc>
        <w:tc>
          <w:tcPr>
            <w:tcW w:w="1077" w:type="dxa"/>
            <w:tcBorders>
              <w:bottom w:val="single" w:sz="12" w:space="0" w:color="auto"/>
            </w:tcBorders>
          </w:tcPr>
          <w:p w:rsidR="00142353" w:rsidRPr="00D96B14" w:rsidRDefault="00142353" w:rsidP="004843DB">
            <w:pPr>
              <w:pStyle w:val="TableofFigures"/>
              <w:rPr>
                <w:noProof/>
              </w:rPr>
            </w:pPr>
          </w:p>
        </w:tc>
        <w:tc>
          <w:tcPr>
            <w:tcW w:w="1077" w:type="dxa"/>
            <w:tcBorders>
              <w:bottom w:val="single" w:sz="12" w:space="0" w:color="auto"/>
            </w:tcBorders>
          </w:tcPr>
          <w:p w:rsidR="00142353" w:rsidRPr="00D96B14" w:rsidRDefault="00142353" w:rsidP="004843DB">
            <w:pPr>
              <w:pStyle w:val="TableofFigures"/>
              <w:rPr>
                <w:noProof/>
              </w:rPr>
            </w:pPr>
          </w:p>
        </w:tc>
      </w:tr>
    </w:tbl>
    <w:p w:rsidR="00142353" w:rsidRPr="00D96B14" w:rsidRDefault="00142353" w:rsidP="00142353">
      <w:pPr>
        <w:pStyle w:val="SmallLine"/>
      </w:pPr>
    </w:p>
    <w:p w:rsidR="00142353" w:rsidRPr="00D96B14" w:rsidRDefault="00142353" w:rsidP="00142353">
      <w:pPr>
        <w:pStyle w:val="NormalBlue"/>
        <w:rPr>
          <w:i/>
        </w:rPr>
      </w:pPr>
      <w:r w:rsidRPr="00D96B14">
        <w:rPr>
          <w:i/>
        </w:rPr>
        <w:t xml:space="preserve">[Where possible, departments should include the relevant outputs and their performance covered under the </w:t>
      </w:r>
      <w:r w:rsidR="005A4BB0">
        <w:rPr>
          <w:i/>
        </w:rPr>
        <w:t>‘</w:t>
      </w:r>
      <w:r w:rsidRPr="00D96B14">
        <w:rPr>
          <w:i/>
        </w:rPr>
        <w:t>Performance against output performance measures</w:t>
      </w:r>
      <w:r w:rsidR="005A4BB0">
        <w:rPr>
          <w:i/>
        </w:rPr>
        <w:t>’</w:t>
      </w:r>
      <w:r w:rsidRPr="00D96B14">
        <w:rPr>
          <w:i/>
        </w:rPr>
        <w:t xml:space="preserve"> section to strengthen the link between the departmental objectives and outputs performance reporting].</w:t>
      </w:r>
    </w:p>
    <w:p w:rsidR="00142353" w:rsidRPr="00D96B14" w:rsidRDefault="00142353" w:rsidP="00142353">
      <w:pPr>
        <w:rPr>
          <w:i/>
        </w:rPr>
      </w:pPr>
      <w:r w:rsidRPr="00D96B14">
        <w:rPr>
          <w:i/>
        </w:rPr>
        <w:t>Departmental objective 2</w:t>
      </w:r>
    </w:p>
    <w:p w:rsidR="00142353" w:rsidRPr="00D96B14" w:rsidRDefault="00142353" w:rsidP="00142353">
      <w:pPr>
        <w:pStyle w:val="NormalBlue"/>
        <w:rPr>
          <w:i/>
        </w:rPr>
      </w:pPr>
      <w:r w:rsidRPr="00D96B14">
        <w:rPr>
          <w:i/>
        </w:rPr>
        <w:t>[Departments should describe the departmental objective to make clear the department</w:t>
      </w:r>
      <w:r w:rsidR="005A4BB0">
        <w:rPr>
          <w:i/>
        </w:rPr>
        <w:t>’</w:t>
      </w:r>
      <w:r w:rsidRPr="00D96B14">
        <w:rPr>
          <w:i/>
        </w:rPr>
        <w: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w:t>
      </w:r>
    </w:p>
    <w:p w:rsidR="00142353" w:rsidRPr="00D96B14" w:rsidRDefault="00142353" w:rsidP="00142353">
      <w:pPr>
        <w:pStyle w:val="NormalBlue"/>
        <w:rPr>
          <w:i/>
        </w:rPr>
      </w:pPr>
      <w:r w:rsidRPr="00D96B14">
        <w:rPr>
          <w:i/>
        </w:rPr>
        <w:t>[Departments should include a performance progress story for departmental objective 2 based on the evaluation and interaction of trend information for the associated indicators provided in this section. Include a description of the environment (past, current and an indication of the future) and any relevant issues/shortcomings affecting the performance story as demonstrated by the indicators that should be taken into account, including any areas for future improvements.]</w:t>
      </w:r>
    </w:p>
    <w:p w:rsidR="00142353" w:rsidRPr="00D96B14" w:rsidRDefault="00142353" w:rsidP="00142353">
      <w:pPr>
        <w:pStyle w:val="NormalBlue"/>
        <w:rPr>
          <w:i/>
        </w:rPr>
      </w:pPr>
      <w:r w:rsidRPr="00D96B14">
        <w:rPr>
          <w:rFonts w:cs="Arial Narrow"/>
          <w:i/>
        </w:rPr>
        <w:t>[Departments should also disclose any key initiatives and/or projects that have contributed to changes in the associated indicators. Where appropriate, departments may also introduce the revised indicators as published in the 2016</w:t>
      </w:r>
      <w:r w:rsidR="005A4BB0">
        <w:rPr>
          <w:rFonts w:cs="Arial Narrow"/>
          <w:i/>
        </w:rPr>
        <w:noBreakHyphen/>
      </w:r>
      <w:r w:rsidRPr="00D96B14">
        <w:rPr>
          <w:rFonts w:cs="Arial Narrow"/>
          <w:i/>
        </w:rPr>
        <w:t>17 Budget to help explain performance.]</w:t>
      </w:r>
    </w:p>
    <w:p w:rsidR="00142353" w:rsidRPr="00D96B14" w:rsidRDefault="00142353" w:rsidP="00142353">
      <w:pPr>
        <w:pStyle w:val="NormalBlue"/>
        <w:rPr>
          <w:i/>
        </w:rPr>
      </w:pPr>
      <w:r w:rsidRPr="00D96B14">
        <w:rPr>
          <w:i/>
        </w:rPr>
        <w:t>[Departments should include the relevant trend information for each indicator associated with departmental objective 2.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 towards achieving the objective].</w:t>
      </w:r>
    </w:p>
    <w:p w:rsidR="00142353" w:rsidRPr="00D96B14" w:rsidRDefault="00142353" w:rsidP="00142353">
      <w:pPr>
        <w:spacing w:after="120"/>
        <w:rPr>
          <w:rFonts w:ascii="Calibri" w:hAnsi="Calibri" w:cs="Arial"/>
          <w:b/>
          <w:bCs/>
          <w:sz w:val="21"/>
          <w:szCs w:val="20"/>
        </w:rPr>
      </w:pPr>
      <w:r w:rsidRPr="00D96B14">
        <w:rPr>
          <w:rFonts w:ascii="Calibri" w:hAnsi="Calibri" w:cs="Arial"/>
          <w:b/>
          <w:bCs/>
          <w:sz w:val="21"/>
          <w:szCs w:val="20"/>
        </w:rPr>
        <w:t>Table 3 – Progress towards objective 2</w:t>
      </w:r>
    </w:p>
    <w:tbl>
      <w:tblPr>
        <w:tblW w:w="8078" w:type="dxa"/>
        <w:tblInd w:w="43" w:type="dxa"/>
        <w:tblBorders>
          <w:top w:val="single" w:sz="4" w:space="0" w:color="auto"/>
          <w:bottom w:val="single" w:sz="12" w:space="0" w:color="auto"/>
          <w:insideH w:val="single" w:sz="4" w:space="0" w:color="auto"/>
        </w:tblBorders>
        <w:tblCellMar>
          <w:left w:w="43" w:type="dxa"/>
          <w:right w:w="43" w:type="dxa"/>
        </w:tblCellMar>
        <w:tblLook w:val="04A0" w:firstRow="1" w:lastRow="0" w:firstColumn="1" w:lastColumn="0" w:noHBand="0" w:noVBand="1"/>
      </w:tblPr>
      <w:tblGrid>
        <w:gridCol w:w="3288"/>
        <w:gridCol w:w="1559"/>
        <w:gridCol w:w="1077"/>
        <w:gridCol w:w="1077"/>
        <w:gridCol w:w="1077"/>
      </w:tblGrid>
      <w:tr w:rsidR="00142353" w:rsidRPr="00D96B14" w:rsidTr="004843DB">
        <w:trPr>
          <w:cantSplit/>
        </w:trPr>
        <w:tc>
          <w:tcPr>
            <w:tcW w:w="3288" w:type="dxa"/>
            <w:shd w:val="clear" w:color="auto" w:fill="000000" w:themeFill="text1"/>
          </w:tcPr>
          <w:p w:rsidR="00142353" w:rsidRPr="00D96B14" w:rsidRDefault="00142353" w:rsidP="004843DB">
            <w:pPr>
              <w:pStyle w:val="TabletextheadingLeft"/>
            </w:pPr>
            <w:r w:rsidRPr="00D96B14">
              <w:t>Indicator</w:t>
            </w:r>
          </w:p>
        </w:tc>
        <w:tc>
          <w:tcPr>
            <w:tcW w:w="1559" w:type="dxa"/>
            <w:shd w:val="clear" w:color="auto" w:fill="000000" w:themeFill="text1"/>
          </w:tcPr>
          <w:p w:rsidR="00142353" w:rsidRPr="00D96B14" w:rsidRDefault="00142353" w:rsidP="004843DB">
            <w:pPr>
              <w:pStyle w:val="TabletextheadingCentred"/>
            </w:pPr>
            <w:r w:rsidRPr="00D96B14">
              <w:t>Unit of measure</w:t>
            </w:r>
          </w:p>
        </w:tc>
        <w:tc>
          <w:tcPr>
            <w:tcW w:w="1077" w:type="dxa"/>
            <w:shd w:val="clear" w:color="auto" w:fill="000000" w:themeFill="text1"/>
          </w:tcPr>
          <w:p w:rsidR="00142353" w:rsidRPr="00D96B14" w:rsidRDefault="00142353" w:rsidP="004843DB">
            <w:pPr>
              <w:pStyle w:val="Tabletextheading"/>
            </w:pPr>
            <w:r w:rsidRPr="00D96B14">
              <w:t>2013</w:t>
            </w:r>
            <w:r w:rsidR="005A4BB0">
              <w:noBreakHyphen/>
            </w:r>
            <w:r w:rsidRPr="00D96B14">
              <w:t>14</w:t>
            </w:r>
          </w:p>
        </w:tc>
        <w:tc>
          <w:tcPr>
            <w:tcW w:w="1077" w:type="dxa"/>
            <w:shd w:val="clear" w:color="auto" w:fill="000000" w:themeFill="text1"/>
          </w:tcPr>
          <w:p w:rsidR="00142353" w:rsidRPr="00D96B14" w:rsidRDefault="00142353" w:rsidP="004843DB">
            <w:pPr>
              <w:pStyle w:val="Tabletextheading"/>
            </w:pPr>
            <w:r w:rsidRPr="00D96B14">
              <w:t>2014</w:t>
            </w:r>
            <w:r w:rsidR="005A4BB0">
              <w:noBreakHyphen/>
            </w:r>
            <w:r w:rsidRPr="00D96B14">
              <w:t>15</w:t>
            </w:r>
          </w:p>
        </w:tc>
        <w:tc>
          <w:tcPr>
            <w:tcW w:w="1077" w:type="dxa"/>
            <w:shd w:val="clear" w:color="auto" w:fill="000000" w:themeFill="text1"/>
          </w:tcPr>
          <w:p w:rsidR="00142353" w:rsidRPr="00D96B14" w:rsidRDefault="00142353" w:rsidP="004843DB">
            <w:pPr>
              <w:pStyle w:val="Tabletextheading"/>
            </w:pPr>
            <w:r w:rsidRPr="00D96B14">
              <w:t>2015</w:t>
            </w:r>
            <w:r w:rsidR="005A4BB0">
              <w:noBreakHyphen/>
            </w:r>
            <w:r w:rsidRPr="00D96B14">
              <w:t>16</w:t>
            </w:r>
          </w:p>
        </w:tc>
      </w:tr>
      <w:tr w:rsidR="00142353" w:rsidRPr="00D96B14" w:rsidTr="004843DB">
        <w:trPr>
          <w:cantSplit/>
        </w:trPr>
        <w:tc>
          <w:tcPr>
            <w:tcW w:w="3288" w:type="dxa"/>
            <w:shd w:val="clear" w:color="auto" w:fill="auto"/>
          </w:tcPr>
          <w:p w:rsidR="00142353" w:rsidRPr="00D96B14" w:rsidRDefault="00142353" w:rsidP="004843DB">
            <w:pPr>
              <w:pStyle w:val="Tabletext"/>
            </w:pPr>
          </w:p>
        </w:tc>
        <w:tc>
          <w:tcPr>
            <w:tcW w:w="1559" w:type="dxa"/>
            <w:shd w:val="clear" w:color="auto" w:fill="auto"/>
          </w:tcPr>
          <w:p w:rsidR="00142353" w:rsidRPr="00D96B14" w:rsidRDefault="00142353" w:rsidP="004843DB">
            <w:pPr>
              <w:pStyle w:val="Tabletext"/>
              <w:jc w:val="center"/>
            </w:pPr>
          </w:p>
        </w:tc>
        <w:tc>
          <w:tcPr>
            <w:tcW w:w="1077" w:type="dxa"/>
          </w:tcPr>
          <w:p w:rsidR="00142353" w:rsidRPr="00D96B14" w:rsidRDefault="00142353" w:rsidP="004843DB">
            <w:pPr>
              <w:pStyle w:val="TableofFigures"/>
              <w:rPr>
                <w:noProof/>
              </w:rPr>
            </w:pPr>
          </w:p>
        </w:tc>
        <w:tc>
          <w:tcPr>
            <w:tcW w:w="1077" w:type="dxa"/>
          </w:tcPr>
          <w:p w:rsidR="00142353" w:rsidRPr="00D96B14" w:rsidRDefault="00142353" w:rsidP="004843DB">
            <w:pPr>
              <w:pStyle w:val="TableofFigures"/>
              <w:rPr>
                <w:noProof/>
              </w:rPr>
            </w:pPr>
          </w:p>
        </w:tc>
        <w:tc>
          <w:tcPr>
            <w:tcW w:w="1077" w:type="dxa"/>
          </w:tcPr>
          <w:p w:rsidR="00142353" w:rsidRPr="00D96B14" w:rsidRDefault="00142353" w:rsidP="004843DB">
            <w:pPr>
              <w:pStyle w:val="TableofFigures"/>
              <w:rPr>
                <w:noProof/>
              </w:rPr>
            </w:pPr>
          </w:p>
        </w:tc>
      </w:tr>
      <w:tr w:rsidR="00142353" w:rsidRPr="00D96B14" w:rsidTr="004843DB">
        <w:trPr>
          <w:cantSplit/>
        </w:trPr>
        <w:tc>
          <w:tcPr>
            <w:tcW w:w="3288" w:type="dxa"/>
            <w:shd w:val="clear" w:color="auto" w:fill="auto"/>
          </w:tcPr>
          <w:p w:rsidR="00142353" w:rsidRPr="00D96B14" w:rsidRDefault="00142353" w:rsidP="004843DB">
            <w:pPr>
              <w:pStyle w:val="Tabletext"/>
            </w:pPr>
          </w:p>
        </w:tc>
        <w:tc>
          <w:tcPr>
            <w:tcW w:w="1559" w:type="dxa"/>
            <w:shd w:val="clear" w:color="auto" w:fill="auto"/>
          </w:tcPr>
          <w:p w:rsidR="00142353" w:rsidRPr="00D96B14" w:rsidRDefault="00142353" w:rsidP="004843DB">
            <w:pPr>
              <w:pStyle w:val="Tabletext"/>
              <w:jc w:val="center"/>
            </w:pPr>
          </w:p>
        </w:tc>
        <w:tc>
          <w:tcPr>
            <w:tcW w:w="1077" w:type="dxa"/>
          </w:tcPr>
          <w:p w:rsidR="00142353" w:rsidRPr="00D96B14" w:rsidRDefault="00142353" w:rsidP="004843DB">
            <w:pPr>
              <w:pStyle w:val="TableofFigures"/>
              <w:rPr>
                <w:noProof/>
              </w:rPr>
            </w:pPr>
          </w:p>
        </w:tc>
        <w:tc>
          <w:tcPr>
            <w:tcW w:w="1077" w:type="dxa"/>
          </w:tcPr>
          <w:p w:rsidR="00142353" w:rsidRPr="00D96B14" w:rsidRDefault="00142353" w:rsidP="004843DB">
            <w:pPr>
              <w:pStyle w:val="TableofFigures"/>
              <w:rPr>
                <w:noProof/>
              </w:rPr>
            </w:pPr>
          </w:p>
        </w:tc>
        <w:tc>
          <w:tcPr>
            <w:tcW w:w="1077" w:type="dxa"/>
          </w:tcPr>
          <w:p w:rsidR="00142353" w:rsidRPr="00D96B14" w:rsidRDefault="00142353" w:rsidP="004843DB">
            <w:pPr>
              <w:pStyle w:val="TableofFigures"/>
              <w:rPr>
                <w:noProof/>
              </w:rPr>
            </w:pPr>
          </w:p>
        </w:tc>
      </w:tr>
    </w:tbl>
    <w:p w:rsidR="00142353" w:rsidRPr="00D96B14" w:rsidRDefault="00142353" w:rsidP="00142353">
      <w:pPr>
        <w:pStyle w:val="NormalBlue"/>
        <w:rPr>
          <w:i/>
        </w:rPr>
      </w:pPr>
      <w:r w:rsidRPr="00D96B14">
        <w:rPr>
          <w:i/>
        </w:rPr>
        <w:t xml:space="preserve">[Where possible, departments should include the relevant outputs and their performance covered under the </w:t>
      </w:r>
      <w:r w:rsidR="005A4BB0">
        <w:rPr>
          <w:i/>
        </w:rPr>
        <w:t>‘</w:t>
      </w:r>
      <w:r w:rsidRPr="00D96B14">
        <w:rPr>
          <w:i/>
        </w:rPr>
        <w:t>Performance against output performance measures</w:t>
      </w:r>
      <w:r w:rsidR="005A4BB0">
        <w:rPr>
          <w:i/>
        </w:rPr>
        <w:t>’</w:t>
      </w:r>
      <w:r w:rsidRPr="00D96B14">
        <w:rPr>
          <w:i/>
        </w:rPr>
        <w:t xml:space="preserve"> section to strengthen the link between department objectives and outputs performance reporting.]</w:t>
      </w:r>
    </w:p>
    <w:p w:rsidR="00142353" w:rsidRPr="00D96B14" w:rsidRDefault="00142353" w:rsidP="00142353"/>
    <w:p w:rsidR="00142353" w:rsidRPr="00D96B14" w:rsidRDefault="00142353" w:rsidP="00142353">
      <w:pPr>
        <w:spacing w:line="240" w:lineRule="atLeast"/>
        <w:rPr>
          <w:sz w:val="4"/>
          <w:szCs w:val="4"/>
        </w:rPr>
      </w:pPr>
      <w:r w:rsidRPr="00D96B14">
        <w:br w:type="page"/>
      </w:r>
    </w:p>
    <w:p w:rsidR="00142353" w:rsidRPr="00D96B14" w:rsidRDefault="00142353" w:rsidP="00142353">
      <w:pPr>
        <w:pStyle w:val="SmallLine"/>
      </w:pPr>
    </w:p>
    <w:p w:rsidR="00142353" w:rsidRPr="00D96B14" w:rsidRDefault="00142353" w:rsidP="00142353">
      <w:pPr>
        <w:pStyle w:val="ReferenceRed"/>
      </w:pPr>
    </w:p>
    <w:p w:rsidR="00142353" w:rsidRPr="00D96B14" w:rsidRDefault="00142353" w:rsidP="00142353">
      <w:pPr>
        <w:pStyle w:val="ReferenceRed"/>
      </w:pPr>
    </w:p>
    <w:p w:rsidR="00142353" w:rsidRPr="00D96B14" w:rsidRDefault="00142353" w:rsidP="00142353">
      <w:pPr>
        <w:pStyle w:val="ReferenceRed"/>
      </w:pPr>
    </w:p>
    <w:p w:rsidR="00142353" w:rsidRPr="00D96B14" w:rsidRDefault="00142353" w:rsidP="00142353">
      <w:pPr>
        <w:pStyle w:val="ReferenceRed"/>
      </w:pPr>
    </w:p>
    <w:p w:rsidR="00142353" w:rsidRPr="00D96B14" w:rsidRDefault="00142353" w:rsidP="00142353">
      <w:pPr>
        <w:pStyle w:val="ReferenceRed"/>
      </w:pPr>
    </w:p>
    <w:p w:rsidR="00142353" w:rsidRPr="00D96B14" w:rsidRDefault="00142353" w:rsidP="00142353">
      <w:pPr>
        <w:pStyle w:val="ReferenceRed"/>
      </w:pPr>
    </w:p>
    <w:p w:rsidR="00142353" w:rsidRPr="00D96B14" w:rsidRDefault="00142353" w:rsidP="00142353">
      <w:pPr>
        <w:pStyle w:val="ReferenceRed"/>
      </w:pPr>
    </w:p>
    <w:p w:rsidR="00142353" w:rsidRPr="00D96B14" w:rsidRDefault="00142353" w:rsidP="00142353">
      <w:pPr>
        <w:pStyle w:val="ReferenceRed"/>
      </w:pPr>
    </w:p>
    <w:p w:rsidR="00142353" w:rsidRPr="00D96B14" w:rsidRDefault="00142353" w:rsidP="00142353">
      <w:pPr>
        <w:pStyle w:val="ReferenceRed"/>
      </w:pPr>
    </w:p>
    <w:p w:rsidR="00142353" w:rsidRPr="00D96B14" w:rsidRDefault="00142353" w:rsidP="00142353">
      <w:pPr>
        <w:pStyle w:val="ReferenceRed"/>
      </w:pPr>
    </w:p>
    <w:p w:rsidR="00142353" w:rsidRPr="00D96B14" w:rsidRDefault="00142353" w:rsidP="00142353">
      <w:pPr>
        <w:pStyle w:val="ReferenceRed"/>
      </w:pPr>
    </w:p>
    <w:p w:rsidR="00142353" w:rsidRPr="00D96B14" w:rsidRDefault="00142353" w:rsidP="00142353">
      <w:pPr>
        <w:pStyle w:val="ReferenceRed"/>
        <w:spacing w:before="240"/>
      </w:pPr>
      <w:r w:rsidRPr="00D96B14">
        <w:br/>
        <w:t>New</w:t>
      </w:r>
    </w:p>
    <w:p w:rsidR="00142353" w:rsidRPr="00D96B14" w:rsidRDefault="00142353" w:rsidP="00142353">
      <w:pPr>
        <w:pStyle w:val="SmallLine"/>
      </w:pPr>
    </w:p>
    <w:p w:rsidR="00142353" w:rsidRPr="00D96B14" w:rsidRDefault="00142353" w:rsidP="00142353">
      <w:pPr>
        <w:pStyle w:val="SmallLine"/>
      </w:pPr>
      <w:r w:rsidRPr="00D96B14">
        <w:br w:type="column"/>
      </w:r>
    </w:p>
    <w:p w:rsidR="00142353" w:rsidRPr="00D96B14" w:rsidRDefault="00142353" w:rsidP="00142353">
      <w:pPr>
        <w:pStyle w:val="CommentaryHeading"/>
      </w:pPr>
      <w:r w:rsidRPr="00D96B14">
        <w:t>Commentary – Reporting progress towards achieving departmental objectives in the report of operations</w:t>
      </w:r>
    </w:p>
    <w:p w:rsidR="00142353" w:rsidRPr="00D96B14" w:rsidRDefault="00142353" w:rsidP="00142353">
      <w:pPr>
        <w:pStyle w:val="SmallLineBlue"/>
      </w:pPr>
    </w:p>
    <w:p w:rsidR="00142353" w:rsidRPr="00D96B14" w:rsidRDefault="00142353" w:rsidP="00142353">
      <w:pPr>
        <w:pStyle w:val="CommentaryText"/>
      </w:pPr>
      <w:r w:rsidRPr="00D96B14">
        <w:t>In May 2013, the Government introduced the use of objective indicators in the 2013</w:t>
      </w:r>
      <w:r w:rsidR="005A4BB0">
        <w:noBreakHyphen/>
      </w:r>
      <w:r w:rsidRPr="00D96B14">
        <w:t xml:space="preserve">14 Budget Paper No. 3 </w:t>
      </w:r>
      <w:r w:rsidRPr="00D96B14">
        <w:rPr>
          <w:i/>
        </w:rPr>
        <w:t>Service Delivery</w:t>
      </w:r>
      <w:r w:rsidRPr="00D96B14">
        <w:t xml:space="preserve"> (BP3) to provide information on progress in the achievement of objectives. The government also made a commitment in BP3 to report progress figures in each department</w:t>
      </w:r>
      <w:r w:rsidR="005A4BB0">
        <w:t>’</w:t>
      </w:r>
      <w:r w:rsidRPr="00D96B14">
        <w:t xml:space="preserve">s annual report. </w:t>
      </w:r>
    </w:p>
    <w:p w:rsidR="00142353" w:rsidRPr="00D96B14" w:rsidRDefault="00142353" w:rsidP="00142353">
      <w:pPr>
        <w:pStyle w:val="CommentaryHeading1"/>
      </w:pPr>
      <w:r w:rsidRPr="00D96B14">
        <w:t>Guidance</w:t>
      </w:r>
    </w:p>
    <w:p w:rsidR="00142353" w:rsidRPr="00D96B14" w:rsidRDefault="00142353" w:rsidP="00142353">
      <w:pPr>
        <w:pStyle w:val="CommentaryText"/>
      </w:pPr>
      <w:r w:rsidRPr="00D96B14">
        <w:t>In this section, Departments should communicate the performance story for each departmental objective based on the indicator information over time (minimum four years). Given departmental indicators were only introduced in the 2013</w:t>
      </w:r>
      <w:r w:rsidR="005A4BB0">
        <w:noBreakHyphen/>
      </w:r>
      <w:r w:rsidRPr="00D96B14">
        <w:t>14 BP3, the reporting requirement on progress is currently illustrated for three years only. Although not manadatory, developing a baseline and medium</w:t>
      </w:r>
      <w:r w:rsidR="005A4BB0">
        <w:noBreakHyphen/>
      </w:r>
      <w:r w:rsidRPr="00D96B14">
        <w:t>term target/standard for the indicators would facilitate communicating performance progress. In some instances, appropriate graphical representation of this information would potentially enhance performance reporting, for example:</w:t>
      </w:r>
    </w:p>
    <w:p w:rsidR="00142353" w:rsidRPr="00D96B14" w:rsidRDefault="00142353" w:rsidP="00142353">
      <w:pPr>
        <w:pStyle w:val="CommentaryText"/>
        <w:rPr>
          <w:rFonts w:ascii="Helv" w:hAnsi="Helv" w:cs="Helv"/>
          <w:color w:val="000000"/>
          <w:sz w:val="20"/>
          <w:szCs w:val="20"/>
        </w:rPr>
      </w:pPr>
      <w:r w:rsidRPr="00D96B14">
        <w:t>In 2015</w:t>
      </w:r>
      <w:r w:rsidR="005A4BB0">
        <w:noBreakHyphen/>
      </w:r>
      <w:r w:rsidRPr="00D96B14">
        <w:t>16, there were a total of 60,000 Victorians being serviced by the department. The number of Victorians using these services has decreased by 14 per cent from 70,000 over the past three years (see Figure 1).</w:t>
      </w:r>
    </w:p>
    <w:p w:rsidR="00142353" w:rsidRPr="00D96B14" w:rsidRDefault="00142353" w:rsidP="00142353">
      <w:pPr>
        <w:pStyle w:val="CommentaryText"/>
      </w:pPr>
      <w:r w:rsidRPr="00D96B14">
        <w:t>In 2015</w:t>
      </w:r>
      <w:r w:rsidR="005A4BB0">
        <w:noBreakHyphen/>
      </w:r>
      <w:r w:rsidRPr="00D96B14">
        <w:t>16, 61 per cent of clients were satisfied with the level of services provided. This result was above the national average of 60 per cent, and represented a 2.2 per cent increase from 2014</w:t>
      </w:r>
      <w:r w:rsidR="005A4BB0">
        <w:noBreakHyphen/>
      </w:r>
      <w:r w:rsidRPr="00D96B14">
        <w:t>15 (58.8 per cent). There has been minimal variation in satisfaction levels over the three years (see Figure 2).</w:t>
      </w:r>
    </w:p>
    <w:p w:rsidR="00142353" w:rsidRPr="00D96B14" w:rsidRDefault="00142353" w:rsidP="00142353">
      <w:pPr>
        <w:pStyle w:val="CommentaryText"/>
        <w:jc w:val="center"/>
      </w:pPr>
      <w:r w:rsidRPr="00D96B14">
        <w:rPr>
          <w:rFonts w:ascii="Helv" w:hAnsi="Helv" w:cs="Helv"/>
          <w:color w:val="000000"/>
          <w:sz w:val="20"/>
          <w:szCs w:val="20"/>
        </w:rPr>
        <w:drawing>
          <wp:inline distT="0" distB="0" distL="0" distR="0" wp14:anchorId="5D74C91F" wp14:editId="64548958">
            <wp:extent cx="5018887" cy="21555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018887" cy="2155548"/>
                    </a:xfrm>
                    <a:prstGeom prst="rect">
                      <a:avLst/>
                    </a:prstGeom>
                    <a:noFill/>
                    <a:ln>
                      <a:noFill/>
                    </a:ln>
                  </pic:spPr>
                </pic:pic>
              </a:graphicData>
            </a:graphic>
          </wp:inline>
        </w:drawing>
      </w:r>
    </w:p>
    <w:p w:rsidR="00142353" w:rsidRPr="00D96B14" w:rsidRDefault="00142353" w:rsidP="00142353">
      <w:pPr>
        <w:keepLines/>
        <w:autoSpaceDE w:val="0"/>
        <w:autoSpaceDN w:val="0"/>
        <w:adjustRightInd w:val="0"/>
        <w:spacing w:before="0"/>
        <w:rPr>
          <w:rFonts w:ascii="Tms Rmn" w:hAnsi="Tms Rmn"/>
          <w:sz w:val="24"/>
          <w:szCs w:val="24"/>
        </w:rPr>
      </w:pPr>
    </w:p>
    <w:p w:rsidR="00142353" w:rsidRPr="00D96B14" w:rsidRDefault="00142353" w:rsidP="00142353">
      <w:pPr>
        <w:autoSpaceDE w:val="0"/>
        <w:autoSpaceDN w:val="0"/>
        <w:adjustRightInd w:val="0"/>
        <w:spacing w:before="0"/>
        <w:rPr>
          <w:rFonts w:ascii="Helv" w:hAnsi="Helv" w:cs="Helv"/>
          <w:color w:val="000000"/>
          <w:sz w:val="20"/>
          <w:szCs w:val="20"/>
        </w:rPr>
      </w:pPr>
    </w:p>
    <w:p w:rsidR="00142353" w:rsidRPr="00D96B14" w:rsidRDefault="00142353" w:rsidP="00142353">
      <w:pPr>
        <w:autoSpaceDE w:val="0"/>
        <w:autoSpaceDN w:val="0"/>
        <w:adjustRightInd w:val="0"/>
        <w:spacing w:before="0"/>
        <w:rPr>
          <w:rFonts w:ascii="Helv" w:hAnsi="Helv" w:cs="Helv"/>
          <w:color w:val="000000"/>
          <w:sz w:val="20"/>
          <w:szCs w:val="20"/>
        </w:rPr>
      </w:pPr>
    </w:p>
    <w:p w:rsidR="00142353" w:rsidRPr="00D96B14" w:rsidRDefault="00142353" w:rsidP="00142353">
      <w:pPr>
        <w:pStyle w:val="SmallLine"/>
      </w:pPr>
    </w:p>
    <w:p w:rsidR="00142353" w:rsidRPr="00D96B14" w:rsidRDefault="00142353" w:rsidP="00142353">
      <w:pPr>
        <w:pStyle w:val="Heading2"/>
      </w:pPr>
      <w:r w:rsidRPr="00D96B14">
        <w:br w:type="column"/>
      </w:r>
      <w:r w:rsidRPr="00D96B14">
        <w:lastRenderedPageBreak/>
        <w:br w:type="column"/>
      </w:r>
      <w:r w:rsidRPr="00D96B14">
        <w:rPr>
          <w:lang w:val="en-GB"/>
        </w:rPr>
        <w:lastRenderedPageBreak/>
        <w:t>Performance against output performance measures</w:t>
      </w:r>
    </w:p>
    <w:p w:rsidR="00142353" w:rsidRPr="00D96B14" w:rsidRDefault="00142353" w:rsidP="00142353">
      <w:pPr>
        <w:pStyle w:val="NormalBlue"/>
        <w:rPr>
          <w:i/>
        </w:rPr>
      </w:pPr>
      <w:r w:rsidRPr="00D96B14">
        <w:rPr>
          <w:i/>
        </w:rPr>
        <w:t>[Where possible, departments should consider including the output performance information under the relevant departmental objective to strengthen the link between department objectives and outputs performance reporting.]</w:t>
      </w:r>
    </w:p>
    <w:p w:rsidR="00142353" w:rsidRPr="00D96B14" w:rsidRDefault="00142353" w:rsidP="00142353">
      <w:pPr>
        <w:pStyle w:val="Reference"/>
        <w:rPr>
          <w:rFonts w:cs="Arial"/>
          <w:b/>
          <w:sz w:val="24"/>
          <w:szCs w:val="24"/>
        </w:rPr>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Reference"/>
        <w:spacing w:before="200"/>
      </w:pPr>
      <w:r w:rsidRPr="00D96B14">
        <w:lastRenderedPageBreak/>
        <w:t>FRD 8D</w:t>
      </w:r>
    </w:p>
    <w:p w:rsidR="00142353" w:rsidRPr="00D96B14" w:rsidRDefault="00142353" w:rsidP="00142353">
      <w:pPr>
        <w:pStyle w:val="ReferenceRed"/>
        <w:spacing w:after="120"/>
        <w:rPr>
          <w:color w:val="0000FF"/>
        </w:rPr>
      </w:pPr>
    </w:p>
    <w:p w:rsidR="00142353" w:rsidRPr="00D96B14" w:rsidRDefault="00142353" w:rsidP="00142353">
      <w:pPr>
        <w:pStyle w:val="ReferenceRed"/>
        <w:spacing w:after="120"/>
        <w:rPr>
          <w:color w:val="0000FF"/>
        </w:rPr>
      </w:pPr>
    </w:p>
    <w:p w:rsidR="00142353" w:rsidRPr="00D96B14" w:rsidRDefault="00142353" w:rsidP="00142353">
      <w:pPr>
        <w:pStyle w:val="ReferenceRed"/>
        <w:spacing w:after="120"/>
        <w:rPr>
          <w:color w:val="0000FF"/>
        </w:rPr>
      </w:pPr>
    </w:p>
    <w:p w:rsidR="00142353" w:rsidRPr="00D96B14" w:rsidRDefault="00142353" w:rsidP="00142353">
      <w:pPr>
        <w:pStyle w:val="Reference"/>
      </w:pPr>
      <w:r w:rsidRPr="00D96B14">
        <w:t>FRD 22G</w:t>
      </w:r>
    </w:p>
    <w:p w:rsidR="00142353" w:rsidRPr="00D96B14" w:rsidRDefault="00142353" w:rsidP="00142353">
      <w:pPr>
        <w:pStyle w:val="ReferenceRed"/>
        <w:spacing w:after="120"/>
        <w:rPr>
          <w:color w:val="0000FF"/>
        </w:rPr>
      </w:pPr>
    </w:p>
    <w:p w:rsidR="00142353" w:rsidRPr="00D96B14" w:rsidRDefault="00142353" w:rsidP="00142353">
      <w:pPr>
        <w:pStyle w:val="ReferenceRed"/>
        <w:spacing w:after="120"/>
        <w:rPr>
          <w:color w:val="0000FF"/>
        </w:rPr>
      </w:pPr>
    </w:p>
    <w:p w:rsidR="00142353" w:rsidRPr="00D96B14" w:rsidRDefault="00142353" w:rsidP="00142353">
      <w:pPr>
        <w:pStyle w:val="ReferenceRed"/>
        <w:spacing w:after="120"/>
        <w:rPr>
          <w:color w:val="0000FF"/>
        </w:rPr>
      </w:pPr>
    </w:p>
    <w:p w:rsidR="00142353" w:rsidRPr="00D96B14" w:rsidRDefault="00142353" w:rsidP="00142353">
      <w:pPr>
        <w:pStyle w:val="ReferenceRed"/>
        <w:spacing w:after="120"/>
        <w:rPr>
          <w:color w:val="0000FF"/>
        </w:rPr>
      </w:pPr>
    </w:p>
    <w:p w:rsidR="00142353" w:rsidRPr="00D96B14" w:rsidRDefault="00142353" w:rsidP="00142353">
      <w:pPr>
        <w:pStyle w:val="ReferenceRed"/>
        <w:spacing w:after="120"/>
        <w:rPr>
          <w:color w:val="0000FF"/>
        </w:rPr>
      </w:pPr>
    </w:p>
    <w:p w:rsidR="00142353" w:rsidRPr="00D96B14" w:rsidRDefault="00142353" w:rsidP="00142353">
      <w:pPr>
        <w:pStyle w:val="ReferenceRed"/>
        <w:spacing w:after="120"/>
        <w:rPr>
          <w:color w:val="0000FF"/>
        </w:rPr>
      </w:pPr>
    </w:p>
    <w:p w:rsidR="00142353" w:rsidRPr="00D96B14" w:rsidRDefault="00142353" w:rsidP="00142353">
      <w:pPr>
        <w:pStyle w:val="ReferenceRed"/>
        <w:spacing w:after="120"/>
        <w:rPr>
          <w:color w:val="0000FF"/>
        </w:rPr>
      </w:pPr>
    </w:p>
    <w:p w:rsidR="00142353" w:rsidRPr="00D96B14" w:rsidRDefault="00142353" w:rsidP="00142353">
      <w:pPr>
        <w:pStyle w:val="ReferenceRed"/>
        <w:spacing w:after="120"/>
        <w:rPr>
          <w:color w:val="0000FF"/>
        </w:rPr>
      </w:pPr>
    </w:p>
    <w:p w:rsidR="00142353" w:rsidRPr="00D96B14" w:rsidRDefault="00142353" w:rsidP="00142353">
      <w:pPr>
        <w:pStyle w:val="ReferenceRed"/>
        <w:spacing w:before="120" w:after="120"/>
        <w:rPr>
          <w:color w:val="0000FF"/>
        </w:rPr>
      </w:pPr>
    </w:p>
    <w:p w:rsidR="00142353" w:rsidRPr="00D96B14" w:rsidRDefault="00142353" w:rsidP="00142353">
      <w:pPr>
        <w:pStyle w:val="ReferenceRed"/>
        <w:spacing w:before="240" w:after="120"/>
        <w:rPr>
          <w:color w:val="0000FF"/>
        </w:rPr>
      </w:pPr>
    </w:p>
    <w:p w:rsidR="00142353" w:rsidRPr="00D96B14" w:rsidRDefault="00142353" w:rsidP="00142353">
      <w:r w:rsidRPr="00D96B14">
        <w:br w:type="column"/>
      </w:r>
      <w:r w:rsidRPr="00D96B14">
        <w:lastRenderedPageBreak/>
        <w:t>The following sections outline details of the outputs provided by the Department to the Government, including performance measures and costs for each output, and the actual performance results against budgeted targets by output for the Department over the full year ending 30 June 2016.</w:t>
      </w:r>
    </w:p>
    <w:p w:rsidR="00142353" w:rsidRPr="00D96B14" w:rsidRDefault="00142353" w:rsidP="00142353"/>
    <w:p w:rsidR="00142353" w:rsidRPr="00D96B14" w:rsidRDefault="00142353" w:rsidP="00142353">
      <w:pPr>
        <w:pStyle w:val="CommentaryHeading"/>
      </w:pPr>
      <w:r w:rsidRPr="00D96B14">
        <w:t>Commentary – Key initiatives and projects</w:t>
      </w:r>
    </w:p>
    <w:p w:rsidR="00142353" w:rsidRPr="00D96B14" w:rsidRDefault="00142353" w:rsidP="00142353">
      <w:pPr>
        <w:pStyle w:val="SmallLineBlue"/>
      </w:pPr>
    </w:p>
    <w:p w:rsidR="00142353" w:rsidRPr="00D96B14" w:rsidRDefault="00142353" w:rsidP="00142353">
      <w:pPr>
        <w:pStyle w:val="CommentaryText"/>
      </w:pPr>
      <w:r w:rsidRPr="00D96B14">
        <w:t>Entities are required to provide information about their key initiatives and projects, including any significant changes in key initiatives and projects from previous years and expectations for the future periods. Key initiatives and projects refer to an entity</w:t>
      </w:r>
      <w:r w:rsidR="005A4BB0">
        <w:t>’</w:t>
      </w:r>
      <w:r w:rsidRPr="00D96B14">
        <w:t>s initiatives and projects that are identified in their strategic plan or the equivalent. Each year the discussion should include outcomes achieved on those key initiatives and projects and also any significant changes to the key initiatives and projects that have been previously disclosed or reported upon. The changes that have a material impact on the outcomes or results should also be discussed, and this may include timeline, scope and costs that are relevant to the key initiative or project.</w:t>
      </w:r>
    </w:p>
    <w:p w:rsidR="00142353" w:rsidRPr="00D96B14" w:rsidRDefault="00142353" w:rsidP="00142353">
      <w:pPr>
        <w:pStyle w:val="CommentaryText"/>
        <w:spacing w:before="0"/>
      </w:pPr>
    </w:p>
    <w:p w:rsidR="00142353" w:rsidRPr="00D96B14" w:rsidRDefault="00142353" w:rsidP="00142353">
      <w:pPr>
        <w:pStyle w:val="CommentaryText"/>
        <w:spacing w:before="0"/>
      </w:pPr>
      <w:r w:rsidRPr="00D96B14">
        <w:t>An entity may describe its key initiatives and projects in relation to its outputs where appropriate, preferrably in the section where it provides details on the individual outputs, as shown above. Where an initiative/achievement links to multiple outputs, details should be provided under the output it contributes most to. If necessary, other corresponding outputs may provide reference to it.</w:t>
      </w:r>
    </w:p>
    <w:p w:rsidR="00142353" w:rsidRPr="00D96B14" w:rsidRDefault="00142353" w:rsidP="00142353">
      <w:pPr>
        <w:spacing w:after="120"/>
      </w:pPr>
    </w:p>
    <w:p w:rsidR="00142353" w:rsidRPr="00D96B14" w:rsidRDefault="00142353" w:rsidP="00142353">
      <w:pPr>
        <w:spacing w:after="120"/>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spacing w:line="240" w:lineRule="atLeast"/>
      </w:pPr>
      <w:r w:rsidRPr="00D96B14">
        <w:lastRenderedPageBreak/>
        <w:br w:type="page"/>
      </w:r>
    </w:p>
    <w:p w:rsidR="00142353" w:rsidRPr="00D96B14" w:rsidRDefault="00142353" w:rsidP="00142353">
      <w:pPr>
        <w:pStyle w:val="ReferenceRed"/>
        <w:spacing w:before="480" w:after="120"/>
      </w:pPr>
      <w:r w:rsidRPr="00D96B14">
        <w:rPr>
          <w:color w:val="0000FF"/>
        </w:rPr>
        <w:lastRenderedPageBreak/>
        <w:t>FRD 8D</w:t>
      </w:r>
      <w:r w:rsidRPr="00D96B14">
        <w:br/>
      </w:r>
      <w:r w:rsidRPr="00D96B14">
        <w:br/>
      </w:r>
      <w:r w:rsidRPr="00D96B14">
        <w:br/>
      </w:r>
      <w:r w:rsidRPr="00D96B14">
        <w:br/>
      </w:r>
      <w:r w:rsidRPr="00D96B14">
        <w:br/>
      </w:r>
      <w:r w:rsidRPr="00D96B14">
        <w:br/>
      </w:r>
      <w:r w:rsidRPr="00D96B14">
        <w:br/>
      </w:r>
      <w:r w:rsidRPr="00D96B14">
        <w:br/>
      </w:r>
      <w:r w:rsidRPr="00D96B14">
        <w:br/>
        <w:t>Revised</w:t>
      </w:r>
    </w:p>
    <w:p w:rsidR="00142353" w:rsidRPr="00D96B14" w:rsidRDefault="00142353" w:rsidP="00142353">
      <w:pPr>
        <w:pStyle w:val="ReferenceRed"/>
        <w:rPr>
          <w:color w:val="0000FF"/>
        </w:rPr>
      </w:pPr>
      <w:r w:rsidRPr="00D96B14">
        <w:rPr>
          <w:color w:val="0000FF"/>
        </w:rPr>
        <w:t>FRD 22G</w:t>
      </w:r>
    </w:p>
    <w:p w:rsidR="00142353" w:rsidRPr="00D96B14" w:rsidRDefault="00142353" w:rsidP="00142353">
      <w:pPr>
        <w:pStyle w:val="Reference"/>
        <w:spacing w:before="0"/>
      </w:pPr>
      <w:r w:rsidRPr="00D96B14">
        <w:t>Recommendation 17, PAEC Report 107</w:t>
      </w:r>
    </w:p>
    <w:p w:rsidR="00142353" w:rsidRPr="00D96B14" w:rsidRDefault="00142353" w:rsidP="00142353">
      <w:pPr>
        <w:pStyle w:val="Reference"/>
        <w:spacing w:before="0"/>
      </w:pPr>
    </w:p>
    <w:p w:rsidR="00142353" w:rsidRPr="00D96B14" w:rsidRDefault="00142353" w:rsidP="00142353">
      <w:pPr>
        <w:pStyle w:val="Reference"/>
        <w:spacing w:before="0"/>
      </w:pPr>
    </w:p>
    <w:p w:rsidR="00142353" w:rsidRPr="00D96B14" w:rsidRDefault="00142353" w:rsidP="00142353">
      <w:pPr>
        <w:pStyle w:val="Reference"/>
        <w:spacing w:before="0"/>
      </w:pPr>
    </w:p>
    <w:p w:rsidR="00142353" w:rsidRPr="00D96B14" w:rsidRDefault="00142353" w:rsidP="00142353">
      <w:pPr>
        <w:pStyle w:val="Reference"/>
        <w:spacing w:before="0"/>
      </w:pPr>
    </w:p>
    <w:p w:rsidR="00142353" w:rsidRPr="00D96B14" w:rsidRDefault="00142353" w:rsidP="00142353">
      <w:pPr>
        <w:pStyle w:val="Reference"/>
        <w:spacing w:before="0"/>
      </w:pPr>
    </w:p>
    <w:p w:rsidR="00142353" w:rsidRPr="00D96B14" w:rsidRDefault="00142353" w:rsidP="00142353">
      <w:pPr>
        <w:pStyle w:val="Reference"/>
        <w:spacing w:before="0"/>
      </w:pPr>
    </w:p>
    <w:p w:rsidR="00142353" w:rsidRPr="00D96B14" w:rsidRDefault="00142353" w:rsidP="00142353">
      <w:pPr>
        <w:pStyle w:val="Reference"/>
        <w:spacing w:before="280"/>
      </w:pPr>
      <w:r w:rsidRPr="00D96B14">
        <w:t xml:space="preserve">Recommendations 12 and 32, PAEC Report 107 </w:t>
      </w:r>
    </w:p>
    <w:p w:rsidR="00142353" w:rsidRPr="00D96B14" w:rsidRDefault="00142353" w:rsidP="00142353">
      <w:pPr>
        <w:pStyle w:val="Reference"/>
        <w:spacing w:before="60"/>
        <w:rPr>
          <w:i/>
        </w:rPr>
      </w:pPr>
      <w:r w:rsidRPr="00D96B14">
        <w:t xml:space="preserve">To align with the table format in Budget Paper No. 3 </w:t>
      </w:r>
      <w:r w:rsidRPr="00D96B14">
        <w:rPr>
          <w:i/>
        </w:rPr>
        <w:t>Service Delivery</w:t>
      </w:r>
    </w:p>
    <w:p w:rsidR="00142353" w:rsidRPr="00D96B14" w:rsidRDefault="00142353" w:rsidP="00142353">
      <w:pPr>
        <w:pStyle w:val="Reference"/>
        <w:spacing w:before="300"/>
      </w:pPr>
    </w:p>
    <w:p w:rsidR="00142353" w:rsidRPr="00D96B14" w:rsidRDefault="00142353" w:rsidP="00142353">
      <w:pPr>
        <w:pStyle w:val="Reference"/>
        <w:spacing w:before="300"/>
      </w:pPr>
    </w:p>
    <w:p w:rsidR="00142353" w:rsidRPr="00D96B14" w:rsidRDefault="00142353" w:rsidP="00142353">
      <w:pPr>
        <w:pStyle w:val="Reference"/>
        <w:spacing w:before="300"/>
      </w:pPr>
    </w:p>
    <w:p w:rsidR="00142353" w:rsidRPr="00D96B14" w:rsidRDefault="00142353" w:rsidP="00142353">
      <w:pPr>
        <w:pStyle w:val="Reference"/>
        <w:spacing w:before="300"/>
      </w:pPr>
    </w:p>
    <w:p w:rsidR="00142353" w:rsidRPr="00D96B14" w:rsidRDefault="00142353" w:rsidP="00142353">
      <w:pPr>
        <w:pStyle w:val="Reference"/>
        <w:spacing w:before="300"/>
      </w:pPr>
    </w:p>
    <w:p w:rsidR="00142353" w:rsidRPr="00D96B14" w:rsidRDefault="00142353" w:rsidP="00142353">
      <w:pPr>
        <w:pStyle w:val="Reference"/>
        <w:spacing w:before="300"/>
      </w:pPr>
    </w:p>
    <w:p w:rsidR="00142353" w:rsidRPr="00D96B14" w:rsidRDefault="00142353" w:rsidP="00142353">
      <w:pPr>
        <w:pStyle w:val="Reference"/>
        <w:spacing w:before="300"/>
      </w:pPr>
    </w:p>
    <w:p w:rsidR="00142353" w:rsidRPr="00D96B14" w:rsidRDefault="00142353" w:rsidP="00142353">
      <w:pPr>
        <w:pStyle w:val="Reference"/>
        <w:spacing w:before="300"/>
      </w:pPr>
    </w:p>
    <w:p w:rsidR="00142353" w:rsidRPr="00D96B14" w:rsidRDefault="00142353" w:rsidP="00142353">
      <w:pPr>
        <w:pStyle w:val="Reference"/>
        <w:spacing w:before="400"/>
      </w:pPr>
      <w:r w:rsidRPr="00D96B14">
        <w:t>Recommendations 19 and 36, PAEC Report 118</w:t>
      </w:r>
    </w:p>
    <w:p w:rsidR="00142353" w:rsidRPr="00D96B14" w:rsidRDefault="00142353" w:rsidP="00142353">
      <w:pPr>
        <w:pStyle w:val="Reference"/>
        <w:spacing w:before="0"/>
      </w:pPr>
    </w:p>
    <w:p w:rsidR="00142353" w:rsidRPr="00D96B14" w:rsidRDefault="00142353" w:rsidP="00142353">
      <w:pPr>
        <w:pStyle w:val="Reference"/>
        <w:spacing w:before="0"/>
      </w:pPr>
    </w:p>
    <w:p w:rsidR="00142353" w:rsidRPr="00D96B14" w:rsidRDefault="00142353" w:rsidP="00142353">
      <w:pPr>
        <w:pStyle w:val="Heading3"/>
        <w:spacing w:before="0"/>
      </w:pPr>
      <w:r w:rsidRPr="00D96B14">
        <w:rPr>
          <w:sz w:val="22"/>
        </w:rPr>
        <w:br w:type="column"/>
      </w:r>
      <w:r w:rsidRPr="00D96B14">
        <w:rPr>
          <w:sz w:val="22"/>
        </w:rPr>
        <w:lastRenderedPageBreak/>
        <w:t xml:space="preserve">Strategic policy advice </w:t>
      </w:r>
    </w:p>
    <w:p w:rsidR="00142353" w:rsidRPr="00D96B14" w:rsidRDefault="00142353" w:rsidP="00142353">
      <w:r w:rsidRPr="00D96B14">
        <w:t>The objective of this output is to improve the economic performance of the State through the application of leading</w:t>
      </w:r>
      <w:r w:rsidR="005A4BB0">
        <w:noBreakHyphen/>
      </w:r>
      <w:r w:rsidRPr="00D96B14">
        <w:t>edge technology and to promote leadership in research and innovation in sciences.</w:t>
      </w:r>
    </w:p>
    <w:p w:rsidR="00142353" w:rsidRPr="00D96B14" w:rsidRDefault="00142353" w:rsidP="00142353">
      <w:r w:rsidRPr="00D96B14">
        <w:t xml:space="preserve">This output makes a significant contribution to the achievement of the departmental objective of </w:t>
      </w:r>
      <w:r w:rsidRPr="00D96B14">
        <w:rPr>
          <w:i/>
          <w:iCs/>
          <w:color w:val="0000FF"/>
        </w:rPr>
        <w:t>[Departments to insert the relevant departmental objective]</w:t>
      </w:r>
      <w:r w:rsidRPr="00D96B14">
        <w:t>.</w:t>
      </w:r>
    </w:p>
    <w:p w:rsidR="00142353" w:rsidRPr="00D96B14" w:rsidRDefault="00142353" w:rsidP="00142353">
      <w:pPr>
        <w:pStyle w:val="Heading4a"/>
      </w:pPr>
      <w:r w:rsidRPr="00D96B14">
        <w:t>Key initiatives and projects</w:t>
      </w:r>
    </w:p>
    <w:p w:rsidR="00142353" w:rsidRPr="00D96B14" w:rsidRDefault="00142353" w:rsidP="00142353">
      <w:r w:rsidRPr="00D96B14">
        <w:t>Since 1 July 2015, the Department has initiated the Technology Trade and Innovation Program, which assists businesses to develop and integrate new technologies.</w:t>
      </w:r>
    </w:p>
    <w:p w:rsidR="00142353" w:rsidRPr="00D96B14" w:rsidRDefault="00142353" w:rsidP="00142353">
      <w:pPr>
        <w:spacing w:after="120"/>
      </w:pPr>
      <w:r w:rsidRPr="00D96B14">
        <w:t>Up to 30 June 2016, the Department has provided strategic, timely and comprehensive analysis and advice to 40 Victorian businesses. In the next two years, the Department will continue to monitor and support this program, which is expected to represent additional $29 million investment to the State, and create 219 new jobs in 2017</w:t>
      </w:r>
      <w:r w:rsidR="005A4BB0">
        <w:noBreakHyphen/>
      </w:r>
      <w:r w:rsidRPr="00D96B14">
        <w:t>18.</w:t>
      </w:r>
    </w:p>
    <w:p w:rsidR="00142353" w:rsidRPr="00D96B14" w:rsidRDefault="00142353" w:rsidP="00142353">
      <w:pPr>
        <w:pStyle w:val="SmallLine"/>
      </w:pPr>
    </w:p>
    <w:p w:rsidR="00142353" w:rsidRPr="00D96B14" w:rsidRDefault="00142353" w:rsidP="00142353">
      <w:pPr>
        <w:pStyle w:val="SmallLine"/>
      </w:pPr>
    </w:p>
    <w:tbl>
      <w:tblPr>
        <w:tblW w:w="8420" w:type="dxa"/>
        <w:tblInd w:w="43" w:type="dxa"/>
        <w:tblLayout w:type="fixed"/>
        <w:tblCellMar>
          <w:left w:w="43" w:type="dxa"/>
          <w:right w:w="43" w:type="dxa"/>
        </w:tblCellMar>
        <w:tblLook w:val="01E0" w:firstRow="1" w:lastRow="1" w:firstColumn="1" w:lastColumn="1" w:noHBand="0" w:noVBand="0"/>
      </w:tblPr>
      <w:tblGrid>
        <w:gridCol w:w="3960"/>
        <w:gridCol w:w="892"/>
        <w:gridCol w:w="892"/>
        <w:gridCol w:w="892"/>
        <w:gridCol w:w="1104"/>
        <w:gridCol w:w="680"/>
      </w:tblGrid>
      <w:tr w:rsidR="00142353" w:rsidRPr="00D96B14" w:rsidTr="004843DB">
        <w:trPr>
          <w:cantSplit/>
        </w:trPr>
        <w:tc>
          <w:tcPr>
            <w:tcW w:w="3960" w:type="dxa"/>
            <w:tcBorders>
              <w:top w:val="single" w:sz="4" w:space="0" w:color="auto"/>
              <w:bottom w:val="single" w:sz="4" w:space="0" w:color="auto"/>
            </w:tcBorders>
            <w:shd w:val="clear" w:color="auto" w:fill="000000" w:themeFill="text1"/>
            <w:vAlign w:val="bottom"/>
          </w:tcPr>
          <w:p w:rsidR="00142353" w:rsidRPr="00D96B14" w:rsidRDefault="00142353" w:rsidP="004843DB">
            <w:pPr>
              <w:pStyle w:val="Tabletextheading"/>
              <w:jc w:val="left"/>
              <w:rPr>
                <w:color w:val="FFFFFF" w:themeColor="background1"/>
              </w:rPr>
            </w:pPr>
            <w:r w:rsidRPr="00D96B14">
              <w:rPr>
                <w:color w:val="FFFFFF" w:themeColor="background1"/>
              </w:rPr>
              <w:br w:type="page"/>
            </w:r>
            <w:r w:rsidRPr="00D96B14">
              <w:rPr>
                <w:color w:val="FFFFFF" w:themeColor="background1"/>
              </w:rPr>
              <w:br w:type="page"/>
            </w:r>
            <w:r w:rsidRPr="00D96B14">
              <w:rPr>
                <w:color w:val="FFFFFF" w:themeColor="background1"/>
              </w:rPr>
              <w:br w:type="column"/>
              <w:t>Performance measures</w:t>
            </w:r>
          </w:p>
        </w:tc>
        <w:tc>
          <w:tcPr>
            <w:tcW w:w="892" w:type="dxa"/>
            <w:tcBorders>
              <w:top w:val="single" w:sz="4" w:space="0" w:color="auto"/>
              <w:bottom w:val="single" w:sz="4" w:space="0" w:color="auto"/>
            </w:tcBorders>
            <w:shd w:val="clear" w:color="auto" w:fill="000000" w:themeFill="text1"/>
            <w:vAlign w:val="center"/>
          </w:tcPr>
          <w:p w:rsidR="00142353" w:rsidRPr="00D96B14" w:rsidRDefault="00142353" w:rsidP="004843DB">
            <w:pPr>
              <w:pStyle w:val="Tabletextheading"/>
              <w:jc w:val="center"/>
              <w:rPr>
                <w:color w:val="FFFFFF" w:themeColor="background1"/>
              </w:rPr>
            </w:pPr>
            <w:r w:rsidRPr="00D96B14">
              <w:rPr>
                <w:color w:val="FFFFFF" w:themeColor="background1"/>
              </w:rPr>
              <w:t>Unit of measure</w:t>
            </w:r>
          </w:p>
        </w:tc>
        <w:tc>
          <w:tcPr>
            <w:tcW w:w="892" w:type="dxa"/>
            <w:tcBorders>
              <w:top w:val="single" w:sz="4" w:space="0" w:color="auto"/>
              <w:bottom w:val="single" w:sz="4" w:space="0" w:color="auto"/>
            </w:tcBorders>
            <w:shd w:val="clear" w:color="auto" w:fill="000000" w:themeFill="text1"/>
            <w:vAlign w:val="bottom"/>
          </w:tcPr>
          <w:p w:rsidR="00142353" w:rsidRPr="00D96B14" w:rsidRDefault="00142353" w:rsidP="004843DB">
            <w:pPr>
              <w:pStyle w:val="Tabletextheading"/>
              <w:rPr>
                <w:color w:val="FFFFFF" w:themeColor="background1"/>
              </w:rPr>
            </w:pPr>
            <w:r w:rsidRPr="00D96B14">
              <w:rPr>
                <w:color w:val="FFFFFF" w:themeColor="background1"/>
              </w:rPr>
              <w:t>2015</w:t>
            </w:r>
            <w:r w:rsidR="005A4BB0">
              <w:rPr>
                <w:color w:val="FFFFFF" w:themeColor="background1"/>
              </w:rPr>
              <w:noBreakHyphen/>
            </w:r>
            <w:r w:rsidRPr="00D96B14">
              <w:rPr>
                <w:color w:val="FFFFFF" w:themeColor="background1"/>
              </w:rPr>
              <w:t>16</w:t>
            </w:r>
            <w:r w:rsidRPr="00D96B14">
              <w:rPr>
                <w:color w:val="FFFFFF" w:themeColor="background1"/>
              </w:rPr>
              <w:br/>
              <w:t>actual</w:t>
            </w:r>
          </w:p>
        </w:tc>
        <w:tc>
          <w:tcPr>
            <w:tcW w:w="892" w:type="dxa"/>
            <w:tcBorders>
              <w:top w:val="single" w:sz="4" w:space="0" w:color="auto"/>
              <w:bottom w:val="single" w:sz="4" w:space="0" w:color="auto"/>
            </w:tcBorders>
            <w:shd w:val="clear" w:color="auto" w:fill="000000" w:themeFill="text1"/>
            <w:vAlign w:val="bottom"/>
          </w:tcPr>
          <w:p w:rsidR="00142353" w:rsidRPr="00D96B14" w:rsidRDefault="00142353" w:rsidP="004843DB">
            <w:pPr>
              <w:pStyle w:val="Tabletextheading"/>
              <w:rPr>
                <w:color w:val="FFFFFF" w:themeColor="background1"/>
              </w:rPr>
            </w:pPr>
            <w:r w:rsidRPr="00D96B14">
              <w:rPr>
                <w:color w:val="FFFFFF" w:themeColor="background1"/>
              </w:rPr>
              <w:t>2015</w:t>
            </w:r>
            <w:r w:rsidR="005A4BB0">
              <w:rPr>
                <w:color w:val="FFFFFF" w:themeColor="background1"/>
              </w:rPr>
              <w:noBreakHyphen/>
            </w:r>
            <w:r w:rsidRPr="00D96B14">
              <w:rPr>
                <w:color w:val="FFFFFF" w:themeColor="background1"/>
              </w:rPr>
              <w:t>16</w:t>
            </w:r>
            <w:r w:rsidRPr="00D96B14">
              <w:rPr>
                <w:color w:val="FFFFFF" w:themeColor="background1"/>
              </w:rPr>
              <w:br/>
              <w:t>target</w:t>
            </w:r>
          </w:p>
        </w:tc>
        <w:tc>
          <w:tcPr>
            <w:tcW w:w="1104" w:type="dxa"/>
            <w:tcBorders>
              <w:top w:val="single" w:sz="4" w:space="0" w:color="auto"/>
              <w:bottom w:val="single" w:sz="4" w:space="0" w:color="auto"/>
            </w:tcBorders>
            <w:shd w:val="clear" w:color="auto" w:fill="000000" w:themeFill="text1"/>
          </w:tcPr>
          <w:p w:rsidR="00142353" w:rsidRPr="00D96B14" w:rsidRDefault="00142353" w:rsidP="004843DB">
            <w:pPr>
              <w:pStyle w:val="Tabletextheading"/>
            </w:pPr>
            <w:r w:rsidRPr="00D96B14">
              <w:t>Performance variation (%)</w:t>
            </w:r>
          </w:p>
        </w:tc>
        <w:tc>
          <w:tcPr>
            <w:tcW w:w="680" w:type="dxa"/>
            <w:tcBorders>
              <w:top w:val="single" w:sz="4" w:space="0" w:color="auto"/>
              <w:bottom w:val="single" w:sz="4" w:space="0" w:color="auto"/>
            </w:tcBorders>
            <w:shd w:val="clear" w:color="auto" w:fill="000000" w:themeFill="text1"/>
          </w:tcPr>
          <w:p w:rsidR="00142353" w:rsidRPr="00D96B14" w:rsidRDefault="00142353" w:rsidP="004843DB">
            <w:pPr>
              <w:pStyle w:val="Tabletextheading"/>
              <w:rPr>
                <w:color w:val="FFFFFF" w:themeColor="background1"/>
              </w:rPr>
            </w:pPr>
            <w:r w:rsidRPr="00D96B14">
              <w:rPr>
                <w:color w:val="FFFFFF" w:themeColor="background1"/>
              </w:rPr>
              <w:br/>
              <w:t xml:space="preserve">Result </w:t>
            </w:r>
            <w:r w:rsidRPr="00D96B14">
              <w:rPr>
                <w:iCs w:val="0"/>
                <w:color w:val="FFFFFF" w:themeColor="background1"/>
                <w:vertAlign w:val="superscript"/>
              </w:rPr>
              <w:t>1</w:t>
            </w:r>
          </w:p>
        </w:tc>
      </w:tr>
      <w:tr w:rsidR="00142353" w:rsidRPr="00D96B14" w:rsidTr="004843DB">
        <w:trPr>
          <w:cantSplit/>
          <w:trHeight w:val="57"/>
        </w:trPr>
        <w:tc>
          <w:tcPr>
            <w:tcW w:w="3960" w:type="dxa"/>
            <w:tcBorders>
              <w:top w:val="single" w:sz="4" w:space="0" w:color="auto"/>
            </w:tcBorders>
          </w:tcPr>
          <w:p w:rsidR="00142353" w:rsidRPr="00D96B14" w:rsidRDefault="00142353" w:rsidP="004843DB">
            <w:pPr>
              <w:pStyle w:val="Tabletext"/>
            </w:pPr>
            <w:r w:rsidRPr="00D96B14">
              <w:rPr>
                <w:i/>
                <w:iCs/>
              </w:rPr>
              <w:t>Quantity</w:t>
            </w:r>
          </w:p>
        </w:tc>
        <w:tc>
          <w:tcPr>
            <w:tcW w:w="892" w:type="dxa"/>
            <w:tcBorders>
              <w:top w:val="single" w:sz="4" w:space="0" w:color="auto"/>
            </w:tcBorders>
            <w:vAlign w:val="center"/>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20"/>
        </w:trPr>
        <w:tc>
          <w:tcPr>
            <w:tcW w:w="3960" w:type="dxa"/>
          </w:tcPr>
          <w:p w:rsidR="00142353" w:rsidRPr="00D96B14" w:rsidRDefault="00142353" w:rsidP="004843DB">
            <w:pPr>
              <w:pStyle w:val="TabletextIndent"/>
              <w:ind w:left="0" w:firstLine="99"/>
            </w:pPr>
            <w:r w:rsidRPr="00D96B14">
              <w:t>Provision of policy briefings</w:t>
            </w:r>
          </w:p>
        </w:tc>
        <w:tc>
          <w:tcPr>
            <w:tcW w:w="892" w:type="dxa"/>
          </w:tcPr>
          <w:p w:rsidR="00142353" w:rsidRPr="00D96B14" w:rsidRDefault="00142353" w:rsidP="004843DB">
            <w:pPr>
              <w:pStyle w:val="TableofFigures"/>
              <w:jc w:val="center"/>
            </w:pPr>
            <w:r w:rsidRPr="00D96B14">
              <w:t>number</w:t>
            </w:r>
          </w:p>
        </w:tc>
        <w:tc>
          <w:tcPr>
            <w:tcW w:w="892" w:type="dxa"/>
            <w:shd w:val="clear" w:color="auto" w:fill="D9D9D9"/>
          </w:tcPr>
          <w:p w:rsidR="00142353" w:rsidRPr="00D96B14" w:rsidRDefault="00142353" w:rsidP="004843DB">
            <w:pPr>
              <w:pStyle w:val="TableofFigures"/>
            </w:pPr>
            <w:r w:rsidRPr="00D96B14">
              <w:t>530</w:t>
            </w:r>
          </w:p>
        </w:tc>
        <w:tc>
          <w:tcPr>
            <w:tcW w:w="892" w:type="dxa"/>
          </w:tcPr>
          <w:p w:rsidR="00142353" w:rsidRPr="00D96B14" w:rsidRDefault="00142353" w:rsidP="004843DB">
            <w:pPr>
              <w:pStyle w:val="TableofFigures"/>
            </w:pPr>
            <w:r w:rsidRPr="00D96B14">
              <w:t>500</w:t>
            </w:r>
          </w:p>
        </w:tc>
        <w:tc>
          <w:tcPr>
            <w:tcW w:w="1104" w:type="dxa"/>
          </w:tcPr>
          <w:p w:rsidR="00142353" w:rsidRPr="00D96B14" w:rsidRDefault="00142353" w:rsidP="004843DB">
            <w:pPr>
              <w:pStyle w:val="TableofFigures"/>
            </w:pPr>
            <w:r w:rsidRPr="00D96B14">
              <w:t>6</w:t>
            </w:r>
          </w:p>
        </w:tc>
        <w:tc>
          <w:tcPr>
            <w:tcW w:w="680" w:type="dxa"/>
          </w:tcPr>
          <w:p w:rsidR="00142353" w:rsidRPr="00D96B14" w:rsidRDefault="00142353" w:rsidP="004843DB">
            <w:pPr>
              <w:pStyle w:val="TableofFigures"/>
            </w:pPr>
            <w:r w:rsidRPr="00D96B14">
              <w:sym w:font="Wingdings" w:char="F0FC"/>
            </w:r>
          </w:p>
        </w:tc>
      </w:tr>
      <w:tr w:rsidR="00142353" w:rsidRPr="00D96B14" w:rsidTr="004843DB">
        <w:trPr>
          <w:cantSplit/>
          <w:trHeight w:val="20"/>
        </w:trPr>
        <w:tc>
          <w:tcPr>
            <w:tcW w:w="8420" w:type="dxa"/>
            <w:gridSpan w:val="6"/>
          </w:tcPr>
          <w:p w:rsidR="00142353" w:rsidRPr="00D96B14" w:rsidRDefault="00142353" w:rsidP="004843DB">
            <w:pPr>
              <w:pStyle w:val="PMNotes"/>
            </w:pPr>
            <w:r w:rsidRPr="00D96B14">
              <w:t>Policy briefings are provided on an as needed basis which makes it difficult to accurately predict how many briefings are required for the year. This year the provision of briefings has been higher than targeted because of a number of new technological developments requiring additional briefings to the Minister, as well as additional policy briefings associated with the new output research and development of biological technology.</w:t>
            </w:r>
          </w:p>
        </w:tc>
      </w:tr>
      <w:tr w:rsidR="00142353" w:rsidRPr="00D96B14" w:rsidTr="004843DB">
        <w:trPr>
          <w:cantSplit/>
          <w:trHeight w:val="20"/>
        </w:trPr>
        <w:tc>
          <w:tcPr>
            <w:tcW w:w="3960" w:type="dxa"/>
          </w:tcPr>
          <w:p w:rsidR="00142353" w:rsidRPr="00D96B14" w:rsidRDefault="00142353" w:rsidP="004843DB">
            <w:pPr>
              <w:pStyle w:val="TabletextIndent"/>
              <w:ind w:hanging="169"/>
            </w:pPr>
            <w:r w:rsidRPr="00D96B14">
              <w:t>Deliver two long</w:t>
            </w:r>
            <w:r w:rsidR="005A4BB0">
              <w:noBreakHyphen/>
            </w:r>
            <w:r w:rsidRPr="00D96B14">
              <w:t>term research projects</w:t>
            </w:r>
          </w:p>
        </w:tc>
        <w:tc>
          <w:tcPr>
            <w:tcW w:w="892" w:type="dxa"/>
          </w:tcPr>
          <w:p w:rsidR="00142353" w:rsidRPr="00D96B14" w:rsidRDefault="00142353" w:rsidP="004843DB">
            <w:pPr>
              <w:pStyle w:val="TableofFigures"/>
              <w:jc w:val="center"/>
            </w:pPr>
            <w:r w:rsidRPr="00D96B14">
              <w:t>number</w:t>
            </w:r>
          </w:p>
        </w:tc>
        <w:tc>
          <w:tcPr>
            <w:tcW w:w="892" w:type="dxa"/>
            <w:shd w:val="clear" w:color="auto" w:fill="D9D9D9"/>
          </w:tcPr>
          <w:p w:rsidR="00142353" w:rsidRPr="00D96B14" w:rsidRDefault="00142353" w:rsidP="004843DB">
            <w:pPr>
              <w:pStyle w:val="TableofFigures"/>
            </w:pPr>
            <w:r w:rsidRPr="00D96B14">
              <w:t>2</w:t>
            </w:r>
          </w:p>
        </w:tc>
        <w:tc>
          <w:tcPr>
            <w:tcW w:w="892" w:type="dxa"/>
          </w:tcPr>
          <w:p w:rsidR="00142353" w:rsidRPr="00D96B14" w:rsidRDefault="00142353" w:rsidP="004843DB">
            <w:pPr>
              <w:pStyle w:val="TableofFigures"/>
            </w:pPr>
            <w:r w:rsidRPr="00D96B14">
              <w:t>2</w:t>
            </w:r>
          </w:p>
        </w:tc>
        <w:tc>
          <w:tcPr>
            <w:tcW w:w="1104" w:type="dxa"/>
          </w:tcPr>
          <w:p w:rsidR="00142353" w:rsidRPr="00D96B14" w:rsidRDefault="00142353" w:rsidP="004843DB">
            <w:pPr>
              <w:pStyle w:val="TableofFigures"/>
            </w:pPr>
            <w:r w:rsidRPr="00D96B14">
              <w:t>0</w:t>
            </w:r>
          </w:p>
        </w:tc>
        <w:tc>
          <w:tcPr>
            <w:tcW w:w="680" w:type="dxa"/>
          </w:tcPr>
          <w:p w:rsidR="00142353" w:rsidRPr="00D96B14" w:rsidRDefault="00142353" w:rsidP="004843DB">
            <w:pPr>
              <w:pStyle w:val="TableofFigures"/>
            </w:pPr>
            <w:r w:rsidRPr="00D96B14">
              <w:sym w:font="Wingdings" w:char="F0FC"/>
            </w:r>
          </w:p>
        </w:tc>
      </w:tr>
      <w:tr w:rsidR="00142353" w:rsidRPr="00D96B14" w:rsidTr="004843DB">
        <w:trPr>
          <w:cantSplit/>
          <w:trHeight w:val="57"/>
        </w:trPr>
        <w:tc>
          <w:tcPr>
            <w:tcW w:w="3960" w:type="dxa"/>
            <w:tcBorders>
              <w:top w:val="single" w:sz="4" w:space="0" w:color="auto"/>
            </w:tcBorders>
          </w:tcPr>
          <w:p w:rsidR="00142353" w:rsidRPr="00D96B14" w:rsidRDefault="00142353" w:rsidP="004843DB">
            <w:pPr>
              <w:pStyle w:val="Tabletext"/>
            </w:pPr>
            <w:r w:rsidRPr="00D96B14">
              <w:rPr>
                <w:i/>
                <w:iCs/>
              </w:rPr>
              <w:t>Quality</w:t>
            </w:r>
          </w:p>
        </w:tc>
        <w:tc>
          <w:tcPr>
            <w:tcW w:w="892" w:type="dxa"/>
            <w:tcBorders>
              <w:top w:val="single" w:sz="4" w:space="0" w:color="auto"/>
            </w:tcBorders>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57"/>
        </w:trPr>
        <w:tc>
          <w:tcPr>
            <w:tcW w:w="3960" w:type="dxa"/>
          </w:tcPr>
          <w:p w:rsidR="00142353" w:rsidRPr="00D96B14" w:rsidRDefault="00142353" w:rsidP="004843DB">
            <w:pPr>
              <w:pStyle w:val="TabletextIndent"/>
              <w:ind w:left="0" w:firstLine="99"/>
            </w:pPr>
            <w:r w:rsidRPr="00D96B14">
              <w:t>Client satisfaction rating</w:t>
            </w:r>
          </w:p>
        </w:tc>
        <w:tc>
          <w:tcPr>
            <w:tcW w:w="892" w:type="dxa"/>
          </w:tcPr>
          <w:p w:rsidR="00142353" w:rsidRPr="00D96B14" w:rsidRDefault="00142353" w:rsidP="004843DB">
            <w:pPr>
              <w:pStyle w:val="TableofFigures"/>
              <w:jc w:val="center"/>
            </w:pPr>
            <w:r w:rsidRPr="00D96B14">
              <w:t>per cent</w:t>
            </w:r>
          </w:p>
        </w:tc>
        <w:tc>
          <w:tcPr>
            <w:tcW w:w="892" w:type="dxa"/>
            <w:shd w:val="clear" w:color="auto" w:fill="D9D9D9"/>
          </w:tcPr>
          <w:p w:rsidR="00142353" w:rsidRPr="00D96B14" w:rsidRDefault="00142353" w:rsidP="004843DB">
            <w:pPr>
              <w:pStyle w:val="TableofFigures"/>
            </w:pPr>
            <w:r w:rsidRPr="00D96B14">
              <w:t>95.0</w:t>
            </w:r>
          </w:p>
        </w:tc>
        <w:tc>
          <w:tcPr>
            <w:tcW w:w="892" w:type="dxa"/>
          </w:tcPr>
          <w:p w:rsidR="00142353" w:rsidRPr="00D96B14" w:rsidRDefault="00142353" w:rsidP="004843DB">
            <w:pPr>
              <w:pStyle w:val="TableofFigures"/>
            </w:pPr>
            <w:r w:rsidRPr="00D96B14">
              <w:t>90.0</w:t>
            </w:r>
          </w:p>
        </w:tc>
        <w:tc>
          <w:tcPr>
            <w:tcW w:w="1104" w:type="dxa"/>
          </w:tcPr>
          <w:p w:rsidR="00142353" w:rsidRPr="00D96B14" w:rsidRDefault="00142353" w:rsidP="004843DB">
            <w:pPr>
              <w:pStyle w:val="TableofFigures"/>
            </w:pPr>
            <w:r w:rsidRPr="00D96B14">
              <w:t>5.6</w:t>
            </w:r>
          </w:p>
        </w:tc>
        <w:tc>
          <w:tcPr>
            <w:tcW w:w="680" w:type="dxa"/>
          </w:tcPr>
          <w:p w:rsidR="00142353" w:rsidRPr="00D96B14" w:rsidRDefault="00142353" w:rsidP="004843DB">
            <w:pPr>
              <w:pStyle w:val="TableofFigures"/>
            </w:pPr>
            <w:r w:rsidRPr="00D96B14">
              <w:sym w:font="Wingdings" w:char="F0FC"/>
            </w:r>
          </w:p>
        </w:tc>
      </w:tr>
      <w:tr w:rsidR="00142353" w:rsidRPr="00D96B14" w:rsidTr="004843DB">
        <w:trPr>
          <w:cantSplit/>
          <w:trHeight w:val="57"/>
        </w:trPr>
        <w:tc>
          <w:tcPr>
            <w:tcW w:w="8420" w:type="dxa"/>
            <w:gridSpan w:val="6"/>
          </w:tcPr>
          <w:p w:rsidR="00142353" w:rsidRPr="00D96B14" w:rsidRDefault="00142353" w:rsidP="004843DB">
            <w:pPr>
              <w:pStyle w:val="PMNotes"/>
            </w:pPr>
            <w:r w:rsidRPr="00D96B14">
              <w:t>The rating is based on surveys completed by clients. The actual survey rating received exceeded the targeted survey result mainly due to client satisfaction with the timeliness of the briefings provided, and client satisfaction with an improved format and style of briefings.</w:t>
            </w:r>
          </w:p>
        </w:tc>
      </w:tr>
      <w:tr w:rsidR="00142353" w:rsidRPr="00D96B14" w:rsidTr="004843DB">
        <w:trPr>
          <w:cantSplit/>
          <w:trHeight w:val="57"/>
        </w:trPr>
        <w:tc>
          <w:tcPr>
            <w:tcW w:w="3960" w:type="dxa"/>
          </w:tcPr>
          <w:p w:rsidR="00142353" w:rsidRPr="00D96B14" w:rsidRDefault="00142353" w:rsidP="004843DB">
            <w:pPr>
              <w:pStyle w:val="TabletextIndent"/>
              <w:ind w:hanging="169"/>
            </w:pPr>
            <w:r w:rsidRPr="00D96B14">
              <w:t>Policy briefings addressed key issues</w:t>
            </w:r>
          </w:p>
        </w:tc>
        <w:tc>
          <w:tcPr>
            <w:tcW w:w="892" w:type="dxa"/>
          </w:tcPr>
          <w:p w:rsidR="00142353" w:rsidRPr="00D96B14" w:rsidRDefault="00142353" w:rsidP="004843DB">
            <w:pPr>
              <w:pStyle w:val="TableofFigures"/>
              <w:jc w:val="center"/>
            </w:pPr>
            <w:r w:rsidRPr="00D96B14">
              <w:t>per cent</w:t>
            </w:r>
          </w:p>
        </w:tc>
        <w:tc>
          <w:tcPr>
            <w:tcW w:w="892" w:type="dxa"/>
            <w:shd w:val="clear" w:color="auto" w:fill="D9D9D9"/>
          </w:tcPr>
          <w:p w:rsidR="00142353" w:rsidRPr="00D96B14" w:rsidRDefault="00142353" w:rsidP="004843DB">
            <w:pPr>
              <w:pStyle w:val="TableofFigures"/>
            </w:pPr>
            <w:r w:rsidRPr="00D96B14">
              <w:t>91.0</w:t>
            </w:r>
          </w:p>
        </w:tc>
        <w:tc>
          <w:tcPr>
            <w:tcW w:w="892" w:type="dxa"/>
          </w:tcPr>
          <w:p w:rsidR="00142353" w:rsidRPr="00D96B14" w:rsidRDefault="00142353" w:rsidP="004843DB">
            <w:pPr>
              <w:pStyle w:val="TableofFigures"/>
            </w:pPr>
            <w:r w:rsidRPr="00D96B14">
              <w:t>91.0</w:t>
            </w:r>
          </w:p>
        </w:tc>
        <w:tc>
          <w:tcPr>
            <w:tcW w:w="1104" w:type="dxa"/>
          </w:tcPr>
          <w:p w:rsidR="00142353" w:rsidRPr="00D96B14" w:rsidRDefault="00142353" w:rsidP="004843DB">
            <w:pPr>
              <w:pStyle w:val="TableofFigures"/>
            </w:pPr>
            <w:r w:rsidRPr="00D96B14">
              <w:t>0</w:t>
            </w:r>
          </w:p>
        </w:tc>
        <w:tc>
          <w:tcPr>
            <w:tcW w:w="680" w:type="dxa"/>
          </w:tcPr>
          <w:p w:rsidR="00142353" w:rsidRPr="00D96B14" w:rsidRDefault="00142353" w:rsidP="004843DB">
            <w:pPr>
              <w:pStyle w:val="TableofFigures"/>
            </w:pPr>
            <w:r w:rsidRPr="00D96B14">
              <w:sym w:font="Wingdings" w:char="F0FC"/>
            </w:r>
          </w:p>
        </w:tc>
      </w:tr>
      <w:tr w:rsidR="00142353" w:rsidRPr="00D96B14" w:rsidTr="004843DB">
        <w:trPr>
          <w:cantSplit/>
          <w:trHeight w:val="57"/>
        </w:trPr>
        <w:tc>
          <w:tcPr>
            <w:tcW w:w="3960" w:type="dxa"/>
            <w:tcBorders>
              <w:top w:val="single" w:sz="4" w:space="0" w:color="auto"/>
            </w:tcBorders>
          </w:tcPr>
          <w:p w:rsidR="00142353" w:rsidRPr="00D96B14" w:rsidRDefault="00142353" w:rsidP="004843DB">
            <w:pPr>
              <w:pStyle w:val="Tabletext"/>
            </w:pPr>
            <w:r w:rsidRPr="00D96B14">
              <w:rPr>
                <w:i/>
                <w:iCs/>
              </w:rPr>
              <w:t>Timeliness</w:t>
            </w:r>
          </w:p>
        </w:tc>
        <w:tc>
          <w:tcPr>
            <w:tcW w:w="892" w:type="dxa"/>
            <w:tcBorders>
              <w:top w:val="single" w:sz="4" w:space="0" w:color="auto"/>
            </w:tcBorders>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57"/>
        </w:trPr>
        <w:tc>
          <w:tcPr>
            <w:tcW w:w="3960" w:type="dxa"/>
          </w:tcPr>
          <w:p w:rsidR="00142353" w:rsidRPr="00D96B14" w:rsidRDefault="00142353" w:rsidP="004843DB">
            <w:pPr>
              <w:pStyle w:val="TabletextIndent"/>
              <w:ind w:hanging="169"/>
            </w:pPr>
            <w:r w:rsidRPr="00D96B14">
              <w:t>Key deliverables managed on time</w:t>
            </w:r>
          </w:p>
        </w:tc>
        <w:tc>
          <w:tcPr>
            <w:tcW w:w="892" w:type="dxa"/>
          </w:tcPr>
          <w:p w:rsidR="00142353" w:rsidRPr="00D96B14" w:rsidRDefault="00142353" w:rsidP="004843DB">
            <w:pPr>
              <w:pStyle w:val="TableofFigures"/>
              <w:jc w:val="center"/>
            </w:pPr>
            <w:r w:rsidRPr="00D96B14">
              <w:t>per cent</w:t>
            </w:r>
          </w:p>
        </w:tc>
        <w:tc>
          <w:tcPr>
            <w:tcW w:w="892" w:type="dxa"/>
            <w:shd w:val="clear" w:color="auto" w:fill="D9D9D9"/>
          </w:tcPr>
          <w:p w:rsidR="00142353" w:rsidRPr="00D96B14" w:rsidRDefault="00142353" w:rsidP="004843DB">
            <w:pPr>
              <w:pStyle w:val="TableofFigures"/>
            </w:pPr>
            <w:r w:rsidRPr="00D96B14">
              <w:t>100.0</w:t>
            </w:r>
          </w:p>
        </w:tc>
        <w:tc>
          <w:tcPr>
            <w:tcW w:w="892" w:type="dxa"/>
          </w:tcPr>
          <w:p w:rsidR="00142353" w:rsidRPr="00D96B14" w:rsidRDefault="00142353" w:rsidP="004843DB">
            <w:pPr>
              <w:pStyle w:val="TableofFigures"/>
            </w:pPr>
            <w:r w:rsidRPr="00D96B14">
              <w:t>100.0</w:t>
            </w:r>
          </w:p>
        </w:tc>
        <w:tc>
          <w:tcPr>
            <w:tcW w:w="1104" w:type="dxa"/>
          </w:tcPr>
          <w:p w:rsidR="00142353" w:rsidRPr="00D96B14" w:rsidRDefault="00142353" w:rsidP="004843DB">
            <w:pPr>
              <w:pStyle w:val="TableofFigures"/>
            </w:pPr>
            <w:r w:rsidRPr="00D96B14">
              <w:t>0</w:t>
            </w:r>
          </w:p>
        </w:tc>
        <w:tc>
          <w:tcPr>
            <w:tcW w:w="680" w:type="dxa"/>
          </w:tcPr>
          <w:p w:rsidR="00142353" w:rsidRPr="00D96B14" w:rsidRDefault="00142353" w:rsidP="004843DB">
            <w:pPr>
              <w:pStyle w:val="TableofFigures"/>
            </w:pPr>
            <w:r w:rsidRPr="00D96B14">
              <w:sym w:font="Wingdings" w:char="F0FC"/>
            </w:r>
          </w:p>
        </w:tc>
      </w:tr>
      <w:tr w:rsidR="00142353" w:rsidRPr="00D96B14" w:rsidTr="004843DB">
        <w:trPr>
          <w:cantSplit/>
          <w:trHeight w:val="57"/>
        </w:trPr>
        <w:tc>
          <w:tcPr>
            <w:tcW w:w="3960" w:type="dxa"/>
            <w:tcBorders>
              <w:bottom w:val="single" w:sz="4" w:space="0" w:color="auto"/>
            </w:tcBorders>
          </w:tcPr>
          <w:p w:rsidR="00142353" w:rsidRPr="00D96B14" w:rsidRDefault="00142353" w:rsidP="004843DB">
            <w:pPr>
              <w:pStyle w:val="TabletextIndent"/>
              <w:ind w:left="99"/>
            </w:pPr>
            <w:r w:rsidRPr="00D96B14">
              <w:t>Responses to Ministerial correspondence delivered within agreed timeline</w:t>
            </w:r>
          </w:p>
        </w:tc>
        <w:tc>
          <w:tcPr>
            <w:tcW w:w="892" w:type="dxa"/>
            <w:tcBorders>
              <w:bottom w:val="single" w:sz="4" w:space="0" w:color="auto"/>
            </w:tcBorders>
          </w:tcPr>
          <w:p w:rsidR="00142353" w:rsidRPr="00D96B14" w:rsidRDefault="00142353" w:rsidP="004843DB">
            <w:pPr>
              <w:pStyle w:val="TableofFigures"/>
              <w:jc w:val="center"/>
            </w:pPr>
            <w:r w:rsidRPr="00D96B14">
              <w:t>per cent</w:t>
            </w:r>
          </w:p>
        </w:tc>
        <w:tc>
          <w:tcPr>
            <w:tcW w:w="892" w:type="dxa"/>
            <w:tcBorders>
              <w:bottom w:val="single" w:sz="4" w:space="0" w:color="auto"/>
            </w:tcBorders>
            <w:shd w:val="clear" w:color="auto" w:fill="D9D9D9"/>
          </w:tcPr>
          <w:p w:rsidR="00142353" w:rsidRPr="00D96B14" w:rsidRDefault="00142353" w:rsidP="004843DB">
            <w:pPr>
              <w:pStyle w:val="TableofFigures"/>
            </w:pPr>
            <w:r w:rsidRPr="00D96B14">
              <w:t>100.0</w:t>
            </w:r>
          </w:p>
        </w:tc>
        <w:tc>
          <w:tcPr>
            <w:tcW w:w="892" w:type="dxa"/>
            <w:tcBorders>
              <w:bottom w:val="single" w:sz="4" w:space="0" w:color="auto"/>
            </w:tcBorders>
          </w:tcPr>
          <w:p w:rsidR="00142353" w:rsidRPr="00D96B14" w:rsidRDefault="00142353" w:rsidP="004843DB">
            <w:pPr>
              <w:pStyle w:val="TableofFigures"/>
            </w:pPr>
            <w:r w:rsidRPr="00D96B14">
              <w:t>100.0</w:t>
            </w:r>
          </w:p>
        </w:tc>
        <w:tc>
          <w:tcPr>
            <w:tcW w:w="1104" w:type="dxa"/>
            <w:tcBorders>
              <w:bottom w:val="single" w:sz="4" w:space="0" w:color="auto"/>
            </w:tcBorders>
          </w:tcPr>
          <w:p w:rsidR="00142353" w:rsidRPr="00D96B14" w:rsidRDefault="00142353" w:rsidP="004843DB">
            <w:pPr>
              <w:pStyle w:val="TableofFigures"/>
            </w:pPr>
            <w:r w:rsidRPr="00D96B14">
              <w:t>0</w:t>
            </w:r>
          </w:p>
        </w:tc>
        <w:tc>
          <w:tcPr>
            <w:tcW w:w="680" w:type="dxa"/>
            <w:tcBorders>
              <w:bottom w:val="single" w:sz="4" w:space="0" w:color="auto"/>
            </w:tcBorders>
          </w:tcPr>
          <w:p w:rsidR="00142353" w:rsidRPr="00D96B14" w:rsidRDefault="00142353" w:rsidP="004843DB">
            <w:pPr>
              <w:pStyle w:val="TableofFigures"/>
            </w:pPr>
            <w:r w:rsidRPr="00D96B14">
              <w:sym w:font="Wingdings" w:char="F0FC"/>
            </w:r>
          </w:p>
        </w:tc>
      </w:tr>
      <w:tr w:rsidR="00142353" w:rsidRPr="00D96B14" w:rsidTr="004843DB">
        <w:trPr>
          <w:cantSplit/>
          <w:trHeight w:val="57"/>
        </w:trPr>
        <w:tc>
          <w:tcPr>
            <w:tcW w:w="3960" w:type="dxa"/>
            <w:tcBorders>
              <w:top w:val="single" w:sz="4" w:space="0" w:color="auto"/>
            </w:tcBorders>
          </w:tcPr>
          <w:p w:rsidR="00142353" w:rsidRPr="00D96B14" w:rsidRDefault="00142353" w:rsidP="004843DB">
            <w:pPr>
              <w:pStyle w:val="Tabletext"/>
            </w:pPr>
            <w:r w:rsidRPr="00D96B14">
              <w:rPr>
                <w:i/>
                <w:iCs/>
              </w:rPr>
              <w:t>Cost</w:t>
            </w:r>
          </w:p>
        </w:tc>
        <w:tc>
          <w:tcPr>
            <w:tcW w:w="892" w:type="dxa"/>
            <w:tcBorders>
              <w:top w:val="single" w:sz="4" w:space="0" w:color="auto"/>
            </w:tcBorders>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57"/>
        </w:trPr>
        <w:tc>
          <w:tcPr>
            <w:tcW w:w="3960" w:type="dxa"/>
          </w:tcPr>
          <w:p w:rsidR="00142353" w:rsidRPr="00D96B14" w:rsidRDefault="00142353" w:rsidP="004843DB">
            <w:pPr>
              <w:pStyle w:val="TabletextIndent"/>
              <w:ind w:hanging="169"/>
            </w:pPr>
            <w:r w:rsidRPr="00D96B14">
              <w:t>Total output cost</w:t>
            </w:r>
          </w:p>
        </w:tc>
        <w:tc>
          <w:tcPr>
            <w:tcW w:w="892" w:type="dxa"/>
          </w:tcPr>
          <w:p w:rsidR="00142353" w:rsidRPr="00D96B14" w:rsidRDefault="00142353" w:rsidP="004843DB">
            <w:pPr>
              <w:pStyle w:val="TableofFigures"/>
              <w:jc w:val="center"/>
            </w:pPr>
            <w:r w:rsidRPr="00D96B14">
              <w:t>$ million</w:t>
            </w:r>
          </w:p>
        </w:tc>
        <w:tc>
          <w:tcPr>
            <w:tcW w:w="892" w:type="dxa"/>
            <w:shd w:val="clear" w:color="auto" w:fill="D9D9D9"/>
          </w:tcPr>
          <w:p w:rsidR="00142353" w:rsidRPr="00D96B14" w:rsidRDefault="00142353" w:rsidP="004843DB">
            <w:pPr>
              <w:pStyle w:val="TableofFigures"/>
            </w:pPr>
            <w:r w:rsidRPr="00D96B14">
              <w:t>27.6</w:t>
            </w:r>
          </w:p>
        </w:tc>
        <w:tc>
          <w:tcPr>
            <w:tcW w:w="892" w:type="dxa"/>
          </w:tcPr>
          <w:p w:rsidR="00142353" w:rsidRPr="00D96B14" w:rsidRDefault="00142353" w:rsidP="004843DB">
            <w:pPr>
              <w:pStyle w:val="TableofFigures"/>
            </w:pPr>
            <w:r w:rsidRPr="00D96B14">
              <w:t>32.5</w:t>
            </w:r>
          </w:p>
        </w:tc>
        <w:tc>
          <w:tcPr>
            <w:tcW w:w="1104" w:type="dxa"/>
          </w:tcPr>
          <w:p w:rsidR="00142353" w:rsidRPr="00D96B14" w:rsidRDefault="005A4BB0" w:rsidP="004843DB">
            <w:pPr>
              <w:pStyle w:val="TableofFigures"/>
            </w:pPr>
            <w:r>
              <w:noBreakHyphen/>
            </w:r>
            <w:r w:rsidR="00142353" w:rsidRPr="00D96B14">
              <w:t>15</w:t>
            </w:r>
          </w:p>
        </w:tc>
        <w:tc>
          <w:tcPr>
            <w:tcW w:w="680" w:type="dxa"/>
          </w:tcPr>
          <w:p w:rsidR="00142353" w:rsidRPr="00D96B14" w:rsidRDefault="00142353" w:rsidP="004843DB">
            <w:pPr>
              <w:pStyle w:val="TableofFigures"/>
            </w:pPr>
            <w:r w:rsidRPr="00D96B14">
              <w:sym w:font="Wingdings" w:char="F0FC"/>
            </w:r>
          </w:p>
        </w:tc>
      </w:tr>
      <w:tr w:rsidR="00142353" w:rsidRPr="00D96B14" w:rsidTr="004843DB">
        <w:trPr>
          <w:cantSplit/>
          <w:trHeight w:val="57"/>
        </w:trPr>
        <w:tc>
          <w:tcPr>
            <w:tcW w:w="8420" w:type="dxa"/>
            <w:gridSpan w:val="6"/>
            <w:tcBorders>
              <w:bottom w:val="single" w:sz="12" w:space="0" w:color="auto"/>
            </w:tcBorders>
          </w:tcPr>
          <w:p w:rsidR="00142353" w:rsidRPr="00D96B14" w:rsidRDefault="00142353" w:rsidP="004843DB">
            <w:pPr>
              <w:pStyle w:val="PMNotes"/>
            </w:pPr>
            <w:r w:rsidRPr="00D96B14">
              <w:t>The variance in total output cost between actual and target reflects the impact of efficiency and productivity initiatives carried out by the Department during the year. Productivity gains include improved turnaround times for policy briefings and stabilisation of the workforce.</w:t>
            </w:r>
          </w:p>
        </w:tc>
      </w:tr>
    </w:tbl>
    <w:p w:rsidR="00142353" w:rsidRPr="00D96B14" w:rsidRDefault="00142353" w:rsidP="00142353">
      <w:pPr>
        <w:pStyle w:val="Notes"/>
      </w:pPr>
      <w:r w:rsidRPr="00D96B14">
        <w:t>Note:</w:t>
      </w:r>
    </w:p>
    <w:p w:rsidR="00142353" w:rsidRPr="00D96B14" w:rsidRDefault="00142353" w:rsidP="00142353">
      <w:pPr>
        <w:pStyle w:val="Notes"/>
        <w:tabs>
          <w:tab w:val="left" w:pos="720"/>
        </w:tabs>
        <w:rPr>
          <w:color w:val="0000FF"/>
        </w:rPr>
      </w:pPr>
      <w:r w:rsidRPr="00D96B14">
        <w:t>1.</w:t>
      </w:r>
      <w:r w:rsidRPr="00D96B14">
        <w:tab/>
      </w:r>
      <w:r w:rsidRPr="00D96B14">
        <w:sym w:font="Wingdings" w:char="F0FC"/>
      </w:r>
      <w:r w:rsidRPr="00D96B14">
        <w:tab/>
        <w:t xml:space="preserve">Performance target achieved or exceeded. </w:t>
      </w:r>
      <w:r w:rsidRPr="00D96B14">
        <w:rPr>
          <w:color w:val="0000FF"/>
        </w:rPr>
        <w:t xml:space="preserve">[A variance exceeding 5 per cent is a significant variance that requires </w:t>
      </w:r>
      <w:r w:rsidRPr="00D96B14">
        <w:rPr>
          <w:color w:val="0000FF"/>
        </w:rPr>
        <w:tab/>
        <w:t>an explanation, including internal or external factors that cause the variance.]</w:t>
      </w:r>
    </w:p>
    <w:p w:rsidR="00142353" w:rsidRPr="00D96B14" w:rsidRDefault="00142353" w:rsidP="00142353">
      <w:pPr>
        <w:pStyle w:val="Notes"/>
        <w:tabs>
          <w:tab w:val="left" w:pos="720"/>
        </w:tabs>
        <w:rPr>
          <w:color w:val="0000FF"/>
        </w:rPr>
      </w:pPr>
    </w:p>
    <w:p w:rsidR="00142353" w:rsidRPr="00D96B14" w:rsidRDefault="00142353" w:rsidP="00142353">
      <w:pPr>
        <w:pStyle w:val="Reference"/>
        <w:spacing w:before="40"/>
      </w:pPr>
      <w:r w:rsidRPr="00D96B14">
        <w:br w:type="column"/>
      </w:r>
    </w:p>
    <w:p w:rsidR="00142353" w:rsidRPr="00D96B14" w:rsidRDefault="00142353" w:rsidP="00142353">
      <w:pPr>
        <w:pStyle w:val="Reference"/>
      </w:pPr>
      <w:r w:rsidRPr="00D96B14">
        <w:t>FRD 8D</w:t>
      </w:r>
    </w:p>
    <w:p w:rsidR="00142353" w:rsidRPr="00D96B14" w:rsidRDefault="00142353" w:rsidP="00142353">
      <w:pPr>
        <w:tabs>
          <w:tab w:val="left" w:pos="0"/>
        </w:tabs>
        <w:spacing w:before="0"/>
      </w:pPr>
    </w:p>
    <w:p w:rsidR="00142353" w:rsidRPr="00D96B14" w:rsidRDefault="00142353" w:rsidP="00142353">
      <w:pPr>
        <w:tabs>
          <w:tab w:val="left" w:pos="0"/>
        </w:tabs>
        <w:spacing w:before="0"/>
      </w:pPr>
    </w:p>
    <w:p w:rsidR="00142353" w:rsidRPr="00D96B14" w:rsidRDefault="00142353" w:rsidP="00142353">
      <w:pPr>
        <w:tabs>
          <w:tab w:val="left" w:pos="0"/>
        </w:tabs>
        <w:spacing w:before="0"/>
      </w:pPr>
    </w:p>
    <w:p w:rsidR="00142353" w:rsidRPr="00D96B14" w:rsidRDefault="00142353" w:rsidP="00142353">
      <w:pPr>
        <w:tabs>
          <w:tab w:val="left" w:pos="0"/>
        </w:tabs>
        <w:spacing w:before="0"/>
      </w:pPr>
    </w:p>
    <w:p w:rsidR="00142353" w:rsidRPr="00D96B14" w:rsidRDefault="00142353" w:rsidP="00142353">
      <w:pPr>
        <w:tabs>
          <w:tab w:val="left" w:pos="0"/>
        </w:tabs>
        <w:spacing w:before="200"/>
      </w:pPr>
    </w:p>
    <w:p w:rsidR="00142353" w:rsidRPr="00D96B14" w:rsidRDefault="00142353" w:rsidP="00142353">
      <w:pPr>
        <w:pStyle w:val="ReferenceRed"/>
        <w:spacing w:before="360"/>
      </w:pPr>
      <w:r w:rsidRPr="00D96B14">
        <w:t>Revised</w:t>
      </w:r>
    </w:p>
    <w:p w:rsidR="00142353" w:rsidRPr="00D96B14" w:rsidRDefault="00142353" w:rsidP="00142353">
      <w:pPr>
        <w:tabs>
          <w:tab w:val="left" w:pos="0"/>
        </w:tabs>
        <w:spacing w:before="0"/>
        <w:rPr>
          <w:rFonts w:ascii="Calibri" w:hAnsi="Calibri" w:cs="Arial"/>
          <w:b/>
          <w:bCs/>
          <w:iCs/>
          <w:kern w:val="28"/>
          <w:sz w:val="24"/>
        </w:rPr>
      </w:pPr>
      <w:r w:rsidRPr="00D96B14">
        <w:br w:type="column"/>
      </w:r>
      <w:r w:rsidRPr="00D96B14">
        <w:rPr>
          <w:rFonts w:ascii="Calibri" w:hAnsi="Calibri" w:cs="Arial"/>
          <w:b/>
          <w:bCs/>
          <w:iCs/>
          <w:kern w:val="28"/>
        </w:rPr>
        <w:lastRenderedPageBreak/>
        <w:t>Information technology and telecommunication services</w:t>
      </w:r>
    </w:p>
    <w:p w:rsidR="00142353" w:rsidRPr="00D96B14" w:rsidRDefault="00142353" w:rsidP="00142353">
      <w:r w:rsidRPr="00D96B14">
        <w:t>The objective of this output is to provide efficient and economical operation of government activities to ensure optimal use of resources, and also to provide leadership in Information technology and telecommunication services (IT&amp;TS) that promotes Victoria as a centre of excellence in the application of new information technology that has the potential to contribute to the economic growth of the State.</w:t>
      </w:r>
    </w:p>
    <w:p w:rsidR="00142353" w:rsidRPr="00D96B14" w:rsidRDefault="00142353" w:rsidP="00142353">
      <w:pPr>
        <w:rPr>
          <w:i/>
          <w:color w:val="0000FF"/>
        </w:rPr>
      </w:pPr>
      <w:r w:rsidRPr="00D96B14">
        <w:t xml:space="preserve">This output makes a significant contribution to the achievement of the departmental objective of </w:t>
      </w:r>
      <w:r w:rsidRPr="00D96B14">
        <w:rPr>
          <w:i/>
          <w:color w:val="0000FF"/>
        </w:rPr>
        <w:t>[Departments to insert the relevant departmental objective].</w:t>
      </w:r>
    </w:p>
    <w:p w:rsidR="00142353" w:rsidRPr="00D96B14" w:rsidRDefault="00142353" w:rsidP="00142353">
      <w:pPr>
        <w:pStyle w:val="Heading4a"/>
      </w:pPr>
      <w:r w:rsidRPr="00D96B14">
        <w:t>Key initiatives and projects</w:t>
      </w:r>
    </w:p>
    <w:p w:rsidR="00142353" w:rsidRPr="00D96B14" w:rsidRDefault="00142353" w:rsidP="00142353">
      <w:pPr>
        <w:spacing w:before="0"/>
        <w:rPr>
          <w:i/>
          <w:color w:val="0000FF"/>
        </w:rPr>
        <w:sectPr w:rsidR="00142353" w:rsidRPr="00D96B14" w:rsidSect="00190A01">
          <w:type w:val="continuous"/>
          <w:pgSz w:w="11906" w:h="16838" w:code="9"/>
          <w:pgMar w:top="1152" w:right="864" w:bottom="1152" w:left="864" w:header="432" w:footer="432" w:gutter="0"/>
          <w:cols w:num="2" w:space="360" w:equalWidth="0">
            <w:col w:w="1440" w:space="360"/>
            <w:col w:w="8090"/>
          </w:cols>
        </w:sectPr>
      </w:pPr>
      <w:r w:rsidRPr="00D96B14">
        <w:rPr>
          <w:i/>
          <w:color w:val="0000FF"/>
        </w:rPr>
        <w:t>[Departments to disclose the key initiatives and projects relevant to this output. Refer to page 19 for additional guidance].</w:t>
      </w:r>
    </w:p>
    <w:p w:rsidR="00142353" w:rsidRPr="00D96B14" w:rsidRDefault="00142353" w:rsidP="00142353">
      <w:pPr>
        <w:spacing w:before="0"/>
        <w:rPr>
          <w:sz w:val="4"/>
          <w:szCs w:val="4"/>
        </w:rPr>
      </w:pPr>
      <w:r w:rsidRPr="00D96B14">
        <w:rPr>
          <w:sz w:val="4"/>
          <w:szCs w:val="4"/>
        </w:rPr>
        <w:lastRenderedPageBreak/>
        <w:br w:type="column"/>
      </w:r>
    </w:p>
    <w:p w:rsidR="00142353" w:rsidRPr="00D96B14" w:rsidRDefault="00142353" w:rsidP="00142353">
      <w:pPr>
        <w:spacing w:before="0"/>
        <w:rPr>
          <w:sz w:val="4"/>
          <w:szCs w:val="4"/>
        </w:rPr>
      </w:pPr>
    </w:p>
    <w:tbl>
      <w:tblPr>
        <w:tblW w:w="8330" w:type="dxa"/>
        <w:tblInd w:w="43" w:type="dxa"/>
        <w:tblLayout w:type="fixed"/>
        <w:tblCellMar>
          <w:left w:w="43" w:type="dxa"/>
          <w:right w:w="43" w:type="dxa"/>
        </w:tblCellMar>
        <w:tblLook w:val="01E0" w:firstRow="1" w:lastRow="1" w:firstColumn="1" w:lastColumn="1" w:noHBand="0" w:noVBand="0"/>
      </w:tblPr>
      <w:tblGrid>
        <w:gridCol w:w="3870"/>
        <w:gridCol w:w="892"/>
        <w:gridCol w:w="892"/>
        <w:gridCol w:w="892"/>
        <w:gridCol w:w="1104"/>
        <w:gridCol w:w="680"/>
      </w:tblGrid>
      <w:tr w:rsidR="00142353" w:rsidRPr="00D96B14" w:rsidTr="004843DB">
        <w:trPr>
          <w:cantSplit/>
        </w:trPr>
        <w:tc>
          <w:tcPr>
            <w:tcW w:w="3870" w:type="dxa"/>
            <w:tcBorders>
              <w:top w:val="single" w:sz="4" w:space="0" w:color="auto"/>
              <w:bottom w:val="single" w:sz="4" w:space="0" w:color="auto"/>
            </w:tcBorders>
            <w:shd w:val="clear" w:color="auto" w:fill="000000" w:themeFill="text1"/>
            <w:vAlign w:val="bottom"/>
          </w:tcPr>
          <w:p w:rsidR="00142353" w:rsidRPr="00D96B14" w:rsidRDefault="00142353" w:rsidP="004843DB">
            <w:pPr>
              <w:pStyle w:val="Tabletextheading"/>
              <w:jc w:val="left"/>
              <w:rPr>
                <w:color w:val="FFFFFF" w:themeColor="background1"/>
              </w:rPr>
            </w:pPr>
            <w:r w:rsidRPr="00D96B14">
              <w:rPr>
                <w:color w:val="FFFFFF" w:themeColor="background1"/>
              </w:rPr>
              <w:br w:type="page"/>
            </w:r>
            <w:r w:rsidRPr="00D96B14">
              <w:rPr>
                <w:color w:val="FFFFFF" w:themeColor="background1"/>
              </w:rPr>
              <w:br w:type="page"/>
            </w:r>
            <w:r w:rsidRPr="00D96B14">
              <w:rPr>
                <w:color w:val="FFFFFF" w:themeColor="background1"/>
              </w:rPr>
              <w:br w:type="column"/>
              <w:t>Performance measures</w:t>
            </w:r>
          </w:p>
        </w:tc>
        <w:tc>
          <w:tcPr>
            <w:tcW w:w="892" w:type="dxa"/>
            <w:tcBorders>
              <w:top w:val="single" w:sz="4" w:space="0" w:color="auto"/>
              <w:bottom w:val="single" w:sz="4" w:space="0" w:color="auto"/>
            </w:tcBorders>
            <w:shd w:val="clear" w:color="auto" w:fill="000000" w:themeFill="text1"/>
            <w:vAlign w:val="center"/>
          </w:tcPr>
          <w:p w:rsidR="00142353" w:rsidRPr="00D96B14" w:rsidRDefault="00142353" w:rsidP="004843DB">
            <w:pPr>
              <w:pStyle w:val="Tabletextheading"/>
              <w:jc w:val="center"/>
              <w:rPr>
                <w:color w:val="FFFFFF" w:themeColor="background1"/>
              </w:rPr>
            </w:pPr>
            <w:r w:rsidRPr="00D96B14">
              <w:rPr>
                <w:color w:val="FFFFFF" w:themeColor="background1"/>
              </w:rPr>
              <w:t>Unit of measure</w:t>
            </w:r>
          </w:p>
        </w:tc>
        <w:tc>
          <w:tcPr>
            <w:tcW w:w="892" w:type="dxa"/>
            <w:tcBorders>
              <w:top w:val="single" w:sz="4" w:space="0" w:color="auto"/>
              <w:bottom w:val="single" w:sz="4" w:space="0" w:color="auto"/>
            </w:tcBorders>
            <w:shd w:val="clear" w:color="auto" w:fill="000000" w:themeFill="text1"/>
            <w:vAlign w:val="bottom"/>
          </w:tcPr>
          <w:p w:rsidR="00142353" w:rsidRPr="00D96B14" w:rsidRDefault="00142353" w:rsidP="004843DB">
            <w:pPr>
              <w:pStyle w:val="Tabletextheading"/>
              <w:rPr>
                <w:color w:val="FFFFFF" w:themeColor="background1"/>
              </w:rPr>
            </w:pPr>
            <w:r w:rsidRPr="00D96B14">
              <w:rPr>
                <w:color w:val="FFFFFF" w:themeColor="background1"/>
              </w:rPr>
              <w:t>2015</w:t>
            </w:r>
            <w:r w:rsidR="005A4BB0">
              <w:rPr>
                <w:color w:val="FFFFFF" w:themeColor="background1"/>
              </w:rPr>
              <w:noBreakHyphen/>
            </w:r>
            <w:r w:rsidRPr="00D96B14">
              <w:rPr>
                <w:color w:val="FFFFFF" w:themeColor="background1"/>
              </w:rPr>
              <w:t>16</w:t>
            </w:r>
            <w:r w:rsidRPr="00D96B14">
              <w:rPr>
                <w:color w:val="FFFFFF" w:themeColor="background1"/>
              </w:rPr>
              <w:br/>
              <w:t>actual</w:t>
            </w:r>
          </w:p>
        </w:tc>
        <w:tc>
          <w:tcPr>
            <w:tcW w:w="892" w:type="dxa"/>
            <w:tcBorders>
              <w:top w:val="single" w:sz="4" w:space="0" w:color="auto"/>
              <w:bottom w:val="single" w:sz="4" w:space="0" w:color="auto"/>
            </w:tcBorders>
            <w:shd w:val="clear" w:color="auto" w:fill="000000" w:themeFill="text1"/>
            <w:vAlign w:val="bottom"/>
          </w:tcPr>
          <w:p w:rsidR="00142353" w:rsidRPr="00D96B14" w:rsidRDefault="00142353" w:rsidP="004843DB">
            <w:pPr>
              <w:pStyle w:val="Tabletextheading"/>
              <w:rPr>
                <w:color w:val="FFFFFF" w:themeColor="background1"/>
              </w:rPr>
            </w:pPr>
            <w:r w:rsidRPr="00D96B14">
              <w:rPr>
                <w:color w:val="FFFFFF" w:themeColor="background1"/>
              </w:rPr>
              <w:t>2015</w:t>
            </w:r>
            <w:r w:rsidR="005A4BB0">
              <w:rPr>
                <w:color w:val="FFFFFF" w:themeColor="background1"/>
              </w:rPr>
              <w:noBreakHyphen/>
            </w:r>
            <w:r w:rsidRPr="00D96B14">
              <w:rPr>
                <w:color w:val="FFFFFF" w:themeColor="background1"/>
              </w:rPr>
              <w:t>16</w:t>
            </w:r>
            <w:r w:rsidRPr="00D96B14">
              <w:rPr>
                <w:color w:val="FFFFFF" w:themeColor="background1"/>
              </w:rPr>
              <w:br/>
              <w:t>target</w:t>
            </w:r>
          </w:p>
        </w:tc>
        <w:tc>
          <w:tcPr>
            <w:tcW w:w="1104" w:type="dxa"/>
            <w:tcBorders>
              <w:top w:val="single" w:sz="4" w:space="0" w:color="auto"/>
              <w:bottom w:val="single" w:sz="4" w:space="0" w:color="auto"/>
            </w:tcBorders>
            <w:shd w:val="clear" w:color="auto" w:fill="000000" w:themeFill="text1"/>
          </w:tcPr>
          <w:p w:rsidR="00142353" w:rsidRPr="00D96B14" w:rsidRDefault="00142353" w:rsidP="004843DB">
            <w:pPr>
              <w:pStyle w:val="Tabletextheading"/>
            </w:pPr>
            <w:r w:rsidRPr="00D96B14">
              <w:t>Performance variation (%)</w:t>
            </w:r>
          </w:p>
        </w:tc>
        <w:tc>
          <w:tcPr>
            <w:tcW w:w="680" w:type="dxa"/>
            <w:tcBorders>
              <w:top w:val="single" w:sz="4" w:space="0" w:color="auto"/>
              <w:bottom w:val="single" w:sz="4" w:space="0" w:color="auto"/>
            </w:tcBorders>
            <w:shd w:val="clear" w:color="auto" w:fill="000000" w:themeFill="text1"/>
          </w:tcPr>
          <w:p w:rsidR="00142353" w:rsidRPr="00D96B14" w:rsidRDefault="00142353" w:rsidP="004843DB">
            <w:pPr>
              <w:pStyle w:val="Tabletextheading"/>
              <w:rPr>
                <w:color w:val="FFFFFF" w:themeColor="background1"/>
              </w:rPr>
            </w:pPr>
            <w:r w:rsidRPr="00D96B14">
              <w:rPr>
                <w:color w:val="FFFFFF" w:themeColor="background1"/>
              </w:rPr>
              <w:br/>
              <w:t xml:space="preserve">Result </w:t>
            </w:r>
            <w:r w:rsidRPr="00D96B14">
              <w:rPr>
                <w:iCs w:val="0"/>
                <w:color w:val="FFFFFF" w:themeColor="background1"/>
                <w:vertAlign w:val="superscript"/>
              </w:rPr>
              <w:t>1</w:t>
            </w:r>
          </w:p>
        </w:tc>
      </w:tr>
      <w:tr w:rsidR="00142353" w:rsidRPr="00D96B14" w:rsidTr="004843DB">
        <w:trPr>
          <w:cantSplit/>
          <w:trHeight w:val="57"/>
        </w:trPr>
        <w:tc>
          <w:tcPr>
            <w:tcW w:w="3870" w:type="dxa"/>
            <w:tcBorders>
              <w:top w:val="single" w:sz="4" w:space="0" w:color="auto"/>
            </w:tcBorders>
          </w:tcPr>
          <w:p w:rsidR="00142353" w:rsidRPr="00D96B14" w:rsidRDefault="00142353" w:rsidP="004843DB">
            <w:pPr>
              <w:pStyle w:val="Tabletext"/>
            </w:pPr>
            <w:r w:rsidRPr="00D96B14">
              <w:rPr>
                <w:i/>
                <w:iCs/>
              </w:rPr>
              <w:t>Quantity</w:t>
            </w:r>
          </w:p>
        </w:tc>
        <w:tc>
          <w:tcPr>
            <w:tcW w:w="892" w:type="dxa"/>
            <w:tcBorders>
              <w:top w:val="single" w:sz="4" w:space="0" w:color="auto"/>
            </w:tcBorders>
            <w:vAlign w:val="center"/>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20"/>
        </w:trPr>
        <w:tc>
          <w:tcPr>
            <w:tcW w:w="3870" w:type="dxa"/>
          </w:tcPr>
          <w:p w:rsidR="00142353" w:rsidRPr="00D96B14" w:rsidRDefault="00142353" w:rsidP="004843DB">
            <w:pPr>
              <w:spacing w:before="30" w:after="30"/>
              <w:ind w:left="266" w:hanging="126"/>
              <w:rPr>
                <w:rFonts w:ascii="Calibri" w:hAnsi="Calibri" w:cs="Arial"/>
                <w:sz w:val="18"/>
                <w:szCs w:val="18"/>
              </w:rPr>
            </w:pPr>
            <w:r w:rsidRPr="00D96B14">
              <w:rPr>
                <w:rFonts w:ascii="Calibri" w:hAnsi="Calibri" w:cs="Arial"/>
                <w:sz w:val="18"/>
                <w:szCs w:val="18"/>
              </w:rPr>
              <w:t>New clients gained</w:t>
            </w:r>
          </w:p>
        </w:tc>
        <w:tc>
          <w:tcPr>
            <w:tcW w:w="892" w:type="dxa"/>
          </w:tcPr>
          <w:p w:rsidR="00142353" w:rsidRPr="00D96B14" w:rsidRDefault="00142353" w:rsidP="004843DB">
            <w:pPr>
              <w:pStyle w:val="TableofFigures"/>
              <w:jc w:val="center"/>
            </w:pPr>
            <w:r w:rsidRPr="00D96B14">
              <w:t>number</w:t>
            </w:r>
          </w:p>
        </w:tc>
        <w:tc>
          <w:tcPr>
            <w:tcW w:w="892" w:type="dxa"/>
            <w:shd w:val="clear" w:color="auto" w:fill="D9D9D9"/>
          </w:tcPr>
          <w:p w:rsidR="00142353" w:rsidRPr="00D96B14" w:rsidRDefault="00142353" w:rsidP="004843DB">
            <w:pPr>
              <w:pStyle w:val="TableofFigures"/>
            </w:pPr>
            <w:r w:rsidRPr="00D96B14">
              <w:t>120</w:t>
            </w:r>
          </w:p>
        </w:tc>
        <w:tc>
          <w:tcPr>
            <w:tcW w:w="892" w:type="dxa"/>
          </w:tcPr>
          <w:p w:rsidR="00142353" w:rsidRPr="00D96B14" w:rsidRDefault="00142353" w:rsidP="004843DB">
            <w:pPr>
              <w:pStyle w:val="TableofFigures"/>
            </w:pPr>
            <w:r w:rsidRPr="00D96B14">
              <w:t>500</w:t>
            </w:r>
          </w:p>
        </w:tc>
        <w:tc>
          <w:tcPr>
            <w:tcW w:w="1104" w:type="dxa"/>
          </w:tcPr>
          <w:p w:rsidR="00142353" w:rsidRPr="00D96B14" w:rsidRDefault="00142353" w:rsidP="004843DB">
            <w:pPr>
              <w:pStyle w:val="TableofFigures"/>
            </w:pPr>
            <w:r w:rsidRPr="00D96B14">
              <w:t>6</w:t>
            </w:r>
          </w:p>
        </w:tc>
        <w:tc>
          <w:tcPr>
            <w:tcW w:w="680" w:type="dxa"/>
          </w:tcPr>
          <w:p w:rsidR="00142353" w:rsidRPr="00D96B14" w:rsidRDefault="00142353" w:rsidP="004843DB">
            <w:pPr>
              <w:pStyle w:val="TableofFigures"/>
            </w:pPr>
            <w:r w:rsidRPr="00D96B14">
              <w:sym w:font="Wingdings" w:char="F0FC"/>
            </w:r>
          </w:p>
        </w:tc>
      </w:tr>
      <w:tr w:rsidR="00142353" w:rsidRPr="00D96B14" w:rsidTr="004843DB">
        <w:trPr>
          <w:cantSplit/>
          <w:trHeight w:val="20"/>
        </w:trPr>
        <w:tc>
          <w:tcPr>
            <w:tcW w:w="3870" w:type="dxa"/>
          </w:tcPr>
          <w:p w:rsidR="00142353" w:rsidRPr="00D96B14" w:rsidRDefault="00142353" w:rsidP="004843DB">
            <w:pPr>
              <w:spacing w:before="30" w:after="30"/>
              <w:ind w:left="266" w:hanging="126"/>
              <w:rPr>
                <w:rFonts w:ascii="Calibri" w:hAnsi="Calibri" w:cs="Arial"/>
                <w:sz w:val="18"/>
                <w:szCs w:val="18"/>
              </w:rPr>
            </w:pPr>
            <w:r w:rsidRPr="00D96B14">
              <w:rPr>
                <w:rFonts w:ascii="Calibri" w:hAnsi="Calibri" w:cs="Arial"/>
                <w:sz w:val="18"/>
                <w:szCs w:val="18"/>
              </w:rPr>
              <w:t>Database system report delivered</w:t>
            </w:r>
          </w:p>
        </w:tc>
        <w:tc>
          <w:tcPr>
            <w:tcW w:w="892" w:type="dxa"/>
          </w:tcPr>
          <w:p w:rsidR="00142353" w:rsidRPr="00D96B14" w:rsidRDefault="00142353" w:rsidP="004843DB">
            <w:pPr>
              <w:pStyle w:val="TableofFigures"/>
              <w:jc w:val="center"/>
            </w:pPr>
          </w:p>
        </w:tc>
        <w:tc>
          <w:tcPr>
            <w:tcW w:w="892" w:type="dxa"/>
            <w:shd w:val="clear" w:color="auto" w:fill="D9D9D9"/>
          </w:tcPr>
          <w:p w:rsidR="00142353" w:rsidRPr="00D96B14" w:rsidRDefault="00142353" w:rsidP="004843DB">
            <w:pPr>
              <w:pStyle w:val="TableofFigures"/>
            </w:pPr>
            <w:r w:rsidRPr="00D96B14">
              <w:t>15</w:t>
            </w:r>
          </w:p>
        </w:tc>
        <w:tc>
          <w:tcPr>
            <w:tcW w:w="892" w:type="dxa"/>
          </w:tcPr>
          <w:p w:rsidR="00142353" w:rsidRPr="00D96B14" w:rsidRDefault="00142353" w:rsidP="004843DB">
            <w:pPr>
              <w:pStyle w:val="TableofFigures"/>
            </w:pPr>
            <w:r w:rsidRPr="00D96B14">
              <w:t>12</w:t>
            </w:r>
          </w:p>
        </w:tc>
        <w:tc>
          <w:tcPr>
            <w:tcW w:w="1104" w:type="dxa"/>
          </w:tcPr>
          <w:p w:rsidR="00142353" w:rsidRPr="00D96B14" w:rsidRDefault="00142353" w:rsidP="004843DB">
            <w:pPr>
              <w:pStyle w:val="TableofFigures"/>
            </w:pPr>
            <w:r w:rsidRPr="00D96B14">
              <w:t>25</w:t>
            </w:r>
          </w:p>
        </w:tc>
        <w:tc>
          <w:tcPr>
            <w:tcW w:w="680" w:type="dxa"/>
          </w:tcPr>
          <w:p w:rsidR="00142353" w:rsidRPr="00D96B14" w:rsidRDefault="00142353" w:rsidP="004843DB">
            <w:pPr>
              <w:pStyle w:val="TableofFigures"/>
            </w:pPr>
            <w:r w:rsidRPr="00D96B14">
              <w:sym w:font="Wingdings" w:char="F0FC"/>
            </w:r>
          </w:p>
        </w:tc>
      </w:tr>
      <w:tr w:rsidR="00142353" w:rsidRPr="00D96B14" w:rsidTr="004843DB">
        <w:trPr>
          <w:cantSplit/>
          <w:trHeight w:val="20"/>
        </w:trPr>
        <w:tc>
          <w:tcPr>
            <w:tcW w:w="8330" w:type="dxa"/>
            <w:gridSpan w:val="6"/>
          </w:tcPr>
          <w:p w:rsidR="00142353" w:rsidRPr="00D96B14" w:rsidRDefault="00142353" w:rsidP="004843DB">
            <w:pPr>
              <w:pStyle w:val="PMNotes"/>
            </w:pPr>
            <w:r w:rsidRPr="00D96B14">
              <w:t>New services received through machinery of government changes resulted in more system reports required to be delivered.</w:t>
            </w:r>
          </w:p>
        </w:tc>
      </w:tr>
      <w:tr w:rsidR="00142353" w:rsidRPr="00D96B14" w:rsidTr="004843DB">
        <w:trPr>
          <w:cantSplit/>
          <w:trHeight w:val="57"/>
        </w:trPr>
        <w:tc>
          <w:tcPr>
            <w:tcW w:w="3870" w:type="dxa"/>
            <w:tcBorders>
              <w:top w:val="single" w:sz="4" w:space="0" w:color="auto"/>
            </w:tcBorders>
          </w:tcPr>
          <w:p w:rsidR="00142353" w:rsidRPr="00D96B14" w:rsidRDefault="00142353" w:rsidP="004843DB">
            <w:pPr>
              <w:pStyle w:val="Tabletext"/>
            </w:pPr>
            <w:r w:rsidRPr="00D96B14">
              <w:rPr>
                <w:i/>
                <w:iCs/>
              </w:rPr>
              <w:t>Quality</w:t>
            </w:r>
          </w:p>
        </w:tc>
        <w:tc>
          <w:tcPr>
            <w:tcW w:w="892" w:type="dxa"/>
            <w:tcBorders>
              <w:top w:val="single" w:sz="4" w:space="0" w:color="auto"/>
            </w:tcBorders>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57"/>
        </w:trPr>
        <w:tc>
          <w:tcPr>
            <w:tcW w:w="3870" w:type="dxa"/>
          </w:tcPr>
          <w:p w:rsidR="00142353" w:rsidRPr="00D96B14" w:rsidRDefault="00142353" w:rsidP="004843DB">
            <w:pPr>
              <w:pStyle w:val="TabletextIndent"/>
              <w:ind w:left="272" w:hanging="173"/>
            </w:pPr>
            <w:r w:rsidRPr="00D96B14">
              <w:t>Service provision rating (based on client agencies survey data)</w:t>
            </w:r>
          </w:p>
        </w:tc>
        <w:tc>
          <w:tcPr>
            <w:tcW w:w="892" w:type="dxa"/>
          </w:tcPr>
          <w:p w:rsidR="00142353" w:rsidRPr="00D96B14" w:rsidRDefault="00142353" w:rsidP="004843DB">
            <w:pPr>
              <w:pStyle w:val="TableofFigures"/>
              <w:jc w:val="center"/>
            </w:pPr>
            <w:r w:rsidRPr="00D96B14">
              <w:t>per cent</w:t>
            </w:r>
          </w:p>
        </w:tc>
        <w:tc>
          <w:tcPr>
            <w:tcW w:w="892" w:type="dxa"/>
            <w:shd w:val="clear" w:color="auto" w:fill="D9D9D9"/>
          </w:tcPr>
          <w:p w:rsidR="00142353" w:rsidRPr="00D96B14" w:rsidRDefault="00142353" w:rsidP="004843DB">
            <w:pPr>
              <w:pStyle w:val="TableofFigures"/>
            </w:pPr>
            <w:r w:rsidRPr="00D96B14">
              <w:t>90.0</w:t>
            </w:r>
          </w:p>
        </w:tc>
        <w:tc>
          <w:tcPr>
            <w:tcW w:w="892" w:type="dxa"/>
          </w:tcPr>
          <w:p w:rsidR="00142353" w:rsidRPr="00D96B14" w:rsidRDefault="00142353" w:rsidP="004843DB">
            <w:pPr>
              <w:pStyle w:val="TableofFigures"/>
            </w:pPr>
            <w:r w:rsidRPr="00D96B14">
              <w:t>80.0</w:t>
            </w:r>
          </w:p>
        </w:tc>
        <w:tc>
          <w:tcPr>
            <w:tcW w:w="1104" w:type="dxa"/>
          </w:tcPr>
          <w:p w:rsidR="00142353" w:rsidRPr="00D96B14" w:rsidRDefault="00142353" w:rsidP="004843DB">
            <w:pPr>
              <w:pStyle w:val="TableofFigures"/>
            </w:pPr>
            <w:r w:rsidRPr="00D96B14">
              <w:t>12.5</w:t>
            </w:r>
          </w:p>
        </w:tc>
        <w:tc>
          <w:tcPr>
            <w:tcW w:w="680" w:type="dxa"/>
          </w:tcPr>
          <w:p w:rsidR="00142353" w:rsidRPr="00D96B14" w:rsidRDefault="00142353" w:rsidP="004843DB">
            <w:pPr>
              <w:pStyle w:val="TableofFigures"/>
            </w:pPr>
            <w:r w:rsidRPr="00D96B14">
              <w:sym w:font="Wingdings" w:char="F0FC"/>
            </w:r>
          </w:p>
        </w:tc>
      </w:tr>
      <w:tr w:rsidR="00142353" w:rsidRPr="00D96B14" w:rsidTr="004843DB">
        <w:trPr>
          <w:cantSplit/>
          <w:trHeight w:val="57"/>
        </w:trPr>
        <w:tc>
          <w:tcPr>
            <w:tcW w:w="8330" w:type="dxa"/>
            <w:gridSpan w:val="6"/>
          </w:tcPr>
          <w:p w:rsidR="00142353" w:rsidRPr="00D96B14" w:rsidRDefault="00142353" w:rsidP="004843DB">
            <w:pPr>
              <w:pStyle w:val="PMNotes"/>
            </w:pPr>
            <w:r w:rsidRPr="00D96B14">
              <w:t>Result reflects the effectiveness of this service provision in addressing the high and complex needs of this client group..</w:t>
            </w:r>
          </w:p>
        </w:tc>
      </w:tr>
      <w:tr w:rsidR="00142353" w:rsidRPr="00D96B14" w:rsidTr="004843DB">
        <w:trPr>
          <w:cantSplit/>
          <w:trHeight w:val="57"/>
        </w:trPr>
        <w:tc>
          <w:tcPr>
            <w:tcW w:w="3870" w:type="dxa"/>
            <w:tcBorders>
              <w:top w:val="single" w:sz="4" w:space="0" w:color="auto"/>
            </w:tcBorders>
          </w:tcPr>
          <w:p w:rsidR="00142353" w:rsidRPr="00D96B14" w:rsidRDefault="00142353" w:rsidP="004843DB">
            <w:pPr>
              <w:pStyle w:val="Tabletext"/>
            </w:pPr>
            <w:r w:rsidRPr="00D96B14">
              <w:rPr>
                <w:i/>
                <w:iCs/>
              </w:rPr>
              <w:t>Timeliness</w:t>
            </w:r>
          </w:p>
        </w:tc>
        <w:tc>
          <w:tcPr>
            <w:tcW w:w="892" w:type="dxa"/>
            <w:tcBorders>
              <w:top w:val="single" w:sz="4" w:space="0" w:color="auto"/>
            </w:tcBorders>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57"/>
        </w:trPr>
        <w:tc>
          <w:tcPr>
            <w:tcW w:w="3870" w:type="dxa"/>
          </w:tcPr>
          <w:p w:rsidR="00142353" w:rsidRPr="00D96B14" w:rsidRDefault="00142353" w:rsidP="004843DB">
            <w:pPr>
              <w:pStyle w:val="TabletextIndent"/>
              <w:ind w:hanging="169"/>
            </w:pPr>
            <w:r w:rsidRPr="00D96B14">
              <w:t>Broadband network queries responded to within six hours of receipt (number of queries in a day)</w:t>
            </w:r>
          </w:p>
        </w:tc>
        <w:tc>
          <w:tcPr>
            <w:tcW w:w="892" w:type="dxa"/>
          </w:tcPr>
          <w:p w:rsidR="00142353" w:rsidRPr="00D96B14" w:rsidRDefault="00142353" w:rsidP="004843DB">
            <w:pPr>
              <w:pStyle w:val="TableofFigures"/>
              <w:jc w:val="center"/>
            </w:pPr>
            <w:r w:rsidRPr="00D96B14">
              <w:t>per cent</w:t>
            </w:r>
          </w:p>
        </w:tc>
        <w:tc>
          <w:tcPr>
            <w:tcW w:w="892" w:type="dxa"/>
            <w:shd w:val="clear" w:color="auto" w:fill="D9D9D9"/>
          </w:tcPr>
          <w:p w:rsidR="00142353" w:rsidRPr="00D96B14" w:rsidRDefault="00142353" w:rsidP="004843DB">
            <w:pPr>
              <w:pStyle w:val="TableofFigures"/>
            </w:pPr>
            <w:r w:rsidRPr="00D96B14">
              <w:t>90.0</w:t>
            </w:r>
          </w:p>
        </w:tc>
        <w:tc>
          <w:tcPr>
            <w:tcW w:w="892" w:type="dxa"/>
          </w:tcPr>
          <w:p w:rsidR="00142353" w:rsidRPr="00D96B14" w:rsidRDefault="00142353" w:rsidP="004843DB">
            <w:pPr>
              <w:pStyle w:val="TableofFigures"/>
            </w:pPr>
            <w:r w:rsidRPr="00D96B14">
              <w:t>90.0</w:t>
            </w:r>
          </w:p>
        </w:tc>
        <w:tc>
          <w:tcPr>
            <w:tcW w:w="1104" w:type="dxa"/>
          </w:tcPr>
          <w:p w:rsidR="00142353" w:rsidRPr="00D96B14" w:rsidRDefault="00142353" w:rsidP="004843DB">
            <w:pPr>
              <w:pStyle w:val="TableofFigures"/>
            </w:pPr>
            <w:r w:rsidRPr="00D96B14">
              <w:t>0</w:t>
            </w:r>
          </w:p>
        </w:tc>
        <w:tc>
          <w:tcPr>
            <w:tcW w:w="680" w:type="dxa"/>
          </w:tcPr>
          <w:p w:rsidR="00142353" w:rsidRPr="00D96B14" w:rsidRDefault="00142353" w:rsidP="004843DB">
            <w:pPr>
              <w:pStyle w:val="TableofFigures"/>
            </w:pPr>
            <w:r w:rsidRPr="00D96B14">
              <w:sym w:font="Wingdings" w:char="F0FC"/>
            </w:r>
          </w:p>
        </w:tc>
      </w:tr>
      <w:tr w:rsidR="00142353" w:rsidRPr="00D96B14" w:rsidTr="004843DB">
        <w:trPr>
          <w:cantSplit/>
          <w:trHeight w:val="57"/>
        </w:trPr>
        <w:tc>
          <w:tcPr>
            <w:tcW w:w="3870" w:type="dxa"/>
            <w:tcBorders>
              <w:top w:val="single" w:sz="4" w:space="0" w:color="auto"/>
            </w:tcBorders>
          </w:tcPr>
          <w:p w:rsidR="00142353" w:rsidRPr="00D96B14" w:rsidRDefault="00142353" w:rsidP="004843DB">
            <w:pPr>
              <w:pStyle w:val="Tabletext"/>
            </w:pPr>
            <w:r w:rsidRPr="00D96B14">
              <w:rPr>
                <w:i/>
                <w:iCs/>
              </w:rPr>
              <w:t>Cost</w:t>
            </w:r>
          </w:p>
        </w:tc>
        <w:tc>
          <w:tcPr>
            <w:tcW w:w="892" w:type="dxa"/>
            <w:tcBorders>
              <w:top w:val="single" w:sz="4" w:space="0" w:color="auto"/>
            </w:tcBorders>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57"/>
        </w:trPr>
        <w:tc>
          <w:tcPr>
            <w:tcW w:w="3870" w:type="dxa"/>
          </w:tcPr>
          <w:p w:rsidR="00142353" w:rsidRPr="00D96B14" w:rsidRDefault="00142353" w:rsidP="004843DB">
            <w:pPr>
              <w:pStyle w:val="TabletextIndent"/>
              <w:ind w:hanging="169"/>
            </w:pPr>
            <w:r w:rsidRPr="00D96B14">
              <w:t>Total output cost</w:t>
            </w:r>
          </w:p>
        </w:tc>
        <w:tc>
          <w:tcPr>
            <w:tcW w:w="892" w:type="dxa"/>
          </w:tcPr>
          <w:p w:rsidR="00142353" w:rsidRPr="00D96B14" w:rsidRDefault="00142353" w:rsidP="004843DB">
            <w:pPr>
              <w:pStyle w:val="TableofFigures"/>
              <w:jc w:val="center"/>
            </w:pPr>
            <w:r w:rsidRPr="00D96B14">
              <w:t>$ million</w:t>
            </w:r>
          </w:p>
        </w:tc>
        <w:tc>
          <w:tcPr>
            <w:tcW w:w="892" w:type="dxa"/>
            <w:shd w:val="clear" w:color="auto" w:fill="D9D9D9"/>
          </w:tcPr>
          <w:p w:rsidR="00142353" w:rsidRPr="00D96B14" w:rsidRDefault="00142353" w:rsidP="004843DB">
            <w:pPr>
              <w:pStyle w:val="TableofFigures"/>
            </w:pPr>
            <w:r w:rsidRPr="00D96B14">
              <w:t>45.7</w:t>
            </w:r>
          </w:p>
        </w:tc>
        <w:tc>
          <w:tcPr>
            <w:tcW w:w="892" w:type="dxa"/>
          </w:tcPr>
          <w:p w:rsidR="00142353" w:rsidRPr="00D96B14" w:rsidRDefault="00142353" w:rsidP="004843DB">
            <w:pPr>
              <w:pStyle w:val="TableofFigures"/>
            </w:pPr>
            <w:r w:rsidRPr="00D96B14">
              <w:t>40.5</w:t>
            </w:r>
          </w:p>
        </w:tc>
        <w:tc>
          <w:tcPr>
            <w:tcW w:w="1104" w:type="dxa"/>
          </w:tcPr>
          <w:p w:rsidR="00142353" w:rsidRPr="00D96B14" w:rsidRDefault="00142353" w:rsidP="004843DB">
            <w:pPr>
              <w:pStyle w:val="TableofFigures"/>
            </w:pPr>
            <w:r w:rsidRPr="00D96B14">
              <w:t>12.8</w:t>
            </w:r>
          </w:p>
        </w:tc>
        <w:tc>
          <w:tcPr>
            <w:tcW w:w="680" w:type="dxa"/>
          </w:tcPr>
          <w:p w:rsidR="00142353" w:rsidRPr="00D96B14" w:rsidRDefault="00142353" w:rsidP="004843DB">
            <w:pPr>
              <w:pStyle w:val="TableofFigures"/>
            </w:pPr>
            <w:r w:rsidRPr="00D96B14">
              <w:sym w:font="Wingdings" w:char="F06E"/>
            </w:r>
          </w:p>
        </w:tc>
      </w:tr>
      <w:tr w:rsidR="00142353" w:rsidRPr="00D96B14" w:rsidTr="004843DB">
        <w:trPr>
          <w:cantSplit/>
          <w:trHeight w:val="57"/>
        </w:trPr>
        <w:tc>
          <w:tcPr>
            <w:tcW w:w="8330" w:type="dxa"/>
            <w:gridSpan w:val="6"/>
            <w:tcBorders>
              <w:bottom w:val="single" w:sz="12" w:space="0" w:color="auto"/>
            </w:tcBorders>
          </w:tcPr>
          <w:p w:rsidR="00142353" w:rsidRPr="00D96B14" w:rsidRDefault="00142353" w:rsidP="004843DB">
            <w:pPr>
              <w:pStyle w:val="PMNotes"/>
            </w:pPr>
            <w:r w:rsidRPr="00D96B14">
              <w:t>The variance in total output cost between actual and target is due to the increase in demand caused by the provision of new services.</w:t>
            </w:r>
          </w:p>
        </w:tc>
      </w:tr>
    </w:tbl>
    <w:p w:rsidR="00142353" w:rsidRPr="00D96B14" w:rsidRDefault="00142353" w:rsidP="00142353">
      <w:pPr>
        <w:tabs>
          <w:tab w:val="left" w:pos="454"/>
        </w:tabs>
        <w:spacing w:before="0"/>
        <w:ind w:left="459" w:hanging="459"/>
        <w:rPr>
          <w:rFonts w:ascii="Calibri" w:hAnsi="Calibri"/>
          <w:i/>
          <w:iCs/>
          <w:sz w:val="16"/>
          <w:szCs w:val="18"/>
        </w:rPr>
      </w:pPr>
      <w:r w:rsidRPr="00D96B14">
        <w:rPr>
          <w:rFonts w:ascii="Calibri" w:hAnsi="Calibri"/>
          <w:i/>
          <w:iCs/>
          <w:sz w:val="16"/>
          <w:szCs w:val="18"/>
        </w:rPr>
        <w:t>Note:</w:t>
      </w:r>
    </w:p>
    <w:p w:rsidR="00142353" w:rsidRPr="00D96B14" w:rsidRDefault="00142353" w:rsidP="00142353">
      <w:pPr>
        <w:pStyle w:val="Notes"/>
        <w:tabs>
          <w:tab w:val="left" w:pos="720"/>
        </w:tabs>
        <w:ind w:left="720" w:hanging="720"/>
      </w:pPr>
      <w:r w:rsidRPr="00D96B14">
        <w:rPr>
          <w:kern w:val="28"/>
        </w:rPr>
        <w:t>1.</w:t>
      </w:r>
      <w:r w:rsidRPr="00D96B14">
        <w:tab/>
      </w:r>
      <w:r w:rsidRPr="00D96B14">
        <w:rPr>
          <w:i w:val="0"/>
        </w:rPr>
        <w:sym w:font="Wingdings" w:char="F0FC"/>
      </w:r>
      <w:r w:rsidRPr="00D96B14">
        <w:tab/>
        <w:t xml:space="preserve">Performance target achieved or exceeded. </w:t>
      </w:r>
      <w:r w:rsidRPr="00D96B14">
        <w:rPr>
          <w:color w:val="0000FF"/>
        </w:rPr>
        <w:t>[A variance exceeding 5 per cent is a significant variance that requires an explanation, including internal or external factors that cause the variance].</w:t>
      </w:r>
    </w:p>
    <w:p w:rsidR="00142353" w:rsidRPr="00D96B14" w:rsidRDefault="00142353" w:rsidP="00142353">
      <w:pPr>
        <w:pStyle w:val="NotesIndent"/>
        <w:tabs>
          <w:tab w:val="clear" w:pos="454"/>
          <w:tab w:val="left" w:pos="720"/>
        </w:tabs>
        <w:ind w:left="720" w:hanging="264"/>
      </w:pPr>
      <w:r w:rsidRPr="00D96B14">
        <w:rPr>
          <w:rFonts w:asciiTheme="minorHAnsi" w:hAnsiTheme="minorHAnsi" w:cstheme="minorHAnsi"/>
          <w:i w:val="0"/>
          <w:szCs w:val="16"/>
        </w:rPr>
        <w:sym w:font="Wingdings" w:char="F06E"/>
      </w:r>
      <w:r w:rsidRPr="00D96B14">
        <w:rPr>
          <w:rFonts w:asciiTheme="minorHAnsi" w:hAnsiTheme="minorHAnsi" w:cstheme="minorHAnsi"/>
          <w:szCs w:val="16"/>
        </w:rPr>
        <w:t xml:space="preserve"> </w:t>
      </w:r>
      <w:r w:rsidRPr="00D96B14">
        <w:rPr>
          <w:rFonts w:asciiTheme="minorHAnsi" w:hAnsiTheme="minorHAnsi" w:cstheme="minorHAnsi"/>
          <w:szCs w:val="16"/>
        </w:rPr>
        <w:tab/>
        <w:t xml:space="preserve">Performance target not achieved – exceeds 5 per cent variance. </w:t>
      </w:r>
      <w:r w:rsidRPr="00D96B14">
        <w:t>[This is a significant variance that requires an explanation, including internal or external factors that cause the variance]</w:t>
      </w:r>
    </w:p>
    <w:p w:rsidR="00142353" w:rsidRPr="00D96B14" w:rsidRDefault="00142353" w:rsidP="00142353">
      <w:pPr>
        <w:pStyle w:val="NotesIndent"/>
        <w:tabs>
          <w:tab w:val="clear" w:pos="454"/>
          <w:tab w:val="left" w:pos="720"/>
        </w:tabs>
        <w:ind w:left="720" w:hanging="264"/>
        <w:rPr>
          <w:rFonts w:asciiTheme="minorHAnsi" w:hAnsiTheme="minorHAnsi" w:cstheme="minorHAnsi"/>
          <w:szCs w:val="16"/>
        </w:rPr>
      </w:pPr>
    </w:p>
    <w:p w:rsidR="00142353" w:rsidRPr="00D96B14" w:rsidRDefault="00142353" w:rsidP="00142353">
      <w:pPr>
        <w:pStyle w:val="NotesIndent"/>
        <w:tabs>
          <w:tab w:val="clear" w:pos="454"/>
          <w:tab w:val="left" w:pos="720"/>
        </w:tabs>
        <w:ind w:left="720" w:hanging="264"/>
        <w:rPr>
          <w:rFonts w:asciiTheme="minorHAnsi" w:hAnsiTheme="minorHAnsi" w:cstheme="minorHAnsi"/>
          <w:szCs w:val="16"/>
        </w:rPr>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Reference"/>
        <w:rPr>
          <w:rStyle w:val="ReferenceChar"/>
        </w:rPr>
      </w:pPr>
    </w:p>
    <w:p w:rsidR="00142353" w:rsidRPr="00D96B14" w:rsidRDefault="00142353" w:rsidP="00142353">
      <w:pPr>
        <w:pStyle w:val="Reference"/>
        <w:spacing w:before="60"/>
        <w:rPr>
          <w:rStyle w:val="ReferenceChar"/>
          <w:iCs/>
          <w:szCs w:val="18"/>
        </w:rPr>
      </w:pPr>
      <w:r w:rsidRPr="00D96B14">
        <w:rPr>
          <w:iCs/>
          <w:szCs w:val="18"/>
        </w:rPr>
        <w:t>FRD 8D</w:t>
      </w:r>
      <w:r w:rsidRPr="00D96B14">
        <w:rPr>
          <w:iCs/>
          <w:szCs w:val="18"/>
        </w:rPr>
        <w:br/>
      </w:r>
      <w:r w:rsidRPr="00D96B14">
        <w:rPr>
          <w:iCs/>
          <w:szCs w:val="18"/>
        </w:rPr>
        <w:br/>
      </w:r>
      <w:r w:rsidRPr="00D96B14">
        <w:rPr>
          <w:iCs/>
          <w:szCs w:val="18"/>
        </w:rPr>
        <w:br/>
      </w:r>
      <w:r w:rsidRPr="00D96B14">
        <w:rPr>
          <w:iCs/>
          <w:szCs w:val="18"/>
        </w:rPr>
        <w:br/>
      </w:r>
    </w:p>
    <w:p w:rsidR="00142353" w:rsidRPr="00D96B14" w:rsidRDefault="00142353" w:rsidP="00142353">
      <w:pPr>
        <w:tabs>
          <w:tab w:val="left" w:pos="284"/>
        </w:tabs>
        <w:spacing w:before="0"/>
        <w:rPr>
          <w:rFonts w:ascii="Calibri" w:hAnsi="Calibri"/>
          <w:iCs/>
          <w:sz w:val="16"/>
          <w:szCs w:val="18"/>
        </w:rPr>
      </w:pPr>
    </w:p>
    <w:p w:rsidR="00142353" w:rsidRPr="00D96B14" w:rsidRDefault="00142353" w:rsidP="00142353">
      <w:pPr>
        <w:tabs>
          <w:tab w:val="left" w:pos="284"/>
        </w:tabs>
        <w:spacing w:before="320"/>
        <w:rPr>
          <w:rFonts w:ascii="Calibri" w:hAnsi="Calibri"/>
          <w:iCs/>
          <w:sz w:val="16"/>
          <w:szCs w:val="18"/>
        </w:rPr>
      </w:pPr>
    </w:p>
    <w:p w:rsidR="00142353" w:rsidRPr="00D96B14" w:rsidRDefault="00142353" w:rsidP="00142353">
      <w:pPr>
        <w:tabs>
          <w:tab w:val="left" w:pos="284"/>
        </w:tabs>
        <w:spacing w:before="40"/>
        <w:rPr>
          <w:rFonts w:asciiTheme="minorHAnsi" w:hAnsiTheme="minorHAnsi" w:cstheme="minorHAnsi"/>
          <w:i/>
          <w:iCs/>
          <w:sz w:val="16"/>
          <w:szCs w:val="16"/>
        </w:rPr>
      </w:pPr>
      <w:r w:rsidRPr="00D96B14">
        <w:rPr>
          <w:rStyle w:val="ReferenceRedChar"/>
        </w:rPr>
        <w:t>Revised</w:t>
      </w:r>
      <w:r w:rsidRPr="00D96B14">
        <w:rPr>
          <w:rFonts w:ascii="Calibri" w:hAnsi="Calibri"/>
          <w:iCs/>
          <w:sz w:val="16"/>
          <w:szCs w:val="18"/>
        </w:rPr>
        <w:br w:type="column"/>
      </w:r>
      <w:r w:rsidRPr="00D96B14">
        <w:rPr>
          <w:rFonts w:asciiTheme="minorHAnsi" w:hAnsiTheme="minorHAnsi" w:cstheme="minorHAnsi"/>
          <w:b/>
        </w:rPr>
        <w:lastRenderedPageBreak/>
        <w:t>Research and development of biological technology</w:t>
      </w:r>
    </w:p>
    <w:p w:rsidR="00142353" w:rsidRPr="00D96B14" w:rsidRDefault="00142353" w:rsidP="00142353">
      <w:r w:rsidRPr="00D96B14">
        <w:t>The output focuses on the development of new biological technology and supporting its implementation by businesses to achieve better quality agricultural products. Improved agricultural products are also considered to contribute to the economic growth of the State.</w:t>
      </w:r>
    </w:p>
    <w:p w:rsidR="00142353" w:rsidRPr="00D96B14" w:rsidRDefault="00142353" w:rsidP="00142353">
      <w:r w:rsidRPr="00D96B14">
        <w:t>This output makes a significant contribution to the departmental objective of improving the quality of life of Victorians through eradicating certain diseases and enhancing nutrition.</w:t>
      </w:r>
    </w:p>
    <w:p w:rsidR="00142353" w:rsidRPr="00D96B14" w:rsidRDefault="00142353" w:rsidP="00142353">
      <w:pPr>
        <w:pStyle w:val="Notes"/>
        <w:ind w:left="0" w:firstLine="0"/>
        <w:rPr>
          <w:rFonts w:ascii="Garamond" w:hAnsi="Garamond"/>
          <w:iCs w:val="0"/>
          <w:color w:val="0000FF"/>
          <w:sz w:val="22"/>
          <w:szCs w:val="22"/>
        </w:rPr>
      </w:pPr>
      <w:r w:rsidRPr="00D96B14">
        <w:rPr>
          <w:rFonts w:ascii="Garamond" w:hAnsi="Garamond"/>
          <w:iCs w:val="0"/>
          <w:color w:val="0000FF"/>
          <w:sz w:val="22"/>
          <w:szCs w:val="22"/>
        </w:rPr>
        <w:t>[Departments to insert the relevant departmental objective].</w:t>
      </w:r>
    </w:p>
    <w:p w:rsidR="00142353" w:rsidRPr="00D96B14" w:rsidRDefault="00142353" w:rsidP="00142353">
      <w:pPr>
        <w:pStyle w:val="Heading4a"/>
      </w:pPr>
      <w:r w:rsidRPr="00D96B14">
        <w:t>Key initiatives and projects</w:t>
      </w:r>
    </w:p>
    <w:p w:rsidR="00142353" w:rsidRPr="00D96B14" w:rsidRDefault="00142353" w:rsidP="00142353">
      <w:pPr>
        <w:pStyle w:val="Notes"/>
        <w:ind w:left="0" w:firstLine="0"/>
        <w:rPr>
          <w:rFonts w:ascii="Garamond" w:hAnsi="Garamond"/>
          <w:iCs w:val="0"/>
          <w:color w:val="0000FF"/>
          <w:sz w:val="22"/>
          <w:szCs w:val="22"/>
        </w:rPr>
      </w:pPr>
      <w:r w:rsidRPr="00D96B14">
        <w:rPr>
          <w:rFonts w:ascii="Garamond" w:hAnsi="Garamond"/>
          <w:iCs w:val="0"/>
          <w:color w:val="0000FF"/>
          <w:sz w:val="22"/>
          <w:szCs w:val="22"/>
        </w:rPr>
        <w:t>[Departments to disclose the key initiatives and projects relevant to this output. Refer to page 19 for additional guidance.]</w:t>
      </w:r>
    </w:p>
    <w:p w:rsidR="00142353" w:rsidRPr="00D96B14" w:rsidRDefault="00142353" w:rsidP="00142353">
      <w:pPr>
        <w:pStyle w:val="Notes"/>
        <w:ind w:left="0" w:firstLine="0"/>
        <w:rPr>
          <w:sz w:val="4"/>
        </w:rPr>
      </w:pPr>
    </w:p>
    <w:p w:rsidR="00142353" w:rsidRPr="00D96B14" w:rsidRDefault="00142353" w:rsidP="00142353">
      <w:pPr>
        <w:pStyle w:val="SmallLine"/>
      </w:pPr>
    </w:p>
    <w:tbl>
      <w:tblPr>
        <w:tblW w:w="8510" w:type="dxa"/>
        <w:tblInd w:w="43" w:type="dxa"/>
        <w:tblLayout w:type="fixed"/>
        <w:tblCellMar>
          <w:left w:w="43" w:type="dxa"/>
          <w:right w:w="43" w:type="dxa"/>
        </w:tblCellMar>
        <w:tblLook w:val="01E0" w:firstRow="1" w:lastRow="1" w:firstColumn="1" w:lastColumn="1" w:noHBand="0" w:noVBand="0"/>
      </w:tblPr>
      <w:tblGrid>
        <w:gridCol w:w="4050"/>
        <w:gridCol w:w="892"/>
        <w:gridCol w:w="892"/>
        <w:gridCol w:w="892"/>
        <w:gridCol w:w="1104"/>
        <w:gridCol w:w="680"/>
      </w:tblGrid>
      <w:tr w:rsidR="00142353" w:rsidRPr="00D96B14" w:rsidTr="004843DB">
        <w:trPr>
          <w:cantSplit/>
        </w:trPr>
        <w:tc>
          <w:tcPr>
            <w:tcW w:w="4050" w:type="dxa"/>
            <w:tcBorders>
              <w:top w:val="single" w:sz="4" w:space="0" w:color="auto"/>
              <w:bottom w:val="single" w:sz="4" w:space="0" w:color="auto"/>
            </w:tcBorders>
            <w:shd w:val="clear" w:color="auto" w:fill="000000" w:themeFill="text1"/>
            <w:vAlign w:val="bottom"/>
          </w:tcPr>
          <w:p w:rsidR="00142353" w:rsidRPr="00D96B14" w:rsidRDefault="00142353" w:rsidP="004843DB">
            <w:pPr>
              <w:pStyle w:val="Tabletextheading"/>
              <w:jc w:val="left"/>
              <w:rPr>
                <w:color w:val="FFFFFF" w:themeColor="background1"/>
              </w:rPr>
            </w:pPr>
            <w:r w:rsidRPr="00D96B14">
              <w:rPr>
                <w:color w:val="FFFFFF" w:themeColor="background1"/>
              </w:rPr>
              <w:br w:type="page"/>
            </w:r>
            <w:r w:rsidRPr="00D96B14">
              <w:rPr>
                <w:color w:val="FFFFFF" w:themeColor="background1"/>
              </w:rPr>
              <w:br w:type="page"/>
            </w:r>
            <w:r w:rsidRPr="00D96B14">
              <w:rPr>
                <w:color w:val="FFFFFF" w:themeColor="background1"/>
              </w:rPr>
              <w:br w:type="column"/>
              <w:t>Performance measures</w:t>
            </w:r>
          </w:p>
        </w:tc>
        <w:tc>
          <w:tcPr>
            <w:tcW w:w="892" w:type="dxa"/>
            <w:tcBorders>
              <w:top w:val="single" w:sz="4" w:space="0" w:color="auto"/>
              <w:bottom w:val="single" w:sz="4" w:space="0" w:color="auto"/>
            </w:tcBorders>
            <w:shd w:val="clear" w:color="auto" w:fill="000000" w:themeFill="text1"/>
            <w:vAlign w:val="center"/>
          </w:tcPr>
          <w:p w:rsidR="00142353" w:rsidRPr="00D96B14" w:rsidRDefault="00142353" w:rsidP="004843DB">
            <w:pPr>
              <w:pStyle w:val="Tabletextheading"/>
              <w:jc w:val="center"/>
              <w:rPr>
                <w:color w:val="FFFFFF" w:themeColor="background1"/>
              </w:rPr>
            </w:pPr>
            <w:r w:rsidRPr="00D96B14">
              <w:rPr>
                <w:color w:val="FFFFFF" w:themeColor="background1"/>
              </w:rPr>
              <w:t>Unit of measure</w:t>
            </w:r>
          </w:p>
        </w:tc>
        <w:tc>
          <w:tcPr>
            <w:tcW w:w="892" w:type="dxa"/>
            <w:tcBorders>
              <w:top w:val="single" w:sz="4" w:space="0" w:color="auto"/>
              <w:bottom w:val="single" w:sz="4" w:space="0" w:color="auto"/>
            </w:tcBorders>
            <w:shd w:val="clear" w:color="auto" w:fill="000000" w:themeFill="text1"/>
            <w:vAlign w:val="bottom"/>
          </w:tcPr>
          <w:p w:rsidR="00142353" w:rsidRPr="00D96B14" w:rsidRDefault="00142353" w:rsidP="004843DB">
            <w:pPr>
              <w:pStyle w:val="Tabletextheading"/>
              <w:rPr>
                <w:color w:val="FFFFFF" w:themeColor="background1"/>
              </w:rPr>
            </w:pPr>
            <w:r w:rsidRPr="00D96B14">
              <w:rPr>
                <w:color w:val="FFFFFF" w:themeColor="background1"/>
              </w:rPr>
              <w:t>2015</w:t>
            </w:r>
            <w:r w:rsidR="005A4BB0">
              <w:rPr>
                <w:color w:val="FFFFFF" w:themeColor="background1"/>
              </w:rPr>
              <w:noBreakHyphen/>
            </w:r>
            <w:r w:rsidRPr="00D96B14">
              <w:rPr>
                <w:color w:val="FFFFFF" w:themeColor="background1"/>
              </w:rPr>
              <w:t>16</w:t>
            </w:r>
            <w:r w:rsidRPr="00D96B14">
              <w:rPr>
                <w:color w:val="FFFFFF" w:themeColor="background1"/>
              </w:rPr>
              <w:br/>
              <w:t>actual</w:t>
            </w:r>
          </w:p>
        </w:tc>
        <w:tc>
          <w:tcPr>
            <w:tcW w:w="892" w:type="dxa"/>
            <w:tcBorders>
              <w:top w:val="single" w:sz="4" w:space="0" w:color="auto"/>
              <w:bottom w:val="single" w:sz="4" w:space="0" w:color="auto"/>
            </w:tcBorders>
            <w:shd w:val="clear" w:color="auto" w:fill="000000" w:themeFill="text1"/>
            <w:vAlign w:val="bottom"/>
          </w:tcPr>
          <w:p w:rsidR="00142353" w:rsidRPr="00D96B14" w:rsidRDefault="00142353" w:rsidP="004843DB">
            <w:pPr>
              <w:pStyle w:val="Tabletextheading"/>
              <w:rPr>
                <w:color w:val="FFFFFF" w:themeColor="background1"/>
              </w:rPr>
            </w:pPr>
            <w:r w:rsidRPr="00D96B14">
              <w:rPr>
                <w:color w:val="FFFFFF" w:themeColor="background1"/>
              </w:rPr>
              <w:t>2015</w:t>
            </w:r>
            <w:r w:rsidR="005A4BB0">
              <w:rPr>
                <w:color w:val="FFFFFF" w:themeColor="background1"/>
              </w:rPr>
              <w:noBreakHyphen/>
            </w:r>
            <w:r w:rsidRPr="00D96B14">
              <w:rPr>
                <w:color w:val="FFFFFF" w:themeColor="background1"/>
              </w:rPr>
              <w:t>16</w:t>
            </w:r>
            <w:r w:rsidRPr="00D96B14">
              <w:rPr>
                <w:color w:val="FFFFFF" w:themeColor="background1"/>
              </w:rPr>
              <w:br/>
              <w:t>target</w:t>
            </w:r>
          </w:p>
        </w:tc>
        <w:tc>
          <w:tcPr>
            <w:tcW w:w="1104" w:type="dxa"/>
            <w:tcBorders>
              <w:top w:val="single" w:sz="4" w:space="0" w:color="auto"/>
              <w:bottom w:val="single" w:sz="4" w:space="0" w:color="auto"/>
            </w:tcBorders>
            <w:shd w:val="clear" w:color="auto" w:fill="000000" w:themeFill="text1"/>
          </w:tcPr>
          <w:p w:rsidR="00142353" w:rsidRPr="00D96B14" w:rsidRDefault="00142353" w:rsidP="004843DB">
            <w:pPr>
              <w:pStyle w:val="Tabletextheading"/>
            </w:pPr>
            <w:r w:rsidRPr="00D96B14">
              <w:t>Performance variation (%)</w:t>
            </w:r>
          </w:p>
        </w:tc>
        <w:tc>
          <w:tcPr>
            <w:tcW w:w="680" w:type="dxa"/>
            <w:tcBorders>
              <w:top w:val="single" w:sz="4" w:space="0" w:color="auto"/>
              <w:bottom w:val="single" w:sz="4" w:space="0" w:color="auto"/>
            </w:tcBorders>
            <w:shd w:val="clear" w:color="auto" w:fill="000000" w:themeFill="text1"/>
          </w:tcPr>
          <w:p w:rsidR="00142353" w:rsidRPr="00D96B14" w:rsidRDefault="00142353" w:rsidP="004843DB">
            <w:pPr>
              <w:pStyle w:val="Tabletextheading"/>
              <w:rPr>
                <w:color w:val="FFFFFF" w:themeColor="background1"/>
              </w:rPr>
            </w:pPr>
            <w:r w:rsidRPr="00D96B14">
              <w:rPr>
                <w:color w:val="FFFFFF" w:themeColor="background1"/>
              </w:rPr>
              <w:br/>
              <w:t xml:space="preserve">Result </w:t>
            </w:r>
            <w:r w:rsidRPr="00D96B14">
              <w:rPr>
                <w:iCs w:val="0"/>
                <w:color w:val="FFFFFF" w:themeColor="background1"/>
                <w:vertAlign w:val="superscript"/>
              </w:rPr>
              <w:t>1</w:t>
            </w:r>
          </w:p>
        </w:tc>
      </w:tr>
      <w:tr w:rsidR="00142353" w:rsidRPr="00D96B14" w:rsidTr="004843DB">
        <w:trPr>
          <w:cantSplit/>
          <w:trHeight w:val="57"/>
        </w:trPr>
        <w:tc>
          <w:tcPr>
            <w:tcW w:w="4050" w:type="dxa"/>
            <w:tcBorders>
              <w:top w:val="single" w:sz="4" w:space="0" w:color="auto"/>
            </w:tcBorders>
          </w:tcPr>
          <w:p w:rsidR="00142353" w:rsidRPr="00D96B14" w:rsidRDefault="00142353" w:rsidP="004843DB">
            <w:pPr>
              <w:pStyle w:val="Tabletext"/>
            </w:pPr>
            <w:r w:rsidRPr="00D96B14">
              <w:rPr>
                <w:i/>
                <w:iCs/>
              </w:rPr>
              <w:t>Quantity</w:t>
            </w:r>
          </w:p>
        </w:tc>
        <w:tc>
          <w:tcPr>
            <w:tcW w:w="892" w:type="dxa"/>
            <w:tcBorders>
              <w:top w:val="single" w:sz="4" w:space="0" w:color="auto"/>
            </w:tcBorders>
            <w:vAlign w:val="center"/>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20"/>
        </w:trPr>
        <w:tc>
          <w:tcPr>
            <w:tcW w:w="4050" w:type="dxa"/>
          </w:tcPr>
          <w:p w:rsidR="00142353" w:rsidRPr="00D96B14" w:rsidRDefault="00142353" w:rsidP="004843DB">
            <w:pPr>
              <w:spacing w:before="30" w:after="30"/>
              <w:ind w:left="266" w:hanging="126"/>
              <w:rPr>
                <w:rFonts w:ascii="Calibri" w:hAnsi="Calibri" w:cs="Arial"/>
                <w:sz w:val="18"/>
                <w:szCs w:val="18"/>
              </w:rPr>
            </w:pPr>
            <w:r w:rsidRPr="00D96B14">
              <w:rPr>
                <w:rFonts w:ascii="Calibri" w:hAnsi="Calibri" w:cs="Arial"/>
                <w:sz w:val="18"/>
                <w:szCs w:val="18"/>
              </w:rPr>
              <w:t>Businesses supported with implementation of new technology</w:t>
            </w:r>
          </w:p>
        </w:tc>
        <w:tc>
          <w:tcPr>
            <w:tcW w:w="892" w:type="dxa"/>
          </w:tcPr>
          <w:p w:rsidR="00142353" w:rsidRPr="00D96B14" w:rsidRDefault="00142353" w:rsidP="004843DB">
            <w:pPr>
              <w:pStyle w:val="TableofFigures"/>
              <w:jc w:val="center"/>
            </w:pPr>
            <w:r w:rsidRPr="00D96B14">
              <w:t>number</w:t>
            </w:r>
          </w:p>
        </w:tc>
        <w:tc>
          <w:tcPr>
            <w:tcW w:w="892" w:type="dxa"/>
            <w:shd w:val="clear" w:color="auto" w:fill="D9D9D9"/>
          </w:tcPr>
          <w:p w:rsidR="00142353" w:rsidRPr="00D96B14" w:rsidRDefault="00142353" w:rsidP="004843DB">
            <w:pPr>
              <w:pStyle w:val="TableofFigures"/>
            </w:pPr>
            <w:r w:rsidRPr="00D96B14">
              <w:t>100</w:t>
            </w:r>
          </w:p>
        </w:tc>
        <w:tc>
          <w:tcPr>
            <w:tcW w:w="892" w:type="dxa"/>
          </w:tcPr>
          <w:p w:rsidR="00142353" w:rsidRPr="00D96B14" w:rsidRDefault="00142353" w:rsidP="004843DB">
            <w:pPr>
              <w:pStyle w:val="TableofFigures"/>
            </w:pPr>
            <w:r w:rsidRPr="00D96B14">
              <w:t>120</w:t>
            </w:r>
          </w:p>
        </w:tc>
        <w:tc>
          <w:tcPr>
            <w:tcW w:w="1104" w:type="dxa"/>
          </w:tcPr>
          <w:p w:rsidR="00142353" w:rsidRPr="00D96B14" w:rsidRDefault="005A4BB0" w:rsidP="004843DB">
            <w:pPr>
              <w:pStyle w:val="TableofFigures"/>
            </w:pPr>
            <w:r>
              <w:noBreakHyphen/>
            </w:r>
            <w:r w:rsidR="00142353" w:rsidRPr="00D96B14">
              <w:t>16.7</w:t>
            </w:r>
          </w:p>
        </w:tc>
        <w:tc>
          <w:tcPr>
            <w:tcW w:w="680" w:type="dxa"/>
          </w:tcPr>
          <w:p w:rsidR="00142353" w:rsidRPr="00D96B14" w:rsidRDefault="00142353" w:rsidP="004843DB">
            <w:pPr>
              <w:pStyle w:val="TableofFigures"/>
            </w:pPr>
            <w:r w:rsidRPr="00D96B14">
              <w:rPr>
                <w:rFonts w:asciiTheme="minorHAnsi" w:hAnsiTheme="minorHAnsi" w:cstheme="minorHAnsi"/>
                <w:szCs w:val="16"/>
              </w:rPr>
              <w:sym w:font="Wingdings" w:char="F06E"/>
            </w:r>
          </w:p>
        </w:tc>
      </w:tr>
      <w:tr w:rsidR="00142353" w:rsidRPr="00D96B14" w:rsidTr="004843DB">
        <w:trPr>
          <w:cantSplit/>
          <w:trHeight w:val="20"/>
        </w:trPr>
        <w:tc>
          <w:tcPr>
            <w:tcW w:w="8510" w:type="dxa"/>
            <w:gridSpan w:val="6"/>
          </w:tcPr>
          <w:p w:rsidR="00142353" w:rsidRPr="00D96B14" w:rsidRDefault="00142353" w:rsidP="004843DB">
            <w:pPr>
              <w:pStyle w:val="PMNotes"/>
            </w:pPr>
            <w:r w:rsidRPr="00D96B14">
              <w:t>The actual outcome in 2014 15 is significantly lower than the target due to delays in the internal tender process – there was a lack of consensus between businesses and the government on payment terms in tender proposals.</w:t>
            </w:r>
          </w:p>
        </w:tc>
      </w:tr>
      <w:tr w:rsidR="00142353" w:rsidRPr="00D96B14" w:rsidTr="004843DB">
        <w:trPr>
          <w:cantSplit/>
          <w:trHeight w:val="20"/>
        </w:trPr>
        <w:tc>
          <w:tcPr>
            <w:tcW w:w="4050" w:type="dxa"/>
          </w:tcPr>
          <w:p w:rsidR="00142353" w:rsidRPr="00D96B14" w:rsidRDefault="00142353" w:rsidP="004843DB">
            <w:pPr>
              <w:pStyle w:val="TabletextIndent"/>
              <w:ind w:hanging="169"/>
            </w:pPr>
            <w:r w:rsidRPr="00D96B14">
              <w:t>Laboratories with fully</w:t>
            </w:r>
            <w:r w:rsidR="005A4BB0">
              <w:noBreakHyphen/>
            </w:r>
            <w:r w:rsidRPr="00D96B14">
              <w:t>integrated new research platform</w:t>
            </w:r>
          </w:p>
        </w:tc>
        <w:tc>
          <w:tcPr>
            <w:tcW w:w="892" w:type="dxa"/>
          </w:tcPr>
          <w:p w:rsidR="00142353" w:rsidRPr="00D96B14" w:rsidRDefault="00142353" w:rsidP="004843DB">
            <w:pPr>
              <w:pStyle w:val="TableofFigures"/>
              <w:jc w:val="center"/>
            </w:pPr>
            <w:r w:rsidRPr="00D96B14">
              <w:t>number</w:t>
            </w:r>
          </w:p>
        </w:tc>
        <w:tc>
          <w:tcPr>
            <w:tcW w:w="892" w:type="dxa"/>
            <w:shd w:val="clear" w:color="auto" w:fill="D9D9D9"/>
          </w:tcPr>
          <w:p w:rsidR="00142353" w:rsidRPr="00D96B14" w:rsidRDefault="00142353" w:rsidP="004843DB">
            <w:pPr>
              <w:pStyle w:val="TableofFigures"/>
            </w:pPr>
            <w:r w:rsidRPr="00D96B14">
              <w:t>10</w:t>
            </w:r>
          </w:p>
        </w:tc>
        <w:tc>
          <w:tcPr>
            <w:tcW w:w="892" w:type="dxa"/>
          </w:tcPr>
          <w:p w:rsidR="00142353" w:rsidRPr="00D96B14" w:rsidRDefault="00142353" w:rsidP="004843DB">
            <w:pPr>
              <w:pStyle w:val="TableofFigures"/>
            </w:pPr>
            <w:r w:rsidRPr="00D96B14">
              <w:t>10</w:t>
            </w:r>
          </w:p>
        </w:tc>
        <w:tc>
          <w:tcPr>
            <w:tcW w:w="1104" w:type="dxa"/>
          </w:tcPr>
          <w:p w:rsidR="00142353" w:rsidRPr="00D96B14" w:rsidRDefault="00142353" w:rsidP="004843DB">
            <w:pPr>
              <w:pStyle w:val="TableofFigures"/>
            </w:pPr>
            <w:r w:rsidRPr="00D96B14">
              <w:t>0</w:t>
            </w:r>
          </w:p>
        </w:tc>
        <w:tc>
          <w:tcPr>
            <w:tcW w:w="680" w:type="dxa"/>
          </w:tcPr>
          <w:p w:rsidR="00142353" w:rsidRPr="00D96B14" w:rsidRDefault="00142353" w:rsidP="004843DB">
            <w:pPr>
              <w:pStyle w:val="TableofFigures"/>
            </w:pPr>
            <w:r w:rsidRPr="00D96B14">
              <w:sym w:font="Wingdings" w:char="F0FC"/>
            </w:r>
          </w:p>
        </w:tc>
      </w:tr>
      <w:tr w:rsidR="00142353" w:rsidRPr="00D96B14" w:rsidTr="004843DB">
        <w:trPr>
          <w:cantSplit/>
          <w:trHeight w:val="20"/>
        </w:trPr>
        <w:tc>
          <w:tcPr>
            <w:tcW w:w="4050" w:type="dxa"/>
          </w:tcPr>
          <w:p w:rsidR="00142353" w:rsidRPr="00D96B14" w:rsidRDefault="00142353" w:rsidP="004843DB">
            <w:pPr>
              <w:pStyle w:val="TabletextIndent"/>
              <w:ind w:hanging="169"/>
            </w:pPr>
            <w:r w:rsidRPr="00D96B14">
              <w:t>Six new patents sought by partner agencies</w:t>
            </w:r>
          </w:p>
        </w:tc>
        <w:tc>
          <w:tcPr>
            <w:tcW w:w="892" w:type="dxa"/>
            <w:vAlign w:val="center"/>
          </w:tcPr>
          <w:p w:rsidR="00142353" w:rsidRPr="00D96B14" w:rsidRDefault="00142353" w:rsidP="004843DB">
            <w:pPr>
              <w:spacing w:before="30" w:after="30"/>
              <w:jc w:val="center"/>
              <w:rPr>
                <w:rFonts w:ascii="Calibri" w:hAnsi="Calibri" w:cs="Arial"/>
                <w:sz w:val="18"/>
                <w:szCs w:val="18"/>
              </w:rPr>
            </w:pPr>
            <w:r w:rsidRPr="00D96B14">
              <w:rPr>
                <w:rFonts w:ascii="Calibri" w:hAnsi="Calibri" w:cs="Arial"/>
                <w:sz w:val="18"/>
                <w:szCs w:val="18"/>
              </w:rPr>
              <w:t>number</w:t>
            </w:r>
          </w:p>
        </w:tc>
        <w:tc>
          <w:tcPr>
            <w:tcW w:w="892" w:type="dxa"/>
            <w:shd w:val="clear" w:color="auto" w:fill="D9D9D9"/>
          </w:tcPr>
          <w:p w:rsidR="00142353" w:rsidRPr="00D96B14" w:rsidRDefault="00142353" w:rsidP="004843DB">
            <w:pPr>
              <w:spacing w:before="30" w:after="30"/>
              <w:jc w:val="right"/>
              <w:rPr>
                <w:rFonts w:ascii="Calibri" w:hAnsi="Calibri" w:cs="Arial"/>
                <w:sz w:val="18"/>
                <w:szCs w:val="18"/>
              </w:rPr>
            </w:pPr>
            <w:r w:rsidRPr="00D96B14">
              <w:rPr>
                <w:rFonts w:ascii="Calibri" w:hAnsi="Calibri" w:cs="Arial"/>
                <w:sz w:val="18"/>
                <w:szCs w:val="18"/>
              </w:rPr>
              <w:t>6</w:t>
            </w:r>
          </w:p>
        </w:tc>
        <w:tc>
          <w:tcPr>
            <w:tcW w:w="892" w:type="dxa"/>
          </w:tcPr>
          <w:p w:rsidR="00142353" w:rsidRPr="00D96B14" w:rsidRDefault="00142353" w:rsidP="004843DB">
            <w:pPr>
              <w:spacing w:before="30" w:after="30"/>
              <w:jc w:val="right"/>
              <w:rPr>
                <w:rFonts w:ascii="Calibri" w:hAnsi="Calibri" w:cs="Arial"/>
                <w:sz w:val="18"/>
                <w:szCs w:val="18"/>
              </w:rPr>
            </w:pPr>
            <w:r w:rsidRPr="00D96B14">
              <w:rPr>
                <w:rFonts w:ascii="Calibri" w:hAnsi="Calibri" w:cs="Arial"/>
                <w:sz w:val="18"/>
                <w:szCs w:val="18"/>
              </w:rPr>
              <w:t>6</w:t>
            </w:r>
          </w:p>
        </w:tc>
        <w:tc>
          <w:tcPr>
            <w:tcW w:w="1104" w:type="dxa"/>
          </w:tcPr>
          <w:p w:rsidR="00142353" w:rsidRPr="00D96B14" w:rsidRDefault="00142353" w:rsidP="004843DB">
            <w:pPr>
              <w:spacing w:before="30" w:after="30"/>
              <w:jc w:val="right"/>
              <w:rPr>
                <w:rFonts w:ascii="Calibri" w:hAnsi="Calibri" w:cs="Arial"/>
                <w:sz w:val="18"/>
                <w:szCs w:val="18"/>
              </w:rPr>
            </w:pPr>
            <w:r w:rsidRPr="00D96B14">
              <w:rPr>
                <w:rFonts w:ascii="Calibri" w:hAnsi="Calibri" w:cs="Arial"/>
                <w:sz w:val="18"/>
                <w:szCs w:val="18"/>
              </w:rPr>
              <w:t>0</w:t>
            </w:r>
          </w:p>
        </w:tc>
        <w:tc>
          <w:tcPr>
            <w:tcW w:w="680" w:type="dxa"/>
          </w:tcPr>
          <w:p w:rsidR="00142353" w:rsidRPr="00D96B14" w:rsidRDefault="00142353" w:rsidP="004843DB">
            <w:pPr>
              <w:spacing w:before="30" w:after="30"/>
              <w:jc w:val="right"/>
              <w:rPr>
                <w:rFonts w:ascii="Calibri" w:hAnsi="Calibri" w:cs="Arial"/>
                <w:sz w:val="18"/>
                <w:szCs w:val="18"/>
              </w:rPr>
            </w:pPr>
            <w:r w:rsidRPr="00D96B14">
              <w:rPr>
                <w:rFonts w:ascii="Calibri" w:hAnsi="Calibri" w:cs="Arial"/>
                <w:sz w:val="18"/>
                <w:szCs w:val="18"/>
              </w:rPr>
              <w:sym w:font="Wingdings" w:char="F0FC"/>
            </w:r>
          </w:p>
        </w:tc>
      </w:tr>
      <w:tr w:rsidR="00142353" w:rsidRPr="00D96B14" w:rsidTr="004843DB">
        <w:trPr>
          <w:cantSplit/>
          <w:trHeight w:val="57"/>
        </w:trPr>
        <w:tc>
          <w:tcPr>
            <w:tcW w:w="4050" w:type="dxa"/>
            <w:tcBorders>
              <w:top w:val="single" w:sz="4" w:space="0" w:color="auto"/>
            </w:tcBorders>
          </w:tcPr>
          <w:p w:rsidR="00142353" w:rsidRPr="00D96B14" w:rsidRDefault="00142353" w:rsidP="004843DB">
            <w:pPr>
              <w:pStyle w:val="Tabletext"/>
            </w:pPr>
            <w:r w:rsidRPr="00D96B14">
              <w:rPr>
                <w:i/>
                <w:iCs/>
              </w:rPr>
              <w:t>Quality</w:t>
            </w:r>
          </w:p>
        </w:tc>
        <w:tc>
          <w:tcPr>
            <w:tcW w:w="892" w:type="dxa"/>
            <w:tcBorders>
              <w:top w:val="single" w:sz="4" w:space="0" w:color="auto"/>
            </w:tcBorders>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57"/>
        </w:trPr>
        <w:tc>
          <w:tcPr>
            <w:tcW w:w="4050" w:type="dxa"/>
          </w:tcPr>
          <w:p w:rsidR="00142353" w:rsidRPr="00D96B14" w:rsidRDefault="00142353" w:rsidP="004843DB">
            <w:pPr>
              <w:spacing w:before="30" w:after="30"/>
              <w:ind w:left="266" w:hanging="126"/>
              <w:rPr>
                <w:rFonts w:ascii="Calibri" w:hAnsi="Calibri" w:cs="Arial"/>
                <w:sz w:val="18"/>
                <w:szCs w:val="18"/>
              </w:rPr>
            </w:pPr>
            <w:r w:rsidRPr="00D96B14">
              <w:rPr>
                <w:rFonts w:ascii="Calibri" w:hAnsi="Calibri" w:cs="Arial"/>
                <w:sz w:val="18"/>
                <w:szCs w:val="18"/>
              </w:rPr>
              <w:t>New technology met business requirements</w:t>
            </w:r>
          </w:p>
        </w:tc>
        <w:tc>
          <w:tcPr>
            <w:tcW w:w="892" w:type="dxa"/>
            <w:vAlign w:val="center"/>
          </w:tcPr>
          <w:p w:rsidR="00142353" w:rsidRPr="00D96B14" w:rsidRDefault="00142353" w:rsidP="004843DB">
            <w:pPr>
              <w:spacing w:before="30" w:after="30"/>
              <w:jc w:val="center"/>
              <w:rPr>
                <w:rFonts w:ascii="Calibri" w:hAnsi="Calibri" w:cs="Arial"/>
                <w:sz w:val="18"/>
                <w:szCs w:val="18"/>
              </w:rPr>
            </w:pPr>
            <w:r w:rsidRPr="00D96B14">
              <w:rPr>
                <w:rFonts w:ascii="Calibri" w:hAnsi="Calibri" w:cs="Arial"/>
                <w:sz w:val="18"/>
                <w:szCs w:val="18"/>
              </w:rPr>
              <w:t>per cent</w:t>
            </w:r>
          </w:p>
        </w:tc>
        <w:tc>
          <w:tcPr>
            <w:tcW w:w="892" w:type="dxa"/>
            <w:shd w:val="clear" w:color="auto" w:fill="D9D9D9"/>
          </w:tcPr>
          <w:p w:rsidR="00142353" w:rsidRPr="00D96B14" w:rsidRDefault="00142353" w:rsidP="004843DB">
            <w:pPr>
              <w:spacing w:before="30" w:after="30"/>
              <w:jc w:val="right"/>
              <w:rPr>
                <w:rFonts w:ascii="Calibri" w:hAnsi="Calibri" w:cs="Arial"/>
                <w:sz w:val="18"/>
                <w:szCs w:val="18"/>
              </w:rPr>
            </w:pPr>
            <w:r w:rsidRPr="00D96B14">
              <w:rPr>
                <w:rFonts w:ascii="Calibri" w:hAnsi="Calibri" w:cs="Arial"/>
                <w:sz w:val="18"/>
                <w:szCs w:val="18"/>
              </w:rPr>
              <w:t>80.0</w:t>
            </w:r>
          </w:p>
        </w:tc>
        <w:tc>
          <w:tcPr>
            <w:tcW w:w="892" w:type="dxa"/>
          </w:tcPr>
          <w:p w:rsidR="00142353" w:rsidRPr="00D96B14" w:rsidRDefault="00142353" w:rsidP="004843DB">
            <w:pPr>
              <w:spacing w:before="30" w:after="30"/>
              <w:jc w:val="right"/>
              <w:rPr>
                <w:rFonts w:ascii="Calibri" w:hAnsi="Calibri" w:cs="Arial"/>
                <w:sz w:val="18"/>
                <w:szCs w:val="18"/>
              </w:rPr>
            </w:pPr>
            <w:r w:rsidRPr="00D96B14">
              <w:rPr>
                <w:rFonts w:ascii="Calibri" w:hAnsi="Calibri" w:cs="Arial"/>
                <w:sz w:val="18"/>
                <w:szCs w:val="18"/>
              </w:rPr>
              <w:t>80.0</w:t>
            </w:r>
          </w:p>
        </w:tc>
        <w:tc>
          <w:tcPr>
            <w:tcW w:w="1104" w:type="dxa"/>
          </w:tcPr>
          <w:p w:rsidR="00142353" w:rsidRPr="00D96B14" w:rsidRDefault="00142353" w:rsidP="004843DB">
            <w:pPr>
              <w:spacing w:before="30" w:after="30"/>
              <w:jc w:val="right"/>
              <w:rPr>
                <w:rFonts w:ascii="Calibri" w:hAnsi="Calibri" w:cs="Arial"/>
                <w:sz w:val="18"/>
                <w:szCs w:val="18"/>
              </w:rPr>
            </w:pPr>
            <w:r w:rsidRPr="00D96B14">
              <w:rPr>
                <w:rFonts w:ascii="Calibri" w:hAnsi="Calibri" w:cs="Arial"/>
                <w:sz w:val="18"/>
                <w:szCs w:val="18"/>
              </w:rPr>
              <w:t>0</w:t>
            </w:r>
          </w:p>
        </w:tc>
        <w:tc>
          <w:tcPr>
            <w:tcW w:w="680" w:type="dxa"/>
          </w:tcPr>
          <w:p w:rsidR="00142353" w:rsidRPr="00D96B14" w:rsidRDefault="00142353" w:rsidP="004843DB">
            <w:pPr>
              <w:spacing w:before="30" w:after="30"/>
              <w:jc w:val="right"/>
              <w:rPr>
                <w:rFonts w:ascii="Calibri" w:hAnsi="Calibri" w:cs="Arial"/>
                <w:sz w:val="18"/>
                <w:szCs w:val="18"/>
              </w:rPr>
            </w:pPr>
            <w:r w:rsidRPr="00D96B14">
              <w:rPr>
                <w:rFonts w:ascii="Calibri" w:hAnsi="Calibri" w:cs="Arial"/>
                <w:sz w:val="18"/>
                <w:szCs w:val="18"/>
              </w:rPr>
              <w:sym w:font="Wingdings" w:char="F0FC"/>
            </w:r>
          </w:p>
        </w:tc>
      </w:tr>
      <w:tr w:rsidR="00142353" w:rsidRPr="00D96B14" w:rsidTr="004843DB">
        <w:trPr>
          <w:cantSplit/>
          <w:trHeight w:val="57"/>
        </w:trPr>
        <w:tc>
          <w:tcPr>
            <w:tcW w:w="8510" w:type="dxa"/>
            <w:gridSpan w:val="6"/>
          </w:tcPr>
          <w:p w:rsidR="00142353" w:rsidRPr="00D96B14" w:rsidRDefault="00142353" w:rsidP="004843DB">
            <w:pPr>
              <w:pStyle w:val="PMNotes"/>
            </w:pPr>
            <w:r w:rsidRPr="00D96B14">
              <w:t>This measure is based on surveys completed by clients.</w:t>
            </w:r>
          </w:p>
        </w:tc>
      </w:tr>
      <w:tr w:rsidR="00142353" w:rsidRPr="00D96B14" w:rsidTr="004843DB">
        <w:trPr>
          <w:cantSplit/>
          <w:trHeight w:val="57"/>
        </w:trPr>
        <w:tc>
          <w:tcPr>
            <w:tcW w:w="4050" w:type="dxa"/>
            <w:tcBorders>
              <w:top w:val="single" w:sz="4" w:space="0" w:color="auto"/>
            </w:tcBorders>
          </w:tcPr>
          <w:p w:rsidR="00142353" w:rsidRPr="00D96B14" w:rsidRDefault="00142353" w:rsidP="004843DB">
            <w:pPr>
              <w:pStyle w:val="Tabletext"/>
              <w:rPr>
                <w:i/>
                <w:iCs/>
              </w:rPr>
            </w:pPr>
            <w:r w:rsidRPr="00D96B14">
              <w:t>New platform key success factors</w:t>
            </w:r>
          </w:p>
        </w:tc>
        <w:tc>
          <w:tcPr>
            <w:tcW w:w="892" w:type="dxa"/>
            <w:tcBorders>
              <w:top w:val="single" w:sz="4" w:space="0" w:color="auto"/>
            </w:tcBorders>
          </w:tcPr>
          <w:p w:rsidR="00142353" w:rsidRPr="00D96B14" w:rsidRDefault="00142353" w:rsidP="004843DB">
            <w:pPr>
              <w:pStyle w:val="TableofFigures"/>
              <w:jc w:val="center"/>
            </w:pPr>
            <w:r w:rsidRPr="00D96B14">
              <w:t>Per cent</w:t>
            </w:r>
          </w:p>
        </w:tc>
        <w:tc>
          <w:tcPr>
            <w:tcW w:w="892" w:type="dxa"/>
            <w:tcBorders>
              <w:top w:val="single" w:sz="4" w:space="0" w:color="auto"/>
            </w:tcBorders>
            <w:shd w:val="clear" w:color="auto" w:fill="D9D9D9"/>
          </w:tcPr>
          <w:p w:rsidR="00142353" w:rsidRPr="00D96B14" w:rsidRDefault="00142353" w:rsidP="004843DB">
            <w:pPr>
              <w:pStyle w:val="TableofFigures"/>
            </w:pPr>
            <w:r w:rsidRPr="00D96B14">
              <w:t>80.0</w:t>
            </w:r>
          </w:p>
        </w:tc>
        <w:tc>
          <w:tcPr>
            <w:tcW w:w="892" w:type="dxa"/>
            <w:tcBorders>
              <w:top w:val="single" w:sz="4" w:space="0" w:color="auto"/>
            </w:tcBorders>
          </w:tcPr>
          <w:p w:rsidR="00142353" w:rsidRPr="00D96B14" w:rsidRDefault="00142353" w:rsidP="004843DB">
            <w:pPr>
              <w:pStyle w:val="TableofFigures"/>
            </w:pPr>
            <w:r w:rsidRPr="00D96B14">
              <w:t>80.0</w:t>
            </w:r>
          </w:p>
        </w:tc>
        <w:tc>
          <w:tcPr>
            <w:tcW w:w="1104" w:type="dxa"/>
            <w:tcBorders>
              <w:top w:val="single" w:sz="4" w:space="0" w:color="auto"/>
            </w:tcBorders>
          </w:tcPr>
          <w:p w:rsidR="00142353" w:rsidRPr="00D96B14" w:rsidRDefault="00142353" w:rsidP="004843DB">
            <w:pPr>
              <w:pStyle w:val="TableofFigures"/>
            </w:pPr>
            <w:r w:rsidRPr="00D96B14">
              <w:t>0</w:t>
            </w:r>
          </w:p>
        </w:tc>
        <w:tc>
          <w:tcPr>
            <w:tcW w:w="680" w:type="dxa"/>
            <w:tcBorders>
              <w:top w:val="single" w:sz="4" w:space="0" w:color="auto"/>
            </w:tcBorders>
          </w:tcPr>
          <w:p w:rsidR="00142353" w:rsidRPr="00D96B14" w:rsidRDefault="00142353" w:rsidP="004843DB">
            <w:pPr>
              <w:pStyle w:val="TableofFigures"/>
            </w:pPr>
            <w:r w:rsidRPr="00D96B14">
              <w:sym w:font="Wingdings" w:char="F0FC"/>
            </w:r>
          </w:p>
        </w:tc>
      </w:tr>
      <w:tr w:rsidR="00142353" w:rsidRPr="00D96B14" w:rsidTr="004843DB">
        <w:trPr>
          <w:cantSplit/>
          <w:trHeight w:val="57"/>
        </w:trPr>
        <w:tc>
          <w:tcPr>
            <w:tcW w:w="4050" w:type="dxa"/>
            <w:tcBorders>
              <w:top w:val="single" w:sz="4" w:space="0" w:color="auto"/>
            </w:tcBorders>
          </w:tcPr>
          <w:p w:rsidR="00142353" w:rsidRPr="00D96B14" w:rsidRDefault="00142353" w:rsidP="004843DB">
            <w:pPr>
              <w:pStyle w:val="Tabletext"/>
            </w:pPr>
            <w:r w:rsidRPr="00D96B14">
              <w:rPr>
                <w:i/>
                <w:iCs/>
              </w:rPr>
              <w:t>Timeliness</w:t>
            </w:r>
          </w:p>
        </w:tc>
        <w:tc>
          <w:tcPr>
            <w:tcW w:w="892" w:type="dxa"/>
            <w:tcBorders>
              <w:top w:val="single" w:sz="4" w:space="0" w:color="auto"/>
            </w:tcBorders>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57"/>
        </w:trPr>
        <w:tc>
          <w:tcPr>
            <w:tcW w:w="4050" w:type="dxa"/>
          </w:tcPr>
          <w:p w:rsidR="00142353" w:rsidRPr="00D96B14" w:rsidRDefault="00142353" w:rsidP="004843DB">
            <w:pPr>
              <w:spacing w:before="30" w:after="30"/>
              <w:ind w:left="266" w:hanging="126"/>
              <w:rPr>
                <w:rFonts w:ascii="Calibri" w:hAnsi="Calibri" w:cs="Arial"/>
                <w:sz w:val="18"/>
                <w:szCs w:val="18"/>
              </w:rPr>
            </w:pPr>
            <w:r w:rsidRPr="00D96B14">
              <w:rPr>
                <w:rFonts w:ascii="Calibri" w:hAnsi="Calibri" w:cs="Arial"/>
                <w:sz w:val="18"/>
                <w:szCs w:val="18"/>
              </w:rPr>
              <w:t>Projects managed within agreed timelines</w:t>
            </w:r>
          </w:p>
        </w:tc>
        <w:tc>
          <w:tcPr>
            <w:tcW w:w="892" w:type="dxa"/>
            <w:vAlign w:val="center"/>
          </w:tcPr>
          <w:p w:rsidR="00142353" w:rsidRPr="00D96B14" w:rsidRDefault="00142353" w:rsidP="004843DB">
            <w:pPr>
              <w:spacing w:before="30" w:after="30"/>
              <w:jc w:val="center"/>
              <w:rPr>
                <w:rFonts w:ascii="Calibri" w:hAnsi="Calibri" w:cs="Arial"/>
                <w:sz w:val="18"/>
                <w:szCs w:val="18"/>
              </w:rPr>
            </w:pPr>
            <w:r w:rsidRPr="00D96B14">
              <w:rPr>
                <w:rFonts w:ascii="Calibri" w:hAnsi="Calibri" w:cs="Arial"/>
                <w:sz w:val="18"/>
                <w:szCs w:val="18"/>
              </w:rPr>
              <w:t>per cent</w:t>
            </w:r>
          </w:p>
        </w:tc>
        <w:tc>
          <w:tcPr>
            <w:tcW w:w="892" w:type="dxa"/>
            <w:shd w:val="clear" w:color="auto" w:fill="D9D9D9"/>
          </w:tcPr>
          <w:p w:rsidR="00142353" w:rsidRPr="00D96B14" w:rsidRDefault="00142353" w:rsidP="004843DB">
            <w:pPr>
              <w:spacing w:before="30" w:after="30"/>
              <w:jc w:val="right"/>
              <w:rPr>
                <w:rFonts w:ascii="Calibri" w:hAnsi="Calibri" w:cs="Arial"/>
                <w:sz w:val="18"/>
                <w:szCs w:val="18"/>
              </w:rPr>
            </w:pPr>
            <w:r w:rsidRPr="00D96B14">
              <w:rPr>
                <w:rFonts w:ascii="Calibri" w:hAnsi="Calibri" w:cs="Arial"/>
                <w:sz w:val="18"/>
                <w:szCs w:val="18"/>
              </w:rPr>
              <w:t>87.0</w:t>
            </w:r>
          </w:p>
        </w:tc>
        <w:tc>
          <w:tcPr>
            <w:tcW w:w="892" w:type="dxa"/>
          </w:tcPr>
          <w:p w:rsidR="00142353" w:rsidRPr="00D96B14" w:rsidRDefault="00142353" w:rsidP="004843DB">
            <w:pPr>
              <w:spacing w:before="30" w:after="30"/>
              <w:jc w:val="right"/>
              <w:rPr>
                <w:rFonts w:ascii="Calibri" w:hAnsi="Calibri" w:cs="Arial"/>
                <w:sz w:val="18"/>
                <w:szCs w:val="18"/>
              </w:rPr>
            </w:pPr>
            <w:r w:rsidRPr="00D96B14">
              <w:rPr>
                <w:rFonts w:ascii="Calibri" w:hAnsi="Calibri" w:cs="Arial"/>
                <w:sz w:val="18"/>
                <w:szCs w:val="18"/>
              </w:rPr>
              <w:t>91.0</w:t>
            </w:r>
          </w:p>
        </w:tc>
        <w:tc>
          <w:tcPr>
            <w:tcW w:w="1104" w:type="dxa"/>
          </w:tcPr>
          <w:p w:rsidR="00142353" w:rsidRPr="00D96B14" w:rsidRDefault="005A4BB0" w:rsidP="004843DB">
            <w:pPr>
              <w:spacing w:before="30" w:after="30"/>
              <w:jc w:val="right"/>
              <w:rPr>
                <w:rFonts w:ascii="Calibri" w:hAnsi="Calibri" w:cs="Arial"/>
                <w:sz w:val="18"/>
                <w:szCs w:val="18"/>
              </w:rPr>
            </w:pPr>
            <w:r>
              <w:rPr>
                <w:rFonts w:ascii="Calibri" w:hAnsi="Calibri" w:cs="Arial"/>
                <w:sz w:val="18"/>
                <w:szCs w:val="18"/>
              </w:rPr>
              <w:noBreakHyphen/>
            </w:r>
            <w:r w:rsidR="00142353" w:rsidRPr="00D96B14">
              <w:rPr>
                <w:rFonts w:ascii="Calibri" w:hAnsi="Calibri" w:cs="Arial"/>
                <w:sz w:val="18"/>
                <w:szCs w:val="18"/>
              </w:rPr>
              <w:t>4.4</w:t>
            </w:r>
          </w:p>
        </w:tc>
        <w:tc>
          <w:tcPr>
            <w:tcW w:w="680" w:type="dxa"/>
          </w:tcPr>
          <w:p w:rsidR="00142353" w:rsidRPr="00D96B14" w:rsidRDefault="00142353" w:rsidP="004843DB">
            <w:pPr>
              <w:spacing w:before="30" w:after="30"/>
              <w:jc w:val="right"/>
              <w:rPr>
                <w:rFonts w:ascii="Calibri" w:hAnsi="Calibri" w:cs="Arial"/>
                <w:sz w:val="18"/>
                <w:szCs w:val="18"/>
              </w:rPr>
            </w:pPr>
            <w:r w:rsidRPr="00D96B14">
              <w:rPr>
                <w:rFonts w:ascii="Calibri" w:hAnsi="Calibri"/>
                <w:iCs/>
                <w:sz w:val="16"/>
                <w:szCs w:val="18"/>
              </w:rPr>
              <w:sym w:font="Wingdings 2" w:char="F099"/>
            </w:r>
          </w:p>
        </w:tc>
      </w:tr>
      <w:tr w:rsidR="00142353" w:rsidRPr="00D96B14" w:rsidTr="004843DB">
        <w:trPr>
          <w:cantSplit/>
          <w:trHeight w:val="57"/>
        </w:trPr>
        <w:tc>
          <w:tcPr>
            <w:tcW w:w="4050" w:type="dxa"/>
            <w:tcBorders>
              <w:top w:val="single" w:sz="4" w:space="0" w:color="auto"/>
            </w:tcBorders>
          </w:tcPr>
          <w:p w:rsidR="00142353" w:rsidRPr="00D96B14" w:rsidRDefault="00142353" w:rsidP="004843DB">
            <w:pPr>
              <w:pStyle w:val="Tabletext"/>
            </w:pPr>
            <w:r w:rsidRPr="00D96B14">
              <w:rPr>
                <w:i/>
                <w:iCs/>
              </w:rPr>
              <w:t>Cost</w:t>
            </w:r>
          </w:p>
        </w:tc>
        <w:tc>
          <w:tcPr>
            <w:tcW w:w="892" w:type="dxa"/>
            <w:tcBorders>
              <w:top w:val="single" w:sz="4" w:space="0" w:color="auto"/>
            </w:tcBorders>
          </w:tcPr>
          <w:p w:rsidR="00142353" w:rsidRPr="00D96B14" w:rsidRDefault="00142353" w:rsidP="004843DB">
            <w:pPr>
              <w:pStyle w:val="TableofFigures"/>
              <w:jc w:val="center"/>
            </w:pPr>
          </w:p>
        </w:tc>
        <w:tc>
          <w:tcPr>
            <w:tcW w:w="892" w:type="dxa"/>
            <w:tcBorders>
              <w:top w:val="single" w:sz="4" w:space="0" w:color="auto"/>
            </w:tcBorders>
            <w:shd w:val="clear" w:color="auto" w:fill="D9D9D9"/>
          </w:tcPr>
          <w:p w:rsidR="00142353" w:rsidRPr="00D96B14" w:rsidRDefault="00142353" w:rsidP="004843DB">
            <w:pPr>
              <w:pStyle w:val="TableofFigures"/>
            </w:pPr>
          </w:p>
        </w:tc>
        <w:tc>
          <w:tcPr>
            <w:tcW w:w="892" w:type="dxa"/>
            <w:tcBorders>
              <w:top w:val="single" w:sz="4" w:space="0" w:color="auto"/>
            </w:tcBorders>
          </w:tcPr>
          <w:p w:rsidR="00142353" w:rsidRPr="00D96B14" w:rsidRDefault="00142353" w:rsidP="004843DB">
            <w:pPr>
              <w:pStyle w:val="TableofFigures"/>
            </w:pPr>
          </w:p>
        </w:tc>
        <w:tc>
          <w:tcPr>
            <w:tcW w:w="1104" w:type="dxa"/>
            <w:tcBorders>
              <w:top w:val="single" w:sz="4" w:space="0" w:color="auto"/>
            </w:tcBorders>
          </w:tcPr>
          <w:p w:rsidR="00142353" w:rsidRPr="00D96B14" w:rsidRDefault="00142353" w:rsidP="004843DB">
            <w:pPr>
              <w:pStyle w:val="TableofFigures"/>
            </w:pPr>
          </w:p>
        </w:tc>
        <w:tc>
          <w:tcPr>
            <w:tcW w:w="680" w:type="dxa"/>
            <w:tcBorders>
              <w:top w:val="single" w:sz="4" w:space="0" w:color="auto"/>
            </w:tcBorders>
          </w:tcPr>
          <w:p w:rsidR="00142353" w:rsidRPr="00D96B14" w:rsidRDefault="00142353" w:rsidP="004843DB">
            <w:pPr>
              <w:pStyle w:val="TableofFigures"/>
            </w:pPr>
          </w:p>
        </w:tc>
      </w:tr>
      <w:tr w:rsidR="00142353" w:rsidRPr="00D96B14" w:rsidTr="004843DB">
        <w:trPr>
          <w:cantSplit/>
          <w:trHeight w:val="57"/>
        </w:trPr>
        <w:tc>
          <w:tcPr>
            <w:tcW w:w="4050" w:type="dxa"/>
            <w:tcBorders>
              <w:bottom w:val="single" w:sz="12" w:space="0" w:color="auto"/>
            </w:tcBorders>
          </w:tcPr>
          <w:p w:rsidR="00142353" w:rsidRPr="00D96B14" w:rsidRDefault="00142353" w:rsidP="004843DB">
            <w:pPr>
              <w:pStyle w:val="TabletextIndent"/>
              <w:ind w:hanging="169"/>
            </w:pPr>
            <w:r w:rsidRPr="00D96B14">
              <w:t>Total output cost</w:t>
            </w:r>
          </w:p>
        </w:tc>
        <w:tc>
          <w:tcPr>
            <w:tcW w:w="892" w:type="dxa"/>
            <w:tcBorders>
              <w:bottom w:val="single" w:sz="12" w:space="0" w:color="auto"/>
            </w:tcBorders>
          </w:tcPr>
          <w:p w:rsidR="00142353" w:rsidRPr="00D96B14" w:rsidRDefault="00142353" w:rsidP="004843DB">
            <w:pPr>
              <w:pStyle w:val="TableofFigures"/>
              <w:jc w:val="center"/>
            </w:pPr>
            <w:r w:rsidRPr="00D96B14">
              <w:t>$ million</w:t>
            </w:r>
          </w:p>
        </w:tc>
        <w:tc>
          <w:tcPr>
            <w:tcW w:w="892" w:type="dxa"/>
            <w:tcBorders>
              <w:bottom w:val="single" w:sz="12" w:space="0" w:color="auto"/>
            </w:tcBorders>
            <w:shd w:val="clear" w:color="auto" w:fill="D9D9D9"/>
          </w:tcPr>
          <w:p w:rsidR="00142353" w:rsidRPr="00D96B14" w:rsidRDefault="00142353" w:rsidP="004843DB">
            <w:pPr>
              <w:pStyle w:val="TableofFigures"/>
            </w:pPr>
            <w:r w:rsidRPr="00D96B14">
              <w:t>50.6</w:t>
            </w:r>
          </w:p>
        </w:tc>
        <w:tc>
          <w:tcPr>
            <w:tcW w:w="892" w:type="dxa"/>
            <w:tcBorders>
              <w:bottom w:val="single" w:sz="12" w:space="0" w:color="auto"/>
            </w:tcBorders>
          </w:tcPr>
          <w:p w:rsidR="00142353" w:rsidRPr="00D96B14" w:rsidRDefault="00142353" w:rsidP="004843DB">
            <w:pPr>
              <w:pStyle w:val="TableofFigures"/>
            </w:pPr>
            <w:r w:rsidRPr="00D96B14">
              <w:t>51.2</w:t>
            </w:r>
          </w:p>
        </w:tc>
        <w:tc>
          <w:tcPr>
            <w:tcW w:w="1104" w:type="dxa"/>
            <w:tcBorders>
              <w:bottom w:val="single" w:sz="12" w:space="0" w:color="auto"/>
            </w:tcBorders>
          </w:tcPr>
          <w:p w:rsidR="00142353" w:rsidRPr="00D96B14" w:rsidRDefault="005A4BB0" w:rsidP="004843DB">
            <w:pPr>
              <w:pStyle w:val="TableofFigures"/>
            </w:pPr>
            <w:r>
              <w:noBreakHyphen/>
            </w:r>
            <w:r w:rsidR="00142353" w:rsidRPr="00D96B14">
              <w:t>1.2</w:t>
            </w:r>
          </w:p>
        </w:tc>
        <w:tc>
          <w:tcPr>
            <w:tcW w:w="680" w:type="dxa"/>
            <w:tcBorders>
              <w:bottom w:val="single" w:sz="12" w:space="0" w:color="auto"/>
            </w:tcBorders>
          </w:tcPr>
          <w:p w:rsidR="00142353" w:rsidRPr="00D96B14" w:rsidRDefault="00142353" w:rsidP="004843DB">
            <w:pPr>
              <w:pStyle w:val="TableofFigures"/>
            </w:pPr>
            <w:r w:rsidRPr="00D96B14">
              <w:sym w:font="Wingdings" w:char="F0FC"/>
            </w:r>
          </w:p>
        </w:tc>
      </w:tr>
    </w:tbl>
    <w:p w:rsidR="00142353" w:rsidRPr="00D96B14" w:rsidRDefault="00142353" w:rsidP="00142353">
      <w:pPr>
        <w:spacing w:before="0"/>
        <w:rPr>
          <w:sz w:val="4"/>
          <w:szCs w:val="4"/>
        </w:rPr>
      </w:pPr>
    </w:p>
    <w:p w:rsidR="00142353" w:rsidRPr="00D96B14" w:rsidRDefault="00142353" w:rsidP="00142353">
      <w:pPr>
        <w:pStyle w:val="Notes"/>
      </w:pPr>
      <w:r w:rsidRPr="00D96B14">
        <w:t>Note:</w:t>
      </w:r>
    </w:p>
    <w:p w:rsidR="00142353" w:rsidRPr="00D96B14" w:rsidRDefault="00142353" w:rsidP="00142353">
      <w:pPr>
        <w:pStyle w:val="Notes"/>
        <w:tabs>
          <w:tab w:val="clear" w:pos="454"/>
          <w:tab w:val="left" w:pos="450"/>
        </w:tabs>
        <w:ind w:left="720" w:hanging="720"/>
        <w:rPr>
          <w:kern w:val="28"/>
        </w:rPr>
      </w:pPr>
      <w:r w:rsidRPr="00D96B14">
        <w:rPr>
          <w:kern w:val="28"/>
        </w:rPr>
        <w:t>1.</w:t>
      </w:r>
      <w:r w:rsidRPr="00D96B14">
        <w:rPr>
          <w:kern w:val="28"/>
        </w:rPr>
        <w:tab/>
      </w:r>
      <w:r w:rsidRPr="00D96B14">
        <w:rPr>
          <w:rFonts w:asciiTheme="minorHAnsi" w:hAnsiTheme="minorHAnsi" w:cstheme="minorHAnsi"/>
          <w:i w:val="0"/>
          <w:szCs w:val="16"/>
        </w:rPr>
        <w:sym w:font="Wingdings" w:char="F06E"/>
      </w:r>
      <w:r w:rsidRPr="00D96B14">
        <w:rPr>
          <w:rFonts w:asciiTheme="minorHAnsi" w:hAnsiTheme="minorHAnsi" w:cstheme="minorHAnsi"/>
          <w:szCs w:val="16"/>
        </w:rPr>
        <w:tab/>
        <w:t xml:space="preserve">Performance target not achieved – exceeds 5 per cent variance. </w:t>
      </w:r>
      <w:r w:rsidRPr="00D96B14">
        <w:rPr>
          <w:color w:val="0000FF"/>
        </w:rPr>
        <w:t>[This is a significant variance that requires an explanation, including internal or external factors that cause the variance]</w:t>
      </w:r>
      <w:r w:rsidRPr="00D96B14">
        <w:rPr>
          <w:rFonts w:asciiTheme="minorHAnsi" w:hAnsiTheme="minorHAnsi" w:cstheme="minorHAnsi"/>
          <w:szCs w:val="16"/>
        </w:rPr>
        <w:t>.</w:t>
      </w:r>
    </w:p>
    <w:p w:rsidR="00142353" w:rsidRPr="00D96B14" w:rsidRDefault="00142353" w:rsidP="00142353">
      <w:pPr>
        <w:pStyle w:val="Notes"/>
        <w:ind w:left="720" w:hanging="720"/>
        <w:rPr>
          <w:kern w:val="28"/>
        </w:rPr>
      </w:pPr>
      <w:r w:rsidRPr="00D96B14">
        <w:rPr>
          <w:kern w:val="28"/>
        </w:rPr>
        <w:tab/>
      </w:r>
      <w:r w:rsidRPr="00D96B14">
        <w:rPr>
          <w:i w:val="0"/>
          <w:kern w:val="28"/>
        </w:rPr>
        <w:sym w:font="Wingdings" w:char="F0FC"/>
      </w:r>
      <w:r w:rsidRPr="00D96B14">
        <w:rPr>
          <w:kern w:val="28"/>
        </w:rPr>
        <w:tab/>
        <w:t>Performance target achieved or exceeded. [A variance exceeding 5 per cent is a significant variance that requires an explanation, including internal or external factors that cause the variance].</w:t>
      </w:r>
    </w:p>
    <w:p w:rsidR="00142353" w:rsidRPr="00D96B14" w:rsidRDefault="00142353" w:rsidP="00142353">
      <w:pPr>
        <w:pStyle w:val="Notes"/>
        <w:ind w:left="720" w:hanging="720"/>
        <w:rPr>
          <w:kern w:val="28"/>
        </w:rPr>
      </w:pPr>
      <w:r w:rsidRPr="00D96B14">
        <w:rPr>
          <w:kern w:val="28"/>
        </w:rPr>
        <w:tab/>
      </w:r>
      <w:r w:rsidRPr="00D96B14">
        <w:rPr>
          <w:i w:val="0"/>
          <w:kern w:val="28"/>
        </w:rPr>
        <w:sym w:font="Wingdings 2" w:char="F099"/>
      </w:r>
      <w:r w:rsidRPr="00D96B14">
        <w:rPr>
          <w:kern w:val="28"/>
        </w:rPr>
        <w:tab/>
        <w:t xml:space="preserve">Performance target not achieved – within 5 per cent variance; </w:t>
      </w:r>
    </w:p>
    <w:p w:rsidR="00142353" w:rsidRPr="00D96B14" w:rsidRDefault="00142353" w:rsidP="00142353">
      <w:pPr>
        <w:pStyle w:val="Notes"/>
      </w:pPr>
    </w:p>
    <w:p w:rsidR="00142353" w:rsidRPr="00D96B14" w:rsidRDefault="00142353" w:rsidP="00142353">
      <w:pPr>
        <w:keepNext/>
        <w:spacing w:before="160"/>
        <w:outlineLvl w:val="1"/>
        <w:rPr>
          <w:rFonts w:ascii="Calibri" w:hAnsi="Calibri" w:cs="Arial Bold"/>
          <w:b/>
          <w:bCs/>
          <w:kern w:val="28"/>
          <w:sz w:val="24"/>
          <w:szCs w:val="24"/>
        </w:rPr>
      </w:pPr>
      <w:r w:rsidRPr="00D96B14">
        <w:rPr>
          <w:rFonts w:ascii="Calibri" w:hAnsi="Calibri" w:cs="Arial Bold"/>
          <w:b/>
          <w:bCs/>
          <w:kern w:val="28"/>
          <w:sz w:val="24"/>
          <w:szCs w:val="24"/>
        </w:rPr>
        <w:t>Discontinued operation</w:t>
      </w:r>
    </w:p>
    <w:p w:rsidR="00142353" w:rsidRPr="00D96B14" w:rsidRDefault="00142353" w:rsidP="00142353">
      <w:r w:rsidRPr="00D96B14">
        <w:t xml:space="preserve">On 28 March 2015, the Minister for the portfolio, the Hon. John Bristol MP, approved and announced a detailed formal plan to discontinue the activities of the Technology and Communication Office under the </w:t>
      </w:r>
      <w:r w:rsidRPr="00D96B14">
        <w:rPr>
          <w:i/>
          <w:iCs/>
        </w:rPr>
        <w:t xml:space="preserve">Strategic Policy Advice </w:t>
      </w:r>
      <w:r w:rsidRPr="00D96B14">
        <w:t>output. The discontinuation of the Technology and Communication Office activities is consistent with the Department</w:t>
      </w:r>
      <w:r w:rsidR="005A4BB0">
        <w:t>’</w:t>
      </w:r>
      <w:r w:rsidRPr="00D96B14">
        <w:t>s long</w:t>
      </w:r>
      <w:r w:rsidR="005A4BB0">
        <w:noBreakHyphen/>
      </w:r>
      <w:r w:rsidRPr="00D96B14">
        <w:t xml:space="preserve">term policy to promote the adoption of new technology and monitor their appropriate use. The departmental objective indicator </w:t>
      </w:r>
      <w:r w:rsidRPr="00D96B14">
        <w:rPr>
          <w:i/>
          <w:color w:val="0000FF"/>
        </w:rPr>
        <w:t>[insert objective indicator(s) which the discontinued activities contributed to]</w:t>
      </w:r>
      <w:r w:rsidRPr="00D96B14">
        <w:t xml:space="preserve"> will be </w:t>
      </w:r>
      <w:r w:rsidRPr="00D96B14">
        <w:rPr>
          <w:i/>
          <w:color w:val="0000FF"/>
        </w:rPr>
        <w:t>[removed/adjusted]</w:t>
      </w:r>
      <w:r w:rsidRPr="00D96B14">
        <w:rPr>
          <w:color w:val="0070C0"/>
        </w:rPr>
        <w:t xml:space="preserve"> </w:t>
      </w:r>
      <w:r w:rsidRPr="00D96B14">
        <w:t>as a result of this decision. The discontinuation was completed by 30 June 2015.</w:t>
      </w:r>
    </w:p>
    <w:p w:rsidR="00142353" w:rsidRPr="00D96B14" w:rsidRDefault="00142353" w:rsidP="00142353">
      <w:pPr>
        <w:spacing w:line="240" w:lineRule="atLeast"/>
        <w:rPr>
          <w:rFonts w:ascii="Calibri" w:hAnsi="Calibri"/>
          <w:i/>
          <w:iCs/>
          <w:sz w:val="16"/>
          <w:szCs w:val="18"/>
        </w:rPr>
      </w:pPr>
      <w:r w:rsidRPr="00D96B14">
        <w:br w:type="page"/>
      </w:r>
    </w:p>
    <w:p w:rsidR="00142353" w:rsidRPr="00D96B14" w:rsidRDefault="00142353" w:rsidP="00142353">
      <w:pPr>
        <w:pStyle w:val="SmallLine"/>
      </w:pPr>
      <w:r w:rsidRPr="00D96B14">
        <w:lastRenderedPageBreak/>
        <w:br w:type="column"/>
      </w:r>
    </w:p>
    <w:p w:rsidR="00142353" w:rsidRPr="00D96B14" w:rsidRDefault="00142353" w:rsidP="00142353">
      <w:pPr>
        <w:pStyle w:val="CommentaryHeading"/>
        <w:rPr>
          <w:rFonts w:cs="Arial"/>
          <w:lang w:val="en-GB"/>
        </w:rPr>
      </w:pPr>
      <w:r w:rsidRPr="00D96B14">
        <w:t xml:space="preserve">Commentary – </w:t>
      </w:r>
      <w:r w:rsidRPr="00D96B14">
        <w:rPr>
          <w:rFonts w:cs="Arial"/>
          <w:lang w:val="en-GB"/>
        </w:rPr>
        <w:t>Performance against output performance measures</w:t>
      </w:r>
    </w:p>
    <w:p w:rsidR="00142353" w:rsidRPr="00D96B14" w:rsidRDefault="00142353" w:rsidP="00142353">
      <w:pPr>
        <w:pStyle w:val="SmallLineBlue"/>
      </w:pPr>
    </w:p>
    <w:p w:rsidR="00142353" w:rsidRPr="00D96B14" w:rsidRDefault="00142353" w:rsidP="00142353">
      <w:pPr>
        <w:pBdr>
          <w:left w:val="single" w:sz="4" w:space="4" w:color="0000FF"/>
          <w:right w:val="single" w:sz="4" w:space="4" w:color="0000FF"/>
        </w:pBdr>
        <w:spacing w:before="160"/>
        <w:rPr>
          <w:rFonts w:ascii="Calibri" w:hAnsi="Calibri" w:cs="Arial"/>
          <w:b/>
          <w:bCs/>
          <w:noProof/>
          <w:color w:val="0000FF"/>
        </w:rPr>
      </w:pPr>
      <w:r w:rsidRPr="00D96B14">
        <w:rPr>
          <w:rFonts w:ascii="Calibri" w:hAnsi="Calibri" w:cs="Arial"/>
          <w:b/>
          <w:bCs/>
          <w:noProof/>
          <w:color w:val="0000FF"/>
        </w:rPr>
        <w:t>Legislative and documented references</w:t>
      </w:r>
    </w:p>
    <w:p w:rsidR="00142353" w:rsidRPr="00D96B14" w:rsidRDefault="00142353" w:rsidP="00142353">
      <w:pPr>
        <w:pBdr>
          <w:top w:val="single" w:sz="4" w:space="1" w:color="0000FF"/>
          <w:left w:val="single" w:sz="4" w:space="4" w:color="0000FF"/>
          <w:bottom w:val="single" w:sz="4" w:space="1" w:color="0000FF"/>
          <w:right w:val="single" w:sz="4" w:space="4" w:color="0000FF"/>
        </w:pBdr>
        <w:rPr>
          <w:b/>
          <w:bCs/>
          <w:color w:val="0000FF"/>
        </w:rPr>
        <w:sectPr w:rsidR="00142353" w:rsidRPr="00D96B14" w:rsidSect="00190A01">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tabs>
          <w:tab w:val="left" w:pos="0"/>
        </w:tabs>
        <w:spacing w:before="160"/>
        <w:rPr>
          <w:rFonts w:ascii="Calibri" w:hAnsi="Calibri" w:cs="Arial Narrow"/>
          <w:color w:val="0000FF"/>
          <w:sz w:val="16"/>
          <w:szCs w:val="16"/>
          <w:lang w:val="en-GB"/>
        </w:rPr>
      </w:pPr>
      <w:r w:rsidRPr="00D96B14">
        <w:rPr>
          <w:rFonts w:ascii="Calibri" w:hAnsi="Calibri" w:cs="Arial Narrow"/>
          <w:color w:val="0000FF"/>
          <w:sz w:val="16"/>
          <w:szCs w:val="16"/>
          <w:lang w:val="en-GB"/>
        </w:rPr>
        <w:lastRenderedPageBreak/>
        <w:t>FRD 8D</w:t>
      </w:r>
    </w:p>
    <w:p w:rsidR="00142353" w:rsidRPr="00D96B14" w:rsidRDefault="00142353" w:rsidP="00142353">
      <w:pPr>
        <w:pBdr>
          <w:left w:val="single" w:sz="4" w:space="4" w:color="0000FF"/>
          <w:right w:val="single" w:sz="4" w:space="4" w:color="0000FF"/>
        </w:pBdr>
        <w:rPr>
          <w:noProof/>
          <w:color w:val="0000FF"/>
        </w:rPr>
      </w:pPr>
      <w:r w:rsidRPr="00D96B14">
        <w:rPr>
          <w:noProof/>
          <w:color w:val="0000FF"/>
        </w:rPr>
        <w:br w:type="column"/>
      </w:r>
      <w:r w:rsidRPr="00D96B14">
        <w:rPr>
          <w:noProof/>
          <w:color w:val="0000FF"/>
        </w:rPr>
        <w:lastRenderedPageBreak/>
        <w:t>FRD 8D requires entities to report on actual output performance for a government department including a comparison of the output targets published in the Budget Papers and actual performance for the portfolio for the corresponding financial year.</w:t>
      </w:r>
    </w:p>
    <w:p w:rsidR="00142353" w:rsidRPr="00D96B14" w:rsidRDefault="00142353" w:rsidP="00142353">
      <w:pPr>
        <w:pBdr>
          <w:top w:val="single" w:sz="4" w:space="1" w:color="0000FF"/>
          <w:left w:val="single" w:sz="4" w:space="4" w:color="0000FF"/>
          <w:bottom w:val="single" w:sz="4" w:space="1" w:color="0000FF"/>
          <w:right w:val="single" w:sz="4" w:space="4" w:color="0000FF"/>
        </w:pBdr>
        <w:rPr>
          <w:b/>
          <w:bCs/>
          <w:color w:val="0000FF"/>
        </w:rPr>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keepNext/>
        <w:spacing w:before="140"/>
        <w:rPr>
          <w:rFonts w:ascii="Calibri" w:hAnsi="Calibri" w:cs="Arial Narrow"/>
          <w:color w:val="0000FF"/>
          <w:sz w:val="16"/>
          <w:szCs w:val="16"/>
        </w:rPr>
      </w:pPr>
      <w:r w:rsidRPr="00D96B14">
        <w:rPr>
          <w:rFonts w:ascii="Calibri" w:hAnsi="Calibri" w:cs="Arial Narrow"/>
          <w:color w:val="0000FF"/>
          <w:sz w:val="16"/>
          <w:szCs w:val="16"/>
        </w:rPr>
        <w:lastRenderedPageBreak/>
        <w:t>FRD 22G</w:t>
      </w:r>
    </w:p>
    <w:p w:rsidR="00142353" w:rsidRDefault="00142353" w:rsidP="00142353">
      <w:pPr>
        <w:pStyle w:val="CommentaryText"/>
        <w:pBdr>
          <w:top w:val="none" w:sz="0" w:space="0" w:color="auto"/>
          <w:bottom w:val="none" w:sz="0" w:space="0" w:color="auto"/>
        </w:pBdr>
        <w:sectPr w:rsidR="00142353" w:rsidSect="00190A01">
          <w:headerReference w:type="even" r:id="rId60"/>
          <w:footerReference w:type="default" r:id="rId61"/>
          <w:headerReference w:type="first" r:id="rId62"/>
          <w:type w:val="continuous"/>
          <w:pgSz w:w="11906" w:h="16838" w:code="9"/>
          <w:pgMar w:top="1152" w:right="864" w:bottom="1152" w:left="864" w:header="432" w:footer="432" w:gutter="0"/>
          <w:cols w:num="2" w:space="360" w:equalWidth="0">
            <w:col w:w="1440" w:space="360"/>
            <w:col w:w="8090"/>
          </w:cols>
          <w:rtlGutter/>
        </w:sectPr>
      </w:pPr>
      <w:r w:rsidRPr="00D96B14">
        <w:rPr>
          <w:bCs/>
        </w:rPr>
        <w:br w:type="column"/>
      </w:r>
      <w:r w:rsidRPr="00D96B14">
        <w:rPr>
          <w:bCs/>
        </w:rPr>
        <w:lastRenderedPageBreak/>
        <w:t xml:space="preserve">FRD 22G </w:t>
      </w:r>
      <w:r w:rsidRPr="00D96B14">
        <w:t xml:space="preserve">states that the report should include a </w:t>
      </w:r>
      <w:r w:rsidR="005A4BB0">
        <w:t>‘</w:t>
      </w:r>
      <w:r w:rsidRPr="00D96B14">
        <w:t>summary of the entity</w:t>
      </w:r>
      <w:r w:rsidR="005A4BB0">
        <w:t>’</w:t>
      </w:r>
      <w:r w:rsidRPr="00D96B14">
        <w:t>s operational and budgetary objectives, including performance against the objectives and significant achievements</w:t>
      </w:r>
      <w:r w:rsidR="005A4BB0">
        <w:t>’</w:t>
      </w:r>
      <w:r w:rsidRPr="00D96B14">
        <w:t xml:space="preserve"> for the current reporting period. This section also supplements a department</w:t>
      </w:r>
      <w:r w:rsidR="005A4BB0">
        <w:t>’</w:t>
      </w:r>
      <w:r w:rsidRPr="00D96B14">
        <w:t xml:space="preserve">s fulfilment of the requirement in FRD 22G to detail the </w:t>
      </w:r>
      <w:r w:rsidR="005A4BB0">
        <w:t>‘</w:t>
      </w:r>
      <w:r w:rsidRPr="00D96B14">
        <w:t>purpose, functions, powers and duties</w:t>
      </w:r>
      <w:r w:rsidR="005A4BB0">
        <w:t>’</w:t>
      </w:r>
      <w:r w:rsidRPr="00D96B14">
        <w:t xml:space="preserve"> of the entity (which is fulfilled in the earlier </w:t>
      </w:r>
      <w:r w:rsidR="005A4BB0">
        <w:t>‘</w:t>
      </w:r>
      <w:r w:rsidRPr="00D96B14">
        <w:rPr>
          <w:i/>
        </w:rPr>
        <w:t>Year in review</w:t>
      </w:r>
      <w:r w:rsidR="005A4BB0">
        <w:rPr>
          <w:i/>
        </w:rPr>
        <w:t>’</w:t>
      </w:r>
      <w:r w:rsidRPr="00D96B14">
        <w:t xml:space="preserve"> section).</w:t>
      </w:r>
    </w:p>
    <w:p w:rsidR="00142353" w:rsidRPr="00D96B14" w:rsidRDefault="00142353" w:rsidP="00142353">
      <w:pPr>
        <w:pStyle w:val="Reference"/>
      </w:pPr>
      <w:r w:rsidRPr="00D96B14">
        <w:lastRenderedPageBreak/>
        <w:t>Recommendation 39, PAEC Report 118</w:t>
      </w: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CommentaryHeading1"/>
        <w:pBdr>
          <w:top w:val="none" w:sz="0" w:space="0" w:color="auto"/>
        </w:pBdr>
      </w:pPr>
      <w:r w:rsidRPr="00D96B14">
        <w:br w:type="column"/>
      </w:r>
      <w:r w:rsidRPr="00D96B14">
        <w:lastRenderedPageBreak/>
        <w:t>Guidance</w:t>
      </w:r>
    </w:p>
    <w:p w:rsidR="00142353" w:rsidRPr="00D96B14" w:rsidRDefault="00142353" w:rsidP="00142353">
      <w:pPr>
        <w:pStyle w:val="CommentaryText"/>
        <w:pBdr>
          <w:top w:val="none" w:sz="0" w:space="0" w:color="auto"/>
        </w:pBdr>
      </w:pPr>
      <w:r w:rsidRPr="00D96B14">
        <w:t xml:space="preserve">An introduction to this section should include an overview of the key output areas, as articulated in the budget papers, plus any explanation of changes to the output structure that occurred during the year (covered above in </w:t>
      </w:r>
      <w:r w:rsidRPr="00D96B14">
        <w:rPr>
          <w:i/>
          <w:iCs/>
        </w:rPr>
        <w:t>Changes to the Department during 2015</w:t>
      </w:r>
      <w:r w:rsidR="005A4BB0">
        <w:rPr>
          <w:i/>
          <w:iCs/>
        </w:rPr>
        <w:noBreakHyphen/>
      </w:r>
      <w:r w:rsidRPr="00D96B14">
        <w:rPr>
          <w:i/>
          <w:iCs/>
        </w:rPr>
        <w:t>16</w:t>
      </w:r>
      <w:r w:rsidRPr="00D96B14">
        <w:t>).</w:t>
      </w:r>
    </w:p>
    <w:p w:rsidR="00142353" w:rsidRPr="00D96B14" w:rsidRDefault="00142353" w:rsidP="00142353">
      <w:pPr>
        <w:pStyle w:val="CommentaryText"/>
        <w:pBdr>
          <w:top w:val="none" w:sz="0" w:space="0" w:color="auto"/>
        </w:pBdr>
      </w:pPr>
      <w:r w:rsidRPr="00D96B14">
        <w:t>Departmental output performance reporting should therefore include:</w:t>
      </w:r>
    </w:p>
    <w:p w:rsidR="00142353" w:rsidRPr="00D96B14" w:rsidRDefault="00142353" w:rsidP="00142353">
      <w:pPr>
        <w:pStyle w:val="CommentaryBullet"/>
        <w:pBdr>
          <w:bottom w:val="single" w:sz="4" w:space="1" w:color="0000FF"/>
        </w:pBdr>
      </w:pPr>
      <w:r w:rsidRPr="00D96B14">
        <w:t>an overview of the key output areas for which a department is responsible for that financial year (as set out in Budget Paper No. 3</w:t>
      </w:r>
      <w:r w:rsidRPr="00D96B14">
        <w:rPr>
          <w:i/>
        </w:rPr>
        <w:t xml:space="preserve"> Service Delivery </w:t>
      </w:r>
      <w:r w:rsidRPr="00D96B14">
        <w:t>(BP3); and</w:t>
      </w:r>
    </w:p>
    <w:p w:rsidR="00142353" w:rsidRPr="00D96B14" w:rsidRDefault="00142353" w:rsidP="00142353">
      <w:pPr>
        <w:pStyle w:val="CommentaryBullet"/>
        <w:pBdr>
          <w:bottom w:val="single" w:sz="4" w:space="1" w:color="0000FF"/>
        </w:pBdr>
      </w:pPr>
      <w:r w:rsidRPr="00D96B14">
        <w:t>detailed output performance delivery information, in particular:</w:t>
      </w:r>
    </w:p>
    <w:p w:rsidR="00142353" w:rsidRPr="00D96B14" w:rsidRDefault="00142353" w:rsidP="00142353">
      <w:pPr>
        <w:pStyle w:val="CommentaryDashBlue"/>
        <w:pBdr>
          <w:bottom w:val="single" w:sz="4" w:space="1" w:color="0000FF"/>
        </w:pBdr>
      </w:pPr>
      <w:r w:rsidRPr="00D96B14">
        <w:tab/>
        <w:t>–</w:t>
      </w:r>
      <w:r w:rsidRPr="00D96B14">
        <w:tab/>
        <w:t>the actual result on an output by output basis against the budget target (as per BP3) and the actual result for each quantity, quality, timeliness and cost performance measure. The output performance measures should be presented as published in the department</w:t>
      </w:r>
      <w:r w:rsidR="005A4BB0">
        <w:t>’</w:t>
      </w:r>
      <w:r w:rsidRPr="00D96B14">
        <w:t>s output statements in BP3;</w:t>
      </w:r>
    </w:p>
    <w:p w:rsidR="00142353" w:rsidRPr="00D96B14" w:rsidRDefault="00142353" w:rsidP="00142353">
      <w:pPr>
        <w:pStyle w:val="CommentaryDashBlue"/>
        <w:pBdr>
          <w:bottom w:val="single" w:sz="4" w:space="1" w:color="0000FF"/>
        </w:pBdr>
      </w:pPr>
      <w:r w:rsidRPr="00D96B14">
        <w:tab/>
        <w:t>–</w:t>
      </w:r>
      <w:r w:rsidRPr="00D96B14">
        <w:tab/>
        <w:t xml:space="preserve">appropriate commentary for any complex output performance measures to assist readers to understand the measure and its purpose; </w:t>
      </w:r>
    </w:p>
    <w:p w:rsidR="00142353" w:rsidRPr="00D96B14" w:rsidRDefault="00142353" w:rsidP="00142353">
      <w:pPr>
        <w:pStyle w:val="CommentaryDashBlue"/>
        <w:pBdr>
          <w:bottom w:val="single" w:sz="4" w:space="1" w:color="0000FF"/>
        </w:pBdr>
      </w:pPr>
      <w:r w:rsidRPr="00D96B14">
        <w:tab/>
        <w:t>–</w:t>
      </w:r>
      <w:r w:rsidRPr="00D96B14">
        <w:tab/>
        <w:t>appropriate commentary to explain the cause of all significant or material variances (both positive and negative) between the BP3 targets and actual results (including output costs). The commentary provided should be sufficient to assist the reader in understanding variances between actual and targeted results, and</w:t>
      </w:r>
    </w:p>
    <w:p w:rsidR="00142353" w:rsidRPr="00D96B14" w:rsidRDefault="00142353" w:rsidP="00142353">
      <w:pPr>
        <w:pStyle w:val="CommentaryDashBlue"/>
        <w:pBdr>
          <w:bottom w:val="single" w:sz="4" w:space="1" w:color="0000FF"/>
        </w:pBdr>
      </w:pPr>
      <w:r w:rsidRPr="00D96B14">
        <w:tab/>
        <w:t>–</w:t>
      </w:r>
      <w:r w:rsidRPr="00D96B14">
        <w:tab/>
        <w:t>explanation of any changes to the output structure that have occurred during the financial year, such as changes arising from machinery of government administrative changes and any other changes (i.e. new output created due to a government policy decision, output name change from the previous financial year, consolidation or disaggregation of outputs from the previous financial year.)</w:t>
      </w:r>
    </w:p>
    <w:p w:rsidR="00142353" w:rsidRDefault="00142353" w:rsidP="00142353">
      <w:pPr>
        <w:pStyle w:val="CommentaryText"/>
        <w:pBdr>
          <w:top w:val="none" w:sz="0" w:space="0" w:color="auto"/>
        </w:pBdr>
      </w:pPr>
      <w:r w:rsidRPr="00D96B14">
        <w:t>The details may be shown in tabular form with some commentary on those targets that were met or exceeded and an explanation of any targets not met, as noted below.</w:t>
      </w:r>
    </w:p>
    <w:p w:rsidR="00142353" w:rsidRDefault="00142353" w:rsidP="00142353">
      <w:pPr>
        <w:spacing w:line="240" w:lineRule="atLeast"/>
        <w:rPr>
          <w:noProof/>
          <w:color w:val="0000FF"/>
        </w:rPr>
      </w:pPr>
      <w:r>
        <w:br w:type="page"/>
      </w:r>
    </w:p>
    <w:p w:rsidR="00142353" w:rsidRDefault="00142353" w:rsidP="00142353">
      <w:pPr>
        <w:pStyle w:val="SmallLine"/>
      </w:pPr>
      <w:r>
        <w:lastRenderedPageBreak/>
        <w:br w:type="column"/>
      </w:r>
    </w:p>
    <w:p w:rsidR="00142353" w:rsidRPr="00D96B14" w:rsidRDefault="00142353" w:rsidP="00142353">
      <w:pPr>
        <w:pStyle w:val="CommentaryHeading"/>
        <w:rPr>
          <w:rFonts w:cs="Arial"/>
          <w:lang w:val="en-GB"/>
        </w:rPr>
      </w:pPr>
      <w:r w:rsidRPr="00D96B14">
        <w:t xml:space="preserve">Commentary – </w:t>
      </w:r>
      <w:r w:rsidRPr="00D96B14">
        <w:rPr>
          <w:rFonts w:cs="Arial"/>
          <w:lang w:val="en-GB"/>
        </w:rPr>
        <w:t>Performance against output performance measures</w:t>
      </w:r>
      <w:r>
        <w:rPr>
          <w:rFonts w:cs="Arial"/>
          <w:lang w:val="en-GB"/>
        </w:rPr>
        <w:t xml:space="preserve"> </w:t>
      </w:r>
      <w:r w:rsidRPr="00A61C2E">
        <w:rPr>
          <w:rFonts w:cs="Arial"/>
          <w:i/>
          <w:lang w:val="en-GB"/>
        </w:rPr>
        <w:t>(continued)</w:t>
      </w:r>
    </w:p>
    <w:p w:rsidR="00142353" w:rsidRPr="00D96B14" w:rsidRDefault="00142353" w:rsidP="00142353">
      <w:pPr>
        <w:pStyle w:val="SmallLineBlue"/>
      </w:pPr>
    </w:p>
    <w:p w:rsidR="00142353" w:rsidRPr="00D96B14" w:rsidRDefault="00142353" w:rsidP="00142353">
      <w:pPr>
        <w:pStyle w:val="CommentaryHeading2"/>
      </w:pPr>
      <w:r w:rsidRPr="00D96B14">
        <w:t>Significant or material variances in output performance reporting</w:t>
      </w:r>
    </w:p>
    <w:p w:rsidR="00142353" w:rsidRPr="00D96B14" w:rsidRDefault="00142353" w:rsidP="00142353">
      <w:pPr>
        <w:pStyle w:val="CommentaryHeading3"/>
        <w:pBdr>
          <w:top w:val="none" w:sz="0" w:space="0" w:color="auto"/>
          <w:bottom w:val="none" w:sz="0" w:space="0" w:color="auto"/>
        </w:pBdr>
      </w:pPr>
      <w:r w:rsidRPr="00D96B14">
        <w:t>General criteria in deter</w:t>
      </w:r>
      <w:r w:rsidRPr="00D96B14">
        <w:rPr>
          <w:rStyle w:val="CommentaryHeading3Char"/>
        </w:rPr>
        <w:t>m</w:t>
      </w:r>
      <w:r w:rsidRPr="00D96B14">
        <w:t>ining a significant variation of output performances</w:t>
      </w:r>
    </w:p>
    <w:p w:rsidR="00142353" w:rsidRPr="00D96B14" w:rsidRDefault="00142353" w:rsidP="00142353">
      <w:pPr>
        <w:pStyle w:val="CommentaryText"/>
        <w:pBdr>
          <w:top w:val="none" w:sz="0" w:space="0" w:color="auto"/>
          <w:bottom w:val="none" w:sz="0" w:space="0" w:color="auto"/>
        </w:pBdr>
      </w:pPr>
      <w:r w:rsidRPr="00D96B14">
        <w:t>The following criteria are intended as general guidance for entities in determining whether or not to provide commentary to explain variances between budget and actual results:</w:t>
      </w:r>
    </w:p>
    <w:p w:rsidR="00142353" w:rsidRPr="00D96B14" w:rsidRDefault="00142353" w:rsidP="00142353">
      <w:pPr>
        <w:pStyle w:val="CommentaryBullet"/>
      </w:pPr>
      <w:r w:rsidRPr="00D96B14">
        <w:t>greater than five per cent (as opposed to five percentage points) increase or decrease from budget;</w:t>
      </w:r>
    </w:p>
    <w:p w:rsidR="00142353" w:rsidRPr="00D96B14" w:rsidRDefault="00142353" w:rsidP="00142353">
      <w:pPr>
        <w:pStyle w:val="CommentaryBullet"/>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SourceReference"/>
        <w:spacing w:before="120"/>
      </w:pPr>
      <w:r w:rsidRPr="00D96B14">
        <w:lastRenderedPageBreak/>
        <w:t>Recommendation 38,</w:t>
      </w:r>
    </w:p>
    <w:p w:rsidR="00142353" w:rsidRPr="00D96B14" w:rsidRDefault="00142353" w:rsidP="00142353">
      <w:pPr>
        <w:pStyle w:val="SourceReference"/>
      </w:pPr>
      <w:r w:rsidRPr="00D96B14">
        <w:t>PAEC Report 118</w:t>
      </w:r>
    </w:p>
    <w:p w:rsidR="00142353" w:rsidRPr="00D96B14" w:rsidRDefault="00142353" w:rsidP="00142353">
      <w:pPr>
        <w:pStyle w:val="SourceReference"/>
      </w:pPr>
    </w:p>
    <w:p w:rsidR="00142353" w:rsidRPr="00D96B14" w:rsidRDefault="00142353" w:rsidP="00142353">
      <w:pPr>
        <w:pStyle w:val="SourceReference"/>
      </w:pPr>
    </w:p>
    <w:p w:rsidR="00142353" w:rsidRPr="00D96B14" w:rsidRDefault="00142353" w:rsidP="00142353">
      <w:pPr>
        <w:pStyle w:val="SourceReference"/>
      </w:pPr>
    </w:p>
    <w:p w:rsidR="00142353" w:rsidRPr="00D96B14" w:rsidRDefault="00142353" w:rsidP="00142353">
      <w:pPr>
        <w:pStyle w:val="SourceReference"/>
      </w:pPr>
    </w:p>
    <w:p w:rsidR="00142353" w:rsidRPr="00D96B14" w:rsidRDefault="00142353" w:rsidP="00142353">
      <w:pPr>
        <w:pStyle w:val="SourceReference"/>
      </w:pPr>
    </w:p>
    <w:p w:rsidR="00142353" w:rsidRPr="00D96B14" w:rsidRDefault="00142353" w:rsidP="00142353">
      <w:pPr>
        <w:keepNext/>
        <w:spacing w:before="0"/>
        <w:rPr>
          <w:rFonts w:ascii="Calibri" w:hAnsi="Calibri" w:cs="Arial Narrow"/>
          <w:color w:val="FF0000"/>
          <w:sz w:val="16"/>
          <w:szCs w:val="16"/>
          <w:lang w:val="en-GB"/>
        </w:rPr>
      </w:pPr>
    </w:p>
    <w:p w:rsidR="00142353" w:rsidRPr="00D96B14" w:rsidRDefault="00142353" w:rsidP="00142353">
      <w:pPr>
        <w:keepNext/>
        <w:spacing w:before="60"/>
        <w:rPr>
          <w:rFonts w:ascii="Calibri" w:hAnsi="Calibri" w:cs="Arial Narrow"/>
          <w:color w:val="0000FF"/>
          <w:sz w:val="16"/>
          <w:szCs w:val="16"/>
          <w:lang w:val="en-GB"/>
        </w:rPr>
      </w:pPr>
      <w:r w:rsidRPr="00D96B14">
        <w:rPr>
          <w:rFonts w:ascii="Calibri" w:hAnsi="Calibri" w:cs="Arial Narrow"/>
          <w:color w:val="0000FF"/>
          <w:sz w:val="16"/>
          <w:szCs w:val="16"/>
          <w:lang w:val="en-GB"/>
        </w:rPr>
        <w:t>Recommendation 36,</w:t>
      </w:r>
    </w:p>
    <w:p w:rsidR="00142353" w:rsidRPr="00D96B14" w:rsidRDefault="00142353" w:rsidP="00142353">
      <w:pPr>
        <w:pStyle w:val="SourceReference"/>
      </w:pPr>
      <w:r w:rsidRPr="00D96B14">
        <w:rPr>
          <w:lang w:val="en-GB"/>
        </w:rPr>
        <w:t>PAEC Report 118</w:t>
      </w:r>
    </w:p>
    <w:p w:rsidR="00142353" w:rsidRPr="00D96B14" w:rsidRDefault="00142353" w:rsidP="00142353">
      <w:pPr>
        <w:pStyle w:val="CommentaryTextIndent"/>
        <w:pBdr>
          <w:top w:val="none" w:sz="0" w:space="0" w:color="auto"/>
          <w:bottom w:val="none" w:sz="0" w:space="0" w:color="auto"/>
        </w:pBdr>
        <w:spacing w:before="0"/>
        <w:ind w:left="360" w:hanging="360"/>
      </w:pPr>
      <w:r w:rsidRPr="00D96B14">
        <w:br w:type="column"/>
      </w:r>
      <w:r w:rsidRPr="00D96B14">
        <w:lastRenderedPageBreak/>
        <w:tab/>
        <w:t>A percentage point is the unit for the arithmetic difference of two percentages, e.g. moving from 80 per cent to 84 per cent is a 4 percentage point increase (not a 4 per cent increase). This means that if the target is 80 per cent and the expected outcome is 84 per cent, the variance is 5 per cent.</w:t>
      </w:r>
    </w:p>
    <w:p w:rsidR="00142353" w:rsidRPr="00D96B14" w:rsidRDefault="00142353" w:rsidP="00142353">
      <w:pPr>
        <w:pStyle w:val="CommentaryBullet"/>
      </w:pPr>
      <w:r w:rsidRPr="00D96B14">
        <w:t>an explanation for the variance that arises from the implementation of new policy or existing policy, government decisions or actions;</w:t>
      </w:r>
    </w:p>
    <w:p w:rsidR="00142353" w:rsidRPr="00D96B14" w:rsidRDefault="00142353" w:rsidP="00142353">
      <w:pPr>
        <w:pStyle w:val="CommentaryBullet"/>
      </w:pPr>
      <w:r w:rsidRPr="00D96B14">
        <w:t xml:space="preserve">an explanation for the variance should identify whether the factor that caused the variation was internal (a factor within the government) or external (a factor outside the government); and </w:t>
      </w:r>
    </w:p>
    <w:p w:rsidR="00142353" w:rsidRDefault="00142353" w:rsidP="00142353">
      <w:pPr>
        <w:pStyle w:val="CommentaryBullet"/>
        <w:sectPr w:rsidR="00142353" w:rsidSect="00190A01">
          <w:type w:val="continuous"/>
          <w:pgSz w:w="11906" w:h="16838" w:code="9"/>
          <w:pgMar w:top="1152" w:right="864" w:bottom="1152" w:left="864" w:header="432" w:footer="432" w:gutter="0"/>
          <w:cols w:num="2" w:space="360" w:equalWidth="0">
            <w:col w:w="1440" w:space="360"/>
            <w:col w:w="8090"/>
          </w:cols>
          <w:rtlGutter/>
        </w:sectPr>
      </w:pPr>
      <w:r w:rsidRPr="00D96B14">
        <w:t>an expla</w:t>
      </w:r>
      <w:r w:rsidRPr="00D96B14">
        <w:rPr>
          <w:rStyle w:val="CommentaryBulletCharChar"/>
        </w:rPr>
        <w:t>n</w:t>
      </w:r>
      <w:r w:rsidRPr="00D96B14">
        <w:t>ation for the variance that may be of public interest.</w:t>
      </w:r>
      <w:r>
        <w:t xml:space="preserve"> </w:t>
      </w:r>
    </w:p>
    <w:p w:rsidR="00142353" w:rsidRPr="00D96B14" w:rsidRDefault="00142353" w:rsidP="00142353">
      <w:pPr>
        <w:pStyle w:val="Reference"/>
      </w:pPr>
      <w:r>
        <w:lastRenderedPageBreak/>
        <w:br/>
      </w:r>
    </w:p>
    <w:p w:rsidR="00142353" w:rsidRPr="00D96B14" w:rsidRDefault="00142353" w:rsidP="00142353">
      <w:pPr>
        <w:pStyle w:val="Reference"/>
        <w:spacing w:before="40"/>
      </w:pPr>
      <w:r w:rsidRPr="00D96B14">
        <w:t xml:space="preserve">Recommendation 27, PAEC Report 109 </w:t>
      </w:r>
    </w:p>
    <w:p w:rsidR="00142353" w:rsidRPr="00D96B14" w:rsidRDefault="00142353" w:rsidP="00142353">
      <w:pPr>
        <w:pStyle w:val="Reference"/>
        <w:spacing w:before="200"/>
      </w:pPr>
      <w:r w:rsidRPr="00D96B14">
        <w:rPr>
          <w:color w:val="FF0000"/>
        </w:rPr>
        <w:br/>
      </w:r>
      <w:r w:rsidRPr="00D96B14">
        <w:t xml:space="preserve">Recommendation 32, PAEC Report 109 </w:t>
      </w:r>
    </w:p>
    <w:p w:rsidR="00142353" w:rsidRPr="00D96B14" w:rsidRDefault="00142353" w:rsidP="00142353">
      <w:pPr>
        <w:pStyle w:val="Reference"/>
      </w:pPr>
      <w:r w:rsidRPr="00D96B14">
        <w:br/>
      </w:r>
    </w:p>
    <w:p w:rsidR="00142353" w:rsidRPr="00D96B14" w:rsidRDefault="00142353" w:rsidP="00142353">
      <w:pPr>
        <w:pStyle w:val="Reference"/>
        <w:spacing w:before="240"/>
      </w:pPr>
      <w:r w:rsidRPr="00D96B14">
        <w:br/>
      </w:r>
    </w:p>
    <w:p w:rsidR="00142353" w:rsidRPr="00D96B14" w:rsidRDefault="00142353" w:rsidP="00142353">
      <w:pPr>
        <w:pStyle w:val="Reference"/>
        <w:spacing w:before="0"/>
      </w:pPr>
      <w:r w:rsidRPr="00D96B14">
        <w:t>Recommendation 19,</w:t>
      </w:r>
    </w:p>
    <w:p w:rsidR="00142353" w:rsidRPr="00D96B14" w:rsidRDefault="00142353" w:rsidP="00142353">
      <w:pPr>
        <w:pStyle w:val="Reference"/>
        <w:spacing w:before="0"/>
      </w:pPr>
      <w:r w:rsidRPr="00D96B14">
        <w:t>PAEC Report 118</w:t>
      </w: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CommentaryHeading1"/>
        <w:pBdr>
          <w:top w:val="none" w:sz="0" w:space="0" w:color="auto"/>
        </w:pBdr>
        <w:rPr>
          <w:lang w:eastAsia="en-US"/>
        </w:rPr>
      </w:pPr>
      <w:r w:rsidRPr="00D96B14">
        <w:br w:type="column"/>
      </w:r>
      <w:r w:rsidRPr="00D96B14">
        <w:rPr>
          <w:lang w:eastAsia="en-US"/>
        </w:rPr>
        <w:lastRenderedPageBreak/>
        <w:t>Specific criteria in determining a significant target variances</w:t>
      </w:r>
    </w:p>
    <w:p w:rsidR="00142353" w:rsidRPr="00D96B14" w:rsidRDefault="00142353" w:rsidP="00142353">
      <w:pPr>
        <w:pStyle w:val="CommentaryBullet"/>
        <w:pBdr>
          <w:bottom w:val="single" w:sz="4" w:space="1" w:color="0000FF"/>
        </w:pBdr>
      </w:pPr>
      <w:r w:rsidRPr="00D96B14">
        <w:t>For a target that is range based – if the target is a range, a significant variance is one that falls outside the target range by 5 per cent below the lower band and 5 per cent above the higher band.</w:t>
      </w:r>
    </w:p>
    <w:p w:rsidR="00142353" w:rsidRPr="00D96B14" w:rsidRDefault="00142353" w:rsidP="00142353">
      <w:pPr>
        <w:pStyle w:val="CommentaryBullet"/>
        <w:pBdr>
          <w:bottom w:val="single" w:sz="4" w:space="1" w:color="0000FF"/>
        </w:pBdr>
      </w:pPr>
      <w:r w:rsidRPr="00D96B14">
        <w:t>For the target that is a date:</w:t>
      </w:r>
    </w:p>
    <w:p w:rsidR="00142353" w:rsidRPr="00D96B14" w:rsidRDefault="00142353" w:rsidP="00142353">
      <w:pPr>
        <w:pStyle w:val="CommentaryDashBlue"/>
        <w:pBdr>
          <w:bottom w:val="single" w:sz="4" w:space="1" w:color="0000FF"/>
        </w:pBdr>
      </w:pPr>
      <w:r w:rsidRPr="00D96B14">
        <w:tab/>
        <w:t>–</w:t>
      </w:r>
      <w:r w:rsidRPr="00D96B14">
        <w:tab/>
        <w:t>if the target reflects a statutory requirement, any variance later than the target is significant; and</w:t>
      </w:r>
    </w:p>
    <w:p w:rsidR="00142353" w:rsidRPr="00D96B14" w:rsidRDefault="00142353" w:rsidP="00142353">
      <w:pPr>
        <w:pStyle w:val="CommentaryDashBlue"/>
        <w:pBdr>
          <w:bottom w:val="single" w:sz="4" w:space="1" w:color="0000FF"/>
        </w:pBdr>
      </w:pPr>
      <w:r w:rsidRPr="00D96B14">
        <w:tab/>
        <w:t>–</w:t>
      </w:r>
      <w:r w:rsidRPr="00D96B14">
        <w:tab/>
        <w:t>if the target is a quarter (e.g. quarter four), anything that falls outside the target is a significant target variance.</w:t>
      </w:r>
    </w:p>
    <w:p w:rsidR="00142353" w:rsidRPr="00D96B14" w:rsidRDefault="00142353" w:rsidP="00142353">
      <w:pPr>
        <w:pStyle w:val="CommentaryBullet"/>
        <w:pBdr>
          <w:bottom w:val="single" w:sz="4" w:space="1" w:color="0000FF"/>
        </w:pBdr>
      </w:pPr>
      <w:r w:rsidRPr="00D96B14">
        <w:t>Departments are expected to adopt a system that incorporates the use of symbols to indicate whether:</w:t>
      </w:r>
    </w:p>
    <w:p w:rsidR="00142353" w:rsidRPr="00D96B14" w:rsidRDefault="00142353" w:rsidP="00142353">
      <w:pPr>
        <w:pStyle w:val="CommentaryDashBlue"/>
        <w:pBdr>
          <w:bottom w:val="single" w:sz="4" w:space="1" w:color="0000FF"/>
        </w:pBdr>
      </w:pPr>
      <w:r w:rsidRPr="00D96B14">
        <w:tab/>
        <w:t>–</w:t>
      </w:r>
      <w:r w:rsidRPr="00D96B14">
        <w:tab/>
        <w:t>the target was achieved or exceeded in a desirable way;</w:t>
      </w:r>
    </w:p>
    <w:p w:rsidR="00142353" w:rsidRPr="00D96B14" w:rsidRDefault="00142353" w:rsidP="00142353">
      <w:pPr>
        <w:pStyle w:val="CommentaryDashBlue"/>
        <w:pBdr>
          <w:bottom w:val="single" w:sz="4" w:space="1" w:color="0000FF"/>
        </w:pBdr>
      </w:pPr>
      <w:r w:rsidRPr="00D96B14">
        <w:tab/>
        <w:t>–</w:t>
      </w:r>
      <w:r w:rsidRPr="00D96B14">
        <w:tab/>
        <w:t>the actual result varied from the target in an undesirable direction but by less than 5 per cent; or</w:t>
      </w:r>
    </w:p>
    <w:p w:rsidR="00142353" w:rsidRPr="00D96B14" w:rsidRDefault="00142353" w:rsidP="00142353">
      <w:pPr>
        <w:pStyle w:val="CommentaryDashBlue"/>
        <w:pBdr>
          <w:bottom w:val="single" w:sz="4" w:space="1" w:color="0000FF"/>
        </w:pBdr>
      </w:pPr>
      <w:r w:rsidRPr="00D96B14">
        <w:tab/>
        <w:t>–</w:t>
      </w:r>
      <w:r w:rsidRPr="00D96B14">
        <w:tab/>
        <w:t>the actual result varied from the target in an undesirable direction by more than 5 per cent.</w:t>
      </w:r>
    </w:p>
    <w:p w:rsidR="00142353" w:rsidRPr="00D96B14" w:rsidRDefault="00142353" w:rsidP="00142353">
      <w:pPr>
        <w:pStyle w:val="CommentaryBullet"/>
        <w:pBdr>
          <w:bottom w:val="single" w:sz="4" w:space="1" w:color="0000FF"/>
        </w:pBdr>
      </w:pPr>
      <w:r w:rsidRPr="00D96B14">
        <w:t>The illustrations above used the following symbols as an example to indicate the type of variance:</w:t>
      </w:r>
    </w:p>
    <w:p w:rsidR="00142353" w:rsidRPr="00D96B14" w:rsidRDefault="00142353" w:rsidP="005A60F8">
      <w:pPr>
        <w:pStyle w:val="CommentaryTextIndent2"/>
        <w:pBdr>
          <w:top w:val="none" w:sz="0" w:space="0" w:color="auto"/>
        </w:pBdr>
      </w:pPr>
      <w:r w:rsidRPr="00D96B14">
        <w:rPr>
          <w:rFonts w:asciiTheme="minorHAnsi" w:hAnsiTheme="minorHAnsi" w:cstheme="minorHAnsi"/>
          <w:iCs/>
          <w:sz w:val="16"/>
          <w:szCs w:val="16"/>
        </w:rPr>
        <w:tab/>
      </w:r>
      <w:r w:rsidRPr="00D96B14">
        <w:rPr>
          <w:rFonts w:ascii="Calibri" w:hAnsi="Calibri"/>
          <w:iCs/>
          <w:sz w:val="16"/>
          <w:szCs w:val="18"/>
        </w:rPr>
        <w:sym w:font="Wingdings" w:char="F0FC"/>
      </w:r>
      <w:r w:rsidRPr="00D96B14">
        <w:rPr>
          <w:rFonts w:ascii="Calibri" w:hAnsi="Calibri"/>
          <w:iCs/>
          <w:sz w:val="16"/>
          <w:szCs w:val="18"/>
        </w:rPr>
        <w:tab/>
      </w:r>
      <w:r w:rsidRPr="00D96B14">
        <w:t>performance target achieved – (both within 5 per cent variance and exceeds 5 per cent variance);</w:t>
      </w:r>
    </w:p>
    <w:p w:rsidR="00142353" w:rsidRPr="00D96B14" w:rsidRDefault="00142353" w:rsidP="005A60F8">
      <w:pPr>
        <w:pStyle w:val="CommentaryTextIndent2"/>
        <w:pBdr>
          <w:top w:val="none" w:sz="0" w:space="0" w:color="auto"/>
        </w:pBdr>
      </w:pPr>
      <w:r w:rsidRPr="00D96B14">
        <w:tab/>
      </w:r>
      <w:r w:rsidRPr="00D96B14">
        <w:rPr>
          <w:rFonts w:ascii="Calibri" w:hAnsi="Calibri"/>
          <w:iCs/>
          <w:sz w:val="16"/>
          <w:szCs w:val="18"/>
        </w:rPr>
        <w:sym w:font="Wingdings" w:char="F0A1"/>
      </w:r>
      <w:r w:rsidRPr="00D96B14">
        <w:rPr>
          <w:rFonts w:ascii="Calibri" w:hAnsi="Calibri"/>
          <w:iCs/>
          <w:sz w:val="16"/>
          <w:szCs w:val="18"/>
        </w:rPr>
        <w:tab/>
      </w:r>
      <w:r w:rsidRPr="00D96B14">
        <w:t>performance target not achieved – within 5 per cent variance</w:t>
      </w:r>
      <w:r w:rsidRPr="00D96B14">
        <w:rPr>
          <w:rFonts w:ascii="Calibri" w:hAnsi="Calibri"/>
          <w:iCs/>
          <w:sz w:val="16"/>
          <w:szCs w:val="18"/>
        </w:rPr>
        <w:t xml:space="preserve">; </w:t>
      </w:r>
      <w:r w:rsidRPr="00D96B14">
        <w:t>and</w:t>
      </w:r>
    </w:p>
    <w:p w:rsidR="00142353" w:rsidRPr="00D96B14" w:rsidRDefault="00142353" w:rsidP="005A60F8">
      <w:pPr>
        <w:pStyle w:val="CommentaryTextIndent2"/>
        <w:pBdr>
          <w:top w:val="none" w:sz="0" w:space="0" w:color="auto"/>
        </w:pBdr>
      </w:pPr>
      <w:r w:rsidRPr="00D96B14">
        <w:rPr>
          <w:rFonts w:ascii="Calibri" w:hAnsi="Calibri"/>
          <w:iCs/>
          <w:sz w:val="16"/>
          <w:szCs w:val="18"/>
        </w:rPr>
        <w:tab/>
      </w:r>
      <w:r w:rsidRPr="00D96B14">
        <w:rPr>
          <w:rFonts w:asciiTheme="minorHAnsi" w:hAnsiTheme="minorHAnsi" w:cstheme="minorHAnsi"/>
          <w:iCs/>
          <w:sz w:val="16"/>
          <w:szCs w:val="16"/>
        </w:rPr>
        <w:sym w:font="Wingdings" w:char="F06E"/>
      </w:r>
      <w:r w:rsidRPr="00D96B14">
        <w:rPr>
          <w:rFonts w:asciiTheme="minorHAnsi" w:hAnsiTheme="minorHAnsi" w:cstheme="minorHAnsi"/>
          <w:iCs/>
          <w:sz w:val="16"/>
          <w:szCs w:val="16"/>
        </w:rPr>
        <w:tab/>
      </w:r>
      <w:r w:rsidRPr="00D96B14">
        <w:t>performance target not achieved – exceeds 5 per cent variance.</w:t>
      </w:r>
    </w:p>
    <w:p w:rsidR="00142353" w:rsidRPr="00D96B14" w:rsidRDefault="00142353" w:rsidP="00142353"/>
    <w:p w:rsidR="00142353" w:rsidRPr="00D96B14" w:rsidRDefault="00142353" w:rsidP="00142353">
      <w:pPr>
        <w:pStyle w:val="SmallLine"/>
      </w:pPr>
    </w:p>
    <w:p w:rsidR="00142353" w:rsidRDefault="00142353" w:rsidP="00142353">
      <w:pPr>
        <w:spacing w:before="0"/>
        <w:rPr>
          <w:rFonts w:ascii="Calibri" w:hAnsi="Calibri" w:cs="Arial Bold"/>
          <w:b/>
          <w:bCs/>
          <w:i/>
          <w:iCs/>
          <w:color w:val="FFFFFF"/>
          <w:sz w:val="24"/>
          <w:szCs w:val="24"/>
        </w:rPr>
      </w:pPr>
      <w:r w:rsidRPr="00D96B14">
        <w:rPr>
          <w:rFonts w:ascii="Calibri" w:hAnsi="Calibri" w:cs="Arial Bold"/>
          <w:b/>
          <w:bCs/>
          <w:i/>
          <w:iCs/>
          <w:color w:val="FFFFFF"/>
          <w:sz w:val="24"/>
          <w:szCs w:val="24"/>
        </w:rPr>
        <w:br w:type="page"/>
      </w:r>
    </w:p>
    <w:p w:rsidR="00142353" w:rsidRDefault="00142353" w:rsidP="00142353">
      <w:pPr>
        <w:spacing w:before="0"/>
        <w:rPr>
          <w:rFonts w:ascii="Calibri" w:hAnsi="Calibri" w:cs="Arial Bold"/>
          <w:b/>
          <w:bCs/>
          <w:i/>
          <w:iCs/>
          <w:color w:val="FFFFFF"/>
          <w:sz w:val="24"/>
          <w:szCs w:val="24"/>
        </w:rPr>
      </w:pPr>
    </w:p>
    <w:p w:rsidR="00142353" w:rsidRDefault="00142353" w:rsidP="00142353">
      <w:pPr>
        <w:pStyle w:val="Reference"/>
      </w:pPr>
    </w:p>
    <w:p w:rsidR="00142353" w:rsidRPr="00D96B14" w:rsidRDefault="00142353" w:rsidP="00142353">
      <w:pPr>
        <w:pStyle w:val="SmallLine"/>
      </w:pPr>
      <w:r>
        <w:br w:type="column"/>
      </w:r>
    </w:p>
    <w:p w:rsidR="00142353" w:rsidRPr="00D96B14" w:rsidRDefault="00142353" w:rsidP="00142353">
      <w:pPr>
        <w:pStyle w:val="CommentaryHeading"/>
        <w:rPr>
          <w:i/>
          <w:iCs/>
        </w:rPr>
      </w:pPr>
      <w:r w:rsidRPr="00D96B14">
        <w:t xml:space="preserve">Commentary – </w:t>
      </w:r>
      <w:r w:rsidRPr="00D96B14">
        <w:rPr>
          <w:lang w:val="en-GB"/>
        </w:rPr>
        <w:t>Performance against output performance measures</w:t>
      </w:r>
      <w:r w:rsidRPr="00D96B14" w:rsidDel="005969E5">
        <w:t xml:space="preserve"> </w:t>
      </w:r>
      <w:r w:rsidRPr="00D96B14">
        <w:rPr>
          <w:i/>
          <w:iCs/>
        </w:rPr>
        <w:t>(continued)</w:t>
      </w:r>
    </w:p>
    <w:p w:rsidR="00142353" w:rsidRPr="00D96B14" w:rsidRDefault="00142353" w:rsidP="00142353">
      <w:pPr>
        <w:pStyle w:val="SmallLineBlue"/>
      </w:pPr>
    </w:p>
    <w:p w:rsidR="00142353" w:rsidRPr="00D96B14" w:rsidRDefault="00142353" w:rsidP="00142353">
      <w:pPr>
        <w:pStyle w:val="CommentaryHeading2"/>
      </w:pPr>
      <w:r w:rsidRPr="00D96B14">
        <w:t>Presentation of output reporting</w:t>
      </w:r>
    </w:p>
    <w:p w:rsidR="00142353" w:rsidRPr="00D96B14" w:rsidRDefault="00142353" w:rsidP="00142353">
      <w:pPr>
        <w:pStyle w:val="CommentaryText"/>
        <w:pBdr>
          <w:top w:val="none" w:sz="0" w:space="0" w:color="auto"/>
          <w:bottom w:val="none" w:sz="0" w:space="0" w:color="auto"/>
        </w:pBdr>
      </w:pPr>
      <w:r w:rsidRPr="00D96B14">
        <w:t xml:space="preserve">Departments are expected to present their output performance results in the same format as the Departmental output statements contained in the corresponding BP3 </w:t>
      </w:r>
      <w:r w:rsidRPr="00D96B14">
        <w:rPr>
          <w:i/>
        </w:rPr>
        <w:t xml:space="preserve">Service Delivery. </w:t>
      </w:r>
      <w:r w:rsidRPr="00D96B14">
        <w:t>From</w:t>
      </w:r>
      <w:r w:rsidR="005A4BB0">
        <w:t xml:space="preserve"> </w:t>
      </w:r>
      <w:r w:rsidRPr="00D96B14">
        <w:t>2013</w:t>
      </w:r>
      <w:r w:rsidR="005A4BB0">
        <w:noBreakHyphen/>
      </w:r>
      <w:r w:rsidRPr="00D96B14">
        <w:t>14 onwards, the format involves stating the reasons for significant variances for each category (i.e. quantity, quality, timeliness and total output cost) within the output performance tables rather than as a footnote to the tables.</w:t>
      </w:r>
    </w:p>
    <w:p w:rsidR="00142353" w:rsidRPr="00D96B14" w:rsidRDefault="00142353" w:rsidP="00142353">
      <w:pPr>
        <w:pStyle w:val="CommentaryText"/>
        <w:pBdr>
          <w:top w:val="none" w:sz="0" w:space="0" w:color="auto"/>
        </w:pBdr>
      </w:pPr>
      <w:r w:rsidRPr="00D96B14">
        <w:t>Departments are encouraged to describe their progress and/or achievement of the key programs/project/activities and deliverables associated with the outputs and the impact on departmental objectives.</w:t>
      </w:r>
    </w:p>
    <w:p w:rsidR="00142353" w:rsidRPr="00D96B14" w:rsidRDefault="00142353" w:rsidP="00142353">
      <w:pPr>
        <w:pBdr>
          <w:left w:val="single" w:sz="4" w:space="4" w:color="0000FF"/>
          <w:bottom w:val="single" w:sz="4" w:space="1" w:color="0000FF"/>
          <w:right w:val="single" w:sz="4" w:space="4" w:color="0000FF"/>
        </w:pBdr>
        <w:rPr>
          <w:rFonts w:ascii="Calibri" w:hAnsi="Calibri" w:cs="Arial Bold"/>
          <w:b/>
          <w:bCs/>
          <w:i/>
          <w:iCs/>
          <w:color w:val="FFFFFF"/>
          <w:sz w:val="24"/>
          <w:szCs w:val="24"/>
        </w:rPr>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CommentaryText"/>
        <w:pBdr>
          <w:top w:val="none" w:sz="0" w:space="0" w:color="auto"/>
          <w:left w:val="none" w:sz="0" w:space="0" w:color="auto"/>
          <w:bottom w:val="none" w:sz="0" w:space="0" w:color="auto"/>
          <w:right w:val="none" w:sz="0" w:space="0" w:color="auto"/>
        </w:pBdr>
      </w:pPr>
    </w:p>
    <w:p w:rsidR="00142353" w:rsidRPr="00D96B14" w:rsidRDefault="00142353" w:rsidP="00142353">
      <w:pPr>
        <w:pStyle w:val="Heading1a"/>
      </w:pPr>
    </w:p>
    <w:p w:rsidR="00142353" w:rsidRPr="00D96B14" w:rsidRDefault="00142353" w:rsidP="00142353">
      <w:pPr>
        <w:pStyle w:val="Reference"/>
        <w:rPr>
          <w:rFonts w:eastAsia="Times New Roman" w:cs="Arial Bold"/>
          <w:b/>
          <w:bCs/>
          <w:color w:val="auto"/>
          <w:sz w:val="28"/>
          <w:szCs w:val="28"/>
          <w:lang w:val="en-AU" w:eastAsia="en-US"/>
        </w:rPr>
      </w:pPr>
    </w:p>
    <w:p w:rsidR="00142353" w:rsidRPr="00D96B14" w:rsidRDefault="00142353" w:rsidP="00142353">
      <w:pPr>
        <w:pStyle w:val="Reference"/>
        <w:rPr>
          <w:lang w:val="en-AU"/>
        </w:rPr>
      </w:pPr>
    </w:p>
    <w:p w:rsidR="00142353" w:rsidRPr="00D96B14" w:rsidRDefault="00142353" w:rsidP="00142353">
      <w:pPr>
        <w:pStyle w:val="Reference"/>
        <w:spacing w:before="200"/>
        <w:rPr>
          <w:lang w:val="en-AU"/>
        </w:rPr>
      </w:pPr>
      <w:r w:rsidRPr="00D96B14">
        <w:rPr>
          <w:lang w:val="en-AU"/>
        </w:rPr>
        <w:t>FRD 8D</w:t>
      </w:r>
    </w:p>
    <w:p w:rsidR="00142353" w:rsidRPr="00D96B14" w:rsidRDefault="00142353" w:rsidP="00142353">
      <w:pPr>
        <w:pStyle w:val="Reference"/>
        <w:rPr>
          <w:lang w:val="en-AU"/>
        </w:rPr>
      </w:pPr>
    </w:p>
    <w:p w:rsidR="00142353" w:rsidRPr="00D96B14" w:rsidRDefault="00142353" w:rsidP="00142353">
      <w:pPr>
        <w:pStyle w:val="Reference"/>
      </w:pPr>
    </w:p>
    <w:p w:rsidR="00142353" w:rsidRPr="00D96B14" w:rsidRDefault="00142353" w:rsidP="00142353">
      <w:pPr>
        <w:pStyle w:val="Reference"/>
        <w:spacing w:before="220"/>
        <w:rPr>
          <w:lang w:val="en-AU"/>
        </w:rPr>
      </w:pPr>
      <w:r w:rsidRPr="00D96B14">
        <w:br/>
        <w:t>Recommendation 9, PAEC Report 109</w:t>
      </w: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spacing w:before="40"/>
      </w:pPr>
      <w:r w:rsidRPr="00D96B14">
        <w:rPr>
          <w:lang w:val="en-AU"/>
        </w:rPr>
        <w:t>FRD 8D</w:t>
      </w:r>
    </w:p>
    <w:p w:rsidR="00142353" w:rsidRPr="00D96B14" w:rsidRDefault="00142353" w:rsidP="00142353">
      <w:pPr>
        <w:pStyle w:val="Reference"/>
      </w:pPr>
    </w:p>
    <w:p w:rsidR="00142353" w:rsidRPr="00D96B14" w:rsidRDefault="00142353" w:rsidP="00142353">
      <w:pPr>
        <w:pStyle w:val="Heading1a"/>
      </w:pPr>
      <w:r w:rsidRPr="00D96B14">
        <w:br w:type="column"/>
      </w:r>
      <w:r w:rsidRPr="00D96B14">
        <w:lastRenderedPageBreak/>
        <w:t>Portfolio performance reporting – Financial section</w:t>
      </w:r>
    </w:p>
    <w:p w:rsidR="00142353" w:rsidRPr="00D96B14" w:rsidRDefault="00142353" w:rsidP="00142353">
      <w:pPr>
        <w:pStyle w:val="Heading2"/>
      </w:pPr>
      <w:r w:rsidRPr="00D96B14">
        <w:t xml:space="preserve">Budget portfolio outcomes </w:t>
      </w:r>
    </w:p>
    <w:p w:rsidR="00142353" w:rsidRPr="00D96B14" w:rsidRDefault="00142353" w:rsidP="00142353">
      <w:pPr>
        <w:pStyle w:val="NormalBlue"/>
        <w:rPr>
          <w:b/>
          <w:i/>
        </w:rPr>
      </w:pPr>
      <w:r w:rsidRPr="00D96B14">
        <w:rPr>
          <w:b/>
          <w:i/>
        </w:rPr>
        <w:t>[The budget portfolio outcomes are better disclosed as an appendix in the entity</w:t>
      </w:r>
      <w:r w:rsidR="005A4BB0">
        <w:rPr>
          <w:b/>
          <w:i/>
        </w:rPr>
        <w:t>’</w:t>
      </w:r>
      <w:r w:rsidRPr="00D96B14">
        <w:rPr>
          <w:b/>
          <w:i/>
        </w:rPr>
        <w:t>s annual report].</w:t>
      </w:r>
    </w:p>
    <w:p w:rsidR="00142353" w:rsidRPr="00D96B14" w:rsidRDefault="00142353" w:rsidP="00142353">
      <w:pPr>
        <w:pStyle w:val="Notes"/>
      </w:pPr>
    </w:p>
    <w:p w:rsidR="00142353" w:rsidRPr="00D96B14" w:rsidRDefault="00142353" w:rsidP="00142353">
      <w:r w:rsidRPr="00D96B14">
        <w:t xml:space="preserve">The budget portfolio outcomes provide comparisons between the actual financial statements of all general government sector entities in the portfolio and the forecast financial information (initial budget estimates) published in Budget Paper No. 5 </w:t>
      </w:r>
      <w:r w:rsidRPr="00D96B14">
        <w:rPr>
          <w:i/>
        </w:rPr>
        <w:t xml:space="preserve">Statement of Finances </w:t>
      </w:r>
      <w:r w:rsidRPr="00D96B14">
        <w:t xml:space="preserve">(BP5). The budget portfolio outcomes comprise the comprehensive operating statements, balance sheets, cash flow statements, statements of changes in equity, and administered item statements. </w:t>
      </w:r>
    </w:p>
    <w:p w:rsidR="00142353" w:rsidRPr="00D96B14" w:rsidRDefault="00142353" w:rsidP="00142353">
      <w:r w:rsidRPr="00D96B14">
        <w:t>The budget portfolio outcomes have been prepared on a consolidated basis and include all general government sector entities in the portfolio. Financial transactions and balances are classified into either controlled or administered categories consistent with the published statements in BP5.</w:t>
      </w:r>
    </w:p>
    <w:p w:rsidR="00142353" w:rsidRPr="00D96B14" w:rsidRDefault="00142353" w:rsidP="00142353">
      <w:r w:rsidRPr="00D96B14">
        <w:t>The following budget portfolio outcomes statements are not subject to audit by the Victorian Auditor</w:t>
      </w:r>
      <w:r w:rsidR="005A4BB0">
        <w:noBreakHyphen/>
      </w:r>
      <w:r w:rsidRPr="00D96B14">
        <w:t>General</w:t>
      </w:r>
      <w:r w:rsidR="005A4BB0">
        <w:t>’</w:t>
      </w:r>
      <w:r w:rsidRPr="00D96B14">
        <w:t>s Office and are not prepared on the same basis as the Department</w:t>
      </w:r>
      <w:r w:rsidR="005A4BB0">
        <w:t>’</w:t>
      </w:r>
      <w:r w:rsidRPr="00D96B14">
        <w:t>s financial statements as they include the consolidated financial information of the following entities:</w:t>
      </w:r>
    </w:p>
    <w:p w:rsidR="00142353" w:rsidRPr="00D96B14" w:rsidRDefault="00142353" w:rsidP="00142353">
      <w:pPr>
        <w:rPr>
          <w:i/>
          <w:iCs/>
          <w:color w:val="0000FF"/>
        </w:rPr>
      </w:pPr>
      <w:r w:rsidRPr="00D96B14">
        <w:rPr>
          <w:i/>
          <w:iCs/>
          <w:color w:val="0000FF"/>
        </w:rPr>
        <w:t>[Insert list of controlled entities or refer reader to Note XX in the financial statements.]</w:t>
      </w:r>
    </w:p>
    <w:p w:rsidR="00142353" w:rsidRPr="00D96B14" w:rsidRDefault="00142353" w:rsidP="00142353">
      <w:pPr>
        <w:rPr>
          <w:i/>
          <w:iCs/>
          <w:color w:val="0000FF"/>
        </w:rPr>
      </w:pPr>
      <w:r w:rsidRPr="00D96B14">
        <w:rPr>
          <w:i/>
          <w:iCs/>
          <w:color w:val="0000FF"/>
        </w:rPr>
        <w:t>[Insert relevant portfolio financial statements consistent with the corresponding BP5 presentation.]</w:t>
      </w:r>
    </w:p>
    <w:p w:rsidR="00142353" w:rsidRPr="00D96B14" w:rsidRDefault="00142353" w:rsidP="00142353">
      <w:pPr>
        <w:rPr>
          <w:i/>
          <w:iCs/>
          <w:color w:val="0000FF"/>
        </w:rPr>
      </w:pPr>
      <w:r w:rsidRPr="00D96B14">
        <w:rPr>
          <w:i/>
          <w:iCs/>
          <w:color w:val="0000FF"/>
        </w:rPr>
        <w:t>[Please refer to Appendix 6 for illustrations on the disclosure of budget portfolio outcomes.]</w:t>
      </w:r>
    </w:p>
    <w:p w:rsidR="00142353" w:rsidRPr="00D96B14" w:rsidRDefault="00142353" w:rsidP="00142353"/>
    <w:p w:rsidR="00142353" w:rsidRPr="00D96B14" w:rsidRDefault="00142353" w:rsidP="00142353">
      <w:pPr>
        <w:pStyle w:val="CommentaryHeading"/>
        <w:pBdr>
          <w:bottom w:val="none" w:sz="0" w:space="0" w:color="auto"/>
        </w:pBdr>
      </w:pPr>
      <w:r w:rsidRPr="00D96B14">
        <w:t xml:space="preserve">Commentary – Budget portfolio outcomes </w:t>
      </w:r>
    </w:p>
    <w:p w:rsidR="00142353" w:rsidRPr="00D96B14" w:rsidRDefault="00142353" w:rsidP="00142353">
      <w:pPr>
        <w:pStyle w:val="SmallLineBlue"/>
        <w:pBdr>
          <w:bottom w:val="none" w:sz="0" w:space="0" w:color="auto"/>
        </w:pBdr>
      </w:pPr>
    </w:p>
    <w:p w:rsidR="00142353" w:rsidRPr="00D96B14" w:rsidRDefault="00142353" w:rsidP="00142353">
      <w:pPr>
        <w:pStyle w:val="CommentaryHeading3"/>
        <w:pBdr>
          <w:bottom w:val="none" w:sz="0" w:space="0" w:color="auto"/>
        </w:pBdr>
        <w:spacing w:after="120"/>
        <w:rPr>
          <w:noProof w:val="0"/>
        </w:rPr>
      </w:pPr>
      <w:r w:rsidRPr="00D96B14">
        <w:rPr>
          <w:b w:val="0"/>
          <w:bCs w:val="0"/>
        </w:rPr>
        <w:t>Legislative and documented references</w:t>
      </w:r>
    </w:p>
    <w:p w:rsidR="00142353" w:rsidRPr="00D96B14" w:rsidRDefault="00142353" w:rsidP="00142353">
      <w:pPr>
        <w:pStyle w:val="CommentaryText"/>
        <w:pBdr>
          <w:top w:val="none" w:sz="0" w:space="0" w:color="auto"/>
          <w:bottom w:val="none" w:sz="0" w:space="0" w:color="auto"/>
        </w:pBdr>
        <w:spacing w:after="120"/>
        <w:rPr>
          <w:noProof w:val="0"/>
        </w:rPr>
      </w:pPr>
      <w:r w:rsidRPr="00D96B14">
        <w:rPr>
          <w:b/>
          <w:bCs/>
          <w:noProof w:val="0"/>
        </w:rPr>
        <w:t xml:space="preserve">FRD 8D </w:t>
      </w:r>
      <w:hyperlink r:id="rId63" w:tgtFrame="_top" w:tooltip="FRD 8B Consistency of budget and departmental reporting" w:history="1">
        <w:r w:rsidRPr="00D96B14">
          <w:rPr>
            <w:i/>
            <w:noProof w:val="0"/>
          </w:rPr>
          <w:t xml:space="preserve">Consistency of Budget and Departmental Reporting </w:t>
        </w:r>
      </w:hyperlink>
      <w:r w:rsidRPr="00D96B14">
        <w:rPr>
          <w:noProof w:val="0"/>
        </w:rPr>
        <w:t xml:space="preserve">states that departments </w:t>
      </w:r>
      <w:r w:rsidRPr="00D96B14">
        <w:rPr>
          <w:b/>
          <w:noProof w:val="0"/>
        </w:rPr>
        <w:t>must</w:t>
      </w:r>
      <w:r w:rsidRPr="00D96B14">
        <w:rPr>
          <w:noProof w:val="0"/>
        </w:rPr>
        <w:t xml:space="preserve"> include in their annual report, but not forming part of the audited complete set of financial statements, a comparison between their </w:t>
      </w:r>
      <w:r w:rsidRPr="00D96B14">
        <w:rPr>
          <w:b/>
          <w:noProof w:val="0"/>
        </w:rPr>
        <w:t>initial budget estimates as presented in the portfolio financial statements published in BP5</w:t>
      </w:r>
      <w:r w:rsidRPr="00D96B14">
        <w:rPr>
          <w:noProof w:val="0"/>
        </w:rPr>
        <w:t xml:space="preserve"> and actual results for the portfolio for the corresponding financial year. The accountability cycle for departments commences with the publication of budget portfolio financial statements in the annual budget papers and ends with the publication of actual results in departmental annual reports. </w:t>
      </w:r>
    </w:p>
    <w:p w:rsidR="00142353" w:rsidRPr="00D96B14" w:rsidRDefault="00142353" w:rsidP="00142353">
      <w:pPr>
        <w:pStyle w:val="CommentaryText"/>
        <w:pBdr>
          <w:top w:val="none" w:sz="0" w:space="0" w:color="auto"/>
        </w:pBdr>
        <w:rPr>
          <w:noProof w:val="0"/>
        </w:rPr>
      </w:pPr>
      <w:r w:rsidRPr="00D96B14">
        <w:rPr>
          <w:noProof w:val="0"/>
        </w:rPr>
        <w:t>The comparison between portfolio</w:t>
      </w:r>
      <w:r w:rsidRPr="00D96B14">
        <w:rPr>
          <w:b/>
          <w:noProof w:val="0"/>
        </w:rPr>
        <w:t xml:space="preserve"> budget</w:t>
      </w:r>
      <w:r w:rsidRPr="00D96B14">
        <w:rPr>
          <w:noProof w:val="0"/>
        </w:rPr>
        <w:t xml:space="preserve"> and actual figures must be presented as a set of financial statements in the same format and consolidation basis as those for the portfolio set out in </w:t>
      </w:r>
      <w:r w:rsidRPr="00D96B14">
        <w:rPr>
          <w:b/>
          <w:noProof w:val="0"/>
        </w:rPr>
        <w:t>BP5</w:t>
      </w:r>
      <w:r w:rsidRPr="00D96B14">
        <w:rPr>
          <w:noProof w:val="0"/>
        </w:rPr>
        <w:t xml:space="preserve"> </w:t>
      </w:r>
      <w:r w:rsidRPr="00D96B14">
        <w:rPr>
          <w:b/>
          <w:noProof w:val="0"/>
        </w:rPr>
        <w:t>for that financial year.</w:t>
      </w:r>
      <w:r w:rsidRPr="00D96B14">
        <w:rPr>
          <w:noProof w:val="0"/>
        </w:rPr>
        <w:t xml:space="preserve"> These financial statements are to be referred to as </w:t>
      </w:r>
      <w:r w:rsidRPr="00D96B14">
        <w:rPr>
          <w:iCs/>
          <w:noProof w:val="0"/>
        </w:rPr>
        <w:t>budget portfolio outcomes</w:t>
      </w:r>
      <w:r w:rsidRPr="00D96B14">
        <w:rPr>
          <w:i/>
          <w:iCs/>
          <w:noProof w:val="0"/>
        </w:rPr>
        <w:t xml:space="preserve">. </w:t>
      </w:r>
      <w:r w:rsidRPr="00D96B14">
        <w:rPr>
          <w:noProof w:val="0"/>
        </w:rPr>
        <w:t>Departments must classify all entities, financial transactions and balances (income, expenses, assets, liabilities and equity) into either the departmental (controlled) or administered category as agreed with the Treasurer in the context of the financial statements published in BP5.</w:t>
      </w:r>
    </w:p>
    <w:p w:rsidR="00142353" w:rsidRPr="00D96B14" w:rsidRDefault="00142353" w:rsidP="00142353"/>
    <w:p w:rsidR="00142353" w:rsidRPr="00D96B14" w:rsidRDefault="00142353" w:rsidP="00142353">
      <w:r w:rsidRPr="00D96B14">
        <w:br w:type="page"/>
      </w: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CommentaryText"/>
        <w:pBdr>
          <w:top w:val="none" w:sz="0" w:space="0" w:color="auto"/>
          <w:left w:val="none" w:sz="0" w:space="0" w:color="auto"/>
          <w:bottom w:val="none" w:sz="0" w:space="0" w:color="auto"/>
          <w:right w:val="none" w:sz="0" w:space="0" w:color="auto"/>
        </w:pBdr>
        <w:rPr>
          <w:rFonts w:ascii="Calibri" w:hAnsi="Calibri" w:cs="Arial Narrow"/>
          <w:noProof w:val="0"/>
          <w:sz w:val="16"/>
          <w:szCs w:val="16"/>
          <w:lang w:val="en-GB"/>
        </w:rPr>
      </w:pPr>
    </w:p>
    <w:p w:rsidR="00142353" w:rsidRPr="00D96B14" w:rsidRDefault="00142353" w:rsidP="00142353">
      <w:pPr>
        <w:pStyle w:val="CommentaryText"/>
        <w:pBdr>
          <w:top w:val="none" w:sz="0" w:space="0" w:color="auto"/>
          <w:left w:val="none" w:sz="0" w:space="0" w:color="auto"/>
          <w:bottom w:val="none" w:sz="0" w:space="0" w:color="auto"/>
          <w:right w:val="none" w:sz="0" w:space="0" w:color="auto"/>
        </w:pBdr>
        <w:rPr>
          <w:rFonts w:ascii="Calibri" w:hAnsi="Calibri" w:cs="Arial Narrow"/>
          <w:noProof w:val="0"/>
          <w:sz w:val="16"/>
          <w:szCs w:val="16"/>
          <w:lang w:val="en-GB"/>
        </w:rPr>
      </w:pPr>
    </w:p>
    <w:p w:rsidR="00142353" w:rsidRPr="00D96B14" w:rsidRDefault="00142353" w:rsidP="00142353">
      <w:pPr>
        <w:pStyle w:val="CommentaryText"/>
        <w:pBdr>
          <w:top w:val="none" w:sz="0" w:space="0" w:color="auto"/>
          <w:left w:val="none" w:sz="0" w:space="0" w:color="auto"/>
          <w:bottom w:val="none" w:sz="0" w:space="0" w:color="auto"/>
          <w:right w:val="none" w:sz="0" w:space="0" w:color="auto"/>
        </w:pBdr>
        <w:rPr>
          <w:rFonts w:ascii="Calibri" w:hAnsi="Calibri" w:cs="Arial Narrow"/>
          <w:noProof w:val="0"/>
          <w:sz w:val="16"/>
          <w:szCs w:val="16"/>
          <w:lang w:val="en-GB"/>
        </w:rPr>
      </w:pPr>
    </w:p>
    <w:p w:rsidR="00142353" w:rsidRPr="00D96B14" w:rsidRDefault="00142353" w:rsidP="00142353">
      <w:pPr>
        <w:pStyle w:val="CommentaryText"/>
        <w:pBdr>
          <w:top w:val="none" w:sz="0" w:space="0" w:color="auto"/>
          <w:left w:val="none" w:sz="0" w:space="0" w:color="auto"/>
          <w:bottom w:val="none" w:sz="0" w:space="0" w:color="auto"/>
          <w:right w:val="none" w:sz="0" w:space="0" w:color="auto"/>
        </w:pBdr>
        <w:rPr>
          <w:rFonts w:ascii="Calibri" w:hAnsi="Calibri" w:cs="Arial Narrow"/>
          <w:noProof w:val="0"/>
          <w:sz w:val="16"/>
          <w:szCs w:val="16"/>
          <w:lang w:val="en-GB"/>
        </w:rPr>
      </w:pPr>
    </w:p>
    <w:p w:rsidR="00142353" w:rsidRPr="00D96B14" w:rsidRDefault="00142353" w:rsidP="00142353">
      <w:pPr>
        <w:pStyle w:val="CommentaryText"/>
        <w:pBdr>
          <w:top w:val="none" w:sz="0" w:space="0" w:color="auto"/>
          <w:left w:val="none" w:sz="0" w:space="0" w:color="auto"/>
          <w:bottom w:val="none" w:sz="0" w:space="0" w:color="auto"/>
          <w:right w:val="none" w:sz="0" w:space="0" w:color="auto"/>
        </w:pBdr>
        <w:rPr>
          <w:rFonts w:ascii="Calibri" w:hAnsi="Calibri" w:cs="Arial Narrow"/>
          <w:noProof w:val="0"/>
          <w:sz w:val="16"/>
          <w:szCs w:val="16"/>
          <w:lang w:val="en-GB"/>
        </w:rPr>
      </w:pPr>
    </w:p>
    <w:p w:rsidR="00142353" w:rsidRPr="00D96B14" w:rsidRDefault="00142353" w:rsidP="00142353">
      <w:pPr>
        <w:pStyle w:val="CommentaryText"/>
        <w:pBdr>
          <w:top w:val="none" w:sz="0" w:space="0" w:color="auto"/>
          <w:left w:val="none" w:sz="0" w:space="0" w:color="auto"/>
          <w:bottom w:val="none" w:sz="0" w:space="0" w:color="auto"/>
          <w:right w:val="none" w:sz="0" w:space="0" w:color="auto"/>
        </w:pBdr>
        <w:rPr>
          <w:rFonts w:ascii="Calibri" w:hAnsi="Calibri" w:cs="Arial Narrow"/>
          <w:noProof w:val="0"/>
          <w:sz w:val="16"/>
          <w:szCs w:val="16"/>
          <w:lang w:val="en-GB"/>
        </w:rPr>
      </w:pPr>
    </w:p>
    <w:p w:rsidR="00142353" w:rsidRPr="00D96B14" w:rsidRDefault="00142353" w:rsidP="00142353">
      <w:pPr>
        <w:pStyle w:val="CommentaryText"/>
        <w:pBdr>
          <w:top w:val="none" w:sz="0" w:space="0" w:color="auto"/>
          <w:left w:val="none" w:sz="0" w:space="0" w:color="auto"/>
          <w:bottom w:val="none" w:sz="0" w:space="0" w:color="auto"/>
          <w:right w:val="none" w:sz="0" w:space="0" w:color="auto"/>
        </w:pBdr>
        <w:spacing w:before="0"/>
        <w:rPr>
          <w:rFonts w:ascii="Calibri" w:hAnsi="Calibri" w:cs="Arial Narrow"/>
          <w:noProof w:val="0"/>
          <w:sz w:val="16"/>
          <w:szCs w:val="16"/>
          <w:lang w:val="en-GB"/>
        </w:rPr>
      </w:pPr>
      <w:r w:rsidRPr="00D96B14">
        <w:rPr>
          <w:rFonts w:ascii="Calibri" w:hAnsi="Calibri" w:cs="Arial Narrow"/>
          <w:noProof w:val="0"/>
          <w:sz w:val="16"/>
          <w:szCs w:val="16"/>
          <w:lang w:val="en-GB"/>
        </w:rPr>
        <w:t>Recommendation 10, PAEC Report</w:t>
      </w:r>
      <w:r w:rsidRPr="00D96B14" w:rsidDel="006A1071">
        <w:rPr>
          <w:rFonts w:ascii="Calibri" w:hAnsi="Calibri" w:cs="Arial Narrow"/>
          <w:noProof w:val="0"/>
          <w:sz w:val="16"/>
          <w:szCs w:val="16"/>
          <w:lang w:val="en-GB"/>
        </w:rPr>
        <w:t xml:space="preserve"> </w:t>
      </w:r>
      <w:r w:rsidRPr="00D96B14">
        <w:rPr>
          <w:rFonts w:ascii="Calibri" w:hAnsi="Calibri" w:cs="Arial Narrow"/>
          <w:noProof w:val="0"/>
          <w:sz w:val="16"/>
          <w:szCs w:val="16"/>
          <w:lang w:val="en-GB"/>
        </w:rPr>
        <w:t>109</w:t>
      </w: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r w:rsidRPr="00D96B14">
        <w:br w:type="column"/>
      </w:r>
    </w:p>
    <w:p w:rsidR="00142353" w:rsidRPr="00D96B14" w:rsidRDefault="00142353" w:rsidP="00142353">
      <w:pPr>
        <w:pStyle w:val="CommentaryHeading"/>
        <w:pBdr>
          <w:bottom w:val="none" w:sz="0" w:space="0" w:color="auto"/>
        </w:pBdr>
        <w:rPr>
          <w:i/>
          <w:iCs/>
        </w:rPr>
      </w:pPr>
      <w:r w:rsidRPr="00D96B14">
        <w:t xml:space="preserve">Commentary – Budget portfolio outcomes </w:t>
      </w:r>
      <w:r w:rsidRPr="00D96B14">
        <w:rPr>
          <w:i/>
          <w:iCs/>
        </w:rPr>
        <w:t>(continued)</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bottom w:val="none" w:sz="0" w:space="0" w:color="auto"/>
        </w:pBdr>
      </w:pPr>
      <w:r w:rsidRPr="00D96B14">
        <w:t>Guidance</w:t>
      </w:r>
    </w:p>
    <w:p w:rsidR="00142353" w:rsidRPr="00D96B14" w:rsidRDefault="00142353" w:rsidP="00142353">
      <w:pPr>
        <w:pStyle w:val="CommentaryText"/>
        <w:pBdr>
          <w:top w:val="none" w:sz="0" w:space="0" w:color="auto"/>
          <w:bottom w:val="none" w:sz="0" w:space="0" w:color="auto"/>
        </w:pBdr>
      </w:pPr>
      <w:r w:rsidRPr="00D96B14">
        <w:t xml:space="preserve">The comparison between portfolio budget and actual figures must be presented as a set of financial statements in the same format and consolidation basis as those for the portfolio, set out in </w:t>
      </w:r>
      <w:r w:rsidRPr="00D96B14">
        <w:rPr>
          <w:b/>
        </w:rPr>
        <w:t>BP5</w:t>
      </w:r>
      <w:r w:rsidRPr="00D96B14">
        <w:t xml:space="preserve"> </w:t>
      </w:r>
      <w:r w:rsidRPr="00D96B14">
        <w:rPr>
          <w:b/>
        </w:rPr>
        <w:t xml:space="preserve">for that financial year </w:t>
      </w:r>
      <w:r w:rsidRPr="00D96B14">
        <w:t xml:space="preserve">(i.e. those figures and format used in </w:t>
      </w:r>
      <w:r w:rsidRPr="00D96B14">
        <w:rPr>
          <w:b/>
        </w:rPr>
        <w:t>BP5</w:t>
      </w:r>
      <w:r w:rsidRPr="00D96B14">
        <w:t>). The section should include an introduction explaining the statements and their relationship to the budget papers. The introduction should also state that the statements are not subject to audit by the Victorian Auditor</w:t>
      </w:r>
      <w:r w:rsidR="005A4BB0">
        <w:noBreakHyphen/>
      </w:r>
      <w:r w:rsidRPr="00D96B14">
        <w:t>General</w:t>
      </w:r>
      <w:r w:rsidR="005A4BB0">
        <w:t>’</w:t>
      </w:r>
      <w:r w:rsidRPr="00D96B14">
        <w:t>s Office.</w:t>
      </w:r>
    </w:p>
    <w:p w:rsidR="00142353" w:rsidRPr="00D96B14" w:rsidRDefault="00142353" w:rsidP="00142353">
      <w:pPr>
        <w:pStyle w:val="CommentaryText"/>
        <w:pBdr>
          <w:top w:val="none" w:sz="0" w:space="0" w:color="auto"/>
          <w:bottom w:val="none" w:sz="0" w:space="0" w:color="auto"/>
        </w:pBdr>
        <w:spacing w:after="120"/>
      </w:pPr>
      <w:r w:rsidRPr="00D96B14">
        <w:t>From time to time, the layouts and titles of the financial statements may change in accordance with the AAS requirements. Care should be taken to ensure that the presentation of the budget portfolio outcomes in the annual report reflects the title and layout of the financial statements from the corresponding BP5, with additional commentary and footnotes where appropriate.</w:t>
      </w:r>
    </w:p>
    <w:p w:rsidR="00142353" w:rsidRPr="00D96B14" w:rsidRDefault="00142353" w:rsidP="00142353">
      <w:pPr>
        <w:pStyle w:val="CommentaryHeading2"/>
      </w:pPr>
      <w:r w:rsidRPr="00D96B14">
        <w:rPr>
          <w:rStyle w:val="CommentaryHeading2Char"/>
          <w:b/>
          <w:bCs/>
          <w:i/>
        </w:rPr>
        <w:t>Significant or material variances in budget portfolio outcomes reporting</w:t>
      </w:r>
    </w:p>
    <w:p w:rsidR="00142353" w:rsidRPr="00D96B14" w:rsidRDefault="00142353" w:rsidP="00142353">
      <w:pPr>
        <w:pStyle w:val="CommentaryText"/>
        <w:pBdr>
          <w:top w:val="none" w:sz="0" w:space="0" w:color="auto"/>
        </w:pBdr>
      </w:pPr>
      <w:r w:rsidRPr="00D96B14">
        <w:t xml:space="preserve">Disclosure is required for any significant or material variances between the </w:t>
      </w:r>
      <w:r w:rsidRPr="00D96B14">
        <w:rPr>
          <w:b/>
        </w:rPr>
        <w:t>initial budget estimates</w:t>
      </w:r>
      <w:r w:rsidRPr="00D96B14">
        <w:t xml:space="preserve"> presented in the portfolio financial statements published in BP5 and the actual results of the portfolio for the corresponding financial year. In particular, the entity shall explain the reasons why the variance occurred. </w:t>
      </w:r>
    </w:p>
    <w:p w:rsidR="00142353" w:rsidRPr="00D96B14" w:rsidRDefault="00142353" w:rsidP="00142353"/>
    <w:p w:rsidR="00142353" w:rsidRPr="00D96B14" w:rsidRDefault="00142353" w:rsidP="00142353">
      <w:pPr>
        <w:tabs>
          <w:tab w:val="left" w:pos="0"/>
        </w:tabs>
        <w:rPr>
          <w:color w:val="0000FF"/>
        </w:rPr>
        <w:sectPr w:rsidR="00142353" w:rsidRPr="00D96B14" w:rsidSect="00190A01">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Reference"/>
        <w:spacing w:before="240"/>
        <w:rPr>
          <w:lang w:val="en-AU"/>
        </w:rPr>
      </w:pPr>
      <w:r w:rsidRPr="00D96B14">
        <w:rPr>
          <w:lang w:val="en-AU"/>
        </w:rPr>
        <w:lastRenderedPageBreak/>
        <w:t>FRD 22G</w:t>
      </w:r>
    </w:p>
    <w:p w:rsidR="00142353" w:rsidRPr="00D96B14" w:rsidRDefault="00142353" w:rsidP="00142353">
      <w:pPr>
        <w:pStyle w:val="Heading2"/>
      </w:pPr>
      <w:r w:rsidRPr="00D96B14">
        <w:br w:type="column"/>
      </w:r>
      <w:r w:rsidRPr="00D96B14">
        <w:lastRenderedPageBreak/>
        <w:t>Departmental five year financial summary</w:t>
      </w:r>
    </w:p>
    <w:p w:rsidR="00142353" w:rsidRPr="00D96B14" w:rsidRDefault="00142353" w:rsidP="00142353">
      <w:pPr>
        <w:pStyle w:val="million"/>
        <w:rPr>
          <w:sz w:val="20"/>
          <w:szCs w:val="20"/>
        </w:rPr>
      </w:pPr>
      <w:r w:rsidRPr="00D96B14">
        <w:t>($ thousand)</w:t>
      </w:r>
    </w:p>
    <w:tbl>
      <w:tblPr>
        <w:tblW w:w="8155" w:type="dxa"/>
        <w:tblLayout w:type="fixed"/>
        <w:tblCellMar>
          <w:left w:w="43" w:type="dxa"/>
          <w:right w:w="43" w:type="dxa"/>
        </w:tblCellMar>
        <w:tblLook w:val="0000" w:firstRow="0" w:lastRow="0" w:firstColumn="0" w:lastColumn="0" w:noHBand="0" w:noVBand="0"/>
      </w:tblPr>
      <w:tblGrid>
        <w:gridCol w:w="3193"/>
        <w:gridCol w:w="851"/>
        <w:gridCol w:w="992"/>
        <w:gridCol w:w="992"/>
        <w:gridCol w:w="993"/>
        <w:gridCol w:w="1134"/>
      </w:tblGrid>
      <w:tr w:rsidR="00142353" w:rsidRPr="00D96B14" w:rsidTr="004843DB">
        <w:trPr>
          <w:trHeight w:val="247"/>
        </w:trPr>
        <w:tc>
          <w:tcPr>
            <w:tcW w:w="3193" w:type="dxa"/>
            <w:tcBorders>
              <w:top w:val="single" w:sz="6" w:space="0" w:color="auto"/>
              <w:left w:val="nil"/>
              <w:bottom w:val="single" w:sz="6" w:space="0" w:color="auto"/>
              <w:right w:val="nil"/>
            </w:tcBorders>
          </w:tcPr>
          <w:p w:rsidR="00142353" w:rsidRPr="00D96B14" w:rsidRDefault="00142353" w:rsidP="004843DB">
            <w:pPr>
              <w:pStyle w:val="Tabletext"/>
              <w:rPr>
                <w:b/>
              </w:rPr>
            </w:pPr>
            <w:r w:rsidRPr="00D96B14">
              <w:rPr>
                <w:b/>
              </w:rPr>
              <w:t>Five year financial summary</w:t>
            </w:r>
          </w:p>
        </w:tc>
        <w:tc>
          <w:tcPr>
            <w:tcW w:w="851" w:type="dxa"/>
            <w:tcBorders>
              <w:top w:val="single" w:sz="6" w:space="0" w:color="auto"/>
              <w:left w:val="nil"/>
              <w:bottom w:val="single" w:sz="6" w:space="0" w:color="auto"/>
              <w:right w:val="nil"/>
            </w:tcBorders>
            <w:shd w:val="clear" w:color="auto" w:fill="D9D9D9"/>
          </w:tcPr>
          <w:p w:rsidR="00142353" w:rsidRPr="00D96B14" w:rsidRDefault="00142353" w:rsidP="004843DB">
            <w:pPr>
              <w:pStyle w:val="Tabletextheading"/>
            </w:pPr>
            <w:r w:rsidRPr="00D96B14">
              <w:t>2016</w:t>
            </w:r>
          </w:p>
        </w:tc>
        <w:tc>
          <w:tcPr>
            <w:tcW w:w="992" w:type="dxa"/>
            <w:tcBorders>
              <w:top w:val="single" w:sz="6" w:space="0" w:color="auto"/>
              <w:left w:val="nil"/>
              <w:bottom w:val="single" w:sz="6" w:space="0" w:color="auto"/>
              <w:right w:val="nil"/>
            </w:tcBorders>
          </w:tcPr>
          <w:p w:rsidR="00142353" w:rsidRPr="00D96B14" w:rsidRDefault="00142353" w:rsidP="004843DB">
            <w:pPr>
              <w:pStyle w:val="Tabletextheading"/>
            </w:pPr>
            <w:r w:rsidRPr="00D96B14">
              <w:t>2015</w:t>
            </w:r>
          </w:p>
        </w:tc>
        <w:tc>
          <w:tcPr>
            <w:tcW w:w="992" w:type="dxa"/>
            <w:tcBorders>
              <w:top w:val="single" w:sz="6" w:space="0" w:color="auto"/>
              <w:left w:val="nil"/>
              <w:bottom w:val="single" w:sz="6" w:space="0" w:color="auto"/>
              <w:right w:val="nil"/>
            </w:tcBorders>
          </w:tcPr>
          <w:p w:rsidR="00142353" w:rsidRPr="00D96B14" w:rsidRDefault="00142353" w:rsidP="004843DB">
            <w:pPr>
              <w:pStyle w:val="Tabletextheading"/>
            </w:pPr>
            <w:r w:rsidRPr="00D96B14">
              <w:t>2012</w:t>
            </w:r>
          </w:p>
        </w:tc>
        <w:tc>
          <w:tcPr>
            <w:tcW w:w="993" w:type="dxa"/>
            <w:tcBorders>
              <w:top w:val="single" w:sz="6" w:space="0" w:color="auto"/>
              <w:left w:val="nil"/>
              <w:bottom w:val="single" w:sz="6" w:space="0" w:color="auto"/>
              <w:right w:val="nil"/>
            </w:tcBorders>
          </w:tcPr>
          <w:p w:rsidR="00142353" w:rsidRPr="00D96B14" w:rsidRDefault="00142353" w:rsidP="004843DB">
            <w:pPr>
              <w:pStyle w:val="Tabletextheading"/>
              <w:rPr>
                <w:color w:val="000000"/>
              </w:rPr>
            </w:pPr>
            <w:r w:rsidRPr="00D96B14">
              <w:rPr>
                <w:color w:val="000000"/>
              </w:rPr>
              <w:t>2013</w:t>
            </w:r>
          </w:p>
        </w:tc>
        <w:tc>
          <w:tcPr>
            <w:tcW w:w="1134" w:type="dxa"/>
            <w:tcBorders>
              <w:top w:val="single" w:sz="6" w:space="0" w:color="auto"/>
              <w:left w:val="nil"/>
              <w:bottom w:val="single" w:sz="6" w:space="0" w:color="auto"/>
              <w:right w:val="nil"/>
            </w:tcBorders>
          </w:tcPr>
          <w:p w:rsidR="00142353" w:rsidRPr="00D96B14" w:rsidRDefault="00142353" w:rsidP="004843DB">
            <w:pPr>
              <w:pStyle w:val="Tabletextheading"/>
              <w:rPr>
                <w:color w:val="000000"/>
              </w:rPr>
            </w:pPr>
            <w:r w:rsidRPr="00D96B14">
              <w:rPr>
                <w:color w:val="000000"/>
              </w:rPr>
              <w:t>2012</w:t>
            </w:r>
          </w:p>
        </w:tc>
      </w:tr>
      <w:tr w:rsidR="00142353" w:rsidRPr="00D96B14" w:rsidTr="004843DB">
        <w:trPr>
          <w:trHeight w:val="247"/>
        </w:trPr>
        <w:tc>
          <w:tcPr>
            <w:tcW w:w="3193" w:type="dxa"/>
            <w:tcBorders>
              <w:top w:val="nil"/>
              <w:left w:val="nil"/>
              <w:bottom w:val="nil"/>
              <w:right w:val="nil"/>
            </w:tcBorders>
          </w:tcPr>
          <w:p w:rsidR="00142353" w:rsidRPr="00D96B14" w:rsidRDefault="00142353" w:rsidP="004843DB">
            <w:pPr>
              <w:pStyle w:val="Tabletext"/>
            </w:pPr>
            <w:r w:rsidRPr="00D96B14">
              <w:t xml:space="preserve">Income from government </w:t>
            </w:r>
            <w:r w:rsidRPr="00D96B14">
              <w:rPr>
                <w:vertAlign w:val="superscript"/>
              </w:rPr>
              <w:t>(i)</w:t>
            </w:r>
          </w:p>
        </w:tc>
        <w:tc>
          <w:tcPr>
            <w:tcW w:w="851" w:type="dxa"/>
            <w:tcBorders>
              <w:top w:val="nil"/>
              <w:left w:val="nil"/>
              <w:bottom w:val="nil"/>
              <w:right w:val="nil"/>
            </w:tcBorders>
            <w:shd w:val="clear" w:color="auto" w:fill="D9D9D9"/>
          </w:tcPr>
          <w:p w:rsidR="00142353" w:rsidRPr="00D96B14" w:rsidRDefault="00142353" w:rsidP="004843DB">
            <w:pPr>
              <w:pStyle w:val="TableofFigures"/>
            </w:pPr>
            <w:r w:rsidRPr="00D96B14">
              <w:t>93 663</w:t>
            </w:r>
          </w:p>
        </w:tc>
        <w:tc>
          <w:tcPr>
            <w:tcW w:w="992" w:type="dxa"/>
            <w:tcBorders>
              <w:top w:val="nil"/>
              <w:left w:val="nil"/>
              <w:bottom w:val="nil"/>
              <w:right w:val="nil"/>
            </w:tcBorders>
          </w:tcPr>
          <w:p w:rsidR="00142353" w:rsidRPr="00D96B14" w:rsidRDefault="00142353" w:rsidP="004843DB">
            <w:pPr>
              <w:pStyle w:val="TableofFigures"/>
            </w:pPr>
            <w:r w:rsidRPr="00D96B14">
              <w:t>75 078</w:t>
            </w:r>
          </w:p>
        </w:tc>
        <w:tc>
          <w:tcPr>
            <w:tcW w:w="992" w:type="dxa"/>
            <w:tcBorders>
              <w:top w:val="nil"/>
              <w:left w:val="nil"/>
              <w:bottom w:val="nil"/>
              <w:right w:val="nil"/>
            </w:tcBorders>
          </w:tcPr>
          <w:p w:rsidR="00142353" w:rsidRPr="00D96B14" w:rsidRDefault="00142353" w:rsidP="004843DB">
            <w:pPr>
              <w:pStyle w:val="TableofFigures"/>
            </w:pPr>
            <w:r w:rsidRPr="00D96B14">
              <w:t>110 490</w:t>
            </w:r>
          </w:p>
        </w:tc>
        <w:tc>
          <w:tcPr>
            <w:tcW w:w="993"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101 311</w:t>
            </w:r>
          </w:p>
        </w:tc>
        <w:tc>
          <w:tcPr>
            <w:tcW w:w="1134"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100 460</w:t>
            </w:r>
          </w:p>
        </w:tc>
      </w:tr>
      <w:tr w:rsidR="00142353" w:rsidRPr="00D96B14" w:rsidTr="004843DB">
        <w:trPr>
          <w:trHeight w:val="247"/>
        </w:trPr>
        <w:tc>
          <w:tcPr>
            <w:tcW w:w="3193" w:type="dxa"/>
            <w:tcBorders>
              <w:top w:val="nil"/>
              <w:left w:val="nil"/>
              <w:bottom w:val="nil"/>
              <w:right w:val="nil"/>
            </w:tcBorders>
          </w:tcPr>
          <w:p w:rsidR="00142353" w:rsidRPr="00D96B14" w:rsidRDefault="00142353" w:rsidP="004843DB">
            <w:pPr>
              <w:pStyle w:val="Tabletext"/>
            </w:pPr>
            <w:r w:rsidRPr="00D96B14">
              <w:t>Total income from transactions</w:t>
            </w:r>
          </w:p>
        </w:tc>
        <w:tc>
          <w:tcPr>
            <w:tcW w:w="851" w:type="dxa"/>
            <w:tcBorders>
              <w:top w:val="nil"/>
              <w:left w:val="nil"/>
              <w:bottom w:val="nil"/>
              <w:right w:val="nil"/>
            </w:tcBorders>
            <w:shd w:val="clear" w:color="auto" w:fill="D9D9D9"/>
          </w:tcPr>
          <w:p w:rsidR="00142353" w:rsidRPr="00D96B14" w:rsidRDefault="00142353" w:rsidP="004843DB">
            <w:pPr>
              <w:pStyle w:val="TableofFigures"/>
            </w:pPr>
            <w:r w:rsidRPr="00D96B14">
              <w:t>107 474</w:t>
            </w:r>
          </w:p>
        </w:tc>
        <w:tc>
          <w:tcPr>
            <w:tcW w:w="992" w:type="dxa"/>
            <w:tcBorders>
              <w:top w:val="nil"/>
              <w:left w:val="nil"/>
              <w:bottom w:val="nil"/>
              <w:right w:val="nil"/>
            </w:tcBorders>
          </w:tcPr>
          <w:p w:rsidR="00142353" w:rsidRPr="00D96B14" w:rsidRDefault="00142353" w:rsidP="004843DB">
            <w:pPr>
              <w:pStyle w:val="TableofFigures"/>
            </w:pPr>
            <w:r w:rsidRPr="00D96B14">
              <w:t>86 260</w:t>
            </w:r>
          </w:p>
        </w:tc>
        <w:tc>
          <w:tcPr>
            <w:tcW w:w="992" w:type="dxa"/>
            <w:tcBorders>
              <w:top w:val="nil"/>
              <w:left w:val="nil"/>
              <w:bottom w:val="nil"/>
              <w:right w:val="nil"/>
            </w:tcBorders>
          </w:tcPr>
          <w:p w:rsidR="00142353" w:rsidRPr="00D96B14" w:rsidRDefault="00142353" w:rsidP="004843DB">
            <w:pPr>
              <w:pStyle w:val="TableofFigures"/>
            </w:pPr>
            <w:r w:rsidRPr="00D96B14">
              <w:t>112 500</w:t>
            </w:r>
          </w:p>
        </w:tc>
        <w:tc>
          <w:tcPr>
            <w:tcW w:w="993"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106 263</w:t>
            </w:r>
          </w:p>
        </w:tc>
        <w:tc>
          <w:tcPr>
            <w:tcW w:w="1134"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104 669</w:t>
            </w:r>
          </w:p>
        </w:tc>
      </w:tr>
      <w:tr w:rsidR="00142353" w:rsidRPr="00D96B14" w:rsidTr="004843DB">
        <w:trPr>
          <w:trHeight w:val="247"/>
        </w:trPr>
        <w:tc>
          <w:tcPr>
            <w:tcW w:w="3193" w:type="dxa"/>
            <w:tcBorders>
              <w:top w:val="nil"/>
              <w:left w:val="nil"/>
              <w:bottom w:val="nil"/>
              <w:right w:val="nil"/>
            </w:tcBorders>
          </w:tcPr>
          <w:p w:rsidR="00142353" w:rsidRPr="00D96B14" w:rsidRDefault="00142353" w:rsidP="004843DB">
            <w:pPr>
              <w:pStyle w:val="Tabletext"/>
            </w:pPr>
            <w:r w:rsidRPr="00D96B14">
              <w:t>Total expenses from transactions</w:t>
            </w:r>
          </w:p>
        </w:tc>
        <w:tc>
          <w:tcPr>
            <w:tcW w:w="851" w:type="dxa"/>
            <w:tcBorders>
              <w:top w:val="nil"/>
              <w:left w:val="nil"/>
              <w:bottom w:val="nil"/>
              <w:right w:val="nil"/>
            </w:tcBorders>
            <w:shd w:val="clear" w:color="auto" w:fill="D9D9D9"/>
          </w:tcPr>
          <w:p w:rsidR="00142353" w:rsidRPr="00D96B14" w:rsidRDefault="00142353" w:rsidP="004843DB">
            <w:pPr>
              <w:pStyle w:val="TableofFigures"/>
            </w:pPr>
            <w:r w:rsidRPr="00D96B14">
              <w:t>(81 252)</w:t>
            </w:r>
          </w:p>
        </w:tc>
        <w:tc>
          <w:tcPr>
            <w:tcW w:w="992" w:type="dxa"/>
            <w:tcBorders>
              <w:top w:val="nil"/>
              <w:left w:val="nil"/>
              <w:bottom w:val="nil"/>
              <w:right w:val="nil"/>
            </w:tcBorders>
          </w:tcPr>
          <w:p w:rsidR="00142353" w:rsidRPr="00D96B14" w:rsidRDefault="00142353" w:rsidP="004843DB">
            <w:pPr>
              <w:pStyle w:val="TableofFigures"/>
            </w:pPr>
            <w:r w:rsidRPr="00D96B14">
              <w:t>(77 421)</w:t>
            </w:r>
          </w:p>
        </w:tc>
        <w:tc>
          <w:tcPr>
            <w:tcW w:w="992" w:type="dxa"/>
            <w:tcBorders>
              <w:top w:val="nil"/>
              <w:left w:val="nil"/>
              <w:bottom w:val="nil"/>
              <w:right w:val="nil"/>
            </w:tcBorders>
          </w:tcPr>
          <w:p w:rsidR="00142353" w:rsidRPr="00D96B14" w:rsidRDefault="00142353" w:rsidP="004843DB">
            <w:pPr>
              <w:pStyle w:val="TableofFigures"/>
            </w:pPr>
            <w:r w:rsidRPr="00D96B14">
              <w:t>(110 000)</w:t>
            </w:r>
          </w:p>
        </w:tc>
        <w:tc>
          <w:tcPr>
            <w:tcW w:w="993"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(100 000)</w:t>
            </w:r>
          </w:p>
        </w:tc>
        <w:tc>
          <w:tcPr>
            <w:tcW w:w="1134"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(100 000)</w:t>
            </w:r>
          </w:p>
        </w:tc>
      </w:tr>
      <w:tr w:rsidR="00142353" w:rsidRPr="00D96B14" w:rsidTr="004843DB">
        <w:trPr>
          <w:trHeight w:val="247"/>
        </w:trPr>
        <w:tc>
          <w:tcPr>
            <w:tcW w:w="3193" w:type="dxa"/>
            <w:tcBorders>
              <w:top w:val="nil"/>
              <w:left w:val="nil"/>
              <w:bottom w:val="nil"/>
              <w:right w:val="nil"/>
            </w:tcBorders>
          </w:tcPr>
          <w:p w:rsidR="00142353" w:rsidRPr="00D96B14" w:rsidRDefault="00142353" w:rsidP="004843DB">
            <w:pPr>
              <w:pStyle w:val="Tabletext"/>
            </w:pPr>
            <w:r w:rsidRPr="00D96B14">
              <w:t xml:space="preserve">Net result from transactions </w:t>
            </w:r>
            <w:r w:rsidRPr="00D96B14">
              <w:rPr>
                <w:vertAlign w:val="superscript"/>
              </w:rPr>
              <w:t>(ii)</w:t>
            </w:r>
          </w:p>
        </w:tc>
        <w:tc>
          <w:tcPr>
            <w:tcW w:w="851" w:type="dxa"/>
            <w:tcBorders>
              <w:top w:val="nil"/>
              <w:left w:val="nil"/>
              <w:bottom w:val="nil"/>
              <w:right w:val="nil"/>
            </w:tcBorders>
            <w:shd w:val="clear" w:color="auto" w:fill="D9D9D9"/>
          </w:tcPr>
          <w:p w:rsidR="00142353" w:rsidRPr="00D96B14" w:rsidRDefault="00142353" w:rsidP="004843DB">
            <w:pPr>
              <w:pStyle w:val="TableofFigures"/>
            </w:pPr>
            <w:r w:rsidRPr="00D96B14">
              <w:t>26 222</w:t>
            </w:r>
          </w:p>
        </w:tc>
        <w:tc>
          <w:tcPr>
            <w:tcW w:w="992" w:type="dxa"/>
            <w:tcBorders>
              <w:top w:val="nil"/>
              <w:left w:val="nil"/>
              <w:bottom w:val="nil"/>
              <w:right w:val="nil"/>
            </w:tcBorders>
          </w:tcPr>
          <w:p w:rsidR="00142353" w:rsidRPr="00D96B14" w:rsidRDefault="00142353" w:rsidP="004843DB">
            <w:pPr>
              <w:pStyle w:val="TableofFigures"/>
            </w:pPr>
            <w:r w:rsidRPr="00D96B14">
              <w:t>8 839</w:t>
            </w:r>
          </w:p>
        </w:tc>
        <w:tc>
          <w:tcPr>
            <w:tcW w:w="992" w:type="dxa"/>
            <w:tcBorders>
              <w:top w:val="nil"/>
              <w:left w:val="nil"/>
              <w:bottom w:val="nil"/>
              <w:right w:val="nil"/>
            </w:tcBorders>
          </w:tcPr>
          <w:p w:rsidR="00142353" w:rsidRPr="00D96B14" w:rsidRDefault="00142353" w:rsidP="004843DB">
            <w:pPr>
              <w:pStyle w:val="TableofFigures"/>
            </w:pPr>
            <w:r w:rsidRPr="00D96B14">
              <w:t>2 500</w:t>
            </w:r>
          </w:p>
        </w:tc>
        <w:tc>
          <w:tcPr>
            <w:tcW w:w="993"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6 263</w:t>
            </w:r>
          </w:p>
        </w:tc>
        <w:tc>
          <w:tcPr>
            <w:tcW w:w="1134"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4 669</w:t>
            </w:r>
          </w:p>
        </w:tc>
      </w:tr>
      <w:tr w:rsidR="00142353" w:rsidRPr="00D96B14" w:rsidTr="004843DB">
        <w:trPr>
          <w:trHeight w:val="247"/>
        </w:trPr>
        <w:tc>
          <w:tcPr>
            <w:tcW w:w="3193" w:type="dxa"/>
            <w:tcBorders>
              <w:top w:val="nil"/>
              <w:left w:val="nil"/>
              <w:bottom w:val="nil"/>
              <w:right w:val="nil"/>
            </w:tcBorders>
          </w:tcPr>
          <w:p w:rsidR="00142353" w:rsidRPr="00D96B14" w:rsidRDefault="00142353" w:rsidP="004843DB">
            <w:pPr>
              <w:pStyle w:val="Tabletext"/>
            </w:pPr>
            <w:r w:rsidRPr="00D96B14">
              <w:t xml:space="preserve">Net result for the period </w:t>
            </w:r>
            <w:r w:rsidRPr="00D96B14">
              <w:rPr>
                <w:vertAlign w:val="superscript"/>
              </w:rPr>
              <w:t>(iii)</w:t>
            </w:r>
          </w:p>
        </w:tc>
        <w:tc>
          <w:tcPr>
            <w:tcW w:w="851" w:type="dxa"/>
            <w:tcBorders>
              <w:top w:val="nil"/>
              <w:left w:val="nil"/>
              <w:bottom w:val="nil"/>
              <w:right w:val="nil"/>
            </w:tcBorders>
            <w:shd w:val="clear" w:color="auto" w:fill="D9D9D9"/>
          </w:tcPr>
          <w:p w:rsidR="00142353" w:rsidRPr="00D96B14" w:rsidRDefault="00142353" w:rsidP="004843DB">
            <w:pPr>
              <w:pStyle w:val="TableofFigures"/>
            </w:pPr>
            <w:r w:rsidRPr="00D96B14">
              <w:t>14 790</w:t>
            </w:r>
          </w:p>
        </w:tc>
        <w:tc>
          <w:tcPr>
            <w:tcW w:w="992" w:type="dxa"/>
            <w:tcBorders>
              <w:top w:val="nil"/>
              <w:left w:val="nil"/>
              <w:bottom w:val="nil"/>
              <w:right w:val="nil"/>
            </w:tcBorders>
          </w:tcPr>
          <w:p w:rsidR="00142353" w:rsidRPr="00D96B14" w:rsidRDefault="00142353" w:rsidP="004843DB">
            <w:pPr>
              <w:pStyle w:val="TableofFigures"/>
            </w:pPr>
            <w:r w:rsidRPr="00D96B14">
              <w:t>9 879</w:t>
            </w:r>
          </w:p>
        </w:tc>
        <w:tc>
          <w:tcPr>
            <w:tcW w:w="992" w:type="dxa"/>
            <w:tcBorders>
              <w:top w:val="nil"/>
              <w:left w:val="nil"/>
              <w:bottom w:val="nil"/>
              <w:right w:val="nil"/>
            </w:tcBorders>
          </w:tcPr>
          <w:p w:rsidR="00142353" w:rsidRPr="00D96B14" w:rsidRDefault="00142353" w:rsidP="004843DB">
            <w:pPr>
              <w:pStyle w:val="TableofFigures"/>
            </w:pPr>
            <w:r w:rsidRPr="00D96B14">
              <w:t>3 369</w:t>
            </w:r>
          </w:p>
        </w:tc>
        <w:tc>
          <w:tcPr>
            <w:tcW w:w="993"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3 874</w:t>
            </w:r>
          </w:p>
        </w:tc>
        <w:tc>
          <w:tcPr>
            <w:tcW w:w="1134"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3 409</w:t>
            </w:r>
          </w:p>
        </w:tc>
      </w:tr>
      <w:tr w:rsidR="00142353" w:rsidRPr="00D96B14" w:rsidTr="004843DB">
        <w:trPr>
          <w:trHeight w:val="247"/>
        </w:trPr>
        <w:tc>
          <w:tcPr>
            <w:tcW w:w="3193" w:type="dxa"/>
            <w:tcBorders>
              <w:top w:val="nil"/>
              <w:left w:val="nil"/>
              <w:bottom w:val="nil"/>
              <w:right w:val="nil"/>
            </w:tcBorders>
          </w:tcPr>
          <w:p w:rsidR="00142353" w:rsidRPr="00D96B14" w:rsidRDefault="00142353" w:rsidP="004843DB">
            <w:pPr>
              <w:pStyle w:val="Tabletext"/>
            </w:pPr>
            <w:r w:rsidRPr="00D96B14">
              <w:t>Net cash flow from operating activities</w:t>
            </w:r>
          </w:p>
        </w:tc>
        <w:tc>
          <w:tcPr>
            <w:tcW w:w="851" w:type="dxa"/>
            <w:tcBorders>
              <w:top w:val="nil"/>
              <w:left w:val="nil"/>
              <w:bottom w:val="nil"/>
              <w:right w:val="nil"/>
            </w:tcBorders>
            <w:shd w:val="clear" w:color="auto" w:fill="D9D9D9"/>
          </w:tcPr>
          <w:p w:rsidR="00142353" w:rsidRPr="00D96B14" w:rsidRDefault="00142353" w:rsidP="004843DB">
            <w:pPr>
              <w:pStyle w:val="TableofFigures"/>
            </w:pPr>
            <w:r w:rsidRPr="00D96B14">
              <w:t>15 207</w:t>
            </w:r>
          </w:p>
        </w:tc>
        <w:tc>
          <w:tcPr>
            <w:tcW w:w="992" w:type="dxa"/>
            <w:tcBorders>
              <w:top w:val="nil"/>
              <w:left w:val="nil"/>
              <w:bottom w:val="nil"/>
              <w:right w:val="nil"/>
            </w:tcBorders>
          </w:tcPr>
          <w:p w:rsidR="00142353" w:rsidRPr="00D96B14" w:rsidRDefault="00142353" w:rsidP="004843DB">
            <w:pPr>
              <w:pStyle w:val="TableofFigures"/>
            </w:pPr>
            <w:r w:rsidRPr="00D96B14">
              <w:t>18 654</w:t>
            </w:r>
          </w:p>
        </w:tc>
        <w:tc>
          <w:tcPr>
            <w:tcW w:w="992" w:type="dxa"/>
            <w:tcBorders>
              <w:top w:val="nil"/>
              <w:left w:val="nil"/>
              <w:bottom w:val="nil"/>
              <w:right w:val="nil"/>
            </w:tcBorders>
          </w:tcPr>
          <w:p w:rsidR="00142353" w:rsidRPr="00D96B14" w:rsidRDefault="00142353" w:rsidP="004843DB">
            <w:pPr>
              <w:pStyle w:val="TableofFigures"/>
            </w:pPr>
            <w:r w:rsidRPr="00D96B14">
              <w:t>9 357</w:t>
            </w:r>
          </w:p>
        </w:tc>
        <w:tc>
          <w:tcPr>
            <w:tcW w:w="993"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9 712</w:t>
            </w:r>
          </w:p>
        </w:tc>
        <w:tc>
          <w:tcPr>
            <w:tcW w:w="1134"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9 386</w:t>
            </w:r>
          </w:p>
        </w:tc>
      </w:tr>
      <w:tr w:rsidR="00142353" w:rsidRPr="00D96B14" w:rsidTr="004843DB">
        <w:trPr>
          <w:trHeight w:val="247"/>
        </w:trPr>
        <w:tc>
          <w:tcPr>
            <w:tcW w:w="3193" w:type="dxa"/>
            <w:tcBorders>
              <w:top w:val="nil"/>
              <w:left w:val="nil"/>
              <w:bottom w:val="nil"/>
              <w:right w:val="nil"/>
            </w:tcBorders>
          </w:tcPr>
          <w:p w:rsidR="00142353" w:rsidRPr="00D96B14" w:rsidRDefault="00142353" w:rsidP="004843DB">
            <w:pPr>
              <w:pStyle w:val="Tabletext"/>
            </w:pPr>
            <w:r w:rsidRPr="00D96B14">
              <w:t>Total assets</w:t>
            </w:r>
          </w:p>
        </w:tc>
        <w:tc>
          <w:tcPr>
            <w:tcW w:w="851" w:type="dxa"/>
            <w:tcBorders>
              <w:top w:val="nil"/>
              <w:left w:val="nil"/>
              <w:bottom w:val="nil"/>
              <w:right w:val="nil"/>
            </w:tcBorders>
            <w:shd w:val="clear" w:color="auto" w:fill="D9D9D9"/>
          </w:tcPr>
          <w:p w:rsidR="00142353" w:rsidRPr="00D96B14" w:rsidRDefault="00142353" w:rsidP="004843DB">
            <w:pPr>
              <w:pStyle w:val="TableofFigures"/>
            </w:pPr>
            <w:r w:rsidRPr="00D96B14">
              <w:t>239 034</w:t>
            </w:r>
          </w:p>
        </w:tc>
        <w:tc>
          <w:tcPr>
            <w:tcW w:w="992" w:type="dxa"/>
            <w:tcBorders>
              <w:top w:val="nil"/>
              <w:left w:val="nil"/>
              <w:bottom w:val="nil"/>
              <w:right w:val="nil"/>
            </w:tcBorders>
          </w:tcPr>
          <w:p w:rsidR="00142353" w:rsidRPr="00D96B14" w:rsidRDefault="00142353" w:rsidP="004843DB">
            <w:pPr>
              <w:pStyle w:val="TableofFigures"/>
            </w:pPr>
            <w:r w:rsidRPr="00D96B14">
              <w:t>227 787</w:t>
            </w:r>
          </w:p>
        </w:tc>
        <w:tc>
          <w:tcPr>
            <w:tcW w:w="992" w:type="dxa"/>
            <w:tcBorders>
              <w:top w:val="nil"/>
              <w:left w:val="nil"/>
              <w:bottom w:val="nil"/>
              <w:right w:val="nil"/>
            </w:tcBorders>
          </w:tcPr>
          <w:p w:rsidR="00142353" w:rsidRPr="00D96B14" w:rsidRDefault="00142353" w:rsidP="004843DB">
            <w:pPr>
              <w:pStyle w:val="TableofFigures"/>
            </w:pPr>
            <w:r w:rsidRPr="00D96B14">
              <w:t>227 759</w:t>
            </w:r>
          </w:p>
        </w:tc>
        <w:tc>
          <w:tcPr>
            <w:tcW w:w="993"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228 314</w:t>
            </w:r>
          </w:p>
        </w:tc>
        <w:tc>
          <w:tcPr>
            <w:tcW w:w="1134" w:type="dxa"/>
            <w:tcBorders>
              <w:top w:val="nil"/>
              <w:left w:val="nil"/>
              <w:bottom w:val="nil"/>
              <w:right w:val="nil"/>
            </w:tcBorders>
          </w:tcPr>
          <w:p w:rsidR="00142353" w:rsidRPr="00D96B14" w:rsidRDefault="00142353" w:rsidP="004843DB">
            <w:pPr>
              <w:pStyle w:val="TableofFigures"/>
              <w:rPr>
                <w:color w:val="000000"/>
              </w:rPr>
            </w:pPr>
            <w:r w:rsidRPr="00D96B14">
              <w:rPr>
                <w:color w:val="000000"/>
              </w:rPr>
              <w:t>227 897</w:t>
            </w:r>
          </w:p>
        </w:tc>
      </w:tr>
      <w:tr w:rsidR="00142353" w:rsidRPr="00D96B14" w:rsidTr="004843DB">
        <w:trPr>
          <w:trHeight w:val="262"/>
        </w:trPr>
        <w:tc>
          <w:tcPr>
            <w:tcW w:w="3193" w:type="dxa"/>
            <w:tcBorders>
              <w:top w:val="nil"/>
              <w:left w:val="nil"/>
              <w:bottom w:val="single" w:sz="12" w:space="0" w:color="auto"/>
              <w:right w:val="nil"/>
            </w:tcBorders>
          </w:tcPr>
          <w:p w:rsidR="00142353" w:rsidRPr="00D96B14" w:rsidRDefault="00142353" w:rsidP="004843DB">
            <w:pPr>
              <w:pStyle w:val="Tabletext"/>
            </w:pPr>
            <w:r w:rsidRPr="00D96B14">
              <w:t>Total liabilities</w:t>
            </w:r>
          </w:p>
        </w:tc>
        <w:tc>
          <w:tcPr>
            <w:tcW w:w="851" w:type="dxa"/>
            <w:tcBorders>
              <w:top w:val="nil"/>
              <w:left w:val="nil"/>
              <w:bottom w:val="single" w:sz="12" w:space="0" w:color="auto"/>
              <w:right w:val="nil"/>
            </w:tcBorders>
            <w:shd w:val="clear" w:color="auto" w:fill="D9D9D9"/>
          </w:tcPr>
          <w:p w:rsidR="00142353" w:rsidRPr="00D96B14" w:rsidRDefault="00142353" w:rsidP="004843DB">
            <w:pPr>
              <w:pStyle w:val="TableofFigures"/>
            </w:pPr>
            <w:r w:rsidRPr="00D96B14">
              <w:t>97 601</w:t>
            </w:r>
          </w:p>
        </w:tc>
        <w:tc>
          <w:tcPr>
            <w:tcW w:w="992" w:type="dxa"/>
            <w:tcBorders>
              <w:top w:val="nil"/>
              <w:left w:val="nil"/>
              <w:bottom w:val="single" w:sz="12" w:space="0" w:color="auto"/>
              <w:right w:val="nil"/>
            </w:tcBorders>
          </w:tcPr>
          <w:p w:rsidR="00142353" w:rsidRPr="00D96B14" w:rsidRDefault="00142353" w:rsidP="004843DB">
            <w:pPr>
              <w:pStyle w:val="TableofFigures"/>
            </w:pPr>
            <w:r w:rsidRPr="00D96B14">
              <w:t>112 826</w:t>
            </w:r>
          </w:p>
        </w:tc>
        <w:tc>
          <w:tcPr>
            <w:tcW w:w="992" w:type="dxa"/>
            <w:tcBorders>
              <w:top w:val="nil"/>
              <w:left w:val="nil"/>
              <w:bottom w:val="single" w:sz="12" w:space="0" w:color="auto"/>
              <w:right w:val="nil"/>
            </w:tcBorders>
          </w:tcPr>
          <w:p w:rsidR="00142353" w:rsidRPr="00D96B14" w:rsidRDefault="00142353" w:rsidP="004843DB">
            <w:pPr>
              <w:pStyle w:val="TableofFigures"/>
            </w:pPr>
            <w:r w:rsidRPr="00D96B14">
              <w:t>39 419</w:t>
            </w:r>
          </w:p>
        </w:tc>
        <w:tc>
          <w:tcPr>
            <w:tcW w:w="993" w:type="dxa"/>
            <w:tcBorders>
              <w:top w:val="nil"/>
              <w:left w:val="nil"/>
              <w:bottom w:val="single" w:sz="12" w:space="0" w:color="auto"/>
              <w:right w:val="nil"/>
            </w:tcBorders>
          </w:tcPr>
          <w:p w:rsidR="00142353" w:rsidRPr="00D96B14" w:rsidRDefault="00142353" w:rsidP="004843DB">
            <w:pPr>
              <w:pStyle w:val="TableofFigures"/>
              <w:rPr>
                <w:color w:val="000000"/>
              </w:rPr>
            </w:pPr>
            <w:r w:rsidRPr="00D96B14">
              <w:rPr>
                <w:color w:val="000000"/>
              </w:rPr>
              <w:t>37 150</w:t>
            </w:r>
          </w:p>
        </w:tc>
        <w:tc>
          <w:tcPr>
            <w:tcW w:w="1134" w:type="dxa"/>
            <w:tcBorders>
              <w:top w:val="nil"/>
              <w:left w:val="nil"/>
              <w:bottom w:val="single" w:sz="12" w:space="0" w:color="auto"/>
              <w:right w:val="nil"/>
            </w:tcBorders>
          </w:tcPr>
          <w:p w:rsidR="00142353" w:rsidRPr="00D96B14" w:rsidRDefault="00142353" w:rsidP="004843DB">
            <w:pPr>
              <w:pStyle w:val="TableofFigures"/>
              <w:rPr>
                <w:color w:val="000000"/>
              </w:rPr>
            </w:pPr>
            <w:r w:rsidRPr="00D96B14">
              <w:rPr>
                <w:color w:val="000000"/>
              </w:rPr>
              <w:t>36 117</w:t>
            </w:r>
          </w:p>
        </w:tc>
      </w:tr>
    </w:tbl>
    <w:p w:rsidR="00142353" w:rsidRPr="00D96B14" w:rsidRDefault="00142353" w:rsidP="00142353">
      <w:pPr>
        <w:pStyle w:val="Notes"/>
      </w:pPr>
      <w:r w:rsidRPr="00D96B14">
        <w:t>Notes:</w:t>
      </w:r>
    </w:p>
    <w:p w:rsidR="00142353" w:rsidRPr="00D96B14" w:rsidRDefault="00142353" w:rsidP="00142353">
      <w:pPr>
        <w:pStyle w:val="Notes"/>
      </w:pPr>
      <w:r w:rsidRPr="00D96B14">
        <w:t>(i)</w:t>
      </w:r>
      <w:r w:rsidRPr="00D96B14">
        <w:tab/>
        <w:t>Income from government includes both output and special appropriations.</w:t>
      </w:r>
    </w:p>
    <w:p w:rsidR="00142353" w:rsidRPr="00D96B14" w:rsidRDefault="00142353" w:rsidP="00142353">
      <w:pPr>
        <w:pStyle w:val="Notes"/>
      </w:pPr>
      <w:r w:rsidRPr="00D96B14">
        <w:t>(ii)</w:t>
      </w:r>
      <w:r w:rsidRPr="00D96B14">
        <w:tab/>
        <w:t xml:space="preserve">The </w:t>
      </w:r>
      <w:r w:rsidR="005A4BB0">
        <w:t>‘</w:t>
      </w:r>
      <w:r w:rsidRPr="00D96B14">
        <w:t>net result from transactions</w:t>
      </w:r>
      <w:r w:rsidR="005A4BB0">
        <w:t>’</w:t>
      </w:r>
      <w:r w:rsidRPr="00D96B14">
        <w:t xml:space="preserve"> is identical to the </w:t>
      </w:r>
      <w:r w:rsidR="005A4BB0">
        <w:t>‘</w:t>
      </w:r>
      <w:r w:rsidRPr="00D96B14">
        <w:t>net operating balance</w:t>
      </w:r>
      <w:r w:rsidR="005A4BB0">
        <w:t>’</w:t>
      </w:r>
      <w:r w:rsidRPr="00D96B14">
        <w:t xml:space="preserve"> for the general government sector.</w:t>
      </w:r>
    </w:p>
    <w:p w:rsidR="00142353" w:rsidRPr="00D96B14" w:rsidRDefault="00142353" w:rsidP="00142353">
      <w:pPr>
        <w:pStyle w:val="Notes"/>
      </w:pPr>
      <w:r w:rsidRPr="00D96B14">
        <w:t>(iii)</w:t>
      </w:r>
      <w:r w:rsidRPr="00D96B14">
        <w:tab/>
        <w:t>Includes net result from discontinued operations.</w:t>
      </w:r>
    </w:p>
    <w:p w:rsidR="00142353" w:rsidRPr="00D96B14" w:rsidRDefault="00142353" w:rsidP="00142353">
      <w:pPr>
        <w:pStyle w:val="Notes"/>
      </w:pPr>
    </w:p>
    <w:p w:rsidR="00142353" w:rsidRPr="00D96B14" w:rsidRDefault="00142353" w:rsidP="00142353">
      <w:pPr>
        <w:pStyle w:val="Heading2"/>
      </w:pPr>
      <w:r w:rsidRPr="00D96B14">
        <w:t>Departmental current year financial review</w:t>
      </w:r>
    </w:p>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SmallLine"/>
      </w:pPr>
    </w:p>
    <w:p w:rsidR="00142353" w:rsidRPr="00D96B14" w:rsidRDefault="00142353" w:rsidP="00142353">
      <w:pPr>
        <w:pStyle w:val="Reference"/>
        <w:spacing w:before="280"/>
        <w:rPr>
          <w:lang w:val="en-AU"/>
        </w:rPr>
      </w:pPr>
      <w:r w:rsidRPr="00D96B14">
        <w:rPr>
          <w:lang w:val="en-AU"/>
        </w:rPr>
        <w:t>FRD 22G</w:t>
      </w:r>
    </w:p>
    <w:p w:rsidR="00142353" w:rsidRPr="00D96B14" w:rsidRDefault="00142353" w:rsidP="00142353">
      <w:pPr>
        <w:pStyle w:val="Heading3"/>
      </w:pPr>
      <w:r w:rsidRPr="00D96B14">
        <w:br w:type="column"/>
      </w:r>
      <w:r w:rsidRPr="00D96B14">
        <w:lastRenderedPageBreak/>
        <w:t>Overview</w:t>
      </w:r>
    </w:p>
    <w:p w:rsidR="00142353" w:rsidRPr="00D96B14" w:rsidRDefault="00142353" w:rsidP="00142353">
      <w:pPr>
        <w:pStyle w:val="NormalBlue"/>
        <w:spacing w:before="60"/>
        <w:rPr>
          <w:i/>
          <w:iCs/>
        </w:rPr>
      </w:pPr>
      <w:r w:rsidRPr="00D96B14">
        <w:rPr>
          <w:i/>
          <w:iCs/>
        </w:rPr>
        <w:t>[Analysis of the current year financial performance should be balanced and objective, free from bias and complete, dealing even</w:t>
      </w:r>
      <w:r w:rsidR="005A4BB0">
        <w:rPr>
          <w:i/>
          <w:iCs/>
        </w:rPr>
        <w:noBreakHyphen/>
      </w:r>
      <w:r w:rsidRPr="00D96B14">
        <w:rPr>
          <w:i/>
          <w:iCs/>
        </w:rPr>
        <w:t>handedly with both positive and negative aspects of operations, financial conditions, risks and opportunities. In addition, analysis of any significant overall financial trends over the past five years could also be considered for inclusion in this section further explaining the five year financial summary table above.]</w:t>
      </w:r>
    </w:p>
    <w:p w:rsidR="00142353" w:rsidRPr="00D96B14" w:rsidRDefault="00142353" w:rsidP="00142353">
      <w:pPr>
        <w:pStyle w:val="Bullet"/>
      </w:pPr>
      <w:r w:rsidRPr="00D96B14">
        <w:t>The Victorian Government considers the net result from transactions to be the appropriate measure of financial management that can be directly attributed to government p</w:t>
      </w:r>
      <w:r w:rsidRPr="00D96B14">
        <w:rPr>
          <w:rStyle w:val="BulletCharChar"/>
        </w:rPr>
        <w:t>olicy. This measure excludes the effects of revaluations (holding gains or losses) arising</w:t>
      </w:r>
      <w:r w:rsidRPr="00D96B14">
        <w:t xml:space="preserve"> from changes in market prices and other changes in the volume of assets shown under </w:t>
      </w:r>
      <w:r w:rsidR="005A4BB0">
        <w:t>‘</w:t>
      </w:r>
      <w:r w:rsidRPr="00D96B14">
        <w:t>other economic flows</w:t>
      </w:r>
      <w:r w:rsidR="005A4BB0">
        <w:t>’</w:t>
      </w:r>
      <w:r w:rsidRPr="00D96B14">
        <w:t xml:space="preserve"> on the comprehensive operating statement, which are outside the control of the Department. </w:t>
      </w:r>
    </w:p>
    <w:p w:rsidR="00142353" w:rsidRPr="00D96B14" w:rsidRDefault="00142353" w:rsidP="00142353">
      <w:pPr>
        <w:spacing w:before="0"/>
      </w:pPr>
      <w:r w:rsidRPr="00D96B14">
        <w:br w:type="page"/>
      </w:r>
    </w:p>
    <w:p w:rsidR="00142353" w:rsidRPr="00D96B14" w:rsidRDefault="00142353" w:rsidP="00142353">
      <w:pPr>
        <w:pStyle w:val="Bullet"/>
      </w:pPr>
      <w:r w:rsidRPr="00D96B14">
        <w:lastRenderedPageBreak/>
        <w:br w:type="column"/>
      </w:r>
      <w:r w:rsidRPr="00D96B14">
        <w:lastRenderedPageBreak/>
        <w:t>In 2015</w:t>
      </w:r>
      <w:r w:rsidR="005A4BB0">
        <w:noBreakHyphen/>
      </w:r>
      <w:r w:rsidRPr="00D96B14">
        <w:t>16, the Department achieved a net result from transactions of $26.2 million, $17.3 million higher than in 2014</w:t>
      </w:r>
      <w:r w:rsidR="005A4BB0">
        <w:noBreakHyphen/>
      </w:r>
      <w:r w:rsidRPr="00D96B14">
        <w:t>15. Both total income and expenses from transactions have steadily increased since 2011</w:t>
      </w:r>
      <w:r w:rsidR="005A4BB0">
        <w:noBreakHyphen/>
      </w:r>
      <w:r w:rsidRPr="00D96B14">
        <w:t>12 up to 2013</w:t>
      </w:r>
      <w:r w:rsidR="005A4BB0">
        <w:noBreakHyphen/>
      </w:r>
      <w:r w:rsidRPr="00D96B14">
        <w:t>14 and the net result from transactions in both income and expenses from transactions in 2014</w:t>
      </w:r>
      <w:r w:rsidR="005A4BB0">
        <w:noBreakHyphen/>
      </w:r>
      <w:r w:rsidRPr="00D96B14">
        <w:t>15 before stabilising again in 2015</w:t>
      </w:r>
      <w:r w:rsidR="005A4BB0">
        <w:noBreakHyphen/>
      </w:r>
      <w:r w:rsidRPr="00D96B14">
        <w:t xml:space="preserve">16, mainly due to: </w:t>
      </w:r>
      <w:r w:rsidRPr="00D96B14">
        <w:rPr>
          <w:rStyle w:val="NormalBlueChar"/>
          <w:i/>
        </w:rPr>
        <w:t>[while this example considers the current year and past five years</w:t>
      </w:r>
      <w:r w:rsidR="005A4BB0">
        <w:rPr>
          <w:rStyle w:val="NormalBlueChar"/>
          <w:i/>
        </w:rPr>
        <w:t>’</w:t>
      </w:r>
      <w:r w:rsidRPr="00D96B14">
        <w:rPr>
          <w:rStyle w:val="NormalBlueChar"/>
          <w:i/>
        </w:rPr>
        <w:t xml:space="preserve"> performance, explanations should be kept brief in this overview section. Where possible, explanations should attribute the key drivers to related services or programs]</w:t>
      </w:r>
      <w:r w:rsidRPr="00D96B14">
        <w:rPr>
          <w:rStyle w:val="NormalBlueChar"/>
          <w:color w:val="auto"/>
        </w:rPr>
        <w:t>.</w:t>
      </w:r>
    </w:p>
    <w:p w:rsidR="00142353" w:rsidRPr="00D96B14" w:rsidRDefault="00142353" w:rsidP="00142353">
      <w:pPr>
        <w:pStyle w:val="Bullet"/>
        <w:rPr>
          <w:rStyle w:val="NormalBlueChar"/>
          <w:i/>
        </w:rPr>
      </w:pPr>
      <w:r w:rsidRPr="00D96B14">
        <w:t>The overall net result of $14.8 million in 2015</w:t>
      </w:r>
      <w:r w:rsidR="005A4BB0">
        <w:noBreakHyphen/>
      </w:r>
      <w:r w:rsidRPr="00D96B14">
        <w:t xml:space="preserve">16 is the highest in the five year period as a result of </w:t>
      </w:r>
      <w:r w:rsidRPr="00D96B14">
        <w:rPr>
          <w:rStyle w:val="NormalBlueChar"/>
          <w:i/>
        </w:rPr>
        <w:t>[consider brief explanations of the key drivers from transactions and other economic flows, attributing the explanation where possible to programs or services]</w:t>
      </w:r>
      <w:r w:rsidRPr="00D96B14">
        <w:rPr>
          <w:rStyle w:val="NormalBlueChar"/>
          <w:color w:val="auto"/>
        </w:rPr>
        <w:t>.</w:t>
      </w:r>
    </w:p>
    <w:p w:rsidR="00142353" w:rsidRPr="00D96B14" w:rsidRDefault="00142353" w:rsidP="00142353">
      <w:pPr>
        <w:pStyle w:val="Bullet"/>
      </w:pPr>
      <w:r w:rsidRPr="00D96B14">
        <w:t>Total net assets continued to grow with an increase of $26.5 million in 2015</w:t>
      </w:r>
      <w:r w:rsidR="005A4BB0">
        <w:noBreakHyphen/>
      </w:r>
      <w:r w:rsidRPr="00D96B14">
        <w:t xml:space="preserve">16 to $141.4 million predominately reflecting the growth in total asset base, including: </w:t>
      </w:r>
      <w:r w:rsidRPr="00D96B14">
        <w:rPr>
          <w:i/>
          <w:iCs/>
          <w:color w:val="0000FF"/>
        </w:rPr>
        <w:t>[consider brief explanations of key drivers, attributing the explanation where possible to programs or services</w:t>
      </w:r>
      <w:r w:rsidRPr="00D96B14">
        <w:rPr>
          <w:rStyle w:val="NormalBlueChar"/>
          <w:i/>
        </w:rPr>
        <w:t>]</w:t>
      </w:r>
      <w:r w:rsidRPr="00D96B14">
        <w:rPr>
          <w:rStyle w:val="NormalBlueChar"/>
          <w:color w:val="auto"/>
        </w:rPr>
        <w:t>.</w:t>
      </w:r>
    </w:p>
    <w:p w:rsidR="00142353" w:rsidRPr="00D96B14" w:rsidRDefault="00142353" w:rsidP="00142353">
      <w:pPr>
        <w:pStyle w:val="Bullet"/>
        <w:numPr>
          <w:ilvl w:val="0"/>
          <w:numId w:val="0"/>
        </w:numPr>
        <w:ind w:left="360"/>
      </w:pPr>
      <w:r w:rsidRPr="00D96B14">
        <w:t>The decline in operating cash inflows to $15.2 million from last year</w:t>
      </w:r>
      <w:r w:rsidR="005A4BB0">
        <w:t>’</w:t>
      </w:r>
      <w:r w:rsidRPr="00D96B14">
        <w:t>s $18.7 million is mainly due to the Department relinquishing a joint venture to the Department of Cabinet Administration as a result of machinery of government changes. As a consequence, dividends from the venture are now received by the latter Department.</w:t>
      </w:r>
    </w:p>
    <w:p w:rsidR="00142353" w:rsidRPr="00D96B14" w:rsidRDefault="00142353" w:rsidP="00142353">
      <w:pPr>
        <w:pStyle w:val="Bullet"/>
        <w:numPr>
          <w:ilvl w:val="0"/>
          <w:numId w:val="0"/>
        </w:numPr>
        <w:ind w:left="360"/>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spacing w:before="320"/>
      </w:pPr>
      <w:r w:rsidRPr="00D96B14">
        <w:lastRenderedPageBreak/>
        <w:t>FRD 22G</w:t>
      </w:r>
    </w:p>
    <w:p w:rsidR="00142353" w:rsidRPr="00D96B14" w:rsidRDefault="00142353" w:rsidP="00142353">
      <w:pPr>
        <w:pStyle w:val="Heading3"/>
      </w:pPr>
      <w:r w:rsidRPr="00D96B14">
        <w:br w:type="column"/>
      </w:r>
      <w:r w:rsidRPr="00D96B14">
        <w:lastRenderedPageBreak/>
        <w:t>Financial performance and business review</w:t>
      </w:r>
    </w:p>
    <w:p w:rsidR="00142353" w:rsidRPr="00D96B14" w:rsidRDefault="00142353" w:rsidP="00142353">
      <w:r w:rsidRPr="00D96B14">
        <w:t xml:space="preserve">As part of the </w:t>
      </w:r>
      <w:r w:rsidRPr="00D96B14">
        <w:rPr>
          <w:i/>
          <w:iCs/>
        </w:rPr>
        <w:t>Administrative Arrangements Order</w:t>
      </w:r>
      <w:r w:rsidRPr="00D96B14">
        <w:t xml:space="preserve"> </w:t>
      </w:r>
      <w:r w:rsidRPr="00D96B14">
        <w:rPr>
          <w:i/>
          <w:iCs/>
          <w:color w:val="0000FF"/>
        </w:rPr>
        <w:t>[No.XXX]</w:t>
      </w:r>
      <w:r w:rsidRPr="00D96B14">
        <w:t xml:space="preserve"> </w:t>
      </w:r>
      <w:r w:rsidRPr="00D96B14">
        <w:rPr>
          <w:i/>
        </w:rPr>
        <w:t>2015</w:t>
      </w:r>
      <w:r w:rsidRPr="00D96B14">
        <w:t>, the transfer of outputs on 1 September 2015 was reflected in the financial statement of the Department as follows:</w:t>
      </w:r>
    </w:p>
    <w:p w:rsidR="00142353" w:rsidRPr="00D96B14" w:rsidRDefault="00142353" w:rsidP="00142353">
      <w:pPr>
        <w:pStyle w:val="Bullet"/>
      </w:pPr>
      <w:r w:rsidRPr="00D96B14">
        <w:t xml:space="preserve">the </w:t>
      </w:r>
      <w:r w:rsidRPr="00D96B14">
        <w:rPr>
          <w:i/>
          <w:iCs/>
        </w:rPr>
        <w:t xml:space="preserve">New Technology Administration </w:t>
      </w:r>
      <w:r w:rsidRPr="00D96B14">
        <w:t>output</w:t>
      </w:r>
      <w:r w:rsidRPr="00D96B14">
        <w:rPr>
          <w:i/>
          <w:iCs/>
        </w:rPr>
        <w:t xml:space="preserve"> </w:t>
      </w:r>
      <w:r w:rsidRPr="00D96B14">
        <w:t>is included for the period 1 July until 31 August 2015. From 1 September 2015 to 30 June 2016 this output is reported by the Department of Cabinet and Administration; and</w:t>
      </w:r>
    </w:p>
    <w:p w:rsidR="00142353" w:rsidRPr="00D96B14" w:rsidRDefault="00142353" w:rsidP="00142353">
      <w:pPr>
        <w:pStyle w:val="Bullet"/>
      </w:pPr>
      <w:r w:rsidRPr="00D96B14">
        <w:t xml:space="preserve">the </w:t>
      </w:r>
      <w:r w:rsidRPr="00D96B14">
        <w:rPr>
          <w:i/>
          <w:iCs/>
        </w:rPr>
        <w:t xml:space="preserve">Research and Development of Biological Technology </w:t>
      </w:r>
      <w:r w:rsidRPr="00D96B14">
        <w:t>output is included from 1 September 2015 to 30 June 2016. From 1 July to 31 August 2015 it was reported by the Department of Natural Resources.</w:t>
      </w:r>
    </w:p>
    <w:p w:rsidR="00142353" w:rsidRPr="00D96B14" w:rsidRDefault="00142353" w:rsidP="00142353">
      <w:r w:rsidRPr="00D96B14">
        <w:t>While the Department achieved a higher net result from transactions in 2015</w:t>
      </w:r>
      <w:r w:rsidR="005A4BB0">
        <w:noBreakHyphen/>
      </w:r>
      <w:r w:rsidRPr="00D96B14">
        <w:t>16 of $17.4 million, income dropped marginally due to funding for the new technology output from the State Government being transferred out following the machinery of government changes as outlined above. However, the reduced appropriation was largely offset by the increase in income of $4.9 million generated by the strategic output, and the funding related to the research and development of biological technology output transferred in due to machinery of government changes.</w:t>
      </w:r>
    </w:p>
    <w:p w:rsidR="00142353" w:rsidRPr="00D96B14" w:rsidRDefault="00142353" w:rsidP="00142353">
      <w:r w:rsidRPr="00D96B14">
        <w:t xml:space="preserve">Expenses from transactions marginally increased largely due to machinery of government changes resulting in increased expenses related to the new output received, even as the overall expenses of existing outputs have decreased. </w:t>
      </w:r>
      <w:r w:rsidRPr="00D96B14">
        <w:rPr>
          <w:i/>
          <w:iCs/>
          <w:color w:val="0000FF"/>
        </w:rPr>
        <w:t>[Expand the information presented in the overview section drawing particular attention to certain line items in the comprehensive operating statement, and relate these where possible to key drivers from programs/services etc.]</w:t>
      </w:r>
      <w:r w:rsidRPr="00D96B14">
        <w:rPr>
          <w:i/>
          <w:iCs/>
        </w:rPr>
        <w:t xml:space="preserve"> </w:t>
      </w:r>
      <w:r w:rsidRPr="00D96B14">
        <w:t xml:space="preserve">Overall 50 per cent of expenses went to payments to service providers mainly for </w:t>
      </w:r>
      <w:r w:rsidRPr="00D96B14">
        <w:rPr>
          <w:i/>
          <w:iCs/>
          <w:color w:val="0000FF"/>
        </w:rPr>
        <w:t>[complete with a list of key programs/services]</w:t>
      </w:r>
      <w:r w:rsidRPr="00D96B14">
        <w:t>.</w:t>
      </w:r>
    </w:p>
    <w:p w:rsidR="00142353" w:rsidRPr="00D96B14" w:rsidRDefault="00142353" w:rsidP="00142353">
      <w:r w:rsidRPr="00D96B14">
        <w:t xml:space="preserve">The increase of $4.9 million [or 50 per cent] in the net result for the period primarily reflects </w:t>
      </w:r>
      <w:r w:rsidRPr="00D96B14">
        <w:rPr>
          <w:i/>
          <w:iCs/>
          <w:color w:val="0000FF"/>
        </w:rPr>
        <w:t>[expand the discussion presented in the overview, drawing on key drivers where appropriate from line items under transactions and other economic flows. The overall result is likely to be driven by a combination of activities including offsetting activities]</w:t>
      </w:r>
      <w:r w:rsidRPr="00D96B14">
        <w:t>.</w:t>
      </w:r>
    </w:p>
    <w:p w:rsidR="00142353" w:rsidRPr="00D96B14" w:rsidRDefault="00142353" w:rsidP="00142353">
      <w:pPr>
        <w:rPr>
          <w:color w:val="0000FF"/>
        </w:rPr>
      </w:pPr>
      <w:r w:rsidRPr="00D96B14">
        <w:t>In addition, the overall comprehensive result increased due to valuation gains on property plant and equipment and certain available</w:t>
      </w:r>
      <w:r w:rsidR="005A4BB0">
        <w:noBreakHyphen/>
      </w:r>
      <w:r w:rsidRPr="00D96B14">
        <w:t>for</w:t>
      </w:r>
      <w:r w:rsidR="005A4BB0">
        <w:noBreakHyphen/>
      </w:r>
      <w:r w:rsidRPr="00D96B14">
        <w:t xml:space="preserve">sale financial instruments. </w:t>
      </w:r>
      <w:r w:rsidRPr="00D96B14">
        <w:rPr>
          <w:i/>
          <w:iCs/>
          <w:color w:val="0000FF"/>
        </w:rPr>
        <w:t>[Where appropriate, the key general purpose group category of related reserves could be named as well as any key available</w:t>
      </w:r>
      <w:r w:rsidR="005A4BB0">
        <w:rPr>
          <w:i/>
          <w:iCs/>
          <w:color w:val="0000FF"/>
        </w:rPr>
        <w:noBreakHyphen/>
      </w:r>
      <w:r w:rsidRPr="00D96B14">
        <w:rPr>
          <w:i/>
          <w:iCs/>
          <w:color w:val="0000FF"/>
        </w:rPr>
        <w:t>for</w:t>
      </w:r>
      <w:r w:rsidR="005A4BB0">
        <w:rPr>
          <w:i/>
          <w:iCs/>
          <w:color w:val="0000FF"/>
        </w:rPr>
        <w:noBreakHyphen/>
      </w:r>
      <w:r w:rsidRPr="00D96B14">
        <w:rPr>
          <w:i/>
          <w:iCs/>
          <w:color w:val="0000FF"/>
        </w:rPr>
        <w:t>sale investments.]</w:t>
      </w:r>
      <w:r w:rsidRPr="00D96B14">
        <w:rPr>
          <w:color w:val="0000FF"/>
        </w:rPr>
        <w:t xml:space="preserve"> </w:t>
      </w:r>
    </w:p>
    <w:p w:rsidR="00142353" w:rsidRPr="00D96B14" w:rsidRDefault="00142353" w:rsidP="00142353">
      <w:pPr>
        <w:spacing w:before="0"/>
      </w:pPr>
      <w:r w:rsidRPr="00D96B14">
        <w:br w:type="page"/>
      </w:r>
    </w:p>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Reference"/>
        <w:rPr>
          <w:lang w:val="en-AU"/>
        </w:rPr>
      </w:pPr>
      <w:r w:rsidRPr="00D96B14">
        <w:rPr>
          <w:lang w:val="en-AU"/>
        </w:rPr>
        <w:t>FRD 22G</w:t>
      </w:r>
    </w:p>
    <w:p w:rsidR="00142353" w:rsidRPr="00D96B14" w:rsidRDefault="00142353" w:rsidP="00142353">
      <w:pPr>
        <w:pStyle w:val="Heading3"/>
      </w:pPr>
      <w:r w:rsidRPr="00D96B14">
        <w:rPr>
          <w:color w:val="0000FF"/>
        </w:rPr>
        <w:br w:type="column"/>
      </w:r>
      <w:r w:rsidRPr="00D96B14">
        <w:lastRenderedPageBreak/>
        <w:t>Financial position – balance sheet</w:t>
      </w:r>
    </w:p>
    <w:p w:rsidR="00142353" w:rsidRPr="00D96B14" w:rsidRDefault="00142353" w:rsidP="00142353">
      <w:pPr>
        <w:rPr>
          <w:color w:val="0000FF"/>
        </w:rPr>
      </w:pPr>
      <w:r w:rsidRPr="00D96B14">
        <w:t>Net assets increased by $26.5 million over the year to $141.4 million, mainly due to increases in total assets of $11.2 million comprising $19.5 million of increases in financial assets partly offset by a reduction of $8.3 million in non</w:t>
      </w:r>
      <w:r w:rsidR="005A4BB0">
        <w:noBreakHyphen/>
      </w:r>
      <w:r w:rsidRPr="00D96B14">
        <w:t xml:space="preserve">financial assets. The increase in financial assets is mainly due to increase in cash, deposits, and receivables due to </w:t>
      </w:r>
      <w:r w:rsidRPr="00D96B14">
        <w:rPr>
          <w:i/>
          <w:iCs/>
          <w:color w:val="0000FF"/>
        </w:rPr>
        <w:t>[describe]</w:t>
      </w:r>
      <w:r w:rsidRPr="00D96B14">
        <w:rPr>
          <w:color w:val="0000FF"/>
        </w:rPr>
        <w:t xml:space="preserve">. </w:t>
      </w:r>
    </w:p>
    <w:p w:rsidR="00142353" w:rsidRPr="00D96B14" w:rsidRDefault="00142353" w:rsidP="00142353">
      <w:r w:rsidRPr="00D96B14">
        <w:t>The overall total of non</w:t>
      </w:r>
      <w:r w:rsidR="005A4BB0">
        <w:noBreakHyphen/>
      </w:r>
      <w:r w:rsidRPr="00D96B14">
        <w:t xml:space="preserve">financial assets marginally increased due to the combined effect of decreases in plant, equipment and vehicles related to output transferred out (refer to Note 17 </w:t>
      </w:r>
      <w:r w:rsidRPr="00D96B14">
        <w:rPr>
          <w:i/>
        </w:rPr>
        <w:t>Property, plant and equipment</w:t>
      </w:r>
      <w:r w:rsidRPr="00D96B14">
        <w:t xml:space="preserve"> within the financial statements for further details), offset by:</w:t>
      </w:r>
    </w:p>
    <w:p w:rsidR="00142353" w:rsidRPr="00D96B14" w:rsidRDefault="00142353" w:rsidP="00142353">
      <w:pPr>
        <w:pStyle w:val="Bullet"/>
      </w:pPr>
      <w:r w:rsidRPr="00D96B14">
        <w:t xml:space="preserve">acquisition of laboratories and other agricultural facilities associated with the transfer of the </w:t>
      </w:r>
      <w:r w:rsidRPr="00D96B14">
        <w:rPr>
          <w:iCs/>
        </w:rPr>
        <w:t>research and development of biological technology</w:t>
      </w:r>
      <w:r w:rsidRPr="00D96B14">
        <w:rPr>
          <w:i/>
          <w:iCs/>
        </w:rPr>
        <w:t xml:space="preserve"> </w:t>
      </w:r>
      <w:r w:rsidRPr="00D96B14">
        <w:t>output;</w:t>
      </w:r>
    </w:p>
    <w:p w:rsidR="00142353" w:rsidRPr="00D96B14" w:rsidRDefault="00142353" w:rsidP="00142353">
      <w:pPr>
        <w:pStyle w:val="Bullet"/>
      </w:pPr>
      <w:r w:rsidRPr="00D96B14">
        <w:t xml:space="preserve">new research laboratories built at Mildura and Wonthaggi to study the impact of extreme weather conditions on agricultural crops and natural vegetation; </w:t>
      </w:r>
    </w:p>
    <w:p w:rsidR="00142353" w:rsidRPr="00D96B14" w:rsidRDefault="00142353" w:rsidP="00142353">
      <w:pPr>
        <w:pStyle w:val="Bullet"/>
      </w:pPr>
      <w:r w:rsidRPr="00D96B14">
        <w:t xml:space="preserve">increases due to </w:t>
      </w:r>
      <w:r w:rsidRPr="00D96B14">
        <w:rPr>
          <w:i/>
          <w:iCs/>
          <w:color w:val="0000FF"/>
        </w:rPr>
        <w:t>[describe key drivers, e.g. addition, disposal, impairment, etc.]</w:t>
      </w:r>
      <w:r w:rsidRPr="00D96B14">
        <w:rPr>
          <w:i/>
        </w:rPr>
        <w:t xml:space="preserve"> </w:t>
      </w:r>
      <w:r w:rsidRPr="00D96B14">
        <w:t xml:space="preserve">in plant, equipment and vehicles in the public administration and transport and communications sectors; and </w:t>
      </w:r>
    </w:p>
    <w:p w:rsidR="00142353" w:rsidRPr="00D96B14" w:rsidRDefault="00142353" w:rsidP="00142353">
      <w:pPr>
        <w:pStyle w:val="Bullet"/>
      </w:pPr>
      <w:r w:rsidRPr="00D96B14">
        <w:t>biological assets received from new output transferred in.</w:t>
      </w:r>
    </w:p>
    <w:p w:rsidR="00142353" w:rsidRPr="00D96B14" w:rsidRDefault="00142353" w:rsidP="00142353">
      <w:r w:rsidRPr="00D96B14">
        <w:t>Total liabilities decreased mainly due to some liabilities related to the new technology output transferred out as a result of machinery of government changes, slightly offset by liabilities recognised from new output transferred in.</w:t>
      </w:r>
    </w:p>
    <w:p w:rsidR="00142353" w:rsidRPr="00D96B14" w:rsidRDefault="00142353" w:rsidP="00142353">
      <w:pPr>
        <w:pStyle w:val="Heading3"/>
      </w:pPr>
      <w:r w:rsidRPr="00D96B14">
        <w:t>Cash flows</w:t>
      </w:r>
    </w:p>
    <w:p w:rsidR="00142353" w:rsidRPr="00D96B14" w:rsidRDefault="00142353" w:rsidP="00142353">
      <w:r w:rsidRPr="00D96B14">
        <w:t>The overall cash surplus of $20.4 million for the 2015</w:t>
      </w:r>
      <w:r w:rsidR="005A4BB0">
        <w:noBreakHyphen/>
      </w:r>
      <w:r w:rsidRPr="00D96B14">
        <w:t xml:space="preserve">16 financial year was a net increase of $11.2 million compared to the previous year. This additional cash was the result of a large net cash inflow from financing activities of $34.7 million, in particular increased borrowings that the Department undertook to </w:t>
      </w:r>
      <w:r w:rsidRPr="00D96B14">
        <w:rPr>
          <w:i/>
          <w:color w:val="0000FF"/>
        </w:rPr>
        <w:t>[describe key drivers and reasons]</w:t>
      </w:r>
      <w:r w:rsidRPr="00D96B14">
        <w:t xml:space="preserve">. </w:t>
      </w:r>
    </w:p>
    <w:p w:rsidR="00142353" w:rsidRPr="00D96B14" w:rsidRDefault="00142353" w:rsidP="00142353">
      <w:r w:rsidRPr="00D96B14">
        <w:t>Net cash outflows from investing activities increased by $2.3 million due to much higher payments of $23.8 million for non</w:t>
      </w:r>
      <w:r w:rsidR="005A4BB0">
        <w:noBreakHyphen/>
      </w:r>
      <w:r w:rsidRPr="00D96B14">
        <w:t xml:space="preserve">financial assets which included the purchase of the new research laboratories in Mildura and Wonthaggi. This was slightly offset by the proceeds from the disposal of discontinued businesses </w:t>
      </w:r>
      <w:r w:rsidRPr="00D96B14">
        <w:rPr>
          <w:i/>
          <w:iCs/>
          <w:color w:val="0000FF"/>
        </w:rPr>
        <w:t>[describe key drivers and reasons]</w:t>
      </w:r>
      <w:r w:rsidRPr="00D96B14">
        <w:rPr>
          <w:i/>
          <w:iCs/>
        </w:rPr>
        <w:t xml:space="preserve"> </w:t>
      </w:r>
      <w:r w:rsidRPr="00D96B14">
        <w:t>of $17.8 million.</w:t>
      </w:r>
    </w:p>
    <w:p w:rsidR="00142353" w:rsidRPr="00D96B14" w:rsidRDefault="00142353" w:rsidP="00142353">
      <w:pPr>
        <w:rPr>
          <w:i/>
        </w:rPr>
      </w:pPr>
      <w:r w:rsidRPr="00D96B14">
        <w:t>The net cash inflows from operating activities was $15.2</w:t>
      </w:r>
      <w:r w:rsidR="005A4BB0">
        <w:t xml:space="preserve"> </w:t>
      </w:r>
      <w:r w:rsidRPr="00D96B14">
        <w:t>million, and 18.5 per cent lower than in 2013</w:t>
      </w:r>
      <w:r w:rsidR="005A4BB0">
        <w:noBreakHyphen/>
      </w:r>
      <w:r w:rsidRPr="00D96B14">
        <w:t xml:space="preserve">14 due to lower cash funding received from government </w:t>
      </w:r>
      <w:r w:rsidRPr="00D96B14">
        <w:rPr>
          <w:i/>
          <w:iCs/>
          <w:color w:val="0000FF"/>
        </w:rPr>
        <w:t>[describe key drivers and reasons]</w:t>
      </w:r>
      <w:r w:rsidRPr="00D96B14">
        <w:t>, while slightly offset by reduced payments for grants and payments to suppliers</w:t>
      </w:r>
      <w:r w:rsidRPr="00D96B14">
        <w:rPr>
          <w:i/>
        </w:rPr>
        <w:t>.</w:t>
      </w:r>
    </w:p>
    <w:p w:rsidR="00142353" w:rsidRPr="00D96B14" w:rsidRDefault="00142353" w:rsidP="00142353">
      <w:pPr>
        <w:rPr>
          <w:i/>
        </w:rPr>
      </w:pPr>
    </w:p>
    <w:p w:rsidR="00142353" w:rsidRPr="00D96B14" w:rsidRDefault="00142353" w:rsidP="00142353">
      <w:pPr>
        <w:spacing w:before="0"/>
      </w:pPr>
      <w:r w:rsidRPr="00D96B14">
        <w:br w:type="page"/>
      </w:r>
    </w:p>
    <w:p w:rsidR="00142353" w:rsidRPr="00D96B14" w:rsidRDefault="00142353" w:rsidP="00142353">
      <w:pPr>
        <w:pStyle w:val="SmallLine"/>
      </w:pPr>
    </w:p>
    <w:p w:rsidR="00142353" w:rsidRPr="00D96B14" w:rsidRDefault="00142353" w:rsidP="00142353">
      <w:pPr>
        <w:pStyle w:val="SmallLine"/>
      </w:pPr>
      <w:r w:rsidRPr="00D96B14">
        <w:br w:type="column"/>
      </w:r>
    </w:p>
    <w:p w:rsidR="00142353" w:rsidRPr="00D96B14" w:rsidRDefault="00142353" w:rsidP="00142353">
      <w:pPr>
        <w:pStyle w:val="CommentaryHeading"/>
        <w:pBdr>
          <w:bottom w:val="none" w:sz="0" w:space="0" w:color="auto"/>
        </w:pBdr>
      </w:pPr>
      <w:r w:rsidRPr="00D96B14">
        <w:t xml:space="preserve">Commentary – Departmental five year financial summary and current year financial review </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top w:val="none" w:sz="0" w:space="0" w:color="auto"/>
          <w:bottom w:val="none" w:sz="0" w:space="0" w:color="auto"/>
        </w:pBdr>
      </w:pPr>
      <w:r w:rsidRPr="00D96B14">
        <w:t>Guidance</w:t>
      </w:r>
    </w:p>
    <w:p w:rsidR="00142353" w:rsidRPr="00D96B14" w:rsidRDefault="00142353" w:rsidP="00142353">
      <w:pPr>
        <w:pStyle w:val="CommentaryHeading2"/>
        <w:sectPr w:rsidR="00142353" w:rsidRPr="00D96B14" w:rsidSect="00190A01">
          <w:headerReference w:type="even" r:id="rId64"/>
          <w:headerReference w:type="default" r:id="rId65"/>
          <w:headerReference w:type="first" r:id="rId66"/>
          <w:type w:val="continuous"/>
          <w:pgSz w:w="11906" w:h="16838" w:code="9"/>
          <w:pgMar w:top="1151" w:right="862" w:bottom="1151" w:left="862" w:header="431" w:footer="431" w:gutter="0"/>
          <w:cols w:num="2" w:space="360" w:equalWidth="0">
            <w:col w:w="1442" w:space="360"/>
            <w:col w:w="8092"/>
          </w:cols>
        </w:sectPr>
      </w:pPr>
    </w:p>
    <w:p w:rsidR="00142353" w:rsidRPr="00D96B14" w:rsidRDefault="00142353" w:rsidP="00142353">
      <w:pPr>
        <w:pStyle w:val="Reference"/>
        <w:spacing w:before="200"/>
      </w:pPr>
      <w:r w:rsidRPr="00D96B14">
        <w:lastRenderedPageBreak/>
        <w:t>FRD 22G</w:t>
      </w:r>
    </w:p>
    <w:p w:rsidR="00142353" w:rsidRPr="00D96B14" w:rsidRDefault="00142353" w:rsidP="00142353">
      <w:pPr>
        <w:pStyle w:val="CommentaryHeading2"/>
      </w:pPr>
      <w:r w:rsidRPr="00D96B14">
        <w:br w:type="column"/>
      </w:r>
      <w:r w:rsidRPr="00D96B14">
        <w:lastRenderedPageBreak/>
        <w:t>Financial information</w:t>
      </w:r>
    </w:p>
    <w:p w:rsidR="00142353" w:rsidRPr="00D96B14" w:rsidRDefault="00142353" w:rsidP="00142353">
      <w:pPr>
        <w:pStyle w:val="CommentaryText"/>
        <w:pBdr>
          <w:top w:val="none" w:sz="0" w:space="0" w:color="auto"/>
          <w:bottom w:val="none" w:sz="0" w:space="0" w:color="auto"/>
        </w:pBdr>
      </w:pPr>
      <w:r w:rsidRPr="00D96B14">
        <w:t>The financial information in the Report of Operation should include the following information relating to the current reporting period:</w:t>
      </w:r>
    </w:p>
    <w:p w:rsidR="00142353" w:rsidRPr="00D96B14" w:rsidRDefault="00142353" w:rsidP="00142353">
      <w:pPr>
        <w:pStyle w:val="CommentaryTextIndent"/>
        <w:pBdr>
          <w:top w:val="none" w:sz="0" w:space="0" w:color="auto"/>
          <w:bottom w:val="none" w:sz="0" w:space="0" w:color="auto"/>
        </w:pBdr>
      </w:pPr>
      <w:r w:rsidRPr="00D96B14">
        <w:t>(a)</w:t>
      </w:r>
      <w:r w:rsidRPr="00D96B14">
        <w:tab/>
        <w:t xml:space="preserve">a summary of the financial results for the year, with comparative information for the preceding four reporting periods; </w:t>
      </w:r>
    </w:p>
    <w:p w:rsidR="00142353" w:rsidRPr="00D96B14" w:rsidRDefault="00142353" w:rsidP="00142353">
      <w:pPr>
        <w:pStyle w:val="CommentaryTextIndent"/>
        <w:pBdr>
          <w:top w:val="none" w:sz="0" w:space="0" w:color="auto"/>
          <w:bottom w:val="none" w:sz="0" w:space="0" w:color="auto"/>
        </w:pBdr>
      </w:pPr>
      <w:r w:rsidRPr="00D96B14">
        <w:t>(b)</w:t>
      </w:r>
      <w:r w:rsidRPr="00D96B14">
        <w:tab/>
        <w:t>a summary of the significant changes in financial position;</w:t>
      </w:r>
    </w:p>
    <w:p w:rsidR="00142353" w:rsidRPr="00D96B14" w:rsidRDefault="00142353" w:rsidP="00142353">
      <w:pPr>
        <w:pStyle w:val="CommentaryTextIndent"/>
        <w:pBdr>
          <w:top w:val="none" w:sz="0" w:space="0" w:color="auto"/>
          <w:bottom w:val="none" w:sz="0" w:space="0" w:color="auto"/>
        </w:pBdr>
      </w:pPr>
      <w:r w:rsidRPr="00D96B14">
        <w:t>(c)</w:t>
      </w:r>
      <w:r w:rsidRPr="00D96B14">
        <w:tab/>
        <w:t xml:space="preserve">a summary of the operational and budgetary objectives, including performance against the objectives and significant achievements; </w:t>
      </w:r>
    </w:p>
    <w:p w:rsidR="00142353" w:rsidRPr="00D96B14" w:rsidRDefault="00142353" w:rsidP="00142353">
      <w:pPr>
        <w:pStyle w:val="CommentaryTextIndent"/>
        <w:pBdr>
          <w:top w:val="none" w:sz="0" w:space="0" w:color="auto"/>
          <w:bottom w:val="none" w:sz="0" w:space="0" w:color="auto"/>
        </w:pBdr>
      </w:pPr>
      <w:r w:rsidRPr="00D96B14">
        <w:t>(d)</w:t>
      </w:r>
      <w:r w:rsidRPr="00D96B14">
        <w:tab/>
        <w:t>any events occurring after balance date which may significantly affect the entity</w:t>
      </w:r>
      <w:r w:rsidR="005A4BB0">
        <w:t>’</w:t>
      </w:r>
      <w:r w:rsidRPr="00D96B14">
        <w:t>s operations in subsequent reporting periods;</w:t>
      </w:r>
    </w:p>
    <w:p w:rsidR="00142353" w:rsidRPr="00D96B14" w:rsidRDefault="00142353" w:rsidP="00142353">
      <w:pPr>
        <w:pStyle w:val="CommentaryText"/>
        <w:pBdr>
          <w:top w:val="none" w:sz="0" w:space="0" w:color="auto"/>
          <w:bottom w:val="none" w:sz="0" w:space="0" w:color="auto"/>
        </w:pBdr>
        <w:ind w:left="450" w:hanging="450"/>
      </w:pPr>
      <w:r w:rsidRPr="00D96B14">
        <w:t>(e)</w:t>
      </w:r>
      <w:r w:rsidRPr="00D96B14">
        <w:tab/>
        <w:t>expenditure on consultancies; and</w:t>
      </w:r>
    </w:p>
    <w:p w:rsidR="00142353" w:rsidRPr="00D96B14" w:rsidRDefault="00142353" w:rsidP="00142353">
      <w:pPr>
        <w:pStyle w:val="CommentaryTextIndent"/>
        <w:pBdr>
          <w:top w:val="none" w:sz="0" w:space="0" w:color="auto"/>
        </w:pBdr>
      </w:pPr>
      <w:r w:rsidRPr="00D96B14">
        <w:t>(f)</w:t>
      </w:r>
      <w:r w:rsidRPr="00D96B14">
        <w:tab/>
        <w:t>expenditure on government advertising.</w:t>
      </w:r>
    </w:p>
    <w:p w:rsidR="00142353" w:rsidRPr="00D96B14" w:rsidRDefault="00142353" w:rsidP="00142353">
      <w:pPr>
        <w:pStyle w:val="CommentaryText"/>
        <w:pBdr>
          <w:top w:val="none" w:sz="0" w:space="0" w:color="auto"/>
        </w:pBdr>
      </w:pPr>
      <w:r w:rsidRPr="00D96B14">
        <w:t>The report of operations should complement the information presented in the financial statements by providing a discussion and analysis of the entity</w:t>
      </w:r>
      <w:r w:rsidR="005A4BB0">
        <w:t>’</w:t>
      </w:r>
      <w:r w:rsidRPr="00D96B14">
        <w:t>s operating results and financial position. This should include details about any significant factors that affect the entity</w:t>
      </w:r>
      <w:r w:rsidR="005A4BB0">
        <w:t>’</w:t>
      </w:r>
      <w:r w:rsidRPr="00D96B14">
        <w:t>s performance.</w:t>
      </w:r>
    </w:p>
    <w:p w:rsidR="00142353" w:rsidRPr="00D96B14" w:rsidRDefault="00142353" w:rsidP="00142353">
      <w:pPr>
        <w:pStyle w:val="Heading2"/>
      </w:pPr>
      <w:bookmarkStart w:id="58" w:name="_Toc350413170"/>
      <w:bookmarkStart w:id="59" w:name="_Toc350413632"/>
      <w:r w:rsidRPr="00D96B14">
        <w:t>Capital projects</w:t>
      </w:r>
      <w:bookmarkEnd w:id="58"/>
      <w:bookmarkEnd w:id="59"/>
      <w:r w:rsidRPr="00D96B14">
        <w:t>/asset investment programs</w:t>
      </w:r>
    </w:p>
    <w:p w:rsidR="00142353" w:rsidRPr="00D96B14" w:rsidRDefault="00142353" w:rsidP="00142353">
      <w:pPr>
        <w:pStyle w:val="CommentaryText"/>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spacing w:before="120" w:after="120"/>
      </w:pPr>
      <w:r w:rsidRPr="00D96B14">
        <w:lastRenderedPageBreak/>
        <w:t>Recommendation 45, PAEC Report 109</w:t>
      </w:r>
    </w:p>
    <w:p w:rsidR="00142353" w:rsidRPr="00D96B14" w:rsidRDefault="00142353" w:rsidP="00142353">
      <w:pPr>
        <w:pStyle w:val="Reference"/>
        <w:spacing w:before="0"/>
      </w:pPr>
    </w:p>
    <w:p w:rsidR="00142353" w:rsidRPr="00D96B14" w:rsidRDefault="00142353" w:rsidP="00142353">
      <w:pPr>
        <w:pStyle w:val="Reference"/>
        <w:spacing w:before="0"/>
      </w:pPr>
    </w:p>
    <w:p w:rsidR="00142353" w:rsidRPr="00D96B14" w:rsidRDefault="00142353" w:rsidP="00142353">
      <w:pPr>
        <w:pStyle w:val="Reference"/>
        <w:spacing w:before="0"/>
      </w:pPr>
    </w:p>
    <w:p w:rsidR="00142353" w:rsidRPr="00D96B14" w:rsidRDefault="00142353" w:rsidP="00142353">
      <w:pPr>
        <w:pStyle w:val="Reference"/>
        <w:spacing w:before="0"/>
      </w:pPr>
    </w:p>
    <w:p w:rsidR="00142353" w:rsidRPr="00D96B14" w:rsidRDefault="00142353" w:rsidP="00142353">
      <w:pPr>
        <w:pStyle w:val="Reference"/>
        <w:spacing w:before="0"/>
        <w:rPr>
          <w:color w:val="FF0000"/>
        </w:rPr>
      </w:pPr>
    </w:p>
    <w:p w:rsidR="00142353" w:rsidRPr="00D96B14" w:rsidRDefault="00142353" w:rsidP="00142353">
      <w:pPr>
        <w:pStyle w:val="Reference"/>
        <w:spacing w:before="40"/>
      </w:pPr>
      <w:r w:rsidRPr="00D96B14">
        <w:rPr>
          <w:color w:val="FF0000"/>
        </w:rPr>
        <w:t>New</w:t>
      </w:r>
    </w:p>
    <w:p w:rsidR="00142353" w:rsidRPr="00D96B14" w:rsidRDefault="00142353" w:rsidP="00142353">
      <w:pPr>
        <w:pStyle w:val="Reference"/>
        <w:spacing w:before="120"/>
      </w:pPr>
      <w:r w:rsidRPr="00D96B14">
        <w:t>Recommendation 51, PAEC Report 118</w:t>
      </w:r>
    </w:p>
    <w:p w:rsidR="00142353" w:rsidRPr="00D96B14" w:rsidRDefault="00142353" w:rsidP="00142353">
      <w:pPr>
        <w:pStyle w:val="Reference"/>
        <w:spacing w:before="0"/>
      </w:pPr>
    </w:p>
    <w:p w:rsidR="00142353" w:rsidRPr="00D96B14" w:rsidRDefault="00142353" w:rsidP="00142353"/>
    <w:p w:rsidR="00142353" w:rsidRPr="00D96B14" w:rsidRDefault="00142353" w:rsidP="00142353"/>
    <w:p w:rsidR="00142353" w:rsidRPr="00D96B14" w:rsidRDefault="00142353" w:rsidP="00142353"/>
    <w:p w:rsidR="00142353" w:rsidRPr="00D96B14" w:rsidRDefault="00142353" w:rsidP="00142353">
      <w:r w:rsidRPr="00D96B14">
        <w:br w:type="column"/>
      </w:r>
      <w:r w:rsidRPr="00D96B14">
        <w:lastRenderedPageBreak/>
        <w:t xml:space="preserve">The Department and its related portfolio entities manage a range of capital projects to deliver services for government. </w:t>
      </w:r>
    </w:p>
    <w:p w:rsidR="00142353" w:rsidRPr="00D96B14" w:rsidRDefault="00142353" w:rsidP="00142353">
      <w:r w:rsidRPr="00D96B14">
        <w:t xml:space="preserve">Information on the new and existing capital projects for Departments and the broader Victorian public sector is contained in the most recent Budget Paper No. 4 </w:t>
      </w:r>
      <w:r w:rsidRPr="00D96B14">
        <w:rPr>
          <w:i/>
        </w:rPr>
        <w:t>State Capital Program</w:t>
      </w:r>
      <w:r w:rsidRPr="00D96B14">
        <w:t xml:space="preserve"> (BP4) which is available on the Department of Treasury and Finance</w:t>
      </w:r>
      <w:r w:rsidR="005A4BB0">
        <w:t>’</w:t>
      </w:r>
      <w:r w:rsidRPr="00D96B14">
        <w:t xml:space="preserve">s website. </w:t>
      </w:r>
    </w:p>
    <w:p w:rsidR="00142353" w:rsidRPr="00D96B14" w:rsidRDefault="00142353" w:rsidP="00142353">
      <w:r w:rsidRPr="00D96B14">
        <w:t>During the year, the Department/agency completed the following capital projects with a Total Estimated Investment of $10 million or greater. The details related to these projects are reported below:</w:t>
      </w:r>
    </w:p>
    <w:p w:rsidR="00142353" w:rsidRPr="00D96B14" w:rsidRDefault="00142353" w:rsidP="00E348C3">
      <w:pPr>
        <w:pStyle w:val="Tableheading"/>
      </w:pPr>
      <w:r w:rsidRPr="00D96B14">
        <w:t>Table 1: Capital projects completed during the financial year ended 30 June 2016</w:t>
      </w:r>
    </w:p>
    <w:tbl>
      <w:tblPr>
        <w:tblStyle w:val="TableGrid"/>
        <w:tblW w:w="8353" w:type="dxa"/>
        <w:tblLayout w:type="fixed"/>
        <w:tblCellMar>
          <w:left w:w="14" w:type="dxa"/>
          <w:right w:w="14" w:type="dxa"/>
        </w:tblCellMar>
        <w:tblLook w:val="04A0" w:firstRow="1" w:lastRow="0" w:firstColumn="1" w:lastColumn="0" w:noHBand="0" w:noVBand="1"/>
      </w:tblPr>
      <w:tblGrid>
        <w:gridCol w:w="715"/>
        <w:gridCol w:w="963"/>
        <w:gridCol w:w="990"/>
        <w:gridCol w:w="990"/>
        <w:gridCol w:w="882"/>
        <w:gridCol w:w="882"/>
        <w:gridCol w:w="648"/>
        <w:gridCol w:w="1035"/>
        <w:gridCol w:w="1248"/>
      </w:tblGrid>
      <w:tr w:rsidR="005C332C" w:rsidRPr="00D96B14" w:rsidTr="000D6DB4">
        <w:trPr>
          <w:trHeight w:val="795"/>
        </w:trPr>
        <w:tc>
          <w:tcPr>
            <w:tcW w:w="715" w:type="dxa"/>
            <w:shd w:val="clear" w:color="auto" w:fill="D9D9D6"/>
            <w:tcMar>
              <w:left w:w="85" w:type="dxa"/>
              <w:right w:w="85" w:type="dxa"/>
            </w:tcMar>
            <w:vAlign w:val="bottom"/>
          </w:tcPr>
          <w:p w:rsidR="00142353" w:rsidRPr="005C332C" w:rsidRDefault="00142353" w:rsidP="005C332C">
            <w:pPr>
              <w:pStyle w:val="Tabletextbold"/>
              <w:spacing w:before="0" w:after="0"/>
              <w:rPr>
                <w:b w:val="0"/>
                <w:sz w:val="17"/>
                <w:szCs w:val="17"/>
              </w:rPr>
            </w:pPr>
            <w:r w:rsidRPr="005C332C">
              <w:rPr>
                <w:b w:val="0"/>
                <w:sz w:val="17"/>
                <w:szCs w:val="17"/>
              </w:rPr>
              <w:t>Project Name</w:t>
            </w:r>
          </w:p>
        </w:tc>
        <w:tc>
          <w:tcPr>
            <w:tcW w:w="963" w:type="dxa"/>
            <w:shd w:val="clear" w:color="auto" w:fill="D9D9D6"/>
            <w:tcMar>
              <w:left w:w="85" w:type="dxa"/>
              <w:right w:w="85" w:type="dxa"/>
            </w:tcMar>
            <w:vAlign w:val="bottom"/>
          </w:tcPr>
          <w:p w:rsidR="00142353" w:rsidRPr="005C332C" w:rsidRDefault="00142353" w:rsidP="005C332C">
            <w:pPr>
              <w:pStyle w:val="Tabletextbold"/>
              <w:spacing w:before="0" w:after="0"/>
              <w:rPr>
                <w:b w:val="0"/>
                <w:sz w:val="17"/>
                <w:szCs w:val="17"/>
              </w:rPr>
            </w:pPr>
            <w:r w:rsidRPr="005C332C">
              <w:rPr>
                <w:b w:val="0"/>
                <w:sz w:val="17"/>
                <w:szCs w:val="17"/>
              </w:rPr>
              <w:t>Original completion date</w:t>
            </w:r>
          </w:p>
        </w:tc>
        <w:tc>
          <w:tcPr>
            <w:tcW w:w="990" w:type="dxa"/>
            <w:shd w:val="clear" w:color="auto" w:fill="D9D9D6"/>
            <w:tcMar>
              <w:left w:w="85" w:type="dxa"/>
              <w:right w:w="85" w:type="dxa"/>
            </w:tcMar>
            <w:vAlign w:val="bottom"/>
          </w:tcPr>
          <w:p w:rsidR="00142353" w:rsidRPr="005C332C" w:rsidRDefault="00142353" w:rsidP="005C332C">
            <w:pPr>
              <w:pStyle w:val="Tabletextbold"/>
              <w:spacing w:before="0" w:after="0"/>
              <w:rPr>
                <w:b w:val="0"/>
                <w:sz w:val="17"/>
                <w:szCs w:val="17"/>
              </w:rPr>
            </w:pPr>
            <w:r w:rsidRPr="005C332C">
              <w:rPr>
                <w:b w:val="0"/>
                <w:sz w:val="17"/>
                <w:szCs w:val="17"/>
              </w:rPr>
              <w:t>Latest approved completion date</w:t>
            </w:r>
          </w:p>
        </w:tc>
        <w:tc>
          <w:tcPr>
            <w:tcW w:w="990" w:type="dxa"/>
            <w:shd w:val="clear" w:color="auto" w:fill="D9D9D6"/>
            <w:tcMar>
              <w:left w:w="85" w:type="dxa"/>
              <w:right w:w="85" w:type="dxa"/>
            </w:tcMar>
            <w:vAlign w:val="bottom"/>
          </w:tcPr>
          <w:p w:rsidR="00142353" w:rsidRPr="005C332C" w:rsidRDefault="00142353" w:rsidP="005C332C">
            <w:pPr>
              <w:pStyle w:val="Tabletextbold"/>
              <w:spacing w:before="0" w:after="0"/>
              <w:rPr>
                <w:b w:val="0"/>
                <w:sz w:val="17"/>
                <w:szCs w:val="17"/>
              </w:rPr>
            </w:pPr>
            <w:r w:rsidRPr="005C332C">
              <w:rPr>
                <w:b w:val="0"/>
                <w:sz w:val="17"/>
                <w:szCs w:val="17"/>
              </w:rPr>
              <w:t>Actual completion date</w:t>
            </w:r>
          </w:p>
        </w:tc>
        <w:tc>
          <w:tcPr>
            <w:tcW w:w="882" w:type="dxa"/>
            <w:shd w:val="clear" w:color="auto" w:fill="D9D9D6"/>
            <w:tcMar>
              <w:left w:w="85" w:type="dxa"/>
              <w:right w:w="85" w:type="dxa"/>
            </w:tcMar>
            <w:vAlign w:val="bottom"/>
          </w:tcPr>
          <w:p w:rsidR="00142353" w:rsidRPr="005C332C" w:rsidRDefault="00142353" w:rsidP="005C332C">
            <w:pPr>
              <w:pStyle w:val="Tabletextbold"/>
              <w:spacing w:before="0" w:after="0"/>
              <w:rPr>
                <w:b w:val="0"/>
                <w:sz w:val="17"/>
                <w:szCs w:val="17"/>
              </w:rPr>
            </w:pPr>
            <w:r w:rsidRPr="005C332C">
              <w:rPr>
                <w:b w:val="0"/>
                <w:sz w:val="17"/>
                <w:szCs w:val="17"/>
              </w:rPr>
              <w:t>Original approved TEI</w:t>
            </w:r>
            <w:r w:rsidR="005C332C" w:rsidRPr="005C332C">
              <w:rPr>
                <w:b w:val="0"/>
                <w:sz w:val="17"/>
                <w:szCs w:val="17"/>
              </w:rPr>
              <w:t>*</w:t>
            </w:r>
            <w:r w:rsidRPr="005C332C">
              <w:rPr>
                <w:b w:val="0"/>
                <w:sz w:val="17"/>
                <w:szCs w:val="17"/>
              </w:rPr>
              <w:br/>
              <w:t>budget $M</w:t>
            </w:r>
          </w:p>
        </w:tc>
        <w:tc>
          <w:tcPr>
            <w:tcW w:w="882" w:type="dxa"/>
            <w:shd w:val="clear" w:color="auto" w:fill="D9D9D6"/>
            <w:tcMar>
              <w:left w:w="85" w:type="dxa"/>
              <w:right w:w="85" w:type="dxa"/>
            </w:tcMar>
            <w:vAlign w:val="bottom"/>
          </w:tcPr>
          <w:p w:rsidR="00142353" w:rsidRPr="005C332C" w:rsidRDefault="00142353" w:rsidP="005C332C">
            <w:pPr>
              <w:pStyle w:val="Tabletextbold"/>
              <w:spacing w:before="0" w:after="0"/>
              <w:rPr>
                <w:b w:val="0"/>
                <w:sz w:val="17"/>
                <w:szCs w:val="17"/>
              </w:rPr>
            </w:pPr>
            <w:r w:rsidRPr="005C332C">
              <w:rPr>
                <w:b w:val="0"/>
                <w:sz w:val="17"/>
                <w:szCs w:val="17"/>
              </w:rPr>
              <w:t>Latest approved TEI*</w:t>
            </w:r>
            <w:r w:rsidRPr="005C332C">
              <w:rPr>
                <w:b w:val="0"/>
                <w:sz w:val="17"/>
                <w:szCs w:val="17"/>
              </w:rPr>
              <w:br/>
              <w:t>budget $M</w:t>
            </w:r>
          </w:p>
        </w:tc>
        <w:tc>
          <w:tcPr>
            <w:tcW w:w="648" w:type="dxa"/>
            <w:shd w:val="clear" w:color="auto" w:fill="D9D9D6"/>
            <w:tcMar>
              <w:left w:w="85" w:type="dxa"/>
              <w:right w:w="85" w:type="dxa"/>
            </w:tcMar>
            <w:vAlign w:val="bottom"/>
          </w:tcPr>
          <w:p w:rsidR="00142353" w:rsidRPr="005C332C" w:rsidRDefault="00142353" w:rsidP="005C332C">
            <w:pPr>
              <w:pStyle w:val="Tabletextbold"/>
              <w:spacing w:before="0" w:after="0"/>
              <w:rPr>
                <w:b w:val="0"/>
                <w:sz w:val="17"/>
                <w:szCs w:val="17"/>
              </w:rPr>
            </w:pPr>
            <w:r w:rsidRPr="005C332C">
              <w:rPr>
                <w:b w:val="0"/>
                <w:sz w:val="17"/>
                <w:szCs w:val="17"/>
              </w:rPr>
              <w:t>Actual TEI cost $M</w:t>
            </w:r>
          </w:p>
        </w:tc>
        <w:tc>
          <w:tcPr>
            <w:tcW w:w="1035" w:type="dxa"/>
            <w:shd w:val="clear" w:color="auto" w:fill="D9D9D6"/>
            <w:tcMar>
              <w:left w:w="85" w:type="dxa"/>
              <w:right w:w="85" w:type="dxa"/>
            </w:tcMar>
            <w:vAlign w:val="bottom"/>
          </w:tcPr>
          <w:p w:rsidR="00142353" w:rsidRPr="005C332C" w:rsidRDefault="00142353" w:rsidP="005C332C">
            <w:pPr>
              <w:pStyle w:val="Tabletextbold"/>
              <w:spacing w:before="0" w:after="0"/>
              <w:rPr>
                <w:b w:val="0"/>
                <w:sz w:val="17"/>
                <w:szCs w:val="17"/>
              </w:rPr>
            </w:pPr>
            <w:r w:rsidRPr="005C332C">
              <w:rPr>
                <w:b w:val="0"/>
                <w:sz w:val="17"/>
                <w:szCs w:val="17"/>
              </w:rPr>
              <w:t>Variation between actual cost and latest approved TEI budget</w:t>
            </w:r>
          </w:p>
        </w:tc>
        <w:tc>
          <w:tcPr>
            <w:tcW w:w="1248" w:type="dxa"/>
            <w:shd w:val="clear" w:color="auto" w:fill="D9D9D6"/>
            <w:tcMar>
              <w:left w:w="85" w:type="dxa"/>
              <w:right w:w="85" w:type="dxa"/>
            </w:tcMar>
            <w:vAlign w:val="bottom"/>
          </w:tcPr>
          <w:p w:rsidR="00142353" w:rsidRPr="005C332C" w:rsidRDefault="00142353" w:rsidP="005C332C">
            <w:pPr>
              <w:pStyle w:val="Tabletextbold"/>
              <w:spacing w:before="0" w:after="0"/>
              <w:rPr>
                <w:b w:val="0"/>
                <w:sz w:val="17"/>
                <w:szCs w:val="17"/>
              </w:rPr>
            </w:pPr>
            <w:r w:rsidRPr="005C332C">
              <w:rPr>
                <w:b w:val="0"/>
                <w:sz w:val="17"/>
                <w:szCs w:val="17"/>
              </w:rPr>
              <w:t>Reason for variance from latest approved TEI Budget</w:t>
            </w:r>
          </w:p>
        </w:tc>
      </w:tr>
      <w:tr w:rsidR="005C332C" w:rsidRPr="00D96B14" w:rsidTr="000D6DB4">
        <w:trPr>
          <w:trHeight w:val="453"/>
        </w:trPr>
        <w:tc>
          <w:tcPr>
            <w:tcW w:w="715" w:type="dxa"/>
            <w:tcMar>
              <w:left w:w="85" w:type="dxa"/>
              <w:right w:w="85" w:type="dxa"/>
            </w:tcMar>
          </w:tcPr>
          <w:p w:rsidR="00142353" w:rsidRPr="005C332C" w:rsidRDefault="00142353" w:rsidP="004843DB">
            <w:pPr>
              <w:pStyle w:val="Tabletext"/>
              <w:rPr>
                <w:sz w:val="17"/>
                <w:szCs w:val="17"/>
              </w:rPr>
            </w:pPr>
            <w:r w:rsidRPr="005C332C">
              <w:rPr>
                <w:sz w:val="17"/>
                <w:szCs w:val="17"/>
              </w:rPr>
              <w:t>Anti</w:t>
            </w:r>
            <w:r w:rsidR="005A4BB0" w:rsidRPr="005C332C">
              <w:rPr>
                <w:sz w:val="17"/>
                <w:szCs w:val="17"/>
              </w:rPr>
              <w:noBreakHyphen/>
            </w:r>
            <w:r w:rsidR="005C332C" w:rsidRPr="005C332C">
              <w:rPr>
                <w:sz w:val="17"/>
                <w:szCs w:val="17"/>
              </w:rPr>
              <w:br/>
            </w:r>
            <w:r w:rsidRPr="005C332C">
              <w:rPr>
                <w:sz w:val="17"/>
                <w:szCs w:val="17"/>
              </w:rPr>
              <w:t>virus IT system</w:t>
            </w:r>
          </w:p>
        </w:tc>
        <w:tc>
          <w:tcPr>
            <w:tcW w:w="963" w:type="dxa"/>
            <w:tcMar>
              <w:left w:w="85" w:type="dxa"/>
              <w:right w:w="85" w:type="dxa"/>
            </w:tcMar>
          </w:tcPr>
          <w:p w:rsidR="00142353" w:rsidRPr="005C332C" w:rsidRDefault="00142353" w:rsidP="004843DB">
            <w:pPr>
              <w:pStyle w:val="Tabletext"/>
              <w:rPr>
                <w:sz w:val="17"/>
                <w:szCs w:val="17"/>
              </w:rPr>
            </w:pPr>
            <w:r w:rsidRPr="005C332C">
              <w:rPr>
                <w:sz w:val="17"/>
                <w:szCs w:val="17"/>
              </w:rPr>
              <w:t>April 2015</w:t>
            </w:r>
          </w:p>
        </w:tc>
        <w:tc>
          <w:tcPr>
            <w:tcW w:w="990" w:type="dxa"/>
            <w:tcMar>
              <w:left w:w="85" w:type="dxa"/>
              <w:right w:w="85" w:type="dxa"/>
            </w:tcMar>
          </w:tcPr>
          <w:p w:rsidR="00142353" w:rsidRPr="005C332C" w:rsidRDefault="00142353" w:rsidP="004843DB">
            <w:pPr>
              <w:pStyle w:val="Tabletext"/>
              <w:rPr>
                <w:sz w:val="17"/>
                <w:szCs w:val="17"/>
              </w:rPr>
            </w:pPr>
            <w:r w:rsidRPr="005C332C">
              <w:rPr>
                <w:sz w:val="17"/>
                <w:szCs w:val="17"/>
              </w:rPr>
              <w:t>June 2015</w:t>
            </w:r>
          </w:p>
        </w:tc>
        <w:tc>
          <w:tcPr>
            <w:tcW w:w="990" w:type="dxa"/>
            <w:tcMar>
              <w:left w:w="85" w:type="dxa"/>
              <w:right w:w="85" w:type="dxa"/>
            </w:tcMar>
          </w:tcPr>
          <w:p w:rsidR="00142353" w:rsidRPr="005C332C" w:rsidRDefault="00142353" w:rsidP="004843DB">
            <w:pPr>
              <w:pStyle w:val="Tabletext"/>
              <w:rPr>
                <w:sz w:val="17"/>
                <w:szCs w:val="17"/>
              </w:rPr>
            </w:pPr>
            <w:r w:rsidRPr="005C332C">
              <w:rPr>
                <w:sz w:val="17"/>
                <w:szCs w:val="17"/>
              </w:rPr>
              <w:t>June 2015</w:t>
            </w:r>
          </w:p>
        </w:tc>
        <w:tc>
          <w:tcPr>
            <w:tcW w:w="882" w:type="dxa"/>
            <w:tcMar>
              <w:left w:w="85" w:type="dxa"/>
              <w:right w:w="85" w:type="dxa"/>
            </w:tcMar>
          </w:tcPr>
          <w:p w:rsidR="00142353" w:rsidRPr="005C332C" w:rsidRDefault="00142353" w:rsidP="004843DB">
            <w:pPr>
              <w:pStyle w:val="Tabletext"/>
              <w:rPr>
                <w:sz w:val="17"/>
                <w:szCs w:val="17"/>
              </w:rPr>
            </w:pPr>
            <w:r w:rsidRPr="005C332C">
              <w:rPr>
                <w:sz w:val="17"/>
                <w:szCs w:val="17"/>
              </w:rPr>
              <w:t>9</w:t>
            </w:r>
          </w:p>
        </w:tc>
        <w:tc>
          <w:tcPr>
            <w:tcW w:w="882" w:type="dxa"/>
            <w:tcMar>
              <w:left w:w="85" w:type="dxa"/>
              <w:right w:w="85" w:type="dxa"/>
            </w:tcMar>
          </w:tcPr>
          <w:p w:rsidR="00142353" w:rsidRPr="005C332C" w:rsidRDefault="00142353" w:rsidP="004843DB">
            <w:pPr>
              <w:pStyle w:val="Tabletext"/>
              <w:rPr>
                <w:sz w:val="17"/>
                <w:szCs w:val="17"/>
              </w:rPr>
            </w:pPr>
            <w:r w:rsidRPr="005C332C">
              <w:rPr>
                <w:sz w:val="17"/>
                <w:szCs w:val="17"/>
              </w:rPr>
              <w:t>10</w:t>
            </w:r>
          </w:p>
        </w:tc>
        <w:tc>
          <w:tcPr>
            <w:tcW w:w="648" w:type="dxa"/>
            <w:tcMar>
              <w:left w:w="85" w:type="dxa"/>
              <w:right w:w="85" w:type="dxa"/>
            </w:tcMar>
          </w:tcPr>
          <w:p w:rsidR="00142353" w:rsidRPr="005C332C" w:rsidRDefault="00142353" w:rsidP="004843DB">
            <w:pPr>
              <w:pStyle w:val="Tabletext"/>
              <w:rPr>
                <w:sz w:val="17"/>
                <w:szCs w:val="17"/>
              </w:rPr>
            </w:pPr>
            <w:r w:rsidRPr="005C332C">
              <w:rPr>
                <w:sz w:val="17"/>
                <w:szCs w:val="17"/>
              </w:rPr>
              <w:t>8</w:t>
            </w:r>
          </w:p>
        </w:tc>
        <w:tc>
          <w:tcPr>
            <w:tcW w:w="1035" w:type="dxa"/>
            <w:tcMar>
              <w:left w:w="85" w:type="dxa"/>
              <w:right w:w="85" w:type="dxa"/>
            </w:tcMar>
          </w:tcPr>
          <w:p w:rsidR="00142353" w:rsidRPr="005C332C" w:rsidRDefault="00142353" w:rsidP="004843DB">
            <w:pPr>
              <w:pStyle w:val="Tabletext"/>
              <w:rPr>
                <w:sz w:val="17"/>
                <w:szCs w:val="17"/>
              </w:rPr>
            </w:pPr>
            <w:r w:rsidRPr="005C332C">
              <w:rPr>
                <w:sz w:val="17"/>
                <w:szCs w:val="17"/>
              </w:rPr>
              <w:t>(2)</w:t>
            </w:r>
          </w:p>
        </w:tc>
        <w:tc>
          <w:tcPr>
            <w:tcW w:w="1248" w:type="dxa"/>
            <w:tcMar>
              <w:left w:w="85" w:type="dxa"/>
              <w:right w:w="85" w:type="dxa"/>
            </w:tcMar>
          </w:tcPr>
          <w:p w:rsidR="00142353" w:rsidRPr="005C332C" w:rsidRDefault="00142353" w:rsidP="004843DB">
            <w:pPr>
              <w:pStyle w:val="Tabletext"/>
              <w:rPr>
                <w:sz w:val="17"/>
                <w:szCs w:val="17"/>
              </w:rPr>
            </w:pPr>
            <w:r w:rsidRPr="005C332C">
              <w:rPr>
                <w:sz w:val="17"/>
                <w:szCs w:val="17"/>
              </w:rPr>
              <w:t>The variance relates to suitable hardware being sourced more cheaply than anticipated.</w:t>
            </w:r>
          </w:p>
        </w:tc>
      </w:tr>
    </w:tbl>
    <w:p w:rsidR="00142353" w:rsidRPr="00D96B14" w:rsidRDefault="00142353" w:rsidP="00142353">
      <w:pPr>
        <w:pStyle w:val="Notes"/>
      </w:pPr>
      <w:r w:rsidRPr="00D96B14">
        <w:t>*Total estimated investment</w:t>
      </w:r>
    </w:p>
    <w:p w:rsidR="00142353" w:rsidRPr="00D96B14" w:rsidRDefault="00142353" w:rsidP="00142353">
      <w:pPr>
        <w:pStyle w:val="NormalBlue"/>
      </w:pPr>
      <w:r w:rsidRPr="00D96B14">
        <w:rPr>
          <w:i/>
        </w:rPr>
        <w:t xml:space="preserve">The table above is for illustrative purposes only. Departments are required to disclose </w:t>
      </w:r>
      <w:r w:rsidRPr="00D96B14">
        <w:rPr>
          <w:b/>
          <w:i/>
        </w:rPr>
        <w:t>all</w:t>
      </w:r>
      <w:r w:rsidRPr="00D96B14">
        <w:rPr>
          <w:i/>
        </w:rPr>
        <w:t xml:space="preserve"> capital projects funded through the State budget, with a total estimated investment of $10 million or greater (total funding from all sources for the overall project) completed within the reporting period. This includes budget funded capital projects of portfolio agencies. </w:t>
      </w:r>
      <w:r w:rsidRPr="00D96B14">
        <w:br w:type="page"/>
      </w:r>
    </w:p>
    <w:p w:rsidR="00142353" w:rsidRPr="00D96B14" w:rsidRDefault="00142353" w:rsidP="00142353">
      <w:pPr>
        <w:pStyle w:val="NormalBlue"/>
        <w:rPr>
          <w:i/>
        </w:rPr>
      </w:pPr>
    </w:p>
    <w:p w:rsidR="00142353" w:rsidRPr="00D96B14" w:rsidRDefault="00142353" w:rsidP="00142353">
      <w:pPr>
        <w:pStyle w:val="Reference"/>
        <w:spacing w:before="340"/>
        <w:rPr>
          <w:color w:val="FF0000"/>
        </w:rPr>
      </w:pPr>
      <w:r w:rsidRPr="00D96B14">
        <w:rPr>
          <w:color w:val="FF0000"/>
        </w:rPr>
        <w:t>New</w:t>
      </w:r>
    </w:p>
    <w:p w:rsidR="00142353" w:rsidRPr="00D96B14" w:rsidRDefault="00142353" w:rsidP="00142353">
      <w:pPr>
        <w:pStyle w:val="SmallLine"/>
      </w:pPr>
      <w:r w:rsidRPr="00D96B14">
        <w:br w:type="column"/>
      </w:r>
    </w:p>
    <w:p w:rsidR="00142353" w:rsidRPr="00D96B14" w:rsidRDefault="00142353" w:rsidP="00142353">
      <w:pPr>
        <w:pStyle w:val="CommentaryHeading"/>
        <w:pBdr>
          <w:bottom w:val="none" w:sz="0" w:space="0" w:color="auto"/>
        </w:pBdr>
      </w:pPr>
      <w:r w:rsidRPr="00D96B14">
        <w:t xml:space="preserve">Commentary – Capital projects/asset investment programs </w:t>
      </w:r>
      <w:bookmarkStart w:id="60" w:name="_Toc219779092"/>
    </w:p>
    <w:p w:rsidR="00142353" w:rsidRPr="00D96B14" w:rsidRDefault="00142353" w:rsidP="00142353">
      <w:pPr>
        <w:pStyle w:val="CommentaryHeading1"/>
        <w:pBdr>
          <w:bottom w:val="none" w:sz="0" w:space="0" w:color="auto"/>
        </w:pBdr>
      </w:pPr>
      <w:r w:rsidRPr="00D96B14">
        <w:t>Guidance</w:t>
      </w:r>
    </w:p>
    <w:p w:rsidR="00142353" w:rsidRPr="00D96B14" w:rsidRDefault="00142353" w:rsidP="00142353">
      <w:pPr>
        <w:pStyle w:val="CommentaryText"/>
        <w:pBdr>
          <w:bottom w:val="none" w:sz="0" w:space="0" w:color="auto"/>
        </w:pBdr>
      </w:pPr>
      <w:r w:rsidRPr="00D96B14">
        <w:t>The Department of Treasury and Finance, on behalf of all portfolio departments, publishes information on the State</w:t>
      </w:r>
      <w:r w:rsidR="005A4BB0">
        <w:t>’</w:t>
      </w:r>
      <w:r w:rsidRPr="00D96B14">
        <w:t xml:space="preserve">s asset investment program in Budget Paper No. 4 </w:t>
      </w:r>
      <w:r w:rsidRPr="00D96B14">
        <w:rPr>
          <w:i/>
          <w:iCs/>
        </w:rPr>
        <w:t>State Capital Program</w:t>
      </w:r>
      <w:r w:rsidRPr="00D96B14">
        <w:t xml:space="preserve"> </w:t>
      </w:r>
      <w:r w:rsidRPr="00D96B14">
        <w:rPr>
          <w:iCs/>
        </w:rPr>
        <w:t>as part of the annual budget papers</w:t>
      </w:r>
      <w:r w:rsidRPr="00D96B14">
        <w:t xml:space="preserve">. Any subsequent approved revisions to the original budgeted asset investment programs are also reported. </w:t>
      </w:r>
    </w:p>
    <w:p w:rsidR="00142353" w:rsidRPr="00D96B14" w:rsidRDefault="00142353" w:rsidP="00142353">
      <w:pPr>
        <w:pStyle w:val="CommentaryText"/>
        <w:pBdr>
          <w:bottom w:val="none" w:sz="0" w:space="0" w:color="auto"/>
        </w:pBdr>
      </w:pPr>
      <w:r w:rsidRPr="00D96B14">
        <w:t xml:space="preserve">For transparency, departments are required to disclose in their Annual Financial Reports the actual and budgeted cost and the completion dates of all asset investments funded through the State budget with a total estimated investment of $10 million or greater that reach practical completion by the department or portfoilo agencies in the current reporting period. Departments are not required to provide further reporting on a project which reaches financial completion in a subsequent period (unless there is a material variation) if it has been reported as practically complete in an earlier reporting period. Departments are also required to disclose the variance between the actual cost to deliver the project and the latest approved (or budgeted) TEI endorsed by government and an explanation for this variance. </w:t>
      </w:r>
    </w:p>
    <w:p w:rsidR="00142353" w:rsidRPr="00D96B14" w:rsidRDefault="00142353" w:rsidP="00142353">
      <w:pPr>
        <w:pStyle w:val="CommentaryText"/>
        <w:pBdr>
          <w:bottom w:val="none" w:sz="0" w:space="0" w:color="auto"/>
        </w:pBdr>
      </w:pPr>
      <w:r w:rsidRPr="00D96B14">
        <w:t xml:space="preserve">Where projects are handled across multiple agencies within the same portfolio department, the portfolio department for the agency that owns the asset should report the project in their annual report. Individual portfolio agencies are not required to report on these projects in their annual report. </w:t>
      </w:r>
    </w:p>
    <w:p w:rsidR="00142353" w:rsidRPr="00D96B14" w:rsidRDefault="00142353" w:rsidP="00142353">
      <w:pPr>
        <w:pStyle w:val="CommentaryText"/>
        <w:pBdr>
          <w:bottom w:val="none" w:sz="0" w:space="0" w:color="auto"/>
        </w:pBdr>
      </w:pPr>
      <w:r w:rsidRPr="00D96B14">
        <w:t>For example, VicTrack delivers projects on behalf of other agencies and has recently completed a capital project which was funded through the State Budget. The portfolio department for the agency, the Department of Economic Development, Jobs, Transport and Resources, will report these completed capital projects in its annual report.</w:t>
      </w:r>
    </w:p>
    <w:p w:rsidR="00142353" w:rsidRPr="00D96B14" w:rsidRDefault="00142353" w:rsidP="00142353">
      <w:pPr>
        <w:pStyle w:val="CommentaryHeading2"/>
      </w:pPr>
      <w:r w:rsidRPr="00D96B14">
        <w:t>Nil reports</w:t>
      </w:r>
    </w:p>
    <w:p w:rsidR="00142353" w:rsidRPr="00D96B14" w:rsidRDefault="00142353" w:rsidP="00142353">
      <w:pPr>
        <w:pStyle w:val="CommentaryText"/>
        <w:pBdr>
          <w:top w:val="none" w:sz="0" w:space="0" w:color="auto"/>
        </w:pBdr>
        <w:rPr>
          <w:b/>
          <w:bCs/>
        </w:rPr>
      </w:pPr>
      <w:r w:rsidRPr="00D96B14">
        <w:t xml:space="preserve">An explicit statement of </w:t>
      </w:r>
      <w:r w:rsidR="005A4BB0">
        <w:t>‘</w:t>
      </w:r>
      <w:r w:rsidRPr="00D96B14">
        <w:t>nil reports</w:t>
      </w:r>
      <w:r w:rsidR="005A4BB0">
        <w:t>’</w:t>
      </w:r>
      <w:r w:rsidRPr="00D96B14">
        <w:t xml:space="preserve"> is required where completed asset or capital projects</w:t>
      </w:r>
      <w:r w:rsidR="005A4BB0">
        <w:t xml:space="preserve"> </w:t>
      </w:r>
      <w:r w:rsidRPr="00D96B14">
        <w:t>do not reach the disclosure threshold of $10 million. Departments must provide a reason for the nil report, including whether this is because no projects were completed during the financial year, or that none of the TEI of their projects completed during the financial year meet the disclosure threshold of $10 million.</w:t>
      </w:r>
    </w:p>
    <w:p w:rsidR="00142353" w:rsidRPr="00D96B14" w:rsidRDefault="00142353" w:rsidP="00142353"/>
    <w:p w:rsidR="00142353" w:rsidRPr="00D96B14" w:rsidRDefault="00142353" w:rsidP="00142353">
      <w:pPr>
        <w:spacing w:line="240" w:lineRule="atLeast"/>
      </w:pPr>
      <w:r w:rsidRPr="00D96B14">
        <w:br w:type="page"/>
      </w:r>
    </w:p>
    <w:p w:rsidR="00142353" w:rsidRPr="00D96B14" w:rsidRDefault="00142353" w:rsidP="00142353"/>
    <w:p w:rsidR="00142353" w:rsidRPr="00D96B14" w:rsidRDefault="00142353" w:rsidP="00142353">
      <w:pPr>
        <w:pStyle w:val="Heading2"/>
        <w:sectPr w:rsidR="00142353" w:rsidRPr="00D96B14" w:rsidSect="00190A01">
          <w:type w:val="continuous"/>
          <w:pgSz w:w="11906" w:h="16838" w:code="9"/>
          <w:pgMar w:top="1152" w:right="864" w:bottom="1152" w:left="864" w:header="432" w:footer="432" w:gutter="0"/>
          <w:cols w:num="2" w:space="360" w:equalWidth="0">
            <w:col w:w="1440" w:space="360"/>
            <w:col w:w="8090"/>
          </w:cols>
        </w:sectPr>
      </w:pPr>
      <w:r w:rsidRPr="00D96B14">
        <w:br w:type="column"/>
      </w:r>
      <w:r w:rsidRPr="00D96B14">
        <w:lastRenderedPageBreak/>
        <w:t>Disclosure of grants and transfer payments (other than contributions by owners)</w:t>
      </w:r>
    </w:p>
    <w:p w:rsidR="00142353" w:rsidRPr="00D96B14" w:rsidRDefault="00142353" w:rsidP="00142353">
      <w:pPr>
        <w:pStyle w:val="Reference"/>
      </w:pPr>
      <w:r w:rsidRPr="00D96B14">
        <w:rPr>
          <w:rStyle w:val="ReferenceChar"/>
        </w:rPr>
        <w:lastRenderedPageBreak/>
        <w:t>Recommendation 15, PAEC Report 87</w:t>
      </w:r>
    </w:p>
    <w:p w:rsidR="00142353" w:rsidRPr="00D96B14" w:rsidRDefault="00142353" w:rsidP="00142353">
      <w:r w:rsidRPr="00D96B14">
        <w:br w:type="column"/>
      </w:r>
      <w:r w:rsidRPr="00D96B14">
        <w:lastRenderedPageBreak/>
        <w:t>The department has provided assistance to certain companies and organisations. Financial assistance provided in 2015</w:t>
      </w:r>
      <w:r w:rsidR="005A4BB0">
        <w:noBreakHyphen/>
      </w:r>
      <w:r w:rsidRPr="00D96B14">
        <w:t>16 was as follows:</w:t>
      </w:r>
    </w:p>
    <w:p w:rsidR="00142353" w:rsidRPr="00D96B14" w:rsidRDefault="00142353" w:rsidP="00142353">
      <w:pPr>
        <w:pStyle w:val="Heading4"/>
      </w:pPr>
      <w:r w:rsidRPr="00D96B14">
        <w:t xml:space="preserve">Strategic policy advice </w:t>
      </w:r>
      <w:r w:rsidRPr="00D96B14">
        <w:rPr>
          <w:color w:val="0000FF"/>
        </w:rPr>
        <w:t>[output name]</w:t>
      </w:r>
    </w:p>
    <w:p w:rsidR="00142353" w:rsidRPr="00D96B14" w:rsidRDefault="00142353" w:rsidP="00142353">
      <w:pPr>
        <w:pStyle w:val="Heading5"/>
      </w:pPr>
      <w:r w:rsidRPr="00D96B14">
        <w:t xml:space="preserve">Program A </w:t>
      </w:r>
      <w:r w:rsidRPr="00D96B14">
        <w:rPr>
          <w:color w:val="0000FF"/>
        </w:rPr>
        <w:t>[insert name]</w:t>
      </w:r>
    </w:p>
    <w:p w:rsidR="00142353" w:rsidRPr="00D96B14" w:rsidRDefault="00142353" w:rsidP="00142353">
      <w:pPr>
        <w:pStyle w:val="Heading5"/>
      </w:pPr>
      <w:r w:rsidRPr="00D96B14">
        <w:t xml:space="preserve">Grant 1 </w:t>
      </w:r>
      <w:r w:rsidRPr="00D96B14">
        <w:rPr>
          <w:color w:val="0000FF"/>
        </w:rPr>
        <w:t>[insert name]</w:t>
      </w:r>
    </w:p>
    <w:p w:rsidR="00142353" w:rsidRPr="00D96B14" w:rsidRDefault="00142353" w:rsidP="00142353">
      <w:pPr>
        <w:pStyle w:val="NormalBlue"/>
        <w:rPr>
          <w:i/>
        </w:rPr>
      </w:pPr>
      <w:r w:rsidRPr="00D96B14">
        <w:rPr>
          <w:i/>
        </w:rPr>
        <w:t>[Insert description of purpose and nature of grant.]</w:t>
      </w:r>
    </w:p>
    <w:tbl>
      <w:tblPr>
        <w:tblW w:w="4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68"/>
      </w:tblGrid>
      <w:tr w:rsidR="00142353" w:rsidRPr="00D96B14" w:rsidTr="004843DB">
        <w:tc>
          <w:tcPr>
            <w:tcW w:w="2376" w:type="dxa"/>
            <w:tcBorders>
              <w:top w:val="single" w:sz="4" w:space="0" w:color="auto"/>
              <w:left w:val="nil"/>
              <w:bottom w:val="single" w:sz="4" w:space="0" w:color="auto"/>
              <w:right w:val="nil"/>
            </w:tcBorders>
            <w:shd w:val="clear" w:color="auto" w:fill="auto"/>
          </w:tcPr>
          <w:p w:rsidR="00142353" w:rsidRPr="00D96B14" w:rsidRDefault="00142353" w:rsidP="004843DB">
            <w:pPr>
              <w:pStyle w:val="Tabletextheading"/>
              <w:jc w:val="left"/>
            </w:pPr>
            <w:r w:rsidRPr="00D96B14">
              <w:t xml:space="preserve">Organisation </w:t>
            </w:r>
          </w:p>
        </w:tc>
        <w:tc>
          <w:tcPr>
            <w:tcW w:w="2268" w:type="dxa"/>
            <w:tcBorders>
              <w:top w:val="single" w:sz="4" w:space="0" w:color="auto"/>
              <w:left w:val="nil"/>
              <w:bottom w:val="single" w:sz="4" w:space="0" w:color="auto"/>
              <w:right w:val="nil"/>
            </w:tcBorders>
            <w:shd w:val="clear" w:color="auto" w:fill="auto"/>
            <w:vAlign w:val="center"/>
          </w:tcPr>
          <w:p w:rsidR="00142353" w:rsidRPr="00D96B14" w:rsidRDefault="00142353" w:rsidP="004843DB">
            <w:pPr>
              <w:pStyle w:val="Tabletextheading"/>
            </w:pPr>
            <w:r w:rsidRPr="00D96B14">
              <w:t>Payment $</w:t>
            </w:r>
          </w:p>
        </w:tc>
      </w:tr>
      <w:tr w:rsidR="00142353" w:rsidRPr="00D96B14" w:rsidTr="004843DB">
        <w:tc>
          <w:tcPr>
            <w:tcW w:w="2376" w:type="dxa"/>
            <w:tcBorders>
              <w:top w:val="single" w:sz="4" w:space="0" w:color="auto"/>
              <w:left w:val="nil"/>
              <w:bottom w:val="nil"/>
              <w:right w:val="nil"/>
            </w:tcBorders>
            <w:shd w:val="clear" w:color="auto" w:fill="auto"/>
          </w:tcPr>
          <w:p w:rsidR="00142353" w:rsidRPr="00D96B14" w:rsidRDefault="00142353" w:rsidP="004843DB">
            <w:pPr>
              <w:pStyle w:val="Tabletext"/>
            </w:pPr>
            <w:r w:rsidRPr="00D96B14">
              <w:t>ABC Ltd</w:t>
            </w:r>
          </w:p>
        </w:tc>
        <w:tc>
          <w:tcPr>
            <w:tcW w:w="2268" w:type="dxa"/>
            <w:tcBorders>
              <w:top w:val="single" w:sz="4" w:space="0" w:color="auto"/>
              <w:left w:val="nil"/>
              <w:bottom w:val="nil"/>
              <w:right w:val="nil"/>
            </w:tcBorders>
            <w:shd w:val="clear" w:color="auto" w:fill="auto"/>
          </w:tcPr>
          <w:p w:rsidR="00142353" w:rsidRPr="00D96B14" w:rsidRDefault="00142353" w:rsidP="004843DB">
            <w:pPr>
              <w:pStyle w:val="TableofFigures"/>
            </w:pPr>
            <w:r w:rsidRPr="00D96B14">
              <w:t>xxxx</w:t>
            </w:r>
          </w:p>
        </w:tc>
      </w:tr>
      <w:tr w:rsidR="00142353" w:rsidRPr="00D96B14" w:rsidTr="004843DB">
        <w:tc>
          <w:tcPr>
            <w:tcW w:w="2376" w:type="dxa"/>
            <w:tcBorders>
              <w:top w:val="nil"/>
              <w:left w:val="nil"/>
              <w:bottom w:val="nil"/>
              <w:right w:val="nil"/>
            </w:tcBorders>
            <w:shd w:val="clear" w:color="auto" w:fill="auto"/>
          </w:tcPr>
          <w:p w:rsidR="00142353" w:rsidRPr="00D96B14" w:rsidRDefault="00142353" w:rsidP="004843DB">
            <w:pPr>
              <w:pStyle w:val="Tabletext"/>
            </w:pPr>
            <w:r w:rsidRPr="00D96B14">
              <w:t>XYZ Division</w:t>
            </w:r>
          </w:p>
        </w:tc>
        <w:tc>
          <w:tcPr>
            <w:tcW w:w="2268" w:type="dxa"/>
            <w:tcBorders>
              <w:top w:val="nil"/>
              <w:left w:val="nil"/>
              <w:bottom w:val="nil"/>
              <w:right w:val="nil"/>
            </w:tcBorders>
            <w:shd w:val="clear" w:color="auto" w:fill="auto"/>
          </w:tcPr>
          <w:p w:rsidR="00142353" w:rsidRPr="00D96B14" w:rsidRDefault="00142353" w:rsidP="004843DB">
            <w:pPr>
              <w:pStyle w:val="TableofFigures"/>
            </w:pPr>
            <w:r w:rsidRPr="00D96B14">
              <w:t>xxxx</w:t>
            </w:r>
          </w:p>
        </w:tc>
      </w:tr>
      <w:tr w:rsidR="00142353" w:rsidRPr="00D96B14" w:rsidTr="004843DB">
        <w:tc>
          <w:tcPr>
            <w:tcW w:w="2376" w:type="dxa"/>
            <w:tcBorders>
              <w:top w:val="nil"/>
              <w:left w:val="nil"/>
              <w:bottom w:val="single" w:sz="12" w:space="0" w:color="auto"/>
              <w:right w:val="nil"/>
            </w:tcBorders>
            <w:shd w:val="clear" w:color="auto" w:fill="auto"/>
          </w:tcPr>
          <w:p w:rsidR="00142353" w:rsidRPr="00D96B14" w:rsidRDefault="00142353" w:rsidP="004843DB">
            <w:pPr>
              <w:pStyle w:val="Tabletext"/>
            </w:pPr>
            <w:r w:rsidRPr="00D96B14">
              <w:t>Society of BBY</w:t>
            </w:r>
          </w:p>
        </w:tc>
        <w:tc>
          <w:tcPr>
            <w:tcW w:w="2268" w:type="dxa"/>
            <w:tcBorders>
              <w:top w:val="nil"/>
              <w:left w:val="nil"/>
              <w:bottom w:val="single" w:sz="12" w:space="0" w:color="auto"/>
              <w:right w:val="nil"/>
            </w:tcBorders>
            <w:shd w:val="clear" w:color="auto" w:fill="auto"/>
          </w:tcPr>
          <w:p w:rsidR="00142353" w:rsidRPr="00D96B14" w:rsidRDefault="00142353" w:rsidP="004843DB">
            <w:pPr>
              <w:pStyle w:val="TableofFigures"/>
            </w:pPr>
            <w:r w:rsidRPr="00D96B14">
              <w:t>xxxx</w:t>
            </w:r>
          </w:p>
        </w:tc>
      </w:tr>
    </w:tbl>
    <w:p w:rsidR="00142353" w:rsidRPr="00D96B14" w:rsidRDefault="00142353" w:rsidP="00142353"/>
    <w:p w:rsidR="00142353" w:rsidRPr="00D96B14" w:rsidRDefault="00142353" w:rsidP="00142353">
      <w:pPr>
        <w:pStyle w:val="Heading5"/>
      </w:pPr>
      <w:r w:rsidRPr="00D96B14">
        <w:t xml:space="preserve">Grant 2 </w:t>
      </w:r>
      <w:r w:rsidRPr="00D96B14">
        <w:rPr>
          <w:color w:val="0000FF"/>
        </w:rPr>
        <w:t>[insert name]</w:t>
      </w:r>
    </w:p>
    <w:p w:rsidR="00142353" w:rsidRPr="00D96B14" w:rsidRDefault="00142353" w:rsidP="00142353">
      <w:pPr>
        <w:pStyle w:val="NormalBlue"/>
        <w:rPr>
          <w:i/>
        </w:rPr>
      </w:pPr>
      <w:r w:rsidRPr="00D96B14">
        <w:rPr>
          <w:i/>
        </w:rPr>
        <w:t>[Insert description of purpose and nature of grant.]</w:t>
      </w:r>
    </w:p>
    <w:tbl>
      <w:tblPr>
        <w:tblW w:w="4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68"/>
      </w:tblGrid>
      <w:tr w:rsidR="00142353" w:rsidRPr="00D96B14" w:rsidTr="004843DB">
        <w:tc>
          <w:tcPr>
            <w:tcW w:w="2376" w:type="dxa"/>
            <w:tcBorders>
              <w:top w:val="single" w:sz="4" w:space="0" w:color="auto"/>
              <w:left w:val="nil"/>
              <w:bottom w:val="single" w:sz="4" w:space="0" w:color="auto"/>
              <w:right w:val="nil"/>
            </w:tcBorders>
            <w:shd w:val="clear" w:color="auto" w:fill="auto"/>
          </w:tcPr>
          <w:p w:rsidR="00142353" w:rsidRPr="00D96B14" w:rsidRDefault="00142353" w:rsidP="004843DB">
            <w:pPr>
              <w:pStyle w:val="Tabletextheading"/>
              <w:jc w:val="left"/>
            </w:pPr>
            <w:r w:rsidRPr="00D96B14">
              <w:t xml:space="preserve">Organisation </w:t>
            </w:r>
          </w:p>
        </w:tc>
        <w:tc>
          <w:tcPr>
            <w:tcW w:w="2268" w:type="dxa"/>
            <w:tcBorders>
              <w:top w:val="single" w:sz="4" w:space="0" w:color="auto"/>
              <w:left w:val="nil"/>
              <w:bottom w:val="single" w:sz="4" w:space="0" w:color="auto"/>
              <w:right w:val="nil"/>
            </w:tcBorders>
            <w:shd w:val="clear" w:color="auto" w:fill="auto"/>
            <w:vAlign w:val="center"/>
          </w:tcPr>
          <w:p w:rsidR="00142353" w:rsidRPr="00D96B14" w:rsidRDefault="00142353" w:rsidP="004843DB">
            <w:pPr>
              <w:pStyle w:val="Tabletextheading"/>
            </w:pPr>
            <w:r w:rsidRPr="00D96B14">
              <w:t>Payment $</w:t>
            </w:r>
          </w:p>
        </w:tc>
      </w:tr>
      <w:tr w:rsidR="00142353" w:rsidRPr="00D96B14" w:rsidTr="004843DB">
        <w:tc>
          <w:tcPr>
            <w:tcW w:w="2376" w:type="dxa"/>
            <w:tcBorders>
              <w:top w:val="single" w:sz="4" w:space="0" w:color="auto"/>
              <w:left w:val="nil"/>
              <w:bottom w:val="nil"/>
              <w:right w:val="nil"/>
            </w:tcBorders>
            <w:shd w:val="clear" w:color="auto" w:fill="auto"/>
          </w:tcPr>
          <w:p w:rsidR="00142353" w:rsidRPr="00D96B14" w:rsidRDefault="00142353" w:rsidP="004843DB">
            <w:pPr>
              <w:pStyle w:val="Tabletext"/>
            </w:pPr>
            <w:r w:rsidRPr="00D96B14">
              <w:t>ABC Ltd</w:t>
            </w:r>
          </w:p>
        </w:tc>
        <w:tc>
          <w:tcPr>
            <w:tcW w:w="2268" w:type="dxa"/>
            <w:tcBorders>
              <w:top w:val="single" w:sz="4" w:space="0" w:color="auto"/>
              <w:left w:val="nil"/>
              <w:bottom w:val="nil"/>
              <w:right w:val="nil"/>
            </w:tcBorders>
            <w:shd w:val="clear" w:color="auto" w:fill="auto"/>
          </w:tcPr>
          <w:p w:rsidR="00142353" w:rsidRPr="00D96B14" w:rsidRDefault="00142353" w:rsidP="004843DB">
            <w:pPr>
              <w:pStyle w:val="TableofFigures"/>
            </w:pPr>
            <w:r w:rsidRPr="00D96B14">
              <w:t>xxxx</w:t>
            </w:r>
          </w:p>
        </w:tc>
      </w:tr>
      <w:tr w:rsidR="00142353" w:rsidRPr="00D96B14" w:rsidTr="004843DB">
        <w:tc>
          <w:tcPr>
            <w:tcW w:w="2376" w:type="dxa"/>
            <w:tcBorders>
              <w:top w:val="nil"/>
              <w:left w:val="nil"/>
              <w:bottom w:val="nil"/>
              <w:right w:val="nil"/>
            </w:tcBorders>
            <w:shd w:val="clear" w:color="auto" w:fill="auto"/>
          </w:tcPr>
          <w:p w:rsidR="00142353" w:rsidRPr="00D96B14" w:rsidRDefault="00142353" w:rsidP="004843DB">
            <w:pPr>
              <w:pStyle w:val="Tabletext"/>
            </w:pPr>
            <w:r w:rsidRPr="00D96B14">
              <w:t>XYZ Division</w:t>
            </w:r>
          </w:p>
        </w:tc>
        <w:tc>
          <w:tcPr>
            <w:tcW w:w="2268" w:type="dxa"/>
            <w:tcBorders>
              <w:top w:val="nil"/>
              <w:left w:val="nil"/>
              <w:bottom w:val="nil"/>
              <w:right w:val="nil"/>
            </w:tcBorders>
            <w:shd w:val="clear" w:color="auto" w:fill="auto"/>
          </w:tcPr>
          <w:p w:rsidR="00142353" w:rsidRPr="00D96B14" w:rsidRDefault="00142353" w:rsidP="004843DB">
            <w:pPr>
              <w:pStyle w:val="TableofFigures"/>
            </w:pPr>
            <w:r w:rsidRPr="00D96B14">
              <w:t>xxxx</w:t>
            </w:r>
          </w:p>
        </w:tc>
      </w:tr>
      <w:tr w:rsidR="00142353" w:rsidRPr="00D96B14" w:rsidTr="004843DB">
        <w:tc>
          <w:tcPr>
            <w:tcW w:w="2376" w:type="dxa"/>
            <w:tcBorders>
              <w:top w:val="nil"/>
              <w:left w:val="nil"/>
              <w:bottom w:val="single" w:sz="12" w:space="0" w:color="auto"/>
              <w:right w:val="nil"/>
            </w:tcBorders>
            <w:shd w:val="clear" w:color="auto" w:fill="auto"/>
          </w:tcPr>
          <w:p w:rsidR="00142353" w:rsidRPr="00D96B14" w:rsidRDefault="00142353" w:rsidP="004843DB">
            <w:pPr>
              <w:pStyle w:val="Tabletext"/>
            </w:pPr>
            <w:r w:rsidRPr="00D96B14">
              <w:t>Society of BBY</w:t>
            </w:r>
          </w:p>
        </w:tc>
        <w:tc>
          <w:tcPr>
            <w:tcW w:w="2268" w:type="dxa"/>
            <w:tcBorders>
              <w:top w:val="nil"/>
              <w:left w:val="nil"/>
              <w:bottom w:val="single" w:sz="12" w:space="0" w:color="auto"/>
              <w:right w:val="nil"/>
            </w:tcBorders>
            <w:shd w:val="clear" w:color="auto" w:fill="auto"/>
          </w:tcPr>
          <w:p w:rsidR="00142353" w:rsidRPr="00D96B14" w:rsidRDefault="00142353" w:rsidP="004843DB">
            <w:pPr>
              <w:pStyle w:val="TableofFigures"/>
            </w:pPr>
            <w:r w:rsidRPr="00D96B14">
              <w:t>xxxx</w:t>
            </w:r>
          </w:p>
        </w:tc>
      </w:tr>
    </w:tbl>
    <w:p w:rsidR="00142353" w:rsidRPr="00D96B14" w:rsidRDefault="00142353" w:rsidP="00142353">
      <w:pPr>
        <w:rPr>
          <w:b/>
        </w:rPr>
      </w:pPr>
    </w:p>
    <w:p w:rsidR="00142353" w:rsidRPr="00D96B14" w:rsidRDefault="00142353" w:rsidP="00142353">
      <w:pPr>
        <w:pStyle w:val="Heading5"/>
      </w:pPr>
      <w:r w:rsidRPr="00D96B14">
        <w:t xml:space="preserve">Program B </w:t>
      </w:r>
      <w:r w:rsidRPr="00D96B14">
        <w:rPr>
          <w:color w:val="0000FF"/>
        </w:rPr>
        <w:t>[insert name]</w:t>
      </w:r>
    </w:p>
    <w:p w:rsidR="00142353" w:rsidRPr="00D96B14" w:rsidRDefault="00142353" w:rsidP="00142353">
      <w:pPr>
        <w:pStyle w:val="Heading5"/>
      </w:pPr>
      <w:r w:rsidRPr="00D96B14">
        <w:t xml:space="preserve">Grant 1 </w:t>
      </w:r>
      <w:r w:rsidRPr="00D96B14">
        <w:rPr>
          <w:color w:val="0000FF"/>
        </w:rPr>
        <w:t>[insert name]</w:t>
      </w:r>
    </w:p>
    <w:p w:rsidR="00142353" w:rsidRPr="00D96B14" w:rsidRDefault="00142353" w:rsidP="00142353">
      <w:pPr>
        <w:pStyle w:val="NormalBlue"/>
        <w:rPr>
          <w:i/>
        </w:rPr>
      </w:pPr>
      <w:r w:rsidRPr="00D96B14">
        <w:rPr>
          <w:i/>
        </w:rPr>
        <w:t>[Insert description of purpose and nature of grant.]</w:t>
      </w:r>
    </w:p>
    <w:tbl>
      <w:tblPr>
        <w:tblW w:w="4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68"/>
      </w:tblGrid>
      <w:tr w:rsidR="00142353" w:rsidRPr="00D96B14" w:rsidTr="004843DB">
        <w:tc>
          <w:tcPr>
            <w:tcW w:w="2376" w:type="dxa"/>
            <w:tcBorders>
              <w:top w:val="single" w:sz="4" w:space="0" w:color="auto"/>
              <w:left w:val="nil"/>
              <w:bottom w:val="single" w:sz="4" w:space="0" w:color="auto"/>
              <w:right w:val="nil"/>
            </w:tcBorders>
            <w:shd w:val="clear" w:color="auto" w:fill="auto"/>
          </w:tcPr>
          <w:p w:rsidR="00142353" w:rsidRPr="00D96B14" w:rsidRDefault="00142353" w:rsidP="004843DB">
            <w:pPr>
              <w:pStyle w:val="Tabletextheading"/>
              <w:jc w:val="left"/>
            </w:pPr>
            <w:r w:rsidRPr="00D96B14">
              <w:t xml:space="preserve">Organisation </w:t>
            </w:r>
          </w:p>
        </w:tc>
        <w:tc>
          <w:tcPr>
            <w:tcW w:w="2268" w:type="dxa"/>
            <w:tcBorders>
              <w:top w:val="single" w:sz="4" w:space="0" w:color="auto"/>
              <w:left w:val="nil"/>
              <w:bottom w:val="single" w:sz="4" w:space="0" w:color="auto"/>
              <w:right w:val="nil"/>
            </w:tcBorders>
            <w:shd w:val="clear" w:color="auto" w:fill="auto"/>
            <w:vAlign w:val="center"/>
          </w:tcPr>
          <w:p w:rsidR="00142353" w:rsidRPr="00D96B14" w:rsidRDefault="00142353" w:rsidP="004843DB">
            <w:pPr>
              <w:pStyle w:val="Tabletextheading"/>
            </w:pPr>
            <w:r w:rsidRPr="00D96B14">
              <w:t>Payment $</w:t>
            </w:r>
          </w:p>
        </w:tc>
      </w:tr>
      <w:tr w:rsidR="00142353" w:rsidRPr="00D96B14" w:rsidTr="004843DB">
        <w:tc>
          <w:tcPr>
            <w:tcW w:w="2376" w:type="dxa"/>
            <w:tcBorders>
              <w:top w:val="single" w:sz="4" w:space="0" w:color="auto"/>
              <w:left w:val="nil"/>
              <w:bottom w:val="single" w:sz="12" w:space="0" w:color="auto"/>
              <w:right w:val="nil"/>
            </w:tcBorders>
            <w:shd w:val="clear" w:color="auto" w:fill="auto"/>
          </w:tcPr>
          <w:p w:rsidR="00142353" w:rsidRPr="00D96B14" w:rsidRDefault="00142353" w:rsidP="004843DB">
            <w:pPr>
              <w:pStyle w:val="Tabletext"/>
            </w:pPr>
            <w:r w:rsidRPr="00D96B14">
              <w:t>ATE Ltd</w:t>
            </w:r>
          </w:p>
        </w:tc>
        <w:tc>
          <w:tcPr>
            <w:tcW w:w="2268" w:type="dxa"/>
            <w:tcBorders>
              <w:top w:val="single" w:sz="4" w:space="0" w:color="auto"/>
              <w:left w:val="nil"/>
              <w:bottom w:val="single" w:sz="12" w:space="0" w:color="auto"/>
              <w:right w:val="nil"/>
            </w:tcBorders>
            <w:shd w:val="clear" w:color="auto" w:fill="auto"/>
          </w:tcPr>
          <w:p w:rsidR="00142353" w:rsidRPr="00D96B14" w:rsidRDefault="00142353" w:rsidP="004843DB">
            <w:pPr>
              <w:pStyle w:val="TableofFigures"/>
            </w:pPr>
            <w:r w:rsidRPr="00D96B14">
              <w:t>xxxx</w:t>
            </w:r>
          </w:p>
        </w:tc>
      </w:tr>
    </w:tbl>
    <w:p w:rsidR="00142353" w:rsidRPr="00D96B14" w:rsidRDefault="00142353" w:rsidP="00142353">
      <w:pPr>
        <w:pStyle w:val="Heading5"/>
      </w:pPr>
    </w:p>
    <w:p w:rsidR="00142353" w:rsidRPr="00D96B14" w:rsidRDefault="00142353" w:rsidP="00142353">
      <w:pPr>
        <w:pStyle w:val="Heading5"/>
      </w:pPr>
      <w:r w:rsidRPr="00D96B14">
        <w:t xml:space="preserve">Program C </w:t>
      </w:r>
      <w:r w:rsidRPr="00D96B14">
        <w:rPr>
          <w:color w:val="0000FF"/>
        </w:rPr>
        <w:t>[insert name]</w:t>
      </w:r>
    </w:p>
    <w:p w:rsidR="00142353" w:rsidRPr="00D96B14" w:rsidRDefault="00142353" w:rsidP="00142353">
      <w:pPr>
        <w:pStyle w:val="Heading5"/>
      </w:pPr>
      <w:r w:rsidRPr="00D96B14">
        <w:t xml:space="preserve">Grant 1 </w:t>
      </w:r>
      <w:r w:rsidRPr="00D96B14">
        <w:rPr>
          <w:color w:val="0000FF"/>
        </w:rPr>
        <w:t>[insert name]</w:t>
      </w:r>
    </w:p>
    <w:p w:rsidR="00142353" w:rsidRPr="00D96B14" w:rsidRDefault="00142353" w:rsidP="00142353">
      <w:pPr>
        <w:pStyle w:val="NormalBlue"/>
        <w:rPr>
          <w:i/>
        </w:rPr>
      </w:pPr>
      <w:r w:rsidRPr="00D96B14">
        <w:rPr>
          <w:i/>
        </w:rPr>
        <w:t>[Insert description of purpose and nature of grant.]</w:t>
      </w:r>
    </w:p>
    <w:tbl>
      <w:tblPr>
        <w:tblW w:w="4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68"/>
      </w:tblGrid>
      <w:tr w:rsidR="00142353" w:rsidRPr="00D96B14" w:rsidTr="004843DB">
        <w:tc>
          <w:tcPr>
            <w:tcW w:w="2376" w:type="dxa"/>
            <w:tcBorders>
              <w:top w:val="single" w:sz="4" w:space="0" w:color="auto"/>
              <w:left w:val="nil"/>
              <w:bottom w:val="single" w:sz="4" w:space="0" w:color="auto"/>
              <w:right w:val="nil"/>
            </w:tcBorders>
            <w:shd w:val="clear" w:color="auto" w:fill="auto"/>
          </w:tcPr>
          <w:p w:rsidR="00142353" w:rsidRPr="00D96B14" w:rsidRDefault="00142353" w:rsidP="004843DB">
            <w:pPr>
              <w:pStyle w:val="Tabletextheading"/>
              <w:jc w:val="left"/>
            </w:pPr>
            <w:r w:rsidRPr="00D96B14">
              <w:t xml:space="preserve">Organisation </w:t>
            </w:r>
          </w:p>
        </w:tc>
        <w:tc>
          <w:tcPr>
            <w:tcW w:w="2268" w:type="dxa"/>
            <w:tcBorders>
              <w:top w:val="single" w:sz="4" w:space="0" w:color="auto"/>
              <w:left w:val="nil"/>
              <w:bottom w:val="single" w:sz="4" w:space="0" w:color="auto"/>
              <w:right w:val="nil"/>
            </w:tcBorders>
            <w:shd w:val="clear" w:color="auto" w:fill="auto"/>
            <w:vAlign w:val="center"/>
          </w:tcPr>
          <w:p w:rsidR="00142353" w:rsidRPr="00D96B14" w:rsidRDefault="00142353" w:rsidP="004843DB">
            <w:pPr>
              <w:pStyle w:val="Tabletextheading"/>
            </w:pPr>
            <w:r w:rsidRPr="00D96B14">
              <w:t>Payment $</w:t>
            </w:r>
          </w:p>
        </w:tc>
      </w:tr>
      <w:tr w:rsidR="00142353" w:rsidRPr="00D96B14" w:rsidTr="004843DB">
        <w:tc>
          <w:tcPr>
            <w:tcW w:w="2376" w:type="dxa"/>
            <w:tcBorders>
              <w:top w:val="single" w:sz="4" w:space="0" w:color="auto"/>
              <w:left w:val="nil"/>
              <w:bottom w:val="nil"/>
              <w:right w:val="nil"/>
            </w:tcBorders>
            <w:shd w:val="clear" w:color="auto" w:fill="auto"/>
          </w:tcPr>
          <w:p w:rsidR="00142353" w:rsidRPr="00D96B14" w:rsidRDefault="00142353" w:rsidP="004843DB">
            <w:pPr>
              <w:pStyle w:val="Tabletext"/>
            </w:pPr>
            <w:r w:rsidRPr="00D96B14">
              <w:t>ABC Ltd</w:t>
            </w:r>
          </w:p>
        </w:tc>
        <w:tc>
          <w:tcPr>
            <w:tcW w:w="2268" w:type="dxa"/>
            <w:tcBorders>
              <w:top w:val="single" w:sz="4" w:space="0" w:color="auto"/>
              <w:left w:val="nil"/>
              <w:bottom w:val="nil"/>
              <w:right w:val="nil"/>
            </w:tcBorders>
            <w:shd w:val="clear" w:color="auto" w:fill="auto"/>
          </w:tcPr>
          <w:p w:rsidR="00142353" w:rsidRPr="00D96B14" w:rsidRDefault="00142353" w:rsidP="004843DB">
            <w:pPr>
              <w:pStyle w:val="TableofFigures"/>
            </w:pPr>
            <w:r w:rsidRPr="00D96B14">
              <w:t>xxxx</w:t>
            </w:r>
          </w:p>
        </w:tc>
      </w:tr>
      <w:tr w:rsidR="00142353" w:rsidRPr="00D96B14" w:rsidTr="004843DB">
        <w:tc>
          <w:tcPr>
            <w:tcW w:w="2376" w:type="dxa"/>
            <w:tcBorders>
              <w:top w:val="nil"/>
              <w:left w:val="nil"/>
              <w:bottom w:val="nil"/>
              <w:right w:val="nil"/>
            </w:tcBorders>
            <w:shd w:val="clear" w:color="auto" w:fill="auto"/>
          </w:tcPr>
          <w:p w:rsidR="00142353" w:rsidRPr="00D96B14" w:rsidRDefault="00142353" w:rsidP="004843DB">
            <w:pPr>
              <w:pStyle w:val="Tabletext"/>
            </w:pPr>
            <w:r w:rsidRPr="00D96B14">
              <w:t>XYZ Division</w:t>
            </w:r>
          </w:p>
        </w:tc>
        <w:tc>
          <w:tcPr>
            <w:tcW w:w="2268" w:type="dxa"/>
            <w:tcBorders>
              <w:top w:val="nil"/>
              <w:left w:val="nil"/>
              <w:bottom w:val="nil"/>
              <w:right w:val="nil"/>
            </w:tcBorders>
            <w:shd w:val="clear" w:color="auto" w:fill="auto"/>
          </w:tcPr>
          <w:p w:rsidR="00142353" w:rsidRPr="00D96B14" w:rsidRDefault="00142353" w:rsidP="004843DB">
            <w:pPr>
              <w:pStyle w:val="TableofFigures"/>
            </w:pPr>
            <w:r w:rsidRPr="00D96B14">
              <w:t>xxxx</w:t>
            </w:r>
          </w:p>
        </w:tc>
      </w:tr>
      <w:tr w:rsidR="00142353" w:rsidRPr="00D96B14" w:rsidTr="004843DB">
        <w:tc>
          <w:tcPr>
            <w:tcW w:w="2376" w:type="dxa"/>
            <w:tcBorders>
              <w:top w:val="nil"/>
              <w:left w:val="nil"/>
              <w:bottom w:val="nil"/>
              <w:right w:val="nil"/>
            </w:tcBorders>
            <w:shd w:val="clear" w:color="auto" w:fill="auto"/>
          </w:tcPr>
          <w:p w:rsidR="00142353" w:rsidRPr="00D96B14" w:rsidRDefault="00142353" w:rsidP="004843DB">
            <w:pPr>
              <w:pStyle w:val="Tabletext"/>
            </w:pPr>
            <w:r w:rsidRPr="00D96B14">
              <w:t>Society of BBY</w:t>
            </w:r>
          </w:p>
        </w:tc>
        <w:tc>
          <w:tcPr>
            <w:tcW w:w="2268" w:type="dxa"/>
            <w:tcBorders>
              <w:top w:val="nil"/>
              <w:left w:val="nil"/>
              <w:bottom w:val="nil"/>
              <w:right w:val="nil"/>
            </w:tcBorders>
            <w:shd w:val="clear" w:color="auto" w:fill="auto"/>
          </w:tcPr>
          <w:p w:rsidR="00142353" w:rsidRPr="00D96B14" w:rsidRDefault="00142353" w:rsidP="004843DB">
            <w:pPr>
              <w:pStyle w:val="TableofFigures"/>
            </w:pPr>
            <w:r w:rsidRPr="00D96B14">
              <w:t>xxxx</w:t>
            </w:r>
          </w:p>
        </w:tc>
      </w:tr>
      <w:tr w:rsidR="00142353" w:rsidRPr="00D96B14" w:rsidTr="004843DB">
        <w:tc>
          <w:tcPr>
            <w:tcW w:w="2376" w:type="dxa"/>
            <w:tcBorders>
              <w:top w:val="nil"/>
              <w:left w:val="nil"/>
              <w:bottom w:val="nil"/>
              <w:right w:val="nil"/>
            </w:tcBorders>
            <w:shd w:val="clear" w:color="auto" w:fill="auto"/>
          </w:tcPr>
          <w:p w:rsidR="00142353" w:rsidRPr="00D96B14" w:rsidRDefault="00142353" w:rsidP="004843DB">
            <w:pPr>
              <w:pStyle w:val="Tabletext"/>
            </w:pPr>
            <w:r w:rsidRPr="00D96B14">
              <w:t>XYZ Division</w:t>
            </w:r>
          </w:p>
        </w:tc>
        <w:tc>
          <w:tcPr>
            <w:tcW w:w="2268" w:type="dxa"/>
            <w:tcBorders>
              <w:top w:val="nil"/>
              <w:left w:val="nil"/>
              <w:bottom w:val="nil"/>
              <w:right w:val="nil"/>
            </w:tcBorders>
            <w:shd w:val="clear" w:color="auto" w:fill="auto"/>
          </w:tcPr>
          <w:p w:rsidR="00142353" w:rsidRPr="00D96B14" w:rsidRDefault="00142353" w:rsidP="004843DB">
            <w:pPr>
              <w:pStyle w:val="TableofFigures"/>
            </w:pPr>
            <w:r w:rsidRPr="00D96B14">
              <w:t>xxxx</w:t>
            </w:r>
          </w:p>
        </w:tc>
      </w:tr>
      <w:tr w:rsidR="00142353" w:rsidRPr="00D96B14" w:rsidTr="004843DB">
        <w:tc>
          <w:tcPr>
            <w:tcW w:w="2376" w:type="dxa"/>
            <w:tcBorders>
              <w:top w:val="nil"/>
              <w:left w:val="nil"/>
              <w:bottom w:val="single" w:sz="12" w:space="0" w:color="auto"/>
              <w:right w:val="nil"/>
            </w:tcBorders>
            <w:shd w:val="clear" w:color="auto" w:fill="auto"/>
          </w:tcPr>
          <w:p w:rsidR="00142353" w:rsidRPr="00D96B14" w:rsidRDefault="00142353" w:rsidP="004843DB">
            <w:pPr>
              <w:pStyle w:val="Tabletext"/>
            </w:pPr>
            <w:r w:rsidRPr="00D96B14">
              <w:t>Society of BBY</w:t>
            </w:r>
          </w:p>
        </w:tc>
        <w:tc>
          <w:tcPr>
            <w:tcW w:w="2268" w:type="dxa"/>
            <w:tcBorders>
              <w:top w:val="nil"/>
              <w:left w:val="nil"/>
              <w:bottom w:val="single" w:sz="12" w:space="0" w:color="auto"/>
              <w:right w:val="nil"/>
            </w:tcBorders>
            <w:shd w:val="clear" w:color="auto" w:fill="auto"/>
          </w:tcPr>
          <w:p w:rsidR="00142353" w:rsidRPr="00D96B14" w:rsidRDefault="00142353" w:rsidP="004843DB">
            <w:pPr>
              <w:pStyle w:val="TableofFigures"/>
            </w:pPr>
            <w:r w:rsidRPr="00D96B14">
              <w:t>xxxx</w:t>
            </w:r>
          </w:p>
        </w:tc>
      </w:tr>
    </w:tbl>
    <w:p w:rsidR="00142353" w:rsidRPr="00D96B14" w:rsidRDefault="00142353" w:rsidP="00142353">
      <w:pPr>
        <w:pStyle w:val="NormalBlue"/>
        <w:rPr>
          <w:i/>
        </w:rPr>
      </w:pPr>
      <w:r w:rsidRPr="00D96B14">
        <w:rPr>
          <w:i/>
        </w:rPr>
        <w:t>[Repeat as applicable for each output.]</w:t>
      </w:r>
    </w:p>
    <w:p w:rsidR="00142353" w:rsidRPr="00D96B14" w:rsidRDefault="00142353" w:rsidP="00142353">
      <w:pPr>
        <w:rPr>
          <w:i/>
          <w:color w:val="0000FF"/>
        </w:rPr>
      </w:pPr>
    </w:p>
    <w:p w:rsidR="00142353" w:rsidRPr="00D96B14" w:rsidRDefault="00142353" w:rsidP="00142353">
      <w:pPr>
        <w:pStyle w:val="SmallLine"/>
      </w:pPr>
      <w:r w:rsidRPr="00D96B14">
        <w:br w:type="page"/>
      </w: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rPr>
          <w:sz w:val="16"/>
          <w:szCs w:val="16"/>
        </w:rPr>
      </w:pPr>
    </w:p>
    <w:p w:rsidR="00142353" w:rsidRPr="00D96B14" w:rsidRDefault="00142353" w:rsidP="00142353">
      <w:pPr>
        <w:pStyle w:val="SmallLine"/>
        <w:spacing w:before="80"/>
      </w:pPr>
      <w:r w:rsidRPr="00D96B14">
        <w:rPr>
          <w:rStyle w:val="ReferenceChar"/>
          <w:color w:val="FF0000"/>
        </w:rPr>
        <w:t>New</w:t>
      </w:r>
      <w:r w:rsidRPr="00D96B14">
        <w:br w:type="column"/>
      </w:r>
    </w:p>
    <w:p w:rsidR="00142353" w:rsidRPr="00D96B14" w:rsidRDefault="00142353" w:rsidP="00142353">
      <w:pPr>
        <w:pStyle w:val="CommentaryHeading"/>
        <w:pBdr>
          <w:top w:val="single" w:sz="4" w:space="1" w:color="auto"/>
        </w:pBdr>
      </w:pPr>
      <w:r w:rsidRPr="00D96B14">
        <w:t>Commentary – Disclosure of grants and transfer payments</w:t>
      </w:r>
    </w:p>
    <w:p w:rsidR="00142353" w:rsidRPr="00D96B14" w:rsidRDefault="00142353" w:rsidP="00142353">
      <w:pPr>
        <w:pStyle w:val="SmallLineBlue"/>
        <w:pBdr>
          <w:top w:val="single" w:sz="4" w:space="1" w:color="auto"/>
        </w:pBdr>
      </w:pPr>
    </w:p>
    <w:p w:rsidR="00142353" w:rsidRPr="00D96B14" w:rsidRDefault="00142353" w:rsidP="00142353">
      <w:pPr>
        <w:pStyle w:val="CommentaryText"/>
        <w:pBdr>
          <w:top w:val="single" w:sz="4" w:space="1" w:color="auto"/>
        </w:pBdr>
      </w:pPr>
      <w:r w:rsidRPr="00D96B14">
        <w:t xml:space="preserve">There is little detailed coverage of grant programs in the annual reports of government department and agencies. Accountable reporting for the expenditure of grant funds and delivery of grant program outcomes needs to be informative and more extensive than in previous years. </w:t>
      </w:r>
    </w:p>
    <w:p w:rsidR="00142353" w:rsidRPr="00D96B14" w:rsidRDefault="00142353" w:rsidP="00142353">
      <w:pPr>
        <w:pStyle w:val="CommentaryText"/>
        <w:pBdr>
          <w:top w:val="single" w:sz="4" w:space="1" w:color="auto"/>
        </w:pBdr>
      </w:pPr>
      <w:r w:rsidRPr="00D96B14">
        <w:t>For the purposes of annual report disclosure, the following definition can be applied for a grant, developed from that used by the Auditor</w:t>
      </w:r>
      <w:r w:rsidR="005A4BB0">
        <w:noBreakHyphen/>
      </w:r>
      <w:r w:rsidRPr="00D96B14">
        <w:t>General</w:t>
      </w:r>
      <w:r w:rsidR="005A4BB0">
        <w:t>’</w:t>
      </w:r>
      <w:r w:rsidRPr="00D96B14">
        <w:t xml:space="preserve">s report </w:t>
      </w:r>
      <w:r w:rsidRPr="00D96B14">
        <w:rPr>
          <w:i/>
        </w:rPr>
        <w:t>Grants to non</w:t>
      </w:r>
      <w:r w:rsidR="005A4BB0">
        <w:rPr>
          <w:i/>
        </w:rPr>
        <w:noBreakHyphen/>
      </w:r>
      <w:r w:rsidRPr="00D96B14">
        <w:rPr>
          <w:i/>
        </w:rPr>
        <w:t>government organisations: Improving accountability</w:t>
      </w:r>
      <w:r w:rsidRPr="00D96B14">
        <w:t>.</w:t>
      </w:r>
    </w:p>
    <w:p w:rsidR="00142353" w:rsidRPr="00D96B14" w:rsidRDefault="005A4BB0" w:rsidP="00142353">
      <w:pPr>
        <w:pStyle w:val="CommentaryText"/>
        <w:pBdr>
          <w:top w:val="single" w:sz="4" w:space="1" w:color="auto"/>
        </w:pBdr>
        <w:rPr>
          <w:i/>
        </w:rPr>
      </w:pPr>
      <w:r>
        <w:rPr>
          <w:i/>
        </w:rPr>
        <w:t>‘</w:t>
      </w:r>
      <w:r w:rsidR="00142353" w:rsidRPr="00D96B14">
        <w:rPr>
          <w:i/>
        </w:rPr>
        <w:t>A grant pertains to any monies included as a controlled expense within a department</w:t>
      </w:r>
      <w:r>
        <w:rPr>
          <w:i/>
        </w:rPr>
        <w:t>’</w:t>
      </w:r>
      <w:r w:rsidR="00142353" w:rsidRPr="00D96B14">
        <w:rPr>
          <w:i/>
        </w:rPr>
        <w:t>s output schedule that is allocated to any government entity (including general government entities and public non</w:t>
      </w:r>
      <w:r>
        <w:rPr>
          <w:i/>
        </w:rPr>
        <w:noBreakHyphen/>
      </w:r>
      <w:r w:rsidR="00142353" w:rsidRPr="00D96B14">
        <w:rPr>
          <w:i/>
        </w:rPr>
        <w:t>financial corporations), third party or parties outside the public sector and at the discretion of a department or agency, with recipients required to use the monies for the specific purposes outlined in the particular funding agreement.</w:t>
      </w:r>
      <w:r>
        <w:rPr>
          <w:i/>
        </w:rPr>
        <w:t>’</w:t>
      </w:r>
    </w:p>
    <w:p w:rsidR="00142353" w:rsidRPr="00D96B14" w:rsidRDefault="00142353" w:rsidP="00142353">
      <w:pPr>
        <w:pStyle w:val="CommentaryText"/>
        <w:pBdr>
          <w:top w:val="single" w:sz="4" w:space="1" w:color="auto"/>
        </w:pBdr>
      </w:pPr>
      <w:r w:rsidRPr="00D96B14">
        <w:t>Departments and agencies may wish to include some additional information in this section in relation to grants programs.</w:t>
      </w:r>
    </w:p>
    <w:p w:rsidR="00142353" w:rsidRPr="00D96B14" w:rsidRDefault="00142353" w:rsidP="00142353">
      <w:pPr>
        <w:pStyle w:val="CommentaryText"/>
        <w:pBdr>
          <w:top w:val="single" w:sz="4" w:space="1" w:color="auto"/>
        </w:pBdr>
        <w:rPr>
          <w:rFonts w:ascii="Calibri" w:hAnsi="Calibri" w:cs="Arial"/>
          <w:b/>
          <w:bCs/>
          <w:i/>
          <w:noProof w:val="0"/>
        </w:rPr>
      </w:pPr>
      <w:r w:rsidRPr="00D96B14">
        <w:rPr>
          <w:rFonts w:ascii="Calibri" w:hAnsi="Calibri" w:cs="Arial"/>
          <w:b/>
          <w:bCs/>
          <w:i/>
          <w:noProof w:val="0"/>
        </w:rPr>
        <w:t>Disclosure in machinery of government changes</w:t>
      </w:r>
    </w:p>
    <w:p w:rsidR="00142353" w:rsidRPr="00D96B14" w:rsidRDefault="00142353" w:rsidP="00142353">
      <w:pPr>
        <w:pStyle w:val="CommentaryText"/>
        <w:pBdr>
          <w:top w:val="single" w:sz="4" w:space="1" w:color="auto"/>
        </w:pBdr>
      </w:pPr>
      <w:r w:rsidRPr="00D96B14">
        <w:t>Recommendation 15 of PAEC Report 87 recommended the disclosure of grants and transfer payments by output. This is based on the department</w:t>
      </w:r>
      <w:r w:rsidR="005A4BB0">
        <w:t>’</w:t>
      </w:r>
      <w:r w:rsidRPr="00D96B14">
        <w:t>s responsibility of output delivery at the end of the financial year.</w:t>
      </w:r>
    </w:p>
    <w:p w:rsidR="00142353" w:rsidRPr="00D96B14" w:rsidRDefault="00142353" w:rsidP="00142353">
      <w:pPr>
        <w:pStyle w:val="CommentaryText"/>
        <w:pBdr>
          <w:top w:val="single" w:sz="4" w:space="1" w:color="auto"/>
        </w:pBdr>
      </w:pPr>
      <w:r w:rsidRPr="00D96B14">
        <w:t>In the event of a machinery of government change, the transferor department will no longer be required to disclose grants and transfer payments associated with outputs that have been transferred out to to the transferee department. The transferee department will now be required to disclose grants and transfer payments associated with the outputs for the full year because the transferee department is administratively responsible for the outputs at the end of the financial year.</w:t>
      </w:r>
    </w:p>
    <w:p w:rsidR="00142353" w:rsidRPr="00D96B14" w:rsidRDefault="00142353" w:rsidP="00142353">
      <w:pPr>
        <w:pStyle w:val="CommentaryText"/>
        <w:pBdr>
          <w:top w:val="single" w:sz="4" w:space="1" w:color="auto"/>
        </w:pBdr>
      </w:pPr>
      <w:r w:rsidRPr="00D96B14">
        <w:t>In terms of the relationship between the Report of Operations and the Financial Statements,</w:t>
      </w:r>
      <w:r w:rsidR="005A4BB0">
        <w:t xml:space="preserve"> </w:t>
      </w:r>
      <w:r w:rsidRPr="00D96B14">
        <w:t>the grants and transfer payments disclosed in the Report of Operations may not necessarily reconcile with the operating expenses in the Financial Statements (i.e. Grants and transfer payments actually paid by the department) as a result of machinery of government changes during the financial year. For transparency, it is recommended that departments make a footnote to highlight the reporting approach and include a comment to clarify that the disclosed amount will not reconcile to the financial statements.</w:t>
      </w:r>
    </w:p>
    <w:p w:rsidR="00142353" w:rsidRPr="00D96B14" w:rsidRDefault="00142353" w:rsidP="00142353">
      <w:pPr>
        <w:spacing w:line="240" w:lineRule="atLeast"/>
        <w:rPr>
          <w:rFonts w:ascii="Calibri" w:hAnsi="Calibri" w:cs="Arial"/>
          <w:b/>
          <w:bCs/>
          <w:i/>
        </w:rPr>
      </w:pPr>
      <w:r w:rsidRPr="00D96B14">
        <w:rPr>
          <w:rFonts w:ascii="Calibri" w:hAnsi="Calibri" w:cs="Arial"/>
          <w:b/>
          <w:bCs/>
          <w:i/>
        </w:rPr>
        <w:br w:type="page"/>
      </w:r>
    </w:p>
    <w:p w:rsidR="00142353" w:rsidRPr="00D96B14" w:rsidRDefault="00142353" w:rsidP="00142353"/>
    <w:p w:rsidR="00142353" w:rsidRPr="00D96B14" w:rsidRDefault="00142353" w:rsidP="00142353">
      <w:pPr>
        <w:pStyle w:val="Heading2"/>
      </w:pPr>
      <w:r w:rsidRPr="00D96B14">
        <w:rPr>
          <w:rFonts w:cs="Arial"/>
          <w:i/>
        </w:rPr>
        <w:br w:type="column"/>
      </w:r>
      <w:bookmarkEnd w:id="60"/>
      <w:r w:rsidRPr="00D96B14">
        <w:lastRenderedPageBreak/>
        <w:t xml:space="preserve">Subsequent events </w:t>
      </w:r>
    </w:p>
    <w:p w:rsidR="00142353" w:rsidRPr="00D96B14" w:rsidRDefault="00142353" w:rsidP="00142353">
      <w:r w:rsidRPr="00D96B14">
        <w:t>Subsequent to reporting period, the Government announced its intention to privatise the consulting division of the Department. Further details are provided in Note 43 of the Financial Statements.</w:t>
      </w:r>
    </w:p>
    <w:p w:rsidR="00142353" w:rsidRPr="00D96B14" w:rsidRDefault="00142353" w:rsidP="00142353">
      <w:pPr>
        <w:pStyle w:val="Notes"/>
      </w:pPr>
    </w:p>
    <w:p w:rsidR="00142353" w:rsidRPr="00D96B14" w:rsidRDefault="00142353" w:rsidP="00142353">
      <w:pPr>
        <w:pStyle w:val="CommentaryHeading"/>
      </w:pPr>
      <w:r w:rsidRPr="00D96B14">
        <w:t>Commentary – Subsequent events</w:t>
      </w:r>
    </w:p>
    <w:p w:rsidR="00142353" w:rsidRPr="00D96B14" w:rsidRDefault="00142353" w:rsidP="00142353">
      <w:pPr>
        <w:pStyle w:val="SmallLineBlue"/>
      </w:pPr>
    </w:p>
    <w:p w:rsidR="00142353" w:rsidRPr="00D96B14" w:rsidRDefault="00142353" w:rsidP="00142353">
      <w:pPr>
        <w:pStyle w:val="SmallLineBlue"/>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Reference"/>
        <w:spacing w:before="240"/>
        <w:rPr>
          <w:lang w:val="en-AU"/>
        </w:rPr>
      </w:pPr>
      <w:r w:rsidRPr="00D96B14">
        <w:rPr>
          <w:lang w:val="en-AU"/>
        </w:rPr>
        <w:lastRenderedPageBreak/>
        <w:t>FRD 22G</w:t>
      </w:r>
    </w:p>
    <w:p w:rsidR="00142353" w:rsidRPr="00D96B14" w:rsidRDefault="00142353" w:rsidP="00142353">
      <w:pPr>
        <w:pStyle w:val="CommentaryHeading1"/>
        <w:pBdr>
          <w:top w:val="none" w:sz="0" w:space="0" w:color="auto"/>
          <w:bottom w:val="none" w:sz="0" w:space="0" w:color="auto"/>
        </w:pBdr>
      </w:pPr>
      <w:r w:rsidRPr="00D96B14">
        <w:br w:type="column"/>
      </w:r>
      <w:r w:rsidRPr="00D96B14">
        <w:lastRenderedPageBreak/>
        <w:t>Guidance</w:t>
      </w:r>
    </w:p>
    <w:p w:rsidR="00142353" w:rsidRPr="00D96B14" w:rsidRDefault="00142353" w:rsidP="00142353">
      <w:pPr>
        <w:pStyle w:val="CommentaryText"/>
        <w:pBdr>
          <w:top w:val="none" w:sz="0" w:space="0" w:color="auto"/>
          <w:bottom w:val="none" w:sz="0" w:space="0" w:color="auto"/>
        </w:pBdr>
      </w:pPr>
      <w:r w:rsidRPr="00D96B14">
        <w:t xml:space="preserve">Where detailed information about subsequent events is contained in the financial statement, the report of operations should include a summary of those events with a cross reference to their disclosure in the financial statement. Refer to Note 43 Commentary in the </w:t>
      </w:r>
      <w:r w:rsidRPr="00D96B14">
        <w:rPr>
          <w:i/>
        </w:rPr>
        <w:t>Model financial statement</w:t>
      </w:r>
      <w:r w:rsidRPr="00D96B14">
        <w:t>.</w:t>
      </w:r>
    </w:p>
    <w:p w:rsidR="00142353" w:rsidRPr="00D96B14" w:rsidRDefault="00142353" w:rsidP="00142353">
      <w:pPr>
        <w:pStyle w:val="CommentaryHeading2"/>
        <w:rPr>
          <w:noProof w:val="0"/>
        </w:rPr>
      </w:pPr>
      <w:r w:rsidRPr="00D96B14">
        <w:rPr>
          <w:noProof w:val="0"/>
        </w:rPr>
        <w:t>Machinery of government changes that occurred after the reporting period</w:t>
      </w:r>
    </w:p>
    <w:p w:rsidR="00142353" w:rsidRPr="00D96B14" w:rsidRDefault="00142353" w:rsidP="00142353">
      <w:pPr>
        <w:pStyle w:val="CommentaryText"/>
        <w:pBdr>
          <w:top w:val="none" w:sz="0" w:space="0" w:color="auto"/>
        </w:pBdr>
        <w:rPr>
          <w:noProof w:val="0"/>
        </w:rPr>
      </w:pPr>
      <w:r w:rsidRPr="00D96B14">
        <w:rPr>
          <w:noProof w:val="0"/>
        </w:rPr>
        <w:t xml:space="preserve">If additional disclosures relating to any machinery of government changes occurring after the reporting period are considered useful for readers of the annual report, departments may wish to disclose general facts about the machinery of government changes that would impact on the next annual report. For example, in the case of certain outputs being transferred from one department to another department, if disclosure on the fact that those outputs would be reported under a different department in the next annual report is considered useful to readers, then both transferor and transferee should disclose general facts about the transfer (i.e. department name changes, new minister(s) name(s), output/activity shifts, etc.) in the section under subsequent events in their report of operations and financial statements. </w:t>
      </w:r>
    </w:p>
    <w:p w:rsidR="00142353" w:rsidRPr="00D96B14" w:rsidRDefault="00142353" w:rsidP="00142353">
      <w:pPr>
        <w:pStyle w:val="Notes"/>
      </w:pPr>
    </w:p>
    <w:p w:rsidR="00142353" w:rsidRPr="00D96B14" w:rsidRDefault="00142353" w:rsidP="00142353">
      <w:pPr>
        <w:spacing w:line="240" w:lineRule="atLeast"/>
        <w:rPr>
          <w:rFonts w:ascii="Calibri" w:hAnsi="Calibri" w:cs="Arial Bold"/>
          <w:b/>
          <w:bCs/>
          <w:kern w:val="28"/>
          <w:sz w:val="24"/>
          <w:szCs w:val="24"/>
        </w:rPr>
      </w:pPr>
      <w:bookmarkStart w:id="61" w:name="_Toc219779094"/>
      <w:bookmarkStart w:id="62" w:name="_Toc332019446"/>
      <w:r w:rsidRPr="00D96B14">
        <w:br w:type="page"/>
      </w:r>
    </w:p>
    <w:p w:rsidR="00142353" w:rsidRPr="00D96B14" w:rsidRDefault="00142353" w:rsidP="00142353">
      <w:pPr>
        <w:pStyle w:val="Heading2Blue"/>
        <w:rPr>
          <w:color w:val="auto"/>
        </w:rPr>
      </w:pPr>
      <w:r w:rsidRPr="00D96B14">
        <w:rPr>
          <w:color w:val="auto"/>
        </w:rPr>
        <w:lastRenderedPageBreak/>
        <w:br w:type="column"/>
      </w:r>
      <w:bookmarkStart w:id="63" w:name="_Toc448493045"/>
      <w:r w:rsidRPr="00D96B14">
        <w:rPr>
          <w:color w:val="auto"/>
        </w:rPr>
        <w:lastRenderedPageBreak/>
        <w:t>Section 2: Governance and organisational structure</w:t>
      </w:r>
      <w:bookmarkEnd w:id="61"/>
      <w:bookmarkEnd w:id="62"/>
      <w:bookmarkEnd w:id="63"/>
    </w:p>
    <w:p w:rsidR="00142353" w:rsidRPr="00D96B14" w:rsidRDefault="00142353" w:rsidP="00142353">
      <w:pPr>
        <w:pStyle w:val="SmallLine"/>
      </w:pPr>
    </w:p>
    <w:p w:rsidR="00142353" w:rsidRPr="00D96B14" w:rsidRDefault="00142353" w:rsidP="00142353">
      <w:pPr>
        <w:pStyle w:val="CommentaryHeading"/>
      </w:pPr>
      <w:r w:rsidRPr="00D96B14">
        <w:t>Commentary – Governance and organisational structure (overview)</w:t>
      </w:r>
    </w:p>
    <w:p w:rsidR="00142353" w:rsidRPr="00D96B14" w:rsidRDefault="00142353" w:rsidP="00142353">
      <w:pPr>
        <w:pStyle w:val="SmallLineBlue"/>
      </w:pPr>
    </w:p>
    <w:p w:rsidR="00142353" w:rsidRPr="00D96B14" w:rsidRDefault="00142353" w:rsidP="00142353">
      <w:pPr>
        <w:pStyle w:val="CommentaryText"/>
        <w:rPr>
          <w:b/>
          <w:bCs/>
          <w:noProof w:val="0"/>
        </w:rPr>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Reference"/>
        <w:rPr>
          <w:lang w:val="en-AU"/>
        </w:rPr>
      </w:pPr>
      <w:r w:rsidRPr="00D96B14">
        <w:rPr>
          <w:lang w:val="en-AU"/>
        </w:rPr>
        <w:lastRenderedPageBreak/>
        <w:t xml:space="preserve">FRD 22G </w:t>
      </w:r>
    </w:p>
    <w:p w:rsidR="00142353" w:rsidRPr="00D96B14" w:rsidRDefault="00142353" w:rsidP="00142353">
      <w:pPr>
        <w:pStyle w:val="CommentaryText"/>
        <w:pBdr>
          <w:top w:val="none" w:sz="0" w:space="0" w:color="auto"/>
          <w:bottom w:val="none" w:sz="0" w:space="0" w:color="auto"/>
        </w:pBdr>
      </w:pPr>
      <w:r w:rsidRPr="00D96B14">
        <w:rPr>
          <w:b/>
          <w:bCs/>
        </w:rPr>
        <w:br w:type="column"/>
      </w:r>
      <w:r w:rsidRPr="00D96B14">
        <w:rPr>
          <w:b/>
          <w:bCs/>
        </w:rPr>
        <w:lastRenderedPageBreak/>
        <w:t xml:space="preserve">FRD 22G </w:t>
      </w:r>
      <w:r w:rsidRPr="00D96B14">
        <w:t xml:space="preserve">requires that the report should include an </w:t>
      </w:r>
      <w:r w:rsidR="005A4BB0">
        <w:t>‘</w:t>
      </w:r>
      <w:r w:rsidRPr="00D96B14">
        <w:t xml:space="preserve">organisational chart detailing members of the governing board, Audit Committee, Chief Executive Officer, senior officers and their responsibilities. </w:t>
      </w: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Guidance</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This section may include a short profile on each of a department</w:t>
      </w:r>
      <w:r w:rsidR="005A4BB0">
        <w:rPr>
          <w:noProof w:val="0"/>
        </w:rPr>
        <w:t>’</w:t>
      </w:r>
      <w:r w:rsidRPr="00D96B14">
        <w:rPr>
          <w:noProof w:val="0"/>
        </w:rPr>
        <w:t>s ministers, outlining their portfolio, area of responsibility and other portfolios held by the minister. Profiles of each of a department</w:t>
      </w:r>
      <w:r w:rsidR="005A4BB0">
        <w:rPr>
          <w:noProof w:val="0"/>
        </w:rPr>
        <w:t>’</w:t>
      </w:r>
      <w:r w:rsidRPr="00D96B14">
        <w:rPr>
          <w:noProof w:val="0"/>
        </w:rPr>
        <w:t xml:space="preserve">s senior executives, outlining their role and professional background should also be included. </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 xml:space="preserve">It may be useful to include stock photos of each minister and relevant secretary/CEO with their profiles for people who use the annual report as a research tool prior to making contact with a department. </w:t>
      </w:r>
    </w:p>
    <w:p w:rsidR="00142353" w:rsidRPr="00D96B14" w:rsidRDefault="00142353" w:rsidP="00142353">
      <w:pPr>
        <w:pStyle w:val="CommentaryText"/>
        <w:pBdr>
          <w:top w:val="none" w:sz="0" w:space="0" w:color="auto"/>
        </w:pBdr>
      </w:pPr>
      <w:r w:rsidRPr="00D96B14">
        <w:t xml:space="preserve">The organisational chart should show the names of the senior executives and the areas they are responsible for. Below the level of senior executive, names do not need to be shown, however sufficient detail should be included to show the areas of responsibility or key activities undertaken by a department. </w:t>
      </w:r>
    </w:p>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bookmarkStart w:id="64" w:name="_Toc219779095"/>
    </w:p>
    <w:p w:rsidR="00142353" w:rsidRPr="00D96B14" w:rsidRDefault="00142353" w:rsidP="00142353">
      <w:pPr>
        <w:pStyle w:val="Reference"/>
        <w:spacing w:before="240"/>
      </w:pPr>
      <w:r w:rsidRPr="00D96B14">
        <w:rPr>
          <w:rStyle w:val="ReferenceChar"/>
        </w:rPr>
        <w:lastRenderedPageBreak/>
        <w:t>FRD 22G</w:t>
      </w:r>
    </w:p>
    <w:p w:rsidR="00142353" w:rsidRPr="00D96B14" w:rsidRDefault="00142353" w:rsidP="00142353">
      <w:pPr>
        <w:pStyle w:val="Heading2"/>
      </w:pPr>
      <w:r w:rsidRPr="00D96B14">
        <w:br w:type="column"/>
      </w:r>
      <w:r w:rsidRPr="00D96B14">
        <w:lastRenderedPageBreak/>
        <w:t>Organisational structure and corporate governance arrangements</w:t>
      </w:r>
      <w:bookmarkEnd w:id="64"/>
      <w:r w:rsidRPr="00D96B14">
        <w:t xml:space="preserve"> </w:t>
      </w:r>
    </w:p>
    <w:p w:rsidR="00142353" w:rsidRPr="00D96B14" w:rsidRDefault="00142353" w:rsidP="00142353">
      <w:pPr>
        <w:pStyle w:val="Heading3"/>
      </w:pPr>
      <w:r w:rsidRPr="00D96B14">
        <w:t>The Department</w:t>
      </w:r>
      <w:r w:rsidR="005A4BB0">
        <w:t>’</w:t>
      </w:r>
      <w:r w:rsidRPr="00D96B14">
        <w:t>s Ministers</w:t>
      </w:r>
    </w:p>
    <w:p w:rsidR="00142353" w:rsidRPr="00D96B14" w:rsidRDefault="00142353" w:rsidP="00142353">
      <w:pPr>
        <w:pStyle w:val="Heading4"/>
      </w:pPr>
      <w:r w:rsidRPr="00D96B14">
        <w:t>Minister for Technology</w:t>
      </w:r>
    </w:p>
    <w:p w:rsidR="00142353" w:rsidRPr="00D96B14" w:rsidRDefault="00142353" w:rsidP="00142353">
      <w:r w:rsidRPr="00D96B14">
        <w:t xml:space="preserve">The Hon. John Bristol MP was appointed as the Minister for Technology in May 2015. He is also the Minister for Parks and Forests. </w:t>
      </w:r>
    </w:p>
    <w:p w:rsidR="00142353" w:rsidRPr="00D96B14" w:rsidRDefault="00142353" w:rsidP="00142353">
      <w:r w:rsidRPr="00D96B14">
        <w:t>The Minister for Technology is responsible for promoting the development of the technology sector in Victoria. The Minister also manages the provision of technology services to the Government.</w:t>
      </w:r>
    </w:p>
    <w:p w:rsidR="00142353" w:rsidRPr="00D96B14" w:rsidRDefault="00142353" w:rsidP="00142353">
      <w:pPr>
        <w:pStyle w:val="NormalBlue"/>
        <w:rPr>
          <w:i/>
        </w:rPr>
      </w:pPr>
      <w:r w:rsidRPr="00D96B14">
        <w:rPr>
          <w:i/>
        </w:rPr>
        <w:t>[Insert picture here]</w:t>
      </w:r>
    </w:p>
    <w:p w:rsidR="00142353" w:rsidRPr="00D96B14" w:rsidRDefault="00142353" w:rsidP="00142353">
      <w:pPr>
        <w:pStyle w:val="Heading4"/>
      </w:pPr>
      <w:r w:rsidRPr="00D96B14">
        <w:t>Minister for Biotechnology</w:t>
      </w:r>
    </w:p>
    <w:p w:rsidR="00142353" w:rsidRPr="00D96B14" w:rsidRDefault="00142353" w:rsidP="00142353">
      <w:r w:rsidRPr="00D96B14">
        <w:t xml:space="preserve">The Hon. Laura Toddingham MP was appointed as the Minister for Biotechnology in May 2015. She is also the Minister for Rural Communities. </w:t>
      </w:r>
    </w:p>
    <w:p w:rsidR="00142353" w:rsidRPr="00D96B14" w:rsidRDefault="00142353" w:rsidP="00142353">
      <w:r w:rsidRPr="00D96B14">
        <w:t>The Minister for Biotechnology is responsible for the regulation of Victoria</w:t>
      </w:r>
      <w:r w:rsidR="005A4BB0">
        <w:t>’</w:t>
      </w:r>
      <w:r w:rsidRPr="00D96B14">
        <w:t>s biotechnology sector and managing research and development activities conducted by the Government.</w:t>
      </w:r>
    </w:p>
    <w:p w:rsidR="00142353" w:rsidRPr="00D96B14" w:rsidRDefault="00142353" w:rsidP="00142353">
      <w:pPr>
        <w:pStyle w:val="NormalBlue"/>
        <w:rPr>
          <w:i/>
        </w:rPr>
      </w:pPr>
      <w:r w:rsidRPr="00D96B14">
        <w:rPr>
          <w:i/>
        </w:rPr>
        <w:t>[Insert picture here]</w:t>
      </w:r>
    </w:p>
    <w:p w:rsidR="00142353" w:rsidRPr="00D96B14" w:rsidRDefault="00142353" w:rsidP="00142353">
      <w:pPr>
        <w:pStyle w:val="Heading3"/>
      </w:pPr>
      <w:r w:rsidRPr="00D96B14">
        <w:t>The Department</w:t>
      </w:r>
      <w:r w:rsidR="005A4BB0">
        <w:t>’</w:t>
      </w:r>
      <w:r w:rsidRPr="00D96B14">
        <w:t>s Senior Executives</w:t>
      </w:r>
    </w:p>
    <w:p w:rsidR="00142353" w:rsidRPr="00D96B14" w:rsidRDefault="00142353" w:rsidP="00142353">
      <w:r w:rsidRPr="00D96B14">
        <w:t>The Department is led by the Secretary who reports to the Minister for Technology and the Minister for Biotechnology. The Department is managed by a senior executive group comprising the head of each of the Department</w:t>
      </w:r>
      <w:r w:rsidR="005A4BB0">
        <w:t>’</w:t>
      </w:r>
      <w:r w:rsidRPr="00D96B14">
        <w:t>s four divisions. The role of the senior executive group is to set, monitor and review the strategic direction of the Department.</w:t>
      </w:r>
    </w:p>
    <w:p w:rsidR="00142353" w:rsidRPr="00D96B14" w:rsidRDefault="00142353" w:rsidP="00142353">
      <w:pPr>
        <w:pStyle w:val="Heading4"/>
      </w:pPr>
      <w:r w:rsidRPr="00D96B14">
        <w:t>Jane Smith</w:t>
      </w:r>
    </w:p>
    <w:p w:rsidR="00142353" w:rsidRPr="00D96B14" w:rsidRDefault="00142353" w:rsidP="00142353">
      <w:r w:rsidRPr="00D96B14">
        <w:t>Jane Smith was appointed Secretary of the Department in July 2014. She leads the Department in developing and implementing government technology policy. She is responsible for giving policy advice to ministers and providing support to Cabinet on matters within the Department</w:t>
      </w:r>
      <w:r w:rsidR="005A4BB0">
        <w:t>’</w:t>
      </w:r>
      <w:r w:rsidRPr="00D96B14">
        <w:t>s portfolio.</w:t>
      </w:r>
    </w:p>
    <w:p w:rsidR="00142353" w:rsidRPr="00D96B14" w:rsidRDefault="00142353" w:rsidP="00142353">
      <w:pPr>
        <w:spacing w:line="240" w:lineRule="atLeast"/>
        <w:rPr>
          <w:i/>
          <w:iCs/>
          <w:color w:val="0000FF"/>
        </w:rPr>
      </w:pPr>
      <w:r w:rsidRPr="00D96B14">
        <w:rPr>
          <w:i/>
          <w:iCs/>
        </w:rPr>
        <w:br w:type="page"/>
      </w:r>
    </w:p>
    <w:p w:rsidR="00142353" w:rsidRPr="00D96B14" w:rsidRDefault="00142353" w:rsidP="00142353">
      <w:pPr>
        <w:pStyle w:val="NormalBlue"/>
        <w:rPr>
          <w:i/>
          <w:iCs/>
        </w:rPr>
      </w:pPr>
      <w:r w:rsidRPr="00D96B14">
        <w:rPr>
          <w:i/>
          <w:iCs/>
        </w:rPr>
        <w:lastRenderedPageBreak/>
        <w:br w:type="column"/>
      </w:r>
      <w:r w:rsidRPr="00D96B14">
        <w:rPr>
          <w:i/>
          <w:iCs/>
        </w:rPr>
        <w:lastRenderedPageBreak/>
        <w:t>[Optional picture]</w:t>
      </w:r>
    </w:p>
    <w:p w:rsidR="00142353" w:rsidRPr="00D96B14" w:rsidRDefault="00142353" w:rsidP="00142353">
      <w:pPr>
        <w:pStyle w:val="Heading4"/>
      </w:pPr>
      <w:r w:rsidRPr="00D96B14">
        <w:t>John Tails</w:t>
      </w:r>
    </w:p>
    <w:p w:rsidR="00142353" w:rsidRPr="00D96B14" w:rsidRDefault="00142353" w:rsidP="00142353">
      <w:r w:rsidRPr="00D96B14">
        <w:t>John heads the Strategic Policy Advice division of the Department and has done so since August 2014. John is responsible for coordinating the Department</w:t>
      </w:r>
      <w:r w:rsidR="005A4BB0">
        <w:t>’</w:t>
      </w:r>
      <w:r w:rsidRPr="00D96B14">
        <w:t>s strategic policy advice to Government, including advice on the Department</w:t>
      </w:r>
      <w:r w:rsidR="005A4BB0">
        <w:t>’</w:t>
      </w:r>
      <w:r w:rsidRPr="00D96B14">
        <w:t xml:space="preserve">s involvement in private sector ventures. </w:t>
      </w:r>
    </w:p>
    <w:p w:rsidR="00142353" w:rsidRPr="00D96B14" w:rsidRDefault="00142353" w:rsidP="00142353">
      <w:pPr>
        <w:pStyle w:val="Heading4"/>
      </w:pPr>
      <w:r w:rsidRPr="00D96B14">
        <w:t>Paul Germs</w:t>
      </w:r>
    </w:p>
    <w:p w:rsidR="00142353" w:rsidRPr="00D96B14" w:rsidRDefault="00142353" w:rsidP="00142353">
      <w:r w:rsidRPr="00D96B14">
        <w:t>Paul heads the Research and Development Biological Technologies division which coordinates the activities undertaken by several units of the Department in respect of research and development of new biological technology. Paul has extensive experience in pure and applied research and development programs, having previously held senior positions at various educational and research institutions. Paul was appointed in July 2014.</w:t>
      </w:r>
    </w:p>
    <w:p w:rsidR="00142353" w:rsidRPr="00D96B14" w:rsidRDefault="00142353" w:rsidP="00142353">
      <w:pPr>
        <w:pStyle w:val="Heading4"/>
      </w:pPr>
      <w:r w:rsidRPr="00D96B14">
        <w:t>Gail Mods</w:t>
      </w:r>
    </w:p>
    <w:p w:rsidR="00142353" w:rsidRPr="00D96B14" w:rsidRDefault="00142353" w:rsidP="00142353">
      <w:r w:rsidRPr="00D96B14">
        <w:t xml:space="preserve">Gail heads the Information Technology and Telecommunication Services division of the Department which supplies payroll, accounting and database management bureau services to other agencies and governments. Gail was appointed in December 2014. </w:t>
      </w:r>
    </w:p>
    <w:p w:rsidR="00142353" w:rsidRPr="00D96B14" w:rsidRDefault="00142353" w:rsidP="00142353">
      <w:pPr>
        <w:pStyle w:val="Heading4"/>
      </w:pPr>
      <w:r w:rsidRPr="00D96B14">
        <w:t>Robert McIvor</w:t>
      </w:r>
    </w:p>
    <w:p w:rsidR="00142353" w:rsidRPr="00D96B14" w:rsidRDefault="00142353" w:rsidP="00142353">
      <w:r w:rsidRPr="00D96B14">
        <w:t>Robert is the Department</w:t>
      </w:r>
      <w:r w:rsidR="005A4BB0">
        <w:t>’</w:t>
      </w:r>
      <w:r w:rsidRPr="00D96B14">
        <w:t>s Chief Finance and Accounting Officer and was appointed in May 2014. He is responsible for maintaining and developing the Department</w:t>
      </w:r>
      <w:r w:rsidR="005A4BB0">
        <w:t>’</w:t>
      </w:r>
      <w:r w:rsidRPr="00D96B14">
        <w:t>s financial management systems, and providing a full range of financial and accounting services.</w:t>
      </w:r>
    </w:p>
    <w:p w:rsidR="00142353" w:rsidRPr="00D96B14" w:rsidRDefault="00142353" w:rsidP="00142353">
      <w:pPr>
        <w:pStyle w:val="ReferenceRed"/>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SmallLine"/>
      </w:pPr>
    </w:p>
    <w:p w:rsidR="00142353" w:rsidRPr="00D96B14" w:rsidRDefault="00142353" w:rsidP="00142353">
      <w:pPr>
        <w:pStyle w:val="Reference"/>
        <w:rPr>
          <w:rStyle w:val="ReferenceChar"/>
        </w:rPr>
      </w:pPr>
      <w:r w:rsidRPr="00D96B14">
        <w:rPr>
          <w:rStyle w:val="ReferenceChar"/>
        </w:rPr>
        <w:t>FRD 22G</w:t>
      </w:r>
    </w:p>
    <w:p w:rsidR="00142353" w:rsidRPr="00D96B14" w:rsidRDefault="00142353" w:rsidP="00142353">
      <w:pPr>
        <w:pStyle w:val="Heading2"/>
      </w:pPr>
      <w:r w:rsidRPr="00D96B14">
        <w:br w:type="column"/>
      </w:r>
      <w:bookmarkStart w:id="65" w:name="_Toc192644504"/>
      <w:r w:rsidRPr="00D96B14">
        <w:lastRenderedPageBreak/>
        <w:t>Organisational structure</w:t>
      </w:r>
      <w:bookmarkEnd w:id="65"/>
    </w:p>
    <w:p w:rsidR="00142353" w:rsidRPr="00D96B14" w:rsidRDefault="00142353" w:rsidP="00142353">
      <w:pPr>
        <w:pStyle w:val="Notes"/>
        <w:rPr>
          <w:rFonts w:ascii="Arial" w:hAnsi="Arial" w:cs="Arial"/>
        </w:rPr>
      </w:pPr>
      <w:r w:rsidRPr="00D96B14">
        <w:object w:dxaOrig="9874" w:dyaOrig="5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12.25pt" o:ole="">
            <v:imagedata r:id="rId67" o:title=""/>
          </v:shape>
          <o:OLEObject Type="Embed" ProgID="Visio.Drawing.11" ShapeID="_x0000_i1025" DrawAspect="Content" ObjectID="_1578397772" r:id="rId68"/>
        </w:object>
      </w:r>
      <w:bookmarkStart w:id="66" w:name="_MON_1359788141"/>
      <w:bookmarkStart w:id="67" w:name="_MON_1359791917"/>
      <w:bookmarkStart w:id="68" w:name="_MON_1360053069"/>
      <w:bookmarkStart w:id="69" w:name="_MON_1360053080"/>
      <w:bookmarkStart w:id="70" w:name="_MON_1360053082"/>
      <w:bookmarkStart w:id="71" w:name="_MON_1360053170"/>
      <w:bookmarkStart w:id="72" w:name="_MON_1360053176"/>
      <w:bookmarkStart w:id="73" w:name="_MON_1397977694"/>
      <w:bookmarkStart w:id="74" w:name="_MON_1301209540"/>
      <w:bookmarkStart w:id="75" w:name="_MON_1301209970"/>
      <w:bookmarkStart w:id="76" w:name="_MON_1301209979"/>
      <w:bookmarkStart w:id="77" w:name="_MON_1311681841"/>
      <w:bookmarkStart w:id="78" w:name="_MON_1313912435"/>
      <w:bookmarkStart w:id="79" w:name="_MON_1326604788"/>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spacing w:before="240"/>
      </w:pPr>
      <w:r w:rsidRPr="00D96B14">
        <w:lastRenderedPageBreak/>
        <w:t>SD 2.2(f)</w:t>
      </w:r>
    </w:p>
    <w:p w:rsidR="00142353" w:rsidRPr="00D96B14" w:rsidRDefault="00142353" w:rsidP="00142353">
      <w:pPr>
        <w:pStyle w:val="Reference"/>
        <w:spacing w:before="0"/>
      </w:pPr>
      <w:r w:rsidRPr="00D96B14">
        <w:t>FRD 22G</w:t>
      </w:r>
    </w:p>
    <w:p w:rsidR="00142353" w:rsidRPr="00D96B14" w:rsidRDefault="00142353" w:rsidP="00142353">
      <w:pPr>
        <w:pStyle w:val="Heading2"/>
      </w:pPr>
      <w:r w:rsidRPr="00D96B14">
        <w:br w:type="column"/>
      </w:r>
      <w:bookmarkStart w:id="80" w:name="_Toc219779096"/>
      <w:r w:rsidRPr="00D96B14">
        <w:lastRenderedPageBreak/>
        <w:t>Audit Committee membership and roles</w:t>
      </w:r>
      <w:bookmarkEnd w:id="80"/>
    </w:p>
    <w:p w:rsidR="00142353" w:rsidRPr="00D96B14" w:rsidRDefault="00142353" w:rsidP="00142353">
      <w:r w:rsidRPr="00D96B14">
        <w:t>The Audit Committee consists of the following members:</w:t>
      </w:r>
    </w:p>
    <w:p w:rsidR="00142353" w:rsidRPr="00D96B14" w:rsidRDefault="00142353" w:rsidP="00142353">
      <w:pPr>
        <w:pStyle w:val="Bullet"/>
      </w:pPr>
      <w:r w:rsidRPr="00D96B14">
        <w:t xml:space="preserve">C A Maxwell, Chairman (independent member); </w:t>
      </w:r>
    </w:p>
    <w:p w:rsidR="00142353" w:rsidRPr="00D96B14" w:rsidRDefault="00142353" w:rsidP="00142353">
      <w:pPr>
        <w:pStyle w:val="Bullet"/>
      </w:pPr>
      <w:r w:rsidRPr="00D96B14">
        <w:t xml:space="preserve">A L Cunningham (independent member); </w:t>
      </w:r>
    </w:p>
    <w:p w:rsidR="00142353" w:rsidRPr="00D96B14" w:rsidRDefault="00142353" w:rsidP="00142353">
      <w:pPr>
        <w:pStyle w:val="Bullet"/>
      </w:pPr>
      <w:r w:rsidRPr="00D96B14">
        <w:t xml:space="preserve">R J Hunter; </w:t>
      </w:r>
    </w:p>
    <w:p w:rsidR="00142353" w:rsidRPr="00D96B14" w:rsidRDefault="00142353" w:rsidP="00142353">
      <w:pPr>
        <w:pStyle w:val="Bullet"/>
      </w:pPr>
      <w:r w:rsidRPr="00D96B14">
        <w:t>B A Wilson; and</w:t>
      </w:r>
    </w:p>
    <w:p w:rsidR="00142353" w:rsidRPr="00D96B14" w:rsidRDefault="00142353" w:rsidP="00142353">
      <w:pPr>
        <w:pStyle w:val="Bullet"/>
      </w:pPr>
      <w:r w:rsidRPr="00D96B14">
        <w:t>J S Curtis.</w:t>
      </w:r>
    </w:p>
    <w:p w:rsidR="00142353" w:rsidRPr="00D96B14" w:rsidRDefault="00142353" w:rsidP="00142353">
      <w:pPr>
        <w:spacing w:line="240" w:lineRule="atLeast"/>
      </w:pPr>
      <w:r w:rsidRPr="00D96B14">
        <w:br w:type="page"/>
      </w:r>
    </w:p>
    <w:p w:rsidR="00142353" w:rsidRPr="00D96B14" w:rsidRDefault="00142353" w:rsidP="00142353">
      <w:r w:rsidRPr="00D96B14">
        <w:lastRenderedPageBreak/>
        <w:br w:type="column"/>
      </w:r>
      <w:r w:rsidRPr="00D96B14">
        <w:lastRenderedPageBreak/>
        <w:t>The main responsibilities of the audit committee are to:</w:t>
      </w:r>
    </w:p>
    <w:p w:rsidR="00142353" w:rsidRPr="00D96B14" w:rsidRDefault="00142353" w:rsidP="00142353">
      <w:pPr>
        <w:pStyle w:val="Bullet"/>
      </w:pPr>
      <w:r w:rsidRPr="00D96B14">
        <w:t>review and report independently to the Secretary and ministers on the annual report and all other financial information published by the Department;</w:t>
      </w:r>
    </w:p>
    <w:p w:rsidR="00142353" w:rsidRPr="00D96B14" w:rsidRDefault="00142353" w:rsidP="00142353">
      <w:pPr>
        <w:pStyle w:val="Bullet"/>
      </w:pPr>
      <w:r w:rsidRPr="00D96B14">
        <w:t>assist the Secretary and ministers in reviewing the effectiveness of the Department</w:t>
      </w:r>
      <w:r w:rsidR="005A4BB0">
        <w:t>’</w:t>
      </w:r>
      <w:r w:rsidRPr="00D96B14">
        <w:t>s internal control environment covering:</w:t>
      </w:r>
    </w:p>
    <w:p w:rsidR="00142353" w:rsidRPr="00D96B14" w:rsidRDefault="00142353" w:rsidP="00142353">
      <w:pPr>
        <w:pStyle w:val="Dash"/>
      </w:pPr>
      <w:r w:rsidRPr="00D96B14">
        <w:t>effectiveness and efficiency of operations;</w:t>
      </w:r>
    </w:p>
    <w:p w:rsidR="00142353" w:rsidRPr="00D96B14" w:rsidRDefault="00142353" w:rsidP="00142353">
      <w:pPr>
        <w:pStyle w:val="Dash"/>
      </w:pPr>
      <w:r w:rsidRPr="00D96B14">
        <w:t>reliability of financial reporting; and</w:t>
      </w:r>
    </w:p>
    <w:p w:rsidR="00142353" w:rsidRPr="00D96B14" w:rsidRDefault="00142353" w:rsidP="00142353">
      <w:pPr>
        <w:pStyle w:val="Dash"/>
      </w:pPr>
      <w:r w:rsidRPr="00D96B14">
        <w:t xml:space="preserve">compliance with applicable laws and regulations; </w:t>
      </w:r>
    </w:p>
    <w:p w:rsidR="00142353" w:rsidRPr="00D96B14" w:rsidRDefault="00142353" w:rsidP="00142353">
      <w:pPr>
        <w:pStyle w:val="Bullet"/>
      </w:pPr>
      <w:r w:rsidRPr="00D96B14">
        <w:t>determine the scope of the internal audit function and ensure that its resources are adequate and used effectively, including coordination with the external auditors; and</w:t>
      </w:r>
    </w:p>
    <w:p w:rsidR="00142353" w:rsidRPr="00D96B14" w:rsidRDefault="00142353" w:rsidP="00142353">
      <w:pPr>
        <w:pStyle w:val="Bullet"/>
      </w:pPr>
      <w:r w:rsidRPr="00D96B14">
        <w:t>oversee the effective operation of the risk management framework.</w:t>
      </w:r>
    </w:p>
    <w:p w:rsidR="00142353" w:rsidRPr="00D96B14" w:rsidRDefault="00142353" w:rsidP="00142353">
      <w:pPr>
        <w:pStyle w:val="Heading2"/>
        <w:sectPr w:rsidR="00142353" w:rsidRPr="00D96B14" w:rsidSect="00190A01">
          <w:type w:val="continuous"/>
          <w:pgSz w:w="11906" w:h="16838" w:code="9"/>
          <w:pgMar w:top="1152" w:right="864" w:bottom="1152" w:left="864" w:header="432" w:footer="432" w:gutter="0"/>
          <w:cols w:num="2" w:space="360" w:equalWidth="0">
            <w:col w:w="1440" w:space="360"/>
            <w:col w:w="8090"/>
          </w:cols>
        </w:sectPr>
      </w:pPr>
      <w:r w:rsidRPr="00D96B14">
        <w:t>Occupational health and safety</w:t>
      </w:r>
    </w:p>
    <w:p w:rsidR="00142353" w:rsidRPr="00D96B14" w:rsidRDefault="00142353" w:rsidP="00142353">
      <w:pPr>
        <w:pStyle w:val="Reference"/>
        <w:rPr>
          <w:lang w:val="en-AU"/>
        </w:rPr>
      </w:pPr>
      <w:r w:rsidRPr="00D96B14">
        <w:rPr>
          <w:lang w:val="en-AU"/>
        </w:rPr>
        <w:lastRenderedPageBreak/>
        <w:t>FRD 22G</w:t>
      </w:r>
    </w:p>
    <w:p w:rsidR="00142353" w:rsidRPr="00D96B14" w:rsidRDefault="00142353" w:rsidP="00142353">
      <w:pPr>
        <w:pStyle w:val="Reference"/>
      </w:pPr>
      <w:r w:rsidRPr="00D96B14">
        <w:t>Best practice based on disclosure made by Department of Justice, recommended by PAEC</w:t>
      </w:r>
    </w:p>
    <w:p w:rsidR="00142353" w:rsidRPr="00D96B14" w:rsidRDefault="00142353" w:rsidP="00142353"/>
    <w:p w:rsidR="00142353" w:rsidRPr="00D96B14" w:rsidRDefault="00142353" w:rsidP="00142353">
      <w:r w:rsidRPr="00D96B14">
        <w:br w:type="column"/>
      </w:r>
      <w:r w:rsidRPr="00D96B14">
        <w:lastRenderedPageBreak/>
        <w:t>The goal of the Department</w:t>
      </w:r>
      <w:r w:rsidR="005A4BB0">
        <w:t>’</w:t>
      </w:r>
      <w:r w:rsidRPr="00D96B14">
        <w:t>s occupational health and safety (OH&amp;S) strategy is to ensure all staff remain safe and healthy at work. An OH&amp;S management system has been put in place and the majority of business units within the Department have implemented OH&amp;S local action plans aimed at enhancing safety performance and ensuring safe systems of work. The employee attitude survey results (KPI 15) indicated improved attention to OH&amp;S matters in the Department and a high level of commitment to OH&amp;S management.</w:t>
      </w:r>
    </w:p>
    <w:p w:rsidR="00142353" w:rsidRPr="00D96B14" w:rsidRDefault="00142353" w:rsidP="00142353">
      <w:r w:rsidRPr="00D96B14">
        <w:t>During the 2015</w:t>
      </w:r>
      <w:r w:rsidR="005A4BB0">
        <w:noBreakHyphen/>
      </w:r>
      <w:r w:rsidRPr="00D96B14">
        <w:t>16 financial year, the Department developed a number of initiatives to improve the health and safety of staff including the OH&amp;S bulletin, ergonomic assessments, quarterly safety audits to identify and address any workplace risks, the occupational risk reduction program, and the healthy lifestyle training program.</w:t>
      </w:r>
    </w:p>
    <w:p w:rsidR="00142353" w:rsidRPr="00D96B14" w:rsidRDefault="00142353" w:rsidP="00142353">
      <w:pPr>
        <w:pStyle w:val="NormalBlue"/>
        <w:rPr>
          <w:i/>
        </w:rPr>
      </w:pPr>
      <w:r w:rsidRPr="00D96B14">
        <w:rPr>
          <w:i/>
        </w:rPr>
        <w:t>[While the example best practice disclosure has been included in the body of the report, consideration might be given to structuring such disclosures as a short summary supported by a detailed appendix.]</w:t>
      </w:r>
    </w:p>
    <w:p w:rsidR="00142353" w:rsidRPr="00D96B14" w:rsidRDefault="00142353" w:rsidP="00142353">
      <w:pPr>
        <w:pStyle w:val="Heading3"/>
      </w:pPr>
      <w:r w:rsidRPr="00D96B14">
        <w:t>Incident management</w:t>
      </w:r>
    </w:p>
    <w:p w:rsidR="00142353" w:rsidRPr="00D96B14" w:rsidRDefault="00142353" w:rsidP="00142353">
      <w:r w:rsidRPr="00D96B14">
        <w:t>Incidents across the Department increased by 1.7 per cent per 100 FTE in 2015</w:t>
      </w:r>
      <w:r w:rsidR="005A4BB0">
        <w:noBreakHyphen/>
      </w:r>
      <w:r w:rsidRPr="00D96B14">
        <w:t>16. Incidents include injuries and other hazards (non</w:t>
      </w:r>
      <w:r w:rsidR="005A4BB0">
        <w:noBreakHyphen/>
      </w:r>
      <w:r w:rsidRPr="00D96B14">
        <w:t>injury) related incidents. In real terms, the increase equates to 74 additional reported incidents compared with the previous year.</w:t>
      </w:r>
    </w:p>
    <w:p w:rsidR="00142353" w:rsidRPr="00D96B14" w:rsidRDefault="00142353" w:rsidP="00142353">
      <w:r w:rsidRPr="00D96B14">
        <w:t>The increase was expected and is driven by the introduction of the Department</w:t>
      </w:r>
      <w:r w:rsidR="005A4BB0">
        <w:t>’</w:t>
      </w:r>
      <w:r w:rsidRPr="00D96B14">
        <w:t>s online reporting system and an increased awareness of incident reporting among staff, which significantly increased reporting across the Department (refer to Figure 1).</w:t>
      </w:r>
    </w:p>
    <w:p w:rsidR="00142353" w:rsidRPr="00D96B14" w:rsidRDefault="00142353" w:rsidP="00142353">
      <w:pPr>
        <w:spacing w:line="240" w:lineRule="atLeast"/>
      </w:pPr>
      <w:r w:rsidRPr="00D96B14">
        <w:br w:type="page"/>
      </w:r>
    </w:p>
    <w:p w:rsidR="008D095E" w:rsidRDefault="008D095E" w:rsidP="00142353">
      <w:pPr>
        <w:pStyle w:val="Reference"/>
        <w:spacing w:before="320"/>
        <w:rPr>
          <w:lang w:val="en-AU"/>
        </w:rPr>
      </w:pPr>
    </w:p>
    <w:p w:rsidR="00142353" w:rsidRPr="00D96B14" w:rsidRDefault="00142353" w:rsidP="008D095E">
      <w:pPr>
        <w:pStyle w:val="Reference"/>
        <w:spacing w:before="120"/>
      </w:pPr>
      <w:r w:rsidRPr="00D96B14">
        <w:rPr>
          <w:lang w:val="en-AU"/>
        </w:rPr>
        <w:t>FRD 22G</w:t>
      </w:r>
    </w:p>
    <w:p w:rsidR="00142353" w:rsidRPr="00D96B14" w:rsidRDefault="00142353" w:rsidP="00142353">
      <w:pPr>
        <w:pStyle w:val="Reference"/>
        <w:rPr>
          <w:lang w:val="en-AU"/>
        </w:rPr>
      </w:pPr>
      <w:r w:rsidRPr="00D96B14">
        <w:rPr>
          <w:lang w:val="en-AU"/>
        </w:rPr>
        <w:t>Best practice based on disclosure made by Department of Justice, recommended by PAEC</w:t>
      </w:r>
    </w:p>
    <w:p w:rsidR="00142353" w:rsidRPr="00D96B14" w:rsidRDefault="00142353" w:rsidP="00142353"/>
    <w:p w:rsidR="00142353" w:rsidRPr="00D96B14" w:rsidRDefault="00142353" w:rsidP="00142353"/>
    <w:p w:rsidR="00142353" w:rsidRPr="00D96B14" w:rsidRDefault="00142353" w:rsidP="00142353"/>
    <w:p w:rsidR="00142353" w:rsidRPr="00D96B14" w:rsidRDefault="00142353" w:rsidP="00142353"/>
    <w:p w:rsidR="00142353" w:rsidRPr="00D96B14" w:rsidRDefault="00142353" w:rsidP="00142353">
      <w:pPr>
        <w:pStyle w:val="SmallLine"/>
      </w:pPr>
    </w:p>
    <w:p w:rsidR="00142353" w:rsidRPr="00D96B14" w:rsidRDefault="00142353" w:rsidP="002D04F1">
      <w:pPr>
        <w:pStyle w:val="Notes"/>
        <w:ind w:left="0" w:firstLine="0"/>
      </w:pPr>
      <w:r w:rsidRPr="00D96B14">
        <w:br w:type="column"/>
      </w:r>
      <w:r w:rsidR="002D04F1">
        <w:object w:dxaOrig="8647" w:dyaOrig="5347">
          <v:shape id="_x0000_i1026" type="#_x0000_t75" style="width:5in;height:223.5pt" o:ole="">
            <v:imagedata r:id="rId69" o:title=""/>
          </v:shape>
          <o:OLEObject Type="Embed" ProgID="Excel.Sheet.12" ShapeID="_x0000_i1026" DrawAspect="Content" ObjectID="_1578397773" r:id="rId70"/>
        </w:object>
      </w:r>
    </w:p>
    <w:p w:rsidR="00142353" w:rsidRDefault="00142353" w:rsidP="00142353">
      <w:r w:rsidRPr="00D96B14">
        <w:t>While the number of standard claims rose marginally in 2015</w:t>
      </w:r>
      <w:r w:rsidR="005A4BB0">
        <w:noBreakHyphen/>
      </w:r>
      <w:r w:rsidRPr="00D96B14">
        <w:t>16, mainly due to predicted increases in muscular skeletal disorder and stress claims, the rate per 100 staff remained steady (Figure 2).</w:t>
      </w:r>
      <w:r w:rsidRPr="00D96B14">
        <w:rPr>
          <w:rFonts w:ascii="Stag Light" w:hAnsi="Stag Light" w:cs="Stag Light"/>
          <w:color w:val="000000"/>
          <w:sz w:val="18"/>
          <w:szCs w:val="18"/>
        </w:rPr>
        <w:t xml:space="preserve"> </w:t>
      </w:r>
      <w:r w:rsidRPr="00D96B14">
        <w:t>To address the increase in the number of standard claims the Department conducted a review of muscular skeletal disorder activities and introduced a number of programs that focus on reducing sprains and strains, stress reductions, and good claims management practices in high</w:t>
      </w:r>
      <w:r w:rsidR="005A4BB0">
        <w:noBreakHyphen/>
      </w:r>
      <w:r w:rsidRPr="00D96B14">
        <w:t>risk areas.</w:t>
      </w:r>
    </w:p>
    <w:p w:rsidR="002D04F1" w:rsidRPr="00D96B14" w:rsidRDefault="002D04F1" w:rsidP="002D04F1">
      <w:pPr>
        <w:pStyle w:val="Notes"/>
      </w:pPr>
    </w:p>
    <w:p w:rsidR="00142353" w:rsidRPr="00D96B14" w:rsidRDefault="00142353" w:rsidP="00142353">
      <w:pPr>
        <w:pStyle w:val="SmallLine"/>
      </w:pPr>
    </w:p>
    <w:p w:rsidR="00142353" w:rsidRPr="002D04F1" w:rsidRDefault="002D04F1" w:rsidP="002D04F1">
      <w:pPr>
        <w:pStyle w:val="Notes"/>
        <w:ind w:left="0" w:firstLine="0"/>
      </w:pPr>
      <w:r>
        <w:object w:dxaOrig="8633" w:dyaOrig="5332">
          <v:shape id="_x0000_i1027" type="#_x0000_t75" style="width:361.5pt;height:223.5pt" o:ole="">
            <v:imagedata r:id="rId71" o:title=""/>
          </v:shape>
          <o:OLEObject Type="Embed" ProgID="Excel.Sheet.12" ShapeID="_x0000_i1027" DrawAspect="Content" ObjectID="_1578397774" r:id="rId72"/>
        </w:object>
      </w:r>
    </w:p>
    <w:p w:rsidR="00142353" w:rsidRPr="00D96B14" w:rsidRDefault="00142353" w:rsidP="002D04F1">
      <w:pPr>
        <w:rPr>
          <w:rFonts w:ascii="Calibri" w:hAnsi="Calibri" w:cs="Arial Narrow"/>
          <w:color w:val="0000FF"/>
          <w:sz w:val="16"/>
          <w:szCs w:val="16"/>
          <w:lang w:val="en-GB"/>
        </w:rPr>
      </w:pPr>
      <w:r w:rsidRPr="00D96B14">
        <w:t>The total number of WorkCover claims lodged decreased in 2015</w:t>
      </w:r>
      <w:r w:rsidR="005A4BB0">
        <w:noBreakHyphen/>
      </w:r>
      <w:r w:rsidRPr="00D96B14">
        <w:t>16 (Figures 3 and 4). In addition, the claims rate continued to decrease due to the growth in staff numbers since 2009</w:t>
      </w:r>
      <w:r w:rsidR="005A4BB0">
        <w:noBreakHyphen/>
      </w:r>
      <w:r w:rsidRPr="00D96B14">
        <w:t>10 (due to the opening of two new research laboratories) and effective early intervention strategies and improved claims performance management. The average cost per claim decreased from $36 070 to $33 131.</w:t>
      </w:r>
      <w:r w:rsidR="002D04F1">
        <w:t xml:space="preserve"> </w:t>
      </w:r>
      <w:r w:rsidRPr="00D96B14">
        <w:br w:type="page"/>
      </w:r>
    </w:p>
    <w:p w:rsidR="00142353" w:rsidRPr="00D96B14" w:rsidRDefault="00142353" w:rsidP="00142353">
      <w:pPr>
        <w:pStyle w:val="Reference"/>
        <w:spacing w:before="200"/>
        <w:rPr>
          <w:lang w:val="en-AU"/>
        </w:rPr>
      </w:pPr>
      <w:r w:rsidRPr="00D96B14">
        <w:lastRenderedPageBreak/>
        <w:br/>
      </w:r>
      <w:r w:rsidRPr="00D96B14">
        <w:rPr>
          <w:lang w:val="en-AU"/>
        </w:rPr>
        <w:t>FRD 22G</w:t>
      </w:r>
    </w:p>
    <w:p w:rsidR="00142353" w:rsidRPr="00D96B14" w:rsidRDefault="00142353" w:rsidP="00142353">
      <w:pPr>
        <w:pStyle w:val="Reference"/>
        <w:rPr>
          <w:lang w:val="en-AU"/>
        </w:rPr>
      </w:pPr>
      <w:r w:rsidRPr="00D96B14">
        <w:rPr>
          <w:lang w:val="en-AU"/>
        </w:rPr>
        <w:t>Best practice based on disclosure made by Department of Justice, recommended by PAEC</w:t>
      </w:r>
    </w:p>
    <w:p w:rsidR="00142353" w:rsidRDefault="00142353" w:rsidP="002D04F1">
      <w:pPr>
        <w:pStyle w:val="Notes"/>
        <w:rPr>
          <w:noProof/>
        </w:rPr>
      </w:pPr>
      <w:r w:rsidRPr="00D96B14">
        <w:br w:type="column"/>
      </w:r>
      <w:r w:rsidR="002D04F1">
        <w:rPr>
          <w:noProof/>
        </w:rPr>
        <w:object w:dxaOrig="8647" w:dyaOrig="5377">
          <v:shape id="_x0000_i1028" type="#_x0000_t75" style="width:347.25pt;height:3in" o:ole="">
            <v:imagedata r:id="rId73" o:title=""/>
          </v:shape>
          <o:OLEObject Type="Embed" ProgID="Excel.Sheet.12" ShapeID="_x0000_i1028" DrawAspect="Content" ObjectID="_1578397775" r:id="rId74"/>
        </w:object>
      </w:r>
    </w:p>
    <w:p w:rsidR="002D04F1" w:rsidRDefault="002D04F1" w:rsidP="002D04F1">
      <w:pPr>
        <w:pStyle w:val="Notes"/>
        <w:rPr>
          <w:noProof/>
        </w:rPr>
      </w:pPr>
    </w:p>
    <w:p w:rsidR="00142353" w:rsidRPr="00D96B14" w:rsidRDefault="002D04F1" w:rsidP="002D04F1">
      <w:pPr>
        <w:pStyle w:val="Notes"/>
      </w:pPr>
      <w:r>
        <w:rPr>
          <w:noProof/>
        </w:rPr>
        <w:object w:dxaOrig="8619" w:dyaOrig="5332">
          <v:shape id="_x0000_i1029" type="#_x0000_t75" style="width:350.25pt;height:3in" o:ole="">
            <v:imagedata r:id="rId75" o:title=""/>
          </v:shape>
          <o:OLEObject Type="Embed" ProgID="Excel.Sheet.12" ShapeID="_x0000_i1029" DrawAspect="Content" ObjectID="_1578397776" r:id="rId76"/>
        </w:object>
      </w:r>
    </w:p>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spacing w:before="240"/>
      </w:pPr>
      <w:r w:rsidRPr="00D96B14">
        <w:lastRenderedPageBreak/>
        <w:t>FRD 22G</w:t>
      </w:r>
    </w:p>
    <w:p w:rsidR="00142353" w:rsidRPr="00D96B14" w:rsidRDefault="00142353" w:rsidP="00142353">
      <w:pPr>
        <w:pStyle w:val="Reference"/>
      </w:pPr>
      <w:r w:rsidRPr="00D96B14">
        <w:t>Best practice based on disclosure made by Department of Justice, recommended by PAEC</w:t>
      </w:r>
    </w:p>
    <w:p w:rsidR="00142353" w:rsidRPr="00D96B14" w:rsidRDefault="00142353" w:rsidP="00142353"/>
    <w:p w:rsidR="00142353" w:rsidRPr="00D96B14" w:rsidRDefault="00142353" w:rsidP="00142353">
      <w:pPr>
        <w:pStyle w:val="SmallLine"/>
      </w:pPr>
      <w:r w:rsidRPr="00D96B14">
        <w:br w:type="column"/>
      </w:r>
    </w:p>
    <w:p w:rsidR="00142353" w:rsidRDefault="00142353" w:rsidP="00142353">
      <w:r w:rsidRPr="00D96B14">
        <w:t>The Department</w:t>
      </w:r>
      <w:r w:rsidR="005A4BB0">
        <w:t>’</w:t>
      </w:r>
      <w:r w:rsidRPr="00D96B14">
        <w:t>s WorkCover premium rate continued to decrease in 2015</w:t>
      </w:r>
      <w:r w:rsidR="005A4BB0">
        <w:noBreakHyphen/>
      </w:r>
      <w:r w:rsidRPr="00D96B14">
        <w:t xml:space="preserve">16 (Figure 5). This is due to the continuing consultative approach adopted by the OH&amp;S unit. As a proportion of total staff and of increasing remuneration, the claim ratio is reducing. </w:t>
      </w:r>
    </w:p>
    <w:p w:rsidR="002D04F1" w:rsidRDefault="002D04F1" w:rsidP="002D04F1">
      <w:pPr>
        <w:pStyle w:val="Notes"/>
      </w:pPr>
    </w:p>
    <w:p w:rsidR="002D04F1" w:rsidRPr="00D96B14" w:rsidRDefault="002D04F1" w:rsidP="002D04F1">
      <w:pPr>
        <w:pStyle w:val="Notes"/>
      </w:pPr>
      <w:r>
        <w:object w:dxaOrig="8619" w:dyaOrig="5377">
          <v:shape id="_x0000_i1030" type="#_x0000_t75" style="width:346.5pt;height:3in" o:ole="">
            <v:imagedata r:id="rId77" o:title=""/>
          </v:shape>
          <o:OLEObject Type="Embed" ProgID="Excel.Sheet.12" ShapeID="_x0000_i1030" DrawAspect="Content" ObjectID="_1578397777" r:id="rId78"/>
        </w:object>
      </w:r>
    </w:p>
    <w:p w:rsidR="00142353" w:rsidRPr="00D96B14" w:rsidRDefault="00142353" w:rsidP="00142353">
      <w:pPr>
        <w:pStyle w:val="Notes"/>
        <w:rPr>
          <w:noProof/>
        </w:rPr>
      </w:pPr>
    </w:p>
    <w:p w:rsidR="00142353" w:rsidRPr="00D96B14" w:rsidRDefault="00142353" w:rsidP="00142353">
      <w:pPr>
        <w:spacing w:line="240" w:lineRule="atLeast"/>
      </w:pPr>
    </w:p>
    <w:p w:rsidR="00142353" w:rsidRPr="00D96B14" w:rsidRDefault="00142353" w:rsidP="00142353">
      <w:pPr>
        <w:rPr>
          <w:sz w:val="4"/>
          <w:szCs w:val="4"/>
        </w:rPr>
      </w:pPr>
    </w:p>
    <w:p w:rsidR="00142353" w:rsidRPr="00D96B14" w:rsidRDefault="00142353" w:rsidP="00142353">
      <w:pPr>
        <w:pStyle w:val="SmallLine"/>
      </w:pPr>
    </w:p>
    <w:p w:rsidR="00142353" w:rsidRPr="00D96B14" w:rsidRDefault="00142353" w:rsidP="00142353">
      <w:pPr>
        <w:pStyle w:val="Reference"/>
        <w:rPr>
          <w:lang w:val="en-AU"/>
        </w:rPr>
      </w:pPr>
      <w:r w:rsidRPr="00D96B14">
        <w:rPr>
          <w:lang w:val="en-AU"/>
        </w:rPr>
        <w:t>FRD 22G</w:t>
      </w:r>
    </w:p>
    <w:p w:rsidR="00142353" w:rsidRPr="00D96B14" w:rsidRDefault="00142353" w:rsidP="00142353">
      <w:pPr>
        <w:pStyle w:val="Reference"/>
      </w:pPr>
      <w:r w:rsidRPr="00D96B14">
        <w:t>Recommendation 10, PAEC Report 107</w:t>
      </w:r>
    </w:p>
    <w:p w:rsidR="00142353" w:rsidRPr="00D96B14" w:rsidRDefault="00142353" w:rsidP="00142353">
      <w:pPr>
        <w:pStyle w:val="Heading2"/>
      </w:pPr>
      <w:r w:rsidRPr="00D96B14">
        <w:br w:type="column"/>
      </w:r>
      <w:r w:rsidRPr="00D96B14">
        <w:lastRenderedPageBreak/>
        <w:t>The Department</w:t>
      </w:r>
      <w:r w:rsidR="005A4BB0">
        <w:t>’</w:t>
      </w:r>
      <w:r w:rsidRPr="00D96B14">
        <w:t>s performance against OH&amp;S management measures</w:t>
      </w:r>
    </w:p>
    <w:p w:rsidR="00142353" w:rsidRPr="00D96B14" w:rsidRDefault="00142353" w:rsidP="00142353">
      <w:pPr>
        <w:pStyle w:val="SmallLine"/>
      </w:pPr>
    </w:p>
    <w:tbl>
      <w:tblPr>
        <w:tblW w:w="8122" w:type="dxa"/>
        <w:tblInd w:w="108" w:type="dxa"/>
        <w:tblLayout w:type="fixed"/>
        <w:tblCellMar>
          <w:left w:w="58" w:type="dxa"/>
          <w:right w:w="58" w:type="dxa"/>
        </w:tblCellMar>
        <w:tblLook w:val="01E0" w:firstRow="1" w:lastRow="1" w:firstColumn="1" w:lastColumn="1" w:noHBand="0" w:noVBand="0"/>
      </w:tblPr>
      <w:tblGrid>
        <w:gridCol w:w="1276"/>
        <w:gridCol w:w="3804"/>
        <w:gridCol w:w="1014"/>
        <w:gridCol w:w="1014"/>
        <w:gridCol w:w="1014"/>
      </w:tblGrid>
      <w:tr w:rsidR="00142353" w:rsidRPr="00D96B14" w:rsidTr="004843DB">
        <w:trPr>
          <w:trHeight w:val="20"/>
        </w:trPr>
        <w:tc>
          <w:tcPr>
            <w:tcW w:w="1276" w:type="dxa"/>
            <w:tcBorders>
              <w:top w:val="single" w:sz="4" w:space="0" w:color="auto"/>
              <w:bottom w:val="single" w:sz="4" w:space="0" w:color="auto"/>
            </w:tcBorders>
            <w:shd w:val="clear" w:color="auto" w:fill="000000"/>
            <w:vAlign w:val="bottom"/>
          </w:tcPr>
          <w:p w:rsidR="00142353" w:rsidRPr="00D96B14" w:rsidRDefault="00142353" w:rsidP="004843DB">
            <w:pPr>
              <w:pStyle w:val="Tabletextheading"/>
              <w:jc w:val="left"/>
              <w:rPr>
                <w:color w:val="FFFFFF"/>
              </w:rPr>
            </w:pPr>
            <w:r w:rsidRPr="00D96B14">
              <w:rPr>
                <w:color w:val="FFFFFF"/>
              </w:rPr>
              <w:t>Measure</w:t>
            </w:r>
          </w:p>
        </w:tc>
        <w:tc>
          <w:tcPr>
            <w:tcW w:w="3804" w:type="dxa"/>
            <w:tcBorders>
              <w:top w:val="single" w:sz="4" w:space="0" w:color="auto"/>
              <w:bottom w:val="single" w:sz="4" w:space="0" w:color="auto"/>
            </w:tcBorders>
            <w:shd w:val="clear" w:color="auto" w:fill="000000"/>
            <w:vAlign w:val="bottom"/>
          </w:tcPr>
          <w:p w:rsidR="00142353" w:rsidRPr="00D96B14" w:rsidRDefault="00142353" w:rsidP="004843DB">
            <w:pPr>
              <w:pStyle w:val="Tabletextheading"/>
              <w:jc w:val="left"/>
              <w:rPr>
                <w:color w:val="FFFFFF"/>
              </w:rPr>
            </w:pPr>
            <w:r w:rsidRPr="00D96B14">
              <w:rPr>
                <w:color w:val="FFFFFF"/>
              </w:rPr>
              <w:t>KPI</w:t>
            </w:r>
          </w:p>
        </w:tc>
        <w:tc>
          <w:tcPr>
            <w:tcW w:w="1014" w:type="dxa"/>
            <w:tcBorders>
              <w:top w:val="single" w:sz="4" w:space="0" w:color="auto"/>
              <w:bottom w:val="single" w:sz="4" w:space="0" w:color="auto"/>
            </w:tcBorders>
            <w:shd w:val="clear" w:color="auto" w:fill="000000"/>
            <w:vAlign w:val="bottom"/>
          </w:tcPr>
          <w:p w:rsidR="00142353" w:rsidRPr="00D96B14" w:rsidRDefault="00142353" w:rsidP="004843DB">
            <w:pPr>
              <w:pStyle w:val="Tabletextheading"/>
              <w:rPr>
                <w:color w:val="FFFFFF"/>
              </w:rPr>
            </w:pPr>
            <w:r w:rsidRPr="00D96B14">
              <w:rPr>
                <w:color w:val="FFFFFF"/>
              </w:rPr>
              <w:t>2013</w:t>
            </w:r>
            <w:r w:rsidR="005A4BB0">
              <w:rPr>
                <w:color w:val="FFFFFF"/>
              </w:rPr>
              <w:noBreakHyphen/>
            </w:r>
            <w:r w:rsidRPr="00D96B14">
              <w:rPr>
                <w:color w:val="FFFFFF"/>
              </w:rPr>
              <w:t xml:space="preserve">14 </w:t>
            </w:r>
          </w:p>
        </w:tc>
        <w:tc>
          <w:tcPr>
            <w:tcW w:w="1014" w:type="dxa"/>
            <w:tcBorders>
              <w:top w:val="single" w:sz="4" w:space="0" w:color="auto"/>
              <w:bottom w:val="single" w:sz="4" w:space="0" w:color="auto"/>
            </w:tcBorders>
            <w:shd w:val="clear" w:color="auto" w:fill="000000"/>
            <w:vAlign w:val="bottom"/>
          </w:tcPr>
          <w:p w:rsidR="00142353" w:rsidRPr="00D96B14" w:rsidRDefault="00142353" w:rsidP="004843DB">
            <w:pPr>
              <w:pStyle w:val="Tabletextheading"/>
              <w:rPr>
                <w:color w:val="FFFFFF"/>
              </w:rPr>
            </w:pPr>
            <w:r w:rsidRPr="00D96B14">
              <w:rPr>
                <w:color w:val="FFFFFF"/>
              </w:rPr>
              <w:t>2014</w:t>
            </w:r>
            <w:r w:rsidR="005A4BB0">
              <w:rPr>
                <w:color w:val="FFFFFF"/>
              </w:rPr>
              <w:noBreakHyphen/>
            </w:r>
            <w:r w:rsidRPr="00D96B14">
              <w:rPr>
                <w:color w:val="FFFFFF"/>
              </w:rPr>
              <w:t xml:space="preserve">15 </w:t>
            </w:r>
          </w:p>
        </w:tc>
        <w:tc>
          <w:tcPr>
            <w:tcW w:w="1014" w:type="dxa"/>
            <w:tcBorders>
              <w:top w:val="single" w:sz="4" w:space="0" w:color="auto"/>
              <w:bottom w:val="single" w:sz="4" w:space="0" w:color="auto"/>
            </w:tcBorders>
            <w:shd w:val="clear" w:color="auto" w:fill="000000"/>
            <w:vAlign w:val="bottom"/>
          </w:tcPr>
          <w:p w:rsidR="00142353" w:rsidRPr="00D96B14" w:rsidRDefault="00142353" w:rsidP="004843DB">
            <w:pPr>
              <w:pStyle w:val="Tabletextheading"/>
              <w:rPr>
                <w:color w:val="FFFFFF"/>
              </w:rPr>
            </w:pPr>
            <w:r w:rsidRPr="00D96B14">
              <w:t>2015</w:t>
            </w:r>
            <w:r w:rsidR="005A4BB0">
              <w:noBreakHyphen/>
            </w:r>
            <w:r w:rsidRPr="00D96B14">
              <w:t xml:space="preserve">16 </w:t>
            </w:r>
          </w:p>
        </w:tc>
      </w:tr>
      <w:tr w:rsidR="00142353" w:rsidRPr="00D96B14" w:rsidTr="004843DB">
        <w:trPr>
          <w:trHeight w:val="20"/>
        </w:trPr>
        <w:tc>
          <w:tcPr>
            <w:tcW w:w="1276" w:type="dxa"/>
            <w:tcBorders>
              <w:top w:val="single" w:sz="4" w:space="0" w:color="auto"/>
              <w:bottom w:val="single" w:sz="4" w:space="0" w:color="FFFFFF"/>
            </w:tcBorders>
            <w:shd w:val="clear" w:color="auto" w:fill="auto"/>
          </w:tcPr>
          <w:p w:rsidR="00142353" w:rsidRPr="00D96B14" w:rsidRDefault="00142353" w:rsidP="004843DB">
            <w:pPr>
              <w:pStyle w:val="Tabletext"/>
            </w:pPr>
            <w:r w:rsidRPr="00D96B14">
              <w:t>Incidents</w:t>
            </w:r>
          </w:p>
        </w:tc>
        <w:tc>
          <w:tcPr>
            <w:tcW w:w="3804" w:type="dxa"/>
            <w:tcBorders>
              <w:top w:val="single" w:sz="4" w:space="0" w:color="auto"/>
              <w:bottom w:val="single" w:sz="4" w:space="0" w:color="FFFFFF"/>
            </w:tcBorders>
            <w:shd w:val="clear" w:color="auto" w:fill="auto"/>
          </w:tcPr>
          <w:p w:rsidR="00142353" w:rsidRPr="00D96B14" w:rsidRDefault="00142353" w:rsidP="004843DB">
            <w:pPr>
              <w:pStyle w:val="Tabletext"/>
            </w:pPr>
            <w:r w:rsidRPr="00D96B14">
              <w:t>No. of incidents</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ofFigures"/>
            </w:pPr>
            <w:r w:rsidRPr="00D96B14">
              <w:t>600</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ofFigures"/>
            </w:pPr>
            <w:r w:rsidRPr="00D96B14">
              <w:t>526</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ofFigures"/>
            </w:pPr>
            <w:r w:rsidRPr="00D96B14">
              <w:t>730</w:t>
            </w:r>
          </w:p>
        </w:tc>
      </w:tr>
      <w:tr w:rsidR="00142353" w:rsidRPr="00D96B14" w:rsidTr="004843DB">
        <w:trPr>
          <w:trHeight w:val="20"/>
        </w:trPr>
        <w:tc>
          <w:tcPr>
            <w:tcW w:w="1276" w:type="dxa"/>
            <w:tcBorders>
              <w:top w:val="single" w:sz="4" w:space="0" w:color="FFFFFF"/>
              <w:bottom w:val="single" w:sz="4" w:space="0" w:color="auto"/>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auto"/>
            </w:tcBorders>
            <w:shd w:val="clear" w:color="auto" w:fill="auto"/>
          </w:tcPr>
          <w:p w:rsidR="00142353" w:rsidRPr="00D96B14" w:rsidRDefault="00142353" w:rsidP="004843DB">
            <w:pPr>
              <w:pStyle w:val="Tabletext"/>
            </w:pPr>
            <w:r w:rsidRPr="00D96B14">
              <w:t>Rate per 100 FTE</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ofFigures"/>
            </w:pPr>
            <w:r w:rsidRPr="00D96B14">
              <w:t>9.4</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ofFigures"/>
            </w:pPr>
            <w:r w:rsidRPr="00D96B14">
              <w:t>7.7</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ofFigures"/>
            </w:pPr>
            <w:r w:rsidRPr="00D96B14">
              <w:t>9.6</w:t>
            </w:r>
          </w:p>
        </w:tc>
      </w:tr>
      <w:tr w:rsidR="00142353" w:rsidRPr="00D96B14" w:rsidTr="004843DB">
        <w:trPr>
          <w:trHeight w:val="20"/>
        </w:trPr>
        <w:tc>
          <w:tcPr>
            <w:tcW w:w="1276" w:type="dxa"/>
            <w:tcBorders>
              <w:top w:val="single" w:sz="4" w:space="0" w:color="auto"/>
              <w:bottom w:val="single" w:sz="4" w:space="0" w:color="FFFFFF"/>
            </w:tcBorders>
            <w:shd w:val="clear" w:color="auto" w:fill="auto"/>
          </w:tcPr>
          <w:p w:rsidR="00142353" w:rsidRPr="00D96B14" w:rsidRDefault="00142353" w:rsidP="004843DB">
            <w:pPr>
              <w:pStyle w:val="Tabletext"/>
            </w:pPr>
            <w:r w:rsidRPr="00D96B14">
              <w:t>Claims</w:t>
            </w:r>
          </w:p>
        </w:tc>
        <w:tc>
          <w:tcPr>
            <w:tcW w:w="3804" w:type="dxa"/>
            <w:tcBorders>
              <w:top w:val="single" w:sz="4" w:space="0" w:color="auto"/>
              <w:bottom w:val="single" w:sz="4" w:space="0" w:color="FFFFFF"/>
            </w:tcBorders>
            <w:shd w:val="clear" w:color="auto" w:fill="auto"/>
          </w:tcPr>
          <w:p w:rsidR="00142353" w:rsidRPr="00D96B14" w:rsidRDefault="00142353" w:rsidP="004843DB">
            <w:pPr>
              <w:pStyle w:val="Tabletext"/>
            </w:pPr>
            <w:r w:rsidRPr="00D96B14">
              <w:t>No. of standard claims</w:t>
            </w:r>
            <w:r w:rsidRPr="00D96B14">
              <w:rPr>
                <w:vertAlign w:val="superscript"/>
              </w:rPr>
              <w:t>(i)</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ofFigures"/>
            </w:pPr>
            <w:r w:rsidRPr="00D96B14">
              <w:t>110</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ofFigures"/>
            </w:pPr>
            <w:r w:rsidRPr="00D96B14">
              <w:t>134</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ofFigures"/>
            </w:pPr>
            <w:r w:rsidRPr="00D96B14">
              <w:t>143</w:t>
            </w: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FFFFFF"/>
            </w:tcBorders>
            <w:shd w:val="clear" w:color="auto" w:fill="auto"/>
          </w:tcPr>
          <w:p w:rsidR="00142353" w:rsidRPr="00D96B14" w:rsidRDefault="00142353" w:rsidP="004843DB">
            <w:pPr>
              <w:pStyle w:val="Tabletext"/>
            </w:pPr>
            <w:r w:rsidRPr="00D96B14">
              <w:t>Rate per 100 FTE</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41</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1.8</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2.1</w:t>
            </w: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FFFFFF"/>
            </w:tcBorders>
            <w:shd w:val="clear" w:color="auto" w:fill="auto"/>
          </w:tcPr>
          <w:p w:rsidR="00142353" w:rsidRPr="00D96B14" w:rsidRDefault="00142353" w:rsidP="004843DB">
            <w:pPr>
              <w:pStyle w:val="Tabletext"/>
            </w:pPr>
            <w:r w:rsidRPr="00D96B14">
              <w:t>No. of lost time claims</w:t>
            </w:r>
            <w:r w:rsidRPr="00D96B14">
              <w:rPr>
                <w:vertAlign w:val="superscript"/>
              </w:rPr>
              <w:t>(i)</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0.7</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55</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43</w:t>
            </w: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FFFFFF"/>
            </w:tcBorders>
            <w:shd w:val="clear" w:color="auto" w:fill="auto"/>
          </w:tcPr>
          <w:p w:rsidR="00142353" w:rsidRPr="00D96B14" w:rsidRDefault="00142353" w:rsidP="004843DB">
            <w:pPr>
              <w:pStyle w:val="Tabletext"/>
            </w:pPr>
            <w:r w:rsidRPr="00D96B14">
              <w:t>Rate per 100 FTE</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21</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0.7</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0.6</w:t>
            </w: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FFFFFF"/>
            </w:tcBorders>
            <w:shd w:val="clear" w:color="auto" w:fill="auto"/>
          </w:tcPr>
          <w:p w:rsidR="00142353" w:rsidRPr="00D96B14" w:rsidRDefault="00142353" w:rsidP="004843DB">
            <w:pPr>
              <w:pStyle w:val="Tabletext"/>
            </w:pPr>
            <w:r w:rsidRPr="00D96B14">
              <w:t>No. of claims exceeding 13 weeks </w:t>
            </w:r>
            <w:r w:rsidRPr="00D96B14">
              <w:rPr>
                <w:vertAlign w:val="superscript"/>
              </w:rPr>
              <w:t>(i)</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2.0</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19</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r w:rsidRPr="00D96B14">
              <w:t>1.8</w:t>
            </w:r>
          </w:p>
        </w:tc>
      </w:tr>
      <w:tr w:rsidR="00142353" w:rsidRPr="00D96B14" w:rsidTr="004843DB">
        <w:trPr>
          <w:trHeight w:val="20"/>
        </w:trPr>
        <w:tc>
          <w:tcPr>
            <w:tcW w:w="1276" w:type="dxa"/>
            <w:tcBorders>
              <w:top w:val="single" w:sz="4" w:space="0" w:color="FFFFFF"/>
              <w:bottom w:val="single" w:sz="4" w:space="0" w:color="auto"/>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auto"/>
            </w:tcBorders>
            <w:shd w:val="clear" w:color="auto" w:fill="auto"/>
          </w:tcPr>
          <w:p w:rsidR="00142353" w:rsidRPr="00D96B14" w:rsidRDefault="00142353" w:rsidP="004843DB">
            <w:pPr>
              <w:pStyle w:val="Tabletext"/>
            </w:pPr>
            <w:r w:rsidRPr="00D96B14">
              <w:t>Rate per 100 FTE</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ofFigures"/>
            </w:pPr>
            <w:r w:rsidRPr="00D96B14">
              <w:t>0.5</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ofFigures"/>
            </w:pPr>
            <w:r w:rsidRPr="00D96B14">
              <w:t>0.2</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ofFigures"/>
            </w:pPr>
            <w:r w:rsidRPr="00D96B14">
              <w:t>0.3</w:t>
            </w:r>
          </w:p>
        </w:tc>
      </w:tr>
      <w:tr w:rsidR="00142353" w:rsidRPr="00D96B14" w:rsidTr="004843DB">
        <w:trPr>
          <w:trHeight w:val="20"/>
        </w:trPr>
        <w:tc>
          <w:tcPr>
            <w:tcW w:w="1276" w:type="dxa"/>
            <w:tcBorders>
              <w:top w:val="single" w:sz="4" w:space="0" w:color="auto"/>
              <w:bottom w:val="single" w:sz="4" w:space="0" w:color="auto"/>
            </w:tcBorders>
            <w:shd w:val="clear" w:color="auto" w:fill="auto"/>
          </w:tcPr>
          <w:p w:rsidR="00142353" w:rsidRPr="00D96B14" w:rsidRDefault="00142353" w:rsidP="004843DB">
            <w:pPr>
              <w:pStyle w:val="Tabletext"/>
            </w:pPr>
            <w:r w:rsidRPr="00D96B14">
              <w:t>Fatalities</w:t>
            </w:r>
          </w:p>
        </w:tc>
        <w:tc>
          <w:tcPr>
            <w:tcW w:w="3804" w:type="dxa"/>
            <w:tcBorders>
              <w:top w:val="single" w:sz="4" w:space="0" w:color="auto"/>
              <w:bottom w:val="single" w:sz="4" w:space="0" w:color="auto"/>
            </w:tcBorders>
            <w:shd w:val="clear" w:color="auto" w:fill="auto"/>
          </w:tcPr>
          <w:p w:rsidR="00142353" w:rsidRPr="00D96B14" w:rsidRDefault="00142353" w:rsidP="004843DB">
            <w:pPr>
              <w:pStyle w:val="Tabletext"/>
            </w:pPr>
            <w:r w:rsidRPr="00D96B14">
              <w:t>Fatality claims</w:t>
            </w:r>
            <w:r w:rsidRPr="00D96B14">
              <w:rPr>
                <w:vertAlign w:val="superscript"/>
              </w:rPr>
              <w:t>(ii)</w:t>
            </w:r>
          </w:p>
        </w:tc>
        <w:tc>
          <w:tcPr>
            <w:tcW w:w="1014" w:type="dxa"/>
            <w:tcBorders>
              <w:top w:val="single" w:sz="4" w:space="0" w:color="auto"/>
              <w:bottom w:val="single" w:sz="4" w:space="0" w:color="auto"/>
            </w:tcBorders>
            <w:shd w:val="clear" w:color="auto" w:fill="auto"/>
          </w:tcPr>
          <w:p w:rsidR="00142353" w:rsidRPr="00D96B14" w:rsidRDefault="00142353" w:rsidP="004843DB">
            <w:pPr>
              <w:pStyle w:val="TableofFigures"/>
            </w:pPr>
            <w:r w:rsidRPr="00D96B14">
              <w:t>1</w:t>
            </w:r>
          </w:p>
        </w:tc>
        <w:tc>
          <w:tcPr>
            <w:tcW w:w="1014" w:type="dxa"/>
            <w:tcBorders>
              <w:top w:val="single" w:sz="4" w:space="0" w:color="auto"/>
              <w:bottom w:val="single" w:sz="4" w:space="0" w:color="auto"/>
            </w:tcBorders>
            <w:shd w:val="clear" w:color="auto" w:fill="auto"/>
          </w:tcPr>
          <w:p w:rsidR="00142353" w:rsidRPr="00D96B14" w:rsidRDefault="00142353" w:rsidP="004843DB">
            <w:pPr>
              <w:pStyle w:val="TableofFigures"/>
            </w:pPr>
            <w:r w:rsidRPr="00D96B14">
              <w:t>..</w:t>
            </w:r>
          </w:p>
        </w:tc>
        <w:tc>
          <w:tcPr>
            <w:tcW w:w="1014" w:type="dxa"/>
            <w:tcBorders>
              <w:top w:val="single" w:sz="4" w:space="0" w:color="auto"/>
              <w:bottom w:val="single" w:sz="4" w:space="0" w:color="auto"/>
            </w:tcBorders>
            <w:shd w:val="clear" w:color="auto" w:fill="auto"/>
          </w:tcPr>
          <w:p w:rsidR="00142353" w:rsidRPr="00D96B14" w:rsidRDefault="00142353" w:rsidP="004843DB">
            <w:pPr>
              <w:pStyle w:val="TableofFigures"/>
            </w:pPr>
            <w:r w:rsidRPr="00D96B14">
              <w:t>..</w:t>
            </w:r>
          </w:p>
        </w:tc>
      </w:tr>
      <w:tr w:rsidR="00142353" w:rsidRPr="00D96B14" w:rsidTr="004843DB">
        <w:trPr>
          <w:trHeight w:val="20"/>
        </w:trPr>
        <w:tc>
          <w:tcPr>
            <w:tcW w:w="1276" w:type="dxa"/>
            <w:tcBorders>
              <w:top w:val="single" w:sz="4" w:space="0" w:color="auto"/>
              <w:bottom w:val="single" w:sz="4" w:space="0" w:color="auto"/>
            </w:tcBorders>
            <w:shd w:val="clear" w:color="auto" w:fill="auto"/>
          </w:tcPr>
          <w:p w:rsidR="00142353" w:rsidRPr="00D96B14" w:rsidRDefault="00142353" w:rsidP="004843DB">
            <w:pPr>
              <w:pStyle w:val="Tabletext"/>
            </w:pPr>
            <w:r w:rsidRPr="00D96B14">
              <w:t>Claim costs</w:t>
            </w:r>
          </w:p>
        </w:tc>
        <w:tc>
          <w:tcPr>
            <w:tcW w:w="3804" w:type="dxa"/>
            <w:tcBorders>
              <w:top w:val="single" w:sz="4" w:space="0" w:color="auto"/>
              <w:bottom w:val="single" w:sz="4" w:space="0" w:color="auto"/>
            </w:tcBorders>
            <w:shd w:val="clear" w:color="auto" w:fill="auto"/>
          </w:tcPr>
          <w:p w:rsidR="00142353" w:rsidRPr="00D96B14" w:rsidRDefault="00142353" w:rsidP="004843DB">
            <w:pPr>
              <w:pStyle w:val="Tabletext"/>
            </w:pPr>
            <w:r w:rsidRPr="00D96B14">
              <w:t xml:space="preserve">Average cost per standard claim </w:t>
            </w:r>
            <w:r w:rsidRPr="00D96B14">
              <w:rPr>
                <w:vertAlign w:val="superscript"/>
              </w:rPr>
              <w:t>(i)</w:t>
            </w:r>
          </w:p>
        </w:tc>
        <w:tc>
          <w:tcPr>
            <w:tcW w:w="1014" w:type="dxa"/>
            <w:tcBorders>
              <w:top w:val="single" w:sz="4" w:space="0" w:color="auto"/>
              <w:bottom w:val="single" w:sz="4" w:space="0" w:color="auto"/>
            </w:tcBorders>
            <w:shd w:val="clear" w:color="auto" w:fill="auto"/>
          </w:tcPr>
          <w:p w:rsidR="00142353" w:rsidRPr="00D96B14" w:rsidRDefault="00142353" w:rsidP="004843DB">
            <w:pPr>
              <w:pStyle w:val="TableofFigures"/>
            </w:pPr>
            <w:r w:rsidRPr="00D96B14">
              <w:t>$27 944</w:t>
            </w:r>
          </w:p>
        </w:tc>
        <w:tc>
          <w:tcPr>
            <w:tcW w:w="1014" w:type="dxa"/>
            <w:tcBorders>
              <w:top w:val="single" w:sz="4" w:space="0" w:color="auto"/>
              <w:bottom w:val="single" w:sz="4" w:space="0" w:color="auto"/>
            </w:tcBorders>
            <w:shd w:val="clear" w:color="auto" w:fill="auto"/>
          </w:tcPr>
          <w:p w:rsidR="00142353" w:rsidRPr="00D96B14" w:rsidRDefault="00142353" w:rsidP="004843DB">
            <w:pPr>
              <w:pStyle w:val="TableofFigures"/>
            </w:pPr>
            <w:r w:rsidRPr="00D96B14">
              <w:t>$27 121</w:t>
            </w:r>
          </w:p>
        </w:tc>
        <w:tc>
          <w:tcPr>
            <w:tcW w:w="1014" w:type="dxa"/>
            <w:tcBorders>
              <w:top w:val="single" w:sz="4" w:space="0" w:color="auto"/>
              <w:bottom w:val="single" w:sz="4" w:space="0" w:color="auto"/>
            </w:tcBorders>
            <w:shd w:val="clear" w:color="auto" w:fill="auto"/>
          </w:tcPr>
          <w:p w:rsidR="00142353" w:rsidRPr="00D96B14" w:rsidRDefault="00142353" w:rsidP="004843DB">
            <w:pPr>
              <w:pStyle w:val="TableofFigures"/>
            </w:pPr>
            <w:r w:rsidRPr="00D96B14">
              <w:t>$29 334</w:t>
            </w:r>
          </w:p>
        </w:tc>
      </w:tr>
      <w:tr w:rsidR="00142353" w:rsidRPr="00D96B14" w:rsidTr="004843DB">
        <w:trPr>
          <w:trHeight w:val="20"/>
        </w:trPr>
        <w:tc>
          <w:tcPr>
            <w:tcW w:w="1276" w:type="dxa"/>
            <w:tcBorders>
              <w:top w:val="single" w:sz="4" w:space="0" w:color="auto"/>
              <w:bottom w:val="single" w:sz="4" w:space="0" w:color="auto"/>
            </w:tcBorders>
            <w:shd w:val="clear" w:color="auto" w:fill="auto"/>
          </w:tcPr>
          <w:p w:rsidR="00142353" w:rsidRPr="00D96B14" w:rsidRDefault="00142353" w:rsidP="004843DB">
            <w:pPr>
              <w:pStyle w:val="Tabletext"/>
            </w:pPr>
            <w:r w:rsidRPr="00D96B14">
              <w:t>Return to work</w:t>
            </w:r>
          </w:p>
        </w:tc>
        <w:tc>
          <w:tcPr>
            <w:tcW w:w="3804" w:type="dxa"/>
            <w:tcBorders>
              <w:top w:val="single" w:sz="4" w:space="0" w:color="auto"/>
              <w:bottom w:val="single" w:sz="4" w:space="0" w:color="auto"/>
            </w:tcBorders>
            <w:shd w:val="clear" w:color="auto" w:fill="auto"/>
          </w:tcPr>
          <w:p w:rsidR="00142353" w:rsidRPr="00D96B14" w:rsidRDefault="00142353" w:rsidP="004843DB">
            <w:pPr>
              <w:pStyle w:val="Tabletext"/>
            </w:pPr>
            <w:r w:rsidRPr="00D96B14">
              <w:t>Percentage of claims with RTW plan &lt;30 days.</w:t>
            </w:r>
          </w:p>
        </w:tc>
        <w:tc>
          <w:tcPr>
            <w:tcW w:w="1014" w:type="dxa"/>
            <w:tcBorders>
              <w:top w:val="single" w:sz="4" w:space="0" w:color="auto"/>
              <w:bottom w:val="single" w:sz="4" w:space="0" w:color="auto"/>
            </w:tcBorders>
            <w:shd w:val="clear" w:color="auto" w:fill="auto"/>
          </w:tcPr>
          <w:p w:rsidR="00142353" w:rsidRPr="00D96B14" w:rsidRDefault="00142353" w:rsidP="004843DB">
            <w:pPr>
              <w:pStyle w:val="TableofFigures"/>
            </w:pPr>
            <w:r w:rsidRPr="00D96B14">
              <w:t>95%</w:t>
            </w:r>
          </w:p>
        </w:tc>
        <w:tc>
          <w:tcPr>
            <w:tcW w:w="1014" w:type="dxa"/>
            <w:tcBorders>
              <w:top w:val="single" w:sz="4" w:space="0" w:color="auto"/>
              <w:bottom w:val="single" w:sz="4" w:space="0" w:color="auto"/>
            </w:tcBorders>
            <w:shd w:val="clear" w:color="auto" w:fill="auto"/>
          </w:tcPr>
          <w:p w:rsidR="00142353" w:rsidRPr="00D96B14" w:rsidRDefault="00142353" w:rsidP="004843DB">
            <w:pPr>
              <w:pStyle w:val="TableofFigures"/>
            </w:pPr>
            <w:r w:rsidRPr="00D96B14">
              <w:t>92%</w:t>
            </w:r>
          </w:p>
        </w:tc>
        <w:tc>
          <w:tcPr>
            <w:tcW w:w="1014" w:type="dxa"/>
            <w:tcBorders>
              <w:top w:val="single" w:sz="4" w:space="0" w:color="auto"/>
              <w:bottom w:val="single" w:sz="4" w:space="0" w:color="auto"/>
            </w:tcBorders>
            <w:shd w:val="clear" w:color="auto" w:fill="auto"/>
          </w:tcPr>
          <w:p w:rsidR="00142353" w:rsidRPr="00D96B14" w:rsidRDefault="00142353" w:rsidP="004843DB">
            <w:pPr>
              <w:pStyle w:val="TableofFigures"/>
            </w:pPr>
            <w:r w:rsidRPr="00D96B14">
              <w:t>95%</w:t>
            </w:r>
          </w:p>
        </w:tc>
      </w:tr>
      <w:tr w:rsidR="00142353" w:rsidRPr="00D96B14" w:rsidTr="004843DB">
        <w:trPr>
          <w:trHeight w:val="20"/>
        </w:trPr>
        <w:tc>
          <w:tcPr>
            <w:tcW w:w="1276" w:type="dxa"/>
            <w:tcBorders>
              <w:top w:val="single" w:sz="4" w:space="0" w:color="auto"/>
              <w:bottom w:val="single" w:sz="4" w:space="0" w:color="FFFFFF"/>
            </w:tcBorders>
            <w:shd w:val="clear" w:color="auto" w:fill="auto"/>
          </w:tcPr>
          <w:p w:rsidR="00142353" w:rsidRPr="00D96B14" w:rsidRDefault="00142353" w:rsidP="004843DB">
            <w:pPr>
              <w:pStyle w:val="Tabletext"/>
            </w:pPr>
            <w:r w:rsidRPr="00D96B14">
              <w:t>Management commitment</w:t>
            </w:r>
          </w:p>
        </w:tc>
        <w:tc>
          <w:tcPr>
            <w:tcW w:w="3804" w:type="dxa"/>
            <w:tcBorders>
              <w:top w:val="single" w:sz="4" w:space="0" w:color="auto"/>
              <w:bottom w:val="single" w:sz="4" w:space="0" w:color="FFFFFF"/>
            </w:tcBorders>
            <w:shd w:val="clear" w:color="auto" w:fill="auto"/>
          </w:tcPr>
          <w:p w:rsidR="00142353" w:rsidRPr="00D96B14" w:rsidRDefault="00142353" w:rsidP="004843DB">
            <w:pPr>
              <w:pStyle w:val="Tabletext"/>
            </w:pPr>
            <w:r w:rsidRPr="00D96B14">
              <w:t>Evidence of OH&amp;S policy statement, OH&amp;S objectives, regular reporting to senior management of OH&amp;S, and OH&amp;S plans (signed by CEO or equivalent).</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text"/>
              <w:jc w:val="right"/>
            </w:pPr>
            <w:r w:rsidRPr="00D96B14">
              <w:t>completed</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text"/>
              <w:jc w:val="right"/>
            </w:pPr>
            <w:r w:rsidRPr="00D96B14">
              <w:t>completed</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text"/>
              <w:jc w:val="right"/>
            </w:pPr>
            <w:r w:rsidRPr="00D96B14">
              <w:t>completed</w:t>
            </w:r>
          </w:p>
        </w:tc>
      </w:tr>
      <w:tr w:rsidR="00142353" w:rsidRPr="00D96B14" w:rsidTr="004843DB">
        <w:trPr>
          <w:trHeight w:val="20"/>
        </w:trPr>
        <w:tc>
          <w:tcPr>
            <w:tcW w:w="1276" w:type="dxa"/>
            <w:tcBorders>
              <w:top w:val="single" w:sz="4" w:space="0" w:color="FFFFFF"/>
              <w:bottom w:val="single" w:sz="4" w:space="0" w:color="auto"/>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auto"/>
            </w:tcBorders>
            <w:shd w:val="clear" w:color="auto" w:fill="auto"/>
          </w:tcPr>
          <w:p w:rsidR="00142353" w:rsidRPr="00D96B14" w:rsidRDefault="00142353" w:rsidP="004843DB">
            <w:pPr>
              <w:pStyle w:val="Tabletext"/>
            </w:pPr>
            <w:r w:rsidRPr="00D96B14">
              <w:t>Evidence of OH&amp;S criteria(s) in purchasing guidelines (including goods, services and personnel).</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text"/>
              <w:jc w:val="right"/>
            </w:pPr>
            <w:r w:rsidRPr="00D96B14">
              <w:t>completed</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text"/>
              <w:jc w:val="right"/>
            </w:pPr>
            <w:r w:rsidRPr="00D96B14">
              <w:t>completed</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text"/>
              <w:jc w:val="right"/>
            </w:pPr>
            <w:r w:rsidRPr="00D96B14">
              <w:t>completed</w:t>
            </w:r>
          </w:p>
        </w:tc>
      </w:tr>
      <w:tr w:rsidR="00142353" w:rsidRPr="00D96B14" w:rsidTr="004843DB">
        <w:trPr>
          <w:trHeight w:val="20"/>
        </w:trPr>
        <w:tc>
          <w:tcPr>
            <w:tcW w:w="1276" w:type="dxa"/>
            <w:vMerge w:val="restart"/>
            <w:tcBorders>
              <w:top w:val="single" w:sz="4" w:space="0" w:color="auto"/>
            </w:tcBorders>
            <w:shd w:val="clear" w:color="auto" w:fill="auto"/>
          </w:tcPr>
          <w:p w:rsidR="00142353" w:rsidRPr="00D96B14" w:rsidRDefault="00142353" w:rsidP="004843DB">
            <w:pPr>
              <w:pStyle w:val="Tabletext"/>
            </w:pPr>
            <w:r w:rsidRPr="00D96B14">
              <w:t>Consultation and participation</w:t>
            </w:r>
          </w:p>
        </w:tc>
        <w:tc>
          <w:tcPr>
            <w:tcW w:w="3804" w:type="dxa"/>
            <w:tcBorders>
              <w:top w:val="single" w:sz="4" w:space="0" w:color="auto"/>
              <w:bottom w:val="single" w:sz="4" w:space="0" w:color="FFFFFF"/>
            </w:tcBorders>
            <w:shd w:val="clear" w:color="auto" w:fill="auto"/>
          </w:tcPr>
          <w:p w:rsidR="00142353" w:rsidRPr="00D96B14" w:rsidRDefault="00142353" w:rsidP="004843DB">
            <w:pPr>
              <w:pStyle w:val="Tabletext"/>
            </w:pPr>
            <w:r w:rsidRPr="00D96B14">
              <w:t xml:space="preserve">Evidence of agreed structure of designated workgroups (DWGs), health and safety representatives (HSRs), and issue resolution procedures (IRPs). </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text"/>
              <w:jc w:val="right"/>
            </w:pPr>
            <w:r w:rsidRPr="00D96B14">
              <w:t>completed</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text"/>
              <w:jc w:val="right"/>
            </w:pPr>
            <w:r w:rsidRPr="00D96B14">
              <w:t>completed</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text"/>
              <w:jc w:val="right"/>
            </w:pPr>
            <w:r w:rsidRPr="00D96B14">
              <w:t>completed</w:t>
            </w:r>
          </w:p>
        </w:tc>
      </w:tr>
      <w:tr w:rsidR="00142353" w:rsidRPr="00D96B14" w:rsidTr="004843DB">
        <w:trPr>
          <w:trHeight w:val="20"/>
        </w:trPr>
        <w:tc>
          <w:tcPr>
            <w:tcW w:w="1276" w:type="dxa"/>
            <w:vMerge/>
            <w:tcBorders>
              <w:bottom w:val="single" w:sz="4" w:space="0" w:color="auto"/>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auto"/>
            </w:tcBorders>
            <w:shd w:val="clear" w:color="auto" w:fill="auto"/>
          </w:tcPr>
          <w:p w:rsidR="00142353" w:rsidRPr="00D96B14" w:rsidRDefault="00142353" w:rsidP="004843DB">
            <w:pPr>
              <w:pStyle w:val="Tabletext"/>
            </w:pPr>
            <w:r w:rsidRPr="00D96B14">
              <w:t>Compliance with agreed structure on DWGs, HSRs, and IRPs.</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text"/>
              <w:jc w:val="right"/>
            </w:pPr>
            <w:r w:rsidRPr="00D96B14">
              <w:t>completed</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text"/>
              <w:jc w:val="right"/>
            </w:pPr>
            <w:r w:rsidRPr="00D96B14">
              <w:t>completed</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text"/>
              <w:jc w:val="right"/>
            </w:pPr>
            <w:r w:rsidRPr="00D96B14">
              <w:t>completed</w:t>
            </w:r>
          </w:p>
        </w:tc>
      </w:tr>
      <w:tr w:rsidR="00142353" w:rsidRPr="00D96B14" w:rsidTr="004843DB">
        <w:trPr>
          <w:trHeight w:val="20"/>
        </w:trPr>
        <w:tc>
          <w:tcPr>
            <w:tcW w:w="1276" w:type="dxa"/>
            <w:tcBorders>
              <w:top w:val="single" w:sz="4" w:space="0" w:color="auto"/>
              <w:bottom w:val="single" w:sz="4" w:space="0" w:color="FFFFFF"/>
            </w:tcBorders>
            <w:shd w:val="clear" w:color="auto" w:fill="auto"/>
          </w:tcPr>
          <w:p w:rsidR="00142353" w:rsidRPr="00D96B14" w:rsidRDefault="00142353" w:rsidP="004843DB">
            <w:pPr>
              <w:pStyle w:val="Tabletext"/>
            </w:pPr>
            <w:r w:rsidRPr="00D96B14">
              <w:t>Risk management</w:t>
            </w:r>
          </w:p>
        </w:tc>
        <w:tc>
          <w:tcPr>
            <w:tcW w:w="3804" w:type="dxa"/>
            <w:tcBorders>
              <w:top w:val="single" w:sz="4" w:space="0" w:color="auto"/>
              <w:bottom w:val="single" w:sz="4" w:space="0" w:color="FFFFFF"/>
            </w:tcBorders>
            <w:shd w:val="clear" w:color="auto" w:fill="auto"/>
          </w:tcPr>
          <w:p w:rsidR="00142353" w:rsidRPr="00D96B14" w:rsidRDefault="00142353" w:rsidP="004843DB">
            <w:pPr>
              <w:pStyle w:val="Tabletext"/>
            </w:pPr>
            <w:r w:rsidRPr="00D96B14">
              <w:t>Percentage of internal audits/inspections conducted as planned.</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text"/>
              <w:jc w:val="right"/>
            </w:pPr>
            <w:r w:rsidRPr="00D96B14">
              <w:t>100%</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text"/>
              <w:jc w:val="right"/>
            </w:pPr>
            <w:r w:rsidRPr="00D96B14">
              <w:t>100%</w:t>
            </w: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text"/>
              <w:jc w:val="right"/>
            </w:pPr>
            <w:r w:rsidRPr="00D96B14">
              <w:t>100%</w:t>
            </w: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FFFFFF"/>
            </w:tcBorders>
            <w:shd w:val="clear" w:color="auto" w:fill="auto"/>
          </w:tcPr>
          <w:p w:rsidR="00142353" w:rsidRPr="00D96B14" w:rsidRDefault="00142353" w:rsidP="004843DB">
            <w:pPr>
              <w:pStyle w:val="Tabletext"/>
            </w:pPr>
            <w:r w:rsidRPr="00D96B14">
              <w:t>Percentage of issues identified actioned arising from:</w:t>
            </w:r>
          </w:p>
        </w:tc>
        <w:tc>
          <w:tcPr>
            <w:tcW w:w="1014" w:type="dxa"/>
            <w:tcBorders>
              <w:top w:val="single" w:sz="4" w:space="0" w:color="FFFFFF"/>
              <w:bottom w:val="single" w:sz="4" w:space="0" w:color="FFFFFF"/>
            </w:tcBorders>
            <w:shd w:val="clear" w:color="auto" w:fill="auto"/>
          </w:tcPr>
          <w:p w:rsidR="00142353" w:rsidRPr="00D96B14" w:rsidRDefault="00142353" w:rsidP="004843DB">
            <w:pPr>
              <w:jc w:val="right"/>
            </w:pP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pP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jc w:val="right"/>
            </w:pP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FFFFFF"/>
            </w:tcBorders>
            <w:shd w:val="clear" w:color="auto" w:fill="auto"/>
          </w:tcPr>
          <w:p w:rsidR="00142353" w:rsidRPr="00D96B14" w:rsidRDefault="00142353" w:rsidP="00142353">
            <w:pPr>
              <w:pStyle w:val="TableBullet"/>
              <w:ind w:left="326" w:hanging="326"/>
            </w:pPr>
            <w:r w:rsidRPr="00D96B14">
              <w:t>internal audits;</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jc w:val="right"/>
            </w:pPr>
            <w:r w:rsidRPr="00D96B14">
              <w:t>100%</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jc w:val="right"/>
            </w:pPr>
            <w:r w:rsidRPr="00D96B14">
              <w:t>100%</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jc w:val="right"/>
            </w:pPr>
            <w:r w:rsidRPr="00D96B14">
              <w:t>100%</w:t>
            </w: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FFFFFF"/>
            </w:tcBorders>
            <w:shd w:val="clear" w:color="auto" w:fill="auto"/>
          </w:tcPr>
          <w:p w:rsidR="00142353" w:rsidRPr="00D96B14" w:rsidRDefault="00142353" w:rsidP="00142353">
            <w:pPr>
              <w:pStyle w:val="TableBullet"/>
              <w:ind w:left="326" w:hanging="326"/>
            </w:pPr>
            <w:r w:rsidRPr="00D96B14">
              <w:t>HSR provisional improvement notices (PINs); and</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jc w:val="right"/>
            </w:pPr>
            <w:r w:rsidRPr="00D96B14">
              <w:t>100%</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jc w:val="right"/>
            </w:pPr>
            <w:r w:rsidRPr="00D96B14">
              <w:t>100%</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jc w:val="right"/>
            </w:pPr>
            <w:r w:rsidRPr="00D96B14">
              <w:t>100%</w:t>
            </w:r>
          </w:p>
        </w:tc>
      </w:tr>
      <w:tr w:rsidR="00142353" w:rsidRPr="00D96B14" w:rsidTr="004843DB">
        <w:trPr>
          <w:trHeight w:val="20"/>
        </w:trPr>
        <w:tc>
          <w:tcPr>
            <w:tcW w:w="1276" w:type="dxa"/>
            <w:tcBorders>
              <w:top w:val="single" w:sz="4" w:space="0" w:color="FFFFFF"/>
              <w:bottom w:val="single" w:sz="4" w:space="0" w:color="auto"/>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auto"/>
            </w:tcBorders>
            <w:shd w:val="clear" w:color="auto" w:fill="auto"/>
          </w:tcPr>
          <w:p w:rsidR="00142353" w:rsidRPr="00D96B14" w:rsidRDefault="00142353" w:rsidP="00142353">
            <w:pPr>
              <w:pStyle w:val="TableBullet"/>
              <w:ind w:left="326" w:hanging="326"/>
            </w:pPr>
            <w:r w:rsidRPr="00D96B14">
              <w:t>WorkSafe notices</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text"/>
              <w:jc w:val="right"/>
            </w:pPr>
            <w:r w:rsidRPr="00D96B14">
              <w:t>100%</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text"/>
              <w:jc w:val="right"/>
            </w:pPr>
            <w:r w:rsidRPr="00D96B14">
              <w:t>100%</w:t>
            </w:r>
          </w:p>
        </w:tc>
        <w:tc>
          <w:tcPr>
            <w:tcW w:w="1014" w:type="dxa"/>
            <w:tcBorders>
              <w:top w:val="single" w:sz="4" w:space="0" w:color="FFFFFF"/>
              <w:bottom w:val="single" w:sz="4" w:space="0" w:color="auto"/>
            </w:tcBorders>
            <w:shd w:val="clear" w:color="auto" w:fill="auto"/>
          </w:tcPr>
          <w:p w:rsidR="00142353" w:rsidRPr="00D96B14" w:rsidRDefault="00142353" w:rsidP="004843DB">
            <w:pPr>
              <w:pStyle w:val="Tabletext"/>
              <w:jc w:val="right"/>
            </w:pPr>
            <w:r w:rsidRPr="00D96B14">
              <w:t>100%</w:t>
            </w:r>
          </w:p>
        </w:tc>
      </w:tr>
      <w:tr w:rsidR="00142353" w:rsidRPr="00D96B14" w:rsidTr="004843DB">
        <w:trPr>
          <w:trHeight w:val="20"/>
        </w:trPr>
        <w:tc>
          <w:tcPr>
            <w:tcW w:w="1276" w:type="dxa"/>
            <w:tcBorders>
              <w:top w:val="single" w:sz="4" w:space="0" w:color="auto"/>
              <w:bottom w:val="single" w:sz="4" w:space="0" w:color="FFFFFF"/>
            </w:tcBorders>
            <w:shd w:val="clear" w:color="auto" w:fill="auto"/>
          </w:tcPr>
          <w:p w:rsidR="00142353" w:rsidRPr="00D96B14" w:rsidRDefault="00142353" w:rsidP="004843DB">
            <w:pPr>
              <w:pStyle w:val="Tabletext"/>
            </w:pPr>
            <w:r w:rsidRPr="00D96B14">
              <w:t>Training</w:t>
            </w:r>
          </w:p>
        </w:tc>
        <w:tc>
          <w:tcPr>
            <w:tcW w:w="3804" w:type="dxa"/>
            <w:tcBorders>
              <w:top w:val="single" w:sz="4" w:space="0" w:color="auto"/>
              <w:bottom w:val="single" w:sz="4" w:space="0" w:color="FFFFFF"/>
            </w:tcBorders>
            <w:shd w:val="clear" w:color="auto" w:fill="auto"/>
          </w:tcPr>
          <w:p w:rsidR="00142353" w:rsidRPr="00D96B14" w:rsidRDefault="00142353" w:rsidP="004843DB">
            <w:pPr>
              <w:pStyle w:val="Tabletext"/>
            </w:pPr>
            <w:r w:rsidRPr="00D96B14">
              <w:t>Percentage of managers and staff that have received OH&amp;S training:</w:t>
            </w:r>
          </w:p>
        </w:tc>
        <w:tc>
          <w:tcPr>
            <w:tcW w:w="1014" w:type="dxa"/>
            <w:tcBorders>
              <w:top w:val="single" w:sz="4" w:space="0" w:color="auto"/>
              <w:bottom w:val="single" w:sz="4" w:space="0" w:color="FFFFFF"/>
            </w:tcBorders>
            <w:shd w:val="clear" w:color="auto" w:fill="auto"/>
          </w:tcPr>
          <w:p w:rsidR="00142353" w:rsidRPr="00D96B14" w:rsidRDefault="00142353" w:rsidP="004843DB">
            <w:pPr>
              <w:jc w:val="right"/>
            </w:pP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text"/>
            </w:pPr>
          </w:p>
        </w:tc>
        <w:tc>
          <w:tcPr>
            <w:tcW w:w="1014" w:type="dxa"/>
            <w:tcBorders>
              <w:top w:val="single" w:sz="4" w:space="0" w:color="auto"/>
              <w:bottom w:val="single" w:sz="4" w:space="0" w:color="FFFFFF"/>
            </w:tcBorders>
            <w:shd w:val="clear" w:color="auto" w:fill="auto"/>
          </w:tcPr>
          <w:p w:rsidR="00142353" w:rsidRPr="00D96B14" w:rsidRDefault="00142353" w:rsidP="004843DB">
            <w:pPr>
              <w:pStyle w:val="Tabletext"/>
              <w:jc w:val="right"/>
            </w:pP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pPr>
          </w:p>
        </w:tc>
        <w:tc>
          <w:tcPr>
            <w:tcW w:w="3804" w:type="dxa"/>
            <w:tcBorders>
              <w:top w:val="single" w:sz="4" w:space="0" w:color="FFFFFF"/>
              <w:bottom w:val="single" w:sz="4" w:space="0" w:color="FFFFFF"/>
            </w:tcBorders>
            <w:shd w:val="clear" w:color="auto" w:fill="auto"/>
          </w:tcPr>
          <w:p w:rsidR="00142353" w:rsidRPr="00D96B14" w:rsidRDefault="00142353" w:rsidP="00142353">
            <w:pPr>
              <w:pStyle w:val="TableBullet"/>
              <w:ind w:left="326" w:hanging="326"/>
            </w:pPr>
            <w:r w:rsidRPr="00D96B14">
              <w:t>induction;</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100%</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100%</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100%</w:t>
            </w: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pPr>
          </w:p>
        </w:tc>
        <w:tc>
          <w:tcPr>
            <w:tcW w:w="3804" w:type="dxa"/>
            <w:tcBorders>
              <w:top w:val="single" w:sz="4" w:space="0" w:color="FFFFFF"/>
              <w:bottom w:val="single" w:sz="4" w:space="0" w:color="FFFFFF"/>
            </w:tcBorders>
            <w:shd w:val="clear" w:color="auto" w:fill="auto"/>
          </w:tcPr>
          <w:p w:rsidR="00142353" w:rsidRPr="00D96B14" w:rsidRDefault="00142353" w:rsidP="00142353">
            <w:pPr>
              <w:pStyle w:val="TableBullet"/>
              <w:ind w:left="326" w:hanging="326"/>
            </w:pPr>
            <w:r w:rsidRPr="00D96B14">
              <w:t>management training; and</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12%</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16%</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19%</w:t>
            </w: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pPr>
          </w:p>
        </w:tc>
        <w:tc>
          <w:tcPr>
            <w:tcW w:w="3804" w:type="dxa"/>
            <w:tcBorders>
              <w:top w:val="single" w:sz="4" w:space="0" w:color="FFFFFF"/>
              <w:bottom w:val="single" w:sz="4" w:space="0" w:color="FFFFFF"/>
            </w:tcBorders>
            <w:shd w:val="clear" w:color="auto" w:fill="auto"/>
          </w:tcPr>
          <w:p w:rsidR="00142353" w:rsidRPr="00D96B14" w:rsidRDefault="00142353" w:rsidP="00142353">
            <w:pPr>
              <w:pStyle w:val="TableBullet"/>
              <w:ind w:left="326" w:hanging="326"/>
            </w:pPr>
            <w:r w:rsidRPr="00D96B14">
              <w:t>contractors, temps, and visitors.</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spacing w:before="0" w:after="0"/>
            </w:pPr>
            <w:r w:rsidRPr="00D96B14">
              <w:t>n/a</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spacing w:before="0" w:after="0"/>
            </w:pPr>
            <w:r w:rsidRPr="00D96B14">
              <w:t>n/a</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spacing w:before="0" w:after="0"/>
            </w:pPr>
            <w:r w:rsidRPr="00D96B14">
              <w:t>n/a</w:t>
            </w: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pPr>
          </w:p>
        </w:tc>
        <w:tc>
          <w:tcPr>
            <w:tcW w:w="3804" w:type="dxa"/>
            <w:tcBorders>
              <w:top w:val="single" w:sz="4" w:space="0" w:color="FFFFFF"/>
              <w:bottom w:val="single" w:sz="4" w:space="0" w:color="FFFFFF"/>
            </w:tcBorders>
            <w:shd w:val="clear" w:color="auto" w:fill="auto"/>
          </w:tcPr>
          <w:p w:rsidR="00142353" w:rsidRPr="00D96B14" w:rsidRDefault="00142353" w:rsidP="004843DB">
            <w:pPr>
              <w:pStyle w:val="Tabletext"/>
            </w:pPr>
            <w:r w:rsidRPr="00D96B14">
              <w:t>Percentage of HSRs trained:</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ofFigures"/>
            </w:pP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pPr>
          </w:p>
        </w:tc>
        <w:tc>
          <w:tcPr>
            <w:tcW w:w="3804" w:type="dxa"/>
            <w:tcBorders>
              <w:top w:val="single" w:sz="4" w:space="0" w:color="FFFFFF"/>
              <w:bottom w:val="single" w:sz="4" w:space="0" w:color="FFFFFF"/>
            </w:tcBorders>
            <w:shd w:val="clear" w:color="auto" w:fill="auto"/>
          </w:tcPr>
          <w:p w:rsidR="00142353" w:rsidRPr="00D96B14" w:rsidRDefault="00142353" w:rsidP="00142353">
            <w:pPr>
              <w:pStyle w:val="TableBullet"/>
              <w:ind w:left="326" w:hanging="326"/>
            </w:pPr>
            <w:r w:rsidRPr="00D96B14">
              <w:t>acceptance of role;</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100%</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100%</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100%</w:t>
            </w:r>
          </w:p>
        </w:tc>
      </w:tr>
      <w:tr w:rsidR="00142353" w:rsidRPr="00D96B14" w:rsidTr="004843DB">
        <w:trPr>
          <w:trHeight w:val="20"/>
        </w:trPr>
        <w:tc>
          <w:tcPr>
            <w:tcW w:w="1276"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pPr>
          </w:p>
        </w:tc>
        <w:tc>
          <w:tcPr>
            <w:tcW w:w="3804" w:type="dxa"/>
            <w:tcBorders>
              <w:top w:val="single" w:sz="4" w:space="0" w:color="FFFFFF"/>
              <w:bottom w:val="single" w:sz="4" w:space="0" w:color="FFFFFF"/>
            </w:tcBorders>
            <w:shd w:val="clear" w:color="auto" w:fill="auto"/>
          </w:tcPr>
          <w:p w:rsidR="00142353" w:rsidRPr="00D96B14" w:rsidRDefault="00142353" w:rsidP="00142353">
            <w:pPr>
              <w:pStyle w:val="TableBullet"/>
              <w:ind w:left="326" w:hanging="326"/>
            </w:pPr>
            <w:r w:rsidRPr="00D96B14">
              <w:t>re</w:t>
            </w:r>
            <w:r w:rsidR="005A4BB0">
              <w:noBreakHyphen/>
            </w:r>
            <w:r w:rsidRPr="00D96B14">
              <w:t>training (refresher); and</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100%</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100%</w:t>
            </w:r>
          </w:p>
        </w:tc>
        <w:tc>
          <w:tcPr>
            <w:tcW w:w="1014" w:type="dxa"/>
            <w:tcBorders>
              <w:top w:val="single" w:sz="4" w:space="0" w:color="FFFFFF"/>
              <w:bottom w:val="single" w:sz="4" w:space="0" w:color="FFFFFF"/>
            </w:tcBorders>
            <w:shd w:val="clear" w:color="auto" w:fill="auto"/>
          </w:tcPr>
          <w:p w:rsidR="00142353" w:rsidRPr="00D96B14" w:rsidRDefault="00142353" w:rsidP="004843DB">
            <w:pPr>
              <w:pStyle w:val="Tabletext"/>
              <w:spacing w:before="0" w:after="0"/>
              <w:jc w:val="right"/>
            </w:pPr>
            <w:r w:rsidRPr="00D96B14">
              <w:t>100%</w:t>
            </w:r>
          </w:p>
        </w:tc>
      </w:tr>
      <w:tr w:rsidR="00142353" w:rsidRPr="00D96B14" w:rsidTr="004843DB">
        <w:trPr>
          <w:trHeight w:val="20"/>
        </w:trPr>
        <w:tc>
          <w:tcPr>
            <w:tcW w:w="1276" w:type="dxa"/>
            <w:tcBorders>
              <w:top w:val="single" w:sz="4" w:space="0" w:color="FFFFFF"/>
              <w:bottom w:val="single" w:sz="12" w:space="0" w:color="auto"/>
            </w:tcBorders>
            <w:shd w:val="clear" w:color="auto" w:fill="auto"/>
          </w:tcPr>
          <w:p w:rsidR="00142353" w:rsidRPr="00D96B14" w:rsidRDefault="00142353" w:rsidP="004843DB">
            <w:pPr>
              <w:pStyle w:val="Tabletext"/>
              <w:spacing w:before="0" w:after="0"/>
            </w:pPr>
          </w:p>
        </w:tc>
        <w:tc>
          <w:tcPr>
            <w:tcW w:w="3804" w:type="dxa"/>
            <w:tcBorders>
              <w:top w:val="single" w:sz="4" w:space="0" w:color="FFFFFF"/>
              <w:bottom w:val="single" w:sz="12" w:space="0" w:color="auto"/>
            </w:tcBorders>
            <w:shd w:val="clear" w:color="auto" w:fill="auto"/>
          </w:tcPr>
          <w:p w:rsidR="00142353" w:rsidRPr="00D96B14" w:rsidRDefault="00142353" w:rsidP="00142353">
            <w:pPr>
              <w:pStyle w:val="TableBullet"/>
              <w:ind w:left="326" w:hanging="326"/>
            </w:pPr>
            <w:r w:rsidRPr="00D96B14">
              <w:t>reporting of incidents and injuries.</w:t>
            </w:r>
          </w:p>
        </w:tc>
        <w:tc>
          <w:tcPr>
            <w:tcW w:w="1014" w:type="dxa"/>
            <w:tcBorders>
              <w:top w:val="single" w:sz="4" w:space="0" w:color="FFFFFF"/>
              <w:bottom w:val="single" w:sz="12" w:space="0" w:color="auto"/>
            </w:tcBorders>
            <w:shd w:val="clear" w:color="auto" w:fill="auto"/>
          </w:tcPr>
          <w:p w:rsidR="00142353" w:rsidRPr="00D96B14" w:rsidRDefault="00142353" w:rsidP="004843DB">
            <w:pPr>
              <w:pStyle w:val="Tabletext"/>
              <w:spacing w:before="0" w:after="0"/>
              <w:jc w:val="right"/>
            </w:pPr>
            <w:r w:rsidRPr="00D96B14">
              <w:t>5%</w:t>
            </w:r>
          </w:p>
        </w:tc>
        <w:tc>
          <w:tcPr>
            <w:tcW w:w="1014" w:type="dxa"/>
            <w:tcBorders>
              <w:top w:val="single" w:sz="4" w:space="0" w:color="FFFFFF"/>
              <w:bottom w:val="single" w:sz="12" w:space="0" w:color="auto"/>
            </w:tcBorders>
            <w:shd w:val="clear" w:color="auto" w:fill="auto"/>
          </w:tcPr>
          <w:p w:rsidR="00142353" w:rsidRPr="00D96B14" w:rsidRDefault="00142353" w:rsidP="004843DB">
            <w:pPr>
              <w:pStyle w:val="Tabletext"/>
              <w:spacing w:before="0" w:after="0"/>
              <w:jc w:val="right"/>
            </w:pPr>
            <w:r w:rsidRPr="00D96B14">
              <w:t>4%</w:t>
            </w:r>
          </w:p>
        </w:tc>
        <w:tc>
          <w:tcPr>
            <w:tcW w:w="1014" w:type="dxa"/>
            <w:tcBorders>
              <w:top w:val="single" w:sz="4" w:space="0" w:color="FFFFFF"/>
              <w:bottom w:val="single" w:sz="12" w:space="0" w:color="auto"/>
            </w:tcBorders>
            <w:shd w:val="clear" w:color="auto" w:fill="auto"/>
          </w:tcPr>
          <w:p w:rsidR="00142353" w:rsidRPr="00D96B14" w:rsidRDefault="00142353" w:rsidP="004843DB">
            <w:pPr>
              <w:pStyle w:val="Tabletext"/>
              <w:spacing w:before="0" w:after="0"/>
              <w:jc w:val="right"/>
            </w:pPr>
          </w:p>
        </w:tc>
      </w:tr>
    </w:tbl>
    <w:p w:rsidR="00142353" w:rsidRPr="00D96B14" w:rsidRDefault="00142353" w:rsidP="00142353">
      <w:pPr>
        <w:pStyle w:val="Notes"/>
      </w:pPr>
      <w:r w:rsidRPr="00D96B14">
        <w:t>Notes:</w:t>
      </w:r>
    </w:p>
    <w:p w:rsidR="00142353" w:rsidRPr="00D96B14" w:rsidRDefault="00142353" w:rsidP="00142353">
      <w:pPr>
        <w:pStyle w:val="Notes"/>
        <w:sectPr w:rsidR="00142353" w:rsidRPr="00D96B14" w:rsidSect="00190A01">
          <w:type w:val="continuous"/>
          <w:pgSz w:w="11906" w:h="16838" w:code="9"/>
          <w:pgMar w:top="1152" w:right="864" w:bottom="1152" w:left="864" w:header="432" w:footer="432" w:gutter="0"/>
          <w:cols w:num="2" w:space="360" w:equalWidth="0">
            <w:col w:w="1440" w:space="360"/>
            <w:col w:w="8090"/>
          </w:cols>
        </w:sectPr>
      </w:pPr>
      <w:r w:rsidRPr="00D96B14">
        <w:t>(i)</w:t>
      </w:r>
      <w:r w:rsidRPr="00D96B14">
        <w:tab/>
        <w:t>Data sourced from Victorian WorkCover Authority (VWA).</w:t>
      </w:r>
    </w:p>
    <w:p w:rsidR="00142353" w:rsidRPr="00D96B14" w:rsidRDefault="00142353" w:rsidP="00142353">
      <w:pPr>
        <w:pStyle w:val="Reference"/>
        <w:spacing w:before="0"/>
      </w:pPr>
      <w:r w:rsidRPr="00D96B14">
        <w:lastRenderedPageBreak/>
        <w:t>Recommendation 24,</w:t>
      </w:r>
      <w:r w:rsidRPr="00D96B14">
        <w:br/>
        <w:t>PAEC Report 107</w:t>
      </w:r>
    </w:p>
    <w:p w:rsidR="00142353" w:rsidRPr="00D96B14" w:rsidRDefault="00142353" w:rsidP="00142353">
      <w:pPr>
        <w:pStyle w:val="Notes"/>
        <w:tabs>
          <w:tab w:val="clear" w:pos="454"/>
          <w:tab w:val="left" w:pos="450"/>
        </w:tabs>
      </w:pPr>
      <w:r w:rsidRPr="00D96B14">
        <w:rPr>
          <w:i w:val="0"/>
          <w:iCs w:val="0"/>
        </w:rPr>
        <w:br w:type="column"/>
      </w:r>
      <w:r w:rsidRPr="00D96B14">
        <w:lastRenderedPageBreak/>
        <w:t>(ii)</w:t>
      </w:r>
      <w:r w:rsidRPr="00D96B14">
        <w:tab/>
        <w:t>The fatality claim received in 2013</w:t>
      </w:r>
      <w:r w:rsidR="005A4BB0">
        <w:noBreakHyphen/>
      </w:r>
      <w:r w:rsidRPr="00D96B14">
        <w:t xml:space="preserve">14 was due to a vehicle accident. </w:t>
      </w:r>
      <w:r w:rsidRPr="00D96B14">
        <w:rPr>
          <w:color w:val="0000FF"/>
        </w:rPr>
        <w:t>[An explanation of the circumstances contributing to the fatality and the preventive measures taken should also be included. However, in circumstances where the fatality is under investigation or subject to an inquiry, a statement to that effect should</w:t>
      </w:r>
      <w:r w:rsidRPr="00D96B14">
        <w:rPr>
          <w:iCs w:val="0"/>
          <w:color w:val="0000FF"/>
          <w:szCs w:val="22"/>
        </w:rPr>
        <w:t xml:space="preserve"> be included.]</w:t>
      </w:r>
    </w:p>
    <w:p w:rsidR="00142353" w:rsidRPr="00D96B14" w:rsidRDefault="00142353" w:rsidP="00142353">
      <w:pPr>
        <w:pStyle w:val="Notes"/>
        <w:tabs>
          <w:tab w:val="clear" w:pos="454"/>
          <w:tab w:val="left" w:pos="426"/>
        </w:tabs>
      </w:pPr>
    </w:p>
    <w:p w:rsidR="00142353" w:rsidRPr="00D96B14" w:rsidRDefault="00142353" w:rsidP="00142353">
      <w:pPr>
        <w:pStyle w:val="SmallLine"/>
      </w:pPr>
      <w:r w:rsidRPr="00D96B14">
        <w:br w:type="column"/>
      </w:r>
    </w:p>
    <w:p w:rsidR="00142353" w:rsidRPr="00D96B14" w:rsidRDefault="00142353" w:rsidP="00142353">
      <w:pPr>
        <w:pStyle w:val="SmallLine"/>
      </w:pPr>
      <w:r w:rsidRPr="00D96B14">
        <w:br/>
      </w:r>
    </w:p>
    <w:p w:rsidR="00142353" w:rsidRPr="00D96B14" w:rsidRDefault="00142353" w:rsidP="00142353">
      <w:pPr>
        <w:pStyle w:val="Heading2"/>
      </w:pPr>
      <w:bookmarkStart w:id="81" w:name="_Toc219779098"/>
      <w:r w:rsidRPr="00D96B14">
        <w:br w:type="column"/>
      </w:r>
      <w:bookmarkEnd w:id="81"/>
      <w:r w:rsidRPr="00D96B14">
        <w:lastRenderedPageBreak/>
        <w:t>Employment and conduct principles</w:t>
      </w:r>
    </w:p>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pPr>
      <w:r w:rsidRPr="00D96B14">
        <w:lastRenderedPageBreak/>
        <w:t>FRD 22G</w:t>
      </w:r>
    </w:p>
    <w:p w:rsidR="00142353" w:rsidRPr="00D96B14" w:rsidRDefault="00142353" w:rsidP="00142353">
      <w:r w:rsidRPr="00D96B14">
        <w:br w:type="column"/>
      </w:r>
      <w:r w:rsidRPr="00D96B14">
        <w:lastRenderedPageBreak/>
        <w:t>The Department is committed to applying merit and equity principles when appointing staff. The selection processes ensure that applicants are assessed and evaluated fairly and equitably on the basis of the key selection criteria and other accountabilities without discrimination. Employees have been correctly classified in workforce data collections.</w:t>
      </w:r>
    </w:p>
    <w:p w:rsidR="00142353" w:rsidRPr="00D96B14" w:rsidRDefault="00142353" w:rsidP="00142353">
      <w:pPr>
        <w:pStyle w:val="Notes"/>
      </w:pPr>
    </w:p>
    <w:p w:rsidR="00142353" w:rsidRPr="00D96B14" w:rsidRDefault="00142353" w:rsidP="00142353">
      <w:pPr>
        <w:pStyle w:val="SmallLine"/>
      </w:pPr>
    </w:p>
    <w:p w:rsidR="00142353" w:rsidRPr="00D96B14" w:rsidRDefault="00142353" w:rsidP="00142353">
      <w:pPr>
        <w:pStyle w:val="CommentaryHeading"/>
        <w:pBdr>
          <w:bottom w:val="none" w:sz="0" w:space="0" w:color="auto"/>
        </w:pBdr>
      </w:pPr>
      <w:r w:rsidRPr="00D96B14">
        <w:t>Commentary – Occupational health and safety</w:t>
      </w:r>
    </w:p>
    <w:p w:rsidR="00142353" w:rsidRPr="00D96B14" w:rsidRDefault="00142353" w:rsidP="00142353">
      <w:pPr>
        <w:pStyle w:val="SmallLineBlue"/>
        <w:pBdr>
          <w:bottom w:val="none" w:sz="0" w:space="0" w:color="auto"/>
        </w:pBdr>
      </w:pPr>
    </w:p>
    <w:p w:rsidR="00142353" w:rsidRPr="00D96B14" w:rsidRDefault="00142353" w:rsidP="00142353">
      <w:pPr>
        <w:pStyle w:val="CommentaryText"/>
        <w:pBdr>
          <w:bottom w:val="none" w:sz="0" w:space="0" w:color="auto"/>
        </w:pBdr>
      </w:pPr>
      <w:r w:rsidRPr="00D96B14">
        <w:rPr>
          <w:b/>
          <w:bCs/>
        </w:rPr>
        <w:t>FRD 22G</w:t>
      </w:r>
      <w:r w:rsidRPr="00D96B14">
        <w:t xml:space="preserve"> requires an entity to disclose:</w:t>
      </w:r>
    </w:p>
    <w:p w:rsidR="00142353" w:rsidRPr="00D96B14" w:rsidRDefault="00142353" w:rsidP="00142353">
      <w:pPr>
        <w:pStyle w:val="CommentaryBullet"/>
      </w:pPr>
      <w:r w:rsidRPr="00D96B14">
        <w:t>a statement on occupational health and safety matters, including the performance indicators adopted to monitor such matters and the entity</w:t>
      </w:r>
      <w:r w:rsidR="005A4BB0">
        <w:t>’</w:t>
      </w:r>
      <w:r w:rsidRPr="00D96B14">
        <w:t xml:space="preserve">s performance against those indicators; and </w:t>
      </w:r>
    </w:p>
    <w:p w:rsidR="00142353" w:rsidRPr="00D96B14" w:rsidRDefault="00142353" w:rsidP="00142353">
      <w:pPr>
        <w:pStyle w:val="CommentaryBullet"/>
        <w:rPr>
          <w:rFonts w:ascii="Calibri" w:hAnsi="Calibri" w:cs="Arial"/>
          <w:b/>
          <w:bCs/>
        </w:rPr>
      </w:pPr>
      <w:r w:rsidRPr="00D96B14">
        <w:t>workforce data for the current and previous financial year, including a general statement on the application of employment and conduct principles and that employees have been correctly classified in workforce data collections.</w:t>
      </w:r>
    </w:p>
    <w:p w:rsidR="00142353" w:rsidRPr="00D96B14" w:rsidRDefault="00142353" w:rsidP="00142353">
      <w:pPr>
        <w:pStyle w:val="CommentaryTextIndent"/>
        <w:numPr>
          <w:ilvl w:val="0"/>
          <w:numId w:val="11"/>
        </w:numPr>
        <w:pBdr>
          <w:top w:val="none" w:sz="0" w:space="0" w:color="auto"/>
        </w:pBdr>
        <w:spacing w:before="0"/>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Reference"/>
        <w:spacing w:before="200"/>
        <w:rPr>
          <w:rFonts w:cs="Arial"/>
          <w:b/>
          <w:bCs/>
        </w:rPr>
      </w:pPr>
      <w:r w:rsidRPr="00D96B14">
        <w:lastRenderedPageBreak/>
        <w:t>Recommendation 10, PAEC Report 107</w:t>
      </w:r>
    </w:p>
    <w:p w:rsidR="00142353" w:rsidRPr="00D96B14" w:rsidRDefault="00142353" w:rsidP="00142353">
      <w:pPr>
        <w:pStyle w:val="CommentaryHeading1"/>
        <w:pBdr>
          <w:top w:val="none" w:sz="0" w:space="0" w:color="auto"/>
          <w:bottom w:val="none" w:sz="0" w:space="0" w:color="auto"/>
        </w:pBdr>
      </w:pPr>
      <w:r w:rsidRPr="00D96B14">
        <w:br w:type="column"/>
      </w:r>
      <w:r w:rsidRPr="00D96B14">
        <w:lastRenderedPageBreak/>
        <w:t>Guidance</w:t>
      </w:r>
    </w:p>
    <w:p w:rsidR="00142353" w:rsidRPr="00D96B14" w:rsidRDefault="00142353" w:rsidP="00142353">
      <w:pPr>
        <w:pStyle w:val="CommentaryText"/>
        <w:pBdr>
          <w:top w:val="none" w:sz="0" w:space="0" w:color="auto"/>
          <w:bottom w:val="none" w:sz="0" w:space="0" w:color="auto"/>
        </w:pBdr>
      </w:pPr>
      <w:r w:rsidRPr="00D96B14">
        <w:t>General commentary on programs or initiatives that have a significant impact on occupational health and safety incidents between the current and previous reporting period should be explained in the report of operations. Entities are required to explain significant variances between:</w:t>
      </w:r>
    </w:p>
    <w:p w:rsidR="00142353" w:rsidRPr="00D96B14" w:rsidRDefault="00142353" w:rsidP="00142353">
      <w:pPr>
        <w:pStyle w:val="CommentaryBullet"/>
        <w:pBdr>
          <w:bottom w:val="single" w:sz="4" w:space="1" w:color="0000FF"/>
        </w:pBdr>
      </w:pPr>
      <w:r w:rsidRPr="00D96B14">
        <w:t>the number of reported hazards/incidents for the year;</w:t>
      </w:r>
    </w:p>
    <w:p w:rsidR="00142353" w:rsidRPr="00D96B14" w:rsidRDefault="00142353" w:rsidP="00142353">
      <w:pPr>
        <w:pStyle w:val="CommentaryBullet"/>
        <w:pBdr>
          <w:bottom w:val="single" w:sz="4" w:space="1" w:color="0000FF"/>
        </w:pBdr>
      </w:pPr>
      <w:r w:rsidRPr="00D96B14">
        <w:t xml:space="preserve">the number of </w:t>
      </w:r>
      <w:r w:rsidR="005A4BB0">
        <w:t>‘</w:t>
      </w:r>
      <w:r w:rsidRPr="00D96B14">
        <w:t>lost time</w:t>
      </w:r>
      <w:r w:rsidR="005A4BB0">
        <w:t>’</w:t>
      </w:r>
      <w:r w:rsidRPr="00D96B14">
        <w:t xml:space="preserve"> standard claims for the year; and</w:t>
      </w:r>
    </w:p>
    <w:p w:rsidR="00142353" w:rsidRPr="00D96B14" w:rsidRDefault="00142353" w:rsidP="00142353">
      <w:pPr>
        <w:pStyle w:val="CommentaryBullet"/>
        <w:pBdr>
          <w:bottom w:val="single" w:sz="4" w:space="1" w:color="0000FF"/>
        </w:pBdr>
      </w:pPr>
      <w:r w:rsidRPr="00D96B14">
        <w:t>the average cost per claim for the year, including payments to date plus an estimate of outstanding claim costs as advised by WorkSafe.</w:t>
      </w:r>
    </w:p>
    <w:p w:rsidR="00142353" w:rsidRPr="00D96B14" w:rsidRDefault="00142353" w:rsidP="00142353">
      <w:pPr>
        <w:pStyle w:val="Notes"/>
      </w:pPr>
    </w:p>
    <w:p w:rsidR="00142353" w:rsidRPr="00D96B14" w:rsidRDefault="00142353" w:rsidP="00142353">
      <w:pPr>
        <w:pStyle w:val="ReferenceRed"/>
        <w:spacing w:before="300"/>
      </w:pPr>
      <w:r w:rsidRPr="00D96B14">
        <w:br w:type="column"/>
      </w:r>
    </w:p>
    <w:p w:rsidR="00142353" w:rsidRPr="00D96B14" w:rsidRDefault="00142353" w:rsidP="00142353">
      <w:pPr>
        <w:pStyle w:val="Heading2Blue"/>
        <w:rPr>
          <w:color w:val="auto"/>
        </w:rPr>
      </w:pPr>
      <w:r w:rsidRPr="00D96B14">
        <w:br w:type="column"/>
      </w:r>
      <w:bookmarkStart w:id="82" w:name="_Toc332019447"/>
      <w:bookmarkStart w:id="83" w:name="_Toc448493046"/>
      <w:r w:rsidRPr="00D96B14">
        <w:rPr>
          <w:color w:val="auto"/>
        </w:rPr>
        <w:lastRenderedPageBreak/>
        <w:t>Section 3: Workforce data</w:t>
      </w:r>
      <w:bookmarkEnd w:id="82"/>
      <w:bookmarkEnd w:id="83"/>
    </w:p>
    <w:p w:rsidR="00142353" w:rsidRPr="00D96B14" w:rsidRDefault="00142353" w:rsidP="00142353">
      <w:pPr>
        <w:pStyle w:val="Heading2"/>
      </w:pPr>
      <w:r w:rsidRPr="00D96B14">
        <w:t>Public administration values and employment principles</w:t>
      </w:r>
    </w:p>
    <w:p w:rsidR="00142353" w:rsidRPr="00D96B14" w:rsidRDefault="00142353" w:rsidP="00142353">
      <w:r w:rsidRPr="00D96B14">
        <w:t xml:space="preserve">The </w:t>
      </w:r>
      <w:r w:rsidRPr="00D96B14">
        <w:rPr>
          <w:i/>
          <w:iCs/>
        </w:rPr>
        <w:t>Public Administration Act 2004</w:t>
      </w:r>
      <w:r w:rsidRPr="00D96B14">
        <w:t xml:space="preserve"> abolished the Office of Commissioner for Public Employment and established the State Services Authority. The Victorian Public Sector Commission was established on 1 April 2014 through an amendment to the </w:t>
      </w:r>
      <w:r w:rsidRPr="00D96B14">
        <w:rPr>
          <w:i/>
          <w:iCs/>
        </w:rPr>
        <w:t>Public Administration Act 2004</w:t>
      </w:r>
      <w:r w:rsidRPr="00D96B14">
        <w:t xml:space="preserve"> and replaced the State Services Authority. Notwithstanding, the Department continues to implement the previous directions of the Commissioner for Public Employment with respect to upholding public sector conduct, managing and valuing diversity, managing underperformance, reviewing personal grievances, and selecting on merit. </w:t>
      </w:r>
    </w:p>
    <w:p w:rsidR="00142353" w:rsidRPr="00D96B14" w:rsidRDefault="00142353" w:rsidP="00142353">
      <w:r w:rsidRPr="00D96B14">
        <w:t>The Department introduced a suite of detailed employment policies, including policies with respect to grievance resolution, recruitment, redeployment, and managing diversity. Policies with respect to managing underperformance and discipline were produced and have been implemented across the Department.</w:t>
      </w:r>
    </w:p>
    <w:p w:rsidR="00142353" w:rsidRPr="00D96B14" w:rsidRDefault="00142353" w:rsidP="00142353">
      <w:pPr>
        <w:pStyle w:val="Notes"/>
      </w:pPr>
    </w:p>
    <w:p w:rsidR="00142353" w:rsidRPr="00D96B14" w:rsidRDefault="00142353" w:rsidP="00142353">
      <w:pPr>
        <w:pStyle w:val="CommentaryHeading"/>
        <w:pBdr>
          <w:bottom w:val="none" w:sz="0" w:space="0" w:color="auto"/>
        </w:pBdr>
      </w:pPr>
      <w:r w:rsidRPr="00D96B14">
        <w:t>Commentary – Public administration values and employment principles</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bottom w:val="none" w:sz="0" w:space="0" w:color="auto"/>
        </w:pBdr>
      </w:pPr>
      <w:r w:rsidRPr="00D96B14">
        <w:t>Legislative and documented references</w:t>
      </w:r>
    </w:p>
    <w:p w:rsidR="00142353" w:rsidRPr="00D96B14" w:rsidRDefault="00142353" w:rsidP="00142353">
      <w:pPr>
        <w:pStyle w:val="CommentaryText"/>
        <w:pBdr>
          <w:bottom w:val="none" w:sz="0" w:space="0" w:color="auto"/>
        </w:pBdr>
      </w:pPr>
      <w:r w:rsidRPr="00D96B14">
        <w:t xml:space="preserve">The </w:t>
      </w:r>
      <w:r w:rsidRPr="00D96B14">
        <w:rPr>
          <w:i/>
          <w:iCs/>
        </w:rPr>
        <w:t>Public Administration Act 2004</w:t>
      </w:r>
      <w:r w:rsidRPr="00D96B14">
        <w:t xml:space="preserve"> enshrines public sector values (s7) and employment principles (s8). This Act establishes the Victorian Public Sector Commission and the Public Sector Standards Commissioner.</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The Public Sector Standards Commissioner</w:t>
      </w:r>
      <w:r w:rsidR="005A4BB0">
        <w:rPr>
          <w:noProof w:val="0"/>
        </w:rPr>
        <w:t>’</w:t>
      </w:r>
      <w:r w:rsidRPr="00D96B14">
        <w:rPr>
          <w:noProof w:val="0"/>
        </w:rPr>
        <w:t>s role is to promote high standards of integrity and conduct in the public sector. To do this the Commissioner may:</w:t>
      </w:r>
    </w:p>
    <w:p w:rsidR="00142353" w:rsidRPr="00D96B14" w:rsidRDefault="00142353" w:rsidP="00142353">
      <w:pPr>
        <w:pStyle w:val="CommentaryBullet"/>
      </w:pPr>
      <w:r w:rsidRPr="00D96B14">
        <w:t>prepare and issue codes of conduct to promote adherence to public sector values (s61);</w:t>
      </w:r>
    </w:p>
    <w:p w:rsidR="00142353" w:rsidRPr="00D96B14" w:rsidRDefault="00142353" w:rsidP="00142353">
      <w:pPr>
        <w:pStyle w:val="CommentaryBullet"/>
      </w:pPr>
      <w:r w:rsidRPr="00D96B14">
        <w:t>conduct reviews of action (s64</w:t>
      </w:r>
      <w:r w:rsidR="005A4BB0">
        <w:noBreakHyphen/>
      </w:r>
      <w:r w:rsidRPr="00D96B14">
        <w:t>65) and issue applicable standards;</w:t>
      </w:r>
    </w:p>
    <w:p w:rsidR="00142353" w:rsidRPr="00D96B14" w:rsidRDefault="00142353" w:rsidP="00142353">
      <w:pPr>
        <w:pStyle w:val="CommentaryBullet"/>
      </w:pPr>
      <w:r w:rsidRPr="00D96B14">
        <w:t>establish and issue standards concerning the application of employment principles (s62); and</w:t>
      </w:r>
    </w:p>
    <w:p w:rsidR="00142353" w:rsidRPr="00D96B14" w:rsidRDefault="00142353" w:rsidP="00142353">
      <w:pPr>
        <w:pStyle w:val="CommentaryBullet"/>
      </w:pPr>
      <w:r w:rsidRPr="00D96B14">
        <w:t>require public service body heads and public entity heads to provide him or her with information on the application of:</w:t>
      </w:r>
    </w:p>
    <w:p w:rsidR="00142353" w:rsidRPr="00D96B14" w:rsidRDefault="00142353" w:rsidP="00142353">
      <w:pPr>
        <w:pStyle w:val="CommentaryDashBlue"/>
      </w:pPr>
      <w:r w:rsidRPr="00D96B14">
        <w:tab/>
        <w:t>–</w:t>
      </w:r>
      <w:r w:rsidRPr="00D96B14">
        <w:tab/>
        <w:t>public sector values;</w:t>
      </w:r>
    </w:p>
    <w:p w:rsidR="00142353" w:rsidRPr="00D96B14" w:rsidRDefault="00142353" w:rsidP="00142353">
      <w:pPr>
        <w:pStyle w:val="CommentaryDashBlue"/>
      </w:pPr>
      <w:r w:rsidRPr="00D96B14">
        <w:tab/>
        <w:t>–</w:t>
      </w:r>
      <w:r w:rsidRPr="00D96B14">
        <w:tab/>
        <w:t>public sector employment principles;</w:t>
      </w:r>
    </w:p>
    <w:p w:rsidR="00142353" w:rsidRPr="00D96B14" w:rsidRDefault="00142353" w:rsidP="00142353">
      <w:pPr>
        <w:pStyle w:val="CommentaryDashBlue"/>
      </w:pPr>
      <w:r w:rsidRPr="00D96B14">
        <w:tab/>
        <w:t>–</w:t>
      </w:r>
      <w:r w:rsidRPr="00D96B14">
        <w:tab/>
        <w:t>codes of conduct; and</w:t>
      </w:r>
    </w:p>
    <w:p w:rsidR="00142353" w:rsidRPr="00D96B14" w:rsidRDefault="00142353" w:rsidP="00142353">
      <w:pPr>
        <w:pStyle w:val="CommentaryDashBlue"/>
      </w:pPr>
      <w:r w:rsidRPr="00D96B14">
        <w:tab/>
        <w:t>–</w:t>
      </w:r>
      <w:r w:rsidRPr="00D96B14">
        <w:tab/>
        <w:t xml:space="preserve">standards (s63). </w:t>
      </w:r>
    </w:p>
    <w:p w:rsidR="00142353" w:rsidRPr="00D96B14" w:rsidRDefault="00142353" w:rsidP="00142353">
      <w:pPr>
        <w:pStyle w:val="CommentaryText"/>
        <w:pBdr>
          <w:top w:val="none" w:sz="0" w:space="0" w:color="auto"/>
        </w:pBdr>
        <w:rPr>
          <w:b/>
        </w:rPr>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CommentaryText"/>
        <w:pBdr>
          <w:top w:val="none" w:sz="0" w:space="0" w:color="auto"/>
        </w:pBdr>
        <w:rPr>
          <w:b/>
        </w:rPr>
      </w:pPr>
      <w:r w:rsidRPr="00D96B14">
        <w:lastRenderedPageBreak/>
        <w:br w:type="column"/>
      </w:r>
      <w:r w:rsidRPr="00D96B14">
        <w:rPr>
          <w:b/>
        </w:rPr>
        <w:lastRenderedPageBreak/>
        <w:t>Departments should check for further FRD 22G workforce requirements that may not be illustrated in the Model, and any other information on reporting requirements that may be contained on the Victorian Public Sector Commission website http://vpsc.vic.gov.au/.</w:t>
      </w:r>
    </w:p>
    <w:p w:rsidR="00142353" w:rsidRPr="00D96B14" w:rsidRDefault="00142353" w:rsidP="00142353">
      <w:pPr>
        <w:pStyle w:val="Reference"/>
        <w:spacing w:before="280"/>
      </w:pPr>
    </w:p>
    <w:p w:rsidR="00142353" w:rsidRPr="00D96B14" w:rsidRDefault="00142353" w:rsidP="00142353">
      <w:pPr>
        <w:pStyle w:val="Reference"/>
        <w:spacing w:before="200"/>
        <w:rPr>
          <w:rStyle w:val="ReferenceChar"/>
        </w:rPr>
      </w:pPr>
      <w:r w:rsidRPr="00D96B14">
        <w:br w:type="column"/>
      </w:r>
      <w:r w:rsidRPr="00D96B14">
        <w:rPr>
          <w:rStyle w:val="ReferenceChar"/>
        </w:rPr>
        <w:lastRenderedPageBreak/>
        <w:t>FRD 22G</w:t>
      </w:r>
    </w:p>
    <w:p w:rsidR="00142353" w:rsidRPr="00D96B14" w:rsidRDefault="00142353" w:rsidP="00142353">
      <w:pPr>
        <w:pStyle w:val="Heading2"/>
      </w:pPr>
      <w:r w:rsidRPr="00D96B14">
        <w:br w:type="column"/>
      </w:r>
      <w:bookmarkStart w:id="84" w:name="_Toc219779101"/>
      <w:r w:rsidRPr="00D96B14">
        <w:lastRenderedPageBreak/>
        <w:t>Comparative workforce data</w:t>
      </w:r>
      <w:r w:rsidRPr="00D96B14">
        <w:rPr>
          <w:vertAlign w:val="superscript"/>
        </w:rPr>
        <w:t>(i)(ii)(iii)</w:t>
      </w:r>
    </w:p>
    <w:p w:rsidR="00142353" w:rsidRPr="00D96B14" w:rsidRDefault="00142353" w:rsidP="00E348C3">
      <w:pPr>
        <w:pStyle w:val="Tableheading"/>
      </w:pPr>
      <w:r w:rsidRPr="00D96B14">
        <w:t>Table 1: Full time equivalents (FTE) staffing trends</w:t>
      </w:r>
      <w:bookmarkEnd w:id="84"/>
      <w:r w:rsidRPr="00D96B14">
        <w:t xml:space="preserve"> from 2012 to 2016</w:t>
      </w:r>
    </w:p>
    <w:tbl>
      <w:tblPr>
        <w:tblW w:w="8235" w:type="dxa"/>
        <w:tblBorders>
          <w:top w:val="single" w:sz="4" w:space="0" w:color="auto"/>
          <w:bottom w:val="single" w:sz="12" w:space="0" w:color="auto"/>
          <w:insideH w:val="single" w:sz="4" w:space="0" w:color="auto"/>
        </w:tblBorders>
        <w:tblLayout w:type="fixed"/>
        <w:tblCellMar>
          <w:left w:w="43" w:type="dxa"/>
          <w:right w:w="43" w:type="dxa"/>
        </w:tblCellMar>
        <w:tblLook w:val="01E0" w:firstRow="1" w:lastRow="1" w:firstColumn="1" w:lastColumn="1" w:noHBand="0" w:noVBand="0"/>
      </w:tblPr>
      <w:tblGrid>
        <w:gridCol w:w="1663"/>
        <w:gridCol w:w="1701"/>
        <w:gridCol w:w="1417"/>
        <w:gridCol w:w="1560"/>
        <w:gridCol w:w="1894"/>
      </w:tblGrid>
      <w:tr w:rsidR="00142353" w:rsidRPr="00D96B14" w:rsidTr="004843DB">
        <w:trPr>
          <w:cantSplit/>
        </w:trPr>
        <w:tc>
          <w:tcPr>
            <w:tcW w:w="1663" w:type="dxa"/>
            <w:tcBorders>
              <w:top w:val="single" w:sz="4" w:space="0" w:color="auto"/>
              <w:bottom w:val="single" w:sz="4" w:space="0" w:color="auto"/>
            </w:tcBorders>
          </w:tcPr>
          <w:p w:rsidR="00142353" w:rsidRPr="00D96B14" w:rsidRDefault="00142353" w:rsidP="004843DB">
            <w:pPr>
              <w:pStyle w:val="TabletextheadingCentred"/>
              <w:jc w:val="right"/>
            </w:pPr>
            <w:r w:rsidRPr="00D96B14">
              <w:t>2016</w:t>
            </w:r>
          </w:p>
        </w:tc>
        <w:tc>
          <w:tcPr>
            <w:tcW w:w="1701" w:type="dxa"/>
            <w:tcBorders>
              <w:top w:val="single" w:sz="4" w:space="0" w:color="auto"/>
              <w:bottom w:val="single" w:sz="4" w:space="0" w:color="auto"/>
            </w:tcBorders>
          </w:tcPr>
          <w:p w:rsidR="00142353" w:rsidRPr="00D96B14" w:rsidRDefault="00142353" w:rsidP="004843DB">
            <w:pPr>
              <w:pStyle w:val="TabletextheadingCentred"/>
              <w:jc w:val="right"/>
            </w:pPr>
            <w:r w:rsidRPr="00D96B14">
              <w:t>2015</w:t>
            </w:r>
          </w:p>
        </w:tc>
        <w:tc>
          <w:tcPr>
            <w:tcW w:w="1417" w:type="dxa"/>
            <w:tcBorders>
              <w:top w:val="single" w:sz="4" w:space="0" w:color="auto"/>
              <w:bottom w:val="single" w:sz="4" w:space="0" w:color="auto"/>
            </w:tcBorders>
          </w:tcPr>
          <w:p w:rsidR="00142353" w:rsidRPr="00D96B14" w:rsidRDefault="00142353" w:rsidP="004843DB">
            <w:pPr>
              <w:pStyle w:val="TabletextheadingCentred"/>
              <w:jc w:val="right"/>
            </w:pPr>
            <w:r w:rsidRPr="00D96B14">
              <w:t>2014</w:t>
            </w:r>
          </w:p>
        </w:tc>
        <w:tc>
          <w:tcPr>
            <w:tcW w:w="1560" w:type="dxa"/>
            <w:tcBorders>
              <w:top w:val="single" w:sz="4" w:space="0" w:color="auto"/>
              <w:bottom w:val="single" w:sz="4" w:space="0" w:color="auto"/>
            </w:tcBorders>
          </w:tcPr>
          <w:p w:rsidR="00142353" w:rsidRPr="00D96B14" w:rsidRDefault="00142353" w:rsidP="004843DB">
            <w:pPr>
              <w:pStyle w:val="TabletextheadingCentred"/>
              <w:jc w:val="right"/>
            </w:pPr>
            <w:r w:rsidRPr="00D96B14">
              <w:t>2013</w:t>
            </w:r>
          </w:p>
        </w:tc>
        <w:tc>
          <w:tcPr>
            <w:tcW w:w="1894" w:type="dxa"/>
            <w:tcBorders>
              <w:top w:val="single" w:sz="4" w:space="0" w:color="auto"/>
              <w:bottom w:val="single" w:sz="4" w:space="0" w:color="auto"/>
            </w:tcBorders>
          </w:tcPr>
          <w:p w:rsidR="00142353" w:rsidRPr="00D96B14" w:rsidRDefault="00142353" w:rsidP="004843DB">
            <w:pPr>
              <w:pStyle w:val="TabletextheadingCentred"/>
              <w:jc w:val="right"/>
            </w:pPr>
            <w:r w:rsidRPr="00D96B14">
              <w:t>2012</w:t>
            </w:r>
          </w:p>
        </w:tc>
      </w:tr>
      <w:tr w:rsidR="00142353" w:rsidRPr="00D96B14" w:rsidTr="004843DB">
        <w:trPr>
          <w:cantSplit/>
        </w:trPr>
        <w:tc>
          <w:tcPr>
            <w:tcW w:w="1663" w:type="dxa"/>
            <w:tcBorders>
              <w:top w:val="single" w:sz="4" w:space="0" w:color="auto"/>
              <w:bottom w:val="single" w:sz="12" w:space="0" w:color="auto"/>
            </w:tcBorders>
          </w:tcPr>
          <w:p w:rsidR="00142353" w:rsidRPr="00D96B14" w:rsidRDefault="00142353" w:rsidP="004843DB">
            <w:pPr>
              <w:pStyle w:val="TableofFigures"/>
            </w:pPr>
            <w:r w:rsidRPr="00D96B14">
              <w:t>478</w:t>
            </w:r>
          </w:p>
        </w:tc>
        <w:tc>
          <w:tcPr>
            <w:tcW w:w="1701" w:type="dxa"/>
            <w:tcBorders>
              <w:top w:val="single" w:sz="4" w:space="0" w:color="auto"/>
              <w:bottom w:val="single" w:sz="12" w:space="0" w:color="auto"/>
            </w:tcBorders>
          </w:tcPr>
          <w:p w:rsidR="00142353" w:rsidRPr="00D96B14" w:rsidRDefault="00142353" w:rsidP="004843DB">
            <w:pPr>
              <w:pStyle w:val="TableofFigures"/>
            </w:pPr>
            <w:r w:rsidRPr="00D96B14">
              <w:t>481</w:t>
            </w:r>
          </w:p>
        </w:tc>
        <w:tc>
          <w:tcPr>
            <w:tcW w:w="1417" w:type="dxa"/>
            <w:tcBorders>
              <w:top w:val="single" w:sz="4" w:space="0" w:color="auto"/>
              <w:bottom w:val="single" w:sz="12" w:space="0" w:color="auto"/>
            </w:tcBorders>
          </w:tcPr>
          <w:p w:rsidR="00142353" w:rsidRPr="00D96B14" w:rsidRDefault="00142353" w:rsidP="004843DB">
            <w:pPr>
              <w:pStyle w:val="TableofFigures"/>
            </w:pPr>
            <w:r w:rsidRPr="00D96B14">
              <w:t>401</w:t>
            </w:r>
          </w:p>
        </w:tc>
        <w:tc>
          <w:tcPr>
            <w:tcW w:w="1560" w:type="dxa"/>
            <w:tcBorders>
              <w:top w:val="single" w:sz="4" w:space="0" w:color="auto"/>
              <w:bottom w:val="single" w:sz="12" w:space="0" w:color="auto"/>
            </w:tcBorders>
          </w:tcPr>
          <w:p w:rsidR="00142353" w:rsidRPr="00D96B14" w:rsidRDefault="00142353" w:rsidP="004843DB">
            <w:pPr>
              <w:pStyle w:val="TableofFigures"/>
            </w:pPr>
            <w:r w:rsidRPr="00D96B14">
              <w:t>427</w:t>
            </w:r>
          </w:p>
        </w:tc>
        <w:tc>
          <w:tcPr>
            <w:tcW w:w="1894" w:type="dxa"/>
            <w:tcBorders>
              <w:top w:val="single" w:sz="4" w:space="0" w:color="auto"/>
              <w:bottom w:val="single" w:sz="12" w:space="0" w:color="auto"/>
            </w:tcBorders>
          </w:tcPr>
          <w:p w:rsidR="00142353" w:rsidRPr="00D96B14" w:rsidRDefault="00142353" w:rsidP="004843DB">
            <w:pPr>
              <w:pStyle w:val="TableofFigures"/>
            </w:pPr>
            <w:r w:rsidRPr="00D96B14">
              <w:t>397</w:t>
            </w:r>
          </w:p>
        </w:tc>
      </w:tr>
    </w:tbl>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E348C3">
      <w:pPr>
        <w:pStyle w:val="Tableheading"/>
      </w:pPr>
      <w:r w:rsidRPr="00D96B14">
        <w:rPr>
          <w:noProof/>
        </w:rPr>
        <w:t>Table 2: Summary of employment levels in June of 2015 and 2016</w:t>
      </w:r>
    </w:p>
    <w:tbl>
      <w:tblPr>
        <w:tblW w:w="8233" w:type="dxa"/>
        <w:tblLayout w:type="fixed"/>
        <w:tblCellMar>
          <w:left w:w="43" w:type="dxa"/>
          <w:right w:w="43" w:type="dxa"/>
        </w:tblCellMar>
        <w:tblLook w:val="01E0" w:firstRow="1" w:lastRow="1" w:firstColumn="1" w:lastColumn="1" w:noHBand="0" w:noVBand="0"/>
      </w:tblPr>
      <w:tblGrid>
        <w:gridCol w:w="1303"/>
        <w:gridCol w:w="1434"/>
        <w:gridCol w:w="1356"/>
        <w:gridCol w:w="1440"/>
        <w:gridCol w:w="1440"/>
        <w:gridCol w:w="1260"/>
      </w:tblGrid>
      <w:tr w:rsidR="00142353" w:rsidRPr="00D96B14" w:rsidTr="004843DB">
        <w:trPr>
          <w:cantSplit/>
        </w:trPr>
        <w:tc>
          <w:tcPr>
            <w:tcW w:w="1303" w:type="dxa"/>
            <w:tcBorders>
              <w:top w:val="single" w:sz="4" w:space="0" w:color="auto"/>
              <w:right w:val="single" w:sz="4" w:space="0" w:color="auto"/>
            </w:tcBorders>
          </w:tcPr>
          <w:p w:rsidR="00142353" w:rsidRPr="00D96B14" w:rsidRDefault="00142353" w:rsidP="004843DB">
            <w:pPr>
              <w:pStyle w:val="Tabletextheading"/>
            </w:pPr>
          </w:p>
        </w:tc>
        <w:tc>
          <w:tcPr>
            <w:tcW w:w="5670" w:type="dxa"/>
            <w:gridSpan w:val="4"/>
            <w:tcBorders>
              <w:top w:val="single" w:sz="4" w:space="0" w:color="auto"/>
              <w:left w:val="single" w:sz="4" w:space="0" w:color="auto"/>
              <w:bottom w:val="single" w:sz="4" w:space="0" w:color="auto"/>
              <w:right w:val="single" w:sz="4" w:space="0" w:color="auto"/>
            </w:tcBorders>
            <w:vAlign w:val="center"/>
          </w:tcPr>
          <w:p w:rsidR="00142353" w:rsidRPr="00D96B14" w:rsidRDefault="00142353" w:rsidP="004843DB">
            <w:pPr>
              <w:pStyle w:val="Tabletextheading"/>
              <w:jc w:val="center"/>
            </w:pPr>
            <w:r w:rsidRPr="00D96B14">
              <w:br/>
              <w:t>Ongoing employees</w:t>
            </w:r>
            <w:r w:rsidRPr="00D96B14">
              <w:rPr>
                <w:vertAlign w:val="superscript"/>
              </w:rPr>
              <w:t>(iv)</w:t>
            </w:r>
          </w:p>
        </w:tc>
        <w:tc>
          <w:tcPr>
            <w:tcW w:w="1260" w:type="dxa"/>
            <w:tcBorders>
              <w:top w:val="single" w:sz="4" w:space="0" w:color="auto"/>
              <w:left w:val="single" w:sz="4" w:space="0" w:color="auto"/>
              <w:bottom w:val="single" w:sz="4" w:space="0" w:color="auto"/>
            </w:tcBorders>
            <w:vAlign w:val="center"/>
          </w:tcPr>
          <w:p w:rsidR="00142353" w:rsidRPr="00D96B14" w:rsidRDefault="00142353" w:rsidP="004843DB">
            <w:pPr>
              <w:pStyle w:val="Tabletextheading"/>
            </w:pPr>
            <w:r w:rsidRPr="00D96B14">
              <w:t>Fixed term and casual employees</w:t>
            </w:r>
          </w:p>
        </w:tc>
      </w:tr>
      <w:tr w:rsidR="00142353" w:rsidRPr="00D96B14" w:rsidTr="004843DB">
        <w:trPr>
          <w:cantSplit/>
        </w:trPr>
        <w:tc>
          <w:tcPr>
            <w:tcW w:w="1303" w:type="dxa"/>
            <w:tcBorders>
              <w:bottom w:val="single" w:sz="4" w:space="0" w:color="auto"/>
              <w:right w:val="single" w:sz="4" w:space="0" w:color="auto"/>
            </w:tcBorders>
          </w:tcPr>
          <w:p w:rsidR="00142353" w:rsidRPr="00D96B14" w:rsidRDefault="00142353" w:rsidP="004843DB">
            <w:pPr>
              <w:pStyle w:val="Tabletextheading"/>
              <w:spacing w:before="20" w:after="20"/>
              <w:rPr>
                <w:noProof w:val="0"/>
              </w:rPr>
            </w:pPr>
          </w:p>
        </w:tc>
        <w:tc>
          <w:tcPr>
            <w:tcW w:w="1434" w:type="dxa"/>
            <w:tcBorders>
              <w:top w:val="single" w:sz="4" w:space="0" w:color="auto"/>
              <w:left w:val="single" w:sz="4" w:space="0" w:color="auto"/>
              <w:bottom w:val="single" w:sz="4" w:space="0" w:color="auto"/>
            </w:tcBorders>
          </w:tcPr>
          <w:p w:rsidR="00142353" w:rsidRPr="00D96B14" w:rsidRDefault="00142353" w:rsidP="004843DB">
            <w:pPr>
              <w:pStyle w:val="Tabletextheading"/>
              <w:spacing w:before="20" w:after="20"/>
              <w:rPr>
                <w:noProof w:val="0"/>
              </w:rPr>
            </w:pPr>
            <w:r w:rsidRPr="00D96B14">
              <w:rPr>
                <w:noProof w:val="0"/>
              </w:rPr>
              <w:t>Employees</w:t>
            </w:r>
            <w:r w:rsidRPr="00D96B14">
              <w:rPr>
                <w:noProof w:val="0"/>
              </w:rPr>
              <w:br/>
              <w:t>(headcount)</w:t>
            </w:r>
            <w:r w:rsidRPr="00D96B14">
              <w:rPr>
                <w:noProof w:val="0"/>
                <w:vertAlign w:val="superscript"/>
              </w:rPr>
              <w:t>(v)</w:t>
            </w:r>
          </w:p>
        </w:tc>
        <w:tc>
          <w:tcPr>
            <w:tcW w:w="1356" w:type="dxa"/>
            <w:tcBorders>
              <w:top w:val="single" w:sz="4" w:space="0" w:color="auto"/>
              <w:bottom w:val="single" w:sz="4" w:space="0" w:color="auto"/>
            </w:tcBorders>
          </w:tcPr>
          <w:p w:rsidR="00142353" w:rsidRPr="00D96B14" w:rsidRDefault="00142353" w:rsidP="004843DB">
            <w:pPr>
              <w:pStyle w:val="Tabletextheading"/>
              <w:spacing w:before="20" w:after="20"/>
              <w:rPr>
                <w:noProof w:val="0"/>
              </w:rPr>
            </w:pPr>
            <w:r w:rsidRPr="00D96B14">
              <w:rPr>
                <w:noProof w:val="0"/>
              </w:rPr>
              <w:t>Full time</w:t>
            </w:r>
            <w:r w:rsidRPr="00D96B14">
              <w:rPr>
                <w:noProof w:val="0"/>
              </w:rPr>
              <w:br/>
              <w:t>(headcount)</w:t>
            </w:r>
          </w:p>
        </w:tc>
        <w:tc>
          <w:tcPr>
            <w:tcW w:w="1440" w:type="dxa"/>
            <w:tcBorders>
              <w:top w:val="single" w:sz="4" w:space="0" w:color="auto"/>
              <w:bottom w:val="single" w:sz="4" w:space="0" w:color="auto"/>
            </w:tcBorders>
          </w:tcPr>
          <w:p w:rsidR="00142353" w:rsidRPr="00D96B14" w:rsidRDefault="00142353" w:rsidP="004843DB">
            <w:pPr>
              <w:pStyle w:val="Tabletextheading"/>
              <w:spacing w:before="20" w:after="20"/>
              <w:rPr>
                <w:noProof w:val="0"/>
              </w:rPr>
            </w:pPr>
            <w:r w:rsidRPr="00D96B14">
              <w:rPr>
                <w:noProof w:val="0"/>
              </w:rPr>
              <w:t>Part time</w:t>
            </w:r>
            <w:r w:rsidRPr="00D96B14">
              <w:rPr>
                <w:noProof w:val="0"/>
              </w:rPr>
              <w:br/>
              <w:t>(headcount)</w:t>
            </w:r>
          </w:p>
        </w:tc>
        <w:tc>
          <w:tcPr>
            <w:tcW w:w="1440" w:type="dxa"/>
            <w:tcBorders>
              <w:top w:val="single" w:sz="4" w:space="0" w:color="auto"/>
              <w:bottom w:val="single" w:sz="4" w:space="0" w:color="auto"/>
              <w:right w:val="single" w:sz="4" w:space="0" w:color="auto"/>
            </w:tcBorders>
          </w:tcPr>
          <w:p w:rsidR="00142353" w:rsidRPr="00D96B14" w:rsidRDefault="00142353" w:rsidP="004843DB">
            <w:pPr>
              <w:pStyle w:val="Tabletextheading"/>
              <w:spacing w:before="20" w:after="20"/>
              <w:rPr>
                <w:noProof w:val="0"/>
              </w:rPr>
            </w:pPr>
            <w:r w:rsidRPr="00D96B14">
              <w:rPr>
                <w:noProof w:val="0"/>
              </w:rPr>
              <w:br/>
              <w:t xml:space="preserve">FTE </w:t>
            </w:r>
          </w:p>
        </w:tc>
        <w:tc>
          <w:tcPr>
            <w:tcW w:w="1260" w:type="dxa"/>
            <w:tcBorders>
              <w:top w:val="single" w:sz="4" w:space="0" w:color="auto"/>
              <w:left w:val="single" w:sz="4" w:space="0" w:color="auto"/>
              <w:bottom w:val="single" w:sz="4" w:space="0" w:color="auto"/>
            </w:tcBorders>
          </w:tcPr>
          <w:p w:rsidR="00142353" w:rsidRPr="00D96B14" w:rsidRDefault="00142353" w:rsidP="004843DB">
            <w:pPr>
              <w:pStyle w:val="Tabletextheading"/>
              <w:spacing w:before="20" w:after="20"/>
              <w:rPr>
                <w:noProof w:val="0"/>
              </w:rPr>
            </w:pPr>
            <w:r w:rsidRPr="00D96B14">
              <w:rPr>
                <w:noProof w:val="0"/>
              </w:rPr>
              <w:br/>
              <w:t xml:space="preserve">FTE </w:t>
            </w:r>
          </w:p>
        </w:tc>
      </w:tr>
      <w:tr w:rsidR="00142353" w:rsidRPr="00D96B14" w:rsidTr="004843DB">
        <w:trPr>
          <w:cantSplit/>
        </w:trPr>
        <w:tc>
          <w:tcPr>
            <w:tcW w:w="1303" w:type="dxa"/>
            <w:tcBorders>
              <w:top w:val="single" w:sz="4" w:space="0" w:color="auto"/>
              <w:right w:val="single" w:sz="4" w:space="0" w:color="auto"/>
            </w:tcBorders>
          </w:tcPr>
          <w:p w:rsidR="00142353" w:rsidRPr="00D96B14" w:rsidRDefault="00142353" w:rsidP="004843DB">
            <w:pPr>
              <w:pStyle w:val="TableofFigures"/>
              <w:spacing w:before="20" w:after="20"/>
              <w:jc w:val="left"/>
              <w:rPr>
                <w:b/>
                <w:bCs/>
              </w:rPr>
            </w:pPr>
            <w:r w:rsidRPr="00D96B14">
              <w:rPr>
                <w:b/>
                <w:bCs/>
              </w:rPr>
              <w:t>June 2016</w:t>
            </w:r>
          </w:p>
        </w:tc>
        <w:tc>
          <w:tcPr>
            <w:tcW w:w="1434" w:type="dxa"/>
            <w:tcBorders>
              <w:top w:val="single" w:sz="4" w:space="0" w:color="auto"/>
              <w:left w:val="single" w:sz="4" w:space="0" w:color="auto"/>
            </w:tcBorders>
          </w:tcPr>
          <w:p w:rsidR="00142353" w:rsidRPr="00D96B14" w:rsidRDefault="00142353" w:rsidP="004843DB">
            <w:pPr>
              <w:pStyle w:val="TableofFigures"/>
              <w:spacing w:before="20" w:after="20"/>
            </w:pPr>
            <w:r w:rsidRPr="00D96B14">
              <w:t>564</w:t>
            </w:r>
          </w:p>
        </w:tc>
        <w:tc>
          <w:tcPr>
            <w:tcW w:w="1356" w:type="dxa"/>
            <w:tcBorders>
              <w:top w:val="single" w:sz="4" w:space="0" w:color="auto"/>
            </w:tcBorders>
          </w:tcPr>
          <w:p w:rsidR="00142353" w:rsidRPr="00D96B14" w:rsidRDefault="00142353" w:rsidP="004843DB">
            <w:pPr>
              <w:pStyle w:val="TableofFigures"/>
              <w:spacing w:before="20" w:after="20"/>
            </w:pPr>
            <w:r w:rsidRPr="00D96B14">
              <w:t>401</w:t>
            </w:r>
          </w:p>
        </w:tc>
        <w:tc>
          <w:tcPr>
            <w:tcW w:w="1440" w:type="dxa"/>
            <w:tcBorders>
              <w:top w:val="single" w:sz="4" w:space="0" w:color="auto"/>
            </w:tcBorders>
          </w:tcPr>
          <w:p w:rsidR="00142353" w:rsidRPr="00D96B14" w:rsidRDefault="00142353" w:rsidP="004843DB">
            <w:pPr>
              <w:pStyle w:val="TableofFigures"/>
              <w:spacing w:before="20" w:after="20"/>
            </w:pPr>
            <w:r w:rsidRPr="00D96B14">
              <w:t>163</w:t>
            </w:r>
          </w:p>
        </w:tc>
        <w:tc>
          <w:tcPr>
            <w:tcW w:w="1440" w:type="dxa"/>
            <w:tcBorders>
              <w:top w:val="single" w:sz="4" w:space="0" w:color="auto"/>
              <w:right w:val="single" w:sz="4" w:space="0" w:color="auto"/>
            </w:tcBorders>
          </w:tcPr>
          <w:p w:rsidR="00142353" w:rsidRPr="00D96B14" w:rsidRDefault="00142353" w:rsidP="004843DB">
            <w:pPr>
              <w:pStyle w:val="TableofFigures"/>
              <w:spacing w:before="20" w:after="20"/>
            </w:pPr>
            <w:r w:rsidRPr="00D96B14">
              <w:t>434</w:t>
            </w:r>
          </w:p>
        </w:tc>
        <w:tc>
          <w:tcPr>
            <w:tcW w:w="1260" w:type="dxa"/>
            <w:tcBorders>
              <w:top w:val="single" w:sz="4" w:space="0" w:color="auto"/>
              <w:left w:val="single" w:sz="4" w:space="0" w:color="auto"/>
            </w:tcBorders>
          </w:tcPr>
          <w:p w:rsidR="00142353" w:rsidRPr="00D96B14" w:rsidRDefault="00142353" w:rsidP="004843DB">
            <w:pPr>
              <w:pStyle w:val="TableofFigures"/>
              <w:spacing w:before="20" w:after="20"/>
            </w:pPr>
            <w:r w:rsidRPr="00D96B14">
              <w:t>44</w:t>
            </w:r>
          </w:p>
        </w:tc>
      </w:tr>
      <w:tr w:rsidR="00142353" w:rsidRPr="00D96B14" w:rsidTr="004843DB">
        <w:trPr>
          <w:cantSplit/>
        </w:trPr>
        <w:tc>
          <w:tcPr>
            <w:tcW w:w="1303" w:type="dxa"/>
            <w:tcBorders>
              <w:bottom w:val="single" w:sz="12" w:space="0" w:color="auto"/>
              <w:right w:val="single" w:sz="4" w:space="0" w:color="auto"/>
            </w:tcBorders>
          </w:tcPr>
          <w:p w:rsidR="00142353" w:rsidRPr="00D96B14" w:rsidRDefault="00142353" w:rsidP="004843DB">
            <w:pPr>
              <w:pStyle w:val="TableofFigures"/>
              <w:spacing w:before="20" w:after="20"/>
              <w:jc w:val="left"/>
              <w:rPr>
                <w:b/>
                <w:bCs/>
              </w:rPr>
            </w:pPr>
            <w:r w:rsidRPr="00D96B14">
              <w:rPr>
                <w:b/>
                <w:bCs/>
              </w:rPr>
              <w:t>June 2015</w:t>
            </w:r>
          </w:p>
        </w:tc>
        <w:tc>
          <w:tcPr>
            <w:tcW w:w="1434" w:type="dxa"/>
            <w:tcBorders>
              <w:left w:val="single" w:sz="4" w:space="0" w:color="auto"/>
              <w:bottom w:val="single" w:sz="12" w:space="0" w:color="auto"/>
            </w:tcBorders>
          </w:tcPr>
          <w:p w:rsidR="00142353" w:rsidRPr="00D96B14" w:rsidRDefault="00142353" w:rsidP="004843DB">
            <w:pPr>
              <w:pStyle w:val="TableofFigures"/>
              <w:spacing w:before="20" w:after="20"/>
            </w:pPr>
            <w:r w:rsidRPr="00D96B14">
              <w:t>432</w:t>
            </w:r>
          </w:p>
        </w:tc>
        <w:tc>
          <w:tcPr>
            <w:tcW w:w="1356" w:type="dxa"/>
            <w:tcBorders>
              <w:bottom w:val="single" w:sz="12" w:space="0" w:color="auto"/>
            </w:tcBorders>
          </w:tcPr>
          <w:p w:rsidR="00142353" w:rsidRPr="00D96B14" w:rsidRDefault="00142353" w:rsidP="004843DB">
            <w:pPr>
              <w:pStyle w:val="TableofFigures"/>
              <w:spacing w:before="20" w:after="20"/>
            </w:pPr>
            <w:r w:rsidRPr="00D96B14">
              <w:t>396</w:t>
            </w:r>
          </w:p>
        </w:tc>
        <w:tc>
          <w:tcPr>
            <w:tcW w:w="1440" w:type="dxa"/>
            <w:tcBorders>
              <w:bottom w:val="single" w:sz="12" w:space="0" w:color="auto"/>
            </w:tcBorders>
          </w:tcPr>
          <w:p w:rsidR="00142353" w:rsidRPr="00D96B14" w:rsidRDefault="00142353" w:rsidP="004843DB">
            <w:pPr>
              <w:pStyle w:val="TableofFigures"/>
              <w:spacing w:before="20" w:after="20"/>
            </w:pPr>
            <w:r w:rsidRPr="00D96B14">
              <w:t>36</w:t>
            </w:r>
          </w:p>
        </w:tc>
        <w:tc>
          <w:tcPr>
            <w:tcW w:w="1440" w:type="dxa"/>
            <w:tcBorders>
              <w:bottom w:val="single" w:sz="12" w:space="0" w:color="auto"/>
              <w:right w:val="single" w:sz="4" w:space="0" w:color="auto"/>
            </w:tcBorders>
          </w:tcPr>
          <w:p w:rsidR="00142353" w:rsidRPr="00D96B14" w:rsidRDefault="00142353" w:rsidP="004843DB">
            <w:pPr>
              <w:pStyle w:val="TableofFigures"/>
              <w:spacing w:before="20" w:after="20"/>
            </w:pPr>
            <w:r w:rsidRPr="00D96B14">
              <w:t>414</w:t>
            </w:r>
          </w:p>
        </w:tc>
        <w:tc>
          <w:tcPr>
            <w:tcW w:w="1260" w:type="dxa"/>
            <w:tcBorders>
              <w:left w:val="single" w:sz="4" w:space="0" w:color="auto"/>
              <w:bottom w:val="single" w:sz="12" w:space="0" w:color="auto"/>
            </w:tcBorders>
          </w:tcPr>
          <w:p w:rsidR="00142353" w:rsidRPr="00D96B14" w:rsidRDefault="00142353" w:rsidP="004843DB">
            <w:pPr>
              <w:pStyle w:val="TableofFigures"/>
              <w:spacing w:before="20" w:after="20"/>
              <w:ind w:left="720"/>
            </w:pPr>
            <w:r w:rsidRPr="00D96B14">
              <w:t>67</w:t>
            </w:r>
            <w:r w:rsidRPr="00D96B14">
              <w:rPr>
                <w:bCs/>
                <w:i/>
                <w:noProof/>
                <w:vertAlign w:val="superscript"/>
              </w:rPr>
              <w:t>(vi)</w:t>
            </w:r>
          </w:p>
        </w:tc>
      </w:tr>
    </w:tbl>
    <w:p w:rsidR="00142353" w:rsidRPr="00D96B14" w:rsidRDefault="00142353" w:rsidP="00142353">
      <w:pPr>
        <w:pStyle w:val="SmallLine"/>
        <w:spacing w:before="60"/>
      </w:pPr>
    </w:p>
    <w:p w:rsidR="00142353" w:rsidRPr="00D96B14" w:rsidRDefault="00142353" w:rsidP="00E348C3">
      <w:pPr>
        <w:pStyle w:val="Tableheading"/>
        <w:rPr>
          <w:noProof/>
        </w:rPr>
      </w:pPr>
      <w:r w:rsidRPr="00D96B14">
        <w:rPr>
          <w:noProof/>
        </w:rPr>
        <w:t>Table 3: Details of employment levels in June of 2015 and 2016</w:t>
      </w:r>
      <w:r w:rsidRPr="00D96B14">
        <w:rPr>
          <w:noProof/>
          <w:vertAlign w:val="superscript"/>
        </w:rPr>
        <w:t>(vii)</w:t>
      </w:r>
    </w:p>
    <w:p w:rsidR="00142353" w:rsidRPr="00D96B14" w:rsidRDefault="00142353" w:rsidP="00142353">
      <w:pPr>
        <w:pStyle w:val="SmallLine"/>
        <w:spacing w:before="60"/>
      </w:pPr>
    </w:p>
    <w:tbl>
      <w:tblPr>
        <w:tblW w:w="8251" w:type="dxa"/>
        <w:tblLayout w:type="fixed"/>
        <w:tblCellMar>
          <w:left w:w="43" w:type="dxa"/>
          <w:right w:w="43" w:type="dxa"/>
        </w:tblCellMar>
        <w:tblLook w:val="01E0" w:firstRow="1" w:lastRow="1" w:firstColumn="1" w:lastColumn="1" w:noHBand="0" w:noVBand="0"/>
      </w:tblPr>
      <w:tblGrid>
        <w:gridCol w:w="1303"/>
        <w:gridCol w:w="1080"/>
        <w:gridCol w:w="1080"/>
        <w:gridCol w:w="1350"/>
        <w:gridCol w:w="1116"/>
        <w:gridCol w:w="1044"/>
        <w:gridCol w:w="1260"/>
        <w:gridCol w:w="18"/>
      </w:tblGrid>
      <w:tr w:rsidR="00142353" w:rsidRPr="00D96B14" w:rsidTr="004843DB">
        <w:trPr>
          <w:gridAfter w:val="1"/>
          <w:wAfter w:w="18" w:type="dxa"/>
          <w:cantSplit/>
        </w:trPr>
        <w:tc>
          <w:tcPr>
            <w:tcW w:w="1303" w:type="dxa"/>
            <w:tcBorders>
              <w:top w:val="single" w:sz="4" w:space="0" w:color="auto"/>
              <w:bottom w:val="single" w:sz="4" w:space="0" w:color="auto"/>
              <w:right w:val="single" w:sz="4" w:space="0" w:color="auto"/>
            </w:tcBorders>
          </w:tcPr>
          <w:p w:rsidR="00142353" w:rsidRPr="00D96B14" w:rsidRDefault="00142353" w:rsidP="004843DB">
            <w:pPr>
              <w:pStyle w:val="Tabletextheading"/>
              <w:spacing w:before="20" w:after="0"/>
              <w:jc w:val="center"/>
              <w:rPr>
                <w:b/>
                <w:bCs/>
                <w:noProof w:val="0"/>
              </w:rPr>
            </w:pPr>
          </w:p>
        </w:tc>
        <w:tc>
          <w:tcPr>
            <w:tcW w:w="3510" w:type="dxa"/>
            <w:gridSpan w:val="3"/>
            <w:tcBorders>
              <w:top w:val="single" w:sz="4" w:space="0" w:color="auto"/>
              <w:left w:val="single" w:sz="4" w:space="0" w:color="auto"/>
              <w:bottom w:val="single" w:sz="4" w:space="0" w:color="auto"/>
              <w:right w:val="single" w:sz="4" w:space="0" w:color="auto"/>
            </w:tcBorders>
            <w:vAlign w:val="center"/>
          </w:tcPr>
          <w:p w:rsidR="00142353" w:rsidRPr="00D96B14" w:rsidRDefault="00142353" w:rsidP="004843DB">
            <w:pPr>
              <w:pStyle w:val="Tabletextheading"/>
              <w:spacing w:before="20" w:after="0"/>
              <w:jc w:val="center"/>
              <w:rPr>
                <w:b/>
                <w:bCs/>
                <w:noProof w:val="0"/>
              </w:rPr>
            </w:pPr>
            <w:r w:rsidRPr="00D96B14">
              <w:rPr>
                <w:b/>
                <w:bCs/>
                <w:noProof w:val="0"/>
              </w:rPr>
              <w:t>2016</w:t>
            </w:r>
          </w:p>
        </w:tc>
        <w:tc>
          <w:tcPr>
            <w:tcW w:w="3420" w:type="dxa"/>
            <w:gridSpan w:val="3"/>
            <w:tcBorders>
              <w:top w:val="single" w:sz="4" w:space="0" w:color="auto"/>
              <w:left w:val="single" w:sz="4" w:space="0" w:color="auto"/>
              <w:bottom w:val="single" w:sz="4" w:space="0" w:color="auto"/>
            </w:tcBorders>
            <w:vAlign w:val="center"/>
          </w:tcPr>
          <w:p w:rsidR="00142353" w:rsidRPr="00D96B14" w:rsidRDefault="00142353" w:rsidP="004843DB">
            <w:pPr>
              <w:pStyle w:val="Tabletextheading"/>
              <w:spacing w:before="20" w:after="0"/>
              <w:jc w:val="center"/>
              <w:rPr>
                <w:b/>
                <w:bCs/>
                <w:noProof w:val="0"/>
              </w:rPr>
            </w:pPr>
            <w:r w:rsidRPr="00D96B14">
              <w:rPr>
                <w:b/>
                <w:bCs/>
                <w:noProof w:val="0"/>
              </w:rPr>
              <w:t>2015</w:t>
            </w:r>
          </w:p>
        </w:tc>
      </w:tr>
      <w:tr w:rsidR="00142353" w:rsidRPr="00D96B14" w:rsidTr="004843DB">
        <w:trPr>
          <w:gridAfter w:val="1"/>
          <w:wAfter w:w="18" w:type="dxa"/>
          <w:cantSplit/>
        </w:trPr>
        <w:tc>
          <w:tcPr>
            <w:tcW w:w="1303" w:type="dxa"/>
            <w:tcBorders>
              <w:top w:val="single" w:sz="4" w:space="0" w:color="auto"/>
              <w:bottom w:val="single" w:sz="4" w:space="0" w:color="auto"/>
              <w:right w:val="single" w:sz="4" w:space="0" w:color="auto"/>
            </w:tcBorders>
          </w:tcPr>
          <w:p w:rsidR="00142353" w:rsidRPr="00D96B14" w:rsidRDefault="00142353" w:rsidP="004843DB">
            <w:pPr>
              <w:pStyle w:val="Tabletextheading"/>
              <w:spacing w:before="20" w:after="0"/>
              <w:jc w:val="left"/>
              <w:rPr>
                <w:noProof w:val="0"/>
              </w:rPr>
            </w:pPr>
          </w:p>
        </w:tc>
        <w:tc>
          <w:tcPr>
            <w:tcW w:w="2160" w:type="dxa"/>
            <w:gridSpan w:val="2"/>
            <w:tcBorders>
              <w:top w:val="single" w:sz="4" w:space="0" w:color="auto"/>
              <w:left w:val="single" w:sz="4" w:space="0" w:color="auto"/>
              <w:bottom w:val="single" w:sz="4" w:space="0" w:color="auto"/>
              <w:right w:val="single" w:sz="4" w:space="0" w:color="auto"/>
            </w:tcBorders>
            <w:vAlign w:val="bottom"/>
          </w:tcPr>
          <w:p w:rsidR="00142353" w:rsidRPr="00D96B14" w:rsidRDefault="00142353" w:rsidP="004843DB">
            <w:pPr>
              <w:pStyle w:val="Tabletextheading"/>
              <w:spacing w:before="20" w:after="0"/>
              <w:ind w:right="-133"/>
              <w:jc w:val="center"/>
              <w:rPr>
                <w:noProof w:val="0"/>
              </w:rPr>
            </w:pPr>
            <w:r w:rsidRPr="00D96B14">
              <w:rPr>
                <w:noProof w:val="0"/>
              </w:rPr>
              <w:br/>
              <w:t>Ongoing</w:t>
            </w:r>
          </w:p>
        </w:tc>
        <w:tc>
          <w:tcPr>
            <w:tcW w:w="1350" w:type="dxa"/>
            <w:tcBorders>
              <w:top w:val="single" w:sz="4" w:space="0" w:color="auto"/>
              <w:left w:val="single" w:sz="4" w:space="0" w:color="auto"/>
              <w:bottom w:val="single" w:sz="4" w:space="0" w:color="auto"/>
              <w:right w:val="single" w:sz="4" w:space="0" w:color="auto"/>
            </w:tcBorders>
          </w:tcPr>
          <w:p w:rsidR="00142353" w:rsidRPr="00D96B14" w:rsidRDefault="00142353" w:rsidP="004843DB">
            <w:pPr>
              <w:pStyle w:val="Tabletextheading"/>
              <w:spacing w:before="20" w:after="0"/>
              <w:rPr>
                <w:noProof w:val="0"/>
              </w:rPr>
            </w:pPr>
            <w:r w:rsidRPr="00D96B14">
              <w:rPr>
                <w:noProof w:val="0"/>
              </w:rPr>
              <w:t>Fixed term and casual employees</w:t>
            </w:r>
          </w:p>
        </w:tc>
        <w:tc>
          <w:tcPr>
            <w:tcW w:w="2160" w:type="dxa"/>
            <w:gridSpan w:val="2"/>
            <w:tcBorders>
              <w:top w:val="single" w:sz="4" w:space="0" w:color="auto"/>
              <w:left w:val="single" w:sz="4" w:space="0" w:color="auto"/>
              <w:bottom w:val="single" w:sz="4" w:space="0" w:color="auto"/>
              <w:right w:val="single" w:sz="4" w:space="0" w:color="auto"/>
            </w:tcBorders>
            <w:vAlign w:val="bottom"/>
          </w:tcPr>
          <w:p w:rsidR="00142353" w:rsidRPr="00D96B14" w:rsidRDefault="00142353" w:rsidP="004843DB">
            <w:pPr>
              <w:pStyle w:val="Tabletextheading"/>
              <w:spacing w:before="20" w:after="0"/>
              <w:jc w:val="center"/>
              <w:rPr>
                <w:noProof w:val="0"/>
              </w:rPr>
            </w:pPr>
            <w:r w:rsidRPr="00D96B14">
              <w:rPr>
                <w:noProof w:val="0"/>
              </w:rPr>
              <w:br/>
              <w:t>Ongoing</w:t>
            </w:r>
          </w:p>
        </w:tc>
        <w:tc>
          <w:tcPr>
            <w:tcW w:w="1260" w:type="dxa"/>
            <w:tcBorders>
              <w:top w:val="single" w:sz="4" w:space="0" w:color="auto"/>
              <w:left w:val="single" w:sz="4" w:space="0" w:color="auto"/>
              <w:bottom w:val="single" w:sz="4" w:space="0" w:color="auto"/>
            </w:tcBorders>
          </w:tcPr>
          <w:p w:rsidR="00142353" w:rsidRPr="00D96B14" w:rsidRDefault="00142353" w:rsidP="004843DB">
            <w:pPr>
              <w:pStyle w:val="Tabletextheading"/>
              <w:spacing w:before="20" w:after="0"/>
              <w:rPr>
                <w:noProof w:val="0"/>
              </w:rPr>
            </w:pPr>
            <w:r w:rsidRPr="00D96B14">
              <w:rPr>
                <w:noProof w:val="0"/>
              </w:rPr>
              <w:t>Fixed term and casual employees</w:t>
            </w:r>
          </w:p>
        </w:tc>
      </w:tr>
      <w:tr w:rsidR="00142353" w:rsidRPr="00D96B14" w:rsidTr="004843DB">
        <w:trPr>
          <w:cantSplit/>
        </w:trPr>
        <w:tc>
          <w:tcPr>
            <w:tcW w:w="1303" w:type="dxa"/>
            <w:tcBorders>
              <w:top w:val="single" w:sz="4" w:space="0" w:color="auto"/>
              <w:bottom w:val="single" w:sz="4" w:space="0" w:color="auto"/>
              <w:right w:val="single" w:sz="4" w:space="0" w:color="auto"/>
            </w:tcBorders>
          </w:tcPr>
          <w:p w:rsidR="00142353" w:rsidRPr="00D96B14" w:rsidRDefault="00142353" w:rsidP="004843DB">
            <w:pPr>
              <w:pStyle w:val="Tabletextheading"/>
              <w:spacing w:before="20" w:after="0"/>
              <w:jc w:val="left"/>
              <w:rPr>
                <w:noProof w:val="0"/>
              </w:rPr>
            </w:pPr>
          </w:p>
        </w:tc>
        <w:tc>
          <w:tcPr>
            <w:tcW w:w="1080" w:type="dxa"/>
            <w:tcBorders>
              <w:top w:val="single" w:sz="4" w:space="0" w:color="auto"/>
              <w:left w:val="single" w:sz="4" w:space="0" w:color="auto"/>
              <w:bottom w:val="single" w:sz="4" w:space="0" w:color="auto"/>
            </w:tcBorders>
          </w:tcPr>
          <w:p w:rsidR="00142353" w:rsidRPr="00D96B14" w:rsidRDefault="00142353" w:rsidP="004843DB">
            <w:pPr>
              <w:pStyle w:val="Tabletextheading"/>
              <w:spacing w:before="20" w:after="0"/>
              <w:rPr>
                <w:noProof w:val="0"/>
              </w:rPr>
            </w:pPr>
            <w:r w:rsidRPr="00D96B14">
              <w:rPr>
                <w:noProof w:val="0"/>
              </w:rPr>
              <w:t>Employees</w:t>
            </w:r>
            <w:r w:rsidRPr="00D96B14">
              <w:rPr>
                <w:noProof w:val="0"/>
              </w:rPr>
              <w:br/>
              <w:t>(headcount)</w:t>
            </w:r>
          </w:p>
        </w:tc>
        <w:tc>
          <w:tcPr>
            <w:tcW w:w="1080" w:type="dxa"/>
            <w:tcBorders>
              <w:top w:val="single" w:sz="4" w:space="0" w:color="auto"/>
              <w:bottom w:val="single" w:sz="4" w:space="0" w:color="auto"/>
              <w:right w:val="single" w:sz="4" w:space="0" w:color="auto"/>
            </w:tcBorders>
          </w:tcPr>
          <w:p w:rsidR="00142353" w:rsidRPr="00D96B14" w:rsidRDefault="00142353" w:rsidP="004843DB">
            <w:pPr>
              <w:pStyle w:val="Tabletextheading"/>
              <w:spacing w:before="20" w:after="0"/>
              <w:rPr>
                <w:noProof w:val="0"/>
              </w:rPr>
            </w:pPr>
            <w:r w:rsidRPr="00D96B14">
              <w:rPr>
                <w:noProof w:val="0"/>
              </w:rPr>
              <w:br/>
              <w:t xml:space="preserve">FTE </w:t>
            </w:r>
          </w:p>
        </w:tc>
        <w:tc>
          <w:tcPr>
            <w:tcW w:w="1350" w:type="dxa"/>
            <w:tcBorders>
              <w:top w:val="single" w:sz="4" w:space="0" w:color="auto"/>
              <w:left w:val="single" w:sz="4" w:space="0" w:color="auto"/>
              <w:bottom w:val="single" w:sz="4" w:space="0" w:color="auto"/>
              <w:right w:val="single" w:sz="4" w:space="0" w:color="auto"/>
            </w:tcBorders>
          </w:tcPr>
          <w:p w:rsidR="00142353" w:rsidRPr="00D96B14" w:rsidRDefault="00142353" w:rsidP="004843DB">
            <w:pPr>
              <w:pStyle w:val="Tabletextheading"/>
              <w:spacing w:before="20" w:after="0"/>
              <w:rPr>
                <w:noProof w:val="0"/>
              </w:rPr>
            </w:pPr>
            <w:r w:rsidRPr="00D96B14">
              <w:rPr>
                <w:noProof w:val="0"/>
              </w:rPr>
              <w:br/>
              <w:t>FTE</w:t>
            </w:r>
          </w:p>
        </w:tc>
        <w:tc>
          <w:tcPr>
            <w:tcW w:w="1116" w:type="dxa"/>
            <w:tcBorders>
              <w:top w:val="single" w:sz="4" w:space="0" w:color="auto"/>
              <w:left w:val="single" w:sz="4" w:space="0" w:color="auto"/>
              <w:bottom w:val="single" w:sz="4" w:space="0" w:color="auto"/>
            </w:tcBorders>
          </w:tcPr>
          <w:p w:rsidR="00142353" w:rsidRPr="00D96B14" w:rsidRDefault="00142353" w:rsidP="004843DB">
            <w:pPr>
              <w:pStyle w:val="Tabletextheading"/>
              <w:spacing w:before="20" w:after="0"/>
              <w:rPr>
                <w:noProof w:val="0"/>
              </w:rPr>
            </w:pPr>
            <w:r w:rsidRPr="00D96B14">
              <w:rPr>
                <w:noProof w:val="0"/>
              </w:rPr>
              <w:t>Employees</w:t>
            </w:r>
            <w:r w:rsidRPr="00D96B14">
              <w:rPr>
                <w:noProof w:val="0"/>
              </w:rPr>
              <w:br/>
              <w:t>(headcount)</w:t>
            </w:r>
          </w:p>
        </w:tc>
        <w:tc>
          <w:tcPr>
            <w:tcW w:w="1044" w:type="dxa"/>
            <w:tcBorders>
              <w:top w:val="single" w:sz="4" w:space="0" w:color="auto"/>
              <w:bottom w:val="single" w:sz="4" w:space="0" w:color="auto"/>
              <w:right w:val="single" w:sz="4" w:space="0" w:color="auto"/>
            </w:tcBorders>
          </w:tcPr>
          <w:p w:rsidR="00142353" w:rsidRPr="00D96B14" w:rsidRDefault="00142353" w:rsidP="004843DB">
            <w:pPr>
              <w:pStyle w:val="Tabletextheading"/>
              <w:spacing w:before="20" w:after="0"/>
              <w:rPr>
                <w:noProof w:val="0"/>
              </w:rPr>
            </w:pPr>
            <w:r w:rsidRPr="00D96B14">
              <w:rPr>
                <w:noProof w:val="0"/>
              </w:rPr>
              <w:br/>
              <w:t xml:space="preserve">FTE </w:t>
            </w:r>
          </w:p>
        </w:tc>
        <w:tc>
          <w:tcPr>
            <w:tcW w:w="1278" w:type="dxa"/>
            <w:gridSpan w:val="2"/>
            <w:tcBorders>
              <w:top w:val="single" w:sz="4" w:space="0" w:color="auto"/>
              <w:left w:val="single" w:sz="4" w:space="0" w:color="auto"/>
              <w:bottom w:val="single" w:sz="4" w:space="0" w:color="auto"/>
            </w:tcBorders>
          </w:tcPr>
          <w:p w:rsidR="00142353" w:rsidRPr="00D96B14" w:rsidRDefault="00142353" w:rsidP="004843DB">
            <w:pPr>
              <w:pStyle w:val="Tabletextheading"/>
              <w:spacing w:before="20" w:after="0"/>
              <w:rPr>
                <w:noProof w:val="0"/>
              </w:rPr>
            </w:pPr>
            <w:r w:rsidRPr="00D96B14">
              <w:rPr>
                <w:noProof w:val="0"/>
              </w:rPr>
              <w:br/>
              <w:t xml:space="preserve">FTE </w:t>
            </w:r>
          </w:p>
        </w:tc>
      </w:tr>
      <w:tr w:rsidR="00142353" w:rsidRPr="00D96B14" w:rsidTr="004843DB">
        <w:trPr>
          <w:cantSplit/>
          <w:trHeight w:hRule="exact" w:val="284"/>
        </w:trPr>
        <w:tc>
          <w:tcPr>
            <w:tcW w:w="1303" w:type="dxa"/>
            <w:tcBorders>
              <w:top w:val="single" w:sz="4" w:space="0" w:color="auto"/>
              <w:right w:val="single" w:sz="4" w:space="0" w:color="auto"/>
            </w:tcBorders>
          </w:tcPr>
          <w:p w:rsidR="00142353" w:rsidRPr="00D96B14" w:rsidRDefault="00142353" w:rsidP="004843DB">
            <w:pPr>
              <w:pStyle w:val="Tabletext"/>
              <w:spacing w:after="0"/>
            </w:pPr>
            <w:r w:rsidRPr="00D96B14">
              <w:rPr>
                <w:b/>
                <w:bCs/>
              </w:rPr>
              <w:t>Gender</w:t>
            </w:r>
            <w:r w:rsidRPr="00D96B14">
              <w:t>:</w:t>
            </w:r>
          </w:p>
        </w:tc>
        <w:tc>
          <w:tcPr>
            <w:tcW w:w="1080" w:type="dxa"/>
            <w:tcBorders>
              <w:top w:val="single" w:sz="4" w:space="0" w:color="auto"/>
              <w:left w:val="single" w:sz="4" w:space="0" w:color="auto"/>
            </w:tcBorders>
          </w:tcPr>
          <w:p w:rsidR="00142353" w:rsidRPr="00D96B14" w:rsidRDefault="00142353" w:rsidP="004843DB">
            <w:pPr>
              <w:pStyle w:val="TableofFigures"/>
              <w:spacing w:before="20" w:after="0"/>
            </w:pPr>
          </w:p>
        </w:tc>
        <w:tc>
          <w:tcPr>
            <w:tcW w:w="1080" w:type="dxa"/>
            <w:tcBorders>
              <w:top w:val="single" w:sz="4" w:space="0" w:color="auto"/>
              <w:right w:val="single" w:sz="4" w:space="0" w:color="auto"/>
            </w:tcBorders>
          </w:tcPr>
          <w:p w:rsidR="00142353" w:rsidRPr="00D96B14" w:rsidRDefault="00142353" w:rsidP="004843DB">
            <w:pPr>
              <w:pStyle w:val="TableofFigures"/>
              <w:spacing w:before="20" w:after="0"/>
            </w:pPr>
          </w:p>
        </w:tc>
        <w:tc>
          <w:tcPr>
            <w:tcW w:w="1350" w:type="dxa"/>
            <w:tcBorders>
              <w:top w:val="single" w:sz="4" w:space="0" w:color="auto"/>
              <w:left w:val="single" w:sz="4" w:space="0" w:color="auto"/>
              <w:right w:val="single" w:sz="4" w:space="0" w:color="auto"/>
            </w:tcBorders>
          </w:tcPr>
          <w:p w:rsidR="00142353" w:rsidRPr="00D96B14" w:rsidRDefault="00142353" w:rsidP="004843DB">
            <w:pPr>
              <w:pStyle w:val="TableofFigures"/>
              <w:spacing w:before="20" w:after="0"/>
            </w:pPr>
          </w:p>
        </w:tc>
        <w:tc>
          <w:tcPr>
            <w:tcW w:w="1116" w:type="dxa"/>
            <w:tcBorders>
              <w:top w:val="single" w:sz="4" w:space="0" w:color="auto"/>
              <w:left w:val="single" w:sz="4" w:space="0" w:color="auto"/>
            </w:tcBorders>
          </w:tcPr>
          <w:p w:rsidR="00142353" w:rsidRPr="00D96B14" w:rsidRDefault="00142353" w:rsidP="004843DB">
            <w:pPr>
              <w:pStyle w:val="TableofFigures"/>
              <w:spacing w:before="20" w:after="0"/>
            </w:pPr>
          </w:p>
        </w:tc>
        <w:tc>
          <w:tcPr>
            <w:tcW w:w="1044" w:type="dxa"/>
            <w:tcBorders>
              <w:top w:val="single" w:sz="4" w:space="0" w:color="auto"/>
              <w:right w:val="single" w:sz="4" w:space="0" w:color="auto"/>
            </w:tcBorders>
          </w:tcPr>
          <w:p w:rsidR="00142353" w:rsidRPr="00D96B14" w:rsidRDefault="00142353" w:rsidP="004843DB">
            <w:pPr>
              <w:pStyle w:val="TableofFigures"/>
              <w:spacing w:before="20" w:after="0"/>
            </w:pPr>
          </w:p>
        </w:tc>
        <w:tc>
          <w:tcPr>
            <w:tcW w:w="1278" w:type="dxa"/>
            <w:gridSpan w:val="2"/>
            <w:tcBorders>
              <w:top w:val="single" w:sz="4" w:space="0" w:color="auto"/>
              <w:left w:val="single" w:sz="4" w:space="0" w:color="auto"/>
            </w:tcBorders>
          </w:tcPr>
          <w:p w:rsidR="00142353" w:rsidRPr="00D96B14" w:rsidRDefault="00142353" w:rsidP="004843DB">
            <w:pPr>
              <w:pStyle w:val="TableofFigures"/>
              <w:spacing w:before="20" w:after="0"/>
            </w:pP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Male</w:t>
            </w:r>
          </w:p>
        </w:tc>
        <w:tc>
          <w:tcPr>
            <w:tcW w:w="1080" w:type="dxa"/>
            <w:tcBorders>
              <w:left w:val="single" w:sz="4" w:space="0" w:color="auto"/>
            </w:tcBorders>
          </w:tcPr>
          <w:p w:rsidR="00142353" w:rsidRPr="00D96B14" w:rsidRDefault="00142353" w:rsidP="004843DB">
            <w:pPr>
              <w:pStyle w:val="TableofFigures"/>
              <w:spacing w:after="0"/>
            </w:pPr>
            <w:r w:rsidRPr="00D96B14">
              <w:t>243</w:t>
            </w:r>
          </w:p>
        </w:tc>
        <w:tc>
          <w:tcPr>
            <w:tcW w:w="1080" w:type="dxa"/>
            <w:tcBorders>
              <w:right w:val="single" w:sz="4" w:space="0" w:color="auto"/>
            </w:tcBorders>
          </w:tcPr>
          <w:p w:rsidR="00142353" w:rsidRPr="00D96B14" w:rsidRDefault="00142353" w:rsidP="004843DB">
            <w:pPr>
              <w:pStyle w:val="TableofFigures"/>
              <w:spacing w:before="20" w:after="0"/>
            </w:pPr>
            <w:r w:rsidRPr="00D96B14">
              <w:t>199</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21</w:t>
            </w:r>
          </w:p>
        </w:tc>
        <w:tc>
          <w:tcPr>
            <w:tcW w:w="1116" w:type="dxa"/>
            <w:tcBorders>
              <w:left w:val="single" w:sz="4" w:space="0" w:color="auto"/>
            </w:tcBorders>
          </w:tcPr>
          <w:p w:rsidR="00142353" w:rsidRPr="00D96B14" w:rsidRDefault="00142353" w:rsidP="004843DB">
            <w:pPr>
              <w:pStyle w:val="TableofFigures"/>
              <w:spacing w:before="20" w:after="0"/>
            </w:pPr>
            <w:r w:rsidRPr="00D96B14">
              <w:t>192</w:t>
            </w:r>
          </w:p>
        </w:tc>
        <w:tc>
          <w:tcPr>
            <w:tcW w:w="1044" w:type="dxa"/>
            <w:tcBorders>
              <w:right w:val="single" w:sz="4" w:space="0" w:color="auto"/>
            </w:tcBorders>
          </w:tcPr>
          <w:p w:rsidR="00142353" w:rsidRPr="00D96B14" w:rsidRDefault="00142353" w:rsidP="004843DB">
            <w:pPr>
              <w:pStyle w:val="TableofFigures"/>
              <w:spacing w:before="20" w:after="0"/>
            </w:pPr>
            <w:r w:rsidRPr="00D96B14">
              <w:t>192</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21</w:t>
            </w:r>
          </w:p>
        </w:tc>
      </w:tr>
      <w:tr w:rsidR="00142353" w:rsidRPr="00D96B14" w:rsidTr="004843DB">
        <w:trPr>
          <w:cantSplit/>
          <w:trHeight w:hRule="exact" w:val="227"/>
        </w:trPr>
        <w:tc>
          <w:tcPr>
            <w:tcW w:w="1303" w:type="dxa"/>
            <w:tcBorders>
              <w:bottom w:val="single" w:sz="4" w:space="0" w:color="auto"/>
              <w:right w:val="single" w:sz="4" w:space="0" w:color="auto"/>
            </w:tcBorders>
          </w:tcPr>
          <w:p w:rsidR="00142353" w:rsidRPr="00D96B14" w:rsidRDefault="00142353" w:rsidP="004843DB">
            <w:pPr>
              <w:pStyle w:val="Tabletext"/>
              <w:spacing w:after="0"/>
            </w:pPr>
            <w:r w:rsidRPr="00D96B14">
              <w:t>Female</w:t>
            </w:r>
          </w:p>
        </w:tc>
        <w:tc>
          <w:tcPr>
            <w:tcW w:w="1080" w:type="dxa"/>
            <w:tcBorders>
              <w:left w:val="single" w:sz="4" w:space="0" w:color="auto"/>
              <w:bottom w:val="single" w:sz="4" w:space="0" w:color="auto"/>
            </w:tcBorders>
          </w:tcPr>
          <w:p w:rsidR="00142353" w:rsidRPr="00D96B14" w:rsidRDefault="00142353" w:rsidP="004843DB">
            <w:pPr>
              <w:pStyle w:val="TableofFigures"/>
              <w:spacing w:before="20" w:after="0"/>
            </w:pPr>
            <w:r w:rsidRPr="00D96B14">
              <w:t>321</w:t>
            </w:r>
          </w:p>
        </w:tc>
        <w:tc>
          <w:tcPr>
            <w:tcW w:w="1080" w:type="dxa"/>
            <w:tcBorders>
              <w:bottom w:val="single" w:sz="4" w:space="0" w:color="auto"/>
              <w:right w:val="single" w:sz="4" w:space="0" w:color="auto"/>
            </w:tcBorders>
          </w:tcPr>
          <w:p w:rsidR="00142353" w:rsidRPr="00D96B14" w:rsidRDefault="00142353" w:rsidP="004843DB">
            <w:pPr>
              <w:pStyle w:val="TableofFigures"/>
              <w:spacing w:before="20" w:after="0"/>
            </w:pPr>
            <w:r w:rsidRPr="00D96B14">
              <w:t>235</w:t>
            </w:r>
          </w:p>
        </w:tc>
        <w:tc>
          <w:tcPr>
            <w:tcW w:w="1350" w:type="dxa"/>
            <w:tcBorders>
              <w:left w:val="single" w:sz="4" w:space="0" w:color="auto"/>
              <w:bottom w:val="single" w:sz="4" w:space="0" w:color="auto"/>
              <w:right w:val="single" w:sz="4" w:space="0" w:color="auto"/>
            </w:tcBorders>
          </w:tcPr>
          <w:p w:rsidR="00142353" w:rsidRPr="00D96B14" w:rsidRDefault="00142353" w:rsidP="004843DB">
            <w:pPr>
              <w:pStyle w:val="TableofFigures"/>
              <w:spacing w:before="20" w:after="0"/>
            </w:pPr>
            <w:r w:rsidRPr="00D96B14">
              <w:t>23</w:t>
            </w:r>
          </w:p>
        </w:tc>
        <w:tc>
          <w:tcPr>
            <w:tcW w:w="1116" w:type="dxa"/>
            <w:tcBorders>
              <w:left w:val="single" w:sz="4" w:space="0" w:color="auto"/>
              <w:bottom w:val="single" w:sz="4" w:space="0" w:color="auto"/>
            </w:tcBorders>
          </w:tcPr>
          <w:p w:rsidR="00142353" w:rsidRPr="00D96B14" w:rsidRDefault="00142353" w:rsidP="004843DB">
            <w:pPr>
              <w:pStyle w:val="TableofFigures"/>
              <w:spacing w:before="20" w:after="0"/>
            </w:pPr>
            <w:r w:rsidRPr="00D96B14">
              <w:t>240</w:t>
            </w:r>
          </w:p>
        </w:tc>
        <w:tc>
          <w:tcPr>
            <w:tcW w:w="1044" w:type="dxa"/>
            <w:tcBorders>
              <w:bottom w:val="single" w:sz="4" w:space="0" w:color="auto"/>
              <w:right w:val="single" w:sz="4" w:space="0" w:color="auto"/>
            </w:tcBorders>
          </w:tcPr>
          <w:p w:rsidR="00142353" w:rsidRPr="00D96B14" w:rsidRDefault="00142353" w:rsidP="004843DB">
            <w:pPr>
              <w:pStyle w:val="TableofFigures"/>
              <w:spacing w:before="20" w:after="0"/>
            </w:pPr>
            <w:r w:rsidRPr="00D96B14">
              <w:t>222</w:t>
            </w:r>
          </w:p>
        </w:tc>
        <w:tc>
          <w:tcPr>
            <w:tcW w:w="1278" w:type="dxa"/>
            <w:gridSpan w:val="2"/>
            <w:tcBorders>
              <w:left w:val="single" w:sz="4" w:space="0" w:color="auto"/>
              <w:bottom w:val="single" w:sz="4" w:space="0" w:color="auto"/>
            </w:tcBorders>
          </w:tcPr>
          <w:p w:rsidR="00142353" w:rsidRPr="00D96B14" w:rsidRDefault="00142353" w:rsidP="004843DB">
            <w:pPr>
              <w:pStyle w:val="TableofFigures"/>
              <w:spacing w:before="20" w:after="0"/>
            </w:pPr>
            <w:r w:rsidRPr="00D96B14">
              <w:t>46</w:t>
            </w:r>
          </w:p>
        </w:tc>
      </w:tr>
      <w:tr w:rsidR="00142353" w:rsidRPr="00D96B14" w:rsidTr="004843DB">
        <w:trPr>
          <w:cantSplit/>
          <w:trHeight w:hRule="exact" w:val="284"/>
        </w:trPr>
        <w:tc>
          <w:tcPr>
            <w:tcW w:w="1303" w:type="dxa"/>
            <w:tcBorders>
              <w:top w:val="single" w:sz="4" w:space="0" w:color="auto"/>
              <w:right w:val="single" w:sz="4" w:space="0" w:color="auto"/>
            </w:tcBorders>
          </w:tcPr>
          <w:p w:rsidR="00142353" w:rsidRPr="00D96B14" w:rsidRDefault="00142353" w:rsidP="004843DB">
            <w:pPr>
              <w:pStyle w:val="Tabletext"/>
              <w:spacing w:after="0"/>
            </w:pPr>
            <w:r w:rsidRPr="00D96B14">
              <w:rPr>
                <w:b/>
                <w:bCs/>
              </w:rPr>
              <w:t>Total</w:t>
            </w:r>
          </w:p>
        </w:tc>
        <w:tc>
          <w:tcPr>
            <w:tcW w:w="1080" w:type="dxa"/>
            <w:tcBorders>
              <w:top w:val="single" w:sz="4" w:space="0" w:color="auto"/>
              <w:left w:val="single" w:sz="4" w:space="0" w:color="auto"/>
            </w:tcBorders>
          </w:tcPr>
          <w:p w:rsidR="00142353" w:rsidRPr="00D96B14" w:rsidRDefault="00142353" w:rsidP="004843DB">
            <w:pPr>
              <w:pStyle w:val="TableofFigures"/>
              <w:spacing w:before="20" w:after="0"/>
              <w:rPr>
                <w:b/>
                <w:bCs/>
              </w:rPr>
            </w:pPr>
            <w:r w:rsidRPr="00D96B14">
              <w:rPr>
                <w:b/>
                <w:bCs/>
              </w:rPr>
              <w:t>564</w:t>
            </w:r>
          </w:p>
        </w:tc>
        <w:tc>
          <w:tcPr>
            <w:tcW w:w="1080" w:type="dxa"/>
            <w:tcBorders>
              <w:top w:val="single" w:sz="4" w:space="0" w:color="auto"/>
              <w:right w:val="single" w:sz="4" w:space="0" w:color="auto"/>
            </w:tcBorders>
          </w:tcPr>
          <w:p w:rsidR="00142353" w:rsidRPr="00D96B14" w:rsidRDefault="00142353" w:rsidP="004843DB">
            <w:pPr>
              <w:pStyle w:val="TableofFigures"/>
              <w:spacing w:before="20" w:after="0"/>
              <w:rPr>
                <w:b/>
                <w:bCs/>
              </w:rPr>
            </w:pPr>
            <w:r w:rsidRPr="00D96B14">
              <w:rPr>
                <w:b/>
                <w:bCs/>
              </w:rPr>
              <w:t>434</w:t>
            </w:r>
          </w:p>
        </w:tc>
        <w:tc>
          <w:tcPr>
            <w:tcW w:w="1350" w:type="dxa"/>
            <w:tcBorders>
              <w:top w:val="single" w:sz="4" w:space="0" w:color="auto"/>
              <w:left w:val="single" w:sz="4" w:space="0" w:color="auto"/>
              <w:right w:val="single" w:sz="4" w:space="0" w:color="auto"/>
            </w:tcBorders>
          </w:tcPr>
          <w:p w:rsidR="00142353" w:rsidRPr="00D96B14" w:rsidRDefault="00142353" w:rsidP="004843DB">
            <w:pPr>
              <w:pStyle w:val="TableofFigures"/>
              <w:spacing w:before="20" w:after="0"/>
              <w:rPr>
                <w:b/>
                <w:bCs/>
              </w:rPr>
            </w:pPr>
            <w:r w:rsidRPr="00D96B14">
              <w:rPr>
                <w:b/>
                <w:bCs/>
              </w:rPr>
              <w:t>44</w:t>
            </w:r>
          </w:p>
        </w:tc>
        <w:tc>
          <w:tcPr>
            <w:tcW w:w="1116" w:type="dxa"/>
            <w:tcBorders>
              <w:top w:val="single" w:sz="4" w:space="0" w:color="auto"/>
              <w:left w:val="single" w:sz="4" w:space="0" w:color="auto"/>
            </w:tcBorders>
          </w:tcPr>
          <w:p w:rsidR="00142353" w:rsidRPr="00D96B14" w:rsidRDefault="00142353" w:rsidP="004843DB">
            <w:pPr>
              <w:pStyle w:val="TableofFigures"/>
              <w:spacing w:before="20" w:after="0"/>
              <w:rPr>
                <w:b/>
                <w:bCs/>
              </w:rPr>
            </w:pPr>
            <w:r w:rsidRPr="00D96B14">
              <w:rPr>
                <w:b/>
                <w:bCs/>
              </w:rPr>
              <w:t>432</w:t>
            </w:r>
          </w:p>
        </w:tc>
        <w:tc>
          <w:tcPr>
            <w:tcW w:w="1044" w:type="dxa"/>
            <w:tcBorders>
              <w:top w:val="single" w:sz="4" w:space="0" w:color="auto"/>
              <w:right w:val="single" w:sz="4" w:space="0" w:color="auto"/>
            </w:tcBorders>
          </w:tcPr>
          <w:p w:rsidR="00142353" w:rsidRPr="00D96B14" w:rsidRDefault="00142353" w:rsidP="004843DB">
            <w:pPr>
              <w:pStyle w:val="TableofFigures"/>
              <w:spacing w:before="20" w:after="0"/>
              <w:rPr>
                <w:b/>
                <w:bCs/>
              </w:rPr>
            </w:pPr>
            <w:r w:rsidRPr="00D96B14">
              <w:rPr>
                <w:b/>
                <w:bCs/>
              </w:rPr>
              <w:t>414</w:t>
            </w:r>
          </w:p>
        </w:tc>
        <w:tc>
          <w:tcPr>
            <w:tcW w:w="1278" w:type="dxa"/>
            <w:gridSpan w:val="2"/>
            <w:tcBorders>
              <w:top w:val="single" w:sz="4" w:space="0" w:color="auto"/>
              <w:left w:val="single" w:sz="4" w:space="0" w:color="auto"/>
            </w:tcBorders>
          </w:tcPr>
          <w:p w:rsidR="00142353" w:rsidRPr="00D96B14" w:rsidRDefault="00142353" w:rsidP="004843DB">
            <w:pPr>
              <w:pStyle w:val="TableofFigures"/>
              <w:spacing w:before="20" w:after="0"/>
              <w:rPr>
                <w:b/>
                <w:bCs/>
              </w:rPr>
            </w:pPr>
            <w:r w:rsidRPr="00D96B14">
              <w:rPr>
                <w:b/>
                <w:bCs/>
              </w:rPr>
              <w:t>67</w:t>
            </w:r>
          </w:p>
        </w:tc>
      </w:tr>
      <w:tr w:rsidR="00142353" w:rsidRPr="00D96B14" w:rsidTr="004843DB">
        <w:trPr>
          <w:cantSplit/>
          <w:trHeight w:hRule="exact" w:val="284"/>
        </w:trPr>
        <w:tc>
          <w:tcPr>
            <w:tcW w:w="1303" w:type="dxa"/>
            <w:tcBorders>
              <w:right w:val="single" w:sz="4" w:space="0" w:color="auto"/>
            </w:tcBorders>
          </w:tcPr>
          <w:p w:rsidR="00142353" w:rsidRPr="00D96B14" w:rsidRDefault="00142353" w:rsidP="004843DB">
            <w:pPr>
              <w:pStyle w:val="Tabletext"/>
              <w:spacing w:after="0"/>
            </w:pPr>
            <w:r w:rsidRPr="00D96B14">
              <w:rPr>
                <w:b/>
                <w:bCs/>
              </w:rPr>
              <w:t>Age</w:t>
            </w:r>
          </w:p>
        </w:tc>
        <w:tc>
          <w:tcPr>
            <w:tcW w:w="1080" w:type="dxa"/>
            <w:tcBorders>
              <w:left w:val="single" w:sz="4" w:space="0" w:color="auto"/>
            </w:tcBorders>
          </w:tcPr>
          <w:p w:rsidR="00142353" w:rsidRPr="00D96B14" w:rsidRDefault="00142353" w:rsidP="004843DB">
            <w:pPr>
              <w:pStyle w:val="TableofFigures"/>
              <w:spacing w:before="20" w:after="0"/>
            </w:pPr>
          </w:p>
        </w:tc>
        <w:tc>
          <w:tcPr>
            <w:tcW w:w="1080" w:type="dxa"/>
            <w:tcBorders>
              <w:right w:val="single" w:sz="4" w:space="0" w:color="auto"/>
            </w:tcBorders>
          </w:tcPr>
          <w:p w:rsidR="00142353" w:rsidRPr="00D96B14" w:rsidRDefault="00142353" w:rsidP="004843DB">
            <w:pPr>
              <w:pStyle w:val="TableofFigures"/>
              <w:spacing w:before="20" w:after="0"/>
            </w:pP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p>
        </w:tc>
        <w:tc>
          <w:tcPr>
            <w:tcW w:w="1116" w:type="dxa"/>
            <w:tcBorders>
              <w:left w:val="single" w:sz="4" w:space="0" w:color="auto"/>
            </w:tcBorders>
          </w:tcPr>
          <w:p w:rsidR="00142353" w:rsidRPr="00D96B14" w:rsidRDefault="00142353" w:rsidP="004843DB">
            <w:pPr>
              <w:pStyle w:val="TableofFigures"/>
              <w:spacing w:before="20" w:after="0"/>
            </w:pPr>
          </w:p>
        </w:tc>
        <w:tc>
          <w:tcPr>
            <w:tcW w:w="1044" w:type="dxa"/>
            <w:tcBorders>
              <w:right w:val="single" w:sz="4" w:space="0" w:color="auto"/>
            </w:tcBorders>
          </w:tcPr>
          <w:p w:rsidR="00142353" w:rsidRPr="00D96B14" w:rsidRDefault="00142353" w:rsidP="004843DB">
            <w:pPr>
              <w:pStyle w:val="TableofFigures"/>
              <w:spacing w:before="20" w:after="0"/>
            </w:pPr>
          </w:p>
        </w:tc>
        <w:tc>
          <w:tcPr>
            <w:tcW w:w="1278" w:type="dxa"/>
            <w:gridSpan w:val="2"/>
            <w:tcBorders>
              <w:left w:val="single" w:sz="4" w:space="0" w:color="auto"/>
            </w:tcBorders>
          </w:tcPr>
          <w:p w:rsidR="00142353" w:rsidRPr="00D96B14" w:rsidRDefault="00142353" w:rsidP="004843DB">
            <w:pPr>
              <w:pStyle w:val="TableofFigures"/>
              <w:spacing w:before="20" w:after="0"/>
            </w:pP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Under 25</w:t>
            </w:r>
          </w:p>
        </w:tc>
        <w:tc>
          <w:tcPr>
            <w:tcW w:w="1080" w:type="dxa"/>
            <w:tcBorders>
              <w:left w:val="single" w:sz="4" w:space="0" w:color="auto"/>
            </w:tcBorders>
          </w:tcPr>
          <w:p w:rsidR="00142353" w:rsidRPr="00D96B14" w:rsidRDefault="00142353" w:rsidP="004843DB">
            <w:pPr>
              <w:pStyle w:val="TableofFigures"/>
              <w:spacing w:before="20" w:after="0"/>
            </w:pPr>
            <w:r w:rsidRPr="00D96B14">
              <w:t>33</w:t>
            </w:r>
          </w:p>
        </w:tc>
        <w:tc>
          <w:tcPr>
            <w:tcW w:w="1080" w:type="dxa"/>
            <w:tcBorders>
              <w:right w:val="single" w:sz="4" w:space="0" w:color="auto"/>
            </w:tcBorders>
          </w:tcPr>
          <w:p w:rsidR="00142353" w:rsidRPr="00D96B14" w:rsidRDefault="00142353" w:rsidP="004843DB">
            <w:pPr>
              <w:pStyle w:val="TableofFigures"/>
              <w:spacing w:before="20" w:after="0"/>
            </w:pPr>
            <w:r w:rsidRPr="00D96B14">
              <w:t>11</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4</w:t>
            </w:r>
          </w:p>
        </w:tc>
        <w:tc>
          <w:tcPr>
            <w:tcW w:w="1116" w:type="dxa"/>
            <w:tcBorders>
              <w:left w:val="single" w:sz="4" w:space="0" w:color="auto"/>
            </w:tcBorders>
          </w:tcPr>
          <w:p w:rsidR="00142353" w:rsidRPr="00D96B14" w:rsidRDefault="00142353" w:rsidP="004843DB">
            <w:pPr>
              <w:pStyle w:val="TableofFigures"/>
              <w:spacing w:before="20" w:after="0"/>
            </w:pPr>
            <w:r w:rsidRPr="00D96B14">
              <w:t>6</w:t>
            </w:r>
          </w:p>
        </w:tc>
        <w:tc>
          <w:tcPr>
            <w:tcW w:w="1044" w:type="dxa"/>
            <w:tcBorders>
              <w:right w:val="single" w:sz="4" w:space="0" w:color="auto"/>
            </w:tcBorders>
          </w:tcPr>
          <w:p w:rsidR="00142353" w:rsidRPr="00D96B14" w:rsidRDefault="00142353" w:rsidP="004843DB">
            <w:pPr>
              <w:pStyle w:val="TableofFigures"/>
              <w:spacing w:before="20" w:after="0"/>
            </w:pPr>
            <w:r w:rsidRPr="00D96B14">
              <w:t>6</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22</w:t>
            </w: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25</w:t>
            </w:r>
            <w:r w:rsidR="005A4BB0">
              <w:noBreakHyphen/>
            </w:r>
            <w:r w:rsidRPr="00D96B14">
              <w:t>34</w:t>
            </w:r>
          </w:p>
        </w:tc>
        <w:tc>
          <w:tcPr>
            <w:tcW w:w="1080" w:type="dxa"/>
            <w:tcBorders>
              <w:left w:val="single" w:sz="4" w:space="0" w:color="auto"/>
            </w:tcBorders>
          </w:tcPr>
          <w:p w:rsidR="00142353" w:rsidRPr="00D96B14" w:rsidRDefault="00142353" w:rsidP="004843DB">
            <w:pPr>
              <w:pStyle w:val="TableofFigures"/>
              <w:spacing w:before="20" w:after="0"/>
            </w:pPr>
            <w:r w:rsidRPr="00D96B14">
              <w:t>123</w:t>
            </w:r>
          </w:p>
        </w:tc>
        <w:tc>
          <w:tcPr>
            <w:tcW w:w="1080" w:type="dxa"/>
            <w:tcBorders>
              <w:right w:val="single" w:sz="4" w:space="0" w:color="auto"/>
            </w:tcBorders>
          </w:tcPr>
          <w:p w:rsidR="00142353" w:rsidRPr="00D96B14" w:rsidRDefault="00142353" w:rsidP="004843DB">
            <w:pPr>
              <w:pStyle w:val="TableofFigures"/>
              <w:spacing w:before="20" w:after="0"/>
            </w:pPr>
            <w:r w:rsidRPr="00D96B14">
              <w:t>75</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14</w:t>
            </w:r>
          </w:p>
        </w:tc>
        <w:tc>
          <w:tcPr>
            <w:tcW w:w="1116" w:type="dxa"/>
            <w:tcBorders>
              <w:left w:val="single" w:sz="4" w:space="0" w:color="auto"/>
            </w:tcBorders>
          </w:tcPr>
          <w:p w:rsidR="00142353" w:rsidRPr="00D96B14" w:rsidRDefault="00142353" w:rsidP="004843DB">
            <w:pPr>
              <w:pStyle w:val="TableofFigures"/>
              <w:spacing w:before="20" w:after="0"/>
            </w:pPr>
            <w:r w:rsidRPr="00D96B14">
              <w:t>77</w:t>
            </w:r>
          </w:p>
        </w:tc>
        <w:tc>
          <w:tcPr>
            <w:tcW w:w="1044" w:type="dxa"/>
            <w:tcBorders>
              <w:right w:val="single" w:sz="4" w:space="0" w:color="auto"/>
            </w:tcBorders>
          </w:tcPr>
          <w:p w:rsidR="00142353" w:rsidRPr="00D96B14" w:rsidRDefault="00142353" w:rsidP="004843DB">
            <w:pPr>
              <w:pStyle w:val="TableofFigures"/>
              <w:spacing w:before="20" w:after="0"/>
            </w:pPr>
            <w:r w:rsidRPr="00D96B14">
              <w:t>67</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11</w:t>
            </w: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35</w:t>
            </w:r>
            <w:r w:rsidR="005A4BB0">
              <w:noBreakHyphen/>
            </w:r>
            <w:r w:rsidRPr="00D96B14">
              <w:t>44</w:t>
            </w:r>
          </w:p>
        </w:tc>
        <w:tc>
          <w:tcPr>
            <w:tcW w:w="1080" w:type="dxa"/>
            <w:tcBorders>
              <w:left w:val="single" w:sz="4" w:space="0" w:color="auto"/>
            </w:tcBorders>
          </w:tcPr>
          <w:p w:rsidR="00142353" w:rsidRPr="00D96B14" w:rsidRDefault="00142353" w:rsidP="004843DB">
            <w:pPr>
              <w:pStyle w:val="TableofFigures"/>
              <w:spacing w:before="20" w:after="0"/>
            </w:pPr>
            <w:r w:rsidRPr="00D96B14">
              <w:t>135</w:t>
            </w:r>
          </w:p>
        </w:tc>
        <w:tc>
          <w:tcPr>
            <w:tcW w:w="1080" w:type="dxa"/>
            <w:tcBorders>
              <w:right w:val="single" w:sz="4" w:space="0" w:color="auto"/>
            </w:tcBorders>
          </w:tcPr>
          <w:p w:rsidR="00142353" w:rsidRPr="00D96B14" w:rsidRDefault="00142353" w:rsidP="004843DB">
            <w:pPr>
              <w:pStyle w:val="TableofFigures"/>
              <w:spacing w:before="20" w:after="0"/>
            </w:pPr>
            <w:r w:rsidRPr="00D96B14">
              <w:t>101</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15</w:t>
            </w:r>
          </w:p>
        </w:tc>
        <w:tc>
          <w:tcPr>
            <w:tcW w:w="1116" w:type="dxa"/>
            <w:tcBorders>
              <w:left w:val="single" w:sz="4" w:space="0" w:color="auto"/>
            </w:tcBorders>
          </w:tcPr>
          <w:p w:rsidR="00142353" w:rsidRPr="00D96B14" w:rsidRDefault="00142353" w:rsidP="004843DB">
            <w:pPr>
              <w:pStyle w:val="TableofFigures"/>
              <w:spacing w:before="20" w:after="0"/>
            </w:pPr>
            <w:r w:rsidRPr="00D96B14">
              <w:t>113</w:t>
            </w:r>
          </w:p>
        </w:tc>
        <w:tc>
          <w:tcPr>
            <w:tcW w:w="1044" w:type="dxa"/>
            <w:tcBorders>
              <w:right w:val="single" w:sz="4" w:space="0" w:color="auto"/>
            </w:tcBorders>
          </w:tcPr>
          <w:p w:rsidR="00142353" w:rsidRPr="00D96B14" w:rsidRDefault="00142353" w:rsidP="004843DB">
            <w:pPr>
              <w:pStyle w:val="TableofFigures"/>
              <w:spacing w:before="20" w:after="0"/>
            </w:pPr>
            <w:r w:rsidRPr="00D96B14">
              <w:t>113</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27</w:t>
            </w: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45</w:t>
            </w:r>
            <w:r w:rsidR="005A4BB0">
              <w:noBreakHyphen/>
            </w:r>
            <w:r w:rsidRPr="00D96B14">
              <w:t>54</w:t>
            </w:r>
          </w:p>
        </w:tc>
        <w:tc>
          <w:tcPr>
            <w:tcW w:w="1080" w:type="dxa"/>
            <w:tcBorders>
              <w:left w:val="single" w:sz="4" w:space="0" w:color="auto"/>
            </w:tcBorders>
          </w:tcPr>
          <w:p w:rsidR="00142353" w:rsidRPr="00D96B14" w:rsidRDefault="00142353" w:rsidP="004843DB">
            <w:pPr>
              <w:pStyle w:val="TableofFigures"/>
              <w:spacing w:before="20" w:after="0"/>
            </w:pPr>
            <w:r w:rsidRPr="00D96B14">
              <w:t>186</w:t>
            </w:r>
          </w:p>
        </w:tc>
        <w:tc>
          <w:tcPr>
            <w:tcW w:w="1080" w:type="dxa"/>
            <w:tcBorders>
              <w:right w:val="single" w:sz="4" w:space="0" w:color="auto"/>
            </w:tcBorders>
          </w:tcPr>
          <w:p w:rsidR="00142353" w:rsidRPr="00D96B14" w:rsidRDefault="00142353" w:rsidP="004843DB">
            <w:pPr>
              <w:pStyle w:val="TableofFigures"/>
              <w:spacing w:before="20" w:after="0"/>
            </w:pPr>
            <w:r w:rsidRPr="00D96B14">
              <w:t>177</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10</w:t>
            </w:r>
          </w:p>
        </w:tc>
        <w:tc>
          <w:tcPr>
            <w:tcW w:w="1116" w:type="dxa"/>
            <w:tcBorders>
              <w:left w:val="single" w:sz="4" w:space="0" w:color="auto"/>
            </w:tcBorders>
          </w:tcPr>
          <w:p w:rsidR="00142353" w:rsidRPr="00D96B14" w:rsidRDefault="00142353" w:rsidP="004843DB">
            <w:pPr>
              <w:pStyle w:val="TableofFigures"/>
              <w:spacing w:before="20" w:after="0"/>
            </w:pPr>
            <w:r w:rsidRPr="00D96B14">
              <w:t>167</w:t>
            </w:r>
          </w:p>
        </w:tc>
        <w:tc>
          <w:tcPr>
            <w:tcW w:w="1044" w:type="dxa"/>
            <w:tcBorders>
              <w:right w:val="single" w:sz="4" w:space="0" w:color="auto"/>
            </w:tcBorders>
          </w:tcPr>
          <w:p w:rsidR="00142353" w:rsidRPr="00D96B14" w:rsidRDefault="00142353" w:rsidP="004843DB">
            <w:pPr>
              <w:pStyle w:val="TableofFigures"/>
              <w:spacing w:before="20" w:after="0"/>
            </w:pPr>
            <w:r w:rsidRPr="00D96B14">
              <w:t>167</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7</w:t>
            </w: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55</w:t>
            </w:r>
            <w:r w:rsidR="005A4BB0">
              <w:noBreakHyphen/>
            </w:r>
            <w:r w:rsidRPr="00D96B14">
              <w:t>64</w:t>
            </w:r>
          </w:p>
        </w:tc>
        <w:tc>
          <w:tcPr>
            <w:tcW w:w="1080" w:type="dxa"/>
            <w:tcBorders>
              <w:left w:val="single" w:sz="4" w:space="0" w:color="auto"/>
            </w:tcBorders>
          </w:tcPr>
          <w:p w:rsidR="00142353" w:rsidRPr="00D96B14" w:rsidRDefault="00142353" w:rsidP="004843DB">
            <w:pPr>
              <w:pStyle w:val="TableofFigures"/>
              <w:spacing w:before="20" w:after="0"/>
            </w:pPr>
            <w:r w:rsidRPr="00D96B14">
              <w:t>79</w:t>
            </w:r>
          </w:p>
        </w:tc>
        <w:tc>
          <w:tcPr>
            <w:tcW w:w="1080" w:type="dxa"/>
            <w:tcBorders>
              <w:right w:val="single" w:sz="4" w:space="0" w:color="auto"/>
            </w:tcBorders>
          </w:tcPr>
          <w:p w:rsidR="00142353" w:rsidRPr="00D96B14" w:rsidRDefault="00142353" w:rsidP="004843DB">
            <w:pPr>
              <w:pStyle w:val="TableofFigures"/>
              <w:spacing w:before="20" w:after="0"/>
            </w:pPr>
            <w:r w:rsidRPr="00D96B14">
              <w:t>63</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1</w:t>
            </w:r>
          </w:p>
        </w:tc>
        <w:tc>
          <w:tcPr>
            <w:tcW w:w="1116" w:type="dxa"/>
            <w:tcBorders>
              <w:left w:val="single" w:sz="4" w:space="0" w:color="auto"/>
            </w:tcBorders>
          </w:tcPr>
          <w:p w:rsidR="00142353" w:rsidRPr="00D96B14" w:rsidRDefault="00142353" w:rsidP="004843DB">
            <w:pPr>
              <w:pStyle w:val="TableofFigures"/>
              <w:spacing w:before="20" w:after="0"/>
            </w:pPr>
            <w:r w:rsidRPr="00D96B14">
              <w:t>67</w:t>
            </w:r>
          </w:p>
        </w:tc>
        <w:tc>
          <w:tcPr>
            <w:tcW w:w="1044" w:type="dxa"/>
            <w:tcBorders>
              <w:right w:val="single" w:sz="4" w:space="0" w:color="auto"/>
            </w:tcBorders>
          </w:tcPr>
          <w:p w:rsidR="00142353" w:rsidRPr="00D96B14" w:rsidRDefault="00142353" w:rsidP="004843DB">
            <w:pPr>
              <w:pStyle w:val="TableofFigures"/>
              <w:spacing w:before="20" w:after="0"/>
            </w:pPr>
            <w:r w:rsidRPr="00D96B14">
              <w:t>59</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0</w:t>
            </w:r>
          </w:p>
        </w:tc>
      </w:tr>
      <w:tr w:rsidR="00142353" w:rsidRPr="00D96B14" w:rsidTr="004843DB">
        <w:trPr>
          <w:cantSplit/>
          <w:trHeight w:hRule="exact" w:val="227"/>
        </w:trPr>
        <w:tc>
          <w:tcPr>
            <w:tcW w:w="1303" w:type="dxa"/>
            <w:tcBorders>
              <w:bottom w:val="single" w:sz="4" w:space="0" w:color="auto"/>
              <w:right w:val="single" w:sz="4" w:space="0" w:color="auto"/>
            </w:tcBorders>
          </w:tcPr>
          <w:p w:rsidR="00142353" w:rsidRPr="00D96B14" w:rsidRDefault="00142353" w:rsidP="004843DB">
            <w:pPr>
              <w:pStyle w:val="Tabletext"/>
              <w:spacing w:after="0"/>
            </w:pPr>
            <w:r w:rsidRPr="00D96B14">
              <w:t>Over 64</w:t>
            </w:r>
          </w:p>
        </w:tc>
        <w:tc>
          <w:tcPr>
            <w:tcW w:w="1080" w:type="dxa"/>
            <w:tcBorders>
              <w:left w:val="single" w:sz="4" w:space="0" w:color="auto"/>
              <w:bottom w:val="single" w:sz="4" w:space="0" w:color="auto"/>
            </w:tcBorders>
          </w:tcPr>
          <w:p w:rsidR="00142353" w:rsidRPr="00D96B14" w:rsidRDefault="00142353" w:rsidP="004843DB">
            <w:pPr>
              <w:pStyle w:val="TableofFigures"/>
              <w:spacing w:before="20" w:after="0"/>
            </w:pPr>
            <w:r w:rsidRPr="00D96B14">
              <w:t>8</w:t>
            </w:r>
          </w:p>
        </w:tc>
        <w:tc>
          <w:tcPr>
            <w:tcW w:w="1080" w:type="dxa"/>
            <w:tcBorders>
              <w:bottom w:val="single" w:sz="4" w:space="0" w:color="auto"/>
              <w:right w:val="single" w:sz="4" w:space="0" w:color="auto"/>
            </w:tcBorders>
          </w:tcPr>
          <w:p w:rsidR="00142353" w:rsidRPr="00D96B14" w:rsidRDefault="00142353" w:rsidP="004843DB">
            <w:pPr>
              <w:pStyle w:val="TableofFigures"/>
              <w:spacing w:before="20" w:after="0"/>
            </w:pPr>
            <w:r w:rsidRPr="00D96B14">
              <w:t>7</w:t>
            </w:r>
          </w:p>
        </w:tc>
        <w:tc>
          <w:tcPr>
            <w:tcW w:w="1350" w:type="dxa"/>
            <w:tcBorders>
              <w:left w:val="single" w:sz="4" w:space="0" w:color="auto"/>
              <w:bottom w:val="single" w:sz="4" w:space="0" w:color="auto"/>
              <w:right w:val="single" w:sz="4" w:space="0" w:color="auto"/>
            </w:tcBorders>
          </w:tcPr>
          <w:p w:rsidR="00142353" w:rsidRPr="00D96B14" w:rsidRDefault="00142353" w:rsidP="004843DB">
            <w:pPr>
              <w:pStyle w:val="TableofFigures"/>
              <w:spacing w:before="20" w:after="0"/>
            </w:pPr>
            <w:r w:rsidRPr="00D96B14">
              <w:t>0</w:t>
            </w:r>
          </w:p>
        </w:tc>
        <w:tc>
          <w:tcPr>
            <w:tcW w:w="1116" w:type="dxa"/>
            <w:tcBorders>
              <w:left w:val="single" w:sz="4" w:space="0" w:color="auto"/>
              <w:bottom w:val="single" w:sz="4" w:space="0" w:color="auto"/>
            </w:tcBorders>
          </w:tcPr>
          <w:p w:rsidR="00142353" w:rsidRPr="00D96B14" w:rsidRDefault="00142353" w:rsidP="004843DB">
            <w:pPr>
              <w:pStyle w:val="TableofFigures"/>
              <w:spacing w:before="20" w:after="0"/>
            </w:pPr>
            <w:r w:rsidRPr="00D96B14">
              <w:t>2</w:t>
            </w:r>
          </w:p>
        </w:tc>
        <w:tc>
          <w:tcPr>
            <w:tcW w:w="1044" w:type="dxa"/>
            <w:tcBorders>
              <w:bottom w:val="single" w:sz="4" w:space="0" w:color="auto"/>
              <w:right w:val="single" w:sz="4" w:space="0" w:color="auto"/>
            </w:tcBorders>
          </w:tcPr>
          <w:p w:rsidR="00142353" w:rsidRPr="00D96B14" w:rsidRDefault="00142353" w:rsidP="004843DB">
            <w:pPr>
              <w:pStyle w:val="TableofFigures"/>
              <w:spacing w:before="20" w:after="0"/>
            </w:pPr>
            <w:r w:rsidRPr="00D96B14">
              <w:t>2</w:t>
            </w:r>
          </w:p>
        </w:tc>
        <w:tc>
          <w:tcPr>
            <w:tcW w:w="1278" w:type="dxa"/>
            <w:gridSpan w:val="2"/>
            <w:tcBorders>
              <w:left w:val="single" w:sz="4" w:space="0" w:color="auto"/>
              <w:bottom w:val="single" w:sz="4" w:space="0" w:color="auto"/>
            </w:tcBorders>
          </w:tcPr>
          <w:p w:rsidR="00142353" w:rsidRPr="00D96B14" w:rsidRDefault="00142353" w:rsidP="004843DB">
            <w:pPr>
              <w:pStyle w:val="TableofFigures"/>
              <w:spacing w:before="20" w:after="0"/>
            </w:pPr>
            <w:r w:rsidRPr="00D96B14">
              <w:t>0</w:t>
            </w:r>
          </w:p>
        </w:tc>
      </w:tr>
      <w:tr w:rsidR="00142353" w:rsidRPr="00D96B14" w:rsidTr="004843DB">
        <w:trPr>
          <w:cantSplit/>
          <w:trHeight w:hRule="exact" w:val="284"/>
        </w:trPr>
        <w:tc>
          <w:tcPr>
            <w:tcW w:w="1303" w:type="dxa"/>
            <w:tcBorders>
              <w:top w:val="single" w:sz="4" w:space="0" w:color="auto"/>
              <w:right w:val="single" w:sz="4" w:space="0" w:color="auto"/>
            </w:tcBorders>
          </w:tcPr>
          <w:p w:rsidR="00142353" w:rsidRPr="00D96B14" w:rsidRDefault="00142353" w:rsidP="004843DB">
            <w:pPr>
              <w:pStyle w:val="Tabletext"/>
              <w:spacing w:after="0"/>
            </w:pPr>
            <w:r w:rsidRPr="00D96B14">
              <w:rPr>
                <w:b/>
                <w:bCs/>
              </w:rPr>
              <w:t>Total</w:t>
            </w:r>
          </w:p>
        </w:tc>
        <w:tc>
          <w:tcPr>
            <w:tcW w:w="1080" w:type="dxa"/>
            <w:tcBorders>
              <w:top w:val="single" w:sz="4" w:space="0" w:color="auto"/>
              <w:left w:val="single" w:sz="4" w:space="0" w:color="auto"/>
            </w:tcBorders>
          </w:tcPr>
          <w:p w:rsidR="00142353" w:rsidRPr="00D96B14" w:rsidRDefault="00142353" w:rsidP="004843DB">
            <w:pPr>
              <w:pStyle w:val="TableofFigures"/>
              <w:spacing w:before="20" w:after="0"/>
              <w:rPr>
                <w:b/>
                <w:bCs/>
              </w:rPr>
            </w:pPr>
            <w:r w:rsidRPr="00D96B14">
              <w:rPr>
                <w:b/>
                <w:bCs/>
              </w:rPr>
              <w:t>564</w:t>
            </w:r>
          </w:p>
        </w:tc>
        <w:tc>
          <w:tcPr>
            <w:tcW w:w="1080" w:type="dxa"/>
            <w:tcBorders>
              <w:top w:val="single" w:sz="4" w:space="0" w:color="auto"/>
              <w:right w:val="single" w:sz="4" w:space="0" w:color="auto"/>
            </w:tcBorders>
          </w:tcPr>
          <w:p w:rsidR="00142353" w:rsidRPr="00D96B14" w:rsidRDefault="00142353" w:rsidP="004843DB">
            <w:pPr>
              <w:pStyle w:val="TableofFigures"/>
              <w:spacing w:before="20" w:after="0"/>
              <w:rPr>
                <w:b/>
                <w:bCs/>
              </w:rPr>
            </w:pPr>
            <w:r w:rsidRPr="00D96B14">
              <w:rPr>
                <w:b/>
                <w:bCs/>
              </w:rPr>
              <w:t>434</w:t>
            </w:r>
          </w:p>
        </w:tc>
        <w:tc>
          <w:tcPr>
            <w:tcW w:w="1350" w:type="dxa"/>
            <w:tcBorders>
              <w:top w:val="single" w:sz="4" w:space="0" w:color="auto"/>
              <w:left w:val="single" w:sz="4" w:space="0" w:color="auto"/>
              <w:right w:val="single" w:sz="4" w:space="0" w:color="auto"/>
            </w:tcBorders>
          </w:tcPr>
          <w:p w:rsidR="00142353" w:rsidRPr="00D96B14" w:rsidRDefault="00142353" w:rsidP="004843DB">
            <w:pPr>
              <w:pStyle w:val="TableofFigures"/>
              <w:spacing w:before="20" w:after="0"/>
              <w:rPr>
                <w:b/>
                <w:bCs/>
              </w:rPr>
            </w:pPr>
            <w:r w:rsidRPr="00D96B14">
              <w:rPr>
                <w:b/>
                <w:bCs/>
              </w:rPr>
              <w:t>44</w:t>
            </w:r>
          </w:p>
        </w:tc>
        <w:tc>
          <w:tcPr>
            <w:tcW w:w="1116" w:type="dxa"/>
            <w:tcBorders>
              <w:top w:val="single" w:sz="4" w:space="0" w:color="auto"/>
              <w:left w:val="single" w:sz="4" w:space="0" w:color="auto"/>
            </w:tcBorders>
          </w:tcPr>
          <w:p w:rsidR="00142353" w:rsidRPr="00D96B14" w:rsidRDefault="00142353" w:rsidP="004843DB">
            <w:pPr>
              <w:pStyle w:val="TableofFigures"/>
              <w:spacing w:before="20" w:after="0"/>
              <w:rPr>
                <w:b/>
                <w:bCs/>
              </w:rPr>
            </w:pPr>
            <w:r w:rsidRPr="00D96B14">
              <w:rPr>
                <w:b/>
                <w:bCs/>
              </w:rPr>
              <w:t>432</w:t>
            </w:r>
          </w:p>
        </w:tc>
        <w:tc>
          <w:tcPr>
            <w:tcW w:w="1044" w:type="dxa"/>
            <w:tcBorders>
              <w:top w:val="single" w:sz="4" w:space="0" w:color="auto"/>
              <w:right w:val="single" w:sz="4" w:space="0" w:color="auto"/>
            </w:tcBorders>
          </w:tcPr>
          <w:p w:rsidR="00142353" w:rsidRPr="00D96B14" w:rsidRDefault="00142353" w:rsidP="004843DB">
            <w:pPr>
              <w:pStyle w:val="TableofFigures"/>
              <w:spacing w:before="20" w:after="0"/>
              <w:rPr>
                <w:b/>
                <w:bCs/>
              </w:rPr>
            </w:pPr>
            <w:r w:rsidRPr="00D96B14">
              <w:rPr>
                <w:b/>
                <w:bCs/>
              </w:rPr>
              <w:t>414</w:t>
            </w:r>
          </w:p>
        </w:tc>
        <w:tc>
          <w:tcPr>
            <w:tcW w:w="1278" w:type="dxa"/>
            <w:gridSpan w:val="2"/>
            <w:tcBorders>
              <w:top w:val="single" w:sz="4" w:space="0" w:color="auto"/>
              <w:left w:val="single" w:sz="4" w:space="0" w:color="auto"/>
            </w:tcBorders>
          </w:tcPr>
          <w:p w:rsidR="00142353" w:rsidRPr="00D96B14" w:rsidRDefault="00142353" w:rsidP="004843DB">
            <w:pPr>
              <w:pStyle w:val="TableofFigures"/>
              <w:spacing w:before="20" w:after="0"/>
              <w:rPr>
                <w:b/>
                <w:bCs/>
              </w:rPr>
            </w:pPr>
            <w:r w:rsidRPr="00D96B14">
              <w:rPr>
                <w:b/>
                <w:bCs/>
              </w:rPr>
              <w:t>67</w:t>
            </w:r>
          </w:p>
        </w:tc>
      </w:tr>
      <w:tr w:rsidR="00142353" w:rsidRPr="00D96B14" w:rsidTr="004843DB">
        <w:trPr>
          <w:cantSplit/>
          <w:trHeight w:hRule="exact" w:val="284"/>
        </w:trPr>
        <w:tc>
          <w:tcPr>
            <w:tcW w:w="1303" w:type="dxa"/>
            <w:tcBorders>
              <w:right w:val="single" w:sz="4" w:space="0" w:color="auto"/>
            </w:tcBorders>
          </w:tcPr>
          <w:p w:rsidR="00142353" w:rsidRPr="00D96B14" w:rsidRDefault="00142353" w:rsidP="004843DB">
            <w:pPr>
              <w:pStyle w:val="Tabletext"/>
              <w:spacing w:after="0"/>
            </w:pPr>
            <w:r w:rsidRPr="00D96B14">
              <w:rPr>
                <w:b/>
                <w:bCs/>
              </w:rPr>
              <w:t>Classification</w:t>
            </w:r>
          </w:p>
        </w:tc>
        <w:tc>
          <w:tcPr>
            <w:tcW w:w="1080" w:type="dxa"/>
            <w:tcBorders>
              <w:left w:val="single" w:sz="4" w:space="0" w:color="auto"/>
            </w:tcBorders>
          </w:tcPr>
          <w:p w:rsidR="00142353" w:rsidRPr="00D96B14" w:rsidRDefault="00142353" w:rsidP="004843DB">
            <w:pPr>
              <w:pStyle w:val="TableofFigures"/>
              <w:spacing w:before="20" w:after="0"/>
            </w:pPr>
          </w:p>
        </w:tc>
        <w:tc>
          <w:tcPr>
            <w:tcW w:w="1080" w:type="dxa"/>
            <w:tcBorders>
              <w:right w:val="single" w:sz="4" w:space="0" w:color="auto"/>
            </w:tcBorders>
          </w:tcPr>
          <w:p w:rsidR="00142353" w:rsidRPr="00D96B14" w:rsidRDefault="00142353" w:rsidP="004843DB">
            <w:pPr>
              <w:pStyle w:val="TableofFigures"/>
              <w:spacing w:before="20" w:after="0"/>
            </w:pP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p>
        </w:tc>
        <w:tc>
          <w:tcPr>
            <w:tcW w:w="1116" w:type="dxa"/>
            <w:tcBorders>
              <w:left w:val="single" w:sz="4" w:space="0" w:color="auto"/>
            </w:tcBorders>
          </w:tcPr>
          <w:p w:rsidR="00142353" w:rsidRPr="00D96B14" w:rsidRDefault="00142353" w:rsidP="004843DB">
            <w:pPr>
              <w:pStyle w:val="TableofFigures"/>
              <w:spacing w:before="20" w:after="0"/>
            </w:pPr>
          </w:p>
        </w:tc>
        <w:tc>
          <w:tcPr>
            <w:tcW w:w="1044" w:type="dxa"/>
            <w:tcBorders>
              <w:right w:val="single" w:sz="4" w:space="0" w:color="auto"/>
            </w:tcBorders>
          </w:tcPr>
          <w:p w:rsidR="00142353" w:rsidRPr="00D96B14" w:rsidRDefault="00142353" w:rsidP="004843DB">
            <w:pPr>
              <w:pStyle w:val="TableofFigures"/>
              <w:spacing w:before="20" w:after="0"/>
            </w:pPr>
          </w:p>
        </w:tc>
        <w:tc>
          <w:tcPr>
            <w:tcW w:w="1278" w:type="dxa"/>
            <w:gridSpan w:val="2"/>
            <w:tcBorders>
              <w:left w:val="single" w:sz="4" w:space="0" w:color="auto"/>
            </w:tcBorders>
          </w:tcPr>
          <w:p w:rsidR="00142353" w:rsidRPr="00D96B14" w:rsidRDefault="00142353" w:rsidP="004843DB">
            <w:pPr>
              <w:pStyle w:val="TableofFigures"/>
              <w:spacing w:before="20" w:after="0"/>
            </w:pP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VPS 1</w:t>
            </w:r>
          </w:p>
        </w:tc>
        <w:tc>
          <w:tcPr>
            <w:tcW w:w="1080" w:type="dxa"/>
            <w:tcBorders>
              <w:left w:val="single" w:sz="4" w:space="0" w:color="auto"/>
            </w:tcBorders>
          </w:tcPr>
          <w:p w:rsidR="00142353" w:rsidRPr="00D96B14" w:rsidRDefault="00142353" w:rsidP="004843DB">
            <w:pPr>
              <w:pStyle w:val="TableofFigures"/>
              <w:spacing w:before="20" w:after="0"/>
            </w:pPr>
            <w:r w:rsidRPr="00D96B14">
              <w:t>24</w:t>
            </w:r>
          </w:p>
        </w:tc>
        <w:tc>
          <w:tcPr>
            <w:tcW w:w="1080" w:type="dxa"/>
            <w:tcBorders>
              <w:right w:val="single" w:sz="4" w:space="0" w:color="auto"/>
            </w:tcBorders>
          </w:tcPr>
          <w:p w:rsidR="00142353" w:rsidRPr="00D96B14" w:rsidRDefault="00142353" w:rsidP="004843DB">
            <w:pPr>
              <w:pStyle w:val="TableofFigures"/>
              <w:spacing w:before="20" w:after="0"/>
            </w:pPr>
            <w:r w:rsidRPr="00D96B14">
              <w:t>19</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0</w:t>
            </w:r>
          </w:p>
        </w:tc>
        <w:tc>
          <w:tcPr>
            <w:tcW w:w="1116" w:type="dxa"/>
            <w:tcBorders>
              <w:left w:val="single" w:sz="4" w:space="0" w:color="auto"/>
            </w:tcBorders>
          </w:tcPr>
          <w:p w:rsidR="00142353" w:rsidRPr="00D96B14" w:rsidRDefault="00142353" w:rsidP="004843DB">
            <w:pPr>
              <w:pStyle w:val="TableofFigures"/>
              <w:spacing w:before="20" w:after="0"/>
            </w:pPr>
            <w:r w:rsidRPr="00D96B14">
              <w:t>21</w:t>
            </w:r>
          </w:p>
        </w:tc>
        <w:tc>
          <w:tcPr>
            <w:tcW w:w="1044" w:type="dxa"/>
            <w:tcBorders>
              <w:right w:val="single" w:sz="4" w:space="0" w:color="auto"/>
            </w:tcBorders>
          </w:tcPr>
          <w:p w:rsidR="00142353" w:rsidRPr="00D96B14" w:rsidRDefault="00142353" w:rsidP="004843DB">
            <w:pPr>
              <w:pStyle w:val="TableofFigures"/>
              <w:spacing w:before="20" w:after="0"/>
            </w:pPr>
            <w:r w:rsidRPr="00D96B14">
              <w:t>18</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4</w:t>
            </w: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VPS 2</w:t>
            </w:r>
          </w:p>
        </w:tc>
        <w:tc>
          <w:tcPr>
            <w:tcW w:w="1080" w:type="dxa"/>
            <w:tcBorders>
              <w:left w:val="single" w:sz="4" w:space="0" w:color="auto"/>
            </w:tcBorders>
          </w:tcPr>
          <w:p w:rsidR="00142353" w:rsidRPr="00D96B14" w:rsidRDefault="00142353" w:rsidP="004843DB">
            <w:pPr>
              <w:pStyle w:val="TableofFigures"/>
              <w:spacing w:before="20" w:after="0"/>
            </w:pPr>
            <w:r w:rsidRPr="00D96B14">
              <w:t>114</w:t>
            </w:r>
          </w:p>
        </w:tc>
        <w:tc>
          <w:tcPr>
            <w:tcW w:w="1080" w:type="dxa"/>
            <w:tcBorders>
              <w:right w:val="single" w:sz="4" w:space="0" w:color="auto"/>
            </w:tcBorders>
          </w:tcPr>
          <w:p w:rsidR="00142353" w:rsidRPr="00D96B14" w:rsidRDefault="00142353" w:rsidP="004843DB">
            <w:pPr>
              <w:pStyle w:val="TableofFigures"/>
              <w:spacing w:before="20" w:after="0"/>
            </w:pPr>
            <w:r w:rsidRPr="00D96B14">
              <w:t>76</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14</w:t>
            </w:r>
          </w:p>
        </w:tc>
        <w:tc>
          <w:tcPr>
            <w:tcW w:w="1116" w:type="dxa"/>
            <w:tcBorders>
              <w:left w:val="single" w:sz="4" w:space="0" w:color="auto"/>
            </w:tcBorders>
          </w:tcPr>
          <w:p w:rsidR="00142353" w:rsidRPr="00D96B14" w:rsidRDefault="00142353" w:rsidP="004843DB">
            <w:pPr>
              <w:pStyle w:val="TableofFigures"/>
              <w:spacing w:before="20" w:after="0"/>
            </w:pPr>
            <w:r w:rsidRPr="00D96B14">
              <w:t>82</w:t>
            </w:r>
          </w:p>
        </w:tc>
        <w:tc>
          <w:tcPr>
            <w:tcW w:w="1044" w:type="dxa"/>
            <w:tcBorders>
              <w:right w:val="single" w:sz="4" w:space="0" w:color="auto"/>
            </w:tcBorders>
          </w:tcPr>
          <w:p w:rsidR="00142353" w:rsidRPr="00D96B14" w:rsidRDefault="00142353" w:rsidP="004843DB">
            <w:pPr>
              <w:pStyle w:val="TableofFigures"/>
              <w:spacing w:before="20" w:after="0"/>
            </w:pPr>
            <w:r w:rsidRPr="00D96B14">
              <w:t>82</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31</w:t>
            </w: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VPS 3</w:t>
            </w:r>
          </w:p>
        </w:tc>
        <w:tc>
          <w:tcPr>
            <w:tcW w:w="1080" w:type="dxa"/>
            <w:tcBorders>
              <w:left w:val="single" w:sz="4" w:space="0" w:color="auto"/>
            </w:tcBorders>
          </w:tcPr>
          <w:p w:rsidR="00142353" w:rsidRPr="00D96B14" w:rsidRDefault="00142353" w:rsidP="004843DB">
            <w:pPr>
              <w:pStyle w:val="TableofFigures"/>
              <w:spacing w:before="20" w:after="0"/>
            </w:pPr>
            <w:r w:rsidRPr="00D96B14">
              <w:t>157</w:t>
            </w:r>
          </w:p>
        </w:tc>
        <w:tc>
          <w:tcPr>
            <w:tcW w:w="1080" w:type="dxa"/>
            <w:tcBorders>
              <w:right w:val="single" w:sz="4" w:space="0" w:color="auto"/>
            </w:tcBorders>
          </w:tcPr>
          <w:p w:rsidR="00142353" w:rsidRPr="00D96B14" w:rsidRDefault="00142353" w:rsidP="004843DB">
            <w:pPr>
              <w:pStyle w:val="TableofFigures"/>
              <w:spacing w:before="20" w:after="0"/>
            </w:pPr>
            <w:r w:rsidRPr="00D96B14">
              <w:t>93</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9</w:t>
            </w:r>
          </w:p>
        </w:tc>
        <w:tc>
          <w:tcPr>
            <w:tcW w:w="1116" w:type="dxa"/>
            <w:tcBorders>
              <w:left w:val="single" w:sz="4" w:space="0" w:color="auto"/>
            </w:tcBorders>
          </w:tcPr>
          <w:p w:rsidR="00142353" w:rsidRPr="00D96B14" w:rsidRDefault="00142353" w:rsidP="004843DB">
            <w:pPr>
              <w:pStyle w:val="TableofFigures"/>
              <w:spacing w:before="20" w:after="0"/>
            </w:pPr>
            <w:r w:rsidRPr="00D96B14">
              <w:t>95</w:t>
            </w:r>
          </w:p>
        </w:tc>
        <w:tc>
          <w:tcPr>
            <w:tcW w:w="1044" w:type="dxa"/>
            <w:tcBorders>
              <w:right w:val="single" w:sz="4" w:space="0" w:color="auto"/>
            </w:tcBorders>
          </w:tcPr>
          <w:p w:rsidR="00142353" w:rsidRPr="00D96B14" w:rsidRDefault="00142353" w:rsidP="004843DB">
            <w:pPr>
              <w:pStyle w:val="TableofFigures"/>
              <w:spacing w:before="20" w:after="0"/>
            </w:pPr>
            <w:r w:rsidRPr="00D96B14">
              <w:t>93</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15</w:t>
            </w: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VPS 4</w:t>
            </w:r>
          </w:p>
        </w:tc>
        <w:tc>
          <w:tcPr>
            <w:tcW w:w="1080" w:type="dxa"/>
            <w:tcBorders>
              <w:left w:val="single" w:sz="4" w:space="0" w:color="auto"/>
            </w:tcBorders>
          </w:tcPr>
          <w:p w:rsidR="00142353" w:rsidRPr="00D96B14" w:rsidRDefault="00142353" w:rsidP="004843DB">
            <w:pPr>
              <w:pStyle w:val="TableofFigures"/>
              <w:spacing w:before="20" w:after="0"/>
            </w:pPr>
            <w:r w:rsidRPr="00D96B14">
              <w:t>91</w:t>
            </w:r>
          </w:p>
        </w:tc>
        <w:tc>
          <w:tcPr>
            <w:tcW w:w="1080" w:type="dxa"/>
            <w:tcBorders>
              <w:right w:val="single" w:sz="4" w:space="0" w:color="auto"/>
            </w:tcBorders>
          </w:tcPr>
          <w:p w:rsidR="00142353" w:rsidRPr="00D96B14" w:rsidRDefault="00142353" w:rsidP="004843DB">
            <w:pPr>
              <w:pStyle w:val="TableofFigures"/>
              <w:spacing w:before="20" w:after="0"/>
            </w:pPr>
            <w:r w:rsidRPr="00D96B14">
              <w:t>78</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3</w:t>
            </w:r>
          </w:p>
        </w:tc>
        <w:tc>
          <w:tcPr>
            <w:tcW w:w="1116" w:type="dxa"/>
            <w:tcBorders>
              <w:left w:val="single" w:sz="4" w:space="0" w:color="auto"/>
            </w:tcBorders>
          </w:tcPr>
          <w:p w:rsidR="00142353" w:rsidRPr="00D96B14" w:rsidRDefault="00142353" w:rsidP="004843DB">
            <w:pPr>
              <w:pStyle w:val="TableofFigures"/>
              <w:spacing w:before="20" w:after="0"/>
            </w:pPr>
            <w:r w:rsidRPr="00D96B14">
              <w:t>81</w:t>
            </w:r>
          </w:p>
        </w:tc>
        <w:tc>
          <w:tcPr>
            <w:tcW w:w="1044" w:type="dxa"/>
            <w:tcBorders>
              <w:right w:val="single" w:sz="4" w:space="0" w:color="auto"/>
            </w:tcBorders>
          </w:tcPr>
          <w:p w:rsidR="00142353" w:rsidRPr="00D96B14" w:rsidRDefault="00142353" w:rsidP="004843DB">
            <w:pPr>
              <w:pStyle w:val="TableofFigures"/>
              <w:spacing w:before="20" w:after="0"/>
            </w:pPr>
            <w:r w:rsidRPr="00D96B14">
              <w:t>76</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3</w:t>
            </w: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VPS 5</w:t>
            </w:r>
          </w:p>
        </w:tc>
        <w:tc>
          <w:tcPr>
            <w:tcW w:w="1080" w:type="dxa"/>
            <w:tcBorders>
              <w:left w:val="single" w:sz="4" w:space="0" w:color="auto"/>
            </w:tcBorders>
          </w:tcPr>
          <w:p w:rsidR="00142353" w:rsidRPr="00D96B14" w:rsidRDefault="00142353" w:rsidP="004843DB">
            <w:pPr>
              <w:pStyle w:val="TableofFigures"/>
              <w:spacing w:before="20" w:after="0"/>
            </w:pPr>
            <w:r w:rsidRPr="00D96B14">
              <w:t>90</w:t>
            </w:r>
          </w:p>
        </w:tc>
        <w:tc>
          <w:tcPr>
            <w:tcW w:w="1080" w:type="dxa"/>
            <w:tcBorders>
              <w:right w:val="single" w:sz="4" w:space="0" w:color="auto"/>
            </w:tcBorders>
          </w:tcPr>
          <w:p w:rsidR="00142353" w:rsidRPr="00D96B14" w:rsidRDefault="00142353" w:rsidP="004843DB">
            <w:pPr>
              <w:pStyle w:val="TableofFigures"/>
              <w:spacing w:before="20" w:after="0"/>
            </w:pPr>
            <w:r w:rsidRPr="00D96B14">
              <w:t>87</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8</w:t>
            </w:r>
          </w:p>
        </w:tc>
        <w:tc>
          <w:tcPr>
            <w:tcW w:w="1116" w:type="dxa"/>
            <w:tcBorders>
              <w:left w:val="single" w:sz="4" w:space="0" w:color="auto"/>
            </w:tcBorders>
          </w:tcPr>
          <w:p w:rsidR="00142353" w:rsidRPr="00D96B14" w:rsidRDefault="00142353" w:rsidP="004843DB">
            <w:pPr>
              <w:pStyle w:val="TableofFigures"/>
              <w:spacing w:before="20" w:after="0"/>
            </w:pPr>
            <w:r w:rsidRPr="00D96B14">
              <w:t>76</w:t>
            </w:r>
          </w:p>
        </w:tc>
        <w:tc>
          <w:tcPr>
            <w:tcW w:w="1044" w:type="dxa"/>
            <w:tcBorders>
              <w:right w:val="single" w:sz="4" w:space="0" w:color="auto"/>
            </w:tcBorders>
          </w:tcPr>
          <w:p w:rsidR="00142353" w:rsidRPr="00D96B14" w:rsidRDefault="00142353" w:rsidP="004843DB">
            <w:pPr>
              <w:pStyle w:val="TableofFigures"/>
              <w:spacing w:before="20" w:after="0"/>
            </w:pPr>
            <w:r w:rsidRPr="00D96B14">
              <w:t>71</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6</w:t>
            </w: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VPS 6</w:t>
            </w:r>
          </w:p>
        </w:tc>
        <w:tc>
          <w:tcPr>
            <w:tcW w:w="1080" w:type="dxa"/>
            <w:tcBorders>
              <w:left w:val="single" w:sz="4" w:space="0" w:color="auto"/>
            </w:tcBorders>
          </w:tcPr>
          <w:p w:rsidR="00142353" w:rsidRPr="00D96B14" w:rsidRDefault="00142353" w:rsidP="004843DB">
            <w:pPr>
              <w:pStyle w:val="TableofFigures"/>
              <w:spacing w:before="20" w:after="0"/>
            </w:pPr>
            <w:r w:rsidRPr="00D96B14">
              <w:t>67</w:t>
            </w:r>
          </w:p>
        </w:tc>
        <w:tc>
          <w:tcPr>
            <w:tcW w:w="1080" w:type="dxa"/>
            <w:tcBorders>
              <w:right w:val="single" w:sz="4" w:space="0" w:color="auto"/>
            </w:tcBorders>
          </w:tcPr>
          <w:p w:rsidR="00142353" w:rsidRPr="00D96B14" w:rsidRDefault="00142353" w:rsidP="004843DB">
            <w:pPr>
              <w:pStyle w:val="TableofFigures"/>
              <w:spacing w:before="20" w:after="0"/>
            </w:pPr>
            <w:r w:rsidRPr="00D96B14">
              <w:t>61</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10</w:t>
            </w:r>
          </w:p>
        </w:tc>
        <w:tc>
          <w:tcPr>
            <w:tcW w:w="1116" w:type="dxa"/>
            <w:tcBorders>
              <w:left w:val="single" w:sz="4" w:space="0" w:color="auto"/>
            </w:tcBorders>
          </w:tcPr>
          <w:p w:rsidR="00142353" w:rsidRPr="00D96B14" w:rsidRDefault="00142353" w:rsidP="004843DB">
            <w:pPr>
              <w:pStyle w:val="TableofFigures"/>
              <w:spacing w:before="20" w:after="0"/>
            </w:pPr>
            <w:r w:rsidRPr="00D96B14">
              <w:t>59</w:t>
            </w:r>
          </w:p>
        </w:tc>
        <w:tc>
          <w:tcPr>
            <w:tcW w:w="1044" w:type="dxa"/>
            <w:tcBorders>
              <w:right w:val="single" w:sz="4" w:space="0" w:color="auto"/>
            </w:tcBorders>
          </w:tcPr>
          <w:p w:rsidR="00142353" w:rsidRPr="00D96B14" w:rsidRDefault="00142353" w:rsidP="004843DB">
            <w:pPr>
              <w:pStyle w:val="TableofFigures"/>
              <w:spacing w:before="20" w:after="0"/>
            </w:pPr>
            <w:r w:rsidRPr="00D96B14">
              <w:t>56</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8</w:t>
            </w:r>
          </w:p>
        </w:tc>
      </w:tr>
      <w:tr w:rsidR="00142353" w:rsidRPr="00D96B14" w:rsidTr="004843DB">
        <w:trPr>
          <w:cantSplit/>
          <w:trHeight w:hRule="exact" w:val="227"/>
        </w:trPr>
        <w:tc>
          <w:tcPr>
            <w:tcW w:w="1303" w:type="dxa"/>
            <w:tcBorders>
              <w:right w:val="single" w:sz="4" w:space="0" w:color="auto"/>
            </w:tcBorders>
          </w:tcPr>
          <w:p w:rsidR="00142353" w:rsidRPr="00D96B14" w:rsidRDefault="00142353" w:rsidP="004843DB">
            <w:pPr>
              <w:pStyle w:val="Tabletext"/>
              <w:spacing w:after="0"/>
            </w:pPr>
            <w:r w:rsidRPr="00D96B14">
              <w:t>STS</w:t>
            </w:r>
          </w:p>
        </w:tc>
        <w:tc>
          <w:tcPr>
            <w:tcW w:w="1080" w:type="dxa"/>
            <w:tcBorders>
              <w:left w:val="single" w:sz="4" w:space="0" w:color="auto"/>
            </w:tcBorders>
          </w:tcPr>
          <w:p w:rsidR="00142353" w:rsidRPr="00D96B14" w:rsidRDefault="00142353" w:rsidP="004843DB">
            <w:pPr>
              <w:pStyle w:val="TableofFigures"/>
              <w:spacing w:before="20" w:after="0"/>
            </w:pPr>
            <w:r w:rsidRPr="00D96B14">
              <w:t>5</w:t>
            </w:r>
          </w:p>
        </w:tc>
        <w:tc>
          <w:tcPr>
            <w:tcW w:w="1080" w:type="dxa"/>
            <w:tcBorders>
              <w:right w:val="single" w:sz="4" w:space="0" w:color="auto"/>
            </w:tcBorders>
          </w:tcPr>
          <w:p w:rsidR="00142353" w:rsidRPr="00D96B14" w:rsidRDefault="00142353" w:rsidP="004843DB">
            <w:pPr>
              <w:pStyle w:val="TableofFigures"/>
              <w:spacing w:before="20" w:after="0"/>
            </w:pPr>
            <w:r w:rsidRPr="00D96B14">
              <w:t>5</w:t>
            </w:r>
          </w:p>
        </w:tc>
        <w:tc>
          <w:tcPr>
            <w:tcW w:w="1350" w:type="dxa"/>
            <w:tcBorders>
              <w:left w:val="single" w:sz="4" w:space="0" w:color="auto"/>
              <w:right w:val="single" w:sz="4" w:space="0" w:color="auto"/>
            </w:tcBorders>
          </w:tcPr>
          <w:p w:rsidR="00142353" w:rsidRPr="00D96B14" w:rsidRDefault="00142353" w:rsidP="004843DB">
            <w:pPr>
              <w:pStyle w:val="TableofFigures"/>
              <w:spacing w:before="20" w:after="0"/>
            </w:pPr>
            <w:r w:rsidRPr="00D96B14">
              <w:t>0</w:t>
            </w:r>
          </w:p>
        </w:tc>
        <w:tc>
          <w:tcPr>
            <w:tcW w:w="1116" w:type="dxa"/>
            <w:tcBorders>
              <w:left w:val="single" w:sz="4" w:space="0" w:color="auto"/>
            </w:tcBorders>
          </w:tcPr>
          <w:p w:rsidR="00142353" w:rsidRPr="00D96B14" w:rsidRDefault="00142353" w:rsidP="004843DB">
            <w:pPr>
              <w:pStyle w:val="TableofFigures"/>
              <w:spacing w:before="20" w:after="0"/>
            </w:pPr>
            <w:r w:rsidRPr="00D96B14">
              <w:t>3</w:t>
            </w:r>
          </w:p>
        </w:tc>
        <w:tc>
          <w:tcPr>
            <w:tcW w:w="1044" w:type="dxa"/>
            <w:tcBorders>
              <w:right w:val="single" w:sz="4" w:space="0" w:color="auto"/>
            </w:tcBorders>
          </w:tcPr>
          <w:p w:rsidR="00142353" w:rsidRPr="00D96B14" w:rsidRDefault="00142353" w:rsidP="004843DB">
            <w:pPr>
              <w:pStyle w:val="TableofFigures"/>
              <w:spacing w:before="20" w:after="0"/>
            </w:pPr>
            <w:r w:rsidRPr="00D96B14">
              <w:t>3</w:t>
            </w:r>
          </w:p>
        </w:tc>
        <w:tc>
          <w:tcPr>
            <w:tcW w:w="1278" w:type="dxa"/>
            <w:gridSpan w:val="2"/>
            <w:tcBorders>
              <w:left w:val="single" w:sz="4" w:space="0" w:color="auto"/>
            </w:tcBorders>
          </w:tcPr>
          <w:p w:rsidR="00142353" w:rsidRPr="00D96B14" w:rsidRDefault="00142353" w:rsidP="004843DB">
            <w:pPr>
              <w:pStyle w:val="TableofFigures"/>
              <w:spacing w:before="20" w:after="0"/>
            </w:pPr>
            <w:r w:rsidRPr="00D96B14">
              <w:t>0</w:t>
            </w:r>
          </w:p>
        </w:tc>
      </w:tr>
      <w:tr w:rsidR="00142353" w:rsidRPr="00D96B14" w:rsidTr="004843DB">
        <w:trPr>
          <w:cantSplit/>
          <w:trHeight w:hRule="exact" w:val="227"/>
        </w:trPr>
        <w:tc>
          <w:tcPr>
            <w:tcW w:w="1303" w:type="dxa"/>
            <w:tcBorders>
              <w:bottom w:val="single" w:sz="4" w:space="0" w:color="auto"/>
              <w:right w:val="single" w:sz="4" w:space="0" w:color="auto"/>
            </w:tcBorders>
          </w:tcPr>
          <w:p w:rsidR="00142353" w:rsidRPr="00D96B14" w:rsidRDefault="00142353" w:rsidP="004843DB">
            <w:pPr>
              <w:pStyle w:val="Tabletext"/>
              <w:spacing w:after="0"/>
            </w:pPr>
            <w:r w:rsidRPr="00D96B14">
              <w:t>Other</w:t>
            </w:r>
            <w:r w:rsidRPr="00D96B14">
              <w:rPr>
                <w:vertAlign w:val="superscript"/>
              </w:rPr>
              <w:t>(viii)</w:t>
            </w:r>
          </w:p>
        </w:tc>
        <w:tc>
          <w:tcPr>
            <w:tcW w:w="1080" w:type="dxa"/>
            <w:tcBorders>
              <w:left w:val="single" w:sz="4" w:space="0" w:color="auto"/>
              <w:bottom w:val="single" w:sz="4" w:space="0" w:color="auto"/>
            </w:tcBorders>
          </w:tcPr>
          <w:p w:rsidR="00142353" w:rsidRPr="00D96B14" w:rsidRDefault="00142353" w:rsidP="004843DB">
            <w:pPr>
              <w:pStyle w:val="TableofFigures"/>
              <w:spacing w:before="20" w:after="0"/>
            </w:pPr>
            <w:r w:rsidRPr="00D96B14">
              <w:t>2</w:t>
            </w:r>
          </w:p>
        </w:tc>
        <w:tc>
          <w:tcPr>
            <w:tcW w:w="1080" w:type="dxa"/>
            <w:tcBorders>
              <w:bottom w:val="single" w:sz="4" w:space="0" w:color="auto"/>
              <w:right w:val="single" w:sz="4" w:space="0" w:color="auto"/>
            </w:tcBorders>
          </w:tcPr>
          <w:p w:rsidR="00142353" w:rsidRPr="00D96B14" w:rsidRDefault="00142353" w:rsidP="004843DB">
            <w:pPr>
              <w:pStyle w:val="TableofFigures"/>
              <w:spacing w:before="20" w:after="0"/>
            </w:pPr>
            <w:r w:rsidRPr="00D96B14">
              <w:t>2</w:t>
            </w:r>
          </w:p>
        </w:tc>
        <w:tc>
          <w:tcPr>
            <w:tcW w:w="1350" w:type="dxa"/>
            <w:tcBorders>
              <w:left w:val="single" w:sz="4" w:space="0" w:color="auto"/>
              <w:bottom w:val="single" w:sz="4" w:space="0" w:color="auto"/>
              <w:right w:val="single" w:sz="4" w:space="0" w:color="auto"/>
            </w:tcBorders>
          </w:tcPr>
          <w:p w:rsidR="00142353" w:rsidRPr="00D96B14" w:rsidRDefault="00142353" w:rsidP="004843DB">
            <w:pPr>
              <w:pStyle w:val="TableofFigures"/>
              <w:spacing w:before="20" w:after="0"/>
            </w:pPr>
            <w:r w:rsidRPr="00D96B14">
              <w:t>0</w:t>
            </w:r>
          </w:p>
        </w:tc>
        <w:tc>
          <w:tcPr>
            <w:tcW w:w="1116" w:type="dxa"/>
            <w:tcBorders>
              <w:left w:val="single" w:sz="4" w:space="0" w:color="auto"/>
              <w:bottom w:val="single" w:sz="4" w:space="0" w:color="auto"/>
            </w:tcBorders>
          </w:tcPr>
          <w:p w:rsidR="00142353" w:rsidRPr="00D96B14" w:rsidRDefault="00142353" w:rsidP="004843DB">
            <w:pPr>
              <w:pStyle w:val="TableofFigures"/>
              <w:spacing w:before="20" w:after="0"/>
            </w:pPr>
            <w:r w:rsidRPr="00D96B14">
              <w:t>2</w:t>
            </w:r>
          </w:p>
        </w:tc>
        <w:tc>
          <w:tcPr>
            <w:tcW w:w="1044" w:type="dxa"/>
            <w:tcBorders>
              <w:bottom w:val="single" w:sz="4" w:space="0" w:color="auto"/>
              <w:right w:val="single" w:sz="4" w:space="0" w:color="auto"/>
            </w:tcBorders>
          </w:tcPr>
          <w:p w:rsidR="00142353" w:rsidRPr="00D96B14" w:rsidRDefault="00142353" w:rsidP="004843DB">
            <w:pPr>
              <w:pStyle w:val="TableofFigures"/>
              <w:spacing w:before="20" w:after="0"/>
            </w:pPr>
            <w:r w:rsidRPr="00D96B14">
              <w:t>2</w:t>
            </w:r>
          </w:p>
        </w:tc>
        <w:tc>
          <w:tcPr>
            <w:tcW w:w="1278" w:type="dxa"/>
            <w:gridSpan w:val="2"/>
            <w:tcBorders>
              <w:left w:val="single" w:sz="4" w:space="0" w:color="auto"/>
              <w:bottom w:val="single" w:sz="4" w:space="0" w:color="auto"/>
            </w:tcBorders>
          </w:tcPr>
          <w:p w:rsidR="00142353" w:rsidRPr="00D96B14" w:rsidRDefault="00142353" w:rsidP="004843DB">
            <w:pPr>
              <w:pStyle w:val="TableofFigures"/>
              <w:spacing w:before="20" w:after="0"/>
            </w:pPr>
            <w:r w:rsidRPr="00D96B14">
              <w:t>0</w:t>
            </w:r>
          </w:p>
        </w:tc>
      </w:tr>
      <w:tr w:rsidR="00142353" w:rsidRPr="00D96B14" w:rsidTr="004843DB">
        <w:trPr>
          <w:cantSplit/>
          <w:trHeight w:hRule="exact" w:val="284"/>
        </w:trPr>
        <w:tc>
          <w:tcPr>
            <w:tcW w:w="1303" w:type="dxa"/>
            <w:tcBorders>
              <w:top w:val="single" w:sz="4" w:space="0" w:color="auto"/>
              <w:bottom w:val="single" w:sz="12" w:space="0" w:color="auto"/>
              <w:right w:val="single" w:sz="4" w:space="0" w:color="auto"/>
            </w:tcBorders>
          </w:tcPr>
          <w:p w:rsidR="00142353" w:rsidRPr="00D96B14" w:rsidRDefault="00142353" w:rsidP="004843DB">
            <w:pPr>
              <w:pStyle w:val="Tabletext"/>
              <w:spacing w:after="0"/>
            </w:pPr>
            <w:r w:rsidRPr="00D96B14">
              <w:rPr>
                <w:b/>
                <w:bCs/>
              </w:rPr>
              <w:t>Total</w:t>
            </w:r>
          </w:p>
        </w:tc>
        <w:tc>
          <w:tcPr>
            <w:tcW w:w="1080" w:type="dxa"/>
            <w:tcBorders>
              <w:top w:val="single" w:sz="4" w:space="0" w:color="auto"/>
              <w:left w:val="single" w:sz="4" w:space="0" w:color="auto"/>
              <w:bottom w:val="single" w:sz="12" w:space="0" w:color="auto"/>
            </w:tcBorders>
          </w:tcPr>
          <w:p w:rsidR="00142353" w:rsidRPr="00D96B14" w:rsidRDefault="00142353" w:rsidP="004843DB">
            <w:pPr>
              <w:pStyle w:val="TableofFigures"/>
              <w:spacing w:before="20" w:after="0"/>
              <w:rPr>
                <w:b/>
                <w:bCs/>
              </w:rPr>
            </w:pPr>
            <w:r w:rsidRPr="00D96B14">
              <w:rPr>
                <w:b/>
                <w:bCs/>
              </w:rPr>
              <w:t>564</w:t>
            </w:r>
          </w:p>
        </w:tc>
        <w:tc>
          <w:tcPr>
            <w:tcW w:w="1080" w:type="dxa"/>
            <w:tcBorders>
              <w:top w:val="single" w:sz="4" w:space="0" w:color="auto"/>
              <w:bottom w:val="single" w:sz="12" w:space="0" w:color="auto"/>
              <w:right w:val="single" w:sz="4" w:space="0" w:color="auto"/>
            </w:tcBorders>
          </w:tcPr>
          <w:p w:rsidR="00142353" w:rsidRPr="00D96B14" w:rsidRDefault="00142353" w:rsidP="004843DB">
            <w:pPr>
              <w:pStyle w:val="TableofFigures"/>
              <w:spacing w:before="20" w:after="0"/>
              <w:rPr>
                <w:b/>
                <w:bCs/>
              </w:rPr>
            </w:pPr>
            <w:r w:rsidRPr="00D96B14">
              <w:rPr>
                <w:b/>
                <w:bCs/>
              </w:rPr>
              <w:t>434</w:t>
            </w:r>
          </w:p>
        </w:tc>
        <w:tc>
          <w:tcPr>
            <w:tcW w:w="1350" w:type="dxa"/>
            <w:tcBorders>
              <w:top w:val="single" w:sz="4" w:space="0" w:color="auto"/>
              <w:left w:val="single" w:sz="4" w:space="0" w:color="auto"/>
              <w:bottom w:val="single" w:sz="12" w:space="0" w:color="auto"/>
              <w:right w:val="single" w:sz="4" w:space="0" w:color="auto"/>
            </w:tcBorders>
          </w:tcPr>
          <w:p w:rsidR="00142353" w:rsidRPr="00D96B14" w:rsidRDefault="00142353" w:rsidP="004843DB">
            <w:pPr>
              <w:pStyle w:val="TableofFigures"/>
              <w:spacing w:before="20" w:after="0"/>
              <w:rPr>
                <w:b/>
                <w:bCs/>
              </w:rPr>
            </w:pPr>
            <w:r w:rsidRPr="00D96B14">
              <w:rPr>
                <w:b/>
                <w:bCs/>
              </w:rPr>
              <w:t>44</w:t>
            </w:r>
          </w:p>
        </w:tc>
        <w:tc>
          <w:tcPr>
            <w:tcW w:w="1116" w:type="dxa"/>
            <w:tcBorders>
              <w:top w:val="single" w:sz="4" w:space="0" w:color="auto"/>
              <w:left w:val="single" w:sz="4" w:space="0" w:color="auto"/>
              <w:bottom w:val="single" w:sz="12" w:space="0" w:color="auto"/>
            </w:tcBorders>
          </w:tcPr>
          <w:p w:rsidR="00142353" w:rsidRPr="00D96B14" w:rsidRDefault="00142353" w:rsidP="004843DB">
            <w:pPr>
              <w:pStyle w:val="TableofFigures"/>
              <w:spacing w:before="20" w:after="0"/>
              <w:rPr>
                <w:b/>
                <w:bCs/>
              </w:rPr>
            </w:pPr>
            <w:r w:rsidRPr="00D96B14">
              <w:rPr>
                <w:b/>
                <w:bCs/>
              </w:rPr>
              <w:t>432</w:t>
            </w:r>
          </w:p>
        </w:tc>
        <w:tc>
          <w:tcPr>
            <w:tcW w:w="1044" w:type="dxa"/>
            <w:tcBorders>
              <w:top w:val="single" w:sz="4" w:space="0" w:color="auto"/>
              <w:bottom w:val="single" w:sz="12" w:space="0" w:color="auto"/>
              <w:right w:val="single" w:sz="4" w:space="0" w:color="auto"/>
            </w:tcBorders>
          </w:tcPr>
          <w:p w:rsidR="00142353" w:rsidRPr="00D96B14" w:rsidRDefault="00142353" w:rsidP="004843DB">
            <w:pPr>
              <w:pStyle w:val="TableofFigures"/>
              <w:spacing w:before="20" w:after="0"/>
              <w:rPr>
                <w:b/>
                <w:bCs/>
              </w:rPr>
            </w:pPr>
            <w:r w:rsidRPr="00D96B14">
              <w:rPr>
                <w:b/>
                <w:bCs/>
              </w:rPr>
              <w:t>414</w:t>
            </w:r>
          </w:p>
        </w:tc>
        <w:tc>
          <w:tcPr>
            <w:tcW w:w="1278" w:type="dxa"/>
            <w:gridSpan w:val="2"/>
            <w:tcBorders>
              <w:top w:val="single" w:sz="4" w:space="0" w:color="auto"/>
              <w:left w:val="single" w:sz="4" w:space="0" w:color="auto"/>
              <w:bottom w:val="single" w:sz="12" w:space="0" w:color="auto"/>
            </w:tcBorders>
          </w:tcPr>
          <w:p w:rsidR="00142353" w:rsidRPr="00D96B14" w:rsidRDefault="00142353" w:rsidP="004843DB">
            <w:pPr>
              <w:pStyle w:val="TableofFigures"/>
              <w:spacing w:before="20" w:after="0"/>
              <w:rPr>
                <w:b/>
                <w:bCs/>
              </w:rPr>
            </w:pPr>
            <w:r w:rsidRPr="00D96B14">
              <w:rPr>
                <w:b/>
                <w:bCs/>
              </w:rPr>
              <w:t>67</w:t>
            </w:r>
          </w:p>
        </w:tc>
      </w:tr>
    </w:tbl>
    <w:p w:rsidR="00142353" w:rsidRPr="00D96B14" w:rsidRDefault="00142353" w:rsidP="00142353">
      <w:pPr>
        <w:pStyle w:val="Notes"/>
      </w:pPr>
      <w:r w:rsidRPr="00D96B14">
        <w:t>Notes:</w:t>
      </w:r>
    </w:p>
    <w:p w:rsidR="00142353" w:rsidRPr="00D96B14" w:rsidRDefault="00142353" w:rsidP="00142353">
      <w:pPr>
        <w:pStyle w:val="Notes"/>
        <w:rPr>
          <w:szCs w:val="16"/>
        </w:rPr>
      </w:pPr>
      <w:r w:rsidRPr="00D96B14">
        <w:rPr>
          <w:szCs w:val="16"/>
        </w:rPr>
        <w:t>(i)</w:t>
      </w:r>
      <w:r w:rsidRPr="00D96B14">
        <w:rPr>
          <w:szCs w:val="16"/>
        </w:rPr>
        <w:tab/>
        <w:t>All figures reflect employment levels during the last full pay period in June of each year.</w:t>
      </w:r>
    </w:p>
    <w:p w:rsidR="00142353" w:rsidRPr="00D96B14" w:rsidRDefault="00142353" w:rsidP="00142353">
      <w:pPr>
        <w:pStyle w:val="Notes"/>
        <w:rPr>
          <w:szCs w:val="16"/>
        </w:rPr>
      </w:pPr>
      <w:r w:rsidRPr="00D96B14">
        <w:rPr>
          <w:szCs w:val="16"/>
        </w:rPr>
        <w:t>(ii)</w:t>
      </w:r>
      <w:r w:rsidRPr="00D96B14">
        <w:rPr>
          <w:szCs w:val="16"/>
        </w:rPr>
        <w:tab/>
        <w:t xml:space="preserve">Excluded are those on leave without pay or absent on secondment, external contractors/consultants, and temporary staff employed by employment agencies, and a small number of people who are not employees but appointees to a statutory office, as defined in the </w:t>
      </w:r>
      <w:r w:rsidRPr="00D96B14">
        <w:rPr>
          <w:i w:val="0"/>
          <w:szCs w:val="16"/>
        </w:rPr>
        <w:t>Public Administration Act 2004</w:t>
      </w:r>
      <w:r w:rsidRPr="00D96B14">
        <w:rPr>
          <w:szCs w:val="16"/>
        </w:rPr>
        <w:t xml:space="preserve">. </w:t>
      </w:r>
    </w:p>
    <w:p w:rsidR="00142353" w:rsidRPr="00D96B14" w:rsidRDefault="00142353" w:rsidP="00142353">
      <w:pPr>
        <w:pStyle w:val="Notes"/>
        <w:rPr>
          <w:szCs w:val="16"/>
        </w:rPr>
      </w:pPr>
      <w:r w:rsidRPr="00D96B14">
        <w:rPr>
          <w:szCs w:val="16"/>
        </w:rPr>
        <w:t>(iii)</w:t>
      </w:r>
      <w:r w:rsidRPr="00D96B14">
        <w:rPr>
          <w:szCs w:val="16"/>
        </w:rPr>
        <w:tab/>
        <w:t>The Technology Purchasing Authority is a discrete agency within this portfolio that employs public servants independently of the Department Secretary. The authority is required to produce its own annual report. Employee numbers for the Authority are published in that annual report.</w:t>
      </w:r>
    </w:p>
    <w:p w:rsidR="00142353" w:rsidRPr="00D96B14" w:rsidRDefault="00142353" w:rsidP="00142353">
      <w:pPr>
        <w:pStyle w:val="Notes"/>
      </w:pPr>
      <w:r w:rsidRPr="00D96B14">
        <w:t>(iv)</w:t>
      </w:r>
      <w:r w:rsidRPr="00D96B14">
        <w:tab/>
        <w:t>Ongoing employees includes people engaged on an open ended contract of employment and executives engaged on a standard executive contract who were active in the last full pay period of June.</w:t>
      </w:r>
    </w:p>
    <w:p w:rsidR="00142353" w:rsidRPr="00D96B14" w:rsidRDefault="00142353" w:rsidP="00142353">
      <w:pPr>
        <w:pStyle w:val="Notes"/>
        <w:rPr>
          <w:szCs w:val="16"/>
        </w:rPr>
      </w:pPr>
      <w:r w:rsidRPr="00D96B14">
        <w:rPr>
          <w:szCs w:val="16"/>
        </w:rPr>
        <w:t>(v)</w:t>
      </w:r>
      <w:r w:rsidRPr="00D96B14">
        <w:rPr>
          <w:szCs w:val="16"/>
        </w:rPr>
        <w:tab/>
        <w:t>The increase in employment headcount levels between June 2015 and June 2016</w:t>
      </w:r>
      <w:r w:rsidRPr="00D96B14">
        <w:rPr>
          <w:b/>
          <w:bCs/>
          <w:szCs w:val="16"/>
        </w:rPr>
        <w:t xml:space="preserve"> </w:t>
      </w:r>
      <w:r w:rsidRPr="00D96B14">
        <w:rPr>
          <w:szCs w:val="16"/>
        </w:rPr>
        <w:t>is a result of an increase in part time employment that followed implementation of initiatives to support family friendly work arrangements.</w:t>
      </w:r>
    </w:p>
    <w:p w:rsidR="00142353" w:rsidRPr="00D96B14" w:rsidRDefault="00142353" w:rsidP="00142353">
      <w:pPr>
        <w:pStyle w:val="Notes"/>
        <w:rPr>
          <w:szCs w:val="16"/>
        </w:rPr>
      </w:pPr>
      <w:r w:rsidRPr="00D96B14">
        <w:rPr>
          <w:szCs w:val="16"/>
        </w:rPr>
        <w:t>(vi)</w:t>
      </w:r>
      <w:r w:rsidRPr="00D96B14">
        <w:rPr>
          <w:szCs w:val="16"/>
        </w:rPr>
        <w:tab/>
        <w:t>Twenty fixed term and casual FTE staff were employed for a two month period to support delivery of the Melbourne Technology Exhibition in May 2015.</w:t>
      </w:r>
    </w:p>
    <w:p w:rsidR="00142353" w:rsidRPr="00D96B14" w:rsidRDefault="00142353" w:rsidP="00142353">
      <w:pPr>
        <w:pStyle w:val="Notes"/>
        <w:rPr>
          <w:szCs w:val="16"/>
        </w:rPr>
      </w:pPr>
      <w:r w:rsidRPr="00D96B14">
        <w:rPr>
          <w:szCs w:val="16"/>
        </w:rPr>
        <w:t>(vii)</w:t>
      </w:r>
      <w:r w:rsidRPr="00D96B14">
        <w:rPr>
          <w:szCs w:val="16"/>
        </w:rPr>
        <w:tab/>
        <w:t>Employees attached to the Office of the Commissioner for Research Ethics are employees of the Department Secretary and are included in the above figures. Staff are also reported in the Commissioner for Research Ethics</w:t>
      </w:r>
      <w:r w:rsidR="005A4BB0">
        <w:rPr>
          <w:szCs w:val="16"/>
        </w:rPr>
        <w:t>’</w:t>
      </w:r>
      <w:r w:rsidRPr="00D96B14">
        <w:rPr>
          <w:szCs w:val="16"/>
        </w:rPr>
        <w:t xml:space="preserve"> annual report.</w:t>
      </w:r>
    </w:p>
    <w:p w:rsidR="00142353" w:rsidRPr="00D96B14" w:rsidRDefault="00142353" w:rsidP="00142353">
      <w:pPr>
        <w:pStyle w:val="Notes"/>
        <w:ind w:left="0" w:firstLine="0"/>
        <w:rPr>
          <w:szCs w:val="16"/>
        </w:rPr>
      </w:pPr>
      <w:r w:rsidRPr="00D96B14">
        <w:rPr>
          <w:szCs w:val="16"/>
        </w:rPr>
        <w:t>(viii)</w:t>
      </w:r>
      <w:r w:rsidRPr="00D96B14">
        <w:rPr>
          <w:szCs w:val="16"/>
        </w:rPr>
        <w:tab/>
        <w:t xml:space="preserve">Employees reported with a classification of </w:t>
      </w:r>
      <w:r w:rsidR="005A4BB0">
        <w:rPr>
          <w:szCs w:val="16"/>
        </w:rPr>
        <w:t>‘</w:t>
      </w:r>
      <w:r w:rsidRPr="00D96B14">
        <w:rPr>
          <w:szCs w:val="16"/>
        </w:rPr>
        <w:t>other</w:t>
      </w:r>
      <w:r w:rsidR="005A4BB0">
        <w:rPr>
          <w:szCs w:val="16"/>
        </w:rPr>
        <w:t>’</w:t>
      </w:r>
      <w:r w:rsidRPr="00D96B14">
        <w:rPr>
          <w:szCs w:val="16"/>
        </w:rPr>
        <w:t xml:space="preserve"> are one ministerial chauffeur and one legal officer.</w:t>
      </w:r>
    </w:p>
    <w:p w:rsidR="00142353" w:rsidRPr="00D96B14" w:rsidRDefault="00142353" w:rsidP="00142353">
      <w:pPr>
        <w:pStyle w:val="SmallLine"/>
      </w:pPr>
      <w:r w:rsidRPr="00D96B14">
        <w:br w:type="page"/>
      </w:r>
      <w:r w:rsidRPr="00D96B14">
        <w:lastRenderedPageBreak/>
        <w:br w:type="column"/>
      </w:r>
    </w:p>
    <w:p w:rsidR="00142353" w:rsidRPr="00D96B14" w:rsidRDefault="00142353" w:rsidP="00142353">
      <w:pPr>
        <w:pStyle w:val="CommentaryHeading"/>
      </w:pPr>
      <w:r w:rsidRPr="00D96B14">
        <w:t>Commentary – Workforce data staffing trends</w:t>
      </w:r>
    </w:p>
    <w:p w:rsidR="00142353" w:rsidRPr="00D96B14" w:rsidRDefault="00142353" w:rsidP="00142353">
      <w:pPr>
        <w:pStyle w:val="SmallLineBlue"/>
      </w:pPr>
    </w:p>
    <w:p w:rsidR="00142353" w:rsidRPr="00D96B14" w:rsidRDefault="00142353" w:rsidP="00142353">
      <w:pPr>
        <w:pStyle w:val="CommentaryHeading1"/>
        <w:rPr>
          <w:noProof w:val="0"/>
        </w:rPr>
        <w:sectPr w:rsidR="00142353" w:rsidRPr="00D96B14" w:rsidSect="00190A01">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Reference"/>
        <w:rPr>
          <w:lang w:val="en-AU"/>
        </w:rPr>
      </w:pPr>
      <w:r w:rsidRPr="00D96B14">
        <w:rPr>
          <w:lang w:val="en-AU"/>
        </w:rPr>
        <w:lastRenderedPageBreak/>
        <w:t>FRD 22G</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br w:type="column"/>
      </w:r>
      <w:r w:rsidRPr="00D96B14">
        <w:rPr>
          <w:b/>
          <w:bCs/>
          <w:noProof w:val="0"/>
        </w:rPr>
        <w:lastRenderedPageBreak/>
        <w:t>FRD 22G</w:t>
      </w:r>
      <w:r w:rsidRPr="00D96B14">
        <w:rPr>
          <w:noProof w:val="0"/>
        </w:rPr>
        <w:t xml:space="preserve"> requires the disclosure of workforce data as per the last payroll period for both the current and previous financial years.</w:t>
      </w:r>
    </w:p>
    <w:p w:rsidR="00142353" w:rsidRPr="00D96B14" w:rsidRDefault="00142353" w:rsidP="00142353">
      <w:pPr>
        <w:pStyle w:val="CommentaryText"/>
        <w:pBdr>
          <w:top w:val="none" w:sz="0" w:space="0" w:color="auto"/>
        </w:pBdr>
        <w:rPr>
          <w:noProof w:val="0"/>
        </w:r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pPr>
      <w:r w:rsidRPr="00D96B14">
        <w:lastRenderedPageBreak/>
        <w:t>FRD 29A</w:t>
      </w:r>
      <w:r w:rsidRPr="00D96B14">
        <w:rPr>
          <w:lang w:val="en-AU"/>
        </w:rPr>
        <w:t xml:space="preserve"> </w:t>
      </w:r>
    </w:p>
    <w:p w:rsidR="00142353" w:rsidRPr="00D96B14" w:rsidRDefault="00142353" w:rsidP="00142353">
      <w:pPr>
        <w:pStyle w:val="CommentaryText"/>
        <w:pBdr>
          <w:top w:val="none" w:sz="0" w:space="0" w:color="auto"/>
          <w:bottom w:val="none" w:sz="0" w:space="0" w:color="auto"/>
        </w:pBdr>
      </w:pPr>
      <w:r w:rsidRPr="00D96B14">
        <w:br w:type="column"/>
      </w:r>
      <w:r w:rsidRPr="00D96B14">
        <w:rPr>
          <w:b/>
          <w:bCs/>
        </w:rPr>
        <w:lastRenderedPageBreak/>
        <w:t>FRD 29A</w:t>
      </w:r>
      <w:r w:rsidRPr="00D96B14">
        <w:t xml:space="preserve"> </w:t>
      </w:r>
      <w:r w:rsidRPr="00D96B14">
        <w:rPr>
          <w:i/>
        </w:rPr>
        <w:t>Workforce Data Disclosures in the Report of Operations</w:t>
      </w:r>
      <w:r w:rsidRPr="00D96B14">
        <w:t xml:space="preserve"> and the Guidance Note to FRD 29A prescribe the minimum disclosure requirements on the public service workforce for ongoing, fixed term and casual employees who are employed under Part 3 of the</w:t>
      </w:r>
      <w:r w:rsidRPr="00D96B14">
        <w:rPr>
          <w:i/>
          <w:iCs/>
        </w:rPr>
        <w:t xml:space="preserve"> Public Administration Act 2004.</w:t>
      </w:r>
      <w:r w:rsidRPr="00D96B14">
        <w:t xml:space="preserve"> This FRD provides comprehensive definitions of </w:t>
      </w:r>
      <w:r w:rsidR="005A4BB0">
        <w:t>‘</w:t>
      </w:r>
      <w:r w:rsidRPr="00D96B14">
        <w:t>active</w:t>
      </w:r>
      <w:r w:rsidR="005A4BB0">
        <w:t>’</w:t>
      </w:r>
      <w:r w:rsidRPr="00D96B14">
        <w:t xml:space="preserve"> staff, classifications and other terms related to workforce data reporting. </w:t>
      </w: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Guidance</w:t>
      </w:r>
    </w:p>
    <w:p w:rsidR="00142353" w:rsidRPr="00D96B14" w:rsidRDefault="00142353" w:rsidP="00142353">
      <w:pPr>
        <w:pStyle w:val="CommentaryText"/>
        <w:pBdr>
          <w:top w:val="none" w:sz="0" w:space="0" w:color="auto"/>
          <w:bottom w:val="none" w:sz="0" w:space="0" w:color="auto"/>
        </w:pBdr>
      </w:pPr>
      <w:r w:rsidRPr="00D96B14">
        <w:t xml:space="preserve">Information on workforce data is to be presented by headcount and the number of full time equivalents, separated by gender, age and VPS classification levels. The </w:t>
      </w:r>
      <w:r w:rsidRPr="00D96B14">
        <w:rPr>
          <w:iCs/>
        </w:rPr>
        <w:t>Model</w:t>
      </w:r>
      <w:r w:rsidRPr="00D96B14">
        <w:t xml:space="preserve"> provides a suggested table format, but entities have the discretion over how to present the minimum required information and whether to include any additional information. General commentary on programs or initiatives that have a significant impact on employment levels between the current and previous reporting period should be included in the report. Notes are required to explain:</w:t>
      </w:r>
    </w:p>
    <w:p w:rsidR="00142353" w:rsidRPr="00D96B14" w:rsidRDefault="00142353" w:rsidP="00142353">
      <w:pPr>
        <w:pStyle w:val="CommentaryBullet"/>
      </w:pPr>
      <w:r w:rsidRPr="00D96B14">
        <w:t>inclusions and exclusions in the employee figures;</w:t>
      </w:r>
    </w:p>
    <w:p w:rsidR="00142353" w:rsidRPr="00D96B14" w:rsidRDefault="00142353" w:rsidP="00142353">
      <w:pPr>
        <w:pStyle w:val="CommentaryBullet"/>
      </w:pPr>
      <w:r w:rsidRPr="00D96B14">
        <w:t>significant rise and fall in the employment numbers during the reporting period due to seasonal factors or machinery of government changes; and</w:t>
      </w:r>
    </w:p>
    <w:p w:rsidR="00142353" w:rsidRPr="00D96B14" w:rsidRDefault="00142353" w:rsidP="00142353">
      <w:pPr>
        <w:pStyle w:val="CommentaryBullet"/>
      </w:pPr>
      <w:r w:rsidRPr="00D96B14">
        <w:t xml:space="preserve">any classification categories that are rolled into an </w:t>
      </w:r>
      <w:r w:rsidR="005A4BB0">
        <w:t>‘</w:t>
      </w:r>
      <w:r w:rsidRPr="00D96B14">
        <w:t>other</w:t>
      </w:r>
      <w:r w:rsidR="005A4BB0">
        <w:t>’</w:t>
      </w:r>
      <w:r w:rsidRPr="00D96B14">
        <w:t xml:space="preserve"> category.</w:t>
      </w:r>
    </w:p>
    <w:p w:rsidR="00142353" w:rsidRPr="00D96B14" w:rsidRDefault="00142353" w:rsidP="00142353">
      <w:pPr>
        <w:pStyle w:val="CommentaryHeading2"/>
      </w:pPr>
      <w:r w:rsidRPr="00D96B14">
        <w:t>Workforce data disclosure of Authority/Office in a department</w:t>
      </w:r>
      <w:r w:rsidR="005A4BB0">
        <w:t>’</w:t>
      </w:r>
      <w:r w:rsidRPr="00D96B14">
        <w:t>s portfolio</w:t>
      </w:r>
    </w:p>
    <w:p w:rsidR="00142353" w:rsidRPr="00D96B14" w:rsidRDefault="00142353" w:rsidP="00142353">
      <w:pPr>
        <w:pStyle w:val="CommentaryText"/>
        <w:pBdr>
          <w:top w:val="none" w:sz="0" w:space="0" w:color="auto"/>
          <w:bottom w:val="none" w:sz="0" w:space="0" w:color="auto"/>
        </w:pBdr>
      </w:pPr>
      <w:r w:rsidRPr="00D96B14">
        <w:t>In a department</w:t>
      </w:r>
      <w:r w:rsidR="005A4BB0">
        <w:t>’</w:t>
      </w:r>
      <w:r w:rsidRPr="00D96B14">
        <w:t>s portfolio there may be authorities and offices who employ public service employees independently of a department secretary. A department</w:t>
      </w:r>
      <w:r w:rsidR="005A4BB0">
        <w:t>’</w:t>
      </w:r>
      <w:r w:rsidRPr="00D96B14">
        <w:t>s annual report must list entities in this category that fall within its portfolio.</w:t>
      </w:r>
    </w:p>
    <w:p w:rsidR="00142353" w:rsidRPr="00D96B14" w:rsidRDefault="00142353" w:rsidP="00142353">
      <w:pPr>
        <w:pStyle w:val="CommentaryText"/>
        <w:pBdr>
          <w:top w:val="none" w:sz="0" w:space="0" w:color="auto"/>
        </w:pBdr>
      </w:pPr>
      <w:r w:rsidRPr="00D96B14">
        <w:t>In addition, for these entities that do not produce their own annual reports, their employee numbers must be included in the department</w:t>
      </w:r>
      <w:r w:rsidR="005A4BB0">
        <w:t>’</w:t>
      </w:r>
      <w:r w:rsidRPr="00D96B14">
        <w:t>s annual report in a separate table. Where they produce their own annual reports, employee numbers must be included in those annual reports and the department is required to disclose this fact.</w:t>
      </w:r>
    </w:p>
    <w:p w:rsidR="00142353" w:rsidRPr="00D96B14" w:rsidRDefault="00142353" w:rsidP="00142353">
      <w:pPr>
        <w:pStyle w:val="Heading2"/>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Heading2"/>
        <w:sectPr w:rsidR="00142353" w:rsidRPr="00D96B14" w:rsidSect="00190A01">
          <w:type w:val="continuous"/>
          <w:pgSz w:w="11906" w:h="16838" w:code="9"/>
          <w:pgMar w:top="1152" w:right="864" w:bottom="1152" w:left="864" w:header="432" w:footer="432" w:gutter="0"/>
          <w:cols w:num="2" w:space="360" w:equalWidth="0">
            <w:col w:w="1440" w:space="360"/>
            <w:col w:w="8090"/>
          </w:cols>
        </w:sectPr>
      </w:pPr>
      <w:bookmarkStart w:id="85" w:name="_Toc219779102"/>
      <w:r w:rsidRPr="00D96B14">
        <w:lastRenderedPageBreak/>
        <w:br w:type="column"/>
      </w:r>
    </w:p>
    <w:p w:rsidR="00142353" w:rsidRPr="00D96B14" w:rsidRDefault="00142353" w:rsidP="00142353">
      <w:pPr>
        <w:pStyle w:val="SmallLine"/>
      </w:pPr>
    </w:p>
    <w:p w:rsidR="00142353" w:rsidRPr="00D96B14" w:rsidRDefault="00142353" w:rsidP="00142353">
      <w:pPr>
        <w:pStyle w:val="Heading2"/>
        <w:spacing w:before="0"/>
      </w:pPr>
      <w:r w:rsidRPr="00D96B14">
        <w:rPr>
          <w:rFonts w:cs="Arial Narrow"/>
          <w:b w:val="0"/>
          <w:color w:val="0000FF"/>
          <w:sz w:val="16"/>
          <w:szCs w:val="16"/>
        </w:rPr>
        <w:t>Recommendation 20, PAEC Report 107</w:t>
      </w:r>
      <w:r w:rsidRPr="00D96B14">
        <w:br w:type="column"/>
      </w:r>
      <w:r w:rsidRPr="00D96B14">
        <w:lastRenderedPageBreak/>
        <w:t>Workforce inclusion policy</w:t>
      </w:r>
    </w:p>
    <w:p w:rsidR="00142353" w:rsidRPr="00D96B14" w:rsidRDefault="00142353" w:rsidP="00142353">
      <w:r w:rsidRPr="00D96B14">
        <w:t>The Department is working towards creating a balanced working environment where equal opportunity and diversity are valued. As part of the workforce inclusion policy, the Department has a 50/50 target on the employees</w:t>
      </w:r>
      <w:r w:rsidR="005A4BB0">
        <w:t>’</w:t>
      </w:r>
      <w:r w:rsidRPr="00D96B14">
        <w:t xml:space="preserve"> gender profile by 2017. The following table outlines the Department</w:t>
      </w:r>
      <w:r w:rsidR="005A4BB0">
        <w:t>’</w:t>
      </w:r>
      <w:r w:rsidRPr="00D96B14">
        <w:t>s actual progress against this target in 2015</w:t>
      </w:r>
      <w:r w:rsidR="005A4BB0">
        <w:noBreakHyphen/>
      </w:r>
      <w:r w:rsidRPr="00D96B14">
        <w:t>16.</w:t>
      </w:r>
    </w:p>
    <w:p w:rsidR="00142353" w:rsidRPr="00D96B14" w:rsidRDefault="00142353" w:rsidP="00142353">
      <w:pPr>
        <w:pStyle w:val="Notes"/>
      </w:pPr>
    </w:p>
    <w:tbl>
      <w:tblPr>
        <w:tblW w:w="830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3064"/>
      </w:tblGrid>
      <w:tr w:rsidR="00142353" w:rsidRPr="00D96B14" w:rsidTr="004843DB">
        <w:trPr>
          <w:trHeight w:val="288"/>
        </w:trPr>
        <w:tc>
          <w:tcPr>
            <w:tcW w:w="2268" w:type="dxa"/>
            <w:shd w:val="clear" w:color="auto" w:fill="auto"/>
            <w:vAlign w:val="center"/>
            <w:hideMark/>
          </w:tcPr>
          <w:p w:rsidR="00142353" w:rsidRPr="00D96B14" w:rsidRDefault="00142353" w:rsidP="004843DB">
            <w:pPr>
              <w:pStyle w:val="Tabletextheading"/>
              <w:jc w:val="left"/>
            </w:pPr>
            <w:r w:rsidRPr="00D96B14">
              <w:t>Workforce inclusion policy initiative</w:t>
            </w:r>
          </w:p>
        </w:tc>
        <w:tc>
          <w:tcPr>
            <w:tcW w:w="2977" w:type="dxa"/>
            <w:shd w:val="clear" w:color="auto" w:fill="auto"/>
            <w:hideMark/>
          </w:tcPr>
          <w:p w:rsidR="00142353" w:rsidRPr="00D96B14" w:rsidRDefault="00142353" w:rsidP="004843DB">
            <w:pPr>
              <w:pStyle w:val="Tabletextheading"/>
              <w:jc w:val="left"/>
            </w:pPr>
            <w:r w:rsidRPr="00D96B14">
              <w:br/>
              <w:t>Target</w:t>
            </w:r>
          </w:p>
        </w:tc>
        <w:tc>
          <w:tcPr>
            <w:tcW w:w="3064" w:type="dxa"/>
            <w:shd w:val="clear" w:color="auto" w:fill="auto"/>
            <w:hideMark/>
          </w:tcPr>
          <w:p w:rsidR="00142353" w:rsidRPr="00D96B14" w:rsidRDefault="00142353" w:rsidP="004843DB">
            <w:pPr>
              <w:pStyle w:val="Tabletextheading"/>
              <w:jc w:val="left"/>
            </w:pPr>
            <w:r w:rsidRPr="00D96B14">
              <w:br/>
              <w:t>Actual progress in 2015</w:t>
            </w:r>
            <w:r w:rsidR="005A4BB0">
              <w:noBreakHyphen/>
            </w:r>
            <w:r w:rsidRPr="00D96B14">
              <w:t>16</w:t>
            </w:r>
          </w:p>
        </w:tc>
      </w:tr>
      <w:tr w:rsidR="00142353" w:rsidRPr="00D96B14" w:rsidTr="004843DB">
        <w:trPr>
          <w:trHeight w:val="288"/>
        </w:trPr>
        <w:tc>
          <w:tcPr>
            <w:tcW w:w="2268" w:type="dxa"/>
            <w:shd w:val="clear" w:color="auto" w:fill="auto"/>
            <w:hideMark/>
          </w:tcPr>
          <w:p w:rsidR="00142353" w:rsidRPr="00D96B14" w:rsidRDefault="00142353" w:rsidP="004843DB">
            <w:pPr>
              <w:pStyle w:val="TableText0"/>
            </w:pPr>
            <w:r w:rsidRPr="00D96B14">
              <w:t>Balanced employee gender profile</w:t>
            </w:r>
          </w:p>
        </w:tc>
        <w:tc>
          <w:tcPr>
            <w:tcW w:w="2977" w:type="dxa"/>
            <w:shd w:val="clear" w:color="auto" w:fill="auto"/>
            <w:hideMark/>
          </w:tcPr>
          <w:p w:rsidR="00142353" w:rsidRPr="00D96B14" w:rsidRDefault="00142353" w:rsidP="004843DB">
            <w:pPr>
              <w:pStyle w:val="TableText0"/>
            </w:pPr>
            <w:r w:rsidRPr="00D96B14">
              <w:t>Ongoing/fixed</w:t>
            </w:r>
            <w:r w:rsidR="005A4BB0">
              <w:noBreakHyphen/>
            </w:r>
            <w:r w:rsidRPr="00D96B14">
              <w:t>terms/casual basis employees:</w:t>
            </w:r>
          </w:p>
          <w:p w:rsidR="00142353" w:rsidRPr="00D96B14" w:rsidRDefault="00142353" w:rsidP="004843DB">
            <w:pPr>
              <w:pStyle w:val="TableText0"/>
            </w:pPr>
            <w:r w:rsidRPr="00D96B14">
              <w:t>50 per cent male; 50 per cent female by 2017</w:t>
            </w:r>
          </w:p>
        </w:tc>
        <w:tc>
          <w:tcPr>
            <w:tcW w:w="3064" w:type="dxa"/>
            <w:shd w:val="clear" w:color="auto" w:fill="auto"/>
            <w:hideMark/>
          </w:tcPr>
          <w:p w:rsidR="00142353" w:rsidRPr="00D96B14" w:rsidRDefault="00142353" w:rsidP="004843DB">
            <w:pPr>
              <w:pStyle w:val="TableText0"/>
            </w:pPr>
            <w:r w:rsidRPr="00D96B14">
              <w:t>Employee:</w:t>
            </w:r>
          </w:p>
          <w:p w:rsidR="00142353" w:rsidRPr="00D96B14" w:rsidRDefault="00142353" w:rsidP="004843DB">
            <w:pPr>
              <w:pStyle w:val="TableText0"/>
            </w:pPr>
            <w:r w:rsidRPr="00D96B14">
              <w:t>56c per cent male; 44 per cent female</w:t>
            </w:r>
          </w:p>
        </w:tc>
      </w:tr>
    </w:tbl>
    <w:p w:rsidR="00142353" w:rsidRPr="00D96B14" w:rsidRDefault="00142353" w:rsidP="00142353">
      <w:pPr>
        <w:pStyle w:val="NotesBlue"/>
        <w:rPr>
          <w:lang w:eastAsia="en-US"/>
        </w:rPr>
      </w:pPr>
      <w:r w:rsidRPr="00D96B14">
        <w:rPr>
          <w:lang w:eastAsia="en-US"/>
        </w:rPr>
        <w:t xml:space="preserve">Note: </w:t>
      </w:r>
    </w:p>
    <w:p w:rsidR="00142353" w:rsidRPr="00D96B14" w:rsidRDefault="00142353" w:rsidP="00142353">
      <w:pPr>
        <w:pStyle w:val="NotesBlue"/>
        <w:rPr>
          <w:lang w:eastAsia="en-US"/>
        </w:rPr>
      </w:pPr>
      <w:r w:rsidRPr="00D96B14">
        <w:rPr>
          <w:lang w:eastAsia="en-US"/>
        </w:rPr>
        <w:t>[The above workforce inclusion policy initiative is for illustration purpose only.]</w:t>
      </w:r>
    </w:p>
    <w:p w:rsidR="00142353" w:rsidRPr="00D96B14" w:rsidRDefault="00142353" w:rsidP="00142353">
      <w:pPr>
        <w:spacing w:line="240" w:lineRule="atLeast"/>
        <w:rPr>
          <w:sz w:val="4"/>
          <w:szCs w:val="4"/>
        </w:rPr>
      </w:pPr>
      <w:r w:rsidRPr="00D96B14">
        <w:br w:type="page"/>
      </w:r>
    </w:p>
    <w:p w:rsidR="00142353" w:rsidRPr="00D96B14" w:rsidRDefault="00142353" w:rsidP="00142353">
      <w:pPr>
        <w:pStyle w:val="SmallLine"/>
      </w:pPr>
      <w:r w:rsidRPr="00D96B14">
        <w:lastRenderedPageBreak/>
        <w:br w:type="column"/>
      </w:r>
    </w:p>
    <w:p w:rsidR="00142353" w:rsidRPr="00D96B14" w:rsidRDefault="00142353" w:rsidP="00142353">
      <w:pPr>
        <w:pStyle w:val="CommentaryHeading"/>
      </w:pPr>
      <w:r w:rsidRPr="00D96B14">
        <w:t>Commentary – Workforce inclusion policy</w:t>
      </w:r>
    </w:p>
    <w:p w:rsidR="00142353" w:rsidRPr="00D96B14" w:rsidRDefault="00142353" w:rsidP="00142353">
      <w:pPr>
        <w:pStyle w:val="SmallLineBlue"/>
      </w:pPr>
    </w:p>
    <w:p w:rsidR="00142353" w:rsidRPr="00D96B14" w:rsidRDefault="00142353" w:rsidP="00142353">
      <w:pPr>
        <w:pStyle w:val="CommentaryText"/>
      </w:pPr>
      <w:r w:rsidRPr="00D96B14">
        <w:t>If an entity is working towards a workforce inclusion initiative as part of its workforce inclusion policy, the entity should report on progress towards the targets of these initiative, and/or provide reasons why the initiative has not been implemented. This is to enable the evaluation of progress of the workforce inclusion plan. As this is the first year that this information is being reported, there are no comparatives. It is expected that in subsequent years, comparative data will be presented to demonstrate the cumulative benefits of the initiative. Entities are encouraged to make comments about longer term progress and illustrate the trend over time.</w:t>
      </w:r>
    </w:p>
    <w:p w:rsidR="00142353" w:rsidRPr="00D96B14" w:rsidRDefault="00142353" w:rsidP="00142353">
      <w:pPr>
        <w:pStyle w:val="Heading2"/>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spacing w:before="240"/>
      </w:pPr>
      <w:r w:rsidRPr="00D96B14">
        <w:lastRenderedPageBreak/>
        <w:t xml:space="preserve">FRD 15C </w:t>
      </w:r>
    </w:p>
    <w:p w:rsidR="00142353" w:rsidRPr="00D96B14" w:rsidRDefault="00142353" w:rsidP="00142353">
      <w:pPr>
        <w:pStyle w:val="Heading2"/>
      </w:pPr>
    </w:p>
    <w:p w:rsidR="00142353" w:rsidRPr="00D96B14" w:rsidRDefault="00142353" w:rsidP="00142353">
      <w:pPr>
        <w:pStyle w:val="Heading2"/>
      </w:pPr>
      <w:r w:rsidRPr="00D96B14">
        <w:br w:type="column"/>
      </w:r>
      <w:r w:rsidRPr="00D96B14">
        <w:lastRenderedPageBreak/>
        <w:t>Executive officer data</w:t>
      </w:r>
      <w:bookmarkEnd w:id="85"/>
    </w:p>
    <w:p w:rsidR="00142353" w:rsidRPr="00D96B14" w:rsidRDefault="00142353" w:rsidP="00142353">
      <w:r w:rsidRPr="00D96B14">
        <w:t xml:space="preserve">An </w:t>
      </w:r>
      <w:r w:rsidRPr="00D96B14">
        <w:rPr>
          <w:b/>
          <w:bCs/>
        </w:rPr>
        <w:t>executive officer</w:t>
      </w:r>
      <w:r w:rsidRPr="00D96B14">
        <w:t xml:space="preserve"> (EO) is defined as a person employed as a public service body head or other executive under Part 3, Division 5 of the </w:t>
      </w:r>
      <w:r w:rsidRPr="00D96B14">
        <w:rPr>
          <w:i/>
          <w:iCs/>
        </w:rPr>
        <w:t>Public Administration Act 2004</w:t>
      </w:r>
      <w:r w:rsidRPr="00D96B14">
        <w:t xml:space="preserve">. All figures reflect employment levels at the last full pay period in June of the current and corresponding previous reporting year. </w:t>
      </w:r>
    </w:p>
    <w:p w:rsidR="00142353" w:rsidRPr="00D96B14" w:rsidRDefault="00142353" w:rsidP="00142353">
      <w:r w:rsidRPr="00D96B14">
        <w:t>The definition of an EO does not include Governor in Council appointments as statutory office holders.</w:t>
      </w:r>
    </w:p>
    <w:p w:rsidR="00142353" w:rsidRPr="00D96B14" w:rsidRDefault="00142353" w:rsidP="00142353">
      <w:r w:rsidRPr="00D96B14">
        <w:t>The total group of executives is classified into two distinct categories based on the following definitions:</w:t>
      </w:r>
    </w:p>
    <w:p w:rsidR="00142353" w:rsidRPr="00D96B14" w:rsidRDefault="005A4BB0" w:rsidP="00142353">
      <w:pPr>
        <w:pStyle w:val="Bullet"/>
      </w:pPr>
      <w:r>
        <w:t>‘</w:t>
      </w:r>
      <w:r w:rsidR="00142353" w:rsidRPr="00D96B14">
        <w:t>ongoing</w:t>
      </w:r>
      <w:r>
        <w:t>’</w:t>
      </w:r>
      <w:r w:rsidR="00142353" w:rsidRPr="00D96B14">
        <w:t xml:space="preserve"> executives are executives who are responsible for functions or outputs that are expected to be ongoing at the end of the reporting period; and</w:t>
      </w:r>
    </w:p>
    <w:p w:rsidR="00142353" w:rsidRPr="00D96B14" w:rsidRDefault="005A4BB0" w:rsidP="00142353">
      <w:pPr>
        <w:pStyle w:val="Bullet"/>
      </w:pPr>
      <w:r>
        <w:t>‘</w:t>
      </w:r>
      <w:r w:rsidR="00142353" w:rsidRPr="00D96B14">
        <w:t>special projects</w:t>
      </w:r>
      <w:r>
        <w:t>’</w:t>
      </w:r>
      <w:r w:rsidR="00142353" w:rsidRPr="00D96B14">
        <w:t xml:space="preserve"> executives are executives who are employed for a specific project. These projects are generally for a fixed period of time and relate to a specific government priority.</w:t>
      </w:r>
    </w:p>
    <w:p w:rsidR="00142353" w:rsidRPr="00D96B14" w:rsidRDefault="00142353" w:rsidP="00142353">
      <w:r w:rsidRPr="00D96B14">
        <w:t>For the Department</w:t>
      </w:r>
      <w:r w:rsidR="005A4BB0">
        <w:t>’</w:t>
      </w:r>
      <w:r w:rsidRPr="00D96B14">
        <w:t xml:space="preserve">s portfolio authorities (public authorities as defined under the </w:t>
      </w:r>
      <w:r w:rsidRPr="00D96B14">
        <w:rPr>
          <w:i/>
          <w:iCs/>
        </w:rPr>
        <w:t>Public Administration Act 2004</w:t>
      </w:r>
      <w:r w:rsidRPr="00D96B14">
        <w:t>), an EO is defined as a person employed as an EO at an annual remuneration rate not less than an EO employed by a department.</w:t>
      </w:r>
      <w:r w:rsidRPr="00D96B14">
        <w:rPr>
          <w:i/>
          <w:iCs/>
        </w:rPr>
        <w:t xml:space="preserve"> </w:t>
      </w:r>
    </w:p>
    <w:p w:rsidR="00142353" w:rsidRPr="00D96B14" w:rsidRDefault="00142353" w:rsidP="00142353">
      <w:r w:rsidRPr="00D96B14">
        <w:t xml:space="preserve">The following tables disclose the EOs of the Department and its portfolio authorities for 30 June 2016: </w:t>
      </w:r>
    </w:p>
    <w:p w:rsidR="00142353" w:rsidRPr="00D96B14" w:rsidRDefault="00142353" w:rsidP="00142353">
      <w:pPr>
        <w:pStyle w:val="Bullet"/>
      </w:pPr>
      <w:r w:rsidRPr="00D96B14">
        <w:t xml:space="preserve">Table 1 discloses the number of EOs in the categories of </w:t>
      </w:r>
      <w:r w:rsidR="005A4BB0">
        <w:t>‘</w:t>
      </w:r>
      <w:r w:rsidRPr="00D96B14">
        <w:t>ongoing</w:t>
      </w:r>
      <w:r w:rsidR="005A4BB0">
        <w:t>’</w:t>
      </w:r>
      <w:r w:rsidRPr="00D96B14">
        <w:t xml:space="preserve"> and </w:t>
      </w:r>
      <w:r w:rsidR="005A4BB0">
        <w:t>‘</w:t>
      </w:r>
      <w:r w:rsidRPr="00D96B14">
        <w:t>special projects</w:t>
      </w:r>
      <w:r w:rsidR="005A4BB0">
        <w:t>’</w:t>
      </w:r>
      <w:r w:rsidRPr="00D96B14">
        <w:t xml:space="preserve"> and the total numbers of EOs for the Department;</w:t>
      </w:r>
    </w:p>
    <w:p w:rsidR="00142353" w:rsidRPr="00D96B14" w:rsidRDefault="00142353" w:rsidP="00142353">
      <w:pPr>
        <w:pStyle w:val="Bullet"/>
      </w:pPr>
      <w:r w:rsidRPr="00D96B14">
        <w:t xml:space="preserve">Table 2 provides a breakdown of EOs according to gender for the categories of </w:t>
      </w:r>
      <w:r w:rsidR="005A4BB0">
        <w:t>‘</w:t>
      </w:r>
      <w:r w:rsidRPr="00D96B14">
        <w:t>ongoing</w:t>
      </w:r>
      <w:r w:rsidR="005A4BB0">
        <w:t>’</w:t>
      </w:r>
      <w:r w:rsidRPr="00D96B14">
        <w:t xml:space="preserve"> and </w:t>
      </w:r>
      <w:r w:rsidR="005A4BB0">
        <w:t>‘</w:t>
      </w:r>
      <w:r w:rsidRPr="00D96B14">
        <w:t>special projects</w:t>
      </w:r>
      <w:r w:rsidR="005A4BB0">
        <w:t>’</w:t>
      </w:r>
      <w:r w:rsidRPr="00D96B14">
        <w:t>;</w:t>
      </w:r>
    </w:p>
    <w:p w:rsidR="00142353" w:rsidRPr="00D96B14" w:rsidRDefault="00142353" w:rsidP="00142353">
      <w:pPr>
        <w:pStyle w:val="Bullet"/>
      </w:pPr>
      <w:r w:rsidRPr="00D96B14">
        <w:t xml:space="preserve">Table 3 provides a reconciliation of executive numbers presented between the report of operations and Note 41(a) </w:t>
      </w:r>
      <w:r w:rsidR="005A4BB0">
        <w:t>‘</w:t>
      </w:r>
      <w:r w:rsidRPr="00D96B14">
        <w:t>Remuneration of executives</w:t>
      </w:r>
      <w:r w:rsidR="005A4BB0">
        <w:t>’</w:t>
      </w:r>
      <w:r w:rsidRPr="00D96B14">
        <w:t xml:space="preserve"> in the financial statements; </w:t>
      </w:r>
    </w:p>
    <w:p w:rsidR="00142353" w:rsidRPr="00D96B14" w:rsidRDefault="00142353" w:rsidP="00142353">
      <w:pPr>
        <w:pStyle w:val="Bullet"/>
      </w:pPr>
      <w:r w:rsidRPr="00D96B14">
        <w:t>Table 4 provides the total executive numbers for all of the Department</w:t>
      </w:r>
      <w:r w:rsidR="005A4BB0">
        <w:t>’</w:t>
      </w:r>
      <w:r w:rsidRPr="00D96B14">
        <w:t xml:space="preserve">s portfolio agencies; and </w:t>
      </w:r>
    </w:p>
    <w:p w:rsidR="00142353" w:rsidRPr="00D96B14" w:rsidRDefault="00142353" w:rsidP="00142353">
      <w:pPr>
        <w:pStyle w:val="Bullet"/>
      </w:pPr>
      <w:r w:rsidRPr="00D96B14">
        <w:t xml:space="preserve">Tables 1 to 4 also disclose the variations, denoted by </w:t>
      </w:r>
      <w:r w:rsidR="005A4BB0">
        <w:t>‘</w:t>
      </w:r>
      <w:r w:rsidRPr="00D96B14">
        <w:t>var</w:t>
      </w:r>
      <w:r w:rsidR="005A4BB0">
        <w:t>’</w:t>
      </w:r>
      <w:r w:rsidRPr="00D96B14">
        <w:t>, between the current and previous reporting periods. Current vacancies are shown in tables 2 and 4.</w:t>
      </w:r>
    </w:p>
    <w:p w:rsidR="00142353" w:rsidRPr="00D96B14" w:rsidRDefault="00142353" w:rsidP="00142353">
      <w:pPr>
        <w:pStyle w:val="SmallLine"/>
      </w:pPr>
    </w:p>
    <w:p w:rsidR="00142353" w:rsidRPr="00D96B14" w:rsidRDefault="00142353" w:rsidP="00142353">
      <w:pPr>
        <w:pStyle w:val="Notes"/>
      </w:pPr>
    </w:p>
    <w:p w:rsidR="00142353" w:rsidRPr="00D96B14" w:rsidRDefault="00142353" w:rsidP="00E348C3">
      <w:pPr>
        <w:pStyle w:val="Tableheading"/>
      </w:pPr>
      <w:r w:rsidRPr="00D96B14">
        <w:t xml:space="preserve">Table 1: Number of EOs classified into </w:t>
      </w:r>
      <w:r w:rsidR="005A4BB0">
        <w:t>‘</w:t>
      </w:r>
      <w:r w:rsidRPr="00D96B14">
        <w:t>ongoing</w:t>
      </w:r>
      <w:r w:rsidR="005A4BB0">
        <w:t>’</w:t>
      </w:r>
      <w:r w:rsidRPr="00D96B14">
        <w:t xml:space="preserve"> and </w:t>
      </w:r>
      <w:r w:rsidR="005A4BB0">
        <w:t>‘</w:t>
      </w:r>
      <w:r w:rsidRPr="00D96B14">
        <w:t>special projects</w:t>
      </w:r>
      <w:r w:rsidR="005A4BB0">
        <w:t>’</w:t>
      </w:r>
    </w:p>
    <w:tbl>
      <w:tblPr>
        <w:tblW w:w="8076" w:type="dxa"/>
        <w:tblLayout w:type="fixed"/>
        <w:tblCellMar>
          <w:left w:w="43" w:type="dxa"/>
          <w:right w:w="43" w:type="dxa"/>
        </w:tblCellMar>
        <w:tblLook w:val="01E0" w:firstRow="1" w:lastRow="1" w:firstColumn="1" w:lastColumn="1" w:noHBand="0" w:noVBand="0"/>
      </w:tblPr>
      <w:tblGrid>
        <w:gridCol w:w="2383"/>
        <w:gridCol w:w="720"/>
        <w:gridCol w:w="832"/>
        <w:gridCol w:w="518"/>
        <w:gridCol w:w="777"/>
        <w:gridCol w:w="776"/>
        <w:gridCol w:w="517"/>
        <w:gridCol w:w="776"/>
        <w:gridCol w:w="777"/>
      </w:tblGrid>
      <w:tr w:rsidR="00142353" w:rsidRPr="00D96B14" w:rsidTr="004843DB">
        <w:trPr>
          <w:cantSplit/>
        </w:trPr>
        <w:tc>
          <w:tcPr>
            <w:tcW w:w="2383" w:type="dxa"/>
            <w:tcBorders>
              <w:top w:val="single" w:sz="4" w:space="0" w:color="auto"/>
            </w:tcBorders>
          </w:tcPr>
          <w:p w:rsidR="00142353" w:rsidRPr="00D96B14" w:rsidRDefault="00142353" w:rsidP="004843DB">
            <w:pPr>
              <w:pStyle w:val="TabletextheadingCentred"/>
            </w:pPr>
          </w:p>
        </w:tc>
        <w:tc>
          <w:tcPr>
            <w:tcW w:w="1552" w:type="dxa"/>
            <w:gridSpan w:val="2"/>
            <w:tcBorders>
              <w:top w:val="single" w:sz="4" w:space="0" w:color="auto"/>
            </w:tcBorders>
          </w:tcPr>
          <w:p w:rsidR="00142353" w:rsidRPr="00D96B14" w:rsidRDefault="00142353" w:rsidP="004843DB">
            <w:pPr>
              <w:pStyle w:val="TabletextheadingCentred"/>
            </w:pPr>
            <w:r w:rsidRPr="00D96B14">
              <w:t>All</w:t>
            </w:r>
          </w:p>
        </w:tc>
        <w:tc>
          <w:tcPr>
            <w:tcW w:w="518" w:type="dxa"/>
            <w:tcBorders>
              <w:top w:val="single" w:sz="4" w:space="0" w:color="auto"/>
            </w:tcBorders>
          </w:tcPr>
          <w:p w:rsidR="00142353" w:rsidRPr="00D96B14" w:rsidRDefault="00142353" w:rsidP="004843DB">
            <w:pPr>
              <w:pStyle w:val="TabletextheadingCentred"/>
            </w:pPr>
          </w:p>
        </w:tc>
        <w:tc>
          <w:tcPr>
            <w:tcW w:w="1553" w:type="dxa"/>
            <w:gridSpan w:val="2"/>
            <w:tcBorders>
              <w:top w:val="single" w:sz="4" w:space="0" w:color="auto"/>
            </w:tcBorders>
          </w:tcPr>
          <w:p w:rsidR="00142353" w:rsidRPr="00D96B14" w:rsidRDefault="00142353" w:rsidP="004843DB">
            <w:pPr>
              <w:pStyle w:val="TabletextheadingCentred"/>
            </w:pPr>
            <w:r w:rsidRPr="00D96B14">
              <w:t>Ongoing</w:t>
            </w:r>
          </w:p>
        </w:tc>
        <w:tc>
          <w:tcPr>
            <w:tcW w:w="517" w:type="dxa"/>
            <w:tcBorders>
              <w:top w:val="single" w:sz="4" w:space="0" w:color="auto"/>
            </w:tcBorders>
          </w:tcPr>
          <w:p w:rsidR="00142353" w:rsidRPr="00D96B14" w:rsidRDefault="00142353" w:rsidP="004843DB">
            <w:pPr>
              <w:pStyle w:val="TabletextheadingCentred"/>
            </w:pPr>
          </w:p>
        </w:tc>
        <w:tc>
          <w:tcPr>
            <w:tcW w:w="1553" w:type="dxa"/>
            <w:gridSpan w:val="2"/>
            <w:tcBorders>
              <w:top w:val="single" w:sz="4" w:space="0" w:color="auto"/>
            </w:tcBorders>
          </w:tcPr>
          <w:p w:rsidR="00142353" w:rsidRPr="00D96B14" w:rsidRDefault="00142353" w:rsidP="004843DB">
            <w:pPr>
              <w:pStyle w:val="TabletextheadingCentred"/>
            </w:pPr>
            <w:r w:rsidRPr="00D96B14">
              <w:t>Special projects</w:t>
            </w:r>
          </w:p>
        </w:tc>
      </w:tr>
      <w:tr w:rsidR="00142353" w:rsidRPr="00D96B14" w:rsidTr="004843DB">
        <w:trPr>
          <w:cantSplit/>
        </w:trPr>
        <w:tc>
          <w:tcPr>
            <w:tcW w:w="2383" w:type="dxa"/>
            <w:tcBorders>
              <w:bottom w:val="single" w:sz="4" w:space="0" w:color="auto"/>
            </w:tcBorders>
            <w:vAlign w:val="center"/>
          </w:tcPr>
          <w:p w:rsidR="00142353" w:rsidRPr="00D96B14" w:rsidRDefault="00142353" w:rsidP="004843DB">
            <w:pPr>
              <w:pStyle w:val="Tabletextheading"/>
              <w:jc w:val="left"/>
              <w:rPr>
                <w:noProof w:val="0"/>
              </w:rPr>
            </w:pPr>
            <w:r w:rsidRPr="00D96B14">
              <w:rPr>
                <w:noProof w:val="0"/>
              </w:rPr>
              <w:t>Class</w:t>
            </w:r>
          </w:p>
        </w:tc>
        <w:tc>
          <w:tcPr>
            <w:tcW w:w="720" w:type="dxa"/>
            <w:tcBorders>
              <w:bottom w:val="single" w:sz="4" w:space="0" w:color="auto"/>
            </w:tcBorders>
          </w:tcPr>
          <w:p w:rsidR="00142353" w:rsidRPr="00D96B14" w:rsidRDefault="00142353" w:rsidP="004843DB">
            <w:pPr>
              <w:pStyle w:val="Tabletextheading"/>
              <w:rPr>
                <w:noProof w:val="0"/>
              </w:rPr>
            </w:pPr>
            <w:r w:rsidRPr="00D96B14">
              <w:rPr>
                <w:noProof w:val="0"/>
              </w:rPr>
              <w:t>No.</w:t>
            </w:r>
          </w:p>
        </w:tc>
        <w:tc>
          <w:tcPr>
            <w:tcW w:w="832" w:type="dxa"/>
            <w:tcBorders>
              <w:bottom w:val="single" w:sz="4" w:space="0" w:color="auto"/>
            </w:tcBorders>
          </w:tcPr>
          <w:p w:rsidR="00142353" w:rsidRPr="00D96B14" w:rsidRDefault="00142353" w:rsidP="004843DB">
            <w:pPr>
              <w:pStyle w:val="Tabletextheading"/>
              <w:rPr>
                <w:noProof w:val="0"/>
              </w:rPr>
            </w:pPr>
            <w:r w:rsidRPr="00D96B14">
              <w:rPr>
                <w:noProof w:val="0"/>
              </w:rPr>
              <w:t>Var.</w:t>
            </w:r>
          </w:p>
        </w:tc>
        <w:tc>
          <w:tcPr>
            <w:tcW w:w="518" w:type="dxa"/>
          </w:tcPr>
          <w:p w:rsidR="00142353" w:rsidRPr="00D96B14" w:rsidRDefault="00142353" w:rsidP="004843DB">
            <w:pPr>
              <w:pStyle w:val="Tabletextheading"/>
              <w:rPr>
                <w:noProof w:val="0"/>
              </w:rPr>
            </w:pPr>
          </w:p>
        </w:tc>
        <w:tc>
          <w:tcPr>
            <w:tcW w:w="777" w:type="dxa"/>
            <w:tcBorders>
              <w:bottom w:val="single" w:sz="4" w:space="0" w:color="auto"/>
            </w:tcBorders>
          </w:tcPr>
          <w:p w:rsidR="00142353" w:rsidRPr="00D96B14" w:rsidRDefault="00142353" w:rsidP="004843DB">
            <w:pPr>
              <w:pStyle w:val="Tabletextheading"/>
              <w:rPr>
                <w:noProof w:val="0"/>
              </w:rPr>
            </w:pPr>
            <w:r w:rsidRPr="00D96B14">
              <w:rPr>
                <w:noProof w:val="0"/>
              </w:rPr>
              <w:t xml:space="preserve">No. </w:t>
            </w:r>
          </w:p>
        </w:tc>
        <w:tc>
          <w:tcPr>
            <w:tcW w:w="776" w:type="dxa"/>
            <w:tcBorders>
              <w:bottom w:val="single" w:sz="4" w:space="0" w:color="auto"/>
            </w:tcBorders>
          </w:tcPr>
          <w:p w:rsidR="00142353" w:rsidRPr="00D96B14" w:rsidRDefault="00142353" w:rsidP="004843DB">
            <w:pPr>
              <w:pStyle w:val="Tabletextheading"/>
              <w:rPr>
                <w:noProof w:val="0"/>
              </w:rPr>
            </w:pPr>
            <w:r w:rsidRPr="00D96B14">
              <w:rPr>
                <w:noProof w:val="0"/>
              </w:rPr>
              <w:t>Var.</w:t>
            </w:r>
          </w:p>
        </w:tc>
        <w:tc>
          <w:tcPr>
            <w:tcW w:w="517" w:type="dxa"/>
          </w:tcPr>
          <w:p w:rsidR="00142353" w:rsidRPr="00D96B14" w:rsidRDefault="00142353" w:rsidP="004843DB">
            <w:pPr>
              <w:pStyle w:val="Tabletextheading"/>
              <w:rPr>
                <w:noProof w:val="0"/>
              </w:rPr>
            </w:pPr>
          </w:p>
        </w:tc>
        <w:tc>
          <w:tcPr>
            <w:tcW w:w="776" w:type="dxa"/>
            <w:tcBorders>
              <w:bottom w:val="single" w:sz="4" w:space="0" w:color="auto"/>
            </w:tcBorders>
          </w:tcPr>
          <w:p w:rsidR="00142353" w:rsidRPr="00D96B14" w:rsidRDefault="00142353" w:rsidP="004843DB">
            <w:pPr>
              <w:pStyle w:val="Tabletextheading"/>
              <w:rPr>
                <w:noProof w:val="0"/>
              </w:rPr>
            </w:pPr>
            <w:r w:rsidRPr="00D96B14">
              <w:rPr>
                <w:noProof w:val="0"/>
              </w:rPr>
              <w:t>No.</w:t>
            </w:r>
          </w:p>
        </w:tc>
        <w:tc>
          <w:tcPr>
            <w:tcW w:w="777" w:type="dxa"/>
            <w:tcBorders>
              <w:bottom w:val="single" w:sz="4" w:space="0" w:color="auto"/>
            </w:tcBorders>
          </w:tcPr>
          <w:p w:rsidR="00142353" w:rsidRPr="00D96B14" w:rsidRDefault="00142353" w:rsidP="004843DB">
            <w:pPr>
              <w:pStyle w:val="Tabletextheading"/>
              <w:rPr>
                <w:noProof w:val="0"/>
              </w:rPr>
            </w:pPr>
            <w:r w:rsidRPr="00D96B14">
              <w:rPr>
                <w:noProof w:val="0"/>
              </w:rPr>
              <w:t>Var.</w:t>
            </w:r>
          </w:p>
        </w:tc>
      </w:tr>
      <w:tr w:rsidR="00142353" w:rsidRPr="00D96B14" w:rsidTr="004843DB">
        <w:trPr>
          <w:cantSplit/>
        </w:trPr>
        <w:tc>
          <w:tcPr>
            <w:tcW w:w="2383" w:type="dxa"/>
            <w:tcBorders>
              <w:top w:val="single" w:sz="4" w:space="0" w:color="auto"/>
            </w:tcBorders>
          </w:tcPr>
          <w:p w:rsidR="00142353" w:rsidRPr="00D96B14" w:rsidRDefault="00142353" w:rsidP="004843DB">
            <w:pPr>
              <w:pStyle w:val="Tabletext"/>
            </w:pPr>
            <w:r w:rsidRPr="00D96B14">
              <w:t>EO</w:t>
            </w:r>
            <w:r w:rsidR="005A4BB0">
              <w:noBreakHyphen/>
            </w:r>
            <w:r w:rsidRPr="00D96B14">
              <w:t>1</w:t>
            </w:r>
          </w:p>
        </w:tc>
        <w:tc>
          <w:tcPr>
            <w:tcW w:w="720" w:type="dxa"/>
            <w:tcBorders>
              <w:top w:val="single" w:sz="4" w:space="0" w:color="auto"/>
            </w:tcBorders>
          </w:tcPr>
          <w:p w:rsidR="00142353" w:rsidRPr="00D96B14" w:rsidRDefault="00142353" w:rsidP="004843DB">
            <w:pPr>
              <w:pStyle w:val="TableofFigures"/>
            </w:pPr>
            <w:r w:rsidRPr="00D96B14">
              <w:t>2</w:t>
            </w:r>
          </w:p>
        </w:tc>
        <w:tc>
          <w:tcPr>
            <w:tcW w:w="832" w:type="dxa"/>
            <w:tcBorders>
              <w:top w:val="single" w:sz="4" w:space="0" w:color="auto"/>
            </w:tcBorders>
          </w:tcPr>
          <w:p w:rsidR="00142353" w:rsidRPr="00D96B14" w:rsidRDefault="00142353" w:rsidP="004843DB">
            <w:pPr>
              <w:pStyle w:val="TableofFigures"/>
            </w:pPr>
            <w:r w:rsidRPr="00D96B14">
              <w:t>0</w:t>
            </w:r>
          </w:p>
        </w:tc>
        <w:tc>
          <w:tcPr>
            <w:tcW w:w="518" w:type="dxa"/>
          </w:tcPr>
          <w:p w:rsidR="00142353" w:rsidRPr="00D96B14" w:rsidRDefault="00142353" w:rsidP="004843DB">
            <w:pPr>
              <w:pStyle w:val="TableofFigures"/>
            </w:pPr>
          </w:p>
        </w:tc>
        <w:tc>
          <w:tcPr>
            <w:tcW w:w="777" w:type="dxa"/>
            <w:tcBorders>
              <w:top w:val="single" w:sz="4" w:space="0" w:color="auto"/>
            </w:tcBorders>
          </w:tcPr>
          <w:p w:rsidR="00142353" w:rsidRPr="00D96B14" w:rsidRDefault="00142353" w:rsidP="004843DB">
            <w:pPr>
              <w:pStyle w:val="TableofFigures"/>
            </w:pPr>
            <w:r w:rsidRPr="00D96B14">
              <w:t>2</w:t>
            </w:r>
          </w:p>
        </w:tc>
        <w:tc>
          <w:tcPr>
            <w:tcW w:w="776" w:type="dxa"/>
            <w:tcBorders>
              <w:top w:val="single" w:sz="4" w:space="0" w:color="auto"/>
            </w:tcBorders>
          </w:tcPr>
          <w:p w:rsidR="00142353" w:rsidRPr="00D96B14" w:rsidRDefault="00142353" w:rsidP="004843DB">
            <w:pPr>
              <w:pStyle w:val="TableofFigures"/>
            </w:pPr>
            <w:r w:rsidRPr="00D96B14">
              <w:t>0</w:t>
            </w:r>
          </w:p>
        </w:tc>
        <w:tc>
          <w:tcPr>
            <w:tcW w:w="517" w:type="dxa"/>
          </w:tcPr>
          <w:p w:rsidR="00142353" w:rsidRPr="00D96B14" w:rsidRDefault="00142353" w:rsidP="004843DB">
            <w:pPr>
              <w:pStyle w:val="TableofFigures"/>
            </w:pPr>
          </w:p>
        </w:tc>
        <w:tc>
          <w:tcPr>
            <w:tcW w:w="776" w:type="dxa"/>
            <w:tcBorders>
              <w:top w:val="single" w:sz="4" w:space="0" w:color="auto"/>
            </w:tcBorders>
          </w:tcPr>
          <w:p w:rsidR="00142353" w:rsidRPr="00D96B14" w:rsidRDefault="00142353" w:rsidP="004843DB">
            <w:pPr>
              <w:pStyle w:val="TableofFigures"/>
            </w:pPr>
            <w:r w:rsidRPr="00D96B14">
              <w:t>0</w:t>
            </w:r>
          </w:p>
        </w:tc>
        <w:tc>
          <w:tcPr>
            <w:tcW w:w="777" w:type="dxa"/>
            <w:tcBorders>
              <w:top w:val="single" w:sz="4" w:space="0" w:color="auto"/>
            </w:tcBorders>
          </w:tcPr>
          <w:p w:rsidR="00142353" w:rsidRPr="00D96B14" w:rsidRDefault="00142353" w:rsidP="004843DB">
            <w:pPr>
              <w:pStyle w:val="TableofFigures"/>
            </w:pPr>
            <w:r w:rsidRPr="00D96B14">
              <w:t>0</w:t>
            </w:r>
          </w:p>
        </w:tc>
      </w:tr>
      <w:tr w:rsidR="00142353" w:rsidRPr="00D96B14" w:rsidTr="004843DB">
        <w:trPr>
          <w:cantSplit/>
        </w:trPr>
        <w:tc>
          <w:tcPr>
            <w:tcW w:w="2383" w:type="dxa"/>
          </w:tcPr>
          <w:p w:rsidR="00142353" w:rsidRPr="00D96B14" w:rsidRDefault="00142353" w:rsidP="004843DB">
            <w:pPr>
              <w:pStyle w:val="Tabletext"/>
            </w:pPr>
            <w:r w:rsidRPr="00D96B14">
              <w:t>EO</w:t>
            </w:r>
            <w:r w:rsidR="005A4BB0">
              <w:noBreakHyphen/>
            </w:r>
            <w:r w:rsidRPr="00D96B14">
              <w:t>2</w:t>
            </w:r>
          </w:p>
        </w:tc>
        <w:tc>
          <w:tcPr>
            <w:tcW w:w="720" w:type="dxa"/>
          </w:tcPr>
          <w:p w:rsidR="00142353" w:rsidRPr="00D96B14" w:rsidRDefault="00142353" w:rsidP="004843DB">
            <w:pPr>
              <w:pStyle w:val="TableofFigures"/>
            </w:pPr>
            <w:r w:rsidRPr="00D96B14">
              <w:t>23</w:t>
            </w:r>
          </w:p>
        </w:tc>
        <w:tc>
          <w:tcPr>
            <w:tcW w:w="832" w:type="dxa"/>
          </w:tcPr>
          <w:p w:rsidR="00142353" w:rsidRPr="00D96B14" w:rsidRDefault="00142353" w:rsidP="004843DB">
            <w:pPr>
              <w:pStyle w:val="TableofFigures"/>
            </w:pPr>
            <w:r w:rsidRPr="00D96B14">
              <w:t>(1)</w:t>
            </w:r>
          </w:p>
        </w:tc>
        <w:tc>
          <w:tcPr>
            <w:tcW w:w="518" w:type="dxa"/>
          </w:tcPr>
          <w:p w:rsidR="00142353" w:rsidRPr="00D96B14" w:rsidRDefault="00142353" w:rsidP="004843DB">
            <w:pPr>
              <w:pStyle w:val="TableofFigures"/>
            </w:pPr>
          </w:p>
        </w:tc>
        <w:tc>
          <w:tcPr>
            <w:tcW w:w="777" w:type="dxa"/>
          </w:tcPr>
          <w:p w:rsidR="00142353" w:rsidRPr="00D96B14" w:rsidRDefault="00142353" w:rsidP="004843DB">
            <w:pPr>
              <w:pStyle w:val="TableofFigures"/>
            </w:pPr>
            <w:r w:rsidRPr="00D96B14">
              <w:t>21</w:t>
            </w:r>
          </w:p>
        </w:tc>
        <w:tc>
          <w:tcPr>
            <w:tcW w:w="776" w:type="dxa"/>
          </w:tcPr>
          <w:p w:rsidR="00142353" w:rsidRPr="00D96B14" w:rsidRDefault="00142353" w:rsidP="004843DB">
            <w:pPr>
              <w:pStyle w:val="TableofFigures"/>
            </w:pPr>
            <w:r w:rsidRPr="00D96B14">
              <w:t>(1)</w:t>
            </w:r>
          </w:p>
        </w:tc>
        <w:tc>
          <w:tcPr>
            <w:tcW w:w="517" w:type="dxa"/>
          </w:tcPr>
          <w:p w:rsidR="00142353" w:rsidRPr="00D96B14" w:rsidRDefault="00142353" w:rsidP="004843DB">
            <w:pPr>
              <w:pStyle w:val="TableofFigures"/>
            </w:pPr>
          </w:p>
        </w:tc>
        <w:tc>
          <w:tcPr>
            <w:tcW w:w="776" w:type="dxa"/>
          </w:tcPr>
          <w:p w:rsidR="00142353" w:rsidRPr="00D96B14" w:rsidRDefault="00142353" w:rsidP="004843DB">
            <w:pPr>
              <w:pStyle w:val="TableofFigures"/>
            </w:pPr>
            <w:r w:rsidRPr="00D96B14">
              <w:t>2</w:t>
            </w:r>
          </w:p>
        </w:tc>
        <w:tc>
          <w:tcPr>
            <w:tcW w:w="777" w:type="dxa"/>
          </w:tcPr>
          <w:p w:rsidR="00142353" w:rsidRPr="00D96B14" w:rsidRDefault="00142353" w:rsidP="004843DB">
            <w:pPr>
              <w:pStyle w:val="TableofFigures"/>
            </w:pPr>
            <w:r w:rsidRPr="00D96B14">
              <w:t>0</w:t>
            </w:r>
          </w:p>
        </w:tc>
      </w:tr>
      <w:tr w:rsidR="00142353" w:rsidRPr="00D96B14" w:rsidTr="004843DB">
        <w:trPr>
          <w:cantSplit/>
        </w:trPr>
        <w:tc>
          <w:tcPr>
            <w:tcW w:w="2383" w:type="dxa"/>
            <w:tcBorders>
              <w:bottom w:val="single" w:sz="4" w:space="0" w:color="auto"/>
            </w:tcBorders>
          </w:tcPr>
          <w:p w:rsidR="00142353" w:rsidRPr="00D96B14" w:rsidRDefault="00142353" w:rsidP="004843DB">
            <w:pPr>
              <w:pStyle w:val="Tabletext"/>
            </w:pPr>
            <w:r w:rsidRPr="00D96B14">
              <w:t>EO</w:t>
            </w:r>
            <w:r w:rsidR="005A4BB0">
              <w:noBreakHyphen/>
            </w:r>
            <w:r w:rsidRPr="00D96B14">
              <w:t>3</w:t>
            </w:r>
          </w:p>
        </w:tc>
        <w:tc>
          <w:tcPr>
            <w:tcW w:w="720" w:type="dxa"/>
            <w:tcBorders>
              <w:bottom w:val="single" w:sz="4" w:space="0" w:color="auto"/>
            </w:tcBorders>
          </w:tcPr>
          <w:p w:rsidR="00142353" w:rsidRPr="00D96B14" w:rsidRDefault="00142353" w:rsidP="004843DB">
            <w:pPr>
              <w:pStyle w:val="TableofFigures"/>
            </w:pPr>
            <w:r w:rsidRPr="00D96B14">
              <w:t>58</w:t>
            </w:r>
          </w:p>
        </w:tc>
        <w:tc>
          <w:tcPr>
            <w:tcW w:w="832" w:type="dxa"/>
            <w:tcBorders>
              <w:bottom w:val="single" w:sz="4" w:space="0" w:color="auto"/>
            </w:tcBorders>
          </w:tcPr>
          <w:p w:rsidR="00142353" w:rsidRPr="00D96B14" w:rsidRDefault="00142353" w:rsidP="004843DB">
            <w:pPr>
              <w:pStyle w:val="TableofFigures"/>
            </w:pPr>
            <w:r w:rsidRPr="00D96B14">
              <w:t>(3)</w:t>
            </w:r>
          </w:p>
        </w:tc>
        <w:tc>
          <w:tcPr>
            <w:tcW w:w="518" w:type="dxa"/>
          </w:tcPr>
          <w:p w:rsidR="00142353" w:rsidRPr="00D96B14" w:rsidRDefault="00142353" w:rsidP="004843DB">
            <w:pPr>
              <w:pStyle w:val="TableofFigures"/>
            </w:pPr>
          </w:p>
        </w:tc>
        <w:tc>
          <w:tcPr>
            <w:tcW w:w="777" w:type="dxa"/>
            <w:tcBorders>
              <w:bottom w:val="single" w:sz="4" w:space="0" w:color="auto"/>
            </w:tcBorders>
          </w:tcPr>
          <w:p w:rsidR="00142353" w:rsidRPr="00D96B14" w:rsidRDefault="00142353" w:rsidP="004843DB">
            <w:pPr>
              <w:pStyle w:val="TableofFigures"/>
            </w:pPr>
            <w:r w:rsidRPr="00D96B14">
              <w:t>41</w:t>
            </w:r>
          </w:p>
        </w:tc>
        <w:tc>
          <w:tcPr>
            <w:tcW w:w="776" w:type="dxa"/>
            <w:tcBorders>
              <w:bottom w:val="single" w:sz="4" w:space="0" w:color="auto"/>
            </w:tcBorders>
          </w:tcPr>
          <w:p w:rsidR="00142353" w:rsidRPr="00D96B14" w:rsidRDefault="00142353" w:rsidP="004843DB">
            <w:pPr>
              <w:pStyle w:val="TableofFigures"/>
            </w:pPr>
            <w:r w:rsidRPr="00D96B14">
              <w:t>(2)</w:t>
            </w:r>
          </w:p>
        </w:tc>
        <w:tc>
          <w:tcPr>
            <w:tcW w:w="517" w:type="dxa"/>
          </w:tcPr>
          <w:p w:rsidR="00142353" w:rsidRPr="00D96B14" w:rsidRDefault="00142353" w:rsidP="004843DB">
            <w:pPr>
              <w:pStyle w:val="TableofFigures"/>
            </w:pPr>
          </w:p>
        </w:tc>
        <w:tc>
          <w:tcPr>
            <w:tcW w:w="776" w:type="dxa"/>
            <w:tcBorders>
              <w:bottom w:val="single" w:sz="4" w:space="0" w:color="auto"/>
            </w:tcBorders>
          </w:tcPr>
          <w:p w:rsidR="00142353" w:rsidRPr="00D96B14" w:rsidRDefault="00142353" w:rsidP="004843DB">
            <w:pPr>
              <w:pStyle w:val="TableofFigures"/>
            </w:pPr>
            <w:r w:rsidRPr="00D96B14">
              <w:t>17</w:t>
            </w:r>
          </w:p>
        </w:tc>
        <w:tc>
          <w:tcPr>
            <w:tcW w:w="777" w:type="dxa"/>
            <w:tcBorders>
              <w:bottom w:val="single" w:sz="4" w:space="0" w:color="auto"/>
            </w:tcBorders>
          </w:tcPr>
          <w:p w:rsidR="00142353" w:rsidRPr="00D96B14" w:rsidRDefault="00142353" w:rsidP="004843DB">
            <w:pPr>
              <w:pStyle w:val="TableofFigures"/>
            </w:pPr>
            <w:r w:rsidRPr="00D96B14">
              <w:t>(1)</w:t>
            </w:r>
          </w:p>
        </w:tc>
      </w:tr>
      <w:tr w:rsidR="00142353" w:rsidRPr="00D96B14" w:rsidTr="004843DB">
        <w:trPr>
          <w:cantSplit/>
        </w:trPr>
        <w:tc>
          <w:tcPr>
            <w:tcW w:w="2383" w:type="dxa"/>
            <w:tcBorders>
              <w:top w:val="single" w:sz="4" w:space="0" w:color="auto"/>
              <w:bottom w:val="single" w:sz="12" w:space="0" w:color="auto"/>
            </w:tcBorders>
          </w:tcPr>
          <w:p w:rsidR="00142353" w:rsidRPr="00D96B14" w:rsidRDefault="00142353" w:rsidP="004843DB">
            <w:pPr>
              <w:pStyle w:val="Tabletext"/>
            </w:pPr>
            <w:r w:rsidRPr="00D96B14">
              <w:rPr>
                <w:b/>
                <w:bCs/>
              </w:rPr>
              <w:t>Total</w:t>
            </w:r>
          </w:p>
        </w:tc>
        <w:tc>
          <w:tcPr>
            <w:tcW w:w="720" w:type="dxa"/>
            <w:tcBorders>
              <w:top w:val="single" w:sz="4" w:space="0" w:color="auto"/>
              <w:bottom w:val="single" w:sz="12" w:space="0" w:color="auto"/>
            </w:tcBorders>
          </w:tcPr>
          <w:p w:rsidR="00142353" w:rsidRPr="00D96B14" w:rsidRDefault="00142353" w:rsidP="004843DB">
            <w:pPr>
              <w:pStyle w:val="TableofFigures"/>
              <w:rPr>
                <w:b/>
                <w:bCs/>
              </w:rPr>
            </w:pPr>
            <w:r w:rsidRPr="00D96B14">
              <w:rPr>
                <w:b/>
                <w:bCs/>
              </w:rPr>
              <w:t>83</w:t>
            </w:r>
          </w:p>
        </w:tc>
        <w:tc>
          <w:tcPr>
            <w:tcW w:w="832" w:type="dxa"/>
            <w:tcBorders>
              <w:top w:val="single" w:sz="4" w:space="0" w:color="auto"/>
              <w:bottom w:val="single" w:sz="12" w:space="0" w:color="auto"/>
            </w:tcBorders>
          </w:tcPr>
          <w:p w:rsidR="00142353" w:rsidRPr="00D96B14" w:rsidRDefault="00142353" w:rsidP="004843DB">
            <w:pPr>
              <w:pStyle w:val="TableofFigures"/>
              <w:rPr>
                <w:b/>
                <w:bCs/>
              </w:rPr>
            </w:pPr>
            <w:r w:rsidRPr="00D96B14">
              <w:rPr>
                <w:b/>
                <w:bCs/>
              </w:rPr>
              <w:t>(4)</w:t>
            </w:r>
          </w:p>
        </w:tc>
        <w:tc>
          <w:tcPr>
            <w:tcW w:w="518" w:type="dxa"/>
            <w:tcBorders>
              <w:bottom w:val="single" w:sz="12" w:space="0" w:color="auto"/>
            </w:tcBorders>
          </w:tcPr>
          <w:p w:rsidR="00142353" w:rsidRPr="00D96B14" w:rsidRDefault="00142353" w:rsidP="004843DB">
            <w:pPr>
              <w:pStyle w:val="TableofFigures"/>
              <w:rPr>
                <w:b/>
                <w:bCs/>
              </w:rPr>
            </w:pPr>
          </w:p>
        </w:tc>
        <w:tc>
          <w:tcPr>
            <w:tcW w:w="777" w:type="dxa"/>
            <w:tcBorders>
              <w:top w:val="single" w:sz="4" w:space="0" w:color="auto"/>
              <w:bottom w:val="single" w:sz="12" w:space="0" w:color="auto"/>
            </w:tcBorders>
          </w:tcPr>
          <w:p w:rsidR="00142353" w:rsidRPr="00D96B14" w:rsidRDefault="00142353" w:rsidP="004843DB">
            <w:pPr>
              <w:pStyle w:val="TableofFigures"/>
              <w:rPr>
                <w:b/>
                <w:bCs/>
              </w:rPr>
            </w:pPr>
            <w:r w:rsidRPr="00D96B14">
              <w:rPr>
                <w:b/>
                <w:bCs/>
              </w:rPr>
              <w:t>64</w:t>
            </w:r>
          </w:p>
        </w:tc>
        <w:tc>
          <w:tcPr>
            <w:tcW w:w="776" w:type="dxa"/>
            <w:tcBorders>
              <w:top w:val="single" w:sz="4" w:space="0" w:color="auto"/>
              <w:bottom w:val="single" w:sz="12" w:space="0" w:color="auto"/>
            </w:tcBorders>
          </w:tcPr>
          <w:p w:rsidR="00142353" w:rsidRPr="00D96B14" w:rsidRDefault="00142353" w:rsidP="004843DB">
            <w:pPr>
              <w:pStyle w:val="TableofFigures"/>
              <w:rPr>
                <w:b/>
                <w:bCs/>
              </w:rPr>
            </w:pPr>
            <w:r w:rsidRPr="00D96B14">
              <w:rPr>
                <w:b/>
                <w:bCs/>
              </w:rPr>
              <w:t>(3)</w:t>
            </w:r>
          </w:p>
        </w:tc>
        <w:tc>
          <w:tcPr>
            <w:tcW w:w="517" w:type="dxa"/>
            <w:tcBorders>
              <w:bottom w:val="single" w:sz="12" w:space="0" w:color="auto"/>
            </w:tcBorders>
          </w:tcPr>
          <w:p w:rsidR="00142353" w:rsidRPr="00D96B14" w:rsidRDefault="00142353" w:rsidP="004843DB">
            <w:pPr>
              <w:pStyle w:val="TableofFigures"/>
              <w:rPr>
                <w:b/>
                <w:bCs/>
              </w:rPr>
            </w:pPr>
          </w:p>
        </w:tc>
        <w:tc>
          <w:tcPr>
            <w:tcW w:w="776" w:type="dxa"/>
            <w:tcBorders>
              <w:top w:val="single" w:sz="4" w:space="0" w:color="auto"/>
              <w:bottom w:val="single" w:sz="12" w:space="0" w:color="auto"/>
            </w:tcBorders>
          </w:tcPr>
          <w:p w:rsidR="00142353" w:rsidRPr="00D96B14" w:rsidRDefault="00142353" w:rsidP="004843DB">
            <w:pPr>
              <w:pStyle w:val="TableofFigures"/>
              <w:rPr>
                <w:b/>
                <w:bCs/>
              </w:rPr>
            </w:pPr>
            <w:r w:rsidRPr="00D96B14">
              <w:rPr>
                <w:b/>
                <w:bCs/>
              </w:rPr>
              <w:t>19</w:t>
            </w:r>
          </w:p>
        </w:tc>
        <w:tc>
          <w:tcPr>
            <w:tcW w:w="777" w:type="dxa"/>
            <w:tcBorders>
              <w:top w:val="single" w:sz="4" w:space="0" w:color="auto"/>
              <w:bottom w:val="single" w:sz="12" w:space="0" w:color="auto"/>
            </w:tcBorders>
          </w:tcPr>
          <w:p w:rsidR="00142353" w:rsidRPr="00D96B14" w:rsidRDefault="00142353" w:rsidP="004843DB">
            <w:pPr>
              <w:pStyle w:val="TableofFigures"/>
              <w:rPr>
                <w:b/>
                <w:bCs/>
              </w:rPr>
            </w:pPr>
            <w:r w:rsidRPr="00D96B14">
              <w:rPr>
                <w:b/>
                <w:bCs/>
              </w:rPr>
              <w:t>(1)</w:t>
            </w:r>
          </w:p>
        </w:tc>
      </w:tr>
    </w:tbl>
    <w:p w:rsidR="00142353" w:rsidRPr="00D96B14" w:rsidRDefault="00142353" w:rsidP="00142353"/>
    <w:p w:rsidR="00142353" w:rsidRPr="00D96B14" w:rsidRDefault="00142353" w:rsidP="00142353"/>
    <w:p w:rsidR="00142353" w:rsidRPr="00D96B14" w:rsidRDefault="00142353" w:rsidP="00142353">
      <w:pPr>
        <w:pStyle w:val="Reference"/>
        <w:rPr>
          <w:lang w:val="en-AU"/>
        </w:r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rPr>
          <w:lang w:val="en-AU"/>
        </w:rPr>
      </w:pPr>
      <w:r w:rsidRPr="00D96B14">
        <w:rPr>
          <w:lang w:val="en-AU"/>
        </w:rPr>
        <w:lastRenderedPageBreak/>
        <w:t>FRD 15C</w:t>
      </w:r>
    </w:p>
    <w:p w:rsidR="00142353" w:rsidRPr="00D96B14" w:rsidRDefault="00142353" w:rsidP="00E348C3">
      <w:pPr>
        <w:pStyle w:val="Tableheading"/>
      </w:pPr>
      <w:r w:rsidRPr="00D96B14">
        <w:br w:type="column"/>
      </w:r>
      <w:r w:rsidRPr="00D96B14">
        <w:lastRenderedPageBreak/>
        <w:t xml:space="preserve">Table 2: Breakdown of EOs into gender for </w:t>
      </w:r>
      <w:r w:rsidR="005A4BB0">
        <w:t>‘</w:t>
      </w:r>
      <w:r w:rsidRPr="00D96B14">
        <w:t>ongoing</w:t>
      </w:r>
      <w:r w:rsidR="005A4BB0">
        <w:t>’</w:t>
      </w:r>
      <w:r w:rsidRPr="00D96B14">
        <w:t xml:space="preserve"> and </w:t>
      </w:r>
      <w:r w:rsidR="005A4BB0">
        <w:t>‘</w:t>
      </w:r>
      <w:r w:rsidRPr="00D96B14">
        <w:t>special projects</w:t>
      </w:r>
      <w:r w:rsidR="005A4BB0">
        <w:t>’</w:t>
      </w:r>
    </w:p>
    <w:tbl>
      <w:tblPr>
        <w:tblW w:w="8080" w:type="dxa"/>
        <w:tblLayout w:type="fixed"/>
        <w:tblCellMar>
          <w:left w:w="43" w:type="dxa"/>
          <w:right w:w="43" w:type="dxa"/>
        </w:tblCellMar>
        <w:tblLook w:val="01E0" w:firstRow="1" w:lastRow="1" w:firstColumn="1" w:lastColumn="1" w:noHBand="0" w:noVBand="0"/>
      </w:tblPr>
      <w:tblGrid>
        <w:gridCol w:w="676"/>
        <w:gridCol w:w="537"/>
        <w:gridCol w:w="540"/>
        <w:gridCol w:w="720"/>
        <w:gridCol w:w="540"/>
        <w:gridCol w:w="1080"/>
        <w:gridCol w:w="180"/>
        <w:gridCol w:w="630"/>
        <w:gridCol w:w="630"/>
        <w:gridCol w:w="720"/>
        <w:gridCol w:w="630"/>
        <w:gridCol w:w="1197"/>
      </w:tblGrid>
      <w:tr w:rsidR="00142353" w:rsidRPr="00D96B14" w:rsidTr="004843DB">
        <w:tc>
          <w:tcPr>
            <w:tcW w:w="676" w:type="dxa"/>
            <w:tcBorders>
              <w:top w:val="single" w:sz="4" w:space="0" w:color="auto"/>
            </w:tcBorders>
            <w:shd w:val="clear" w:color="auto" w:fill="auto"/>
          </w:tcPr>
          <w:p w:rsidR="00142353" w:rsidRPr="00D96B14" w:rsidRDefault="00142353" w:rsidP="004843DB">
            <w:pPr>
              <w:pStyle w:val="Tabletextheading"/>
              <w:rPr>
                <w:noProof w:val="0"/>
              </w:rPr>
            </w:pPr>
          </w:p>
        </w:tc>
        <w:tc>
          <w:tcPr>
            <w:tcW w:w="3417" w:type="dxa"/>
            <w:gridSpan w:val="5"/>
            <w:tcBorders>
              <w:top w:val="single" w:sz="4" w:space="0" w:color="auto"/>
              <w:bottom w:val="single" w:sz="4" w:space="0" w:color="auto"/>
            </w:tcBorders>
            <w:shd w:val="clear" w:color="auto" w:fill="auto"/>
          </w:tcPr>
          <w:p w:rsidR="00142353" w:rsidRPr="00D96B14" w:rsidRDefault="00142353" w:rsidP="004843DB">
            <w:pPr>
              <w:pStyle w:val="TabletextheadingCentred"/>
            </w:pPr>
            <w:r w:rsidRPr="00D96B14">
              <w:t>Ongoing</w:t>
            </w:r>
          </w:p>
        </w:tc>
        <w:tc>
          <w:tcPr>
            <w:tcW w:w="180" w:type="dxa"/>
            <w:tcBorders>
              <w:top w:val="single" w:sz="4" w:space="0" w:color="auto"/>
            </w:tcBorders>
            <w:shd w:val="clear" w:color="auto" w:fill="auto"/>
          </w:tcPr>
          <w:p w:rsidR="00142353" w:rsidRPr="00D96B14" w:rsidRDefault="00142353" w:rsidP="004843DB">
            <w:pPr>
              <w:pStyle w:val="Tabletextheading"/>
              <w:rPr>
                <w:noProof w:val="0"/>
              </w:rPr>
            </w:pPr>
          </w:p>
        </w:tc>
        <w:tc>
          <w:tcPr>
            <w:tcW w:w="3807" w:type="dxa"/>
            <w:gridSpan w:val="5"/>
            <w:tcBorders>
              <w:top w:val="single" w:sz="4" w:space="0" w:color="auto"/>
              <w:bottom w:val="single" w:sz="4" w:space="0" w:color="auto"/>
            </w:tcBorders>
            <w:shd w:val="clear" w:color="auto" w:fill="auto"/>
          </w:tcPr>
          <w:p w:rsidR="00142353" w:rsidRPr="00D96B14" w:rsidRDefault="00142353" w:rsidP="004843DB">
            <w:pPr>
              <w:pStyle w:val="TabletextheadingCentred"/>
            </w:pPr>
            <w:r w:rsidRPr="00D96B14">
              <w:t>Special projects</w:t>
            </w:r>
          </w:p>
        </w:tc>
      </w:tr>
      <w:tr w:rsidR="00142353" w:rsidRPr="00D96B14" w:rsidTr="004843DB">
        <w:tc>
          <w:tcPr>
            <w:tcW w:w="676" w:type="dxa"/>
            <w:shd w:val="clear" w:color="auto" w:fill="auto"/>
          </w:tcPr>
          <w:p w:rsidR="00142353" w:rsidRPr="00D96B14" w:rsidRDefault="00142353" w:rsidP="004843DB">
            <w:pPr>
              <w:pStyle w:val="Tabletextheading"/>
              <w:rPr>
                <w:noProof w:val="0"/>
              </w:rPr>
            </w:pPr>
          </w:p>
        </w:tc>
        <w:tc>
          <w:tcPr>
            <w:tcW w:w="1077" w:type="dxa"/>
            <w:gridSpan w:val="2"/>
            <w:tcBorders>
              <w:top w:val="single" w:sz="4" w:space="0" w:color="auto"/>
              <w:bottom w:val="single" w:sz="4" w:space="0" w:color="auto"/>
            </w:tcBorders>
            <w:shd w:val="clear" w:color="auto" w:fill="auto"/>
            <w:vAlign w:val="center"/>
          </w:tcPr>
          <w:p w:rsidR="00142353" w:rsidRPr="00D96B14" w:rsidRDefault="00142353" w:rsidP="004843DB">
            <w:pPr>
              <w:pStyle w:val="Tabletextheading"/>
              <w:jc w:val="center"/>
              <w:rPr>
                <w:noProof w:val="0"/>
              </w:rPr>
            </w:pPr>
            <w:r w:rsidRPr="00D96B14">
              <w:rPr>
                <w:noProof w:val="0"/>
              </w:rPr>
              <w:t>Male</w:t>
            </w:r>
          </w:p>
        </w:tc>
        <w:tc>
          <w:tcPr>
            <w:tcW w:w="1260" w:type="dxa"/>
            <w:gridSpan w:val="2"/>
            <w:tcBorders>
              <w:top w:val="single" w:sz="4" w:space="0" w:color="auto"/>
              <w:bottom w:val="single" w:sz="4" w:space="0" w:color="auto"/>
            </w:tcBorders>
            <w:shd w:val="clear" w:color="auto" w:fill="auto"/>
            <w:vAlign w:val="center"/>
          </w:tcPr>
          <w:p w:rsidR="00142353" w:rsidRPr="00D96B14" w:rsidRDefault="00142353" w:rsidP="004843DB">
            <w:pPr>
              <w:pStyle w:val="Tabletextheading"/>
              <w:jc w:val="center"/>
              <w:rPr>
                <w:noProof w:val="0"/>
              </w:rPr>
            </w:pPr>
            <w:r w:rsidRPr="00D96B14">
              <w:rPr>
                <w:noProof w:val="0"/>
              </w:rPr>
              <w:t>Female</w:t>
            </w:r>
          </w:p>
        </w:tc>
        <w:tc>
          <w:tcPr>
            <w:tcW w:w="1080" w:type="dxa"/>
            <w:tcBorders>
              <w:top w:val="single" w:sz="4" w:space="0" w:color="auto"/>
              <w:bottom w:val="single" w:sz="4" w:space="0" w:color="auto"/>
            </w:tcBorders>
            <w:shd w:val="clear" w:color="auto" w:fill="auto"/>
          </w:tcPr>
          <w:p w:rsidR="00142353" w:rsidRPr="00D96B14" w:rsidRDefault="00142353" w:rsidP="004843DB">
            <w:pPr>
              <w:pStyle w:val="Tabletextheading"/>
              <w:jc w:val="center"/>
              <w:rPr>
                <w:noProof w:val="0"/>
              </w:rPr>
            </w:pPr>
            <w:r w:rsidRPr="00D96B14">
              <w:rPr>
                <w:noProof w:val="0"/>
              </w:rPr>
              <w:t>Vacancies</w:t>
            </w:r>
          </w:p>
        </w:tc>
        <w:tc>
          <w:tcPr>
            <w:tcW w:w="180" w:type="dxa"/>
            <w:shd w:val="clear" w:color="auto" w:fill="auto"/>
          </w:tcPr>
          <w:p w:rsidR="00142353" w:rsidRPr="00D96B14" w:rsidRDefault="00142353" w:rsidP="004843DB">
            <w:pPr>
              <w:pStyle w:val="Tabletextheading"/>
              <w:rPr>
                <w:noProof w:val="0"/>
              </w:rPr>
            </w:pPr>
          </w:p>
        </w:tc>
        <w:tc>
          <w:tcPr>
            <w:tcW w:w="1260" w:type="dxa"/>
            <w:gridSpan w:val="2"/>
            <w:tcBorders>
              <w:top w:val="single" w:sz="4" w:space="0" w:color="auto"/>
              <w:bottom w:val="single" w:sz="4" w:space="0" w:color="auto"/>
            </w:tcBorders>
            <w:shd w:val="clear" w:color="auto" w:fill="auto"/>
            <w:vAlign w:val="center"/>
          </w:tcPr>
          <w:p w:rsidR="00142353" w:rsidRPr="00D96B14" w:rsidRDefault="00142353" w:rsidP="004843DB">
            <w:pPr>
              <w:pStyle w:val="Tabletextheading"/>
              <w:jc w:val="center"/>
              <w:rPr>
                <w:noProof w:val="0"/>
              </w:rPr>
            </w:pPr>
            <w:r w:rsidRPr="00D96B14">
              <w:rPr>
                <w:noProof w:val="0"/>
              </w:rPr>
              <w:t>Male</w:t>
            </w:r>
          </w:p>
        </w:tc>
        <w:tc>
          <w:tcPr>
            <w:tcW w:w="1350" w:type="dxa"/>
            <w:gridSpan w:val="2"/>
            <w:tcBorders>
              <w:top w:val="single" w:sz="4" w:space="0" w:color="auto"/>
              <w:bottom w:val="single" w:sz="4" w:space="0" w:color="auto"/>
            </w:tcBorders>
            <w:shd w:val="clear" w:color="auto" w:fill="auto"/>
            <w:vAlign w:val="center"/>
          </w:tcPr>
          <w:p w:rsidR="00142353" w:rsidRPr="00D96B14" w:rsidRDefault="00142353" w:rsidP="004843DB">
            <w:pPr>
              <w:pStyle w:val="Tabletextheading"/>
              <w:jc w:val="center"/>
              <w:rPr>
                <w:noProof w:val="0"/>
              </w:rPr>
            </w:pPr>
            <w:r w:rsidRPr="00D96B14">
              <w:rPr>
                <w:noProof w:val="0"/>
              </w:rPr>
              <w:t>Female</w:t>
            </w:r>
          </w:p>
        </w:tc>
        <w:tc>
          <w:tcPr>
            <w:tcW w:w="1197" w:type="dxa"/>
            <w:tcBorders>
              <w:top w:val="single" w:sz="4" w:space="0" w:color="auto"/>
              <w:bottom w:val="single" w:sz="4" w:space="0" w:color="auto"/>
            </w:tcBorders>
            <w:shd w:val="clear" w:color="auto" w:fill="auto"/>
          </w:tcPr>
          <w:p w:rsidR="00142353" w:rsidRPr="00D96B14" w:rsidRDefault="00142353" w:rsidP="004843DB">
            <w:pPr>
              <w:pStyle w:val="Tabletextheading"/>
              <w:jc w:val="center"/>
              <w:rPr>
                <w:noProof w:val="0"/>
              </w:rPr>
            </w:pPr>
            <w:r w:rsidRPr="00D96B14">
              <w:rPr>
                <w:noProof w:val="0"/>
              </w:rPr>
              <w:t>Vacancies</w:t>
            </w:r>
          </w:p>
        </w:tc>
      </w:tr>
      <w:tr w:rsidR="00142353" w:rsidRPr="00D96B14" w:rsidTr="004843DB">
        <w:tc>
          <w:tcPr>
            <w:tcW w:w="676" w:type="dxa"/>
            <w:tcBorders>
              <w:bottom w:val="single" w:sz="4" w:space="0" w:color="auto"/>
            </w:tcBorders>
            <w:shd w:val="clear" w:color="auto" w:fill="auto"/>
            <w:vAlign w:val="center"/>
          </w:tcPr>
          <w:p w:rsidR="00142353" w:rsidRPr="00D96B14" w:rsidRDefault="00142353" w:rsidP="004843DB">
            <w:pPr>
              <w:pStyle w:val="Tabletextheading"/>
              <w:jc w:val="left"/>
              <w:rPr>
                <w:noProof w:val="0"/>
              </w:rPr>
            </w:pPr>
            <w:r w:rsidRPr="00D96B14">
              <w:rPr>
                <w:noProof w:val="0"/>
              </w:rPr>
              <w:t>Class</w:t>
            </w:r>
          </w:p>
        </w:tc>
        <w:tc>
          <w:tcPr>
            <w:tcW w:w="537" w:type="dxa"/>
            <w:tcBorders>
              <w:top w:val="single" w:sz="4" w:space="0" w:color="auto"/>
              <w:bottom w:val="single" w:sz="4" w:space="0" w:color="auto"/>
            </w:tcBorders>
            <w:shd w:val="clear" w:color="auto" w:fill="auto"/>
          </w:tcPr>
          <w:p w:rsidR="00142353" w:rsidRPr="00D96B14" w:rsidRDefault="00142353" w:rsidP="004843DB">
            <w:pPr>
              <w:pStyle w:val="Tabletextheading"/>
              <w:rPr>
                <w:noProof w:val="0"/>
              </w:rPr>
            </w:pPr>
            <w:r w:rsidRPr="00D96B14">
              <w:rPr>
                <w:noProof w:val="0"/>
              </w:rPr>
              <w:t>No.</w:t>
            </w:r>
          </w:p>
        </w:tc>
        <w:tc>
          <w:tcPr>
            <w:tcW w:w="540" w:type="dxa"/>
            <w:tcBorders>
              <w:top w:val="single" w:sz="4" w:space="0" w:color="auto"/>
              <w:bottom w:val="single" w:sz="4" w:space="0" w:color="auto"/>
            </w:tcBorders>
            <w:shd w:val="clear" w:color="auto" w:fill="auto"/>
          </w:tcPr>
          <w:p w:rsidR="00142353" w:rsidRPr="00D96B14" w:rsidRDefault="00142353" w:rsidP="004843DB">
            <w:pPr>
              <w:pStyle w:val="Tabletextheading"/>
              <w:rPr>
                <w:noProof w:val="0"/>
              </w:rPr>
            </w:pPr>
            <w:r w:rsidRPr="00D96B14">
              <w:rPr>
                <w:noProof w:val="0"/>
              </w:rPr>
              <w:t>Var.</w:t>
            </w:r>
          </w:p>
        </w:tc>
        <w:tc>
          <w:tcPr>
            <w:tcW w:w="720" w:type="dxa"/>
            <w:tcBorders>
              <w:top w:val="single" w:sz="4" w:space="0" w:color="auto"/>
              <w:bottom w:val="single" w:sz="4" w:space="0" w:color="auto"/>
            </w:tcBorders>
            <w:shd w:val="clear" w:color="auto" w:fill="auto"/>
          </w:tcPr>
          <w:p w:rsidR="00142353" w:rsidRPr="00D96B14" w:rsidRDefault="00142353" w:rsidP="004843DB">
            <w:pPr>
              <w:pStyle w:val="Tabletextheading"/>
              <w:rPr>
                <w:noProof w:val="0"/>
              </w:rPr>
            </w:pPr>
            <w:r w:rsidRPr="00D96B14">
              <w:rPr>
                <w:noProof w:val="0"/>
              </w:rPr>
              <w:t>No.</w:t>
            </w:r>
          </w:p>
        </w:tc>
        <w:tc>
          <w:tcPr>
            <w:tcW w:w="540" w:type="dxa"/>
            <w:tcBorders>
              <w:top w:val="single" w:sz="4" w:space="0" w:color="auto"/>
              <w:bottom w:val="single" w:sz="4" w:space="0" w:color="auto"/>
            </w:tcBorders>
            <w:shd w:val="clear" w:color="auto" w:fill="auto"/>
          </w:tcPr>
          <w:p w:rsidR="00142353" w:rsidRPr="00D96B14" w:rsidRDefault="00142353" w:rsidP="004843DB">
            <w:pPr>
              <w:pStyle w:val="Tabletextheading"/>
              <w:rPr>
                <w:noProof w:val="0"/>
              </w:rPr>
            </w:pPr>
            <w:r w:rsidRPr="00D96B14">
              <w:rPr>
                <w:noProof w:val="0"/>
              </w:rPr>
              <w:t>Var.</w:t>
            </w:r>
          </w:p>
        </w:tc>
        <w:tc>
          <w:tcPr>
            <w:tcW w:w="1080" w:type="dxa"/>
            <w:tcBorders>
              <w:top w:val="single" w:sz="4" w:space="0" w:color="auto"/>
              <w:bottom w:val="single" w:sz="4" w:space="0" w:color="auto"/>
            </w:tcBorders>
            <w:shd w:val="clear" w:color="auto" w:fill="auto"/>
          </w:tcPr>
          <w:p w:rsidR="00142353" w:rsidRPr="00D96B14" w:rsidRDefault="00142353" w:rsidP="004843DB">
            <w:pPr>
              <w:pStyle w:val="Tabletextheading"/>
              <w:jc w:val="center"/>
              <w:rPr>
                <w:noProof w:val="0"/>
              </w:rPr>
            </w:pPr>
            <w:r w:rsidRPr="00D96B14">
              <w:rPr>
                <w:noProof w:val="0"/>
              </w:rPr>
              <w:t>No.</w:t>
            </w:r>
          </w:p>
        </w:tc>
        <w:tc>
          <w:tcPr>
            <w:tcW w:w="180" w:type="dxa"/>
            <w:shd w:val="clear" w:color="auto" w:fill="auto"/>
          </w:tcPr>
          <w:p w:rsidR="00142353" w:rsidRPr="00D96B14" w:rsidRDefault="00142353" w:rsidP="004843DB">
            <w:pPr>
              <w:pStyle w:val="Tabletextheading"/>
              <w:rPr>
                <w:noProof w:val="0"/>
              </w:rPr>
            </w:pPr>
          </w:p>
        </w:tc>
        <w:tc>
          <w:tcPr>
            <w:tcW w:w="630" w:type="dxa"/>
            <w:tcBorders>
              <w:top w:val="single" w:sz="4" w:space="0" w:color="auto"/>
              <w:bottom w:val="single" w:sz="4" w:space="0" w:color="auto"/>
            </w:tcBorders>
            <w:shd w:val="clear" w:color="auto" w:fill="auto"/>
          </w:tcPr>
          <w:p w:rsidR="00142353" w:rsidRPr="00D96B14" w:rsidRDefault="00142353" w:rsidP="004843DB">
            <w:pPr>
              <w:pStyle w:val="Tabletextheading"/>
              <w:rPr>
                <w:noProof w:val="0"/>
              </w:rPr>
            </w:pPr>
            <w:r w:rsidRPr="00D96B14">
              <w:rPr>
                <w:noProof w:val="0"/>
              </w:rPr>
              <w:t>No.</w:t>
            </w:r>
          </w:p>
        </w:tc>
        <w:tc>
          <w:tcPr>
            <w:tcW w:w="630" w:type="dxa"/>
            <w:tcBorders>
              <w:top w:val="single" w:sz="4" w:space="0" w:color="auto"/>
              <w:bottom w:val="single" w:sz="4" w:space="0" w:color="auto"/>
            </w:tcBorders>
            <w:shd w:val="clear" w:color="auto" w:fill="auto"/>
          </w:tcPr>
          <w:p w:rsidR="00142353" w:rsidRPr="00D96B14" w:rsidRDefault="00142353" w:rsidP="004843DB">
            <w:pPr>
              <w:pStyle w:val="Tabletextheading"/>
              <w:rPr>
                <w:noProof w:val="0"/>
              </w:rPr>
            </w:pPr>
            <w:r w:rsidRPr="00D96B14">
              <w:rPr>
                <w:noProof w:val="0"/>
              </w:rPr>
              <w:t>Var.</w:t>
            </w:r>
          </w:p>
        </w:tc>
        <w:tc>
          <w:tcPr>
            <w:tcW w:w="720" w:type="dxa"/>
            <w:tcBorders>
              <w:top w:val="single" w:sz="4" w:space="0" w:color="auto"/>
              <w:bottom w:val="single" w:sz="4" w:space="0" w:color="auto"/>
            </w:tcBorders>
            <w:shd w:val="clear" w:color="auto" w:fill="auto"/>
          </w:tcPr>
          <w:p w:rsidR="00142353" w:rsidRPr="00D96B14" w:rsidRDefault="00142353" w:rsidP="004843DB">
            <w:pPr>
              <w:pStyle w:val="Tabletextheading"/>
              <w:rPr>
                <w:noProof w:val="0"/>
              </w:rPr>
            </w:pPr>
            <w:r w:rsidRPr="00D96B14">
              <w:rPr>
                <w:noProof w:val="0"/>
              </w:rPr>
              <w:t>No.</w:t>
            </w:r>
          </w:p>
        </w:tc>
        <w:tc>
          <w:tcPr>
            <w:tcW w:w="630" w:type="dxa"/>
            <w:tcBorders>
              <w:top w:val="single" w:sz="4" w:space="0" w:color="auto"/>
              <w:bottom w:val="single" w:sz="4" w:space="0" w:color="auto"/>
            </w:tcBorders>
            <w:shd w:val="clear" w:color="auto" w:fill="auto"/>
          </w:tcPr>
          <w:p w:rsidR="00142353" w:rsidRPr="00D96B14" w:rsidRDefault="00142353" w:rsidP="004843DB">
            <w:pPr>
              <w:pStyle w:val="Tabletextheading"/>
              <w:rPr>
                <w:noProof w:val="0"/>
              </w:rPr>
            </w:pPr>
            <w:r w:rsidRPr="00D96B14">
              <w:rPr>
                <w:noProof w:val="0"/>
              </w:rPr>
              <w:t>Var.</w:t>
            </w:r>
          </w:p>
        </w:tc>
        <w:tc>
          <w:tcPr>
            <w:tcW w:w="1197" w:type="dxa"/>
            <w:tcBorders>
              <w:top w:val="single" w:sz="4" w:space="0" w:color="auto"/>
              <w:bottom w:val="single" w:sz="4" w:space="0" w:color="auto"/>
            </w:tcBorders>
            <w:shd w:val="clear" w:color="auto" w:fill="auto"/>
          </w:tcPr>
          <w:p w:rsidR="00142353" w:rsidRPr="00D96B14" w:rsidRDefault="00142353" w:rsidP="004843DB">
            <w:pPr>
              <w:pStyle w:val="Tabletextheading"/>
              <w:jc w:val="center"/>
              <w:rPr>
                <w:noProof w:val="0"/>
              </w:rPr>
            </w:pPr>
            <w:r w:rsidRPr="00D96B14">
              <w:rPr>
                <w:noProof w:val="0"/>
              </w:rPr>
              <w:t>No.</w:t>
            </w:r>
          </w:p>
        </w:tc>
      </w:tr>
      <w:tr w:rsidR="00142353" w:rsidRPr="00D96B14" w:rsidTr="004843DB">
        <w:tc>
          <w:tcPr>
            <w:tcW w:w="676" w:type="dxa"/>
            <w:tcBorders>
              <w:top w:val="single" w:sz="4" w:space="0" w:color="auto"/>
            </w:tcBorders>
            <w:shd w:val="clear" w:color="auto" w:fill="auto"/>
            <w:vAlign w:val="center"/>
          </w:tcPr>
          <w:p w:rsidR="00142353" w:rsidRPr="00D96B14" w:rsidRDefault="00142353" w:rsidP="004843DB">
            <w:pPr>
              <w:pStyle w:val="Tabletext"/>
            </w:pPr>
            <w:r w:rsidRPr="00D96B14">
              <w:t>EO</w:t>
            </w:r>
            <w:r w:rsidR="005A4BB0">
              <w:noBreakHyphen/>
            </w:r>
            <w:r w:rsidRPr="00D96B14">
              <w:t>1</w:t>
            </w:r>
          </w:p>
        </w:tc>
        <w:tc>
          <w:tcPr>
            <w:tcW w:w="537" w:type="dxa"/>
            <w:tcBorders>
              <w:top w:val="single" w:sz="4" w:space="0" w:color="auto"/>
            </w:tcBorders>
            <w:shd w:val="clear" w:color="auto" w:fill="auto"/>
            <w:vAlign w:val="center"/>
          </w:tcPr>
          <w:p w:rsidR="00142353" w:rsidRPr="00D96B14" w:rsidRDefault="00142353" w:rsidP="004843DB">
            <w:pPr>
              <w:pStyle w:val="TableofFigures"/>
              <w:rPr>
                <w:b/>
                <w:bCs/>
              </w:rPr>
            </w:pPr>
            <w:r w:rsidRPr="00D96B14">
              <w:rPr>
                <w:b/>
                <w:bCs/>
              </w:rPr>
              <w:t>1</w:t>
            </w:r>
          </w:p>
        </w:tc>
        <w:tc>
          <w:tcPr>
            <w:tcW w:w="540" w:type="dxa"/>
            <w:tcBorders>
              <w:top w:val="single" w:sz="4" w:space="0" w:color="auto"/>
            </w:tcBorders>
            <w:shd w:val="clear" w:color="auto" w:fill="auto"/>
            <w:vAlign w:val="center"/>
          </w:tcPr>
          <w:p w:rsidR="00142353" w:rsidRPr="00D96B14" w:rsidRDefault="00142353" w:rsidP="004843DB">
            <w:pPr>
              <w:pStyle w:val="TableofFigures"/>
            </w:pPr>
            <w:r w:rsidRPr="00D96B14">
              <w:t>0</w:t>
            </w:r>
          </w:p>
        </w:tc>
        <w:tc>
          <w:tcPr>
            <w:tcW w:w="720" w:type="dxa"/>
            <w:tcBorders>
              <w:top w:val="single" w:sz="4" w:space="0" w:color="auto"/>
            </w:tcBorders>
            <w:shd w:val="clear" w:color="auto" w:fill="auto"/>
            <w:vAlign w:val="center"/>
          </w:tcPr>
          <w:p w:rsidR="00142353" w:rsidRPr="00D96B14" w:rsidRDefault="00142353" w:rsidP="004843DB">
            <w:pPr>
              <w:pStyle w:val="TableofFigures"/>
              <w:rPr>
                <w:b/>
                <w:bCs/>
              </w:rPr>
            </w:pPr>
            <w:r w:rsidRPr="00D96B14">
              <w:rPr>
                <w:b/>
                <w:bCs/>
              </w:rPr>
              <w:t>1</w:t>
            </w:r>
          </w:p>
        </w:tc>
        <w:tc>
          <w:tcPr>
            <w:tcW w:w="540" w:type="dxa"/>
            <w:tcBorders>
              <w:top w:val="single" w:sz="4" w:space="0" w:color="auto"/>
            </w:tcBorders>
            <w:shd w:val="clear" w:color="auto" w:fill="auto"/>
            <w:vAlign w:val="center"/>
          </w:tcPr>
          <w:p w:rsidR="00142353" w:rsidRPr="00D96B14" w:rsidRDefault="00142353" w:rsidP="004843DB">
            <w:pPr>
              <w:pStyle w:val="TableofFigures"/>
            </w:pPr>
            <w:r w:rsidRPr="00D96B14">
              <w:t>0</w:t>
            </w:r>
          </w:p>
        </w:tc>
        <w:tc>
          <w:tcPr>
            <w:tcW w:w="1080" w:type="dxa"/>
            <w:tcBorders>
              <w:top w:val="single" w:sz="4" w:space="0" w:color="auto"/>
            </w:tcBorders>
            <w:shd w:val="clear" w:color="auto" w:fill="auto"/>
            <w:vAlign w:val="center"/>
          </w:tcPr>
          <w:p w:rsidR="00142353" w:rsidRPr="00D96B14" w:rsidRDefault="00142353" w:rsidP="004843DB">
            <w:pPr>
              <w:pStyle w:val="TableofFigures"/>
              <w:jc w:val="center"/>
            </w:pPr>
            <w:r w:rsidRPr="00D96B14">
              <w:rPr>
                <w:b/>
                <w:bCs/>
              </w:rPr>
              <w:t>0</w:t>
            </w:r>
          </w:p>
        </w:tc>
        <w:tc>
          <w:tcPr>
            <w:tcW w:w="180" w:type="dxa"/>
            <w:shd w:val="clear" w:color="auto" w:fill="auto"/>
            <w:vAlign w:val="center"/>
          </w:tcPr>
          <w:p w:rsidR="00142353" w:rsidRPr="00D96B14" w:rsidRDefault="00142353" w:rsidP="004843DB">
            <w:pPr>
              <w:pStyle w:val="TableofFigures"/>
              <w:rPr>
                <w:b/>
                <w:bCs/>
              </w:rPr>
            </w:pPr>
          </w:p>
        </w:tc>
        <w:tc>
          <w:tcPr>
            <w:tcW w:w="630" w:type="dxa"/>
            <w:tcBorders>
              <w:top w:val="single" w:sz="4" w:space="0" w:color="auto"/>
            </w:tcBorders>
            <w:shd w:val="clear" w:color="auto" w:fill="auto"/>
            <w:vAlign w:val="center"/>
          </w:tcPr>
          <w:p w:rsidR="00142353" w:rsidRPr="00D96B14" w:rsidRDefault="00142353" w:rsidP="004843DB">
            <w:pPr>
              <w:pStyle w:val="TableofFigures"/>
              <w:rPr>
                <w:b/>
                <w:bCs/>
              </w:rPr>
            </w:pPr>
            <w:r w:rsidRPr="00D96B14">
              <w:rPr>
                <w:b/>
                <w:bCs/>
              </w:rPr>
              <w:t>0</w:t>
            </w:r>
          </w:p>
        </w:tc>
        <w:tc>
          <w:tcPr>
            <w:tcW w:w="630" w:type="dxa"/>
            <w:tcBorders>
              <w:top w:val="single" w:sz="4" w:space="0" w:color="auto"/>
            </w:tcBorders>
            <w:shd w:val="clear" w:color="auto" w:fill="auto"/>
            <w:vAlign w:val="center"/>
          </w:tcPr>
          <w:p w:rsidR="00142353" w:rsidRPr="00D96B14" w:rsidRDefault="00142353" w:rsidP="004843DB">
            <w:pPr>
              <w:pStyle w:val="TableofFigures"/>
            </w:pPr>
            <w:r w:rsidRPr="00D96B14">
              <w:t>0</w:t>
            </w:r>
          </w:p>
        </w:tc>
        <w:tc>
          <w:tcPr>
            <w:tcW w:w="720" w:type="dxa"/>
            <w:tcBorders>
              <w:top w:val="single" w:sz="4" w:space="0" w:color="auto"/>
            </w:tcBorders>
            <w:shd w:val="clear" w:color="auto" w:fill="auto"/>
            <w:vAlign w:val="center"/>
          </w:tcPr>
          <w:p w:rsidR="00142353" w:rsidRPr="00D96B14" w:rsidRDefault="00142353" w:rsidP="004843DB">
            <w:pPr>
              <w:pStyle w:val="TableofFigures"/>
              <w:rPr>
                <w:b/>
                <w:bCs/>
              </w:rPr>
            </w:pPr>
            <w:r w:rsidRPr="00D96B14">
              <w:rPr>
                <w:b/>
                <w:bCs/>
              </w:rPr>
              <w:t>0</w:t>
            </w:r>
          </w:p>
        </w:tc>
        <w:tc>
          <w:tcPr>
            <w:tcW w:w="630" w:type="dxa"/>
            <w:tcBorders>
              <w:top w:val="single" w:sz="4" w:space="0" w:color="auto"/>
            </w:tcBorders>
            <w:shd w:val="clear" w:color="auto" w:fill="auto"/>
            <w:vAlign w:val="center"/>
          </w:tcPr>
          <w:p w:rsidR="00142353" w:rsidRPr="00D96B14" w:rsidRDefault="00142353" w:rsidP="004843DB">
            <w:pPr>
              <w:pStyle w:val="TableofFigures"/>
            </w:pPr>
            <w:r w:rsidRPr="00D96B14">
              <w:t>0</w:t>
            </w:r>
          </w:p>
        </w:tc>
        <w:tc>
          <w:tcPr>
            <w:tcW w:w="1197" w:type="dxa"/>
            <w:tcBorders>
              <w:top w:val="single" w:sz="4" w:space="0" w:color="auto"/>
            </w:tcBorders>
            <w:shd w:val="clear" w:color="auto" w:fill="auto"/>
            <w:vAlign w:val="center"/>
          </w:tcPr>
          <w:p w:rsidR="00142353" w:rsidRPr="00D96B14" w:rsidRDefault="00142353" w:rsidP="004843DB">
            <w:pPr>
              <w:pStyle w:val="TableofFigures"/>
              <w:jc w:val="center"/>
              <w:rPr>
                <w:b/>
                <w:bCs/>
              </w:rPr>
            </w:pPr>
            <w:r w:rsidRPr="00D96B14">
              <w:rPr>
                <w:b/>
                <w:bCs/>
              </w:rPr>
              <w:t>0</w:t>
            </w:r>
          </w:p>
        </w:tc>
      </w:tr>
      <w:tr w:rsidR="00142353" w:rsidRPr="00D96B14" w:rsidTr="004843DB">
        <w:trPr>
          <w:trHeight w:val="179"/>
        </w:trPr>
        <w:tc>
          <w:tcPr>
            <w:tcW w:w="676" w:type="dxa"/>
            <w:shd w:val="clear" w:color="auto" w:fill="auto"/>
            <w:vAlign w:val="center"/>
          </w:tcPr>
          <w:p w:rsidR="00142353" w:rsidRPr="00D96B14" w:rsidRDefault="00142353" w:rsidP="004843DB">
            <w:pPr>
              <w:pStyle w:val="Tabletext"/>
            </w:pPr>
            <w:r w:rsidRPr="00D96B14">
              <w:t>EO</w:t>
            </w:r>
            <w:r w:rsidR="005A4BB0">
              <w:noBreakHyphen/>
            </w:r>
            <w:r w:rsidRPr="00D96B14">
              <w:t>2</w:t>
            </w:r>
          </w:p>
        </w:tc>
        <w:tc>
          <w:tcPr>
            <w:tcW w:w="537" w:type="dxa"/>
            <w:shd w:val="clear" w:color="auto" w:fill="auto"/>
            <w:vAlign w:val="center"/>
          </w:tcPr>
          <w:p w:rsidR="00142353" w:rsidRPr="00D96B14" w:rsidRDefault="00142353" w:rsidP="004843DB">
            <w:pPr>
              <w:pStyle w:val="TableofFigures"/>
              <w:rPr>
                <w:b/>
                <w:bCs/>
              </w:rPr>
            </w:pPr>
            <w:r w:rsidRPr="00D96B14">
              <w:rPr>
                <w:b/>
                <w:bCs/>
              </w:rPr>
              <w:t>13</w:t>
            </w:r>
          </w:p>
        </w:tc>
        <w:tc>
          <w:tcPr>
            <w:tcW w:w="540" w:type="dxa"/>
            <w:shd w:val="clear" w:color="auto" w:fill="auto"/>
            <w:vAlign w:val="center"/>
          </w:tcPr>
          <w:p w:rsidR="00142353" w:rsidRPr="00D96B14" w:rsidRDefault="00142353" w:rsidP="004843DB">
            <w:pPr>
              <w:pStyle w:val="TableofFigures"/>
            </w:pPr>
            <w:r w:rsidRPr="00D96B14">
              <w:t>(1)</w:t>
            </w:r>
          </w:p>
        </w:tc>
        <w:tc>
          <w:tcPr>
            <w:tcW w:w="720" w:type="dxa"/>
            <w:shd w:val="clear" w:color="auto" w:fill="auto"/>
            <w:vAlign w:val="center"/>
          </w:tcPr>
          <w:p w:rsidR="00142353" w:rsidRPr="00D96B14" w:rsidRDefault="00142353" w:rsidP="004843DB">
            <w:pPr>
              <w:pStyle w:val="TableofFigures"/>
              <w:rPr>
                <w:b/>
                <w:bCs/>
              </w:rPr>
            </w:pPr>
            <w:r w:rsidRPr="00D96B14">
              <w:rPr>
                <w:b/>
                <w:bCs/>
              </w:rPr>
              <w:t>7</w:t>
            </w:r>
          </w:p>
        </w:tc>
        <w:tc>
          <w:tcPr>
            <w:tcW w:w="540" w:type="dxa"/>
            <w:shd w:val="clear" w:color="auto" w:fill="auto"/>
            <w:vAlign w:val="center"/>
          </w:tcPr>
          <w:p w:rsidR="00142353" w:rsidRPr="00D96B14" w:rsidRDefault="00142353" w:rsidP="004843DB">
            <w:pPr>
              <w:pStyle w:val="TableofFigures"/>
            </w:pPr>
            <w:r w:rsidRPr="00D96B14">
              <w:t>0</w:t>
            </w:r>
          </w:p>
        </w:tc>
        <w:tc>
          <w:tcPr>
            <w:tcW w:w="1080" w:type="dxa"/>
            <w:shd w:val="clear" w:color="auto" w:fill="auto"/>
            <w:vAlign w:val="center"/>
          </w:tcPr>
          <w:p w:rsidR="00142353" w:rsidRPr="00D96B14" w:rsidRDefault="00142353" w:rsidP="004843DB">
            <w:pPr>
              <w:pStyle w:val="TableofFigures"/>
              <w:jc w:val="center"/>
            </w:pPr>
            <w:r w:rsidRPr="00D96B14">
              <w:rPr>
                <w:b/>
                <w:bCs/>
              </w:rPr>
              <w:t>1</w:t>
            </w:r>
          </w:p>
        </w:tc>
        <w:tc>
          <w:tcPr>
            <w:tcW w:w="180" w:type="dxa"/>
            <w:shd w:val="clear" w:color="auto" w:fill="auto"/>
            <w:vAlign w:val="center"/>
          </w:tcPr>
          <w:p w:rsidR="00142353" w:rsidRPr="00D96B14" w:rsidRDefault="00142353" w:rsidP="004843DB">
            <w:pPr>
              <w:pStyle w:val="TableofFigures"/>
              <w:rPr>
                <w:b/>
                <w:bCs/>
              </w:rPr>
            </w:pPr>
          </w:p>
        </w:tc>
        <w:tc>
          <w:tcPr>
            <w:tcW w:w="630" w:type="dxa"/>
            <w:shd w:val="clear" w:color="auto" w:fill="auto"/>
            <w:vAlign w:val="center"/>
          </w:tcPr>
          <w:p w:rsidR="00142353" w:rsidRPr="00D96B14" w:rsidRDefault="00142353" w:rsidP="004843DB">
            <w:pPr>
              <w:pStyle w:val="TableofFigures"/>
              <w:rPr>
                <w:b/>
                <w:bCs/>
              </w:rPr>
            </w:pPr>
            <w:r w:rsidRPr="00D96B14">
              <w:rPr>
                <w:b/>
                <w:bCs/>
              </w:rPr>
              <w:t>1</w:t>
            </w:r>
          </w:p>
        </w:tc>
        <w:tc>
          <w:tcPr>
            <w:tcW w:w="630" w:type="dxa"/>
            <w:shd w:val="clear" w:color="auto" w:fill="auto"/>
            <w:vAlign w:val="center"/>
          </w:tcPr>
          <w:p w:rsidR="00142353" w:rsidRPr="00D96B14" w:rsidRDefault="00142353" w:rsidP="004843DB">
            <w:pPr>
              <w:pStyle w:val="TableofFigures"/>
            </w:pPr>
            <w:r w:rsidRPr="00D96B14">
              <w:t>0</w:t>
            </w:r>
          </w:p>
        </w:tc>
        <w:tc>
          <w:tcPr>
            <w:tcW w:w="720" w:type="dxa"/>
            <w:shd w:val="clear" w:color="auto" w:fill="auto"/>
            <w:vAlign w:val="center"/>
          </w:tcPr>
          <w:p w:rsidR="00142353" w:rsidRPr="00D96B14" w:rsidRDefault="00142353" w:rsidP="004843DB">
            <w:pPr>
              <w:pStyle w:val="TableofFigures"/>
              <w:rPr>
                <w:b/>
                <w:bCs/>
              </w:rPr>
            </w:pPr>
            <w:r w:rsidRPr="00D96B14">
              <w:rPr>
                <w:b/>
                <w:bCs/>
              </w:rPr>
              <w:t>1</w:t>
            </w:r>
          </w:p>
        </w:tc>
        <w:tc>
          <w:tcPr>
            <w:tcW w:w="630" w:type="dxa"/>
            <w:shd w:val="clear" w:color="auto" w:fill="auto"/>
            <w:vAlign w:val="center"/>
          </w:tcPr>
          <w:p w:rsidR="00142353" w:rsidRPr="00D96B14" w:rsidRDefault="00142353" w:rsidP="004843DB">
            <w:pPr>
              <w:pStyle w:val="TableofFigures"/>
            </w:pPr>
            <w:r w:rsidRPr="00D96B14">
              <w:t>0</w:t>
            </w:r>
          </w:p>
        </w:tc>
        <w:tc>
          <w:tcPr>
            <w:tcW w:w="1197" w:type="dxa"/>
            <w:shd w:val="clear" w:color="auto" w:fill="auto"/>
            <w:vAlign w:val="center"/>
          </w:tcPr>
          <w:p w:rsidR="00142353" w:rsidRPr="00D96B14" w:rsidRDefault="00142353" w:rsidP="004843DB">
            <w:pPr>
              <w:pStyle w:val="TableofFigures"/>
              <w:jc w:val="center"/>
              <w:rPr>
                <w:b/>
                <w:bCs/>
              </w:rPr>
            </w:pPr>
            <w:r w:rsidRPr="00D96B14">
              <w:rPr>
                <w:b/>
                <w:bCs/>
              </w:rPr>
              <w:t>0</w:t>
            </w:r>
          </w:p>
        </w:tc>
      </w:tr>
      <w:tr w:rsidR="00142353" w:rsidRPr="00D96B14" w:rsidTr="004843DB">
        <w:tc>
          <w:tcPr>
            <w:tcW w:w="676" w:type="dxa"/>
            <w:tcBorders>
              <w:bottom w:val="single" w:sz="4" w:space="0" w:color="auto"/>
            </w:tcBorders>
            <w:shd w:val="clear" w:color="auto" w:fill="auto"/>
            <w:vAlign w:val="center"/>
          </w:tcPr>
          <w:p w:rsidR="00142353" w:rsidRPr="00D96B14" w:rsidRDefault="00142353" w:rsidP="004843DB">
            <w:pPr>
              <w:pStyle w:val="Tabletext"/>
            </w:pPr>
            <w:r w:rsidRPr="00D96B14">
              <w:t>EO</w:t>
            </w:r>
            <w:r w:rsidR="005A4BB0">
              <w:noBreakHyphen/>
            </w:r>
            <w:r w:rsidRPr="00D96B14">
              <w:t>3</w:t>
            </w:r>
          </w:p>
        </w:tc>
        <w:tc>
          <w:tcPr>
            <w:tcW w:w="537" w:type="dxa"/>
            <w:tcBorders>
              <w:bottom w:val="single" w:sz="4" w:space="0" w:color="auto"/>
            </w:tcBorders>
            <w:shd w:val="clear" w:color="auto" w:fill="auto"/>
            <w:vAlign w:val="center"/>
          </w:tcPr>
          <w:p w:rsidR="00142353" w:rsidRPr="00D96B14" w:rsidRDefault="00142353" w:rsidP="004843DB">
            <w:pPr>
              <w:pStyle w:val="TableofFigures"/>
              <w:rPr>
                <w:b/>
                <w:bCs/>
              </w:rPr>
            </w:pPr>
            <w:r w:rsidRPr="00D96B14">
              <w:rPr>
                <w:b/>
                <w:bCs/>
              </w:rPr>
              <w:t>20</w:t>
            </w:r>
          </w:p>
        </w:tc>
        <w:tc>
          <w:tcPr>
            <w:tcW w:w="540" w:type="dxa"/>
            <w:tcBorders>
              <w:bottom w:val="single" w:sz="4" w:space="0" w:color="auto"/>
            </w:tcBorders>
            <w:shd w:val="clear" w:color="auto" w:fill="auto"/>
            <w:vAlign w:val="center"/>
          </w:tcPr>
          <w:p w:rsidR="00142353" w:rsidRPr="00D96B14" w:rsidRDefault="00142353" w:rsidP="004843DB">
            <w:pPr>
              <w:pStyle w:val="TableofFigures"/>
            </w:pPr>
            <w:r w:rsidRPr="00D96B14">
              <w:t>(1)</w:t>
            </w:r>
          </w:p>
        </w:tc>
        <w:tc>
          <w:tcPr>
            <w:tcW w:w="720" w:type="dxa"/>
            <w:tcBorders>
              <w:bottom w:val="single" w:sz="4" w:space="0" w:color="auto"/>
            </w:tcBorders>
            <w:shd w:val="clear" w:color="auto" w:fill="auto"/>
            <w:vAlign w:val="center"/>
          </w:tcPr>
          <w:p w:rsidR="00142353" w:rsidRPr="00D96B14" w:rsidRDefault="00142353" w:rsidP="004843DB">
            <w:pPr>
              <w:pStyle w:val="TableofFigures"/>
              <w:rPr>
                <w:b/>
                <w:bCs/>
              </w:rPr>
            </w:pPr>
            <w:r w:rsidRPr="00D96B14">
              <w:rPr>
                <w:b/>
                <w:bCs/>
              </w:rPr>
              <w:t>19</w:t>
            </w:r>
          </w:p>
        </w:tc>
        <w:tc>
          <w:tcPr>
            <w:tcW w:w="540" w:type="dxa"/>
            <w:tcBorders>
              <w:bottom w:val="single" w:sz="4" w:space="0" w:color="auto"/>
            </w:tcBorders>
            <w:shd w:val="clear" w:color="auto" w:fill="auto"/>
            <w:vAlign w:val="bottom"/>
          </w:tcPr>
          <w:p w:rsidR="00142353" w:rsidRPr="00D96B14" w:rsidRDefault="00142353" w:rsidP="004843DB">
            <w:pPr>
              <w:pStyle w:val="TableofFigures"/>
            </w:pPr>
            <w:r w:rsidRPr="00D96B14">
              <w:t>(1)</w:t>
            </w:r>
          </w:p>
        </w:tc>
        <w:tc>
          <w:tcPr>
            <w:tcW w:w="1080" w:type="dxa"/>
            <w:tcBorders>
              <w:bottom w:val="single" w:sz="4" w:space="0" w:color="auto"/>
            </w:tcBorders>
            <w:shd w:val="clear" w:color="auto" w:fill="auto"/>
            <w:vAlign w:val="center"/>
          </w:tcPr>
          <w:p w:rsidR="00142353" w:rsidRPr="00D96B14" w:rsidRDefault="00142353" w:rsidP="004843DB">
            <w:pPr>
              <w:pStyle w:val="TableofFigures"/>
              <w:jc w:val="center"/>
            </w:pPr>
            <w:r w:rsidRPr="00D96B14">
              <w:rPr>
                <w:b/>
                <w:bCs/>
              </w:rPr>
              <w:t>2</w:t>
            </w:r>
          </w:p>
        </w:tc>
        <w:tc>
          <w:tcPr>
            <w:tcW w:w="180" w:type="dxa"/>
            <w:shd w:val="clear" w:color="auto" w:fill="auto"/>
            <w:vAlign w:val="center"/>
          </w:tcPr>
          <w:p w:rsidR="00142353" w:rsidRPr="00D96B14" w:rsidRDefault="00142353" w:rsidP="004843DB">
            <w:pPr>
              <w:pStyle w:val="TableofFigures"/>
              <w:rPr>
                <w:b/>
                <w:bCs/>
              </w:rPr>
            </w:pPr>
          </w:p>
        </w:tc>
        <w:tc>
          <w:tcPr>
            <w:tcW w:w="630" w:type="dxa"/>
            <w:tcBorders>
              <w:bottom w:val="single" w:sz="4" w:space="0" w:color="auto"/>
            </w:tcBorders>
            <w:shd w:val="clear" w:color="auto" w:fill="auto"/>
            <w:vAlign w:val="center"/>
          </w:tcPr>
          <w:p w:rsidR="00142353" w:rsidRPr="00D96B14" w:rsidRDefault="00142353" w:rsidP="004843DB">
            <w:pPr>
              <w:pStyle w:val="TableofFigures"/>
              <w:rPr>
                <w:b/>
                <w:bCs/>
              </w:rPr>
            </w:pPr>
            <w:r w:rsidRPr="00D96B14">
              <w:rPr>
                <w:b/>
                <w:bCs/>
              </w:rPr>
              <w:t>9</w:t>
            </w:r>
          </w:p>
        </w:tc>
        <w:tc>
          <w:tcPr>
            <w:tcW w:w="630" w:type="dxa"/>
            <w:tcBorders>
              <w:bottom w:val="single" w:sz="4" w:space="0" w:color="auto"/>
            </w:tcBorders>
            <w:shd w:val="clear" w:color="auto" w:fill="auto"/>
            <w:vAlign w:val="center"/>
          </w:tcPr>
          <w:p w:rsidR="00142353" w:rsidRPr="00D96B14" w:rsidRDefault="00142353" w:rsidP="004843DB">
            <w:pPr>
              <w:pStyle w:val="TableofFigures"/>
            </w:pPr>
            <w:r w:rsidRPr="00D96B14">
              <w:t>0</w:t>
            </w:r>
          </w:p>
        </w:tc>
        <w:tc>
          <w:tcPr>
            <w:tcW w:w="720" w:type="dxa"/>
            <w:tcBorders>
              <w:bottom w:val="single" w:sz="4" w:space="0" w:color="auto"/>
            </w:tcBorders>
            <w:shd w:val="clear" w:color="auto" w:fill="auto"/>
            <w:vAlign w:val="center"/>
          </w:tcPr>
          <w:p w:rsidR="00142353" w:rsidRPr="00D96B14" w:rsidRDefault="00142353" w:rsidP="004843DB">
            <w:pPr>
              <w:pStyle w:val="TableofFigures"/>
              <w:rPr>
                <w:b/>
                <w:bCs/>
              </w:rPr>
            </w:pPr>
            <w:r w:rsidRPr="00D96B14">
              <w:rPr>
                <w:b/>
                <w:bCs/>
              </w:rPr>
              <w:t>6</w:t>
            </w:r>
          </w:p>
        </w:tc>
        <w:tc>
          <w:tcPr>
            <w:tcW w:w="630" w:type="dxa"/>
            <w:tcBorders>
              <w:bottom w:val="single" w:sz="4" w:space="0" w:color="auto"/>
            </w:tcBorders>
            <w:shd w:val="clear" w:color="auto" w:fill="auto"/>
            <w:vAlign w:val="center"/>
          </w:tcPr>
          <w:p w:rsidR="00142353" w:rsidRPr="00D96B14" w:rsidRDefault="00142353" w:rsidP="004843DB">
            <w:pPr>
              <w:pStyle w:val="TableofFigures"/>
            </w:pPr>
            <w:r w:rsidRPr="00D96B14">
              <w:t>(1)</w:t>
            </w:r>
          </w:p>
        </w:tc>
        <w:tc>
          <w:tcPr>
            <w:tcW w:w="1197" w:type="dxa"/>
            <w:tcBorders>
              <w:bottom w:val="single" w:sz="4" w:space="0" w:color="auto"/>
            </w:tcBorders>
            <w:shd w:val="clear" w:color="auto" w:fill="auto"/>
            <w:vAlign w:val="center"/>
          </w:tcPr>
          <w:p w:rsidR="00142353" w:rsidRPr="00D96B14" w:rsidRDefault="00142353" w:rsidP="004843DB">
            <w:pPr>
              <w:pStyle w:val="TableofFigures"/>
              <w:jc w:val="center"/>
              <w:rPr>
                <w:b/>
                <w:bCs/>
              </w:rPr>
            </w:pPr>
            <w:r w:rsidRPr="00D96B14">
              <w:rPr>
                <w:b/>
                <w:bCs/>
              </w:rPr>
              <w:t>2</w:t>
            </w:r>
          </w:p>
        </w:tc>
      </w:tr>
      <w:tr w:rsidR="00142353" w:rsidRPr="00D96B14" w:rsidTr="004843DB">
        <w:tc>
          <w:tcPr>
            <w:tcW w:w="676" w:type="dxa"/>
            <w:tcBorders>
              <w:top w:val="single" w:sz="4" w:space="0" w:color="auto"/>
              <w:bottom w:val="single" w:sz="12" w:space="0" w:color="auto"/>
            </w:tcBorders>
            <w:shd w:val="clear" w:color="auto" w:fill="auto"/>
            <w:vAlign w:val="center"/>
          </w:tcPr>
          <w:p w:rsidR="00142353" w:rsidRPr="00D96B14" w:rsidRDefault="00142353" w:rsidP="004843DB">
            <w:pPr>
              <w:pStyle w:val="Tabletext"/>
            </w:pPr>
            <w:r w:rsidRPr="00D96B14">
              <w:rPr>
                <w:b/>
                <w:bCs/>
              </w:rPr>
              <w:t>Total</w:t>
            </w:r>
          </w:p>
        </w:tc>
        <w:tc>
          <w:tcPr>
            <w:tcW w:w="537" w:type="dxa"/>
            <w:tcBorders>
              <w:top w:val="single" w:sz="4" w:space="0" w:color="auto"/>
              <w:bottom w:val="single" w:sz="12" w:space="0" w:color="auto"/>
            </w:tcBorders>
            <w:shd w:val="clear" w:color="auto" w:fill="auto"/>
            <w:vAlign w:val="center"/>
          </w:tcPr>
          <w:p w:rsidR="00142353" w:rsidRPr="00D96B14" w:rsidRDefault="00142353" w:rsidP="004843DB">
            <w:pPr>
              <w:pStyle w:val="TableofFigures"/>
              <w:rPr>
                <w:b/>
                <w:bCs/>
              </w:rPr>
            </w:pPr>
            <w:r w:rsidRPr="00D96B14">
              <w:rPr>
                <w:b/>
                <w:bCs/>
              </w:rPr>
              <w:t>34</w:t>
            </w:r>
          </w:p>
        </w:tc>
        <w:tc>
          <w:tcPr>
            <w:tcW w:w="540" w:type="dxa"/>
            <w:tcBorders>
              <w:top w:val="single" w:sz="4" w:space="0" w:color="auto"/>
              <w:bottom w:val="single" w:sz="12" w:space="0" w:color="auto"/>
            </w:tcBorders>
            <w:shd w:val="clear" w:color="auto" w:fill="auto"/>
            <w:vAlign w:val="center"/>
          </w:tcPr>
          <w:p w:rsidR="00142353" w:rsidRPr="00D96B14" w:rsidRDefault="00142353" w:rsidP="004843DB">
            <w:pPr>
              <w:pStyle w:val="TableofFigures"/>
              <w:rPr>
                <w:b/>
                <w:bCs/>
              </w:rPr>
            </w:pPr>
            <w:r w:rsidRPr="00D96B14">
              <w:rPr>
                <w:b/>
                <w:bCs/>
              </w:rPr>
              <w:t>(2)</w:t>
            </w:r>
          </w:p>
        </w:tc>
        <w:tc>
          <w:tcPr>
            <w:tcW w:w="720" w:type="dxa"/>
            <w:tcBorders>
              <w:top w:val="single" w:sz="4" w:space="0" w:color="auto"/>
              <w:bottom w:val="single" w:sz="12" w:space="0" w:color="auto"/>
            </w:tcBorders>
            <w:shd w:val="clear" w:color="auto" w:fill="auto"/>
            <w:vAlign w:val="center"/>
          </w:tcPr>
          <w:p w:rsidR="00142353" w:rsidRPr="00D96B14" w:rsidRDefault="00142353" w:rsidP="004843DB">
            <w:pPr>
              <w:pStyle w:val="TableofFigures"/>
              <w:rPr>
                <w:b/>
                <w:bCs/>
              </w:rPr>
            </w:pPr>
            <w:r w:rsidRPr="00D96B14">
              <w:rPr>
                <w:b/>
                <w:bCs/>
              </w:rPr>
              <w:t>27</w:t>
            </w:r>
          </w:p>
        </w:tc>
        <w:tc>
          <w:tcPr>
            <w:tcW w:w="540" w:type="dxa"/>
            <w:tcBorders>
              <w:top w:val="single" w:sz="4" w:space="0" w:color="auto"/>
              <w:bottom w:val="single" w:sz="12" w:space="0" w:color="auto"/>
            </w:tcBorders>
            <w:shd w:val="clear" w:color="auto" w:fill="auto"/>
            <w:vAlign w:val="center"/>
          </w:tcPr>
          <w:p w:rsidR="00142353" w:rsidRPr="00D96B14" w:rsidRDefault="00142353" w:rsidP="004843DB">
            <w:pPr>
              <w:pStyle w:val="TableofFigures"/>
              <w:rPr>
                <w:b/>
                <w:bCs/>
              </w:rPr>
            </w:pPr>
            <w:r w:rsidRPr="00D96B14">
              <w:rPr>
                <w:b/>
                <w:bCs/>
              </w:rPr>
              <w:t>(1)</w:t>
            </w:r>
          </w:p>
        </w:tc>
        <w:tc>
          <w:tcPr>
            <w:tcW w:w="1080" w:type="dxa"/>
            <w:tcBorders>
              <w:top w:val="single" w:sz="4" w:space="0" w:color="auto"/>
              <w:bottom w:val="single" w:sz="12" w:space="0" w:color="auto"/>
            </w:tcBorders>
            <w:shd w:val="clear" w:color="auto" w:fill="auto"/>
            <w:vAlign w:val="center"/>
          </w:tcPr>
          <w:p w:rsidR="00142353" w:rsidRPr="00D96B14" w:rsidRDefault="00142353" w:rsidP="004843DB">
            <w:pPr>
              <w:pStyle w:val="TableofFigures"/>
              <w:jc w:val="center"/>
              <w:rPr>
                <w:b/>
                <w:bCs/>
              </w:rPr>
            </w:pPr>
            <w:r w:rsidRPr="00D96B14">
              <w:rPr>
                <w:b/>
                <w:bCs/>
              </w:rPr>
              <w:t>3</w:t>
            </w:r>
          </w:p>
        </w:tc>
        <w:tc>
          <w:tcPr>
            <w:tcW w:w="180" w:type="dxa"/>
            <w:tcBorders>
              <w:bottom w:val="single" w:sz="12" w:space="0" w:color="auto"/>
            </w:tcBorders>
            <w:shd w:val="clear" w:color="auto" w:fill="auto"/>
            <w:vAlign w:val="center"/>
          </w:tcPr>
          <w:p w:rsidR="00142353" w:rsidRPr="00D96B14" w:rsidRDefault="00142353" w:rsidP="004843DB">
            <w:pPr>
              <w:pStyle w:val="TableofFigures"/>
              <w:rPr>
                <w:b/>
                <w:bCs/>
              </w:rPr>
            </w:pPr>
          </w:p>
        </w:tc>
        <w:tc>
          <w:tcPr>
            <w:tcW w:w="630" w:type="dxa"/>
            <w:tcBorders>
              <w:top w:val="single" w:sz="4" w:space="0" w:color="auto"/>
              <w:bottom w:val="single" w:sz="12" w:space="0" w:color="auto"/>
            </w:tcBorders>
            <w:shd w:val="clear" w:color="auto" w:fill="auto"/>
            <w:vAlign w:val="center"/>
          </w:tcPr>
          <w:p w:rsidR="00142353" w:rsidRPr="00D96B14" w:rsidRDefault="00142353" w:rsidP="004843DB">
            <w:pPr>
              <w:pStyle w:val="TableofFigures"/>
              <w:rPr>
                <w:b/>
                <w:bCs/>
              </w:rPr>
            </w:pPr>
            <w:r w:rsidRPr="00D96B14">
              <w:rPr>
                <w:b/>
                <w:bCs/>
              </w:rPr>
              <w:t>10</w:t>
            </w:r>
          </w:p>
        </w:tc>
        <w:tc>
          <w:tcPr>
            <w:tcW w:w="630" w:type="dxa"/>
            <w:tcBorders>
              <w:top w:val="single" w:sz="4" w:space="0" w:color="auto"/>
              <w:bottom w:val="single" w:sz="12" w:space="0" w:color="auto"/>
            </w:tcBorders>
            <w:shd w:val="clear" w:color="auto" w:fill="auto"/>
            <w:vAlign w:val="center"/>
          </w:tcPr>
          <w:p w:rsidR="00142353" w:rsidRPr="00D96B14" w:rsidRDefault="00142353" w:rsidP="004843DB">
            <w:pPr>
              <w:pStyle w:val="TableofFigures"/>
              <w:rPr>
                <w:b/>
                <w:bCs/>
              </w:rPr>
            </w:pPr>
            <w:r w:rsidRPr="00D96B14">
              <w:rPr>
                <w:b/>
                <w:bCs/>
              </w:rPr>
              <w:t>0</w:t>
            </w:r>
          </w:p>
        </w:tc>
        <w:tc>
          <w:tcPr>
            <w:tcW w:w="720" w:type="dxa"/>
            <w:tcBorders>
              <w:top w:val="single" w:sz="4" w:space="0" w:color="auto"/>
              <w:bottom w:val="single" w:sz="12" w:space="0" w:color="auto"/>
            </w:tcBorders>
            <w:shd w:val="clear" w:color="auto" w:fill="auto"/>
            <w:vAlign w:val="center"/>
          </w:tcPr>
          <w:p w:rsidR="00142353" w:rsidRPr="00D96B14" w:rsidRDefault="00142353" w:rsidP="004843DB">
            <w:pPr>
              <w:pStyle w:val="TableofFigures"/>
              <w:rPr>
                <w:b/>
                <w:bCs/>
              </w:rPr>
            </w:pPr>
            <w:r w:rsidRPr="00D96B14">
              <w:rPr>
                <w:b/>
                <w:bCs/>
              </w:rPr>
              <w:t>7</w:t>
            </w:r>
          </w:p>
        </w:tc>
        <w:tc>
          <w:tcPr>
            <w:tcW w:w="630" w:type="dxa"/>
            <w:tcBorders>
              <w:top w:val="single" w:sz="4" w:space="0" w:color="auto"/>
              <w:bottom w:val="single" w:sz="12" w:space="0" w:color="auto"/>
            </w:tcBorders>
            <w:shd w:val="clear" w:color="auto" w:fill="auto"/>
            <w:vAlign w:val="center"/>
          </w:tcPr>
          <w:p w:rsidR="00142353" w:rsidRPr="00D96B14" w:rsidRDefault="00142353" w:rsidP="004843DB">
            <w:pPr>
              <w:pStyle w:val="TableofFigures"/>
              <w:rPr>
                <w:b/>
                <w:bCs/>
              </w:rPr>
            </w:pPr>
            <w:r w:rsidRPr="00D96B14">
              <w:rPr>
                <w:b/>
                <w:bCs/>
              </w:rPr>
              <w:t>(1)</w:t>
            </w:r>
          </w:p>
        </w:tc>
        <w:tc>
          <w:tcPr>
            <w:tcW w:w="1197" w:type="dxa"/>
            <w:tcBorders>
              <w:top w:val="single" w:sz="4" w:space="0" w:color="auto"/>
              <w:bottom w:val="single" w:sz="12" w:space="0" w:color="auto"/>
            </w:tcBorders>
            <w:shd w:val="clear" w:color="auto" w:fill="auto"/>
            <w:vAlign w:val="center"/>
          </w:tcPr>
          <w:p w:rsidR="00142353" w:rsidRPr="00D96B14" w:rsidRDefault="00142353" w:rsidP="004843DB">
            <w:pPr>
              <w:pStyle w:val="TableofFigures"/>
              <w:jc w:val="center"/>
              <w:rPr>
                <w:b/>
                <w:bCs/>
              </w:rPr>
            </w:pPr>
            <w:r w:rsidRPr="00D96B14">
              <w:rPr>
                <w:b/>
                <w:bCs/>
              </w:rPr>
              <w:t>2</w:t>
            </w:r>
          </w:p>
        </w:tc>
      </w:tr>
    </w:tbl>
    <w:p w:rsidR="00142353" w:rsidRPr="00D96B14" w:rsidRDefault="00142353" w:rsidP="00142353">
      <w:pPr>
        <w:pStyle w:val="SmallLine"/>
      </w:pPr>
    </w:p>
    <w:p w:rsidR="00142353" w:rsidRPr="00D96B14" w:rsidRDefault="00142353" w:rsidP="00142353">
      <w:r w:rsidRPr="00D96B14">
        <w:t>The number of executives in the report of operations is based on the number of executive positions that are occupied at the end of the financial year. Note 41(a) in the Financial Statements lists the actual number of and amount of remuneration paid to EOs over the course of the reporting period. The Financial Statements note does not distinguish between executive levels, nor does it disclose separations, vacant positions, executives whose total remuneration is below $100 000, nor does it include the Accountable Officer. Separations are those executives who received more than $100 000 in the financial year and have left the Department during this year. To assist readers, these two disclosures are reconciled below.</w:t>
      </w:r>
    </w:p>
    <w:p w:rsidR="00142353" w:rsidRPr="00D96B14" w:rsidRDefault="00142353" w:rsidP="00142353">
      <w:pPr>
        <w:pStyle w:val="SmallLine"/>
      </w:pPr>
    </w:p>
    <w:p w:rsidR="00142353" w:rsidRPr="00D96B14" w:rsidRDefault="00142353" w:rsidP="00142353"/>
    <w:p w:rsidR="00142353" w:rsidRPr="00D96B14" w:rsidRDefault="00142353" w:rsidP="00E348C3">
      <w:pPr>
        <w:pStyle w:val="Tableheading"/>
      </w:pPr>
      <w:r w:rsidRPr="00D96B14">
        <w:t>Table 3: Reconciliation of executive numbers</w:t>
      </w:r>
    </w:p>
    <w:tbl>
      <w:tblPr>
        <w:tblW w:w="8053" w:type="dxa"/>
        <w:tblLayout w:type="fixed"/>
        <w:tblCellMar>
          <w:left w:w="43" w:type="dxa"/>
          <w:right w:w="43" w:type="dxa"/>
        </w:tblCellMar>
        <w:tblLook w:val="01E0" w:firstRow="1" w:lastRow="1" w:firstColumn="1" w:lastColumn="1" w:noHBand="0" w:noVBand="0"/>
      </w:tblPr>
      <w:tblGrid>
        <w:gridCol w:w="943"/>
        <w:gridCol w:w="5490"/>
        <w:gridCol w:w="810"/>
        <w:gridCol w:w="810"/>
      </w:tblGrid>
      <w:tr w:rsidR="00142353" w:rsidRPr="00D96B14" w:rsidTr="004843DB">
        <w:trPr>
          <w:cantSplit/>
        </w:trPr>
        <w:tc>
          <w:tcPr>
            <w:tcW w:w="943" w:type="dxa"/>
            <w:tcBorders>
              <w:top w:val="single" w:sz="4" w:space="0" w:color="auto"/>
              <w:bottom w:val="single" w:sz="6" w:space="0" w:color="auto"/>
            </w:tcBorders>
          </w:tcPr>
          <w:p w:rsidR="00142353" w:rsidRPr="00D96B14" w:rsidRDefault="00142353" w:rsidP="004843DB">
            <w:pPr>
              <w:pStyle w:val="TabletextheadingCentred"/>
            </w:pPr>
          </w:p>
        </w:tc>
        <w:tc>
          <w:tcPr>
            <w:tcW w:w="5490" w:type="dxa"/>
            <w:tcBorders>
              <w:top w:val="single" w:sz="4" w:space="0" w:color="auto"/>
              <w:bottom w:val="single" w:sz="6" w:space="0" w:color="auto"/>
            </w:tcBorders>
          </w:tcPr>
          <w:p w:rsidR="00142353" w:rsidRPr="00D96B14" w:rsidRDefault="00142353" w:rsidP="004843DB">
            <w:pPr>
              <w:pStyle w:val="TabletextheadingCentred"/>
            </w:pPr>
          </w:p>
        </w:tc>
        <w:tc>
          <w:tcPr>
            <w:tcW w:w="810" w:type="dxa"/>
            <w:tcBorders>
              <w:top w:val="single" w:sz="4" w:space="0" w:color="auto"/>
              <w:bottom w:val="single" w:sz="6" w:space="0" w:color="auto"/>
            </w:tcBorders>
            <w:vAlign w:val="center"/>
          </w:tcPr>
          <w:p w:rsidR="00142353" w:rsidRPr="00D96B14" w:rsidRDefault="00142353" w:rsidP="004843DB">
            <w:pPr>
              <w:pStyle w:val="TabletextheadingCentred"/>
              <w:jc w:val="right"/>
            </w:pPr>
            <w:r w:rsidRPr="00D96B14">
              <w:t>2016</w:t>
            </w:r>
          </w:p>
        </w:tc>
        <w:tc>
          <w:tcPr>
            <w:tcW w:w="810" w:type="dxa"/>
            <w:tcBorders>
              <w:top w:val="single" w:sz="4" w:space="0" w:color="auto"/>
              <w:bottom w:val="single" w:sz="6" w:space="0" w:color="auto"/>
            </w:tcBorders>
            <w:vAlign w:val="center"/>
          </w:tcPr>
          <w:p w:rsidR="00142353" w:rsidRPr="00D96B14" w:rsidRDefault="00142353" w:rsidP="004843DB">
            <w:pPr>
              <w:pStyle w:val="TabletextheadingCentred"/>
              <w:jc w:val="right"/>
            </w:pPr>
            <w:r w:rsidRPr="00D96B14">
              <w:t>2015</w:t>
            </w:r>
          </w:p>
        </w:tc>
      </w:tr>
      <w:tr w:rsidR="00142353" w:rsidRPr="00D96B14" w:rsidTr="004843DB">
        <w:trPr>
          <w:cantSplit/>
        </w:trPr>
        <w:tc>
          <w:tcPr>
            <w:tcW w:w="943" w:type="dxa"/>
            <w:tcBorders>
              <w:top w:val="single" w:sz="6" w:space="0" w:color="auto"/>
              <w:bottom w:val="single" w:sz="4" w:space="0" w:color="auto"/>
            </w:tcBorders>
            <w:vAlign w:val="bottom"/>
          </w:tcPr>
          <w:p w:rsidR="00142353" w:rsidRPr="00D96B14" w:rsidRDefault="00142353" w:rsidP="004843DB">
            <w:pPr>
              <w:pStyle w:val="Tabletext"/>
            </w:pPr>
          </w:p>
        </w:tc>
        <w:tc>
          <w:tcPr>
            <w:tcW w:w="5490" w:type="dxa"/>
            <w:tcBorders>
              <w:top w:val="single" w:sz="6" w:space="0" w:color="auto"/>
              <w:bottom w:val="single" w:sz="4" w:space="0" w:color="auto"/>
            </w:tcBorders>
            <w:vAlign w:val="bottom"/>
          </w:tcPr>
          <w:p w:rsidR="00142353" w:rsidRPr="00D96B14" w:rsidRDefault="00142353" w:rsidP="004843DB">
            <w:pPr>
              <w:pStyle w:val="Tabletext"/>
            </w:pPr>
            <w:r w:rsidRPr="00D96B14">
              <w:t>Executives with total remuneration over $100 000 (Financial Statement Note 41(a))</w:t>
            </w:r>
          </w:p>
        </w:tc>
        <w:tc>
          <w:tcPr>
            <w:tcW w:w="810" w:type="dxa"/>
            <w:tcBorders>
              <w:top w:val="single" w:sz="6" w:space="0" w:color="auto"/>
              <w:bottom w:val="single" w:sz="4" w:space="0" w:color="auto"/>
            </w:tcBorders>
          </w:tcPr>
          <w:p w:rsidR="00142353" w:rsidRPr="00D96B14" w:rsidRDefault="00142353" w:rsidP="004843DB">
            <w:pPr>
              <w:pStyle w:val="TableofFigures"/>
            </w:pPr>
            <w:r w:rsidRPr="00D96B14">
              <w:t>63</w:t>
            </w:r>
          </w:p>
        </w:tc>
        <w:tc>
          <w:tcPr>
            <w:tcW w:w="810" w:type="dxa"/>
            <w:tcBorders>
              <w:top w:val="single" w:sz="6" w:space="0" w:color="auto"/>
              <w:bottom w:val="single" w:sz="4" w:space="0" w:color="auto"/>
            </w:tcBorders>
          </w:tcPr>
          <w:p w:rsidR="00142353" w:rsidRPr="00D96B14" w:rsidRDefault="00142353" w:rsidP="004843DB">
            <w:pPr>
              <w:pStyle w:val="TableofFigures"/>
            </w:pPr>
            <w:r w:rsidRPr="00D96B14">
              <w:t>62</w:t>
            </w:r>
          </w:p>
        </w:tc>
      </w:tr>
      <w:tr w:rsidR="00142353" w:rsidRPr="00D96B14" w:rsidTr="004843DB">
        <w:trPr>
          <w:cantSplit/>
        </w:trPr>
        <w:tc>
          <w:tcPr>
            <w:tcW w:w="943" w:type="dxa"/>
            <w:tcBorders>
              <w:top w:val="single" w:sz="4" w:space="0" w:color="auto"/>
            </w:tcBorders>
            <w:vAlign w:val="bottom"/>
          </w:tcPr>
          <w:p w:rsidR="00142353" w:rsidRPr="00D96B14" w:rsidRDefault="00142353" w:rsidP="004843DB">
            <w:pPr>
              <w:pStyle w:val="Tabletextheading"/>
              <w:jc w:val="left"/>
            </w:pPr>
            <w:r w:rsidRPr="00D96B14">
              <w:t>Add</w:t>
            </w:r>
          </w:p>
        </w:tc>
        <w:tc>
          <w:tcPr>
            <w:tcW w:w="5490" w:type="dxa"/>
            <w:tcBorders>
              <w:top w:val="single" w:sz="4" w:space="0" w:color="auto"/>
            </w:tcBorders>
            <w:vAlign w:val="bottom"/>
          </w:tcPr>
          <w:p w:rsidR="00142353" w:rsidRPr="00D96B14" w:rsidRDefault="00142353" w:rsidP="004843DB">
            <w:pPr>
              <w:pStyle w:val="Tabletext"/>
            </w:pPr>
            <w:r w:rsidRPr="00D96B14">
              <w:t>Vacancies (Table 2)</w:t>
            </w:r>
          </w:p>
        </w:tc>
        <w:tc>
          <w:tcPr>
            <w:tcW w:w="810" w:type="dxa"/>
            <w:tcBorders>
              <w:top w:val="single" w:sz="4" w:space="0" w:color="auto"/>
            </w:tcBorders>
          </w:tcPr>
          <w:p w:rsidR="00142353" w:rsidRPr="00D96B14" w:rsidRDefault="00142353" w:rsidP="004843DB">
            <w:pPr>
              <w:pStyle w:val="TableofFigures"/>
            </w:pPr>
            <w:r w:rsidRPr="00D96B14">
              <w:t>5</w:t>
            </w:r>
          </w:p>
        </w:tc>
        <w:tc>
          <w:tcPr>
            <w:tcW w:w="810" w:type="dxa"/>
            <w:tcBorders>
              <w:top w:val="single" w:sz="4" w:space="0" w:color="auto"/>
            </w:tcBorders>
          </w:tcPr>
          <w:p w:rsidR="00142353" w:rsidRPr="00D96B14" w:rsidRDefault="00142353" w:rsidP="004843DB">
            <w:pPr>
              <w:pStyle w:val="TableofFigures"/>
            </w:pPr>
            <w:r w:rsidRPr="00D96B14">
              <w:t>7</w:t>
            </w:r>
          </w:p>
        </w:tc>
      </w:tr>
      <w:tr w:rsidR="00142353" w:rsidRPr="00D96B14" w:rsidTr="004843DB">
        <w:trPr>
          <w:cantSplit/>
        </w:trPr>
        <w:tc>
          <w:tcPr>
            <w:tcW w:w="943" w:type="dxa"/>
            <w:vAlign w:val="bottom"/>
          </w:tcPr>
          <w:p w:rsidR="00142353" w:rsidRPr="00D96B14" w:rsidRDefault="00142353" w:rsidP="004843DB">
            <w:pPr>
              <w:pStyle w:val="Tabletext"/>
            </w:pPr>
          </w:p>
        </w:tc>
        <w:tc>
          <w:tcPr>
            <w:tcW w:w="5490" w:type="dxa"/>
            <w:vAlign w:val="bottom"/>
          </w:tcPr>
          <w:p w:rsidR="00142353" w:rsidRPr="00D96B14" w:rsidRDefault="00142353" w:rsidP="004843DB">
            <w:pPr>
              <w:pStyle w:val="Tabletext"/>
            </w:pPr>
            <w:r w:rsidRPr="00D96B14">
              <w:t>Executives employed with total remuneration below $100 000</w:t>
            </w:r>
          </w:p>
        </w:tc>
        <w:tc>
          <w:tcPr>
            <w:tcW w:w="810" w:type="dxa"/>
          </w:tcPr>
          <w:p w:rsidR="00142353" w:rsidRPr="00D96B14" w:rsidRDefault="00142353" w:rsidP="004843DB">
            <w:pPr>
              <w:pStyle w:val="TableofFigures"/>
            </w:pPr>
            <w:r w:rsidRPr="00D96B14">
              <w:t>16</w:t>
            </w:r>
          </w:p>
        </w:tc>
        <w:tc>
          <w:tcPr>
            <w:tcW w:w="810" w:type="dxa"/>
          </w:tcPr>
          <w:p w:rsidR="00142353" w:rsidRPr="00D96B14" w:rsidRDefault="00142353" w:rsidP="004843DB">
            <w:pPr>
              <w:pStyle w:val="TableofFigures"/>
            </w:pPr>
            <w:r w:rsidRPr="00D96B14">
              <w:t>21</w:t>
            </w:r>
          </w:p>
        </w:tc>
      </w:tr>
      <w:tr w:rsidR="00142353" w:rsidRPr="00D96B14" w:rsidTr="004843DB">
        <w:trPr>
          <w:cantSplit/>
        </w:trPr>
        <w:tc>
          <w:tcPr>
            <w:tcW w:w="943" w:type="dxa"/>
            <w:tcBorders>
              <w:bottom w:val="single" w:sz="4" w:space="0" w:color="auto"/>
            </w:tcBorders>
            <w:vAlign w:val="bottom"/>
          </w:tcPr>
          <w:p w:rsidR="00142353" w:rsidRPr="00D96B14" w:rsidRDefault="00142353" w:rsidP="004843DB">
            <w:pPr>
              <w:pStyle w:val="Tabletext"/>
            </w:pPr>
          </w:p>
        </w:tc>
        <w:tc>
          <w:tcPr>
            <w:tcW w:w="5490" w:type="dxa"/>
            <w:tcBorders>
              <w:bottom w:val="single" w:sz="4" w:space="0" w:color="auto"/>
            </w:tcBorders>
            <w:vAlign w:val="bottom"/>
          </w:tcPr>
          <w:p w:rsidR="00142353" w:rsidRPr="00D96B14" w:rsidRDefault="00142353" w:rsidP="004843DB">
            <w:pPr>
              <w:pStyle w:val="Tabletext"/>
            </w:pPr>
            <w:r w:rsidRPr="00D96B14">
              <w:t>Accountable Officer (Secretary)</w:t>
            </w:r>
          </w:p>
        </w:tc>
        <w:tc>
          <w:tcPr>
            <w:tcW w:w="810" w:type="dxa"/>
            <w:tcBorders>
              <w:bottom w:val="single" w:sz="4" w:space="0" w:color="auto"/>
            </w:tcBorders>
          </w:tcPr>
          <w:p w:rsidR="00142353" w:rsidRPr="00D96B14" w:rsidRDefault="00142353" w:rsidP="004843DB">
            <w:pPr>
              <w:pStyle w:val="TableofFigures"/>
            </w:pPr>
            <w:r w:rsidRPr="00D96B14">
              <w:t>1</w:t>
            </w:r>
          </w:p>
        </w:tc>
        <w:tc>
          <w:tcPr>
            <w:tcW w:w="810" w:type="dxa"/>
            <w:tcBorders>
              <w:bottom w:val="single" w:sz="4" w:space="0" w:color="auto"/>
            </w:tcBorders>
          </w:tcPr>
          <w:p w:rsidR="00142353" w:rsidRPr="00D96B14" w:rsidRDefault="00142353" w:rsidP="004843DB">
            <w:pPr>
              <w:pStyle w:val="TableofFigures"/>
            </w:pPr>
            <w:r w:rsidRPr="00D96B14">
              <w:t>1</w:t>
            </w:r>
          </w:p>
        </w:tc>
      </w:tr>
      <w:tr w:rsidR="00142353" w:rsidRPr="00D96B14" w:rsidTr="004843DB">
        <w:trPr>
          <w:cantSplit/>
        </w:trPr>
        <w:tc>
          <w:tcPr>
            <w:tcW w:w="943" w:type="dxa"/>
            <w:tcBorders>
              <w:top w:val="single" w:sz="4" w:space="0" w:color="auto"/>
            </w:tcBorders>
            <w:vAlign w:val="bottom"/>
          </w:tcPr>
          <w:p w:rsidR="00142353" w:rsidRPr="00D96B14" w:rsidRDefault="00142353" w:rsidP="004843DB">
            <w:pPr>
              <w:pStyle w:val="Tabletextheading"/>
              <w:jc w:val="left"/>
            </w:pPr>
            <w:r w:rsidRPr="00D96B14">
              <w:t>Less</w:t>
            </w:r>
          </w:p>
        </w:tc>
        <w:tc>
          <w:tcPr>
            <w:tcW w:w="5490" w:type="dxa"/>
            <w:tcBorders>
              <w:top w:val="single" w:sz="4" w:space="0" w:color="auto"/>
            </w:tcBorders>
            <w:vAlign w:val="bottom"/>
          </w:tcPr>
          <w:p w:rsidR="00142353" w:rsidRPr="00D96B14" w:rsidRDefault="00142353" w:rsidP="004843DB">
            <w:pPr>
              <w:pStyle w:val="Tabletext"/>
            </w:pPr>
            <w:r w:rsidRPr="00D96B14">
              <w:t>Separations</w:t>
            </w:r>
          </w:p>
        </w:tc>
        <w:tc>
          <w:tcPr>
            <w:tcW w:w="810" w:type="dxa"/>
            <w:tcBorders>
              <w:top w:val="single" w:sz="4" w:space="0" w:color="auto"/>
            </w:tcBorders>
          </w:tcPr>
          <w:p w:rsidR="00142353" w:rsidRPr="00D96B14" w:rsidRDefault="00142353" w:rsidP="004843DB">
            <w:pPr>
              <w:pStyle w:val="TableofFigures"/>
            </w:pPr>
            <w:r w:rsidRPr="00D96B14">
              <w:t>(2)</w:t>
            </w:r>
          </w:p>
        </w:tc>
        <w:tc>
          <w:tcPr>
            <w:tcW w:w="810" w:type="dxa"/>
            <w:tcBorders>
              <w:top w:val="single" w:sz="4" w:space="0" w:color="auto"/>
            </w:tcBorders>
          </w:tcPr>
          <w:p w:rsidR="00142353" w:rsidRPr="00D96B14" w:rsidRDefault="00142353" w:rsidP="004843DB">
            <w:pPr>
              <w:pStyle w:val="TableofFigures"/>
            </w:pPr>
            <w:r w:rsidRPr="00D96B14">
              <w:t>(4)</w:t>
            </w:r>
          </w:p>
        </w:tc>
      </w:tr>
      <w:tr w:rsidR="00142353" w:rsidRPr="00D96B14" w:rsidTr="004843DB">
        <w:trPr>
          <w:cantSplit/>
        </w:trPr>
        <w:tc>
          <w:tcPr>
            <w:tcW w:w="943" w:type="dxa"/>
            <w:tcBorders>
              <w:top w:val="single" w:sz="6" w:space="0" w:color="auto"/>
              <w:bottom w:val="single" w:sz="12" w:space="0" w:color="auto"/>
            </w:tcBorders>
            <w:vAlign w:val="bottom"/>
          </w:tcPr>
          <w:p w:rsidR="00142353" w:rsidRPr="00D96B14" w:rsidRDefault="00142353" w:rsidP="004843DB">
            <w:pPr>
              <w:pStyle w:val="Tabletext"/>
            </w:pPr>
          </w:p>
        </w:tc>
        <w:tc>
          <w:tcPr>
            <w:tcW w:w="5490" w:type="dxa"/>
            <w:tcBorders>
              <w:top w:val="single" w:sz="6" w:space="0" w:color="auto"/>
              <w:bottom w:val="single" w:sz="12" w:space="0" w:color="auto"/>
            </w:tcBorders>
            <w:vAlign w:val="bottom"/>
          </w:tcPr>
          <w:p w:rsidR="00142353" w:rsidRPr="00D96B14" w:rsidRDefault="00142353" w:rsidP="004843DB">
            <w:pPr>
              <w:pStyle w:val="Tabletext"/>
            </w:pPr>
            <w:r w:rsidRPr="00D96B14">
              <w:rPr>
                <w:b/>
                <w:bCs/>
              </w:rPr>
              <w:t>Total executive numbers at 30 June</w:t>
            </w:r>
          </w:p>
        </w:tc>
        <w:tc>
          <w:tcPr>
            <w:tcW w:w="810" w:type="dxa"/>
            <w:tcBorders>
              <w:top w:val="single" w:sz="6" w:space="0" w:color="auto"/>
              <w:bottom w:val="single" w:sz="12" w:space="0" w:color="auto"/>
            </w:tcBorders>
          </w:tcPr>
          <w:p w:rsidR="00142353" w:rsidRPr="00D96B14" w:rsidRDefault="00142353" w:rsidP="004843DB">
            <w:pPr>
              <w:pStyle w:val="TableofFigures"/>
              <w:rPr>
                <w:b/>
                <w:bCs/>
              </w:rPr>
            </w:pPr>
            <w:r w:rsidRPr="00D96B14">
              <w:rPr>
                <w:b/>
                <w:bCs/>
              </w:rPr>
              <w:t>83</w:t>
            </w:r>
          </w:p>
        </w:tc>
        <w:tc>
          <w:tcPr>
            <w:tcW w:w="810" w:type="dxa"/>
            <w:tcBorders>
              <w:top w:val="single" w:sz="6" w:space="0" w:color="auto"/>
              <w:bottom w:val="single" w:sz="12" w:space="0" w:color="auto"/>
            </w:tcBorders>
          </w:tcPr>
          <w:p w:rsidR="00142353" w:rsidRPr="00D96B14" w:rsidRDefault="00142353" w:rsidP="004843DB">
            <w:pPr>
              <w:pStyle w:val="TableofFigures"/>
              <w:rPr>
                <w:b/>
                <w:bCs/>
              </w:rPr>
            </w:pPr>
            <w:r w:rsidRPr="00D96B14">
              <w:rPr>
                <w:b/>
                <w:bCs/>
              </w:rPr>
              <w:t>87</w:t>
            </w:r>
          </w:p>
        </w:tc>
      </w:tr>
    </w:tbl>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 w:rsidR="00142353" w:rsidRPr="00D96B14" w:rsidRDefault="00142353" w:rsidP="00142353"/>
    <w:p w:rsidR="00142353" w:rsidRPr="00D96B14" w:rsidRDefault="00142353" w:rsidP="00142353"/>
    <w:p w:rsidR="00142353" w:rsidRPr="00D96B14" w:rsidRDefault="00142353" w:rsidP="00142353">
      <w:pPr>
        <w:pStyle w:val="Reference"/>
        <w:spacing w:before="400"/>
      </w:pPr>
      <w:r w:rsidRPr="00D96B14">
        <w:rPr>
          <w:color w:val="FF0000"/>
          <w:lang w:val="en-AU"/>
        </w:rPr>
        <w:t>Revised</w:t>
      </w:r>
      <w:r w:rsidRPr="00D96B14">
        <w:br w:type="column"/>
      </w:r>
    </w:p>
    <w:p w:rsidR="00142353" w:rsidRPr="00D96B14" w:rsidRDefault="00142353" w:rsidP="00E348C3">
      <w:pPr>
        <w:pStyle w:val="Tableheading"/>
      </w:pPr>
      <w:r w:rsidRPr="00D96B14">
        <w:t>Table 4: Number of EOs for the Department</w:t>
      </w:r>
      <w:r w:rsidR="005A4BB0">
        <w:t>’</w:t>
      </w:r>
      <w:r w:rsidRPr="00D96B14">
        <w:t>s portfolio agencies</w:t>
      </w:r>
    </w:p>
    <w:tbl>
      <w:tblPr>
        <w:tblW w:w="8108" w:type="dxa"/>
        <w:tblInd w:w="43" w:type="dxa"/>
        <w:tblLayout w:type="fixed"/>
        <w:tblCellMar>
          <w:left w:w="43" w:type="dxa"/>
          <w:right w:w="43" w:type="dxa"/>
        </w:tblCellMar>
        <w:tblLook w:val="01E0" w:firstRow="1" w:lastRow="1" w:firstColumn="1" w:lastColumn="1" w:noHBand="0" w:noVBand="0"/>
      </w:tblPr>
      <w:tblGrid>
        <w:gridCol w:w="2880"/>
        <w:gridCol w:w="655"/>
        <w:gridCol w:w="675"/>
        <w:gridCol w:w="1100"/>
        <w:gridCol w:w="180"/>
        <w:gridCol w:w="637"/>
        <w:gridCol w:w="708"/>
        <w:gridCol w:w="567"/>
        <w:gridCol w:w="706"/>
      </w:tblGrid>
      <w:tr w:rsidR="00142353" w:rsidRPr="00D96B14" w:rsidTr="004843DB">
        <w:trPr>
          <w:cantSplit/>
        </w:trPr>
        <w:tc>
          <w:tcPr>
            <w:tcW w:w="2880" w:type="dxa"/>
            <w:tcBorders>
              <w:top w:val="single" w:sz="4" w:space="0" w:color="auto"/>
              <w:bottom w:val="single" w:sz="6" w:space="0" w:color="auto"/>
            </w:tcBorders>
          </w:tcPr>
          <w:p w:rsidR="00142353" w:rsidRPr="00D96B14" w:rsidRDefault="00142353" w:rsidP="004843DB">
            <w:pPr>
              <w:pStyle w:val="TabletextheadingCentred"/>
              <w:rPr>
                <w:snapToGrid w:val="0"/>
              </w:rPr>
            </w:pPr>
          </w:p>
        </w:tc>
        <w:tc>
          <w:tcPr>
            <w:tcW w:w="1330" w:type="dxa"/>
            <w:gridSpan w:val="2"/>
            <w:tcBorders>
              <w:top w:val="single" w:sz="4" w:space="0" w:color="auto"/>
              <w:bottom w:val="single" w:sz="6" w:space="0" w:color="auto"/>
            </w:tcBorders>
            <w:vAlign w:val="center"/>
          </w:tcPr>
          <w:p w:rsidR="00142353" w:rsidRPr="00D96B14" w:rsidRDefault="00142353" w:rsidP="004843DB">
            <w:pPr>
              <w:pStyle w:val="TabletextheadingCentred"/>
            </w:pPr>
            <w:r w:rsidRPr="00D96B14">
              <w:t>Total</w:t>
            </w:r>
          </w:p>
        </w:tc>
        <w:tc>
          <w:tcPr>
            <w:tcW w:w="1100" w:type="dxa"/>
            <w:tcBorders>
              <w:top w:val="single" w:sz="4" w:space="0" w:color="auto"/>
              <w:bottom w:val="single" w:sz="6" w:space="0" w:color="auto"/>
            </w:tcBorders>
            <w:vAlign w:val="center"/>
          </w:tcPr>
          <w:p w:rsidR="00142353" w:rsidRPr="00D96B14" w:rsidRDefault="00142353" w:rsidP="004843DB">
            <w:pPr>
              <w:pStyle w:val="TabletextheadingCentred"/>
              <w:rPr>
                <w:snapToGrid w:val="0"/>
              </w:rPr>
            </w:pPr>
            <w:r w:rsidRPr="00D96B14">
              <w:rPr>
                <w:snapToGrid w:val="0"/>
              </w:rPr>
              <w:t>Vacancies</w:t>
            </w:r>
          </w:p>
        </w:tc>
        <w:tc>
          <w:tcPr>
            <w:tcW w:w="180" w:type="dxa"/>
            <w:vMerge w:val="restart"/>
            <w:tcBorders>
              <w:top w:val="single" w:sz="4" w:space="0" w:color="auto"/>
            </w:tcBorders>
            <w:vAlign w:val="center"/>
          </w:tcPr>
          <w:p w:rsidR="00142353" w:rsidRPr="00D96B14" w:rsidRDefault="00142353" w:rsidP="004843DB">
            <w:pPr>
              <w:pStyle w:val="TabletextheadingCentred"/>
              <w:rPr>
                <w:snapToGrid w:val="0"/>
              </w:rPr>
            </w:pPr>
          </w:p>
        </w:tc>
        <w:tc>
          <w:tcPr>
            <w:tcW w:w="1345" w:type="dxa"/>
            <w:gridSpan w:val="2"/>
            <w:tcBorders>
              <w:top w:val="single" w:sz="4" w:space="0" w:color="auto"/>
              <w:bottom w:val="single" w:sz="6" w:space="0" w:color="auto"/>
            </w:tcBorders>
            <w:vAlign w:val="center"/>
          </w:tcPr>
          <w:p w:rsidR="00142353" w:rsidRPr="00D96B14" w:rsidRDefault="00142353" w:rsidP="004843DB">
            <w:pPr>
              <w:pStyle w:val="TabletextheadingCentred"/>
              <w:rPr>
                <w:snapToGrid w:val="0"/>
              </w:rPr>
            </w:pPr>
            <w:r w:rsidRPr="00D96B14">
              <w:rPr>
                <w:snapToGrid w:val="0"/>
              </w:rPr>
              <w:t>Male</w:t>
            </w:r>
          </w:p>
        </w:tc>
        <w:tc>
          <w:tcPr>
            <w:tcW w:w="1273" w:type="dxa"/>
            <w:gridSpan w:val="2"/>
            <w:tcBorders>
              <w:top w:val="single" w:sz="4" w:space="0" w:color="auto"/>
              <w:bottom w:val="single" w:sz="6" w:space="0" w:color="auto"/>
            </w:tcBorders>
            <w:vAlign w:val="center"/>
          </w:tcPr>
          <w:p w:rsidR="00142353" w:rsidRPr="00D96B14" w:rsidRDefault="00142353" w:rsidP="004843DB">
            <w:pPr>
              <w:pStyle w:val="TabletextheadingCentred"/>
              <w:rPr>
                <w:snapToGrid w:val="0"/>
              </w:rPr>
            </w:pPr>
            <w:r w:rsidRPr="00D96B14">
              <w:rPr>
                <w:snapToGrid w:val="0"/>
              </w:rPr>
              <w:t>Female</w:t>
            </w:r>
          </w:p>
        </w:tc>
      </w:tr>
      <w:tr w:rsidR="00142353" w:rsidRPr="00D96B14" w:rsidTr="004843DB">
        <w:trPr>
          <w:cantSplit/>
        </w:trPr>
        <w:tc>
          <w:tcPr>
            <w:tcW w:w="2880" w:type="dxa"/>
            <w:tcBorders>
              <w:top w:val="single" w:sz="6" w:space="0" w:color="auto"/>
              <w:bottom w:val="single" w:sz="4" w:space="0" w:color="auto"/>
            </w:tcBorders>
          </w:tcPr>
          <w:p w:rsidR="00142353" w:rsidRPr="00D96B14" w:rsidRDefault="00142353" w:rsidP="004843DB">
            <w:pPr>
              <w:pStyle w:val="Tabletext"/>
            </w:pPr>
            <w:r w:rsidRPr="00D96B14">
              <w:t>Portfolio agencies</w:t>
            </w:r>
          </w:p>
        </w:tc>
        <w:tc>
          <w:tcPr>
            <w:tcW w:w="655" w:type="dxa"/>
            <w:tcBorders>
              <w:top w:val="single" w:sz="6" w:space="0" w:color="auto"/>
              <w:bottom w:val="single" w:sz="4" w:space="0" w:color="auto"/>
            </w:tcBorders>
          </w:tcPr>
          <w:p w:rsidR="00142353" w:rsidRPr="00D96B14" w:rsidRDefault="00142353" w:rsidP="004843DB">
            <w:pPr>
              <w:pStyle w:val="Tabletextheading"/>
              <w:rPr>
                <w:noProof w:val="0"/>
                <w:snapToGrid w:val="0"/>
              </w:rPr>
            </w:pPr>
            <w:r w:rsidRPr="00D96B14">
              <w:rPr>
                <w:noProof w:val="0"/>
                <w:snapToGrid w:val="0"/>
              </w:rPr>
              <w:t>No.</w:t>
            </w:r>
          </w:p>
        </w:tc>
        <w:tc>
          <w:tcPr>
            <w:tcW w:w="675" w:type="dxa"/>
            <w:tcBorders>
              <w:top w:val="single" w:sz="6" w:space="0" w:color="auto"/>
              <w:bottom w:val="single" w:sz="4" w:space="0" w:color="auto"/>
            </w:tcBorders>
          </w:tcPr>
          <w:p w:rsidR="00142353" w:rsidRPr="00D96B14" w:rsidRDefault="00142353" w:rsidP="004843DB">
            <w:pPr>
              <w:pStyle w:val="Tabletextheading"/>
              <w:rPr>
                <w:noProof w:val="0"/>
                <w:snapToGrid w:val="0"/>
              </w:rPr>
            </w:pPr>
            <w:r w:rsidRPr="00D96B14">
              <w:rPr>
                <w:noProof w:val="0"/>
                <w:snapToGrid w:val="0"/>
              </w:rPr>
              <w:t>Var.</w:t>
            </w:r>
          </w:p>
        </w:tc>
        <w:tc>
          <w:tcPr>
            <w:tcW w:w="1100" w:type="dxa"/>
            <w:tcBorders>
              <w:top w:val="single" w:sz="6" w:space="0" w:color="auto"/>
              <w:bottom w:val="single" w:sz="4" w:space="0" w:color="auto"/>
            </w:tcBorders>
          </w:tcPr>
          <w:p w:rsidR="00142353" w:rsidRPr="00D96B14" w:rsidRDefault="00142353" w:rsidP="004843DB">
            <w:pPr>
              <w:pStyle w:val="Tabletextheading"/>
              <w:jc w:val="center"/>
              <w:rPr>
                <w:noProof w:val="0"/>
                <w:snapToGrid w:val="0"/>
              </w:rPr>
            </w:pPr>
            <w:r w:rsidRPr="00D96B14">
              <w:rPr>
                <w:noProof w:val="0"/>
                <w:snapToGrid w:val="0"/>
              </w:rPr>
              <w:t>No.</w:t>
            </w:r>
          </w:p>
        </w:tc>
        <w:tc>
          <w:tcPr>
            <w:tcW w:w="180" w:type="dxa"/>
            <w:vMerge/>
          </w:tcPr>
          <w:p w:rsidR="00142353" w:rsidRPr="00D96B14" w:rsidRDefault="00142353" w:rsidP="004843DB">
            <w:pPr>
              <w:pStyle w:val="Tabletextheading"/>
              <w:rPr>
                <w:noProof w:val="0"/>
                <w:snapToGrid w:val="0"/>
              </w:rPr>
            </w:pPr>
          </w:p>
        </w:tc>
        <w:tc>
          <w:tcPr>
            <w:tcW w:w="637" w:type="dxa"/>
            <w:tcBorders>
              <w:top w:val="single" w:sz="6" w:space="0" w:color="auto"/>
              <w:bottom w:val="single" w:sz="4" w:space="0" w:color="auto"/>
            </w:tcBorders>
          </w:tcPr>
          <w:p w:rsidR="00142353" w:rsidRPr="00D96B14" w:rsidRDefault="00142353" w:rsidP="004843DB">
            <w:pPr>
              <w:pStyle w:val="Tabletextheading"/>
              <w:rPr>
                <w:noProof w:val="0"/>
                <w:snapToGrid w:val="0"/>
              </w:rPr>
            </w:pPr>
            <w:r w:rsidRPr="00D96B14">
              <w:rPr>
                <w:noProof w:val="0"/>
                <w:snapToGrid w:val="0"/>
              </w:rPr>
              <w:t>No.</w:t>
            </w:r>
          </w:p>
        </w:tc>
        <w:tc>
          <w:tcPr>
            <w:tcW w:w="708" w:type="dxa"/>
            <w:tcBorders>
              <w:top w:val="single" w:sz="6" w:space="0" w:color="auto"/>
              <w:bottom w:val="single" w:sz="4" w:space="0" w:color="auto"/>
            </w:tcBorders>
          </w:tcPr>
          <w:p w:rsidR="00142353" w:rsidRPr="00D96B14" w:rsidRDefault="00142353" w:rsidP="004843DB">
            <w:pPr>
              <w:pStyle w:val="Tabletextheading"/>
              <w:rPr>
                <w:noProof w:val="0"/>
                <w:snapToGrid w:val="0"/>
              </w:rPr>
            </w:pPr>
            <w:r w:rsidRPr="00D96B14">
              <w:rPr>
                <w:noProof w:val="0"/>
                <w:snapToGrid w:val="0"/>
              </w:rPr>
              <w:t>Var.</w:t>
            </w:r>
          </w:p>
        </w:tc>
        <w:tc>
          <w:tcPr>
            <w:tcW w:w="567" w:type="dxa"/>
            <w:tcBorders>
              <w:top w:val="single" w:sz="6" w:space="0" w:color="auto"/>
              <w:bottom w:val="single" w:sz="4" w:space="0" w:color="auto"/>
            </w:tcBorders>
          </w:tcPr>
          <w:p w:rsidR="00142353" w:rsidRPr="00D96B14" w:rsidRDefault="00142353" w:rsidP="004843DB">
            <w:pPr>
              <w:pStyle w:val="Tabletextheading"/>
              <w:rPr>
                <w:noProof w:val="0"/>
                <w:snapToGrid w:val="0"/>
              </w:rPr>
            </w:pPr>
            <w:r w:rsidRPr="00D96B14">
              <w:rPr>
                <w:noProof w:val="0"/>
                <w:snapToGrid w:val="0"/>
              </w:rPr>
              <w:t>No.</w:t>
            </w:r>
          </w:p>
        </w:tc>
        <w:tc>
          <w:tcPr>
            <w:tcW w:w="706" w:type="dxa"/>
            <w:tcBorders>
              <w:top w:val="single" w:sz="6" w:space="0" w:color="auto"/>
              <w:bottom w:val="single" w:sz="4" w:space="0" w:color="auto"/>
            </w:tcBorders>
          </w:tcPr>
          <w:p w:rsidR="00142353" w:rsidRPr="00D96B14" w:rsidRDefault="00142353" w:rsidP="004843DB">
            <w:pPr>
              <w:pStyle w:val="Tabletextheading"/>
              <w:rPr>
                <w:noProof w:val="0"/>
                <w:snapToGrid w:val="0"/>
              </w:rPr>
            </w:pPr>
            <w:r w:rsidRPr="00D96B14">
              <w:rPr>
                <w:noProof w:val="0"/>
                <w:snapToGrid w:val="0"/>
              </w:rPr>
              <w:t>Var.</w:t>
            </w:r>
          </w:p>
        </w:tc>
      </w:tr>
      <w:tr w:rsidR="00142353" w:rsidRPr="00D96B14" w:rsidTr="004843DB">
        <w:trPr>
          <w:cantSplit/>
        </w:trPr>
        <w:tc>
          <w:tcPr>
            <w:tcW w:w="2880" w:type="dxa"/>
            <w:tcBorders>
              <w:top w:val="single" w:sz="4" w:space="0" w:color="auto"/>
            </w:tcBorders>
            <w:vAlign w:val="bottom"/>
          </w:tcPr>
          <w:p w:rsidR="00142353" w:rsidRPr="00D96B14" w:rsidRDefault="00142353" w:rsidP="004843DB">
            <w:pPr>
              <w:pStyle w:val="Tabletext"/>
            </w:pPr>
            <w:r w:rsidRPr="00D96B14">
              <w:t>Commissioner of New Technology</w:t>
            </w:r>
          </w:p>
        </w:tc>
        <w:tc>
          <w:tcPr>
            <w:tcW w:w="655" w:type="dxa"/>
            <w:tcBorders>
              <w:top w:val="single" w:sz="4" w:space="0" w:color="auto"/>
            </w:tcBorders>
            <w:vAlign w:val="bottom"/>
          </w:tcPr>
          <w:p w:rsidR="00142353" w:rsidRPr="00D96B14" w:rsidRDefault="00142353" w:rsidP="004843DB">
            <w:pPr>
              <w:pStyle w:val="TableofFigures"/>
              <w:rPr>
                <w:snapToGrid w:val="0"/>
              </w:rPr>
            </w:pPr>
            <w:r w:rsidRPr="00D96B14">
              <w:rPr>
                <w:snapToGrid w:val="0"/>
              </w:rPr>
              <w:t>9</w:t>
            </w:r>
          </w:p>
        </w:tc>
        <w:tc>
          <w:tcPr>
            <w:tcW w:w="675" w:type="dxa"/>
            <w:tcBorders>
              <w:top w:val="single" w:sz="4" w:space="0" w:color="auto"/>
            </w:tcBorders>
            <w:vAlign w:val="bottom"/>
          </w:tcPr>
          <w:p w:rsidR="00142353" w:rsidRPr="00D96B14" w:rsidRDefault="00142353" w:rsidP="004843DB">
            <w:pPr>
              <w:pStyle w:val="TableofFigures"/>
              <w:rPr>
                <w:snapToGrid w:val="0"/>
              </w:rPr>
            </w:pPr>
            <w:r w:rsidRPr="00D96B14">
              <w:rPr>
                <w:snapToGrid w:val="0"/>
              </w:rPr>
              <w:t>(4)</w:t>
            </w:r>
          </w:p>
        </w:tc>
        <w:tc>
          <w:tcPr>
            <w:tcW w:w="1100" w:type="dxa"/>
            <w:tcBorders>
              <w:top w:val="single" w:sz="4" w:space="0" w:color="auto"/>
            </w:tcBorders>
            <w:vAlign w:val="bottom"/>
          </w:tcPr>
          <w:p w:rsidR="00142353" w:rsidRPr="00D96B14" w:rsidRDefault="00142353" w:rsidP="004843DB">
            <w:pPr>
              <w:pStyle w:val="TableofFigures"/>
              <w:jc w:val="center"/>
              <w:rPr>
                <w:snapToGrid w:val="0"/>
              </w:rPr>
            </w:pPr>
            <w:r w:rsidRPr="00D96B14">
              <w:rPr>
                <w:snapToGrid w:val="0"/>
              </w:rPr>
              <w:t>1</w:t>
            </w:r>
          </w:p>
        </w:tc>
        <w:tc>
          <w:tcPr>
            <w:tcW w:w="180" w:type="dxa"/>
            <w:vAlign w:val="bottom"/>
          </w:tcPr>
          <w:p w:rsidR="00142353" w:rsidRPr="00D96B14" w:rsidRDefault="00142353" w:rsidP="004843DB">
            <w:pPr>
              <w:pStyle w:val="TableofFigures"/>
              <w:rPr>
                <w:snapToGrid w:val="0"/>
              </w:rPr>
            </w:pPr>
          </w:p>
        </w:tc>
        <w:tc>
          <w:tcPr>
            <w:tcW w:w="637" w:type="dxa"/>
            <w:tcBorders>
              <w:top w:val="single" w:sz="4" w:space="0" w:color="auto"/>
            </w:tcBorders>
            <w:vAlign w:val="bottom"/>
          </w:tcPr>
          <w:p w:rsidR="00142353" w:rsidRPr="00D96B14" w:rsidRDefault="00142353" w:rsidP="004843DB">
            <w:pPr>
              <w:pStyle w:val="TableofFigures"/>
              <w:rPr>
                <w:snapToGrid w:val="0"/>
              </w:rPr>
            </w:pPr>
            <w:r w:rsidRPr="00D96B14">
              <w:rPr>
                <w:snapToGrid w:val="0"/>
              </w:rPr>
              <w:t>9</w:t>
            </w:r>
          </w:p>
        </w:tc>
        <w:tc>
          <w:tcPr>
            <w:tcW w:w="708" w:type="dxa"/>
            <w:tcBorders>
              <w:top w:val="single" w:sz="4" w:space="0" w:color="auto"/>
            </w:tcBorders>
            <w:vAlign w:val="bottom"/>
          </w:tcPr>
          <w:p w:rsidR="00142353" w:rsidRPr="00D96B14" w:rsidRDefault="00142353" w:rsidP="004843DB">
            <w:pPr>
              <w:pStyle w:val="TableofFigures"/>
              <w:rPr>
                <w:snapToGrid w:val="0"/>
              </w:rPr>
            </w:pPr>
            <w:r w:rsidRPr="00D96B14">
              <w:rPr>
                <w:snapToGrid w:val="0"/>
              </w:rPr>
              <w:t>(1)</w:t>
            </w:r>
          </w:p>
        </w:tc>
        <w:tc>
          <w:tcPr>
            <w:tcW w:w="567" w:type="dxa"/>
            <w:tcBorders>
              <w:top w:val="single" w:sz="4" w:space="0" w:color="auto"/>
            </w:tcBorders>
            <w:vAlign w:val="bottom"/>
          </w:tcPr>
          <w:p w:rsidR="00142353" w:rsidRPr="00D96B14" w:rsidRDefault="00142353" w:rsidP="004843DB">
            <w:pPr>
              <w:pStyle w:val="TableofFigures"/>
              <w:rPr>
                <w:snapToGrid w:val="0"/>
              </w:rPr>
            </w:pPr>
            <w:r w:rsidRPr="00D96B14">
              <w:rPr>
                <w:snapToGrid w:val="0"/>
              </w:rPr>
              <w:t>0</w:t>
            </w:r>
          </w:p>
        </w:tc>
        <w:tc>
          <w:tcPr>
            <w:tcW w:w="706" w:type="dxa"/>
            <w:tcBorders>
              <w:top w:val="single" w:sz="4" w:space="0" w:color="auto"/>
            </w:tcBorders>
            <w:vAlign w:val="bottom"/>
          </w:tcPr>
          <w:p w:rsidR="00142353" w:rsidRPr="00D96B14" w:rsidRDefault="00142353" w:rsidP="004843DB">
            <w:pPr>
              <w:pStyle w:val="TableofFigures"/>
              <w:rPr>
                <w:snapToGrid w:val="0"/>
              </w:rPr>
            </w:pPr>
            <w:r w:rsidRPr="00D96B14">
              <w:rPr>
                <w:snapToGrid w:val="0"/>
              </w:rPr>
              <w:t>(3)</w:t>
            </w:r>
          </w:p>
        </w:tc>
      </w:tr>
      <w:tr w:rsidR="00142353" w:rsidRPr="00D96B14" w:rsidTr="004843DB">
        <w:trPr>
          <w:cantSplit/>
        </w:trPr>
        <w:tc>
          <w:tcPr>
            <w:tcW w:w="2880" w:type="dxa"/>
            <w:vAlign w:val="bottom"/>
          </w:tcPr>
          <w:p w:rsidR="00142353" w:rsidRPr="00D96B14" w:rsidRDefault="00142353" w:rsidP="004843DB">
            <w:pPr>
              <w:pStyle w:val="Tabletext"/>
            </w:pPr>
            <w:r w:rsidRPr="00D96B14">
              <w:t>Innovation Victoria</w:t>
            </w:r>
          </w:p>
        </w:tc>
        <w:tc>
          <w:tcPr>
            <w:tcW w:w="655" w:type="dxa"/>
            <w:vAlign w:val="bottom"/>
          </w:tcPr>
          <w:p w:rsidR="00142353" w:rsidRPr="00D96B14" w:rsidRDefault="00142353" w:rsidP="004843DB">
            <w:pPr>
              <w:pStyle w:val="TableofFigures"/>
              <w:rPr>
                <w:snapToGrid w:val="0"/>
              </w:rPr>
            </w:pPr>
            <w:r w:rsidRPr="00D96B14">
              <w:rPr>
                <w:snapToGrid w:val="0"/>
              </w:rPr>
              <w:t>2</w:t>
            </w:r>
          </w:p>
        </w:tc>
        <w:tc>
          <w:tcPr>
            <w:tcW w:w="675" w:type="dxa"/>
            <w:vAlign w:val="bottom"/>
          </w:tcPr>
          <w:p w:rsidR="00142353" w:rsidRPr="00D96B14" w:rsidRDefault="00142353" w:rsidP="004843DB">
            <w:pPr>
              <w:pStyle w:val="TableofFigures"/>
              <w:rPr>
                <w:snapToGrid w:val="0"/>
              </w:rPr>
            </w:pPr>
            <w:r w:rsidRPr="00D96B14">
              <w:rPr>
                <w:snapToGrid w:val="0"/>
              </w:rPr>
              <w:t>2</w:t>
            </w:r>
          </w:p>
        </w:tc>
        <w:tc>
          <w:tcPr>
            <w:tcW w:w="1100" w:type="dxa"/>
            <w:vAlign w:val="bottom"/>
          </w:tcPr>
          <w:p w:rsidR="00142353" w:rsidRPr="00D96B14" w:rsidRDefault="00142353" w:rsidP="004843DB">
            <w:pPr>
              <w:pStyle w:val="TableofFigures"/>
              <w:jc w:val="center"/>
              <w:rPr>
                <w:snapToGrid w:val="0"/>
              </w:rPr>
            </w:pPr>
            <w:r w:rsidRPr="00D96B14">
              <w:rPr>
                <w:snapToGrid w:val="0"/>
              </w:rPr>
              <w:t>0</w:t>
            </w:r>
          </w:p>
        </w:tc>
        <w:tc>
          <w:tcPr>
            <w:tcW w:w="180" w:type="dxa"/>
            <w:vAlign w:val="bottom"/>
          </w:tcPr>
          <w:p w:rsidR="00142353" w:rsidRPr="00D96B14" w:rsidRDefault="00142353" w:rsidP="004843DB">
            <w:pPr>
              <w:pStyle w:val="TableofFigures"/>
              <w:rPr>
                <w:snapToGrid w:val="0"/>
              </w:rPr>
            </w:pPr>
          </w:p>
        </w:tc>
        <w:tc>
          <w:tcPr>
            <w:tcW w:w="637" w:type="dxa"/>
            <w:vAlign w:val="bottom"/>
          </w:tcPr>
          <w:p w:rsidR="00142353" w:rsidRPr="00D96B14" w:rsidRDefault="00142353" w:rsidP="004843DB">
            <w:pPr>
              <w:pStyle w:val="TableofFigures"/>
              <w:rPr>
                <w:snapToGrid w:val="0"/>
              </w:rPr>
            </w:pPr>
            <w:r w:rsidRPr="00D96B14">
              <w:rPr>
                <w:snapToGrid w:val="0"/>
              </w:rPr>
              <w:t>0</w:t>
            </w:r>
          </w:p>
        </w:tc>
        <w:tc>
          <w:tcPr>
            <w:tcW w:w="708" w:type="dxa"/>
            <w:vAlign w:val="bottom"/>
          </w:tcPr>
          <w:p w:rsidR="00142353" w:rsidRPr="00D96B14" w:rsidRDefault="00142353" w:rsidP="004843DB">
            <w:pPr>
              <w:pStyle w:val="TableofFigures"/>
              <w:rPr>
                <w:snapToGrid w:val="0"/>
              </w:rPr>
            </w:pPr>
            <w:r w:rsidRPr="00D96B14">
              <w:rPr>
                <w:snapToGrid w:val="0"/>
              </w:rPr>
              <w:t>0</w:t>
            </w:r>
          </w:p>
        </w:tc>
        <w:tc>
          <w:tcPr>
            <w:tcW w:w="567" w:type="dxa"/>
            <w:vAlign w:val="bottom"/>
          </w:tcPr>
          <w:p w:rsidR="00142353" w:rsidRPr="00D96B14" w:rsidRDefault="00142353" w:rsidP="004843DB">
            <w:pPr>
              <w:pStyle w:val="TableofFigures"/>
              <w:rPr>
                <w:snapToGrid w:val="0"/>
              </w:rPr>
            </w:pPr>
            <w:r w:rsidRPr="00D96B14">
              <w:rPr>
                <w:snapToGrid w:val="0"/>
              </w:rPr>
              <w:t>2</w:t>
            </w:r>
          </w:p>
        </w:tc>
        <w:tc>
          <w:tcPr>
            <w:tcW w:w="706" w:type="dxa"/>
            <w:vAlign w:val="bottom"/>
          </w:tcPr>
          <w:p w:rsidR="00142353" w:rsidRPr="00D96B14" w:rsidRDefault="00142353" w:rsidP="004843DB">
            <w:pPr>
              <w:pStyle w:val="TableofFigures"/>
              <w:rPr>
                <w:snapToGrid w:val="0"/>
              </w:rPr>
            </w:pPr>
            <w:r w:rsidRPr="00D96B14">
              <w:rPr>
                <w:snapToGrid w:val="0"/>
              </w:rPr>
              <w:t>2</w:t>
            </w:r>
          </w:p>
        </w:tc>
      </w:tr>
      <w:tr w:rsidR="00142353" w:rsidRPr="00D96B14" w:rsidTr="004843DB">
        <w:trPr>
          <w:cantSplit/>
        </w:trPr>
        <w:tc>
          <w:tcPr>
            <w:tcW w:w="2880" w:type="dxa"/>
            <w:vAlign w:val="bottom"/>
          </w:tcPr>
          <w:p w:rsidR="00142353" w:rsidRPr="00D96B14" w:rsidRDefault="00142353" w:rsidP="004843DB">
            <w:pPr>
              <w:pStyle w:val="Tabletext"/>
            </w:pPr>
            <w:r w:rsidRPr="00D96B14">
              <w:t>Regional Computer Teaching</w:t>
            </w:r>
          </w:p>
        </w:tc>
        <w:tc>
          <w:tcPr>
            <w:tcW w:w="655" w:type="dxa"/>
            <w:vAlign w:val="bottom"/>
          </w:tcPr>
          <w:p w:rsidR="00142353" w:rsidRPr="00D96B14" w:rsidRDefault="00142353" w:rsidP="004843DB">
            <w:pPr>
              <w:pStyle w:val="TableofFigures"/>
              <w:rPr>
                <w:snapToGrid w:val="0"/>
              </w:rPr>
            </w:pPr>
            <w:r w:rsidRPr="00D96B14">
              <w:rPr>
                <w:snapToGrid w:val="0"/>
              </w:rPr>
              <w:t>49</w:t>
            </w:r>
          </w:p>
        </w:tc>
        <w:tc>
          <w:tcPr>
            <w:tcW w:w="675" w:type="dxa"/>
            <w:vAlign w:val="bottom"/>
          </w:tcPr>
          <w:p w:rsidR="00142353" w:rsidRPr="00D96B14" w:rsidRDefault="00142353" w:rsidP="004843DB">
            <w:pPr>
              <w:pStyle w:val="TableofFigures"/>
              <w:rPr>
                <w:snapToGrid w:val="0"/>
              </w:rPr>
            </w:pPr>
            <w:r w:rsidRPr="00D96B14">
              <w:rPr>
                <w:snapToGrid w:val="0"/>
              </w:rPr>
              <w:t>1</w:t>
            </w:r>
          </w:p>
        </w:tc>
        <w:tc>
          <w:tcPr>
            <w:tcW w:w="1100" w:type="dxa"/>
            <w:vAlign w:val="bottom"/>
          </w:tcPr>
          <w:p w:rsidR="00142353" w:rsidRPr="00D96B14" w:rsidRDefault="00142353" w:rsidP="004843DB">
            <w:pPr>
              <w:pStyle w:val="TableofFigures"/>
              <w:jc w:val="center"/>
              <w:rPr>
                <w:snapToGrid w:val="0"/>
              </w:rPr>
            </w:pPr>
            <w:r w:rsidRPr="00D96B14">
              <w:rPr>
                <w:snapToGrid w:val="0"/>
              </w:rPr>
              <w:t>2</w:t>
            </w:r>
          </w:p>
        </w:tc>
        <w:tc>
          <w:tcPr>
            <w:tcW w:w="180" w:type="dxa"/>
            <w:vAlign w:val="bottom"/>
          </w:tcPr>
          <w:p w:rsidR="00142353" w:rsidRPr="00D96B14" w:rsidRDefault="00142353" w:rsidP="004843DB">
            <w:pPr>
              <w:pStyle w:val="TableofFigures"/>
              <w:rPr>
                <w:snapToGrid w:val="0"/>
              </w:rPr>
            </w:pPr>
          </w:p>
        </w:tc>
        <w:tc>
          <w:tcPr>
            <w:tcW w:w="637" w:type="dxa"/>
            <w:vAlign w:val="bottom"/>
          </w:tcPr>
          <w:p w:rsidR="00142353" w:rsidRPr="00D96B14" w:rsidRDefault="00142353" w:rsidP="004843DB">
            <w:pPr>
              <w:pStyle w:val="TableofFigures"/>
              <w:rPr>
                <w:snapToGrid w:val="0"/>
              </w:rPr>
            </w:pPr>
            <w:r w:rsidRPr="00D96B14">
              <w:rPr>
                <w:snapToGrid w:val="0"/>
              </w:rPr>
              <w:t>36</w:t>
            </w:r>
          </w:p>
        </w:tc>
        <w:tc>
          <w:tcPr>
            <w:tcW w:w="708" w:type="dxa"/>
            <w:vAlign w:val="bottom"/>
          </w:tcPr>
          <w:p w:rsidR="00142353" w:rsidRPr="00D96B14" w:rsidRDefault="00142353" w:rsidP="004843DB">
            <w:pPr>
              <w:pStyle w:val="TableofFigures"/>
              <w:rPr>
                <w:snapToGrid w:val="0"/>
              </w:rPr>
            </w:pPr>
            <w:r w:rsidRPr="00D96B14">
              <w:rPr>
                <w:snapToGrid w:val="0"/>
              </w:rPr>
              <w:t>0</w:t>
            </w:r>
          </w:p>
        </w:tc>
        <w:tc>
          <w:tcPr>
            <w:tcW w:w="567" w:type="dxa"/>
            <w:vAlign w:val="bottom"/>
          </w:tcPr>
          <w:p w:rsidR="00142353" w:rsidRPr="00D96B14" w:rsidRDefault="00142353" w:rsidP="004843DB">
            <w:pPr>
              <w:pStyle w:val="TableofFigures"/>
              <w:rPr>
                <w:snapToGrid w:val="0"/>
              </w:rPr>
            </w:pPr>
            <w:r w:rsidRPr="00D96B14">
              <w:rPr>
                <w:snapToGrid w:val="0"/>
              </w:rPr>
              <w:t>13</w:t>
            </w:r>
          </w:p>
        </w:tc>
        <w:tc>
          <w:tcPr>
            <w:tcW w:w="706" w:type="dxa"/>
            <w:vAlign w:val="bottom"/>
          </w:tcPr>
          <w:p w:rsidR="00142353" w:rsidRPr="00D96B14" w:rsidRDefault="00142353" w:rsidP="004843DB">
            <w:pPr>
              <w:pStyle w:val="TableofFigures"/>
              <w:rPr>
                <w:snapToGrid w:val="0"/>
              </w:rPr>
            </w:pPr>
            <w:r w:rsidRPr="00D96B14">
              <w:rPr>
                <w:snapToGrid w:val="0"/>
              </w:rPr>
              <w:t>1</w:t>
            </w:r>
          </w:p>
        </w:tc>
      </w:tr>
      <w:tr w:rsidR="00142353" w:rsidRPr="00D96B14" w:rsidTr="004843DB">
        <w:trPr>
          <w:cantSplit/>
        </w:trPr>
        <w:tc>
          <w:tcPr>
            <w:tcW w:w="2880" w:type="dxa"/>
            <w:tcBorders>
              <w:bottom w:val="single" w:sz="6" w:space="0" w:color="auto"/>
            </w:tcBorders>
            <w:vAlign w:val="bottom"/>
          </w:tcPr>
          <w:p w:rsidR="00142353" w:rsidRPr="00D96B14" w:rsidRDefault="00142353" w:rsidP="004843DB">
            <w:pPr>
              <w:pStyle w:val="Tabletext"/>
            </w:pPr>
            <w:r w:rsidRPr="00D96B14">
              <w:t>Victorian Technology Commission</w:t>
            </w:r>
          </w:p>
        </w:tc>
        <w:tc>
          <w:tcPr>
            <w:tcW w:w="655" w:type="dxa"/>
            <w:tcBorders>
              <w:bottom w:val="single" w:sz="6" w:space="0" w:color="auto"/>
            </w:tcBorders>
            <w:vAlign w:val="bottom"/>
          </w:tcPr>
          <w:p w:rsidR="00142353" w:rsidRPr="00D96B14" w:rsidRDefault="00142353" w:rsidP="004843DB">
            <w:pPr>
              <w:pStyle w:val="TableofFigures"/>
              <w:rPr>
                <w:snapToGrid w:val="0"/>
              </w:rPr>
            </w:pPr>
            <w:r w:rsidRPr="00D96B14">
              <w:rPr>
                <w:snapToGrid w:val="0"/>
              </w:rPr>
              <w:t>129</w:t>
            </w:r>
          </w:p>
        </w:tc>
        <w:tc>
          <w:tcPr>
            <w:tcW w:w="675" w:type="dxa"/>
            <w:tcBorders>
              <w:bottom w:val="single" w:sz="6" w:space="0" w:color="auto"/>
            </w:tcBorders>
            <w:vAlign w:val="bottom"/>
          </w:tcPr>
          <w:p w:rsidR="00142353" w:rsidRPr="00D96B14" w:rsidRDefault="00142353" w:rsidP="004843DB">
            <w:pPr>
              <w:pStyle w:val="TableofFigures"/>
              <w:rPr>
                <w:snapToGrid w:val="0"/>
              </w:rPr>
            </w:pPr>
            <w:r w:rsidRPr="00D96B14">
              <w:rPr>
                <w:snapToGrid w:val="0"/>
              </w:rPr>
              <w:t>(19)</w:t>
            </w:r>
          </w:p>
        </w:tc>
        <w:tc>
          <w:tcPr>
            <w:tcW w:w="1100" w:type="dxa"/>
            <w:tcBorders>
              <w:bottom w:val="single" w:sz="6" w:space="0" w:color="auto"/>
            </w:tcBorders>
            <w:vAlign w:val="bottom"/>
          </w:tcPr>
          <w:p w:rsidR="00142353" w:rsidRPr="00D96B14" w:rsidRDefault="00142353" w:rsidP="004843DB">
            <w:pPr>
              <w:pStyle w:val="TableofFigures"/>
              <w:jc w:val="center"/>
              <w:rPr>
                <w:snapToGrid w:val="0"/>
              </w:rPr>
            </w:pPr>
            <w:r w:rsidRPr="00D96B14">
              <w:rPr>
                <w:snapToGrid w:val="0"/>
              </w:rPr>
              <w:t>6</w:t>
            </w:r>
          </w:p>
        </w:tc>
        <w:tc>
          <w:tcPr>
            <w:tcW w:w="180" w:type="dxa"/>
            <w:vAlign w:val="bottom"/>
          </w:tcPr>
          <w:p w:rsidR="00142353" w:rsidRPr="00D96B14" w:rsidRDefault="00142353" w:rsidP="004843DB">
            <w:pPr>
              <w:pStyle w:val="TableofFigures"/>
              <w:jc w:val="center"/>
              <w:rPr>
                <w:snapToGrid w:val="0"/>
              </w:rPr>
            </w:pPr>
          </w:p>
        </w:tc>
        <w:tc>
          <w:tcPr>
            <w:tcW w:w="637" w:type="dxa"/>
            <w:tcBorders>
              <w:bottom w:val="single" w:sz="6" w:space="0" w:color="auto"/>
            </w:tcBorders>
            <w:vAlign w:val="bottom"/>
          </w:tcPr>
          <w:p w:rsidR="00142353" w:rsidRPr="00D96B14" w:rsidRDefault="00142353" w:rsidP="004843DB">
            <w:pPr>
              <w:pStyle w:val="TableofFigures"/>
              <w:rPr>
                <w:snapToGrid w:val="0"/>
              </w:rPr>
            </w:pPr>
            <w:r w:rsidRPr="00D96B14">
              <w:rPr>
                <w:snapToGrid w:val="0"/>
              </w:rPr>
              <w:t>88</w:t>
            </w:r>
          </w:p>
        </w:tc>
        <w:tc>
          <w:tcPr>
            <w:tcW w:w="708" w:type="dxa"/>
            <w:tcBorders>
              <w:bottom w:val="single" w:sz="6" w:space="0" w:color="auto"/>
            </w:tcBorders>
            <w:vAlign w:val="bottom"/>
          </w:tcPr>
          <w:p w:rsidR="00142353" w:rsidRPr="00D96B14" w:rsidRDefault="00142353" w:rsidP="004843DB">
            <w:pPr>
              <w:pStyle w:val="TableofFigures"/>
              <w:rPr>
                <w:snapToGrid w:val="0"/>
              </w:rPr>
            </w:pPr>
            <w:r w:rsidRPr="00D96B14">
              <w:rPr>
                <w:snapToGrid w:val="0"/>
              </w:rPr>
              <w:t>(10)</w:t>
            </w:r>
          </w:p>
        </w:tc>
        <w:tc>
          <w:tcPr>
            <w:tcW w:w="567" w:type="dxa"/>
            <w:tcBorders>
              <w:bottom w:val="single" w:sz="6" w:space="0" w:color="auto"/>
            </w:tcBorders>
            <w:vAlign w:val="bottom"/>
          </w:tcPr>
          <w:p w:rsidR="00142353" w:rsidRPr="00D96B14" w:rsidRDefault="00142353" w:rsidP="004843DB">
            <w:pPr>
              <w:pStyle w:val="TableofFigures"/>
              <w:rPr>
                <w:snapToGrid w:val="0"/>
              </w:rPr>
            </w:pPr>
            <w:r w:rsidRPr="00D96B14">
              <w:rPr>
                <w:snapToGrid w:val="0"/>
              </w:rPr>
              <w:t>41</w:t>
            </w:r>
          </w:p>
        </w:tc>
        <w:tc>
          <w:tcPr>
            <w:tcW w:w="706" w:type="dxa"/>
            <w:tcBorders>
              <w:bottom w:val="single" w:sz="6" w:space="0" w:color="auto"/>
            </w:tcBorders>
            <w:vAlign w:val="bottom"/>
          </w:tcPr>
          <w:p w:rsidR="00142353" w:rsidRPr="00D96B14" w:rsidRDefault="00142353" w:rsidP="004843DB">
            <w:pPr>
              <w:pStyle w:val="TableofFigures"/>
              <w:rPr>
                <w:snapToGrid w:val="0"/>
              </w:rPr>
            </w:pPr>
            <w:r w:rsidRPr="00D96B14">
              <w:rPr>
                <w:snapToGrid w:val="0"/>
              </w:rPr>
              <w:t>(9)</w:t>
            </w:r>
          </w:p>
        </w:tc>
      </w:tr>
      <w:tr w:rsidR="00142353" w:rsidRPr="00D96B14" w:rsidTr="004843DB">
        <w:trPr>
          <w:cantSplit/>
        </w:trPr>
        <w:tc>
          <w:tcPr>
            <w:tcW w:w="2880" w:type="dxa"/>
            <w:tcBorders>
              <w:top w:val="single" w:sz="6" w:space="0" w:color="auto"/>
              <w:bottom w:val="single" w:sz="12" w:space="0" w:color="auto"/>
            </w:tcBorders>
            <w:vAlign w:val="bottom"/>
          </w:tcPr>
          <w:p w:rsidR="00142353" w:rsidRPr="00D96B14" w:rsidRDefault="00142353" w:rsidP="004843DB">
            <w:pPr>
              <w:pStyle w:val="Tabletext"/>
            </w:pPr>
            <w:r w:rsidRPr="00D96B14">
              <w:rPr>
                <w:b/>
                <w:bCs/>
              </w:rPr>
              <w:t>Total</w:t>
            </w:r>
          </w:p>
        </w:tc>
        <w:tc>
          <w:tcPr>
            <w:tcW w:w="655" w:type="dxa"/>
            <w:tcBorders>
              <w:top w:val="single" w:sz="6" w:space="0" w:color="auto"/>
              <w:bottom w:val="single" w:sz="12" w:space="0" w:color="auto"/>
            </w:tcBorders>
            <w:vAlign w:val="bottom"/>
          </w:tcPr>
          <w:p w:rsidR="00142353" w:rsidRPr="00D96B14" w:rsidRDefault="00142353" w:rsidP="004843DB">
            <w:pPr>
              <w:pStyle w:val="TableofFigures"/>
              <w:rPr>
                <w:b/>
                <w:bCs/>
                <w:snapToGrid w:val="0"/>
              </w:rPr>
            </w:pPr>
            <w:r w:rsidRPr="00D96B14">
              <w:rPr>
                <w:b/>
                <w:bCs/>
                <w:snapToGrid w:val="0"/>
              </w:rPr>
              <w:t>189</w:t>
            </w:r>
          </w:p>
        </w:tc>
        <w:tc>
          <w:tcPr>
            <w:tcW w:w="675" w:type="dxa"/>
            <w:tcBorders>
              <w:top w:val="single" w:sz="6" w:space="0" w:color="auto"/>
              <w:bottom w:val="single" w:sz="12" w:space="0" w:color="auto"/>
            </w:tcBorders>
            <w:vAlign w:val="bottom"/>
          </w:tcPr>
          <w:p w:rsidR="00142353" w:rsidRPr="00D96B14" w:rsidRDefault="00142353" w:rsidP="004843DB">
            <w:pPr>
              <w:pStyle w:val="TableofFigures"/>
              <w:rPr>
                <w:b/>
                <w:bCs/>
                <w:snapToGrid w:val="0"/>
              </w:rPr>
            </w:pPr>
            <w:r w:rsidRPr="00D96B14">
              <w:rPr>
                <w:b/>
                <w:bCs/>
                <w:snapToGrid w:val="0"/>
              </w:rPr>
              <w:t>(20)</w:t>
            </w:r>
          </w:p>
        </w:tc>
        <w:tc>
          <w:tcPr>
            <w:tcW w:w="1100" w:type="dxa"/>
            <w:tcBorders>
              <w:top w:val="single" w:sz="6" w:space="0" w:color="auto"/>
              <w:bottom w:val="single" w:sz="12" w:space="0" w:color="auto"/>
            </w:tcBorders>
            <w:vAlign w:val="bottom"/>
          </w:tcPr>
          <w:p w:rsidR="00142353" w:rsidRPr="00D96B14" w:rsidRDefault="00142353" w:rsidP="004843DB">
            <w:pPr>
              <w:pStyle w:val="TableofFigures"/>
              <w:jc w:val="center"/>
              <w:rPr>
                <w:b/>
                <w:bCs/>
                <w:snapToGrid w:val="0"/>
              </w:rPr>
            </w:pPr>
            <w:r w:rsidRPr="00D96B14">
              <w:rPr>
                <w:b/>
                <w:bCs/>
                <w:snapToGrid w:val="0"/>
              </w:rPr>
              <w:t>9</w:t>
            </w:r>
          </w:p>
        </w:tc>
        <w:tc>
          <w:tcPr>
            <w:tcW w:w="180" w:type="dxa"/>
            <w:tcBorders>
              <w:bottom w:val="single" w:sz="12" w:space="0" w:color="auto"/>
            </w:tcBorders>
            <w:vAlign w:val="bottom"/>
          </w:tcPr>
          <w:p w:rsidR="00142353" w:rsidRPr="00D96B14" w:rsidRDefault="00142353" w:rsidP="004843DB">
            <w:pPr>
              <w:pStyle w:val="TableofFigures"/>
              <w:jc w:val="center"/>
              <w:rPr>
                <w:snapToGrid w:val="0"/>
              </w:rPr>
            </w:pPr>
          </w:p>
        </w:tc>
        <w:tc>
          <w:tcPr>
            <w:tcW w:w="637" w:type="dxa"/>
            <w:tcBorders>
              <w:top w:val="single" w:sz="6" w:space="0" w:color="auto"/>
              <w:bottom w:val="single" w:sz="12" w:space="0" w:color="auto"/>
            </w:tcBorders>
            <w:vAlign w:val="bottom"/>
          </w:tcPr>
          <w:p w:rsidR="00142353" w:rsidRPr="00D96B14" w:rsidRDefault="00142353" w:rsidP="004843DB">
            <w:pPr>
              <w:pStyle w:val="TableofFigures"/>
              <w:rPr>
                <w:b/>
                <w:bCs/>
                <w:snapToGrid w:val="0"/>
              </w:rPr>
            </w:pPr>
            <w:r w:rsidRPr="00D96B14">
              <w:rPr>
                <w:b/>
                <w:bCs/>
                <w:snapToGrid w:val="0"/>
              </w:rPr>
              <w:t>133</w:t>
            </w:r>
          </w:p>
        </w:tc>
        <w:tc>
          <w:tcPr>
            <w:tcW w:w="708" w:type="dxa"/>
            <w:tcBorders>
              <w:top w:val="single" w:sz="6" w:space="0" w:color="auto"/>
              <w:bottom w:val="single" w:sz="12" w:space="0" w:color="auto"/>
            </w:tcBorders>
            <w:vAlign w:val="bottom"/>
          </w:tcPr>
          <w:p w:rsidR="00142353" w:rsidRPr="00D96B14" w:rsidRDefault="00142353" w:rsidP="004843DB">
            <w:pPr>
              <w:pStyle w:val="TableofFigures"/>
              <w:rPr>
                <w:b/>
                <w:bCs/>
                <w:snapToGrid w:val="0"/>
              </w:rPr>
            </w:pPr>
            <w:r w:rsidRPr="00D96B14">
              <w:rPr>
                <w:b/>
                <w:bCs/>
                <w:snapToGrid w:val="0"/>
              </w:rPr>
              <w:t>(11)</w:t>
            </w:r>
          </w:p>
        </w:tc>
        <w:tc>
          <w:tcPr>
            <w:tcW w:w="567" w:type="dxa"/>
            <w:tcBorders>
              <w:top w:val="single" w:sz="6" w:space="0" w:color="auto"/>
              <w:bottom w:val="single" w:sz="12" w:space="0" w:color="auto"/>
            </w:tcBorders>
            <w:vAlign w:val="bottom"/>
          </w:tcPr>
          <w:p w:rsidR="00142353" w:rsidRPr="00D96B14" w:rsidRDefault="00142353" w:rsidP="004843DB">
            <w:pPr>
              <w:pStyle w:val="TableofFigures"/>
              <w:rPr>
                <w:b/>
                <w:bCs/>
                <w:snapToGrid w:val="0"/>
              </w:rPr>
            </w:pPr>
            <w:r w:rsidRPr="00D96B14">
              <w:rPr>
                <w:b/>
                <w:bCs/>
                <w:snapToGrid w:val="0"/>
              </w:rPr>
              <w:t>56</w:t>
            </w:r>
          </w:p>
        </w:tc>
        <w:tc>
          <w:tcPr>
            <w:tcW w:w="706" w:type="dxa"/>
            <w:tcBorders>
              <w:top w:val="single" w:sz="6" w:space="0" w:color="auto"/>
              <w:bottom w:val="single" w:sz="12" w:space="0" w:color="auto"/>
            </w:tcBorders>
            <w:vAlign w:val="bottom"/>
          </w:tcPr>
          <w:p w:rsidR="00142353" w:rsidRPr="00D96B14" w:rsidRDefault="00142353" w:rsidP="004843DB">
            <w:pPr>
              <w:pStyle w:val="TableofFigures"/>
              <w:rPr>
                <w:b/>
                <w:bCs/>
                <w:snapToGrid w:val="0"/>
              </w:rPr>
            </w:pPr>
            <w:r w:rsidRPr="00D96B14">
              <w:rPr>
                <w:b/>
                <w:bCs/>
                <w:snapToGrid w:val="0"/>
              </w:rPr>
              <w:t>(9)</w:t>
            </w:r>
          </w:p>
        </w:tc>
      </w:tr>
    </w:tbl>
    <w:p w:rsidR="00142353" w:rsidRPr="00D96B14" w:rsidRDefault="00142353" w:rsidP="00142353">
      <w:pPr>
        <w:pStyle w:val="Reference"/>
        <w:rPr>
          <w:lang w:val="en-AU"/>
        </w:r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spacing w:before="0"/>
      </w:pPr>
    </w:p>
    <w:p w:rsidR="00142353" w:rsidRPr="00D96B14" w:rsidRDefault="00142353" w:rsidP="00142353">
      <w:pPr>
        <w:spacing w:before="0"/>
        <w:rPr>
          <w:rFonts w:ascii="Calibri" w:hAnsi="Calibri" w:cs="Arial Narrow"/>
          <w:color w:val="0000FF"/>
          <w:sz w:val="16"/>
          <w:szCs w:val="16"/>
          <w:lang w:val="en-GB"/>
        </w:rPr>
      </w:pPr>
    </w:p>
    <w:p w:rsidR="00142353" w:rsidRPr="00D96B14" w:rsidRDefault="00142353" w:rsidP="00142353">
      <w:pPr>
        <w:pStyle w:val="Reference"/>
      </w:pPr>
    </w:p>
    <w:p w:rsidR="00142353" w:rsidRPr="00D96B14" w:rsidRDefault="00142353" w:rsidP="00142353">
      <w:pPr>
        <w:spacing w:line="240" w:lineRule="atLeast"/>
      </w:pPr>
      <w:r w:rsidRPr="00D96B14">
        <w:br w:type="column"/>
      </w:r>
      <w:r w:rsidRPr="00D96B14">
        <w:lastRenderedPageBreak/>
        <w:br w:type="page"/>
      </w:r>
    </w:p>
    <w:p w:rsidR="00142353" w:rsidRPr="00D96B14" w:rsidRDefault="00142353" w:rsidP="00142353"/>
    <w:p w:rsidR="00142353" w:rsidRPr="00D96B14" w:rsidRDefault="00142353" w:rsidP="00142353">
      <w:pPr>
        <w:pStyle w:val="CommentaryHeading"/>
        <w:pBdr>
          <w:top w:val="none" w:sz="0" w:space="0" w:color="auto"/>
          <w:bottom w:val="none" w:sz="0" w:space="0" w:color="auto"/>
        </w:pBdr>
      </w:pPr>
      <w:r w:rsidRPr="00D96B14">
        <w:lastRenderedPageBreak/>
        <w:t>Commentary – EO data</w:t>
      </w:r>
    </w:p>
    <w:p w:rsidR="00142353" w:rsidRPr="00D96B14" w:rsidRDefault="00142353" w:rsidP="00142353">
      <w:pPr>
        <w:pStyle w:val="SmallLineBlue"/>
        <w:pBdr>
          <w:top w:val="none" w:sz="0" w:space="0" w:color="auto"/>
          <w:bottom w:val="none" w:sz="0" w:space="0" w:color="auto"/>
        </w:pBdr>
      </w:pPr>
    </w:p>
    <w:p w:rsidR="00142353" w:rsidRPr="00D96B14" w:rsidRDefault="00142353" w:rsidP="00142353">
      <w:pPr>
        <w:pStyle w:val="CommentaryHeading1"/>
        <w:pBdr>
          <w:top w:val="none" w:sz="0" w:space="0" w:color="auto"/>
          <w:bottom w:val="none" w:sz="0" w:space="0" w:color="auto"/>
        </w:pBdr>
      </w:pPr>
      <w:r w:rsidRPr="00D96B14">
        <w:t>Legislative and documented references</w:t>
      </w:r>
    </w:p>
    <w:p w:rsidR="00142353" w:rsidRPr="00D96B14" w:rsidRDefault="00142353" w:rsidP="00142353">
      <w:pPr>
        <w:pStyle w:val="CommentaryText"/>
        <w:pBdr>
          <w:top w:val="none" w:sz="0" w:space="0" w:color="auto"/>
          <w:bottom w:val="none" w:sz="0" w:space="0" w:color="auto"/>
        </w:pBdr>
        <w:rPr>
          <w:b/>
          <w:bCs/>
          <w:noProof w:val="0"/>
        </w:r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rPr>
          <w:lang w:val="en-AU"/>
        </w:rPr>
      </w:pPr>
      <w:r w:rsidRPr="00D96B14">
        <w:lastRenderedPageBreak/>
        <w:t>FRD 15C</w:t>
      </w: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lang w:val="en-AU"/>
        </w:rPr>
      </w:pPr>
    </w:p>
    <w:p w:rsidR="00142353" w:rsidRPr="00D96B14" w:rsidRDefault="00142353" w:rsidP="00142353">
      <w:pPr>
        <w:pStyle w:val="Reference"/>
        <w:rPr>
          <w:color w:val="FF0000"/>
          <w:lang w:val="en-AU"/>
        </w:rPr>
      </w:pPr>
      <w:r w:rsidRPr="00D96B14">
        <w:rPr>
          <w:color w:val="FF0000"/>
        </w:rPr>
        <w:t>Revised</w:t>
      </w:r>
    </w:p>
    <w:p w:rsidR="00142353" w:rsidRPr="00D96B14" w:rsidRDefault="00142353" w:rsidP="00142353">
      <w:pPr>
        <w:pStyle w:val="CommentaryText"/>
        <w:pBdr>
          <w:top w:val="none" w:sz="0" w:space="0" w:color="auto"/>
          <w:bottom w:val="none" w:sz="0" w:space="0" w:color="auto"/>
        </w:pBdr>
        <w:rPr>
          <w:noProof w:val="0"/>
        </w:rPr>
      </w:pPr>
      <w:r w:rsidRPr="00D96B14">
        <w:rPr>
          <w:b/>
          <w:bCs/>
          <w:noProof w:val="0"/>
        </w:rPr>
        <w:br w:type="column"/>
      </w:r>
      <w:r w:rsidRPr="00D96B14">
        <w:rPr>
          <w:b/>
          <w:bCs/>
          <w:noProof w:val="0"/>
        </w:rPr>
        <w:lastRenderedPageBreak/>
        <w:t>FRD 15C</w:t>
      </w:r>
      <w:r w:rsidRPr="00D96B14">
        <w:rPr>
          <w:bCs/>
          <w:noProof w:val="0"/>
        </w:rPr>
        <w:t xml:space="preserve"> </w:t>
      </w:r>
      <w:r w:rsidRPr="00D96B14">
        <w:rPr>
          <w:bCs/>
          <w:i/>
          <w:noProof w:val="0"/>
        </w:rPr>
        <w:t xml:space="preserve">Executive Officer Disclosures in the Report of Operations by Departments </w:t>
      </w:r>
      <w:r w:rsidRPr="00D96B14">
        <w:rPr>
          <w:noProof w:val="0"/>
        </w:rPr>
        <w:t>explains the requirements for disclosing EO numbers in annual reports. It states that a department</w:t>
      </w:r>
      <w:r w:rsidR="005A4BB0">
        <w:rPr>
          <w:noProof w:val="0"/>
        </w:rPr>
        <w:t>’</w:t>
      </w:r>
      <w:r w:rsidRPr="00D96B14">
        <w:rPr>
          <w:noProof w:val="0"/>
        </w:rPr>
        <w:t>s report of operations must disclose the following disaggregated information on EO numbers as per the last pay period for the financial year:</w:t>
      </w:r>
    </w:p>
    <w:p w:rsidR="00142353" w:rsidRPr="00D96B14" w:rsidRDefault="00142353" w:rsidP="00142353">
      <w:pPr>
        <w:pStyle w:val="CommentaryBullet"/>
      </w:pPr>
      <w:r w:rsidRPr="00D96B14">
        <w:t>disaggregated information on EO numbers including:</w:t>
      </w:r>
    </w:p>
    <w:p w:rsidR="00142353" w:rsidRPr="00D96B14" w:rsidRDefault="00142353" w:rsidP="00142353">
      <w:pPr>
        <w:pStyle w:val="CommentaryDashBlue"/>
      </w:pPr>
      <w:r w:rsidRPr="00D96B14">
        <w:tab/>
        <w:t>–</w:t>
      </w:r>
      <w:r w:rsidRPr="00D96B14">
        <w:tab/>
        <w:t>executive classification;</w:t>
      </w:r>
    </w:p>
    <w:p w:rsidR="00142353" w:rsidRPr="00D96B14" w:rsidRDefault="00142353" w:rsidP="00142353">
      <w:pPr>
        <w:pStyle w:val="CommentaryDashBlue"/>
      </w:pPr>
      <w:r w:rsidRPr="00D96B14">
        <w:tab/>
        <w:t>–</w:t>
      </w:r>
      <w:r w:rsidRPr="00D96B14">
        <w:tab/>
        <w:t>gender split across classifications;</w:t>
      </w:r>
    </w:p>
    <w:p w:rsidR="00142353" w:rsidRPr="00D96B14" w:rsidRDefault="00142353" w:rsidP="00142353">
      <w:pPr>
        <w:pStyle w:val="CommentaryDashBlue"/>
      </w:pPr>
      <w:r w:rsidRPr="00D96B14">
        <w:tab/>
        <w:t>–</w:t>
      </w:r>
      <w:r w:rsidRPr="00D96B14">
        <w:tab/>
        <w:t>comparison to the previous reporting period;</w:t>
      </w:r>
    </w:p>
    <w:p w:rsidR="00142353" w:rsidRPr="00D96B14" w:rsidRDefault="00142353" w:rsidP="00142353">
      <w:pPr>
        <w:pStyle w:val="CommentaryDashBlue"/>
      </w:pPr>
      <w:r w:rsidRPr="00D96B14">
        <w:tab/>
        <w:t>–</w:t>
      </w:r>
      <w:r w:rsidRPr="00D96B14">
        <w:tab/>
        <w:t>vacancies; and</w:t>
      </w:r>
    </w:p>
    <w:p w:rsidR="00142353" w:rsidRPr="00D96B14" w:rsidRDefault="00142353" w:rsidP="00142353">
      <w:pPr>
        <w:pStyle w:val="CommentaryDashBlue"/>
      </w:pPr>
      <w:r w:rsidRPr="00D96B14">
        <w:tab/>
        <w:t>–</w:t>
      </w:r>
      <w:r w:rsidRPr="00D96B14">
        <w:tab/>
        <w:t xml:space="preserve">ongoing or special project executives; </w:t>
      </w:r>
    </w:p>
    <w:p w:rsidR="00142353" w:rsidRPr="00D96B14" w:rsidRDefault="00142353" w:rsidP="00142353">
      <w:pPr>
        <w:pStyle w:val="CommentaryBullet"/>
      </w:pPr>
      <w:r w:rsidRPr="00D96B14">
        <w:t>a reconciliation of the EO numbers that appear in the report of operations to those disclosed in the notes in the financial statements for the current and previous reporting periods; and</w:t>
      </w:r>
    </w:p>
    <w:p w:rsidR="00142353" w:rsidRPr="00D96B14" w:rsidRDefault="00142353" w:rsidP="00142353">
      <w:pPr>
        <w:pStyle w:val="CommentaryBullet"/>
      </w:pPr>
      <w:r w:rsidRPr="00D96B14">
        <w:t>EO numbers for all its portfolio entities.</w:t>
      </w:r>
    </w:p>
    <w:p w:rsidR="00142353" w:rsidRPr="00D96B14" w:rsidRDefault="00142353" w:rsidP="00142353">
      <w:pPr>
        <w:pStyle w:val="CommentaryText"/>
        <w:pBdr>
          <w:top w:val="none" w:sz="0" w:space="0" w:color="auto"/>
          <w:bottom w:val="none" w:sz="0" w:space="0" w:color="auto"/>
        </w:pBdr>
      </w:pPr>
      <w:r w:rsidRPr="00D96B14">
        <w:t>This FRD provides definitions for accountable officers, EOs, ongoing executives, special project executives and portfolio entities.</w:t>
      </w:r>
    </w:p>
    <w:p w:rsidR="00142353" w:rsidRPr="00D96B14" w:rsidRDefault="00142353" w:rsidP="00142353">
      <w:pPr>
        <w:pStyle w:val="CommentaryHeading1"/>
        <w:pBdr>
          <w:top w:val="none" w:sz="0" w:space="0" w:color="auto"/>
          <w:bottom w:val="none" w:sz="0" w:space="0" w:color="auto"/>
        </w:pBdr>
      </w:pPr>
      <w:r w:rsidRPr="00D96B14">
        <w:t>Guidance</w:t>
      </w:r>
    </w:p>
    <w:p w:rsidR="00142353" w:rsidRPr="00D96B14" w:rsidRDefault="00142353" w:rsidP="00142353">
      <w:pPr>
        <w:pStyle w:val="CommentaryText"/>
        <w:pBdr>
          <w:top w:val="none" w:sz="0" w:space="0" w:color="auto"/>
        </w:pBdr>
        <w:rPr>
          <w:noProof w:val="0"/>
        </w:rPr>
      </w:pPr>
      <w:r w:rsidRPr="00D96B14">
        <w:rPr>
          <w:noProof w:val="0"/>
        </w:rPr>
        <w:t xml:space="preserve">Departments should follow the table format provided in the </w:t>
      </w:r>
      <w:r w:rsidRPr="00D96B14">
        <w:rPr>
          <w:iCs/>
          <w:noProof w:val="0"/>
        </w:rPr>
        <w:t>Model</w:t>
      </w:r>
      <w:r w:rsidRPr="00D96B14">
        <w:rPr>
          <w:noProof w:val="0"/>
        </w:rPr>
        <w:t xml:space="preserve"> to show their executive numbers. </w:t>
      </w:r>
      <w:r w:rsidRPr="00D96B14">
        <w:t>EO numbers should be based on the annualised employee equivalent (AEE). Refer to the definition and calculation of AEE illustrated in the guidance of Note 41 of this Model</w:t>
      </w:r>
      <w:r w:rsidRPr="00D96B14">
        <w:rPr>
          <w:noProof w:val="0"/>
        </w:rPr>
        <w:t>.</w:t>
      </w:r>
    </w:p>
    <w:p w:rsidR="00142353" w:rsidRPr="00D96B14" w:rsidRDefault="00142353" w:rsidP="00142353">
      <w:pPr>
        <w:pStyle w:val="CommentaryText"/>
        <w:pBdr>
          <w:top w:val="none" w:sz="0" w:space="0" w:color="auto"/>
        </w:pBdr>
      </w:pPr>
      <w:r w:rsidRPr="00D96B14">
        <w:t xml:space="preserve">Departments are also required to provide a table reconciling EO numbers disclosed in the financial statements with those in the report of operations, showing vacant positions, executives with remuneration below $100 000, accountable officers and separations. </w:t>
      </w:r>
    </w:p>
    <w:p w:rsidR="00142353" w:rsidRPr="00D96B14" w:rsidRDefault="00142353" w:rsidP="00142353">
      <w:pPr>
        <w:pStyle w:val="CommentaryText"/>
        <w:pBdr>
          <w:top w:val="none" w:sz="0" w:space="0" w:color="auto"/>
        </w:pBdr>
        <w:rPr>
          <w:noProof w:val="0"/>
        </w:rPr>
      </w:pPr>
      <w:r w:rsidRPr="00D96B14">
        <w:rPr>
          <w:noProof w:val="0"/>
        </w:rPr>
        <w:t xml:space="preserve">The information required in the table showing executive numbers in portfolio agencies </w:t>
      </w:r>
      <w:r w:rsidRPr="00D96B14">
        <w:rPr>
          <w:rStyle w:val="CommentaryTextChar"/>
          <w:noProof w:val="0"/>
        </w:rPr>
        <w:t>of the department can be sourced from the Government Sector Executive Remuneration Database, maintained by the Victorian Public Sector Commission</w:t>
      </w:r>
      <w:r w:rsidRPr="00D96B14">
        <w:rPr>
          <w:noProof w:val="0"/>
        </w:rPr>
        <w:t>. The database lists all public authorities and provides details of gender splits and vacancies required for the disclosure.</w:t>
      </w:r>
    </w:p>
    <w:p w:rsidR="00142353" w:rsidRPr="00D96B14" w:rsidRDefault="00142353" w:rsidP="00142353"/>
    <w:p w:rsidR="00142353" w:rsidRPr="00D96B14" w:rsidRDefault="00142353" w:rsidP="00142353">
      <w:pPr>
        <w:pStyle w:val="Heading2Blue"/>
        <w:rPr>
          <w:color w:val="auto"/>
        </w:rPr>
      </w:pPr>
      <w:r w:rsidRPr="00D96B14">
        <w:br w:type="column"/>
      </w:r>
      <w:r w:rsidRPr="00D96B14">
        <w:lastRenderedPageBreak/>
        <w:br w:type="column"/>
      </w:r>
      <w:bookmarkStart w:id="86" w:name="_Toc332019448"/>
      <w:bookmarkStart w:id="87" w:name="_Toc448493047"/>
      <w:r w:rsidRPr="00D96B14">
        <w:rPr>
          <w:color w:val="auto"/>
        </w:rPr>
        <w:lastRenderedPageBreak/>
        <w:t>Section 4: Other disclosures</w:t>
      </w:r>
      <w:bookmarkEnd w:id="86"/>
      <w:bookmarkEnd w:id="87"/>
    </w:p>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
      </w:pPr>
      <w:r w:rsidRPr="00D96B14">
        <w:lastRenderedPageBreak/>
        <w:t>FRD 25B</w:t>
      </w:r>
    </w:p>
    <w:p w:rsidR="00142353" w:rsidRPr="00D96B14" w:rsidRDefault="00142353" w:rsidP="00142353">
      <w:r w:rsidRPr="00D96B14">
        <w:br w:type="column"/>
      </w:r>
      <w:r w:rsidRPr="00D96B14">
        <w:lastRenderedPageBreak/>
        <w:t xml:space="preserve">The </w:t>
      </w:r>
      <w:r w:rsidRPr="00D96B14">
        <w:rPr>
          <w:i/>
        </w:rPr>
        <w:t>Victorian Industry Participation Policy Act 2003</w:t>
      </w:r>
      <w:r w:rsidRPr="00D96B14">
        <w:t xml:space="preserve"> requires departments and public sector bodies to report on the implementation of the Victorian Industry Participation Policy (VIPP). Departments and public sector bodies are required to apply VIPP in all procurement activities valued at $3 million or more in metropolitan Melbourne and for statewide projects, or $1 million or more for procurement activities in regional Victoria.</w:t>
      </w:r>
    </w:p>
    <w:p w:rsidR="00142353" w:rsidRPr="00D96B14" w:rsidRDefault="00142353" w:rsidP="00142353">
      <w:r w:rsidRPr="00D96B14">
        <w:t>During 2015</w:t>
      </w:r>
      <w:r w:rsidR="005A4BB0">
        <w:noBreakHyphen/>
      </w:r>
      <w:r w:rsidRPr="00D96B14">
        <w:t xml:space="preserve">16, the Department commenced three VIPP applicable procurements totalling $44.16 million. Of those projects, one was located in regional Victoria and two in metropolitan Melbourne. </w:t>
      </w:r>
    </w:p>
    <w:p w:rsidR="00142353" w:rsidRPr="00D96B14" w:rsidRDefault="00142353" w:rsidP="00142353">
      <w:r w:rsidRPr="00D96B14">
        <w:t>The outcomes expected from the implementation of the VIPP to these projects where information was provided are as follows:</w:t>
      </w:r>
    </w:p>
    <w:p w:rsidR="00142353" w:rsidRPr="00D96B14" w:rsidRDefault="00142353" w:rsidP="00142353">
      <w:pPr>
        <w:pStyle w:val="Bullet"/>
      </w:pPr>
      <w:r w:rsidRPr="00D96B14">
        <w:t>an average of 93 per cent of local content commitment was made;</w:t>
      </w:r>
    </w:p>
    <w:p w:rsidR="00142353" w:rsidRPr="00D96B14" w:rsidRDefault="00142353" w:rsidP="00142353">
      <w:pPr>
        <w:pStyle w:val="Bullet"/>
      </w:pPr>
      <w:r w:rsidRPr="00D96B14">
        <w:t>a total of 349 jobs (AEE) were committed, including the creation of nine new jobs and the retention of 340 existing jobs (AEE); and</w:t>
      </w:r>
    </w:p>
    <w:p w:rsidR="00142353" w:rsidRPr="00D96B14" w:rsidRDefault="00142353" w:rsidP="00142353">
      <w:pPr>
        <w:pStyle w:val="Bullet"/>
      </w:pPr>
      <w:r w:rsidRPr="00D96B14">
        <w:t>a total of six positions for apprentices/trainees were committed, including the creation of three new apprenticeships/traineeships, and the retention of the remaining three existing apprenticeships/traineeships.</w:t>
      </w:r>
    </w:p>
    <w:p w:rsidR="00142353" w:rsidRPr="00D96B14" w:rsidRDefault="00142353" w:rsidP="00142353">
      <w:r w:rsidRPr="00D96B14">
        <w:t xml:space="preserve">The commitments to the Victorian economy in terms of skills and technology transfer include use of the latest building skills techniques and embedding new technology into building designs. </w:t>
      </w:r>
    </w:p>
    <w:p w:rsidR="00142353" w:rsidRPr="00D96B14" w:rsidRDefault="00142353" w:rsidP="00142353">
      <w:r w:rsidRPr="00D96B14">
        <w:t>During 2015</w:t>
      </w:r>
      <w:r w:rsidR="005A4BB0">
        <w:noBreakHyphen/>
      </w:r>
      <w:r w:rsidRPr="00D96B14">
        <w:t xml:space="preserve">16, the Department completed three VIPP applicable projects, collectively valued at about $200 million. The outcomes reported from the implementation of the VIPP where information was provided, were as follows: </w:t>
      </w:r>
    </w:p>
    <w:p w:rsidR="00142353" w:rsidRPr="00D96B14" w:rsidRDefault="00142353" w:rsidP="00142353">
      <w:pPr>
        <w:pStyle w:val="Bullet"/>
      </w:pPr>
      <w:r w:rsidRPr="00D96B14">
        <w:t>an average of 88.3 per cent of local content outcome was recorded;</w:t>
      </w:r>
    </w:p>
    <w:p w:rsidR="00142353" w:rsidRPr="00D96B14" w:rsidRDefault="00142353" w:rsidP="00142353">
      <w:pPr>
        <w:pStyle w:val="Bullet"/>
      </w:pPr>
      <w:r w:rsidRPr="00D96B14">
        <w:t>a total of 77 (AEE) positions were created; and</w:t>
      </w:r>
    </w:p>
    <w:p w:rsidR="00142353" w:rsidRPr="00D96B14" w:rsidRDefault="00142353" w:rsidP="00142353">
      <w:pPr>
        <w:pStyle w:val="Bullet"/>
      </w:pPr>
      <w:r w:rsidRPr="00D96B14">
        <w:t>27 new apprenticeships/traineeships were created and 54 existing apprenticeships/ traineeships retained.</w:t>
      </w:r>
    </w:p>
    <w:p w:rsidR="00142353" w:rsidRPr="00D96B14" w:rsidRDefault="00142353" w:rsidP="00142353">
      <w:r w:rsidRPr="00D96B14">
        <w:t>The benefits to the Victorian economy in terms of retention of skills from the completed projects included the use of local carpentry, plumbing (hydraulics and HVAC), electrical (lighting and power), stone paving and tiling, and rigging (glazing installation), joinery, lift mechanics and roofing and installation.</w:t>
      </w:r>
    </w:p>
    <w:p w:rsidR="00142353" w:rsidRPr="00D96B14" w:rsidRDefault="00142353" w:rsidP="00142353">
      <w:r w:rsidRPr="00D96B14">
        <w:t>During 2015</w:t>
      </w:r>
      <w:r w:rsidR="005A4BB0">
        <w:noBreakHyphen/>
      </w:r>
      <w:r w:rsidRPr="00D96B14">
        <w:t>16, 25 small to medium sized businesses prepared a VIPP Plan, with the remaining prepared by large businesses.</w:t>
      </w:r>
    </w:p>
    <w:p w:rsidR="00142353" w:rsidRPr="00D96B14" w:rsidRDefault="00142353" w:rsidP="00142353">
      <w:r w:rsidRPr="00D96B14">
        <w:t>During 2015</w:t>
      </w:r>
      <w:r w:rsidR="005A4BB0">
        <w:noBreakHyphen/>
      </w:r>
      <w:r w:rsidRPr="00D96B14">
        <w:t>16, two interaction reference numbers were undertaken with the Industry Capability Network for grants provided and design contracts by the Department.</w:t>
      </w:r>
    </w:p>
    <w:p w:rsidR="00142353" w:rsidRPr="00D96B14" w:rsidRDefault="00142353" w:rsidP="00142353">
      <w:pPr>
        <w:pStyle w:val="ReferenceRed"/>
        <w:rPr>
          <w:color w:val="0000FF"/>
        </w:rPr>
      </w:pPr>
      <w:r w:rsidRPr="00D96B14">
        <w:br w:type="page"/>
      </w:r>
      <w:r w:rsidRPr="00D96B14">
        <w:rPr>
          <w:color w:val="0000FF"/>
        </w:rPr>
        <w:lastRenderedPageBreak/>
        <w:t>FRD 25B</w:t>
      </w:r>
    </w:p>
    <w:p w:rsidR="00142353" w:rsidRPr="00D96B14" w:rsidRDefault="00142353" w:rsidP="00142353">
      <w:pPr>
        <w:pStyle w:val="SmallLine"/>
      </w:pPr>
      <w:r w:rsidRPr="00D96B14">
        <w:br w:type="column"/>
      </w:r>
    </w:p>
    <w:p w:rsidR="00142353" w:rsidRPr="00D96B14" w:rsidRDefault="00142353" w:rsidP="00142353">
      <w:pPr>
        <w:pStyle w:val="CommentaryHeading"/>
      </w:pPr>
      <w:r w:rsidRPr="00D96B14">
        <w:t>Commentary – Implementation of the Victorian Industry Participation Policy</w:t>
      </w:r>
    </w:p>
    <w:p w:rsidR="00142353" w:rsidRPr="00D96B14" w:rsidRDefault="00142353" w:rsidP="00142353">
      <w:pPr>
        <w:pStyle w:val="SmallLineBlue"/>
      </w:pPr>
    </w:p>
    <w:p w:rsidR="00142353" w:rsidRPr="00D96B14" w:rsidRDefault="00142353" w:rsidP="00142353">
      <w:pPr>
        <w:pStyle w:val="CommentaryHeading1"/>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ReferenceRed"/>
        <w:spacing w:before="200"/>
      </w:pPr>
    </w:p>
    <w:p w:rsidR="00142353" w:rsidRPr="00D96B14" w:rsidRDefault="00142353" w:rsidP="00142353">
      <w:pPr>
        <w:pStyle w:val="ReferenceRed"/>
        <w:rPr>
          <w:color w:val="0000FF"/>
        </w:rPr>
      </w:pPr>
    </w:p>
    <w:p w:rsidR="00142353" w:rsidRPr="00D96B14" w:rsidRDefault="00142353" w:rsidP="00142353">
      <w:pPr>
        <w:pStyle w:val="CommentaryHeading1"/>
        <w:pBdr>
          <w:top w:val="none" w:sz="0" w:space="0" w:color="auto"/>
          <w:bottom w:val="none" w:sz="0" w:space="0" w:color="auto"/>
        </w:pBdr>
      </w:pPr>
      <w:r w:rsidRPr="00D96B14">
        <w:br w:type="column"/>
      </w:r>
      <w:r w:rsidRPr="00D96B14">
        <w:lastRenderedPageBreak/>
        <w:t xml:space="preserve">Reporting on all contracts except those related to grants provided </w:t>
      </w:r>
    </w:p>
    <w:p w:rsidR="00142353" w:rsidRPr="00D96B14" w:rsidRDefault="00142353" w:rsidP="00142353">
      <w:pPr>
        <w:pStyle w:val="CommentaryText"/>
        <w:pBdr>
          <w:top w:val="none" w:sz="0" w:space="0" w:color="auto"/>
          <w:bottom w:val="none" w:sz="0" w:space="0" w:color="auto"/>
        </w:pBdr>
      </w:pPr>
      <w:r w:rsidRPr="00D96B14">
        <w:t xml:space="preserve">The report of operations should contain the following information if applicable for contracts </w:t>
      </w:r>
      <w:r w:rsidRPr="00D96B14">
        <w:rPr>
          <w:b/>
        </w:rPr>
        <w:t>commenced and/or completed</w:t>
      </w:r>
      <w:r w:rsidRPr="00D96B14">
        <w:t xml:space="preserve"> to which the VIPP applied in the reporting period:</w:t>
      </w:r>
    </w:p>
    <w:p w:rsidR="00142353" w:rsidRPr="00D96B14" w:rsidRDefault="00142353" w:rsidP="00142353">
      <w:pPr>
        <w:pStyle w:val="CommentaryBullet"/>
      </w:pPr>
      <w:r w:rsidRPr="00D96B14">
        <w:t xml:space="preserve">During </w:t>
      </w:r>
      <w:r w:rsidRPr="00D96B14">
        <w:rPr>
          <w:i/>
        </w:rPr>
        <w:t>[insert current financial year]</w:t>
      </w:r>
      <w:r w:rsidRPr="00D96B14">
        <w:t xml:space="preserve">, this Department commenced and/or completed </w:t>
      </w:r>
      <w:r w:rsidRPr="00D96B14">
        <w:rPr>
          <w:i/>
        </w:rPr>
        <w:t>[insert figure]</w:t>
      </w:r>
      <w:r w:rsidRPr="00D96B14">
        <w:t xml:space="preserve"> contracts totalling $</w:t>
      </w:r>
      <w:r w:rsidRPr="00D96B14">
        <w:rPr>
          <w:i/>
        </w:rPr>
        <w:t>[insert figure]</w:t>
      </w:r>
      <w:r w:rsidRPr="00D96B14">
        <w:t xml:space="preserve"> to which a VIPP Plan was required.</w:t>
      </w:r>
    </w:p>
    <w:p w:rsidR="00142353" w:rsidRPr="00D96B14" w:rsidRDefault="00142353" w:rsidP="00142353">
      <w:pPr>
        <w:pStyle w:val="CommentaryBullet"/>
      </w:pPr>
      <w:r w:rsidRPr="00D96B14">
        <w:t xml:space="preserve">During </w:t>
      </w:r>
      <w:r w:rsidRPr="00D96B14">
        <w:rPr>
          <w:i/>
        </w:rPr>
        <w:t>[insert current financial year]</w:t>
      </w:r>
      <w:r w:rsidRPr="00D96B14">
        <w:t xml:space="preserve">, this Department commenced </w:t>
      </w:r>
      <w:r w:rsidRPr="00D96B14">
        <w:rPr>
          <w:i/>
        </w:rPr>
        <w:t>[insert figure]</w:t>
      </w:r>
      <w:r w:rsidRPr="00D96B14">
        <w:t xml:space="preserve"> contracts with a total of </w:t>
      </w:r>
      <w:r w:rsidRPr="00D96B14">
        <w:rPr>
          <w:i/>
        </w:rPr>
        <w:t>[insert figure]</w:t>
      </w:r>
      <w:r w:rsidRPr="00D96B14">
        <w:t> per cent estimated to be of local content to which a VIPP Plan was not required as the procurement activity was local by nature.</w:t>
      </w:r>
    </w:p>
    <w:p w:rsidR="00142353" w:rsidRPr="00D96B14" w:rsidRDefault="00142353" w:rsidP="00142353">
      <w:pPr>
        <w:pStyle w:val="CommentaryBullet"/>
      </w:pPr>
      <w:r w:rsidRPr="00D96B14">
        <w:t xml:space="preserve">During </w:t>
      </w:r>
      <w:r w:rsidRPr="00D96B14">
        <w:rPr>
          <w:i/>
        </w:rPr>
        <w:t>[insert current financial year]</w:t>
      </w:r>
      <w:r w:rsidRPr="00D96B14">
        <w:t xml:space="preserve">, this Department commenced </w:t>
      </w:r>
      <w:r w:rsidRPr="00D96B14">
        <w:rPr>
          <w:i/>
        </w:rPr>
        <w:t xml:space="preserve">[insert figure] </w:t>
      </w:r>
      <w:r w:rsidRPr="00D96B14">
        <w:t xml:space="preserve">contracts with a total of </w:t>
      </w:r>
      <w:r w:rsidRPr="00D96B14">
        <w:rPr>
          <w:i/>
        </w:rPr>
        <w:t>[insert figure] per cent</w:t>
      </w:r>
      <w:r w:rsidRPr="00D96B14">
        <w:t xml:space="preserve"> estimated to be of local content to which a VIPP Plan was not required as the procurement activity was international by nature.</w:t>
      </w:r>
    </w:p>
    <w:p w:rsidR="00142353" w:rsidRPr="00D96B14" w:rsidRDefault="00142353" w:rsidP="00142353">
      <w:pPr>
        <w:pStyle w:val="CommentaryBullet"/>
      </w:pPr>
      <w:r w:rsidRPr="00D96B14">
        <w:t xml:space="preserve">During </w:t>
      </w:r>
      <w:r w:rsidRPr="00D96B14">
        <w:rPr>
          <w:i/>
        </w:rPr>
        <w:t>[insert current financial year]</w:t>
      </w:r>
      <w:r w:rsidRPr="00D96B14">
        <w:t xml:space="preserve">, </w:t>
      </w:r>
      <w:r w:rsidRPr="00D96B14">
        <w:rPr>
          <w:i/>
        </w:rPr>
        <w:t>[insert figure]</w:t>
      </w:r>
      <w:r w:rsidRPr="00D96B14">
        <w:t xml:space="preserve"> small to medium sized businesses prepared a VIPP Plan.</w:t>
      </w:r>
    </w:p>
    <w:p w:rsidR="00142353" w:rsidRPr="00D96B14" w:rsidRDefault="00142353" w:rsidP="00142353">
      <w:pPr>
        <w:pStyle w:val="CommentaryBullet"/>
      </w:pPr>
      <w:r w:rsidRPr="00D96B14">
        <w:t xml:space="preserve">During </w:t>
      </w:r>
      <w:r w:rsidRPr="00D96B14">
        <w:rPr>
          <w:i/>
        </w:rPr>
        <w:t>[insert current financial year]</w:t>
      </w:r>
      <w:r w:rsidRPr="00D96B14">
        <w:t xml:space="preserve">, </w:t>
      </w:r>
      <w:r w:rsidRPr="00D96B14">
        <w:rPr>
          <w:i/>
        </w:rPr>
        <w:t>[insert figure]</w:t>
      </w:r>
      <w:r w:rsidRPr="00D96B14">
        <w:t xml:space="preserve"> contracts commenced and/or completed, to which a VIPP Plan was required, occurred in metropolitan Melbourne, representing </w:t>
      </w:r>
      <w:r w:rsidRPr="00D96B14">
        <w:rPr>
          <w:i/>
        </w:rPr>
        <w:t>[insert figure]</w:t>
      </w:r>
      <w:r w:rsidRPr="00D96B14">
        <w:t> per cent of estimated local content.</w:t>
      </w:r>
    </w:p>
    <w:p w:rsidR="00142353" w:rsidRPr="00D96B14" w:rsidRDefault="00142353" w:rsidP="00142353">
      <w:pPr>
        <w:pStyle w:val="CommentaryBullet"/>
      </w:pPr>
      <w:r w:rsidRPr="00D96B14">
        <w:t xml:space="preserve">During </w:t>
      </w:r>
      <w:r w:rsidRPr="00D96B14">
        <w:rPr>
          <w:i/>
        </w:rPr>
        <w:t>[insert current financial year]</w:t>
      </w:r>
      <w:r w:rsidRPr="00D96B14">
        <w:t xml:space="preserve">, </w:t>
      </w:r>
      <w:r w:rsidRPr="00D96B14">
        <w:rPr>
          <w:i/>
        </w:rPr>
        <w:t>[insert figure]</w:t>
      </w:r>
      <w:r w:rsidRPr="00D96B14">
        <w:t xml:space="preserve"> contracts commenced and/or completed, to which a VIPP Plan was required, occurred in regional Victoria, representing </w:t>
      </w:r>
      <w:r w:rsidRPr="00D96B14">
        <w:rPr>
          <w:i/>
        </w:rPr>
        <w:t>[insert figure]</w:t>
      </w:r>
      <w:r w:rsidRPr="00D96B14">
        <w:t> per cent of estimated local content.</w:t>
      </w:r>
    </w:p>
    <w:p w:rsidR="00142353" w:rsidRPr="00D96B14" w:rsidRDefault="00142353" w:rsidP="00142353">
      <w:pPr>
        <w:pStyle w:val="CommentaryBullet"/>
      </w:pPr>
      <w:r w:rsidRPr="00D96B14">
        <w:t>The total VIPP Plan commitments achieved as a result of contracts commenced include:</w:t>
      </w:r>
    </w:p>
    <w:p w:rsidR="00142353" w:rsidRPr="00D96B14" w:rsidRDefault="00142353" w:rsidP="00142353">
      <w:pPr>
        <w:pStyle w:val="CommentaryDashBlue"/>
      </w:pPr>
      <w:r w:rsidRPr="00D96B14">
        <w:tab/>
        <w:t>–</w:t>
      </w:r>
      <w:r w:rsidRPr="00D96B14">
        <w:tab/>
        <w:t>local content of [insert figure] per cent of the total value of the contracts;</w:t>
      </w:r>
    </w:p>
    <w:p w:rsidR="00142353" w:rsidRPr="00D96B14" w:rsidRDefault="00142353" w:rsidP="00142353">
      <w:pPr>
        <w:pStyle w:val="CommentaryDashBlue"/>
      </w:pPr>
      <w:r w:rsidRPr="00D96B14">
        <w:tab/>
        <w:t>–</w:t>
      </w:r>
      <w:r w:rsidRPr="00D96B14">
        <w:tab/>
        <w:t>[insert figure] new jobs and [insert figure] retained jobs (Annualised Employee Equivalent (AEE)). (Refer to the definition and calculation of AEE illustrated in the guidance of Note 41 of this Model.);</w:t>
      </w:r>
    </w:p>
    <w:p w:rsidR="00142353" w:rsidRPr="00D96B14" w:rsidRDefault="00142353" w:rsidP="00142353">
      <w:pPr>
        <w:pStyle w:val="CommentaryDashBlue"/>
      </w:pPr>
      <w:r w:rsidRPr="00D96B14">
        <w:tab/>
        <w:t>–</w:t>
      </w:r>
      <w:r w:rsidRPr="00D96B14">
        <w:tab/>
        <w:t>[insert figure] new apprenticeships/traineeships and [insert figure] retained apprenticeships/traineeships; and</w:t>
      </w:r>
    </w:p>
    <w:p w:rsidR="00142353" w:rsidRPr="00D96B14" w:rsidRDefault="00142353" w:rsidP="00142353">
      <w:pPr>
        <w:pStyle w:val="CommentaryDashBlue"/>
      </w:pPr>
      <w:r w:rsidRPr="00D96B14">
        <w:tab/>
        <w:t>–</w:t>
      </w:r>
      <w:r w:rsidRPr="00D96B14">
        <w:tab/>
        <w:t>benefits to the Victorian economy in terms of skills and/or technology transfer outcomes of .....</w:t>
      </w:r>
    </w:p>
    <w:p w:rsidR="00142353" w:rsidRPr="00D96B14" w:rsidRDefault="00142353" w:rsidP="00142353">
      <w:pPr>
        <w:pStyle w:val="CommentaryBullet"/>
      </w:pPr>
      <w:r w:rsidRPr="00D96B14">
        <w:t>The total VIPP Plan commitments achieved as a result of contracts completed</w:t>
      </w:r>
      <w:r w:rsidR="005A4BB0">
        <w:t xml:space="preserve"> </w:t>
      </w:r>
      <w:r w:rsidRPr="00D96B14">
        <w:t xml:space="preserve">include: </w:t>
      </w:r>
    </w:p>
    <w:p w:rsidR="00142353" w:rsidRPr="00D96B14" w:rsidRDefault="00142353" w:rsidP="00142353">
      <w:pPr>
        <w:pStyle w:val="CommentaryDashBlue"/>
      </w:pPr>
      <w:r w:rsidRPr="00D96B14">
        <w:tab/>
        <w:t>–</w:t>
      </w:r>
      <w:r w:rsidRPr="00D96B14">
        <w:tab/>
        <w:t>local content of [insert figure] percentage of the total value of the contracts;</w:t>
      </w:r>
    </w:p>
    <w:p w:rsidR="00142353" w:rsidRPr="00D96B14" w:rsidRDefault="00142353" w:rsidP="00142353">
      <w:pPr>
        <w:pStyle w:val="CommentaryDashBlue"/>
      </w:pPr>
      <w:r w:rsidRPr="00D96B14">
        <w:tab/>
        <w:t>–</w:t>
      </w:r>
      <w:r w:rsidRPr="00D96B14">
        <w:tab/>
        <w:t>[insert figure] new jobs and [insert figure] retained jobs (AEE). (Refer to the definition and calculation of AEE illustrated in the guidance of Note 41 of the Model.);</w:t>
      </w:r>
    </w:p>
    <w:p w:rsidR="00142353" w:rsidRPr="00D96B14" w:rsidRDefault="00142353" w:rsidP="00142353">
      <w:pPr>
        <w:pStyle w:val="CommentaryDashBlue"/>
      </w:pPr>
      <w:r w:rsidRPr="00D96B14">
        <w:tab/>
        <w:t>–</w:t>
      </w:r>
      <w:r w:rsidRPr="00D96B14">
        <w:tab/>
        <w:t>[insert figure] new apprenticeships/traineeships and [insert figure] retained apprenticeships/traineeships; and</w:t>
      </w:r>
    </w:p>
    <w:p w:rsidR="00142353" w:rsidRPr="00D96B14" w:rsidRDefault="00142353" w:rsidP="00142353">
      <w:pPr>
        <w:pStyle w:val="CommentaryDashBlue"/>
      </w:pPr>
      <w:r w:rsidRPr="00D96B14">
        <w:tab/>
        <w:t>–</w:t>
      </w:r>
      <w:r w:rsidRPr="00D96B14">
        <w:tab/>
        <w:t>benefits to the Victorian economy in terms of skills and/or technology transfer outcomes of</w:t>
      </w:r>
      <w:r w:rsidR="005A4BB0">
        <w:t xml:space="preserve"> </w:t>
      </w:r>
      <w:r w:rsidRPr="00D96B14">
        <w:t>....</w:t>
      </w:r>
    </w:p>
    <w:p w:rsidR="00142353" w:rsidRPr="00D96B14" w:rsidRDefault="00142353" w:rsidP="00142353">
      <w:pPr>
        <w:pStyle w:val="CommentaryBullet"/>
        <w:pBdr>
          <w:bottom w:val="single" w:sz="4" w:space="1" w:color="0000FF"/>
        </w:pBdr>
      </w:pPr>
      <w:r w:rsidRPr="00D96B14">
        <w:t xml:space="preserve">During </w:t>
      </w:r>
      <w:r w:rsidRPr="00D96B14">
        <w:rPr>
          <w:i/>
        </w:rPr>
        <w:t>[insert current financial year]</w:t>
      </w:r>
      <w:r w:rsidRPr="00D96B14">
        <w:t xml:space="preserve">, </w:t>
      </w:r>
      <w:r w:rsidRPr="00D96B14">
        <w:rPr>
          <w:i/>
        </w:rPr>
        <w:t>[insert figure]</w:t>
      </w:r>
      <w:r w:rsidRPr="00D96B14">
        <w:t xml:space="preserve"> Interaction Reference Number conversations were held with the Industry Capability Network (Victoria) Ltd.</w:t>
      </w:r>
    </w:p>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sectPr>
      </w:pPr>
    </w:p>
    <w:p w:rsidR="00142353" w:rsidRPr="00D96B14" w:rsidRDefault="00142353" w:rsidP="00142353">
      <w:pPr>
        <w:pStyle w:val="SmallLine"/>
      </w:pPr>
      <w:r w:rsidRPr="00D96B14">
        <w:lastRenderedPageBreak/>
        <w:br w:type="page"/>
      </w:r>
      <w:r w:rsidRPr="00D96B14">
        <w:lastRenderedPageBreak/>
        <w:br w:type="column"/>
      </w:r>
    </w:p>
    <w:p w:rsidR="00142353" w:rsidRPr="00D96B14" w:rsidRDefault="00142353" w:rsidP="00142353">
      <w:pPr>
        <w:pStyle w:val="CommentaryHeading"/>
        <w:pBdr>
          <w:bottom w:val="none" w:sz="0" w:space="0" w:color="auto"/>
        </w:pBdr>
      </w:pPr>
      <w:r w:rsidRPr="00D96B14">
        <w:t xml:space="preserve">Commentary – Implementation of the Victorian Industry Participation Policy </w:t>
      </w:r>
      <w:r w:rsidRPr="00D96B14">
        <w:rPr>
          <w:i/>
        </w:rPr>
        <w:t>(continued)</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bottom w:val="none" w:sz="0" w:space="0" w:color="auto"/>
        </w:pBdr>
      </w:pPr>
      <w:r w:rsidRPr="00D96B14">
        <w:t xml:space="preserve">Reporting on grants provided or design contracts </w:t>
      </w:r>
    </w:p>
    <w:p w:rsidR="00142353" w:rsidRPr="00D96B14" w:rsidRDefault="00142353" w:rsidP="00142353">
      <w:pPr>
        <w:pStyle w:val="CommentaryText"/>
        <w:pBdr>
          <w:bottom w:val="none" w:sz="0" w:space="0" w:color="auto"/>
        </w:pBdr>
      </w:pPr>
      <w:r w:rsidRPr="00D96B14">
        <w:t>The report of operations should contain the following information related to grants provided or design contracts to which an Interaction Reference Number was required:</w:t>
      </w:r>
    </w:p>
    <w:p w:rsidR="00142353" w:rsidRPr="00D96B14" w:rsidRDefault="00142353" w:rsidP="00142353">
      <w:pPr>
        <w:pStyle w:val="CommentaryBullet"/>
        <w:pBdr>
          <w:bottom w:val="single" w:sz="4" w:space="1" w:color="0000FF"/>
        </w:pBdr>
      </w:pPr>
      <w:r w:rsidRPr="00D96B14">
        <w:t xml:space="preserve">For design contracts or grants provided in the reporting period, a total of [insert figure] Interaction Reference Numbers were required, which entailed a conversation with the Industry Capability Network (Victoria) Ltd. </w:t>
      </w:r>
    </w:p>
    <w:p w:rsidR="00142353" w:rsidRPr="00D96B14" w:rsidRDefault="00142353" w:rsidP="00142353">
      <w:pPr>
        <w:pStyle w:val="CommentaryBullet"/>
        <w:pBdr>
          <w:bottom w:val="single" w:sz="4" w:space="1" w:color="0000FF"/>
        </w:pBdr>
      </w:pPr>
      <w:r w:rsidRPr="00D96B14">
        <w:t>For contracts completed in the reporting period that required a VIPP Plan under the VIPP policy prior to the implementation of the 1 January 2013 VIPP reform, the total VIPP Plan outcomes include:</w:t>
      </w:r>
    </w:p>
    <w:p w:rsidR="00142353" w:rsidRPr="00D96B14" w:rsidRDefault="00142353" w:rsidP="00142353">
      <w:pPr>
        <w:pStyle w:val="CommentaryDashBlue"/>
        <w:pBdr>
          <w:bottom w:val="single" w:sz="4" w:space="1" w:color="0000FF"/>
        </w:pBdr>
      </w:pPr>
      <w:r w:rsidRPr="00D96B14">
        <w:tab/>
        <w:t>–</w:t>
      </w:r>
      <w:r w:rsidRPr="00D96B14">
        <w:tab/>
        <w:t>local content of [insert figure] percentage of the total value of the contracts;</w:t>
      </w:r>
    </w:p>
    <w:p w:rsidR="00142353" w:rsidRPr="00D96B14" w:rsidRDefault="00142353" w:rsidP="00142353">
      <w:pPr>
        <w:pStyle w:val="CommentaryDashBlue"/>
        <w:pBdr>
          <w:bottom w:val="single" w:sz="4" w:space="1" w:color="0000FF"/>
        </w:pBdr>
      </w:pPr>
      <w:r w:rsidRPr="00D96B14">
        <w:tab/>
        <w:t>–</w:t>
      </w:r>
      <w:r w:rsidRPr="00D96B14">
        <w:tab/>
        <w:t>[insert figure] new jobs and [insert figure] retained jobs (AEE). (Refer to the definition and calculation of AEE illustrated in the guidance of Note 41 of the Model);</w:t>
      </w:r>
    </w:p>
    <w:p w:rsidR="00142353" w:rsidRPr="00D96B14" w:rsidRDefault="00142353" w:rsidP="00142353">
      <w:pPr>
        <w:pStyle w:val="CommentaryDashBlue"/>
        <w:pBdr>
          <w:bottom w:val="single" w:sz="4" w:space="1" w:color="0000FF"/>
        </w:pBdr>
      </w:pPr>
      <w:r w:rsidRPr="00D96B14">
        <w:tab/>
        <w:t>–</w:t>
      </w:r>
      <w:r w:rsidRPr="00D96B14">
        <w:tab/>
        <w:t>[insert figure] new apprenticeships/traineeships and [insert figure] retained apprenticeships/traineeships; and</w:t>
      </w:r>
    </w:p>
    <w:p w:rsidR="00142353" w:rsidRPr="00D96B14" w:rsidRDefault="00142353" w:rsidP="00142353">
      <w:pPr>
        <w:pStyle w:val="CommentaryDashBlue"/>
        <w:pBdr>
          <w:bottom w:val="single" w:sz="4" w:space="1" w:color="0000FF"/>
        </w:pBdr>
      </w:pPr>
      <w:r w:rsidRPr="00D96B14">
        <w:tab/>
        <w:t>–</w:t>
      </w:r>
      <w:r w:rsidRPr="00D96B14">
        <w:tab/>
        <w:t>benefits to the Victorian economy in terms of skills and/or technology transfer outcomes of .....</w:t>
      </w:r>
    </w:p>
    <w:p w:rsidR="00142353" w:rsidRPr="00D96B14" w:rsidRDefault="00142353" w:rsidP="00142353"/>
    <w:p w:rsidR="00142353" w:rsidRPr="00D96B14" w:rsidRDefault="00142353" w:rsidP="00142353">
      <w:pPr>
        <w:rPr>
          <w:lang w:val="en-GB"/>
        </w:rPr>
      </w:pPr>
      <w:r w:rsidRPr="00D96B14">
        <w:br w:type="page"/>
      </w:r>
    </w:p>
    <w:p w:rsidR="00142353" w:rsidRPr="00D96B14" w:rsidRDefault="00142353" w:rsidP="00142353">
      <w:pPr>
        <w:pStyle w:val="ReferenceRed"/>
        <w:spacing w:before="280"/>
      </w:pPr>
    </w:p>
    <w:p w:rsidR="00142353" w:rsidRPr="00D96B14" w:rsidRDefault="00142353" w:rsidP="00142353">
      <w:pPr>
        <w:pStyle w:val="ReferenceRed"/>
        <w:spacing w:before="60"/>
      </w:pPr>
      <w:r w:rsidRPr="00D96B14">
        <w:t>Revised</w:t>
      </w:r>
    </w:p>
    <w:p w:rsidR="00142353" w:rsidRPr="00D96B14" w:rsidRDefault="00142353" w:rsidP="00142353">
      <w:pPr>
        <w:pStyle w:val="Reference"/>
        <w:spacing w:before="240"/>
      </w:pPr>
      <w:r w:rsidRPr="00D96B14">
        <w:t>FRD 22G</w:t>
      </w:r>
    </w:p>
    <w:p w:rsidR="00142353" w:rsidRPr="00D96B14" w:rsidRDefault="00142353" w:rsidP="00142353">
      <w:pPr>
        <w:pStyle w:val="Reference"/>
        <w:spacing w:before="0"/>
      </w:pPr>
      <w:r w:rsidRPr="00D96B14">
        <w:t>Recommendation 50, PAEC Report 118</w:t>
      </w:r>
    </w:p>
    <w:p w:rsidR="00142353" w:rsidRPr="00D96B14" w:rsidRDefault="00142353" w:rsidP="00142353">
      <w:pPr>
        <w:pStyle w:val="ReferenceRed"/>
        <w:spacing w:before="0"/>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Reference"/>
        <w:spacing w:before="480"/>
        <w:rPr>
          <w:color w:val="FF0000"/>
        </w:rPr>
      </w:pPr>
      <w:r w:rsidRPr="00D96B14">
        <w:rPr>
          <w:color w:val="FF0000"/>
        </w:rPr>
        <w:t>Revised</w:t>
      </w:r>
    </w:p>
    <w:p w:rsidR="00142353" w:rsidRPr="00D96B14" w:rsidRDefault="00142353" w:rsidP="00142353">
      <w:pPr>
        <w:pStyle w:val="Reference"/>
        <w:spacing w:before="0"/>
      </w:pPr>
      <w:r w:rsidRPr="00D96B14">
        <w:t>FRD 22G</w:t>
      </w:r>
    </w:p>
    <w:p w:rsidR="00142353" w:rsidRPr="00D96B14" w:rsidRDefault="00142353" w:rsidP="00142353">
      <w:pPr>
        <w:pStyle w:val="Reference"/>
        <w:spacing w:before="0"/>
      </w:pPr>
    </w:p>
    <w:p w:rsidR="00142353" w:rsidRPr="00D96B14" w:rsidRDefault="00142353" w:rsidP="00142353">
      <w:pPr>
        <w:pStyle w:val="Reference"/>
        <w:spacing w:before="0"/>
      </w:pPr>
      <w:r w:rsidRPr="00D96B14">
        <w:t>Recommendation 49, PAEC Report 118</w:t>
      </w:r>
    </w:p>
    <w:p w:rsidR="00142353" w:rsidRPr="00D96B14" w:rsidRDefault="00142353" w:rsidP="00142353">
      <w:pPr>
        <w:pStyle w:val="Reference"/>
        <w:spacing w:before="0"/>
      </w:pPr>
    </w:p>
    <w:p w:rsidR="00142353" w:rsidRPr="00D96B14" w:rsidRDefault="00142353" w:rsidP="00142353">
      <w:pPr>
        <w:pStyle w:val="Heading2"/>
      </w:pPr>
      <w:r w:rsidRPr="00D96B14">
        <w:br w:type="column"/>
      </w:r>
      <w:r w:rsidRPr="00D96B14">
        <w:lastRenderedPageBreak/>
        <w:t>Government advertising expenditure</w:t>
      </w:r>
    </w:p>
    <w:p w:rsidR="00142353" w:rsidRPr="00D96B14" w:rsidRDefault="00142353" w:rsidP="00142353">
      <w:pPr>
        <w:pStyle w:val="Heading3"/>
        <w:spacing w:before="200"/>
      </w:pPr>
      <w:r w:rsidRPr="00D96B14">
        <w:t>Details of government advertising expenditure (campaigns with a media spend of $100 000 or greater)</w:t>
      </w:r>
    </w:p>
    <w:p w:rsidR="00142353" w:rsidRPr="00D96B14" w:rsidRDefault="00142353" w:rsidP="00142353">
      <w:pPr>
        <w:pStyle w:val="million"/>
        <w:spacing w:before="0"/>
      </w:pPr>
      <w:r w:rsidRPr="00D96B14">
        <w:t>($ thousand)</w:t>
      </w:r>
    </w:p>
    <w:tbl>
      <w:tblPr>
        <w:tblW w:w="8620" w:type="dxa"/>
        <w:tblInd w:w="-99" w:type="dxa"/>
        <w:tblLayout w:type="fixed"/>
        <w:tblCellMar>
          <w:left w:w="43" w:type="dxa"/>
          <w:right w:w="43" w:type="dxa"/>
        </w:tblCellMar>
        <w:tblLook w:val="01E0" w:firstRow="1" w:lastRow="1" w:firstColumn="1" w:lastColumn="1" w:noHBand="0" w:noVBand="0"/>
      </w:tblPr>
      <w:tblGrid>
        <w:gridCol w:w="952"/>
        <w:gridCol w:w="1701"/>
        <w:gridCol w:w="708"/>
        <w:gridCol w:w="921"/>
        <w:gridCol w:w="992"/>
        <w:gridCol w:w="992"/>
        <w:gridCol w:w="914"/>
        <w:gridCol w:w="900"/>
        <w:gridCol w:w="540"/>
      </w:tblGrid>
      <w:tr w:rsidR="00142353" w:rsidRPr="00D96B14" w:rsidTr="004843DB">
        <w:trPr>
          <w:cantSplit/>
          <w:trHeight w:val="283"/>
        </w:trPr>
        <w:tc>
          <w:tcPr>
            <w:tcW w:w="952" w:type="dxa"/>
            <w:tcBorders>
              <w:top w:val="single" w:sz="4" w:space="0" w:color="auto"/>
              <w:left w:val="nil"/>
              <w:bottom w:val="single" w:sz="4" w:space="0" w:color="auto"/>
              <w:right w:val="nil"/>
            </w:tcBorders>
            <w:vAlign w:val="bottom"/>
          </w:tcPr>
          <w:p w:rsidR="00142353" w:rsidRPr="00D96B14" w:rsidRDefault="00142353" w:rsidP="004843DB">
            <w:pPr>
              <w:pStyle w:val="Tabletext"/>
              <w:ind w:right="-12"/>
            </w:pPr>
          </w:p>
        </w:tc>
        <w:tc>
          <w:tcPr>
            <w:tcW w:w="1701" w:type="dxa"/>
            <w:tcBorders>
              <w:top w:val="single" w:sz="4" w:space="0" w:color="auto"/>
              <w:left w:val="nil"/>
              <w:bottom w:val="single" w:sz="4" w:space="0" w:color="auto"/>
              <w:right w:val="nil"/>
            </w:tcBorders>
            <w:vAlign w:val="bottom"/>
          </w:tcPr>
          <w:p w:rsidR="00142353" w:rsidRPr="00D96B14" w:rsidRDefault="00142353" w:rsidP="004843DB">
            <w:pPr>
              <w:pStyle w:val="Tabletext"/>
              <w:ind w:right="-43"/>
            </w:pPr>
          </w:p>
        </w:tc>
        <w:tc>
          <w:tcPr>
            <w:tcW w:w="708" w:type="dxa"/>
            <w:tcBorders>
              <w:top w:val="single" w:sz="4" w:space="0" w:color="auto"/>
              <w:left w:val="nil"/>
              <w:bottom w:val="single" w:sz="4" w:space="0" w:color="auto"/>
            </w:tcBorders>
            <w:vAlign w:val="bottom"/>
          </w:tcPr>
          <w:p w:rsidR="00142353" w:rsidRPr="00D96B14" w:rsidRDefault="00142353" w:rsidP="004843DB">
            <w:pPr>
              <w:pStyle w:val="Tabletext"/>
            </w:pPr>
          </w:p>
        </w:tc>
        <w:tc>
          <w:tcPr>
            <w:tcW w:w="4719" w:type="dxa"/>
            <w:gridSpan w:val="5"/>
            <w:tcBorders>
              <w:top w:val="single" w:sz="4" w:space="0" w:color="auto"/>
              <w:bottom w:val="single" w:sz="4" w:space="0" w:color="auto"/>
            </w:tcBorders>
            <w:shd w:val="clear" w:color="auto" w:fill="D9D9D9" w:themeFill="background1" w:themeFillShade="D9"/>
            <w:vAlign w:val="bottom"/>
          </w:tcPr>
          <w:p w:rsidR="00142353" w:rsidRPr="00D96B14" w:rsidRDefault="00142353" w:rsidP="004843DB">
            <w:pPr>
              <w:pStyle w:val="TabletextheadingCentred"/>
            </w:pPr>
            <w:r w:rsidRPr="00D96B14">
              <w:t>2015</w:t>
            </w:r>
            <w:r w:rsidR="005A4BB0">
              <w:noBreakHyphen/>
            </w:r>
            <w:r w:rsidRPr="00D96B14">
              <w:t>16</w:t>
            </w:r>
          </w:p>
        </w:tc>
        <w:tc>
          <w:tcPr>
            <w:tcW w:w="540" w:type="dxa"/>
            <w:tcBorders>
              <w:top w:val="single" w:sz="4" w:space="0" w:color="auto"/>
              <w:bottom w:val="single" w:sz="4" w:space="0" w:color="auto"/>
            </w:tcBorders>
            <w:shd w:val="clear" w:color="auto" w:fill="auto"/>
            <w:vAlign w:val="bottom"/>
          </w:tcPr>
          <w:p w:rsidR="00142353" w:rsidRPr="00D96B14" w:rsidRDefault="00142353" w:rsidP="004843DB">
            <w:pPr>
              <w:spacing w:before="0"/>
              <w:jc w:val="center"/>
              <w:rPr>
                <w:rFonts w:asciiTheme="minorHAnsi" w:hAnsiTheme="minorHAnsi" w:cstheme="minorHAnsi"/>
                <w:i/>
                <w:sz w:val="18"/>
                <w:szCs w:val="18"/>
              </w:rPr>
            </w:pPr>
          </w:p>
        </w:tc>
      </w:tr>
      <w:tr w:rsidR="00142353" w:rsidRPr="00D96B14" w:rsidTr="004843DB">
        <w:trPr>
          <w:cantSplit/>
          <w:trHeight w:val="482"/>
        </w:trPr>
        <w:tc>
          <w:tcPr>
            <w:tcW w:w="952" w:type="dxa"/>
            <w:tcBorders>
              <w:top w:val="single" w:sz="4" w:space="0" w:color="auto"/>
              <w:left w:val="nil"/>
              <w:bottom w:val="single" w:sz="4" w:space="0" w:color="auto"/>
              <w:right w:val="nil"/>
            </w:tcBorders>
            <w:vAlign w:val="bottom"/>
            <w:hideMark/>
          </w:tcPr>
          <w:p w:rsidR="00142353" w:rsidRPr="00D96B14" w:rsidRDefault="00142353" w:rsidP="004843DB">
            <w:pPr>
              <w:pStyle w:val="TabletextheadingLeft"/>
              <w:ind w:right="-12"/>
              <w:rPr>
                <w:sz w:val="16"/>
                <w:szCs w:val="16"/>
              </w:rPr>
            </w:pPr>
            <w:r w:rsidRPr="00D96B14">
              <w:rPr>
                <w:sz w:val="16"/>
                <w:szCs w:val="16"/>
              </w:rPr>
              <w:t>Name of Campaign</w:t>
            </w:r>
          </w:p>
        </w:tc>
        <w:tc>
          <w:tcPr>
            <w:tcW w:w="1701" w:type="dxa"/>
            <w:tcBorders>
              <w:top w:val="single" w:sz="4" w:space="0" w:color="auto"/>
              <w:left w:val="nil"/>
              <w:bottom w:val="single" w:sz="4" w:space="0" w:color="auto"/>
              <w:right w:val="nil"/>
            </w:tcBorders>
            <w:vAlign w:val="bottom"/>
            <w:hideMark/>
          </w:tcPr>
          <w:p w:rsidR="00142353" w:rsidRPr="00D96B14" w:rsidRDefault="00142353" w:rsidP="004843DB">
            <w:pPr>
              <w:pStyle w:val="TabletextheadingLeft"/>
              <w:ind w:right="-43"/>
              <w:rPr>
                <w:sz w:val="16"/>
                <w:szCs w:val="16"/>
              </w:rPr>
            </w:pPr>
            <w:r w:rsidRPr="00D96B14">
              <w:rPr>
                <w:sz w:val="16"/>
                <w:szCs w:val="16"/>
              </w:rPr>
              <w:t>Campaign summary</w:t>
            </w:r>
          </w:p>
        </w:tc>
        <w:tc>
          <w:tcPr>
            <w:tcW w:w="708" w:type="dxa"/>
            <w:tcBorders>
              <w:top w:val="single" w:sz="4" w:space="0" w:color="auto"/>
              <w:left w:val="nil"/>
              <w:bottom w:val="single" w:sz="4" w:space="0" w:color="auto"/>
            </w:tcBorders>
            <w:vAlign w:val="bottom"/>
            <w:hideMark/>
          </w:tcPr>
          <w:p w:rsidR="00142353" w:rsidRPr="00D96B14" w:rsidRDefault="00142353" w:rsidP="004843DB">
            <w:pPr>
              <w:pStyle w:val="TabletextheadingLeft"/>
              <w:rPr>
                <w:sz w:val="16"/>
                <w:szCs w:val="16"/>
              </w:rPr>
            </w:pPr>
            <w:r w:rsidRPr="00D96B14">
              <w:rPr>
                <w:sz w:val="16"/>
                <w:szCs w:val="16"/>
              </w:rPr>
              <w:t>Start/</w:t>
            </w:r>
            <w:r w:rsidRPr="00D96B14">
              <w:rPr>
                <w:sz w:val="16"/>
                <w:szCs w:val="16"/>
              </w:rPr>
              <w:br/>
              <w:t>End date</w:t>
            </w:r>
          </w:p>
        </w:tc>
        <w:tc>
          <w:tcPr>
            <w:tcW w:w="921" w:type="dxa"/>
            <w:tcBorders>
              <w:top w:val="single" w:sz="4" w:space="0" w:color="auto"/>
              <w:bottom w:val="single" w:sz="4" w:space="0" w:color="auto"/>
            </w:tcBorders>
            <w:shd w:val="clear" w:color="auto" w:fill="D9D9D9" w:themeFill="background1" w:themeFillShade="D9"/>
            <w:vAlign w:val="bottom"/>
            <w:hideMark/>
          </w:tcPr>
          <w:p w:rsidR="00142353" w:rsidRPr="00D96B14" w:rsidRDefault="00142353" w:rsidP="004843DB">
            <w:pPr>
              <w:pStyle w:val="TabletextheadingLeft"/>
              <w:jc w:val="right"/>
              <w:rPr>
                <w:rFonts w:asciiTheme="minorHAnsi" w:hAnsiTheme="minorHAnsi" w:cstheme="minorHAnsi"/>
                <w:sz w:val="16"/>
                <w:szCs w:val="16"/>
              </w:rPr>
            </w:pPr>
            <w:r w:rsidRPr="00D96B14">
              <w:rPr>
                <w:rFonts w:asciiTheme="minorHAnsi" w:hAnsiTheme="minorHAnsi" w:cstheme="minorHAnsi"/>
                <w:sz w:val="16"/>
                <w:szCs w:val="16"/>
              </w:rPr>
              <w:t>Advertising (Media) Expenditure</w:t>
            </w:r>
          </w:p>
          <w:p w:rsidR="00142353" w:rsidRPr="00D96B14" w:rsidRDefault="00142353" w:rsidP="004843DB">
            <w:pPr>
              <w:pStyle w:val="TabletextheadingLeft"/>
              <w:jc w:val="right"/>
              <w:rPr>
                <w:rFonts w:asciiTheme="minorHAnsi" w:hAnsiTheme="minorHAnsi" w:cstheme="minorHAnsi"/>
                <w:sz w:val="16"/>
                <w:szCs w:val="16"/>
              </w:rPr>
            </w:pPr>
            <w:r w:rsidRPr="00D96B14">
              <w:rPr>
                <w:rFonts w:asciiTheme="minorHAnsi" w:hAnsiTheme="minorHAnsi" w:cstheme="minorHAnsi"/>
                <w:sz w:val="16"/>
                <w:szCs w:val="16"/>
              </w:rPr>
              <w:t xml:space="preserve">(excl. GST) </w:t>
            </w:r>
          </w:p>
        </w:tc>
        <w:tc>
          <w:tcPr>
            <w:tcW w:w="992" w:type="dxa"/>
            <w:tcBorders>
              <w:top w:val="single" w:sz="4" w:space="0" w:color="auto"/>
              <w:bottom w:val="single" w:sz="4" w:space="0" w:color="auto"/>
            </w:tcBorders>
            <w:shd w:val="clear" w:color="auto" w:fill="D9D9D9" w:themeFill="background1" w:themeFillShade="D9"/>
            <w:vAlign w:val="bottom"/>
            <w:hideMark/>
          </w:tcPr>
          <w:p w:rsidR="00142353" w:rsidRPr="00D96B14" w:rsidRDefault="00142353" w:rsidP="004843DB">
            <w:pPr>
              <w:pStyle w:val="TabletextheadingLeft"/>
              <w:jc w:val="right"/>
              <w:rPr>
                <w:rFonts w:asciiTheme="minorHAnsi" w:hAnsiTheme="minorHAnsi" w:cstheme="minorHAnsi"/>
                <w:sz w:val="16"/>
                <w:szCs w:val="16"/>
              </w:rPr>
            </w:pPr>
            <w:r w:rsidRPr="00D96B14">
              <w:rPr>
                <w:rFonts w:asciiTheme="minorHAnsi" w:hAnsiTheme="minorHAnsi" w:cstheme="minorHAnsi"/>
                <w:sz w:val="16"/>
                <w:szCs w:val="16"/>
              </w:rPr>
              <w:t>Creative and campaign development Expenditure (excl. GST)</w:t>
            </w:r>
          </w:p>
        </w:tc>
        <w:tc>
          <w:tcPr>
            <w:tcW w:w="992" w:type="dxa"/>
            <w:tcBorders>
              <w:top w:val="single" w:sz="4" w:space="0" w:color="auto"/>
              <w:bottom w:val="single" w:sz="4" w:space="0" w:color="auto"/>
            </w:tcBorders>
            <w:shd w:val="clear" w:color="auto" w:fill="D9D9D9" w:themeFill="background1" w:themeFillShade="D9"/>
            <w:vAlign w:val="bottom"/>
            <w:hideMark/>
          </w:tcPr>
          <w:p w:rsidR="00142353" w:rsidRPr="00D96B14" w:rsidRDefault="00142353" w:rsidP="004843DB">
            <w:pPr>
              <w:pStyle w:val="TabletextheadingLeft"/>
              <w:jc w:val="right"/>
              <w:rPr>
                <w:rFonts w:asciiTheme="minorHAnsi" w:hAnsiTheme="minorHAnsi" w:cstheme="minorHAnsi"/>
                <w:sz w:val="16"/>
                <w:szCs w:val="16"/>
              </w:rPr>
            </w:pPr>
            <w:r w:rsidRPr="00D96B14">
              <w:rPr>
                <w:rFonts w:asciiTheme="minorHAnsi" w:hAnsiTheme="minorHAnsi" w:cstheme="minorHAnsi"/>
                <w:sz w:val="16"/>
                <w:szCs w:val="16"/>
              </w:rPr>
              <w:t xml:space="preserve">Research and evaluation Expenditure (excl. GST) </w:t>
            </w:r>
          </w:p>
        </w:tc>
        <w:tc>
          <w:tcPr>
            <w:tcW w:w="914" w:type="dxa"/>
            <w:tcBorders>
              <w:top w:val="single" w:sz="4" w:space="0" w:color="auto"/>
              <w:bottom w:val="single" w:sz="4" w:space="0" w:color="auto"/>
            </w:tcBorders>
            <w:shd w:val="clear" w:color="auto" w:fill="D9D9D9" w:themeFill="background1" w:themeFillShade="D9"/>
            <w:vAlign w:val="bottom"/>
            <w:hideMark/>
          </w:tcPr>
          <w:p w:rsidR="00142353" w:rsidRPr="00D96B14" w:rsidRDefault="00142353" w:rsidP="004843DB">
            <w:pPr>
              <w:pStyle w:val="TabletextheadingLeft"/>
              <w:jc w:val="right"/>
              <w:rPr>
                <w:rFonts w:asciiTheme="minorHAnsi" w:hAnsiTheme="minorHAnsi" w:cstheme="minorHAnsi"/>
                <w:sz w:val="16"/>
                <w:szCs w:val="16"/>
              </w:rPr>
            </w:pPr>
            <w:r w:rsidRPr="00D96B14">
              <w:rPr>
                <w:rFonts w:asciiTheme="minorHAnsi" w:hAnsiTheme="minorHAnsi" w:cstheme="minorHAnsi"/>
                <w:sz w:val="16"/>
                <w:szCs w:val="16"/>
              </w:rPr>
              <w:t>Print and collateral Expenditure (excl. GST)</w:t>
            </w:r>
          </w:p>
        </w:tc>
        <w:tc>
          <w:tcPr>
            <w:tcW w:w="900" w:type="dxa"/>
            <w:tcBorders>
              <w:top w:val="single" w:sz="4" w:space="0" w:color="auto"/>
              <w:bottom w:val="single" w:sz="4" w:space="0" w:color="auto"/>
            </w:tcBorders>
            <w:shd w:val="clear" w:color="auto" w:fill="D9D9D9" w:themeFill="background1" w:themeFillShade="D9"/>
            <w:vAlign w:val="bottom"/>
            <w:hideMark/>
          </w:tcPr>
          <w:p w:rsidR="00142353" w:rsidRPr="00D96B14" w:rsidRDefault="00142353" w:rsidP="004843DB">
            <w:pPr>
              <w:pStyle w:val="TabletextheadingLeft"/>
              <w:jc w:val="right"/>
              <w:rPr>
                <w:rFonts w:asciiTheme="minorHAnsi" w:hAnsiTheme="minorHAnsi" w:cstheme="minorHAnsi"/>
                <w:sz w:val="16"/>
                <w:szCs w:val="16"/>
              </w:rPr>
            </w:pPr>
            <w:r w:rsidRPr="00D96B14">
              <w:rPr>
                <w:rFonts w:asciiTheme="minorHAnsi" w:hAnsiTheme="minorHAnsi" w:cstheme="minorHAnsi"/>
                <w:sz w:val="16"/>
                <w:szCs w:val="16"/>
              </w:rPr>
              <w:t xml:space="preserve">Other Campaign Expenditure (excl. GST) </w:t>
            </w:r>
          </w:p>
        </w:tc>
        <w:tc>
          <w:tcPr>
            <w:tcW w:w="540" w:type="dxa"/>
            <w:tcBorders>
              <w:top w:val="single" w:sz="4" w:space="0" w:color="auto"/>
              <w:bottom w:val="single" w:sz="4" w:space="0" w:color="auto"/>
            </w:tcBorders>
            <w:shd w:val="clear" w:color="auto" w:fill="auto"/>
            <w:vAlign w:val="bottom"/>
          </w:tcPr>
          <w:p w:rsidR="00142353" w:rsidRPr="00D96B14" w:rsidRDefault="00142353" w:rsidP="004843DB">
            <w:pPr>
              <w:pStyle w:val="TabletextheadingLeft"/>
              <w:jc w:val="right"/>
              <w:rPr>
                <w:rFonts w:asciiTheme="minorHAnsi" w:hAnsiTheme="minorHAnsi" w:cstheme="minorHAnsi"/>
                <w:b/>
                <w:sz w:val="16"/>
                <w:szCs w:val="16"/>
              </w:rPr>
            </w:pPr>
            <w:r w:rsidRPr="00D96B14">
              <w:rPr>
                <w:rFonts w:asciiTheme="minorHAnsi" w:hAnsiTheme="minorHAnsi" w:cstheme="minorHAnsi"/>
                <w:b/>
                <w:sz w:val="16"/>
                <w:szCs w:val="16"/>
              </w:rPr>
              <w:t>Total</w:t>
            </w:r>
          </w:p>
        </w:tc>
      </w:tr>
      <w:tr w:rsidR="00142353" w:rsidRPr="00D96B14" w:rsidTr="004843DB">
        <w:trPr>
          <w:cantSplit/>
          <w:trHeight w:val="352"/>
        </w:trPr>
        <w:tc>
          <w:tcPr>
            <w:tcW w:w="952" w:type="dxa"/>
            <w:tcBorders>
              <w:top w:val="single" w:sz="4" w:space="0" w:color="auto"/>
              <w:left w:val="nil"/>
              <w:bottom w:val="single" w:sz="4" w:space="0" w:color="auto"/>
              <w:right w:val="nil"/>
            </w:tcBorders>
          </w:tcPr>
          <w:p w:rsidR="00142353" w:rsidRPr="00D96B14" w:rsidRDefault="00142353" w:rsidP="004843DB">
            <w:pPr>
              <w:pStyle w:val="Tabletext"/>
            </w:pPr>
            <w:r w:rsidRPr="00D96B14">
              <w:t>Online Safety</w:t>
            </w:r>
          </w:p>
        </w:tc>
        <w:tc>
          <w:tcPr>
            <w:tcW w:w="1701" w:type="dxa"/>
            <w:tcBorders>
              <w:top w:val="single" w:sz="4" w:space="0" w:color="auto"/>
              <w:left w:val="nil"/>
              <w:bottom w:val="single" w:sz="4" w:space="0" w:color="auto"/>
              <w:right w:val="nil"/>
            </w:tcBorders>
            <w:vAlign w:val="bottom"/>
          </w:tcPr>
          <w:p w:rsidR="00142353" w:rsidRPr="00D96B14" w:rsidRDefault="00142353" w:rsidP="004843DB">
            <w:pPr>
              <w:pStyle w:val="Tabletext"/>
            </w:pPr>
            <w:r w:rsidRPr="00D96B14">
              <w:t>To ensure Victorian users remain safe online, the Department launched a six month campaign aimed at informing and educating Victorians on how to stay safe online.</w:t>
            </w:r>
          </w:p>
        </w:tc>
        <w:tc>
          <w:tcPr>
            <w:tcW w:w="708" w:type="dxa"/>
            <w:tcBorders>
              <w:top w:val="single" w:sz="4" w:space="0" w:color="auto"/>
              <w:left w:val="nil"/>
              <w:bottom w:val="single" w:sz="4" w:space="0" w:color="auto"/>
            </w:tcBorders>
          </w:tcPr>
          <w:p w:rsidR="00142353" w:rsidRPr="00D96B14" w:rsidRDefault="00142353" w:rsidP="004843DB">
            <w:pPr>
              <w:pStyle w:val="Tabletext"/>
            </w:pPr>
            <w:r w:rsidRPr="00D96B14">
              <w:t>Aug 2015 – Jan 2016</w:t>
            </w:r>
          </w:p>
        </w:tc>
        <w:tc>
          <w:tcPr>
            <w:tcW w:w="921" w:type="dxa"/>
            <w:tcBorders>
              <w:top w:val="single" w:sz="4" w:space="0" w:color="auto"/>
              <w:bottom w:val="single" w:sz="4" w:space="0" w:color="auto"/>
            </w:tcBorders>
            <w:shd w:val="clear" w:color="auto" w:fill="D9D9D9" w:themeFill="background1" w:themeFillShade="D9"/>
          </w:tcPr>
          <w:p w:rsidR="00142353" w:rsidRPr="00D96B14" w:rsidRDefault="00142353" w:rsidP="004843DB">
            <w:pPr>
              <w:pStyle w:val="Tabletext"/>
              <w:jc w:val="right"/>
            </w:pPr>
            <w:r w:rsidRPr="00D96B14">
              <w:t>1 250</w:t>
            </w:r>
          </w:p>
        </w:tc>
        <w:tc>
          <w:tcPr>
            <w:tcW w:w="992" w:type="dxa"/>
            <w:tcBorders>
              <w:top w:val="single" w:sz="4" w:space="0" w:color="auto"/>
              <w:bottom w:val="single" w:sz="4" w:space="0" w:color="auto"/>
            </w:tcBorders>
            <w:shd w:val="clear" w:color="auto" w:fill="D9D9D9" w:themeFill="background1" w:themeFillShade="D9"/>
          </w:tcPr>
          <w:p w:rsidR="00142353" w:rsidRPr="00D96B14" w:rsidRDefault="00142353" w:rsidP="004843DB">
            <w:pPr>
              <w:pStyle w:val="Tabletext"/>
              <w:jc w:val="right"/>
            </w:pPr>
            <w:r w:rsidRPr="00D96B14">
              <w:t>40</w:t>
            </w:r>
          </w:p>
        </w:tc>
        <w:tc>
          <w:tcPr>
            <w:tcW w:w="992" w:type="dxa"/>
            <w:tcBorders>
              <w:top w:val="single" w:sz="4" w:space="0" w:color="auto"/>
              <w:bottom w:val="single" w:sz="4" w:space="0" w:color="auto"/>
            </w:tcBorders>
            <w:shd w:val="clear" w:color="auto" w:fill="D9D9D9" w:themeFill="background1" w:themeFillShade="D9"/>
          </w:tcPr>
          <w:p w:rsidR="00142353" w:rsidRPr="00D96B14" w:rsidRDefault="00142353" w:rsidP="004843DB">
            <w:pPr>
              <w:pStyle w:val="Tabletext"/>
              <w:jc w:val="right"/>
            </w:pPr>
            <w:r w:rsidRPr="00D96B14">
              <w:t>15</w:t>
            </w:r>
          </w:p>
        </w:tc>
        <w:tc>
          <w:tcPr>
            <w:tcW w:w="914" w:type="dxa"/>
            <w:tcBorders>
              <w:top w:val="single" w:sz="4" w:space="0" w:color="auto"/>
              <w:bottom w:val="single" w:sz="4" w:space="0" w:color="auto"/>
            </w:tcBorders>
            <w:shd w:val="clear" w:color="auto" w:fill="D9D9D9" w:themeFill="background1" w:themeFillShade="D9"/>
          </w:tcPr>
          <w:p w:rsidR="00142353" w:rsidRPr="00D96B14" w:rsidRDefault="00142353" w:rsidP="004843DB">
            <w:pPr>
              <w:pStyle w:val="Tabletext"/>
              <w:jc w:val="right"/>
            </w:pPr>
            <w:r w:rsidRPr="00D96B14">
              <w:t>65</w:t>
            </w:r>
          </w:p>
        </w:tc>
        <w:tc>
          <w:tcPr>
            <w:tcW w:w="900" w:type="dxa"/>
            <w:tcBorders>
              <w:top w:val="single" w:sz="4" w:space="0" w:color="auto"/>
              <w:bottom w:val="single" w:sz="4" w:space="0" w:color="auto"/>
            </w:tcBorders>
            <w:shd w:val="clear" w:color="auto" w:fill="D9D9D9" w:themeFill="background1" w:themeFillShade="D9"/>
          </w:tcPr>
          <w:p w:rsidR="00142353" w:rsidRPr="00D96B14" w:rsidRDefault="00142353" w:rsidP="004843DB">
            <w:pPr>
              <w:pStyle w:val="Tabletext"/>
              <w:jc w:val="right"/>
            </w:pPr>
            <w:r w:rsidRPr="00D96B14">
              <w:t>0</w:t>
            </w:r>
          </w:p>
        </w:tc>
        <w:tc>
          <w:tcPr>
            <w:tcW w:w="540" w:type="dxa"/>
            <w:tcBorders>
              <w:top w:val="single" w:sz="4" w:space="0" w:color="auto"/>
              <w:bottom w:val="single" w:sz="4" w:space="0" w:color="auto"/>
            </w:tcBorders>
            <w:shd w:val="clear" w:color="auto" w:fill="auto"/>
          </w:tcPr>
          <w:p w:rsidR="00142353" w:rsidRPr="00D96B14" w:rsidRDefault="00142353" w:rsidP="004843DB">
            <w:pPr>
              <w:pStyle w:val="Tabletext"/>
              <w:jc w:val="right"/>
            </w:pPr>
            <w:r w:rsidRPr="00D96B14">
              <w:t>1 370</w:t>
            </w:r>
          </w:p>
        </w:tc>
      </w:tr>
      <w:tr w:rsidR="00142353" w:rsidRPr="00D96B14" w:rsidTr="004843DB">
        <w:trPr>
          <w:cantSplit/>
          <w:trHeight w:val="2267"/>
        </w:trPr>
        <w:tc>
          <w:tcPr>
            <w:tcW w:w="952" w:type="dxa"/>
            <w:tcBorders>
              <w:top w:val="single" w:sz="4" w:space="0" w:color="auto"/>
            </w:tcBorders>
          </w:tcPr>
          <w:p w:rsidR="00142353" w:rsidRPr="00D96B14" w:rsidRDefault="00142353" w:rsidP="004843DB">
            <w:pPr>
              <w:pStyle w:val="Tabletext"/>
            </w:pPr>
            <w:r w:rsidRPr="00D96B14">
              <w:t>E</w:t>
            </w:r>
            <w:r w:rsidR="005A4BB0">
              <w:noBreakHyphen/>
            </w:r>
            <w:r w:rsidRPr="00D96B14">
              <w:t>recycling</w:t>
            </w:r>
          </w:p>
        </w:tc>
        <w:tc>
          <w:tcPr>
            <w:tcW w:w="1701" w:type="dxa"/>
            <w:tcBorders>
              <w:top w:val="single" w:sz="4" w:space="0" w:color="auto"/>
            </w:tcBorders>
            <w:vAlign w:val="bottom"/>
          </w:tcPr>
          <w:p w:rsidR="00142353" w:rsidRPr="00D96B14" w:rsidRDefault="00142353" w:rsidP="004843DB">
            <w:pPr>
              <w:pStyle w:val="Tabletext"/>
            </w:pPr>
            <w:r w:rsidRPr="00D96B14">
              <w:t>The Department is committed to setting the standard for responsible recycling of electronic equipments. A six month campaign has been initiated to educate companies on how to responsibly dispose electronic waste.</w:t>
            </w:r>
          </w:p>
        </w:tc>
        <w:tc>
          <w:tcPr>
            <w:tcW w:w="708" w:type="dxa"/>
            <w:tcBorders>
              <w:top w:val="single" w:sz="4" w:space="0" w:color="auto"/>
              <w:bottom w:val="single" w:sz="4" w:space="0" w:color="auto"/>
            </w:tcBorders>
          </w:tcPr>
          <w:p w:rsidR="00142353" w:rsidRPr="00D96B14" w:rsidRDefault="00142353" w:rsidP="004843DB">
            <w:pPr>
              <w:pStyle w:val="Tabletext"/>
            </w:pPr>
            <w:r w:rsidRPr="00D96B14">
              <w:t>Oct 2015 – Mar 2016</w:t>
            </w:r>
          </w:p>
        </w:tc>
        <w:tc>
          <w:tcPr>
            <w:tcW w:w="921" w:type="dxa"/>
            <w:tcBorders>
              <w:top w:val="single" w:sz="4" w:space="0" w:color="auto"/>
              <w:bottom w:val="single" w:sz="4" w:space="0" w:color="auto"/>
            </w:tcBorders>
            <w:shd w:val="clear" w:color="auto" w:fill="D9D9D9"/>
          </w:tcPr>
          <w:p w:rsidR="00142353" w:rsidRPr="00D96B14" w:rsidRDefault="00142353" w:rsidP="004843DB">
            <w:pPr>
              <w:pStyle w:val="Tabletext"/>
              <w:jc w:val="right"/>
            </w:pPr>
            <w:r w:rsidRPr="00D96B14">
              <w:t>620</w:t>
            </w:r>
          </w:p>
        </w:tc>
        <w:tc>
          <w:tcPr>
            <w:tcW w:w="992" w:type="dxa"/>
            <w:tcBorders>
              <w:top w:val="single" w:sz="4" w:space="0" w:color="auto"/>
              <w:bottom w:val="single" w:sz="4" w:space="0" w:color="auto"/>
            </w:tcBorders>
            <w:shd w:val="clear" w:color="auto" w:fill="D9D9D9"/>
          </w:tcPr>
          <w:p w:rsidR="00142353" w:rsidRPr="00D96B14" w:rsidRDefault="00142353" w:rsidP="004843DB">
            <w:pPr>
              <w:pStyle w:val="Tabletext"/>
              <w:jc w:val="right"/>
            </w:pPr>
            <w:r w:rsidRPr="00D96B14">
              <w:t>15</w:t>
            </w:r>
          </w:p>
        </w:tc>
        <w:tc>
          <w:tcPr>
            <w:tcW w:w="992" w:type="dxa"/>
            <w:tcBorders>
              <w:top w:val="single" w:sz="4" w:space="0" w:color="auto"/>
              <w:bottom w:val="single" w:sz="4" w:space="0" w:color="auto"/>
            </w:tcBorders>
            <w:shd w:val="clear" w:color="auto" w:fill="D9D9D9"/>
          </w:tcPr>
          <w:p w:rsidR="00142353" w:rsidRPr="00D96B14" w:rsidRDefault="00142353" w:rsidP="004843DB">
            <w:pPr>
              <w:pStyle w:val="Tabletext"/>
              <w:jc w:val="right"/>
            </w:pPr>
            <w:r w:rsidRPr="00D96B14">
              <w:t>32</w:t>
            </w:r>
          </w:p>
        </w:tc>
        <w:tc>
          <w:tcPr>
            <w:tcW w:w="914" w:type="dxa"/>
            <w:tcBorders>
              <w:top w:val="single" w:sz="4" w:space="0" w:color="auto"/>
              <w:bottom w:val="single" w:sz="4" w:space="0" w:color="auto"/>
            </w:tcBorders>
            <w:shd w:val="clear" w:color="auto" w:fill="D9D9D9"/>
          </w:tcPr>
          <w:p w:rsidR="00142353" w:rsidRPr="00D96B14" w:rsidRDefault="00142353" w:rsidP="004843DB">
            <w:pPr>
              <w:pStyle w:val="Tabletext"/>
              <w:jc w:val="right"/>
            </w:pPr>
            <w:r w:rsidRPr="00D96B14">
              <w:t>12</w:t>
            </w:r>
          </w:p>
        </w:tc>
        <w:tc>
          <w:tcPr>
            <w:tcW w:w="900" w:type="dxa"/>
            <w:tcBorders>
              <w:top w:val="single" w:sz="4" w:space="0" w:color="auto"/>
              <w:bottom w:val="single" w:sz="4" w:space="0" w:color="auto"/>
            </w:tcBorders>
            <w:shd w:val="clear" w:color="auto" w:fill="D9D9D9"/>
          </w:tcPr>
          <w:p w:rsidR="00142353" w:rsidRPr="00D96B14" w:rsidRDefault="00142353" w:rsidP="004843DB">
            <w:pPr>
              <w:pStyle w:val="Tabletext"/>
              <w:jc w:val="right"/>
            </w:pPr>
            <w:r w:rsidRPr="00D96B14">
              <w:t>8</w:t>
            </w:r>
          </w:p>
        </w:tc>
        <w:tc>
          <w:tcPr>
            <w:tcW w:w="540" w:type="dxa"/>
            <w:tcBorders>
              <w:top w:val="single" w:sz="4" w:space="0" w:color="auto"/>
              <w:bottom w:val="single" w:sz="4" w:space="0" w:color="auto"/>
            </w:tcBorders>
            <w:shd w:val="clear" w:color="auto" w:fill="auto"/>
          </w:tcPr>
          <w:p w:rsidR="00142353" w:rsidRPr="00D96B14" w:rsidRDefault="00142353" w:rsidP="004843DB">
            <w:pPr>
              <w:pStyle w:val="Tabletext"/>
              <w:jc w:val="right"/>
            </w:pPr>
            <w:r w:rsidRPr="00D96B14">
              <w:t>687</w:t>
            </w:r>
          </w:p>
        </w:tc>
      </w:tr>
      <w:tr w:rsidR="00142353" w:rsidRPr="00D96B14" w:rsidTr="004843DB">
        <w:trPr>
          <w:cantSplit/>
          <w:trHeight w:val="1469"/>
        </w:trPr>
        <w:tc>
          <w:tcPr>
            <w:tcW w:w="952" w:type="dxa"/>
            <w:tcBorders>
              <w:top w:val="single" w:sz="4" w:space="0" w:color="auto"/>
              <w:bottom w:val="single" w:sz="4" w:space="0" w:color="auto"/>
            </w:tcBorders>
          </w:tcPr>
          <w:p w:rsidR="00142353" w:rsidRPr="00D96B14" w:rsidRDefault="00142353" w:rsidP="004843DB">
            <w:pPr>
              <w:pStyle w:val="Tabletext"/>
            </w:pPr>
            <w:r w:rsidRPr="00D96B14">
              <w:t>Senior Citizens Computer Literacy Campaign</w:t>
            </w:r>
          </w:p>
        </w:tc>
        <w:tc>
          <w:tcPr>
            <w:tcW w:w="1701" w:type="dxa"/>
            <w:tcBorders>
              <w:top w:val="single" w:sz="4" w:space="0" w:color="auto"/>
              <w:bottom w:val="single" w:sz="4" w:space="0" w:color="auto"/>
            </w:tcBorders>
            <w:vAlign w:val="bottom"/>
          </w:tcPr>
          <w:p w:rsidR="00142353" w:rsidRPr="00D96B14" w:rsidRDefault="00142353" w:rsidP="004843DB">
            <w:pPr>
              <w:pStyle w:val="Tabletext"/>
            </w:pPr>
            <w:r w:rsidRPr="00D96B14">
              <w:t>The Department launched a three month campaign promoting short courses for senior citizens to assist in developing basic IT skills.</w:t>
            </w:r>
          </w:p>
        </w:tc>
        <w:tc>
          <w:tcPr>
            <w:tcW w:w="708" w:type="dxa"/>
            <w:tcBorders>
              <w:top w:val="single" w:sz="4" w:space="0" w:color="auto"/>
              <w:bottom w:val="single" w:sz="4" w:space="0" w:color="auto"/>
            </w:tcBorders>
          </w:tcPr>
          <w:p w:rsidR="00142353" w:rsidRPr="00D96B14" w:rsidRDefault="00142353" w:rsidP="004843DB">
            <w:pPr>
              <w:pStyle w:val="Tabletext"/>
            </w:pPr>
            <w:r w:rsidRPr="00D96B14">
              <w:t>Jan 2016 – Mar 2016</w:t>
            </w:r>
          </w:p>
        </w:tc>
        <w:tc>
          <w:tcPr>
            <w:tcW w:w="921" w:type="dxa"/>
            <w:tcBorders>
              <w:top w:val="single" w:sz="4" w:space="0" w:color="auto"/>
              <w:bottom w:val="single" w:sz="4" w:space="0" w:color="auto"/>
            </w:tcBorders>
            <w:shd w:val="clear" w:color="auto" w:fill="D9D9D9"/>
          </w:tcPr>
          <w:p w:rsidR="00142353" w:rsidRPr="00D96B14" w:rsidRDefault="00142353" w:rsidP="004843DB">
            <w:pPr>
              <w:pStyle w:val="Tabletext"/>
              <w:jc w:val="right"/>
            </w:pPr>
            <w:r w:rsidRPr="00D96B14">
              <w:t>500</w:t>
            </w:r>
          </w:p>
        </w:tc>
        <w:tc>
          <w:tcPr>
            <w:tcW w:w="992" w:type="dxa"/>
            <w:tcBorders>
              <w:top w:val="single" w:sz="4" w:space="0" w:color="auto"/>
              <w:bottom w:val="single" w:sz="4" w:space="0" w:color="auto"/>
            </w:tcBorders>
            <w:shd w:val="clear" w:color="auto" w:fill="D9D9D9"/>
          </w:tcPr>
          <w:p w:rsidR="00142353" w:rsidRPr="00D96B14" w:rsidRDefault="00142353" w:rsidP="004843DB">
            <w:pPr>
              <w:pStyle w:val="Tabletext"/>
              <w:jc w:val="right"/>
            </w:pPr>
            <w:r w:rsidRPr="00D96B14">
              <w:t>10</w:t>
            </w:r>
          </w:p>
        </w:tc>
        <w:tc>
          <w:tcPr>
            <w:tcW w:w="992" w:type="dxa"/>
            <w:tcBorders>
              <w:top w:val="single" w:sz="4" w:space="0" w:color="auto"/>
              <w:bottom w:val="single" w:sz="4" w:space="0" w:color="auto"/>
            </w:tcBorders>
            <w:shd w:val="clear" w:color="auto" w:fill="D9D9D9"/>
          </w:tcPr>
          <w:p w:rsidR="00142353" w:rsidRPr="00D96B14" w:rsidRDefault="00142353" w:rsidP="004843DB">
            <w:pPr>
              <w:pStyle w:val="Tabletext"/>
              <w:jc w:val="right"/>
            </w:pPr>
            <w:r w:rsidRPr="00D96B14">
              <w:t>40</w:t>
            </w:r>
          </w:p>
        </w:tc>
        <w:tc>
          <w:tcPr>
            <w:tcW w:w="914" w:type="dxa"/>
            <w:tcBorders>
              <w:top w:val="single" w:sz="4" w:space="0" w:color="auto"/>
              <w:bottom w:val="single" w:sz="4" w:space="0" w:color="auto"/>
            </w:tcBorders>
            <w:shd w:val="clear" w:color="auto" w:fill="D9D9D9"/>
          </w:tcPr>
          <w:p w:rsidR="00142353" w:rsidRPr="00D96B14" w:rsidRDefault="00142353" w:rsidP="004843DB">
            <w:pPr>
              <w:pStyle w:val="Tabletext"/>
              <w:jc w:val="right"/>
            </w:pPr>
            <w:r w:rsidRPr="00D96B14">
              <w:t>50</w:t>
            </w:r>
          </w:p>
        </w:tc>
        <w:tc>
          <w:tcPr>
            <w:tcW w:w="900" w:type="dxa"/>
            <w:tcBorders>
              <w:top w:val="single" w:sz="4" w:space="0" w:color="auto"/>
              <w:bottom w:val="single" w:sz="4" w:space="0" w:color="auto"/>
            </w:tcBorders>
            <w:shd w:val="clear" w:color="auto" w:fill="D9D9D9"/>
          </w:tcPr>
          <w:p w:rsidR="00142353" w:rsidRPr="00D96B14" w:rsidRDefault="00142353" w:rsidP="004843DB">
            <w:pPr>
              <w:pStyle w:val="Tabletext"/>
              <w:jc w:val="right"/>
            </w:pPr>
            <w:r w:rsidRPr="00D96B14">
              <w:t>10</w:t>
            </w:r>
          </w:p>
        </w:tc>
        <w:tc>
          <w:tcPr>
            <w:tcW w:w="540" w:type="dxa"/>
            <w:tcBorders>
              <w:top w:val="single" w:sz="4" w:space="0" w:color="auto"/>
              <w:bottom w:val="single" w:sz="4" w:space="0" w:color="auto"/>
            </w:tcBorders>
            <w:shd w:val="clear" w:color="auto" w:fill="auto"/>
          </w:tcPr>
          <w:p w:rsidR="00142353" w:rsidRPr="00D96B14" w:rsidRDefault="00142353" w:rsidP="004843DB">
            <w:pPr>
              <w:pStyle w:val="Tabletext"/>
              <w:jc w:val="right"/>
            </w:pPr>
            <w:r w:rsidRPr="00D96B14">
              <w:t>610</w:t>
            </w:r>
          </w:p>
        </w:tc>
      </w:tr>
    </w:tbl>
    <w:p w:rsidR="00142353" w:rsidRPr="00D96B14" w:rsidRDefault="00142353" w:rsidP="00142353">
      <w:pPr>
        <w:pStyle w:val="SmallLine"/>
        <w:rPr>
          <w:lang w:eastAsia="en-US"/>
        </w:rPr>
      </w:pPr>
    </w:p>
    <w:p w:rsidR="00142353" w:rsidRPr="00D96B14" w:rsidRDefault="00142353" w:rsidP="00142353">
      <w:pPr>
        <w:pStyle w:val="SmallLine"/>
        <w:rPr>
          <w:lang w:eastAsia="en-US"/>
        </w:rPr>
      </w:pPr>
    </w:p>
    <w:p w:rsidR="00142353" w:rsidRPr="00D96B14" w:rsidRDefault="00142353" w:rsidP="00142353">
      <w:pPr>
        <w:pStyle w:val="CommentaryHeading"/>
        <w:pBdr>
          <w:bottom w:val="none" w:sz="0" w:space="0" w:color="auto"/>
        </w:pBdr>
      </w:pPr>
      <w:r w:rsidRPr="00D96B14">
        <w:t>Commentary – Government advertising expenditure</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top w:val="none" w:sz="0" w:space="0" w:color="auto"/>
        </w:pBdr>
        <w:spacing w:before="120"/>
      </w:pPr>
      <w:r w:rsidRPr="00D96B14">
        <w:t>Nil report statement</w:t>
      </w:r>
    </w:p>
    <w:p w:rsidR="00142353" w:rsidRPr="00D96B14" w:rsidRDefault="00142353" w:rsidP="00142353">
      <w:pPr>
        <w:pStyle w:val="CommentaryText"/>
        <w:pBdr>
          <w:top w:val="none" w:sz="0" w:space="0" w:color="auto"/>
        </w:pBdr>
        <w:spacing w:before="60"/>
      </w:pPr>
      <w:r w:rsidRPr="00D96B14">
        <w:t xml:space="preserve">An explicit statement of </w:t>
      </w:r>
      <w:r w:rsidR="005A4BB0">
        <w:t>‘</w:t>
      </w:r>
      <w:r w:rsidRPr="00D96B14">
        <w:t>nil reports</w:t>
      </w:r>
      <w:r w:rsidR="005A4BB0">
        <w:t>’</w:t>
      </w:r>
      <w:r w:rsidRPr="00D96B14">
        <w:t xml:space="preserve"> is required where the relevant activities or circumstances do not trigger the disclosure threshold of $100 000 on government advertising expenditure.</w:t>
      </w:r>
    </w:p>
    <w:p w:rsidR="00142353" w:rsidRPr="00D96B14" w:rsidRDefault="00142353" w:rsidP="00142353">
      <w:pPr>
        <w:pStyle w:val="CommentaryText"/>
        <w:pBdr>
          <w:top w:val="none" w:sz="0" w:space="0" w:color="auto"/>
        </w:pBdr>
        <w:spacing w:before="60"/>
      </w:pPr>
      <w:r w:rsidRPr="00D96B14">
        <w:t xml:space="preserve">In accordance with paragraph 6.16 of FRD 22G, for each government advertising campaign with </w:t>
      </w:r>
      <w:r w:rsidRPr="00D96B14">
        <w:rPr>
          <w:b/>
        </w:rPr>
        <w:t>total</w:t>
      </w:r>
      <w:r w:rsidRPr="00D96B14">
        <w:t xml:space="preserve"> media buy of $100 000 or greater (exclusive of GST), an entity should include a schedule listing the following: </w:t>
      </w:r>
    </w:p>
    <w:p w:rsidR="00142353" w:rsidRPr="00D96B14" w:rsidRDefault="00142353" w:rsidP="00142353">
      <w:pPr>
        <w:pStyle w:val="CommentaryTextIndent"/>
        <w:pBdr>
          <w:top w:val="none" w:sz="0" w:space="0" w:color="auto"/>
        </w:pBdr>
        <w:spacing w:before="40"/>
        <w:ind w:left="446" w:hanging="446"/>
      </w:pPr>
      <w:r w:rsidRPr="00D96B14">
        <w:t>a)</w:t>
      </w:r>
      <w:r w:rsidRPr="00D96B14">
        <w:tab/>
        <w:t>name of advertising campaign;</w:t>
      </w:r>
    </w:p>
    <w:p w:rsidR="00142353" w:rsidRPr="00D96B14" w:rsidRDefault="00142353" w:rsidP="00142353">
      <w:pPr>
        <w:pStyle w:val="CommentaryTextIndent"/>
        <w:pBdr>
          <w:top w:val="none" w:sz="0" w:space="0" w:color="auto"/>
        </w:pBdr>
        <w:spacing w:before="40"/>
        <w:ind w:left="446" w:hanging="446"/>
      </w:pPr>
      <w:r w:rsidRPr="00D96B14">
        <w:t>b)</w:t>
      </w:r>
      <w:r w:rsidRPr="00D96B14">
        <w:tab/>
        <w:t>start and end date of campaign;</w:t>
      </w:r>
    </w:p>
    <w:p w:rsidR="00142353" w:rsidRPr="00D96B14" w:rsidRDefault="00142353" w:rsidP="00142353">
      <w:pPr>
        <w:pStyle w:val="CommentaryTextIndent"/>
        <w:pBdr>
          <w:top w:val="none" w:sz="0" w:space="0" w:color="auto"/>
        </w:pBdr>
        <w:spacing w:before="40"/>
        <w:ind w:left="446" w:hanging="446"/>
      </w:pPr>
      <w:r w:rsidRPr="00D96B14">
        <w:t>c)</w:t>
      </w:r>
      <w:r w:rsidRPr="00D96B14">
        <w:tab/>
        <w:t>campaign summary; and</w:t>
      </w:r>
    </w:p>
    <w:p w:rsidR="00142353" w:rsidRPr="00D96B14" w:rsidRDefault="00142353" w:rsidP="00142353">
      <w:pPr>
        <w:pStyle w:val="CommentaryTextIndent"/>
        <w:pBdr>
          <w:top w:val="none" w:sz="0" w:space="0" w:color="auto"/>
        </w:pBdr>
        <w:spacing w:before="40"/>
        <w:ind w:left="446" w:hanging="446"/>
      </w:pPr>
      <w:r w:rsidRPr="00D96B14">
        <w:t>d)</w:t>
      </w:r>
      <w:r w:rsidRPr="00D96B14">
        <w:tab/>
        <w:t>details of campaign expenditure for the reporting period (exclusive of GST) including:</w:t>
      </w:r>
    </w:p>
    <w:p w:rsidR="00142353" w:rsidRPr="00D96B14" w:rsidRDefault="00142353" w:rsidP="00981BB4">
      <w:pPr>
        <w:pStyle w:val="CommentaryTextIndent2"/>
        <w:pBdr>
          <w:top w:val="none" w:sz="0" w:space="0" w:color="auto"/>
        </w:pBdr>
        <w:spacing w:before="60"/>
      </w:pPr>
      <w:r w:rsidRPr="00D96B14">
        <w:tab/>
        <w:t>–</w:t>
      </w:r>
      <w:r w:rsidRPr="00D96B14">
        <w:tab/>
        <w:t xml:space="preserve">advertising (media); </w:t>
      </w:r>
    </w:p>
    <w:p w:rsidR="00142353" w:rsidRPr="00D96B14" w:rsidRDefault="00142353" w:rsidP="00981BB4">
      <w:pPr>
        <w:pStyle w:val="CommentaryTextIndent2"/>
        <w:pBdr>
          <w:top w:val="none" w:sz="0" w:space="0" w:color="auto"/>
        </w:pBdr>
        <w:spacing w:before="60"/>
      </w:pPr>
      <w:r w:rsidRPr="00D96B14">
        <w:tab/>
        <w:t>–</w:t>
      </w:r>
      <w:r w:rsidRPr="00D96B14">
        <w:tab/>
        <w:t xml:space="preserve">creative and campaign development; </w:t>
      </w:r>
    </w:p>
    <w:p w:rsidR="00142353" w:rsidRPr="00D96B14" w:rsidRDefault="00142353" w:rsidP="00981BB4">
      <w:pPr>
        <w:pStyle w:val="CommentaryTextIndent2"/>
        <w:pBdr>
          <w:top w:val="none" w:sz="0" w:space="0" w:color="auto"/>
        </w:pBdr>
        <w:spacing w:before="60"/>
      </w:pPr>
      <w:r w:rsidRPr="00D96B14">
        <w:tab/>
        <w:t>–</w:t>
      </w:r>
      <w:r w:rsidRPr="00D96B14">
        <w:tab/>
        <w:t xml:space="preserve">research and evaluation; </w:t>
      </w:r>
    </w:p>
    <w:p w:rsidR="00142353" w:rsidRPr="00D96B14" w:rsidRDefault="00142353" w:rsidP="00981BB4">
      <w:pPr>
        <w:pStyle w:val="CommentaryTextIndent2"/>
        <w:pBdr>
          <w:top w:val="none" w:sz="0" w:space="0" w:color="auto"/>
        </w:pBdr>
        <w:spacing w:before="60"/>
      </w:pPr>
      <w:r w:rsidRPr="00D96B14">
        <w:tab/>
        <w:t>–</w:t>
      </w:r>
      <w:r w:rsidRPr="00D96B14">
        <w:tab/>
        <w:t xml:space="preserve">print and collateral; and </w:t>
      </w:r>
    </w:p>
    <w:p w:rsidR="00142353" w:rsidRPr="00D96B14" w:rsidRDefault="00142353" w:rsidP="00981BB4">
      <w:pPr>
        <w:pStyle w:val="CommentaryTextIndent2"/>
        <w:pBdr>
          <w:top w:val="none" w:sz="0" w:space="0" w:color="auto"/>
        </w:pBdr>
        <w:spacing w:before="60"/>
      </w:pPr>
      <w:r w:rsidRPr="00D96B14">
        <w:tab/>
        <w:t>–</w:t>
      </w:r>
      <w:r w:rsidRPr="00D96B14">
        <w:tab/>
        <w:t>other campaign costs.</w:t>
      </w:r>
    </w:p>
    <w:p w:rsidR="00142353" w:rsidRPr="00D96B14" w:rsidRDefault="00142353" w:rsidP="00142353">
      <w:pPr>
        <w:pStyle w:val="Reference"/>
        <w:spacing w:before="120"/>
      </w:pPr>
    </w:p>
    <w:p w:rsidR="00142353" w:rsidRPr="00D96B14" w:rsidRDefault="00142353" w:rsidP="00142353">
      <w:pPr>
        <w:pStyle w:val="Reference"/>
        <w:spacing w:before="60"/>
      </w:pPr>
      <w:r w:rsidRPr="00D96B14">
        <w:t>FRD 22G</w:t>
      </w:r>
    </w:p>
    <w:p w:rsidR="00142353" w:rsidRPr="00D96B14" w:rsidRDefault="00142353" w:rsidP="00142353">
      <w:pPr>
        <w:pStyle w:val="Reference"/>
        <w:spacing w:before="80"/>
        <w:rPr>
          <w:lang w:val="en-AU"/>
        </w:rPr>
      </w:pPr>
      <w:r w:rsidRPr="00D96B14">
        <w:rPr>
          <w:lang w:val="en-AU"/>
        </w:rPr>
        <w:t>Recommendation 71, PAEC Report 87</w:t>
      </w:r>
    </w:p>
    <w:p w:rsidR="00142353" w:rsidRPr="00D96B14" w:rsidRDefault="00142353" w:rsidP="00142353">
      <w:pPr>
        <w:pStyle w:val="Heading2"/>
      </w:pPr>
      <w:bookmarkStart w:id="88" w:name="_Toc219779106"/>
      <w:r w:rsidRPr="00D96B14">
        <w:br/>
      </w: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p>
    <w:p w:rsidR="00142353" w:rsidRPr="00D96B14" w:rsidRDefault="00142353" w:rsidP="00142353">
      <w:pPr>
        <w:pStyle w:val="Heading2"/>
      </w:pPr>
      <w:r w:rsidRPr="00D96B14">
        <w:br/>
      </w:r>
      <w:r w:rsidRPr="00D96B14">
        <w:br/>
      </w:r>
    </w:p>
    <w:p w:rsidR="00142353" w:rsidRPr="00D96B14" w:rsidRDefault="00142353" w:rsidP="00142353">
      <w:pPr>
        <w:pStyle w:val="Heading2"/>
      </w:pPr>
    </w:p>
    <w:p w:rsidR="00142353" w:rsidRPr="00D96B14" w:rsidRDefault="00142353" w:rsidP="00142353">
      <w:pPr>
        <w:pStyle w:val="ReferenceRed"/>
        <w:spacing w:before="480"/>
      </w:pPr>
    </w:p>
    <w:p w:rsidR="00142353" w:rsidRPr="00D96B14" w:rsidRDefault="00142353" w:rsidP="00142353">
      <w:pPr>
        <w:pStyle w:val="ReferenceRed"/>
        <w:spacing w:before="240"/>
      </w:pPr>
    </w:p>
    <w:p w:rsidR="00142353" w:rsidRPr="00D96B14" w:rsidRDefault="00142353" w:rsidP="00142353">
      <w:pPr>
        <w:pStyle w:val="ReferenceRed"/>
        <w:spacing w:before="240"/>
      </w:pPr>
    </w:p>
    <w:p w:rsidR="00142353" w:rsidRPr="00D96B14" w:rsidRDefault="00142353" w:rsidP="00142353"/>
    <w:p w:rsidR="00142353" w:rsidRPr="00D96B14" w:rsidRDefault="00142353" w:rsidP="00142353">
      <w:pPr>
        <w:pStyle w:val="Heading2"/>
      </w:pPr>
    </w:p>
    <w:p w:rsidR="00142353" w:rsidRPr="00D96B14" w:rsidRDefault="00142353" w:rsidP="00142353">
      <w:pPr>
        <w:pStyle w:val="Heading2"/>
        <w:spacing w:before="0"/>
      </w:pPr>
    </w:p>
    <w:p w:rsidR="00142353" w:rsidRPr="00D96B14" w:rsidRDefault="00142353" w:rsidP="00142353">
      <w:pPr>
        <w:pStyle w:val="Reference"/>
        <w:spacing w:before="0"/>
        <w:rPr>
          <w:lang w:val="en-AU"/>
        </w:rPr>
      </w:pPr>
      <w:r w:rsidRPr="00D96B14">
        <w:rPr>
          <w:lang w:val="en-AU"/>
        </w:rPr>
        <w:t>FRD 22G</w:t>
      </w:r>
    </w:p>
    <w:p w:rsidR="00142353" w:rsidRPr="00D96B14" w:rsidRDefault="00142353" w:rsidP="00142353">
      <w:pPr>
        <w:pStyle w:val="Heading2"/>
      </w:pPr>
      <w:r w:rsidRPr="00D96B14">
        <w:br w:type="column"/>
      </w:r>
      <w:r w:rsidRPr="00D96B14">
        <w:lastRenderedPageBreak/>
        <w:t>Consultancy expenditure</w:t>
      </w:r>
    </w:p>
    <w:bookmarkEnd w:id="88"/>
    <w:p w:rsidR="00142353" w:rsidRPr="00D96B14" w:rsidRDefault="00142353" w:rsidP="00142353">
      <w:pPr>
        <w:pStyle w:val="Heading3"/>
      </w:pPr>
      <w:r w:rsidRPr="00D96B14">
        <w:t>Details of consultancies (valued at $10 000 or greater)</w:t>
      </w:r>
    </w:p>
    <w:p w:rsidR="00142353" w:rsidRPr="00D96B14" w:rsidRDefault="00142353" w:rsidP="00142353">
      <w:pPr>
        <w:rPr>
          <w:b/>
          <w:bCs/>
          <w:iCs/>
        </w:rPr>
      </w:pPr>
      <w:r w:rsidRPr="00D96B14">
        <w:t>In 2015</w:t>
      </w:r>
      <w:r w:rsidR="005A4BB0">
        <w:noBreakHyphen/>
      </w:r>
      <w:r w:rsidRPr="00D96B14">
        <w:t>16, there were three consultancies where the total fees payable to the consultants were $10 000 or greater</w:t>
      </w:r>
      <w:r w:rsidRPr="00D96B14">
        <w:rPr>
          <w:b/>
          <w:bCs/>
          <w:iCs/>
        </w:rPr>
        <w:t xml:space="preserve">. </w:t>
      </w:r>
      <w:r w:rsidRPr="00D96B14">
        <w:t>The total expenditure incurred during 2015</w:t>
      </w:r>
      <w:r w:rsidR="005A4BB0">
        <w:noBreakHyphen/>
      </w:r>
      <w:r w:rsidRPr="00D96B14">
        <w:t xml:space="preserve">16 in relation to these consultancies is $1.65 million (excluding GST). Details of individual consultancies are outlined below </w:t>
      </w:r>
      <w:r w:rsidRPr="00D96B14">
        <w:rPr>
          <w:rStyle w:val="NormalBlueChar"/>
          <w:i/>
        </w:rPr>
        <w:t>[insert website address if the entity chooses to report detailed disclosure online]</w:t>
      </w:r>
      <w:r w:rsidRPr="00D96B14">
        <w:t xml:space="preserve">. </w:t>
      </w:r>
    </w:p>
    <w:p w:rsidR="00142353" w:rsidRPr="00D96B14" w:rsidRDefault="00142353" w:rsidP="00142353">
      <w:pPr>
        <w:pStyle w:val="million"/>
      </w:pPr>
      <w:r w:rsidRPr="00D96B14">
        <w:t>($ thousand)</w:t>
      </w:r>
    </w:p>
    <w:tbl>
      <w:tblPr>
        <w:tblW w:w="8231" w:type="dxa"/>
        <w:tblLayout w:type="fixed"/>
        <w:tblCellMar>
          <w:left w:w="43" w:type="dxa"/>
          <w:right w:w="43" w:type="dxa"/>
        </w:tblCellMar>
        <w:tblLook w:val="01E0" w:firstRow="1" w:lastRow="1" w:firstColumn="1" w:lastColumn="1" w:noHBand="0" w:noVBand="0"/>
      </w:tblPr>
      <w:tblGrid>
        <w:gridCol w:w="1213"/>
        <w:gridCol w:w="1800"/>
        <w:gridCol w:w="990"/>
        <w:gridCol w:w="1143"/>
        <w:gridCol w:w="914"/>
        <w:gridCol w:w="1091"/>
        <w:gridCol w:w="1080"/>
      </w:tblGrid>
      <w:tr w:rsidR="00142353" w:rsidRPr="00D96B14" w:rsidTr="004843DB">
        <w:trPr>
          <w:cantSplit/>
          <w:trHeight w:val="482"/>
        </w:trPr>
        <w:tc>
          <w:tcPr>
            <w:tcW w:w="1213" w:type="dxa"/>
            <w:tcBorders>
              <w:top w:val="single" w:sz="4" w:space="0" w:color="auto"/>
              <w:bottom w:val="single" w:sz="4" w:space="0" w:color="auto"/>
            </w:tcBorders>
            <w:vAlign w:val="bottom"/>
          </w:tcPr>
          <w:p w:rsidR="00142353" w:rsidRPr="00D96B14" w:rsidRDefault="00142353" w:rsidP="004843DB">
            <w:pPr>
              <w:pStyle w:val="Tabletextheading"/>
              <w:jc w:val="left"/>
              <w:rPr>
                <w:noProof w:val="0"/>
              </w:rPr>
            </w:pPr>
            <w:r w:rsidRPr="00D96B14">
              <w:rPr>
                <w:noProof w:val="0"/>
              </w:rPr>
              <w:t>Consultant</w:t>
            </w:r>
          </w:p>
        </w:tc>
        <w:tc>
          <w:tcPr>
            <w:tcW w:w="1800" w:type="dxa"/>
            <w:tcBorders>
              <w:top w:val="single" w:sz="4" w:space="0" w:color="auto"/>
              <w:bottom w:val="single" w:sz="4" w:space="0" w:color="auto"/>
            </w:tcBorders>
            <w:shd w:val="clear" w:color="auto" w:fill="auto"/>
            <w:vAlign w:val="bottom"/>
          </w:tcPr>
          <w:p w:rsidR="00142353" w:rsidRPr="00D96B14" w:rsidRDefault="00142353" w:rsidP="004843DB">
            <w:pPr>
              <w:pStyle w:val="Tabletextheading"/>
              <w:jc w:val="left"/>
              <w:rPr>
                <w:noProof w:val="0"/>
              </w:rPr>
            </w:pPr>
            <w:r w:rsidRPr="00D96B14">
              <w:rPr>
                <w:noProof w:val="0"/>
              </w:rPr>
              <w:t xml:space="preserve">Purpose of </w:t>
            </w:r>
            <w:r w:rsidRPr="00D96B14">
              <w:rPr>
                <w:noProof w:val="0"/>
              </w:rPr>
              <w:br/>
              <w:t>consultancy</w:t>
            </w:r>
          </w:p>
        </w:tc>
        <w:tc>
          <w:tcPr>
            <w:tcW w:w="990" w:type="dxa"/>
            <w:tcBorders>
              <w:top w:val="single" w:sz="4" w:space="0" w:color="auto"/>
              <w:bottom w:val="single" w:sz="4" w:space="0" w:color="auto"/>
            </w:tcBorders>
            <w:vAlign w:val="bottom"/>
          </w:tcPr>
          <w:p w:rsidR="00142353" w:rsidRPr="00D96B14" w:rsidRDefault="00142353" w:rsidP="004843DB">
            <w:pPr>
              <w:pStyle w:val="Tabletextheading"/>
              <w:rPr>
                <w:noProof w:val="0"/>
              </w:rPr>
            </w:pPr>
            <w:r w:rsidRPr="00D96B14">
              <w:rPr>
                <w:noProof w:val="0"/>
              </w:rPr>
              <w:t xml:space="preserve">Start date </w:t>
            </w:r>
          </w:p>
        </w:tc>
        <w:tc>
          <w:tcPr>
            <w:tcW w:w="1143" w:type="dxa"/>
            <w:tcBorders>
              <w:top w:val="single" w:sz="4" w:space="0" w:color="auto"/>
              <w:bottom w:val="single" w:sz="4" w:space="0" w:color="auto"/>
            </w:tcBorders>
            <w:vAlign w:val="bottom"/>
          </w:tcPr>
          <w:p w:rsidR="00142353" w:rsidRPr="00D96B14" w:rsidRDefault="00142353" w:rsidP="004843DB">
            <w:pPr>
              <w:pStyle w:val="Tabletextheading"/>
              <w:rPr>
                <w:noProof w:val="0"/>
              </w:rPr>
            </w:pPr>
            <w:r w:rsidRPr="00D96B14">
              <w:rPr>
                <w:noProof w:val="0"/>
              </w:rPr>
              <w:t>End date</w:t>
            </w:r>
          </w:p>
        </w:tc>
        <w:tc>
          <w:tcPr>
            <w:tcW w:w="914" w:type="dxa"/>
            <w:tcBorders>
              <w:top w:val="single" w:sz="4" w:space="0" w:color="auto"/>
              <w:bottom w:val="single" w:sz="4" w:space="0" w:color="auto"/>
            </w:tcBorders>
            <w:vAlign w:val="bottom"/>
          </w:tcPr>
          <w:p w:rsidR="00142353" w:rsidRPr="00D96B14" w:rsidRDefault="00142353" w:rsidP="004843DB">
            <w:pPr>
              <w:pStyle w:val="Tabletextheading"/>
              <w:rPr>
                <w:noProof w:val="0"/>
              </w:rPr>
            </w:pPr>
            <w:r w:rsidRPr="00D96B14">
              <w:rPr>
                <w:noProof w:val="0"/>
              </w:rPr>
              <w:t>Total approved project fee (excl. GST)</w:t>
            </w:r>
          </w:p>
        </w:tc>
        <w:tc>
          <w:tcPr>
            <w:tcW w:w="1091" w:type="dxa"/>
            <w:tcBorders>
              <w:top w:val="single" w:sz="4" w:space="0" w:color="auto"/>
              <w:bottom w:val="single" w:sz="4" w:space="0" w:color="auto"/>
            </w:tcBorders>
            <w:shd w:val="clear" w:color="auto" w:fill="D9D9D9"/>
            <w:vAlign w:val="bottom"/>
          </w:tcPr>
          <w:p w:rsidR="00142353" w:rsidRPr="00D96B14" w:rsidRDefault="00142353" w:rsidP="004843DB">
            <w:pPr>
              <w:pStyle w:val="Tabletextheading"/>
            </w:pPr>
            <w:r w:rsidRPr="00D96B14">
              <w:rPr>
                <w:noProof w:val="0"/>
              </w:rPr>
              <w:t xml:space="preserve">Expenditure </w:t>
            </w:r>
            <w:r w:rsidRPr="00D96B14">
              <w:t>2015</w:t>
            </w:r>
            <w:r w:rsidR="005A4BB0">
              <w:noBreakHyphen/>
            </w:r>
            <w:r w:rsidRPr="00D96B14">
              <w:t>16</w:t>
            </w:r>
            <w:r w:rsidR="005A4BB0">
              <w:t xml:space="preserve"> </w:t>
            </w:r>
            <w:r w:rsidRPr="00D96B14">
              <w:rPr>
                <w:noProof w:val="0"/>
              </w:rPr>
              <w:t>(excl. GST)</w:t>
            </w:r>
          </w:p>
        </w:tc>
        <w:tc>
          <w:tcPr>
            <w:tcW w:w="1080" w:type="dxa"/>
            <w:tcBorders>
              <w:top w:val="single" w:sz="4" w:space="0" w:color="auto"/>
              <w:bottom w:val="single" w:sz="4" w:space="0" w:color="auto"/>
            </w:tcBorders>
            <w:vAlign w:val="bottom"/>
          </w:tcPr>
          <w:p w:rsidR="00142353" w:rsidRPr="00D96B14" w:rsidRDefault="00142353" w:rsidP="004843DB">
            <w:pPr>
              <w:pStyle w:val="Tabletextheading"/>
              <w:rPr>
                <w:noProof w:val="0"/>
              </w:rPr>
            </w:pPr>
            <w:r w:rsidRPr="00D96B14">
              <w:rPr>
                <w:noProof w:val="0"/>
              </w:rPr>
              <w:t>Future expenditure (excl. GST)</w:t>
            </w:r>
          </w:p>
        </w:tc>
      </w:tr>
      <w:tr w:rsidR="00142353" w:rsidRPr="00D96B14" w:rsidTr="004843DB">
        <w:trPr>
          <w:cantSplit/>
          <w:trHeight w:val="688"/>
        </w:trPr>
        <w:tc>
          <w:tcPr>
            <w:tcW w:w="1213" w:type="dxa"/>
            <w:tcBorders>
              <w:top w:val="single" w:sz="4" w:space="0" w:color="auto"/>
            </w:tcBorders>
          </w:tcPr>
          <w:p w:rsidR="00142353" w:rsidRPr="00D96B14" w:rsidRDefault="00142353" w:rsidP="004843DB">
            <w:pPr>
              <w:pStyle w:val="Tabletext"/>
            </w:pPr>
            <w:r w:rsidRPr="00D96B14">
              <w:t>Reedy Consultants</w:t>
            </w:r>
          </w:p>
        </w:tc>
        <w:tc>
          <w:tcPr>
            <w:tcW w:w="1800" w:type="dxa"/>
            <w:tcBorders>
              <w:top w:val="single" w:sz="4" w:space="0" w:color="auto"/>
            </w:tcBorders>
            <w:shd w:val="clear" w:color="auto" w:fill="auto"/>
          </w:tcPr>
          <w:p w:rsidR="00142353" w:rsidRPr="00D96B14" w:rsidRDefault="00142353" w:rsidP="004843DB">
            <w:pPr>
              <w:pStyle w:val="Tabletext"/>
            </w:pPr>
            <w:r w:rsidRPr="00D96B14">
              <w:t>Undertake community satisfaction measurement surveys</w:t>
            </w:r>
          </w:p>
        </w:tc>
        <w:tc>
          <w:tcPr>
            <w:tcW w:w="990" w:type="dxa"/>
            <w:tcBorders>
              <w:top w:val="single" w:sz="4" w:space="0" w:color="auto"/>
            </w:tcBorders>
          </w:tcPr>
          <w:p w:rsidR="00142353" w:rsidRPr="00D96B14" w:rsidRDefault="00142353" w:rsidP="004843DB">
            <w:pPr>
              <w:pStyle w:val="TableofFigures"/>
            </w:pPr>
            <w:r w:rsidRPr="00D96B14">
              <w:t>1 Feb 2016</w:t>
            </w:r>
          </w:p>
        </w:tc>
        <w:tc>
          <w:tcPr>
            <w:tcW w:w="1143" w:type="dxa"/>
            <w:tcBorders>
              <w:top w:val="single" w:sz="4" w:space="0" w:color="auto"/>
            </w:tcBorders>
          </w:tcPr>
          <w:p w:rsidR="00142353" w:rsidRPr="00D96B14" w:rsidRDefault="00142353" w:rsidP="004843DB">
            <w:pPr>
              <w:pStyle w:val="TableofFigures"/>
            </w:pPr>
            <w:r w:rsidRPr="00D96B14">
              <w:t>1 Apr 2017</w:t>
            </w:r>
          </w:p>
        </w:tc>
        <w:tc>
          <w:tcPr>
            <w:tcW w:w="914" w:type="dxa"/>
            <w:tcBorders>
              <w:top w:val="single" w:sz="4" w:space="0" w:color="auto"/>
            </w:tcBorders>
          </w:tcPr>
          <w:p w:rsidR="00142353" w:rsidRPr="00D96B14" w:rsidRDefault="00142353" w:rsidP="004843DB">
            <w:pPr>
              <w:pStyle w:val="TableofFigures"/>
            </w:pPr>
            <w:r w:rsidRPr="00D96B14">
              <w:t>$1 200</w:t>
            </w:r>
          </w:p>
        </w:tc>
        <w:tc>
          <w:tcPr>
            <w:tcW w:w="1091" w:type="dxa"/>
            <w:tcBorders>
              <w:top w:val="single" w:sz="4" w:space="0" w:color="auto"/>
            </w:tcBorders>
            <w:shd w:val="clear" w:color="auto" w:fill="D9D9D9"/>
          </w:tcPr>
          <w:p w:rsidR="00142353" w:rsidRPr="00D96B14" w:rsidRDefault="00142353" w:rsidP="004843DB">
            <w:pPr>
              <w:pStyle w:val="TableofFigures"/>
            </w:pPr>
            <w:r w:rsidRPr="00D96B14">
              <w:t>$500</w:t>
            </w:r>
          </w:p>
        </w:tc>
        <w:tc>
          <w:tcPr>
            <w:tcW w:w="1080" w:type="dxa"/>
            <w:tcBorders>
              <w:top w:val="single" w:sz="4" w:space="0" w:color="auto"/>
            </w:tcBorders>
          </w:tcPr>
          <w:p w:rsidR="00142353" w:rsidRPr="00D96B14" w:rsidRDefault="00142353" w:rsidP="004843DB">
            <w:pPr>
              <w:pStyle w:val="TableofFigures"/>
            </w:pPr>
            <w:r w:rsidRPr="00D96B14">
              <w:t>$700</w:t>
            </w:r>
          </w:p>
        </w:tc>
      </w:tr>
      <w:tr w:rsidR="00142353" w:rsidRPr="00D96B14" w:rsidTr="004843DB">
        <w:trPr>
          <w:cantSplit/>
          <w:trHeight w:val="482"/>
        </w:trPr>
        <w:tc>
          <w:tcPr>
            <w:tcW w:w="1213" w:type="dxa"/>
          </w:tcPr>
          <w:p w:rsidR="00142353" w:rsidRPr="00D96B14" w:rsidRDefault="00142353" w:rsidP="004843DB">
            <w:pPr>
              <w:pStyle w:val="Tabletext"/>
            </w:pPr>
            <w:r w:rsidRPr="00D96B14">
              <w:t xml:space="preserve">GMPK </w:t>
            </w:r>
          </w:p>
        </w:tc>
        <w:tc>
          <w:tcPr>
            <w:tcW w:w="1800" w:type="dxa"/>
            <w:shd w:val="clear" w:color="auto" w:fill="auto"/>
          </w:tcPr>
          <w:p w:rsidR="00142353" w:rsidRPr="00D96B14" w:rsidRDefault="00142353" w:rsidP="004843DB">
            <w:pPr>
              <w:pStyle w:val="Tabletext"/>
            </w:pPr>
            <w:r w:rsidRPr="00D96B14">
              <w:t>Advice on internal control functions</w:t>
            </w:r>
          </w:p>
        </w:tc>
        <w:tc>
          <w:tcPr>
            <w:tcW w:w="990" w:type="dxa"/>
          </w:tcPr>
          <w:p w:rsidR="00142353" w:rsidRPr="00D96B14" w:rsidRDefault="00142353" w:rsidP="004843DB">
            <w:pPr>
              <w:pStyle w:val="TableofFigures"/>
            </w:pPr>
            <w:r w:rsidRPr="00D96B14">
              <w:t>6 Nov 2015</w:t>
            </w:r>
          </w:p>
        </w:tc>
        <w:tc>
          <w:tcPr>
            <w:tcW w:w="1143" w:type="dxa"/>
          </w:tcPr>
          <w:p w:rsidR="00142353" w:rsidRPr="00D96B14" w:rsidRDefault="00142353" w:rsidP="004843DB">
            <w:pPr>
              <w:pStyle w:val="TableofFigures"/>
            </w:pPr>
            <w:r w:rsidRPr="00D96B14">
              <w:t>21 Jan 2016</w:t>
            </w:r>
          </w:p>
        </w:tc>
        <w:tc>
          <w:tcPr>
            <w:tcW w:w="914" w:type="dxa"/>
          </w:tcPr>
          <w:p w:rsidR="00142353" w:rsidRPr="00D96B14" w:rsidRDefault="00142353" w:rsidP="004843DB">
            <w:pPr>
              <w:pStyle w:val="TableofFigures"/>
            </w:pPr>
            <w:r w:rsidRPr="00D96B14">
              <w:t>$650</w:t>
            </w:r>
          </w:p>
        </w:tc>
        <w:tc>
          <w:tcPr>
            <w:tcW w:w="1091" w:type="dxa"/>
            <w:shd w:val="clear" w:color="auto" w:fill="D9D9D9"/>
          </w:tcPr>
          <w:p w:rsidR="00142353" w:rsidRPr="00D96B14" w:rsidRDefault="00142353" w:rsidP="004843DB">
            <w:pPr>
              <w:pStyle w:val="TableofFigures"/>
            </w:pPr>
            <w:r w:rsidRPr="00D96B14">
              <w:t>$650</w:t>
            </w:r>
          </w:p>
        </w:tc>
        <w:tc>
          <w:tcPr>
            <w:tcW w:w="1080" w:type="dxa"/>
          </w:tcPr>
          <w:p w:rsidR="00142353" w:rsidRPr="00D96B14" w:rsidRDefault="00142353" w:rsidP="004843DB">
            <w:pPr>
              <w:pStyle w:val="TableofFigures"/>
            </w:pPr>
            <w:r w:rsidRPr="00D96B14">
              <w:t>nil</w:t>
            </w:r>
          </w:p>
        </w:tc>
      </w:tr>
      <w:tr w:rsidR="00142353" w:rsidRPr="00D96B14" w:rsidTr="004843DB">
        <w:trPr>
          <w:cantSplit/>
          <w:trHeight w:val="279"/>
        </w:trPr>
        <w:tc>
          <w:tcPr>
            <w:tcW w:w="1213" w:type="dxa"/>
            <w:tcBorders>
              <w:bottom w:val="single" w:sz="12" w:space="0" w:color="auto"/>
            </w:tcBorders>
          </w:tcPr>
          <w:p w:rsidR="00142353" w:rsidRPr="00D96B14" w:rsidRDefault="00142353" w:rsidP="004843DB">
            <w:pPr>
              <w:pStyle w:val="Tabletext"/>
            </w:pPr>
            <w:r w:rsidRPr="00D96B14">
              <w:t>Morecroft and Crawford</w:t>
            </w:r>
          </w:p>
        </w:tc>
        <w:tc>
          <w:tcPr>
            <w:tcW w:w="1800" w:type="dxa"/>
            <w:tcBorders>
              <w:bottom w:val="single" w:sz="12" w:space="0" w:color="auto"/>
            </w:tcBorders>
            <w:shd w:val="clear" w:color="auto" w:fill="auto"/>
          </w:tcPr>
          <w:p w:rsidR="00142353" w:rsidRPr="00D96B14" w:rsidRDefault="00142353" w:rsidP="004843DB">
            <w:pPr>
              <w:pStyle w:val="Tabletext"/>
            </w:pPr>
            <w:r w:rsidRPr="00D96B14">
              <w:t>Legal advisory services</w:t>
            </w:r>
          </w:p>
        </w:tc>
        <w:tc>
          <w:tcPr>
            <w:tcW w:w="990" w:type="dxa"/>
            <w:tcBorders>
              <w:bottom w:val="single" w:sz="12" w:space="0" w:color="auto"/>
            </w:tcBorders>
          </w:tcPr>
          <w:p w:rsidR="00142353" w:rsidRPr="00D96B14" w:rsidRDefault="00142353" w:rsidP="004843DB">
            <w:pPr>
              <w:pStyle w:val="TableofFigures"/>
            </w:pPr>
            <w:r w:rsidRPr="00D96B14">
              <w:t>5 May 2015</w:t>
            </w:r>
          </w:p>
        </w:tc>
        <w:tc>
          <w:tcPr>
            <w:tcW w:w="1143" w:type="dxa"/>
            <w:tcBorders>
              <w:bottom w:val="single" w:sz="12" w:space="0" w:color="auto"/>
            </w:tcBorders>
          </w:tcPr>
          <w:p w:rsidR="00142353" w:rsidRPr="00D96B14" w:rsidRDefault="00142353" w:rsidP="004843DB">
            <w:pPr>
              <w:pStyle w:val="TableofFigures"/>
            </w:pPr>
            <w:r w:rsidRPr="00D96B14">
              <w:t>30 Sept 2015</w:t>
            </w:r>
          </w:p>
        </w:tc>
        <w:tc>
          <w:tcPr>
            <w:tcW w:w="914" w:type="dxa"/>
            <w:tcBorders>
              <w:bottom w:val="single" w:sz="12" w:space="0" w:color="auto"/>
            </w:tcBorders>
          </w:tcPr>
          <w:p w:rsidR="00142353" w:rsidRPr="00D96B14" w:rsidRDefault="00142353" w:rsidP="004843DB">
            <w:pPr>
              <w:pStyle w:val="TableofFigures"/>
            </w:pPr>
            <w:r w:rsidRPr="00D96B14">
              <w:t>$500</w:t>
            </w:r>
          </w:p>
        </w:tc>
        <w:tc>
          <w:tcPr>
            <w:tcW w:w="1091" w:type="dxa"/>
            <w:tcBorders>
              <w:bottom w:val="single" w:sz="12" w:space="0" w:color="auto"/>
            </w:tcBorders>
            <w:shd w:val="clear" w:color="auto" w:fill="D9D9D9"/>
          </w:tcPr>
          <w:p w:rsidR="00142353" w:rsidRPr="00D96B14" w:rsidRDefault="00142353" w:rsidP="004843DB">
            <w:pPr>
              <w:pStyle w:val="TableofFigures"/>
            </w:pPr>
            <w:r w:rsidRPr="00D96B14">
              <w:t>$500</w:t>
            </w:r>
          </w:p>
        </w:tc>
        <w:tc>
          <w:tcPr>
            <w:tcW w:w="1080" w:type="dxa"/>
            <w:tcBorders>
              <w:bottom w:val="single" w:sz="12" w:space="0" w:color="auto"/>
            </w:tcBorders>
          </w:tcPr>
          <w:p w:rsidR="00142353" w:rsidRPr="00D96B14" w:rsidRDefault="00142353" w:rsidP="004843DB">
            <w:pPr>
              <w:pStyle w:val="TableofFigures"/>
            </w:pPr>
            <w:r w:rsidRPr="00D96B14">
              <w:t>nil</w:t>
            </w:r>
          </w:p>
        </w:tc>
      </w:tr>
    </w:tbl>
    <w:p w:rsidR="00142353" w:rsidRPr="00D96B14" w:rsidRDefault="00142353" w:rsidP="00142353">
      <w:pPr>
        <w:pStyle w:val="Notes"/>
      </w:pPr>
      <w:r w:rsidRPr="00D96B14">
        <w:t xml:space="preserve">Note: </w:t>
      </w:r>
    </w:p>
    <w:p w:rsidR="00142353" w:rsidRPr="00D96B14" w:rsidRDefault="00142353" w:rsidP="00142353">
      <w:pPr>
        <w:pStyle w:val="NotesBlue"/>
      </w:pPr>
      <w:r w:rsidRPr="00D96B14">
        <w:t>1.</w:t>
      </w:r>
      <w:r w:rsidRPr="00D96B14">
        <w:tab/>
        <w:t xml:space="preserve">The disclosure on </w:t>
      </w:r>
      <w:r w:rsidR="005A4BB0">
        <w:t>‘</w:t>
      </w:r>
      <w:r w:rsidRPr="00D96B14">
        <w:t>start date</w:t>
      </w:r>
      <w:r w:rsidR="005A4BB0">
        <w:t>’</w:t>
      </w:r>
      <w:r w:rsidRPr="00D96B14">
        <w:t xml:space="preserve"> and </w:t>
      </w:r>
      <w:r w:rsidR="005A4BB0">
        <w:t>‘</w:t>
      </w:r>
      <w:r w:rsidRPr="00D96B14">
        <w:t>end date</w:t>
      </w:r>
      <w:r w:rsidR="005A4BB0">
        <w:t>’</w:t>
      </w:r>
      <w:r w:rsidRPr="00D96B14">
        <w:t xml:space="preserve"> of a consultancy is not a mandatory requirement of FRD 22G. </w:t>
      </w:r>
    </w:p>
    <w:p w:rsidR="00142353" w:rsidRPr="00D96B14" w:rsidRDefault="00142353" w:rsidP="00142353"/>
    <w:p w:rsidR="00142353" w:rsidRPr="00D96B14" w:rsidRDefault="00142353" w:rsidP="00142353">
      <w:pPr>
        <w:pStyle w:val="Heading3"/>
      </w:pPr>
      <w:r w:rsidRPr="00D96B14">
        <w:t>Details of consultancies under $10 000</w:t>
      </w:r>
    </w:p>
    <w:p w:rsidR="00142353" w:rsidRPr="00D96B14" w:rsidRDefault="00142353" w:rsidP="00142353">
      <w:pPr>
        <w:spacing w:before="240"/>
      </w:pPr>
      <w:r w:rsidRPr="00D96B14">
        <w:t>In 2015</w:t>
      </w:r>
      <w:r w:rsidR="005A4BB0">
        <w:noBreakHyphen/>
      </w:r>
      <w:r w:rsidRPr="00D96B14">
        <w:t>16, there were 147 consultancies engaged during the year, where the total fees payable to the individual consultancies was less than $10 000. The total expenditure incurred during 2015</w:t>
      </w:r>
      <w:r w:rsidR="005A4BB0">
        <w:noBreakHyphen/>
      </w:r>
      <w:r w:rsidRPr="00D96B14">
        <w:t>16 in relation to these consultancies was $1.3 million (excl. GST).</w:t>
      </w: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CommentaryHeading"/>
        <w:pBdr>
          <w:bottom w:val="none" w:sz="0" w:space="0" w:color="auto"/>
        </w:pBdr>
      </w:pPr>
      <w:r w:rsidRPr="00D96B14">
        <w:t>Commentary – Consultancy expenditure disclosure</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top w:val="none" w:sz="0" w:space="0" w:color="auto"/>
          <w:bottom w:val="none" w:sz="0" w:space="0" w:color="auto"/>
        </w:pBdr>
      </w:pPr>
      <w:r w:rsidRPr="00D96B14">
        <w:t>Guidance</w:t>
      </w:r>
    </w:p>
    <w:p w:rsidR="00142353" w:rsidRPr="00D96B14" w:rsidRDefault="00142353" w:rsidP="00142353">
      <w:pPr>
        <w:pStyle w:val="CommentaryText"/>
        <w:pBdr>
          <w:top w:val="none" w:sz="0" w:space="0" w:color="auto"/>
          <w:bottom w:val="none" w:sz="0" w:space="0" w:color="auto"/>
        </w:pBdr>
      </w:pPr>
      <w:r w:rsidRPr="00D96B14">
        <w:t xml:space="preserve">For the purposes of the requirements of FRD 22G: </w:t>
      </w:r>
    </w:p>
    <w:p w:rsidR="00142353" w:rsidRPr="00D96B14" w:rsidRDefault="00142353" w:rsidP="00142353">
      <w:pPr>
        <w:pStyle w:val="CommentaryTextIndent"/>
        <w:pBdr>
          <w:top w:val="none" w:sz="0" w:space="0" w:color="auto"/>
          <w:bottom w:val="none" w:sz="0" w:space="0" w:color="auto"/>
        </w:pBdr>
      </w:pPr>
      <w:r w:rsidRPr="00D96B14">
        <w:t>(a)</w:t>
      </w:r>
      <w:r w:rsidRPr="00D96B14">
        <w:tab/>
        <w:t xml:space="preserve">A </w:t>
      </w:r>
      <w:r w:rsidRPr="00D96B14">
        <w:rPr>
          <w:b/>
        </w:rPr>
        <w:t>consultant</w:t>
      </w:r>
      <w:r w:rsidRPr="00D96B14">
        <w:t xml:space="preserve"> is a particular type of contractor that is engaged primarily to perform a discrete task for an entity that facilitates decision making through:</w:t>
      </w:r>
    </w:p>
    <w:p w:rsidR="00142353" w:rsidRPr="00D96B14" w:rsidRDefault="00142353" w:rsidP="00981BB4">
      <w:pPr>
        <w:pStyle w:val="CommentaryTextIndent2"/>
        <w:pBdr>
          <w:top w:val="none" w:sz="0" w:space="0" w:color="auto"/>
          <w:bottom w:val="none" w:sz="0" w:space="0" w:color="auto"/>
        </w:pBdr>
      </w:pPr>
      <w:r w:rsidRPr="00D96B14">
        <w:tab/>
        <w:t>(i)</w:t>
      </w:r>
      <w:r w:rsidRPr="00D96B14">
        <w:tab/>
        <w:t xml:space="preserve">provision of expert analysis and advice; and/or </w:t>
      </w:r>
    </w:p>
    <w:p w:rsidR="00142353" w:rsidRPr="00D96B14" w:rsidRDefault="00142353" w:rsidP="00981BB4">
      <w:pPr>
        <w:pStyle w:val="CommentaryTextIndent2"/>
        <w:pBdr>
          <w:top w:val="none" w:sz="0" w:space="0" w:color="auto"/>
          <w:bottom w:val="none" w:sz="0" w:space="0" w:color="auto"/>
        </w:pBdr>
      </w:pPr>
      <w:r w:rsidRPr="00D96B14">
        <w:tab/>
        <w:t>(ii)</w:t>
      </w:r>
      <w:r w:rsidRPr="00D96B14">
        <w:tab/>
        <w:t xml:space="preserve">development of a written report or other intellectual output. </w:t>
      </w:r>
    </w:p>
    <w:p w:rsidR="00142353" w:rsidRPr="00D96B14" w:rsidRDefault="00142353" w:rsidP="00142353">
      <w:pPr>
        <w:pStyle w:val="CommentaryTextIndent"/>
        <w:pBdr>
          <w:top w:val="none" w:sz="0" w:space="0" w:color="auto"/>
          <w:bottom w:val="none" w:sz="0" w:space="0" w:color="auto"/>
        </w:pBdr>
      </w:pPr>
      <w:r w:rsidRPr="00D96B14">
        <w:t>(b)</w:t>
      </w:r>
      <w:r w:rsidRPr="00D96B14">
        <w:tab/>
        <w:t xml:space="preserve">A </w:t>
      </w:r>
      <w:r w:rsidRPr="00D96B14">
        <w:rPr>
          <w:b/>
        </w:rPr>
        <w:t>c</w:t>
      </w:r>
      <w:r w:rsidRPr="00D96B14">
        <w:rPr>
          <w:b/>
          <w:bCs/>
        </w:rPr>
        <w:t>ontractor</w:t>
      </w:r>
      <w:r w:rsidRPr="00D96B14">
        <w:t xml:space="preserve"> is an individual or organisation that is formally engaged to provide works or services for or on be half of an entity. This definition does not apply to casual, fixed</w:t>
      </w:r>
      <w:r w:rsidR="005A4BB0">
        <w:noBreakHyphen/>
      </w:r>
      <w:r w:rsidRPr="00D96B14">
        <w:t>term or temporary employees directly employed by the entity.</w:t>
      </w:r>
    </w:p>
    <w:p w:rsidR="00142353" w:rsidRPr="00D96B14" w:rsidRDefault="00142353" w:rsidP="00142353">
      <w:pPr>
        <w:pStyle w:val="CommentaryText"/>
        <w:pBdr>
          <w:top w:val="none" w:sz="0" w:space="0" w:color="auto"/>
          <w:bottom w:val="none" w:sz="0" w:space="0" w:color="auto"/>
        </w:pBdr>
      </w:pPr>
      <w:r w:rsidRPr="00D96B14">
        <w:t xml:space="preserve">Refer to FRD 22G for the detailed disclosure requirements on consultancy expenditure. Examples of </w:t>
      </w:r>
      <w:r w:rsidR="005A4BB0">
        <w:t>‘</w:t>
      </w:r>
      <w:r w:rsidRPr="00D96B14">
        <w:t>consultants</w:t>
      </w:r>
      <w:r w:rsidR="005A4BB0">
        <w:t>’</w:t>
      </w:r>
      <w:r w:rsidRPr="00D96B14">
        <w:t xml:space="preserve"> and </w:t>
      </w:r>
      <w:r w:rsidR="005A4BB0">
        <w:t>‘</w:t>
      </w:r>
      <w:r w:rsidRPr="00D96B14">
        <w:t>contractors</w:t>
      </w:r>
      <w:r w:rsidR="005A4BB0">
        <w:t>’</w:t>
      </w:r>
      <w:r w:rsidRPr="00D96B14">
        <w:t xml:space="preserve"> are also available on the Guidance Note to FRD 22G accessible at: </w:t>
      </w:r>
    </w:p>
    <w:p w:rsidR="00142353" w:rsidRPr="00D96B14" w:rsidRDefault="00142353" w:rsidP="00142353">
      <w:pPr>
        <w:pStyle w:val="CommentaryText"/>
        <w:pBdr>
          <w:top w:val="none" w:sz="0" w:space="0" w:color="auto"/>
          <w:bottom w:val="none" w:sz="0" w:space="0" w:color="auto"/>
        </w:pBdr>
        <w:rPr>
          <w:b/>
          <w:bCs/>
          <w:noProof w:val="0"/>
        </w:rPr>
      </w:pPr>
      <w:r w:rsidRPr="00D96B14">
        <w:t>http://www.dtf.vic.gov.au/Publications/Government</w:t>
      </w:r>
      <w:r w:rsidR="005A4BB0">
        <w:noBreakHyphen/>
      </w:r>
      <w:r w:rsidRPr="00D96B14">
        <w:t>Financial</w:t>
      </w:r>
      <w:r w:rsidR="005A4BB0">
        <w:noBreakHyphen/>
      </w:r>
      <w:r w:rsidRPr="00D96B14">
        <w:t>Management</w:t>
      </w:r>
      <w:r w:rsidR="005A4BB0">
        <w:noBreakHyphen/>
      </w:r>
      <w:r w:rsidRPr="00D96B14">
        <w:t>publications/Financial</w:t>
      </w:r>
      <w:r w:rsidR="005A4BB0">
        <w:noBreakHyphen/>
      </w:r>
      <w:r w:rsidRPr="00D96B14">
        <w:t>Reporting</w:t>
      </w:r>
      <w:r w:rsidR="005A4BB0">
        <w:noBreakHyphen/>
      </w:r>
      <w:r w:rsidRPr="00D96B14">
        <w:t>Policy/Financial</w:t>
      </w:r>
      <w:r w:rsidR="005A4BB0">
        <w:noBreakHyphen/>
      </w:r>
      <w:r w:rsidRPr="00D96B14">
        <w:t>reporting</w:t>
      </w:r>
      <w:r w:rsidR="005A4BB0">
        <w:noBreakHyphen/>
      </w:r>
      <w:r w:rsidRPr="00D96B14">
        <w:t>directions</w:t>
      </w:r>
      <w:r w:rsidR="005A4BB0">
        <w:noBreakHyphen/>
      </w:r>
      <w:r w:rsidRPr="00D96B14">
        <w:t>and</w:t>
      </w:r>
      <w:r w:rsidR="005A4BB0">
        <w:noBreakHyphen/>
      </w:r>
      <w:r w:rsidRPr="00D96B14">
        <w:t xml:space="preserve">guidance </w:t>
      </w:r>
    </w:p>
    <w:p w:rsidR="00142353" w:rsidRPr="00D96B14" w:rsidRDefault="00142353" w:rsidP="00142353">
      <w:pPr>
        <w:pStyle w:val="CommentaryHeading2"/>
      </w:pPr>
      <w:r w:rsidRPr="00D96B14">
        <w:t>Disclosure in machinery of government changes</w:t>
      </w:r>
    </w:p>
    <w:p w:rsidR="00142353" w:rsidRPr="00D96B14" w:rsidRDefault="00142353" w:rsidP="00142353">
      <w:pPr>
        <w:pStyle w:val="CommentaryText"/>
        <w:pBdr>
          <w:top w:val="none" w:sz="0" w:space="0" w:color="auto"/>
        </w:pBdr>
        <w:rPr>
          <w:rFonts w:ascii="Calibri" w:hAnsi="Calibri" w:cs="Arial Narrow"/>
          <w:sz w:val="16"/>
          <w:szCs w:val="16"/>
        </w:rPr>
      </w:pPr>
      <w:r w:rsidRPr="00D96B14">
        <w:t>The objective of the disclosure is to provide additional transparency over the actual spending and engagements of contractors and consultants by the department, which may not specifically tie to the individual outputs of the department. As a result,</w:t>
      </w:r>
      <w:r w:rsidR="005A4BB0">
        <w:t xml:space="preserve"> </w:t>
      </w:r>
      <w:r w:rsidRPr="00D96B14">
        <w:t>the reporting of consultants expenditure in the event of machinery of government change should be made over the same period as the financial statements.</w:t>
      </w:r>
      <w:r w:rsidRPr="00D96B14">
        <w:br w:type="page"/>
      </w:r>
    </w:p>
    <w:p w:rsidR="00142353" w:rsidRPr="00D96B14" w:rsidRDefault="00142353" w:rsidP="00142353">
      <w:pPr>
        <w:pStyle w:val="ReferenceRed"/>
        <w:spacing w:before="0"/>
      </w:pPr>
      <w:r w:rsidRPr="00D96B14">
        <w:lastRenderedPageBreak/>
        <w:t>New</w:t>
      </w:r>
      <w:r w:rsidRPr="00D96B14">
        <w:br/>
      </w:r>
      <w:r w:rsidRPr="00D96B14">
        <w:rPr>
          <w:color w:val="0000FF"/>
        </w:rPr>
        <w:t>FRD 22G</w:t>
      </w:r>
    </w:p>
    <w:p w:rsidR="00142353" w:rsidRPr="00D96B14" w:rsidRDefault="00142353" w:rsidP="00142353">
      <w:pPr>
        <w:pStyle w:val="ReferenceRed"/>
        <w:spacing w:before="0"/>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r w:rsidRPr="00D96B14">
        <w:rPr>
          <w:color w:val="FF0000"/>
        </w:rPr>
        <w:br/>
      </w: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rPr>
          <w:color w:val="FF0000"/>
        </w:rPr>
      </w:pPr>
    </w:p>
    <w:p w:rsidR="00142353" w:rsidRPr="00D96B14" w:rsidRDefault="00142353" w:rsidP="00142353">
      <w:pPr>
        <w:pStyle w:val="Reference"/>
        <w:spacing w:before="0"/>
      </w:pPr>
      <w:r w:rsidRPr="00D96B14">
        <w:t>FRD 22G</w:t>
      </w:r>
    </w:p>
    <w:p w:rsidR="00142353" w:rsidRPr="00D96B14" w:rsidRDefault="00142353" w:rsidP="00142353">
      <w:pPr>
        <w:pStyle w:val="Heading2"/>
      </w:pPr>
    </w:p>
    <w:p w:rsidR="00142353" w:rsidRPr="00D96B14" w:rsidRDefault="00142353" w:rsidP="00142353">
      <w:pPr>
        <w:pStyle w:val="Heading2"/>
      </w:pPr>
      <w:r w:rsidRPr="00D96B14">
        <w:br w:type="column"/>
      </w:r>
      <w:r w:rsidRPr="00D96B14">
        <w:lastRenderedPageBreak/>
        <w:t>Information and Communication Technology expenditure</w:t>
      </w:r>
    </w:p>
    <w:p w:rsidR="00142353" w:rsidRPr="00D96B14" w:rsidRDefault="00142353" w:rsidP="00142353">
      <w:pPr>
        <w:pStyle w:val="Heading3"/>
      </w:pPr>
      <w:r w:rsidRPr="00D96B14">
        <w:t>Details of Information and Communication Technology (ICT) expenditure</w:t>
      </w:r>
    </w:p>
    <w:p w:rsidR="00142353" w:rsidRPr="00D96B14" w:rsidRDefault="00142353" w:rsidP="00142353">
      <w:r w:rsidRPr="00D96B14">
        <w:t>For the 2015</w:t>
      </w:r>
      <w:r w:rsidR="005A4BB0">
        <w:noBreakHyphen/>
      </w:r>
      <w:r w:rsidRPr="00D96B14">
        <w:t xml:space="preserve">16 reporting period, the Department had a total ICT expenditure of $100 000, with the details shown below. </w:t>
      </w:r>
    </w:p>
    <w:p w:rsidR="00142353" w:rsidRPr="00D96B14" w:rsidRDefault="00142353" w:rsidP="00142353">
      <w:pPr>
        <w:pStyle w:val="million"/>
      </w:pPr>
      <w:r w:rsidRPr="00D96B14">
        <w:t>($ thousand)</w:t>
      </w:r>
    </w:p>
    <w:tbl>
      <w:tblPr>
        <w:tblW w:w="8299" w:type="dxa"/>
        <w:tblLayout w:type="fixed"/>
        <w:tblCellMar>
          <w:left w:w="43" w:type="dxa"/>
          <w:right w:w="43" w:type="dxa"/>
        </w:tblCellMar>
        <w:tblLook w:val="01E0" w:firstRow="1" w:lastRow="1" w:firstColumn="1" w:lastColumn="1" w:noHBand="0" w:noVBand="0"/>
      </w:tblPr>
      <w:tblGrid>
        <w:gridCol w:w="2028"/>
        <w:gridCol w:w="2211"/>
        <w:gridCol w:w="2030"/>
        <w:gridCol w:w="2030"/>
      </w:tblGrid>
      <w:tr w:rsidR="00142353" w:rsidRPr="00D96B14" w:rsidTr="004843DB">
        <w:trPr>
          <w:cantSplit/>
          <w:trHeight w:hRule="exact" w:val="878"/>
        </w:trPr>
        <w:tc>
          <w:tcPr>
            <w:tcW w:w="2028" w:type="dxa"/>
            <w:tcBorders>
              <w:top w:val="single" w:sz="4" w:space="0" w:color="auto"/>
              <w:right w:val="single" w:sz="6" w:space="0" w:color="auto"/>
            </w:tcBorders>
            <w:vAlign w:val="center"/>
          </w:tcPr>
          <w:p w:rsidR="00142353" w:rsidRPr="00D96B14" w:rsidRDefault="00142353" w:rsidP="004843DB">
            <w:pPr>
              <w:pStyle w:val="Tabletextheadingleft0"/>
              <w:rPr>
                <w:rFonts w:eastAsia="Calibri"/>
              </w:rPr>
            </w:pPr>
            <w:r w:rsidRPr="00D96B14">
              <w:rPr>
                <w:rFonts w:eastAsia="Calibri"/>
              </w:rPr>
              <w:t>Business As Usual (BAU) ICT expenditure</w:t>
            </w:r>
          </w:p>
        </w:tc>
        <w:tc>
          <w:tcPr>
            <w:tcW w:w="2211" w:type="dxa"/>
            <w:tcBorders>
              <w:top w:val="single" w:sz="4" w:space="0" w:color="auto"/>
              <w:left w:val="single" w:sz="6" w:space="0" w:color="auto"/>
              <w:right w:val="single" w:sz="4" w:space="0" w:color="auto"/>
            </w:tcBorders>
            <w:shd w:val="clear" w:color="auto" w:fill="auto"/>
            <w:vAlign w:val="center"/>
          </w:tcPr>
          <w:p w:rsidR="00142353" w:rsidRPr="00D96B14" w:rsidRDefault="00142353" w:rsidP="004843DB">
            <w:pPr>
              <w:pStyle w:val="Tabletextheadingleft0"/>
              <w:rPr>
                <w:rFonts w:eastAsia="Calibri"/>
              </w:rPr>
            </w:pPr>
            <w:r w:rsidRPr="00D96B14">
              <w:rPr>
                <w:rFonts w:eastAsia="Calibri"/>
              </w:rPr>
              <w:t>Non</w:t>
            </w:r>
            <w:r w:rsidR="005A4BB0">
              <w:rPr>
                <w:rFonts w:eastAsia="Calibri"/>
              </w:rPr>
              <w:noBreakHyphen/>
            </w:r>
            <w:r w:rsidRPr="00D96B14">
              <w:rPr>
                <w:rFonts w:eastAsia="Calibri"/>
              </w:rPr>
              <w:t>Business As Usual (non</w:t>
            </w:r>
            <w:r w:rsidR="005A4BB0">
              <w:rPr>
                <w:rFonts w:eastAsia="Calibri"/>
              </w:rPr>
              <w:noBreakHyphen/>
            </w:r>
            <w:r w:rsidRPr="00D96B14">
              <w:rPr>
                <w:rFonts w:eastAsia="Calibri"/>
              </w:rPr>
              <w:t>BAU) ICT expenditure</w:t>
            </w:r>
          </w:p>
        </w:tc>
        <w:tc>
          <w:tcPr>
            <w:tcW w:w="2030" w:type="dxa"/>
            <w:tcBorders>
              <w:top w:val="single" w:sz="4" w:space="0" w:color="auto"/>
              <w:left w:val="single" w:sz="4" w:space="0" w:color="auto"/>
              <w:right w:val="single" w:sz="4" w:space="0" w:color="auto"/>
            </w:tcBorders>
            <w:shd w:val="clear" w:color="auto" w:fill="D9D9D9"/>
            <w:vAlign w:val="center"/>
          </w:tcPr>
          <w:p w:rsidR="00142353" w:rsidRPr="00D96B14" w:rsidRDefault="00142353" w:rsidP="004843DB">
            <w:pPr>
              <w:pStyle w:val="Tabletextheadingleft0"/>
              <w:rPr>
                <w:rFonts w:eastAsia="Calibri"/>
              </w:rPr>
            </w:pPr>
            <w:r w:rsidRPr="00D96B14">
              <w:rPr>
                <w:rFonts w:eastAsia="Calibri"/>
              </w:rPr>
              <w:t>Operational expenditure</w:t>
            </w:r>
          </w:p>
        </w:tc>
        <w:tc>
          <w:tcPr>
            <w:tcW w:w="2030" w:type="dxa"/>
            <w:tcBorders>
              <w:top w:val="single" w:sz="4" w:space="0" w:color="auto"/>
              <w:left w:val="single" w:sz="4" w:space="0" w:color="auto"/>
            </w:tcBorders>
            <w:shd w:val="clear" w:color="auto" w:fill="D9D9D9"/>
            <w:vAlign w:val="center"/>
          </w:tcPr>
          <w:p w:rsidR="00142353" w:rsidRPr="00D96B14" w:rsidRDefault="00142353" w:rsidP="004843DB">
            <w:pPr>
              <w:pStyle w:val="Tabletextheadingleft0"/>
              <w:rPr>
                <w:rFonts w:eastAsia="Calibri"/>
              </w:rPr>
            </w:pPr>
            <w:r w:rsidRPr="00D96B14">
              <w:rPr>
                <w:rFonts w:eastAsia="Calibri"/>
              </w:rPr>
              <w:t>Capital expenditure</w:t>
            </w:r>
          </w:p>
        </w:tc>
      </w:tr>
      <w:tr w:rsidR="00142353" w:rsidRPr="00D96B14" w:rsidTr="004843DB">
        <w:trPr>
          <w:cantSplit/>
          <w:trHeight w:val="340"/>
        </w:trPr>
        <w:tc>
          <w:tcPr>
            <w:tcW w:w="2028" w:type="dxa"/>
            <w:tcBorders>
              <w:bottom w:val="single" w:sz="4" w:space="0" w:color="auto"/>
              <w:right w:val="single" w:sz="6" w:space="0" w:color="auto"/>
            </w:tcBorders>
            <w:vAlign w:val="center"/>
          </w:tcPr>
          <w:p w:rsidR="00142353" w:rsidRPr="00D96B14" w:rsidRDefault="00142353" w:rsidP="004843DB">
            <w:pPr>
              <w:pStyle w:val="Tabletext"/>
              <w:rPr>
                <w:lang w:eastAsia="en-US"/>
              </w:rPr>
            </w:pPr>
            <w:r w:rsidRPr="00D96B14">
              <w:rPr>
                <w:lang w:eastAsia="en-US"/>
              </w:rPr>
              <w:t>(Total)</w:t>
            </w:r>
          </w:p>
        </w:tc>
        <w:tc>
          <w:tcPr>
            <w:tcW w:w="2211" w:type="dxa"/>
            <w:tcBorders>
              <w:left w:val="single" w:sz="6" w:space="0" w:color="auto"/>
              <w:bottom w:val="single" w:sz="4" w:space="0" w:color="auto"/>
              <w:right w:val="single" w:sz="4" w:space="0" w:color="auto"/>
            </w:tcBorders>
            <w:shd w:val="clear" w:color="auto" w:fill="auto"/>
            <w:vAlign w:val="center"/>
          </w:tcPr>
          <w:p w:rsidR="00142353" w:rsidRPr="00D96B14" w:rsidRDefault="00142353" w:rsidP="004843DB">
            <w:pPr>
              <w:pStyle w:val="Tabletext"/>
              <w:rPr>
                <w:lang w:eastAsia="en-US"/>
              </w:rPr>
            </w:pPr>
            <w:r w:rsidRPr="00D96B14">
              <w:rPr>
                <w:lang w:eastAsia="en-US"/>
              </w:rPr>
              <w:t>(Total = Operational expenditure and Capital Expenditure)</w:t>
            </w:r>
          </w:p>
        </w:tc>
        <w:tc>
          <w:tcPr>
            <w:tcW w:w="2030" w:type="dxa"/>
            <w:tcBorders>
              <w:left w:val="single" w:sz="4" w:space="0" w:color="auto"/>
              <w:bottom w:val="single" w:sz="4" w:space="0" w:color="auto"/>
              <w:right w:val="single" w:sz="4" w:space="0" w:color="auto"/>
            </w:tcBorders>
            <w:shd w:val="clear" w:color="auto" w:fill="D9D9D9"/>
            <w:vAlign w:val="center"/>
          </w:tcPr>
          <w:p w:rsidR="00142353" w:rsidRPr="00D96B14" w:rsidRDefault="00142353" w:rsidP="004843DB">
            <w:pPr>
              <w:spacing w:before="0"/>
              <w:rPr>
                <w:rFonts w:ascii="Calibri" w:eastAsia="Calibri" w:hAnsi="Calibri" w:cs="Times New Roman"/>
                <w:color w:val="6E6E6E"/>
                <w:sz w:val="20"/>
                <w:lang w:eastAsia="en-US"/>
              </w:rPr>
            </w:pPr>
          </w:p>
        </w:tc>
        <w:tc>
          <w:tcPr>
            <w:tcW w:w="2030" w:type="dxa"/>
            <w:tcBorders>
              <w:left w:val="single" w:sz="4" w:space="0" w:color="auto"/>
              <w:bottom w:val="single" w:sz="4" w:space="0" w:color="auto"/>
            </w:tcBorders>
            <w:shd w:val="clear" w:color="auto" w:fill="D9D9D9"/>
            <w:vAlign w:val="center"/>
          </w:tcPr>
          <w:p w:rsidR="00142353" w:rsidRPr="00D96B14" w:rsidRDefault="00142353" w:rsidP="004843DB">
            <w:pPr>
              <w:spacing w:before="0"/>
              <w:rPr>
                <w:rFonts w:ascii="Calibri" w:eastAsia="Calibri" w:hAnsi="Calibri" w:cs="Times New Roman"/>
                <w:color w:val="6E6E6E"/>
                <w:sz w:val="20"/>
                <w:lang w:eastAsia="en-US"/>
              </w:rPr>
            </w:pPr>
          </w:p>
        </w:tc>
      </w:tr>
      <w:tr w:rsidR="00142353" w:rsidRPr="00D96B14" w:rsidTr="004843DB">
        <w:trPr>
          <w:cantSplit/>
          <w:trHeight w:val="85"/>
        </w:trPr>
        <w:tc>
          <w:tcPr>
            <w:tcW w:w="2028" w:type="dxa"/>
            <w:tcBorders>
              <w:top w:val="single" w:sz="4" w:space="0" w:color="auto"/>
              <w:bottom w:val="single" w:sz="12" w:space="0" w:color="auto"/>
              <w:right w:val="single" w:sz="6" w:space="0" w:color="auto"/>
            </w:tcBorders>
          </w:tcPr>
          <w:p w:rsidR="00142353" w:rsidRPr="00D96B14" w:rsidRDefault="00142353" w:rsidP="004843DB">
            <w:pPr>
              <w:pStyle w:val="Tabletext"/>
            </w:pPr>
            <w:r w:rsidRPr="00D96B14">
              <w:t>60</w:t>
            </w:r>
          </w:p>
        </w:tc>
        <w:tc>
          <w:tcPr>
            <w:tcW w:w="2211" w:type="dxa"/>
            <w:tcBorders>
              <w:top w:val="single" w:sz="4" w:space="0" w:color="auto"/>
              <w:left w:val="single" w:sz="6" w:space="0" w:color="auto"/>
              <w:bottom w:val="single" w:sz="12" w:space="0" w:color="auto"/>
              <w:right w:val="single" w:sz="4" w:space="0" w:color="auto"/>
            </w:tcBorders>
            <w:shd w:val="clear" w:color="auto" w:fill="auto"/>
            <w:vAlign w:val="bottom"/>
          </w:tcPr>
          <w:p w:rsidR="00142353" w:rsidRPr="00D96B14" w:rsidRDefault="00142353" w:rsidP="004843DB">
            <w:pPr>
              <w:pStyle w:val="Tabletext"/>
            </w:pPr>
            <w:r w:rsidRPr="00D96B14">
              <w:t>40</w:t>
            </w:r>
          </w:p>
        </w:tc>
        <w:tc>
          <w:tcPr>
            <w:tcW w:w="2030"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Pr>
          <w:p w:rsidR="00142353" w:rsidRPr="00D96B14" w:rsidRDefault="00142353" w:rsidP="004843DB">
            <w:pPr>
              <w:pStyle w:val="Tabletext"/>
            </w:pPr>
            <w:r w:rsidRPr="00D96B14">
              <w:t>30</w:t>
            </w:r>
          </w:p>
        </w:tc>
        <w:tc>
          <w:tcPr>
            <w:tcW w:w="2030" w:type="dxa"/>
            <w:tcBorders>
              <w:top w:val="single" w:sz="4" w:space="0" w:color="auto"/>
              <w:left w:val="single" w:sz="4" w:space="0" w:color="auto"/>
              <w:bottom w:val="single" w:sz="12" w:space="0" w:color="auto"/>
            </w:tcBorders>
            <w:shd w:val="clear" w:color="auto" w:fill="D9D9D9" w:themeFill="background1" w:themeFillShade="D9"/>
          </w:tcPr>
          <w:p w:rsidR="00142353" w:rsidRPr="00D96B14" w:rsidRDefault="00142353" w:rsidP="004843DB">
            <w:pPr>
              <w:pStyle w:val="Tabletext"/>
            </w:pPr>
            <w:r w:rsidRPr="00D96B14">
              <w:t>10</w:t>
            </w:r>
          </w:p>
        </w:tc>
      </w:tr>
    </w:tbl>
    <w:p w:rsidR="00142353" w:rsidRPr="00D96B14" w:rsidRDefault="00142353" w:rsidP="00142353">
      <w:pPr>
        <w:pStyle w:val="SmallLine"/>
      </w:pPr>
    </w:p>
    <w:p w:rsidR="00142353" w:rsidRPr="00D96B14" w:rsidRDefault="00142353" w:rsidP="00142353"/>
    <w:p w:rsidR="00142353" w:rsidRPr="00D96B14" w:rsidRDefault="00142353" w:rsidP="00142353">
      <w:r w:rsidRPr="00D96B14">
        <w:t>ICT expenditure refers to the Department</w:t>
      </w:r>
      <w:r w:rsidR="005A4BB0">
        <w:t>’</w:t>
      </w:r>
      <w:r w:rsidRPr="00D96B14">
        <w:t>s costs in providing business</w:t>
      </w:r>
      <w:r w:rsidR="005A4BB0">
        <w:noBreakHyphen/>
      </w:r>
      <w:r w:rsidRPr="00D96B14">
        <w:t>enabling ICT services. It comprises Business As Usual (BAU) ICT expenditure and Non</w:t>
      </w:r>
      <w:r w:rsidR="005A4BB0">
        <w:noBreakHyphen/>
      </w:r>
      <w:r w:rsidRPr="00D96B14">
        <w:t>Business As Usual (Non</w:t>
      </w:r>
      <w:r w:rsidR="005A4BB0">
        <w:noBreakHyphen/>
      </w:r>
      <w:r w:rsidRPr="00D96B14">
        <w:t>BAU) ICT expenditure. Non</w:t>
      </w:r>
      <w:r w:rsidR="005A4BB0">
        <w:noBreakHyphen/>
      </w:r>
      <w:r w:rsidRPr="00D96B14">
        <w:t>BAU ICT expenditure</w:t>
      </w:r>
      <w:r w:rsidR="005A4BB0">
        <w:t xml:space="preserve"> </w:t>
      </w:r>
      <w:r w:rsidRPr="00D96B14">
        <w:t>relates to extending or enhancing the Department</w:t>
      </w:r>
      <w:r w:rsidR="005A4BB0">
        <w:t>’</w:t>
      </w:r>
      <w:r w:rsidRPr="00D96B14">
        <w:t>s current ICT capabilities. BAU ICT expenditure is all remaining ICT expenditure which primarily relates to ongoing activities to operate and maintain the current ICT capability.</w:t>
      </w:r>
    </w:p>
    <w:p w:rsidR="00142353" w:rsidRPr="00D96B14" w:rsidRDefault="00142353" w:rsidP="00142353"/>
    <w:p w:rsidR="00142353" w:rsidRPr="00D96B14" w:rsidRDefault="00142353" w:rsidP="00142353">
      <w:pPr>
        <w:pStyle w:val="CommentaryHeading"/>
        <w:pBdr>
          <w:bottom w:val="none" w:sz="0" w:space="0" w:color="auto"/>
        </w:pBdr>
      </w:pPr>
      <w:r w:rsidRPr="00D96B14">
        <w:t>Commentary – ICT expenditure</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top w:val="none" w:sz="0" w:space="0" w:color="auto"/>
          <w:bottom w:val="none" w:sz="0" w:space="0" w:color="auto"/>
        </w:pBdr>
      </w:pPr>
      <w:r w:rsidRPr="00D96B14">
        <w:t>Guidance</w:t>
      </w:r>
    </w:p>
    <w:p w:rsidR="00142353" w:rsidRPr="00D96B14" w:rsidRDefault="00142353" w:rsidP="00142353">
      <w:pPr>
        <w:pStyle w:val="CommentaryText"/>
        <w:pBdr>
          <w:top w:val="none" w:sz="0" w:space="0" w:color="auto"/>
          <w:bottom w:val="none" w:sz="0" w:space="0" w:color="auto"/>
        </w:pBdr>
      </w:pPr>
      <w:r w:rsidRPr="00D96B14">
        <w:t xml:space="preserve">In accordance with paragraph 6.17 of FRD 22G, an entity should disclose the following: </w:t>
      </w:r>
    </w:p>
    <w:p w:rsidR="00142353" w:rsidRPr="00D96B14" w:rsidRDefault="00142353" w:rsidP="00142353">
      <w:pPr>
        <w:pStyle w:val="CommentaryTextIndent"/>
        <w:pBdr>
          <w:top w:val="none" w:sz="0" w:space="0" w:color="auto"/>
          <w:bottom w:val="none" w:sz="0" w:space="0" w:color="auto"/>
        </w:pBdr>
      </w:pPr>
      <w:r w:rsidRPr="00D96B14">
        <w:t>a)</w:t>
      </w:r>
      <w:r w:rsidRPr="00D96B14">
        <w:tab/>
        <w:t>total entity ICT Business</w:t>
      </w:r>
      <w:r w:rsidR="005A4BB0">
        <w:noBreakHyphen/>
      </w:r>
      <w:r w:rsidRPr="00D96B14">
        <w:t>As</w:t>
      </w:r>
      <w:r w:rsidR="005A4BB0">
        <w:noBreakHyphen/>
      </w:r>
      <w:r w:rsidRPr="00D96B14">
        <w:t>Usual (BAU) expenditure for the full 12 month reporting period; and</w:t>
      </w:r>
    </w:p>
    <w:p w:rsidR="00142353" w:rsidRPr="00D96B14" w:rsidRDefault="00142353" w:rsidP="00142353">
      <w:pPr>
        <w:pStyle w:val="CommentaryTextIndent"/>
        <w:pBdr>
          <w:top w:val="none" w:sz="0" w:space="0" w:color="auto"/>
          <w:bottom w:val="none" w:sz="0" w:space="0" w:color="auto"/>
        </w:pBdr>
      </w:pPr>
      <w:r w:rsidRPr="00D96B14">
        <w:t>b)</w:t>
      </w:r>
      <w:r w:rsidRPr="00D96B14">
        <w:tab/>
        <w:t>total entity ICT Non</w:t>
      </w:r>
      <w:r w:rsidR="005A4BB0">
        <w:noBreakHyphen/>
      </w:r>
      <w:r w:rsidRPr="00D96B14">
        <w:t>BAU expenditure for the full 12 month reporting period; and provide a breakdown for:</w:t>
      </w:r>
    </w:p>
    <w:p w:rsidR="00142353" w:rsidRPr="00D96B14" w:rsidRDefault="00142353" w:rsidP="00142353">
      <w:pPr>
        <w:pStyle w:val="CommentaryTextIndent"/>
        <w:pBdr>
          <w:top w:val="none" w:sz="0" w:space="0" w:color="auto"/>
          <w:bottom w:val="none" w:sz="0" w:space="0" w:color="auto"/>
        </w:pBdr>
      </w:pPr>
      <w:r w:rsidRPr="00D96B14">
        <w:tab/>
        <w:t>i)</w:t>
      </w:r>
      <w:r w:rsidRPr="00D96B14">
        <w:tab/>
        <w:t xml:space="preserve">Operational expenditure (OPEX); and </w:t>
      </w:r>
    </w:p>
    <w:p w:rsidR="00142353" w:rsidRPr="00D96B14" w:rsidRDefault="00142353" w:rsidP="00142353">
      <w:pPr>
        <w:pStyle w:val="CommentaryTextIndent"/>
        <w:pBdr>
          <w:top w:val="none" w:sz="0" w:space="0" w:color="auto"/>
          <w:bottom w:val="none" w:sz="0" w:space="0" w:color="auto"/>
        </w:pBdr>
      </w:pPr>
      <w:r w:rsidRPr="00D96B14">
        <w:tab/>
        <w:t>ii)</w:t>
      </w:r>
      <w:r w:rsidRPr="00D96B14">
        <w:tab/>
        <w:t>Capital Expenditure (CAPEX).</w:t>
      </w:r>
    </w:p>
    <w:p w:rsidR="00142353" w:rsidRPr="00D96B14" w:rsidRDefault="00142353" w:rsidP="00142353">
      <w:pPr>
        <w:pStyle w:val="CommentaryDashBlue"/>
        <w:ind w:left="0" w:firstLine="0"/>
        <w:rPr>
          <w:noProof/>
        </w:rPr>
      </w:pPr>
      <w:r w:rsidRPr="00D96B14">
        <w:rPr>
          <w:b/>
          <w:noProof/>
        </w:rPr>
        <w:t>ICT expenditure:</w:t>
      </w:r>
      <w:r w:rsidRPr="00D96B14">
        <w:rPr>
          <w:noProof/>
        </w:rPr>
        <w:t xml:space="preserve"> an agency</w:t>
      </w:r>
      <w:r w:rsidR="005A4BB0">
        <w:rPr>
          <w:noProof/>
        </w:rPr>
        <w:t>’</w:t>
      </w:r>
      <w:r w:rsidRPr="00D96B14">
        <w:rPr>
          <w:noProof/>
        </w:rPr>
        <w:t>s costs in providing business</w:t>
      </w:r>
      <w:r w:rsidR="005A4BB0">
        <w:rPr>
          <w:noProof/>
        </w:rPr>
        <w:noBreakHyphen/>
      </w:r>
      <w:r w:rsidRPr="00D96B14">
        <w:rPr>
          <w:noProof/>
        </w:rPr>
        <w:t>enabling ICT services and consists of the following cost elements:</w:t>
      </w:r>
    </w:p>
    <w:p w:rsidR="00142353" w:rsidRPr="00D96B14" w:rsidRDefault="00142353" w:rsidP="00142353">
      <w:pPr>
        <w:pStyle w:val="CommentaryBullet"/>
        <w:rPr>
          <w:noProof/>
        </w:rPr>
      </w:pPr>
      <w:r w:rsidRPr="00D96B14">
        <w:rPr>
          <w:noProof/>
        </w:rPr>
        <w:t>operating and capital expenditure (including depreciation);</w:t>
      </w:r>
    </w:p>
    <w:p w:rsidR="00142353" w:rsidRPr="00D96B14" w:rsidRDefault="00142353" w:rsidP="00142353">
      <w:pPr>
        <w:pStyle w:val="CommentaryBullet"/>
        <w:rPr>
          <w:noProof/>
        </w:rPr>
      </w:pPr>
      <w:r w:rsidRPr="00D96B14">
        <w:rPr>
          <w:noProof/>
        </w:rPr>
        <w:t>ICT services – internally and externally sourced;</w:t>
      </w:r>
    </w:p>
    <w:p w:rsidR="00142353" w:rsidRPr="00D96B14" w:rsidRDefault="00142353" w:rsidP="00142353">
      <w:pPr>
        <w:pStyle w:val="CommentaryBullet"/>
        <w:rPr>
          <w:noProof/>
        </w:rPr>
      </w:pPr>
      <w:r w:rsidRPr="00D96B14">
        <w:rPr>
          <w:noProof/>
        </w:rPr>
        <w:t>cost in providing ICT services (including personnel &amp; facilities) across the agency, whether funded through a central ICT budget or through other budgets; and</w:t>
      </w:r>
    </w:p>
    <w:p w:rsidR="00142353" w:rsidRPr="00D96B14" w:rsidRDefault="00142353" w:rsidP="00142353">
      <w:pPr>
        <w:pStyle w:val="CommentaryBullet"/>
        <w:rPr>
          <w:noProof/>
        </w:rPr>
      </w:pPr>
      <w:r w:rsidRPr="00D96B14">
        <w:rPr>
          <w:noProof/>
        </w:rPr>
        <w:t>cost in providing ICT services to other organisations.</w:t>
      </w:r>
    </w:p>
    <w:p w:rsidR="00142353" w:rsidRPr="00D96B14" w:rsidRDefault="00142353" w:rsidP="00142353">
      <w:pPr>
        <w:pStyle w:val="CommentaryText"/>
        <w:pBdr>
          <w:top w:val="none" w:sz="0" w:space="0" w:color="auto"/>
          <w:bottom w:val="none" w:sz="0" w:space="0" w:color="auto"/>
        </w:pBdr>
      </w:pPr>
      <w:r w:rsidRPr="00D96B14">
        <w:t>Total ICT expenditure = ICT BAU expenditure + ICT Non</w:t>
      </w:r>
      <w:r w:rsidR="005A4BB0">
        <w:noBreakHyphen/>
      </w:r>
      <w:r w:rsidRPr="00D96B14">
        <w:t>BAU expenditure.</w:t>
      </w:r>
    </w:p>
    <w:p w:rsidR="00142353" w:rsidRPr="00D96B14" w:rsidRDefault="00142353" w:rsidP="00142353">
      <w:pPr>
        <w:pStyle w:val="CommentaryText"/>
        <w:pBdr>
          <w:top w:val="none" w:sz="0" w:space="0" w:color="auto"/>
        </w:pBdr>
        <w:rPr>
          <w:b/>
        </w:rPr>
      </w:pPr>
      <w:r w:rsidRPr="00D96B14">
        <w:rPr>
          <w:b/>
        </w:rPr>
        <w:t>Non</w:t>
      </w:r>
      <w:r w:rsidR="005A4BB0">
        <w:rPr>
          <w:b/>
        </w:rPr>
        <w:noBreakHyphen/>
      </w:r>
      <w:r w:rsidRPr="00D96B14">
        <w:rPr>
          <w:b/>
        </w:rPr>
        <w:t>Business As Usual (Non</w:t>
      </w:r>
      <w:r w:rsidR="005A4BB0">
        <w:rPr>
          <w:b/>
        </w:rPr>
        <w:noBreakHyphen/>
      </w:r>
      <w:r w:rsidRPr="00D96B14">
        <w:rPr>
          <w:b/>
        </w:rPr>
        <w:t xml:space="preserve">BAU): </w:t>
      </w:r>
      <w:r w:rsidRPr="00D96B14">
        <w:t>non</w:t>
      </w:r>
      <w:r w:rsidR="005A4BB0">
        <w:noBreakHyphen/>
      </w:r>
      <w:r w:rsidRPr="00D96B14">
        <w:t>BAU ICT expenditure is a subset of ICT expenditure that relates to extending or enhancing current ICT capabilities and are usually run as projects.</w:t>
      </w:r>
    </w:p>
    <w:p w:rsidR="00142353" w:rsidRPr="00D96B14" w:rsidRDefault="00142353" w:rsidP="00142353">
      <w:pPr>
        <w:pStyle w:val="CommentaryText"/>
        <w:pBdr>
          <w:top w:val="none" w:sz="0" w:space="0" w:color="auto"/>
        </w:pBdr>
      </w:pPr>
      <w:r w:rsidRPr="00D96B14">
        <w:rPr>
          <w:b/>
        </w:rPr>
        <w:t xml:space="preserve">Business As Usual (BAU): </w:t>
      </w:r>
      <w:r w:rsidRPr="00D96B14">
        <w:t>all remaining ICT expenditure is considered BAU ICT expenditure and typically relates to ongoing activities to operate and maintain the current ICT capability.</w:t>
      </w:r>
    </w:p>
    <w:p w:rsidR="00142353" w:rsidRPr="00D96B14" w:rsidRDefault="00142353" w:rsidP="00142353">
      <w:pPr>
        <w:spacing w:line="240" w:lineRule="atLeast"/>
        <w:rPr>
          <w:noProof/>
          <w:color w:val="0000FF"/>
        </w:rPr>
      </w:pPr>
      <w:r w:rsidRPr="00D96B14">
        <w:rPr>
          <w:noProof/>
        </w:rPr>
        <w:br w:type="page"/>
      </w:r>
    </w:p>
    <w:p w:rsidR="00142353" w:rsidRPr="00D96B14" w:rsidRDefault="00142353" w:rsidP="00142353">
      <w:pPr>
        <w:pStyle w:val="SmallLine"/>
        <w:rPr>
          <w:noProof/>
        </w:rPr>
      </w:pPr>
    </w:p>
    <w:p w:rsidR="00142353" w:rsidRPr="00D96B14" w:rsidRDefault="00142353" w:rsidP="00142353">
      <w:pPr>
        <w:pStyle w:val="Reference"/>
        <w:spacing w:before="120"/>
        <w:rPr>
          <w:b/>
          <w:noProof/>
        </w:rPr>
      </w:pPr>
      <w:r w:rsidRPr="00D96B14">
        <w:t>FRD 12A</w:t>
      </w:r>
      <w:r w:rsidRPr="00D96B14">
        <w:rPr>
          <w:b/>
          <w:noProof/>
        </w:rPr>
        <w:t xml:space="preserve"> </w:t>
      </w:r>
    </w:p>
    <w:p w:rsidR="00142353" w:rsidRPr="00D96B14" w:rsidRDefault="00142353" w:rsidP="00142353">
      <w:pPr>
        <w:pStyle w:val="Reference"/>
        <w:rPr>
          <w:b/>
          <w:noProof/>
        </w:rPr>
      </w:pPr>
    </w:p>
    <w:p w:rsidR="00142353" w:rsidRPr="00D96B14" w:rsidRDefault="00142353" w:rsidP="00142353">
      <w:pPr>
        <w:pStyle w:val="Notes"/>
        <w:rPr>
          <w:lang w:eastAsia="en-US"/>
        </w:rPr>
      </w:pPr>
      <w:r w:rsidRPr="00D96B14">
        <w:rPr>
          <w:noProof/>
        </w:rPr>
        <w:br w:type="column"/>
      </w:r>
    </w:p>
    <w:p w:rsidR="00142353" w:rsidRPr="00D96B14" w:rsidRDefault="00142353" w:rsidP="00142353">
      <w:pPr>
        <w:pStyle w:val="CommentaryHeading"/>
        <w:pBdr>
          <w:bottom w:val="none" w:sz="0" w:space="0" w:color="auto"/>
        </w:pBdr>
        <w:rPr>
          <w:i/>
        </w:rPr>
      </w:pPr>
      <w:r w:rsidRPr="00D96B14">
        <w:t xml:space="preserve">Commentary – ICT expenditure </w:t>
      </w:r>
      <w:r w:rsidRPr="00D96B14">
        <w:rPr>
          <w:i/>
        </w:rPr>
        <w:t>(continued)</w:t>
      </w:r>
    </w:p>
    <w:p w:rsidR="00142353" w:rsidRPr="00D96B14" w:rsidRDefault="00142353" w:rsidP="00142353">
      <w:pPr>
        <w:pStyle w:val="SmallLineBlue"/>
        <w:pBdr>
          <w:bottom w:val="none" w:sz="0" w:space="0" w:color="auto"/>
        </w:pBdr>
      </w:pPr>
    </w:p>
    <w:p w:rsidR="00142353" w:rsidRPr="00D96B14" w:rsidRDefault="00142353" w:rsidP="00142353">
      <w:pPr>
        <w:pStyle w:val="CommentaryText"/>
        <w:pBdr>
          <w:top w:val="none" w:sz="0" w:space="0" w:color="auto"/>
          <w:bottom w:val="none" w:sz="0" w:space="0" w:color="auto"/>
        </w:pBdr>
      </w:pPr>
      <w:r w:rsidRPr="00D96B14">
        <w:t xml:space="preserve">Further detail is available from the ICT Reporting Standard and ICT Expenditure Reporting Guideline, found at </w:t>
      </w:r>
      <w:hyperlink r:id="rId79" w:history="1">
        <w:r w:rsidRPr="00D96B14">
          <w:rPr>
            <w:u w:val="single"/>
          </w:rPr>
          <w:t>http://www.enterprisesolutions.vic.gov.au</w:t>
        </w:r>
      </w:hyperlink>
      <w:r w:rsidRPr="00D96B14">
        <w:t xml:space="preserve"> by searching for ICT expenditure.</w:t>
      </w:r>
    </w:p>
    <w:p w:rsidR="00142353" w:rsidRPr="00D96B14" w:rsidRDefault="00142353" w:rsidP="00142353">
      <w:pPr>
        <w:pStyle w:val="CommentaryHeading1"/>
        <w:pBdr>
          <w:top w:val="none" w:sz="0" w:space="0" w:color="auto"/>
          <w:bottom w:val="none" w:sz="0" w:space="0" w:color="auto"/>
        </w:pBdr>
      </w:pPr>
      <w:r w:rsidRPr="00D96B14">
        <w:t>Nil report statement</w:t>
      </w:r>
    </w:p>
    <w:p w:rsidR="00142353" w:rsidRPr="00D96B14" w:rsidRDefault="00142353" w:rsidP="00142353">
      <w:pPr>
        <w:pStyle w:val="CommentaryText"/>
        <w:pBdr>
          <w:top w:val="none" w:sz="0" w:space="0" w:color="auto"/>
        </w:pBdr>
      </w:pPr>
      <w:r w:rsidRPr="00D96B14">
        <w:t xml:space="preserve">An explicit statement of </w:t>
      </w:r>
      <w:r w:rsidR="005A4BB0">
        <w:t>‘</w:t>
      </w:r>
      <w:r w:rsidRPr="00D96B14">
        <w:t>nil reports</w:t>
      </w:r>
      <w:r w:rsidR="005A4BB0">
        <w:t>’</w:t>
      </w:r>
      <w:r w:rsidRPr="00D96B14">
        <w:t xml:space="preserve"> is required where the relevant activities or circumstances do not result in any spending.</w:t>
      </w:r>
    </w:p>
    <w:p w:rsidR="00142353" w:rsidRPr="00D96B14" w:rsidRDefault="00142353" w:rsidP="00142353">
      <w:pPr>
        <w:rPr>
          <w:lang w:val="en-US" w:eastAsia="en-US"/>
        </w:rPr>
      </w:pPr>
    </w:p>
    <w:p w:rsidR="00142353" w:rsidRPr="00D96B14" w:rsidRDefault="00142353" w:rsidP="00142353">
      <w:pPr>
        <w:pStyle w:val="Heading2"/>
      </w:pPr>
      <w:bookmarkStart w:id="89" w:name="_Toc219779107"/>
      <w:r w:rsidRPr="00D96B14">
        <w:t>Disclosure of major contracts</w:t>
      </w:r>
      <w:bookmarkEnd w:id="89"/>
    </w:p>
    <w:p w:rsidR="00142353" w:rsidRPr="00D96B14" w:rsidRDefault="00142353" w:rsidP="00142353">
      <w:r w:rsidRPr="00D96B14">
        <w:t>With the exception of the contract referred to below, the Department has disclosed, in accordance with the requirements of government policy and accompanying guidelines, all contracts greater than $10 million in value which it entered into during the year ended 30 June 2016. Details of contracts that have been disclosed in the Victorian Government contracts publishing system can be viewed on the internet at:</w:t>
      </w:r>
    </w:p>
    <w:p w:rsidR="00142353" w:rsidRPr="00D96B14" w:rsidRDefault="00B934BC" w:rsidP="00142353">
      <w:pPr>
        <w:rPr>
          <w:u w:val="single"/>
        </w:rPr>
      </w:pPr>
      <w:hyperlink r:id="rId80" w:history="1">
        <w:r w:rsidR="00142353" w:rsidRPr="00D96B14">
          <w:rPr>
            <w:rStyle w:val="Hyperlink"/>
          </w:rPr>
          <w:t>http://www.contracts.vic.gov.au</w:t>
        </w:r>
      </w:hyperlink>
    </w:p>
    <w:p w:rsidR="00142353" w:rsidRPr="00D96B14" w:rsidRDefault="00142353" w:rsidP="00142353">
      <w:pPr>
        <w:spacing w:before="240"/>
      </w:pPr>
      <w:r w:rsidRPr="00D96B14">
        <w:t xml:space="preserve">Contractual details have not been disclosed for those contracts for which disclosure is exempted under the </w:t>
      </w:r>
      <w:r w:rsidRPr="00D96B14">
        <w:rPr>
          <w:i/>
          <w:iCs/>
        </w:rPr>
        <w:t xml:space="preserve">Freedom of Information Act 1982 </w:t>
      </w:r>
      <w:r w:rsidRPr="00D96B14">
        <w:t>and/or government guidelines.</w:t>
      </w:r>
    </w:p>
    <w:p w:rsidR="00142353" w:rsidRPr="00D96B14" w:rsidRDefault="00142353" w:rsidP="00142353">
      <w:r w:rsidRPr="00D96B14">
        <w:t>The contractual details with MNO People Solutions for staff recruitment and training has not been disclosed as at 30 June 2016 but will be disclosed on 1 October 2016 on the internet once signed.</w:t>
      </w:r>
    </w:p>
    <w:p w:rsidR="00142353" w:rsidRPr="00D96B14" w:rsidRDefault="00142353" w:rsidP="00142353">
      <w:pPr>
        <w:sectPr w:rsidR="00142353" w:rsidRPr="00D96B14" w:rsidSect="00190A01">
          <w:headerReference w:type="even" r:id="rId81"/>
          <w:headerReference w:type="default" r:id="rId82"/>
          <w:footerReference w:type="even" r:id="rId83"/>
          <w:footerReference w:type="default" r:id="rId84"/>
          <w:headerReference w:type="first" r:id="rId85"/>
          <w:footerReference w:type="first" r:id="rId86"/>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spacing w:before="40"/>
      </w:pPr>
      <w:r w:rsidRPr="00D96B14">
        <w:rPr>
          <w:lang w:val="en-AU"/>
        </w:rPr>
        <w:lastRenderedPageBreak/>
        <w:br/>
      </w:r>
      <w:r w:rsidRPr="00D96B14">
        <w:rPr>
          <w:lang w:val="en-AU"/>
        </w:rPr>
        <w:br/>
      </w:r>
      <w:r w:rsidRPr="00D96B14">
        <w:rPr>
          <w:lang w:val="en-AU"/>
        </w:rPr>
        <w:br/>
      </w:r>
      <w:r w:rsidRPr="00D96B14">
        <w:rPr>
          <w:lang w:val="en-AU"/>
        </w:rPr>
        <w:br/>
      </w:r>
      <w:r w:rsidRPr="00D96B14">
        <w:rPr>
          <w:lang w:val="en-AU"/>
        </w:rPr>
        <w:br/>
        <w:t>FRD 12A</w:t>
      </w:r>
    </w:p>
    <w:p w:rsidR="00142353" w:rsidRPr="00D96B14" w:rsidRDefault="00142353" w:rsidP="00142353"/>
    <w:p w:rsidR="00142353" w:rsidRPr="00D96B14" w:rsidRDefault="00142353" w:rsidP="00142353">
      <w:pPr>
        <w:pStyle w:val="SmallLine"/>
      </w:pPr>
      <w:r w:rsidRPr="00D96B14">
        <w:br w:type="column"/>
      </w:r>
    </w:p>
    <w:p w:rsidR="00142353" w:rsidRPr="00D96B14" w:rsidRDefault="00142353" w:rsidP="00142353">
      <w:pPr>
        <w:pStyle w:val="CommentaryHeading"/>
        <w:pBdr>
          <w:bottom w:val="none" w:sz="0" w:space="0" w:color="auto"/>
        </w:pBdr>
      </w:pPr>
      <w:r w:rsidRPr="00D96B14">
        <w:t>Commentary – Disclosure of major contracts</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bottom w:val="none" w:sz="0" w:space="0" w:color="auto"/>
        </w:pBdr>
      </w:pPr>
      <w:r w:rsidRPr="00D96B14">
        <w:t>Legislative and documented references</w:t>
      </w:r>
    </w:p>
    <w:p w:rsidR="00142353" w:rsidRPr="00D96B14" w:rsidRDefault="00142353" w:rsidP="00142353">
      <w:pPr>
        <w:pStyle w:val="CommentaryText"/>
        <w:pBdr>
          <w:top w:val="none" w:sz="0" w:space="0" w:color="auto"/>
          <w:bottom w:val="none" w:sz="0" w:space="0" w:color="auto"/>
        </w:pBdr>
      </w:pPr>
      <w:r w:rsidRPr="00D96B14">
        <w:rPr>
          <w:b/>
          <w:bCs/>
        </w:rPr>
        <w:t>FRD 12A</w:t>
      </w:r>
      <w:r w:rsidRPr="00D96B14">
        <w:t xml:space="preserve"> </w:t>
      </w:r>
      <w:r w:rsidRPr="00D96B14">
        <w:rPr>
          <w:i/>
        </w:rPr>
        <w:t>Disclosure of Major Contracts</w:t>
      </w:r>
      <w:r w:rsidRPr="00D96B14">
        <w:t xml:space="preserve"> requires that for contracts greater than $10 million, a department</w:t>
      </w:r>
      <w:r w:rsidR="005A4BB0">
        <w:t>’</w:t>
      </w:r>
      <w:r w:rsidRPr="00D96B14">
        <w:t>s annual report must include a statement by the accountable officer advising that:</w:t>
      </w:r>
    </w:p>
    <w:p w:rsidR="00142353" w:rsidRPr="00D96B14" w:rsidRDefault="00142353" w:rsidP="00142353">
      <w:pPr>
        <w:pStyle w:val="CommentaryBullet"/>
      </w:pPr>
      <w:r w:rsidRPr="00D96B14">
        <w:t xml:space="preserve">contracts entered into during the reporting period have been disclosed in part or in full, except for certain material that falls within one or more of the criteria contained in Part IV of the </w:t>
      </w:r>
      <w:r w:rsidRPr="00D96B14">
        <w:rPr>
          <w:i/>
        </w:rPr>
        <w:t>Freedom of Information Act 1982</w:t>
      </w:r>
      <w:r w:rsidRPr="00D96B14">
        <w:t>;</w:t>
      </w:r>
    </w:p>
    <w:p w:rsidR="00142353" w:rsidRPr="00D96B14" w:rsidRDefault="00142353" w:rsidP="00142353">
      <w:pPr>
        <w:pStyle w:val="CommentaryBullet"/>
      </w:pPr>
      <w:r w:rsidRPr="00D96B14">
        <w:t>brief details of the contractors and the purpose of contracts that have not been disclosed, and the date when it will be disclosed; and</w:t>
      </w:r>
    </w:p>
    <w:p w:rsidR="00142353" w:rsidRPr="00D96B14" w:rsidRDefault="00142353" w:rsidP="00142353">
      <w:pPr>
        <w:pStyle w:val="CommentaryBullet"/>
      </w:pPr>
      <w:r w:rsidRPr="00D96B14">
        <w:t>where the details of contracts that have been disclosed are publicly available.</w:t>
      </w: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Guidance</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In complying with these requirements, the accountable officer should have regard to the following documents and other relevant material:</w:t>
      </w:r>
    </w:p>
    <w:p w:rsidR="00142353" w:rsidRPr="00D96B14" w:rsidRDefault="00142353" w:rsidP="00142353">
      <w:pPr>
        <w:pStyle w:val="CommentaryBullet"/>
        <w:pBdr>
          <w:bottom w:val="single" w:sz="4" w:space="1" w:color="0000FF"/>
        </w:pBdr>
        <w:spacing w:before="80" w:after="0"/>
      </w:pPr>
      <w:r w:rsidRPr="00D96B14">
        <w:rPr>
          <w:i/>
        </w:rPr>
        <w:t>Ensuring openness and probity in Victorian Government contracts: A policy statement</w:t>
      </w:r>
      <w:r w:rsidRPr="00D96B14">
        <w:t xml:space="preserve"> (11 October 2000); </w:t>
      </w:r>
    </w:p>
    <w:p w:rsidR="00142353" w:rsidRPr="00D96B14" w:rsidRDefault="00142353" w:rsidP="00142353">
      <w:pPr>
        <w:pStyle w:val="CommentaryBullet"/>
        <w:pBdr>
          <w:bottom w:val="single" w:sz="4" w:space="1" w:color="0000FF"/>
        </w:pBdr>
        <w:spacing w:before="80" w:after="0"/>
      </w:pPr>
      <w:r w:rsidRPr="00D96B14">
        <w:rPr>
          <w:i/>
        </w:rPr>
        <w:t>Ensuring openness and probity in Victorian Government contracts: Implementation guidelines</w:t>
      </w:r>
      <w:r w:rsidRPr="00D96B14">
        <w:t>; and</w:t>
      </w:r>
    </w:p>
    <w:p w:rsidR="00142353" w:rsidRPr="00D96B14" w:rsidRDefault="00142353" w:rsidP="00142353">
      <w:pPr>
        <w:pStyle w:val="CommentaryBullet"/>
        <w:pBdr>
          <w:bottom w:val="single" w:sz="4" w:space="1" w:color="0000FF"/>
        </w:pBdr>
        <w:spacing w:before="80" w:after="0"/>
      </w:pPr>
      <w:r w:rsidRPr="00D96B14">
        <w:t>guidelines issued by the Victorian Government Purchasing Board.</w:t>
      </w:r>
    </w:p>
    <w:p w:rsidR="00142353" w:rsidRPr="00D96B14" w:rsidRDefault="00142353" w:rsidP="00142353">
      <w:pPr>
        <w:pStyle w:val="CommentaryText"/>
        <w:pBdr>
          <w:top w:val="none" w:sz="0" w:space="0" w:color="auto"/>
        </w:pBdr>
        <w:rPr>
          <w:noProof w:val="0"/>
        </w:rPr>
      </w:pPr>
      <w:r w:rsidRPr="00D96B14">
        <w:rPr>
          <w:noProof w:val="0"/>
        </w:rPr>
        <w:t>The mandated disclosure above is a minimum requirement. The policy requires that all other public sector entities document their policies on disclosure, having regard to the Government</w:t>
      </w:r>
      <w:r w:rsidR="005A4BB0">
        <w:rPr>
          <w:noProof w:val="0"/>
        </w:rPr>
        <w:t>’</w:t>
      </w:r>
      <w:r w:rsidRPr="00D96B14">
        <w:rPr>
          <w:noProof w:val="0"/>
        </w:rPr>
        <w:t>s policy on openness and probity.</w:t>
      </w:r>
    </w:p>
    <w:p w:rsidR="00142353" w:rsidRPr="00D96B14" w:rsidRDefault="00142353" w:rsidP="00142353">
      <w:r w:rsidRPr="00D96B14">
        <w:br w:type="page"/>
      </w:r>
    </w:p>
    <w:p w:rsidR="00142353" w:rsidRPr="00D96B14" w:rsidRDefault="00142353" w:rsidP="00142353">
      <w:pPr>
        <w:pStyle w:val="SourceReference"/>
      </w:pPr>
    </w:p>
    <w:p w:rsidR="00142353" w:rsidRPr="00D96B14" w:rsidRDefault="00142353" w:rsidP="00142353">
      <w:pPr>
        <w:pStyle w:val="Reference"/>
        <w:spacing w:before="40"/>
      </w:pPr>
      <w:r w:rsidRPr="00D96B14">
        <w:t>FRD 22G</w:t>
      </w:r>
    </w:p>
    <w:p w:rsidR="00142353" w:rsidRPr="00D96B14" w:rsidRDefault="00142353" w:rsidP="00142353">
      <w:pPr>
        <w:pStyle w:val="Reference"/>
      </w:pPr>
    </w:p>
    <w:p w:rsidR="00142353" w:rsidRPr="00D96B14" w:rsidRDefault="00142353" w:rsidP="00142353">
      <w:pPr>
        <w:pStyle w:val="Heading2"/>
      </w:pPr>
      <w:bookmarkStart w:id="90" w:name="_Toc219779108"/>
      <w:r w:rsidRPr="00D96B14">
        <w:br w:type="column"/>
      </w:r>
      <w:r w:rsidRPr="00D96B14">
        <w:lastRenderedPageBreak/>
        <w:t>Freedom of information</w:t>
      </w:r>
      <w:bookmarkEnd w:id="90"/>
    </w:p>
    <w:p w:rsidR="00142353" w:rsidRPr="00D96B14" w:rsidRDefault="00142353" w:rsidP="00142353">
      <w:r w:rsidRPr="00D96B14">
        <w:t xml:space="preserve">The </w:t>
      </w:r>
      <w:r w:rsidRPr="00D96B14">
        <w:rPr>
          <w:i/>
          <w:iCs/>
        </w:rPr>
        <w:t>Freedom of Information Act 1982</w:t>
      </w:r>
      <w:r w:rsidRPr="00D96B14">
        <w:t xml:space="preserve"> allows the public a right of access to documents held by the Department. For the 12 months ending 30 June 2016, the Department received 26 applications. Of these requests, six were from Members of Parliament and the remainder were from the general public. Of the total requests received by the Department, the majority were acceded to, but three went to internal review with none progressing to the appeal stage.</w:t>
      </w:r>
    </w:p>
    <w:p w:rsidR="00142353" w:rsidRPr="00D96B14" w:rsidRDefault="00142353" w:rsidP="00142353">
      <w:pPr>
        <w:pStyle w:val="Heading2"/>
        <w:sectPr w:rsidR="00142353" w:rsidRPr="00D96B14" w:rsidSect="00190A0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SmallLine"/>
      </w:pPr>
    </w:p>
    <w:p w:rsidR="00142353" w:rsidRPr="00D96B14" w:rsidRDefault="00142353" w:rsidP="00142353">
      <w:pPr>
        <w:pStyle w:val="SmallLine"/>
        <w:rPr>
          <w:rStyle w:val="ReferenceChar"/>
        </w:rPr>
      </w:pPr>
    </w:p>
    <w:p w:rsidR="00142353" w:rsidRPr="00D96B14" w:rsidRDefault="00142353" w:rsidP="00142353">
      <w:pPr>
        <w:pStyle w:val="SmallLine"/>
        <w:rPr>
          <w:rStyle w:val="ReferenceChar"/>
        </w:rPr>
      </w:pPr>
    </w:p>
    <w:p w:rsidR="00142353" w:rsidRPr="00D96B14" w:rsidRDefault="00142353" w:rsidP="00142353">
      <w:pPr>
        <w:pStyle w:val="SmallLine"/>
        <w:rPr>
          <w:rStyle w:val="ReferenceChar"/>
        </w:rPr>
      </w:pPr>
    </w:p>
    <w:p w:rsidR="00142353" w:rsidRPr="00D96B14" w:rsidRDefault="00142353" w:rsidP="00142353">
      <w:pPr>
        <w:pStyle w:val="Reference"/>
        <w:spacing w:before="80"/>
        <w:rPr>
          <w:rStyle w:val="ReferenceChar"/>
        </w:rPr>
      </w:pPr>
      <w:r w:rsidRPr="00D96B14">
        <w:rPr>
          <w:rStyle w:val="ReferenceChar"/>
        </w:rPr>
        <w:t xml:space="preserve">FRD 22G </w:t>
      </w:r>
    </w:p>
    <w:p w:rsidR="00142353" w:rsidRPr="00D96B14" w:rsidRDefault="00142353" w:rsidP="00142353">
      <w:pPr>
        <w:pStyle w:val="Heading3"/>
      </w:pPr>
      <w:r w:rsidRPr="00D96B14">
        <w:rPr>
          <w:rStyle w:val="ReferenceChar"/>
        </w:rPr>
        <w:br w:type="column"/>
      </w:r>
      <w:r w:rsidRPr="00D96B14">
        <w:lastRenderedPageBreak/>
        <w:t>Making a request</w:t>
      </w:r>
    </w:p>
    <w:p w:rsidR="00142353" w:rsidRPr="00D96B14" w:rsidRDefault="00142353" w:rsidP="00142353">
      <w:r w:rsidRPr="00D96B14">
        <w:t xml:space="preserve">Access to documents may be obtained through written request to the Freedom of Information Manager, as detailed in s17 of the </w:t>
      </w:r>
      <w:r w:rsidRPr="00D96B14">
        <w:rPr>
          <w:i/>
          <w:iCs/>
        </w:rPr>
        <w:t>Freedom of Information Act 1982.</w:t>
      </w:r>
      <w:r w:rsidRPr="00D96B14">
        <w:t xml:space="preserve"> In summary, the requirements for making a request are:</w:t>
      </w:r>
    </w:p>
    <w:p w:rsidR="00142353" w:rsidRPr="00D96B14" w:rsidRDefault="00142353" w:rsidP="00142353">
      <w:pPr>
        <w:pStyle w:val="Bullet"/>
      </w:pPr>
      <w:r w:rsidRPr="00D96B14">
        <w:t>it should be in writing;</w:t>
      </w:r>
    </w:p>
    <w:p w:rsidR="00142353" w:rsidRPr="00D96B14" w:rsidRDefault="00142353" w:rsidP="00142353">
      <w:pPr>
        <w:pStyle w:val="Bullet"/>
      </w:pPr>
      <w:r w:rsidRPr="00D96B14">
        <w:t>it should identify as clearly as possible which document is being requested; and</w:t>
      </w:r>
    </w:p>
    <w:p w:rsidR="00142353" w:rsidRPr="00D96B14" w:rsidRDefault="00142353" w:rsidP="00142353">
      <w:pPr>
        <w:pStyle w:val="Bullet"/>
      </w:pPr>
      <w:r w:rsidRPr="00D96B14">
        <w:t>it should be accompanied by the appropriate application fee (the fee may be waived in certain circumstances).</w:t>
      </w:r>
    </w:p>
    <w:p w:rsidR="00142353" w:rsidRPr="00D96B14" w:rsidRDefault="00142353" w:rsidP="00142353">
      <w:r w:rsidRPr="00D96B14">
        <w:t>Requests for documents in the possession of DOT should be addressed to:</w:t>
      </w:r>
    </w:p>
    <w:p w:rsidR="00142353" w:rsidRPr="00D96B14" w:rsidRDefault="00142353" w:rsidP="00142353">
      <w:pPr>
        <w:pStyle w:val="NormalIndent"/>
        <w:ind w:left="360"/>
      </w:pPr>
      <w:r w:rsidRPr="00D96B14">
        <w:t>Freedom of Information Manager</w:t>
      </w:r>
      <w:r w:rsidRPr="00D96B14">
        <w:br/>
        <w:t>Department of Technology</w:t>
      </w:r>
      <w:r w:rsidRPr="00D96B14">
        <w:br/>
        <w:t>1 Victoria Place</w:t>
      </w:r>
      <w:r w:rsidRPr="00D96B14">
        <w:br/>
        <w:t>Melbourne VIC 3000</w:t>
      </w:r>
    </w:p>
    <w:p w:rsidR="00142353" w:rsidRPr="00D96B14" w:rsidRDefault="00142353" w:rsidP="00142353">
      <w:r w:rsidRPr="00D96B14">
        <w:t xml:space="preserve">Requests can also be lodged online at </w:t>
      </w:r>
      <w:r w:rsidRPr="00D96B14">
        <w:rPr>
          <w:rStyle w:val="Hyperlink"/>
        </w:rPr>
        <w:t>www.foi.vic.gov.au</w:t>
      </w:r>
    </w:p>
    <w:p w:rsidR="00142353" w:rsidRPr="00D96B14" w:rsidRDefault="00142353" w:rsidP="00142353">
      <w:r w:rsidRPr="00D96B14">
        <w:t xml:space="preserve">Access charges may also apply once documents have been processed and a decision on access is made for example, photocopying and search and retrieval charges. </w:t>
      </w:r>
    </w:p>
    <w:p w:rsidR="00142353" w:rsidRPr="00D96B14" w:rsidRDefault="00142353" w:rsidP="00142353">
      <w:r w:rsidRPr="00D96B14">
        <w:t xml:space="preserve">Further information regarding Freedom of Information can be found at </w:t>
      </w:r>
      <w:hyperlink r:id="rId87" w:history="1">
        <w:r w:rsidRPr="00D96B14">
          <w:rPr>
            <w:rStyle w:val="Hyperlink"/>
          </w:rPr>
          <w:t>www.foi.vic.gov.au</w:t>
        </w:r>
      </w:hyperlink>
    </w:p>
    <w:p w:rsidR="00142353" w:rsidRPr="00D96B14" w:rsidRDefault="00142353" w:rsidP="00142353"/>
    <w:p w:rsidR="00142353" w:rsidRPr="00D96B14" w:rsidRDefault="00142353" w:rsidP="00142353">
      <w:pPr>
        <w:pStyle w:val="CommentaryHeading"/>
      </w:pPr>
      <w:r w:rsidRPr="00D96B14">
        <w:t>Commentary – Freedom of Information</w:t>
      </w:r>
    </w:p>
    <w:p w:rsidR="00142353" w:rsidRPr="00D96B14" w:rsidRDefault="00142353" w:rsidP="00142353">
      <w:pPr>
        <w:pStyle w:val="SmallLineBlue"/>
      </w:pP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Legislative and documented references</w:t>
      </w:r>
    </w:p>
    <w:p w:rsidR="00142353" w:rsidRPr="00D96B14" w:rsidRDefault="00142353" w:rsidP="00142353">
      <w:pPr>
        <w:pStyle w:val="CommentaryText"/>
        <w:pBdr>
          <w:top w:val="none" w:sz="0" w:space="0" w:color="auto"/>
        </w:pBdr>
        <w:rPr>
          <w:b/>
          <w:bCs/>
          <w:noProof w:val="0"/>
        </w:rPr>
        <w:sectPr w:rsidR="00142353" w:rsidRPr="00D96B14" w:rsidSect="00190A01">
          <w:headerReference w:type="even" r:id="rId88"/>
          <w:headerReference w:type="default" r:id="rId89"/>
          <w:footerReference w:type="default" r:id="rId90"/>
          <w:headerReference w:type="first" r:id="rId9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rPr>
          <w:lang w:val="en-AU"/>
        </w:rPr>
      </w:pPr>
      <w:r w:rsidRPr="00D96B14">
        <w:rPr>
          <w:lang w:val="en-AU"/>
        </w:rPr>
        <w:lastRenderedPageBreak/>
        <w:t xml:space="preserve">FRD 22G </w:t>
      </w:r>
    </w:p>
    <w:p w:rsidR="00142353" w:rsidRPr="00D96B14" w:rsidRDefault="00142353" w:rsidP="00142353">
      <w:pPr>
        <w:pStyle w:val="CommentaryText"/>
        <w:pBdr>
          <w:top w:val="none" w:sz="0" w:space="0" w:color="auto"/>
          <w:bottom w:val="none" w:sz="0" w:space="0" w:color="auto"/>
        </w:pBdr>
        <w:rPr>
          <w:noProof w:val="0"/>
        </w:rPr>
      </w:pPr>
      <w:r w:rsidRPr="00D96B14">
        <w:rPr>
          <w:b/>
          <w:bCs/>
          <w:noProof w:val="0"/>
        </w:rPr>
        <w:br w:type="column"/>
      </w:r>
      <w:r w:rsidRPr="00D96B14">
        <w:rPr>
          <w:b/>
          <w:bCs/>
          <w:noProof w:val="0"/>
        </w:rPr>
        <w:lastRenderedPageBreak/>
        <w:t xml:space="preserve">FRD 22G </w:t>
      </w:r>
      <w:r w:rsidRPr="00D96B14">
        <w:rPr>
          <w:noProof w:val="0"/>
        </w:rPr>
        <w:t>states that a department</w:t>
      </w:r>
      <w:r w:rsidR="005A4BB0">
        <w:rPr>
          <w:noProof w:val="0"/>
        </w:rPr>
        <w:t>’</w:t>
      </w:r>
      <w:r w:rsidRPr="00D96B14">
        <w:rPr>
          <w:noProof w:val="0"/>
        </w:rPr>
        <w:t xml:space="preserve">s annual report should include a </w:t>
      </w:r>
      <w:r w:rsidR="005A4BB0">
        <w:rPr>
          <w:noProof w:val="0"/>
        </w:rPr>
        <w:t>‘</w:t>
      </w:r>
      <w:r w:rsidRPr="00D96B14">
        <w:rPr>
          <w:noProof w:val="0"/>
        </w:rPr>
        <w:t xml:space="preserve">summary of the application and operation of the </w:t>
      </w:r>
      <w:r w:rsidRPr="00D96B14">
        <w:rPr>
          <w:i/>
          <w:iCs/>
          <w:noProof w:val="0"/>
        </w:rPr>
        <w:t xml:space="preserve">Freedom of Information Act 1982 </w:t>
      </w:r>
      <w:r w:rsidRPr="00D96B14">
        <w:rPr>
          <w:noProof w:val="0"/>
        </w:rPr>
        <w:t>(the Act)</w:t>
      </w:r>
      <w:r w:rsidR="005A4BB0">
        <w:rPr>
          <w:noProof w:val="0"/>
        </w:rPr>
        <w:t>’</w:t>
      </w:r>
      <w:r w:rsidRPr="00D96B14">
        <w:rPr>
          <w:noProof w:val="0"/>
        </w:rPr>
        <w:t xml:space="preserve">. </w:t>
      </w: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Guidance</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This section should provide the reader with context of how the Act operates and the department</w:t>
      </w:r>
      <w:r w:rsidR="005A4BB0">
        <w:rPr>
          <w:noProof w:val="0"/>
        </w:rPr>
        <w:t>’</w:t>
      </w:r>
      <w:r w:rsidRPr="00D96B14">
        <w:rPr>
          <w:noProof w:val="0"/>
        </w:rPr>
        <w:t>s application of the requirements under the Act, including:</w:t>
      </w:r>
    </w:p>
    <w:p w:rsidR="00142353" w:rsidRPr="00D96B14" w:rsidRDefault="00142353" w:rsidP="00142353">
      <w:pPr>
        <w:pStyle w:val="CommentaryBullet"/>
      </w:pPr>
      <w:r w:rsidRPr="00D96B14">
        <w:t>a description of what types of requests are handled by the department and what are outside its scope (e.g. requests for information belonging to a portfolio agency);</w:t>
      </w:r>
    </w:p>
    <w:p w:rsidR="00142353" w:rsidRPr="00D96B14" w:rsidRDefault="00142353" w:rsidP="00142353">
      <w:pPr>
        <w:pStyle w:val="CommentaryBullet"/>
      </w:pPr>
      <w:r w:rsidRPr="00D96B14">
        <w:t>guidance on how a member of the public can make an FOI request, what format it should be in and any costs associated with making the request;</w:t>
      </w:r>
    </w:p>
    <w:p w:rsidR="00142353" w:rsidRPr="00D96B14" w:rsidRDefault="00142353" w:rsidP="00142353">
      <w:pPr>
        <w:pStyle w:val="CommentaryBullet"/>
      </w:pPr>
      <w:r w:rsidRPr="00D96B14">
        <w:t>contact details for the department</w:t>
      </w:r>
      <w:r w:rsidR="005A4BB0">
        <w:t>’</w:t>
      </w:r>
      <w:r w:rsidRPr="00D96B14">
        <w:t>s FOI officer(s);</w:t>
      </w:r>
    </w:p>
    <w:p w:rsidR="00142353" w:rsidRPr="00D96B14" w:rsidRDefault="00142353" w:rsidP="00142353">
      <w:pPr>
        <w:pStyle w:val="CommentaryBullet"/>
      </w:pPr>
      <w:r w:rsidRPr="00D96B14">
        <w:t>details of how the Act has been applied for the reporting period, including the entity</w:t>
      </w:r>
      <w:r w:rsidR="005A4BB0">
        <w:t>’</w:t>
      </w:r>
      <w:r w:rsidRPr="00D96B14">
        <w:t>s application of the publication requirements prescribed in s7(4) of the Act.</w:t>
      </w:r>
    </w:p>
    <w:p w:rsidR="00142353" w:rsidRPr="00D96B14" w:rsidRDefault="00142353" w:rsidP="00142353">
      <w:pPr>
        <w:pStyle w:val="CommentaryBullet"/>
      </w:pPr>
      <w:r w:rsidRPr="00D96B14">
        <w:t xml:space="preserve">a summary of the types of requesters (e.g. </w:t>
      </w:r>
      <w:r w:rsidR="005A4BB0">
        <w:t>‘</w:t>
      </w:r>
      <w:r w:rsidRPr="00D96B14">
        <w:t>six were from Members of Parliament and the remainder were from the general public</w:t>
      </w:r>
      <w:r w:rsidR="005A4BB0">
        <w:t>’</w:t>
      </w:r>
      <w:r w:rsidRPr="00D96B14">
        <w:t xml:space="preserve">) and the outcome of the requests, in brief detail (e.g. </w:t>
      </w:r>
      <w:r w:rsidR="005A4BB0">
        <w:t>‘</w:t>
      </w:r>
      <w:r w:rsidRPr="00D96B14">
        <w:t>the majority were acceded to</w:t>
      </w:r>
      <w:r w:rsidR="005A4BB0">
        <w:t>’</w:t>
      </w:r>
      <w:r w:rsidRPr="00D96B14">
        <w:t>); and</w:t>
      </w:r>
    </w:p>
    <w:p w:rsidR="00142353" w:rsidRPr="00D96B14" w:rsidRDefault="00142353" w:rsidP="00142353">
      <w:pPr>
        <w:pStyle w:val="CommentaryBullet"/>
        <w:pBdr>
          <w:bottom w:val="single" w:sz="4" w:space="1" w:color="0000FF"/>
        </w:pBdr>
        <w:spacing w:before="80" w:after="0"/>
      </w:pPr>
      <w:r w:rsidRPr="00D96B14">
        <w:t>further information on where readers may find out more information about FOI may also be included (FOI website, FOI Act etc.).</w:t>
      </w:r>
    </w:p>
    <w:p w:rsidR="00142353" w:rsidRPr="00D96B14" w:rsidRDefault="00142353" w:rsidP="00142353">
      <w:pPr>
        <w:pStyle w:val="CommentaryText"/>
        <w:pBdr>
          <w:top w:val="none" w:sz="0" w:space="0" w:color="auto"/>
        </w:pBdr>
        <w:rPr>
          <w:b/>
        </w:rPr>
      </w:pPr>
      <w:r w:rsidRPr="00D96B14">
        <w:t xml:space="preserve">Please note that entities should refer to the FOI Act for the detailed requirements. The Model </w:t>
      </w:r>
      <w:r w:rsidRPr="00D96B14">
        <w:rPr>
          <w:b/>
        </w:rPr>
        <w:t>should not be used as a substitute for the actual legislation or specific requirements.</w:t>
      </w:r>
      <w:r w:rsidRPr="00D96B14">
        <w:rPr>
          <w:b/>
        </w:rPr>
        <w:br w:type="page"/>
      </w:r>
    </w:p>
    <w:p w:rsidR="00142353" w:rsidRPr="00D96B14" w:rsidRDefault="00142353" w:rsidP="00142353">
      <w:pPr>
        <w:pStyle w:val="Reference"/>
      </w:pPr>
    </w:p>
    <w:p w:rsidR="00142353" w:rsidRPr="00D96B14" w:rsidRDefault="00142353" w:rsidP="00142353">
      <w:pPr>
        <w:pStyle w:val="Reference"/>
        <w:spacing w:before="0"/>
      </w:pPr>
      <w:r w:rsidRPr="00D96B14">
        <w:t xml:space="preserve">FRD 22G </w:t>
      </w:r>
    </w:p>
    <w:p w:rsidR="00142353" w:rsidRPr="00D96B14" w:rsidRDefault="00142353" w:rsidP="00142353">
      <w:pPr>
        <w:pStyle w:val="Heading2"/>
      </w:pPr>
      <w:r w:rsidRPr="00D96B14">
        <w:br w:type="column"/>
      </w:r>
      <w:bookmarkStart w:id="91" w:name="_Toc219779110"/>
      <w:r w:rsidRPr="00D96B14">
        <w:lastRenderedPageBreak/>
        <w:t xml:space="preserve">Compliance with the </w:t>
      </w:r>
      <w:r w:rsidRPr="00D96B14">
        <w:rPr>
          <w:i/>
        </w:rPr>
        <w:t>Building Act 1993</w:t>
      </w:r>
      <w:bookmarkEnd w:id="91"/>
    </w:p>
    <w:p w:rsidR="00142353" w:rsidRPr="00D96B14" w:rsidRDefault="00142353" w:rsidP="00142353">
      <w:pPr>
        <w:rPr>
          <w:i/>
          <w:iCs/>
          <w:color w:val="0000FF"/>
        </w:rPr>
      </w:pPr>
      <w:r w:rsidRPr="00D96B14">
        <w:t xml:space="preserve">The Department does not own or control any government buildings and consequently is exempt from notifying its compliance with the building and maintenance provisions of the </w:t>
      </w:r>
      <w:r w:rsidRPr="00D96B14">
        <w:rPr>
          <w:i/>
          <w:iCs/>
        </w:rPr>
        <w:t>Building Act 1993</w:t>
      </w:r>
      <w:r w:rsidRPr="00D96B14">
        <w:t xml:space="preserve"> </w:t>
      </w:r>
      <w:r w:rsidRPr="00D96B14">
        <w:rPr>
          <w:i/>
          <w:iCs/>
          <w:color w:val="0000FF"/>
        </w:rPr>
        <w:t>[for publicly owned buildings controlled by the Department].</w:t>
      </w:r>
      <w:r w:rsidRPr="00D96B14">
        <w:t xml:space="preserve"> </w:t>
      </w:r>
    </w:p>
    <w:p w:rsidR="00142353" w:rsidRPr="00D96B14" w:rsidRDefault="00142353" w:rsidP="00142353">
      <w:pPr>
        <w:pStyle w:val="Notes"/>
      </w:pPr>
    </w:p>
    <w:p w:rsidR="00142353" w:rsidRPr="00D96B14" w:rsidRDefault="00142353" w:rsidP="00142353">
      <w:pPr>
        <w:pStyle w:val="CommentaryHeading"/>
        <w:rPr>
          <w:i/>
          <w:iCs/>
        </w:rPr>
      </w:pPr>
      <w:r w:rsidRPr="00D96B14">
        <w:t xml:space="preserve">Commentary – Compliance with the </w:t>
      </w:r>
      <w:r w:rsidRPr="00D96B14">
        <w:rPr>
          <w:i/>
          <w:iCs/>
        </w:rPr>
        <w:t>Building Act 1993</w:t>
      </w:r>
    </w:p>
    <w:p w:rsidR="00142353" w:rsidRPr="00D96B14" w:rsidRDefault="00142353" w:rsidP="00142353">
      <w:pPr>
        <w:pStyle w:val="SmallLineBlue"/>
      </w:pP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Legislative and documented references</w:t>
      </w:r>
    </w:p>
    <w:p w:rsidR="00142353" w:rsidRPr="00D96B14" w:rsidRDefault="00142353" w:rsidP="00142353">
      <w:pPr>
        <w:pStyle w:val="CommentaryText"/>
        <w:pBdr>
          <w:top w:val="none" w:sz="0" w:space="0" w:color="auto"/>
        </w:pBdr>
        <w:rPr>
          <w:b/>
          <w:bCs/>
          <w:noProof w:val="0"/>
        </w:rPr>
        <w:sectPr w:rsidR="00142353" w:rsidRPr="00D96B14" w:rsidSect="00190A0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rPr>
          <w:lang w:val="en-AU"/>
        </w:rPr>
      </w:pPr>
      <w:r w:rsidRPr="00D96B14">
        <w:rPr>
          <w:lang w:val="en-AU"/>
        </w:rPr>
        <w:lastRenderedPageBreak/>
        <w:t xml:space="preserve"> </w:t>
      </w:r>
    </w:p>
    <w:p w:rsidR="00142353" w:rsidRPr="00D96B14" w:rsidRDefault="00142353" w:rsidP="00142353">
      <w:pPr>
        <w:pStyle w:val="CommentaryText"/>
        <w:pBdr>
          <w:top w:val="none" w:sz="0" w:space="0" w:color="auto"/>
          <w:bottom w:val="none" w:sz="0" w:space="0" w:color="auto"/>
        </w:pBdr>
      </w:pPr>
      <w:r w:rsidRPr="00D96B14">
        <w:rPr>
          <w:b/>
          <w:bCs/>
        </w:rPr>
        <w:br w:type="column"/>
      </w:r>
      <w:r w:rsidRPr="00D96B14">
        <w:rPr>
          <w:b/>
          <w:bCs/>
        </w:rPr>
        <w:lastRenderedPageBreak/>
        <w:t xml:space="preserve">FRD 22G </w:t>
      </w:r>
      <w:r w:rsidRPr="00D96B14">
        <w:t>states that a department</w:t>
      </w:r>
      <w:r w:rsidR="005A4BB0">
        <w:t>’</w:t>
      </w:r>
      <w:r w:rsidRPr="00D96B14">
        <w:t xml:space="preserve">s annual report must include a </w:t>
      </w:r>
      <w:r w:rsidR="005A4BB0">
        <w:t>‘</w:t>
      </w:r>
      <w:r w:rsidRPr="00D96B14">
        <w:t>statement on compliance with the building and maintenance provisions</w:t>
      </w:r>
      <w:r w:rsidR="005A4BB0">
        <w:t>’</w:t>
      </w:r>
      <w:r w:rsidRPr="00D96B14">
        <w:t xml:space="preserve"> of the </w:t>
      </w:r>
      <w:r w:rsidRPr="00D96B14">
        <w:rPr>
          <w:i/>
          <w:iCs/>
        </w:rPr>
        <w:t>Building Act 1993.</w:t>
      </w: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Guidance</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 xml:space="preserve">If your department or entity does not own or control any government buildings, you still need to include a statement to that effect, identifying that it is exempt from notifying its compliance with the building and maintenance provisions of the Act. </w:t>
      </w:r>
    </w:p>
    <w:p w:rsidR="00142353" w:rsidRPr="00D96B14" w:rsidRDefault="00142353" w:rsidP="00142353">
      <w:pPr>
        <w:pStyle w:val="CommentaryText"/>
        <w:pBdr>
          <w:top w:val="none" w:sz="0" w:space="0" w:color="auto"/>
          <w:bottom w:val="none" w:sz="0" w:space="0" w:color="auto"/>
        </w:pBdr>
      </w:pPr>
      <w:r w:rsidRPr="00D96B14">
        <w:t>Where a department does own or control buildings, it should disclose the following:</w:t>
      </w:r>
    </w:p>
    <w:p w:rsidR="00142353" w:rsidRPr="00D96B14" w:rsidRDefault="00142353" w:rsidP="00142353">
      <w:pPr>
        <w:pStyle w:val="CommentaryBullet"/>
        <w:pBdr>
          <w:bottom w:val="single" w:sz="4" w:space="1" w:color="0000FF"/>
        </w:pBdr>
        <w:spacing w:before="80" w:after="0"/>
      </w:pPr>
      <w:r w:rsidRPr="00D96B14">
        <w:t>mechanisms to ensure that buildings conform with the building standards;</w:t>
      </w:r>
    </w:p>
    <w:p w:rsidR="00142353" w:rsidRPr="00D96B14" w:rsidRDefault="00142353" w:rsidP="00142353">
      <w:pPr>
        <w:pStyle w:val="CommentaryBullet"/>
        <w:pBdr>
          <w:bottom w:val="single" w:sz="4" w:space="1" w:color="0000FF"/>
        </w:pBdr>
      </w:pPr>
      <w:r w:rsidRPr="00D96B14">
        <w:t>major works projects (greater than $50 000);</w:t>
      </w:r>
    </w:p>
    <w:p w:rsidR="00142353" w:rsidRPr="00D96B14" w:rsidRDefault="00142353" w:rsidP="00142353">
      <w:pPr>
        <w:pStyle w:val="CommentaryBullet"/>
        <w:pBdr>
          <w:bottom w:val="single" w:sz="4" w:space="1" w:color="0000FF"/>
        </w:pBdr>
      </w:pPr>
      <w:r w:rsidRPr="00D96B14">
        <w:t>major works (greater than $50 000) not subject to certification of plans, mandatory inspections of the works and issue of occupancy permits or certificate of final inspection;</w:t>
      </w:r>
    </w:p>
    <w:p w:rsidR="00142353" w:rsidRPr="00D96B14" w:rsidRDefault="00142353" w:rsidP="00142353">
      <w:pPr>
        <w:pStyle w:val="CommentaryBullet"/>
        <w:pBdr>
          <w:bottom w:val="single" w:sz="4" w:space="1" w:color="0000FF"/>
        </w:pBdr>
      </w:pPr>
      <w:r w:rsidRPr="00D96B14">
        <w:t>mechanisms for inspection, reporting, scheduling and carrying out of rectification and maintenance works on existing buildings;</w:t>
      </w:r>
    </w:p>
    <w:p w:rsidR="00142353" w:rsidRPr="00D96B14" w:rsidRDefault="00142353" w:rsidP="00142353">
      <w:pPr>
        <w:pStyle w:val="CommentaryBullet"/>
        <w:pBdr>
          <w:bottom w:val="single" w:sz="4" w:space="1" w:color="0000FF"/>
        </w:pBdr>
      </w:pPr>
      <w:r w:rsidRPr="00D96B14">
        <w:t>number of buildings conforming with building standards;</w:t>
      </w:r>
    </w:p>
    <w:p w:rsidR="00142353" w:rsidRPr="00D96B14" w:rsidRDefault="00142353" w:rsidP="00142353">
      <w:pPr>
        <w:pStyle w:val="CommentaryBullet"/>
        <w:pBdr>
          <w:bottom w:val="single" w:sz="4" w:space="1" w:color="0000FF"/>
        </w:pBdr>
      </w:pPr>
      <w:r w:rsidRPr="00D96B14">
        <w:t>number of buildings that have been brought into conformity during the reporting period; and</w:t>
      </w:r>
    </w:p>
    <w:p w:rsidR="00142353" w:rsidRPr="00D96B14" w:rsidRDefault="00142353" w:rsidP="00142353">
      <w:pPr>
        <w:pStyle w:val="CommentaryBullet"/>
        <w:pBdr>
          <w:bottom w:val="single" w:sz="4" w:space="1" w:color="0000FF"/>
        </w:pBdr>
      </w:pPr>
      <w:r w:rsidRPr="00D96B14">
        <w:t>number of cases and circumstances where registered building practitioners became deregistered.</w:t>
      </w: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Heading2"/>
        <w:sectPr w:rsidR="00142353" w:rsidRPr="00D96B14" w:rsidSect="00190A01">
          <w:type w:val="continuous"/>
          <w:pgSz w:w="11906" w:h="16838" w:code="9"/>
          <w:pgMar w:top="1152" w:right="864" w:bottom="1152" w:left="864" w:header="432" w:footer="432" w:gutter="0"/>
          <w:cols w:num="2" w:space="360" w:equalWidth="0">
            <w:col w:w="1440" w:space="360"/>
            <w:col w:w="8090"/>
          </w:cols>
          <w:titlePg/>
        </w:sectPr>
      </w:pPr>
      <w:bookmarkStart w:id="92" w:name="_Toc219779112"/>
    </w:p>
    <w:p w:rsidR="00142353" w:rsidRPr="00D96B14" w:rsidRDefault="00142353" w:rsidP="00142353">
      <w:pPr>
        <w:pStyle w:val="Heading2"/>
      </w:pPr>
      <w:r w:rsidRPr="00D96B14">
        <w:lastRenderedPageBreak/>
        <w:br w:type="column"/>
      </w:r>
      <w:r w:rsidRPr="00D96B14">
        <w:lastRenderedPageBreak/>
        <w:t>National Competition Policy</w:t>
      </w:r>
      <w:bookmarkEnd w:id="92"/>
    </w:p>
    <w:p w:rsidR="00142353" w:rsidRPr="00D96B14" w:rsidRDefault="00142353" w:rsidP="00142353">
      <w:r w:rsidRPr="00D96B14">
        <w:t>Under the National Competition Policy, the guiding legislative principle is that legislation, including future legislative proposals, should not restrict competition unless it can be demonstrated that:</w:t>
      </w:r>
    </w:p>
    <w:p w:rsidR="00142353" w:rsidRPr="00D96B14" w:rsidRDefault="00142353" w:rsidP="00142353">
      <w:pPr>
        <w:pStyle w:val="Bullet"/>
      </w:pPr>
      <w:r w:rsidRPr="00D96B14">
        <w:t>the benefits of the restriction to the community as a whole outweigh the costs; and</w:t>
      </w:r>
    </w:p>
    <w:p w:rsidR="00142353" w:rsidRPr="00D96B14" w:rsidRDefault="00142353" w:rsidP="00142353">
      <w:pPr>
        <w:pStyle w:val="Bullet"/>
      </w:pPr>
      <w:r w:rsidRPr="00D96B14">
        <w:t>the objectives of the legislation can only be achieved by restricting competition.</w:t>
      </w:r>
    </w:p>
    <w:p w:rsidR="00142353" w:rsidRPr="00D96B14" w:rsidRDefault="00142353" w:rsidP="00142353">
      <w:r w:rsidRPr="00D96B14">
        <w:t>The Department continues to comply with the requirements of the National Competition Policy.</w:t>
      </w:r>
    </w:p>
    <w:p w:rsidR="00142353" w:rsidRPr="00D96B14" w:rsidRDefault="00142353" w:rsidP="00142353">
      <w:r w:rsidRPr="00D96B14">
        <w:t>Competitive neutrality requires government businesses to ensure where services compete, or potentially compete with the private sector, any advantage arising solely from their government ownership be removed if they are not in the public interest. Government businesses are required to cost and price these services as if they were privately owned and thus be fully cost reflective. Competitive neutrality policy provides government businesses with a tool to enhance decisions on resource allocation. This policy does not override other policy objectives of government and focuses on efficiency in the provision of service.</w:t>
      </w:r>
    </w:p>
    <w:p w:rsidR="00142353" w:rsidRPr="00D96B14" w:rsidRDefault="00142353" w:rsidP="00142353">
      <w:r w:rsidRPr="00D96B14">
        <w:t>Therefore the Department is working to ensure that Victoria fulfils its requirements on competitive neutrality reporting for technological based businesses against the enhanced principles as required under the National Reform Agenda</w:t>
      </w:r>
    </w:p>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pPr>
    </w:p>
    <w:p w:rsidR="00142353" w:rsidRPr="00D96B14" w:rsidRDefault="00142353" w:rsidP="00142353">
      <w:r w:rsidRPr="00D96B14">
        <w:br w:type="column"/>
      </w:r>
    </w:p>
    <w:p w:rsidR="00142353" w:rsidRPr="00D96B14" w:rsidRDefault="00142353" w:rsidP="00142353">
      <w:pPr>
        <w:pStyle w:val="SmallLine"/>
      </w:pPr>
    </w:p>
    <w:p w:rsidR="00142353" w:rsidRPr="00D96B14" w:rsidRDefault="00142353" w:rsidP="00142353">
      <w:pPr>
        <w:pStyle w:val="CommentaryHeading"/>
        <w:pBdr>
          <w:bottom w:val="none" w:sz="0" w:space="0" w:color="auto"/>
        </w:pBdr>
      </w:pPr>
      <w:r w:rsidRPr="00D96B14">
        <w:t>Commentary – National Competition Policy</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bottom w:val="none" w:sz="0" w:space="0" w:color="auto"/>
        </w:pBdr>
      </w:pPr>
      <w:r w:rsidRPr="00D96B14">
        <w:t>Legislative and documented references</w:t>
      </w:r>
    </w:p>
    <w:p w:rsidR="00142353" w:rsidRPr="00D96B14" w:rsidRDefault="00142353" w:rsidP="00142353">
      <w:pPr>
        <w:pStyle w:val="CommentaryText"/>
        <w:rPr>
          <w:b/>
          <w:bCs/>
          <w:noProof w:val="0"/>
        </w:rPr>
        <w:sectPr w:rsidR="00142353" w:rsidRPr="00D96B14" w:rsidSect="00190A01">
          <w:headerReference w:type="even" r:id="rId92"/>
          <w:pgSz w:w="11906" w:h="16838" w:code="9"/>
          <w:pgMar w:top="1152" w:right="864" w:bottom="1152" w:left="864" w:header="432" w:footer="432" w:gutter="0"/>
          <w:cols w:num="2" w:space="360" w:equalWidth="0">
            <w:col w:w="1440" w:space="360"/>
            <w:col w:w="8090"/>
          </w:cols>
          <w:docGrid w:linePitch="299"/>
        </w:sectPr>
      </w:pPr>
    </w:p>
    <w:p w:rsidR="00142353" w:rsidRPr="00D96B14" w:rsidRDefault="00142353" w:rsidP="00142353">
      <w:pPr>
        <w:pStyle w:val="Reference"/>
      </w:pPr>
      <w:r w:rsidRPr="00D96B14">
        <w:rPr>
          <w:rStyle w:val="ReferenceChar"/>
        </w:rPr>
        <w:lastRenderedPageBreak/>
        <w:t>FRD 22G</w:t>
      </w:r>
    </w:p>
    <w:p w:rsidR="00142353" w:rsidRPr="00D96B14" w:rsidRDefault="00142353" w:rsidP="00142353">
      <w:pPr>
        <w:pStyle w:val="CommentaryText"/>
        <w:pBdr>
          <w:top w:val="none" w:sz="0" w:space="0" w:color="auto"/>
        </w:pBdr>
      </w:pPr>
      <w:r w:rsidRPr="00D96B14">
        <w:rPr>
          <w:b/>
          <w:bCs/>
        </w:rPr>
        <w:br w:type="column"/>
      </w:r>
      <w:r w:rsidRPr="00D96B14">
        <w:rPr>
          <w:b/>
          <w:bCs/>
        </w:rPr>
        <w:lastRenderedPageBreak/>
        <w:t xml:space="preserve">FRD 22G </w:t>
      </w:r>
      <w:r w:rsidRPr="00D96B14">
        <w:t>states that a department</w:t>
      </w:r>
      <w:r w:rsidR="005A4BB0">
        <w:t>’</w:t>
      </w:r>
      <w:r w:rsidRPr="00D96B14">
        <w:t xml:space="preserve">s annual report must include a </w:t>
      </w:r>
      <w:r w:rsidR="005A4BB0">
        <w:t>‘</w:t>
      </w:r>
      <w:r w:rsidRPr="00D96B14">
        <w:t xml:space="preserve">statement to the extent applicable, on the implementation and compliance with National Competition Policy (NCP), including compliance with the requirements of the policy statement </w:t>
      </w:r>
      <w:r w:rsidRPr="00D96B14">
        <w:rPr>
          <w:i/>
          <w:iCs/>
        </w:rPr>
        <w:t xml:space="preserve">Competitive Neutrality Policy Victoria </w:t>
      </w:r>
      <w:r w:rsidRPr="00D96B14">
        <w:t>and any subsequent reforms</w:t>
      </w:r>
      <w:r w:rsidR="005A4BB0">
        <w:t>’</w:t>
      </w:r>
      <w:r w:rsidRPr="00D96B14">
        <w:t xml:space="preserve">. </w:t>
      </w:r>
    </w:p>
    <w:p w:rsidR="00142353" w:rsidRPr="00D96B14" w:rsidRDefault="00142353" w:rsidP="00142353">
      <w:pPr>
        <w:pStyle w:val="CommentaryHeading1"/>
        <w:pBdr>
          <w:top w:val="none" w:sz="0" w:space="0" w:color="auto"/>
        </w:pBdr>
        <w:rPr>
          <w:noProof w:val="0"/>
        </w:rPr>
      </w:pPr>
      <w:r w:rsidRPr="00D96B14">
        <w:rPr>
          <w:noProof w:val="0"/>
        </w:rPr>
        <w:t xml:space="preserve">Guidance </w:t>
      </w:r>
    </w:p>
    <w:p w:rsidR="00142353" w:rsidRPr="00D96B14" w:rsidRDefault="00142353" w:rsidP="00142353">
      <w:pPr>
        <w:pStyle w:val="CommentaryText"/>
        <w:pBdr>
          <w:top w:val="none" w:sz="0" w:space="0" w:color="auto"/>
        </w:pBdr>
        <w:rPr>
          <w:noProof w:val="0"/>
        </w:rPr>
      </w:pPr>
      <w:r w:rsidRPr="00D96B14">
        <w:rPr>
          <w:noProof w:val="0"/>
        </w:rPr>
        <w:t>Departments may wish to include some background information in this section, outlining the basis upon which NCP was implemented and subsequent reviews as part of the National Reform Agenda. This section should include details of compliance with competitive neutrality policy and background information on competitive neutrality.</w:t>
      </w:r>
    </w:p>
    <w:p w:rsidR="00142353" w:rsidRPr="00D96B14" w:rsidRDefault="00142353" w:rsidP="00142353">
      <w:pPr>
        <w:pStyle w:val="Notes"/>
      </w:pPr>
      <w:bookmarkStart w:id="93" w:name="_Toc219779114"/>
    </w:p>
    <w:p w:rsidR="00142353" w:rsidRPr="00D96B14" w:rsidRDefault="00142353" w:rsidP="00142353">
      <w:pPr>
        <w:pStyle w:val="Heading2"/>
      </w:pPr>
      <w:r w:rsidRPr="00D96B14">
        <w:t xml:space="preserve">Compliance with the </w:t>
      </w:r>
      <w:r w:rsidRPr="00D96B14">
        <w:rPr>
          <w:i/>
        </w:rPr>
        <w:t>Protected Disclosure Act 2012</w:t>
      </w:r>
      <w:r w:rsidRPr="00D96B14">
        <w:t xml:space="preserve"> (formerly the </w:t>
      </w:r>
      <w:r w:rsidRPr="00D96B14">
        <w:rPr>
          <w:i/>
          <w:iCs/>
        </w:rPr>
        <w:t>Whistleblowers Protection Act 2001</w:t>
      </w:r>
      <w:bookmarkEnd w:id="93"/>
      <w:r w:rsidRPr="00D96B14">
        <w:rPr>
          <w:i/>
          <w:iCs/>
        </w:rPr>
        <w:t>)</w:t>
      </w:r>
    </w:p>
    <w:p w:rsidR="00142353" w:rsidRPr="00D96B14" w:rsidRDefault="00142353" w:rsidP="00142353">
      <w:pPr>
        <w:sectPr w:rsidR="00142353" w:rsidRPr="00D96B14" w:rsidSect="00190A01">
          <w:headerReference w:type="even" r:id="rId93"/>
          <w:headerReference w:type="default" r:id="rId94"/>
          <w:footerReference w:type="default" r:id="rId95"/>
          <w:headerReference w:type="first" r:id="rId96"/>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pPr>
      <w:r w:rsidRPr="00D96B14">
        <w:lastRenderedPageBreak/>
        <w:t>FRD 22G</w:t>
      </w:r>
    </w:p>
    <w:p w:rsidR="00142353" w:rsidRPr="00D96B14" w:rsidRDefault="00142353" w:rsidP="00142353">
      <w:r w:rsidRPr="00D96B14">
        <w:br w:type="column"/>
      </w:r>
      <w:r w:rsidRPr="00D96B14">
        <w:lastRenderedPageBreak/>
        <w:t>The</w:t>
      </w:r>
      <w:r w:rsidRPr="00D96B14">
        <w:rPr>
          <w:i/>
          <w:iCs/>
        </w:rPr>
        <w:t xml:space="preserve"> Protected Disclosure Act 2012</w:t>
      </w:r>
      <w:r w:rsidRPr="00D96B14">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rsidR="00142353" w:rsidRPr="00D96B14" w:rsidRDefault="00142353" w:rsidP="00142353">
      <w:r w:rsidRPr="00D96B14">
        <w:t xml:space="preserve">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w:t>
      </w:r>
    </w:p>
    <w:p w:rsidR="00142353" w:rsidRPr="00D96B14" w:rsidRDefault="00142353" w:rsidP="00142353">
      <w:r w:rsidRPr="00D96B14">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rsidR="00142353" w:rsidRPr="00D96B14" w:rsidRDefault="00142353" w:rsidP="00142353">
      <w:pPr>
        <w:pStyle w:val="Heading3"/>
      </w:pPr>
      <w:r w:rsidRPr="00D96B14">
        <w:t>Reporting procedures</w:t>
      </w:r>
    </w:p>
    <w:p w:rsidR="00142353" w:rsidRPr="00D96B14" w:rsidRDefault="00142353" w:rsidP="00142353">
      <w:r w:rsidRPr="00D96B14">
        <w:t>Disclosures of improper conduct or detrimental action by the Department or any of its employees and/or officers may be made to any of the following Department personnel:</w:t>
      </w:r>
    </w:p>
    <w:p w:rsidR="00142353" w:rsidRPr="00D96B14" w:rsidRDefault="00142353" w:rsidP="00142353">
      <w:pPr>
        <w:pStyle w:val="Bullet"/>
      </w:pPr>
      <w:r w:rsidRPr="00D96B14">
        <w:t>the Protected Disclosure Coordinator;</w:t>
      </w:r>
    </w:p>
    <w:p w:rsidR="00142353" w:rsidRPr="00D96B14" w:rsidRDefault="00142353" w:rsidP="00142353">
      <w:pPr>
        <w:pStyle w:val="Bullet"/>
      </w:pPr>
      <w:r w:rsidRPr="00D96B14">
        <w:t>the Secretary of the Department;</w:t>
      </w:r>
    </w:p>
    <w:p w:rsidR="00142353" w:rsidRPr="00D96B14" w:rsidRDefault="00142353" w:rsidP="00142353">
      <w:pPr>
        <w:pStyle w:val="Bullet"/>
      </w:pPr>
      <w:r w:rsidRPr="00D96B14">
        <w:t>a Protected Disclosure Officer of the Department;</w:t>
      </w:r>
    </w:p>
    <w:p w:rsidR="00142353" w:rsidRPr="00D96B14" w:rsidRDefault="00142353" w:rsidP="00142353">
      <w:pPr>
        <w:pStyle w:val="Bullet"/>
      </w:pPr>
      <w:r w:rsidRPr="00D96B14">
        <w:t xml:space="preserve">a manager or supervisor of a person from the Department who chooses to make a disclosure; or </w:t>
      </w:r>
    </w:p>
    <w:p w:rsidR="00142353" w:rsidRPr="00D96B14" w:rsidRDefault="00142353" w:rsidP="00142353">
      <w:pPr>
        <w:pStyle w:val="Bullet"/>
      </w:pPr>
      <w:r w:rsidRPr="00D96B14">
        <w:t>a manager or supervisor of a person from the Department about whom a disclosure has been made.</w:t>
      </w:r>
    </w:p>
    <w:p w:rsidR="00142353" w:rsidRPr="00D96B14" w:rsidRDefault="00142353" w:rsidP="00142353"/>
    <w:p w:rsidR="00142353" w:rsidRPr="00D96B14" w:rsidRDefault="00142353" w:rsidP="00142353">
      <w:pPr>
        <w:pStyle w:val="Reference"/>
        <w:spacing w:before="120"/>
      </w:pPr>
      <w:r w:rsidRPr="00D96B14">
        <w:rPr>
          <w:lang w:val="en-AU"/>
        </w:rPr>
        <w:br w:type="page"/>
      </w:r>
      <w:r w:rsidRPr="00D96B14">
        <w:lastRenderedPageBreak/>
        <w:t>FRD 22G</w:t>
      </w:r>
    </w:p>
    <w:p w:rsidR="00142353" w:rsidRPr="00D96B14" w:rsidRDefault="00142353" w:rsidP="00142353">
      <w:r w:rsidRPr="00D96B14">
        <w:br w:type="column"/>
      </w:r>
      <w:r w:rsidRPr="00D96B14">
        <w:lastRenderedPageBreak/>
        <w:t>Alternatively, disclosures of improper conduct or detrimental action by the Department or any of its employees and/or officers may also be made directly to the Independent Broad</w:t>
      </w:r>
      <w:r w:rsidR="005A4BB0">
        <w:noBreakHyphen/>
      </w:r>
      <w:r w:rsidRPr="00D96B14">
        <w:t>based Anti</w:t>
      </w:r>
      <w:r w:rsidR="005A4BB0">
        <w:noBreakHyphen/>
      </w:r>
      <w:r w:rsidRPr="00D96B14">
        <w:t>corruption Commission:</w:t>
      </w:r>
    </w:p>
    <w:p w:rsidR="00142353" w:rsidRPr="00D96B14" w:rsidRDefault="00142353" w:rsidP="00142353">
      <w:pPr>
        <w:pStyle w:val="NormalIndent"/>
        <w:ind w:left="360"/>
      </w:pPr>
      <w:r w:rsidRPr="00D96B14">
        <w:t xml:space="preserve">Level 1, North Tower, 459 Collins Street </w:t>
      </w:r>
      <w:r w:rsidRPr="00D96B14">
        <w:br/>
        <w:t>Melbourne, VIC 3000</w:t>
      </w:r>
      <w:r w:rsidRPr="00D96B14">
        <w:br/>
        <w:t xml:space="preserve">Phone: 1300 735 135 </w:t>
      </w:r>
      <w:r w:rsidRPr="00D96B14">
        <w:br/>
        <w:t xml:space="preserve">Internet: </w:t>
      </w:r>
      <w:hyperlink r:id="rId97" w:history="1">
        <w:r w:rsidRPr="00D96B14">
          <w:rPr>
            <w:rStyle w:val="Hyperlink"/>
          </w:rPr>
          <w:t>www.ibac.vic.gov.au</w:t>
        </w:r>
      </w:hyperlink>
      <w:r w:rsidRPr="00D96B14">
        <w:br/>
        <w:t xml:space="preserve">Email: </w:t>
      </w:r>
      <w:r w:rsidRPr="00D96B14">
        <w:rPr>
          <w:i/>
          <w:iCs/>
          <w:color w:val="0000FF"/>
        </w:rPr>
        <w:t>[see the website above for the secure email disclosure process, which also provides for anonymous disclosures]</w:t>
      </w:r>
    </w:p>
    <w:p w:rsidR="00142353" w:rsidRPr="00D96B14" w:rsidRDefault="00142353" w:rsidP="00142353">
      <w:pPr>
        <w:pStyle w:val="Heading3"/>
      </w:pPr>
      <w:r w:rsidRPr="00D96B14">
        <w:t>Further information</w:t>
      </w:r>
    </w:p>
    <w:p w:rsidR="00142353" w:rsidRPr="00D96B14" w:rsidRDefault="00142353" w:rsidP="00142353">
      <w:r w:rsidRPr="00D96B14">
        <w:t>The Protected Disclosure Policy and Procedures, which outline the system for reporting disclosures of improper conduct or detrimental action by the Department or any of its employees and/or officers, are available on the Department</w:t>
      </w:r>
      <w:r w:rsidR="005A4BB0">
        <w:t>’</w:t>
      </w:r>
      <w:r w:rsidRPr="00D96B14">
        <w:t>s website.</w:t>
      </w:r>
    </w:p>
    <w:p w:rsidR="00142353" w:rsidRPr="00D96B14" w:rsidRDefault="00142353" w:rsidP="00E348C3">
      <w:pPr>
        <w:pStyle w:val="Tableheading"/>
      </w:pPr>
      <w:r w:rsidRPr="00D96B14">
        <w:t xml:space="preserve">Disclosures under the </w:t>
      </w:r>
      <w:r w:rsidRPr="00E348C3">
        <w:rPr>
          <w:i/>
        </w:rPr>
        <w:t>Protected Disclosure Act 2012</w:t>
      </w:r>
      <w:r w:rsidRPr="00D96B14">
        <w:t xml:space="preserve"> </w:t>
      </w:r>
    </w:p>
    <w:p w:rsidR="00142353" w:rsidRPr="00D96B14" w:rsidRDefault="00142353" w:rsidP="00142353">
      <w:pPr>
        <w:pStyle w:val="SmallLine"/>
      </w:pPr>
    </w:p>
    <w:tbl>
      <w:tblPr>
        <w:tblW w:w="8291" w:type="dxa"/>
        <w:tblLayout w:type="fixed"/>
        <w:tblCellMar>
          <w:left w:w="43" w:type="dxa"/>
          <w:right w:w="43" w:type="dxa"/>
        </w:tblCellMar>
        <w:tblLook w:val="01E0" w:firstRow="1" w:lastRow="1" w:firstColumn="1" w:lastColumn="1" w:noHBand="0" w:noVBand="0"/>
      </w:tblPr>
      <w:tblGrid>
        <w:gridCol w:w="6532"/>
        <w:gridCol w:w="882"/>
        <w:gridCol w:w="877"/>
      </w:tblGrid>
      <w:tr w:rsidR="00142353" w:rsidRPr="00D96B14" w:rsidTr="004843DB">
        <w:trPr>
          <w:cantSplit/>
          <w:trHeight w:val="217"/>
        </w:trPr>
        <w:tc>
          <w:tcPr>
            <w:tcW w:w="6532" w:type="dxa"/>
            <w:tcBorders>
              <w:top w:val="single" w:sz="6" w:space="0" w:color="auto"/>
            </w:tcBorders>
            <w:vAlign w:val="bottom"/>
          </w:tcPr>
          <w:p w:rsidR="00142353" w:rsidRPr="00D96B14" w:rsidRDefault="00142353" w:rsidP="004843DB">
            <w:pPr>
              <w:spacing w:before="0"/>
              <w:jc w:val="right"/>
              <w:rPr>
                <w:i/>
                <w:iCs/>
              </w:rPr>
            </w:pPr>
          </w:p>
        </w:tc>
        <w:tc>
          <w:tcPr>
            <w:tcW w:w="882" w:type="dxa"/>
            <w:tcBorders>
              <w:top w:val="single" w:sz="6" w:space="0" w:color="auto"/>
            </w:tcBorders>
            <w:shd w:val="clear" w:color="auto" w:fill="D9D9D9"/>
            <w:vAlign w:val="bottom"/>
          </w:tcPr>
          <w:p w:rsidR="00142353" w:rsidRPr="00D96B14" w:rsidRDefault="00142353" w:rsidP="004843DB">
            <w:pPr>
              <w:pStyle w:val="Tabletextheading"/>
            </w:pPr>
            <w:r w:rsidRPr="00D96B14">
              <w:t>2015</w:t>
            </w:r>
            <w:r w:rsidR="005A4BB0">
              <w:noBreakHyphen/>
            </w:r>
            <w:r w:rsidRPr="00D96B14">
              <w:t xml:space="preserve">16 </w:t>
            </w:r>
          </w:p>
        </w:tc>
        <w:tc>
          <w:tcPr>
            <w:tcW w:w="877" w:type="dxa"/>
            <w:tcBorders>
              <w:top w:val="single" w:sz="6" w:space="0" w:color="auto"/>
            </w:tcBorders>
            <w:vAlign w:val="bottom"/>
          </w:tcPr>
          <w:p w:rsidR="00142353" w:rsidRPr="00D96B14" w:rsidRDefault="00142353" w:rsidP="004843DB">
            <w:pPr>
              <w:pStyle w:val="Tabletextheading"/>
            </w:pPr>
            <w:r w:rsidRPr="00D96B14">
              <w:t>2014</w:t>
            </w:r>
            <w:r w:rsidR="005A4BB0">
              <w:noBreakHyphen/>
            </w:r>
            <w:r w:rsidRPr="00D96B14">
              <w:t xml:space="preserve">15 </w:t>
            </w:r>
          </w:p>
        </w:tc>
      </w:tr>
      <w:tr w:rsidR="00142353" w:rsidRPr="00D96B14" w:rsidTr="004843DB">
        <w:trPr>
          <w:cantSplit/>
          <w:trHeight w:val="274"/>
        </w:trPr>
        <w:tc>
          <w:tcPr>
            <w:tcW w:w="6532" w:type="dxa"/>
            <w:tcBorders>
              <w:bottom w:val="single" w:sz="6" w:space="0" w:color="auto"/>
            </w:tcBorders>
            <w:vAlign w:val="bottom"/>
          </w:tcPr>
          <w:p w:rsidR="00142353" w:rsidRPr="00D96B14" w:rsidRDefault="00142353" w:rsidP="004843DB">
            <w:pPr>
              <w:spacing w:before="0"/>
              <w:jc w:val="right"/>
            </w:pPr>
          </w:p>
        </w:tc>
        <w:tc>
          <w:tcPr>
            <w:tcW w:w="882" w:type="dxa"/>
            <w:tcBorders>
              <w:bottom w:val="single" w:sz="6" w:space="0" w:color="auto"/>
            </w:tcBorders>
            <w:shd w:val="clear" w:color="auto" w:fill="D9D9D9"/>
            <w:vAlign w:val="bottom"/>
          </w:tcPr>
          <w:p w:rsidR="00142353" w:rsidRPr="00D96B14" w:rsidRDefault="00142353" w:rsidP="004843DB">
            <w:pPr>
              <w:pStyle w:val="Tabletextheading"/>
            </w:pPr>
            <w:r w:rsidRPr="00D96B14">
              <w:t>number</w:t>
            </w:r>
          </w:p>
        </w:tc>
        <w:tc>
          <w:tcPr>
            <w:tcW w:w="877" w:type="dxa"/>
            <w:tcBorders>
              <w:bottom w:val="single" w:sz="6" w:space="0" w:color="auto"/>
            </w:tcBorders>
            <w:vAlign w:val="bottom"/>
          </w:tcPr>
          <w:p w:rsidR="00142353" w:rsidRPr="00D96B14" w:rsidRDefault="00142353" w:rsidP="004843DB">
            <w:pPr>
              <w:pStyle w:val="Tabletextheading"/>
            </w:pPr>
            <w:r w:rsidRPr="00D96B14">
              <w:t>number</w:t>
            </w:r>
          </w:p>
        </w:tc>
      </w:tr>
      <w:tr w:rsidR="00142353" w:rsidRPr="00D96B14" w:rsidTr="004843DB">
        <w:trPr>
          <w:cantSplit/>
          <w:trHeight w:val="499"/>
        </w:trPr>
        <w:tc>
          <w:tcPr>
            <w:tcW w:w="6532" w:type="dxa"/>
            <w:tcBorders>
              <w:top w:val="single" w:sz="6" w:space="0" w:color="auto"/>
              <w:bottom w:val="single" w:sz="6" w:space="0" w:color="C0C0C0"/>
            </w:tcBorders>
            <w:vAlign w:val="bottom"/>
          </w:tcPr>
          <w:p w:rsidR="00142353" w:rsidRPr="00D96B14" w:rsidRDefault="00142353" w:rsidP="004843DB">
            <w:pPr>
              <w:pStyle w:val="Tabletext"/>
              <w:rPr>
                <w:b/>
                <w:bCs/>
              </w:rPr>
            </w:pPr>
            <w:r w:rsidRPr="00D96B14">
              <w:rPr>
                <w:b/>
                <w:bCs/>
              </w:rPr>
              <w:t>The number of disclosures made by an individual to the Department and notified to the Independent Broad</w:t>
            </w:r>
            <w:r w:rsidR="005A4BB0">
              <w:rPr>
                <w:b/>
                <w:bCs/>
              </w:rPr>
              <w:noBreakHyphen/>
            </w:r>
            <w:r w:rsidRPr="00D96B14">
              <w:rPr>
                <w:b/>
                <w:bCs/>
              </w:rPr>
              <w:t>based Anti</w:t>
            </w:r>
            <w:r w:rsidR="005A4BB0">
              <w:rPr>
                <w:b/>
                <w:bCs/>
              </w:rPr>
              <w:noBreakHyphen/>
            </w:r>
            <w:r w:rsidRPr="00D96B14">
              <w:rPr>
                <w:b/>
                <w:bCs/>
              </w:rPr>
              <w:t xml:space="preserve">corruption Commission </w:t>
            </w:r>
          </w:p>
        </w:tc>
        <w:tc>
          <w:tcPr>
            <w:tcW w:w="882" w:type="dxa"/>
            <w:tcBorders>
              <w:top w:val="single" w:sz="6" w:space="0" w:color="auto"/>
              <w:bottom w:val="single" w:sz="6" w:space="0" w:color="C0C0C0"/>
            </w:tcBorders>
            <w:shd w:val="clear" w:color="auto" w:fill="D9D9D9"/>
          </w:tcPr>
          <w:p w:rsidR="00142353" w:rsidRPr="00D96B14" w:rsidRDefault="00142353" w:rsidP="004843DB">
            <w:pPr>
              <w:pStyle w:val="TableofFigures"/>
            </w:pPr>
          </w:p>
        </w:tc>
        <w:tc>
          <w:tcPr>
            <w:tcW w:w="877" w:type="dxa"/>
            <w:tcBorders>
              <w:top w:val="single" w:sz="6" w:space="0" w:color="auto"/>
              <w:bottom w:val="single" w:sz="6" w:space="0" w:color="C0C0C0"/>
            </w:tcBorders>
          </w:tcPr>
          <w:p w:rsidR="00142353" w:rsidRPr="00D96B14" w:rsidRDefault="00142353" w:rsidP="004843DB">
            <w:pPr>
              <w:pStyle w:val="TableofFigures"/>
            </w:pPr>
          </w:p>
        </w:tc>
      </w:tr>
      <w:tr w:rsidR="00142353" w:rsidRPr="00D96B14" w:rsidTr="004843DB">
        <w:trPr>
          <w:cantSplit/>
          <w:trHeight w:val="183"/>
        </w:trPr>
        <w:tc>
          <w:tcPr>
            <w:tcW w:w="6532" w:type="dxa"/>
            <w:tcBorders>
              <w:top w:val="single" w:sz="6" w:space="0" w:color="C0C0C0"/>
              <w:bottom w:val="single" w:sz="12" w:space="0" w:color="auto"/>
            </w:tcBorders>
            <w:vAlign w:val="bottom"/>
          </w:tcPr>
          <w:p w:rsidR="00142353" w:rsidRPr="00D96B14" w:rsidRDefault="00142353" w:rsidP="004843DB">
            <w:pPr>
              <w:pStyle w:val="Tabletext"/>
            </w:pPr>
            <w:r w:rsidRPr="00D96B14">
              <w:t>Assessable disclosures</w:t>
            </w:r>
          </w:p>
        </w:tc>
        <w:tc>
          <w:tcPr>
            <w:tcW w:w="882" w:type="dxa"/>
            <w:tcBorders>
              <w:top w:val="single" w:sz="6" w:space="0" w:color="C0C0C0"/>
              <w:bottom w:val="single" w:sz="12" w:space="0" w:color="auto"/>
            </w:tcBorders>
            <w:shd w:val="clear" w:color="auto" w:fill="D9D9D9"/>
            <w:vAlign w:val="bottom"/>
          </w:tcPr>
          <w:p w:rsidR="00142353" w:rsidRPr="00D96B14" w:rsidRDefault="00142353" w:rsidP="004843DB">
            <w:pPr>
              <w:pStyle w:val="TableofFigures"/>
            </w:pPr>
            <w:r w:rsidRPr="00D96B14">
              <w:t>0</w:t>
            </w:r>
          </w:p>
        </w:tc>
        <w:tc>
          <w:tcPr>
            <w:tcW w:w="877" w:type="dxa"/>
            <w:tcBorders>
              <w:top w:val="single" w:sz="6" w:space="0" w:color="C0C0C0"/>
              <w:bottom w:val="single" w:sz="12" w:space="0" w:color="auto"/>
            </w:tcBorders>
            <w:vAlign w:val="bottom"/>
          </w:tcPr>
          <w:p w:rsidR="00142353" w:rsidRPr="00D96B14" w:rsidRDefault="00142353" w:rsidP="004843DB">
            <w:pPr>
              <w:pStyle w:val="TableofFigures"/>
            </w:pPr>
            <w:r w:rsidRPr="00D96B14">
              <w:t>n/a</w:t>
            </w:r>
          </w:p>
        </w:tc>
      </w:tr>
    </w:tbl>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 w:rsidR="00142353" w:rsidRPr="00D96B14" w:rsidRDefault="00142353" w:rsidP="00142353">
      <w:pPr>
        <w:pStyle w:val="CommentaryHeading"/>
        <w:pBdr>
          <w:top w:val="none" w:sz="0" w:space="0" w:color="auto"/>
          <w:bottom w:val="single" w:sz="6" w:space="1" w:color="auto"/>
        </w:pBdr>
      </w:pPr>
      <w:r w:rsidRPr="00D96B14">
        <w:t xml:space="preserve">Commentary – Compliance with </w:t>
      </w:r>
      <w:r w:rsidRPr="00D96B14">
        <w:rPr>
          <w:i/>
        </w:rPr>
        <w:t>Protected Disclosure Act 2012 (formerly the Whistleblowers Protection Act 2001</w:t>
      </w:r>
      <w:r w:rsidRPr="00D96B14">
        <w:t>)</w:t>
      </w:r>
    </w:p>
    <w:p w:rsidR="00142353" w:rsidRPr="00D96B14" w:rsidRDefault="00142353" w:rsidP="00142353">
      <w:pPr>
        <w:pStyle w:val="SmallLineBlue"/>
        <w:pBdr>
          <w:top w:val="none" w:sz="0" w:space="0" w:color="auto"/>
          <w:bottom w:val="single" w:sz="6" w:space="1" w:color="auto"/>
        </w:pBdr>
      </w:pP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Legislative and documented references</w:t>
      </w:r>
    </w:p>
    <w:p w:rsidR="00142353" w:rsidRPr="00D96B14" w:rsidRDefault="00142353" w:rsidP="00142353">
      <w:pPr>
        <w:pStyle w:val="CommentaryText"/>
        <w:rPr>
          <w:b/>
          <w:bCs/>
          <w:noProof w:val="0"/>
        </w:rPr>
        <w:sectPr w:rsidR="00142353" w:rsidRPr="00D96B14" w:rsidSect="00190A0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spacing w:before="120"/>
      </w:pPr>
      <w:r w:rsidRPr="00D96B14">
        <w:rPr>
          <w:lang w:val="en-AU"/>
        </w:rPr>
        <w:lastRenderedPageBreak/>
        <w:t>FRD 22G</w:t>
      </w:r>
    </w:p>
    <w:p w:rsidR="00142353" w:rsidRPr="00D96B14" w:rsidRDefault="00142353" w:rsidP="00142353">
      <w:pPr>
        <w:pStyle w:val="CommentaryText"/>
        <w:pBdr>
          <w:top w:val="none" w:sz="0" w:space="0" w:color="auto"/>
          <w:bottom w:val="none" w:sz="0" w:space="0" w:color="auto"/>
        </w:pBdr>
        <w:rPr>
          <w:noProof w:val="0"/>
        </w:rPr>
      </w:pPr>
      <w:r w:rsidRPr="00D96B14">
        <w:rPr>
          <w:b/>
          <w:bCs/>
          <w:noProof w:val="0"/>
        </w:rPr>
        <w:br w:type="column"/>
      </w:r>
      <w:r w:rsidRPr="00D96B14">
        <w:rPr>
          <w:noProof w:val="0"/>
        </w:rPr>
        <w:lastRenderedPageBreak/>
        <w:t>FRD 22G states that the department</w:t>
      </w:r>
      <w:r w:rsidR="005A4BB0">
        <w:rPr>
          <w:noProof w:val="0"/>
        </w:rPr>
        <w:t>’</w:t>
      </w:r>
      <w:r w:rsidRPr="00D96B14">
        <w:rPr>
          <w:noProof w:val="0"/>
        </w:rPr>
        <w:t xml:space="preserve">s annual report should include a </w:t>
      </w:r>
      <w:r w:rsidR="005A4BB0">
        <w:rPr>
          <w:noProof w:val="0"/>
        </w:rPr>
        <w:t>‘</w:t>
      </w:r>
      <w:r w:rsidRPr="00D96B14">
        <w:rPr>
          <w:noProof w:val="0"/>
        </w:rPr>
        <w:t xml:space="preserve">summary of the application and operation of the </w:t>
      </w:r>
      <w:r w:rsidRPr="00D96B14">
        <w:rPr>
          <w:i/>
          <w:noProof w:val="0"/>
        </w:rPr>
        <w:t>Protected Disclosure Act 2012</w:t>
      </w:r>
      <w:r w:rsidRPr="00D96B14">
        <w:rPr>
          <w:noProof w:val="0"/>
        </w:rPr>
        <w:t>, including disclosures required by the Act</w:t>
      </w:r>
      <w:r w:rsidR="005A4BB0">
        <w:rPr>
          <w:noProof w:val="0"/>
        </w:rPr>
        <w:t>’</w:t>
      </w:r>
      <w:r w:rsidRPr="00D96B14">
        <w:rPr>
          <w:noProof w:val="0"/>
        </w:rPr>
        <w:t>.</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 xml:space="preserve">The </w:t>
      </w:r>
      <w:r w:rsidRPr="00D96B14">
        <w:rPr>
          <w:i/>
          <w:noProof w:val="0"/>
        </w:rPr>
        <w:t>Protected Disclosure Act 2012</w:t>
      </w:r>
      <w:r w:rsidRPr="00D96B14">
        <w:rPr>
          <w:noProof w:val="0"/>
        </w:rPr>
        <w:t xml:space="preserve"> commenced operation on 10 February 2013 and replaces the former </w:t>
      </w:r>
      <w:r w:rsidRPr="00D96B14">
        <w:rPr>
          <w:i/>
          <w:noProof w:val="0"/>
        </w:rPr>
        <w:t>Whistleblowers Protection Act 2001</w:t>
      </w:r>
      <w:r w:rsidRPr="00D96B14">
        <w:rPr>
          <w:noProof w:val="0"/>
        </w:rPr>
        <w:t xml:space="preserve">. </w:t>
      </w: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 xml:space="preserve">Guidance </w:t>
      </w:r>
    </w:p>
    <w:p w:rsidR="00142353" w:rsidRPr="00D96B14" w:rsidRDefault="00142353" w:rsidP="00142353">
      <w:pPr>
        <w:pStyle w:val="CommentaryText"/>
        <w:pBdr>
          <w:top w:val="none" w:sz="0" w:space="0" w:color="auto"/>
        </w:pBdr>
        <w:rPr>
          <w:b/>
          <w:bCs/>
        </w:rPr>
      </w:pPr>
      <w:r w:rsidRPr="00D96B14">
        <w:t xml:space="preserve">Similar to the former legislation, the applicable of the current </w:t>
      </w:r>
      <w:r w:rsidRPr="00D96B14">
        <w:rPr>
          <w:i/>
        </w:rPr>
        <w:t xml:space="preserve">Protected Disclosure Act 2012 </w:t>
      </w:r>
      <w:r w:rsidRPr="00D96B14">
        <w:t xml:space="preserve">may be presented in a table format. </w:t>
      </w:r>
    </w:p>
    <w:p w:rsidR="00142353" w:rsidRPr="00D96B14" w:rsidRDefault="00142353" w:rsidP="00142353">
      <w:pPr>
        <w:pStyle w:val="CommentaryText"/>
        <w:pBdr>
          <w:top w:val="none" w:sz="0" w:space="0" w:color="auto"/>
        </w:pBdr>
        <w:rPr>
          <w:b/>
          <w:bCs/>
        </w:rPr>
      </w:pPr>
      <w:r w:rsidRPr="00D96B14">
        <w:t xml:space="preserve">Illustration under the </w:t>
      </w:r>
      <w:r w:rsidRPr="00D96B14">
        <w:rPr>
          <w:i/>
        </w:rPr>
        <w:t>Protected Disclosure Act 2012</w:t>
      </w:r>
      <w:r w:rsidRPr="00D96B14">
        <w:t xml:space="preserve"> has been prepared for departments only, </w:t>
      </w:r>
      <w:r w:rsidRPr="00D96B14">
        <w:rPr>
          <w:b/>
        </w:rPr>
        <w:t>and agencies should seek their own advice regarding reporting requirements that may apply to them.</w:t>
      </w:r>
    </w:p>
    <w:p w:rsidR="00142353" w:rsidRPr="00D96B14" w:rsidRDefault="00142353" w:rsidP="00142353">
      <w:pPr>
        <w:pStyle w:val="CommentaryText"/>
        <w:pBdr>
          <w:top w:val="none" w:sz="0" w:space="0" w:color="auto"/>
        </w:pBdr>
      </w:pPr>
      <w:r w:rsidRPr="00D96B14">
        <w:t>The application could be supported by a short message from a department</w:t>
      </w:r>
      <w:r w:rsidR="005A4BB0">
        <w:t>’</w:t>
      </w:r>
      <w:r w:rsidRPr="00D96B14">
        <w:t>s Secretary outlining the department</w:t>
      </w:r>
      <w:r w:rsidR="005A4BB0">
        <w:t>’</w:t>
      </w:r>
      <w:r w:rsidRPr="00D96B14">
        <w:t xml:space="preserve">s commitment to the aims and objectives of both Acts and its own process for applying the Acts. </w:t>
      </w:r>
    </w:p>
    <w:p w:rsidR="00142353" w:rsidRPr="00D96B14" w:rsidRDefault="00142353" w:rsidP="00142353">
      <w:pPr>
        <w:pStyle w:val="SmallLine"/>
      </w:pPr>
    </w:p>
    <w:p w:rsidR="00142353" w:rsidRPr="00D96B14" w:rsidRDefault="00142353" w:rsidP="00142353">
      <w:pPr>
        <w:pStyle w:val="Heading2"/>
      </w:pPr>
      <w:r w:rsidRPr="00D96B14">
        <w:br w:type="column"/>
      </w:r>
      <w:r w:rsidRPr="00D96B14">
        <w:lastRenderedPageBreak/>
        <w:br w:type="column"/>
      </w:r>
      <w:r w:rsidRPr="00D96B14">
        <w:lastRenderedPageBreak/>
        <w:t xml:space="preserve">Compliance with the </w:t>
      </w:r>
      <w:r w:rsidRPr="00D96B14">
        <w:rPr>
          <w:i/>
        </w:rPr>
        <w:t>Carers Recognition Act 2012</w:t>
      </w:r>
    </w:p>
    <w:p w:rsidR="00142353" w:rsidRPr="00D96B14" w:rsidRDefault="00142353" w:rsidP="00142353">
      <w:r w:rsidRPr="00D96B14">
        <w:t xml:space="preserve">The Department has taken all practical measures to comply with its obligations under the Act. These include </w:t>
      </w:r>
      <w:r w:rsidRPr="00D96B14">
        <w:rPr>
          <w:color w:val="0000FF"/>
        </w:rPr>
        <w:t>[</w:t>
      </w:r>
      <w:r w:rsidRPr="00D96B14">
        <w:rPr>
          <w:i/>
          <w:color w:val="0000FF"/>
        </w:rPr>
        <w:t>insert or remove whatever is applicable</w:t>
      </w:r>
      <w:r w:rsidRPr="00D96B14">
        <w:rPr>
          <w:color w:val="0000FF"/>
        </w:rPr>
        <w:t>]</w:t>
      </w:r>
      <w:r w:rsidRPr="00D96B14">
        <w:t>:</w:t>
      </w:r>
    </w:p>
    <w:p w:rsidR="00142353" w:rsidRPr="00D96B14" w:rsidRDefault="00142353" w:rsidP="00142353">
      <w:pPr>
        <w:pStyle w:val="Bullet"/>
        <w:rPr>
          <w:rStyle w:val="BulletCharChar"/>
        </w:rPr>
      </w:pPr>
      <w:r w:rsidRPr="00D96B14">
        <w:t xml:space="preserve">promoting the principles of the Act to people in care relationships who receive our services and to the wider community [e.g. distributing printed material about the Act at community events or service points; providing links to state government resource materials on our website; providing digital and/or printed information about the Act to our partner organisations]; and/or </w:t>
      </w:r>
    </w:p>
    <w:p w:rsidR="00142353" w:rsidRPr="00D96B14" w:rsidRDefault="00142353" w:rsidP="00142353">
      <w:pPr>
        <w:pStyle w:val="Bullet"/>
      </w:pPr>
      <w:r w:rsidRPr="00D96B14">
        <w:t>ensuring our staff have an awareness and understanding of the care relationship principles set out in the Act [e.g. developing and implementing a staff awareness strategy about the principles in the Act and what they mean for staff; induction and training programs offered by the organisation include discussion of the Act and the statement of principles therein]; and/or</w:t>
      </w:r>
    </w:p>
    <w:p w:rsidR="00142353" w:rsidRPr="00D96B14" w:rsidRDefault="00142353" w:rsidP="00142353">
      <w:pPr>
        <w:pStyle w:val="Bullet"/>
      </w:pPr>
      <w:r w:rsidRPr="00D96B14">
        <w:t>considering the carer relationships principles set out in the Act when setting policies and providing services [e.g. reviewing our employment policies such as flexible working arrangements and leave provisions to ensure that these comply with the statement of principles in the Act; developing a satisfaction survey for distribution at assessment and review meetings between workers, carers and those receiving care].</w:t>
      </w:r>
    </w:p>
    <w:p w:rsidR="00142353" w:rsidRPr="00D96B14" w:rsidRDefault="00142353" w:rsidP="00142353">
      <w:pPr>
        <w:pStyle w:val="Heading2"/>
      </w:pPr>
      <w:bookmarkStart w:id="94" w:name="_Toc219779116"/>
      <w:r w:rsidRPr="00D96B14">
        <w:t xml:space="preserve">Compliance with </w:t>
      </w:r>
      <w:r w:rsidRPr="00D96B14">
        <w:rPr>
          <w:i/>
          <w:iCs/>
        </w:rPr>
        <w:t>Technology Act 1991</w:t>
      </w:r>
      <w:bookmarkEnd w:id="94"/>
    </w:p>
    <w:p w:rsidR="00142353" w:rsidRPr="00D96B14" w:rsidRDefault="00142353" w:rsidP="00142353">
      <w:r w:rsidRPr="00D96B14">
        <w:t xml:space="preserve">Under section 4(a) of the </w:t>
      </w:r>
      <w:r w:rsidRPr="00D96B14">
        <w:rPr>
          <w:i/>
          <w:iCs/>
        </w:rPr>
        <w:t xml:space="preserve">Technology Act 1991 </w:t>
      </w:r>
      <w:r w:rsidRPr="00D96B14">
        <w:rPr>
          <w:i/>
          <w:iCs/>
          <w:color w:val="0000FF"/>
        </w:rPr>
        <w:t>[fictitious act]</w:t>
      </w:r>
      <w:r w:rsidRPr="00D96B14">
        <w:t>, the Minister of Technology is required to ensure a continuous assessment of technology research programs in relation to the use of animal tissues. As per section 16(c) of the Act, the following disclosures were made in respect of research activities undertaken in 2015</w:t>
      </w:r>
      <w:r w:rsidR="005A4BB0">
        <w:noBreakHyphen/>
      </w:r>
      <w:r w:rsidRPr="00D96B14">
        <w:t>16:</w:t>
      </w:r>
    </w:p>
    <w:p w:rsidR="00142353" w:rsidRPr="00D96B14" w:rsidRDefault="00142353" w:rsidP="00142353">
      <w:pPr>
        <w:pStyle w:val="Bullet"/>
      </w:pPr>
      <w:r w:rsidRPr="00D96B14">
        <w:t>the technology research register indicates that 42 research programs during the financial year involve the use of animal tissues;</w:t>
      </w:r>
    </w:p>
    <w:p w:rsidR="00142353" w:rsidRPr="00D96B14" w:rsidRDefault="00142353" w:rsidP="00142353">
      <w:pPr>
        <w:pStyle w:val="Bullet"/>
      </w:pPr>
      <w:r w:rsidRPr="00D96B14">
        <w:t>three out of the 42 research programs were completed during the year; and</w:t>
      </w:r>
    </w:p>
    <w:p w:rsidR="00142353" w:rsidRPr="00D96B14" w:rsidRDefault="00142353" w:rsidP="00142353">
      <w:pPr>
        <w:pStyle w:val="Bullet"/>
      </w:pPr>
      <w:r w:rsidRPr="00D96B14">
        <w:t xml:space="preserve">no new research programs involving the use of animal tissues commenced. </w:t>
      </w:r>
    </w:p>
    <w:p w:rsidR="00142353" w:rsidRPr="00D96B14" w:rsidRDefault="00142353" w:rsidP="00142353">
      <w:pPr>
        <w:pStyle w:val="Notes"/>
      </w:pPr>
    </w:p>
    <w:p w:rsidR="00142353" w:rsidRPr="00D96B14" w:rsidRDefault="00142353" w:rsidP="00142353">
      <w:pPr>
        <w:pStyle w:val="CommentaryHeading"/>
        <w:pBdr>
          <w:bottom w:val="none" w:sz="0" w:space="0" w:color="auto"/>
        </w:pBdr>
      </w:pPr>
      <w:r w:rsidRPr="00D96B14">
        <w:t>Commentary – Compliance with other legislation</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bottom w:val="none" w:sz="0" w:space="0" w:color="auto"/>
        </w:pBdr>
        <w:spacing w:before="120"/>
      </w:pPr>
      <w:r w:rsidRPr="00D96B14">
        <w:t>Legislative and documented references</w:t>
      </w:r>
    </w:p>
    <w:p w:rsidR="00142353" w:rsidRPr="00D96B14" w:rsidRDefault="00142353" w:rsidP="00142353">
      <w:pPr>
        <w:pStyle w:val="CommentaryText"/>
        <w:pBdr>
          <w:bottom w:val="none" w:sz="0" w:space="0" w:color="auto"/>
        </w:pBdr>
        <w:spacing w:before="80"/>
        <w:rPr>
          <w:noProof w:val="0"/>
        </w:rPr>
      </w:pPr>
      <w:r w:rsidRPr="00D96B14">
        <w:rPr>
          <w:noProof w:val="0"/>
        </w:rPr>
        <w:t>There may be other legislative disclosures that entities are required to disclose that are not covered by the Model</w:t>
      </w:r>
      <w:r w:rsidRPr="00D96B14">
        <w:rPr>
          <w:i/>
          <w:noProof w:val="0"/>
        </w:rPr>
        <w:t xml:space="preserve">, </w:t>
      </w:r>
      <w:r w:rsidRPr="00D96B14">
        <w:rPr>
          <w:noProof w:val="0"/>
        </w:rPr>
        <w:t xml:space="preserve">for example the </w:t>
      </w:r>
      <w:r w:rsidRPr="00D96B14">
        <w:rPr>
          <w:i/>
          <w:noProof w:val="0"/>
        </w:rPr>
        <w:t>Disability Act 2006,</w:t>
      </w:r>
      <w:r w:rsidRPr="00D96B14">
        <w:rPr>
          <w:noProof w:val="0"/>
        </w:rPr>
        <w:t xml:space="preserve"> which requires an entity to disclose its disability action plans, and other Acts as applicable to certain entities.</w:t>
      </w:r>
    </w:p>
    <w:p w:rsidR="00142353" w:rsidRPr="00D96B14" w:rsidRDefault="00142353" w:rsidP="00142353">
      <w:pPr>
        <w:pStyle w:val="CommentaryHeading2"/>
        <w:spacing w:before="120"/>
      </w:pPr>
      <w:r w:rsidRPr="00D96B14">
        <w:t>Disability action plans</w:t>
      </w:r>
    </w:p>
    <w:p w:rsidR="00142353" w:rsidRPr="00D96B14" w:rsidRDefault="00142353" w:rsidP="00142353">
      <w:pPr>
        <w:pStyle w:val="CommentaryText"/>
        <w:pBdr>
          <w:top w:val="none" w:sz="0" w:space="0" w:color="auto"/>
        </w:pBdr>
        <w:spacing w:before="80"/>
        <w:rPr>
          <w:noProof w:val="0"/>
        </w:rPr>
      </w:pPr>
      <w:r w:rsidRPr="00D96B14">
        <w:rPr>
          <w:noProof w:val="0"/>
        </w:rPr>
        <w:t>A disability action plan is a strategic plan which helps an organisation to remove barriers that prevent people with a disability from using the organisation</w:t>
      </w:r>
      <w:r w:rsidR="005A4BB0">
        <w:rPr>
          <w:noProof w:val="0"/>
        </w:rPr>
        <w:t>’</w:t>
      </w:r>
      <w:r w:rsidRPr="00D96B14">
        <w:rPr>
          <w:noProof w:val="0"/>
        </w:rPr>
        <w:t>s goods, services and facilities, and from gaining and keeping employment. Disability action planning strives to remove barriers for people with a disability from taking part in the organisation</w:t>
      </w:r>
      <w:r w:rsidR="005A4BB0">
        <w:rPr>
          <w:noProof w:val="0"/>
        </w:rPr>
        <w:t>’</w:t>
      </w:r>
      <w:r w:rsidRPr="00D96B14">
        <w:rPr>
          <w:noProof w:val="0"/>
        </w:rPr>
        <w:t xml:space="preserve">s activities and in changing practices that may result in discrimination. The </w:t>
      </w:r>
      <w:r w:rsidRPr="00D96B14">
        <w:rPr>
          <w:i/>
          <w:noProof w:val="0"/>
        </w:rPr>
        <w:t>Disability Act 2006</w:t>
      </w:r>
      <w:r w:rsidRPr="00D96B14">
        <w:rPr>
          <w:noProof w:val="0"/>
        </w:rPr>
        <w:t xml:space="preserve"> requires that all public sector bodies prepare a disability action plan and that departments report on the implementation of their disability action plan in their annual report (s38). Compliance with this legislation could take the format of a summary of achievements for the financial year in relation to the four areas of disability action planning under this Act.</w:t>
      </w:r>
    </w:p>
    <w:p w:rsidR="00142353" w:rsidRPr="00D96B14" w:rsidRDefault="00142353" w:rsidP="00142353">
      <w:pPr>
        <w:pStyle w:val="CommentaryHeading1"/>
        <w:pBdr>
          <w:top w:val="none" w:sz="0" w:space="0" w:color="auto"/>
        </w:pBdr>
        <w:spacing w:before="120"/>
        <w:rPr>
          <w:noProof w:val="0"/>
        </w:rPr>
      </w:pPr>
      <w:r w:rsidRPr="00D96B14">
        <w:rPr>
          <w:noProof w:val="0"/>
        </w:rPr>
        <w:t>Guidance</w:t>
      </w:r>
    </w:p>
    <w:p w:rsidR="00142353" w:rsidRPr="00D96B14" w:rsidRDefault="00142353" w:rsidP="00142353">
      <w:pPr>
        <w:pStyle w:val="CommentaryText"/>
        <w:pBdr>
          <w:top w:val="none" w:sz="0" w:space="0" w:color="auto"/>
        </w:pBdr>
        <w:spacing w:before="80"/>
        <w:rPr>
          <w:noProof w:val="0"/>
        </w:rPr>
      </w:pPr>
      <w:r w:rsidRPr="00D96B14">
        <w:rPr>
          <w:noProof w:val="0"/>
        </w:rPr>
        <w:t xml:space="preserve">You may wish to include some background information in this section, outlining the basis upon which the legislation was implemented. </w:t>
      </w:r>
    </w:p>
    <w:p w:rsidR="00142353" w:rsidRPr="00D96B14" w:rsidRDefault="00142353" w:rsidP="00142353">
      <w:pPr>
        <w:pStyle w:val="CommentaryText"/>
        <w:pBdr>
          <w:top w:val="none" w:sz="0" w:space="0" w:color="auto"/>
        </w:pBdr>
        <w:rPr>
          <w:noProof w:val="0"/>
        </w:rPr>
      </w:pPr>
      <w:r w:rsidRPr="00D96B14">
        <w:rPr>
          <w:noProof w:val="0"/>
        </w:rPr>
        <w:t xml:space="preserve">This section should include details of compliance with the relevant Act and any reporting required as outlined in the Act. </w:t>
      </w:r>
    </w:p>
    <w:p w:rsidR="00142353" w:rsidRPr="00D96B14" w:rsidRDefault="00142353" w:rsidP="00142353">
      <w:pPr>
        <w:pStyle w:val="SmallLine"/>
      </w:pPr>
      <w:r w:rsidRPr="00D96B14">
        <w:br w:type="column"/>
      </w:r>
    </w:p>
    <w:p w:rsidR="00142353" w:rsidRPr="00D96B14" w:rsidRDefault="00142353" w:rsidP="00142353">
      <w:pPr>
        <w:pStyle w:val="Reference"/>
        <w:spacing w:before="180"/>
        <w:rPr>
          <w:lang w:val="en-AU"/>
        </w:rPr>
      </w:pPr>
      <w:r w:rsidRPr="00D96B14">
        <w:rPr>
          <w:lang w:val="en-AU"/>
        </w:rPr>
        <w:t>FRD 24C</w:t>
      </w:r>
    </w:p>
    <w:p w:rsidR="00142353" w:rsidRPr="00D96B14" w:rsidRDefault="00142353" w:rsidP="00142353">
      <w:pPr>
        <w:pStyle w:val="Heading2"/>
      </w:pPr>
      <w:r w:rsidRPr="00D96B14">
        <w:br w:type="column"/>
      </w:r>
      <w:bookmarkStart w:id="95" w:name="_Toc219779118"/>
      <w:r w:rsidRPr="00D96B14">
        <w:lastRenderedPageBreak/>
        <w:t>Office based environmental impacts</w:t>
      </w:r>
      <w:bookmarkEnd w:id="95"/>
    </w:p>
    <w:p w:rsidR="00142353" w:rsidRPr="00D96B14" w:rsidRDefault="00142353" w:rsidP="00142353">
      <w:pPr>
        <w:pStyle w:val="NormalBlue"/>
        <w:rPr>
          <w:i/>
          <w:iCs/>
        </w:rPr>
      </w:pPr>
      <w:r w:rsidRPr="00D96B14">
        <w:rPr>
          <w:i/>
          <w:iCs/>
        </w:rPr>
        <w:t>[It is important that you read the commentary for this section (on page 67) before making the disclosure below.]</w:t>
      </w:r>
    </w:p>
    <w:p w:rsidR="00142353" w:rsidRPr="00D96B14" w:rsidRDefault="00142353" w:rsidP="00142353">
      <w:r w:rsidRPr="00D96B14">
        <w:t>DOT</w:t>
      </w:r>
      <w:r w:rsidR="005A4BB0">
        <w:t>’</w:t>
      </w:r>
      <w:r w:rsidRPr="00D96B14">
        <w:t>s Environment Management System (EMS) was set up to meet government requirements and to reduce the Department</w:t>
      </w:r>
      <w:r w:rsidR="005A4BB0">
        <w:t>’</w:t>
      </w:r>
      <w:r w:rsidRPr="00D96B14">
        <w:t>s impact on the environment. The initial focus has been on the Department</w:t>
      </w:r>
      <w:r w:rsidR="005A4BB0">
        <w:t>’</w:t>
      </w:r>
      <w:r w:rsidRPr="00D96B14">
        <w:t>s office</w:t>
      </w:r>
      <w:r w:rsidR="005A4BB0">
        <w:noBreakHyphen/>
      </w:r>
      <w:r w:rsidRPr="00D96B14">
        <w:t xml:space="preserve">based activities in the areas of energy and paper consumption, transportation to and during work, waste generation, water consumption, and green procurement. The program is independently audited each year by an environmental auditor appointed under the </w:t>
      </w:r>
      <w:r w:rsidRPr="00D96B14">
        <w:rPr>
          <w:i/>
          <w:iCs/>
        </w:rPr>
        <w:t>Environment Protection Act 1970</w:t>
      </w:r>
      <w:r w:rsidRPr="00D96B14">
        <w:t>.</w:t>
      </w:r>
    </w:p>
    <w:p w:rsidR="00142353" w:rsidRPr="00D96B14" w:rsidRDefault="00142353" w:rsidP="00142353">
      <w:r w:rsidRPr="00D96B14">
        <w:t>The EMS objectives include:</w:t>
      </w:r>
    </w:p>
    <w:p w:rsidR="00142353" w:rsidRPr="00D96B14" w:rsidRDefault="00142353" w:rsidP="00142353">
      <w:pPr>
        <w:pStyle w:val="Bullet"/>
      </w:pPr>
      <w:r w:rsidRPr="00D96B14">
        <w:t>reducing the amount of waste, and maximising the amount reused and recycled;</w:t>
      </w:r>
    </w:p>
    <w:p w:rsidR="00142353" w:rsidRPr="00D96B14" w:rsidRDefault="00142353" w:rsidP="00142353">
      <w:pPr>
        <w:pStyle w:val="Bullet"/>
      </w:pPr>
      <w:r w:rsidRPr="00D96B14">
        <w:t>purchasing green power;</w:t>
      </w:r>
    </w:p>
    <w:p w:rsidR="00142353" w:rsidRPr="00D96B14" w:rsidRDefault="00142353" w:rsidP="00142353">
      <w:pPr>
        <w:pStyle w:val="Bullet"/>
      </w:pPr>
      <w:r w:rsidRPr="00D96B14">
        <w:t>separating office waste into reusable, recyclable, compost and true waste parts;</w:t>
      </w:r>
    </w:p>
    <w:p w:rsidR="00142353" w:rsidRPr="00D96B14" w:rsidRDefault="00142353" w:rsidP="00142353">
      <w:pPr>
        <w:pStyle w:val="Bullet"/>
      </w:pPr>
      <w:r w:rsidRPr="00D96B14">
        <w:t>reducing passenger vehicle fleet emissions;</w:t>
      </w:r>
    </w:p>
    <w:p w:rsidR="00142353" w:rsidRPr="00D96B14" w:rsidRDefault="00142353" w:rsidP="00142353">
      <w:pPr>
        <w:pStyle w:val="Bullet"/>
      </w:pPr>
      <w:r w:rsidRPr="00D96B14">
        <w:t>ensuring new capital works incorporate environmental sustainability principles;</w:t>
      </w:r>
    </w:p>
    <w:p w:rsidR="00142353" w:rsidRPr="00D96B14" w:rsidRDefault="00142353" w:rsidP="00142353">
      <w:pPr>
        <w:pStyle w:val="Bullet"/>
      </w:pPr>
      <w:r w:rsidRPr="00D96B14">
        <w:t>making environmentally sound purchasing decisions for capital items and consumables;</w:t>
      </w:r>
    </w:p>
    <w:p w:rsidR="00142353" w:rsidRPr="00D96B14" w:rsidRDefault="00142353" w:rsidP="00142353">
      <w:pPr>
        <w:pStyle w:val="Bullet"/>
      </w:pPr>
      <w:r w:rsidRPr="00D96B14">
        <w:t xml:space="preserve">adopting an environmental management system based on ISO14001; </w:t>
      </w:r>
    </w:p>
    <w:p w:rsidR="00142353" w:rsidRPr="00D96B14" w:rsidRDefault="00142353" w:rsidP="00142353">
      <w:pPr>
        <w:pStyle w:val="Bullet"/>
      </w:pPr>
      <w:r w:rsidRPr="00D96B14">
        <w:t>communicating environmental performance through regular reporting; and</w:t>
      </w:r>
    </w:p>
    <w:p w:rsidR="00142353" w:rsidRPr="00D96B14" w:rsidRDefault="00142353" w:rsidP="00142353">
      <w:pPr>
        <w:pStyle w:val="Bullet"/>
      </w:pPr>
      <w:r w:rsidRPr="00D96B14">
        <w:t>encouraging staff to reduce environmental impacts.</w:t>
      </w:r>
    </w:p>
    <w:p w:rsidR="00142353" w:rsidRPr="00D96B14" w:rsidRDefault="00142353" w:rsidP="00142353">
      <w:r w:rsidRPr="00D96B14">
        <w:t xml:space="preserve">Following machinery of government changes, the </w:t>
      </w:r>
      <w:r w:rsidRPr="00D96B14">
        <w:rPr>
          <w:i/>
          <w:iCs/>
        </w:rPr>
        <w:t>Research and Development of Biological Technology</w:t>
      </w:r>
      <w:r w:rsidRPr="00D96B14">
        <w:t xml:space="preserve"> output was transferred to Department of Natural Resources and the </w:t>
      </w:r>
      <w:r w:rsidRPr="00D96B14">
        <w:rPr>
          <w:i/>
          <w:iCs/>
        </w:rPr>
        <w:t>New Technology Administration</w:t>
      </w:r>
      <w:r w:rsidRPr="00D96B14">
        <w:t xml:space="preserve"> output was received from the Department of Cabinet Administration. Environmental data relevant to the transferred and received outputs will be reported by the respective transferee. </w:t>
      </w:r>
    </w:p>
    <w:p w:rsidR="00142353" w:rsidRPr="00D96B14" w:rsidRDefault="00142353" w:rsidP="00142353">
      <w:pPr>
        <w:pStyle w:val="Heading3"/>
      </w:pPr>
      <w:r w:rsidRPr="00D96B14">
        <w:t>Eco Office Challenge</w:t>
      </w:r>
    </w:p>
    <w:p w:rsidR="00142353" w:rsidRPr="00D96B14" w:rsidRDefault="00142353" w:rsidP="00142353">
      <w:r w:rsidRPr="00D96B14">
        <w:t xml:space="preserve">The Department uses the Eco Office Challenge to inspire departmental staff to continually improve performance in cutting energy, water and paper use, and reducing waste to landfill. A group of about 100 staff, called </w:t>
      </w:r>
      <w:r w:rsidR="005A4BB0">
        <w:t>‘</w:t>
      </w:r>
      <w:r w:rsidRPr="00D96B14">
        <w:t>eco office champions</w:t>
      </w:r>
      <w:r w:rsidR="005A4BB0">
        <w:t>’</w:t>
      </w:r>
      <w:r w:rsidRPr="00D96B14">
        <w:t>, help develop, implement and refine a range of initiatives aimed at changing staff behaviour. Each month, the champions focus on a new topic to promote to staff, encouraging changes in behaviour to limit environmental impacts.</w:t>
      </w:r>
    </w:p>
    <w:p w:rsidR="00142353" w:rsidRPr="00D96B14" w:rsidRDefault="00142353" w:rsidP="00142353"/>
    <w:p w:rsidR="00142353" w:rsidRPr="00D96B14" w:rsidRDefault="00142353" w:rsidP="00142353">
      <w:pPr>
        <w:pStyle w:val="SmallLine"/>
      </w:pPr>
      <w:r w:rsidRPr="00D96B14">
        <w:br w:type="column"/>
      </w: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Reference"/>
        <w:rPr>
          <w:lang w:val="en-AU"/>
        </w:rPr>
      </w:pPr>
      <w:r w:rsidRPr="00D96B14">
        <w:rPr>
          <w:lang w:val="en-AU"/>
        </w:rPr>
        <w:t>FRD 24C</w:t>
      </w:r>
    </w:p>
    <w:p w:rsidR="00142353" w:rsidRPr="00D96B14" w:rsidRDefault="00142353" w:rsidP="00142353">
      <w:pPr>
        <w:pStyle w:val="Heading3"/>
      </w:pPr>
      <w:r w:rsidRPr="00D96B14">
        <w:br w:type="column"/>
      </w:r>
      <w:r w:rsidRPr="00D96B14">
        <w:lastRenderedPageBreak/>
        <w:t>Energy</w:t>
      </w:r>
    </w:p>
    <w:p w:rsidR="00142353" w:rsidRPr="00D96B14" w:rsidRDefault="00142353" w:rsidP="00142353">
      <w:r w:rsidRPr="00D96B14">
        <w:t xml:space="preserve">The Department consumes energy for a number of different uses including: office facilities (50 per cent); research and development facilities (20 per cent) and other uses such as </w:t>
      </w:r>
      <w:r w:rsidRPr="00D96B14">
        <w:rPr>
          <w:rStyle w:val="NormalBlueChar"/>
          <w:i/>
          <w:iCs/>
        </w:rPr>
        <w:t>[describe].</w:t>
      </w:r>
    </w:p>
    <w:p w:rsidR="00142353" w:rsidRPr="00D96B14" w:rsidRDefault="00142353" w:rsidP="00142353">
      <w:r w:rsidRPr="00D96B14">
        <w:t>The data represented below was collected through energy retailer billing information and represents 80 per cent of sites and 95 per cent of FTE staff. The Department is continuing to develop systems to more comprehensively collect data, particularly for non</w:t>
      </w:r>
      <w:r w:rsidR="005A4BB0">
        <w:noBreakHyphen/>
      </w:r>
      <w:r w:rsidRPr="00D96B14">
        <w:t>office facilities.</w:t>
      </w:r>
    </w:p>
    <w:p w:rsidR="00142353" w:rsidRPr="00D96B14" w:rsidRDefault="00142353" w:rsidP="00142353">
      <w:pPr>
        <w:pStyle w:val="Notes"/>
      </w:pPr>
    </w:p>
    <w:tbl>
      <w:tblPr>
        <w:tblW w:w="7963" w:type="dxa"/>
        <w:tblBorders>
          <w:top w:val="single" w:sz="6" w:space="0" w:color="auto"/>
          <w:bottom w:val="single" w:sz="12" w:space="0" w:color="auto"/>
          <w:insideH w:val="single" w:sz="6" w:space="0" w:color="auto"/>
        </w:tblBorders>
        <w:tblLayout w:type="fixed"/>
        <w:tblCellMar>
          <w:left w:w="43" w:type="dxa"/>
          <w:right w:w="43" w:type="dxa"/>
        </w:tblCellMar>
        <w:tblLook w:val="01E0" w:firstRow="1" w:lastRow="1" w:firstColumn="1" w:lastColumn="1" w:noHBand="0" w:noVBand="0"/>
      </w:tblPr>
      <w:tblGrid>
        <w:gridCol w:w="2563"/>
        <w:gridCol w:w="900"/>
        <w:gridCol w:w="900"/>
        <w:gridCol w:w="900"/>
        <w:gridCol w:w="900"/>
        <w:gridCol w:w="900"/>
        <w:gridCol w:w="900"/>
      </w:tblGrid>
      <w:tr w:rsidR="00142353" w:rsidRPr="00D96B14" w:rsidTr="004843DB">
        <w:tc>
          <w:tcPr>
            <w:tcW w:w="2563" w:type="dxa"/>
            <w:tcBorders>
              <w:right w:val="single" w:sz="6" w:space="0" w:color="auto"/>
            </w:tcBorders>
            <w:shd w:val="clear" w:color="auto" w:fill="auto"/>
            <w:vAlign w:val="bottom"/>
          </w:tcPr>
          <w:p w:rsidR="00142353" w:rsidRPr="00D96B14" w:rsidRDefault="00142353" w:rsidP="004843DB">
            <w:pPr>
              <w:pStyle w:val="Tabletextheading"/>
              <w:jc w:val="left"/>
              <w:rPr>
                <w:b/>
                <w:i w:val="0"/>
              </w:rPr>
            </w:pPr>
            <w:r w:rsidRPr="00D96B14">
              <w:rPr>
                <w:b/>
                <w:i w:val="0"/>
              </w:rPr>
              <w:t>Indicator</w:t>
            </w:r>
          </w:p>
        </w:tc>
        <w:tc>
          <w:tcPr>
            <w:tcW w:w="2700" w:type="dxa"/>
            <w:gridSpan w:val="3"/>
            <w:tcBorders>
              <w:left w:val="single" w:sz="6" w:space="0" w:color="auto"/>
              <w:bottom w:val="single" w:sz="6" w:space="0" w:color="auto"/>
              <w:right w:val="single" w:sz="6" w:space="0" w:color="auto"/>
            </w:tcBorders>
            <w:shd w:val="clear" w:color="auto" w:fill="auto"/>
            <w:vAlign w:val="bottom"/>
          </w:tcPr>
          <w:p w:rsidR="00142353" w:rsidRPr="00D96B14" w:rsidRDefault="00142353" w:rsidP="004843DB">
            <w:pPr>
              <w:pStyle w:val="Tabletextheading"/>
              <w:jc w:val="center"/>
            </w:pPr>
            <w:r w:rsidRPr="00D96B14">
              <w:t>2015</w:t>
            </w:r>
            <w:r w:rsidR="005A4BB0">
              <w:noBreakHyphen/>
            </w:r>
            <w:r w:rsidRPr="00D96B14">
              <w:t>16</w:t>
            </w:r>
          </w:p>
        </w:tc>
        <w:tc>
          <w:tcPr>
            <w:tcW w:w="2700" w:type="dxa"/>
            <w:gridSpan w:val="3"/>
            <w:tcBorders>
              <w:left w:val="single" w:sz="6" w:space="0" w:color="auto"/>
              <w:bottom w:val="single" w:sz="6" w:space="0" w:color="auto"/>
            </w:tcBorders>
            <w:shd w:val="clear" w:color="auto" w:fill="auto"/>
          </w:tcPr>
          <w:p w:rsidR="00142353" w:rsidRPr="00D96B14" w:rsidRDefault="00142353" w:rsidP="004843DB">
            <w:pPr>
              <w:pStyle w:val="Tabletextheading"/>
              <w:jc w:val="center"/>
            </w:pPr>
            <w:r w:rsidRPr="00D96B14">
              <w:t>2014</w:t>
            </w:r>
            <w:r w:rsidR="005A4BB0">
              <w:noBreakHyphen/>
            </w:r>
            <w:r w:rsidRPr="00D96B14">
              <w:t>15</w:t>
            </w:r>
          </w:p>
        </w:tc>
      </w:tr>
      <w:tr w:rsidR="00142353" w:rsidRPr="00D96B14" w:rsidTr="004843DB">
        <w:tc>
          <w:tcPr>
            <w:tcW w:w="2563" w:type="dxa"/>
            <w:tcBorders>
              <w:right w:val="single" w:sz="6" w:space="0" w:color="auto"/>
            </w:tcBorders>
            <w:shd w:val="clear" w:color="auto" w:fill="auto"/>
            <w:vAlign w:val="center"/>
          </w:tcPr>
          <w:p w:rsidR="00142353" w:rsidRPr="00D96B14" w:rsidRDefault="00142353" w:rsidP="004843DB">
            <w:pPr>
              <w:pStyle w:val="Tabletextheading"/>
            </w:pP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textheading"/>
            </w:pPr>
            <w:r w:rsidRPr="00D96B14">
              <w:br/>
              <w:t>Electricity</w:t>
            </w:r>
          </w:p>
        </w:tc>
        <w:tc>
          <w:tcPr>
            <w:tcW w:w="900" w:type="dxa"/>
            <w:tcBorders>
              <w:left w:val="nil"/>
              <w:bottom w:val="single" w:sz="6" w:space="0" w:color="auto"/>
              <w:right w:val="nil"/>
            </w:tcBorders>
            <w:shd w:val="clear" w:color="auto" w:fill="auto"/>
          </w:tcPr>
          <w:p w:rsidR="00142353" w:rsidRPr="00D96B14" w:rsidRDefault="00142353" w:rsidP="004843DB">
            <w:pPr>
              <w:pStyle w:val="Tabletextheading"/>
            </w:pPr>
            <w:r w:rsidRPr="00D96B14">
              <w:t>Natural gas</w:t>
            </w:r>
          </w:p>
        </w:tc>
        <w:tc>
          <w:tcPr>
            <w:tcW w:w="900" w:type="dxa"/>
            <w:tcBorders>
              <w:top w:val="nil"/>
              <w:left w:val="nil"/>
              <w:bottom w:val="single" w:sz="6" w:space="0" w:color="auto"/>
              <w:right w:val="single" w:sz="6" w:space="0" w:color="auto"/>
            </w:tcBorders>
            <w:shd w:val="clear" w:color="auto" w:fill="auto"/>
          </w:tcPr>
          <w:p w:rsidR="00142353" w:rsidRPr="00D96B14" w:rsidRDefault="00142353" w:rsidP="004843DB">
            <w:pPr>
              <w:pStyle w:val="Tabletextheading"/>
            </w:pPr>
            <w:r w:rsidRPr="00D96B14">
              <w:t>Green power</w:t>
            </w: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textheading"/>
            </w:pPr>
            <w:r w:rsidRPr="00D96B14">
              <w:br/>
              <w:t>Electricity</w:t>
            </w:r>
          </w:p>
        </w:tc>
        <w:tc>
          <w:tcPr>
            <w:tcW w:w="900" w:type="dxa"/>
            <w:tcBorders>
              <w:left w:val="nil"/>
              <w:bottom w:val="single" w:sz="6" w:space="0" w:color="auto"/>
              <w:right w:val="nil"/>
            </w:tcBorders>
            <w:shd w:val="clear" w:color="auto" w:fill="auto"/>
          </w:tcPr>
          <w:p w:rsidR="00142353" w:rsidRPr="00D96B14" w:rsidRDefault="00142353" w:rsidP="004843DB">
            <w:pPr>
              <w:pStyle w:val="Tabletextheading"/>
            </w:pPr>
            <w:r w:rsidRPr="00D96B14">
              <w:t>Natural gas</w:t>
            </w:r>
          </w:p>
        </w:tc>
        <w:tc>
          <w:tcPr>
            <w:tcW w:w="900" w:type="dxa"/>
            <w:tcBorders>
              <w:left w:val="nil"/>
              <w:bottom w:val="single" w:sz="6" w:space="0" w:color="auto"/>
            </w:tcBorders>
            <w:shd w:val="clear" w:color="auto" w:fill="auto"/>
          </w:tcPr>
          <w:p w:rsidR="00142353" w:rsidRPr="00D96B14" w:rsidRDefault="00142353" w:rsidP="004843DB">
            <w:pPr>
              <w:pStyle w:val="Tabletextheading"/>
            </w:pPr>
            <w:r w:rsidRPr="00D96B14">
              <w:t>Green power</w:t>
            </w:r>
          </w:p>
        </w:tc>
      </w:tr>
      <w:tr w:rsidR="00142353" w:rsidRPr="00D96B14" w:rsidTr="004843DB">
        <w:tc>
          <w:tcPr>
            <w:tcW w:w="2563" w:type="dxa"/>
            <w:tcBorders>
              <w:right w:val="single" w:sz="6" w:space="0" w:color="auto"/>
            </w:tcBorders>
            <w:shd w:val="clear" w:color="auto" w:fill="auto"/>
            <w:vAlign w:val="center"/>
          </w:tcPr>
          <w:p w:rsidR="00142353" w:rsidRPr="00D96B14" w:rsidRDefault="00142353" w:rsidP="004843DB">
            <w:pPr>
              <w:pStyle w:val="Tabletext"/>
            </w:pPr>
            <w:r w:rsidRPr="00D96B14">
              <w:t>Total energy usage segmented by primary source (MJ)</w:t>
            </w: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ofFigures"/>
            </w:pPr>
            <w:r w:rsidRPr="00D96B14">
              <w:t>10 032</w:t>
            </w:r>
          </w:p>
        </w:tc>
        <w:tc>
          <w:tcPr>
            <w:tcW w:w="900" w:type="dxa"/>
            <w:tcBorders>
              <w:left w:val="nil"/>
              <w:bottom w:val="single" w:sz="6" w:space="0" w:color="auto"/>
              <w:right w:val="nil"/>
            </w:tcBorders>
            <w:shd w:val="clear" w:color="auto" w:fill="auto"/>
          </w:tcPr>
          <w:p w:rsidR="00142353" w:rsidRPr="00D96B14" w:rsidRDefault="00142353" w:rsidP="004843DB">
            <w:pPr>
              <w:pStyle w:val="TableofFigures"/>
            </w:pPr>
            <w:r w:rsidRPr="00D96B14">
              <w:t>5 034</w:t>
            </w:r>
          </w:p>
        </w:tc>
        <w:tc>
          <w:tcPr>
            <w:tcW w:w="900" w:type="dxa"/>
            <w:tcBorders>
              <w:left w:val="nil"/>
              <w:bottom w:val="single" w:sz="6" w:space="0" w:color="auto"/>
              <w:right w:val="single" w:sz="6" w:space="0" w:color="auto"/>
            </w:tcBorders>
            <w:shd w:val="clear" w:color="auto" w:fill="auto"/>
          </w:tcPr>
          <w:p w:rsidR="00142353" w:rsidRPr="00D96B14" w:rsidRDefault="00142353" w:rsidP="004843DB">
            <w:pPr>
              <w:pStyle w:val="TableofFigures"/>
            </w:pPr>
            <w:r w:rsidRPr="00D96B14">
              <w:t>5 160</w:t>
            </w: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ofFigures"/>
            </w:pPr>
            <w:r w:rsidRPr="00D96B14">
              <w:t>10 532</w:t>
            </w:r>
          </w:p>
        </w:tc>
        <w:tc>
          <w:tcPr>
            <w:tcW w:w="900" w:type="dxa"/>
            <w:tcBorders>
              <w:left w:val="nil"/>
              <w:bottom w:val="single" w:sz="6" w:space="0" w:color="auto"/>
              <w:right w:val="nil"/>
            </w:tcBorders>
            <w:shd w:val="clear" w:color="auto" w:fill="auto"/>
          </w:tcPr>
          <w:p w:rsidR="00142353" w:rsidRPr="00D96B14" w:rsidRDefault="00142353" w:rsidP="004843DB">
            <w:pPr>
              <w:pStyle w:val="TableofFigures"/>
            </w:pPr>
            <w:r w:rsidRPr="00D96B14">
              <w:t>5 334</w:t>
            </w:r>
          </w:p>
        </w:tc>
        <w:tc>
          <w:tcPr>
            <w:tcW w:w="900" w:type="dxa"/>
            <w:tcBorders>
              <w:left w:val="nil"/>
              <w:bottom w:val="single" w:sz="6" w:space="0" w:color="auto"/>
            </w:tcBorders>
            <w:shd w:val="clear" w:color="auto" w:fill="auto"/>
          </w:tcPr>
          <w:p w:rsidR="00142353" w:rsidRPr="00D96B14" w:rsidRDefault="00142353" w:rsidP="004843DB">
            <w:pPr>
              <w:pStyle w:val="TableofFigures"/>
            </w:pPr>
            <w:r w:rsidRPr="00D96B14">
              <w:t>3 160</w:t>
            </w:r>
          </w:p>
        </w:tc>
      </w:tr>
      <w:tr w:rsidR="00142353" w:rsidRPr="00D96B14" w:rsidTr="004843DB">
        <w:tc>
          <w:tcPr>
            <w:tcW w:w="2563" w:type="dxa"/>
            <w:tcBorders>
              <w:right w:val="single" w:sz="6" w:space="0" w:color="auto"/>
            </w:tcBorders>
            <w:shd w:val="clear" w:color="auto" w:fill="auto"/>
            <w:vAlign w:val="center"/>
          </w:tcPr>
          <w:p w:rsidR="00142353" w:rsidRPr="00D96B14" w:rsidRDefault="00142353" w:rsidP="004843DB">
            <w:pPr>
              <w:pStyle w:val="Tabletext"/>
            </w:pPr>
            <w:r w:rsidRPr="00D96B14">
              <w:t>Greenhouse gas emissions associated with energy use, segmented by primary source and offsets (t CO</w:t>
            </w:r>
            <w:r w:rsidRPr="00D96B14">
              <w:rPr>
                <w:vertAlign w:val="superscript"/>
              </w:rPr>
              <w:t>2</w:t>
            </w:r>
            <w:r w:rsidRPr="00D96B14">
              <w:t xml:space="preserve"> e)</w:t>
            </w: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ofFigures"/>
            </w:pPr>
            <w:r w:rsidRPr="00D96B14">
              <w:t>1 022</w:t>
            </w:r>
          </w:p>
        </w:tc>
        <w:tc>
          <w:tcPr>
            <w:tcW w:w="900" w:type="dxa"/>
            <w:tcBorders>
              <w:left w:val="nil"/>
              <w:bottom w:val="single" w:sz="6" w:space="0" w:color="auto"/>
              <w:right w:val="nil"/>
            </w:tcBorders>
            <w:shd w:val="clear" w:color="auto" w:fill="auto"/>
          </w:tcPr>
          <w:p w:rsidR="00142353" w:rsidRPr="00D96B14" w:rsidRDefault="00142353" w:rsidP="004843DB">
            <w:pPr>
              <w:pStyle w:val="TableofFigures"/>
            </w:pPr>
            <w:r w:rsidRPr="00D96B14">
              <w:t>350</w:t>
            </w:r>
          </w:p>
        </w:tc>
        <w:tc>
          <w:tcPr>
            <w:tcW w:w="900" w:type="dxa"/>
            <w:tcBorders>
              <w:left w:val="nil"/>
              <w:bottom w:val="single" w:sz="6" w:space="0" w:color="auto"/>
              <w:right w:val="single" w:sz="6" w:space="0" w:color="auto"/>
            </w:tcBorders>
            <w:shd w:val="clear" w:color="auto" w:fill="auto"/>
          </w:tcPr>
          <w:p w:rsidR="00142353" w:rsidRPr="00D96B14" w:rsidRDefault="00142353" w:rsidP="004843DB">
            <w:pPr>
              <w:pStyle w:val="TableofFigures"/>
            </w:pPr>
            <w:r w:rsidRPr="00D96B14">
              <w:t>..</w:t>
            </w: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ofFigures"/>
            </w:pPr>
            <w:r w:rsidRPr="00D96B14">
              <w:t>1 222</w:t>
            </w:r>
          </w:p>
        </w:tc>
        <w:tc>
          <w:tcPr>
            <w:tcW w:w="900" w:type="dxa"/>
            <w:tcBorders>
              <w:left w:val="nil"/>
              <w:bottom w:val="single" w:sz="6" w:space="0" w:color="auto"/>
              <w:right w:val="nil"/>
            </w:tcBorders>
            <w:shd w:val="clear" w:color="auto" w:fill="auto"/>
          </w:tcPr>
          <w:p w:rsidR="00142353" w:rsidRPr="00D96B14" w:rsidRDefault="00142353" w:rsidP="004843DB">
            <w:pPr>
              <w:pStyle w:val="TableofFigures"/>
            </w:pPr>
            <w:r w:rsidRPr="00D96B14">
              <w:t>380</w:t>
            </w:r>
          </w:p>
        </w:tc>
        <w:tc>
          <w:tcPr>
            <w:tcW w:w="900" w:type="dxa"/>
            <w:tcBorders>
              <w:left w:val="nil"/>
              <w:bottom w:val="single" w:sz="6" w:space="0" w:color="auto"/>
            </w:tcBorders>
            <w:shd w:val="clear" w:color="auto" w:fill="auto"/>
          </w:tcPr>
          <w:p w:rsidR="00142353" w:rsidRPr="00D96B14" w:rsidRDefault="00142353" w:rsidP="004843DB">
            <w:pPr>
              <w:pStyle w:val="TableofFigures"/>
            </w:pPr>
            <w:r w:rsidRPr="00D96B14">
              <w:t>..</w:t>
            </w:r>
          </w:p>
        </w:tc>
      </w:tr>
      <w:tr w:rsidR="00142353" w:rsidRPr="00D96B14" w:rsidTr="004843DB">
        <w:tc>
          <w:tcPr>
            <w:tcW w:w="2563" w:type="dxa"/>
            <w:tcBorders>
              <w:right w:val="single" w:sz="6" w:space="0" w:color="auto"/>
            </w:tcBorders>
            <w:shd w:val="clear" w:color="auto" w:fill="auto"/>
            <w:vAlign w:val="center"/>
          </w:tcPr>
          <w:p w:rsidR="00142353" w:rsidRPr="00D96B14" w:rsidRDefault="00142353" w:rsidP="004843DB">
            <w:pPr>
              <w:pStyle w:val="Tabletext"/>
            </w:pPr>
            <w:r w:rsidRPr="00D96B14">
              <w:t>Percentage of electricity purchased as green power</w:t>
            </w: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ofFigures"/>
            </w:pPr>
            <w:r w:rsidRPr="00D96B14">
              <w:t>20</w:t>
            </w:r>
          </w:p>
        </w:tc>
        <w:tc>
          <w:tcPr>
            <w:tcW w:w="900" w:type="dxa"/>
            <w:tcBorders>
              <w:left w:val="nil"/>
              <w:bottom w:val="single" w:sz="6" w:space="0" w:color="auto"/>
              <w:right w:val="nil"/>
            </w:tcBorders>
            <w:shd w:val="clear" w:color="auto" w:fill="D9D9D9"/>
          </w:tcPr>
          <w:p w:rsidR="00142353" w:rsidRPr="00D96B14" w:rsidRDefault="00142353" w:rsidP="004843DB">
            <w:pPr>
              <w:pStyle w:val="TableofFigures"/>
            </w:pPr>
          </w:p>
        </w:tc>
        <w:tc>
          <w:tcPr>
            <w:tcW w:w="900" w:type="dxa"/>
            <w:tcBorders>
              <w:left w:val="nil"/>
              <w:bottom w:val="single" w:sz="6" w:space="0" w:color="auto"/>
              <w:right w:val="single" w:sz="6" w:space="0" w:color="auto"/>
            </w:tcBorders>
            <w:shd w:val="clear" w:color="auto" w:fill="D9D9D9"/>
          </w:tcPr>
          <w:p w:rsidR="00142353" w:rsidRPr="00D96B14" w:rsidRDefault="00142353" w:rsidP="004843DB">
            <w:pPr>
              <w:pStyle w:val="TableofFigures"/>
            </w:pP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ofFigures"/>
            </w:pPr>
            <w:r w:rsidRPr="00D96B14">
              <w:t>30</w:t>
            </w:r>
          </w:p>
        </w:tc>
        <w:tc>
          <w:tcPr>
            <w:tcW w:w="900" w:type="dxa"/>
            <w:tcBorders>
              <w:left w:val="nil"/>
              <w:bottom w:val="single" w:sz="6" w:space="0" w:color="auto"/>
              <w:right w:val="nil"/>
            </w:tcBorders>
            <w:shd w:val="clear" w:color="auto" w:fill="D9D9D9"/>
          </w:tcPr>
          <w:p w:rsidR="00142353" w:rsidRPr="00D96B14" w:rsidRDefault="00142353" w:rsidP="004843DB">
            <w:pPr>
              <w:pStyle w:val="TableofFigures"/>
            </w:pPr>
          </w:p>
        </w:tc>
        <w:tc>
          <w:tcPr>
            <w:tcW w:w="900" w:type="dxa"/>
            <w:tcBorders>
              <w:left w:val="nil"/>
              <w:bottom w:val="single" w:sz="6" w:space="0" w:color="auto"/>
            </w:tcBorders>
            <w:shd w:val="clear" w:color="auto" w:fill="D9D9D9"/>
          </w:tcPr>
          <w:p w:rsidR="00142353" w:rsidRPr="00D96B14" w:rsidRDefault="00142353" w:rsidP="004843DB">
            <w:pPr>
              <w:pStyle w:val="TableofFigures"/>
            </w:pPr>
          </w:p>
        </w:tc>
      </w:tr>
      <w:tr w:rsidR="00142353" w:rsidRPr="00D96B14" w:rsidTr="004843DB">
        <w:tc>
          <w:tcPr>
            <w:tcW w:w="2563" w:type="dxa"/>
            <w:tcBorders>
              <w:right w:val="single" w:sz="6" w:space="0" w:color="auto"/>
            </w:tcBorders>
            <w:shd w:val="clear" w:color="auto" w:fill="auto"/>
            <w:vAlign w:val="center"/>
          </w:tcPr>
          <w:p w:rsidR="00142353" w:rsidRPr="00D96B14" w:rsidRDefault="00142353" w:rsidP="004843DB">
            <w:pPr>
              <w:pStyle w:val="Tabletext"/>
              <w:rPr>
                <w:noProof w:val="0"/>
              </w:rPr>
            </w:pPr>
            <w:r w:rsidRPr="00D96B14">
              <w:rPr>
                <w:noProof w:val="0"/>
              </w:rPr>
              <w:t>Units of energy used per FTE (MJ/FTE)</w:t>
            </w: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ofFigures"/>
            </w:pPr>
            <w:r w:rsidRPr="00D96B14">
              <w:t>89</w:t>
            </w:r>
          </w:p>
        </w:tc>
        <w:tc>
          <w:tcPr>
            <w:tcW w:w="900" w:type="dxa"/>
            <w:tcBorders>
              <w:left w:val="nil"/>
              <w:bottom w:val="single" w:sz="6" w:space="0" w:color="auto"/>
              <w:right w:val="nil"/>
            </w:tcBorders>
            <w:shd w:val="clear" w:color="auto" w:fill="D9D9D9"/>
          </w:tcPr>
          <w:p w:rsidR="00142353" w:rsidRPr="00D96B14" w:rsidRDefault="00142353" w:rsidP="004843DB">
            <w:pPr>
              <w:pStyle w:val="TableofFigures"/>
            </w:pPr>
          </w:p>
        </w:tc>
        <w:tc>
          <w:tcPr>
            <w:tcW w:w="900" w:type="dxa"/>
            <w:tcBorders>
              <w:left w:val="nil"/>
              <w:bottom w:val="single" w:sz="6" w:space="0" w:color="auto"/>
              <w:right w:val="single" w:sz="6" w:space="0" w:color="auto"/>
            </w:tcBorders>
            <w:shd w:val="clear" w:color="auto" w:fill="D9D9D9"/>
          </w:tcPr>
          <w:p w:rsidR="00142353" w:rsidRPr="00D96B14" w:rsidRDefault="00142353" w:rsidP="004843DB">
            <w:pPr>
              <w:pStyle w:val="TableofFigures"/>
            </w:pP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ofFigures"/>
            </w:pPr>
            <w:r w:rsidRPr="00D96B14">
              <w:t>68</w:t>
            </w:r>
          </w:p>
        </w:tc>
        <w:tc>
          <w:tcPr>
            <w:tcW w:w="900" w:type="dxa"/>
            <w:tcBorders>
              <w:left w:val="nil"/>
              <w:bottom w:val="single" w:sz="6" w:space="0" w:color="auto"/>
              <w:right w:val="nil"/>
            </w:tcBorders>
            <w:shd w:val="clear" w:color="auto" w:fill="D9D9D9"/>
          </w:tcPr>
          <w:p w:rsidR="00142353" w:rsidRPr="00D96B14" w:rsidRDefault="00142353" w:rsidP="004843DB">
            <w:pPr>
              <w:pStyle w:val="TableofFigures"/>
            </w:pPr>
          </w:p>
        </w:tc>
        <w:tc>
          <w:tcPr>
            <w:tcW w:w="900" w:type="dxa"/>
            <w:tcBorders>
              <w:left w:val="nil"/>
              <w:bottom w:val="single" w:sz="6" w:space="0" w:color="auto"/>
            </w:tcBorders>
            <w:shd w:val="clear" w:color="auto" w:fill="D9D9D9"/>
          </w:tcPr>
          <w:p w:rsidR="00142353" w:rsidRPr="00D96B14" w:rsidRDefault="00142353" w:rsidP="004843DB">
            <w:pPr>
              <w:pStyle w:val="TableofFigures"/>
            </w:pPr>
          </w:p>
        </w:tc>
      </w:tr>
      <w:tr w:rsidR="00142353" w:rsidRPr="00D96B14" w:rsidTr="004843DB">
        <w:tc>
          <w:tcPr>
            <w:tcW w:w="2563" w:type="dxa"/>
            <w:tcBorders>
              <w:right w:val="single" w:sz="6" w:space="0" w:color="auto"/>
            </w:tcBorders>
            <w:shd w:val="clear" w:color="auto" w:fill="auto"/>
            <w:vAlign w:val="center"/>
          </w:tcPr>
          <w:p w:rsidR="00142353" w:rsidRPr="00D96B14" w:rsidRDefault="00142353" w:rsidP="004843DB">
            <w:pPr>
              <w:pStyle w:val="Tabletext"/>
            </w:pPr>
            <w:r w:rsidRPr="00D96B14">
              <w:t>Units of energy used per unit of office area (MJ/m</w:t>
            </w:r>
            <w:r w:rsidRPr="00D96B14">
              <w:rPr>
                <w:vertAlign w:val="superscript"/>
              </w:rPr>
              <w:t>2</w:t>
            </w:r>
            <w:r w:rsidRPr="00D96B14">
              <w:t>)</w:t>
            </w: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ofFigures"/>
            </w:pPr>
            <w:r w:rsidRPr="00D96B14">
              <w:t>175</w:t>
            </w:r>
          </w:p>
        </w:tc>
        <w:tc>
          <w:tcPr>
            <w:tcW w:w="900" w:type="dxa"/>
            <w:tcBorders>
              <w:left w:val="nil"/>
              <w:bottom w:val="single" w:sz="6" w:space="0" w:color="auto"/>
              <w:right w:val="nil"/>
            </w:tcBorders>
            <w:shd w:val="clear" w:color="auto" w:fill="D9D9D9"/>
          </w:tcPr>
          <w:p w:rsidR="00142353" w:rsidRPr="00D96B14" w:rsidRDefault="00142353" w:rsidP="004843DB">
            <w:pPr>
              <w:pStyle w:val="TableofFigures"/>
            </w:pPr>
          </w:p>
        </w:tc>
        <w:tc>
          <w:tcPr>
            <w:tcW w:w="900" w:type="dxa"/>
            <w:tcBorders>
              <w:left w:val="nil"/>
              <w:bottom w:val="nil"/>
              <w:right w:val="single" w:sz="6" w:space="0" w:color="auto"/>
            </w:tcBorders>
            <w:shd w:val="clear" w:color="auto" w:fill="D9D9D9"/>
          </w:tcPr>
          <w:p w:rsidR="00142353" w:rsidRPr="00D96B14" w:rsidRDefault="00142353" w:rsidP="004843DB">
            <w:pPr>
              <w:pStyle w:val="TableofFigures"/>
            </w:pPr>
          </w:p>
        </w:tc>
        <w:tc>
          <w:tcPr>
            <w:tcW w:w="900" w:type="dxa"/>
            <w:tcBorders>
              <w:left w:val="single" w:sz="6" w:space="0" w:color="auto"/>
              <w:bottom w:val="single" w:sz="6" w:space="0" w:color="auto"/>
              <w:right w:val="nil"/>
            </w:tcBorders>
            <w:shd w:val="clear" w:color="auto" w:fill="auto"/>
          </w:tcPr>
          <w:p w:rsidR="00142353" w:rsidRPr="00D96B14" w:rsidRDefault="00142353" w:rsidP="004843DB">
            <w:pPr>
              <w:pStyle w:val="TableofFigures"/>
            </w:pPr>
            <w:r w:rsidRPr="00D96B14">
              <w:t>150</w:t>
            </w:r>
          </w:p>
        </w:tc>
        <w:tc>
          <w:tcPr>
            <w:tcW w:w="900" w:type="dxa"/>
            <w:tcBorders>
              <w:left w:val="nil"/>
              <w:bottom w:val="single" w:sz="6" w:space="0" w:color="auto"/>
              <w:right w:val="nil"/>
            </w:tcBorders>
            <w:shd w:val="clear" w:color="auto" w:fill="D9D9D9"/>
          </w:tcPr>
          <w:p w:rsidR="00142353" w:rsidRPr="00D96B14" w:rsidRDefault="00142353" w:rsidP="004843DB">
            <w:pPr>
              <w:pStyle w:val="TableofFigures"/>
            </w:pPr>
          </w:p>
        </w:tc>
        <w:tc>
          <w:tcPr>
            <w:tcW w:w="900" w:type="dxa"/>
            <w:tcBorders>
              <w:left w:val="nil"/>
              <w:bottom w:val="single" w:sz="6" w:space="0" w:color="auto"/>
            </w:tcBorders>
            <w:shd w:val="clear" w:color="auto" w:fill="D9D9D9"/>
          </w:tcPr>
          <w:p w:rsidR="00142353" w:rsidRPr="00D96B14" w:rsidRDefault="00142353" w:rsidP="004843DB">
            <w:pPr>
              <w:pStyle w:val="TableofFigures"/>
            </w:pPr>
          </w:p>
        </w:tc>
      </w:tr>
      <w:tr w:rsidR="00142353" w:rsidRPr="00D96B14" w:rsidTr="004843DB">
        <w:tc>
          <w:tcPr>
            <w:tcW w:w="7963" w:type="dxa"/>
            <w:gridSpan w:val="7"/>
            <w:shd w:val="clear" w:color="auto" w:fill="auto"/>
            <w:vAlign w:val="center"/>
          </w:tcPr>
          <w:p w:rsidR="00142353" w:rsidRPr="00D96B14" w:rsidRDefault="00142353" w:rsidP="004843DB">
            <w:pPr>
              <w:pStyle w:val="Tabletext"/>
            </w:pPr>
            <w:r w:rsidRPr="00D96B14">
              <w:rPr>
                <w:b/>
                <w:bCs/>
              </w:rPr>
              <w:t>Actions undertaken</w:t>
            </w:r>
          </w:p>
        </w:tc>
      </w:tr>
      <w:tr w:rsidR="00142353" w:rsidRPr="00D96B14" w:rsidTr="004843DB">
        <w:tc>
          <w:tcPr>
            <w:tcW w:w="2563" w:type="dxa"/>
            <w:tcBorders>
              <w:bottom w:val="single" w:sz="6" w:space="0" w:color="auto"/>
              <w:right w:val="single" w:sz="6" w:space="0" w:color="auto"/>
            </w:tcBorders>
            <w:shd w:val="clear" w:color="auto" w:fill="auto"/>
            <w:vAlign w:val="center"/>
          </w:tcPr>
          <w:p w:rsidR="00142353" w:rsidRPr="00D96B14" w:rsidRDefault="00142353" w:rsidP="004843DB">
            <w:pPr>
              <w:pStyle w:val="Tabletext"/>
            </w:pPr>
            <w:r w:rsidRPr="00D96B14">
              <w:t>Delamping</w:t>
            </w:r>
          </w:p>
        </w:tc>
        <w:tc>
          <w:tcPr>
            <w:tcW w:w="5400" w:type="dxa"/>
            <w:gridSpan w:val="6"/>
            <w:tcBorders>
              <w:left w:val="single" w:sz="6" w:space="0" w:color="auto"/>
            </w:tcBorders>
            <w:shd w:val="clear" w:color="auto" w:fill="auto"/>
          </w:tcPr>
          <w:p w:rsidR="00142353" w:rsidRPr="00D96B14" w:rsidRDefault="00142353" w:rsidP="004843DB">
            <w:pPr>
              <w:pStyle w:val="Tabletext"/>
            </w:pPr>
            <w:r w:rsidRPr="00D96B14">
              <w:t>Delamping occurred throughout 95 per cent of sites across the state</w:t>
            </w:r>
          </w:p>
        </w:tc>
      </w:tr>
      <w:tr w:rsidR="00142353" w:rsidRPr="00D96B14" w:rsidTr="004843DB">
        <w:tc>
          <w:tcPr>
            <w:tcW w:w="2563" w:type="dxa"/>
            <w:tcBorders>
              <w:bottom w:val="single" w:sz="12" w:space="0" w:color="auto"/>
              <w:right w:val="single" w:sz="6" w:space="0" w:color="auto"/>
            </w:tcBorders>
            <w:shd w:val="clear" w:color="auto" w:fill="auto"/>
            <w:vAlign w:val="center"/>
          </w:tcPr>
          <w:p w:rsidR="00142353" w:rsidRPr="00D96B14" w:rsidRDefault="00142353" w:rsidP="004843DB">
            <w:pPr>
              <w:pStyle w:val="Tabletext"/>
            </w:pPr>
            <w:r w:rsidRPr="00D96B14">
              <w:t>Implementation</w:t>
            </w:r>
          </w:p>
        </w:tc>
        <w:tc>
          <w:tcPr>
            <w:tcW w:w="5400" w:type="dxa"/>
            <w:gridSpan w:val="6"/>
            <w:tcBorders>
              <w:left w:val="single" w:sz="6" w:space="0" w:color="auto"/>
            </w:tcBorders>
            <w:shd w:val="clear" w:color="auto" w:fill="auto"/>
          </w:tcPr>
          <w:p w:rsidR="00142353" w:rsidRPr="00D96B14" w:rsidRDefault="00142353" w:rsidP="004843DB">
            <w:pPr>
              <w:pStyle w:val="Tabletext"/>
            </w:pPr>
            <w:r w:rsidRPr="00D96B14">
              <w:t>All opportunities with paybacks less than four years implemented</w:t>
            </w:r>
          </w:p>
        </w:tc>
      </w:tr>
    </w:tbl>
    <w:p w:rsidR="00142353" w:rsidRPr="00D96B14" w:rsidRDefault="00142353" w:rsidP="00142353">
      <w:pPr>
        <w:pStyle w:val="Notes"/>
      </w:pPr>
    </w:p>
    <w:p w:rsidR="00142353" w:rsidRPr="00D96B14" w:rsidRDefault="00142353" w:rsidP="00142353">
      <w:pPr>
        <w:pStyle w:val="Heading2"/>
      </w:pPr>
      <w:r w:rsidRPr="00D96B14">
        <w:t>Targets</w:t>
      </w:r>
    </w:p>
    <w:p w:rsidR="00142353" w:rsidRPr="00D96B14" w:rsidRDefault="00142353" w:rsidP="00142353">
      <w:r w:rsidRPr="00D96B14">
        <w:t>The following targets have been set for 2015</w:t>
      </w:r>
      <w:r w:rsidR="005A4BB0">
        <w:noBreakHyphen/>
      </w:r>
      <w:r w:rsidRPr="00D96B14">
        <w:t>16:</w:t>
      </w:r>
    </w:p>
    <w:p w:rsidR="00142353" w:rsidRPr="00D96B14" w:rsidRDefault="00142353" w:rsidP="00142353">
      <w:pPr>
        <w:pStyle w:val="Bullet"/>
      </w:pPr>
      <w:r w:rsidRPr="00D96B14">
        <w:t>5 per cent energy intensity reduction, measured as MJ/m</w:t>
      </w:r>
      <w:r w:rsidRPr="00D96B14">
        <w:rPr>
          <w:vertAlign w:val="superscript"/>
        </w:rPr>
        <w:t>2</w:t>
      </w:r>
      <w:r w:rsidRPr="00D96B14">
        <w:t>, from 2010</w:t>
      </w:r>
      <w:r w:rsidR="005A4BB0">
        <w:noBreakHyphen/>
      </w:r>
      <w:r w:rsidRPr="00D96B14">
        <w:t>11 values by 30 June 2016; and</w:t>
      </w:r>
    </w:p>
    <w:p w:rsidR="00142353" w:rsidRPr="00D96B14" w:rsidRDefault="00142353" w:rsidP="00142353">
      <w:pPr>
        <w:pStyle w:val="Bullet"/>
      </w:pPr>
      <w:r w:rsidRPr="00D96B14">
        <w:t xml:space="preserve">purchase 25 per cent green power, as percentage of total electricity consumption, by 30 June 2016. </w:t>
      </w:r>
    </w:p>
    <w:p w:rsidR="00142353" w:rsidRPr="00D96B14" w:rsidRDefault="00142353" w:rsidP="00142353">
      <w:pPr>
        <w:pStyle w:val="Heading2"/>
      </w:pPr>
      <w:r w:rsidRPr="00D96B14">
        <w:t>Explanatory notes</w:t>
      </w:r>
    </w:p>
    <w:p w:rsidR="00142353" w:rsidRPr="00D96B14" w:rsidRDefault="00142353" w:rsidP="00142353">
      <w:r w:rsidRPr="00D96B14">
        <w:t>The increase in total energy usage from 2014</w:t>
      </w:r>
      <w:r w:rsidR="005A4BB0">
        <w:noBreakHyphen/>
      </w:r>
      <w:r w:rsidRPr="00D96B14">
        <w:t>15 to 2015</w:t>
      </w:r>
      <w:r w:rsidR="005A4BB0">
        <w:noBreakHyphen/>
      </w:r>
      <w:r w:rsidRPr="00D96B14">
        <w:t>16 has occurred because the Department is now reporting data for an additional seven research facilities.</w:t>
      </w:r>
    </w:p>
    <w:p w:rsidR="00142353" w:rsidRPr="00D96B14" w:rsidRDefault="00142353" w:rsidP="00142353"/>
    <w:p w:rsidR="00142353" w:rsidRPr="00D96B14" w:rsidRDefault="00142353" w:rsidP="00142353">
      <w:pPr>
        <w:pStyle w:val="SmallLine"/>
      </w:pPr>
      <w:r w:rsidRPr="00D96B14">
        <w:br w:type="column"/>
      </w:r>
    </w:p>
    <w:p w:rsidR="00142353" w:rsidRPr="00D96B14" w:rsidRDefault="00142353" w:rsidP="00142353">
      <w:pPr>
        <w:pStyle w:val="Reference"/>
        <w:spacing w:before="260"/>
        <w:rPr>
          <w:lang w:val="en-AU"/>
        </w:rPr>
      </w:pPr>
      <w:r w:rsidRPr="00D96B14">
        <w:rPr>
          <w:lang w:val="en-AU"/>
        </w:rPr>
        <w:t>FRD 24C</w:t>
      </w:r>
    </w:p>
    <w:p w:rsidR="00142353" w:rsidRPr="00D96B14" w:rsidRDefault="00142353" w:rsidP="00142353">
      <w:pPr>
        <w:pStyle w:val="Heading3"/>
      </w:pPr>
      <w:r w:rsidRPr="00D96B14">
        <w:br w:type="column"/>
      </w:r>
      <w:r w:rsidRPr="00D96B14">
        <w:lastRenderedPageBreak/>
        <w:t>Waste</w:t>
      </w:r>
    </w:p>
    <w:p w:rsidR="00142353" w:rsidRPr="00D96B14" w:rsidRDefault="00142353" w:rsidP="00142353">
      <w:r w:rsidRPr="00D96B14">
        <w:t xml:space="preserve">The waste generated by processes within the Department is divided into three general classes – landfill, compost and recycling. </w:t>
      </w:r>
    </w:p>
    <w:p w:rsidR="00142353" w:rsidRPr="00D96B14" w:rsidRDefault="00142353" w:rsidP="00142353">
      <w:r w:rsidRPr="00D96B14">
        <w:t xml:space="preserve">The </w:t>
      </w:r>
      <w:r w:rsidRPr="00D96B14">
        <w:rPr>
          <w:i/>
        </w:rPr>
        <w:t>aWay With Waste</w:t>
      </w:r>
      <w:r w:rsidRPr="00D96B14">
        <w:t xml:space="preserve"> system was made available to a slightly greater proportion of departmental staff in 2015</w:t>
      </w:r>
      <w:r w:rsidR="005A4BB0">
        <w:noBreakHyphen/>
      </w:r>
      <w:r w:rsidRPr="00D96B14">
        <w:t>16, with most regional sites now covered. This program facilitates the easy segregation of waste materials for recycling, composting or landfill in the Department</w:t>
      </w:r>
      <w:r w:rsidR="005A4BB0">
        <w:t>’</w:t>
      </w:r>
      <w:r w:rsidRPr="00D96B14">
        <w:t>s offices.</w:t>
      </w:r>
    </w:p>
    <w:p w:rsidR="00142353" w:rsidRPr="00D96B14" w:rsidRDefault="00142353" w:rsidP="00142353">
      <w:r w:rsidRPr="00D96B14">
        <w:t>The data presented below is derived from four waste audits that were each over five days and conducted at two sites accommodating over 30 per cent of employees.</w:t>
      </w:r>
    </w:p>
    <w:p w:rsidR="00142353" w:rsidRPr="00D96B14" w:rsidRDefault="00142353" w:rsidP="00142353">
      <w:pPr>
        <w:pStyle w:val="Notes"/>
      </w:pPr>
    </w:p>
    <w:tbl>
      <w:tblPr>
        <w:tblW w:w="7873" w:type="dxa"/>
        <w:tblBorders>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563"/>
        <w:gridCol w:w="810"/>
        <w:gridCol w:w="1080"/>
        <w:gridCol w:w="810"/>
        <w:gridCol w:w="720"/>
        <w:gridCol w:w="1080"/>
        <w:gridCol w:w="810"/>
      </w:tblGrid>
      <w:tr w:rsidR="00142353" w:rsidRPr="00D96B14" w:rsidTr="004843DB">
        <w:trPr>
          <w:cantSplit/>
        </w:trPr>
        <w:tc>
          <w:tcPr>
            <w:tcW w:w="2563" w:type="dxa"/>
            <w:tcBorders>
              <w:top w:val="single" w:sz="4" w:space="0" w:color="auto"/>
            </w:tcBorders>
            <w:shd w:val="clear" w:color="auto" w:fill="auto"/>
          </w:tcPr>
          <w:p w:rsidR="00142353" w:rsidRPr="00D96B14" w:rsidRDefault="00142353" w:rsidP="004843DB">
            <w:pPr>
              <w:pStyle w:val="Tabletextbold"/>
              <w:rPr>
                <w:i/>
              </w:rPr>
            </w:pPr>
            <w:r w:rsidRPr="00D96B14">
              <w:t>Indicator</w:t>
            </w:r>
          </w:p>
        </w:tc>
        <w:tc>
          <w:tcPr>
            <w:tcW w:w="2700" w:type="dxa"/>
            <w:gridSpan w:val="3"/>
            <w:tcBorders>
              <w:top w:val="single" w:sz="4" w:space="0" w:color="auto"/>
            </w:tcBorders>
            <w:shd w:val="clear" w:color="auto" w:fill="auto"/>
          </w:tcPr>
          <w:p w:rsidR="00142353" w:rsidRPr="00D96B14" w:rsidRDefault="00142353" w:rsidP="004843DB">
            <w:pPr>
              <w:pStyle w:val="Tabletextheading"/>
              <w:jc w:val="center"/>
            </w:pPr>
            <w:r w:rsidRPr="00D96B14">
              <w:t>2015</w:t>
            </w:r>
            <w:r w:rsidR="005A4BB0">
              <w:noBreakHyphen/>
            </w:r>
            <w:r w:rsidRPr="00D96B14">
              <w:t>16</w:t>
            </w:r>
          </w:p>
        </w:tc>
        <w:tc>
          <w:tcPr>
            <w:tcW w:w="2610" w:type="dxa"/>
            <w:gridSpan w:val="3"/>
            <w:tcBorders>
              <w:top w:val="single" w:sz="4" w:space="0" w:color="auto"/>
            </w:tcBorders>
            <w:shd w:val="clear" w:color="auto" w:fill="auto"/>
          </w:tcPr>
          <w:p w:rsidR="00142353" w:rsidRPr="00D96B14" w:rsidRDefault="00142353" w:rsidP="004843DB">
            <w:pPr>
              <w:pStyle w:val="Tabletextheading"/>
              <w:jc w:val="center"/>
            </w:pPr>
            <w:r w:rsidRPr="00D96B14">
              <w:t>2014</w:t>
            </w:r>
            <w:r w:rsidR="005A4BB0">
              <w:noBreakHyphen/>
            </w:r>
            <w:r w:rsidRPr="00D96B14">
              <w:t>15</w:t>
            </w:r>
          </w:p>
        </w:tc>
      </w:tr>
      <w:tr w:rsidR="00142353" w:rsidRPr="00D96B14" w:rsidTr="004843DB">
        <w:trPr>
          <w:cantSplit/>
        </w:trPr>
        <w:tc>
          <w:tcPr>
            <w:tcW w:w="2563" w:type="dxa"/>
            <w:tcBorders>
              <w:top w:val="single" w:sz="4" w:space="0" w:color="auto"/>
            </w:tcBorders>
            <w:shd w:val="clear" w:color="auto" w:fill="auto"/>
          </w:tcPr>
          <w:p w:rsidR="00142353" w:rsidRPr="00D96B14" w:rsidRDefault="00142353" w:rsidP="004843DB">
            <w:pPr>
              <w:pStyle w:val="Tabletextheading"/>
              <w:jc w:val="left"/>
              <w:rPr>
                <w:b/>
                <w:i w:val="0"/>
              </w:rPr>
            </w:pPr>
          </w:p>
        </w:tc>
        <w:tc>
          <w:tcPr>
            <w:tcW w:w="810" w:type="dxa"/>
            <w:tcBorders>
              <w:top w:val="single" w:sz="4" w:space="0" w:color="auto"/>
            </w:tcBorders>
            <w:shd w:val="clear" w:color="auto" w:fill="auto"/>
          </w:tcPr>
          <w:p w:rsidR="00142353" w:rsidRPr="00D96B14" w:rsidRDefault="00142353" w:rsidP="004843DB">
            <w:pPr>
              <w:pStyle w:val="Tabletextheading"/>
            </w:pPr>
            <w:r w:rsidRPr="00D96B14">
              <w:t>Landfill</w:t>
            </w:r>
          </w:p>
        </w:tc>
        <w:tc>
          <w:tcPr>
            <w:tcW w:w="1080" w:type="dxa"/>
            <w:tcBorders>
              <w:top w:val="single" w:sz="4" w:space="0" w:color="auto"/>
            </w:tcBorders>
            <w:shd w:val="clear" w:color="auto" w:fill="auto"/>
          </w:tcPr>
          <w:p w:rsidR="00142353" w:rsidRPr="00D96B14" w:rsidRDefault="00142353" w:rsidP="004843DB">
            <w:pPr>
              <w:pStyle w:val="Tabletextheading"/>
            </w:pPr>
            <w:r w:rsidRPr="00D96B14">
              <w:t>Commingled recycling</w:t>
            </w:r>
          </w:p>
        </w:tc>
        <w:tc>
          <w:tcPr>
            <w:tcW w:w="810" w:type="dxa"/>
            <w:tcBorders>
              <w:top w:val="single" w:sz="4" w:space="0" w:color="auto"/>
            </w:tcBorders>
            <w:shd w:val="clear" w:color="auto" w:fill="auto"/>
          </w:tcPr>
          <w:p w:rsidR="00142353" w:rsidRPr="00D96B14" w:rsidRDefault="00142353" w:rsidP="004843DB">
            <w:pPr>
              <w:pStyle w:val="Tabletextheading"/>
            </w:pPr>
            <w:r w:rsidRPr="00D96B14">
              <w:t>Compost</w:t>
            </w:r>
          </w:p>
        </w:tc>
        <w:tc>
          <w:tcPr>
            <w:tcW w:w="720" w:type="dxa"/>
            <w:tcBorders>
              <w:top w:val="single" w:sz="4" w:space="0" w:color="auto"/>
            </w:tcBorders>
            <w:shd w:val="clear" w:color="auto" w:fill="auto"/>
          </w:tcPr>
          <w:p w:rsidR="00142353" w:rsidRPr="00D96B14" w:rsidRDefault="00142353" w:rsidP="004843DB">
            <w:pPr>
              <w:pStyle w:val="Tabletextheading"/>
            </w:pPr>
            <w:r w:rsidRPr="00D96B14">
              <w:t>Landfill</w:t>
            </w:r>
          </w:p>
        </w:tc>
        <w:tc>
          <w:tcPr>
            <w:tcW w:w="1080" w:type="dxa"/>
            <w:tcBorders>
              <w:top w:val="single" w:sz="4" w:space="0" w:color="auto"/>
            </w:tcBorders>
            <w:shd w:val="clear" w:color="auto" w:fill="auto"/>
          </w:tcPr>
          <w:p w:rsidR="00142353" w:rsidRPr="00D96B14" w:rsidRDefault="00142353" w:rsidP="004843DB">
            <w:pPr>
              <w:pStyle w:val="Tabletextheading"/>
            </w:pPr>
            <w:r w:rsidRPr="00D96B14">
              <w:t>Commingled recycling</w:t>
            </w:r>
          </w:p>
        </w:tc>
        <w:tc>
          <w:tcPr>
            <w:tcW w:w="810" w:type="dxa"/>
            <w:tcBorders>
              <w:top w:val="single" w:sz="4" w:space="0" w:color="auto"/>
            </w:tcBorders>
            <w:shd w:val="clear" w:color="auto" w:fill="auto"/>
          </w:tcPr>
          <w:p w:rsidR="00142353" w:rsidRPr="00D96B14" w:rsidRDefault="00142353" w:rsidP="004843DB">
            <w:pPr>
              <w:pStyle w:val="Tabletextheading"/>
            </w:pPr>
            <w:r w:rsidRPr="00D96B14">
              <w:t>Compost</w:t>
            </w:r>
          </w:p>
        </w:tc>
      </w:tr>
      <w:tr w:rsidR="00142353" w:rsidRPr="00D96B14" w:rsidTr="004843DB">
        <w:trPr>
          <w:cantSplit/>
        </w:trPr>
        <w:tc>
          <w:tcPr>
            <w:tcW w:w="2563" w:type="dxa"/>
            <w:shd w:val="clear" w:color="auto" w:fill="auto"/>
          </w:tcPr>
          <w:p w:rsidR="00142353" w:rsidRPr="00D96B14" w:rsidRDefault="00142353" w:rsidP="004843DB">
            <w:pPr>
              <w:pStyle w:val="Tabletext"/>
            </w:pPr>
            <w:r w:rsidRPr="00D96B14">
              <w:t>Total units of waste disposed of by destination (kg/yr)</w:t>
            </w:r>
          </w:p>
        </w:tc>
        <w:tc>
          <w:tcPr>
            <w:tcW w:w="810" w:type="dxa"/>
            <w:shd w:val="clear" w:color="auto" w:fill="auto"/>
          </w:tcPr>
          <w:p w:rsidR="00142353" w:rsidRPr="00D96B14" w:rsidRDefault="00142353" w:rsidP="004843DB">
            <w:pPr>
              <w:pStyle w:val="TableofFigures"/>
            </w:pPr>
            <w:r w:rsidRPr="00D96B14">
              <w:t>100 500</w:t>
            </w:r>
          </w:p>
        </w:tc>
        <w:tc>
          <w:tcPr>
            <w:tcW w:w="1080" w:type="dxa"/>
            <w:shd w:val="clear" w:color="auto" w:fill="auto"/>
          </w:tcPr>
          <w:p w:rsidR="00142353" w:rsidRPr="00D96B14" w:rsidRDefault="00142353" w:rsidP="004843DB">
            <w:pPr>
              <w:pStyle w:val="TableofFigures"/>
            </w:pPr>
            <w:r w:rsidRPr="00D96B14">
              <w:t>25 100 500</w:t>
            </w:r>
          </w:p>
        </w:tc>
        <w:tc>
          <w:tcPr>
            <w:tcW w:w="810" w:type="dxa"/>
            <w:shd w:val="clear" w:color="auto" w:fill="auto"/>
          </w:tcPr>
          <w:p w:rsidR="00142353" w:rsidRPr="00D96B14" w:rsidRDefault="00142353" w:rsidP="004843DB">
            <w:pPr>
              <w:pStyle w:val="TableofFigures"/>
            </w:pPr>
            <w:r w:rsidRPr="00D96B14">
              <w:t>90 500</w:t>
            </w:r>
          </w:p>
        </w:tc>
        <w:tc>
          <w:tcPr>
            <w:tcW w:w="720" w:type="dxa"/>
            <w:shd w:val="clear" w:color="auto" w:fill="auto"/>
          </w:tcPr>
          <w:p w:rsidR="00142353" w:rsidRPr="00D96B14" w:rsidRDefault="00142353" w:rsidP="004843DB">
            <w:pPr>
              <w:pStyle w:val="TableofFigures"/>
            </w:pPr>
            <w:r w:rsidRPr="00D96B14">
              <w:t>100 500</w:t>
            </w:r>
          </w:p>
        </w:tc>
        <w:tc>
          <w:tcPr>
            <w:tcW w:w="1080" w:type="dxa"/>
            <w:shd w:val="clear" w:color="auto" w:fill="auto"/>
          </w:tcPr>
          <w:p w:rsidR="00142353" w:rsidRPr="00D96B14" w:rsidRDefault="00142353" w:rsidP="004843DB">
            <w:pPr>
              <w:pStyle w:val="TableofFigures"/>
            </w:pPr>
            <w:r w:rsidRPr="00D96B14">
              <w:t>25 100 500</w:t>
            </w:r>
          </w:p>
        </w:tc>
        <w:tc>
          <w:tcPr>
            <w:tcW w:w="810" w:type="dxa"/>
            <w:shd w:val="clear" w:color="auto" w:fill="auto"/>
          </w:tcPr>
          <w:p w:rsidR="00142353" w:rsidRPr="00D96B14" w:rsidRDefault="00142353" w:rsidP="004843DB">
            <w:pPr>
              <w:pStyle w:val="TableofFigures"/>
            </w:pPr>
            <w:r w:rsidRPr="00D96B14">
              <w:t>90 500</w:t>
            </w:r>
          </w:p>
        </w:tc>
      </w:tr>
      <w:tr w:rsidR="00142353" w:rsidRPr="00D96B14" w:rsidTr="004843DB">
        <w:trPr>
          <w:cantSplit/>
        </w:trPr>
        <w:tc>
          <w:tcPr>
            <w:tcW w:w="2563" w:type="dxa"/>
            <w:shd w:val="clear" w:color="auto" w:fill="auto"/>
          </w:tcPr>
          <w:p w:rsidR="00142353" w:rsidRPr="00D96B14" w:rsidRDefault="00142353" w:rsidP="004843DB">
            <w:pPr>
              <w:pStyle w:val="Tabletext"/>
            </w:pPr>
            <w:r w:rsidRPr="00D96B14">
              <w:t>Units of waste disposed of per FTE by destinations (kg/FTE)</w:t>
            </w:r>
          </w:p>
        </w:tc>
        <w:tc>
          <w:tcPr>
            <w:tcW w:w="810" w:type="dxa"/>
            <w:shd w:val="clear" w:color="auto" w:fill="auto"/>
          </w:tcPr>
          <w:p w:rsidR="00142353" w:rsidRPr="00D96B14" w:rsidRDefault="00142353" w:rsidP="004843DB">
            <w:pPr>
              <w:pStyle w:val="TableofFigures"/>
            </w:pPr>
            <w:r w:rsidRPr="00D96B14">
              <w:t>25</w:t>
            </w:r>
          </w:p>
        </w:tc>
        <w:tc>
          <w:tcPr>
            <w:tcW w:w="1080" w:type="dxa"/>
            <w:shd w:val="clear" w:color="auto" w:fill="auto"/>
          </w:tcPr>
          <w:p w:rsidR="00142353" w:rsidRPr="00D96B14" w:rsidRDefault="00142353" w:rsidP="004843DB">
            <w:pPr>
              <w:pStyle w:val="TableofFigures"/>
            </w:pPr>
            <w:r w:rsidRPr="00D96B14">
              <w:t>52</w:t>
            </w:r>
          </w:p>
        </w:tc>
        <w:tc>
          <w:tcPr>
            <w:tcW w:w="810" w:type="dxa"/>
            <w:shd w:val="clear" w:color="auto" w:fill="auto"/>
          </w:tcPr>
          <w:p w:rsidR="00142353" w:rsidRPr="00D96B14" w:rsidRDefault="00142353" w:rsidP="004843DB">
            <w:pPr>
              <w:pStyle w:val="TableofFigures"/>
            </w:pPr>
            <w:r w:rsidRPr="00D96B14">
              <w:t>28</w:t>
            </w:r>
          </w:p>
        </w:tc>
        <w:tc>
          <w:tcPr>
            <w:tcW w:w="720" w:type="dxa"/>
            <w:shd w:val="clear" w:color="auto" w:fill="auto"/>
          </w:tcPr>
          <w:p w:rsidR="00142353" w:rsidRPr="00D96B14" w:rsidRDefault="00142353" w:rsidP="004843DB">
            <w:pPr>
              <w:pStyle w:val="TableofFigures"/>
            </w:pPr>
            <w:r w:rsidRPr="00D96B14">
              <w:t>25</w:t>
            </w:r>
          </w:p>
        </w:tc>
        <w:tc>
          <w:tcPr>
            <w:tcW w:w="1080" w:type="dxa"/>
            <w:shd w:val="clear" w:color="auto" w:fill="auto"/>
          </w:tcPr>
          <w:p w:rsidR="00142353" w:rsidRPr="00D96B14" w:rsidRDefault="00142353" w:rsidP="004843DB">
            <w:pPr>
              <w:pStyle w:val="TableofFigures"/>
            </w:pPr>
            <w:r w:rsidRPr="00D96B14">
              <w:t>52</w:t>
            </w:r>
          </w:p>
        </w:tc>
        <w:tc>
          <w:tcPr>
            <w:tcW w:w="810" w:type="dxa"/>
            <w:shd w:val="clear" w:color="auto" w:fill="auto"/>
          </w:tcPr>
          <w:p w:rsidR="00142353" w:rsidRPr="00D96B14" w:rsidRDefault="00142353" w:rsidP="004843DB">
            <w:pPr>
              <w:pStyle w:val="TableofFigures"/>
            </w:pPr>
            <w:r w:rsidRPr="00D96B14">
              <w:t>28</w:t>
            </w:r>
          </w:p>
        </w:tc>
      </w:tr>
      <w:tr w:rsidR="00142353" w:rsidRPr="00D96B14" w:rsidTr="004843DB">
        <w:trPr>
          <w:cantSplit/>
        </w:trPr>
        <w:tc>
          <w:tcPr>
            <w:tcW w:w="2563" w:type="dxa"/>
            <w:shd w:val="clear" w:color="auto" w:fill="auto"/>
          </w:tcPr>
          <w:p w:rsidR="00142353" w:rsidRPr="00D96B14" w:rsidRDefault="00142353" w:rsidP="004843DB">
            <w:pPr>
              <w:pStyle w:val="Tabletext"/>
            </w:pPr>
            <w:r w:rsidRPr="00D96B14">
              <w:t>Recycling rate (percentage of total waste)</w:t>
            </w:r>
          </w:p>
        </w:tc>
        <w:tc>
          <w:tcPr>
            <w:tcW w:w="2700" w:type="dxa"/>
            <w:gridSpan w:val="3"/>
            <w:shd w:val="clear" w:color="auto" w:fill="auto"/>
          </w:tcPr>
          <w:p w:rsidR="00142353" w:rsidRPr="00D96B14" w:rsidRDefault="00142353" w:rsidP="004843DB">
            <w:pPr>
              <w:pStyle w:val="TableofFigures"/>
            </w:pPr>
            <w:r w:rsidRPr="00D96B14">
              <w:t>85</w:t>
            </w:r>
          </w:p>
        </w:tc>
        <w:tc>
          <w:tcPr>
            <w:tcW w:w="2610" w:type="dxa"/>
            <w:gridSpan w:val="3"/>
            <w:shd w:val="clear" w:color="auto" w:fill="auto"/>
          </w:tcPr>
          <w:p w:rsidR="00142353" w:rsidRPr="00D96B14" w:rsidRDefault="00142353" w:rsidP="004843DB">
            <w:pPr>
              <w:pStyle w:val="TableofFigures"/>
            </w:pPr>
            <w:r w:rsidRPr="00D96B14">
              <w:t>90</w:t>
            </w:r>
          </w:p>
        </w:tc>
      </w:tr>
      <w:tr w:rsidR="00142353" w:rsidRPr="00D96B14" w:rsidTr="004843DB">
        <w:trPr>
          <w:cantSplit/>
        </w:trPr>
        <w:tc>
          <w:tcPr>
            <w:tcW w:w="2563" w:type="dxa"/>
            <w:shd w:val="clear" w:color="auto" w:fill="auto"/>
          </w:tcPr>
          <w:p w:rsidR="00142353" w:rsidRPr="00D96B14" w:rsidRDefault="00142353" w:rsidP="004843DB">
            <w:pPr>
              <w:pStyle w:val="Tabletext"/>
            </w:pPr>
            <w:r w:rsidRPr="00D96B14">
              <w:t>Greenhouse gas emissions associated with waste disposal (t CO</w:t>
            </w:r>
            <w:r w:rsidRPr="00D96B14">
              <w:rPr>
                <w:vertAlign w:val="superscript"/>
              </w:rPr>
              <w:t>2</w:t>
            </w:r>
            <w:r w:rsidR="005A4BB0">
              <w:noBreakHyphen/>
            </w:r>
            <w:r w:rsidRPr="00D96B14">
              <w:t>e)</w:t>
            </w:r>
          </w:p>
        </w:tc>
        <w:tc>
          <w:tcPr>
            <w:tcW w:w="2700" w:type="dxa"/>
            <w:gridSpan w:val="3"/>
            <w:shd w:val="clear" w:color="auto" w:fill="auto"/>
          </w:tcPr>
          <w:p w:rsidR="00142353" w:rsidRPr="00D96B14" w:rsidRDefault="00142353" w:rsidP="004843DB">
            <w:pPr>
              <w:pStyle w:val="TableofFigures"/>
            </w:pPr>
            <w:r w:rsidRPr="00D96B14">
              <w:t>15 500</w:t>
            </w:r>
          </w:p>
        </w:tc>
        <w:tc>
          <w:tcPr>
            <w:tcW w:w="2610" w:type="dxa"/>
            <w:gridSpan w:val="3"/>
            <w:shd w:val="clear" w:color="auto" w:fill="auto"/>
          </w:tcPr>
          <w:p w:rsidR="00142353" w:rsidRPr="00D96B14" w:rsidRDefault="00142353" w:rsidP="004843DB">
            <w:pPr>
              <w:pStyle w:val="TableofFigures"/>
            </w:pPr>
            <w:r w:rsidRPr="00D96B14">
              <w:t>12 500</w:t>
            </w:r>
          </w:p>
        </w:tc>
      </w:tr>
      <w:tr w:rsidR="00142353" w:rsidRPr="00D96B14" w:rsidTr="004843DB">
        <w:trPr>
          <w:cantSplit/>
        </w:trPr>
        <w:tc>
          <w:tcPr>
            <w:tcW w:w="7873" w:type="dxa"/>
            <w:gridSpan w:val="7"/>
            <w:shd w:val="clear" w:color="auto" w:fill="auto"/>
          </w:tcPr>
          <w:p w:rsidR="00142353" w:rsidRPr="00D96B14" w:rsidRDefault="00142353" w:rsidP="004843DB">
            <w:pPr>
              <w:pStyle w:val="Tabletextbold"/>
            </w:pPr>
            <w:r w:rsidRPr="00D96B14">
              <w:t>Actions undertaken</w:t>
            </w:r>
          </w:p>
        </w:tc>
      </w:tr>
      <w:tr w:rsidR="00142353" w:rsidRPr="00D96B14" w:rsidTr="004843DB">
        <w:trPr>
          <w:cantSplit/>
        </w:trPr>
        <w:tc>
          <w:tcPr>
            <w:tcW w:w="2563" w:type="dxa"/>
            <w:tcBorders>
              <w:bottom w:val="single" w:sz="4" w:space="0" w:color="auto"/>
            </w:tcBorders>
            <w:shd w:val="clear" w:color="auto" w:fill="auto"/>
          </w:tcPr>
          <w:p w:rsidR="00142353" w:rsidRPr="00D96B14" w:rsidRDefault="00142353" w:rsidP="004843DB">
            <w:pPr>
              <w:pStyle w:val="Tabletext"/>
              <w:rPr>
                <w:i/>
              </w:rPr>
            </w:pPr>
            <w:r w:rsidRPr="00D96B14">
              <w:rPr>
                <w:i/>
              </w:rPr>
              <w:t>aWay with Waste</w:t>
            </w:r>
          </w:p>
        </w:tc>
        <w:tc>
          <w:tcPr>
            <w:tcW w:w="5310" w:type="dxa"/>
            <w:gridSpan w:val="6"/>
            <w:tcBorders>
              <w:bottom w:val="single" w:sz="4" w:space="0" w:color="auto"/>
            </w:tcBorders>
            <w:shd w:val="clear" w:color="auto" w:fill="auto"/>
          </w:tcPr>
          <w:p w:rsidR="00142353" w:rsidRPr="00D96B14" w:rsidRDefault="00142353" w:rsidP="004843DB">
            <w:pPr>
              <w:pStyle w:val="Tabletext"/>
            </w:pPr>
            <w:r w:rsidRPr="00D96B14">
              <w:t>The program was launched at a further five sites and now covers 94 per cent of sites and 89 per cent of staff</w:t>
            </w:r>
          </w:p>
        </w:tc>
      </w:tr>
      <w:tr w:rsidR="00142353" w:rsidRPr="00D96B14" w:rsidTr="004843DB">
        <w:trPr>
          <w:cantSplit/>
        </w:trPr>
        <w:tc>
          <w:tcPr>
            <w:tcW w:w="2563" w:type="dxa"/>
            <w:tcBorders>
              <w:top w:val="single" w:sz="4" w:space="0" w:color="auto"/>
              <w:bottom w:val="single" w:sz="4" w:space="0" w:color="auto"/>
            </w:tcBorders>
            <w:shd w:val="clear" w:color="auto" w:fill="auto"/>
          </w:tcPr>
          <w:p w:rsidR="00142353" w:rsidRPr="00D96B14" w:rsidRDefault="00142353" w:rsidP="004843DB">
            <w:pPr>
              <w:pStyle w:val="Tabletext"/>
            </w:pPr>
            <w:r w:rsidRPr="00D96B14">
              <w:t>Fluro tube recycling</w:t>
            </w:r>
          </w:p>
        </w:tc>
        <w:tc>
          <w:tcPr>
            <w:tcW w:w="5310" w:type="dxa"/>
            <w:gridSpan w:val="6"/>
            <w:tcBorders>
              <w:top w:val="single" w:sz="4" w:space="0" w:color="auto"/>
              <w:bottom w:val="single" w:sz="4" w:space="0" w:color="auto"/>
            </w:tcBorders>
            <w:shd w:val="clear" w:color="auto" w:fill="auto"/>
          </w:tcPr>
          <w:p w:rsidR="00142353" w:rsidRPr="00D96B14" w:rsidRDefault="00142353" w:rsidP="004843DB">
            <w:pPr>
              <w:pStyle w:val="Tabletext"/>
            </w:pPr>
            <w:r w:rsidRPr="00D96B14">
              <w:t>Introduction of fluro tube recycling at six sites</w:t>
            </w:r>
          </w:p>
        </w:tc>
      </w:tr>
    </w:tbl>
    <w:p w:rsidR="00142353" w:rsidRPr="00D96B14" w:rsidRDefault="00142353" w:rsidP="00142353">
      <w:pPr>
        <w:pStyle w:val="Notes"/>
      </w:pPr>
    </w:p>
    <w:p w:rsidR="00142353" w:rsidRPr="00D96B14" w:rsidRDefault="00142353" w:rsidP="00142353">
      <w:pPr>
        <w:pStyle w:val="Heading2"/>
      </w:pPr>
      <w:r w:rsidRPr="00D96B14">
        <w:t>Targets</w:t>
      </w:r>
    </w:p>
    <w:p w:rsidR="00142353" w:rsidRPr="00D96B14" w:rsidRDefault="00142353" w:rsidP="00142353">
      <w:r w:rsidRPr="00D96B14">
        <w:t>The following targets have been set for 2015</w:t>
      </w:r>
      <w:r w:rsidR="005A4BB0">
        <w:noBreakHyphen/>
      </w:r>
      <w:r w:rsidRPr="00D96B14">
        <w:t>16:</w:t>
      </w:r>
    </w:p>
    <w:p w:rsidR="00142353" w:rsidRPr="00D96B14" w:rsidRDefault="00142353" w:rsidP="00142353">
      <w:pPr>
        <w:pStyle w:val="Bullet"/>
      </w:pPr>
      <w:r w:rsidRPr="00D96B14">
        <w:rPr>
          <w:i/>
        </w:rPr>
        <w:t>aWay With Waste</w:t>
      </w:r>
      <w:r w:rsidRPr="00D96B14">
        <w:t xml:space="preserve"> to be available to 95 per cent of Department staff by 30 June 2016; and</w:t>
      </w:r>
    </w:p>
    <w:p w:rsidR="00142353" w:rsidRPr="00D96B14" w:rsidRDefault="00142353" w:rsidP="00142353">
      <w:pPr>
        <w:pStyle w:val="Bullet"/>
      </w:pPr>
      <w:r w:rsidRPr="00D96B14">
        <w:t>all Department sites with greater than 100 FTEs to have Green Collect service available by 30 June 2016.</w:t>
      </w:r>
    </w:p>
    <w:p w:rsidR="00142353" w:rsidRPr="00D96B14" w:rsidRDefault="00142353" w:rsidP="00142353">
      <w:pPr>
        <w:pStyle w:val="Heading2"/>
      </w:pPr>
      <w:r w:rsidRPr="00D96B14">
        <w:t>Explanatory notes</w:t>
      </w:r>
    </w:p>
    <w:p w:rsidR="00142353" w:rsidRPr="00D96B14" w:rsidRDefault="00142353" w:rsidP="00142353">
      <w:pPr>
        <w:pStyle w:val="NormalBlue"/>
        <w:rPr>
          <w:i/>
          <w:iCs/>
        </w:rPr>
      </w:pPr>
      <w:r w:rsidRPr="00D96B14">
        <w:rPr>
          <w:i/>
          <w:iCs/>
        </w:rPr>
        <w:t>[Insert as appropriate.]</w:t>
      </w:r>
    </w:p>
    <w:p w:rsidR="00142353" w:rsidRPr="00D96B14" w:rsidRDefault="00142353" w:rsidP="00142353">
      <w:pPr>
        <w:pStyle w:val="Reference"/>
        <w:spacing w:before="300"/>
      </w:pPr>
      <w:r w:rsidRPr="00D96B14">
        <w:rPr>
          <w:lang w:val="en-AU"/>
        </w:rPr>
        <w:br w:type="column"/>
      </w:r>
      <w:r w:rsidRPr="00D96B14">
        <w:rPr>
          <w:lang w:val="en-AU"/>
        </w:rPr>
        <w:lastRenderedPageBreak/>
        <w:t>FRD 24C</w:t>
      </w:r>
    </w:p>
    <w:p w:rsidR="00142353" w:rsidRPr="00D96B14" w:rsidRDefault="00142353" w:rsidP="00142353">
      <w:pPr>
        <w:pStyle w:val="Heading3"/>
      </w:pPr>
      <w:r w:rsidRPr="00D96B14">
        <w:br w:type="column"/>
      </w:r>
      <w:r w:rsidRPr="00D96B14">
        <w:lastRenderedPageBreak/>
        <w:t>Paper</w:t>
      </w:r>
    </w:p>
    <w:p w:rsidR="00142353" w:rsidRPr="00D96B14" w:rsidRDefault="00142353" w:rsidP="00142353">
      <w:r w:rsidRPr="00D96B14">
        <w:t>The Department is becoming more efficient in relation to paper use. Programs commenced during the reporting period which provided additional reductions in consumption.</w:t>
      </w:r>
    </w:p>
    <w:p w:rsidR="00142353" w:rsidRPr="00D96B14" w:rsidRDefault="00142353" w:rsidP="00142353">
      <w:pPr>
        <w:pStyle w:val="Notes"/>
      </w:pPr>
    </w:p>
    <w:tbl>
      <w:tblPr>
        <w:tblW w:w="7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3283"/>
        <w:gridCol w:w="2340"/>
        <w:gridCol w:w="2250"/>
      </w:tblGrid>
      <w:tr w:rsidR="00142353" w:rsidRPr="00D96B14" w:rsidTr="004843DB">
        <w:tc>
          <w:tcPr>
            <w:tcW w:w="3283" w:type="dxa"/>
            <w:tcBorders>
              <w:top w:val="single" w:sz="4" w:space="0" w:color="auto"/>
              <w:left w:val="nil"/>
              <w:bottom w:val="single" w:sz="4" w:space="0" w:color="auto"/>
              <w:right w:val="single" w:sz="4" w:space="0" w:color="auto"/>
            </w:tcBorders>
            <w:shd w:val="clear" w:color="auto" w:fill="auto"/>
            <w:vAlign w:val="bottom"/>
          </w:tcPr>
          <w:p w:rsidR="00142353" w:rsidRPr="00D96B14" w:rsidRDefault="00142353" w:rsidP="004843DB">
            <w:pPr>
              <w:pStyle w:val="Tabletextheading"/>
              <w:jc w:val="left"/>
              <w:rPr>
                <w:b/>
                <w:i w:val="0"/>
              </w:rPr>
            </w:pPr>
            <w:r w:rsidRPr="00D96B14">
              <w:rPr>
                <w:b/>
                <w:i w:val="0"/>
              </w:rPr>
              <w:t>Indicator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142353" w:rsidRPr="00D96B14" w:rsidRDefault="00142353" w:rsidP="004843DB">
            <w:pPr>
              <w:pStyle w:val="Tabletextheading"/>
            </w:pPr>
            <w:r w:rsidRPr="00D96B14">
              <w:t>2015</w:t>
            </w:r>
            <w:r w:rsidR="005A4BB0">
              <w:noBreakHyphen/>
            </w:r>
            <w:r w:rsidRPr="00D96B14">
              <w:t>16</w:t>
            </w:r>
          </w:p>
        </w:tc>
        <w:tc>
          <w:tcPr>
            <w:tcW w:w="2250" w:type="dxa"/>
            <w:tcBorders>
              <w:top w:val="single" w:sz="4" w:space="0" w:color="auto"/>
              <w:left w:val="single" w:sz="4" w:space="0" w:color="auto"/>
              <w:bottom w:val="single" w:sz="4" w:space="0" w:color="auto"/>
              <w:right w:val="nil"/>
            </w:tcBorders>
            <w:shd w:val="clear" w:color="auto" w:fill="auto"/>
            <w:vAlign w:val="center"/>
          </w:tcPr>
          <w:p w:rsidR="00142353" w:rsidRPr="00D96B14" w:rsidRDefault="00142353" w:rsidP="004843DB">
            <w:pPr>
              <w:pStyle w:val="Tabletextheading"/>
            </w:pPr>
            <w:r w:rsidRPr="00D96B14">
              <w:t>2014</w:t>
            </w:r>
            <w:r w:rsidR="005A4BB0">
              <w:noBreakHyphen/>
            </w:r>
            <w:r w:rsidRPr="00D96B14">
              <w:t>15</w:t>
            </w:r>
          </w:p>
        </w:tc>
      </w:tr>
      <w:tr w:rsidR="00142353" w:rsidRPr="00D96B14" w:rsidTr="004843DB">
        <w:tc>
          <w:tcPr>
            <w:tcW w:w="328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pPr>
            <w:r w:rsidRPr="00D96B14">
              <w:t>Total units of copy paper used (reams)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522 509 143</w:t>
            </w:r>
          </w:p>
        </w:tc>
        <w:tc>
          <w:tcPr>
            <w:tcW w:w="225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pPr>
            <w:r w:rsidRPr="00D96B14">
              <w:t>600 585 222</w:t>
            </w:r>
          </w:p>
        </w:tc>
      </w:tr>
      <w:tr w:rsidR="00142353" w:rsidRPr="00D96B14" w:rsidTr="004843DB">
        <w:tc>
          <w:tcPr>
            <w:tcW w:w="328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pPr>
            <w:r w:rsidRPr="00D96B14">
              <w:t>Units of copy paper used per FTE (reams/FTE)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13.7</w:t>
            </w:r>
          </w:p>
        </w:tc>
        <w:tc>
          <w:tcPr>
            <w:tcW w:w="225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pPr>
            <w:r w:rsidRPr="00D96B14">
              <w:t>15.8</w:t>
            </w:r>
          </w:p>
        </w:tc>
      </w:tr>
      <w:tr w:rsidR="00142353" w:rsidRPr="00D96B14" w:rsidTr="004843DB">
        <w:tc>
          <w:tcPr>
            <w:tcW w:w="328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pPr>
            <w:r w:rsidRPr="00D96B14">
              <w:t>Percentage of 75</w:t>
            </w:r>
            <w:r w:rsidR="005A4BB0">
              <w:noBreakHyphen/>
            </w:r>
            <w:r w:rsidRPr="00D96B14">
              <w:t xml:space="preserve">100% recycled content copy paper purchased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86</w:t>
            </w:r>
          </w:p>
        </w:tc>
        <w:tc>
          <w:tcPr>
            <w:tcW w:w="225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pPr>
            <w:r w:rsidRPr="00D96B14">
              <w:t>80</w:t>
            </w:r>
          </w:p>
        </w:tc>
      </w:tr>
      <w:tr w:rsidR="00142353" w:rsidRPr="00D96B14" w:rsidTr="004843DB">
        <w:tc>
          <w:tcPr>
            <w:tcW w:w="328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pPr>
            <w:r w:rsidRPr="00D96B14">
              <w:t>Percentage of 50</w:t>
            </w:r>
            <w:r w:rsidR="005A4BB0">
              <w:noBreakHyphen/>
            </w:r>
            <w:r w:rsidRPr="00D96B14">
              <w:t xml:space="preserve">75% recycled content copy paper purchased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5</w:t>
            </w:r>
          </w:p>
        </w:tc>
        <w:tc>
          <w:tcPr>
            <w:tcW w:w="225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pPr>
            <w:r w:rsidRPr="00D96B14">
              <w:t>10</w:t>
            </w:r>
          </w:p>
        </w:tc>
      </w:tr>
      <w:tr w:rsidR="00142353" w:rsidRPr="00D96B14" w:rsidTr="004843DB">
        <w:tc>
          <w:tcPr>
            <w:tcW w:w="328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pPr>
            <w:r w:rsidRPr="00D96B14">
              <w:t>Percentage of 0</w:t>
            </w:r>
            <w:r w:rsidR="005A4BB0">
              <w:noBreakHyphen/>
            </w:r>
            <w:r w:rsidRPr="00D96B14">
              <w:t xml:space="preserve">50% recycled content copy paper purchased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9</w:t>
            </w:r>
          </w:p>
        </w:tc>
        <w:tc>
          <w:tcPr>
            <w:tcW w:w="225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pPr>
            <w:r w:rsidRPr="00D96B14">
              <w:t>10</w:t>
            </w:r>
          </w:p>
        </w:tc>
      </w:tr>
      <w:tr w:rsidR="00142353" w:rsidRPr="00D96B14" w:rsidTr="004843DB">
        <w:tc>
          <w:tcPr>
            <w:tcW w:w="328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rPr>
                <w:b/>
              </w:rPr>
            </w:pPr>
            <w:r w:rsidRPr="00D96B14">
              <w:rPr>
                <w:b/>
              </w:rPr>
              <w:t>Optional indicators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rPr>
                <w:b/>
                <w:bCs/>
              </w:rPr>
            </w:pPr>
          </w:p>
        </w:tc>
        <w:tc>
          <w:tcPr>
            <w:tcW w:w="225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rPr>
                <w:b/>
                <w:bCs/>
              </w:rPr>
            </w:pPr>
          </w:p>
        </w:tc>
      </w:tr>
      <w:tr w:rsidR="00142353" w:rsidRPr="00D96B14" w:rsidTr="004843DB">
        <w:tc>
          <w:tcPr>
            <w:tcW w:w="328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pPr>
            <w:r w:rsidRPr="00D96B14">
              <w:t>Total units of A4 equivalent paper used in publications (reams)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Unable to access this data at time of publication</w:t>
            </w:r>
          </w:p>
        </w:tc>
        <w:tc>
          <w:tcPr>
            <w:tcW w:w="225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pPr>
            <w:r w:rsidRPr="00D96B14">
              <w:t>n/a</w:t>
            </w:r>
          </w:p>
        </w:tc>
      </w:tr>
      <w:tr w:rsidR="00142353" w:rsidRPr="00D96B14" w:rsidTr="004843DB">
        <w:tc>
          <w:tcPr>
            <w:tcW w:w="328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pPr>
            <w:r w:rsidRPr="00D96B14">
              <w:t xml:space="preserve">Percentage of publications publicly accessible electronically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86</w:t>
            </w:r>
          </w:p>
        </w:tc>
        <w:tc>
          <w:tcPr>
            <w:tcW w:w="225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pPr>
            <w:r w:rsidRPr="00D96B14">
              <w:t>80</w:t>
            </w:r>
          </w:p>
        </w:tc>
      </w:tr>
      <w:tr w:rsidR="00142353" w:rsidRPr="00D96B14" w:rsidTr="004843DB">
        <w:tc>
          <w:tcPr>
            <w:tcW w:w="7873" w:type="dxa"/>
            <w:gridSpan w:val="3"/>
            <w:tcBorders>
              <w:top w:val="single" w:sz="4" w:space="0" w:color="auto"/>
              <w:left w:val="nil"/>
              <w:bottom w:val="single" w:sz="4" w:space="0" w:color="auto"/>
              <w:right w:val="nil"/>
            </w:tcBorders>
            <w:shd w:val="clear" w:color="auto" w:fill="auto"/>
          </w:tcPr>
          <w:p w:rsidR="00142353" w:rsidRPr="00D96B14" w:rsidRDefault="00142353" w:rsidP="004843DB">
            <w:pPr>
              <w:pStyle w:val="Tabletext"/>
              <w:rPr>
                <w:b/>
              </w:rPr>
            </w:pPr>
            <w:r w:rsidRPr="00D96B14">
              <w:rPr>
                <w:b/>
              </w:rPr>
              <w:t>Actions undertaken</w:t>
            </w:r>
          </w:p>
        </w:tc>
      </w:tr>
      <w:tr w:rsidR="00142353" w:rsidRPr="00D96B14" w:rsidTr="004843DB">
        <w:tc>
          <w:tcPr>
            <w:tcW w:w="3283" w:type="dxa"/>
            <w:tcBorders>
              <w:top w:val="single" w:sz="4" w:space="0" w:color="auto"/>
              <w:left w:val="nil"/>
              <w:bottom w:val="single" w:sz="12" w:space="0" w:color="auto"/>
              <w:right w:val="single" w:sz="4" w:space="0" w:color="auto"/>
            </w:tcBorders>
            <w:shd w:val="clear" w:color="auto" w:fill="auto"/>
          </w:tcPr>
          <w:p w:rsidR="00142353" w:rsidRPr="00D96B14" w:rsidRDefault="00142353" w:rsidP="004843DB">
            <w:pPr>
              <w:pStyle w:val="Tabletext"/>
            </w:pPr>
            <w:r w:rsidRPr="00D96B14">
              <w:t>Default paper</w:t>
            </w:r>
          </w:p>
        </w:tc>
        <w:tc>
          <w:tcPr>
            <w:tcW w:w="4590" w:type="dxa"/>
            <w:gridSpan w:val="2"/>
            <w:tcBorders>
              <w:top w:val="single" w:sz="4" w:space="0" w:color="auto"/>
              <w:left w:val="single" w:sz="4" w:space="0" w:color="auto"/>
              <w:bottom w:val="single" w:sz="12" w:space="0" w:color="auto"/>
              <w:right w:val="nil"/>
            </w:tcBorders>
            <w:shd w:val="clear" w:color="auto" w:fill="auto"/>
          </w:tcPr>
          <w:p w:rsidR="00142353" w:rsidRPr="00D96B14" w:rsidRDefault="00142353" w:rsidP="004843DB">
            <w:pPr>
              <w:pStyle w:val="Tabletext"/>
            </w:pPr>
            <w:r w:rsidRPr="00D96B14">
              <w:t>Default copy paper purchased through stationary supplier is 80 per cent recycled content. If this is unavailable, supply defaults to 50 per cent recycled content.</w:t>
            </w:r>
          </w:p>
        </w:tc>
      </w:tr>
    </w:tbl>
    <w:p w:rsidR="00142353" w:rsidRPr="00D96B14" w:rsidRDefault="00142353" w:rsidP="00142353">
      <w:pPr>
        <w:pStyle w:val="Notes"/>
      </w:pPr>
    </w:p>
    <w:p w:rsidR="00142353" w:rsidRPr="00D96B14" w:rsidRDefault="00142353" w:rsidP="00142353">
      <w:pPr>
        <w:pStyle w:val="Heading2"/>
      </w:pPr>
      <w:r w:rsidRPr="00D96B14">
        <w:t>Targets</w:t>
      </w:r>
    </w:p>
    <w:p w:rsidR="00142353" w:rsidRPr="00D96B14" w:rsidRDefault="00142353" w:rsidP="00142353">
      <w:r w:rsidRPr="00D96B14">
        <w:t>The following targets have been set for 2015</w:t>
      </w:r>
      <w:r w:rsidR="005A4BB0">
        <w:noBreakHyphen/>
      </w:r>
      <w:r w:rsidRPr="00D96B14">
        <w:t>16:</w:t>
      </w:r>
    </w:p>
    <w:p w:rsidR="00142353" w:rsidRPr="00D96B14" w:rsidRDefault="00142353" w:rsidP="00142353">
      <w:pPr>
        <w:sectPr w:rsidR="00142353" w:rsidRPr="00D96B14" w:rsidSect="00190A01">
          <w:headerReference w:type="even" r:id="rId98"/>
          <w:headerReference w:type="default" r:id="rId99"/>
          <w:footerReference w:type="default" r:id="rId100"/>
          <w:headerReference w:type="first" r:id="rId10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pPr>
      <w:r w:rsidRPr="00D96B14">
        <w:lastRenderedPageBreak/>
        <w:t>Example provided by the Department of Sustainability and Environment</w:t>
      </w:r>
    </w:p>
    <w:p w:rsidR="00142353" w:rsidRPr="00D96B14" w:rsidRDefault="00142353" w:rsidP="00142353">
      <w:pPr>
        <w:pStyle w:val="Bullet"/>
      </w:pPr>
      <w:r w:rsidRPr="00D96B14">
        <w:br w:type="column"/>
      </w:r>
      <w:r w:rsidRPr="00D96B14">
        <w:lastRenderedPageBreak/>
        <w:t>reduce total units of A4 equivalent copy paper used (reams) by 5 per cent based on 2009</w:t>
      </w:r>
      <w:r w:rsidR="005A4BB0">
        <w:noBreakHyphen/>
      </w:r>
      <w:r w:rsidRPr="00D96B14">
        <w:t xml:space="preserve">10 baselines by 30 June 2016; </w:t>
      </w:r>
    </w:p>
    <w:p w:rsidR="00142353" w:rsidRPr="00D96B14" w:rsidRDefault="00142353" w:rsidP="00142353">
      <w:pPr>
        <w:pStyle w:val="Bullet"/>
      </w:pPr>
      <w:r w:rsidRPr="00D96B14">
        <w:t>reduce units of A4 equivalent copy paper used per FTE (reams per FTE) by 5 per cent based on 2009</w:t>
      </w:r>
      <w:r w:rsidR="005A4BB0">
        <w:noBreakHyphen/>
      </w:r>
      <w:r w:rsidRPr="00D96B14">
        <w:t xml:space="preserve">10 baselines by 30 June 2016; </w:t>
      </w:r>
    </w:p>
    <w:p w:rsidR="00142353" w:rsidRPr="00D96B14" w:rsidRDefault="00142353" w:rsidP="00142353">
      <w:pPr>
        <w:pStyle w:val="Bullet"/>
      </w:pPr>
      <w:r w:rsidRPr="00D96B14">
        <w:t>all the Department</w:t>
      </w:r>
      <w:r w:rsidR="005A4BB0">
        <w:t>’</w:t>
      </w:r>
      <w:r w:rsidRPr="00D96B14">
        <w:t>s white A4 and A3 paper stock to have at least 70 per cent recycled content by 30 June 2016; and</w:t>
      </w:r>
    </w:p>
    <w:p w:rsidR="00142353" w:rsidRPr="00D96B14" w:rsidRDefault="00142353" w:rsidP="00142353">
      <w:pPr>
        <w:pStyle w:val="Bullet"/>
      </w:pPr>
      <w:r w:rsidRPr="00D96B14">
        <w:t>all the Department</w:t>
      </w:r>
      <w:r w:rsidR="005A4BB0">
        <w:t>’</w:t>
      </w:r>
      <w:r w:rsidRPr="00D96B14">
        <w:t>s white A4 and A3 paper stock to have at least 80 per cent recycled content by 30 June 2016.</w:t>
      </w:r>
    </w:p>
    <w:p w:rsidR="00142353" w:rsidRPr="00D96B14" w:rsidRDefault="00142353" w:rsidP="00142353">
      <w:pPr>
        <w:pStyle w:val="Heading2"/>
      </w:pPr>
      <w:r w:rsidRPr="00D96B14">
        <w:t>Explanatory notes</w:t>
      </w:r>
    </w:p>
    <w:p w:rsidR="00142353" w:rsidRPr="00D96B14" w:rsidRDefault="00142353" w:rsidP="00142353">
      <w:pPr>
        <w:pStyle w:val="NormalBlue"/>
        <w:rPr>
          <w:i/>
          <w:iCs/>
        </w:rPr>
      </w:pPr>
      <w:r w:rsidRPr="00D96B14">
        <w:rPr>
          <w:i/>
          <w:iCs/>
        </w:rPr>
        <w:t>[Insert as appropriate.]</w:t>
      </w:r>
    </w:p>
    <w:p w:rsidR="00142353" w:rsidRPr="00D96B14" w:rsidRDefault="00142353" w:rsidP="00142353"/>
    <w:p w:rsidR="00142353" w:rsidRPr="00D96B14" w:rsidRDefault="00142353" w:rsidP="00142353">
      <w:pPr>
        <w:spacing w:line="240" w:lineRule="atLeast"/>
      </w:pPr>
      <w:r w:rsidRPr="00D96B14">
        <w:br w:type="page"/>
      </w:r>
    </w:p>
    <w:p w:rsidR="00142353" w:rsidRPr="00D96B14" w:rsidRDefault="00142353" w:rsidP="00142353">
      <w:pPr>
        <w:pStyle w:val="Reference"/>
      </w:pPr>
    </w:p>
    <w:p w:rsidR="00142353" w:rsidRPr="00D96B14" w:rsidRDefault="00142353" w:rsidP="00142353">
      <w:pPr>
        <w:pStyle w:val="Reference"/>
        <w:spacing w:before="120"/>
        <w:rPr>
          <w:lang w:val="en-AU"/>
        </w:rPr>
      </w:pPr>
      <w:r w:rsidRPr="00D96B14">
        <w:rPr>
          <w:lang w:val="en-AU"/>
        </w:rPr>
        <w:t>FRD 24C</w:t>
      </w:r>
    </w:p>
    <w:p w:rsidR="00142353" w:rsidRPr="00D96B14" w:rsidRDefault="00142353" w:rsidP="00142353"/>
    <w:p w:rsidR="00142353" w:rsidRPr="00D96B14" w:rsidRDefault="00142353" w:rsidP="00142353">
      <w:pPr>
        <w:pStyle w:val="Heading3"/>
      </w:pPr>
      <w:r w:rsidRPr="00D96B14">
        <w:br w:type="column"/>
      </w:r>
      <w:r w:rsidRPr="00D96B14">
        <w:lastRenderedPageBreak/>
        <w:t>Water</w:t>
      </w:r>
    </w:p>
    <w:p w:rsidR="00142353" w:rsidRPr="00D96B14" w:rsidRDefault="00142353" w:rsidP="00142353">
      <w:r w:rsidRPr="00D96B14">
        <w:t>The data in the table below is based on water meter readings at five major departmental sites covering 70 per cent of staff. The reduction in water use has easily surpassed the earlier target of achieving a 10 per cent reduction in office based water consumption by 30 June 2016.</w:t>
      </w:r>
    </w:p>
    <w:p w:rsidR="00142353" w:rsidRPr="00D96B14" w:rsidRDefault="00142353" w:rsidP="00142353">
      <w:pPr>
        <w:pStyle w:val="Notes"/>
      </w:pPr>
    </w:p>
    <w:tbl>
      <w:tblPr>
        <w:tblW w:w="7963" w:type="dxa"/>
        <w:tblLayout w:type="fixed"/>
        <w:tblCellMar>
          <w:left w:w="43" w:type="dxa"/>
          <w:right w:w="43" w:type="dxa"/>
        </w:tblCellMar>
        <w:tblLook w:val="01E0" w:firstRow="1" w:lastRow="1" w:firstColumn="1" w:lastColumn="1" w:noHBand="0" w:noVBand="0"/>
      </w:tblPr>
      <w:tblGrid>
        <w:gridCol w:w="3463"/>
        <w:gridCol w:w="2340"/>
        <w:gridCol w:w="2160"/>
      </w:tblGrid>
      <w:tr w:rsidR="00142353" w:rsidRPr="00D96B14" w:rsidTr="004843DB">
        <w:tc>
          <w:tcPr>
            <w:tcW w:w="3463" w:type="dxa"/>
            <w:tcBorders>
              <w:top w:val="single" w:sz="4" w:space="0" w:color="auto"/>
              <w:bottom w:val="single" w:sz="4" w:space="0" w:color="auto"/>
              <w:right w:val="single" w:sz="4" w:space="0" w:color="auto"/>
            </w:tcBorders>
            <w:shd w:val="clear" w:color="auto" w:fill="auto"/>
            <w:vAlign w:val="bottom"/>
          </w:tcPr>
          <w:p w:rsidR="00142353" w:rsidRPr="00D96B14" w:rsidRDefault="00142353" w:rsidP="004843DB">
            <w:pPr>
              <w:pStyle w:val="Tabletextheading"/>
              <w:jc w:val="left"/>
              <w:rPr>
                <w:b/>
                <w:i w:val="0"/>
              </w:rPr>
            </w:pPr>
            <w:r w:rsidRPr="00D96B14">
              <w:rPr>
                <w:b/>
                <w:i w:val="0"/>
              </w:rPr>
              <w:t>Indicator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142353" w:rsidRPr="00D96B14" w:rsidRDefault="00142353" w:rsidP="004843DB">
            <w:pPr>
              <w:pStyle w:val="Tabletextheading"/>
            </w:pPr>
            <w:r w:rsidRPr="00D96B14">
              <w:t>2015</w:t>
            </w:r>
            <w:r w:rsidR="005A4BB0">
              <w:noBreakHyphen/>
            </w:r>
            <w:r w:rsidRPr="00D96B14">
              <w:t>16</w:t>
            </w:r>
          </w:p>
        </w:tc>
        <w:tc>
          <w:tcPr>
            <w:tcW w:w="2160" w:type="dxa"/>
            <w:tcBorders>
              <w:top w:val="single" w:sz="4" w:space="0" w:color="auto"/>
              <w:left w:val="single" w:sz="4" w:space="0" w:color="auto"/>
              <w:bottom w:val="single" w:sz="4" w:space="0" w:color="auto"/>
            </w:tcBorders>
            <w:shd w:val="clear" w:color="auto" w:fill="auto"/>
            <w:vAlign w:val="center"/>
          </w:tcPr>
          <w:p w:rsidR="00142353" w:rsidRPr="00D96B14" w:rsidRDefault="00142353" w:rsidP="004843DB">
            <w:pPr>
              <w:pStyle w:val="Tabletextheading"/>
            </w:pPr>
            <w:r w:rsidRPr="00D96B14">
              <w:t>2014</w:t>
            </w:r>
            <w:r w:rsidR="005A4BB0">
              <w:noBreakHyphen/>
            </w:r>
            <w:r w:rsidRPr="00D96B14">
              <w:t>15</w:t>
            </w:r>
          </w:p>
        </w:tc>
      </w:tr>
      <w:tr w:rsidR="00142353" w:rsidRPr="00D96B14" w:rsidTr="004843DB">
        <w:tc>
          <w:tcPr>
            <w:tcW w:w="3463" w:type="dxa"/>
            <w:tcBorders>
              <w:top w:val="single" w:sz="4" w:space="0" w:color="auto"/>
              <w:bottom w:val="single" w:sz="4" w:space="0" w:color="auto"/>
              <w:right w:val="single" w:sz="4" w:space="0" w:color="auto"/>
            </w:tcBorders>
            <w:shd w:val="clear" w:color="auto" w:fill="auto"/>
          </w:tcPr>
          <w:p w:rsidR="00142353" w:rsidRPr="00D96B14" w:rsidRDefault="00142353" w:rsidP="004843DB">
            <w:pPr>
              <w:pStyle w:val="Tabletext"/>
            </w:pPr>
            <w:r w:rsidRPr="00D96B14">
              <w:t>Total units of metered water consumed by usage types (kilolitres)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 xml:space="preserve">12 854 </w:t>
            </w:r>
          </w:p>
        </w:tc>
        <w:tc>
          <w:tcPr>
            <w:tcW w:w="2160" w:type="dxa"/>
            <w:tcBorders>
              <w:top w:val="single" w:sz="4" w:space="0" w:color="auto"/>
              <w:left w:val="single" w:sz="4" w:space="0" w:color="auto"/>
              <w:bottom w:val="single" w:sz="4" w:space="0" w:color="auto"/>
            </w:tcBorders>
            <w:shd w:val="clear" w:color="auto" w:fill="auto"/>
          </w:tcPr>
          <w:p w:rsidR="00142353" w:rsidRPr="00D96B14" w:rsidRDefault="00142353" w:rsidP="004843DB">
            <w:pPr>
              <w:pStyle w:val="TableofFigures"/>
            </w:pPr>
            <w:r w:rsidRPr="00D96B14">
              <w:t>13 153</w:t>
            </w:r>
          </w:p>
        </w:tc>
      </w:tr>
      <w:tr w:rsidR="00142353" w:rsidRPr="00D96B14" w:rsidTr="004843DB">
        <w:tc>
          <w:tcPr>
            <w:tcW w:w="3463" w:type="dxa"/>
            <w:tcBorders>
              <w:top w:val="single" w:sz="4" w:space="0" w:color="auto"/>
              <w:bottom w:val="single" w:sz="4" w:space="0" w:color="auto"/>
              <w:right w:val="single" w:sz="4" w:space="0" w:color="auto"/>
            </w:tcBorders>
            <w:shd w:val="clear" w:color="auto" w:fill="auto"/>
          </w:tcPr>
          <w:p w:rsidR="00142353" w:rsidRPr="00D96B14" w:rsidRDefault="00142353" w:rsidP="004843DB">
            <w:pPr>
              <w:pStyle w:val="Tabletext"/>
            </w:pPr>
            <w:r w:rsidRPr="00D96B14">
              <w:t>Units of metered water consumed in offices per FTE (kilolitres/FTE)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 xml:space="preserve">7.85 </w:t>
            </w:r>
          </w:p>
        </w:tc>
        <w:tc>
          <w:tcPr>
            <w:tcW w:w="2160" w:type="dxa"/>
            <w:tcBorders>
              <w:top w:val="single" w:sz="4" w:space="0" w:color="auto"/>
              <w:left w:val="single" w:sz="4" w:space="0" w:color="auto"/>
              <w:bottom w:val="single" w:sz="4" w:space="0" w:color="auto"/>
            </w:tcBorders>
            <w:shd w:val="clear" w:color="auto" w:fill="auto"/>
          </w:tcPr>
          <w:p w:rsidR="00142353" w:rsidRPr="00D96B14" w:rsidRDefault="00142353" w:rsidP="004843DB">
            <w:pPr>
              <w:pStyle w:val="TableofFigures"/>
            </w:pPr>
            <w:r w:rsidRPr="00D96B14">
              <w:t xml:space="preserve">8.03 </w:t>
            </w:r>
          </w:p>
        </w:tc>
      </w:tr>
      <w:tr w:rsidR="00142353" w:rsidRPr="00D96B14" w:rsidTr="004843DB">
        <w:tc>
          <w:tcPr>
            <w:tcW w:w="3463" w:type="dxa"/>
            <w:tcBorders>
              <w:top w:val="single" w:sz="4" w:space="0" w:color="auto"/>
              <w:bottom w:val="single" w:sz="4" w:space="0" w:color="auto"/>
              <w:right w:val="single" w:sz="4" w:space="0" w:color="auto"/>
            </w:tcBorders>
            <w:shd w:val="clear" w:color="auto" w:fill="auto"/>
          </w:tcPr>
          <w:p w:rsidR="00142353" w:rsidRPr="00D96B14" w:rsidRDefault="00142353" w:rsidP="004843DB">
            <w:pPr>
              <w:pStyle w:val="Tabletext"/>
            </w:pPr>
            <w:r w:rsidRPr="00D96B14">
              <w:t>Units of metered water consumed in offices per unit of office area (kilolitres/m</w:t>
            </w:r>
            <w:r w:rsidRPr="00D96B14">
              <w:rPr>
                <w:vertAlign w:val="superscript"/>
              </w:rPr>
              <w:t>2</w:t>
            </w:r>
            <w:r w:rsidRPr="00D96B14">
              <w: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 xml:space="preserve">543 </w:t>
            </w:r>
          </w:p>
        </w:tc>
        <w:tc>
          <w:tcPr>
            <w:tcW w:w="2160" w:type="dxa"/>
            <w:tcBorders>
              <w:top w:val="single" w:sz="4" w:space="0" w:color="auto"/>
              <w:left w:val="single" w:sz="4" w:space="0" w:color="auto"/>
              <w:bottom w:val="single" w:sz="4" w:space="0" w:color="auto"/>
            </w:tcBorders>
            <w:shd w:val="clear" w:color="auto" w:fill="auto"/>
          </w:tcPr>
          <w:p w:rsidR="00142353" w:rsidRPr="00D96B14" w:rsidRDefault="00142353" w:rsidP="004843DB">
            <w:pPr>
              <w:pStyle w:val="TableofFigures"/>
            </w:pPr>
            <w:r w:rsidRPr="00D96B14">
              <w:t xml:space="preserve">558 </w:t>
            </w:r>
          </w:p>
        </w:tc>
      </w:tr>
      <w:tr w:rsidR="00142353" w:rsidRPr="00D96B14" w:rsidTr="004843DB">
        <w:tc>
          <w:tcPr>
            <w:tcW w:w="3463" w:type="dxa"/>
            <w:tcBorders>
              <w:top w:val="single" w:sz="4" w:space="0" w:color="auto"/>
              <w:bottom w:val="single" w:sz="4" w:space="0" w:color="auto"/>
            </w:tcBorders>
            <w:shd w:val="clear" w:color="auto" w:fill="auto"/>
          </w:tcPr>
          <w:p w:rsidR="00142353" w:rsidRPr="00D96B14" w:rsidRDefault="00142353" w:rsidP="004843DB">
            <w:pPr>
              <w:pStyle w:val="Tabletext"/>
            </w:pPr>
            <w:r w:rsidRPr="00D96B14">
              <w:rPr>
                <w:b/>
                <w:bCs/>
              </w:rPr>
              <w:t>Actions undertaken</w:t>
            </w:r>
          </w:p>
        </w:tc>
        <w:tc>
          <w:tcPr>
            <w:tcW w:w="2340" w:type="dxa"/>
            <w:tcBorders>
              <w:top w:val="single" w:sz="4" w:space="0" w:color="auto"/>
              <w:bottom w:val="single" w:sz="4" w:space="0" w:color="auto"/>
            </w:tcBorders>
            <w:shd w:val="clear" w:color="auto" w:fill="auto"/>
          </w:tcPr>
          <w:p w:rsidR="00142353" w:rsidRPr="00D96B14" w:rsidRDefault="00142353" w:rsidP="004843DB">
            <w:pPr>
              <w:pStyle w:val="TableofFigures"/>
              <w:rPr>
                <w:b/>
                <w:bCs/>
              </w:rPr>
            </w:pPr>
          </w:p>
        </w:tc>
        <w:tc>
          <w:tcPr>
            <w:tcW w:w="2160" w:type="dxa"/>
            <w:tcBorders>
              <w:top w:val="single" w:sz="4" w:space="0" w:color="auto"/>
              <w:left w:val="nil"/>
              <w:bottom w:val="single" w:sz="4" w:space="0" w:color="auto"/>
            </w:tcBorders>
            <w:shd w:val="clear" w:color="auto" w:fill="auto"/>
          </w:tcPr>
          <w:p w:rsidR="00142353" w:rsidRPr="00D96B14" w:rsidRDefault="00142353" w:rsidP="004843DB">
            <w:pPr>
              <w:pStyle w:val="TableofFigures"/>
              <w:rPr>
                <w:b/>
                <w:bCs/>
              </w:rPr>
            </w:pPr>
          </w:p>
        </w:tc>
      </w:tr>
      <w:tr w:rsidR="00142353" w:rsidRPr="00D96B14" w:rsidTr="004843DB">
        <w:tc>
          <w:tcPr>
            <w:tcW w:w="3463" w:type="dxa"/>
            <w:tcBorders>
              <w:top w:val="single" w:sz="4" w:space="0" w:color="auto"/>
              <w:bottom w:val="single" w:sz="4" w:space="0" w:color="auto"/>
              <w:right w:val="single" w:sz="4" w:space="0" w:color="auto"/>
            </w:tcBorders>
            <w:shd w:val="clear" w:color="auto" w:fill="auto"/>
          </w:tcPr>
          <w:p w:rsidR="00142353" w:rsidRPr="00D96B14" w:rsidRDefault="00142353" w:rsidP="004843DB">
            <w:pPr>
              <w:pStyle w:val="Tabletext"/>
            </w:pPr>
            <w:r w:rsidRPr="00D96B14">
              <w:t>Flow controllers</w:t>
            </w:r>
          </w:p>
        </w:tc>
        <w:tc>
          <w:tcPr>
            <w:tcW w:w="4500" w:type="dxa"/>
            <w:gridSpan w:val="2"/>
            <w:tcBorders>
              <w:top w:val="single" w:sz="4" w:space="0" w:color="auto"/>
              <w:left w:val="single" w:sz="4" w:space="0" w:color="auto"/>
              <w:bottom w:val="single" w:sz="4" w:space="0" w:color="auto"/>
            </w:tcBorders>
            <w:shd w:val="clear" w:color="auto" w:fill="auto"/>
          </w:tcPr>
          <w:p w:rsidR="00142353" w:rsidRPr="00D96B14" w:rsidRDefault="00142353" w:rsidP="004843DB">
            <w:pPr>
              <w:pStyle w:val="Tabletext"/>
            </w:pPr>
            <w:r w:rsidRPr="00D96B14">
              <w:t>Flow controllers installed at all sites with greater than 10 FTEs</w:t>
            </w:r>
          </w:p>
        </w:tc>
      </w:tr>
      <w:tr w:rsidR="00142353" w:rsidRPr="00D96B14" w:rsidTr="004843DB">
        <w:tc>
          <w:tcPr>
            <w:tcW w:w="3463" w:type="dxa"/>
            <w:tcBorders>
              <w:top w:val="single" w:sz="4" w:space="0" w:color="auto"/>
              <w:bottom w:val="single" w:sz="12" w:space="0" w:color="auto"/>
              <w:right w:val="single" w:sz="4" w:space="0" w:color="auto"/>
            </w:tcBorders>
            <w:shd w:val="clear" w:color="auto" w:fill="auto"/>
          </w:tcPr>
          <w:p w:rsidR="00142353" w:rsidRPr="00D96B14" w:rsidRDefault="00142353" w:rsidP="004843DB">
            <w:pPr>
              <w:pStyle w:val="Tabletext"/>
            </w:pPr>
            <w:r w:rsidRPr="00D96B14">
              <w:t>Water efficient urinals</w:t>
            </w:r>
          </w:p>
        </w:tc>
        <w:tc>
          <w:tcPr>
            <w:tcW w:w="4500" w:type="dxa"/>
            <w:gridSpan w:val="2"/>
            <w:tcBorders>
              <w:top w:val="single" w:sz="4" w:space="0" w:color="auto"/>
              <w:left w:val="single" w:sz="4" w:space="0" w:color="auto"/>
              <w:bottom w:val="single" w:sz="12" w:space="0" w:color="auto"/>
            </w:tcBorders>
            <w:shd w:val="clear" w:color="auto" w:fill="auto"/>
          </w:tcPr>
          <w:p w:rsidR="00142353" w:rsidRPr="00D96B14" w:rsidRDefault="00142353" w:rsidP="004843DB">
            <w:pPr>
              <w:pStyle w:val="Tabletext"/>
            </w:pPr>
            <w:r w:rsidRPr="00D96B14">
              <w:t>Water efficient urinals installed at all sites with greater than 50 FTEs</w:t>
            </w:r>
          </w:p>
        </w:tc>
      </w:tr>
    </w:tbl>
    <w:p w:rsidR="00142353" w:rsidRPr="00D96B14" w:rsidRDefault="00142353" w:rsidP="00142353">
      <w:pPr>
        <w:pStyle w:val="Notes"/>
      </w:pPr>
    </w:p>
    <w:p w:rsidR="00142353" w:rsidRPr="00D96B14" w:rsidRDefault="00142353" w:rsidP="00142353">
      <w:pPr>
        <w:pStyle w:val="Heading2"/>
      </w:pPr>
      <w:r w:rsidRPr="00D96B14">
        <w:t>Targets</w:t>
      </w:r>
    </w:p>
    <w:p w:rsidR="00142353" w:rsidRPr="00D96B14" w:rsidRDefault="00142353" w:rsidP="00142353">
      <w:r w:rsidRPr="00D96B14">
        <w:t>The following targets have been set for 2015</w:t>
      </w:r>
      <w:r w:rsidR="005A4BB0">
        <w:noBreakHyphen/>
      </w:r>
      <w:r w:rsidRPr="00D96B14">
        <w:t>16:</w:t>
      </w:r>
    </w:p>
    <w:p w:rsidR="00142353" w:rsidRPr="00D96B14" w:rsidRDefault="00142353" w:rsidP="00142353">
      <w:pPr>
        <w:pStyle w:val="Bullet"/>
        <w:rPr>
          <w:b/>
          <w:bCs/>
        </w:rPr>
      </w:pPr>
      <w:r w:rsidRPr="00D96B14">
        <w:t>10 per cent reduction in water consumption (litres per FTE) by 30 June 2016.</w:t>
      </w:r>
    </w:p>
    <w:p w:rsidR="00142353" w:rsidRPr="00D96B14" w:rsidRDefault="00142353" w:rsidP="00142353">
      <w:pPr>
        <w:pStyle w:val="Heading2"/>
      </w:pPr>
      <w:r w:rsidRPr="00D96B14">
        <w:t>Explanatory notes</w:t>
      </w:r>
    </w:p>
    <w:p w:rsidR="00142353" w:rsidRPr="00D96B14" w:rsidRDefault="00142353" w:rsidP="00142353">
      <w:pPr>
        <w:rPr>
          <w:i/>
          <w:iCs/>
          <w:color w:val="0000FF"/>
        </w:rPr>
      </w:pPr>
      <w:r w:rsidRPr="00D96B14">
        <w:rPr>
          <w:i/>
          <w:iCs/>
          <w:color w:val="0000FF"/>
        </w:rPr>
        <w:t>[Insert as appropriate.]</w:t>
      </w:r>
    </w:p>
    <w:p w:rsidR="00142353" w:rsidRPr="00D96B14" w:rsidRDefault="00142353" w:rsidP="00142353"/>
    <w:p w:rsidR="00142353" w:rsidRPr="00D96B14" w:rsidRDefault="00142353" w:rsidP="00142353">
      <w:pPr>
        <w:pStyle w:val="Reference"/>
        <w:spacing w:before="280"/>
        <w:rPr>
          <w:lang w:val="en-AU"/>
        </w:rPr>
      </w:pPr>
      <w:r w:rsidRPr="00D96B14">
        <w:rPr>
          <w:lang w:val="en-AU"/>
        </w:rPr>
        <w:br w:type="column"/>
      </w:r>
      <w:r w:rsidRPr="00D96B14">
        <w:rPr>
          <w:lang w:val="en-AU"/>
        </w:rPr>
        <w:lastRenderedPageBreak/>
        <w:t>FRD 24C</w:t>
      </w:r>
    </w:p>
    <w:p w:rsidR="00142353" w:rsidRPr="00D96B14" w:rsidRDefault="00142353" w:rsidP="00142353">
      <w:pPr>
        <w:pStyle w:val="Heading3"/>
      </w:pPr>
      <w:r w:rsidRPr="00D96B14">
        <w:br w:type="column"/>
      </w:r>
      <w:r w:rsidRPr="00D96B14">
        <w:lastRenderedPageBreak/>
        <w:t>Transport</w:t>
      </w:r>
    </w:p>
    <w:p w:rsidR="00142353" w:rsidRPr="00D96B14" w:rsidRDefault="00142353" w:rsidP="00142353">
      <w:r w:rsidRPr="00D96B14">
        <w:t>The Department</w:t>
      </w:r>
      <w:r w:rsidR="005A4BB0">
        <w:t>’</w:t>
      </w:r>
      <w:r w:rsidRPr="00D96B14">
        <w:t>s fleet comprises 800 vehicles, 60 per cent of which are operational vehicles, and the remainder executive fleet. Of the operational fleet, 50 per cent are LPG, 25 per cent are four cylinder petrol fuelled, 10 per cent are six cylinder petrol fuelled and 15 per cent are hybrid. The executive fleet comprised 80 per cent six cylinder petrol fuelled and 20 per cent hybrid vehicles.</w:t>
      </w:r>
    </w:p>
    <w:p w:rsidR="00142353" w:rsidRPr="00D96B14" w:rsidRDefault="00142353" w:rsidP="00142353">
      <w:pPr>
        <w:pStyle w:val="Notes"/>
      </w:pPr>
    </w:p>
    <w:tbl>
      <w:tblPr>
        <w:tblW w:w="7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113"/>
        <w:gridCol w:w="990"/>
        <w:gridCol w:w="450"/>
        <w:gridCol w:w="540"/>
        <w:gridCol w:w="90"/>
        <w:gridCol w:w="630"/>
        <w:gridCol w:w="270"/>
        <w:gridCol w:w="540"/>
        <w:gridCol w:w="360"/>
        <w:gridCol w:w="270"/>
        <w:gridCol w:w="630"/>
        <w:gridCol w:w="810"/>
      </w:tblGrid>
      <w:tr w:rsidR="00142353" w:rsidRPr="00D96B14" w:rsidTr="004843DB">
        <w:tc>
          <w:tcPr>
            <w:tcW w:w="7693" w:type="dxa"/>
            <w:gridSpan w:val="12"/>
            <w:tcBorders>
              <w:top w:val="single" w:sz="4" w:space="0" w:color="auto"/>
              <w:left w:val="nil"/>
              <w:bottom w:val="single" w:sz="4" w:space="0" w:color="auto"/>
              <w:right w:val="nil"/>
            </w:tcBorders>
            <w:shd w:val="clear" w:color="auto" w:fill="auto"/>
            <w:vAlign w:val="bottom"/>
          </w:tcPr>
          <w:p w:rsidR="00142353" w:rsidRPr="00D96B14" w:rsidRDefault="00142353" w:rsidP="004843DB">
            <w:pPr>
              <w:pStyle w:val="Tabletextheading"/>
              <w:jc w:val="left"/>
              <w:rPr>
                <w:b/>
                <w:i w:val="0"/>
              </w:rPr>
            </w:pPr>
            <w:r w:rsidRPr="00D96B14">
              <w:rPr>
                <w:b/>
                <w:i w:val="0"/>
              </w:rPr>
              <w:t>Operational vehicles</w:t>
            </w:r>
          </w:p>
        </w:tc>
      </w:tr>
      <w:tr w:rsidR="00142353" w:rsidRPr="00D96B14" w:rsidTr="004843DB">
        <w:tc>
          <w:tcPr>
            <w:tcW w:w="211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pPr>
          </w:p>
        </w:tc>
        <w:tc>
          <w:tcPr>
            <w:tcW w:w="2970" w:type="dxa"/>
            <w:gridSpan w:val="6"/>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Centred"/>
              <w:rPr>
                <w:bCs/>
              </w:rPr>
            </w:pPr>
            <w:r w:rsidRPr="00D96B14">
              <w:t>2015</w:t>
            </w:r>
            <w:r w:rsidR="005A4BB0">
              <w:noBreakHyphen/>
            </w:r>
            <w:r w:rsidRPr="00D96B14">
              <w:t>16</w:t>
            </w:r>
          </w:p>
        </w:tc>
        <w:tc>
          <w:tcPr>
            <w:tcW w:w="2610" w:type="dxa"/>
            <w:gridSpan w:val="5"/>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jc w:val="center"/>
              <w:rPr>
                <w:bCs/>
                <w:i/>
                <w:iCs/>
              </w:rPr>
            </w:pPr>
            <w:r w:rsidRPr="00D96B14">
              <w:rPr>
                <w:bCs/>
                <w:i/>
                <w:iCs/>
              </w:rPr>
              <w:t>2014/15</w:t>
            </w:r>
          </w:p>
        </w:tc>
      </w:tr>
      <w:tr w:rsidR="00142353" w:rsidRPr="00D96B14" w:rsidTr="004843DB">
        <w:tc>
          <w:tcPr>
            <w:tcW w:w="211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heading"/>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
            </w:pPr>
            <w:r w:rsidRPr="00D96B14">
              <w:t>4 cyl diesel van</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
            </w:pPr>
            <w:r w:rsidRPr="00D96B14">
              <w:t>6 cyl</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
            </w:pPr>
            <w:r w:rsidRPr="00D96B14">
              <w:t>4WD</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
            </w:pPr>
            <w:r w:rsidRPr="00D96B14">
              <w:t>4 cyl diesel van</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
            </w:pPr>
            <w:r w:rsidRPr="00D96B14">
              <w:t>6 cyl</w:t>
            </w:r>
          </w:p>
        </w:tc>
        <w:tc>
          <w:tcPr>
            <w:tcW w:w="81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textheading"/>
            </w:pPr>
            <w:r w:rsidRPr="00D96B14">
              <w:t>4WD</w:t>
            </w:r>
          </w:p>
        </w:tc>
      </w:tr>
      <w:tr w:rsidR="00142353" w:rsidRPr="00D96B14" w:rsidTr="004843DB">
        <w:tc>
          <w:tcPr>
            <w:tcW w:w="211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rPr>
                <w:noProof w:val="0"/>
              </w:rPr>
            </w:pPr>
            <w:r w:rsidRPr="00D96B14">
              <w:rPr>
                <w:noProof w:val="0"/>
              </w:rPr>
              <w:t>Total energy consumption by vehicles (MJ)</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 xml:space="preserve">10 800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 xml:space="preserve">16 200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 xml:space="preserve">22 500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12 000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18 000</w:t>
            </w:r>
          </w:p>
        </w:tc>
        <w:tc>
          <w:tcPr>
            <w:tcW w:w="81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pPr>
            <w:r w:rsidRPr="00D96B14">
              <w:t>25 000</w:t>
            </w:r>
          </w:p>
        </w:tc>
      </w:tr>
      <w:tr w:rsidR="00142353" w:rsidRPr="00D96B14" w:rsidTr="004843DB">
        <w:tc>
          <w:tcPr>
            <w:tcW w:w="211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rPr>
                <w:noProof w:val="0"/>
              </w:rPr>
            </w:pPr>
            <w:r w:rsidRPr="00D96B14">
              <w:rPr>
                <w:noProof w:val="0"/>
              </w:rPr>
              <w:t>Total vehicle travel associated with entity operations (km)</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114 480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171 720</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238 500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127 200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190 800</w:t>
            </w:r>
          </w:p>
        </w:tc>
        <w:tc>
          <w:tcPr>
            <w:tcW w:w="81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pPr>
            <w:r w:rsidRPr="00D96B14">
              <w:t>265 000</w:t>
            </w:r>
          </w:p>
        </w:tc>
      </w:tr>
      <w:tr w:rsidR="00142353" w:rsidRPr="00D96B14" w:rsidTr="004843DB">
        <w:tc>
          <w:tcPr>
            <w:tcW w:w="211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rPr>
                <w:noProof w:val="0"/>
              </w:rPr>
            </w:pPr>
            <w:r w:rsidRPr="00D96B14">
              <w:rPr>
                <w:noProof w:val="0"/>
              </w:rPr>
              <w:t>Total greenhouse gas emissions from vehicle fleet (t CO</w:t>
            </w:r>
            <w:r w:rsidRPr="00D96B14">
              <w:rPr>
                <w:noProof w:val="0"/>
                <w:vertAlign w:val="superscript"/>
              </w:rPr>
              <w:t>2</w:t>
            </w:r>
            <w:r w:rsidRPr="00D96B14">
              <w:rPr>
                <w:noProof w:val="0"/>
              </w:rPr>
              <w:t xml:space="preserve"> 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269 028</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403 542</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560 475</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298 920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448 380</w:t>
            </w:r>
          </w:p>
        </w:tc>
        <w:tc>
          <w:tcPr>
            <w:tcW w:w="81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pPr>
            <w:r w:rsidRPr="00D96B14">
              <w:t>622 750</w:t>
            </w:r>
          </w:p>
        </w:tc>
      </w:tr>
      <w:tr w:rsidR="00142353" w:rsidRPr="00D96B14" w:rsidTr="004843DB">
        <w:tc>
          <w:tcPr>
            <w:tcW w:w="2113" w:type="dxa"/>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rPr>
                <w:noProof w:val="0"/>
              </w:rPr>
            </w:pPr>
            <w:r w:rsidRPr="00D96B14">
              <w:rPr>
                <w:noProof w:val="0"/>
              </w:rPr>
              <w:t>Greenhouse gas emissions from vehicle fleet per 1 000km travelled (t CO</w:t>
            </w:r>
            <w:r w:rsidRPr="00D96B14">
              <w:rPr>
                <w:noProof w:val="0"/>
                <w:vertAlign w:val="superscript"/>
              </w:rPr>
              <w:t>2</w:t>
            </w:r>
            <w:r w:rsidRPr="00D96B14">
              <w:rPr>
                <w:noProof w:val="0"/>
              </w:rPr>
              <w:t xml:space="preserve"> 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0.18811831</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0.28217747</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0.39191315</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0.1693065</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pPr>
            <w:r w:rsidRPr="00D96B14">
              <w:t>0.2539597</w:t>
            </w:r>
          </w:p>
        </w:tc>
        <w:tc>
          <w:tcPr>
            <w:tcW w:w="81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pPr>
            <w:r w:rsidRPr="00D96B14">
              <w:t>0.352722</w:t>
            </w:r>
          </w:p>
        </w:tc>
      </w:tr>
      <w:tr w:rsidR="00142353" w:rsidRPr="00D96B14" w:rsidTr="004843DB">
        <w:tc>
          <w:tcPr>
            <w:tcW w:w="3553" w:type="dxa"/>
            <w:gridSpan w:val="3"/>
            <w:tcBorders>
              <w:top w:val="single" w:sz="4" w:space="0" w:color="auto"/>
              <w:left w:val="nil"/>
              <w:bottom w:val="single" w:sz="4" w:space="0" w:color="auto"/>
              <w:right w:val="nil"/>
            </w:tcBorders>
            <w:shd w:val="clear" w:color="auto" w:fill="auto"/>
          </w:tcPr>
          <w:p w:rsidR="00142353" w:rsidRPr="00D96B14" w:rsidRDefault="00142353" w:rsidP="004843DB">
            <w:pPr>
              <w:pStyle w:val="Tabletext"/>
              <w:rPr>
                <w:noProof w:val="0"/>
                <w:sz w:val="8"/>
                <w:szCs w:val="8"/>
              </w:rPr>
            </w:pPr>
          </w:p>
        </w:tc>
        <w:tc>
          <w:tcPr>
            <w:tcW w:w="2070" w:type="dxa"/>
            <w:gridSpan w:val="5"/>
            <w:tcBorders>
              <w:top w:val="single" w:sz="4" w:space="0" w:color="auto"/>
              <w:left w:val="nil"/>
              <w:bottom w:val="single" w:sz="4" w:space="0" w:color="auto"/>
              <w:right w:val="nil"/>
            </w:tcBorders>
            <w:shd w:val="clear" w:color="auto" w:fill="auto"/>
          </w:tcPr>
          <w:p w:rsidR="00142353" w:rsidRPr="00D96B14" w:rsidRDefault="00142353" w:rsidP="004843DB">
            <w:pPr>
              <w:pStyle w:val="TableofFigures"/>
              <w:jc w:val="center"/>
              <w:rPr>
                <w:bCs/>
                <w:i/>
                <w:iCs/>
                <w:sz w:val="8"/>
                <w:szCs w:val="8"/>
              </w:rPr>
            </w:pPr>
          </w:p>
        </w:tc>
        <w:tc>
          <w:tcPr>
            <w:tcW w:w="2070" w:type="dxa"/>
            <w:gridSpan w:val="4"/>
            <w:tcBorders>
              <w:top w:val="single" w:sz="4" w:space="0" w:color="auto"/>
              <w:left w:val="nil"/>
              <w:bottom w:val="single" w:sz="4" w:space="0" w:color="auto"/>
              <w:right w:val="nil"/>
            </w:tcBorders>
            <w:shd w:val="clear" w:color="auto" w:fill="auto"/>
          </w:tcPr>
          <w:p w:rsidR="00142353" w:rsidRPr="00D96B14" w:rsidRDefault="00142353" w:rsidP="004843DB">
            <w:pPr>
              <w:pStyle w:val="TableofFigures"/>
              <w:jc w:val="center"/>
              <w:rPr>
                <w:bCs/>
                <w:i/>
                <w:iCs/>
                <w:sz w:val="8"/>
                <w:szCs w:val="8"/>
              </w:rPr>
            </w:pPr>
          </w:p>
        </w:tc>
      </w:tr>
      <w:tr w:rsidR="00142353" w:rsidRPr="00D96B14" w:rsidTr="004843DB">
        <w:tc>
          <w:tcPr>
            <w:tcW w:w="3553" w:type="dxa"/>
            <w:gridSpan w:val="3"/>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rPr>
                <w:noProof w:val="0"/>
              </w:rPr>
            </w:pPr>
          </w:p>
        </w:tc>
        <w:tc>
          <w:tcPr>
            <w:tcW w:w="2070" w:type="dxa"/>
            <w:gridSpan w:val="5"/>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Centred"/>
              <w:rPr>
                <w:bCs/>
              </w:rPr>
            </w:pPr>
            <w:r w:rsidRPr="00D96B14">
              <w:t>2015</w:t>
            </w:r>
            <w:r w:rsidR="005A4BB0">
              <w:noBreakHyphen/>
            </w:r>
            <w:r w:rsidRPr="00D96B14">
              <w:t>16</w:t>
            </w:r>
          </w:p>
        </w:tc>
        <w:tc>
          <w:tcPr>
            <w:tcW w:w="2070" w:type="dxa"/>
            <w:gridSpan w:val="4"/>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jc w:val="center"/>
              <w:rPr>
                <w:bCs/>
                <w:i/>
                <w:iCs/>
              </w:rPr>
            </w:pPr>
            <w:r w:rsidRPr="00D96B14">
              <w:rPr>
                <w:bCs/>
                <w:i/>
                <w:iCs/>
              </w:rPr>
              <w:t>2014/15</w:t>
            </w:r>
          </w:p>
        </w:tc>
      </w:tr>
      <w:tr w:rsidR="00142353" w:rsidRPr="00D96B14" w:rsidTr="004843DB">
        <w:tc>
          <w:tcPr>
            <w:tcW w:w="3553" w:type="dxa"/>
            <w:gridSpan w:val="3"/>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
              <w:rPr>
                <w:noProof w:val="0"/>
              </w:rPr>
            </w:pPr>
            <w:r w:rsidRPr="00D96B14">
              <w:rPr>
                <w:noProof w:val="0"/>
              </w:rPr>
              <w:t>Total distance travelled by aeroplane (km)</w:t>
            </w:r>
          </w:p>
        </w:tc>
        <w:tc>
          <w:tcPr>
            <w:tcW w:w="2070" w:type="dxa"/>
            <w:gridSpan w:val="5"/>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ofFigures"/>
              <w:jc w:val="center"/>
            </w:pPr>
            <w:r w:rsidRPr="00D96B14">
              <w:t>13 500</w:t>
            </w:r>
          </w:p>
        </w:tc>
        <w:tc>
          <w:tcPr>
            <w:tcW w:w="2070" w:type="dxa"/>
            <w:gridSpan w:val="4"/>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ofFigures"/>
              <w:jc w:val="center"/>
            </w:pPr>
            <w:r w:rsidRPr="00D96B14">
              <w:t>15 000</w:t>
            </w:r>
          </w:p>
        </w:tc>
      </w:tr>
      <w:tr w:rsidR="00142353" w:rsidRPr="00D96B14" w:rsidTr="004843DB">
        <w:tc>
          <w:tcPr>
            <w:tcW w:w="3553" w:type="dxa"/>
            <w:gridSpan w:val="3"/>
            <w:tcBorders>
              <w:top w:val="single" w:sz="4" w:space="0" w:color="auto"/>
              <w:left w:val="nil"/>
              <w:bottom w:val="single" w:sz="4" w:space="0" w:color="auto"/>
              <w:right w:val="single" w:sz="4" w:space="0" w:color="auto"/>
            </w:tcBorders>
            <w:shd w:val="clear" w:color="auto" w:fill="auto"/>
          </w:tcPr>
          <w:p w:rsidR="00142353" w:rsidRPr="00D96B14" w:rsidRDefault="00142353" w:rsidP="004843DB">
            <w:pPr>
              <w:pStyle w:val="Tabletextheading"/>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
            </w:pPr>
            <w:r w:rsidRPr="00D96B14">
              <w:t>CBD</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
            </w:pPr>
            <w:r w:rsidRPr="00D96B14">
              <w:t>Metro</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
            </w:pPr>
            <w:r w:rsidRPr="00D96B14">
              <w:t>Regional</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
            </w:pPr>
            <w:r w:rsidRPr="00D96B14">
              <w:t>CBD</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142353" w:rsidRPr="00D96B14" w:rsidRDefault="00142353" w:rsidP="004843DB">
            <w:pPr>
              <w:pStyle w:val="Tabletextheading"/>
            </w:pPr>
            <w:r w:rsidRPr="00D96B14">
              <w:t>Metro</w:t>
            </w:r>
          </w:p>
        </w:tc>
        <w:tc>
          <w:tcPr>
            <w:tcW w:w="810" w:type="dxa"/>
            <w:tcBorders>
              <w:top w:val="single" w:sz="4" w:space="0" w:color="auto"/>
              <w:left w:val="single" w:sz="4" w:space="0" w:color="auto"/>
              <w:bottom w:val="single" w:sz="4" w:space="0" w:color="auto"/>
              <w:right w:val="nil"/>
            </w:tcBorders>
            <w:shd w:val="clear" w:color="auto" w:fill="auto"/>
          </w:tcPr>
          <w:p w:rsidR="00142353" w:rsidRPr="00D96B14" w:rsidRDefault="00142353" w:rsidP="004843DB">
            <w:pPr>
              <w:pStyle w:val="Tabletextheading"/>
            </w:pPr>
            <w:r w:rsidRPr="00D96B14">
              <w:t>Regional</w:t>
            </w:r>
          </w:p>
        </w:tc>
      </w:tr>
      <w:tr w:rsidR="00142353" w:rsidRPr="00D96B14" w:rsidTr="004843DB">
        <w:tc>
          <w:tcPr>
            <w:tcW w:w="3553" w:type="dxa"/>
            <w:gridSpan w:val="3"/>
            <w:tcBorders>
              <w:top w:val="single" w:sz="4" w:space="0" w:color="auto"/>
              <w:left w:val="nil"/>
              <w:bottom w:val="single" w:sz="12" w:space="0" w:color="auto"/>
              <w:right w:val="single" w:sz="4" w:space="0" w:color="auto"/>
            </w:tcBorders>
            <w:shd w:val="clear" w:color="auto" w:fill="auto"/>
          </w:tcPr>
          <w:p w:rsidR="00142353" w:rsidRPr="00D96B14" w:rsidRDefault="00142353" w:rsidP="004843DB">
            <w:pPr>
              <w:pStyle w:val="Tabletext"/>
              <w:rPr>
                <w:noProof w:val="0"/>
              </w:rPr>
            </w:pPr>
            <w:r w:rsidRPr="00D96B14">
              <w:rPr>
                <w:noProof w:val="0"/>
              </w:rPr>
              <w:t>Percentage of employees regularly (&gt;75 per cent of work attendance days) using public transport, cycling, walking, or carpooling to and from work or working from home, by locality type.</w:t>
            </w:r>
          </w:p>
        </w:tc>
        <w:tc>
          <w:tcPr>
            <w:tcW w:w="630" w:type="dxa"/>
            <w:gridSpan w:val="2"/>
            <w:tcBorders>
              <w:top w:val="single" w:sz="4" w:space="0" w:color="auto"/>
              <w:left w:val="single" w:sz="4" w:space="0" w:color="auto"/>
              <w:bottom w:val="single" w:sz="12" w:space="0" w:color="auto"/>
              <w:right w:val="single" w:sz="4" w:space="0" w:color="auto"/>
            </w:tcBorders>
            <w:shd w:val="clear" w:color="auto" w:fill="auto"/>
          </w:tcPr>
          <w:p w:rsidR="00142353" w:rsidRPr="00D96B14" w:rsidRDefault="00142353" w:rsidP="004843DB">
            <w:pPr>
              <w:pStyle w:val="TableofFigures"/>
            </w:pPr>
            <w:r w:rsidRPr="00D96B14">
              <w:t>84%</w:t>
            </w:r>
          </w:p>
        </w:tc>
        <w:tc>
          <w:tcPr>
            <w:tcW w:w="630" w:type="dxa"/>
            <w:tcBorders>
              <w:top w:val="single" w:sz="4" w:space="0" w:color="auto"/>
              <w:left w:val="single" w:sz="4" w:space="0" w:color="auto"/>
              <w:bottom w:val="single" w:sz="12" w:space="0" w:color="auto"/>
              <w:right w:val="single" w:sz="4" w:space="0" w:color="auto"/>
            </w:tcBorders>
            <w:shd w:val="clear" w:color="auto" w:fill="auto"/>
          </w:tcPr>
          <w:p w:rsidR="00142353" w:rsidRPr="00D96B14" w:rsidRDefault="00142353" w:rsidP="004843DB">
            <w:pPr>
              <w:pStyle w:val="TableofFigures"/>
            </w:pPr>
            <w:r w:rsidRPr="00D96B14">
              <w:t>68%</w:t>
            </w:r>
          </w:p>
        </w:tc>
        <w:tc>
          <w:tcPr>
            <w:tcW w:w="810" w:type="dxa"/>
            <w:gridSpan w:val="2"/>
            <w:tcBorders>
              <w:top w:val="single" w:sz="4" w:space="0" w:color="auto"/>
              <w:left w:val="single" w:sz="4" w:space="0" w:color="auto"/>
              <w:bottom w:val="single" w:sz="12" w:space="0" w:color="auto"/>
              <w:right w:val="single" w:sz="4" w:space="0" w:color="auto"/>
            </w:tcBorders>
            <w:shd w:val="clear" w:color="auto" w:fill="auto"/>
          </w:tcPr>
          <w:p w:rsidR="00142353" w:rsidRPr="00D96B14" w:rsidRDefault="00142353" w:rsidP="004843DB">
            <w:pPr>
              <w:pStyle w:val="TableofFigures"/>
            </w:pPr>
            <w:r w:rsidRPr="00D96B14">
              <w:t>13%</w:t>
            </w:r>
          </w:p>
        </w:tc>
        <w:tc>
          <w:tcPr>
            <w:tcW w:w="630" w:type="dxa"/>
            <w:gridSpan w:val="2"/>
            <w:tcBorders>
              <w:top w:val="single" w:sz="4" w:space="0" w:color="auto"/>
              <w:left w:val="single" w:sz="4" w:space="0" w:color="auto"/>
              <w:bottom w:val="single" w:sz="12" w:space="0" w:color="auto"/>
              <w:right w:val="single" w:sz="4" w:space="0" w:color="auto"/>
            </w:tcBorders>
            <w:shd w:val="clear" w:color="auto" w:fill="auto"/>
          </w:tcPr>
          <w:p w:rsidR="00142353" w:rsidRPr="00D96B14" w:rsidRDefault="00142353" w:rsidP="004843DB">
            <w:pPr>
              <w:pStyle w:val="TableofFigures"/>
            </w:pPr>
            <w:r w:rsidRPr="00D96B14">
              <w:t>80%</w:t>
            </w:r>
          </w:p>
        </w:tc>
        <w:tc>
          <w:tcPr>
            <w:tcW w:w="630" w:type="dxa"/>
            <w:tcBorders>
              <w:top w:val="single" w:sz="4" w:space="0" w:color="auto"/>
              <w:left w:val="single" w:sz="4" w:space="0" w:color="auto"/>
              <w:bottom w:val="single" w:sz="12" w:space="0" w:color="auto"/>
              <w:right w:val="single" w:sz="4" w:space="0" w:color="auto"/>
            </w:tcBorders>
            <w:shd w:val="clear" w:color="auto" w:fill="auto"/>
          </w:tcPr>
          <w:p w:rsidR="00142353" w:rsidRPr="00D96B14" w:rsidRDefault="00142353" w:rsidP="004843DB">
            <w:pPr>
              <w:pStyle w:val="TableofFigures"/>
            </w:pPr>
            <w:r w:rsidRPr="00D96B14">
              <w:t>65%</w:t>
            </w:r>
          </w:p>
        </w:tc>
        <w:tc>
          <w:tcPr>
            <w:tcW w:w="810" w:type="dxa"/>
            <w:tcBorders>
              <w:top w:val="single" w:sz="4" w:space="0" w:color="auto"/>
              <w:left w:val="single" w:sz="4" w:space="0" w:color="auto"/>
              <w:bottom w:val="single" w:sz="12" w:space="0" w:color="auto"/>
              <w:right w:val="nil"/>
            </w:tcBorders>
            <w:shd w:val="clear" w:color="auto" w:fill="auto"/>
          </w:tcPr>
          <w:p w:rsidR="00142353" w:rsidRPr="00D96B14" w:rsidRDefault="00142353" w:rsidP="004843DB">
            <w:pPr>
              <w:pStyle w:val="TableofFigures"/>
            </w:pPr>
            <w:r w:rsidRPr="00D96B14">
              <w:t>12%</w:t>
            </w:r>
          </w:p>
        </w:tc>
      </w:tr>
    </w:tbl>
    <w:p w:rsidR="00142353" w:rsidRPr="00D96B14" w:rsidRDefault="00142353" w:rsidP="00142353">
      <w:pPr>
        <w:pStyle w:val="Notes"/>
      </w:pPr>
    </w:p>
    <w:p w:rsidR="00142353" w:rsidRPr="00D96B14" w:rsidRDefault="00142353" w:rsidP="00142353">
      <w:pPr>
        <w:pStyle w:val="Heading2"/>
      </w:pPr>
      <w:r w:rsidRPr="00D96B14">
        <w:t>Targets</w:t>
      </w:r>
    </w:p>
    <w:p w:rsidR="00142353" w:rsidRPr="00D96B14" w:rsidRDefault="00142353" w:rsidP="00142353">
      <w:r w:rsidRPr="00D96B14">
        <w:t>The following targets have been set for 2015</w:t>
      </w:r>
      <w:r w:rsidR="005A4BB0">
        <w:noBreakHyphen/>
      </w:r>
      <w:r w:rsidRPr="00D96B14">
        <w:t>16:</w:t>
      </w:r>
    </w:p>
    <w:p w:rsidR="00142353" w:rsidRPr="00D96B14" w:rsidRDefault="00142353" w:rsidP="00142353">
      <w:pPr>
        <w:pStyle w:val="Bullet"/>
      </w:pPr>
      <w:r w:rsidRPr="00D96B14">
        <w:t>reduce consumption of unleaded petrol used by the Department</w:t>
      </w:r>
      <w:r w:rsidR="005A4BB0">
        <w:t>’</w:t>
      </w:r>
      <w:r w:rsidRPr="00D96B14">
        <w:t>s passenger vehicle fleet compared to 2013</w:t>
      </w:r>
      <w:r w:rsidR="005A4BB0">
        <w:noBreakHyphen/>
      </w:r>
      <w:r w:rsidRPr="00D96B14">
        <w:t xml:space="preserve">14 by 10 per cent by 30 June 2016; and </w:t>
      </w:r>
    </w:p>
    <w:p w:rsidR="00142353" w:rsidRPr="00D96B14" w:rsidRDefault="00142353" w:rsidP="00142353">
      <w:pPr>
        <w:pStyle w:val="Bullet"/>
      </w:pPr>
      <w:r w:rsidRPr="00D96B14">
        <w:t>reduce the distance travelled annually in passenger vehicles by the Department</w:t>
      </w:r>
      <w:r w:rsidR="005A4BB0">
        <w:t>’</w:t>
      </w:r>
      <w:r w:rsidRPr="00D96B14">
        <w:t>s employees by 10 per cent by 30 June 2016.</w:t>
      </w:r>
    </w:p>
    <w:p w:rsidR="00142353" w:rsidRPr="00D96B14" w:rsidRDefault="00142353" w:rsidP="00142353">
      <w:pPr>
        <w:pStyle w:val="Heading2"/>
      </w:pPr>
      <w:r w:rsidRPr="00D96B14">
        <w:t>Explanatory notes</w:t>
      </w:r>
    </w:p>
    <w:p w:rsidR="00142353" w:rsidRPr="00D96B14" w:rsidRDefault="00142353" w:rsidP="00142353">
      <w:pPr>
        <w:pStyle w:val="NormalBlue"/>
        <w:rPr>
          <w:i/>
          <w:iCs/>
        </w:rPr>
      </w:pPr>
      <w:r w:rsidRPr="00D96B14">
        <w:rPr>
          <w:i/>
          <w:iCs/>
        </w:rPr>
        <w:t>[Insert as appropriate.]</w:t>
      </w:r>
    </w:p>
    <w:p w:rsidR="00142353" w:rsidRPr="00D96B14" w:rsidRDefault="00142353" w:rsidP="00142353">
      <w:pPr>
        <w:pStyle w:val="SmallLine"/>
      </w:pPr>
      <w:r w:rsidRPr="00D96B14">
        <w:br w:type="column"/>
      </w:r>
    </w:p>
    <w:p w:rsidR="00142353" w:rsidRPr="00D96B14" w:rsidRDefault="00142353" w:rsidP="00142353">
      <w:pPr>
        <w:pStyle w:val="SmallLine"/>
      </w:pPr>
    </w:p>
    <w:p w:rsidR="00142353" w:rsidRPr="00D96B14" w:rsidRDefault="00142353" w:rsidP="00142353">
      <w:pPr>
        <w:pStyle w:val="SmallLine"/>
      </w:pPr>
    </w:p>
    <w:p w:rsidR="00142353" w:rsidRPr="00D96B14" w:rsidRDefault="00142353" w:rsidP="00142353">
      <w:pPr>
        <w:pStyle w:val="Reference"/>
        <w:rPr>
          <w:lang w:val="en-AU"/>
        </w:rPr>
      </w:pPr>
      <w:r w:rsidRPr="00D96B14">
        <w:rPr>
          <w:lang w:val="en-AU"/>
        </w:rPr>
        <w:t>FRD 24C</w:t>
      </w:r>
    </w:p>
    <w:p w:rsidR="00142353" w:rsidRPr="00D96B14" w:rsidRDefault="00142353" w:rsidP="00142353">
      <w:pPr>
        <w:pStyle w:val="Heading3"/>
      </w:pPr>
      <w:r w:rsidRPr="00D96B14">
        <w:br w:type="column"/>
      </w:r>
      <w:r w:rsidRPr="00D96B14">
        <w:lastRenderedPageBreak/>
        <w:t>Greenhouse gas emissions</w:t>
      </w:r>
    </w:p>
    <w:p w:rsidR="00142353" w:rsidRPr="00D96B14" w:rsidRDefault="00142353" w:rsidP="00142353">
      <w:r w:rsidRPr="00D96B14">
        <w:t>The emissions disclosed in the section below are taken from the previous sections and brought together here to show the Department</w:t>
      </w:r>
      <w:r w:rsidR="005A4BB0">
        <w:t>’</w:t>
      </w:r>
      <w:r w:rsidRPr="00D96B14">
        <w:t>s greenhouse footprint.</w:t>
      </w:r>
    </w:p>
    <w:p w:rsidR="00142353" w:rsidRPr="00D96B14" w:rsidRDefault="00142353" w:rsidP="00142353">
      <w:pPr>
        <w:pStyle w:val="Notes"/>
      </w:pPr>
    </w:p>
    <w:tbl>
      <w:tblPr>
        <w:tblW w:w="8053" w:type="dxa"/>
        <w:tblCellMar>
          <w:left w:w="43" w:type="dxa"/>
          <w:right w:w="43" w:type="dxa"/>
        </w:tblCellMar>
        <w:tblLook w:val="01E0" w:firstRow="1" w:lastRow="1" w:firstColumn="1" w:lastColumn="1" w:noHBand="0" w:noVBand="0"/>
      </w:tblPr>
      <w:tblGrid>
        <w:gridCol w:w="6343"/>
        <w:gridCol w:w="810"/>
        <w:gridCol w:w="900"/>
      </w:tblGrid>
      <w:tr w:rsidR="00142353" w:rsidRPr="00D96B14" w:rsidTr="004843DB">
        <w:tc>
          <w:tcPr>
            <w:tcW w:w="6343" w:type="dxa"/>
            <w:tcBorders>
              <w:top w:val="single" w:sz="4" w:space="0" w:color="auto"/>
              <w:bottom w:val="single" w:sz="4" w:space="0" w:color="auto"/>
            </w:tcBorders>
            <w:shd w:val="clear" w:color="auto" w:fill="auto"/>
            <w:vAlign w:val="bottom"/>
          </w:tcPr>
          <w:p w:rsidR="00142353" w:rsidRPr="00D96B14" w:rsidRDefault="00142353" w:rsidP="004843DB">
            <w:pPr>
              <w:pStyle w:val="Tabletextheading"/>
              <w:jc w:val="left"/>
              <w:rPr>
                <w:b/>
                <w:i w:val="0"/>
              </w:rPr>
            </w:pPr>
            <w:r w:rsidRPr="00D96B14">
              <w:rPr>
                <w:b/>
                <w:i w:val="0"/>
              </w:rPr>
              <w:t>Indicator</w:t>
            </w:r>
          </w:p>
        </w:tc>
        <w:tc>
          <w:tcPr>
            <w:tcW w:w="810" w:type="dxa"/>
            <w:tcBorders>
              <w:top w:val="single" w:sz="4" w:space="0" w:color="auto"/>
              <w:bottom w:val="single" w:sz="4" w:space="0" w:color="auto"/>
            </w:tcBorders>
            <w:shd w:val="clear" w:color="auto" w:fill="auto"/>
          </w:tcPr>
          <w:p w:rsidR="00142353" w:rsidRPr="00D96B14" w:rsidRDefault="00142353" w:rsidP="004843DB">
            <w:pPr>
              <w:pStyle w:val="Tabletextheading"/>
            </w:pPr>
            <w:r w:rsidRPr="00D96B14">
              <w:t>2015</w:t>
            </w:r>
            <w:r w:rsidR="005A4BB0">
              <w:noBreakHyphen/>
            </w:r>
            <w:r w:rsidRPr="00D96B14">
              <w:t xml:space="preserve">16 </w:t>
            </w:r>
          </w:p>
        </w:tc>
        <w:tc>
          <w:tcPr>
            <w:tcW w:w="900" w:type="dxa"/>
            <w:tcBorders>
              <w:top w:val="single" w:sz="4" w:space="0" w:color="auto"/>
              <w:bottom w:val="single" w:sz="4" w:space="0" w:color="auto"/>
            </w:tcBorders>
            <w:shd w:val="clear" w:color="auto" w:fill="auto"/>
          </w:tcPr>
          <w:p w:rsidR="00142353" w:rsidRPr="00D96B14" w:rsidRDefault="00142353" w:rsidP="004843DB">
            <w:pPr>
              <w:pStyle w:val="Tabletextheading"/>
            </w:pPr>
            <w:r w:rsidRPr="00D96B14">
              <w:t xml:space="preserve">2014/15 </w:t>
            </w:r>
          </w:p>
        </w:tc>
      </w:tr>
      <w:tr w:rsidR="00142353" w:rsidRPr="00D96B14" w:rsidTr="004843DB">
        <w:tc>
          <w:tcPr>
            <w:tcW w:w="6343" w:type="dxa"/>
            <w:tcBorders>
              <w:top w:val="single" w:sz="4" w:space="0" w:color="auto"/>
            </w:tcBorders>
            <w:shd w:val="clear" w:color="auto" w:fill="auto"/>
          </w:tcPr>
          <w:p w:rsidR="00142353" w:rsidRPr="00D96B14" w:rsidRDefault="00142353" w:rsidP="004843DB">
            <w:pPr>
              <w:pStyle w:val="Tabletext"/>
            </w:pPr>
            <w:r w:rsidRPr="00D96B14">
              <w:t>Total greenhouse gas emissions associated with energy use (t CO</w:t>
            </w:r>
            <w:r w:rsidRPr="00D96B14">
              <w:rPr>
                <w:vertAlign w:val="superscript"/>
              </w:rPr>
              <w:t>2</w:t>
            </w:r>
            <w:r w:rsidRPr="00D96B14">
              <w:t xml:space="preserve"> e)</w:t>
            </w:r>
          </w:p>
        </w:tc>
        <w:tc>
          <w:tcPr>
            <w:tcW w:w="810" w:type="dxa"/>
            <w:tcBorders>
              <w:top w:val="single" w:sz="4" w:space="0" w:color="auto"/>
            </w:tcBorders>
            <w:shd w:val="clear" w:color="auto" w:fill="auto"/>
          </w:tcPr>
          <w:p w:rsidR="00142353" w:rsidRPr="00D96B14" w:rsidRDefault="00142353" w:rsidP="004843DB">
            <w:pPr>
              <w:pStyle w:val="TableofFigures"/>
            </w:pPr>
            <w:r w:rsidRPr="00D96B14">
              <w:t xml:space="preserve">1 372 </w:t>
            </w:r>
          </w:p>
        </w:tc>
        <w:tc>
          <w:tcPr>
            <w:tcW w:w="900" w:type="dxa"/>
            <w:tcBorders>
              <w:top w:val="single" w:sz="4" w:space="0" w:color="auto"/>
            </w:tcBorders>
            <w:shd w:val="clear" w:color="auto" w:fill="auto"/>
          </w:tcPr>
          <w:p w:rsidR="00142353" w:rsidRPr="00D96B14" w:rsidRDefault="00142353" w:rsidP="004843DB">
            <w:pPr>
              <w:pStyle w:val="TableofFigures"/>
            </w:pPr>
            <w:r w:rsidRPr="00D96B14">
              <w:t xml:space="preserve">1 602 </w:t>
            </w:r>
          </w:p>
        </w:tc>
      </w:tr>
      <w:tr w:rsidR="00142353" w:rsidRPr="00D96B14" w:rsidTr="004843DB">
        <w:tc>
          <w:tcPr>
            <w:tcW w:w="6343" w:type="dxa"/>
            <w:shd w:val="clear" w:color="auto" w:fill="auto"/>
          </w:tcPr>
          <w:p w:rsidR="00142353" w:rsidRPr="00D96B14" w:rsidRDefault="00142353" w:rsidP="004843DB">
            <w:pPr>
              <w:pStyle w:val="Tabletext"/>
            </w:pPr>
            <w:r w:rsidRPr="00D96B14">
              <w:t>Total greenhouse gas emissions associated with vehicle fleet (t CO</w:t>
            </w:r>
            <w:r w:rsidRPr="00D96B14">
              <w:rPr>
                <w:vertAlign w:val="superscript"/>
              </w:rPr>
              <w:t>2</w:t>
            </w:r>
            <w:r w:rsidRPr="00D96B14">
              <w:t xml:space="preserve"> e)</w:t>
            </w:r>
          </w:p>
        </w:tc>
        <w:tc>
          <w:tcPr>
            <w:tcW w:w="810" w:type="dxa"/>
            <w:shd w:val="clear" w:color="auto" w:fill="auto"/>
          </w:tcPr>
          <w:p w:rsidR="00142353" w:rsidRPr="00D96B14" w:rsidRDefault="00142353" w:rsidP="004843DB">
            <w:pPr>
              <w:pStyle w:val="TableofFigures"/>
            </w:pPr>
            <w:r w:rsidRPr="00D96B14">
              <w:t xml:space="preserve">1 233 </w:t>
            </w:r>
          </w:p>
        </w:tc>
        <w:tc>
          <w:tcPr>
            <w:tcW w:w="900" w:type="dxa"/>
            <w:shd w:val="clear" w:color="auto" w:fill="auto"/>
          </w:tcPr>
          <w:p w:rsidR="00142353" w:rsidRPr="00D96B14" w:rsidRDefault="00142353" w:rsidP="004843DB">
            <w:pPr>
              <w:pStyle w:val="TableofFigures"/>
            </w:pPr>
            <w:r w:rsidRPr="00D96B14">
              <w:t xml:space="preserve">1 370 </w:t>
            </w:r>
          </w:p>
        </w:tc>
      </w:tr>
      <w:tr w:rsidR="00142353" w:rsidRPr="00D96B14" w:rsidTr="004843DB">
        <w:tc>
          <w:tcPr>
            <w:tcW w:w="6343" w:type="dxa"/>
            <w:shd w:val="clear" w:color="auto" w:fill="auto"/>
          </w:tcPr>
          <w:p w:rsidR="00142353" w:rsidRPr="00D96B14" w:rsidRDefault="00142353" w:rsidP="004843DB">
            <w:pPr>
              <w:pStyle w:val="Tabletext"/>
            </w:pPr>
            <w:r w:rsidRPr="00D96B14">
              <w:t>Total greenhouse gas emissions associated with air travel (t CO</w:t>
            </w:r>
            <w:r w:rsidRPr="00D96B14">
              <w:rPr>
                <w:vertAlign w:val="superscript"/>
              </w:rPr>
              <w:t>2</w:t>
            </w:r>
            <w:r w:rsidRPr="00D96B14">
              <w:t xml:space="preserve"> e)</w:t>
            </w:r>
          </w:p>
        </w:tc>
        <w:tc>
          <w:tcPr>
            <w:tcW w:w="810" w:type="dxa"/>
            <w:shd w:val="clear" w:color="auto" w:fill="auto"/>
          </w:tcPr>
          <w:p w:rsidR="00142353" w:rsidRPr="00D96B14" w:rsidRDefault="00142353" w:rsidP="004843DB">
            <w:pPr>
              <w:pStyle w:val="TableofFigures"/>
            </w:pPr>
            <w:r w:rsidRPr="00D96B14">
              <w:t xml:space="preserve">510 </w:t>
            </w:r>
          </w:p>
        </w:tc>
        <w:tc>
          <w:tcPr>
            <w:tcW w:w="900" w:type="dxa"/>
            <w:shd w:val="clear" w:color="auto" w:fill="auto"/>
          </w:tcPr>
          <w:p w:rsidR="00142353" w:rsidRPr="00D96B14" w:rsidRDefault="00142353" w:rsidP="004843DB">
            <w:pPr>
              <w:pStyle w:val="TableofFigures"/>
            </w:pPr>
            <w:r w:rsidRPr="00D96B14">
              <w:t xml:space="preserve">523 </w:t>
            </w:r>
          </w:p>
        </w:tc>
      </w:tr>
      <w:tr w:rsidR="00142353" w:rsidRPr="00D96B14" w:rsidTr="004843DB">
        <w:tc>
          <w:tcPr>
            <w:tcW w:w="6343" w:type="dxa"/>
            <w:shd w:val="clear" w:color="auto" w:fill="auto"/>
          </w:tcPr>
          <w:p w:rsidR="00142353" w:rsidRPr="00D96B14" w:rsidRDefault="00142353" w:rsidP="004843DB">
            <w:pPr>
              <w:pStyle w:val="Tabletext"/>
            </w:pPr>
            <w:r w:rsidRPr="00D96B14">
              <w:t>Total greenhouse gas emissions associated with waste production (t CO</w:t>
            </w:r>
            <w:r w:rsidRPr="00D96B14">
              <w:rPr>
                <w:vertAlign w:val="superscript"/>
              </w:rPr>
              <w:t>2</w:t>
            </w:r>
            <w:r w:rsidRPr="00D96B14">
              <w:t xml:space="preserve"> e)</w:t>
            </w:r>
          </w:p>
        </w:tc>
        <w:tc>
          <w:tcPr>
            <w:tcW w:w="810" w:type="dxa"/>
            <w:shd w:val="clear" w:color="auto" w:fill="auto"/>
          </w:tcPr>
          <w:p w:rsidR="00142353" w:rsidRPr="00D96B14" w:rsidRDefault="00142353" w:rsidP="004843DB">
            <w:pPr>
              <w:pStyle w:val="TableofFigures"/>
            </w:pPr>
            <w:r w:rsidRPr="00D96B14">
              <w:t>78</w:t>
            </w:r>
          </w:p>
        </w:tc>
        <w:tc>
          <w:tcPr>
            <w:tcW w:w="900" w:type="dxa"/>
            <w:shd w:val="clear" w:color="auto" w:fill="auto"/>
          </w:tcPr>
          <w:p w:rsidR="00142353" w:rsidRPr="00D96B14" w:rsidRDefault="00142353" w:rsidP="004843DB">
            <w:pPr>
              <w:pStyle w:val="TableofFigures"/>
            </w:pPr>
            <w:r w:rsidRPr="00D96B14">
              <w:t xml:space="preserve">83 </w:t>
            </w:r>
          </w:p>
        </w:tc>
      </w:tr>
      <w:tr w:rsidR="00142353" w:rsidRPr="00D96B14" w:rsidTr="004843DB">
        <w:tc>
          <w:tcPr>
            <w:tcW w:w="6343" w:type="dxa"/>
            <w:tcBorders>
              <w:bottom w:val="single" w:sz="4" w:space="0" w:color="auto"/>
            </w:tcBorders>
            <w:shd w:val="clear" w:color="auto" w:fill="auto"/>
          </w:tcPr>
          <w:p w:rsidR="00142353" w:rsidRPr="00D96B14" w:rsidRDefault="00142353" w:rsidP="004843DB">
            <w:pPr>
              <w:pStyle w:val="Tabletext"/>
            </w:pPr>
            <w:r w:rsidRPr="00D96B14">
              <w:t>Greenhouse gas emissions offsets purchased (t CO</w:t>
            </w:r>
            <w:r w:rsidRPr="00D96B14">
              <w:rPr>
                <w:vertAlign w:val="superscript"/>
              </w:rPr>
              <w:t>2</w:t>
            </w:r>
            <w:r w:rsidRPr="00D96B14">
              <w:t xml:space="preserve"> e)</w:t>
            </w:r>
          </w:p>
        </w:tc>
        <w:tc>
          <w:tcPr>
            <w:tcW w:w="810" w:type="dxa"/>
            <w:tcBorders>
              <w:bottom w:val="single" w:sz="4" w:space="0" w:color="auto"/>
            </w:tcBorders>
            <w:shd w:val="clear" w:color="auto" w:fill="auto"/>
          </w:tcPr>
          <w:p w:rsidR="00142353" w:rsidRPr="00D96B14" w:rsidRDefault="00142353" w:rsidP="004843DB">
            <w:pPr>
              <w:pStyle w:val="TableofFigures"/>
            </w:pPr>
            <w:r w:rsidRPr="00D96B14">
              <w:t xml:space="preserve">.. </w:t>
            </w:r>
          </w:p>
        </w:tc>
        <w:tc>
          <w:tcPr>
            <w:tcW w:w="900" w:type="dxa"/>
            <w:tcBorders>
              <w:bottom w:val="single" w:sz="4" w:space="0" w:color="auto"/>
            </w:tcBorders>
            <w:shd w:val="clear" w:color="auto" w:fill="auto"/>
          </w:tcPr>
          <w:p w:rsidR="00142353" w:rsidRPr="00D96B14" w:rsidRDefault="00142353" w:rsidP="004843DB">
            <w:pPr>
              <w:pStyle w:val="TableofFigures"/>
            </w:pPr>
            <w:r w:rsidRPr="00D96B14">
              <w:t xml:space="preserve">.. </w:t>
            </w:r>
          </w:p>
        </w:tc>
      </w:tr>
      <w:tr w:rsidR="00142353" w:rsidRPr="00D96B14" w:rsidTr="004843DB">
        <w:tc>
          <w:tcPr>
            <w:tcW w:w="8053" w:type="dxa"/>
            <w:gridSpan w:val="3"/>
            <w:tcBorders>
              <w:top w:val="single" w:sz="4" w:space="0" w:color="auto"/>
            </w:tcBorders>
            <w:shd w:val="clear" w:color="auto" w:fill="auto"/>
          </w:tcPr>
          <w:p w:rsidR="00142353" w:rsidRPr="00D96B14" w:rsidRDefault="00142353" w:rsidP="004843DB">
            <w:pPr>
              <w:pStyle w:val="Tabletext"/>
            </w:pPr>
            <w:r w:rsidRPr="00D96B14">
              <w:rPr>
                <w:b/>
                <w:bCs/>
              </w:rPr>
              <w:t>Optional indicators</w:t>
            </w:r>
          </w:p>
        </w:tc>
      </w:tr>
      <w:tr w:rsidR="00142353" w:rsidRPr="00D96B14" w:rsidTr="004843DB">
        <w:tc>
          <w:tcPr>
            <w:tcW w:w="6343" w:type="dxa"/>
            <w:tcBorders>
              <w:bottom w:val="single" w:sz="4" w:space="0" w:color="auto"/>
            </w:tcBorders>
            <w:shd w:val="clear" w:color="auto" w:fill="auto"/>
          </w:tcPr>
          <w:p w:rsidR="00142353" w:rsidRPr="00D96B14" w:rsidRDefault="00142353" w:rsidP="004843DB">
            <w:pPr>
              <w:pStyle w:val="Tabletext"/>
            </w:pPr>
            <w:r w:rsidRPr="00D96B14">
              <w:t>Any other known greenhouse gas emissions associated with other activities (t CO</w:t>
            </w:r>
            <w:r w:rsidRPr="00D96B14">
              <w:rPr>
                <w:vertAlign w:val="superscript"/>
              </w:rPr>
              <w:t>2</w:t>
            </w:r>
            <w:r w:rsidRPr="00D96B14">
              <w:t xml:space="preserve"> e)</w:t>
            </w:r>
          </w:p>
        </w:tc>
        <w:tc>
          <w:tcPr>
            <w:tcW w:w="810" w:type="dxa"/>
            <w:tcBorders>
              <w:bottom w:val="single" w:sz="4" w:space="0" w:color="auto"/>
            </w:tcBorders>
            <w:shd w:val="clear" w:color="auto" w:fill="auto"/>
          </w:tcPr>
          <w:p w:rsidR="00142353" w:rsidRPr="00D96B14" w:rsidRDefault="00142353" w:rsidP="004843DB">
            <w:pPr>
              <w:pStyle w:val="TableofFigures"/>
            </w:pPr>
            <w:r w:rsidRPr="00D96B14">
              <w:t xml:space="preserve">18 </w:t>
            </w:r>
          </w:p>
        </w:tc>
        <w:tc>
          <w:tcPr>
            <w:tcW w:w="900" w:type="dxa"/>
            <w:tcBorders>
              <w:bottom w:val="single" w:sz="4" w:space="0" w:color="auto"/>
            </w:tcBorders>
            <w:shd w:val="clear" w:color="auto" w:fill="auto"/>
          </w:tcPr>
          <w:p w:rsidR="00142353" w:rsidRPr="00D96B14" w:rsidRDefault="00142353" w:rsidP="004843DB">
            <w:pPr>
              <w:pStyle w:val="TableofFigures"/>
            </w:pPr>
            <w:r w:rsidRPr="00D96B14">
              <w:t xml:space="preserve">23 </w:t>
            </w:r>
          </w:p>
        </w:tc>
      </w:tr>
      <w:tr w:rsidR="00142353" w:rsidRPr="00D96B14" w:rsidTr="004843DB">
        <w:tc>
          <w:tcPr>
            <w:tcW w:w="8053" w:type="dxa"/>
            <w:gridSpan w:val="3"/>
            <w:tcBorders>
              <w:top w:val="single" w:sz="4" w:space="0" w:color="auto"/>
            </w:tcBorders>
            <w:shd w:val="clear" w:color="auto" w:fill="auto"/>
          </w:tcPr>
          <w:p w:rsidR="00142353" w:rsidRPr="00D96B14" w:rsidRDefault="00142353" w:rsidP="004843DB">
            <w:pPr>
              <w:pStyle w:val="Tabletext"/>
            </w:pPr>
            <w:r w:rsidRPr="00D96B14">
              <w:rPr>
                <w:b/>
                <w:bCs/>
              </w:rPr>
              <w:t>Actions undertaken</w:t>
            </w:r>
          </w:p>
        </w:tc>
      </w:tr>
      <w:tr w:rsidR="00142353" w:rsidRPr="00D96B14" w:rsidTr="004843DB">
        <w:tc>
          <w:tcPr>
            <w:tcW w:w="8053" w:type="dxa"/>
            <w:gridSpan w:val="3"/>
            <w:shd w:val="clear" w:color="auto" w:fill="auto"/>
          </w:tcPr>
          <w:p w:rsidR="00142353" w:rsidRPr="00D96B14" w:rsidRDefault="00142353" w:rsidP="004843DB">
            <w:pPr>
              <w:pStyle w:val="Tabletext"/>
            </w:pPr>
            <w:r w:rsidRPr="00D96B14">
              <w:t>All the actions undertaken in the energy, waste and transport sectors will help to reduce the Department</w:t>
            </w:r>
            <w:r w:rsidR="005A4BB0">
              <w:t>’</w:t>
            </w:r>
            <w:r w:rsidRPr="00D96B14">
              <w:t xml:space="preserve">s impacts. </w:t>
            </w:r>
          </w:p>
        </w:tc>
      </w:tr>
      <w:tr w:rsidR="00142353" w:rsidRPr="00D96B14" w:rsidTr="004843DB">
        <w:tc>
          <w:tcPr>
            <w:tcW w:w="8053" w:type="dxa"/>
            <w:gridSpan w:val="3"/>
            <w:tcBorders>
              <w:bottom w:val="single" w:sz="12" w:space="0" w:color="auto"/>
            </w:tcBorders>
            <w:shd w:val="clear" w:color="auto" w:fill="auto"/>
          </w:tcPr>
          <w:p w:rsidR="00142353" w:rsidRPr="00D96B14" w:rsidRDefault="00142353" w:rsidP="004843DB">
            <w:pPr>
              <w:pStyle w:val="Tabletext"/>
            </w:pPr>
            <w:r w:rsidRPr="00D96B14">
              <w:t>The Department</w:t>
            </w:r>
            <w:r w:rsidR="005A4BB0">
              <w:t>’</w:t>
            </w:r>
            <w:r w:rsidRPr="00D96B14">
              <w:t xml:space="preserve">s full greenhouse inventory can be found at </w:t>
            </w:r>
            <w:r w:rsidRPr="00D96B14">
              <w:rPr>
                <w:rStyle w:val="Hyperlink"/>
              </w:rPr>
              <w:t xml:space="preserve">www.dot.vic.gov.au/ghginventory </w:t>
            </w:r>
            <w:r w:rsidRPr="00D96B14">
              <w:rPr>
                <w:rStyle w:val="Hyperlink"/>
                <w:i/>
              </w:rPr>
              <w:t>[fictitious web address]</w:t>
            </w:r>
          </w:p>
        </w:tc>
      </w:tr>
    </w:tbl>
    <w:p w:rsidR="00142353" w:rsidRPr="00D96B14" w:rsidRDefault="00142353" w:rsidP="00142353">
      <w:pPr>
        <w:pStyle w:val="Notes"/>
      </w:pPr>
    </w:p>
    <w:p w:rsidR="00142353" w:rsidRPr="00D96B14" w:rsidRDefault="00142353" w:rsidP="00142353">
      <w:pPr>
        <w:pStyle w:val="Heading2"/>
      </w:pPr>
      <w:r w:rsidRPr="00D96B14">
        <w:t>Targets</w:t>
      </w:r>
    </w:p>
    <w:p w:rsidR="00142353" w:rsidRPr="00D96B14" w:rsidRDefault="00142353" w:rsidP="00142353">
      <w:r w:rsidRPr="00D96B14">
        <w:t>The following targets have been set for 2015</w:t>
      </w:r>
      <w:r w:rsidR="005A4BB0">
        <w:noBreakHyphen/>
      </w:r>
      <w:r w:rsidRPr="00D96B14">
        <w:t>16:</w:t>
      </w:r>
    </w:p>
    <w:p w:rsidR="00142353" w:rsidRPr="00D96B14" w:rsidRDefault="00142353" w:rsidP="00142353">
      <w:pPr>
        <w:pStyle w:val="Bullet"/>
      </w:pPr>
      <w:r w:rsidRPr="00D96B14">
        <w:t xml:space="preserve">to increase the number of greenhouse sources accounted in the greenhouse inventory by two per year until 2016; and </w:t>
      </w:r>
    </w:p>
    <w:p w:rsidR="00142353" w:rsidRPr="00D96B14" w:rsidRDefault="00142353" w:rsidP="00142353">
      <w:pPr>
        <w:pStyle w:val="Bullet"/>
      </w:pPr>
      <w:r w:rsidRPr="00D96B14">
        <w:t>to reduce the Department</w:t>
      </w:r>
      <w:r w:rsidR="005A4BB0">
        <w:t>’</w:t>
      </w:r>
      <w:r w:rsidRPr="00D96B14">
        <w:t>s carbon footprint by 50 per cent by 2035.</w:t>
      </w:r>
    </w:p>
    <w:p w:rsidR="00142353" w:rsidRPr="00D96B14" w:rsidRDefault="00142353" w:rsidP="00142353">
      <w:pPr>
        <w:pStyle w:val="Heading2"/>
      </w:pPr>
      <w:r w:rsidRPr="00D96B14">
        <w:t>Explanatory notes</w:t>
      </w:r>
    </w:p>
    <w:p w:rsidR="00142353" w:rsidRPr="00D96B14" w:rsidRDefault="00142353" w:rsidP="00142353">
      <w:pPr>
        <w:pStyle w:val="NormalBlue"/>
        <w:rPr>
          <w:i/>
          <w:iCs/>
        </w:rPr>
      </w:pPr>
      <w:r w:rsidRPr="00D96B14">
        <w:rPr>
          <w:i/>
          <w:iCs/>
        </w:rPr>
        <w:t>[Insert as appropriate.]</w:t>
      </w:r>
    </w:p>
    <w:p w:rsidR="00142353" w:rsidRPr="00D96B14" w:rsidRDefault="00142353" w:rsidP="00142353">
      <w:pPr>
        <w:pStyle w:val="Heading3"/>
      </w:pPr>
      <w:r w:rsidRPr="00D96B14">
        <w:t>Other information</w:t>
      </w:r>
    </w:p>
    <w:p w:rsidR="00142353" w:rsidRPr="00D96B14" w:rsidRDefault="00142353" w:rsidP="00142353">
      <w:r w:rsidRPr="00D96B14">
        <w:t>Actions taken during the year to reduce energy use in buildings include:</w:t>
      </w:r>
    </w:p>
    <w:p w:rsidR="00142353" w:rsidRPr="00D96B14" w:rsidRDefault="00142353" w:rsidP="00142353">
      <w:pPr>
        <w:pStyle w:val="Bullet"/>
      </w:pPr>
      <w:r w:rsidRPr="00D96B14">
        <w:t>replacement of older, inefficient boilers with higher efficiency boilers including a new control strategy and pump system; and</w:t>
      </w:r>
    </w:p>
    <w:p w:rsidR="00142353" w:rsidRPr="00D96B14" w:rsidRDefault="00142353" w:rsidP="00142353">
      <w:pPr>
        <w:pStyle w:val="Bullet"/>
      </w:pPr>
      <w:r w:rsidRPr="00D96B14">
        <w:t>a staff awareness program to encourage staff to turn off equipment and lights after use.</w:t>
      </w:r>
    </w:p>
    <w:p w:rsidR="00142353" w:rsidRPr="00D96B14" w:rsidRDefault="00142353" w:rsidP="00142353">
      <w:r w:rsidRPr="00D96B14">
        <w:t>Actions taken during the year to reduce energy use in the Department</w:t>
      </w:r>
      <w:r w:rsidR="005A4BB0">
        <w:t>’</w:t>
      </w:r>
      <w:r w:rsidRPr="00D96B14">
        <w:t>s vehicle fleet:</w:t>
      </w:r>
    </w:p>
    <w:p w:rsidR="00142353" w:rsidRPr="00D96B14" w:rsidRDefault="00142353" w:rsidP="00142353">
      <w:pPr>
        <w:pStyle w:val="Bullet"/>
      </w:pPr>
      <w:r w:rsidRPr="00D96B14">
        <w:t>converted dedicated departmental vehicles from petrol to LPG; and</w:t>
      </w:r>
    </w:p>
    <w:p w:rsidR="00142353" w:rsidRPr="00D96B14" w:rsidRDefault="00142353" w:rsidP="00142353">
      <w:pPr>
        <w:pStyle w:val="Bullet"/>
      </w:pPr>
      <w:r w:rsidRPr="00D96B14">
        <w:t>purchase of a number of hybrid vehicles to reduce fuel usage and greenhouse gas emissions.</w:t>
      </w:r>
    </w:p>
    <w:p w:rsidR="00142353" w:rsidRPr="00D96B14" w:rsidRDefault="00142353" w:rsidP="00142353">
      <w:r w:rsidRPr="00D96B14">
        <w:t>The Department has developed a green purchasing policy that complies with the Government</w:t>
      </w:r>
      <w:r w:rsidR="005A4BB0">
        <w:t>’</w:t>
      </w:r>
      <w:r w:rsidRPr="00D96B14">
        <w:t>s Environmental Purchasing Policy. While value for money is the core principle governing the Department</w:t>
      </w:r>
      <w:r w:rsidR="005A4BB0">
        <w:t>’</w:t>
      </w:r>
      <w:r w:rsidRPr="00D96B14">
        <w:t>s procurement activities, the Department</w:t>
      </w:r>
      <w:r w:rsidR="005A4BB0">
        <w:t>’</w:t>
      </w:r>
      <w:r w:rsidRPr="00D96B14">
        <w:t>s green purchasing policy also requires environmental considerations to be included in the procurement planning stage, tender specifications and tender evaluation criteria, where applicable.</w:t>
      </w:r>
    </w:p>
    <w:p w:rsidR="00142353" w:rsidRPr="00D96B14" w:rsidRDefault="00142353" w:rsidP="00142353"/>
    <w:p w:rsidR="00142353" w:rsidRPr="00D96B14" w:rsidRDefault="00142353" w:rsidP="00142353">
      <w:r w:rsidRPr="00D96B14">
        <w:br w:type="column"/>
      </w:r>
    </w:p>
    <w:p w:rsidR="00142353" w:rsidRPr="00D96B14" w:rsidRDefault="00142353" w:rsidP="00142353">
      <w:pPr>
        <w:pStyle w:val="Heading2"/>
      </w:pPr>
      <w:r w:rsidRPr="00D96B14">
        <w:br w:type="column"/>
      </w:r>
      <w:r w:rsidRPr="00D96B14">
        <w:lastRenderedPageBreak/>
        <w:t>Procurement</w:t>
      </w:r>
    </w:p>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pPr>
      <w:r w:rsidRPr="00D96B14">
        <w:lastRenderedPageBreak/>
        <w:t>FRD 24C</w:t>
      </w:r>
    </w:p>
    <w:p w:rsidR="00142353" w:rsidRPr="00D96B14" w:rsidRDefault="00142353" w:rsidP="00142353">
      <w:r w:rsidRPr="00D96B14">
        <w:br w:type="column"/>
      </w:r>
      <w:r w:rsidRPr="00D96B14">
        <w:lastRenderedPageBreak/>
        <w:t>The Department</w:t>
      </w:r>
      <w:r w:rsidR="005A4BB0">
        <w:t>’</w:t>
      </w:r>
      <w:r w:rsidRPr="00D96B14">
        <w:t xml:space="preserve">s main areas of procurement are contractors (40 per cent), and goods and services (60 per cent). </w:t>
      </w:r>
    </w:p>
    <w:p w:rsidR="00142353" w:rsidRPr="00D96B14" w:rsidRDefault="00142353" w:rsidP="00142353">
      <w:r w:rsidRPr="00D96B14">
        <w:t>Examples of how the Department has incorporated environmental considerations into procurement decision making include:</w:t>
      </w:r>
    </w:p>
    <w:p w:rsidR="00142353" w:rsidRPr="00D96B14" w:rsidRDefault="00142353" w:rsidP="00142353">
      <w:pPr>
        <w:pStyle w:val="Bullet"/>
      </w:pPr>
      <w:r w:rsidRPr="00D96B14">
        <w:t>clauses in quotes and tender documents requiring tenderers to disclose environmental breaches;</w:t>
      </w:r>
    </w:p>
    <w:p w:rsidR="00142353" w:rsidRPr="00D96B14" w:rsidRDefault="00142353" w:rsidP="00142353">
      <w:pPr>
        <w:pStyle w:val="Bullet"/>
      </w:pPr>
      <w:r w:rsidRPr="00D96B14">
        <w:t>clauses in quotes and tender documents requiring tenderers to disclose environmental practices; and</w:t>
      </w:r>
    </w:p>
    <w:p w:rsidR="00142353" w:rsidRPr="00D96B14" w:rsidRDefault="00142353" w:rsidP="00142353">
      <w:pPr>
        <w:pStyle w:val="Bullet"/>
      </w:pPr>
      <w:r w:rsidRPr="00D96B14">
        <w:t>weighting of environmental considerations in quotes and tenders.</w:t>
      </w:r>
    </w:p>
    <w:p w:rsidR="00142353" w:rsidRPr="00D96B14" w:rsidRDefault="00142353" w:rsidP="00142353">
      <w:r w:rsidRPr="00D96B14">
        <w:t xml:space="preserve">Tenders, contracts, or products for which the Department has developed or is using sustainability clauses or specifications include: </w:t>
      </w:r>
    </w:p>
    <w:p w:rsidR="00142353" w:rsidRPr="00D96B14" w:rsidRDefault="00142353" w:rsidP="00142353">
      <w:pPr>
        <w:pStyle w:val="Bullet"/>
      </w:pPr>
      <w:r w:rsidRPr="00D96B14">
        <w:t>stationery contract; and</w:t>
      </w:r>
    </w:p>
    <w:p w:rsidR="00142353" w:rsidRPr="00D96B14" w:rsidRDefault="00142353" w:rsidP="00142353">
      <w:pPr>
        <w:pStyle w:val="Bullet"/>
      </w:pPr>
      <w:r w:rsidRPr="00D96B14">
        <w:t>uniforms contract.</w:t>
      </w:r>
    </w:p>
    <w:p w:rsidR="00142353" w:rsidRPr="00D96B14" w:rsidRDefault="00142353" w:rsidP="00142353">
      <w:pPr>
        <w:pStyle w:val="Heading2"/>
      </w:pPr>
      <w:r w:rsidRPr="00D96B14">
        <w:t>Targets</w:t>
      </w:r>
    </w:p>
    <w:p w:rsidR="00142353" w:rsidRPr="00D96B14" w:rsidRDefault="00142353" w:rsidP="00142353">
      <w:r w:rsidRPr="00D96B14">
        <w:t>The following targets have been set for 2015</w:t>
      </w:r>
      <w:r w:rsidR="005A4BB0">
        <w:noBreakHyphen/>
      </w:r>
      <w:r w:rsidRPr="00D96B14">
        <w:t>16:</w:t>
      </w:r>
    </w:p>
    <w:p w:rsidR="00142353" w:rsidRPr="00D96B14" w:rsidRDefault="00142353" w:rsidP="00142353">
      <w:pPr>
        <w:pStyle w:val="Bullet"/>
      </w:pPr>
      <w:r w:rsidRPr="00D96B14">
        <w:t>to always purchase printing paper containing at least 50 per cent recycled properties.</w:t>
      </w:r>
    </w:p>
    <w:p w:rsidR="00142353" w:rsidRPr="00D96B14" w:rsidRDefault="00142353" w:rsidP="00142353">
      <w:pPr>
        <w:pStyle w:val="Heading2"/>
      </w:pPr>
      <w:r w:rsidRPr="00D96B14">
        <w:t>Explanatory notes</w:t>
      </w:r>
    </w:p>
    <w:p w:rsidR="00142353" w:rsidRPr="00D96B14" w:rsidRDefault="00142353" w:rsidP="00142353">
      <w:pPr>
        <w:pStyle w:val="NormalBlue"/>
        <w:rPr>
          <w:i/>
          <w:iCs/>
        </w:rPr>
      </w:pPr>
      <w:r w:rsidRPr="00D96B14">
        <w:rPr>
          <w:i/>
          <w:iCs/>
        </w:rPr>
        <w:t>[Insert as appropriate.]</w:t>
      </w:r>
    </w:p>
    <w:p w:rsidR="00142353" w:rsidRPr="00D96B14" w:rsidRDefault="00142353" w:rsidP="00142353">
      <w:pPr>
        <w:pStyle w:val="SmallLine"/>
        <w:rPr>
          <w:rFonts w:ascii="Arial" w:hAnsi="Arial" w:cs="Arial"/>
          <w:bCs/>
          <w:sz w:val="18"/>
          <w:szCs w:val="20"/>
        </w:rPr>
      </w:pPr>
    </w:p>
    <w:p w:rsidR="00142353" w:rsidRPr="00D96B14" w:rsidRDefault="00142353" w:rsidP="00142353">
      <w:pPr>
        <w:pStyle w:val="SmallLine"/>
      </w:pPr>
      <w:r w:rsidRPr="00D96B14">
        <w:br w:type="column"/>
      </w:r>
      <w:r w:rsidRPr="00D96B14">
        <w:lastRenderedPageBreak/>
        <w:br w:type="column"/>
      </w:r>
    </w:p>
    <w:p w:rsidR="00142353" w:rsidRPr="00D96B14" w:rsidRDefault="00142353" w:rsidP="00142353">
      <w:pPr>
        <w:pStyle w:val="CommentaryHeading"/>
      </w:pPr>
      <w:r w:rsidRPr="00D96B14">
        <w:t>Commentary – Environmental reporting</w:t>
      </w:r>
    </w:p>
    <w:p w:rsidR="00142353" w:rsidRPr="00D96B14" w:rsidRDefault="00142353" w:rsidP="00142353">
      <w:pPr>
        <w:pStyle w:val="SmallLineBlue"/>
      </w:pP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Legislative and documented references</w:t>
      </w:r>
    </w:p>
    <w:p w:rsidR="00142353" w:rsidRPr="00D96B14" w:rsidRDefault="00142353" w:rsidP="00142353">
      <w:pPr>
        <w:pStyle w:val="CommentaryText"/>
        <w:pBdr>
          <w:top w:val="none" w:sz="0" w:space="0" w:color="auto"/>
          <w:bottom w:val="none" w:sz="0" w:space="0" w:color="auto"/>
        </w:pBdr>
        <w:rPr>
          <w:b/>
          <w:bCs/>
          <w:noProof w:val="0"/>
        </w:rPr>
        <w:sectPr w:rsidR="00142353" w:rsidRPr="00D96B14" w:rsidSect="00190A0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spacing w:before="140"/>
        <w:rPr>
          <w:lang w:val="en-AU"/>
        </w:rPr>
      </w:pPr>
      <w:r w:rsidRPr="00D96B14">
        <w:rPr>
          <w:lang w:val="en-AU"/>
        </w:rPr>
        <w:lastRenderedPageBreak/>
        <w:t>FRD 24C</w:t>
      </w:r>
    </w:p>
    <w:p w:rsidR="00142353" w:rsidRPr="00D96B14" w:rsidRDefault="00142353" w:rsidP="00142353">
      <w:pPr>
        <w:pStyle w:val="CommentaryText"/>
        <w:pBdr>
          <w:top w:val="none" w:sz="0" w:space="0" w:color="auto"/>
          <w:bottom w:val="none" w:sz="0" w:space="0" w:color="auto"/>
        </w:pBdr>
        <w:rPr>
          <w:noProof w:val="0"/>
        </w:rPr>
      </w:pPr>
      <w:r w:rsidRPr="00D96B14">
        <w:rPr>
          <w:b/>
          <w:bCs/>
          <w:noProof w:val="0"/>
        </w:rPr>
        <w:br w:type="column"/>
      </w:r>
      <w:r w:rsidRPr="00D96B14">
        <w:rPr>
          <w:b/>
          <w:bCs/>
          <w:noProof w:val="0"/>
        </w:rPr>
        <w:lastRenderedPageBreak/>
        <w:t>FRD 24C</w:t>
      </w:r>
      <w:r w:rsidRPr="00D96B14">
        <w:rPr>
          <w:noProof w:val="0"/>
        </w:rPr>
        <w:t xml:space="preserve"> states that the department</w:t>
      </w:r>
      <w:r w:rsidR="005A4BB0">
        <w:rPr>
          <w:noProof w:val="0"/>
        </w:rPr>
        <w:t>’</w:t>
      </w:r>
      <w:r w:rsidRPr="00D96B14">
        <w:rPr>
          <w:noProof w:val="0"/>
        </w:rPr>
        <w:t>s annual report of operations must disclose information on the aspects of energy use, waste production, paper use, water consumption, transportation fuel consumption, greenhouse gas emissions and sustainable procurement, and other information relevant to understanding and reducing its office</w:t>
      </w:r>
      <w:r w:rsidR="005A4BB0">
        <w:rPr>
          <w:noProof w:val="0"/>
        </w:rPr>
        <w:noBreakHyphen/>
      </w:r>
      <w:r w:rsidRPr="00D96B14">
        <w:rPr>
          <w:noProof w:val="0"/>
        </w:rPr>
        <w:t xml:space="preserve">based environmental impacts. </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In addition, for water consumption purposes, departments must now report on water sources, the purposes for which water is consumed (office/non</w:t>
      </w:r>
      <w:r w:rsidR="005A4BB0">
        <w:rPr>
          <w:noProof w:val="0"/>
        </w:rPr>
        <w:noBreakHyphen/>
      </w:r>
      <w:r w:rsidRPr="00D96B14">
        <w:rPr>
          <w:noProof w:val="0"/>
        </w:rPr>
        <w:t>office and government</w:t>
      </w:r>
      <w:r w:rsidR="005A4BB0">
        <w:rPr>
          <w:noProof w:val="0"/>
        </w:rPr>
        <w:noBreakHyphen/>
      </w:r>
      <w:r w:rsidRPr="00D96B14">
        <w:rPr>
          <w:noProof w:val="0"/>
        </w:rPr>
        <w:t xml:space="preserve">owned/leased properties), and information about the source and coverage of the water consumption data. Guidance on the reporting format for environmental data and a new definition of </w:t>
      </w:r>
      <w:r w:rsidR="005A4BB0">
        <w:rPr>
          <w:noProof w:val="0"/>
        </w:rPr>
        <w:t>‘</w:t>
      </w:r>
      <w:r w:rsidRPr="00D96B14">
        <w:rPr>
          <w:noProof w:val="0"/>
        </w:rPr>
        <w:t>water use</w:t>
      </w:r>
      <w:r w:rsidR="005A4BB0">
        <w:rPr>
          <w:noProof w:val="0"/>
        </w:rPr>
        <w:t>’</w:t>
      </w:r>
      <w:r w:rsidRPr="00D96B14">
        <w:rPr>
          <w:noProof w:val="0"/>
        </w:rPr>
        <w:t xml:space="preserve"> is available in the guidance note to the FRD. </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 xml:space="preserve">The FRD also outlines suggestions of what information departments may wish to disclose voluntarily including intentions and principles in relation to environmental performance, environmental awareness raising techniques and environmental management system objectives, targets and other relevant indicators. </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A detailed list of the mandatory disclosure requirements is outlined in the FRD.</w:t>
      </w: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Guidance</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Departments are required to include environmental reporting in their annual report, in order to reflect the Government</w:t>
      </w:r>
      <w:r w:rsidR="005A4BB0">
        <w:rPr>
          <w:noProof w:val="0"/>
        </w:rPr>
        <w:t>’</w:t>
      </w:r>
      <w:r w:rsidRPr="00D96B14">
        <w:rPr>
          <w:noProof w:val="0"/>
        </w:rPr>
        <w:t>s objective to improve environmental management through departments managing and reducing the environmental impacts of their office</w:t>
      </w:r>
      <w:r w:rsidR="005A4BB0">
        <w:rPr>
          <w:noProof w:val="0"/>
        </w:rPr>
        <w:noBreakHyphen/>
      </w:r>
      <w:r w:rsidRPr="00D96B14">
        <w:rPr>
          <w:noProof w:val="0"/>
        </w:rPr>
        <w:t xml:space="preserve">based activities. </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This section should be a mix of narrative, illustrating the department</w:t>
      </w:r>
      <w:r w:rsidR="005A4BB0">
        <w:rPr>
          <w:noProof w:val="0"/>
        </w:rPr>
        <w:t>’</w:t>
      </w:r>
      <w:r w:rsidRPr="00D96B14">
        <w:rPr>
          <w:noProof w:val="0"/>
        </w:rPr>
        <w:t xml:space="preserve">s environmental performance achievements and tables or charts showing actual performance against targets. </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Many of the achievements in this section will have been due to staff changing work behaviours and being more aware of reducing consumption of elements such as paper, water and energy.</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 xml:space="preserve">A list of useful definitions relating to environmental reporting and websites that may assist in developing suitable environmental measures and reports, including the </w:t>
      </w:r>
      <w:r w:rsidRPr="00D96B14">
        <w:rPr>
          <w:i/>
          <w:iCs/>
          <w:noProof w:val="0"/>
        </w:rPr>
        <w:t xml:space="preserve">Government environmental purchasing policy </w:t>
      </w:r>
      <w:r w:rsidRPr="00D96B14">
        <w:rPr>
          <w:noProof w:val="0"/>
        </w:rPr>
        <w:t xml:space="preserve">and </w:t>
      </w:r>
      <w:r w:rsidRPr="00D96B14">
        <w:rPr>
          <w:i/>
          <w:iCs/>
          <w:noProof w:val="0"/>
        </w:rPr>
        <w:t xml:space="preserve">Our environment our future </w:t>
      </w:r>
      <w:r w:rsidRPr="00D96B14">
        <w:rPr>
          <w:noProof w:val="0"/>
        </w:rPr>
        <w:t xml:space="preserve">– </w:t>
      </w:r>
      <w:r w:rsidRPr="00D96B14">
        <w:rPr>
          <w:i/>
          <w:iCs/>
          <w:noProof w:val="0"/>
        </w:rPr>
        <w:t xml:space="preserve">Sustainability action statement 2006, </w:t>
      </w:r>
      <w:r w:rsidRPr="00D96B14">
        <w:rPr>
          <w:noProof w:val="0"/>
        </w:rPr>
        <w:t xml:space="preserve">is also included in FRD 24C. </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Please note that non</w:t>
      </w:r>
      <w:r w:rsidR="005A4BB0">
        <w:rPr>
          <w:noProof w:val="0"/>
        </w:rPr>
        <w:noBreakHyphen/>
      </w:r>
      <w:r w:rsidRPr="00D96B14">
        <w:rPr>
          <w:noProof w:val="0"/>
        </w:rPr>
        <w:t>office based disclosure, while encouraged, is not currently a requirement of FRD 24C.</w:t>
      </w:r>
    </w:p>
    <w:p w:rsidR="00142353" w:rsidRPr="00D96B14" w:rsidRDefault="00142353" w:rsidP="00142353">
      <w:pPr>
        <w:pStyle w:val="CommentaryHeading1"/>
        <w:pBdr>
          <w:top w:val="none" w:sz="0" w:space="0" w:color="auto"/>
          <w:bottom w:val="none" w:sz="0" w:space="0" w:color="auto"/>
        </w:pBdr>
      </w:pPr>
      <w:r w:rsidRPr="00D96B14">
        <w:rPr>
          <w:noProof w:val="0"/>
        </w:rPr>
        <w:t>Additional guidance</w:t>
      </w:r>
    </w:p>
    <w:p w:rsidR="00142353" w:rsidRPr="00D96B14" w:rsidRDefault="00142353" w:rsidP="00142353">
      <w:pPr>
        <w:pStyle w:val="CommentaryText"/>
        <w:pBdr>
          <w:top w:val="none" w:sz="0" w:space="0" w:color="auto"/>
          <w:bottom w:val="none" w:sz="0" w:space="0" w:color="auto"/>
        </w:pBdr>
        <w:rPr>
          <w:noProof w:val="0"/>
        </w:rPr>
      </w:pPr>
      <w:r w:rsidRPr="00D96B14">
        <w:rPr>
          <w:noProof w:val="0"/>
        </w:rPr>
        <w:t>The latest guidance to FRD 24C on environmental reporting from the Department of Environment, Land, Water and Planning (DELWP) can be found on the DTF website at:</w:t>
      </w:r>
    </w:p>
    <w:p w:rsidR="00142353" w:rsidRPr="00D96B14" w:rsidRDefault="00B934BC" w:rsidP="00142353">
      <w:pPr>
        <w:pStyle w:val="CommentaryText"/>
        <w:pBdr>
          <w:top w:val="none" w:sz="0" w:space="0" w:color="auto"/>
        </w:pBdr>
        <w:rPr>
          <w:rStyle w:val="Hyperlink"/>
          <w:noProof w:val="0"/>
        </w:rPr>
      </w:pPr>
      <w:hyperlink r:id="rId102" w:history="1">
        <w:r w:rsidR="00142353" w:rsidRPr="00D96B14">
          <w:rPr>
            <w:rStyle w:val="Hyperlink"/>
            <w:noProof w:val="0"/>
          </w:rPr>
          <w:t>http://www.dtf.vic.gov.au/Publications/Government</w:t>
        </w:r>
        <w:r w:rsidR="005A4BB0">
          <w:rPr>
            <w:rStyle w:val="Hyperlink"/>
            <w:noProof w:val="0"/>
          </w:rPr>
          <w:noBreakHyphen/>
        </w:r>
        <w:r w:rsidR="00142353" w:rsidRPr="00D96B14">
          <w:rPr>
            <w:rStyle w:val="Hyperlink"/>
            <w:noProof w:val="0"/>
          </w:rPr>
          <w:t>Financial</w:t>
        </w:r>
        <w:r w:rsidR="005A4BB0">
          <w:rPr>
            <w:rStyle w:val="Hyperlink"/>
            <w:noProof w:val="0"/>
          </w:rPr>
          <w:noBreakHyphen/>
        </w:r>
        <w:r w:rsidR="00142353" w:rsidRPr="00D96B14">
          <w:rPr>
            <w:rStyle w:val="Hyperlink"/>
            <w:noProof w:val="0"/>
          </w:rPr>
          <w:t>Management</w:t>
        </w:r>
        <w:r w:rsidR="005A4BB0">
          <w:rPr>
            <w:rStyle w:val="Hyperlink"/>
            <w:noProof w:val="0"/>
          </w:rPr>
          <w:noBreakHyphen/>
        </w:r>
        <w:r w:rsidR="00142353" w:rsidRPr="00D96B14">
          <w:rPr>
            <w:rStyle w:val="Hyperlink"/>
            <w:noProof w:val="0"/>
          </w:rPr>
          <w:t>publications/Financial</w:t>
        </w:r>
        <w:r w:rsidR="005A4BB0">
          <w:rPr>
            <w:rStyle w:val="Hyperlink"/>
            <w:noProof w:val="0"/>
          </w:rPr>
          <w:noBreakHyphen/>
        </w:r>
        <w:r w:rsidR="00142353" w:rsidRPr="00D96B14">
          <w:rPr>
            <w:rStyle w:val="Hyperlink"/>
            <w:noProof w:val="0"/>
          </w:rPr>
          <w:t>Reporting</w:t>
        </w:r>
        <w:r w:rsidR="005A4BB0">
          <w:rPr>
            <w:rStyle w:val="Hyperlink"/>
            <w:noProof w:val="0"/>
          </w:rPr>
          <w:noBreakHyphen/>
        </w:r>
        <w:r w:rsidR="00142353" w:rsidRPr="00D96B14">
          <w:rPr>
            <w:rStyle w:val="Hyperlink"/>
            <w:noProof w:val="0"/>
          </w:rPr>
          <w:t>Policy/Financial</w:t>
        </w:r>
        <w:r w:rsidR="005A4BB0">
          <w:rPr>
            <w:rStyle w:val="Hyperlink"/>
            <w:noProof w:val="0"/>
          </w:rPr>
          <w:noBreakHyphen/>
        </w:r>
        <w:r w:rsidR="00142353" w:rsidRPr="00D96B14">
          <w:rPr>
            <w:rStyle w:val="Hyperlink"/>
            <w:noProof w:val="0"/>
          </w:rPr>
          <w:t>reporting</w:t>
        </w:r>
        <w:r w:rsidR="005A4BB0">
          <w:rPr>
            <w:rStyle w:val="Hyperlink"/>
            <w:noProof w:val="0"/>
          </w:rPr>
          <w:noBreakHyphen/>
        </w:r>
        <w:r w:rsidR="00142353" w:rsidRPr="00D96B14">
          <w:rPr>
            <w:rStyle w:val="Hyperlink"/>
            <w:noProof w:val="0"/>
          </w:rPr>
          <w:t>directions</w:t>
        </w:r>
        <w:r w:rsidR="005A4BB0">
          <w:rPr>
            <w:rStyle w:val="Hyperlink"/>
            <w:noProof w:val="0"/>
          </w:rPr>
          <w:noBreakHyphen/>
        </w:r>
        <w:r w:rsidR="00142353" w:rsidRPr="00D96B14">
          <w:rPr>
            <w:rStyle w:val="Hyperlink"/>
            <w:noProof w:val="0"/>
          </w:rPr>
          <w:t>and</w:t>
        </w:r>
        <w:r w:rsidR="005A4BB0">
          <w:rPr>
            <w:rStyle w:val="Hyperlink"/>
            <w:noProof w:val="0"/>
          </w:rPr>
          <w:noBreakHyphen/>
        </w:r>
        <w:r w:rsidR="00142353" w:rsidRPr="00D96B14">
          <w:rPr>
            <w:rStyle w:val="Hyperlink"/>
            <w:noProof w:val="0"/>
          </w:rPr>
          <w:t>guidance</w:t>
        </w:r>
      </w:hyperlink>
    </w:p>
    <w:p w:rsidR="00142353" w:rsidRPr="00D96B14" w:rsidRDefault="00142353" w:rsidP="00142353">
      <w:pPr>
        <w:pStyle w:val="CommentaryText"/>
        <w:pBdr>
          <w:top w:val="none" w:sz="0" w:space="0" w:color="auto"/>
        </w:pBdr>
        <w:rPr>
          <w:noProof w:val="0"/>
        </w:rPr>
      </w:pPr>
      <w:r w:rsidRPr="00D96B14">
        <w:rPr>
          <w:noProof w:val="0"/>
        </w:rPr>
        <w:t>A guide for FRD 24C reporting was developed and outlines the rationale for environmental reporting and the Government</w:t>
      </w:r>
      <w:r w:rsidR="005A4BB0">
        <w:rPr>
          <w:noProof w:val="0"/>
        </w:rPr>
        <w:t>’</w:t>
      </w:r>
      <w:r w:rsidRPr="00D96B14">
        <w:rPr>
          <w:noProof w:val="0"/>
        </w:rPr>
        <w:t xml:space="preserve">s broad objectives for introducing these measures. It also provides reporting indicators for each area (energy, water, waste and transportation) and very detailed guidance on data sources, collection and analysis for each key indicator. </w:t>
      </w:r>
    </w:p>
    <w:p w:rsidR="00142353" w:rsidRPr="00D96B14" w:rsidRDefault="00142353" w:rsidP="00142353">
      <w:pPr>
        <w:pStyle w:val="CommentaryText"/>
        <w:pBdr>
          <w:top w:val="none" w:sz="0" w:space="0" w:color="auto"/>
        </w:pBdr>
        <w:rPr>
          <w:noProof w:val="0"/>
        </w:rPr>
      </w:pPr>
      <w:r w:rsidRPr="00D96B14">
        <w:rPr>
          <w:noProof w:val="0"/>
        </w:rPr>
        <w:t xml:space="preserve">The guide includes definitions and conversion tables for various energy and consumption measures, as well as tools and resources to assist with environmental reporting. Appendix 2 </w:t>
      </w:r>
      <w:r w:rsidRPr="00D96B14">
        <w:rPr>
          <w:i/>
          <w:noProof w:val="0"/>
        </w:rPr>
        <w:t>Optional reporting</w:t>
      </w:r>
      <w:r w:rsidRPr="00D96B14">
        <w:rPr>
          <w:noProof w:val="0"/>
        </w:rPr>
        <w:t>, of the guidance outlines optional reporting measures that departments may choose to include in their environmental reporting section, such as recycling (e.g. kilograms of paper recycled, number of toner cartridges recycled, etc.).</w:t>
      </w:r>
    </w:p>
    <w:p w:rsidR="00142353" w:rsidRPr="00D96B14" w:rsidRDefault="00142353" w:rsidP="00142353">
      <w:pPr>
        <w:pStyle w:val="SmallLine"/>
        <w:sectPr w:rsidR="00142353" w:rsidRPr="00D96B14" w:rsidSect="00190A0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SmallLine"/>
      </w:pPr>
      <w:r w:rsidRPr="00D96B14">
        <w:lastRenderedPageBreak/>
        <w:br/>
      </w:r>
    </w:p>
    <w:p w:rsidR="00142353" w:rsidRPr="00D96B14" w:rsidRDefault="00142353" w:rsidP="00142353">
      <w:pPr>
        <w:spacing w:line="240" w:lineRule="atLeast"/>
        <w:rPr>
          <w:rFonts w:ascii="Calibri" w:hAnsi="Calibri" w:cs="Arial Bold"/>
          <w:b/>
          <w:bCs/>
          <w:kern w:val="28"/>
          <w:sz w:val="24"/>
          <w:szCs w:val="24"/>
        </w:rPr>
      </w:pPr>
      <w:r w:rsidRPr="00D96B14">
        <w:br w:type="page"/>
      </w:r>
    </w:p>
    <w:p w:rsidR="00142353" w:rsidRPr="00D96B14" w:rsidRDefault="00142353" w:rsidP="00142353">
      <w:pPr>
        <w:pStyle w:val="Heading2"/>
      </w:pPr>
      <w:r w:rsidRPr="00D96B14">
        <w:lastRenderedPageBreak/>
        <w:br w:type="column"/>
      </w:r>
      <w:r w:rsidRPr="00D96B14">
        <w:lastRenderedPageBreak/>
        <w:t>Additional departmental information available on request</w:t>
      </w:r>
    </w:p>
    <w:p w:rsidR="00142353" w:rsidRPr="00D96B14" w:rsidRDefault="00142353" w:rsidP="00142353">
      <w:pPr>
        <w:sectPr w:rsidR="00142353" w:rsidRPr="00D96B14" w:rsidSect="00190A0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pPr>
      <w:r w:rsidRPr="00D96B14">
        <w:lastRenderedPageBreak/>
        <w:t>FRD 22G</w:t>
      </w:r>
    </w:p>
    <w:p w:rsidR="00142353" w:rsidRPr="00D96B14" w:rsidRDefault="00142353" w:rsidP="00142353">
      <w:r w:rsidRPr="00D96B14">
        <w:br w:type="column"/>
      </w:r>
      <w:r w:rsidRPr="00D96B14">
        <w:lastRenderedPageBreak/>
        <w:t xml:space="preserve">In compliance with the requirements of the Standing Directions of the Minister for Finance, details in respect of the items listed below have been retained by the Department and are available on request, subject to the provisions of the </w:t>
      </w:r>
      <w:r w:rsidRPr="00D96B14">
        <w:rPr>
          <w:i/>
        </w:rPr>
        <w:t>Freedom of Information Act 1982</w:t>
      </w:r>
      <w:r w:rsidRPr="00D96B14">
        <w:t>.</w:t>
      </w:r>
    </w:p>
    <w:p w:rsidR="00142353" w:rsidRPr="00D96B14" w:rsidRDefault="00142353" w:rsidP="00142353">
      <w:pPr>
        <w:pStyle w:val="aalpha"/>
      </w:pPr>
      <w:r w:rsidRPr="00D96B14">
        <w:t>a statement that declarations of pecuniary interests have been duly completed by all relevant officers of the Department;</w:t>
      </w:r>
    </w:p>
    <w:p w:rsidR="00142353" w:rsidRPr="00D96B14" w:rsidRDefault="00142353" w:rsidP="00142353">
      <w:pPr>
        <w:pStyle w:val="aalpha"/>
      </w:pPr>
      <w:r w:rsidRPr="00D96B14">
        <w:t>…</w:t>
      </w:r>
    </w:p>
    <w:p w:rsidR="00142353" w:rsidRPr="00D96B14" w:rsidRDefault="00142353" w:rsidP="00142353">
      <w:pPr>
        <w:pStyle w:val="aalpha"/>
      </w:pPr>
      <w:r w:rsidRPr="00D96B14">
        <w:t>…</w:t>
      </w:r>
    </w:p>
    <w:p w:rsidR="00142353" w:rsidRPr="00D96B14" w:rsidRDefault="00142353" w:rsidP="00142353"/>
    <w:p w:rsidR="00142353" w:rsidRPr="00D96B14" w:rsidRDefault="00142353" w:rsidP="00142353"/>
    <w:p w:rsidR="00142353" w:rsidRPr="00D96B14" w:rsidRDefault="00142353" w:rsidP="00142353"/>
    <w:p w:rsidR="00142353" w:rsidRPr="00D96B14" w:rsidRDefault="00142353" w:rsidP="00142353">
      <w:r w:rsidRPr="00D96B14">
        <w:t>The information is available on request from:</w:t>
      </w:r>
    </w:p>
    <w:p w:rsidR="00142353" w:rsidRPr="00D96B14" w:rsidRDefault="00142353" w:rsidP="00142353">
      <w:pPr>
        <w:pStyle w:val="NormalIndent"/>
        <w:ind w:left="360"/>
      </w:pPr>
      <w:r w:rsidRPr="00D96B14">
        <w:t>Director of Portfolio Services</w:t>
      </w:r>
      <w:r w:rsidRPr="00D96B14">
        <w:br/>
        <w:t>Strategic Policy Advice Division</w:t>
      </w:r>
      <w:r w:rsidRPr="00D96B14">
        <w:br/>
        <w:t>Phone: (03) 9xxx xxxx</w:t>
      </w:r>
      <w:r w:rsidRPr="00D96B14">
        <w:br/>
        <w:t xml:space="preserve">Email: </w:t>
      </w:r>
      <w:hyperlink r:id="rId103" w:history="1">
        <w:r w:rsidRPr="00D96B14">
          <w:t>information@dot.vic.gov.au</w:t>
        </w:r>
      </w:hyperlink>
    </w:p>
    <w:p w:rsidR="00142353" w:rsidRPr="00D96B14" w:rsidRDefault="00142353" w:rsidP="00142353"/>
    <w:p w:rsidR="00142353" w:rsidRPr="00D96B14" w:rsidRDefault="00142353" w:rsidP="00142353">
      <w:pPr>
        <w:pStyle w:val="NormalBlue"/>
        <w:rPr>
          <w:rFonts w:ascii="MT Extra" w:hAnsi="MT Extra"/>
          <w:i/>
        </w:rPr>
      </w:pPr>
      <w:r w:rsidRPr="00D96B14">
        <w:rPr>
          <w:i/>
        </w:rPr>
        <w:t xml:space="preserve">[Refer to FRD 22G </w:t>
      </w:r>
      <w:r w:rsidRPr="00D96B14">
        <w:t>Standard Disclosures in Report of Operation</w:t>
      </w:r>
      <w:r w:rsidRPr="00D96B14">
        <w:rPr>
          <w:i/>
        </w:rPr>
        <w:t xml:space="preserve"> for the latest detailed list of information required to be retained and made available on request to complete the list in the table above.]</w:t>
      </w:r>
    </w:p>
    <w:p w:rsidR="00142353" w:rsidRPr="00D96B14" w:rsidRDefault="00142353" w:rsidP="00142353"/>
    <w:p w:rsidR="00142353" w:rsidRPr="00D96B14" w:rsidRDefault="00142353" w:rsidP="00142353">
      <w:pPr>
        <w:pStyle w:val="SmallLine"/>
      </w:pPr>
    </w:p>
    <w:p w:rsidR="00142353" w:rsidRPr="00D96B14" w:rsidRDefault="00142353" w:rsidP="00142353">
      <w:pPr>
        <w:pStyle w:val="CommentaryHeading"/>
      </w:pPr>
      <w:r w:rsidRPr="00D96B14">
        <w:t>Commentary – Additional departmental information available on request</w:t>
      </w:r>
    </w:p>
    <w:p w:rsidR="00142353" w:rsidRPr="00D96B14" w:rsidRDefault="00142353" w:rsidP="00142353">
      <w:pPr>
        <w:pStyle w:val="SmallLineBlue"/>
      </w:pPr>
    </w:p>
    <w:p w:rsidR="00142353" w:rsidRPr="00D96B14" w:rsidRDefault="00142353" w:rsidP="00142353">
      <w:pPr>
        <w:pStyle w:val="CommentaryHeading1"/>
        <w:pBdr>
          <w:top w:val="none" w:sz="0" w:space="0" w:color="auto"/>
          <w:bottom w:val="none" w:sz="0" w:space="0" w:color="auto"/>
        </w:pBdr>
        <w:rPr>
          <w:noProof w:val="0"/>
        </w:rPr>
      </w:pPr>
      <w:r w:rsidRPr="00D96B14">
        <w:rPr>
          <w:noProof w:val="0"/>
        </w:rPr>
        <w:t>Legislative and documented references</w:t>
      </w:r>
    </w:p>
    <w:p w:rsidR="00142353" w:rsidRPr="00D96B14" w:rsidRDefault="00142353" w:rsidP="00142353">
      <w:pPr>
        <w:pStyle w:val="CommentaryText"/>
        <w:pBdr>
          <w:top w:val="none" w:sz="0" w:space="0" w:color="auto"/>
        </w:pBdr>
        <w:rPr>
          <w:b/>
          <w:bCs/>
          <w:noProof w:val="0"/>
        </w:rPr>
        <w:sectPr w:rsidR="00142353" w:rsidRPr="00D96B14" w:rsidSect="00190A0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CommentaryText"/>
        <w:pBdr>
          <w:top w:val="none" w:sz="0" w:space="0" w:color="auto"/>
          <w:bottom w:val="none" w:sz="0" w:space="0" w:color="auto"/>
        </w:pBdr>
        <w:rPr>
          <w:noProof w:val="0"/>
        </w:rPr>
      </w:pPr>
      <w:r w:rsidRPr="00D96B14">
        <w:rPr>
          <w:b/>
          <w:bCs/>
          <w:noProof w:val="0"/>
        </w:rPr>
        <w:lastRenderedPageBreak/>
        <w:br w:type="column"/>
      </w:r>
      <w:r w:rsidRPr="00D96B14">
        <w:rPr>
          <w:b/>
          <w:bCs/>
          <w:noProof w:val="0"/>
        </w:rPr>
        <w:lastRenderedPageBreak/>
        <w:t>FRD 22G</w:t>
      </w:r>
      <w:r w:rsidRPr="00D96B14">
        <w:rPr>
          <w:noProof w:val="0"/>
        </w:rPr>
        <w:t xml:space="preserve"> lists the relevant information, in relation to the financial year, that is to be retained by the Accountable Officer and made available to the relevant minister, Members of Parliament and the public on request, subject to the provisions of the </w:t>
      </w:r>
      <w:r w:rsidRPr="00D96B14">
        <w:rPr>
          <w:i/>
          <w:iCs/>
          <w:noProof w:val="0"/>
        </w:rPr>
        <w:t>Freedom of Information Act 1982</w:t>
      </w:r>
      <w:r w:rsidRPr="00D96B14">
        <w:rPr>
          <w:noProof w:val="0"/>
        </w:rPr>
        <w:t xml:space="preserve">. Refer to FRD 22G </w:t>
      </w:r>
      <w:r w:rsidRPr="00D96B14">
        <w:rPr>
          <w:i/>
          <w:noProof w:val="0"/>
        </w:rPr>
        <w:t>Standard Disclosures in Report of Operation</w:t>
      </w:r>
      <w:r w:rsidRPr="00D96B14">
        <w:rPr>
          <w:noProof w:val="0"/>
        </w:rPr>
        <w:t xml:space="preserve"> for the latest detailed list of information required to be retained and made available on request.</w:t>
      </w:r>
    </w:p>
    <w:p w:rsidR="00142353" w:rsidRPr="00D96B14" w:rsidRDefault="00142353" w:rsidP="00142353">
      <w:pPr>
        <w:pStyle w:val="CommentaryText"/>
        <w:pBdr>
          <w:top w:val="none" w:sz="0" w:space="0" w:color="auto"/>
          <w:bottom w:val="none" w:sz="0" w:space="0" w:color="auto"/>
        </w:pBdr>
      </w:pPr>
      <w:r w:rsidRPr="00D96B14">
        <w:t xml:space="preserve">Entities can refer to the </w:t>
      </w:r>
      <w:r w:rsidRPr="00D96B14">
        <w:rPr>
          <w:i/>
          <w:iCs/>
        </w:rPr>
        <w:t>Guidance note for FRD 22</w:t>
      </w:r>
      <w:r w:rsidRPr="00D96B14">
        <w:rPr>
          <w:i/>
        </w:rPr>
        <w:t xml:space="preserve">G </w:t>
      </w:r>
      <w:r w:rsidRPr="00D96B14">
        <w:t xml:space="preserve">for further guidance to assist entities to comply with any request for this information. This guidance is available from: </w:t>
      </w:r>
    </w:p>
    <w:p w:rsidR="00142353" w:rsidRPr="00D96B14" w:rsidRDefault="00B934BC" w:rsidP="00142353">
      <w:pPr>
        <w:pStyle w:val="CommentaryText"/>
        <w:pBdr>
          <w:top w:val="none" w:sz="0" w:space="0" w:color="auto"/>
        </w:pBdr>
        <w:rPr>
          <w:rStyle w:val="Hyperlink"/>
          <w:noProof w:val="0"/>
        </w:rPr>
      </w:pPr>
      <w:hyperlink r:id="rId104" w:history="1">
        <w:r w:rsidR="00142353" w:rsidRPr="00D96B14">
          <w:rPr>
            <w:rStyle w:val="Hyperlink"/>
            <w:noProof w:val="0"/>
          </w:rPr>
          <w:t>http://www.dtf.vic.gov.au/Publications/Government</w:t>
        </w:r>
        <w:r w:rsidR="005A4BB0">
          <w:rPr>
            <w:rStyle w:val="Hyperlink"/>
            <w:noProof w:val="0"/>
          </w:rPr>
          <w:noBreakHyphen/>
        </w:r>
        <w:r w:rsidR="00142353" w:rsidRPr="00D96B14">
          <w:rPr>
            <w:rStyle w:val="Hyperlink"/>
            <w:noProof w:val="0"/>
          </w:rPr>
          <w:t>Financial</w:t>
        </w:r>
        <w:r w:rsidR="005A4BB0">
          <w:rPr>
            <w:rStyle w:val="Hyperlink"/>
            <w:noProof w:val="0"/>
          </w:rPr>
          <w:noBreakHyphen/>
        </w:r>
        <w:r w:rsidR="00142353" w:rsidRPr="00D96B14">
          <w:rPr>
            <w:rStyle w:val="Hyperlink"/>
            <w:noProof w:val="0"/>
          </w:rPr>
          <w:t>Management</w:t>
        </w:r>
        <w:r w:rsidR="005A4BB0">
          <w:rPr>
            <w:rStyle w:val="Hyperlink"/>
            <w:noProof w:val="0"/>
          </w:rPr>
          <w:noBreakHyphen/>
        </w:r>
        <w:r w:rsidR="00142353" w:rsidRPr="00D96B14">
          <w:rPr>
            <w:rStyle w:val="Hyperlink"/>
            <w:noProof w:val="0"/>
          </w:rPr>
          <w:t>publications/Financial</w:t>
        </w:r>
        <w:r w:rsidR="005A4BB0">
          <w:rPr>
            <w:rStyle w:val="Hyperlink"/>
            <w:noProof w:val="0"/>
          </w:rPr>
          <w:noBreakHyphen/>
        </w:r>
        <w:r w:rsidR="00142353" w:rsidRPr="00D96B14">
          <w:rPr>
            <w:rStyle w:val="Hyperlink"/>
            <w:noProof w:val="0"/>
          </w:rPr>
          <w:t>Reporting</w:t>
        </w:r>
        <w:r w:rsidR="005A4BB0">
          <w:rPr>
            <w:rStyle w:val="Hyperlink"/>
            <w:noProof w:val="0"/>
          </w:rPr>
          <w:noBreakHyphen/>
        </w:r>
        <w:r w:rsidR="00142353" w:rsidRPr="00D96B14">
          <w:rPr>
            <w:rStyle w:val="Hyperlink"/>
            <w:noProof w:val="0"/>
          </w:rPr>
          <w:t>Policy/Financial</w:t>
        </w:r>
        <w:r w:rsidR="005A4BB0">
          <w:rPr>
            <w:rStyle w:val="Hyperlink"/>
            <w:noProof w:val="0"/>
          </w:rPr>
          <w:noBreakHyphen/>
        </w:r>
        <w:r w:rsidR="00142353" w:rsidRPr="00D96B14">
          <w:rPr>
            <w:rStyle w:val="Hyperlink"/>
            <w:noProof w:val="0"/>
          </w:rPr>
          <w:t>reporting</w:t>
        </w:r>
        <w:r w:rsidR="005A4BB0">
          <w:rPr>
            <w:rStyle w:val="Hyperlink"/>
            <w:noProof w:val="0"/>
          </w:rPr>
          <w:noBreakHyphen/>
        </w:r>
        <w:r w:rsidR="00142353" w:rsidRPr="00D96B14">
          <w:rPr>
            <w:rStyle w:val="Hyperlink"/>
            <w:noProof w:val="0"/>
          </w:rPr>
          <w:t>directions</w:t>
        </w:r>
        <w:r w:rsidR="005A4BB0">
          <w:rPr>
            <w:rStyle w:val="Hyperlink"/>
            <w:noProof w:val="0"/>
          </w:rPr>
          <w:noBreakHyphen/>
        </w:r>
        <w:r w:rsidR="00142353" w:rsidRPr="00D96B14">
          <w:rPr>
            <w:rStyle w:val="Hyperlink"/>
            <w:noProof w:val="0"/>
          </w:rPr>
          <w:t>and</w:t>
        </w:r>
        <w:r w:rsidR="005A4BB0">
          <w:rPr>
            <w:rStyle w:val="Hyperlink"/>
            <w:noProof w:val="0"/>
          </w:rPr>
          <w:noBreakHyphen/>
        </w:r>
        <w:r w:rsidR="00142353" w:rsidRPr="00D96B14">
          <w:rPr>
            <w:rStyle w:val="Hyperlink"/>
            <w:noProof w:val="0"/>
          </w:rPr>
          <w:t>guidance</w:t>
        </w:r>
      </w:hyperlink>
    </w:p>
    <w:p w:rsidR="00142353" w:rsidRPr="00D96B14" w:rsidRDefault="00142353" w:rsidP="00142353">
      <w:pPr>
        <w:pStyle w:val="CommentaryText"/>
        <w:pBdr>
          <w:top w:val="none" w:sz="0" w:space="0" w:color="auto"/>
        </w:pBdr>
        <w:rPr>
          <w:u w:val="single"/>
        </w:rPr>
        <w:sectPr w:rsidR="00142353" w:rsidRPr="00D96B14" w:rsidSect="00190A01">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spacing w:before="40"/>
        <w:rPr>
          <w:lang w:val="en-AU"/>
        </w:rPr>
      </w:pPr>
      <w:bookmarkStart w:id="96" w:name="_Toc219779127"/>
    </w:p>
    <w:p w:rsidR="00142353" w:rsidRPr="00D96B14" w:rsidRDefault="00142353" w:rsidP="00142353">
      <w:pPr>
        <w:pStyle w:val="Reference"/>
        <w:spacing w:before="0"/>
        <w:rPr>
          <w:lang w:val="en-AU"/>
        </w:rPr>
      </w:pPr>
      <w:r w:rsidRPr="00D96B14">
        <w:rPr>
          <w:color w:val="FF0000"/>
          <w:lang w:val="en-AU"/>
        </w:rPr>
        <w:t>Revised</w:t>
      </w:r>
    </w:p>
    <w:p w:rsidR="00142353" w:rsidRPr="00D96B14" w:rsidRDefault="00142353" w:rsidP="00142353">
      <w:pPr>
        <w:pStyle w:val="Reference"/>
        <w:spacing w:before="120"/>
        <w:rPr>
          <w:lang w:val="en-AU"/>
        </w:rPr>
      </w:pPr>
      <w:r w:rsidRPr="00D96B14">
        <w:rPr>
          <w:lang w:val="en-AU"/>
        </w:rPr>
        <w:t>SD 4.5.5</w:t>
      </w:r>
    </w:p>
    <w:p w:rsidR="00142353" w:rsidRPr="00D96B14" w:rsidRDefault="00142353" w:rsidP="00142353">
      <w:pPr>
        <w:pStyle w:val="Heading2"/>
      </w:pPr>
      <w:r w:rsidRPr="00D96B14">
        <w:br w:type="column"/>
      </w:r>
      <w:r w:rsidRPr="00D96B14">
        <w:lastRenderedPageBreak/>
        <w:t xml:space="preserve">Attestation for compliance with </w:t>
      </w:r>
      <w:r w:rsidRPr="00D96B14">
        <w:rPr>
          <w:i/>
        </w:rPr>
        <w:t>Ministerial Standing Direction 4.5.5</w:t>
      </w:r>
      <w:bookmarkEnd w:id="96"/>
    </w:p>
    <w:p w:rsidR="00142353" w:rsidRPr="00D96B14" w:rsidRDefault="00142353" w:rsidP="00142353">
      <w:pPr>
        <w:ind w:right="188"/>
      </w:pPr>
      <w:r w:rsidRPr="00D96B14">
        <w:t xml:space="preserve">I, </w:t>
      </w:r>
      <w:r w:rsidRPr="00D96B14">
        <w:rPr>
          <w:i/>
          <w:iCs/>
          <w:color w:val="0000FF"/>
        </w:rPr>
        <w:t>[Responsible Body]</w:t>
      </w:r>
      <w:r w:rsidRPr="00D96B14">
        <w:t xml:space="preserve"> certify that the Department of Technology has complied with the Ministerial Standing Direction 4.5.5 – Risk Management Framework and Processes. The Department of Technology Audit Committee has verified this.</w:t>
      </w:r>
    </w:p>
    <w:p w:rsidR="00142353" w:rsidRPr="00D96B14" w:rsidRDefault="00142353" w:rsidP="00142353">
      <w:pPr>
        <w:pStyle w:val="SmallLine"/>
      </w:pPr>
    </w:p>
    <w:p w:rsidR="00142353" w:rsidRPr="00D96B14" w:rsidRDefault="00142353" w:rsidP="00142353">
      <w:pPr>
        <w:ind w:right="188"/>
        <w:rPr>
          <w:color w:val="0000FF"/>
        </w:rPr>
      </w:pPr>
      <w:r w:rsidRPr="00D96B14">
        <w:rPr>
          <w:color w:val="0000FF"/>
        </w:rPr>
        <w:t>&lt;Signature&gt;</w:t>
      </w:r>
    </w:p>
    <w:p w:rsidR="00142353" w:rsidRPr="00D96B14" w:rsidRDefault="00142353" w:rsidP="00142353">
      <w:pPr>
        <w:pStyle w:val="SmallLine"/>
      </w:pPr>
    </w:p>
    <w:p w:rsidR="00142353" w:rsidRPr="00D96B14" w:rsidRDefault="00142353" w:rsidP="00142353">
      <w:pPr>
        <w:ind w:right="188"/>
      </w:pPr>
      <w:r w:rsidRPr="00D96B14">
        <w:t>J Smith</w:t>
      </w:r>
      <w:r w:rsidRPr="00D96B14">
        <w:br/>
        <w:t>Secretary</w:t>
      </w:r>
      <w:r w:rsidRPr="00D96B14">
        <w:br/>
        <w:t>Department of Technology</w:t>
      </w:r>
    </w:p>
    <w:p w:rsidR="00142353" w:rsidRPr="00D96B14" w:rsidRDefault="00142353" w:rsidP="00142353">
      <w:pPr>
        <w:ind w:right="188"/>
      </w:pPr>
    </w:p>
    <w:p w:rsidR="00142353" w:rsidRPr="00D96B14" w:rsidRDefault="00142353" w:rsidP="00142353">
      <w:pPr>
        <w:spacing w:line="240" w:lineRule="atLeast"/>
        <w:rPr>
          <w:sz w:val="4"/>
          <w:szCs w:val="4"/>
        </w:rPr>
      </w:pPr>
      <w:r w:rsidRPr="00D96B14">
        <w:br w:type="page"/>
      </w:r>
    </w:p>
    <w:p w:rsidR="00142353" w:rsidRPr="00D96B14" w:rsidRDefault="00142353" w:rsidP="00142353">
      <w:pPr>
        <w:pStyle w:val="SmallLine"/>
      </w:pPr>
      <w:r w:rsidRPr="00D96B14">
        <w:lastRenderedPageBreak/>
        <w:br w:type="column"/>
      </w:r>
    </w:p>
    <w:p w:rsidR="00142353" w:rsidRPr="00D96B14" w:rsidRDefault="00142353" w:rsidP="00142353">
      <w:pPr>
        <w:pStyle w:val="CommentaryHeading"/>
        <w:pBdr>
          <w:bottom w:val="none" w:sz="0" w:space="0" w:color="auto"/>
        </w:pBdr>
      </w:pPr>
      <w:r w:rsidRPr="00D96B14">
        <w:t xml:space="preserve">Commentary – Attestation for compliance with </w:t>
      </w:r>
      <w:r w:rsidRPr="00D96B14">
        <w:rPr>
          <w:i/>
        </w:rPr>
        <w:t>Ministerial Standing Direction 4.5.5</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bottom w:val="none" w:sz="0" w:space="0" w:color="auto"/>
        </w:pBdr>
      </w:pPr>
      <w:r w:rsidRPr="00D96B14">
        <w:t>Legislative and documented references</w:t>
      </w:r>
    </w:p>
    <w:p w:rsidR="00142353" w:rsidRPr="00D96B14" w:rsidRDefault="00142353" w:rsidP="00142353">
      <w:pPr>
        <w:pStyle w:val="CommentaryText"/>
        <w:pBdr>
          <w:top w:val="none" w:sz="0" w:space="0" w:color="auto"/>
          <w:bottom w:val="none" w:sz="0" w:space="0" w:color="auto"/>
        </w:pBdr>
        <w:tabs>
          <w:tab w:val="left" w:pos="7830"/>
        </w:tabs>
        <w:ind w:right="260"/>
        <w:rPr>
          <w:b/>
          <w:bCs/>
          <w:noProof w:val="0"/>
        </w:rPr>
        <w:sectPr w:rsidR="00142353" w:rsidRPr="00D96B14" w:rsidSect="00190A01">
          <w:headerReference w:type="default" r:id="rId105"/>
          <w:headerReference w:type="first" r:id="rId106"/>
          <w:footerReference w:type="first" r:id="rId107"/>
          <w:type w:val="continuous"/>
          <w:pgSz w:w="11906" w:h="16838" w:code="9"/>
          <w:pgMar w:top="1152" w:right="864" w:bottom="1152" w:left="864" w:header="432" w:footer="432" w:gutter="0"/>
          <w:cols w:num="2" w:space="360" w:equalWidth="0">
            <w:col w:w="1440" w:space="360"/>
            <w:col w:w="8090"/>
          </w:cols>
          <w:titlePg/>
        </w:sectPr>
      </w:pPr>
    </w:p>
    <w:p w:rsidR="00142353" w:rsidRPr="00D96B14" w:rsidRDefault="00142353" w:rsidP="00142353">
      <w:pPr>
        <w:pStyle w:val="Reference"/>
        <w:rPr>
          <w:color w:val="FF0000"/>
          <w:lang w:val="en-AU"/>
        </w:rPr>
      </w:pPr>
      <w:r w:rsidRPr="00D96B14">
        <w:rPr>
          <w:color w:val="FF0000"/>
          <w:lang w:val="en-AU"/>
        </w:rPr>
        <w:lastRenderedPageBreak/>
        <w:t>Revised</w:t>
      </w:r>
    </w:p>
    <w:p w:rsidR="00142353" w:rsidRPr="00D96B14" w:rsidRDefault="00142353" w:rsidP="00142353">
      <w:pPr>
        <w:pStyle w:val="Reference"/>
        <w:spacing w:before="120"/>
        <w:rPr>
          <w:lang w:val="en-AU"/>
        </w:rPr>
      </w:pPr>
      <w:r w:rsidRPr="00D96B14">
        <w:rPr>
          <w:lang w:val="en-AU"/>
        </w:rPr>
        <w:t>SD 4.5.5</w:t>
      </w:r>
    </w:p>
    <w:p w:rsidR="00142353" w:rsidRPr="00D96B14" w:rsidRDefault="00142353" w:rsidP="00142353">
      <w:pPr>
        <w:pStyle w:val="Reference"/>
        <w:spacing w:before="120"/>
        <w:rPr>
          <w:lang w:val="en-AU"/>
        </w:rPr>
      </w:pPr>
      <w:r w:rsidRPr="00D96B14">
        <w:rPr>
          <w:lang w:val="en-AU"/>
        </w:rPr>
        <w:t>Victorian Government Risk Management Framework</w:t>
      </w:r>
    </w:p>
    <w:p w:rsidR="00142353" w:rsidRPr="00D96B14" w:rsidRDefault="00142353" w:rsidP="00142353">
      <w:pPr>
        <w:pStyle w:val="CommentaryText"/>
        <w:pBdr>
          <w:top w:val="none" w:sz="0" w:space="0" w:color="auto"/>
          <w:bottom w:val="none" w:sz="0" w:space="0" w:color="auto"/>
        </w:pBdr>
        <w:rPr>
          <w:i/>
        </w:rPr>
      </w:pPr>
      <w:r w:rsidRPr="00D96B14">
        <w:rPr>
          <w:b/>
          <w:bCs/>
        </w:rPr>
        <w:br w:type="column"/>
      </w:r>
      <w:r w:rsidRPr="00D96B14">
        <w:rPr>
          <w:i/>
        </w:rPr>
        <w:lastRenderedPageBreak/>
        <w:t>Ministerial Standing Direction 4.5.5 – Risk Management Framework and Processes</w:t>
      </w:r>
      <w:r w:rsidRPr="00D96B14">
        <w:rPr>
          <w:b/>
          <w:bCs/>
        </w:rPr>
        <w:t xml:space="preserve"> </w:t>
      </w:r>
      <w:r w:rsidRPr="00D96B14">
        <w:t xml:space="preserve">directs that the responsible body must ensure the public sector agency complies with the mandatory requirements set out in the </w:t>
      </w:r>
      <w:r w:rsidRPr="00D96B14">
        <w:rPr>
          <w:i/>
        </w:rPr>
        <w:t xml:space="preserve">Victorian Government Risk Management Framework </w:t>
      </w:r>
      <w:r w:rsidRPr="00D96B14">
        <w:t>(VGRMF).</w:t>
      </w:r>
    </w:p>
    <w:p w:rsidR="00142353" w:rsidRPr="00D96B14" w:rsidRDefault="00142353" w:rsidP="00142353">
      <w:pPr>
        <w:pStyle w:val="CommentaryText"/>
        <w:pBdr>
          <w:top w:val="none" w:sz="0" w:space="0" w:color="auto"/>
          <w:bottom w:val="none" w:sz="0" w:space="0" w:color="auto"/>
        </w:pBdr>
      </w:pPr>
      <w:r w:rsidRPr="00D96B14">
        <w:t xml:space="preserve">To comply with </w:t>
      </w:r>
      <w:r w:rsidRPr="00D96B14">
        <w:rPr>
          <w:i/>
          <w:iCs/>
        </w:rPr>
        <w:t xml:space="preserve">Ministerial Standing Direction 4.5.5 </w:t>
      </w:r>
      <w:r w:rsidRPr="00D96B14">
        <w:t>agencies need to meet the mandatory requirements in the VGRMF. The responsibility for the agency</w:t>
      </w:r>
      <w:r w:rsidR="005A4BB0">
        <w:t>’</w:t>
      </w:r>
      <w:r w:rsidRPr="00D96B14">
        <w:t>s risk management performance rests primarily with the responsible body.</w:t>
      </w:r>
    </w:p>
    <w:p w:rsidR="00142353" w:rsidRPr="00D96B14" w:rsidRDefault="00142353" w:rsidP="00142353">
      <w:pPr>
        <w:pStyle w:val="CommentaryText"/>
        <w:pBdr>
          <w:top w:val="none" w:sz="0" w:space="0" w:color="auto"/>
          <w:bottom w:val="none" w:sz="0" w:space="0" w:color="auto"/>
        </w:pBdr>
      </w:pPr>
      <w:r w:rsidRPr="00D96B14">
        <w:t>The updated VGRMF, which now incorporates both the risk management and insurance requirements, was approved by the Minister for Finance and with the relevant Ministerial Standing Directions revised in May 2015.</w:t>
      </w:r>
    </w:p>
    <w:p w:rsidR="00142353" w:rsidRPr="00D96B14" w:rsidRDefault="00142353" w:rsidP="00142353">
      <w:pPr>
        <w:pStyle w:val="CommentaryText"/>
        <w:pBdr>
          <w:top w:val="none" w:sz="0" w:space="0" w:color="auto"/>
          <w:bottom w:val="none" w:sz="0" w:space="0" w:color="auto"/>
        </w:pBdr>
        <w:rPr>
          <w:rStyle w:val="Hyperlink"/>
        </w:rPr>
      </w:pPr>
      <w:r w:rsidRPr="00D96B14">
        <w:t>Entities are strongly encouraged to read the VGRMF</w:t>
      </w:r>
      <w:r w:rsidRPr="00D96B14" w:rsidDel="00BF2048">
        <w:rPr>
          <w:i/>
        </w:rPr>
        <w:t xml:space="preserve"> </w:t>
      </w:r>
      <w:r w:rsidRPr="00D96B14">
        <w:t>published by the Department of Treasury and Finance for more information. An electronic copy of the publication is accessible from:</w:t>
      </w:r>
    </w:p>
    <w:p w:rsidR="00142353" w:rsidRPr="00D96B14" w:rsidRDefault="00B934BC" w:rsidP="00142353">
      <w:pPr>
        <w:pStyle w:val="CommentaryText"/>
        <w:pBdr>
          <w:top w:val="none" w:sz="0" w:space="0" w:color="auto"/>
          <w:bottom w:val="none" w:sz="0" w:space="0" w:color="auto"/>
        </w:pBdr>
        <w:rPr>
          <w:rStyle w:val="Hyperlink"/>
        </w:rPr>
      </w:pPr>
      <w:hyperlink r:id="rId108" w:history="1">
        <w:r w:rsidR="00142353" w:rsidRPr="00D96B14">
          <w:rPr>
            <w:rStyle w:val="Hyperlink"/>
          </w:rPr>
          <w:t>http://www.dtf.vic.gov.au/Publications/Victoria</w:t>
        </w:r>
        <w:r w:rsidR="005A4BB0">
          <w:rPr>
            <w:rStyle w:val="Hyperlink"/>
          </w:rPr>
          <w:noBreakHyphen/>
        </w:r>
        <w:r w:rsidR="00142353" w:rsidRPr="00D96B14">
          <w:rPr>
            <w:rStyle w:val="Hyperlink"/>
          </w:rPr>
          <w:t>Economy</w:t>
        </w:r>
        <w:r w:rsidR="005A4BB0">
          <w:rPr>
            <w:rStyle w:val="Hyperlink"/>
          </w:rPr>
          <w:noBreakHyphen/>
        </w:r>
        <w:r w:rsidR="00142353" w:rsidRPr="00D96B14">
          <w:rPr>
            <w:rStyle w:val="Hyperlink"/>
          </w:rPr>
          <w:t>publications/Victorian</w:t>
        </w:r>
        <w:r w:rsidR="005A4BB0">
          <w:rPr>
            <w:rStyle w:val="Hyperlink"/>
          </w:rPr>
          <w:noBreakHyphen/>
        </w:r>
        <w:r w:rsidR="00142353" w:rsidRPr="00D96B14">
          <w:rPr>
            <w:rStyle w:val="Hyperlink"/>
          </w:rPr>
          <w:t>risk</w:t>
        </w:r>
        <w:r w:rsidR="005A4BB0">
          <w:rPr>
            <w:rStyle w:val="Hyperlink"/>
          </w:rPr>
          <w:noBreakHyphen/>
        </w:r>
        <w:r w:rsidR="00142353" w:rsidRPr="00D96B14">
          <w:rPr>
            <w:rStyle w:val="Hyperlink"/>
          </w:rPr>
          <w:t>management</w:t>
        </w:r>
        <w:r w:rsidR="005A4BB0">
          <w:rPr>
            <w:rStyle w:val="Hyperlink"/>
          </w:rPr>
          <w:noBreakHyphen/>
        </w:r>
        <w:r w:rsidR="00142353" w:rsidRPr="00D96B14">
          <w:rPr>
            <w:rStyle w:val="Hyperlink"/>
          </w:rPr>
          <w:t>framework</w:t>
        </w:r>
        <w:r w:rsidR="005A4BB0">
          <w:rPr>
            <w:rStyle w:val="Hyperlink"/>
          </w:rPr>
          <w:noBreakHyphen/>
        </w:r>
        <w:r w:rsidR="00142353" w:rsidRPr="00D96B14">
          <w:rPr>
            <w:rStyle w:val="Hyperlink"/>
          </w:rPr>
          <w:t>and</w:t>
        </w:r>
        <w:r w:rsidR="005A4BB0">
          <w:rPr>
            <w:rStyle w:val="Hyperlink"/>
          </w:rPr>
          <w:noBreakHyphen/>
        </w:r>
        <w:r w:rsidR="00142353" w:rsidRPr="00D96B14">
          <w:rPr>
            <w:rStyle w:val="Hyperlink"/>
          </w:rPr>
          <w:t>insurance</w:t>
        </w:r>
        <w:r w:rsidR="005A4BB0">
          <w:rPr>
            <w:rStyle w:val="Hyperlink"/>
          </w:rPr>
          <w:noBreakHyphen/>
        </w:r>
        <w:r w:rsidR="00142353" w:rsidRPr="00D96B14">
          <w:rPr>
            <w:rStyle w:val="Hyperlink"/>
          </w:rPr>
          <w:t>management</w:t>
        </w:r>
        <w:r w:rsidR="005A4BB0">
          <w:rPr>
            <w:rStyle w:val="Hyperlink"/>
          </w:rPr>
          <w:noBreakHyphen/>
        </w:r>
        <w:r w:rsidR="00142353" w:rsidRPr="00D96B14">
          <w:rPr>
            <w:rStyle w:val="Hyperlink"/>
          </w:rPr>
          <w:t>policy</w:t>
        </w:r>
      </w:hyperlink>
    </w:p>
    <w:p w:rsidR="00142353" w:rsidRPr="00D96B14" w:rsidRDefault="00142353" w:rsidP="00142353">
      <w:pPr>
        <w:pStyle w:val="CommentaryHeading1"/>
        <w:pBdr>
          <w:top w:val="none" w:sz="0" w:space="0" w:color="auto"/>
          <w:bottom w:val="none" w:sz="0" w:space="0" w:color="auto"/>
        </w:pBdr>
        <w:tabs>
          <w:tab w:val="left" w:pos="7830"/>
        </w:tabs>
        <w:rPr>
          <w:noProof w:val="0"/>
        </w:rPr>
      </w:pPr>
      <w:r w:rsidRPr="00D96B14">
        <w:rPr>
          <w:noProof w:val="0"/>
        </w:rPr>
        <w:t>Guidance</w:t>
      </w:r>
    </w:p>
    <w:p w:rsidR="00142353" w:rsidRPr="00D96B14" w:rsidRDefault="00142353" w:rsidP="00142353">
      <w:pPr>
        <w:pStyle w:val="CommentaryText"/>
        <w:pBdr>
          <w:top w:val="none" w:sz="0" w:space="0" w:color="auto"/>
          <w:bottom w:val="none" w:sz="0" w:space="0" w:color="auto"/>
        </w:pBdr>
        <w:tabs>
          <w:tab w:val="left" w:pos="7830"/>
          <w:tab w:val="left" w:pos="8080"/>
        </w:tabs>
        <w:rPr>
          <w:noProof w:val="0"/>
        </w:rPr>
      </w:pPr>
      <w:r w:rsidRPr="00D96B14">
        <w:rPr>
          <w:noProof w:val="0"/>
        </w:rPr>
        <w:t>Under Ministerial Standing Direction 4.5.5 – Risk Management Framework and Processes departments and agencies must provide an annual attestation of compliance.</w:t>
      </w:r>
    </w:p>
    <w:p w:rsidR="00142353" w:rsidRPr="00D96B14" w:rsidRDefault="00142353" w:rsidP="00142353">
      <w:pPr>
        <w:pStyle w:val="CommentaryText"/>
        <w:pBdr>
          <w:top w:val="none" w:sz="0" w:space="0" w:color="auto"/>
          <w:bottom w:val="none" w:sz="0" w:space="0" w:color="auto"/>
        </w:pBdr>
        <w:tabs>
          <w:tab w:val="left" w:pos="7830"/>
          <w:tab w:val="left" w:pos="8080"/>
        </w:tabs>
        <w:rPr>
          <w:noProof w:val="0"/>
        </w:rPr>
      </w:pPr>
      <w:r w:rsidRPr="00D96B14">
        <w:rPr>
          <w:noProof w:val="0"/>
        </w:rPr>
        <w:t>The responsible body of a department or agency is responsible for the accuracy and completeness of attestation and should utilise audit committees or other internal governance bodies, where available, to support the view expressed. For a department, the accountable officer is the responsible body. For other agencies, it is the board or the person with ultimate decision making authority.</w:t>
      </w:r>
    </w:p>
    <w:p w:rsidR="00142353" w:rsidRPr="00D96B14" w:rsidRDefault="00142353" w:rsidP="00142353">
      <w:pPr>
        <w:pStyle w:val="CommentaryText"/>
        <w:pBdr>
          <w:top w:val="none" w:sz="0" w:space="0" w:color="auto"/>
          <w:bottom w:val="none" w:sz="0" w:space="0" w:color="auto"/>
        </w:pBdr>
        <w:tabs>
          <w:tab w:val="left" w:pos="7830"/>
          <w:tab w:val="left" w:pos="8080"/>
        </w:tabs>
        <w:rPr>
          <w:noProof w:val="0"/>
        </w:rPr>
      </w:pPr>
      <w:r w:rsidRPr="00D96B14">
        <w:rPr>
          <w:noProof w:val="0"/>
        </w:rPr>
        <w:t>For the risk management and insurance requirements the agency must::</w:t>
      </w:r>
    </w:p>
    <w:p w:rsidR="00142353" w:rsidRPr="00D96B14" w:rsidRDefault="00142353" w:rsidP="00142353">
      <w:pPr>
        <w:pStyle w:val="CommentaryBullet"/>
      </w:pPr>
      <w:r w:rsidRPr="00D96B14">
        <w:t>conduct an annual review of its compliance with both the risk management and insurance requirements;</w:t>
      </w:r>
    </w:p>
    <w:p w:rsidR="00142353" w:rsidRPr="00D96B14" w:rsidRDefault="00142353" w:rsidP="00142353">
      <w:pPr>
        <w:pStyle w:val="CommentaryBullet"/>
      </w:pPr>
      <w:r w:rsidRPr="00D96B14">
        <w:t>attest in the agency</w:t>
      </w:r>
      <w:r w:rsidR="005A4BB0">
        <w:t>’</w:t>
      </w:r>
      <w:r w:rsidRPr="00D96B14">
        <w:t>s annual report that it has complied with Ministerial Standing Direction 4.5.5 or, if it is partially in compliance, identify areas of non</w:t>
      </w:r>
      <w:r w:rsidR="005A4BB0">
        <w:noBreakHyphen/>
      </w:r>
      <w:r w:rsidRPr="00D96B14">
        <w:t>compliance and remedial actions taken in the attestation; and</w:t>
      </w:r>
    </w:p>
    <w:p w:rsidR="00142353" w:rsidRPr="00D96B14" w:rsidRDefault="00142353" w:rsidP="00142353">
      <w:pPr>
        <w:pStyle w:val="CommentaryBullet"/>
      </w:pPr>
      <w:r w:rsidRPr="00D96B14">
        <w:t>ensure the Audit Committee reviews and monitors compliance with Ministerial Standing Direction 4.5.5, and makes a recommendation to the Responsible Body on the level of compliance attained.</w:t>
      </w:r>
    </w:p>
    <w:p w:rsidR="00142353" w:rsidRPr="00D96B14" w:rsidRDefault="00142353" w:rsidP="00142353">
      <w:pPr>
        <w:pStyle w:val="CommentaryText"/>
        <w:pBdr>
          <w:top w:val="none" w:sz="0" w:space="0" w:color="auto"/>
        </w:pBdr>
        <w:rPr>
          <w:noProof w:val="0"/>
        </w:rPr>
      </w:pPr>
      <w:r w:rsidRPr="00D96B14">
        <w:rPr>
          <w:noProof w:val="0"/>
        </w:rPr>
        <w:t>Attestation of compliance should be made annually in the report of operations and the person making the attestation, usually the chief Executive Officer or accountable officer, should not make the attestation unless the audit committee or responsible body (for instance the board of a statutory authority) agrees that such an assurance can be given.</w:t>
      </w:r>
    </w:p>
    <w:p w:rsidR="00142353" w:rsidRPr="00D96B14" w:rsidRDefault="00142353" w:rsidP="00142353">
      <w:pPr>
        <w:pStyle w:val="CommentaryText"/>
        <w:pBdr>
          <w:top w:val="none" w:sz="0" w:space="0" w:color="auto"/>
        </w:pBdr>
        <w:rPr>
          <w:b/>
          <w:bCs/>
          <w:noProof w:val="0"/>
        </w:rPr>
      </w:pPr>
      <w:r w:rsidRPr="00D96B14">
        <w:rPr>
          <w:b/>
          <w:bCs/>
          <w:noProof w:val="0"/>
        </w:rPr>
        <w:t>Below is the suggested attestation disclosure for statutory authorities and other relevant entities:</w:t>
      </w:r>
    </w:p>
    <w:p w:rsidR="00142353" w:rsidRPr="00D96B14" w:rsidRDefault="00142353" w:rsidP="00142353">
      <w:pPr>
        <w:pStyle w:val="CommentaryText"/>
        <w:pBdr>
          <w:top w:val="none" w:sz="0" w:space="0" w:color="auto"/>
        </w:pBdr>
        <w:rPr>
          <w:i/>
          <w:iCs/>
          <w:noProof w:val="0"/>
        </w:rPr>
      </w:pPr>
      <w:r w:rsidRPr="00D96B14">
        <w:rPr>
          <w:i/>
          <w:iCs/>
          <w:noProof w:val="0"/>
        </w:rPr>
        <w:t>I, [Responsible Body] certify that the [Agency] has complied with the Ministerial Standing Direction 4.5.5 – Risk Management Framework and Processes. The [Agency] Audit Committee has verified this [if an audit committee is available to verify].</w:t>
      </w:r>
    </w:p>
    <w:p w:rsidR="00142353" w:rsidRPr="00D96B14" w:rsidRDefault="00142353" w:rsidP="00142353">
      <w:pPr>
        <w:pStyle w:val="CommentaryText"/>
        <w:pBdr>
          <w:top w:val="none" w:sz="0" w:space="0" w:color="auto"/>
        </w:pBdr>
        <w:rPr>
          <w:i/>
          <w:iCs/>
          <w:noProof w:val="0"/>
        </w:rPr>
      </w:pPr>
      <w:r w:rsidRPr="00D96B14">
        <w:rPr>
          <w:i/>
          <w:iCs/>
          <w:noProof w:val="0"/>
        </w:rPr>
        <w:t>[Signature]</w:t>
      </w:r>
    </w:p>
    <w:p w:rsidR="00142353" w:rsidRPr="00D96B14" w:rsidRDefault="00142353" w:rsidP="00142353">
      <w:pPr>
        <w:pStyle w:val="CommentaryText"/>
        <w:pBdr>
          <w:top w:val="none" w:sz="0" w:space="0" w:color="auto"/>
        </w:pBdr>
      </w:pPr>
      <w:r w:rsidRPr="00D96B14">
        <w:rPr>
          <w:i/>
          <w:iCs/>
          <w:noProof w:val="0"/>
        </w:rPr>
        <w:t>[Signatory details]</w:t>
      </w:r>
    </w:p>
    <w:p w:rsidR="00142353" w:rsidRPr="00D96B14" w:rsidRDefault="00142353" w:rsidP="00142353">
      <w:pPr>
        <w:sectPr w:rsidR="00142353" w:rsidRPr="00D96B14" w:rsidSect="00190A01">
          <w:headerReference w:type="even" r:id="rId109"/>
          <w:headerReference w:type="first" r:id="rId110"/>
          <w:type w:val="continuous"/>
          <w:pgSz w:w="11906" w:h="16838" w:code="9"/>
          <w:pgMar w:top="1152" w:right="864" w:bottom="1152" w:left="864" w:header="432" w:footer="432" w:gutter="0"/>
          <w:cols w:num="2" w:space="360" w:equalWidth="0">
            <w:col w:w="1440" w:space="360"/>
            <w:col w:w="8090"/>
          </w:cols>
          <w:rtlGutter/>
        </w:sectPr>
      </w:pPr>
    </w:p>
    <w:p w:rsidR="00142353" w:rsidRPr="00D96B14" w:rsidRDefault="00142353" w:rsidP="00142353">
      <w:pPr>
        <w:pStyle w:val="Heading2"/>
      </w:pPr>
      <w:r w:rsidRPr="00D96B14">
        <w:lastRenderedPageBreak/>
        <w:br w:type="column"/>
      </w:r>
      <w:r w:rsidRPr="00D96B14">
        <w:lastRenderedPageBreak/>
        <w:t>Compliance with DataVic Access Policy</w:t>
      </w:r>
    </w:p>
    <w:p w:rsidR="00142353" w:rsidRPr="00D96B14" w:rsidRDefault="00142353" w:rsidP="00142353">
      <w:r w:rsidRPr="00D96B14">
        <w:rPr>
          <w:rFonts w:cs="Garamond"/>
          <w:color w:val="000000"/>
        </w:rPr>
        <w:t xml:space="preserve">Consistent with the DataVic Access Policy issued by the Victorian Government in 2012, the information </w:t>
      </w:r>
      <w:r w:rsidRPr="00D96B14">
        <w:rPr>
          <w:rFonts w:cs="Garamond"/>
          <w:color w:val="0000FF"/>
        </w:rPr>
        <w:t>[</w:t>
      </w:r>
      <w:r w:rsidRPr="00D96B14">
        <w:rPr>
          <w:rFonts w:cs="Garamond"/>
          <w:i/>
          <w:color w:val="0000FF"/>
        </w:rPr>
        <w:t>insert relevant information submitted to DataVic e.g. all data tables</w:t>
      </w:r>
      <w:r w:rsidRPr="00D96B14">
        <w:rPr>
          <w:rFonts w:cs="Garamond"/>
          <w:color w:val="0000FF"/>
        </w:rPr>
        <w:t>]</w:t>
      </w:r>
      <w:r w:rsidRPr="00D96B14">
        <w:rPr>
          <w:rFonts w:cs="Garamond"/>
          <w:color w:val="000000"/>
        </w:rPr>
        <w:t xml:space="preserve"> included in this Annual Report will be available at </w:t>
      </w:r>
      <w:hyperlink r:id="rId111" w:history="1">
        <w:r w:rsidRPr="00D96B14">
          <w:rPr>
            <w:rFonts w:cs="Garamond"/>
            <w:color w:val="0000FF"/>
            <w:u w:val="single"/>
          </w:rPr>
          <w:t>http://www.data.vic.gov.au/</w:t>
        </w:r>
      </w:hyperlink>
      <w:r w:rsidRPr="00D96B14">
        <w:rPr>
          <w:rFonts w:cs="Garamond"/>
          <w:color w:val="000000"/>
        </w:rPr>
        <w:t xml:space="preserve"> in electronic readable format </w:t>
      </w:r>
      <w:r w:rsidRPr="00D96B14">
        <w:rPr>
          <w:rFonts w:cs="Garamond"/>
          <w:i/>
          <w:color w:val="0000FF"/>
        </w:rPr>
        <w:t>[note: suitable formats are CSV, XLS, XML etc., PDF and Word are not suitable formats].</w:t>
      </w:r>
      <w:r w:rsidRPr="00D96B14" w:rsidDel="00725DA7">
        <w:t xml:space="preserve"> </w:t>
      </w:r>
    </w:p>
    <w:p w:rsidR="00142353" w:rsidRPr="00D96B14" w:rsidRDefault="00142353" w:rsidP="00142353"/>
    <w:p w:rsidR="00142353" w:rsidRPr="00D96B14" w:rsidRDefault="00142353" w:rsidP="00142353">
      <w:pPr>
        <w:pStyle w:val="CommentaryHeading"/>
        <w:pBdr>
          <w:bottom w:val="none" w:sz="0" w:space="0" w:color="auto"/>
        </w:pBdr>
      </w:pPr>
      <w:r w:rsidRPr="00D96B14">
        <w:t xml:space="preserve">Commentary – DataVic Access Policy </w:t>
      </w:r>
    </w:p>
    <w:p w:rsidR="00142353" w:rsidRPr="00D96B14" w:rsidRDefault="00142353" w:rsidP="00142353">
      <w:pPr>
        <w:pStyle w:val="SmallLineBlue"/>
        <w:pBdr>
          <w:bottom w:val="none" w:sz="0" w:space="0" w:color="auto"/>
        </w:pBdr>
      </w:pPr>
    </w:p>
    <w:p w:rsidR="00142353" w:rsidRPr="00D96B14" w:rsidRDefault="00142353" w:rsidP="00142353">
      <w:pPr>
        <w:pStyle w:val="CommentaryHeading1"/>
        <w:pBdr>
          <w:bottom w:val="none" w:sz="0" w:space="0" w:color="auto"/>
        </w:pBdr>
      </w:pPr>
      <w:r w:rsidRPr="00D96B14">
        <w:t>Guidance</w:t>
      </w:r>
    </w:p>
    <w:p w:rsidR="00142353" w:rsidRPr="00D96B14" w:rsidRDefault="00142353" w:rsidP="00142353">
      <w:pPr>
        <w:pStyle w:val="CommentaryText"/>
        <w:pBdr>
          <w:bottom w:val="none" w:sz="0" w:space="0" w:color="auto"/>
        </w:pBdr>
      </w:pPr>
      <w:r w:rsidRPr="00D96B14">
        <w:rPr>
          <w:rStyle w:val="CommentaryTextChar"/>
        </w:rPr>
        <w:t xml:space="preserve">In August 2012 the Victorian Government released the </w:t>
      </w:r>
      <w:hyperlink r:id="rId112" w:history="1">
        <w:r w:rsidRPr="00D96B14">
          <w:rPr>
            <w:rStyle w:val="CommentaryTextChar"/>
          </w:rPr>
          <w:t>DataVic Access Policy</w:t>
        </w:r>
      </w:hyperlink>
      <w:r w:rsidRPr="00D96B14">
        <w:rPr>
          <w:rStyle w:val="CommentaryTextChar"/>
        </w:rPr>
        <w:t>, which enables the sharing of Government data at no, or minimal, cost to users. Government data from all agencies will be progressively supplied in a electronic</w:t>
      </w:r>
      <w:r w:rsidR="005A4BB0">
        <w:rPr>
          <w:rStyle w:val="CommentaryTextChar"/>
        </w:rPr>
        <w:noBreakHyphen/>
      </w:r>
      <w:r w:rsidRPr="00D96B14">
        <w:rPr>
          <w:rStyle w:val="CommentaryTextChar"/>
        </w:rPr>
        <w:t>readable format that will minimise access costs and maximise use and reuse</w:t>
      </w:r>
      <w:r w:rsidRPr="00D96B14">
        <w:t>.</w:t>
      </w:r>
    </w:p>
    <w:p w:rsidR="00142353" w:rsidRPr="00D96B14" w:rsidRDefault="00142353" w:rsidP="00142353">
      <w:pPr>
        <w:pStyle w:val="CommentaryText"/>
        <w:pBdr>
          <w:bottom w:val="none" w:sz="0" w:space="0" w:color="auto"/>
        </w:pBdr>
        <w:rPr>
          <w:rStyle w:val="CommentaryTextChar"/>
        </w:rPr>
      </w:pPr>
      <w:r w:rsidRPr="00D96B14">
        <w:rPr>
          <w:rStyle w:val="CommentaryTextChar"/>
        </w:rPr>
        <w:t>Entities are encouraged to include in their annual report this statement if applicable.</w:t>
      </w:r>
    </w:p>
    <w:p w:rsidR="00142353" w:rsidRPr="00D96B14" w:rsidRDefault="00142353" w:rsidP="00142353">
      <w:pPr>
        <w:pStyle w:val="CommentaryText"/>
        <w:pBdr>
          <w:bottom w:val="none" w:sz="0" w:space="0" w:color="auto"/>
        </w:pBdr>
        <w:rPr>
          <w:rStyle w:val="CommentaryTextChar"/>
        </w:rPr>
      </w:pPr>
      <w:r w:rsidRPr="00D96B14">
        <w:rPr>
          <w:rStyle w:val="CommentaryTextChar"/>
        </w:rPr>
        <w:t>Agencies are also encouraged to incorporate DataVic Access Policy achievements into their annual report. Suggested items include:</w:t>
      </w:r>
    </w:p>
    <w:p w:rsidR="00142353" w:rsidRPr="00D96B14" w:rsidRDefault="00142353" w:rsidP="00142353">
      <w:pPr>
        <w:pStyle w:val="CommentaryBullet"/>
      </w:pPr>
      <w:r w:rsidRPr="00D96B14">
        <w:t>outcomes from the previous year</w:t>
      </w:r>
      <w:r w:rsidR="005A4BB0">
        <w:t>’</w:t>
      </w:r>
      <w:r w:rsidRPr="00D96B14">
        <w:t>s program of works targets;</w:t>
      </w:r>
    </w:p>
    <w:p w:rsidR="00142353" w:rsidRPr="00D96B14" w:rsidRDefault="00142353" w:rsidP="00142353">
      <w:pPr>
        <w:pStyle w:val="CommentaryBullet"/>
      </w:pPr>
      <w:r w:rsidRPr="00D96B14">
        <w:t>a list of categories of datasets that have been made available;</w:t>
      </w:r>
    </w:p>
    <w:p w:rsidR="00142353" w:rsidRPr="00D96B14" w:rsidRDefault="00142353" w:rsidP="00142353">
      <w:pPr>
        <w:pStyle w:val="CommentaryBullet"/>
      </w:pPr>
      <w:r w:rsidRPr="00D96B14">
        <w:t>suggestions for datasets received and the outcome of the suggestions;</w:t>
      </w:r>
    </w:p>
    <w:p w:rsidR="00142353" w:rsidRPr="00D96B14" w:rsidRDefault="00142353" w:rsidP="00142353">
      <w:pPr>
        <w:pStyle w:val="CommentaryBullet"/>
      </w:pPr>
      <w:r w:rsidRPr="00D96B14">
        <w:t xml:space="preserve">feedback for datasets received and the outcome of the feedback; </w:t>
      </w:r>
    </w:p>
    <w:p w:rsidR="00142353" w:rsidRPr="00D96B14" w:rsidRDefault="00142353" w:rsidP="00142353">
      <w:pPr>
        <w:pStyle w:val="CommentaryBullet"/>
        <w:pBdr>
          <w:bottom w:val="single" w:sz="4" w:space="1" w:color="0000FF"/>
        </w:pBdr>
      </w:pPr>
      <w:r w:rsidRPr="00D96B14">
        <w:t>any known benefits of making datasets available achieved to date; and</w:t>
      </w:r>
    </w:p>
    <w:p w:rsidR="00142353" w:rsidRPr="00D96B14" w:rsidRDefault="00142353" w:rsidP="00142353">
      <w:pPr>
        <w:pStyle w:val="CommentaryBullet"/>
        <w:pBdr>
          <w:bottom w:val="single" w:sz="4" w:space="1" w:color="0000FF"/>
        </w:pBdr>
      </w:pPr>
      <w:r w:rsidRPr="00D96B14">
        <w:t>strategies for the coming year, including a list of proposed categories of datasets to be made available.</w:t>
      </w:r>
    </w:p>
    <w:p w:rsidR="00142353" w:rsidRPr="00D96B14" w:rsidRDefault="00142353" w:rsidP="00142353"/>
    <w:p w:rsidR="00142353" w:rsidRPr="00D96B14" w:rsidRDefault="00142353" w:rsidP="00142353">
      <w:pPr>
        <w:pStyle w:val="SmallLine"/>
      </w:pPr>
      <w:bookmarkStart w:id="97" w:name="_Toc133203933"/>
      <w:bookmarkStart w:id="98" w:name="_Toc164653486"/>
      <w:bookmarkStart w:id="99" w:name="_Toc164653872"/>
      <w:bookmarkStart w:id="100" w:name="_Toc166471777"/>
      <w:bookmarkStart w:id="101" w:name="_Toc192578717"/>
      <w:bookmarkStart w:id="102" w:name="_Toc103585054"/>
      <w:bookmarkStart w:id="103" w:name="_Toc103587820"/>
      <w:bookmarkStart w:id="104" w:name="_Toc103588263"/>
      <w:bookmarkStart w:id="105" w:name="_Toc103766178"/>
      <w:bookmarkStart w:id="106" w:name="_Toc103493703"/>
      <w:bookmarkStart w:id="107" w:name="_Toc192645921"/>
      <w:bookmarkStart w:id="108" w:name="_Toc192646282"/>
      <w:r w:rsidRPr="00D96B14">
        <w:br w:type="column"/>
      </w:r>
    </w:p>
    <w:p w:rsidR="00142353" w:rsidRPr="00D96B14" w:rsidRDefault="00142353" w:rsidP="00142353">
      <w:pPr>
        <w:pStyle w:val="ReferenceRed"/>
        <w:rPr>
          <w:rStyle w:val="SourceReferenceChar"/>
          <w:color w:val="FF0000"/>
        </w:rPr>
      </w:pPr>
      <w:r w:rsidRPr="00D96B14">
        <w:rPr>
          <w:rStyle w:val="SourceReferenceChar"/>
          <w:color w:val="FF0000"/>
        </w:rPr>
        <w:t>Revised</w:t>
      </w:r>
    </w:p>
    <w:p w:rsidR="00142353" w:rsidRPr="00D96B14" w:rsidRDefault="00142353" w:rsidP="00142353">
      <w:pPr>
        <w:pStyle w:val="ReferenceRed"/>
        <w:rPr>
          <w:rStyle w:val="SourceReferenceChar"/>
        </w:rPr>
      </w:pPr>
      <w:r w:rsidRPr="00D96B14">
        <w:rPr>
          <w:rStyle w:val="SourceReferenceChar"/>
        </w:rPr>
        <w:t xml:space="preserve">FRD 10A </w:t>
      </w:r>
    </w:p>
    <w:p w:rsidR="00142353" w:rsidRPr="00D96B14" w:rsidRDefault="00142353" w:rsidP="00142353">
      <w:pPr>
        <w:pStyle w:val="Reference"/>
      </w:pPr>
    </w:p>
    <w:p w:rsidR="00142353" w:rsidRPr="00D96B14" w:rsidRDefault="00142353" w:rsidP="00142353">
      <w:pPr>
        <w:pStyle w:val="Reference"/>
      </w:pPr>
    </w:p>
    <w:p w:rsidR="00142353" w:rsidRPr="00D96B14" w:rsidRDefault="00142353" w:rsidP="00142353">
      <w:pPr>
        <w:pStyle w:val="Heading2Blue"/>
        <w:rPr>
          <w:i/>
        </w:rPr>
      </w:pPr>
      <w:r w:rsidRPr="00D96B14">
        <w:br w:type="column"/>
      </w:r>
      <w:bookmarkStart w:id="109" w:name="_Toc225564583"/>
      <w:bookmarkStart w:id="110" w:name="_Toc133203934"/>
      <w:bookmarkStart w:id="111" w:name="_Toc133206250"/>
      <w:bookmarkStart w:id="112" w:name="_Toc149451387"/>
      <w:bookmarkStart w:id="113" w:name="_Toc164591349"/>
      <w:bookmarkStart w:id="114" w:name="_Toc164591482"/>
      <w:bookmarkStart w:id="115" w:name="_Toc164591751"/>
      <w:bookmarkStart w:id="116" w:name="_Toc164653487"/>
      <w:bookmarkStart w:id="117" w:name="_Toc166471778"/>
      <w:bookmarkStart w:id="118" w:name="_Toc192644514"/>
      <w:bookmarkStart w:id="119" w:name="_Toc332019449"/>
      <w:bookmarkStart w:id="120" w:name="_Toc448493048"/>
      <w:bookmarkEnd w:id="97"/>
      <w:bookmarkEnd w:id="98"/>
      <w:bookmarkEnd w:id="99"/>
      <w:bookmarkEnd w:id="100"/>
      <w:bookmarkEnd w:id="101"/>
      <w:r w:rsidRPr="00D96B14">
        <w:rPr>
          <w:color w:val="auto"/>
        </w:rPr>
        <w:lastRenderedPageBreak/>
        <w:t>Disclosure index</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142353" w:rsidRPr="00D96B14" w:rsidRDefault="00142353" w:rsidP="00142353">
      <w:pPr>
        <w:rPr>
          <w:b/>
          <w:i/>
          <w:color w:val="0000FF"/>
        </w:rPr>
      </w:pPr>
      <w:r w:rsidRPr="00D96B14">
        <w:rPr>
          <w:b/>
          <w:i/>
          <w:color w:val="0000FF"/>
        </w:rPr>
        <w:t>[The disclosure index is best disclosed as the first appendix of an entity</w:t>
      </w:r>
      <w:r w:rsidR="005A4BB0">
        <w:rPr>
          <w:b/>
          <w:i/>
          <w:color w:val="0000FF"/>
        </w:rPr>
        <w:t>’</w:t>
      </w:r>
      <w:r w:rsidRPr="00D96B14">
        <w:rPr>
          <w:b/>
          <w:i/>
          <w:color w:val="0000FF"/>
        </w:rPr>
        <w:t>s annual report.]</w:t>
      </w:r>
    </w:p>
    <w:p w:rsidR="00142353" w:rsidRPr="00D96B14" w:rsidRDefault="00142353" w:rsidP="00142353">
      <w:pPr>
        <w:rPr>
          <w:snapToGrid w:val="0"/>
        </w:rPr>
      </w:pPr>
      <w:r w:rsidRPr="00D96B14">
        <w:rPr>
          <w:snapToGrid w:val="0"/>
        </w:rPr>
        <w:t>The annual report of the Department is prepared in accordance with all relevant Victorian legislations and pronouncements. This index has been prepared to facilitate identification of the Department</w:t>
      </w:r>
      <w:r w:rsidR="005A4BB0">
        <w:rPr>
          <w:snapToGrid w:val="0"/>
        </w:rPr>
        <w:t>’</w:t>
      </w:r>
      <w:r w:rsidRPr="00D96B14">
        <w:rPr>
          <w:snapToGrid w:val="0"/>
        </w:rPr>
        <w:t>s compliance with statutory disclosure requirements.</w:t>
      </w:r>
    </w:p>
    <w:p w:rsidR="00142353" w:rsidRPr="00D96B14" w:rsidRDefault="00142353" w:rsidP="00142353">
      <w:pPr>
        <w:pStyle w:val="Notes"/>
        <w:rPr>
          <w:snapToGrid w:val="0"/>
        </w:rPr>
      </w:pPr>
    </w:p>
    <w:p w:rsidR="00142353" w:rsidRPr="00D96B14" w:rsidRDefault="00142353" w:rsidP="00142353">
      <w:pPr>
        <w:pStyle w:val="SmallLine"/>
      </w:pPr>
    </w:p>
    <w:tbl>
      <w:tblPr>
        <w:tblW w:w="8406" w:type="dxa"/>
        <w:tblLayout w:type="fixed"/>
        <w:tblCellMar>
          <w:left w:w="43" w:type="dxa"/>
          <w:right w:w="43" w:type="dxa"/>
        </w:tblCellMar>
        <w:tblLook w:val="0000" w:firstRow="0" w:lastRow="0" w:firstColumn="0" w:lastColumn="0" w:noHBand="0" w:noVBand="0"/>
      </w:tblPr>
      <w:tblGrid>
        <w:gridCol w:w="1303"/>
        <w:gridCol w:w="5670"/>
        <w:gridCol w:w="1433"/>
      </w:tblGrid>
      <w:tr w:rsidR="00142353" w:rsidRPr="00D96B14" w:rsidTr="004843DB">
        <w:trPr>
          <w:cantSplit/>
          <w:trHeight w:val="387"/>
          <w:tblHeader/>
        </w:trPr>
        <w:tc>
          <w:tcPr>
            <w:tcW w:w="1303" w:type="dxa"/>
            <w:vAlign w:val="center"/>
          </w:tcPr>
          <w:p w:rsidR="00142353" w:rsidRPr="00D96B14" w:rsidRDefault="00142353" w:rsidP="004843DB">
            <w:pPr>
              <w:pStyle w:val="Heading5"/>
            </w:pPr>
            <w:r w:rsidRPr="00D96B14">
              <w:t>Legislation</w:t>
            </w:r>
          </w:p>
        </w:tc>
        <w:tc>
          <w:tcPr>
            <w:tcW w:w="5670" w:type="dxa"/>
            <w:vAlign w:val="center"/>
          </w:tcPr>
          <w:p w:rsidR="00142353" w:rsidRPr="00D96B14" w:rsidRDefault="00142353" w:rsidP="004843DB">
            <w:pPr>
              <w:pStyle w:val="Heading5"/>
            </w:pPr>
            <w:r w:rsidRPr="00D96B14">
              <w:t>Requirement</w:t>
            </w:r>
          </w:p>
        </w:tc>
        <w:tc>
          <w:tcPr>
            <w:tcW w:w="1433" w:type="dxa"/>
            <w:vAlign w:val="center"/>
          </w:tcPr>
          <w:p w:rsidR="00142353" w:rsidRPr="00D96B14" w:rsidRDefault="00142353" w:rsidP="004843DB">
            <w:pPr>
              <w:pStyle w:val="Heading5"/>
            </w:pPr>
            <w:r w:rsidRPr="00D96B14">
              <w:t>Page reference</w:t>
            </w:r>
          </w:p>
        </w:tc>
      </w:tr>
      <w:tr w:rsidR="00142353" w:rsidRPr="00D96B14" w:rsidTr="004843DB">
        <w:trPr>
          <w:cantSplit/>
          <w:trHeight w:val="360"/>
          <w:tblHeader/>
        </w:trPr>
        <w:tc>
          <w:tcPr>
            <w:tcW w:w="8406" w:type="dxa"/>
            <w:gridSpan w:val="3"/>
            <w:shd w:val="clear" w:color="auto" w:fill="B3B3B3"/>
            <w:vAlign w:val="center"/>
          </w:tcPr>
          <w:p w:rsidR="00142353" w:rsidRPr="00D96B14" w:rsidRDefault="00142353" w:rsidP="004843DB">
            <w:pPr>
              <w:pStyle w:val="Heading2pt2"/>
              <w:spacing w:before="100"/>
              <w:rPr>
                <w:sz w:val="26"/>
              </w:rPr>
            </w:pPr>
            <w:bookmarkStart w:id="121" w:name="_Toc133137617"/>
            <w:bookmarkStart w:id="122" w:name="_Toc133203935"/>
            <w:r w:rsidRPr="00D96B14">
              <w:rPr>
                <w:sz w:val="26"/>
              </w:rPr>
              <w:t>Ministerial Directions</w:t>
            </w:r>
            <w:bookmarkEnd w:id="121"/>
            <w:bookmarkEnd w:id="122"/>
          </w:p>
        </w:tc>
      </w:tr>
      <w:tr w:rsidR="00142353" w:rsidRPr="00D96B14" w:rsidTr="004843DB">
        <w:trPr>
          <w:cantSplit/>
          <w:trHeight w:val="324"/>
        </w:trPr>
        <w:tc>
          <w:tcPr>
            <w:tcW w:w="8406" w:type="dxa"/>
            <w:gridSpan w:val="3"/>
            <w:shd w:val="clear" w:color="auto" w:fill="CCCCCC"/>
            <w:vAlign w:val="center"/>
          </w:tcPr>
          <w:p w:rsidR="00142353" w:rsidRPr="00D96B14" w:rsidRDefault="00142353" w:rsidP="004843DB">
            <w:pPr>
              <w:pStyle w:val="Heading4"/>
              <w:spacing w:before="0"/>
              <w:rPr>
                <w:snapToGrid w:val="0"/>
                <w:sz w:val="22"/>
              </w:rPr>
            </w:pPr>
            <w:r w:rsidRPr="00D96B14">
              <w:rPr>
                <w:snapToGrid w:val="0"/>
                <w:sz w:val="22"/>
              </w:rPr>
              <w:t>Report of operations – FRD guidance</w:t>
            </w:r>
          </w:p>
        </w:tc>
      </w:tr>
      <w:tr w:rsidR="00142353" w:rsidRPr="00D96B14" w:rsidTr="004843DB">
        <w:trPr>
          <w:cantSplit/>
          <w:trHeight w:hRule="exact" w:val="360"/>
        </w:trPr>
        <w:tc>
          <w:tcPr>
            <w:tcW w:w="8406" w:type="dxa"/>
            <w:gridSpan w:val="3"/>
          </w:tcPr>
          <w:p w:rsidR="00142353" w:rsidRPr="00D96B14" w:rsidRDefault="00142353" w:rsidP="004843DB">
            <w:pPr>
              <w:pStyle w:val="Heading5"/>
              <w:rPr>
                <w:snapToGrid w:val="0"/>
              </w:rPr>
            </w:pPr>
            <w:r w:rsidRPr="00D96B14">
              <w:rPr>
                <w:snapToGrid w:val="0"/>
              </w:rPr>
              <w:t xml:space="preserve">Charter </w:t>
            </w:r>
            <w:r w:rsidRPr="00D96B14">
              <w:t>and</w:t>
            </w:r>
            <w:r w:rsidRPr="00D96B14">
              <w:rPr>
                <w:snapToGrid w:val="0"/>
              </w:rPr>
              <w:t xml:space="preserve"> purpose</w:t>
            </w:r>
          </w:p>
        </w:tc>
      </w:tr>
      <w:tr w:rsidR="00142353" w:rsidRPr="00D96B14" w:rsidTr="004843DB">
        <w:trPr>
          <w:cantSplit/>
        </w:trPr>
        <w:tc>
          <w:tcPr>
            <w:tcW w:w="1303" w:type="dxa"/>
          </w:tcPr>
          <w:p w:rsidR="00142353" w:rsidRPr="00D96B14" w:rsidRDefault="00142353" w:rsidP="004843DB">
            <w:pPr>
              <w:pStyle w:val="Tabletext"/>
            </w:pPr>
            <w:r w:rsidRPr="00D96B14">
              <w:t>FRD 22G</w:t>
            </w:r>
          </w:p>
        </w:tc>
        <w:tc>
          <w:tcPr>
            <w:tcW w:w="5670" w:type="dxa"/>
          </w:tcPr>
          <w:p w:rsidR="00142353" w:rsidRPr="00D96B14" w:rsidRDefault="00142353" w:rsidP="004843DB">
            <w:pPr>
              <w:pStyle w:val="Tabletext"/>
            </w:pPr>
            <w:r w:rsidRPr="00D96B14">
              <w:t>Manner of establishment and the relevant Ministers</w:t>
            </w:r>
          </w:p>
        </w:tc>
        <w:tc>
          <w:tcPr>
            <w:tcW w:w="1433" w:type="dxa"/>
          </w:tcPr>
          <w:p w:rsidR="00142353" w:rsidRPr="00D96B14" w:rsidRDefault="00142353" w:rsidP="004843DB">
            <w:pPr>
              <w:pStyle w:val="TableofFigures"/>
              <w:spacing w:before="40" w:after="40"/>
              <w:jc w:val="center"/>
            </w:pPr>
            <w:r w:rsidRPr="00D96B14">
              <w:t>Page 12</w:t>
            </w:r>
          </w:p>
        </w:tc>
      </w:tr>
      <w:tr w:rsidR="00142353" w:rsidRPr="00D96B14" w:rsidTr="004843DB">
        <w:trPr>
          <w:cantSplit/>
          <w:trHeight w:val="20"/>
        </w:trPr>
        <w:tc>
          <w:tcPr>
            <w:tcW w:w="1303" w:type="dxa"/>
          </w:tcPr>
          <w:p w:rsidR="00142353" w:rsidRPr="00D96B14" w:rsidRDefault="00142353" w:rsidP="004843DB">
            <w:pPr>
              <w:pStyle w:val="Tabletext"/>
            </w:pPr>
            <w:r w:rsidRPr="00D96B14">
              <w:t>FRD 22G</w:t>
            </w:r>
          </w:p>
        </w:tc>
        <w:tc>
          <w:tcPr>
            <w:tcW w:w="5670" w:type="dxa"/>
          </w:tcPr>
          <w:p w:rsidR="00142353" w:rsidRPr="00D96B14" w:rsidRDefault="00142353" w:rsidP="004843DB">
            <w:pPr>
              <w:pStyle w:val="Tabletext"/>
            </w:pPr>
            <w:r w:rsidRPr="00D96B14">
              <w:t xml:space="preserve">Purpose, functions, powers and duties </w:t>
            </w:r>
          </w:p>
        </w:tc>
        <w:tc>
          <w:tcPr>
            <w:tcW w:w="1433" w:type="dxa"/>
          </w:tcPr>
          <w:p w:rsidR="00142353" w:rsidRPr="00D96B14" w:rsidRDefault="00142353" w:rsidP="004843DB">
            <w:pPr>
              <w:pStyle w:val="TableofFigures"/>
              <w:spacing w:before="40" w:after="40"/>
              <w:jc w:val="center"/>
            </w:pPr>
            <w:r w:rsidRPr="00D96B14">
              <w:t>Page 13</w:t>
            </w:r>
          </w:p>
        </w:tc>
      </w:tr>
      <w:tr w:rsidR="00142353" w:rsidRPr="00D96B14" w:rsidTr="004843DB">
        <w:trPr>
          <w:cantSplit/>
          <w:trHeight w:val="20"/>
        </w:trPr>
        <w:tc>
          <w:tcPr>
            <w:tcW w:w="1303" w:type="dxa"/>
          </w:tcPr>
          <w:p w:rsidR="00142353" w:rsidRPr="00D96B14" w:rsidRDefault="00142353" w:rsidP="004843DB">
            <w:pPr>
              <w:pStyle w:val="Tabletext"/>
            </w:pPr>
            <w:r w:rsidRPr="00D96B14">
              <w:t xml:space="preserve">FRD 8D </w:t>
            </w:r>
          </w:p>
        </w:tc>
        <w:tc>
          <w:tcPr>
            <w:tcW w:w="5670" w:type="dxa"/>
          </w:tcPr>
          <w:p w:rsidR="00142353" w:rsidRPr="00D96B14" w:rsidRDefault="00142353" w:rsidP="004843DB">
            <w:pPr>
              <w:pStyle w:val="Tabletext"/>
            </w:pPr>
            <w:r w:rsidRPr="00D96B14">
              <w:t>Departmental objectives, indicators and outputs</w:t>
            </w:r>
          </w:p>
        </w:tc>
        <w:tc>
          <w:tcPr>
            <w:tcW w:w="1433" w:type="dxa"/>
          </w:tcPr>
          <w:p w:rsidR="00142353" w:rsidRPr="00D96B14" w:rsidRDefault="00142353" w:rsidP="004843DB">
            <w:pPr>
              <w:pStyle w:val="TableofFigures"/>
              <w:spacing w:before="40" w:after="40"/>
              <w:jc w:val="center"/>
            </w:pPr>
            <w:r w:rsidRPr="00D96B14">
              <w:t>Page 15</w:t>
            </w:r>
          </w:p>
        </w:tc>
      </w:tr>
      <w:tr w:rsidR="00142353" w:rsidRPr="00D96B14" w:rsidTr="004843DB">
        <w:trPr>
          <w:cantSplit/>
          <w:trHeight w:val="20"/>
        </w:trPr>
        <w:tc>
          <w:tcPr>
            <w:tcW w:w="1303" w:type="dxa"/>
          </w:tcPr>
          <w:p w:rsidR="00142353" w:rsidRPr="00D96B14" w:rsidRDefault="00142353" w:rsidP="004843DB">
            <w:pPr>
              <w:pStyle w:val="Tabletext"/>
            </w:pPr>
            <w:r w:rsidRPr="00D96B14">
              <w:t>FRD 22G</w:t>
            </w:r>
          </w:p>
        </w:tc>
        <w:tc>
          <w:tcPr>
            <w:tcW w:w="5670" w:type="dxa"/>
          </w:tcPr>
          <w:p w:rsidR="00142353" w:rsidRPr="00D96B14" w:rsidRDefault="00142353" w:rsidP="004843DB">
            <w:pPr>
              <w:pStyle w:val="Tabletext"/>
            </w:pPr>
            <w:r w:rsidRPr="00D96B14">
              <w:t>Key initiatives and projects</w:t>
            </w:r>
          </w:p>
        </w:tc>
        <w:tc>
          <w:tcPr>
            <w:tcW w:w="1433" w:type="dxa"/>
          </w:tcPr>
          <w:p w:rsidR="00142353" w:rsidRPr="00D96B14" w:rsidRDefault="00142353" w:rsidP="004843DB">
            <w:pPr>
              <w:pStyle w:val="TableofFigures"/>
              <w:spacing w:before="40" w:after="40"/>
              <w:jc w:val="center"/>
            </w:pPr>
            <w:r w:rsidRPr="00D96B14">
              <w:t>Page 18</w:t>
            </w:r>
          </w:p>
        </w:tc>
      </w:tr>
      <w:tr w:rsidR="00142353" w:rsidRPr="00D96B14" w:rsidTr="004843DB">
        <w:trPr>
          <w:cantSplit/>
          <w:trHeight w:val="20"/>
        </w:trPr>
        <w:tc>
          <w:tcPr>
            <w:tcW w:w="1303" w:type="dxa"/>
          </w:tcPr>
          <w:p w:rsidR="00142353" w:rsidRPr="00D96B14" w:rsidRDefault="00142353" w:rsidP="004843DB">
            <w:pPr>
              <w:pStyle w:val="Tabletext"/>
            </w:pPr>
            <w:r w:rsidRPr="00D96B14">
              <w:t>FRD 22G</w:t>
            </w:r>
          </w:p>
        </w:tc>
        <w:tc>
          <w:tcPr>
            <w:tcW w:w="5670" w:type="dxa"/>
          </w:tcPr>
          <w:p w:rsidR="00142353" w:rsidRPr="00D96B14" w:rsidRDefault="00142353" w:rsidP="004843DB">
            <w:pPr>
              <w:pStyle w:val="Tabletext"/>
            </w:pPr>
            <w:r w:rsidRPr="00D96B14">
              <w:t>Nature and range of services provided</w:t>
            </w:r>
          </w:p>
        </w:tc>
        <w:tc>
          <w:tcPr>
            <w:tcW w:w="1433" w:type="dxa"/>
          </w:tcPr>
          <w:p w:rsidR="00142353" w:rsidRPr="00D96B14" w:rsidRDefault="00142353" w:rsidP="004843DB">
            <w:pPr>
              <w:pStyle w:val="TableofFigures"/>
              <w:spacing w:before="40" w:after="40"/>
              <w:jc w:val="center"/>
            </w:pPr>
            <w:r w:rsidRPr="00D96B14">
              <w:t>Page 12</w:t>
            </w:r>
          </w:p>
        </w:tc>
      </w:tr>
      <w:tr w:rsidR="00142353" w:rsidRPr="00D96B14" w:rsidTr="004843DB">
        <w:trPr>
          <w:cantSplit/>
          <w:trHeight w:val="20"/>
        </w:trPr>
        <w:tc>
          <w:tcPr>
            <w:tcW w:w="8406" w:type="dxa"/>
            <w:gridSpan w:val="3"/>
          </w:tcPr>
          <w:p w:rsidR="00142353" w:rsidRPr="00D96B14" w:rsidRDefault="00142353" w:rsidP="004843DB">
            <w:pPr>
              <w:pStyle w:val="Heading5"/>
              <w:rPr>
                <w:snapToGrid w:val="0"/>
              </w:rPr>
            </w:pPr>
            <w:r w:rsidRPr="00D96B14">
              <w:rPr>
                <w:snapToGrid w:val="0"/>
              </w:rPr>
              <w:t>Management and structure</w:t>
            </w:r>
          </w:p>
        </w:tc>
      </w:tr>
      <w:tr w:rsidR="00142353" w:rsidRPr="00D96B14" w:rsidTr="004843DB">
        <w:trPr>
          <w:cantSplit/>
          <w:trHeight w:val="20"/>
        </w:trPr>
        <w:tc>
          <w:tcPr>
            <w:tcW w:w="1303" w:type="dxa"/>
          </w:tcPr>
          <w:p w:rsidR="00142353" w:rsidRPr="00D96B14" w:rsidRDefault="00142353" w:rsidP="004843DB">
            <w:pPr>
              <w:pStyle w:val="Tabletext"/>
            </w:pPr>
            <w:r w:rsidRPr="00D96B14">
              <w:t>FRD 22G</w:t>
            </w:r>
          </w:p>
        </w:tc>
        <w:tc>
          <w:tcPr>
            <w:tcW w:w="5670" w:type="dxa"/>
          </w:tcPr>
          <w:p w:rsidR="00142353" w:rsidRPr="00D96B14" w:rsidRDefault="00142353" w:rsidP="004843DB">
            <w:pPr>
              <w:pStyle w:val="Tabletext"/>
            </w:pPr>
            <w:r w:rsidRPr="00D96B14">
              <w:t xml:space="preserve">Organisational structure </w:t>
            </w:r>
          </w:p>
        </w:tc>
        <w:tc>
          <w:tcPr>
            <w:tcW w:w="1433" w:type="dxa"/>
          </w:tcPr>
          <w:p w:rsidR="00142353" w:rsidRPr="00D96B14" w:rsidRDefault="00142353" w:rsidP="004843DB">
            <w:pPr>
              <w:pStyle w:val="TableofFigures"/>
              <w:spacing w:before="40" w:after="40"/>
              <w:jc w:val="center"/>
            </w:pPr>
            <w:r w:rsidRPr="00D96B14">
              <w:t>Page 34</w:t>
            </w:r>
          </w:p>
        </w:tc>
      </w:tr>
      <w:tr w:rsidR="00142353" w:rsidRPr="00D96B14" w:rsidTr="004843DB">
        <w:trPr>
          <w:cantSplit/>
          <w:trHeight w:val="20"/>
        </w:trPr>
        <w:tc>
          <w:tcPr>
            <w:tcW w:w="8406" w:type="dxa"/>
            <w:gridSpan w:val="3"/>
          </w:tcPr>
          <w:p w:rsidR="00142353" w:rsidRPr="00D96B14" w:rsidRDefault="00142353" w:rsidP="004843DB">
            <w:pPr>
              <w:pStyle w:val="Heading5"/>
              <w:rPr>
                <w:snapToGrid w:val="0"/>
              </w:rPr>
            </w:pPr>
            <w:r w:rsidRPr="00D96B14">
              <w:rPr>
                <w:snapToGrid w:val="0"/>
              </w:rPr>
              <w:t>Financial and other information</w:t>
            </w:r>
          </w:p>
        </w:tc>
      </w:tr>
      <w:tr w:rsidR="00142353" w:rsidRPr="00D96B14" w:rsidTr="004843DB">
        <w:trPr>
          <w:cantSplit/>
          <w:trHeight w:val="20"/>
        </w:trPr>
        <w:tc>
          <w:tcPr>
            <w:tcW w:w="1303" w:type="dxa"/>
          </w:tcPr>
          <w:p w:rsidR="00142353" w:rsidRPr="00D96B14" w:rsidRDefault="00142353" w:rsidP="004843DB">
            <w:pPr>
              <w:pStyle w:val="Tabletext"/>
            </w:pPr>
            <w:r w:rsidRPr="00D96B14">
              <w:t>FRD 8D</w:t>
            </w:r>
          </w:p>
        </w:tc>
        <w:tc>
          <w:tcPr>
            <w:tcW w:w="5670" w:type="dxa"/>
          </w:tcPr>
          <w:p w:rsidR="00142353" w:rsidRPr="00D96B14" w:rsidRDefault="00142353" w:rsidP="004843DB">
            <w:pPr>
              <w:pStyle w:val="Tabletext"/>
            </w:pPr>
            <w:r w:rsidRPr="00D96B14">
              <w:t xml:space="preserve">Performance against output performance measures </w:t>
            </w:r>
          </w:p>
        </w:tc>
        <w:tc>
          <w:tcPr>
            <w:tcW w:w="1433" w:type="dxa"/>
          </w:tcPr>
          <w:p w:rsidR="00142353" w:rsidRPr="00D96B14" w:rsidRDefault="00142353" w:rsidP="004843DB">
            <w:pPr>
              <w:pStyle w:val="Tabletext"/>
              <w:jc w:val="center"/>
            </w:pPr>
            <w:r w:rsidRPr="00D96B14">
              <w:t>Page 18</w:t>
            </w:r>
          </w:p>
        </w:tc>
      </w:tr>
      <w:tr w:rsidR="00142353" w:rsidRPr="00D96B14" w:rsidTr="004843DB">
        <w:trPr>
          <w:cantSplit/>
          <w:trHeight w:val="20"/>
        </w:trPr>
        <w:tc>
          <w:tcPr>
            <w:tcW w:w="1303" w:type="dxa"/>
          </w:tcPr>
          <w:p w:rsidR="00142353" w:rsidRPr="00D96B14" w:rsidRDefault="00142353" w:rsidP="004843DB">
            <w:pPr>
              <w:pStyle w:val="Tabletext"/>
            </w:pPr>
            <w:r w:rsidRPr="00D96B14">
              <w:t xml:space="preserve">FRD 8D </w:t>
            </w:r>
          </w:p>
        </w:tc>
        <w:tc>
          <w:tcPr>
            <w:tcW w:w="5670" w:type="dxa"/>
          </w:tcPr>
          <w:p w:rsidR="00142353" w:rsidRPr="00D96B14" w:rsidRDefault="00142353" w:rsidP="004843DB">
            <w:pPr>
              <w:pStyle w:val="Tabletext"/>
            </w:pPr>
            <w:r w:rsidRPr="00D96B14">
              <w:t>Budget portfolio outcomes</w:t>
            </w:r>
          </w:p>
        </w:tc>
        <w:tc>
          <w:tcPr>
            <w:tcW w:w="1433" w:type="dxa"/>
          </w:tcPr>
          <w:p w:rsidR="00142353" w:rsidRPr="00D96B14" w:rsidRDefault="00142353" w:rsidP="004843DB">
            <w:pPr>
              <w:pStyle w:val="Tabletext"/>
              <w:jc w:val="center"/>
            </w:pPr>
            <w:r w:rsidRPr="00D96B14">
              <w:t>Page 25</w:t>
            </w:r>
          </w:p>
        </w:tc>
      </w:tr>
      <w:tr w:rsidR="00142353" w:rsidRPr="00D96B14" w:rsidTr="004843DB">
        <w:trPr>
          <w:cantSplit/>
          <w:trHeight w:val="20"/>
        </w:trPr>
        <w:tc>
          <w:tcPr>
            <w:tcW w:w="1303" w:type="dxa"/>
          </w:tcPr>
          <w:p w:rsidR="00142353" w:rsidRPr="00D96B14" w:rsidRDefault="00142353" w:rsidP="004843DB">
            <w:pPr>
              <w:pStyle w:val="Tabletext"/>
            </w:pPr>
            <w:r w:rsidRPr="00D96B14">
              <w:t xml:space="preserve">FRD 10A </w:t>
            </w:r>
          </w:p>
        </w:tc>
        <w:tc>
          <w:tcPr>
            <w:tcW w:w="5670" w:type="dxa"/>
          </w:tcPr>
          <w:p w:rsidR="00142353" w:rsidRPr="00D96B14" w:rsidRDefault="00142353" w:rsidP="004843DB">
            <w:pPr>
              <w:pStyle w:val="Tabletext"/>
            </w:pPr>
            <w:r w:rsidRPr="00D96B14">
              <w:t>Disclosure index</w:t>
            </w:r>
          </w:p>
        </w:tc>
        <w:tc>
          <w:tcPr>
            <w:tcW w:w="1433" w:type="dxa"/>
          </w:tcPr>
          <w:p w:rsidR="00142353" w:rsidRPr="00D96B14" w:rsidRDefault="00142353" w:rsidP="004843DB">
            <w:pPr>
              <w:pStyle w:val="TableofFigures"/>
              <w:spacing w:before="40" w:after="40"/>
              <w:jc w:val="center"/>
            </w:pPr>
            <w:r w:rsidRPr="00D96B14">
              <w:t>Page 71</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12A</w:t>
            </w:r>
          </w:p>
        </w:tc>
        <w:tc>
          <w:tcPr>
            <w:tcW w:w="5670" w:type="dxa"/>
          </w:tcPr>
          <w:p w:rsidR="00142353" w:rsidRPr="00D96B14" w:rsidRDefault="00142353" w:rsidP="004843DB">
            <w:pPr>
              <w:pStyle w:val="Tabletext"/>
              <w:rPr>
                <w:snapToGrid w:val="0"/>
              </w:rPr>
            </w:pPr>
            <w:r w:rsidRPr="00D96B14">
              <w:rPr>
                <w:snapToGrid w:val="0"/>
              </w:rPr>
              <w:t>Disclosure of major contracts</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53</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 xml:space="preserve">FRD 15C </w:t>
            </w:r>
          </w:p>
        </w:tc>
        <w:tc>
          <w:tcPr>
            <w:tcW w:w="5670" w:type="dxa"/>
          </w:tcPr>
          <w:p w:rsidR="00142353" w:rsidRPr="00D96B14" w:rsidRDefault="00142353" w:rsidP="004843DB">
            <w:pPr>
              <w:pStyle w:val="Tabletext"/>
              <w:rPr>
                <w:snapToGrid w:val="0"/>
              </w:rPr>
            </w:pPr>
            <w:r w:rsidRPr="00D96B14">
              <w:rPr>
                <w:snapToGrid w:val="0"/>
              </w:rPr>
              <w:t>Executive officer disclosures</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44</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Employment and conduct principles</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40</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Occupational health and safety policy</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40</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 xml:space="preserve">Summary of the financial results for the year </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26</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 xml:space="preserve">Significant changes in financial position during the year </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28</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 xml:space="preserve">Major changes or factors affecting performance </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28</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Subsequent events</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33</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 xml:space="preserve">Application and operation of </w:t>
            </w:r>
            <w:r w:rsidRPr="00D96B14">
              <w:rPr>
                <w:i/>
                <w:snapToGrid w:val="0"/>
              </w:rPr>
              <w:t>Freedom of Information Act 1982</w:t>
            </w:r>
            <w:r w:rsidRPr="00D96B14">
              <w:rPr>
                <w:snapToGrid w:val="0"/>
              </w:rPr>
              <w:t xml:space="preserve"> </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54</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 xml:space="preserve">Compliance with building and maintenance provisions of </w:t>
            </w:r>
            <w:r w:rsidRPr="00D96B14">
              <w:rPr>
                <w:i/>
                <w:iCs/>
                <w:snapToGrid w:val="0"/>
              </w:rPr>
              <w:t>Building Act 1993</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55</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 xml:space="preserve">Statement on National Competition Policy </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55</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 xml:space="preserve">Application and operation of the </w:t>
            </w:r>
            <w:r w:rsidRPr="00D96B14">
              <w:rPr>
                <w:i/>
                <w:iCs/>
                <w:snapToGrid w:val="0"/>
              </w:rPr>
              <w:t>Protected Disclosure 2012</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56</w:t>
            </w:r>
          </w:p>
        </w:tc>
      </w:tr>
      <w:tr w:rsidR="00142353" w:rsidRPr="00D96B14" w:rsidTr="004843DB">
        <w:trPr>
          <w:cantSplit/>
          <w:trHeight w:val="20"/>
        </w:trPr>
        <w:tc>
          <w:tcPr>
            <w:tcW w:w="1303" w:type="dxa"/>
          </w:tcPr>
          <w:p w:rsidR="00142353" w:rsidRPr="00D96B14" w:rsidDel="006648CC"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 xml:space="preserve">Application and operation of the </w:t>
            </w:r>
            <w:r w:rsidRPr="00D96B14">
              <w:rPr>
                <w:i/>
                <w:iCs/>
                <w:snapToGrid w:val="0"/>
              </w:rPr>
              <w:t>Carers Recognition Act 2012</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58</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 xml:space="preserve">Details of consultancies over $10 000 </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51</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 xml:space="preserve">Details of consultancies under $10 000 </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51</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Disclosure of government advertising expenditure</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50</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Disclosure of ICT expenditure</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52</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22G</w:t>
            </w:r>
          </w:p>
        </w:tc>
        <w:tc>
          <w:tcPr>
            <w:tcW w:w="5670" w:type="dxa"/>
          </w:tcPr>
          <w:p w:rsidR="00142353" w:rsidRPr="00D96B14" w:rsidRDefault="00142353" w:rsidP="004843DB">
            <w:pPr>
              <w:pStyle w:val="Tabletext"/>
              <w:rPr>
                <w:snapToGrid w:val="0"/>
              </w:rPr>
            </w:pPr>
            <w:r w:rsidRPr="00D96B14">
              <w:rPr>
                <w:snapToGrid w:val="0"/>
              </w:rPr>
              <w:t xml:space="preserve">Statement of availability of other information </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68</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24C</w:t>
            </w:r>
          </w:p>
        </w:tc>
        <w:tc>
          <w:tcPr>
            <w:tcW w:w="5670" w:type="dxa"/>
          </w:tcPr>
          <w:p w:rsidR="00142353" w:rsidRPr="00D96B14" w:rsidRDefault="00142353" w:rsidP="004843DB">
            <w:pPr>
              <w:pStyle w:val="Tabletext"/>
              <w:rPr>
                <w:snapToGrid w:val="0"/>
              </w:rPr>
            </w:pPr>
            <w:r w:rsidRPr="00D96B14">
              <w:rPr>
                <w:snapToGrid w:val="0"/>
              </w:rPr>
              <w:t>Reporting of office</w:t>
            </w:r>
            <w:r w:rsidR="005A4BB0">
              <w:rPr>
                <w:snapToGrid w:val="0"/>
              </w:rPr>
              <w:noBreakHyphen/>
            </w:r>
            <w:r w:rsidRPr="00D96B14">
              <w:rPr>
                <w:snapToGrid w:val="0"/>
              </w:rPr>
              <w:t>based environmental impacts</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59</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25B</w:t>
            </w:r>
          </w:p>
        </w:tc>
        <w:tc>
          <w:tcPr>
            <w:tcW w:w="5670" w:type="dxa"/>
          </w:tcPr>
          <w:p w:rsidR="00142353" w:rsidRPr="00D96B14" w:rsidRDefault="00142353" w:rsidP="004843DB">
            <w:pPr>
              <w:pStyle w:val="Tabletext"/>
              <w:rPr>
                <w:snapToGrid w:val="0"/>
              </w:rPr>
            </w:pPr>
            <w:r w:rsidRPr="00D96B14">
              <w:rPr>
                <w:snapToGrid w:val="0"/>
              </w:rPr>
              <w:t>Victorian Industry Participation Policy disclosures</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47</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FRD 29A</w:t>
            </w:r>
          </w:p>
        </w:tc>
        <w:tc>
          <w:tcPr>
            <w:tcW w:w="5670" w:type="dxa"/>
          </w:tcPr>
          <w:p w:rsidR="00142353" w:rsidRPr="00D96B14" w:rsidRDefault="00142353" w:rsidP="004843DB">
            <w:pPr>
              <w:pStyle w:val="Tabletext"/>
              <w:rPr>
                <w:snapToGrid w:val="0"/>
              </w:rPr>
            </w:pPr>
            <w:r w:rsidRPr="00D96B14">
              <w:rPr>
                <w:snapToGrid w:val="0"/>
              </w:rPr>
              <w:t>Workforce Data disclosures</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41</w:t>
            </w:r>
          </w:p>
        </w:tc>
      </w:tr>
      <w:tr w:rsidR="00142353" w:rsidRPr="00D96B14" w:rsidTr="004843DB">
        <w:trPr>
          <w:cantSplit/>
          <w:trHeight w:val="20"/>
        </w:trPr>
        <w:tc>
          <w:tcPr>
            <w:tcW w:w="1303" w:type="dxa"/>
          </w:tcPr>
          <w:p w:rsidR="00142353" w:rsidRPr="00D96B14" w:rsidRDefault="00142353" w:rsidP="004843DB">
            <w:pPr>
              <w:pStyle w:val="Tabletext"/>
              <w:rPr>
                <w:snapToGrid w:val="0"/>
              </w:rPr>
            </w:pPr>
            <w:r w:rsidRPr="00D96B14">
              <w:rPr>
                <w:snapToGrid w:val="0"/>
              </w:rPr>
              <w:t>SD 4.5.5</w:t>
            </w:r>
          </w:p>
        </w:tc>
        <w:tc>
          <w:tcPr>
            <w:tcW w:w="5670" w:type="dxa"/>
          </w:tcPr>
          <w:p w:rsidR="00142353" w:rsidRPr="00D96B14" w:rsidRDefault="00142353" w:rsidP="004843DB">
            <w:pPr>
              <w:pStyle w:val="Tabletext"/>
              <w:rPr>
                <w:snapToGrid w:val="0"/>
              </w:rPr>
            </w:pPr>
            <w:r w:rsidRPr="00D96B14">
              <w:rPr>
                <w:snapToGrid w:val="0"/>
              </w:rPr>
              <w:t xml:space="preserve">Attestation for compliance with </w:t>
            </w:r>
            <w:r w:rsidRPr="00D96B14">
              <w:rPr>
                <w:i/>
                <w:snapToGrid w:val="0"/>
              </w:rPr>
              <w:t>Ministerial Standing Direction 4.5.5</w:t>
            </w:r>
          </w:p>
        </w:tc>
        <w:tc>
          <w:tcPr>
            <w:tcW w:w="1433" w:type="dxa"/>
          </w:tcPr>
          <w:p w:rsidR="00142353" w:rsidRPr="00D96B14" w:rsidRDefault="00142353" w:rsidP="004843DB">
            <w:pPr>
              <w:pStyle w:val="TableofFigures"/>
              <w:spacing w:before="40" w:after="40"/>
              <w:jc w:val="center"/>
              <w:rPr>
                <w:snapToGrid w:val="0"/>
              </w:rPr>
            </w:pPr>
            <w:r w:rsidRPr="00D96B14">
              <w:rPr>
                <w:snapToGrid w:val="0"/>
              </w:rPr>
              <w:t>Page 68</w:t>
            </w:r>
          </w:p>
        </w:tc>
      </w:tr>
    </w:tbl>
    <w:p w:rsidR="00142353" w:rsidRPr="00D96B14" w:rsidRDefault="00142353" w:rsidP="00142353">
      <w:pPr>
        <w:pStyle w:val="Notes"/>
      </w:pPr>
    </w:p>
    <w:p w:rsidR="00142353" w:rsidRPr="00D96B14" w:rsidRDefault="00142353" w:rsidP="00142353">
      <w:pPr>
        <w:spacing w:line="240" w:lineRule="atLeast"/>
        <w:rPr>
          <w:rStyle w:val="SourceReferenceChar"/>
        </w:rPr>
      </w:pPr>
      <w:r w:rsidRPr="00D96B14">
        <w:rPr>
          <w:rStyle w:val="SourceReferenceChar"/>
        </w:rPr>
        <w:br w:type="page"/>
      </w:r>
    </w:p>
    <w:p w:rsidR="00142353" w:rsidRPr="00D96B14" w:rsidRDefault="00142353" w:rsidP="00142353">
      <w:pPr>
        <w:pStyle w:val="Reference"/>
        <w:spacing w:before="200"/>
        <w:rPr>
          <w:rStyle w:val="SourceReferenceChar"/>
          <w:color w:val="auto"/>
        </w:rPr>
      </w:pPr>
      <w:r w:rsidRPr="00D96B14">
        <w:rPr>
          <w:rStyle w:val="SourceReferenceChar"/>
        </w:rPr>
        <w:lastRenderedPageBreak/>
        <w:br/>
        <w:t>FRD 10A</w:t>
      </w:r>
      <w:r w:rsidRPr="00D96B14">
        <w:rPr>
          <w:rStyle w:val="SourceReferenceChar"/>
          <w:color w:val="auto"/>
        </w:rPr>
        <w:t xml:space="preserve"> </w:t>
      </w:r>
    </w:p>
    <w:p w:rsidR="00142353" w:rsidRPr="00D96B14" w:rsidRDefault="00142353" w:rsidP="00142353">
      <w:pPr>
        <w:pStyle w:val="Reference"/>
        <w:rPr>
          <w:rStyle w:val="SourceReferenceChar"/>
          <w:color w:val="auto"/>
        </w:rPr>
      </w:pPr>
    </w:p>
    <w:p w:rsidR="00142353" w:rsidRPr="00D96B14" w:rsidRDefault="00142353" w:rsidP="00142353">
      <w:pPr>
        <w:pStyle w:val="Heading2"/>
      </w:pPr>
      <w:r w:rsidRPr="00D96B14">
        <w:br w:type="column"/>
      </w:r>
      <w:r w:rsidRPr="00D96B14">
        <w:lastRenderedPageBreak/>
        <w:t xml:space="preserve">Disclosure index </w:t>
      </w:r>
      <w:r w:rsidRPr="00D96B14">
        <w:rPr>
          <w:i/>
        </w:rPr>
        <w:t>(continued)</w:t>
      </w:r>
    </w:p>
    <w:p w:rsidR="00142353" w:rsidRPr="00D96B14" w:rsidRDefault="00142353" w:rsidP="00142353">
      <w:pPr>
        <w:pStyle w:val="SmallLine"/>
      </w:pPr>
    </w:p>
    <w:tbl>
      <w:tblPr>
        <w:tblW w:w="8406" w:type="dxa"/>
        <w:tblLayout w:type="fixed"/>
        <w:tblCellMar>
          <w:left w:w="43" w:type="dxa"/>
          <w:right w:w="43" w:type="dxa"/>
        </w:tblCellMar>
        <w:tblLook w:val="0000" w:firstRow="0" w:lastRow="0" w:firstColumn="0" w:lastColumn="0" w:noHBand="0" w:noVBand="0"/>
      </w:tblPr>
      <w:tblGrid>
        <w:gridCol w:w="1303"/>
        <w:gridCol w:w="5670"/>
        <w:gridCol w:w="1433"/>
      </w:tblGrid>
      <w:tr w:rsidR="00142353" w:rsidRPr="00D96B14" w:rsidTr="004843DB">
        <w:trPr>
          <w:cantSplit/>
          <w:trHeight w:val="389"/>
          <w:tblHeader/>
        </w:trPr>
        <w:tc>
          <w:tcPr>
            <w:tcW w:w="1303" w:type="dxa"/>
            <w:vAlign w:val="center"/>
          </w:tcPr>
          <w:p w:rsidR="00142353" w:rsidRPr="00D96B14" w:rsidRDefault="00142353" w:rsidP="004843DB">
            <w:pPr>
              <w:pStyle w:val="Heading5"/>
              <w:ind w:left="0" w:firstLine="0"/>
              <w:rPr>
                <w:snapToGrid w:val="0"/>
              </w:rPr>
            </w:pPr>
            <w:r w:rsidRPr="00D96B14">
              <w:t>Legislation</w:t>
            </w:r>
          </w:p>
        </w:tc>
        <w:tc>
          <w:tcPr>
            <w:tcW w:w="5670" w:type="dxa"/>
            <w:vAlign w:val="center"/>
          </w:tcPr>
          <w:p w:rsidR="00142353" w:rsidRPr="00D96B14" w:rsidRDefault="00142353" w:rsidP="004843DB">
            <w:pPr>
              <w:pStyle w:val="Heading5"/>
              <w:ind w:left="0" w:firstLine="0"/>
              <w:rPr>
                <w:snapToGrid w:val="0"/>
              </w:rPr>
            </w:pPr>
            <w:r w:rsidRPr="00D96B14">
              <w:t>Requirement</w:t>
            </w:r>
          </w:p>
        </w:tc>
        <w:tc>
          <w:tcPr>
            <w:tcW w:w="1433" w:type="dxa"/>
            <w:vAlign w:val="center"/>
          </w:tcPr>
          <w:p w:rsidR="00142353" w:rsidRPr="00D96B14" w:rsidRDefault="00142353" w:rsidP="004843DB">
            <w:pPr>
              <w:pStyle w:val="Heading5"/>
              <w:rPr>
                <w:snapToGrid w:val="0"/>
              </w:rPr>
            </w:pPr>
            <w:r w:rsidRPr="00D96B14">
              <w:rPr>
                <w:snapToGrid w:val="0"/>
              </w:rPr>
              <w:t xml:space="preserve">Page </w:t>
            </w:r>
            <w:r w:rsidRPr="00D96B14">
              <w:t>reference</w:t>
            </w:r>
          </w:p>
        </w:tc>
      </w:tr>
      <w:tr w:rsidR="00142353" w:rsidRPr="00D96B14" w:rsidTr="004843DB">
        <w:trPr>
          <w:cantSplit/>
          <w:trHeight w:val="378"/>
          <w:tblHeader/>
        </w:trPr>
        <w:tc>
          <w:tcPr>
            <w:tcW w:w="8406" w:type="dxa"/>
            <w:gridSpan w:val="3"/>
            <w:shd w:val="clear" w:color="auto" w:fill="B3B3B3"/>
            <w:vAlign w:val="center"/>
          </w:tcPr>
          <w:p w:rsidR="00142353" w:rsidRPr="00D96B14" w:rsidRDefault="00142353" w:rsidP="004843DB">
            <w:pPr>
              <w:pStyle w:val="Heading2pt2"/>
              <w:spacing w:before="100"/>
              <w:rPr>
                <w:sz w:val="26"/>
              </w:rPr>
            </w:pPr>
            <w:r w:rsidRPr="00D96B14">
              <w:rPr>
                <w:sz w:val="26"/>
              </w:rPr>
              <w:t xml:space="preserve">Ministerial Directions </w:t>
            </w:r>
            <w:r w:rsidRPr="00D96B14">
              <w:rPr>
                <w:i/>
                <w:iCs/>
                <w:sz w:val="26"/>
              </w:rPr>
              <w:t>(continued)</w:t>
            </w:r>
          </w:p>
        </w:tc>
      </w:tr>
      <w:tr w:rsidR="00142353" w:rsidRPr="00D96B14" w:rsidTr="004843DB">
        <w:trPr>
          <w:cantSplit/>
          <w:trHeight w:val="331"/>
        </w:trPr>
        <w:tc>
          <w:tcPr>
            <w:tcW w:w="8406" w:type="dxa"/>
            <w:gridSpan w:val="3"/>
            <w:shd w:val="clear" w:color="auto" w:fill="CCCCCC"/>
            <w:vAlign w:val="center"/>
          </w:tcPr>
          <w:p w:rsidR="00142353" w:rsidRPr="00D96B14" w:rsidRDefault="00142353" w:rsidP="004843DB">
            <w:pPr>
              <w:pStyle w:val="Heading4"/>
              <w:spacing w:before="0"/>
              <w:rPr>
                <w:snapToGrid w:val="0"/>
                <w:sz w:val="22"/>
              </w:rPr>
            </w:pPr>
            <w:r w:rsidRPr="00D96B14">
              <w:rPr>
                <w:snapToGrid w:val="0"/>
                <w:sz w:val="22"/>
              </w:rPr>
              <w:t xml:space="preserve">Financial Report </w:t>
            </w:r>
          </w:p>
        </w:tc>
      </w:tr>
      <w:tr w:rsidR="00142353" w:rsidRPr="00D96B14" w:rsidTr="004843DB">
        <w:trPr>
          <w:cantSplit/>
          <w:trHeight w:val="20"/>
        </w:trPr>
        <w:tc>
          <w:tcPr>
            <w:tcW w:w="1303" w:type="dxa"/>
          </w:tcPr>
          <w:p w:rsidR="00142353" w:rsidRPr="00D96B14" w:rsidRDefault="00142353" w:rsidP="004843DB">
            <w:pPr>
              <w:pStyle w:val="Tabletext"/>
              <w:spacing w:before="20"/>
              <w:rPr>
                <w:snapToGrid w:val="0"/>
              </w:rPr>
            </w:pPr>
            <w:r w:rsidRPr="00D96B14">
              <w:rPr>
                <w:snapToGrid w:val="0"/>
              </w:rPr>
              <w:t>SD 4.2(g)</w:t>
            </w:r>
          </w:p>
        </w:tc>
        <w:tc>
          <w:tcPr>
            <w:tcW w:w="5670" w:type="dxa"/>
          </w:tcPr>
          <w:p w:rsidR="00142353" w:rsidRPr="00D96B14" w:rsidRDefault="00142353" w:rsidP="004843DB">
            <w:pPr>
              <w:pStyle w:val="Tabletext"/>
              <w:spacing w:before="20"/>
              <w:rPr>
                <w:snapToGrid w:val="0"/>
              </w:rPr>
            </w:pPr>
            <w:r w:rsidRPr="00D96B14">
              <w:rPr>
                <w:snapToGrid w:val="0"/>
              </w:rPr>
              <w:t>Specific information requirements</w:t>
            </w:r>
          </w:p>
        </w:tc>
        <w:tc>
          <w:tcPr>
            <w:tcW w:w="1433" w:type="dxa"/>
          </w:tcPr>
          <w:p w:rsidR="00142353" w:rsidRPr="00D96B14" w:rsidRDefault="00142353" w:rsidP="004843DB">
            <w:pPr>
              <w:pStyle w:val="TableofFigures"/>
              <w:spacing w:before="20" w:after="40"/>
              <w:jc w:val="center"/>
              <w:rPr>
                <w:snapToGrid w:val="0"/>
              </w:rPr>
            </w:pPr>
            <w:r w:rsidRPr="00D96B14">
              <w:rPr>
                <w:snapToGrid w:val="0"/>
              </w:rPr>
              <w:t>Page 10</w:t>
            </w:r>
          </w:p>
        </w:tc>
      </w:tr>
      <w:tr w:rsidR="00142353" w:rsidRPr="00D96B14" w:rsidTr="004843DB">
        <w:trPr>
          <w:cantSplit/>
          <w:trHeight w:val="20"/>
        </w:trPr>
        <w:tc>
          <w:tcPr>
            <w:tcW w:w="1303" w:type="dxa"/>
          </w:tcPr>
          <w:p w:rsidR="00142353" w:rsidRPr="00D96B14" w:rsidRDefault="00142353" w:rsidP="004843DB">
            <w:pPr>
              <w:pStyle w:val="Tabletext"/>
              <w:spacing w:before="20"/>
              <w:rPr>
                <w:snapToGrid w:val="0"/>
              </w:rPr>
            </w:pPr>
            <w:r w:rsidRPr="00D96B14">
              <w:rPr>
                <w:snapToGrid w:val="0"/>
              </w:rPr>
              <w:t xml:space="preserve">SD 4.2(j) </w:t>
            </w:r>
          </w:p>
        </w:tc>
        <w:tc>
          <w:tcPr>
            <w:tcW w:w="5670" w:type="dxa"/>
          </w:tcPr>
          <w:p w:rsidR="00142353" w:rsidRPr="00D96B14" w:rsidRDefault="00142353" w:rsidP="004843DB">
            <w:pPr>
              <w:pStyle w:val="Tabletext"/>
              <w:spacing w:before="20"/>
              <w:rPr>
                <w:snapToGrid w:val="0"/>
              </w:rPr>
            </w:pPr>
            <w:r w:rsidRPr="00D96B14">
              <w:rPr>
                <w:snapToGrid w:val="0"/>
              </w:rPr>
              <w:t>Sign</w:t>
            </w:r>
            <w:r w:rsidR="005A4BB0">
              <w:rPr>
                <w:snapToGrid w:val="0"/>
              </w:rPr>
              <w:noBreakHyphen/>
            </w:r>
            <w:r w:rsidRPr="00D96B14">
              <w:rPr>
                <w:snapToGrid w:val="0"/>
              </w:rPr>
              <w:t>off requirements</w:t>
            </w:r>
          </w:p>
        </w:tc>
        <w:tc>
          <w:tcPr>
            <w:tcW w:w="1433" w:type="dxa"/>
          </w:tcPr>
          <w:p w:rsidR="00142353" w:rsidRPr="00D96B14" w:rsidRDefault="00142353" w:rsidP="004843DB">
            <w:pPr>
              <w:pStyle w:val="TableofFigures"/>
              <w:spacing w:before="20" w:after="40"/>
              <w:jc w:val="center"/>
              <w:rPr>
                <w:snapToGrid w:val="0"/>
              </w:rPr>
            </w:pPr>
            <w:r w:rsidRPr="00D96B14">
              <w:rPr>
                <w:snapToGrid w:val="0"/>
              </w:rPr>
              <w:t>Page 11</w:t>
            </w:r>
          </w:p>
        </w:tc>
      </w:tr>
      <w:tr w:rsidR="00142353" w:rsidRPr="00D96B14" w:rsidTr="004843DB">
        <w:trPr>
          <w:cantSplit/>
          <w:trHeight w:val="20"/>
        </w:trPr>
        <w:tc>
          <w:tcPr>
            <w:tcW w:w="8406" w:type="dxa"/>
            <w:gridSpan w:val="3"/>
          </w:tcPr>
          <w:p w:rsidR="00142353" w:rsidRPr="00D96B14" w:rsidRDefault="00142353" w:rsidP="004843DB">
            <w:pPr>
              <w:pStyle w:val="Heading5"/>
              <w:rPr>
                <w:snapToGrid w:val="0"/>
              </w:rPr>
            </w:pPr>
            <w:r w:rsidRPr="00D96B14">
              <w:rPr>
                <w:snapToGrid w:val="0"/>
              </w:rPr>
              <w:t xml:space="preserve">Financial </w:t>
            </w:r>
            <w:r w:rsidRPr="00D96B14">
              <w:t>statements</w:t>
            </w:r>
            <w:r w:rsidRPr="00D96B14">
              <w:rPr>
                <w:snapToGrid w:val="0"/>
              </w:rPr>
              <w:t xml:space="preserve"> required under Part 7 of the FMA</w:t>
            </w:r>
          </w:p>
        </w:tc>
      </w:tr>
      <w:tr w:rsidR="00142353" w:rsidRPr="00D96B14" w:rsidTr="004843DB">
        <w:trPr>
          <w:cantSplit/>
          <w:trHeight w:val="20"/>
        </w:trPr>
        <w:tc>
          <w:tcPr>
            <w:tcW w:w="1303" w:type="dxa"/>
          </w:tcPr>
          <w:p w:rsidR="00142353" w:rsidRPr="00D96B14" w:rsidRDefault="00142353" w:rsidP="004843DB">
            <w:pPr>
              <w:pStyle w:val="Tabletext"/>
              <w:spacing w:before="26" w:after="26"/>
              <w:rPr>
                <w:snapToGrid w:val="0"/>
              </w:rPr>
            </w:pPr>
            <w:r w:rsidRPr="00D96B14">
              <w:rPr>
                <w:snapToGrid w:val="0"/>
              </w:rPr>
              <w:t>SD 4.2(a)</w:t>
            </w:r>
          </w:p>
        </w:tc>
        <w:tc>
          <w:tcPr>
            <w:tcW w:w="5670" w:type="dxa"/>
          </w:tcPr>
          <w:p w:rsidR="00142353" w:rsidRPr="00D96B14" w:rsidRDefault="00142353" w:rsidP="004843DB">
            <w:pPr>
              <w:pStyle w:val="Tabletext"/>
              <w:spacing w:before="26" w:after="26"/>
              <w:rPr>
                <w:snapToGrid w:val="0"/>
              </w:rPr>
            </w:pPr>
            <w:r w:rsidRPr="00D96B14">
              <w:rPr>
                <w:snapToGrid w:val="0"/>
              </w:rPr>
              <w:t>Statement of changes in equity</w:t>
            </w:r>
          </w:p>
        </w:tc>
        <w:tc>
          <w:tcPr>
            <w:tcW w:w="1433" w:type="dxa"/>
          </w:tcPr>
          <w:p w:rsidR="00142353" w:rsidRPr="00D96B14" w:rsidRDefault="00142353" w:rsidP="004843DB">
            <w:pPr>
              <w:pStyle w:val="TableofFigures"/>
              <w:spacing w:before="26" w:after="26"/>
              <w:jc w:val="center"/>
              <w:rPr>
                <w:snapToGrid w:val="0"/>
              </w:rPr>
            </w:pPr>
            <w:r w:rsidRPr="00D96B14">
              <w:rPr>
                <w:snapToGrid w:val="0"/>
              </w:rPr>
              <w:t>Page 94</w:t>
            </w:r>
          </w:p>
        </w:tc>
      </w:tr>
      <w:tr w:rsidR="00142353" w:rsidRPr="00D96B14" w:rsidTr="004843DB">
        <w:trPr>
          <w:cantSplit/>
          <w:trHeight w:val="20"/>
        </w:trPr>
        <w:tc>
          <w:tcPr>
            <w:tcW w:w="1303" w:type="dxa"/>
          </w:tcPr>
          <w:p w:rsidR="00142353" w:rsidRPr="00D96B14" w:rsidRDefault="00142353" w:rsidP="004843DB">
            <w:pPr>
              <w:pStyle w:val="Tabletext"/>
              <w:spacing w:before="26" w:after="26"/>
              <w:rPr>
                <w:snapToGrid w:val="0"/>
              </w:rPr>
            </w:pPr>
            <w:r w:rsidRPr="00D96B14">
              <w:rPr>
                <w:snapToGrid w:val="0"/>
              </w:rPr>
              <w:t>SD 4.2(b)</w:t>
            </w:r>
          </w:p>
        </w:tc>
        <w:tc>
          <w:tcPr>
            <w:tcW w:w="5670" w:type="dxa"/>
          </w:tcPr>
          <w:p w:rsidR="00142353" w:rsidRPr="00D96B14" w:rsidRDefault="00142353" w:rsidP="004843DB">
            <w:pPr>
              <w:pStyle w:val="Tabletext"/>
              <w:spacing w:before="26" w:after="26"/>
              <w:rPr>
                <w:snapToGrid w:val="0"/>
              </w:rPr>
            </w:pPr>
            <w:r w:rsidRPr="00D96B14">
              <w:rPr>
                <w:snapToGrid w:val="0"/>
              </w:rPr>
              <w:t xml:space="preserve">Operating statement </w:t>
            </w:r>
          </w:p>
        </w:tc>
        <w:tc>
          <w:tcPr>
            <w:tcW w:w="1433" w:type="dxa"/>
          </w:tcPr>
          <w:p w:rsidR="00142353" w:rsidRPr="00D96B14" w:rsidRDefault="00142353" w:rsidP="004843DB">
            <w:pPr>
              <w:pStyle w:val="TableofFigures"/>
              <w:spacing w:before="26" w:after="26"/>
              <w:jc w:val="center"/>
              <w:rPr>
                <w:snapToGrid w:val="0"/>
              </w:rPr>
            </w:pPr>
            <w:r w:rsidRPr="00D96B14">
              <w:rPr>
                <w:snapToGrid w:val="0"/>
              </w:rPr>
              <w:t>Page 86</w:t>
            </w:r>
          </w:p>
        </w:tc>
      </w:tr>
      <w:tr w:rsidR="00142353" w:rsidRPr="00D96B14" w:rsidTr="004843DB">
        <w:trPr>
          <w:cantSplit/>
          <w:trHeight w:val="20"/>
        </w:trPr>
        <w:tc>
          <w:tcPr>
            <w:tcW w:w="1303" w:type="dxa"/>
          </w:tcPr>
          <w:p w:rsidR="00142353" w:rsidRPr="00D96B14" w:rsidRDefault="00142353" w:rsidP="004843DB">
            <w:pPr>
              <w:pStyle w:val="Tabletext"/>
              <w:spacing w:before="26" w:after="26"/>
              <w:rPr>
                <w:snapToGrid w:val="0"/>
              </w:rPr>
            </w:pPr>
            <w:r w:rsidRPr="00D96B14">
              <w:rPr>
                <w:snapToGrid w:val="0"/>
              </w:rPr>
              <w:t>SD 4.2(b)</w:t>
            </w:r>
          </w:p>
        </w:tc>
        <w:tc>
          <w:tcPr>
            <w:tcW w:w="5670" w:type="dxa"/>
          </w:tcPr>
          <w:p w:rsidR="00142353" w:rsidRPr="00D96B14" w:rsidRDefault="00142353" w:rsidP="004843DB">
            <w:pPr>
              <w:pStyle w:val="Tabletext"/>
              <w:spacing w:before="26" w:after="26"/>
              <w:rPr>
                <w:snapToGrid w:val="0"/>
              </w:rPr>
            </w:pPr>
            <w:r w:rsidRPr="00D96B14">
              <w:rPr>
                <w:snapToGrid w:val="0"/>
              </w:rPr>
              <w:t>Balance sheet</w:t>
            </w:r>
          </w:p>
        </w:tc>
        <w:tc>
          <w:tcPr>
            <w:tcW w:w="1433" w:type="dxa"/>
          </w:tcPr>
          <w:p w:rsidR="00142353" w:rsidRPr="00D96B14" w:rsidRDefault="00142353" w:rsidP="004843DB">
            <w:pPr>
              <w:pStyle w:val="TableofFigures"/>
              <w:spacing w:before="26" w:after="26"/>
              <w:jc w:val="center"/>
              <w:rPr>
                <w:snapToGrid w:val="0"/>
              </w:rPr>
            </w:pPr>
            <w:r w:rsidRPr="00D96B14">
              <w:rPr>
                <w:snapToGrid w:val="0"/>
              </w:rPr>
              <w:t>Page 90</w:t>
            </w:r>
          </w:p>
        </w:tc>
      </w:tr>
      <w:tr w:rsidR="00142353" w:rsidRPr="00D96B14" w:rsidTr="004843DB">
        <w:trPr>
          <w:cantSplit/>
          <w:trHeight w:val="20"/>
        </w:trPr>
        <w:tc>
          <w:tcPr>
            <w:tcW w:w="1303" w:type="dxa"/>
          </w:tcPr>
          <w:p w:rsidR="00142353" w:rsidRPr="00D96B14" w:rsidRDefault="00142353" w:rsidP="004843DB">
            <w:pPr>
              <w:pStyle w:val="Tabletext"/>
              <w:spacing w:before="26" w:after="26"/>
              <w:rPr>
                <w:snapToGrid w:val="0"/>
              </w:rPr>
            </w:pPr>
            <w:r w:rsidRPr="00D96B14">
              <w:rPr>
                <w:snapToGrid w:val="0"/>
              </w:rPr>
              <w:t>SD 4.2(b)</w:t>
            </w:r>
          </w:p>
        </w:tc>
        <w:tc>
          <w:tcPr>
            <w:tcW w:w="5670" w:type="dxa"/>
          </w:tcPr>
          <w:p w:rsidR="00142353" w:rsidRPr="00D96B14" w:rsidRDefault="00142353" w:rsidP="004843DB">
            <w:pPr>
              <w:pStyle w:val="Tabletext"/>
              <w:spacing w:before="26" w:after="26"/>
              <w:rPr>
                <w:snapToGrid w:val="0"/>
              </w:rPr>
            </w:pPr>
            <w:r w:rsidRPr="00D96B14">
              <w:rPr>
                <w:snapToGrid w:val="0"/>
              </w:rPr>
              <w:t>Cash flow statement</w:t>
            </w:r>
          </w:p>
        </w:tc>
        <w:tc>
          <w:tcPr>
            <w:tcW w:w="1433" w:type="dxa"/>
          </w:tcPr>
          <w:p w:rsidR="00142353" w:rsidRPr="00D96B14" w:rsidRDefault="00142353" w:rsidP="004843DB">
            <w:pPr>
              <w:pStyle w:val="TableofFigures"/>
              <w:spacing w:before="26" w:after="26"/>
              <w:jc w:val="center"/>
              <w:rPr>
                <w:snapToGrid w:val="0"/>
              </w:rPr>
            </w:pPr>
            <w:r w:rsidRPr="00D96B14">
              <w:rPr>
                <w:snapToGrid w:val="0"/>
              </w:rPr>
              <w:t>Page 97</w:t>
            </w:r>
          </w:p>
        </w:tc>
      </w:tr>
      <w:tr w:rsidR="00142353" w:rsidRPr="00D96B14" w:rsidTr="004843DB">
        <w:trPr>
          <w:cantSplit/>
          <w:trHeight w:val="20"/>
        </w:trPr>
        <w:tc>
          <w:tcPr>
            <w:tcW w:w="8406" w:type="dxa"/>
            <w:gridSpan w:val="3"/>
          </w:tcPr>
          <w:p w:rsidR="00142353" w:rsidRPr="00D96B14" w:rsidRDefault="00142353" w:rsidP="004843DB">
            <w:pPr>
              <w:pStyle w:val="Heading5"/>
              <w:rPr>
                <w:snapToGrid w:val="0"/>
              </w:rPr>
            </w:pPr>
            <w:r w:rsidRPr="00D96B14">
              <w:rPr>
                <w:snapToGrid w:val="0"/>
              </w:rPr>
              <w:t>Other requirements under Standing Directions 4.2</w:t>
            </w:r>
          </w:p>
        </w:tc>
      </w:tr>
      <w:tr w:rsidR="00142353" w:rsidRPr="00D96B14" w:rsidTr="004843DB">
        <w:trPr>
          <w:cantSplit/>
          <w:trHeight w:val="20"/>
        </w:trPr>
        <w:tc>
          <w:tcPr>
            <w:tcW w:w="1303" w:type="dxa"/>
          </w:tcPr>
          <w:p w:rsidR="00142353" w:rsidRPr="00D96B14" w:rsidRDefault="00142353" w:rsidP="004843DB">
            <w:pPr>
              <w:pStyle w:val="Tabletext"/>
              <w:spacing w:before="26" w:after="26"/>
              <w:rPr>
                <w:snapToGrid w:val="0"/>
              </w:rPr>
            </w:pPr>
            <w:r w:rsidRPr="00D96B14">
              <w:rPr>
                <w:snapToGrid w:val="0"/>
              </w:rPr>
              <w:t>SD 4.2(c)</w:t>
            </w:r>
          </w:p>
        </w:tc>
        <w:tc>
          <w:tcPr>
            <w:tcW w:w="5670" w:type="dxa"/>
          </w:tcPr>
          <w:p w:rsidR="00142353" w:rsidRPr="00D96B14" w:rsidRDefault="00142353" w:rsidP="004843DB">
            <w:pPr>
              <w:pStyle w:val="Tabletext"/>
              <w:spacing w:before="26" w:after="26"/>
              <w:rPr>
                <w:snapToGrid w:val="0"/>
              </w:rPr>
            </w:pPr>
            <w:r w:rsidRPr="00D96B14">
              <w:rPr>
                <w:snapToGrid w:val="0"/>
              </w:rPr>
              <w:t>Compliance with Australian accounting standards and other authoritative pronouncements</w:t>
            </w:r>
          </w:p>
        </w:tc>
        <w:tc>
          <w:tcPr>
            <w:tcW w:w="1433" w:type="dxa"/>
          </w:tcPr>
          <w:p w:rsidR="00142353" w:rsidRPr="00D96B14" w:rsidRDefault="00142353" w:rsidP="004843DB">
            <w:pPr>
              <w:pStyle w:val="TableofFigures"/>
              <w:spacing w:before="26" w:after="26"/>
              <w:jc w:val="center"/>
              <w:rPr>
                <w:snapToGrid w:val="0"/>
              </w:rPr>
            </w:pPr>
            <w:r w:rsidRPr="00D96B14">
              <w:rPr>
                <w:snapToGrid w:val="0"/>
              </w:rPr>
              <w:t>Page 103</w:t>
            </w:r>
          </w:p>
        </w:tc>
      </w:tr>
      <w:tr w:rsidR="00142353" w:rsidRPr="00D96B14" w:rsidTr="004843DB">
        <w:trPr>
          <w:cantSplit/>
          <w:trHeight w:val="20"/>
        </w:trPr>
        <w:tc>
          <w:tcPr>
            <w:tcW w:w="1303" w:type="dxa"/>
          </w:tcPr>
          <w:p w:rsidR="00142353" w:rsidRPr="00D96B14" w:rsidRDefault="00142353" w:rsidP="004843DB">
            <w:pPr>
              <w:pStyle w:val="Tabletext"/>
              <w:spacing w:before="26" w:after="26"/>
              <w:rPr>
                <w:snapToGrid w:val="0"/>
              </w:rPr>
            </w:pPr>
            <w:r w:rsidRPr="00D96B14">
              <w:rPr>
                <w:snapToGrid w:val="0"/>
              </w:rPr>
              <w:t>SD 4.2(c)</w:t>
            </w:r>
          </w:p>
        </w:tc>
        <w:tc>
          <w:tcPr>
            <w:tcW w:w="5670" w:type="dxa"/>
          </w:tcPr>
          <w:p w:rsidR="00142353" w:rsidRPr="00D96B14" w:rsidRDefault="00142353" w:rsidP="004843DB">
            <w:pPr>
              <w:pStyle w:val="Tabletext"/>
              <w:spacing w:before="26" w:after="26"/>
              <w:rPr>
                <w:snapToGrid w:val="0"/>
              </w:rPr>
            </w:pPr>
            <w:r w:rsidRPr="00D96B14">
              <w:rPr>
                <w:snapToGrid w:val="0"/>
              </w:rPr>
              <w:t>Compliance with Ministerial Directions</w:t>
            </w:r>
          </w:p>
        </w:tc>
        <w:tc>
          <w:tcPr>
            <w:tcW w:w="1433" w:type="dxa"/>
          </w:tcPr>
          <w:p w:rsidR="00142353" w:rsidRPr="00D96B14" w:rsidRDefault="00142353" w:rsidP="004843DB">
            <w:pPr>
              <w:pStyle w:val="TableofFigures"/>
              <w:spacing w:before="26" w:after="26"/>
              <w:jc w:val="center"/>
              <w:rPr>
                <w:snapToGrid w:val="0"/>
              </w:rPr>
            </w:pPr>
            <w:r w:rsidRPr="00D96B14">
              <w:rPr>
                <w:snapToGrid w:val="0"/>
              </w:rPr>
              <w:t>Page 83</w:t>
            </w:r>
          </w:p>
        </w:tc>
      </w:tr>
      <w:tr w:rsidR="00142353" w:rsidRPr="00D96B14" w:rsidTr="004843DB">
        <w:trPr>
          <w:cantSplit/>
          <w:trHeight w:val="20"/>
        </w:trPr>
        <w:tc>
          <w:tcPr>
            <w:tcW w:w="1303" w:type="dxa"/>
          </w:tcPr>
          <w:p w:rsidR="00142353" w:rsidRPr="00D96B14" w:rsidRDefault="00142353" w:rsidP="004843DB">
            <w:pPr>
              <w:pStyle w:val="Tabletext"/>
              <w:spacing w:before="26" w:after="26"/>
              <w:rPr>
                <w:snapToGrid w:val="0"/>
              </w:rPr>
            </w:pPr>
            <w:r w:rsidRPr="00D96B14">
              <w:rPr>
                <w:snapToGrid w:val="0"/>
              </w:rPr>
              <w:t>SD 4.2(d)</w:t>
            </w:r>
          </w:p>
        </w:tc>
        <w:tc>
          <w:tcPr>
            <w:tcW w:w="5670" w:type="dxa"/>
          </w:tcPr>
          <w:p w:rsidR="00142353" w:rsidRPr="00D96B14" w:rsidRDefault="00142353" w:rsidP="004843DB">
            <w:pPr>
              <w:pStyle w:val="Tabletext"/>
              <w:spacing w:before="26" w:after="26"/>
              <w:rPr>
                <w:snapToGrid w:val="0"/>
              </w:rPr>
            </w:pPr>
            <w:r w:rsidRPr="00D96B14">
              <w:rPr>
                <w:snapToGrid w:val="0"/>
              </w:rPr>
              <w:t>Rounding of amounts</w:t>
            </w:r>
          </w:p>
        </w:tc>
        <w:tc>
          <w:tcPr>
            <w:tcW w:w="1433" w:type="dxa"/>
          </w:tcPr>
          <w:p w:rsidR="00142353" w:rsidRPr="00D96B14" w:rsidRDefault="00142353" w:rsidP="004843DB">
            <w:pPr>
              <w:pStyle w:val="TableofFigures"/>
              <w:spacing w:before="26" w:after="26"/>
              <w:jc w:val="center"/>
              <w:rPr>
                <w:snapToGrid w:val="0"/>
              </w:rPr>
            </w:pPr>
            <w:r w:rsidRPr="00D96B14">
              <w:rPr>
                <w:snapToGrid w:val="0"/>
              </w:rPr>
              <w:t>Page 108</w:t>
            </w:r>
          </w:p>
        </w:tc>
      </w:tr>
      <w:tr w:rsidR="00142353" w:rsidRPr="00D96B14" w:rsidTr="004843DB">
        <w:trPr>
          <w:cantSplit/>
          <w:trHeight w:val="20"/>
        </w:trPr>
        <w:tc>
          <w:tcPr>
            <w:tcW w:w="1303" w:type="dxa"/>
          </w:tcPr>
          <w:p w:rsidR="00142353" w:rsidRPr="00D96B14" w:rsidRDefault="00142353" w:rsidP="004843DB">
            <w:pPr>
              <w:pStyle w:val="Tabletext"/>
              <w:spacing w:before="26" w:after="26"/>
              <w:rPr>
                <w:snapToGrid w:val="0"/>
              </w:rPr>
            </w:pPr>
            <w:r w:rsidRPr="00D96B14">
              <w:rPr>
                <w:snapToGrid w:val="0"/>
              </w:rPr>
              <w:t>SD 4.2(c)</w:t>
            </w:r>
          </w:p>
        </w:tc>
        <w:tc>
          <w:tcPr>
            <w:tcW w:w="5670" w:type="dxa"/>
          </w:tcPr>
          <w:p w:rsidR="00142353" w:rsidRPr="00D96B14" w:rsidRDefault="00142353" w:rsidP="004843DB">
            <w:pPr>
              <w:pStyle w:val="Tabletext"/>
              <w:spacing w:before="26" w:after="26"/>
              <w:rPr>
                <w:snapToGrid w:val="0"/>
              </w:rPr>
            </w:pPr>
            <w:r w:rsidRPr="00D96B14">
              <w:rPr>
                <w:snapToGrid w:val="0"/>
              </w:rPr>
              <w:t>Accountable officer</w:t>
            </w:r>
            <w:r w:rsidR="005A4BB0">
              <w:rPr>
                <w:snapToGrid w:val="0"/>
              </w:rPr>
              <w:t>’</w:t>
            </w:r>
            <w:r w:rsidRPr="00D96B14">
              <w:rPr>
                <w:snapToGrid w:val="0"/>
              </w:rPr>
              <w:t>s declaration</w:t>
            </w:r>
          </w:p>
        </w:tc>
        <w:tc>
          <w:tcPr>
            <w:tcW w:w="1433" w:type="dxa"/>
          </w:tcPr>
          <w:p w:rsidR="00142353" w:rsidRPr="00D96B14" w:rsidRDefault="00142353" w:rsidP="004843DB">
            <w:pPr>
              <w:pStyle w:val="TableofFigures"/>
              <w:spacing w:before="26" w:after="26"/>
              <w:jc w:val="center"/>
              <w:rPr>
                <w:snapToGrid w:val="0"/>
              </w:rPr>
            </w:pPr>
            <w:r w:rsidRPr="00D96B14">
              <w:rPr>
                <w:snapToGrid w:val="0"/>
              </w:rPr>
              <w:t>Page 83</w:t>
            </w:r>
          </w:p>
        </w:tc>
      </w:tr>
      <w:tr w:rsidR="00142353" w:rsidRPr="00D96B14" w:rsidTr="004843DB">
        <w:trPr>
          <w:cantSplit/>
          <w:trHeight w:val="20"/>
        </w:trPr>
        <w:tc>
          <w:tcPr>
            <w:tcW w:w="1303" w:type="dxa"/>
          </w:tcPr>
          <w:p w:rsidR="00142353" w:rsidRPr="00D96B14" w:rsidRDefault="00142353" w:rsidP="004843DB">
            <w:pPr>
              <w:pStyle w:val="Tabletext"/>
              <w:spacing w:before="26" w:after="26"/>
              <w:rPr>
                <w:snapToGrid w:val="0"/>
              </w:rPr>
            </w:pPr>
            <w:r w:rsidRPr="00D96B14">
              <w:rPr>
                <w:snapToGrid w:val="0"/>
              </w:rPr>
              <w:t>SD 4.2(f)</w:t>
            </w:r>
          </w:p>
        </w:tc>
        <w:tc>
          <w:tcPr>
            <w:tcW w:w="5670" w:type="dxa"/>
          </w:tcPr>
          <w:p w:rsidR="00142353" w:rsidRPr="00D96B14" w:rsidRDefault="00142353" w:rsidP="004843DB">
            <w:pPr>
              <w:pStyle w:val="Tabletext"/>
              <w:spacing w:before="26" w:after="26"/>
              <w:rPr>
                <w:snapToGrid w:val="0"/>
              </w:rPr>
            </w:pPr>
            <w:r w:rsidRPr="00D96B14">
              <w:rPr>
                <w:snapToGrid w:val="0"/>
              </w:rPr>
              <w:t>Compliance with Model Financial Report</w:t>
            </w:r>
          </w:p>
        </w:tc>
        <w:tc>
          <w:tcPr>
            <w:tcW w:w="1433" w:type="dxa"/>
          </w:tcPr>
          <w:p w:rsidR="00142353" w:rsidRPr="00D96B14" w:rsidRDefault="00142353" w:rsidP="004843DB">
            <w:pPr>
              <w:pStyle w:val="TableofFigures"/>
              <w:pBdr>
                <w:left w:val="single" w:sz="4" w:space="4" w:color="0000FF"/>
                <w:right w:val="single" w:sz="4" w:space="4" w:color="0000FF"/>
              </w:pBdr>
              <w:spacing w:before="26" w:after="26"/>
              <w:jc w:val="center"/>
              <w:rPr>
                <w:i/>
                <w:snapToGrid w:val="0"/>
                <w:color w:val="0000FF"/>
              </w:rPr>
            </w:pPr>
            <w:r w:rsidRPr="00D96B14">
              <w:rPr>
                <w:i/>
                <w:snapToGrid w:val="0"/>
                <w:color w:val="0000FF"/>
              </w:rPr>
              <w:t>[Entities to determine as appropriate]</w:t>
            </w:r>
          </w:p>
        </w:tc>
      </w:tr>
      <w:tr w:rsidR="00142353" w:rsidRPr="00D96B14" w:rsidTr="004843DB">
        <w:trPr>
          <w:cantSplit/>
          <w:trHeight w:val="350"/>
        </w:trPr>
        <w:tc>
          <w:tcPr>
            <w:tcW w:w="8406" w:type="dxa"/>
            <w:gridSpan w:val="3"/>
          </w:tcPr>
          <w:p w:rsidR="00142353" w:rsidRPr="00D96B14" w:rsidRDefault="00142353" w:rsidP="004843DB">
            <w:pPr>
              <w:pStyle w:val="Heading5"/>
              <w:rPr>
                <w:snapToGrid w:val="0"/>
              </w:rPr>
            </w:pPr>
            <w:r w:rsidRPr="00D96B14">
              <w:rPr>
                <w:snapToGrid w:val="0"/>
              </w:rPr>
              <w:t>Other disclosures as required by FRDs in notes to the financial statements*</w:t>
            </w:r>
          </w:p>
        </w:tc>
      </w:tr>
      <w:tr w:rsidR="00142353" w:rsidRPr="00D96B14" w:rsidTr="004843DB">
        <w:trPr>
          <w:cantSplit/>
          <w:trHeight w:val="20"/>
        </w:trPr>
        <w:tc>
          <w:tcPr>
            <w:tcW w:w="1303" w:type="dxa"/>
          </w:tcPr>
          <w:p w:rsidR="00142353" w:rsidRPr="00D96B14" w:rsidRDefault="00142353" w:rsidP="004843DB">
            <w:pPr>
              <w:pStyle w:val="Tabletext"/>
              <w:spacing w:before="26" w:after="26"/>
            </w:pPr>
            <w:r w:rsidRPr="00D96B14">
              <w:t>FRD 9A</w:t>
            </w:r>
          </w:p>
        </w:tc>
        <w:tc>
          <w:tcPr>
            <w:tcW w:w="5670" w:type="dxa"/>
          </w:tcPr>
          <w:p w:rsidR="00142353" w:rsidRPr="00D96B14" w:rsidRDefault="00142353" w:rsidP="004843DB">
            <w:pPr>
              <w:pStyle w:val="Tabletext"/>
              <w:spacing w:before="26" w:after="26"/>
            </w:pPr>
            <w:r w:rsidRPr="00D96B14">
              <w:t>Departmental Disclosure of Administered Assets and Liabilities by Activity</w:t>
            </w:r>
          </w:p>
        </w:tc>
        <w:tc>
          <w:tcPr>
            <w:tcW w:w="1433" w:type="dxa"/>
          </w:tcPr>
          <w:p w:rsidR="00142353" w:rsidRPr="00D96B14" w:rsidRDefault="00142353" w:rsidP="004843DB">
            <w:pPr>
              <w:pStyle w:val="TableofFigures"/>
              <w:spacing w:before="26" w:after="26"/>
              <w:jc w:val="center"/>
            </w:pPr>
            <w:r w:rsidRPr="00D96B14">
              <w:t>Page 148</w:t>
            </w:r>
          </w:p>
        </w:tc>
      </w:tr>
      <w:tr w:rsidR="00142353" w:rsidRPr="00D96B14" w:rsidTr="004843DB">
        <w:trPr>
          <w:cantSplit/>
          <w:trHeight w:val="20"/>
        </w:trPr>
        <w:tc>
          <w:tcPr>
            <w:tcW w:w="1303" w:type="dxa"/>
          </w:tcPr>
          <w:p w:rsidR="00142353" w:rsidRPr="00D96B14" w:rsidRDefault="00142353" w:rsidP="004843DB">
            <w:pPr>
              <w:pStyle w:val="Tabletext"/>
              <w:spacing w:before="26" w:after="26"/>
            </w:pPr>
            <w:r w:rsidRPr="00D96B14">
              <w:t>FRD 11A</w:t>
            </w:r>
          </w:p>
        </w:tc>
        <w:tc>
          <w:tcPr>
            <w:tcW w:w="5670" w:type="dxa"/>
          </w:tcPr>
          <w:p w:rsidR="00142353" w:rsidRPr="00D96B14" w:rsidRDefault="00142353" w:rsidP="004843DB">
            <w:pPr>
              <w:pStyle w:val="Tabletext"/>
              <w:spacing w:before="26" w:after="26"/>
            </w:pPr>
            <w:r w:rsidRPr="00D96B14">
              <w:t>Disclosure of Ex gratia Expenses</w:t>
            </w:r>
          </w:p>
        </w:tc>
        <w:tc>
          <w:tcPr>
            <w:tcW w:w="1433" w:type="dxa"/>
          </w:tcPr>
          <w:p w:rsidR="00142353" w:rsidRPr="00D96B14" w:rsidRDefault="00142353" w:rsidP="004843DB">
            <w:pPr>
              <w:pStyle w:val="TableofFigures"/>
              <w:spacing w:before="26" w:after="26"/>
              <w:jc w:val="center"/>
            </w:pPr>
            <w:r w:rsidRPr="00D96B14">
              <w:t>Page 293</w:t>
            </w:r>
          </w:p>
        </w:tc>
      </w:tr>
      <w:tr w:rsidR="00142353" w:rsidRPr="00D96B14" w:rsidTr="004843DB">
        <w:trPr>
          <w:cantSplit/>
          <w:trHeight w:val="20"/>
        </w:trPr>
        <w:tc>
          <w:tcPr>
            <w:tcW w:w="1303" w:type="dxa"/>
          </w:tcPr>
          <w:p w:rsidR="00142353" w:rsidRPr="00D96B14" w:rsidRDefault="00142353" w:rsidP="004843DB">
            <w:pPr>
              <w:pStyle w:val="Tabletext"/>
              <w:spacing w:before="26" w:after="26"/>
            </w:pPr>
            <w:r w:rsidRPr="00D96B14">
              <w:t>FRD 13</w:t>
            </w:r>
          </w:p>
        </w:tc>
        <w:tc>
          <w:tcPr>
            <w:tcW w:w="5670" w:type="dxa"/>
          </w:tcPr>
          <w:p w:rsidR="00142353" w:rsidRPr="00D96B14" w:rsidRDefault="00142353" w:rsidP="004843DB">
            <w:pPr>
              <w:pStyle w:val="Tabletext"/>
              <w:spacing w:before="26" w:after="26"/>
            </w:pPr>
            <w:r w:rsidRPr="00D96B14">
              <w:t>Disclosure of Parliamentary Appropriations</w:t>
            </w:r>
          </w:p>
        </w:tc>
        <w:tc>
          <w:tcPr>
            <w:tcW w:w="1433" w:type="dxa"/>
          </w:tcPr>
          <w:p w:rsidR="00142353" w:rsidRPr="00D96B14" w:rsidRDefault="00142353" w:rsidP="004843DB">
            <w:pPr>
              <w:pStyle w:val="TableofFigures"/>
              <w:spacing w:before="26" w:after="26"/>
              <w:jc w:val="center"/>
            </w:pPr>
            <w:r w:rsidRPr="00D96B14">
              <w:t>Page 290</w:t>
            </w:r>
          </w:p>
        </w:tc>
      </w:tr>
      <w:tr w:rsidR="00142353" w:rsidRPr="00D96B14" w:rsidTr="004843DB">
        <w:trPr>
          <w:cantSplit/>
          <w:trHeight w:val="20"/>
        </w:trPr>
        <w:tc>
          <w:tcPr>
            <w:tcW w:w="1303" w:type="dxa"/>
          </w:tcPr>
          <w:p w:rsidR="00142353" w:rsidRPr="00D96B14" w:rsidRDefault="00142353" w:rsidP="004843DB">
            <w:pPr>
              <w:pStyle w:val="Tabletext"/>
              <w:spacing w:before="26" w:after="26"/>
            </w:pPr>
            <w:r w:rsidRPr="00D96B14">
              <w:t>FRD 21B</w:t>
            </w:r>
          </w:p>
          <w:p w:rsidR="00142353" w:rsidRPr="00D96B14" w:rsidRDefault="00142353" w:rsidP="004843DB">
            <w:pPr>
              <w:pStyle w:val="Tabletext"/>
              <w:spacing w:before="26" w:after="26"/>
            </w:pPr>
          </w:p>
        </w:tc>
        <w:tc>
          <w:tcPr>
            <w:tcW w:w="5670" w:type="dxa"/>
          </w:tcPr>
          <w:p w:rsidR="00142353" w:rsidRPr="00D96B14" w:rsidRDefault="00142353" w:rsidP="004843DB">
            <w:pPr>
              <w:pStyle w:val="Tabletext"/>
              <w:spacing w:before="26" w:after="26"/>
            </w:pPr>
            <w:r w:rsidRPr="00D96B14">
              <w:t>Disclosures of Responsible Persons, Executive Officers and other Personnel (Contractors with Significant Management Responsibilities) in the Financial Report</w:t>
            </w:r>
          </w:p>
        </w:tc>
        <w:tc>
          <w:tcPr>
            <w:tcW w:w="1433" w:type="dxa"/>
          </w:tcPr>
          <w:p w:rsidR="00142353" w:rsidRPr="00D96B14" w:rsidRDefault="00142353" w:rsidP="004843DB">
            <w:pPr>
              <w:pStyle w:val="TableofFigures"/>
              <w:spacing w:before="26" w:after="26"/>
              <w:jc w:val="center"/>
            </w:pPr>
            <w:r w:rsidRPr="00D96B14">
              <w:t>Page 301</w:t>
            </w:r>
          </w:p>
        </w:tc>
      </w:tr>
      <w:tr w:rsidR="00142353" w:rsidRPr="00D96B14" w:rsidTr="004843DB">
        <w:trPr>
          <w:cantSplit/>
          <w:trHeight w:val="20"/>
        </w:trPr>
        <w:tc>
          <w:tcPr>
            <w:tcW w:w="1303" w:type="dxa"/>
          </w:tcPr>
          <w:p w:rsidR="00142353" w:rsidRPr="00D96B14" w:rsidRDefault="00142353" w:rsidP="004843DB">
            <w:pPr>
              <w:pStyle w:val="Tabletext"/>
              <w:spacing w:before="26" w:after="26"/>
            </w:pPr>
            <w:r w:rsidRPr="00D96B14">
              <w:t>FRD 103F</w:t>
            </w:r>
          </w:p>
        </w:tc>
        <w:tc>
          <w:tcPr>
            <w:tcW w:w="5670" w:type="dxa"/>
          </w:tcPr>
          <w:p w:rsidR="00142353" w:rsidRPr="00D96B14" w:rsidRDefault="00142353" w:rsidP="004843DB">
            <w:pPr>
              <w:pStyle w:val="Tabletext"/>
              <w:spacing w:before="26" w:after="26"/>
            </w:pPr>
            <w:r w:rsidRPr="00D96B14">
              <w:t>Non</w:t>
            </w:r>
            <w:r w:rsidR="005A4BB0">
              <w:noBreakHyphen/>
            </w:r>
            <w:r w:rsidRPr="00D96B14">
              <w:t xml:space="preserve">Financial Physical Assets </w:t>
            </w:r>
          </w:p>
        </w:tc>
        <w:tc>
          <w:tcPr>
            <w:tcW w:w="1433" w:type="dxa"/>
          </w:tcPr>
          <w:p w:rsidR="00142353" w:rsidRPr="00D96B14" w:rsidRDefault="00142353" w:rsidP="004843DB">
            <w:pPr>
              <w:pStyle w:val="TableofFigures"/>
              <w:spacing w:before="26" w:after="26"/>
              <w:jc w:val="center"/>
            </w:pPr>
            <w:r w:rsidRPr="00D96B14">
              <w:t>Page 192</w:t>
            </w:r>
          </w:p>
        </w:tc>
      </w:tr>
      <w:tr w:rsidR="00142353" w:rsidRPr="00D96B14" w:rsidTr="004843DB">
        <w:trPr>
          <w:cantSplit/>
          <w:trHeight w:val="20"/>
        </w:trPr>
        <w:tc>
          <w:tcPr>
            <w:tcW w:w="1303" w:type="dxa"/>
          </w:tcPr>
          <w:p w:rsidR="00142353" w:rsidRPr="00D96B14" w:rsidRDefault="00142353" w:rsidP="004843DB">
            <w:pPr>
              <w:pStyle w:val="Tabletext"/>
              <w:spacing w:before="26" w:after="26"/>
            </w:pPr>
            <w:r w:rsidRPr="00D96B14">
              <w:t xml:space="preserve">FRD 110 </w:t>
            </w:r>
          </w:p>
        </w:tc>
        <w:tc>
          <w:tcPr>
            <w:tcW w:w="5670" w:type="dxa"/>
          </w:tcPr>
          <w:p w:rsidR="00142353" w:rsidRPr="00D96B14" w:rsidRDefault="00142353" w:rsidP="004843DB">
            <w:pPr>
              <w:pStyle w:val="Tabletext"/>
              <w:spacing w:before="26" w:after="26"/>
            </w:pPr>
            <w:r w:rsidRPr="00D96B14">
              <w:t>Cash Flow Statements</w:t>
            </w:r>
          </w:p>
        </w:tc>
        <w:tc>
          <w:tcPr>
            <w:tcW w:w="1433" w:type="dxa"/>
          </w:tcPr>
          <w:p w:rsidR="00142353" w:rsidRPr="00D96B14" w:rsidRDefault="00142353" w:rsidP="004843DB">
            <w:pPr>
              <w:pStyle w:val="TableofFigures"/>
              <w:spacing w:before="26" w:after="26"/>
              <w:jc w:val="center"/>
            </w:pPr>
            <w:r w:rsidRPr="00D96B14">
              <w:t>Page 97</w:t>
            </w:r>
          </w:p>
        </w:tc>
      </w:tr>
      <w:tr w:rsidR="00142353" w:rsidRPr="00D96B14" w:rsidTr="004843DB">
        <w:trPr>
          <w:cantSplit/>
          <w:trHeight w:val="20"/>
        </w:trPr>
        <w:tc>
          <w:tcPr>
            <w:tcW w:w="1303" w:type="dxa"/>
          </w:tcPr>
          <w:p w:rsidR="00142353" w:rsidRPr="00D96B14" w:rsidRDefault="00142353" w:rsidP="004843DB">
            <w:pPr>
              <w:pStyle w:val="Tabletext"/>
              <w:spacing w:before="26" w:after="26"/>
            </w:pPr>
            <w:r w:rsidRPr="00D96B14">
              <w:t>FRD 112D</w:t>
            </w:r>
          </w:p>
        </w:tc>
        <w:tc>
          <w:tcPr>
            <w:tcW w:w="5670" w:type="dxa"/>
          </w:tcPr>
          <w:p w:rsidR="00142353" w:rsidRPr="00D96B14" w:rsidRDefault="00142353" w:rsidP="004843DB">
            <w:pPr>
              <w:pStyle w:val="Tabletext"/>
              <w:spacing w:before="26" w:after="26"/>
            </w:pPr>
            <w:r w:rsidRPr="00D96B14">
              <w:t>Defined Benefit Superannuation Obligations</w:t>
            </w:r>
          </w:p>
        </w:tc>
        <w:tc>
          <w:tcPr>
            <w:tcW w:w="1433" w:type="dxa"/>
          </w:tcPr>
          <w:p w:rsidR="00142353" w:rsidRPr="00D96B14" w:rsidRDefault="00142353" w:rsidP="004843DB">
            <w:pPr>
              <w:pStyle w:val="TableofFigures"/>
              <w:spacing w:before="26" w:after="26"/>
              <w:jc w:val="center"/>
            </w:pPr>
            <w:r w:rsidRPr="00D96B14">
              <w:t>Page 110</w:t>
            </w:r>
          </w:p>
        </w:tc>
      </w:tr>
      <w:tr w:rsidR="00142353" w:rsidRPr="00D96B14" w:rsidTr="004843DB">
        <w:trPr>
          <w:cantSplit/>
          <w:trHeight w:val="20"/>
        </w:trPr>
        <w:tc>
          <w:tcPr>
            <w:tcW w:w="8406" w:type="dxa"/>
            <w:gridSpan w:val="3"/>
          </w:tcPr>
          <w:p w:rsidR="00142353" w:rsidRPr="00D96B14" w:rsidRDefault="00142353" w:rsidP="004843DB">
            <w:pPr>
              <w:pStyle w:val="TableofFigures"/>
              <w:spacing w:before="40" w:after="40"/>
              <w:jc w:val="left"/>
              <w:rPr>
                <w:i/>
              </w:rPr>
            </w:pPr>
            <w:r w:rsidRPr="00D96B14">
              <w:t>*</w:t>
            </w:r>
            <w:r w:rsidRPr="00D96B14">
              <w:rPr>
                <w:i/>
              </w:rPr>
              <w:t>Note: References to FRDs have been removed from the Disclosure Index if the specific FRDs do not contain requirements that are of the nature of disclosure</w:t>
            </w:r>
          </w:p>
          <w:p w:rsidR="00142353" w:rsidRPr="00D96B14" w:rsidRDefault="00142353" w:rsidP="004843DB">
            <w:pPr>
              <w:pStyle w:val="SmallLine"/>
            </w:pPr>
          </w:p>
        </w:tc>
      </w:tr>
      <w:tr w:rsidR="00142353" w:rsidRPr="00D96B14" w:rsidTr="004843DB">
        <w:trPr>
          <w:cantSplit/>
          <w:trHeight w:val="342"/>
        </w:trPr>
        <w:tc>
          <w:tcPr>
            <w:tcW w:w="8406" w:type="dxa"/>
            <w:gridSpan w:val="3"/>
            <w:shd w:val="clear" w:color="auto" w:fill="B3B3B3"/>
            <w:vAlign w:val="center"/>
          </w:tcPr>
          <w:p w:rsidR="00142353" w:rsidRPr="00D96B14" w:rsidRDefault="00142353" w:rsidP="004843DB">
            <w:pPr>
              <w:pStyle w:val="Heading2pt2"/>
              <w:spacing w:before="100"/>
              <w:rPr>
                <w:sz w:val="26"/>
              </w:rPr>
            </w:pPr>
            <w:r w:rsidRPr="00D96B14">
              <w:rPr>
                <w:sz w:val="26"/>
              </w:rPr>
              <w:t>Legislation</w:t>
            </w:r>
          </w:p>
        </w:tc>
      </w:tr>
      <w:tr w:rsidR="00142353" w:rsidRPr="00D96B14" w:rsidTr="004843DB">
        <w:tblPrEx>
          <w:tblCellMar>
            <w:left w:w="108" w:type="dxa"/>
            <w:right w:w="108" w:type="dxa"/>
          </w:tblCellMar>
        </w:tblPrEx>
        <w:trPr>
          <w:cantSplit/>
          <w:trHeight w:val="20"/>
        </w:trPr>
        <w:tc>
          <w:tcPr>
            <w:tcW w:w="6973" w:type="dxa"/>
            <w:gridSpan w:val="2"/>
          </w:tcPr>
          <w:p w:rsidR="00142353" w:rsidRPr="00D96B14" w:rsidRDefault="00142353" w:rsidP="004843DB">
            <w:pPr>
              <w:pStyle w:val="Tabletext"/>
              <w:ind w:left="-65"/>
              <w:rPr>
                <w:i/>
              </w:rPr>
            </w:pPr>
            <w:r w:rsidRPr="00D96B14">
              <w:rPr>
                <w:i/>
              </w:rPr>
              <w:t>Freedom of Information Act 1982</w:t>
            </w:r>
          </w:p>
        </w:tc>
        <w:tc>
          <w:tcPr>
            <w:tcW w:w="1433" w:type="dxa"/>
          </w:tcPr>
          <w:p w:rsidR="00142353" w:rsidRPr="00D96B14" w:rsidRDefault="00142353" w:rsidP="004843DB">
            <w:pPr>
              <w:pStyle w:val="Tabletext"/>
              <w:jc w:val="center"/>
            </w:pPr>
            <w:r w:rsidRPr="00D96B14">
              <w:t>Page 54</w:t>
            </w:r>
          </w:p>
        </w:tc>
      </w:tr>
      <w:tr w:rsidR="00142353" w:rsidRPr="00D96B14" w:rsidTr="004843DB">
        <w:tblPrEx>
          <w:tblCellMar>
            <w:left w:w="108" w:type="dxa"/>
            <w:right w:w="108" w:type="dxa"/>
          </w:tblCellMar>
        </w:tblPrEx>
        <w:trPr>
          <w:cantSplit/>
          <w:trHeight w:val="20"/>
        </w:trPr>
        <w:tc>
          <w:tcPr>
            <w:tcW w:w="6973" w:type="dxa"/>
            <w:gridSpan w:val="2"/>
          </w:tcPr>
          <w:p w:rsidR="00142353" w:rsidRPr="00D96B14" w:rsidRDefault="00142353" w:rsidP="004843DB">
            <w:pPr>
              <w:pStyle w:val="Tabletext"/>
              <w:ind w:left="-65"/>
              <w:rPr>
                <w:i/>
              </w:rPr>
            </w:pPr>
            <w:r w:rsidRPr="00D96B14">
              <w:rPr>
                <w:i/>
              </w:rPr>
              <w:t>Building Act 1993</w:t>
            </w:r>
          </w:p>
        </w:tc>
        <w:tc>
          <w:tcPr>
            <w:tcW w:w="1433" w:type="dxa"/>
          </w:tcPr>
          <w:p w:rsidR="00142353" w:rsidRPr="00D96B14" w:rsidRDefault="00142353" w:rsidP="004843DB">
            <w:pPr>
              <w:pStyle w:val="Tabletext"/>
              <w:jc w:val="center"/>
            </w:pPr>
            <w:r w:rsidRPr="00D96B14">
              <w:t>Page 55</w:t>
            </w:r>
          </w:p>
        </w:tc>
      </w:tr>
      <w:tr w:rsidR="00142353" w:rsidRPr="00D96B14" w:rsidTr="004843DB">
        <w:tblPrEx>
          <w:tblCellMar>
            <w:left w:w="108" w:type="dxa"/>
            <w:right w:w="108" w:type="dxa"/>
          </w:tblCellMar>
        </w:tblPrEx>
        <w:trPr>
          <w:cantSplit/>
          <w:trHeight w:val="20"/>
        </w:trPr>
        <w:tc>
          <w:tcPr>
            <w:tcW w:w="6973" w:type="dxa"/>
            <w:gridSpan w:val="2"/>
          </w:tcPr>
          <w:p w:rsidR="00142353" w:rsidRPr="00D96B14" w:rsidRDefault="00142353" w:rsidP="004843DB">
            <w:pPr>
              <w:pStyle w:val="Tabletext"/>
              <w:ind w:left="-65"/>
              <w:rPr>
                <w:i/>
              </w:rPr>
            </w:pPr>
            <w:r w:rsidRPr="00D96B14">
              <w:rPr>
                <w:i/>
              </w:rPr>
              <w:t>Protected Disclosure Act 2012</w:t>
            </w:r>
          </w:p>
        </w:tc>
        <w:tc>
          <w:tcPr>
            <w:tcW w:w="1433" w:type="dxa"/>
          </w:tcPr>
          <w:p w:rsidR="00142353" w:rsidRPr="00D96B14" w:rsidRDefault="00142353" w:rsidP="004843DB">
            <w:pPr>
              <w:pStyle w:val="Tabletext"/>
              <w:jc w:val="center"/>
            </w:pPr>
            <w:r w:rsidRPr="00D96B14">
              <w:t>Page 56</w:t>
            </w:r>
          </w:p>
        </w:tc>
      </w:tr>
      <w:tr w:rsidR="00142353" w:rsidRPr="00D96B14" w:rsidTr="004843DB">
        <w:tblPrEx>
          <w:tblCellMar>
            <w:left w:w="108" w:type="dxa"/>
            <w:right w:w="108" w:type="dxa"/>
          </w:tblCellMar>
        </w:tblPrEx>
        <w:trPr>
          <w:cantSplit/>
          <w:trHeight w:val="20"/>
        </w:trPr>
        <w:tc>
          <w:tcPr>
            <w:tcW w:w="6973" w:type="dxa"/>
            <w:gridSpan w:val="2"/>
          </w:tcPr>
          <w:p w:rsidR="00142353" w:rsidRPr="00D96B14" w:rsidDel="002D3EFC" w:rsidRDefault="00142353" w:rsidP="004843DB">
            <w:pPr>
              <w:pStyle w:val="Tabletext"/>
              <w:ind w:left="-65"/>
              <w:rPr>
                <w:i/>
              </w:rPr>
            </w:pPr>
            <w:r w:rsidRPr="00D96B14">
              <w:rPr>
                <w:i/>
              </w:rPr>
              <w:t>Carers Recognition Act 2012</w:t>
            </w:r>
          </w:p>
        </w:tc>
        <w:tc>
          <w:tcPr>
            <w:tcW w:w="1433" w:type="dxa"/>
          </w:tcPr>
          <w:p w:rsidR="00142353" w:rsidRPr="00D96B14" w:rsidRDefault="00142353" w:rsidP="004843DB">
            <w:pPr>
              <w:pStyle w:val="Tabletext"/>
              <w:jc w:val="center"/>
            </w:pPr>
            <w:r w:rsidRPr="00D96B14">
              <w:rPr>
                <w:snapToGrid w:val="0"/>
              </w:rPr>
              <w:t>Page 58</w:t>
            </w:r>
          </w:p>
        </w:tc>
      </w:tr>
      <w:tr w:rsidR="00142353" w:rsidRPr="00D96B14" w:rsidTr="004843DB">
        <w:tblPrEx>
          <w:tblCellMar>
            <w:left w:w="108" w:type="dxa"/>
            <w:right w:w="108" w:type="dxa"/>
          </w:tblCellMar>
        </w:tblPrEx>
        <w:trPr>
          <w:cantSplit/>
          <w:trHeight w:val="20"/>
        </w:trPr>
        <w:tc>
          <w:tcPr>
            <w:tcW w:w="6973" w:type="dxa"/>
            <w:gridSpan w:val="2"/>
          </w:tcPr>
          <w:p w:rsidR="00142353" w:rsidRPr="00D96B14" w:rsidRDefault="00142353" w:rsidP="004843DB">
            <w:pPr>
              <w:pStyle w:val="Tabletext"/>
              <w:ind w:left="-65"/>
              <w:rPr>
                <w:i/>
              </w:rPr>
            </w:pPr>
            <w:r w:rsidRPr="00D96B14">
              <w:rPr>
                <w:i/>
              </w:rPr>
              <w:t>Victorian Industry Participation Policy Act 2003</w:t>
            </w:r>
          </w:p>
        </w:tc>
        <w:tc>
          <w:tcPr>
            <w:tcW w:w="1433" w:type="dxa"/>
          </w:tcPr>
          <w:p w:rsidR="00142353" w:rsidRPr="00D96B14" w:rsidRDefault="00142353" w:rsidP="004843DB">
            <w:pPr>
              <w:pStyle w:val="Tabletext"/>
              <w:jc w:val="center"/>
            </w:pPr>
            <w:r w:rsidRPr="00D96B14">
              <w:t>Page 47</w:t>
            </w:r>
          </w:p>
        </w:tc>
      </w:tr>
      <w:tr w:rsidR="00142353" w:rsidRPr="00D96B14" w:rsidTr="004843DB">
        <w:tblPrEx>
          <w:tblCellMar>
            <w:left w:w="108" w:type="dxa"/>
            <w:right w:w="108" w:type="dxa"/>
          </w:tblCellMar>
        </w:tblPrEx>
        <w:trPr>
          <w:cantSplit/>
          <w:trHeight w:val="20"/>
        </w:trPr>
        <w:tc>
          <w:tcPr>
            <w:tcW w:w="6973" w:type="dxa"/>
            <w:gridSpan w:val="2"/>
          </w:tcPr>
          <w:p w:rsidR="00142353" w:rsidRPr="00D96B14" w:rsidRDefault="00142353" w:rsidP="004843DB">
            <w:pPr>
              <w:pStyle w:val="Tabletext"/>
              <w:ind w:left="-65"/>
              <w:rPr>
                <w:i/>
              </w:rPr>
            </w:pPr>
            <w:r w:rsidRPr="00D96B14">
              <w:rPr>
                <w:i/>
              </w:rPr>
              <w:t>Financial Management Act 1994</w:t>
            </w:r>
          </w:p>
        </w:tc>
        <w:tc>
          <w:tcPr>
            <w:tcW w:w="1433" w:type="dxa"/>
          </w:tcPr>
          <w:p w:rsidR="00142353" w:rsidRPr="00D96B14" w:rsidRDefault="00142353" w:rsidP="004843DB">
            <w:pPr>
              <w:pStyle w:val="Tabletext"/>
              <w:jc w:val="center"/>
            </w:pPr>
            <w:r w:rsidRPr="00D96B14">
              <w:t>Page 103</w:t>
            </w:r>
          </w:p>
        </w:tc>
      </w:tr>
    </w:tbl>
    <w:p w:rsidR="00142353" w:rsidRPr="00D96B14" w:rsidRDefault="00142353" w:rsidP="00142353">
      <w:pPr>
        <w:pStyle w:val="SmallLine"/>
      </w:pPr>
    </w:p>
    <w:p w:rsidR="00142353" w:rsidRDefault="00142353" w:rsidP="00142353">
      <w:pPr>
        <w:pStyle w:val="SmallLine"/>
        <w:sectPr w:rsidR="00142353" w:rsidSect="00190A01">
          <w:headerReference w:type="even" r:id="rId113"/>
          <w:headerReference w:type="default" r:id="rId114"/>
          <w:headerReference w:type="first" r:id="rId115"/>
          <w:pgSz w:w="11906" w:h="16838" w:code="9"/>
          <w:pgMar w:top="1152" w:right="864" w:bottom="1152" w:left="864" w:header="432" w:footer="432" w:gutter="0"/>
          <w:cols w:num="2" w:space="360" w:equalWidth="0">
            <w:col w:w="1440" w:space="360"/>
            <w:col w:w="8378"/>
          </w:cols>
          <w:titlePg/>
        </w:sectPr>
      </w:pPr>
    </w:p>
    <w:p w:rsidR="00142353" w:rsidRDefault="00142353" w:rsidP="00142353">
      <w:pPr>
        <w:pStyle w:val="SmallLine"/>
      </w:pPr>
    </w:p>
    <w:p w:rsidR="00142353" w:rsidRPr="00D96B14" w:rsidRDefault="00142353" w:rsidP="00142353">
      <w:pPr>
        <w:pStyle w:val="SourceReference"/>
      </w:pPr>
    </w:p>
    <w:p w:rsidR="00142353" w:rsidRPr="00D96B14" w:rsidRDefault="00142353" w:rsidP="00142353">
      <w:pPr>
        <w:pStyle w:val="SourceReference"/>
        <w:spacing w:before="100"/>
      </w:pPr>
      <w:r>
        <w:br/>
      </w:r>
    </w:p>
    <w:p w:rsidR="00142353" w:rsidRPr="00D96B14" w:rsidRDefault="00142353" w:rsidP="00142353">
      <w:pPr>
        <w:pStyle w:val="SourceReference"/>
      </w:pPr>
      <w:r w:rsidRPr="00D96B14">
        <w:t xml:space="preserve">FRD 10A </w:t>
      </w:r>
    </w:p>
    <w:p w:rsidR="00142353" w:rsidRPr="00D96B14" w:rsidRDefault="00142353" w:rsidP="00142353">
      <w:pPr>
        <w:pStyle w:val="Reference"/>
      </w:pPr>
    </w:p>
    <w:p w:rsidR="00142353" w:rsidRPr="00E30EA5" w:rsidRDefault="00142353" w:rsidP="00142353">
      <w:pPr>
        <w:pStyle w:val="SourceReference"/>
        <w:rPr>
          <w:sz w:val="10"/>
          <w:szCs w:val="10"/>
        </w:rPr>
      </w:pPr>
      <w:r w:rsidRPr="00D96B14">
        <w:br w:type="column"/>
      </w:r>
    </w:p>
    <w:p w:rsidR="00142353" w:rsidRPr="00D96B14" w:rsidRDefault="00142353" w:rsidP="00142353">
      <w:pPr>
        <w:pStyle w:val="CommentaryHeading"/>
      </w:pPr>
      <w:r w:rsidRPr="00D96B14">
        <w:t>Commentary – Disclosure index</w:t>
      </w:r>
    </w:p>
    <w:p w:rsidR="00142353" w:rsidRPr="00D96B14" w:rsidRDefault="00142353" w:rsidP="00142353">
      <w:pPr>
        <w:pStyle w:val="SmallLineBlue"/>
      </w:pPr>
    </w:p>
    <w:p w:rsidR="00142353" w:rsidRPr="00D96B14" w:rsidRDefault="00142353" w:rsidP="00142353">
      <w:pPr>
        <w:pStyle w:val="CommentaryText"/>
        <w:pBdr>
          <w:top w:val="none" w:sz="0" w:space="0" w:color="auto"/>
          <w:bottom w:val="none" w:sz="0" w:space="0" w:color="auto"/>
        </w:pBdr>
        <w:spacing w:before="60"/>
      </w:pPr>
      <w:r w:rsidRPr="00D96B14">
        <w:rPr>
          <w:b/>
        </w:rPr>
        <w:t>FRD 10A</w:t>
      </w:r>
      <w:r w:rsidR="005A4BB0">
        <w:rPr>
          <w:b/>
        </w:rPr>
        <w:t xml:space="preserve"> </w:t>
      </w:r>
      <w:r w:rsidRPr="00D96B14">
        <w:t>requires entities to include a disclosure index in their annual reports that report the following:</w:t>
      </w:r>
    </w:p>
    <w:p w:rsidR="00142353" w:rsidRPr="00D96B14" w:rsidRDefault="00142353" w:rsidP="00142353">
      <w:pPr>
        <w:pStyle w:val="CommentaryBullet"/>
        <w:spacing w:before="30" w:after="30"/>
      </w:pPr>
      <w:r w:rsidRPr="00D96B14">
        <w:t>a list identifying the relevant clauses of Victorian legislation with statutory disclosure requirements that the entity has to comply with;</w:t>
      </w:r>
    </w:p>
    <w:p w:rsidR="00142353" w:rsidRPr="00D96B14" w:rsidRDefault="00142353" w:rsidP="00142353">
      <w:pPr>
        <w:pStyle w:val="CommentaryBullet"/>
        <w:spacing w:before="30" w:after="30"/>
      </w:pPr>
      <w:r w:rsidRPr="00D96B14">
        <w:t>a short description of the relevant requirements; and</w:t>
      </w:r>
    </w:p>
    <w:p w:rsidR="00142353" w:rsidRPr="00D96B14" w:rsidRDefault="00142353" w:rsidP="00142353">
      <w:pPr>
        <w:pStyle w:val="CommentaryBullet"/>
        <w:spacing w:before="30" w:after="30"/>
      </w:pPr>
      <w:r w:rsidRPr="00D96B14">
        <w:t>the page in the annual report where the disclosure for each requirement is made.</w:t>
      </w:r>
    </w:p>
    <w:p w:rsidR="00142353" w:rsidRDefault="00142353" w:rsidP="00142353">
      <w:pPr>
        <w:pStyle w:val="CommentaryText"/>
        <w:pBdr>
          <w:top w:val="none" w:sz="0" w:space="0" w:color="auto"/>
        </w:pBdr>
        <w:spacing w:before="40"/>
      </w:pPr>
      <w:r w:rsidRPr="00D96B14">
        <w:t>The disclosure index is usually presented as the first appendix at the end of the annual report.</w:t>
      </w:r>
      <w:r>
        <w:t xml:space="preserve"> </w:t>
      </w:r>
    </w:p>
    <w:p w:rsidR="00142353" w:rsidRDefault="00142353" w:rsidP="00142353">
      <w:pPr>
        <w:pStyle w:val="SmallLine"/>
      </w:pPr>
    </w:p>
    <w:p w:rsidR="00142353" w:rsidRPr="00A10A37" w:rsidRDefault="00142353" w:rsidP="00142353">
      <w:pPr>
        <w:pStyle w:val="SmallLine"/>
      </w:pPr>
    </w:p>
    <w:p w:rsidR="00142353" w:rsidRPr="00A10A37" w:rsidRDefault="00142353" w:rsidP="00142353">
      <w:pPr>
        <w:sectPr w:rsidR="00142353" w:rsidRPr="00A10A37" w:rsidSect="004843DB">
          <w:type w:val="continuous"/>
          <w:pgSz w:w="11906" w:h="16838" w:code="9"/>
          <w:pgMar w:top="1152" w:right="864" w:bottom="1152" w:left="864" w:header="432" w:footer="432" w:gutter="0"/>
          <w:cols w:num="2" w:space="360" w:equalWidth="0">
            <w:col w:w="1440" w:space="360"/>
            <w:col w:w="8378"/>
          </w:cols>
          <w:titlePg/>
        </w:sectPr>
      </w:pPr>
    </w:p>
    <w:p w:rsidR="004843DB" w:rsidRPr="00A10A37" w:rsidRDefault="004843DB" w:rsidP="004843DB">
      <w:pPr>
        <w:pStyle w:val="Reference"/>
      </w:pPr>
    </w:p>
    <w:p w:rsidR="004843DB" w:rsidRPr="0062582F" w:rsidRDefault="004843DB" w:rsidP="004843DB">
      <w:pPr>
        <w:pStyle w:val="ChapterHeading"/>
      </w:pPr>
      <w:r w:rsidRPr="00A10A37">
        <w:br w:type="column"/>
      </w:r>
      <w:bookmarkStart w:id="123" w:name="_Toc225564581"/>
      <w:bookmarkStart w:id="124" w:name="_Toc324234836"/>
      <w:bookmarkStart w:id="125" w:name="_Toc332019426"/>
      <w:bookmarkStart w:id="126" w:name="_Toc350413468"/>
      <w:bookmarkStart w:id="127" w:name="_Toc388277742"/>
      <w:bookmarkStart w:id="128" w:name="_Toc448493008"/>
      <w:r w:rsidRPr="0062582F">
        <w:lastRenderedPageBreak/>
        <w:t xml:space="preserve">Department of Technology – Model financial </w:t>
      </w:r>
      <w:bookmarkEnd w:id="123"/>
      <w:r w:rsidRPr="0062582F">
        <w:t>statements</w:t>
      </w:r>
      <w:bookmarkEnd w:id="124"/>
      <w:bookmarkEnd w:id="125"/>
      <w:bookmarkEnd w:id="126"/>
      <w:bookmarkEnd w:id="127"/>
      <w:bookmarkEnd w:id="128"/>
    </w:p>
    <w:p w:rsidR="004843DB" w:rsidRPr="0062582F" w:rsidRDefault="004843DB" w:rsidP="004843DB">
      <w:pPr>
        <w:pStyle w:val="TableofContentsheading"/>
      </w:pPr>
      <w:r w:rsidRPr="0062582F">
        <w:t>Contents</w:t>
      </w:r>
    </w:p>
    <w:p w:rsidR="004843DB" w:rsidRPr="0062582F" w:rsidRDefault="004843DB" w:rsidP="004843DB"/>
    <w:p w:rsidR="004843DB" w:rsidRPr="0062582F" w:rsidRDefault="004843DB" w:rsidP="004843DB">
      <w:pPr>
        <w:pStyle w:val="TOC3"/>
        <w:rPr>
          <w:rFonts w:asciiTheme="minorHAnsi" w:eastAsiaTheme="minorEastAsia" w:hAnsiTheme="minorHAnsi" w:cstheme="minorBidi"/>
          <w:sz w:val="22"/>
          <w:szCs w:val="22"/>
        </w:rPr>
      </w:pPr>
      <w:r w:rsidRPr="0062582F">
        <w:fldChar w:fldCharType="begin" w:fldLock="1"/>
      </w:r>
      <w:r w:rsidRPr="0062582F">
        <w:instrText xml:space="preserve"> TOC \h \z \t "Heading 1 Blue Pt3,3,Heading 1 Pt3,3" </w:instrText>
      </w:r>
      <w:r w:rsidRPr="0062582F">
        <w:fldChar w:fldCharType="separate"/>
      </w:r>
      <w:hyperlink w:anchor="_Toc416691904" w:history="1">
        <w:r w:rsidRPr="0062582F">
          <w:rPr>
            <w:rStyle w:val="Hyperlink"/>
          </w:rPr>
          <w:t>About the Model financial statements</w:t>
        </w:r>
        <w:r w:rsidRPr="0062582F">
          <w:rPr>
            <w:webHidden/>
          </w:rPr>
          <w:tab/>
        </w:r>
        <w:r w:rsidRPr="0062582F">
          <w:rPr>
            <w:webHidden/>
          </w:rPr>
          <w:fldChar w:fldCharType="begin" w:fldLock="1"/>
        </w:r>
        <w:r w:rsidRPr="0062582F">
          <w:rPr>
            <w:webHidden/>
          </w:rPr>
          <w:instrText xml:space="preserve"> PAGEREF _Toc416691904 \h </w:instrText>
        </w:r>
        <w:r w:rsidRPr="0062582F">
          <w:rPr>
            <w:webHidden/>
          </w:rPr>
        </w:r>
        <w:r w:rsidRPr="0062582F">
          <w:rPr>
            <w:webHidden/>
          </w:rPr>
          <w:fldChar w:fldCharType="separate"/>
        </w:r>
        <w:r>
          <w:rPr>
            <w:webHidden/>
          </w:rPr>
          <w:t>73</w:t>
        </w:r>
        <w:r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05" w:history="1">
        <w:r w:rsidR="004843DB" w:rsidRPr="0062582F">
          <w:rPr>
            <w:rStyle w:val="Hyperlink"/>
          </w:rPr>
          <w:t>Minimum general requirements under AASB 101 and AASB 108</w:t>
        </w:r>
        <w:r w:rsidR="004843DB" w:rsidRPr="0062582F">
          <w:rPr>
            <w:webHidden/>
          </w:rPr>
          <w:tab/>
        </w:r>
        <w:r w:rsidR="004843DB" w:rsidRPr="0062582F">
          <w:rPr>
            <w:webHidden/>
          </w:rPr>
          <w:fldChar w:fldCharType="begin" w:fldLock="1"/>
        </w:r>
        <w:r w:rsidR="004843DB" w:rsidRPr="0062582F">
          <w:rPr>
            <w:webHidden/>
          </w:rPr>
          <w:instrText xml:space="preserve"> PAGEREF _Toc416691905 \h </w:instrText>
        </w:r>
        <w:r w:rsidR="004843DB" w:rsidRPr="0062582F">
          <w:rPr>
            <w:webHidden/>
          </w:rPr>
        </w:r>
        <w:r w:rsidR="004843DB" w:rsidRPr="0062582F">
          <w:rPr>
            <w:webHidden/>
          </w:rPr>
          <w:fldChar w:fldCharType="separate"/>
        </w:r>
        <w:r w:rsidR="004843DB">
          <w:rPr>
            <w:webHidden/>
          </w:rPr>
          <w:t>74</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06" w:history="1">
        <w:r w:rsidR="004843DB" w:rsidRPr="0062582F">
          <w:rPr>
            <w:rStyle w:val="Hyperlink"/>
          </w:rPr>
          <w:t>General presentation requirements</w:t>
        </w:r>
        <w:r w:rsidR="004843DB" w:rsidRPr="0062582F">
          <w:rPr>
            <w:webHidden/>
          </w:rPr>
          <w:tab/>
        </w:r>
        <w:r w:rsidR="004843DB" w:rsidRPr="0062582F">
          <w:rPr>
            <w:webHidden/>
          </w:rPr>
          <w:fldChar w:fldCharType="begin" w:fldLock="1"/>
        </w:r>
        <w:r w:rsidR="004843DB" w:rsidRPr="0062582F">
          <w:rPr>
            <w:webHidden/>
          </w:rPr>
          <w:instrText xml:space="preserve"> PAGEREF _Toc416691906 \h </w:instrText>
        </w:r>
        <w:r w:rsidR="004843DB" w:rsidRPr="0062582F">
          <w:rPr>
            <w:webHidden/>
          </w:rPr>
        </w:r>
        <w:r w:rsidR="004843DB" w:rsidRPr="0062582F">
          <w:rPr>
            <w:webHidden/>
          </w:rPr>
          <w:fldChar w:fldCharType="separate"/>
        </w:r>
        <w:r w:rsidR="004843DB">
          <w:rPr>
            <w:webHidden/>
          </w:rPr>
          <w:t>75</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07" w:history="1">
        <w:r w:rsidR="004843DB" w:rsidRPr="0062582F">
          <w:rPr>
            <w:rStyle w:val="Hyperlink"/>
          </w:rPr>
          <w:t>Not</w:t>
        </w:r>
        <w:r w:rsidR="005A4BB0">
          <w:rPr>
            <w:rStyle w:val="Hyperlink"/>
          </w:rPr>
          <w:noBreakHyphen/>
        </w:r>
        <w:r w:rsidR="004843DB" w:rsidRPr="0062582F">
          <w:rPr>
            <w:rStyle w:val="Hyperlink"/>
          </w:rPr>
          <w:t>for</w:t>
        </w:r>
        <w:r w:rsidR="005A4BB0">
          <w:rPr>
            <w:rStyle w:val="Hyperlink"/>
          </w:rPr>
          <w:noBreakHyphen/>
        </w:r>
        <w:r w:rsidR="004843DB" w:rsidRPr="0062582F">
          <w:rPr>
            <w:rStyle w:val="Hyperlink"/>
          </w:rPr>
          <w:t>profit guidance</w:t>
        </w:r>
        <w:r w:rsidR="004843DB" w:rsidRPr="0062582F">
          <w:rPr>
            <w:webHidden/>
          </w:rPr>
          <w:tab/>
        </w:r>
        <w:r w:rsidR="004843DB" w:rsidRPr="0062582F">
          <w:rPr>
            <w:webHidden/>
          </w:rPr>
          <w:fldChar w:fldCharType="begin" w:fldLock="1"/>
        </w:r>
        <w:r w:rsidR="004843DB" w:rsidRPr="0062582F">
          <w:rPr>
            <w:webHidden/>
          </w:rPr>
          <w:instrText xml:space="preserve"> PAGEREF _Toc416691907 \h </w:instrText>
        </w:r>
        <w:r w:rsidR="004843DB" w:rsidRPr="0062582F">
          <w:rPr>
            <w:webHidden/>
          </w:rPr>
        </w:r>
        <w:r w:rsidR="004843DB" w:rsidRPr="0062582F">
          <w:rPr>
            <w:webHidden/>
          </w:rPr>
          <w:fldChar w:fldCharType="separate"/>
        </w:r>
        <w:r w:rsidR="004843DB">
          <w:rPr>
            <w:webHidden/>
          </w:rPr>
          <w:t>77</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08" w:history="1">
        <w:r w:rsidR="004843DB" w:rsidRPr="0062582F">
          <w:rPr>
            <w:rStyle w:val="Hyperlink"/>
          </w:rPr>
          <w:t>Exclusions</w:t>
        </w:r>
        <w:r w:rsidR="004843DB" w:rsidRPr="0062582F">
          <w:rPr>
            <w:webHidden/>
          </w:rPr>
          <w:tab/>
        </w:r>
        <w:r w:rsidR="004843DB" w:rsidRPr="0062582F">
          <w:rPr>
            <w:webHidden/>
          </w:rPr>
          <w:fldChar w:fldCharType="begin" w:fldLock="1"/>
        </w:r>
        <w:r w:rsidR="004843DB" w:rsidRPr="0062582F">
          <w:rPr>
            <w:webHidden/>
          </w:rPr>
          <w:instrText xml:space="preserve"> PAGEREF _Toc416691908 \h </w:instrText>
        </w:r>
        <w:r w:rsidR="004843DB" w:rsidRPr="0062582F">
          <w:rPr>
            <w:webHidden/>
          </w:rPr>
        </w:r>
        <w:r w:rsidR="004843DB" w:rsidRPr="0062582F">
          <w:rPr>
            <w:webHidden/>
          </w:rPr>
          <w:fldChar w:fldCharType="separate"/>
        </w:r>
        <w:r w:rsidR="004843DB">
          <w:rPr>
            <w:webHidden/>
          </w:rPr>
          <w:t>78</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09" w:history="1">
        <w:r w:rsidR="004843DB" w:rsidRPr="0062582F">
          <w:rPr>
            <w:rStyle w:val="Hyperlink"/>
          </w:rPr>
          <w:t>IASB/AASB developments potentially relevant to government</w:t>
        </w:r>
        <w:r w:rsidR="004843DB" w:rsidRPr="0062582F">
          <w:rPr>
            <w:webHidden/>
          </w:rPr>
          <w:tab/>
        </w:r>
        <w:r w:rsidR="004843DB" w:rsidRPr="0062582F">
          <w:rPr>
            <w:webHidden/>
          </w:rPr>
          <w:fldChar w:fldCharType="begin" w:fldLock="1"/>
        </w:r>
        <w:r w:rsidR="004843DB" w:rsidRPr="0062582F">
          <w:rPr>
            <w:webHidden/>
          </w:rPr>
          <w:instrText xml:space="preserve"> PAGEREF _Toc416691909 \h </w:instrText>
        </w:r>
        <w:r w:rsidR="004843DB" w:rsidRPr="0062582F">
          <w:rPr>
            <w:webHidden/>
          </w:rPr>
        </w:r>
        <w:r w:rsidR="004843DB" w:rsidRPr="0062582F">
          <w:rPr>
            <w:webHidden/>
          </w:rPr>
          <w:fldChar w:fldCharType="separate"/>
        </w:r>
        <w:r w:rsidR="004843DB">
          <w:rPr>
            <w:webHidden/>
          </w:rPr>
          <w:t>80</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10" w:history="1">
        <w:r w:rsidR="004843DB" w:rsidRPr="0062582F">
          <w:rPr>
            <w:rStyle w:val="Hyperlink"/>
          </w:rPr>
          <w:t>Accounting pronouncements</w:t>
        </w:r>
        <w:r w:rsidR="004843DB" w:rsidRPr="0062582F">
          <w:rPr>
            <w:webHidden/>
          </w:rPr>
          <w:tab/>
        </w:r>
        <w:r w:rsidR="004843DB" w:rsidRPr="0062582F">
          <w:rPr>
            <w:webHidden/>
          </w:rPr>
          <w:fldChar w:fldCharType="begin" w:fldLock="1"/>
        </w:r>
        <w:r w:rsidR="004843DB" w:rsidRPr="0062582F">
          <w:rPr>
            <w:webHidden/>
          </w:rPr>
          <w:instrText xml:space="preserve"> PAGEREF _Toc416691910 \h </w:instrText>
        </w:r>
        <w:r w:rsidR="004843DB" w:rsidRPr="0062582F">
          <w:rPr>
            <w:webHidden/>
          </w:rPr>
        </w:r>
        <w:r w:rsidR="004843DB" w:rsidRPr="0062582F">
          <w:rPr>
            <w:webHidden/>
          </w:rPr>
          <w:fldChar w:fldCharType="separate"/>
        </w:r>
        <w:r w:rsidR="004843DB">
          <w:rPr>
            <w:webHidden/>
          </w:rPr>
          <w:t>80</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11" w:history="1">
        <w:r w:rsidR="004843DB" w:rsidRPr="0062582F">
          <w:rPr>
            <w:rStyle w:val="Hyperlink"/>
          </w:rPr>
          <w:t>Budget and Financial Management Guidances</w:t>
        </w:r>
        <w:r w:rsidR="004843DB" w:rsidRPr="0062582F">
          <w:rPr>
            <w:webHidden/>
          </w:rPr>
          <w:tab/>
        </w:r>
        <w:r w:rsidR="004843DB" w:rsidRPr="0062582F">
          <w:rPr>
            <w:webHidden/>
          </w:rPr>
          <w:fldChar w:fldCharType="begin" w:fldLock="1"/>
        </w:r>
        <w:r w:rsidR="004843DB" w:rsidRPr="0062582F">
          <w:rPr>
            <w:webHidden/>
          </w:rPr>
          <w:instrText xml:space="preserve"> PAGEREF _Toc416691911 \h </w:instrText>
        </w:r>
        <w:r w:rsidR="004843DB" w:rsidRPr="0062582F">
          <w:rPr>
            <w:webHidden/>
          </w:rPr>
        </w:r>
        <w:r w:rsidR="004843DB" w:rsidRPr="0062582F">
          <w:rPr>
            <w:webHidden/>
          </w:rPr>
          <w:fldChar w:fldCharType="separate"/>
        </w:r>
        <w:r w:rsidR="004843DB">
          <w:rPr>
            <w:webHidden/>
          </w:rPr>
          <w:t>81</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12" w:history="1">
        <w:r w:rsidR="004843DB" w:rsidRPr="0062582F">
          <w:rPr>
            <w:rStyle w:val="Hyperlink"/>
          </w:rPr>
          <w:t>Accountable Officer</w:t>
        </w:r>
        <w:r w:rsidR="005A4BB0">
          <w:rPr>
            <w:rStyle w:val="Hyperlink"/>
          </w:rPr>
          <w:t>’</w:t>
        </w:r>
        <w:r w:rsidR="004843DB" w:rsidRPr="0062582F">
          <w:rPr>
            <w:rStyle w:val="Hyperlink"/>
          </w:rPr>
          <w:t>s and Chief Finance and Accounting Officer</w:t>
        </w:r>
        <w:r w:rsidR="005A4BB0">
          <w:rPr>
            <w:rStyle w:val="Hyperlink"/>
          </w:rPr>
          <w:t>’</w:t>
        </w:r>
        <w:r w:rsidR="004843DB" w:rsidRPr="0062582F">
          <w:rPr>
            <w:rStyle w:val="Hyperlink"/>
          </w:rPr>
          <w:t>s declaration</w:t>
        </w:r>
        <w:r w:rsidR="004843DB" w:rsidRPr="0062582F">
          <w:rPr>
            <w:webHidden/>
          </w:rPr>
          <w:tab/>
        </w:r>
        <w:r w:rsidR="004843DB" w:rsidRPr="0062582F">
          <w:rPr>
            <w:webHidden/>
          </w:rPr>
          <w:fldChar w:fldCharType="begin" w:fldLock="1"/>
        </w:r>
        <w:r w:rsidR="004843DB" w:rsidRPr="0062582F">
          <w:rPr>
            <w:webHidden/>
          </w:rPr>
          <w:instrText xml:space="preserve"> PAGEREF _Toc416691912 \h </w:instrText>
        </w:r>
        <w:r w:rsidR="004843DB" w:rsidRPr="0062582F">
          <w:rPr>
            <w:webHidden/>
          </w:rPr>
        </w:r>
        <w:r w:rsidR="004843DB" w:rsidRPr="0062582F">
          <w:rPr>
            <w:webHidden/>
          </w:rPr>
          <w:fldChar w:fldCharType="separate"/>
        </w:r>
        <w:r w:rsidR="004843DB">
          <w:rPr>
            <w:webHidden/>
          </w:rPr>
          <w:t>83</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13" w:history="1">
        <w:r w:rsidR="004843DB" w:rsidRPr="0062582F">
          <w:rPr>
            <w:rStyle w:val="Hyperlink"/>
          </w:rPr>
          <w:t>Comprehensive operating statement for the financial year ended 30 June 2016</w:t>
        </w:r>
        <w:r w:rsidR="004843DB" w:rsidRPr="0062582F">
          <w:rPr>
            <w:webHidden/>
          </w:rPr>
          <w:tab/>
        </w:r>
        <w:r w:rsidR="004843DB" w:rsidRPr="0062582F">
          <w:rPr>
            <w:webHidden/>
          </w:rPr>
          <w:fldChar w:fldCharType="begin" w:fldLock="1"/>
        </w:r>
        <w:r w:rsidR="004843DB" w:rsidRPr="0062582F">
          <w:rPr>
            <w:webHidden/>
          </w:rPr>
          <w:instrText xml:space="preserve"> PAGEREF _Toc416691913 \h </w:instrText>
        </w:r>
        <w:r w:rsidR="004843DB" w:rsidRPr="0062582F">
          <w:rPr>
            <w:webHidden/>
          </w:rPr>
        </w:r>
        <w:r w:rsidR="004843DB" w:rsidRPr="0062582F">
          <w:rPr>
            <w:webHidden/>
          </w:rPr>
          <w:fldChar w:fldCharType="separate"/>
        </w:r>
        <w:r w:rsidR="004843DB">
          <w:rPr>
            <w:webHidden/>
          </w:rPr>
          <w:t>86</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14" w:history="1">
        <w:r w:rsidR="004843DB" w:rsidRPr="0062582F">
          <w:rPr>
            <w:rStyle w:val="Hyperlink"/>
          </w:rPr>
          <w:t>Balance sheet as at 30 June 2016</w:t>
        </w:r>
        <w:r w:rsidR="004843DB" w:rsidRPr="0062582F">
          <w:rPr>
            <w:webHidden/>
          </w:rPr>
          <w:tab/>
        </w:r>
        <w:r w:rsidR="004843DB" w:rsidRPr="0062582F">
          <w:rPr>
            <w:webHidden/>
          </w:rPr>
          <w:fldChar w:fldCharType="begin" w:fldLock="1"/>
        </w:r>
        <w:r w:rsidR="004843DB" w:rsidRPr="0062582F">
          <w:rPr>
            <w:webHidden/>
          </w:rPr>
          <w:instrText xml:space="preserve"> PAGEREF _Toc416691914 \h </w:instrText>
        </w:r>
        <w:r w:rsidR="004843DB" w:rsidRPr="0062582F">
          <w:rPr>
            <w:webHidden/>
          </w:rPr>
        </w:r>
        <w:r w:rsidR="004843DB" w:rsidRPr="0062582F">
          <w:rPr>
            <w:webHidden/>
          </w:rPr>
          <w:fldChar w:fldCharType="separate"/>
        </w:r>
        <w:r w:rsidR="004843DB">
          <w:rPr>
            <w:webHidden/>
          </w:rPr>
          <w:t>90</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15" w:history="1">
        <w:r w:rsidR="004843DB" w:rsidRPr="0062582F">
          <w:rPr>
            <w:rStyle w:val="Hyperlink"/>
          </w:rPr>
          <w:t>Statement of changes in equity for the financial year ended 30 June 2016</w:t>
        </w:r>
        <w:r w:rsidR="004843DB" w:rsidRPr="0062582F">
          <w:rPr>
            <w:webHidden/>
          </w:rPr>
          <w:tab/>
        </w:r>
        <w:r w:rsidR="004843DB" w:rsidRPr="0062582F">
          <w:rPr>
            <w:webHidden/>
          </w:rPr>
          <w:fldChar w:fldCharType="begin" w:fldLock="1"/>
        </w:r>
        <w:r w:rsidR="004843DB" w:rsidRPr="0062582F">
          <w:rPr>
            <w:webHidden/>
          </w:rPr>
          <w:instrText xml:space="preserve"> PAGEREF _Toc416691915 \h </w:instrText>
        </w:r>
        <w:r w:rsidR="004843DB" w:rsidRPr="0062582F">
          <w:rPr>
            <w:webHidden/>
          </w:rPr>
        </w:r>
        <w:r w:rsidR="004843DB" w:rsidRPr="0062582F">
          <w:rPr>
            <w:webHidden/>
          </w:rPr>
          <w:fldChar w:fldCharType="separate"/>
        </w:r>
        <w:r w:rsidR="004843DB">
          <w:rPr>
            <w:webHidden/>
          </w:rPr>
          <w:t>94</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16" w:history="1">
        <w:r w:rsidR="004843DB" w:rsidRPr="0062582F">
          <w:rPr>
            <w:rStyle w:val="Hyperlink"/>
          </w:rPr>
          <w:t>Cash flow statement for the financial year ended 30 June 2016</w:t>
        </w:r>
        <w:r w:rsidR="004843DB" w:rsidRPr="0062582F">
          <w:rPr>
            <w:webHidden/>
          </w:rPr>
          <w:tab/>
        </w:r>
        <w:r w:rsidR="004843DB" w:rsidRPr="0062582F">
          <w:rPr>
            <w:webHidden/>
          </w:rPr>
          <w:fldChar w:fldCharType="begin" w:fldLock="1"/>
        </w:r>
        <w:r w:rsidR="004843DB" w:rsidRPr="0062582F">
          <w:rPr>
            <w:webHidden/>
          </w:rPr>
          <w:instrText xml:space="preserve"> PAGEREF _Toc416691916 \h </w:instrText>
        </w:r>
        <w:r w:rsidR="004843DB" w:rsidRPr="0062582F">
          <w:rPr>
            <w:webHidden/>
          </w:rPr>
        </w:r>
        <w:r w:rsidR="004843DB" w:rsidRPr="0062582F">
          <w:rPr>
            <w:webHidden/>
          </w:rPr>
          <w:fldChar w:fldCharType="separate"/>
        </w:r>
        <w:r w:rsidR="004843DB">
          <w:rPr>
            <w:webHidden/>
          </w:rPr>
          <w:t>97</w:t>
        </w:r>
        <w:r w:rsidR="004843DB" w:rsidRPr="0062582F">
          <w:rPr>
            <w:webHidden/>
          </w:rPr>
          <w:fldChar w:fldCharType="end"/>
        </w:r>
      </w:hyperlink>
    </w:p>
    <w:p w:rsidR="004843DB" w:rsidRPr="0062582F" w:rsidRDefault="00B934BC" w:rsidP="004843DB">
      <w:pPr>
        <w:pStyle w:val="TOC3"/>
        <w:rPr>
          <w:rFonts w:asciiTheme="minorHAnsi" w:eastAsiaTheme="minorEastAsia" w:hAnsiTheme="minorHAnsi" w:cstheme="minorBidi"/>
          <w:sz w:val="22"/>
          <w:szCs w:val="22"/>
        </w:rPr>
      </w:pPr>
      <w:hyperlink w:anchor="_Toc416691917" w:history="1">
        <w:r w:rsidR="004843DB" w:rsidRPr="0062582F">
          <w:rPr>
            <w:rStyle w:val="Hyperlink"/>
          </w:rPr>
          <w:t>Notes to the financial statements</w:t>
        </w:r>
        <w:r w:rsidR="004843DB" w:rsidRPr="0062582F">
          <w:rPr>
            <w:webHidden/>
          </w:rPr>
          <w:tab/>
        </w:r>
        <w:r w:rsidR="004843DB" w:rsidRPr="0062582F">
          <w:rPr>
            <w:webHidden/>
          </w:rPr>
          <w:fldChar w:fldCharType="begin" w:fldLock="1"/>
        </w:r>
        <w:r w:rsidR="004843DB" w:rsidRPr="0062582F">
          <w:rPr>
            <w:webHidden/>
          </w:rPr>
          <w:instrText xml:space="preserve"> PAGEREF _Toc416691917 \h </w:instrText>
        </w:r>
        <w:r w:rsidR="004843DB" w:rsidRPr="0062582F">
          <w:rPr>
            <w:webHidden/>
          </w:rPr>
        </w:r>
        <w:r w:rsidR="004843DB" w:rsidRPr="0062582F">
          <w:rPr>
            <w:webHidden/>
          </w:rPr>
          <w:fldChar w:fldCharType="separate"/>
        </w:r>
        <w:r w:rsidR="004843DB">
          <w:rPr>
            <w:webHidden/>
          </w:rPr>
          <w:t>101</w:t>
        </w:r>
        <w:r w:rsidR="004843DB" w:rsidRPr="0062582F">
          <w:rPr>
            <w:webHidden/>
          </w:rPr>
          <w:fldChar w:fldCharType="end"/>
        </w:r>
      </w:hyperlink>
    </w:p>
    <w:p w:rsidR="004843DB" w:rsidRPr="0062582F" w:rsidRDefault="004843DB" w:rsidP="004843DB">
      <w:pPr>
        <w:rPr>
          <w:rFonts w:ascii="Calibri" w:hAnsi="Calibri" w:cs="Arial"/>
          <w:noProof/>
          <w:sz w:val="20"/>
          <w:szCs w:val="20"/>
        </w:rPr>
      </w:pPr>
      <w:r w:rsidRPr="0062582F">
        <w:rPr>
          <w:rFonts w:ascii="Calibri" w:hAnsi="Calibri" w:cs="Arial"/>
          <w:noProof/>
          <w:sz w:val="20"/>
          <w:szCs w:val="20"/>
        </w:rPr>
        <w:fldChar w:fldCharType="end"/>
      </w:r>
    </w:p>
    <w:p w:rsidR="004843DB" w:rsidRPr="0062582F" w:rsidRDefault="004843DB" w:rsidP="004843DB">
      <w:pPr>
        <w:rPr>
          <w:rFonts w:ascii="Calibri" w:hAnsi="Calibri" w:cs="Arial"/>
          <w:noProof/>
          <w:sz w:val="20"/>
          <w:szCs w:val="20"/>
        </w:rPr>
      </w:pPr>
    </w:p>
    <w:p w:rsidR="004843DB" w:rsidRPr="0062582F" w:rsidRDefault="004843DB" w:rsidP="004843DB">
      <w:pPr>
        <w:sectPr w:rsidR="004843DB" w:rsidRPr="0062582F" w:rsidSect="0027405F">
          <w:footerReference w:type="even" r:id="rId116"/>
          <w:footerReference w:type="default" r:id="rId117"/>
          <w:headerReference w:type="first" r:id="rId118"/>
          <w:footerReference w:type="first" r:id="rId119"/>
          <w:pgSz w:w="11906" w:h="16838" w:code="9"/>
          <w:pgMar w:top="1152" w:right="864" w:bottom="1152" w:left="864" w:header="432" w:footer="432" w:gutter="0"/>
          <w:pgNumType w:start="73"/>
          <w:cols w:num="2" w:space="360" w:equalWidth="0">
            <w:col w:w="1440" w:space="360"/>
            <w:col w:w="8090"/>
          </w:cols>
          <w:titlePg/>
        </w:sectPr>
      </w:pPr>
    </w:p>
    <w:p w:rsidR="004843DB" w:rsidRPr="0062582F" w:rsidRDefault="004843DB" w:rsidP="004843DB">
      <w:pPr>
        <w:pStyle w:val="Reference"/>
      </w:pPr>
    </w:p>
    <w:p w:rsidR="004843DB" w:rsidRPr="0062582F" w:rsidRDefault="004843DB" w:rsidP="004843DB">
      <w:pPr>
        <w:pStyle w:val="Heading1BluePt3"/>
      </w:pPr>
      <w:r w:rsidRPr="0062582F">
        <w:br w:type="column"/>
      </w:r>
      <w:bookmarkStart w:id="129" w:name="_Toc331754621"/>
      <w:bookmarkStart w:id="130" w:name="_Toc416691904"/>
      <w:r w:rsidRPr="0062582F">
        <w:lastRenderedPageBreak/>
        <w:t>About the Model financial statements</w:t>
      </w:r>
      <w:bookmarkEnd w:id="129"/>
      <w:bookmarkEnd w:id="130"/>
    </w:p>
    <w:p w:rsidR="004843DB" w:rsidRPr="0062582F" w:rsidRDefault="004843DB" w:rsidP="004843DB">
      <w:pPr>
        <w:pStyle w:val="NormalBlue"/>
      </w:pPr>
      <w:r w:rsidRPr="0062582F">
        <w:t xml:space="preserve">The Model financial statements (the Model) illustrates the minimum disclosure requirements for the financial statements and accompanying notes that are representative of the types of transactions and events that may occur in departments. Departments are </w:t>
      </w:r>
      <w:r w:rsidRPr="0062582F">
        <w:rPr>
          <w:b/>
        </w:rPr>
        <w:t xml:space="preserve">required to adopt the presentation formats </w:t>
      </w:r>
      <w:r w:rsidRPr="0062582F">
        <w:t>(the look and feel)</w:t>
      </w:r>
      <w:r w:rsidRPr="0062582F">
        <w:rPr>
          <w:b/>
        </w:rPr>
        <w:t xml:space="preserve"> </w:t>
      </w:r>
      <w:r w:rsidRPr="0062582F">
        <w:t>illustrated</w:t>
      </w:r>
      <w:r w:rsidRPr="0062582F">
        <w:rPr>
          <w:b/>
        </w:rPr>
        <w:t xml:space="preserve"> </w:t>
      </w:r>
      <w:r w:rsidRPr="0062582F">
        <w:t xml:space="preserve">in the Model in preparing their financial statements and notes. However, the </w:t>
      </w:r>
      <w:r w:rsidRPr="0062582F">
        <w:rPr>
          <w:b/>
        </w:rPr>
        <w:t>textual information</w:t>
      </w:r>
      <w:r w:rsidRPr="0062582F">
        <w:t xml:space="preserve"> and illustrations provided in the Model are based on a fictitious department and </w:t>
      </w:r>
      <w:r w:rsidRPr="0062582F">
        <w:rPr>
          <w:b/>
        </w:rPr>
        <w:t>should not</w:t>
      </w:r>
      <w:r w:rsidRPr="0062582F">
        <w:t xml:space="preserve"> be used as a template.</w:t>
      </w:r>
    </w:p>
    <w:p w:rsidR="004843DB" w:rsidRPr="0062582F" w:rsidRDefault="004843DB" w:rsidP="004843DB">
      <w:pPr>
        <w:pStyle w:val="NormalBlue"/>
      </w:pPr>
      <w:r w:rsidRPr="0062582F">
        <w:t xml:space="preserve">The requirement for departments to adopt the presentation format in the Model is in accordance with Direction 4.2 of the Standing Directions of the Minister for Finance under the </w:t>
      </w:r>
      <w:r w:rsidRPr="0062582F">
        <w:rPr>
          <w:i/>
        </w:rPr>
        <w:t>Financial Management Act</w:t>
      </w:r>
      <w:r w:rsidRPr="0062582F">
        <w:t xml:space="preserve"> </w:t>
      </w:r>
      <w:r w:rsidRPr="0062582F">
        <w:rPr>
          <w:i/>
        </w:rPr>
        <w:t>1994</w:t>
      </w:r>
      <w:r w:rsidRPr="0062582F">
        <w:t>. In addition, departmental financial statements must also comply with:</w:t>
      </w:r>
    </w:p>
    <w:p w:rsidR="004843DB" w:rsidRPr="0062582F" w:rsidRDefault="004843DB" w:rsidP="004843DB">
      <w:pPr>
        <w:pStyle w:val="BulletBlue"/>
      </w:pPr>
      <w:r w:rsidRPr="0062582F">
        <w:t>Australian Accounting Standards (AASs) which includes Interpretations;</w:t>
      </w:r>
    </w:p>
    <w:p w:rsidR="004843DB" w:rsidRPr="0062582F" w:rsidRDefault="004843DB" w:rsidP="004843DB">
      <w:pPr>
        <w:pStyle w:val="BulletBlue"/>
      </w:pPr>
      <w:r w:rsidRPr="0062582F">
        <w:t>Financial Reporting Directions (FRDs); and</w:t>
      </w:r>
    </w:p>
    <w:p w:rsidR="004843DB" w:rsidRPr="0062582F" w:rsidRDefault="004843DB" w:rsidP="004843DB">
      <w:pPr>
        <w:pStyle w:val="BulletBlue"/>
      </w:pPr>
      <w:r w:rsidRPr="0062582F">
        <w:t>business rules in the Budget Financial Management Guidances (BFMGs).</w:t>
      </w:r>
    </w:p>
    <w:p w:rsidR="004843DB" w:rsidRPr="0062582F" w:rsidRDefault="004843DB" w:rsidP="004843DB">
      <w:pPr>
        <w:pStyle w:val="NormalBlue"/>
        <w:sectPr w:rsidR="004843DB" w:rsidRPr="0062582F" w:rsidSect="00190A01">
          <w:headerReference w:type="even" r:id="rId120"/>
          <w:headerReference w:type="default" r:id="rId121"/>
          <w:headerReference w:type="first" r:id="rId122"/>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FRD 30C</w:t>
      </w:r>
    </w:p>
    <w:p w:rsidR="004843DB" w:rsidRPr="0062582F" w:rsidRDefault="004843DB" w:rsidP="004843DB">
      <w:pPr>
        <w:pStyle w:val="NormalBlue"/>
      </w:pPr>
      <w:r w:rsidRPr="0062582F">
        <w:br w:type="column"/>
      </w:r>
      <w:r w:rsidRPr="0062582F">
        <w:lastRenderedPageBreak/>
        <w:t xml:space="preserve">Additionally, FRD 30C provides specifications on the design of annual reports, use of colour and images, standard sizing, paper stocks, and other publishing requirements, which focus on reducing publication costs and environmental impacts, and enable greater consistency in the presentation of government annual reports. The FRD can be found on the DTF website </w:t>
      </w:r>
      <w:hyperlink r:id="rId123" w:history="1">
        <w:r w:rsidRPr="0062582F">
          <w:rPr>
            <w:rStyle w:val="Hyperlink"/>
          </w:rPr>
          <w:t>www.dtf.vic.gov.au</w:t>
        </w:r>
      </w:hyperlink>
      <w:r w:rsidRPr="0062582F">
        <w:t xml:space="preserve"> under Financial Reporting Directions.</w:t>
      </w:r>
    </w:p>
    <w:p w:rsidR="004843DB" w:rsidRPr="0062582F" w:rsidRDefault="004843DB" w:rsidP="004843DB">
      <w:pPr>
        <w:pStyle w:val="NormalBlue"/>
      </w:pPr>
      <w:r w:rsidRPr="0062582F">
        <w:br w:type="page"/>
      </w:r>
    </w:p>
    <w:p w:rsidR="004843DB" w:rsidRPr="0062582F" w:rsidRDefault="004843DB" w:rsidP="004843DB">
      <w:pPr>
        <w:pStyle w:val="Heading2BluePt3"/>
        <w:rPr>
          <w:sz w:val="20"/>
        </w:rPr>
      </w:pPr>
      <w:r w:rsidRPr="0062582F">
        <w:lastRenderedPageBreak/>
        <w:br w:type="column"/>
      </w:r>
      <w:r w:rsidRPr="0062582F">
        <w:lastRenderedPageBreak/>
        <w:t>Use of professional judgement</w:t>
      </w:r>
    </w:p>
    <w:p w:rsidR="004843DB" w:rsidRPr="0062582F" w:rsidRDefault="004843DB" w:rsidP="004843DB">
      <w:pPr>
        <w:pStyle w:val="NormalBlue"/>
      </w:pPr>
      <w:r w:rsidRPr="0062582F">
        <w:t xml:space="preserve">The Model provides a valuable guide by illustrating the </w:t>
      </w:r>
      <w:r w:rsidRPr="0062582F">
        <w:rPr>
          <w:b/>
        </w:rPr>
        <w:t>minimum</w:t>
      </w:r>
      <w:r w:rsidRPr="0062582F">
        <w:t xml:space="preserve"> disclosure requirements in accordance with the requirements of applicable AASs and FRDs. However, Model users will need to use their own knowledge of the disclosure requirements of applicable pronouncements and to use professional judgement in making appropriate disclosures following the guidance in this Model.</w:t>
      </w:r>
    </w:p>
    <w:p w:rsidR="004843DB" w:rsidRPr="0062582F" w:rsidRDefault="004843DB" w:rsidP="004843DB">
      <w:pPr>
        <w:pStyle w:val="NormalBlue"/>
      </w:pPr>
      <w:r w:rsidRPr="0062582F">
        <w:t>Model</w:t>
      </w:r>
      <w:r w:rsidRPr="0062582F">
        <w:rPr>
          <w:i/>
        </w:rPr>
        <w:t xml:space="preserve"> </w:t>
      </w:r>
      <w:r w:rsidRPr="0062582F">
        <w:t xml:space="preserve">users </w:t>
      </w:r>
      <w:r w:rsidRPr="0062582F">
        <w:rPr>
          <w:b/>
        </w:rPr>
        <w:t>should not</w:t>
      </w:r>
      <w:r w:rsidRPr="0062582F">
        <w:t>:</w:t>
      </w:r>
    </w:p>
    <w:p w:rsidR="004843DB" w:rsidRPr="0062582F" w:rsidRDefault="004843DB" w:rsidP="004843DB">
      <w:pPr>
        <w:pStyle w:val="BulletBlue"/>
      </w:pPr>
      <w:r w:rsidRPr="0062582F">
        <w:t>use this Model as a substitute for referring to the AASs and FRDs themselves. Preparers should ensure that their annual reports comply with all new/revised AASs and FRDs that may be issued subsequent to the publication of the Model that are applicable;</w:t>
      </w:r>
    </w:p>
    <w:p w:rsidR="004843DB" w:rsidRPr="0062582F" w:rsidRDefault="004843DB" w:rsidP="004843DB">
      <w:pPr>
        <w:pStyle w:val="BulletBlue"/>
        <w:rPr>
          <w:b/>
          <w:bCs/>
          <w:i/>
          <w:iCs/>
        </w:rPr>
      </w:pPr>
      <w:r w:rsidRPr="0062582F">
        <w:t>simply copy and paste the textual information and illustrations from the Model into their disclosure notes, except for financial table formats. Textual information and illustrations are based on a fictitious department. Entities should assess their own situations and provide textual information accordingly; and</w:t>
      </w:r>
    </w:p>
    <w:p w:rsidR="004843DB" w:rsidRPr="0062582F" w:rsidRDefault="004843DB" w:rsidP="004843DB">
      <w:pPr>
        <w:pStyle w:val="BulletBlue"/>
        <w:rPr>
          <w:rFonts w:ascii="Tahoma" w:hAnsi="Tahoma"/>
          <w:lang w:val="en-US"/>
        </w:rPr>
      </w:pPr>
      <w:r w:rsidRPr="0062582F">
        <w:t>disclose all the line items illustrated in the financial statements and the notes in this Model without considering materiality.</w:t>
      </w:r>
    </w:p>
    <w:p w:rsidR="004843DB" w:rsidRPr="0062582F" w:rsidRDefault="004843DB" w:rsidP="004843DB">
      <w:pPr>
        <w:pStyle w:val="Heading1BluePt3"/>
      </w:pPr>
      <w:bookmarkStart w:id="131" w:name="_Toc331754622"/>
      <w:bookmarkStart w:id="132" w:name="_Toc416691905"/>
      <w:r w:rsidRPr="0062582F">
        <w:t>Minimum general requirements under AASB 101 and AASB 108</w:t>
      </w:r>
      <w:bookmarkEnd w:id="131"/>
      <w:bookmarkEnd w:id="132"/>
    </w:p>
    <w:p w:rsidR="004843DB" w:rsidRPr="0062582F" w:rsidRDefault="004843DB" w:rsidP="004843DB">
      <w:pPr>
        <w:pStyle w:val="NormalBlue"/>
        <w:sectPr w:rsidR="004843DB" w:rsidRPr="0062582F" w:rsidSect="00190A01">
          <w:headerReference w:type="even" r:id="rId124"/>
          <w:headerReference w:type="default" r:id="rId125"/>
          <w:headerReference w:type="first" r:id="rId126"/>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101.10</w:t>
      </w:r>
      <w:r w:rsidRPr="0062582F">
        <w:br/>
        <w:t>AASB 101.Aus1.1 (b) and 1(c)</w:t>
      </w:r>
    </w:p>
    <w:p w:rsidR="004843DB" w:rsidRPr="0062582F" w:rsidRDefault="004843DB" w:rsidP="004843DB">
      <w:pPr>
        <w:pStyle w:val="NormalBlue"/>
      </w:pPr>
      <w:r w:rsidRPr="0062582F">
        <w:br w:type="column"/>
      </w:r>
      <w:r w:rsidRPr="0062582F">
        <w:lastRenderedPageBreak/>
        <w:t xml:space="preserve">Minimum general requirements relating to the format of the general purpose financial statements are established in AASB 101 </w:t>
      </w:r>
      <w:r w:rsidRPr="0062582F">
        <w:rPr>
          <w:i/>
          <w:iCs/>
        </w:rPr>
        <w:t>Presentation of Financial Statements</w:t>
      </w:r>
      <w:r w:rsidRPr="0062582F">
        <w:t xml:space="preserve"> and AASB 108 </w:t>
      </w:r>
      <w:r w:rsidRPr="0062582F">
        <w:rPr>
          <w:i/>
          <w:iCs/>
        </w:rPr>
        <w:t>Accounting Policies, Changes in Accounting Estimates and Errors,</w:t>
      </w:r>
      <w:r w:rsidRPr="0062582F">
        <w:t xml:space="preserve"> and have been applied in the </w:t>
      </w:r>
      <w:r w:rsidRPr="0062582F">
        <w:rPr>
          <w:iCs/>
        </w:rPr>
        <w:t>Model</w:t>
      </w:r>
      <w:r w:rsidRPr="0062582F">
        <w:t xml:space="preserve">. </w:t>
      </w:r>
    </w:p>
    <w:p w:rsidR="004843DB" w:rsidRPr="0062582F" w:rsidRDefault="004843DB" w:rsidP="004843DB">
      <w:pPr>
        <w:pStyle w:val="NormalBlue"/>
      </w:pPr>
      <w:r w:rsidRPr="0062582F">
        <w:t xml:space="preserve">AASB 101 allows the </w:t>
      </w:r>
      <w:r w:rsidRPr="0062582F">
        <w:rPr>
          <w:b/>
          <w:bCs/>
        </w:rPr>
        <w:t>presentation formats</w:t>
      </w:r>
      <w:r w:rsidRPr="0062582F">
        <w:t xml:space="preserve"> of financial statements in the Model to be aligned with the general government sector financial statement formats that are in compliance with AASB 1049 </w:t>
      </w:r>
      <w:r w:rsidRPr="0062582F">
        <w:rPr>
          <w:i/>
          <w:iCs/>
        </w:rPr>
        <w:t>Whole of Government and General Government Sector Financial Reporting</w:t>
      </w:r>
      <w:r w:rsidRPr="0062582F">
        <w:t xml:space="preserve">. </w:t>
      </w:r>
    </w:p>
    <w:p w:rsidR="004843DB" w:rsidRPr="0062582F" w:rsidRDefault="004843DB" w:rsidP="004843DB">
      <w:pPr>
        <w:pStyle w:val="NormalBlue"/>
        <w:rPr>
          <w:iCs/>
        </w:rPr>
      </w:pPr>
      <w:r w:rsidRPr="0062582F">
        <w:t>The aim of aligning the Model</w:t>
      </w:r>
      <w:r w:rsidRPr="0062582F">
        <w:rPr>
          <w:i/>
        </w:rPr>
        <w:t xml:space="preserve"> </w:t>
      </w:r>
      <w:r w:rsidRPr="0062582F">
        <w:t>presentation of financial statements with AASB 1049 formats was to achieve greater consistency in reporting across the Victorian public sector. All Victorian public sector entities (whether incorporated or unincorporated or for</w:t>
      </w:r>
      <w:r w:rsidR="005A4BB0">
        <w:noBreakHyphen/>
      </w:r>
      <w:r w:rsidRPr="0062582F">
        <w:t>profit or not</w:t>
      </w:r>
      <w:r w:rsidR="005A4BB0">
        <w:noBreakHyphen/>
      </w:r>
      <w:r w:rsidRPr="0062582F">
        <w:t>for</w:t>
      </w:r>
      <w:r w:rsidR="005A4BB0">
        <w:noBreakHyphen/>
      </w:r>
      <w:r w:rsidRPr="0062582F">
        <w:t>profit) are encouraged to apply the financial statement formats presented in this Model</w:t>
      </w:r>
      <w:r w:rsidRPr="0062582F">
        <w:rPr>
          <w:iCs/>
        </w:rPr>
        <w:t>.</w:t>
      </w:r>
    </w:p>
    <w:p w:rsidR="004843DB" w:rsidRPr="0062582F" w:rsidRDefault="004843DB" w:rsidP="004843DB">
      <w:pPr>
        <w:pStyle w:val="Heading2BluePt3"/>
      </w:pPr>
      <w:r w:rsidRPr="0062582F">
        <w:t>General disclosures</w:t>
      </w:r>
    </w:p>
    <w:p w:rsidR="004843DB" w:rsidRPr="0062582F" w:rsidRDefault="004843DB" w:rsidP="004843DB">
      <w:pPr>
        <w:pStyle w:val="NormalBlue"/>
      </w:pPr>
      <w:r w:rsidRPr="0062582F">
        <w:t>The general disclosures include that:</w:t>
      </w:r>
    </w:p>
    <w:p w:rsidR="004843DB" w:rsidRPr="0062582F" w:rsidRDefault="004843DB" w:rsidP="004843DB">
      <w:pPr>
        <w:pStyle w:val="Referenc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200"/>
      </w:pPr>
      <w:r w:rsidRPr="0062582F">
        <w:lastRenderedPageBreak/>
        <w:t>AASB 101.49</w:t>
      </w:r>
    </w:p>
    <w:p w:rsidR="004843DB" w:rsidRPr="0062582F" w:rsidRDefault="004843DB" w:rsidP="004843DB">
      <w:pPr>
        <w:pStyle w:val="BulletBlue"/>
      </w:pPr>
      <w:r w:rsidRPr="0062582F">
        <w:br w:type="column"/>
      </w:r>
      <w:r w:rsidRPr="0062582F">
        <w:lastRenderedPageBreak/>
        <w:t xml:space="preserve">the complete set of financial statements shall be identified clearly and distinguished from other information in the same published document; </w:t>
      </w:r>
    </w:p>
    <w:p w:rsidR="004843DB" w:rsidRPr="0062582F" w:rsidRDefault="004843DB" w:rsidP="004843DB">
      <w:pPr>
        <w:pStyle w:val="Bullet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180"/>
      </w:pPr>
      <w:r w:rsidRPr="0062582F">
        <w:lastRenderedPageBreak/>
        <w:t>AASB 101.36</w:t>
      </w:r>
    </w:p>
    <w:p w:rsidR="004843DB" w:rsidRPr="0062582F" w:rsidRDefault="004843DB" w:rsidP="004843DB">
      <w:pPr>
        <w:pStyle w:val="BulletBlue"/>
      </w:pPr>
      <w:r w:rsidRPr="0062582F">
        <w:br w:type="column"/>
      </w:r>
      <w:r w:rsidRPr="0062582F">
        <w:lastRenderedPageBreak/>
        <w:t>a complete set of financial statements shall be presented at least annually;</w:t>
      </w:r>
    </w:p>
    <w:p w:rsidR="004843DB" w:rsidRPr="0062582F" w:rsidRDefault="004843DB" w:rsidP="004843DB">
      <w:pPr>
        <w:pStyle w:val="Bullet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180"/>
        <w:rPr>
          <w:lang w:val="en-AU"/>
        </w:rPr>
      </w:pPr>
      <w:r w:rsidRPr="0062582F">
        <w:rPr>
          <w:lang w:val="en-AU"/>
        </w:rPr>
        <w:lastRenderedPageBreak/>
        <w:t>AASB </w:t>
      </w:r>
      <w:r w:rsidRPr="0062582F">
        <w:t>101</w:t>
      </w:r>
      <w:r w:rsidRPr="0062582F">
        <w:rPr>
          <w:lang w:val="en-AU"/>
        </w:rPr>
        <w:t>.36</w:t>
      </w:r>
    </w:p>
    <w:p w:rsidR="004843DB" w:rsidRPr="0062582F" w:rsidRDefault="004843DB" w:rsidP="004843DB">
      <w:pPr>
        <w:pStyle w:val="BulletBlue"/>
      </w:pPr>
      <w:r w:rsidRPr="0062582F">
        <w:br w:type="column"/>
      </w:r>
      <w:r w:rsidRPr="0062582F">
        <w:lastRenderedPageBreak/>
        <w:t>if the entity</w:t>
      </w:r>
      <w:r w:rsidR="005A4BB0">
        <w:t>’</w:t>
      </w:r>
      <w:r w:rsidRPr="0062582F">
        <w:t xml:space="preserve">s reporting period changes and the annual financial statements are presented for a period longer or shorter than one year, the entity shall disclose, in addition to the period covered by the financial statements: </w:t>
      </w:r>
    </w:p>
    <w:p w:rsidR="004843DB" w:rsidRPr="0062582F" w:rsidRDefault="004843DB" w:rsidP="004843DB">
      <w:pPr>
        <w:pStyle w:val="DashBlue"/>
      </w:pPr>
      <w:r w:rsidRPr="0062582F">
        <w:t>the reason for using a longer or shorter period; and</w:t>
      </w:r>
    </w:p>
    <w:p w:rsidR="004843DB" w:rsidRPr="0062582F" w:rsidRDefault="004843DB" w:rsidP="004843DB">
      <w:pPr>
        <w:pStyle w:val="DashBlue"/>
        <w:numPr>
          <w:ilvl w:val="0"/>
          <w:numId w:val="21"/>
        </w:numPr>
      </w:pPr>
      <w:r w:rsidRPr="0062582F">
        <w:t>the fact that comparative amounts for the comprehensive operating statement, the statement of changes in equity, cash flow statement and related notes are not entirely comparable;</w:t>
      </w:r>
    </w:p>
    <w:p w:rsidR="004843DB" w:rsidRPr="0062582F" w:rsidRDefault="004843DB" w:rsidP="004843DB">
      <w:pPr>
        <w:pStyle w:val="BulletBlue"/>
        <w:sectPr w:rsidR="004843DB" w:rsidRPr="0062582F" w:rsidSect="00190A01">
          <w:headerReference w:type="even" r:id="rId127"/>
          <w:headerReference w:type="default" r:id="rId128"/>
          <w:headerReference w:type="first" r:id="rId129"/>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180"/>
      </w:pPr>
      <w:r w:rsidRPr="0062582F">
        <w:lastRenderedPageBreak/>
        <w:t>AASB 101.39</w:t>
      </w:r>
    </w:p>
    <w:p w:rsidR="004843DB" w:rsidRPr="0062582F" w:rsidRDefault="004843DB" w:rsidP="004843DB">
      <w:pPr>
        <w:pStyle w:val="BulletBlue"/>
      </w:pPr>
      <w:r w:rsidRPr="0062582F">
        <w:br w:type="column"/>
      </w:r>
      <w:r w:rsidRPr="0062582F">
        <w:lastRenderedPageBreak/>
        <w:t xml:space="preserve">when an entity applies an accounting policy retrospectively or makes a retrospective restatement of items in its financial statements or when it reclassifies items in its financial statements and the adjustment is </w:t>
      </w:r>
      <w:r w:rsidRPr="0062582F">
        <w:rPr>
          <w:b/>
        </w:rPr>
        <w:t>material</w:t>
      </w:r>
      <w:r w:rsidRPr="0062582F">
        <w:t>, it shall present, as a minimum, three statements of financial position, two of each of the other statements, and related notes. This is illustrated separately in the Model</w:t>
      </w:r>
      <w:r w:rsidRPr="0062582F">
        <w:rPr>
          <w:i/>
        </w:rPr>
        <w:t xml:space="preserve"> </w:t>
      </w:r>
      <w:r w:rsidRPr="0062582F">
        <w:t xml:space="preserve">in the guidance to </w:t>
      </w:r>
      <w:r w:rsidRPr="0062582F">
        <w:rPr>
          <w:rStyle w:val="CommentaryTextChar"/>
          <w:i/>
          <w:iCs/>
        </w:rPr>
        <w:t>Note 8.</w:t>
      </w:r>
    </w:p>
    <w:p w:rsidR="004843DB" w:rsidRPr="0062582F" w:rsidRDefault="004843DB" w:rsidP="004843DB">
      <w:pPr>
        <w:pStyle w:val="Bullet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spacing w:before="0" w:line="240" w:lineRule="atLeast"/>
        <w:rPr>
          <w:rFonts w:ascii="Calibri" w:hAnsi="Calibri" w:cs="Arial Narrow"/>
          <w:color w:val="0000FF"/>
          <w:sz w:val="16"/>
          <w:szCs w:val="16"/>
          <w:lang w:val="en-GB"/>
        </w:rPr>
      </w:pPr>
      <w:r w:rsidRPr="0062582F">
        <w:lastRenderedPageBreak/>
        <w:br w:type="page"/>
      </w:r>
    </w:p>
    <w:p w:rsidR="004843DB" w:rsidRPr="0062582F" w:rsidRDefault="004843DB" w:rsidP="004843DB">
      <w:pPr>
        <w:pStyle w:val="Reference"/>
        <w:spacing w:before="80"/>
        <w:rPr>
          <w:sz w:val="14"/>
          <w:szCs w:val="14"/>
        </w:rPr>
      </w:pPr>
    </w:p>
    <w:p w:rsidR="004843DB" w:rsidRPr="0062582F" w:rsidRDefault="004843DB" w:rsidP="004843DB">
      <w:pPr>
        <w:pStyle w:val="Reference"/>
        <w:spacing w:before="0"/>
      </w:pPr>
      <w:r w:rsidRPr="0062582F">
        <w:t>AASB 101.51</w:t>
      </w:r>
    </w:p>
    <w:p w:rsidR="004843DB" w:rsidRPr="0062582F" w:rsidRDefault="004843DB" w:rsidP="004843DB">
      <w:pPr>
        <w:pStyle w:val="BulletBlue"/>
      </w:pPr>
      <w:r w:rsidRPr="0062582F">
        <w:br w:type="column"/>
      </w:r>
      <w:r w:rsidRPr="0062582F">
        <w:lastRenderedPageBreak/>
        <w:t>each component of the complete set of financial statements shall be clearly identified;</w:t>
      </w:r>
    </w:p>
    <w:p w:rsidR="004843DB" w:rsidRPr="0062582F" w:rsidRDefault="004843DB" w:rsidP="004843DB">
      <w:pPr>
        <w:pStyle w:val="BulletBlue"/>
      </w:pPr>
      <w:r w:rsidRPr="0062582F">
        <w:t>the following information shall be displayed prominently and repeated where necessary for a proper understanding of the information presented:</w:t>
      </w:r>
    </w:p>
    <w:p w:rsidR="004843DB" w:rsidRPr="0062582F" w:rsidRDefault="004843DB" w:rsidP="004843DB">
      <w:pPr>
        <w:pStyle w:val="Bullet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200"/>
      </w:pPr>
      <w:r w:rsidRPr="0062582F">
        <w:lastRenderedPageBreak/>
        <w:t>AASB 101.51(a)</w:t>
      </w:r>
    </w:p>
    <w:p w:rsidR="004843DB" w:rsidRPr="0062582F" w:rsidRDefault="004843DB" w:rsidP="004843DB">
      <w:pPr>
        <w:pStyle w:val="DashBlue"/>
      </w:pPr>
      <w:r w:rsidRPr="0062582F">
        <w:br w:type="column"/>
      </w:r>
      <w:r w:rsidRPr="0062582F">
        <w:lastRenderedPageBreak/>
        <w:t xml:space="preserve">the name of the reporting entity or other means of identification, and any change in that information from the end of the preceding reporting period; </w:t>
      </w:r>
    </w:p>
    <w:p w:rsidR="004843DB" w:rsidRPr="0062582F" w:rsidRDefault="004843DB" w:rsidP="004843DB">
      <w:pPr>
        <w:pStyle w:val="Dash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101.51(b)</w:t>
      </w:r>
    </w:p>
    <w:p w:rsidR="004843DB" w:rsidRPr="0062582F" w:rsidRDefault="004843DB" w:rsidP="004843DB">
      <w:pPr>
        <w:pStyle w:val="DashBlue"/>
      </w:pPr>
      <w:r w:rsidRPr="0062582F">
        <w:br w:type="column"/>
      </w:r>
      <w:r w:rsidRPr="0062582F">
        <w:lastRenderedPageBreak/>
        <w:t xml:space="preserve">whether the financial statements are of the individual entity or a group of entities; </w:t>
      </w:r>
    </w:p>
    <w:p w:rsidR="004843DB" w:rsidRPr="0062582F" w:rsidRDefault="004843DB" w:rsidP="004843DB">
      <w:pPr>
        <w:pStyle w:val="Dash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180"/>
        <w:rPr>
          <w:rFonts w:ascii="Garamond" w:hAnsi="Garamond" w:cs="Times New Roman"/>
          <w:lang w:val="en-AU"/>
        </w:rPr>
      </w:pPr>
      <w:r w:rsidRPr="0062582F">
        <w:lastRenderedPageBreak/>
        <w:t>AASB 101.51(c)</w:t>
      </w:r>
    </w:p>
    <w:p w:rsidR="004843DB" w:rsidRPr="0062582F" w:rsidRDefault="004843DB" w:rsidP="004843DB">
      <w:pPr>
        <w:pStyle w:val="DashBlue"/>
      </w:pPr>
      <w:r w:rsidRPr="0062582F">
        <w:br w:type="column"/>
      </w:r>
      <w:r w:rsidRPr="0062582F">
        <w:lastRenderedPageBreak/>
        <w:t>the date of the end of the reporting period covered by the set of financial statements or notes;</w:t>
      </w:r>
    </w:p>
    <w:p w:rsidR="004843DB" w:rsidRPr="0062582F" w:rsidRDefault="004843DB" w:rsidP="004843DB">
      <w:pPr>
        <w:pStyle w:val="Dash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180"/>
      </w:pPr>
      <w:r w:rsidRPr="0062582F">
        <w:lastRenderedPageBreak/>
        <w:t>AASB 101.51(d)</w:t>
      </w:r>
    </w:p>
    <w:p w:rsidR="004843DB" w:rsidRPr="0062582F" w:rsidRDefault="004843DB" w:rsidP="004843DB">
      <w:pPr>
        <w:pStyle w:val="DashBlue"/>
      </w:pPr>
      <w:r w:rsidRPr="0062582F">
        <w:br w:type="column"/>
      </w:r>
      <w:r w:rsidRPr="0062582F">
        <w:lastRenderedPageBreak/>
        <w:t>the presentation currency; and</w:t>
      </w:r>
    </w:p>
    <w:p w:rsidR="004843DB" w:rsidRPr="0062582F" w:rsidRDefault="004843DB" w:rsidP="004843DB">
      <w:pPr>
        <w:pStyle w:val="Dash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101.51(e)</w:t>
      </w:r>
    </w:p>
    <w:p w:rsidR="004843DB" w:rsidRPr="0062582F" w:rsidRDefault="004843DB" w:rsidP="004843DB">
      <w:pPr>
        <w:pStyle w:val="Reference"/>
        <w:spacing w:before="200"/>
      </w:pPr>
      <w:r w:rsidRPr="0062582F">
        <w:t>AASB 101.45</w:t>
      </w:r>
    </w:p>
    <w:p w:rsidR="004843DB" w:rsidRPr="0062582F" w:rsidRDefault="004843DB" w:rsidP="004843DB">
      <w:pPr>
        <w:pStyle w:val="DashBlue"/>
      </w:pPr>
      <w:r w:rsidRPr="0062582F">
        <w:br w:type="column"/>
      </w:r>
      <w:r w:rsidRPr="0062582F">
        <w:lastRenderedPageBreak/>
        <w:t>the level of rounding used in presenting amounts in the financial statements;</w:t>
      </w:r>
    </w:p>
    <w:p w:rsidR="004843DB" w:rsidRPr="0062582F" w:rsidRDefault="004843DB" w:rsidP="004843DB">
      <w:pPr>
        <w:pStyle w:val="BulletBlue"/>
      </w:pPr>
      <w:r w:rsidRPr="0062582F">
        <w:t>the presentation and classification of items in the complete set of financial statements shall be retained from one period to the next unless:</w:t>
      </w:r>
    </w:p>
    <w:p w:rsidR="004843DB" w:rsidRPr="0062582F" w:rsidRDefault="004843DB" w:rsidP="004843DB">
      <w:pPr>
        <w:pStyle w:val="Dash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101.45(a)</w:t>
      </w:r>
    </w:p>
    <w:p w:rsidR="004843DB" w:rsidRPr="0062582F" w:rsidRDefault="004843DB" w:rsidP="004843DB">
      <w:pPr>
        <w:pStyle w:val="DashBlue"/>
      </w:pPr>
      <w:r w:rsidRPr="0062582F">
        <w:br w:type="column"/>
      </w:r>
      <w:r w:rsidRPr="0062582F">
        <w:lastRenderedPageBreak/>
        <w:t>it is apparent, following a significant change in the nature of the entity</w:t>
      </w:r>
      <w:r w:rsidR="005A4BB0">
        <w:t>’</w:t>
      </w:r>
      <w:r w:rsidRPr="0062582F">
        <w:t>s operations or a review of its complete set of financial statements, that another presentation or classification would be more appropriate having regard to the criteria for the selection and application of accounting policies in AASB 108; or</w:t>
      </w:r>
    </w:p>
    <w:p w:rsidR="004843DB" w:rsidRPr="0062582F" w:rsidRDefault="004843DB" w:rsidP="004843DB">
      <w:pPr>
        <w:pStyle w:val="Dash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101.45(b)</w:t>
      </w:r>
    </w:p>
    <w:p w:rsidR="004843DB" w:rsidRPr="0062582F" w:rsidRDefault="004843DB" w:rsidP="004843DB">
      <w:pPr>
        <w:pStyle w:val="DashBlue"/>
      </w:pPr>
      <w:r w:rsidRPr="0062582F">
        <w:br w:type="column"/>
      </w:r>
      <w:r w:rsidRPr="0062582F">
        <w:lastRenderedPageBreak/>
        <w:t xml:space="preserve">an AAS requires a change in presentation. </w:t>
      </w:r>
    </w:p>
    <w:p w:rsidR="004843DB" w:rsidRPr="0062582F" w:rsidRDefault="004843DB" w:rsidP="004843DB">
      <w:pPr>
        <w:pStyle w:val="Heading2BluePt3"/>
      </w:pPr>
      <w:bookmarkStart w:id="133" w:name="_Toc132689472"/>
      <w:bookmarkStart w:id="134" w:name="_Toc133137886"/>
      <w:bookmarkStart w:id="135" w:name="_Toc133137995"/>
      <w:bookmarkStart w:id="136" w:name="_Toc133138159"/>
      <w:bookmarkStart w:id="137" w:name="_Toc133202599"/>
      <w:bookmarkStart w:id="138" w:name="_Toc133203539"/>
      <w:bookmarkStart w:id="139" w:name="_Toc133203874"/>
      <w:bookmarkStart w:id="140" w:name="_Toc133206348"/>
      <w:bookmarkStart w:id="141" w:name="_Toc133301131"/>
      <w:bookmarkStart w:id="142" w:name="_Toc163448532"/>
      <w:r w:rsidRPr="0062582F">
        <w:t>Specific disclosures</w:t>
      </w:r>
      <w:bookmarkEnd w:id="133"/>
      <w:bookmarkEnd w:id="134"/>
      <w:bookmarkEnd w:id="135"/>
      <w:bookmarkEnd w:id="136"/>
      <w:bookmarkEnd w:id="137"/>
      <w:bookmarkEnd w:id="138"/>
      <w:bookmarkEnd w:id="139"/>
      <w:bookmarkEnd w:id="140"/>
      <w:bookmarkEnd w:id="141"/>
      <w:bookmarkEnd w:id="142"/>
    </w:p>
    <w:p w:rsidR="004843DB" w:rsidRPr="0062582F" w:rsidRDefault="004843DB" w:rsidP="004843DB">
      <w:pPr>
        <w:pStyle w:val="NormalBlue"/>
      </w:pPr>
      <w:r w:rsidRPr="0062582F">
        <w:t>The following information shall be disclosed in the complete set of financial statements:</w:t>
      </w:r>
    </w:p>
    <w:p w:rsidR="004843DB" w:rsidRPr="0062582F" w:rsidRDefault="004843DB" w:rsidP="004843DB">
      <w:pPr>
        <w:pStyle w:val="Bullet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200"/>
        <w:rPr>
          <w:lang w:val="en-AU"/>
        </w:rPr>
      </w:pPr>
      <w:r w:rsidRPr="0062582F">
        <w:rPr>
          <w:lang w:val="en-AU"/>
        </w:rPr>
        <w:lastRenderedPageBreak/>
        <w:t>AASB 101.138(a)</w:t>
      </w:r>
    </w:p>
    <w:p w:rsidR="004843DB" w:rsidRPr="0062582F" w:rsidRDefault="004843DB" w:rsidP="004843DB">
      <w:pPr>
        <w:pStyle w:val="BulletBlue"/>
      </w:pPr>
      <w:r w:rsidRPr="0062582F">
        <w:br w:type="column"/>
      </w:r>
      <w:r w:rsidRPr="0062582F">
        <w:lastRenderedPageBreak/>
        <w:t>the domicile and legal form of the entity, its country of incorporation and the address of the registered office (or principal place of business, if different from the registered office);</w:t>
      </w:r>
    </w:p>
    <w:p w:rsidR="004843DB" w:rsidRPr="0062582F" w:rsidRDefault="004843DB" w:rsidP="004843DB">
      <w:pPr>
        <w:pStyle w:val="BulletBlue"/>
        <w:numPr>
          <w:ilvl w:val="0"/>
          <w:numId w:val="0"/>
        </w:numPr>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180"/>
      </w:pPr>
      <w:r w:rsidRPr="0062582F">
        <w:lastRenderedPageBreak/>
        <w:t>AASB 101.138(b)</w:t>
      </w:r>
    </w:p>
    <w:p w:rsidR="004843DB" w:rsidRPr="0062582F" w:rsidRDefault="004843DB" w:rsidP="004843DB">
      <w:pPr>
        <w:pStyle w:val="BulletBlue"/>
      </w:pPr>
      <w:r w:rsidRPr="0062582F">
        <w:br w:type="column"/>
      </w:r>
      <w:r w:rsidRPr="0062582F">
        <w:lastRenderedPageBreak/>
        <w:t>a description of the nature of the entity</w:t>
      </w:r>
      <w:r w:rsidR="005A4BB0">
        <w:t>’</w:t>
      </w:r>
      <w:r w:rsidRPr="0062582F">
        <w:t>s operations and its principal activities; and</w:t>
      </w:r>
    </w:p>
    <w:p w:rsidR="004843DB" w:rsidRPr="0062582F" w:rsidRDefault="004843DB" w:rsidP="004843DB">
      <w:pPr>
        <w:pStyle w:val="Bullet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180"/>
        <w:rPr>
          <w:lang w:val="en-AU"/>
        </w:rPr>
      </w:pPr>
      <w:r w:rsidRPr="0062582F">
        <w:rPr>
          <w:lang w:val="en-AU"/>
        </w:rPr>
        <w:lastRenderedPageBreak/>
        <w:t>AASB 101.138(c)</w:t>
      </w:r>
    </w:p>
    <w:p w:rsidR="004843DB" w:rsidRPr="0062582F" w:rsidRDefault="004843DB" w:rsidP="004843DB">
      <w:pPr>
        <w:pStyle w:val="BulletBlue"/>
      </w:pPr>
      <w:r w:rsidRPr="0062582F">
        <w:br w:type="column"/>
      </w:r>
      <w:r w:rsidRPr="0062582F">
        <w:lastRenderedPageBreak/>
        <w:t xml:space="preserve">the name of the parent and the ultimate parent of the group (this requirement is considered to be met by the following statement – </w:t>
      </w:r>
      <w:r w:rsidR="005A4BB0">
        <w:t>‘</w:t>
      </w:r>
      <w:r w:rsidRPr="0062582F">
        <w:t>The Department is administrative agency acting on behalf of the Crown</w:t>
      </w:r>
      <w:r w:rsidR="005A4BB0">
        <w:t>’</w:t>
      </w:r>
      <w:r w:rsidRPr="0062582F">
        <w:t>).</w:t>
      </w:r>
    </w:p>
    <w:p w:rsidR="004843DB" w:rsidRPr="0062582F" w:rsidRDefault="004843DB" w:rsidP="004843DB">
      <w:pPr>
        <w:pStyle w:val="Heading2BluePt3"/>
      </w:pPr>
      <w:r w:rsidRPr="0062582F">
        <w:t>Additional line items, headings and subtotals</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rPr>
          <w:rStyle w:val="ReferenceChar"/>
        </w:rPr>
        <w:lastRenderedPageBreak/>
        <w:t>AASB 101.55</w:t>
      </w:r>
    </w:p>
    <w:p w:rsidR="004843DB" w:rsidRPr="0062582F" w:rsidRDefault="004843DB" w:rsidP="004843DB">
      <w:pPr>
        <w:pStyle w:val="NormalBlue"/>
      </w:pPr>
      <w:r w:rsidRPr="0062582F">
        <w:br w:type="column"/>
      </w:r>
      <w:r w:rsidRPr="0062582F">
        <w:lastRenderedPageBreak/>
        <w:t>Additional line items, headings and subtotals shall be presented in the financial statements when such presentation is relevant to an understanding of the entity</w:t>
      </w:r>
      <w:r w:rsidR="005A4BB0">
        <w:t>’</w:t>
      </w:r>
      <w:r w:rsidRPr="0062582F">
        <w:t>s financial performance and position.</w:t>
      </w:r>
    </w:p>
    <w:p w:rsidR="004843DB" w:rsidRPr="0062582F" w:rsidRDefault="004843DB" w:rsidP="004843DB">
      <w:pPr>
        <w:pStyle w:val="Heading1BluePt3"/>
      </w:pPr>
      <w:bookmarkStart w:id="143" w:name="_Toc331754623"/>
      <w:bookmarkStart w:id="144" w:name="_Toc416691906"/>
      <w:r w:rsidRPr="0062582F">
        <w:t>General presentation requirements</w:t>
      </w:r>
      <w:bookmarkEnd w:id="143"/>
      <w:bookmarkEnd w:id="144"/>
    </w:p>
    <w:p w:rsidR="004843DB" w:rsidRPr="0062582F" w:rsidRDefault="004843DB" w:rsidP="004843DB">
      <w:pPr>
        <w:pStyle w:val="Heading2BluePt3"/>
      </w:pPr>
      <w:r w:rsidRPr="0062582F">
        <w:t>Consistency</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rPr>
          <w:lang w:val="en-AU"/>
        </w:rPr>
      </w:pPr>
      <w:r w:rsidRPr="0062582F">
        <w:rPr>
          <w:lang w:val="en-AU"/>
        </w:rPr>
        <w:lastRenderedPageBreak/>
        <w:t>AASB 101.</w:t>
      </w:r>
      <w:r w:rsidRPr="0062582F">
        <w:t>45</w:t>
      </w:r>
    </w:p>
    <w:p w:rsidR="004843DB" w:rsidRPr="0062582F" w:rsidRDefault="004843DB" w:rsidP="004843DB">
      <w:pPr>
        <w:pStyle w:val="NormalBlue"/>
      </w:pPr>
      <w:r w:rsidRPr="0062582F">
        <w:br w:type="column"/>
      </w:r>
      <w:r w:rsidRPr="0062582F">
        <w:lastRenderedPageBreak/>
        <w:t>The presentation and classification of items in the financial statements shall be retained from one period to the next unless:</w:t>
      </w:r>
    </w:p>
    <w:p w:rsidR="004843DB" w:rsidRPr="0062582F" w:rsidRDefault="004843DB" w:rsidP="004843DB">
      <w:pPr>
        <w:pStyle w:val="aalphablue"/>
      </w:pPr>
      <w:r w:rsidRPr="0062582F">
        <w:t>(a)</w:t>
      </w:r>
      <w:r w:rsidRPr="0062582F">
        <w:tab/>
        <w:t>it is apparent, following a significant change in the nature of the entity</w:t>
      </w:r>
      <w:r w:rsidR="005A4BB0">
        <w:t>’</w:t>
      </w:r>
      <w:r w:rsidRPr="0062582F">
        <w:t>s operations or a review of its financial statements, that another presentation or classification would be more appropriate having regard to the criteria for the selection and application of accounting policies in AASB 108; or</w:t>
      </w:r>
    </w:p>
    <w:p w:rsidR="004843DB" w:rsidRPr="0062582F" w:rsidRDefault="004843DB" w:rsidP="004843DB">
      <w:pPr>
        <w:pStyle w:val="aalphablue"/>
      </w:pPr>
      <w:r w:rsidRPr="0062582F">
        <w:t>(b)</w:t>
      </w:r>
      <w:r w:rsidRPr="0062582F">
        <w:tab/>
        <w:t>an AAS requires a change in presentation.</w:t>
      </w:r>
    </w:p>
    <w:p w:rsidR="004843DB" w:rsidRPr="0062582F" w:rsidRDefault="004843DB" w:rsidP="004843DB">
      <w:pPr>
        <w:pStyle w:val="Heading2BluePt3"/>
      </w:pPr>
      <w:r w:rsidRPr="0062582F">
        <w:t>Materiality and aggregation</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101.29</w:t>
      </w:r>
    </w:p>
    <w:p w:rsidR="004843DB" w:rsidRPr="0062582F" w:rsidRDefault="004843DB" w:rsidP="004843DB">
      <w:pPr>
        <w:pStyle w:val="NormalBlue"/>
      </w:pPr>
      <w:r w:rsidRPr="0062582F">
        <w:br w:type="column"/>
      </w:r>
      <w:r w:rsidRPr="0062582F">
        <w:lastRenderedPageBreak/>
        <w:t>Each material class of similar items shall be presented separately in the financial statements. Items of a similar nature or function shall be presented separately unless they are immaterial.</w:t>
      </w:r>
    </w:p>
    <w:p w:rsidR="004843DB" w:rsidRPr="0062582F" w:rsidRDefault="004843DB" w:rsidP="004843DB">
      <w:pPr>
        <w:pStyle w:val="Heading2BluePt3"/>
      </w:pPr>
      <w:r w:rsidRPr="0062582F">
        <w:br w:type="column"/>
      </w:r>
      <w:r w:rsidRPr="0062582F">
        <w:lastRenderedPageBreak/>
        <w:br w:type="column"/>
      </w:r>
      <w:r w:rsidRPr="0062582F">
        <w:lastRenderedPageBreak/>
        <w:t>Offsetting</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101.32</w:t>
      </w:r>
    </w:p>
    <w:p w:rsidR="004843DB" w:rsidRPr="0062582F" w:rsidRDefault="004843DB" w:rsidP="004843DB">
      <w:pPr>
        <w:pStyle w:val="NormalBlue"/>
      </w:pPr>
      <w:r w:rsidRPr="0062582F">
        <w:br w:type="column"/>
      </w:r>
      <w:r w:rsidRPr="0062582F">
        <w:lastRenderedPageBreak/>
        <w:t>Income, expenses, assets and liabilities shall not be offset unless required by an AAS or permitted by an FRD issued by DTF.</w:t>
      </w:r>
    </w:p>
    <w:p w:rsidR="004843DB" w:rsidRPr="0062582F" w:rsidRDefault="004843DB" w:rsidP="004843DB">
      <w:pPr>
        <w:pStyle w:val="Heading4Blue"/>
      </w:pPr>
      <w:r w:rsidRPr="0062582F">
        <w:t>Offset of financial assets and financial liabilities</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rPr>
          <w:lang w:val="en-AU"/>
        </w:rPr>
      </w:pPr>
      <w:r w:rsidRPr="0062582F">
        <w:lastRenderedPageBreak/>
        <w:t>AASB </w:t>
      </w:r>
      <w:r w:rsidRPr="0062582F">
        <w:rPr>
          <w:lang w:val="en-AU"/>
        </w:rPr>
        <w:t>132.42</w:t>
      </w:r>
    </w:p>
    <w:p w:rsidR="004843DB" w:rsidRPr="0062582F" w:rsidRDefault="004843DB" w:rsidP="004843DB">
      <w:pPr>
        <w:pStyle w:val="NormalBlue"/>
        <w:spacing w:before="100"/>
      </w:pPr>
      <w:r w:rsidRPr="0062582F">
        <w:br w:type="column"/>
      </w:r>
      <w:r w:rsidRPr="0062582F">
        <w:lastRenderedPageBreak/>
        <w:t>A financial asset and a financial liability shall be offset and the net amount presented in the balance sheet only when an entity:</w:t>
      </w:r>
    </w:p>
    <w:p w:rsidR="004843DB" w:rsidRPr="0062582F" w:rsidRDefault="004843DB" w:rsidP="004843DB">
      <w:pPr>
        <w:pStyle w:val="aalphablue"/>
        <w:spacing w:before="100"/>
        <w:ind w:left="360" w:hanging="360"/>
      </w:pPr>
      <w:r w:rsidRPr="0062582F">
        <w:t>(a)</w:t>
      </w:r>
      <w:r w:rsidRPr="0062582F">
        <w:tab/>
        <w:t>currently has a legally enforceable right to set off the recognised amounts; and</w:t>
      </w:r>
    </w:p>
    <w:p w:rsidR="004843DB" w:rsidRPr="0062582F" w:rsidRDefault="004843DB" w:rsidP="004843DB">
      <w:pPr>
        <w:pStyle w:val="aalphablue"/>
        <w:spacing w:before="100"/>
        <w:ind w:left="360" w:hanging="360"/>
      </w:pPr>
      <w:r w:rsidRPr="0062582F">
        <w:t>(b)</w:t>
      </w:r>
      <w:r w:rsidRPr="0062582F">
        <w:tab/>
        <w:t>intends either to settle on a net basis, or to realise the asset and settle the liability simultaneously.</w:t>
      </w:r>
    </w:p>
    <w:p w:rsidR="004843DB" w:rsidRPr="0062582F" w:rsidRDefault="004843DB" w:rsidP="004843DB">
      <w:pPr>
        <w:pStyle w:val="NormalBlue"/>
      </w:pPr>
      <w:r w:rsidRPr="0062582F">
        <w:t>In accounting for a transfer of a financial asset that does not qualify for derecognition, the entity shall not offset the transferred asset and the associated liability.</w:t>
      </w:r>
    </w:p>
    <w:p w:rsidR="004843DB" w:rsidRPr="0062582F" w:rsidRDefault="004843DB" w:rsidP="004843DB">
      <w:pPr>
        <w:pStyle w:val="CommentaryText"/>
        <w:pBdr>
          <w:top w:val="none" w:sz="0" w:space="0" w:color="auto"/>
          <w:left w:val="none" w:sz="0" w:space="0" w:color="auto"/>
          <w:bottom w:val="none" w:sz="0" w:space="0" w:color="auto"/>
          <w:right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Heading2BluePt3"/>
      </w:pPr>
      <w:bookmarkStart w:id="145" w:name="_Toc132689475"/>
      <w:bookmarkStart w:id="146" w:name="_Toc133137889"/>
      <w:bookmarkStart w:id="147" w:name="_Toc133137998"/>
      <w:bookmarkStart w:id="148" w:name="_Toc133138162"/>
      <w:bookmarkStart w:id="149" w:name="_Toc133202602"/>
      <w:bookmarkStart w:id="150" w:name="_Toc133203542"/>
      <w:bookmarkStart w:id="151" w:name="_Toc133203877"/>
      <w:bookmarkStart w:id="152" w:name="_Toc133206351"/>
      <w:bookmarkStart w:id="153" w:name="_Toc133301134"/>
      <w:bookmarkStart w:id="154" w:name="_Toc163448535"/>
      <w:r w:rsidRPr="0062582F">
        <w:lastRenderedPageBreak/>
        <w:br w:type="column"/>
      </w:r>
      <w:r w:rsidRPr="0062582F">
        <w:lastRenderedPageBreak/>
        <w:t>Comparative information</w:t>
      </w:r>
      <w:bookmarkEnd w:id="145"/>
      <w:bookmarkEnd w:id="146"/>
      <w:bookmarkEnd w:id="147"/>
      <w:bookmarkEnd w:id="148"/>
      <w:bookmarkEnd w:id="149"/>
      <w:bookmarkEnd w:id="150"/>
      <w:bookmarkEnd w:id="151"/>
      <w:bookmarkEnd w:id="152"/>
      <w:bookmarkEnd w:id="153"/>
      <w:bookmarkEnd w:id="154"/>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rPr>
          <w:lang w:val="en-AU"/>
        </w:rPr>
      </w:pPr>
      <w:r w:rsidRPr="0062582F">
        <w:rPr>
          <w:lang w:val="en-AU"/>
        </w:rPr>
        <w:lastRenderedPageBreak/>
        <w:t>AASB 101.38</w:t>
      </w:r>
    </w:p>
    <w:p w:rsidR="004843DB" w:rsidRPr="0062582F" w:rsidRDefault="004843DB" w:rsidP="004843DB">
      <w:pPr>
        <w:pStyle w:val="NormalBlue"/>
      </w:pPr>
      <w:r w:rsidRPr="0062582F">
        <w:br w:type="column"/>
      </w:r>
      <w:r w:rsidRPr="0062582F">
        <w:lastRenderedPageBreak/>
        <w:t>Comparative information shall be disclosed in respect of the previous period for all amounts reported in the complete set of financial statements unless an AAS permits otherwise. Comparative information shall be included for narrative and descriptive information when it is relevant to an understanding of the current period</w:t>
      </w:r>
      <w:r w:rsidR="005A4BB0">
        <w:t>’</w:t>
      </w:r>
      <w:r w:rsidRPr="0062582F">
        <w:t>s complete set of financial statements.</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Heading2BluePt3"/>
      </w:pPr>
      <w:r w:rsidRPr="0062582F">
        <w:lastRenderedPageBreak/>
        <w:br w:type="column"/>
      </w:r>
      <w:r w:rsidRPr="0062582F">
        <w:lastRenderedPageBreak/>
        <w:t>Reclassification of financial information</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140"/>
      </w:pPr>
      <w:r w:rsidRPr="0062582F">
        <w:rPr>
          <w:lang w:val="en-AU"/>
        </w:rPr>
        <w:lastRenderedPageBreak/>
        <w:t>AASB 101.41</w:t>
      </w:r>
    </w:p>
    <w:p w:rsidR="004843DB" w:rsidRPr="0062582F" w:rsidRDefault="004843DB" w:rsidP="004843DB">
      <w:pPr>
        <w:pStyle w:val="NormalBlue"/>
        <w:spacing w:before="100"/>
      </w:pPr>
      <w:r w:rsidRPr="0062582F">
        <w:br w:type="column"/>
      </w:r>
      <w:r w:rsidRPr="0062582F">
        <w:lastRenderedPageBreak/>
        <w:t>When the presentation or classification of items in the complete set of financial statements is amended, comparative amounts shall be reclassified unless the reclassification is impracticable. When comparative amounts are reclassified, an entity shall disclose:</w:t>
      </w:r>
    </w:p>
    <w:p w:rsidR="004843DB" w:rsidRPr="0062582F" w:rsidRDefault="004843DB" w:rsidP="004843DB">
      <w:pPr>
        <w:pStyle w:val="aalphablue"/>
        <w:spacing w:before="100"/>
        <w:ind w:left="360" w:hanging="360"/>
      </w:pPr>
      <w:r w:rsidRPr="0062582F">
        <w:t>(a)</w:t>
      </w:r>
      <w:r w:rsidRPr="0062582F">
        <w:tab/>
        <w:t>the nature of the reclassification;</w:t>
      </w:r>
    </w:p>
    <w:p w:rsidR="004843DB" w:rsidRPr="0062582F" w:rsidRDefault="004843DB" w:rsidP="004843DB">
      <w:pPr>
        <w:pStyle w:val="aalphablue"/>
        <w:spacing w:before="100"/>
        <w:ind w:left="360" w:hanging="360"/>
      </w:pPr>
      <w:r w:rsidRPr="0062582F">
        <w:t>(b)</w:t>
      </w:r>
      <w:r w:rsidRPr="0062582F">
        <w:tab/>
        <w:t>the amount of each item or class of items that is reclassified; and</w:t>
      </w:r>
    </w:p>
    <w:p w:rsidR="004843DB" w:rsidRPr="0062582F" w:rsidRDefault="004843DB" w:rsidP="004843DB">
      <w:pPr>
        <w:pStyle w:val="aalphablue"/>
        <w:spacing w:before="100"/>
        <w:ind w:left="360" w:hanging="360"/>
      </w:pPr>
      <w:r w:rsidRPr="0062582F">
        <w:t>(c)</w:t>
      </w:r>
      <w:r w:rsidRPr="0062582F">
        <w:tab/>
        <w:t>the reason for the reclassification.</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101.42</w:t>
      </w:r>
    </w:p>
    <w:p w:rsidR="004843DB" w:rsidRPr="0062582F" w:rsidRDefault="004843DB" w:rsidP="004843DB">
      <w:pPr>
        <w:pStyle w:val="NormalBlue"/>
        <w:spacing w:before="100"/>
      </w:pPr>
      <w:r w:rsidRPr="0062582F">
        <w:br w:type="column"/>
      </w:r>
      <w:r w:rsidRPr="0062582F">
        <w:lastRenderedPageBreak/>
        <w:t>When it is impracticable to reclassify comparative amounts, an entity shall disclose:</w:t>
      </w:r>
    </w:p>
    <w:p w:rsidR="004843DB" w:rsidRPr="0062582F" w:rsidRDefault="004843DB" w:rsidP="004843DB">
      <w:pPr>
        <w:pStyle w:val="aalphablue"/>
        <w:spacing w:before="100"/>
        <w:ind w:left="360" w:hanging="360"/>
      </w:pPr>
      <w:r w:rsidRPr="0062582F">
        <w:t>(a)</w:t>
      </w:r>
      <w:r w:rsidRPr="0062582F">
        <w:tab/>
        <w:t>the reason for not reclassifying the amounts; and</w:t>
      </w:r>
    </w:p>
    <w:p w:rsidR="004843DB" w:rsidRPr="0062582F" w:rsidRDefault="004843DB" w:rsidP="004843DB">
      <w:pPr>
        <w:pStyle w:val="aalphablue"/>
        <w:spacing w:before="100"/>
        <w:ind w:left="360" w:hanging="360"/>
      </w:pPr>
      <w:r w:rsidRPr="0062582F">
        <w:t>(b)</w:t>
      </w:r>
      <w:r w:rsidRPr="0062582F">
        <w:tab/>
        <w:t>the nature of the adjustments that would have been made if the amounts had been reclassified.</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bookmarkStart w:id="155" w:name="_Toc132689477"/>
      <w:bookmarkStart w:id="156" w:name="_Toc133137891"/>
      <w:bookmarkStart w:id="157" w:name="_Toc133138000"/>
      <w:bookmarkStart w:id="158" w:name="_Toc133138164"/>
      <w:bookmarkStart w:id="159" w:name="_Toc133202604"/>
      <w:bookmarkStart w:id="160" w:name="_Toc133203544"/>
      <w:bookmarkStart w:id="161" w:name="_Toc133203879"/>
      <w:bookmarkStart w:id="162" w:name="_Toc133206353"/>
      <w:bookmarkStart w:id="163" w:name="_Toc133301136"/>
      <w:bookmarkStart w:id="164" w:name="_Toc163448537"/>
    </w:p>
    <w:p w:rsidR="004843DB" w:rsidRPr="0062582F" w:rsidRDefault="004843DB" w:rsidP="004843DB">
      <w:pPr>
        <w:pStyle w:val="ReferenceRed"/>
        <w:rPr>
          <w:rFonts w:ascii="Garamond" w:hAnsi="Garamond" w:cs="Times New Roman"/>
          <w:lang w:val="en-AU"/>
        </w:rPr>
      </w:pPr>
    </w:p>
    <w:p w:rsidR="004843DB" w:rsidRPr="0062582F" w:rsidRDefault="004843DB" w:rsidP="004843DB">
      <w:pPr>
        <w:pStyle w:val="Heading2BluePt3"/>
      </w:pPr>
      <w:r w:rsidRPr="0062582F">
        <w:br w:type="column"/>
      </w:r>
      <w:r w:rsidRPr="0062582F">
        <w:lastRenderedPageBreak/>
        <w:t>Errors made in prior periods</w:t>
      </w:r>
      <w:bookmarkEnd w:id="155"/>
      <w:bookmarkEnd w:id="156"/>
      <w:bookmarkEnd w:id="157"/>
      <w:bookmarkEnd w:id="158"/>
      <w:bookmarkEnd w:id="159"/>
      <w:bookmarkEnd w:id="160"/>
      <w:bookmarkEnd w:id="161"/>
      <w:bookmarkEnd w:id="162"/>
      <w:bookmarkEnd w:id="163"/>
      <w:bookmarkEnd w:id="164"/>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spacing w:before="140"/>
        <w:rPr>
          <w:lang w:val="en-AU"/>
        </w:rPr>
      </w:pPr>
      <w:r w:rsidRPr="0062582F">
        <w:lastRenderedPageBreak/>
        <w:t>AASB 108.42</w:t>
      </w:r>
    </w:p>
    <w:p w:rsidR="004843DB" w:rsidRPr="0062582F" w:rsidRDefault="004843DB" w:rsidP="004843DB">
      <w:pPr>
        <w:pStyle w:val="NormalBlue"/>
        <w:spacing w:before="100"/>
      </w:pPr>
      <w:r w:rsidRPr="0062582F">
        <w:br w:type="column"/>
      </w:r>
      <w:r w:rsidRPr="0062582F">
        <w:lastRenderedPageBreak/>
        <w:t>Material prior period errors shall be retrospectively corrected in the first complete set of financial statements authorised for issue after their discovery by:</w:t>
      </w:r>
    </w:p>
    <w:p w:rsidR="004843DB" w:rsidRPr="0062582F" w:rsidRDefault="004843DB" w:rsidP="004843DB">
      <w:pPr>
        <w:pStyle w:val="aalphablue"/>
        <w:spacing w:before="100"/>
        <w:ind w:left="360" w:hanging="360"/>
      </w:pPr>
      <w:r w:rsidRPr="0062582F">
        <w:t>(a)</w:t>
      </w:r>
      <w:r w:rsidRPr="0062582F">
        <w:tab/>
        <w:t>restating the comparative amounts for the prior period(s) presented in which the error occurred; or</w:t>
      </w:r>
    </w:p>
    <w:p w:rsidR="004843DB" w:rsidRPr="0062582F" w:rsidRDefault="004843DB" w:rsidP="004843DB">
      <w:pPr>
        <w:pStyle w:val="aalphablue"/>
        <w:spacing w:before="100"/>
        <w:ind w:left="360" w:hanging="360"/>
      </w:pPr>
      <w:r w:rsidRPr="0062582F">
        <w:t>(b)</w:t>
      </w:r>
      <w:r w:rsidRPr="0062582F">
        <w:tab/>
        <w:t>if the error occurred before the earliest prior period presented, restating the opening balances of assets, liabilities and equity for the earliest prior period presented.</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rPr>
          <w:sz w:val="20"/>
          <w:szCs w:val="20"/>
          <w:lang w:val="en-AU"/>
        </w:rPr>
      </w:pPr>
      <w:r w:rsidRPr="0062582F">
        <w:lastRenderedPageBreak/>
        <w:t>AASB </w:t>
      </w:r>
      <w:r w:rsidRPr="0062582F">
        <w:rPr>
          <w:lang w:val="en-AU"/>
        </w:rPr>
        <w:t>108.43</w:t>
      </w:r>
    </w:p>
    <w:p w:rsidR="004843DB" w:rsidRPr="0062582F" w:rsidRDefault="004843DB" w:rsidP="004843DB">
      <w:pPr>
        <w:pStyle w:val="NormalBlue"/>
        <w:spacing w:before="100"/>
      </w:pPr>
      <w:r w:rsidRPr="0062582F">
        <w:br w:type="column"/>
      </w:r>
      <w:r w:rsidRPr="0062582F">
        <w:lastRenderedPageBreak/>
        <w:t>Exceptions to this will be made to the extent that it is impracticable to determine the: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rPr>
          <w:lang w:val="en-AU"/>
        </w:rPr>
        <w:lastRenderedPageBreak/>
        <w:t>AASB 108.44</w:t>
      </w:r>
    </w:p>
    <w:p w:rsidR="004843DB" w:rsidRPr="0062582F" w:rsidRDefault="004843DB" w:rsidP="004843DB">
      <w:pPr>
        <w:pStyle w:val="aalphablue"/>
        <w:spacing w:before="100"/>
        <w:ind w:left="360" w:hanging="360"/>
      </w:pPr>
      <w:r w:rsidRPr="0062582F">
        <w:br w:type="column"/>
      </w:r>
      <w:r w:rsidRPr="0062582F">
        <w:lastRenderedPageBreak/>
        <w:t>(a)</w:t>
      </w:r>
      <w:r w:rsidRPr="0062582F">
        <w:tab/>
        <w:t>period specific effects of an error on comparative information for one or more prior periods presented. The entity shall then restate the opening balances of assets, liabilities and equity for the earliest period for which retrospective restatement is practicable (which may be the current period); and/or</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rPr>
          <w:lang w:val="en-AU"/>
        </w:rPr>
      </w:pPr>
      <w:r w:rsidRPr="0062582F">
        <w:rPr>
          <w:lang w:val="en-AU"/>
        </w:rPr>
        <w:lastRenderedPageBreak/>
        <w:t>AASB 108.45</w:t>
      </w:r>
    </w:p>
    <w:p w:rsidR="004843DB" w:rsidRPr="0062582F" w:rsidRDefault="004843DB" w:rsidP="004843DB">
      <w:pPr>
        <w:pStyle w:val="aalphablue"/>
        <w:spacing w:before="100"/>
        <w:ind w:left="360" w:hanging="360"/>
      </w:pPr>
      <w:r w:rsidRPr="0062582F">
        <w:br w:type="column"/>
      </w:r>
      <w:r w:rsidRPr="0062582F">
        <w:lastRenderedPageBreak/>
        <w:t>(b)</w:t>
      </w:r>
      <w:r w:rsidRPr="0062582F">
        <w:tab/>
        <w:t>cumulative effect, at the beginning of the current period, of an error on all prior periods. The entity shall then restate the comparative information to correct the error prospectively from the earliest date practicable.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rPr>
          <w:lang w:val="en-AU"/>
        </w:rPr>
        <w:lastRenderedPageBreak/>
        <w:t>AASB 108.46</w:t>
      </w:r>
    </w:p>
    <w:p w:rsidR="004843DB" w:rsidRPr="0062582F" w:rsidRDefault="004843DB" w:rsidP="004843DB">
      <w:pPr>
        <w:pStyle w:val="NormalBlue"/>
      </w:pPr>
      <w:r w:rsidRPr="0062582F">
        <w:br w:type="column"/>
      </w:r>
      <w:r w:rsidRPr="0062582F">
        <w:lastRenderedPageBreak/>
        <w:t>The correction of a prior period error is excluded from the net result for the period in which the error is discovered. Any information presented about prior periods, including any historical summaries of financial data, is restated as far back as is practicable.</w:t>
      </w:r>
    </w:p>
    <w:p w:rsidR="004843DB" w:rsidRPr="0062582F" w:rsidRDefault="004843DB" w:rsidP="004843DB">
      <w:pPr>
        <w:pStyle w:val="Heading2BluePt3"/>
      </w:pPr>
      <w:bookmarkStart w:id="165" w:name="_Toc132689478"/>
      <w:bookmarkStart w:id="166" w:name="_Toc133137892"/>
      <w:bookmarkStart w:id="167" w:name="_Toc133138001"/>
      <w:bookmarkStart w:id="168" w:name="_Toc133138165"/>
      <w:bookmarkStart w:id="169" w:name="_Toc133202605"/>
      <w:bookmarkStart w:id="170" w:name="_Toc133203545"/>
      <w:bookmarkStart w:id="171" w:name="_Toc133203880"/>
      <w:bookmarkStart w:id="172" w:name="_Toc133206354"/>
      <w:bookmarkStart w:id="173" w:name="_Toc133301137"/>
      <w:bookmarkStart w:id="174" w:name="_Toc163448538"/>
      <w:r w:rsidRPr="0062582F">
        <w:br w:type="column"/>
      </w:r>
      <w:r w:rsidRPr="0062582F">
        <w:lastRenderedPageBreak/>
        <w:br w:type="column"/>
      </w:r>
      <w:r w:rsidRPr="0062582F">
        <w:lastRenderedPageBreak/>
        <w:t>Change in accounting policy</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108.19</w:t>
      </w:r>
    </w:p>
    <w:p w:rsidR="004843DB" w:rsidRPr="0062582F" w:rsidRDefault="004843DB" w:rsidP="004843DB">
      <w:pPr>
        <w:pStyle w:val="NormalBlue"/>
      </w:pPr>
      <w:r w:rsidRPr="0062582F">
        <w:br w:type="column"/>
      </w:r>
      <w:r w:rsidRPr="0062582F">
        <w:lastRenderedPageBreak/>
        <w:t>A change in accounting policy resulting from the initial application of an AAS shall be applied in accordance with the transitional provisions of that AAS. Where specific transitional provisions are not included, the change shall be applied retrospectively.</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108.22</w:t>
      </w:r>
    </w:p>
    <w:p w:rsidR="004843DB" w:rsidRPr="0062582F" w:rsidRDefault="004843DB" w:rsidP="004843DB">
      <w:pPr>
        <w:pStyle w:val="NormalBlue"/>
      </w:pPr>
      <w:r w:rsidRPr="0062582F">
        <w:br w:type="column"/>
      </w:r>
      <w:r w:rsidRPr="0062582F">
        <w:lastRenderedPageBreak/>
        <w:t>Where a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w:t>
      </w:r>
    </w:p>
    <w:p w:rsidR="004843DB" w:rsidRPr="0062582F" w:rsidRDefault="004843DB" w:rsidP="004843DB">
      <w:pPr>
        <w:pStyle w:val="Heading2BluePt3"/>
      </w:pPr>
      <w:r w:rsidRPr="0062582F">
        <w:t>Change in accounting estimate</w:t>
      </w:r>
      <w:bookmarkEnd w:id="165"/>
      <w:bookmarkEnd w:id="166"/>
      <w:bookmarkEnd w:id="167"/>
      <w:bookmarkEnd w:id="168"/>
      <w:bookmarkEnd w:id="169"/>
      <w:bookmarkEnd w:id="170"/>
      <w:bookmarkEnd w:id="171"/>
      <w:bookmarkEnd w:id="172"/>
      <w:bookmarkEnd w:id="173"/>
      <w:bookmarkEnd w:id="174"/>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108.36(a)</w:t>
      </w:r>
    </w:p>
    <w:p w:rsidR="004843DB" w:rsidRPr="0062582F" w:rsidRDefault="004843DB" w:rsidP="004843DB">
      <w:pPr>
        <w:pStyle w:val="NormalBlue"/>
      </w:pPr>
      <w:r w:rsidRPr="0062582F">
        <w:br w:type="column"/>
      </w:r>
      <w:r w:rsidRPr="0062582F">
        <w:lastRenderedPageBreak/>
        <w:t>Where a change in an accounting estimate affects the current reporting period only, the effect of the change shall be recognised in the net result in the reporting period in which the accounting estimate is revised.</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108.36(b)</w:t>
      </w:r>
    </w:p>
    <w:p w:rsidR="004843DB" w:rsidRPr="0062582F" w:rsidRDefault="004843DB" w:rsidP="004843DB">
      <w:pPr>
        <w:pStyle w:val="NormalBlue"/>
      </w:pPr>
      <w:r w:rsidRPr="0062582F">
        <w:br w:type="column"/>
      </w:r>
      <w:r w:rsidRPr="0062582F">
        <w:lastRenderedPageBreak/>
        <w:t>Where the change in an accounting estimate affects both the current and future reporting periods, the effect of the change shall be recognised in the net result in the reporting period of the revision and in future reporting periods.</w:t>
      </w:r>
    </w:p>
    <w:p w:rsidR="004843DB" w:rsidRPr="0062582F" w:rsidRDefault="004843DB" w:rsidP="004843DB">
      <w:pPr>
        <w:pStyle w:val="Heading2BluePt3"/>
      </w:pPr>
      <w:bookmarkStart w:id="175" w:name="_Toc132689479"/>
      <w:bookmarkStart w:id="176" w:name="_Toc133137893"/>
      <w:bookmarkStart w:id="177" w:name="_Toc133138002"/>
      <w:bookmarkStart w:id="178" w:name="_Toc133138166"/>
      <w:bookmarkStart w:id="179" w:name="_Toc133202606"/>
      <w:bookmarkStart w:id="180" w:name="_Toc133203546"/>
      <w:bookmarkStart w:id="181" w:name="_Toc133203881"/>
      <w:bookmarkStart w:id="182" w:name="_Toc133206355"/>
      <w:bookmarkStart w:id="183" w:name="_Toc133301138"/>
      <w:bookmarkStart w:id="184" w:name="_Toc163448540"/>
      <w:r w:rsidRPr="0062582F">
        <w:t>True and fair override</w:t>
      </w:r>
      <w:bookmarkEnd w:id="175"/>
      <w:bookmarkEnd w:id="176"/>
      <w:bookmarkEnd w:id="177"/>
      <w:bookmarkEnd w:id="178"/>
      <w:bookmarkEnd w:id="179"/>
      <w:bookmarkEnd w:id="180"/>
      <w:bookmarkEnd w:id="181"/>
      <w:bookmarkEnd w:id="182"/>
      <w:bookmarkEnd w:id="183"/>
      <w:bookmarkEnd w:id="184"/>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101.15</w:t>
      </w:r>
    </w:p>
    <w:p w:rsidR="004843DB" w:rsidRPr="0062582F" w:rsidRDefault="004843DB" w:rsidP="004843DB">
      <w:pPr>
        <w:pStyle w:val="NormalBlue"/>
      </w:pPr>
      <w:r w:rsidRPr="0062582F">
        <w:br w:type="column"/>
      </w:r>
      <w:r w:rsidRPr="0062582F">
        <w:lastRenderedPageBreak/>
        <w:t>A complete set of financial statements shall present fairly the financial position, financial performance and cash flows of an entity. Fair presentation requires the faithful representation of the effects of transactions, other events and conditions in accordance with the definitions and recognition criteria for assets, liabilities, income and expenses set out in the AASB</w:t>
      </w:r>
      <w:r w:rsidR="005A4BB0">
        <w:t>’</w:t>
      </w:r>
      <w:r w:rsidRPr="0062582F">
        <w:t>s conceptual framework (the framework). The application of AASs, with additional disclosure when necessary, is presumed to result in a complete set of financial statements that achieves a fair presentation.</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101.23</w:t>
      </w:r>
    </w:p>
    <w:p w:rsidR="004843DB" w:rsidRPr="0062582F" w:rsidRDefault="004843DB" w:rsidP="004843DB">
      <w:pPr>
        <w:pStyle w:val="NormalBlue"/>
      </w:pPr>
      <w:r w:rsidRPr="0062582F">
        <w:br w:type="column"/>
      </w:r>
      <w:r w:rsidRPr="0062582F">
        <w:lastRenderedPageBreak/>
        <w:t>In the extremely rare circumstance when management concludes that compliance with a requirement in an AAS would be so misleading that it would conflict with the objective of financial statements set out in the framework, the entity shall, to the maximum extent possible, reduce the perceived misleading aspects of compliance by disclosing:</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101.23(a)</w:t>
      </w:r>
    </w:p>
    <w:p w:rsidR="004843DB" w:rsidRPr="0062582F" w:rsidRDefault="004843DB" w:rsidP="004843DB">
      <w:pPr>
        <w:pStyle w:val="aalphablue"/>
      </w:pPr>
      <w:r w:rsidRPr="0062582F">
        <w:br w:type="column"/>
      </w:r>
      <w:r w:rsidRPr="0062582F">
        <w:lastRenderedPageBreak/>
        <w:t>(a)</w:t>
      </w:r>
      <w:r w:rsidRPr="0062582F">
        <w:tab/>
        <w:t>the title of the AAS in question, the nature of the requirement, and the reason why management has concluded that complying with that requirement is so misleading in the circumstances that it conflicts with the objective of financial statements set out in the framework; and</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t>AASB 101.23(b)</w:t>
      </w:r>
    </w:p>
    <w:p w:rsidR="004843DB" w:rsidRPr="0062582F" w:rsidRDefault="004843DB" w:rsidP="004843DB">
      <w:pPr>
        <w:pStyle w:val="aalphablue"/>
      </w:pPr>
      <w:r w:rsidRPr="0062582F">
        <w:br w:type="column"/>
      </w:r>
      <w:r w:rsidRPr="0062582F">
        <w:lastRenderedPageBreak/>
        <w:t>(b)</w:t>
      </w:r>
      <w:r w:rsidRPr="0062582F">
        <w:tab/>
        <w:t>for each period presented, the adjustments to each item in the financial statements that management has concluded would be necessary to achieve a fair presentation.</w:t>
      </w:r>
    </w:p>
    <w:p w:rsidR="004843DB" w:rsidRPr="0062582F" w:rsidRDefault="004843DB" w:rsidP="004843DB">
      <w:pPr>
        <w:pStyle w:val="Heading1BluePt3"/>
      </w:pPr>
      <w:bookmarkStart w:id="185" w:name="_Toc416691907"/>
      <w:r w:rsidRPr="0062582F">
        <w:t>Not</w:t>
      </w:r>
      <w:r w:rsidR="005A4BB0">
        <w:noBreakHyphen/>
      </w:r>
      <w:r w:rsidRPr="0062582F">
        <w:t>for</w:t>
      </w:r>
      <w:r w:rsidR="005A4BB0">
        <w:noBreakHyphen/>
      </w:r>
      <w:r w:rsidRPr="0062582F">
        <w:t>profit guidance</w:t>
      </w:r>
      <w:bookmarkEnd w:id="185"/>
    </w:p>
    <w:p w:rsidR="004843DB" w:rsidRPr="0062582F" w:rsidRDefault="004843DB" w:rsidP="004843DB">
      <w:pPr>
        <w:pStyle w:val="Heading2BluePt3"/>
      </w:pPr>
      <w:r w:rsidRPr="0062582F">
        <w:t>Not</w:t>
      </w:r>
      <w:r w:rsidR="005A4BB0">
        <w:noBreakHyphen/>
      </w:r>
      <w:r w:rsidRPr="0062582F">
        <w:t>for</w:t>
      </w:r>
      <w:r w:rsidR="005A4BB0">
        <w:noBreakHyphen/>
      </w:r>
      <w:r w:rsidRPr="0062582F">
        <w:t>profit terminology</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rPr>
          <w:lang w:val="en-AU"/>
        </w:rPr>
      </w:pPr>
      <w:r w:rsidRPr="0062582F">
        <w:rPr>
          <w:lang w:val="en-AU"/>
        </w:rPr>
        <w:lastRenderedPageBreak/>
        <w:t>AASB 101.5</w:t>
      </w:r>
    </w:p>
    <w:p w:rsidR="004843DB" w:rsidRPr="0062582F" w:rsidRDefault="004843DB" w:rsidP="004843DB">
      <w:pPr>
        <w:pStyle w:val="NormalBlue"/>
      </w:pPr>
      <w:r w:rsidRPr="0062582F">
        <w:br w:type="column"/>
      </w:r>
      <w:r w:rsidRPr="0062582F">
        <w:lastRenderedPageBreak/>
        <w:t>AASB 101 uses terminology that is suitable for for</w:t>
      </w:r>
      <w:r w:rsidR="005A4BB0">
        <w:noBreakHyphen/>
      </w:r>
      <w:r w:rsidRPr="0062582F">
        <w:t>profit entities, including public sector business entities. Entities with not</w:t>
      </w:r>
      <w:r w:rsidR="005A4BB0">
        <w:noBreakHyphen/>
      </w:r>
      <w:r w:rsidRPr="0062582F">
        <w:t>for</w:t>
      </w:r>
      <w:r w:rsidR="005A4BB0">
        <w:noBreakHyphen/>
      </w:r>
      <w:r w:rsidRPr="0062582F">
        <w:t>profit activities in the public sector applying AASB 101 may need to amend the descriptions used for particular line items in the financial statements and for the financial statements themselves. These entities should use this Model as a guide.</w:t>
      </w:r>
    </w:p>
    <w:p w:rsidR="004843DB" w:rsidRPr="0062582F" w:rsidRDefault="004843DB" w:rsidP="004843DB">
      <w:pPr>
        <w:pStyle w:val="Heading2BluePt3"/>
      </w:pPr>
      <w:r w:rsidRPr="0062582F">
        <w:t>Compliance with Aus paragraphs</w:t>
      </w:r>
    </w:p>
    <w:p w:rsidR="004843DB" w:rsidRPr="0062582F" w:rsidRDefault="004843DB" w:rsidP="004843DB">
      <w:pPr>
        <w:pStyle w:val="NormalBlue"/>
      </w:pPr>
      <w:r w:rsidRPr="0062582F">
        <w:t>From time to time, the AASB adds Aus paragraphs to existing AASs for specific application by not</w:t>
      </w:r>
      <w:r w:rsidR="005A4BB0">
        <w:noBreakHyphen/>
      </w:r>
      <w:r w:rsidRPr="0062582F">
        <w:t>for</w:t>
      </w:r>
      <w:r w:rsidR="005A4BB0">
        <w:noBreakHyphen/>
      </w:r>
      <w:r w:rsidRPr="0062582F">
        <w:t>profit public sector entities. Where applicable these paragraphs must be complied with by departments and other government not</w:t>
      </w:r>
      <w:r w:rsidR="005A4BB0">
        <w:noBreakHyphen/>
      </w:r>
      <w:r w:rsidRPr="0062582F">
        <w:t>for</w:t>
      </w:r>
      <w:r w:rsidR="005A4BB0">
        <w:noBreakHyphen/>
      </w:r>
      <w:r w:rsidRPr="0062582F">
        <w:t>profit public sector entities.</w:t>
      </w:r>
    </w:p>
    <w:p w:rsidR="004843DB" w:rsidRPr="0062582F" w:rsidRDefault="004843DB" w:rsidP="004843DB">
      <w:pPr>
        <w:pStyle w:val="Reference"/>
      </w:pPr>
      <w:bookmarkStart w:id="186" w:name="_Toc192578708"/>
      <w:bookmarkStart w:id="187" w:name="_Toc192645758"/>
      <w:bookmarkStart w:id="188" w:name="_Toc192645911"/>
      <w:bookmarkStart w:id="189" w:name="_Toc215305557"/>
      <w:bookmarkStart w:id="190" w:name="_Toc215371557"/>
      <w:r w:rsidRPr="0062582F">
        <w:br w:type="column"/>
      </w:r>
    </w:p>
    <w:p w:rsidR="004843DB" w:rsidRPr="0062582F" w:rsidRDefault="004843DB" w:rsidP="004843DB">
      <w:pPr>
        <w:pStyle w:val="Heading2BluePt3"/>
      </w:pPr>
      <w:r w:rsidRPr="0062582F">
        <w:br w:type="column"/>
      </w:r>
      <w:r w:rsidRPr="0062582F">
        <w:lastRenderedPageBreak/>
        <w:t>For</w:t>
      </w:r>
      <w:r w:rsidR="005A4BB0">
        <w:noBreakHyphen/>
      </w:r>
      <w:r w:rsidRPr="0062582F">
        <w:t>profit guidance</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p>
    <w:p w:rsidR="004843DB" w:rsidRPr="0062582F" w:rsidRDefault="004843DB" w:rsidP="004843DB">
      <w:pPr>
        <w:pStyle w:val="NormalBlue"/>
      </w:pPr>
      <w:r w:rsidRPr="0062582F">
        <w:br w:type="column"/>
      </w:r>
      <w:r w:rsidRPr="0062582F">
        <w:lastRenderedPageBreak/>
        <w:t>Although the Model is aimed at government departments, DTF is aware that there are some for</w:t>
      </w:r>
      <w:r w:rsidR="005A4BB0">
        <w:noBreakHyphen/>
      </w:r>
      <w:r w:rsidRPr="0062582F">
        <w:t>profit entities that also use the Model as guidance. To accommodate these users, the Model includes some commentary and sample disclosures to act as a guide for for</w:t>
      </w:r>
      <w:r w:rsidR="005A4BB0">
        <w:noBreakHyphen/>
      </w:r>
      <w:r w:rsidRPr="0062582F">
        <w:t>profit entities. For</w:t>
      </w:r>
      <w:r w:rsidR="005A4BB0">
        <w:noBreakHyphen/>
      </w:r>
      <w:r w:rsidRPr="0062582F">
        <w:t>profit entities should be mindful that the Model is not intended as a comprehensive for</w:t>
      </w:r>
      <w:r w:rsidR="005A4BB0">
        <w:noBreakHyphen/>
      </w:r>
      <w:r w:rsidRPr="0062582F">
        <w:t>profit guide.</w:t>
      </w: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p>
    <w:p w:rsidR="004843DB" w:rsidRPr="0062582F" w:rsidRDefault="004843DB" w:rsidP="004843DB">
      <w:pPr>
        <w:pStyle w:val="Heading1BluePt3"/>
      </w:pPr>
      <w:r w:rsidRPr="0062582F">
        <w:br w:type="column"/>
      </w:r>
      <w:bookmarkStart w:id="191" w:name="_Toc331754624"/>
      <w:bookmarkStart w:id="192" w:name="_Toc416691908"/>
      <w:r w:rsidRPr="0062582F">
        <w:lastRenderedPageBreak/>
        <w:t>Exclusions</w:t>
      </w:r>
      <w:bookmarkEnd w:id="186"/>
      <w:bookmarkEnd w:id="187"/>
      <w:bookmarkEnd w:id="188"/>
      <w:bookmarkEnd w:id="189"/>
      <w:bookmarkEnd w:id="190"/>
      <w:bookmarkEnd w:id="191"/>
      <w:bookmarkEnd w:id="192"/>
    </w:p>
    <w:p w:rsidR="004843DB" w:rsidRPr="0062582F" w:rsidRDefault="004843DB" w:rsidP="004843DB">
      <w:pPr>
        <w:pStyle w:val="NormalBlue"/>
      </w:pPr>
      <w:r w:rsidRPr="0062582F">
        <w:t xml:space="preserve">As stated earlier, this </w:t>
      </w:r>
      <w:r w:rsidRPr="0062582F">
        <w:rPr>
          <w:iCs/>
        </w:rPr>
        <w:t>Model</w:t>
      </w:r>
      <w:r w:rsidRPr="0062582F">
        <w:t xml:space="preserve"> does not and cannot be expected to cover all situations that may be encountered in practice. </w:t>
      </w:r>
    </w:p>
    <w:p w:rsidR="004843DB" w:rsidRPr="0062582F" w:rsidRDefault="004843DB" w:rsidP="004843DB">
      <w:pPr>
        <w:pStyle w:val="NormalBlue"/>
      </w:pPr>
      <w:r w:rsidRPr="0062582F">
        <w:t>Specifically, this Model does not provide illustration guidance on the disclosure requirements of the following AASs that have been issued and become effective by the AASB up to and including 1 March 2016.</w:t>
      </w:r>
    </w:p>
    <w:p w:rsidR="004843DB" w:rsidRPr="0062582F" w:rsidRDefault="004843DB" w:rsidP="004843DB">
      <w:pPr>
        <w:pStyle w:val="Notes"/>
      </w:pPr>
    </w:p>
    <w:tbl>
      <w:tblPr>
        <w:tblW w:w="8413" w:type="dxa"/>
        <w:tblLayout w:type="fixed"/>
        <w:tblCellMar>
          <w:left w:w="43" w:type="dxa"/>
          <w:right w:w="43" w:type="dxa"/>
        </w:tblCellMar>
        <w:tblLook w:val="01E0" w:firstRow="1" w:lastRow="1" w:firstColumn="1" w:lastColumn="1" w:noHBand="0" w:noVBand="0"/>
      </w:tblPr>
      <w:tblGrid>
        <w:gridCol w:w="1933"/>
        <w:gridCol w:w="6480"/>
      </w:tblGrid>
      <w:tr w:rsidR="004843DB" w:rsidRPr="0062582F" w:rsidTr="004843DB">
        <w:trPr>
          <w:tblHeader/>
        </w:trPr>
        <w:tc>
          <w:tcPr>
            <w:tcW w:w="193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4843DB" w:rsidRPr="0062582F" w:rsidRDefault="004843DB" w:rsidP="004843DB">
            <w:pPr>
              <w:pStyle w:val="Tabletextblue"/>
              <w:spacing w:before="30" w:after="30"/>
              <w:rPr>
                <w:b/>
              </w:rPr>
            </w:pPr>
            <w:r w:rsidRPr="0062582F">
              <w:rPr>
                <w:b/>
              </w:rPr>
              <w:t xml:space="preserve">Reference </w:t>
            </w:r>
          </w:p>
        </w:tc>
        <w:tc>
          <w:tcPr>
            <w:tcW w:w="6480"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4843DB" w:rsidRPr="0062582F" w:rsidRDefault="004843DB" w:rsidP="004843DB">
            <w:pPr>
              <w:pStyle w:val="Tabletextblue"/>
              <w:spacing w:before="30" w:after="30"/>
              <w:rPr>
                <w:b/>
              </w:rPr>
            </w:pPr>
            <w:r w:rsidRPr="0062582F">
              <w:rPr>
                <w:b/>
              </w:rPr>
              <w:t>Title</w:t>
            </w:r>
          </w:p>
        </w:tc>
      </w:tr>
      <w:tr w:rsidR="004843DB" w:rsidRPr="0062582F" w:rsidTr="004843DB">
        <w:tc>
          <w:tcPr>
            <w:tcW w:w="1933" w:type="dxa"/>
            <w:tcBorders>
              <w:top w:val="single" w:sz="4" w:space="0" w:color="BFBFBF" w:themeColor="background1" w:themeShade="BF"/>
            </w:tcBorders>
            <w:shd w:val="clear" w:color="auto" w:fill="FFFFFF"/>
          </w:tcPr>
          <w:p w:rsidR="004843DB" w:rsidRPr="0062582F" w:rsidRDefault="004843DB" w:rsidP="004843DB">
            <w:pPr>
              <w:pStyle w:val="Tabletextblue"/>
              <w:spacing w:before="30" w:after="30"/>
            </w:pPr>
            <w:r w:rsidRPr="0062582F">
              <w:t>AASB 1</w:t>
            </w:r>
          </w:p>
        </w:tc>
        <w:tc>
          <w:tcPr>
            <w:tcW w:w="6480" w:type="dxa"/>
            <w:tcBorders>
              <w:top w:val="single" w:sz="4" w:space="0" w:color="BFBFBF" w:themeColor="background1" w:themeShade="BF"/>
            </w:tcBorders>
            <w:shd w:val="clear" w:color="auto" w:fill="FFFFFF"/>
          </w:tcPr>
          <w:p w:rsidR="004843DB" w:rsidRPr="0062582F" w:rsidRDefault="004843DB" w:rsidP="004843DB">
            <w:pPr>
              <w:pStyle w:val="Tabletextblue"/>
              <w:spacing w:before="30" w:after="30"/>
              <w:rPr>
                <w:szCs w:val="19"/>
              </w:rPr>
            </w:pPr>
            <w:r w:rsidRPr="0062582F">
              <w:rPr>
                <w:szCs w:val="19"/>
              </w:rPr>
              <w:t>First</w:t>
            </w:r>
            <w:r w:rsidR="005A4BB0">
              <w:rPr>
                <w:szCs w:val="19"/>
              </w:rPr>
              <w:noBreakHyphen/>
            </w:r>
            <w:r w:rsidRPr="0062582F">
              <w:rPr>
                <w:szCs w:val="19"/>
              </w:rPr>
              <w:t>time Adoption of Australian Accounting Standards</w:t>
            </w:r>
          </w:p>
        </w:tc>
      </w:tr>
      <w:tr w:rsidR="004843DB" w:rsidRPr="0062582F" w:rsidTr="004843DB">
        <w:tc>
          <w:tcPr>
            <w:tcW w:w="1933" w:type="dxa"/>
            <w:shd w:val="clear" w:color="auto" w:fill="D9D9D9"/>
          </w:tcPr>
          <w:p w:rsidR="004843DB" w:rsidRPr="0062582F" w:rsidRDefault="004843DB" w:rsidP="004843DB">
            <w:pPr>
              <w:pStyle w:val="Tabletextblue"/>
              <w:spacing w:before="30" w:after="30"/>
            </w:pPr>
            <w:r w:rsidRPr="0062582F">
              <w:t>AASB 2</w:t>
            </w:r>
          </w:p>
        </w:tc>
        <w:tc>
          <w:tcPr>
            <w:tcW w:w="6480" w:type="dxa"/>
            <w:shd w:val="clear" w:color="auto" w:fill="D9D9D9"/>
          </w:tcPr>
          <w:p w:rsidR="004843DB" w:rsidRPr="0062582F" w:rsidRDefault="004843DB" w:rsidP="004843DB">
            <w:pPr>
              <w:pStyle w:val="Tabletextblue"/>
              <w:spacing w:before="30" w:after="30"/>
              <w:rPr>
                <w:szCs w:val="19"/>
              </w:rPr>
            </w:pPr>
            <w:r w:rsidRPr="0062582F">
              <w:rPr>
                <w:szCs w:val="19"/>
              </w:rPr>
              <w:t>Share</w:t>
            </w:r>
            <w:r w:rsidR="005A4BB0">
              <w:rPr>
                <w:szCs w:val="19"/>
              </w:rPr>
              <w:noBreakHyphen/>
            </w:r>
            <w:r w:rsidRPr="0062582F">
              <w:rPr>
                <w:szCs w:val="19"/>
              </w:rPr>
              <w:t>based Payment</w:t>
            </w:r>
          </w:p>
        </w:tc>
      </w:tr>
      <w:tr w:rsidR="004843DB" w:rsidRPr="0062582F" w:rsidTr="004843DB">
        <w:tc>
          <w:tcPr>
            <w:tcW w:w="1933" w:type="dxa"/>
            <w:shd w:val="clear" w:color="auto" w:fill="FFFFFF"/>
          </w:tcPr>
          <w:p w:rsidR="004843DB" w:rsidRPr="0062582F" w:rsidRDefault="004843DB" w:rsidP="004843DB">
            <w:pPr>
              <w:pStyle w:val="Tabletextblue"/>
              <w:spacing w:before="30" w:after="30"/>
            </w:pPr>
            <w:r w:rsidRPr="0062582F">
              <w:t>AASB 4</w:t>
            </w:r>
          </w:p>
        </w:tc>
        <w:tc>
          <w:tcPr>
            <w:tcW w:w="6480" w:type="dxa"/>
            <w:shd w:val="clear" w:color="auto" w:fill="FFFFFF"/>
          </w:tcPr>
          <w:p w:rsidR="004843DB" w:rsidRPr="0062582F" w:rsidRDefault="004843DB" w:rsidP="004843DB">
            <w:pPr>
              <w:pStyle w:val="Tabletextblue"/>
              <w:spacing w:before="30" w:after="30"/>
              <w:rPr>
                <w:szCs w:val="19"/>
              </w:rPr>
            </w:pPr>
            <w:r w:rsidRPr="0062582F">
              <w:rPr>
                <w:szCs w:val="19"/>
              </w:rPr>
              <w:t>Insurance Contracts</w:t>
            </w:r>
          </w:p>
        </w:tc>
      </w:tr>
      <w:tr w:rsidR="004843DB" w:rsidRPr="0062582F" w:rsidTr="004843DB">
        <w:tc>
          <w:tcPr>
            <w:tcW w:w="1933" w:type="dxa"/>
            <w:shd w:val="clear" w:color="auto" w:fill="D9D9D9"/>
          </w:tcPr>
          <w:p w:rsidR="004843DB" w:rsidRPr="0062582F" w:rsidRDefault="004843DB" w:rsidP="004843DB">
            <w:pPr>
              <w:pStyle w:val="Tabletextblue"/>
              <w:spacing w:before="30" w:after="30"/>
            </w:pPr>
            <w:r w:rsidRPr="0062582F">
              <w:t>AASB 6</w:t>
            </w:r>
          </w:p>
        </w:tc>
        <w:tc>
          <w:tcPr>
            <w:tcW w:w="6480" w:type="dxa"/>
            <w:shd w:val="clear" w:color="auto" w:fill="D9D9D9"/>
          </w:tcPr>
          <w:p w:rsidR="004843DB" w:rsidRPr="0062582F" w:rsidRDefault="004843DB" w:rsidP="004843DB">
            <w:pPr>
              <w:pStyle w:val="Tabletextblue"/>
              <w:spacing w:before="30" w:after="30"/>
              <w:rPr>
                <w:szCs w:val="19"/>
              </w:rPr>
            </w:pPr>
            <w:r w:rsidRPr="0062582F">
              <w:rPr>
                <w:szCs w:val="19"/>
              </w:rPr>
              <w:t>Exploration for and Evaluation of Mineral Resources</w:t>
            </w:r>
          </w:p>
        </w:tc>
      </w:tr>
      <w:tr w:rsidR="004843DB" w:rsidRPr="0062582F" w:rsidTr="004843DB">
        <w:tc>
          <w:tcPr>
            <w:tcW w:w="1933" w:type="dxa"/>
            <w:shd w:val="clear" w:color="auto" w:fill="FFFFFF"/>
          </w:tcPr>
          <w:p w:rsidR="004843DB" w:rsidRPr="0062582F" w:rsidRDefault="004843DB" w:rsidP="004843DB">
            <w:pPr>
              <w:pStyle w:val="Tabletextblue"/>
              <w:spacing w:before="30" w:after="30"/>
            </w:pPr>
            <w:r w:rsidRPr="0062582F">
              <w:t xml:space="preserve">AASB 8 </w:t>
            </w:r>
          </w:p>
        </w:tc>
        <w:tc>
          <w:tcPr>
            <w:tcW w:w="6480" w:type="dxa"/>
            <w:shd w:val="clear" w:color="auto" w:fill="FFFFFF"/>
          </w:tcPr>
          <w:p w:rsidR="004843DB" w:rsidRPr="0062582F" w:rsidRDefault="004843DB" w:rsidP="004843DB">
            <w:pPr>
              <w:pStyle w:val="Tabletextblue"/>
              <w:spacing w:before="30" w:after="30"/>
              <w:rPr>
                <w:szCs w:val="19"/>
              </w:rPr>
            </w:pPr>
            <w:r w:rsidRPr="0062582F">
              <w:rPr>
                <w:szCs w:val="19"/>
              </w:rPr>
              <w:t>Operating Segments</w:t>
            </w:r>
          </w:p>
        </w:tc>
      </w:tr>
      <w:tr w:rsidR="004843DB" w:rsidRPr="0062582F" w:rsidTr="004843DB">
        <w:tc>
          <w:tcPr>
            <w:tcW w:w="1933" w:type="dxa"/>
            <w:shd w:val="clear" w:color="auto" w:fill="D9D9D9"/>
          </w:tcPr>
          <w:p w:rsidR="004843DB" w:rsidRPr="0062582F" w:rsidRDefault="004843DB" w:rsidP="004843DB">
            <w:pPr>
              <w:pStyle w:val="Tabletextblue"/>
              <w:spacing w:before="30" w:after="30"/>
            </w:pPr>
            <w:r w:rsidRPr="0062582F">
              <w:t>AASB 111</w:t>
            </w:r>
          </w:p>
        </w:tc>
        <w:tc>
          <w:tcPr>
            <w:tcW w:w="6480" w:type="dxa"/>
            <w:shd w:val="clear" w:color="auto" w:fill="D9D9D9"/>
          </w:tcPr>
          <w:p w:rsidR="004843DB" w:rsidRPr="0062582F" w:rsidRDefault="004843DB" w:rsidP="004843DB">
            <w:pPr>
              <w:pStyle w:val="Tabletextblue"/>
              <w:spacing w:before="30" w:after="30"/>
              <w:rPr>
                <w:szCs w:val="19"/>
              </w:rPr>
            </w:pPr>
            <w:r w:rsidRPr="0062582F">
              <w:rPr>
                <w:szCs w:val="19"/>
              </w:rPr>
              <w:t>Construction contracts</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AASB 112</w:t>
            </w:r>
          </w:p>
        </w:tc>
        <w:tc>
          <w:tcPr>
            <w:tcW w:w="6480" w:type="dxa"/>
            <w:shd w:val="clear" w:color="auto" w:fill="auto"/>
          </w:tcPr>
          <w:p w:rsidR="004843DB" w:rsidRPr="0062582F" w:rsidRDefault="004843DB" w:rsidP="004843DB">
            <w:pPr>
              <w:pStyle w:val="Tabletextblue"/>
              <w:spacing w:before="30" w:after="30"/>
              <w:rPr>
                <w:szCs w:val="19"/>
              </w:rPr>
            </w:pPr>
            <w:r w:rsidRPr="0062582F">
              <w:rPr>
                <w:szCs w:val="19"/>
              </w:rPr>
              <w:t>Income Taxes</w:t>
            </w:r>
          </w:p>
        </w:tc>
      </w:tr>
      <w:tr w:rsidR="004843DB" w:rsidRPr="0062582F" w:rsidTr="004843DB">
        <w:tc>
          <w:tcPr>
            <w:tcW w:w="1933" w:type="dxa"/>
            <w:shd w:val="clear" w:color="auto" w:fill="D9D9D9"/>
          </w:tcPr>
          <w:p w:rsidR="004843DB" w:rsidRPr="0062582F" w:rsidRDefault="004843DB" w:rsidP="004843DB">
            <w:pPr>
              <w:pStyle w:val="Tabletextblue"/>
              <w:spacing w:before="30" w:after="30"/>
            </w:pPr>
            <w:r w:rsidRPr="0062582F">
              <w:t>AASB 120</w:t>
            </w:r>
          </w:p>
        </w:tc>
        <w:tc>
          <w:tcPr>
            <w:tcW w:w="6480" w:type="dxa"/>
            <w:shd w:val="clear" w:color="auto" w:fill="D9D9D9"/>
          </w:tcPr>
          <w:p w:rsidR="004843DB" w:rsidRPr="0062582F" w:rsidRDefault="004843DB" w:rsidP="004843DB">
            <w:pPr>
              <w:pStyle w:val="Tabletextblue"/>
              <w:spacing w:before="30" w:after="30"/>
              <w:rPr>
                <w:szCs w:val="19"/>
              </w:rPr>
            </w:pPr>
            <w:r w:rsidRPr="0062582F">
              <w:rPr>
                <w:szCs w:val="19"/>
              </w:rPr>
              <w:t>Accounting for Government Grants and Disclosure of Government Assistance</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AASB 124</w:t>
            </w:r>
          </w:p>
        </w:tc>
        <w:tc>
          <w:tcPr>
            <w:tcW w:w="6480" w:type="dxa"/>
            <w:shd w:val="clear" w:color="auto" w:fill="auto"/>
          </w:tcPr>
          <w:p w:rsidR="004843DB" w:rsidRPr="0062582F" w:rsidRDefault="004843DB" w:rsidP="004843DB">
            <w:pPr>
              <w:pStyle w:val="Tabletextblue"/>
              <w:spacing w:before="30" w:after="30"/>
              <w:rPr>
                <w:szCs w:val="19"/>
              </w:rPr>
            </w:pPr>
            <w:r w:rsidRPr="0062582F">
              <w:rPr>
                <w:szCs w:val="19"/>
              </w:rPr>
              <w:t>Related Party Disclosures*</w:t>
            </w:r>
          </w:p>
        </w:tc>
      </w:tr>
      <w:tr w:rsidR="004843DB" w:rsidRPr="0062582F" w:rsidTr="004843DB">
        <w:tc>
          <w:tcPr>
            <w:tcW w:w="1933" w:type="dxa"/>
            <w:shd w:val="clear" w:color="auto" w:fill="D9D9D9"/>
          </w:tcPr>
          <w:p w:rsidR="004843DB" w:rsidRPr="0062582F" w:rsidRDefault="004843DB" w:rsidP="004843DB">
            <w:pPr>
              <w:pStyle w:val="Tabletextblue"/>
              <w:spacing w:before="30" w:after="30"/>
            </w:pPr>
            <w:r w:rsidRPr="0062582F">
              <w:t>AASB 129</w:t>
            </w:r>
          </w:p>
        </w:tc>
        <w:tc>
          <w:tcPr>
            <w:tcW w:w="6480" w:type="dxa"/>
            <w:shd w:val="clear" w:color="auto" w:fill="D9D9D9"/>
          </w:tcPr>
          <w:p w:rsidR="004843DB" w:rsidRPr="0062582F" w:rsidRDefault="004843DB" w:rsidP="004843DB">
            <w:pPr>
              <w:pStyle w:val="Tabletextblue"/>
              <w:spacing w:before="30" w:after="30"/>
              <w:rPr>
                <w:szCs w:val="19"/>
              </w:rPr>
            </w:pPr>
            <w:r w:rsidRPr="0062582F">
              <w:rPr>
                <w:szCs w:val="19"/>
              </w:rPr>
              <w:t>Financial Reporting in Hyperinflationary Economics</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AASB 133</w:t>
            </w:r>
          </w:p>
        </w:tc>
        <w:tc>
          <w:tcPr>
            <w:tcW w:w="6480" w:type="dxa"/>
            <w:shd w:val="clear" w:color="auto" w:fill="auto"/>
          </w:tcPr>
          <w:p w:rsidR="004843DB" w:rsidRPr="0062582F" w:rsidRDefault="004843DB" w:rsidP="004843DB">
            <w:pPr>
              <w:pStyle w:val="Tabletextblue"/>
              <w:spacing w:before="30" w:after="30"/>
              <w:rPr>
                <w:szCs w:val="19"/>
              </w:rPr>
            </w:pPr>
            <w:r w:rsidRPr="0062582F">
              <w:rPr>
                <w:szCs w:val="19"/>
              </w:rPr>
              <w:t>Earnings per Share</w:t>
            </w:r>
          </w:p>
        </w:tc>
      </w:tr>
      <w:tr w:rsidR="004843DB" w:rsidRPr="0062582F" w:rsidTr="004843DB">
        <w:tc>
          <w:tcPr>
            <w:tcW w:w="1933" w:type="dxa"/>
            <w:shd w:val="clear" w:color="auto" w:fill="D9D9D9"/>
          </w:tcPr>
          <w:p w:rsidR="004843DB" w:rsidRPr="0062582F" w:rsidRDefault="004843DB" w:rsidP="004843DB">
            <w:pPr>
              <w:pStyle w:val="Tabletextblue"/>
              <w:spacing w:before="30" w:after="30"/>
            </w:pPr>
            <w:r w:rsidRPr="0062582F">
              <w:t>AASB 134</w:t>
            </w:r>
          </w:p>
        </w:tc>
        <w:tc>
          <w:tcPr>
            <w:tcW w:w="6480" w:type="dxa"/>
            <w:shd w:val="clear" w:color="auto" w:fill="D9D9D9"/>
          </w:tcPr>
          <w:p w:rsidR="004843DB" w:rsidRPr="0062582F" w:rsidRDefault="004843DB" w:rsidP="004843DB">
            <w:pPr>
              <w:pStyle w:val="Tabletextblue"/>
              <w:spacing w:before="30" w:after="30"/>
              <w:rPr>
                <w:szCs w:val="19"/>
              </w:rPr>
            </w:pPr>
            <w:r w:rsidRPr="0062582F">
              <w:rPr>
                <w:szCs w:val="19"/>
              </w:rPr>
              <w:t>Interim Financial Reporting</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AASB 1023</w:t>
            </w:r>
          </w:p>
        </w:tc>
        <w:tc>
          <w:tcPr>
            <w:tcW w:w="6480" w:type="dxa"/>
            <w:shd w:val="clear" w:color="auto" w:fill="auto"/>
          </w:tcPr>
          <w:p w:rsidR="004843DB" w:rsidRPr="0062582F" w:rsidRDefault="004843DB" w:rsidP="004843DB">
            <w:pPr>
              <w:pStyle w:val="Tabletextblue"/>
              <w:spacing w:before="30" w:after="30"/>
              <w:rPr>
                <w:szCs w:val="19"/>
              </w:rPr>
            </w:pPr>
            <w:r w:rsidRPr="0062582F">
              <w:rPr>
                <w:szCs w:val="19"/>
              </w:rPr>
              <w:t>General Insurance Contracts</w:t>
            </w:r>
          </w:p>
        </w:tc>
      </w:tr>
      <w:tr w:rsidR="004843DB" w:rsidRPr="0062582F" w:rsidTr="004843DB">
        <w:tc>
          <w:tcPr>
            <w:tcW w:w="1933" w:type="dxa"/>
            <w:shd w:val="clear" w:color="auto" w:fill="D9D9D9"/>
          </w:tcPr>
          <w:p w:rsidR="004843DB" w:rsidRPr="0062582F" w:rsidRDefault="004843DB" w:rsidP="004843DB">
            <w:pPr>
              <w:pStyle w:val="Tabletextblue"/>
              <w:spacing w:before="30" w:after="30"/>
            </w:pPr>
            <w:r w:rsidRPr="0062582F">
              <w:t>AASB 1038</w:t>
            </w:r>
          </w:p>
        </w:tc>
        <w:tc>
          <w:tcPr>
            <w:tcW w:w="6480" w:type="dxa"/>
            <w:shd w:val="clear" w:color="auto" w:fill="D9D9D9"/>
          </w:tcPr>
          <w:p w:rsidR="004843DB" w:rsidRPr="0062582F" w:rsidRDefault="004843DB" w:rsidP="004843DB">
            <w:pPr>
              <w:pStyle w:val="Tabletextblue"/>
              <w:spacing w:before="30" w:after="30"/>
              <w:rPr>
                <w:szCs w:val="19"/>
              </w:rPr>
            </w:pPr>
            <w:r w:rsidRPr="0062582F">
              <w:rPr>
                <w:szCs w:val="19"/>
              </w:rPr>
              <w:t>Life Insurance Contracts</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AASB 1039</w:t>
            </w:r>
          </w:p>
        </w:tc>
        <w:tc>
          <w:tcPr>
            <w:tcW w:w="6480" w:type="dxa"/>
            <w:shd w:val="clear" w:color="auto" w:fill="auto"/>
          </w:tcPr>
          <w:p w:rsidR="004843DB" w:rsidRPr="0062582F" w:rsidRDefault="004843DB" w:rsidP="004843DB">
            <w:pPr>
              <w:pStyle w:val="Tabletextblue"/>
              <w:spacing w:before="30" w:after="30"/>
            </w:pPr>
            <w:r w:rsidRPr="0062582F">
              <w:t>Concise Financial Reports</w:t>
            </w:r>
          </w:p>
        </w:tc>
      </w:tr>
      <w:tr w:rsidR="004843DB" w:rsidRPr="0062582F" w:rsidTr="004843DB">
        <w:tc>
          <w:tcPr>
            <w:tcW w:w="1933" w:type="dxa"/>
            <w:shd w:val="clear" w:color="auto" w:fill="D9D9D9"/>
          </w:tcPr>
          <w:p w:rsidR="004843DB" w:rsidRPr="0062582F" w:rsidRDefault="004843DB" w:rsidP="004843DB">
            <w:pPr>
              <w:pStyle w:val="Tabletextblue"/>
              <w:spacing w:before="30" w:after="30"/>
            </w:pPr>
            <w:r w:rsidRPr="0062582F">
              <w:t>AASB 1048</w:t>
            </w:r>
          </w:p>
        </w:tc>
        <w:tc>
          <w:tcPr>
            <w:tcW w:w="6480" w:type="dxa"/>
            <w:shd w:val="clear" w:color="auto" w:fill="D9D9D9"/>
          </w:tcPr>
          <w:p w:rsidR="004843DB" w:rsidRPr="0062582F" w:rsidRDefault="004843DB" w:rsidP="004843DB">
            <w:pPr>
              <w:pStyle w:val="Tabletextblue"/>
              <w:spacing w:before="30" w:after="30"/>
            </w:pPr>
            <w:r w:rsidRPr="0062582F">
              <w:t>Interpretation of Standards</w:t>
            </w:r>
          </w:p>
        </w:tc>
      </w:tr>
      <w:tr w:rsidR="004843DB" w:rsidRPr="0062582F" w:rsidDel="00803CBB" w:rsidTr="004843DB">
        <w:tc>
          <w:tcPr>
            <w:tcW w:w="1933" w:type="dxa"/>
            <w:shd w:val="clear" w:color="auto" w:fill="auto"/>
          </w:tcPr>
          <w:p w:rsidR="004843DB" w:rsidRPr="0062582F" w:rsidDel="00803CBB" w:rsidRDefault="004843DB" w:rsidP="004843DB">
            <w:pPr>
              <w:pStyle w:val="Tabletextblue"/>
              <w:spacing w:before="30" w:after="30"/>
            </w:pPr>
            <w:r w:rsidRPr="0062582F">
              <w:t>AASB 1053</w:t>
            </w:r>
          </w:p>
        </w:tc>
        <w:tc>
          <w:tcPr>
            <w:tcW w:w="6480" w:type="dxa"/>
            <w:shd w:val="clear" w:color="auto" w:fill="auto"/>
          </w:tcPr>
          <w:p w:rsidR="004843DB" w:rsidRPr="0062582F" w:rsidDel="00803CBB" w:rsidRDefault="004843DB" w:rsidP="004843DB">
            <w:pPr>
              <w:pStyle w:val="Tabletextblue"/>
              <w:spacing w:before="30" w:after="30"/>
            </w:pPr>
            <w:r w:rsidRPr="0062582F">
              <w:t>Application of Tiers of Australian Accounting Standards</w:t>
            </w:r>
          </w:p>
        </w:tc>
      </w:tr>
      <w:tr w:rsidR="004843DB" w:rsidRPr="0062582F" w:rsidDel="00803CBB"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AAS 25</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Financial Reporting by Superannuation Plans</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1</w:t>
            </w:r>
          </w:p>
        </w:tc>
        <w:tc>
          <w:tcPr>
            <w:tcW w:w="6480" w:type="dxa"/>
            <w:shd w:val="clear" w:color="auto" w:fill="auto"/>
          </w:tcPr>
          <w:p w:rsidR="004843DB" w:rsidRPr="0062582F" w:rsidRDefault="004843DB" w:rsidP="004843DB">
            <w:pPr>
              <w:pStyle w:val="Tabletextblue"/>
              <w:spacing w:before="30" w:after="30"/>
            </w:pPr>
            <w:r w:rsidRPr="0062582F">
              <w:t>Changes in Existing Decommissioning, Restoration and Similar Liabilities</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2</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Members</w:t>
            </w:r>
            <w:r w:rsidR="005A4BB0">
              <w:t>’</w:t>
            </w:r>
            <w:r w:rsidRPr="0062582F">
              <w:t xml:space="preserve"> Shares in Co</w:t>
            </w:r>
            <w:r w:rsidR="005A4BB0">
              <w:noBreakHyphen/>
            </w:r>
            <w:r w:rsidRPr="0062582F">
              <w:t>operative Entities and Similar Instruments</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5</w:t>
            </w:r>
          </w:p>
        </w:tc>
        <w:tc>
          <w:tcPr>
            <w:tcW w:w="6480" w:type="dxa"/>
            <w:shd w:val="clear" w:color="auto" w:fill="auto"/>
          </w:tcPr>
          <w:p w:rsidR="004843DB" w:rsidRPr="0062582F" w:rsidRDefault="004843DB" w:rsidP="004843DB">
            <w:pPr>
              <w:pStyle w:val="Tabletextblue"/>
              <w:spacing w:before="30" w:after="30"/>
            </w:pPr>
            <w:r w:rsidRPr="0062582F">
              <w:t>Rights to Interests Arising from Decommissioning, Restoration and Environmental Rehabilitation Funds</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6</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Liabilities Arising from Participating in a Specific Market – Waste Electrical and Electronic Equipment</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7</w:t>
            </w:r>
          </w:p>
        </w:tc>
        <w:tc>
          <w:tcPr>
            <w:tcW w:w="6480" w:type="dxa"/>
            <w:shd w:val="clear" w:color="auto" w:fill="auto"/>
          </w:tcPr>
          <w:p w:rsidR="004843DB" w:rsidRPr="0062582F" w:rsidRDefault="004843DB" w:rsidP="004843DB">
            <w:pPr>
              <w:pStyle w:val="Tabletextblue"/>
              <w:spacing w:before="30" w:after="30"/>
            </w:pPr>
            <w:r w:rsidRPr="0062582F">
              <w:t>Applying the Restatement Approach under AASB 129 Financial Reporting in Hyperinflationary Economies</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9</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Reassessment of Embedded Derivatives</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10</w:t>
            </w:r>
          </w:p>
        </w:tc>
        <w:tc>
          <w:tcPr>
            <w:tcW w:w="6480" w:type="dxa"/>
            <w:shd w:val="clear" w:color="auto" w:fill="auto"/>
          </w:tcPr>
          <w:p w:rsidR="004843DB" w:rsidRPr="0062582F" w:rsidRDefault="004843DB" w:rsidP="004843DB">
            <w:pPr>
              <w:pStyle w:val="Tabletextblue"/>
              <w:spacing w:before="30" w:after="30"/>
            </w:pPr>
            <w:r w:rsidRPr="0062582F">
              <w:t>Interim Financial Reporting and Impairment</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12</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Service Concession Arrangements</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13</w:t>
            </w:r>
          </w:p>
        </w:tc>
        <w:tc>
          <w:tcPr>
            <w:tcW w:w="6480" w:type="dxa"/>
            <w:shd w:val="clear" w:color="auto" w:fill="auto"/>
          </w:tcPr>
          <w:p w:rsidR="004843DB" w:rsidRPr="0062582F" w:rsidRDefault="004843DB" w:rsidP="004843DB">
            <w:pPr>
              <w:pStyle w:val="Tabletextblue"/>
              <w:spacing w:before="30" w:after="30"/>
            </w:pPr>
            <w:r w:rsidRPr="0062582F">
              <w:t>Customer Loyalty Programmes</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14</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AASB 119 – The Limit on a Defined Benefit Asset, Minimum Funding Requirements and Their Interaction</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15</w:t>
            </w:r>
          </w:p>
        </w:tc>
        <w:tc>
          <w:tcPr>
            <w:tcW w:w="6480" w:type="dxa"/>
            <w:shd w:val="clear" w:color="auto" w:fill="auto"/>
          </w:tcPr>
          <w:p w:rsidR="004843DB" w:rsidRPr="0062582F" w:rsidRDefault="004843DB" w:rsidP="004843DB">
            <w:pPr>
              <w:pStyle w:val="Tabletextblue"/>
              <w:spacing w:before="30" w:after="30"/>
            </w:pPr>
            <w:r w:rsidRPr="0062582F">
              <w:t>Agreements for the Construction of Real Estate</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16</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Hedges of a Net Investment in a Foreign Operation</w:t>
            </w:r>
          </w:p>
        </w:tc>
      </w:tr>
    </w:tbl>
    <w:p w:rsidR="004843DB" w:rsidRPr="0062582F" w:rsidRDefault="004843DB" w:rsidP="004843DB">
      <w:pPr>
        <w:pStyle w:val="NotesBlue"/>
      </w:pPr>
      <w:r w:rsidRPr="0062582F">
        <w:br w:type="column"/>
      </w:r>
    </w:p>
    <w:p w:rsidR="004843DB" w:rsidRPr="0062582F" w:rsidRDefault="004843DB" w:rsidP="004843DB">
      <w:pPr>
        <w:pStyle w:val="Reference"/>
      </w:pPr>
    </w:p>
    <w:p w:rsidR="004843DB" w:rsidRPr="0062582F" w:rsidRDefault="004843DB" w:rsidP="004843DB">
      <w:pPr>
        <w:pStyle w:val="Heading1BluePt3Contd"/>
      </w:pPr>
      <w:r w:rsidRPr="0062582F">
        <w:br w:type="column"/>
      </w:r>
      <w:r w:rsidRPr="0062582F">
        <w:lastRenderedPageBreak/>
        <w:t xml:space="preserve">Exclusions </w:t>
      </w:r>
      <w:r w:rsidRPr="0062582F">
        <w:rPr>
          <w:i/>
          <w:iCs/>
        </w:rPr>
        <w:t>(continued)</w:t>
      </w:r>
    </w:p>
    <w:p w:rsidR="004843DB" w:rsidRPr="0062582F" w:rsidRDefault="004843DB" w:rsidP="004843DB">
      <w:pPr>
        <w:pStyle w:val="SmallLine"/>
      </w:pPr>
    </w:p>
    <w:tbl>
      <w:tblPr>
        <w:tblW w:w="8413" w:type="dxa"/>
        <w:tblLayout w:type="fixed"/>
        <w:tblCellMar>
          <w:left w:w="43" w:type="dxa"/>
          <w:right w:w="43" w:type="dxa"/>
        </w:tblCellMar>
        <w:tblLook w:val="01E0" w:firstRow="1" w:lastRow="1" w:firstColumn="1" w:lastColumn="1" w:noHBand="0" w:noVBand="0"/>
      </w:tblPr>
      <w:tblGrid>
        <w:gridCol w:w="1933"/>
        <w:gridCol w:w="6480"/>
      </w:tblGrid>
      <w:tr w:rsidR="004843DB" w:rsidRPr="0062582F" w:rsidTr="004843DB">
        <w:tc>
          <w:tcPr>
            <w:tcW w:w="193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4843DB" w:rsidRPr="0062582F" w:rsidRDefault="004843DB" w:rsidP="004843DB">
            <w:pPr>
              <w:pStyle w:val="Tabletextblue"/>
              <w:spacing w:before="30" w:after="30"/>
              <w:rPr>
                <w:b/>
              </w:rPr>
            </w:pPr>
            <w:r w:rsidRPr="0062582F">
              <w:rPr>
                <w:b/>
              </w:rPr>
              <w:t xml:space="preserve">Reference </w:t>
            </w:r>
          </w:p>
        </w:tc>
        <w:tc>
          <w:tcPr>
            <w:tcW w:w="6480"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4843DB" w:rsidRPr="0062582F" w:rsidRDefault="004843DB" w:rsidP="004843DB">
            <w:pPr>
              <w:pStyle w:val="Tabletextblue"/>
              <w:spacing w:before="30" w:after="30"/>
              <w:rPr>
                <w:b/>
              </w:rPr>
            </w:pPr>
            <w:r w:rsidRPr="0062582F">
              <w:rPr>
                <w:b/>
              </w:rPr>
              <w:t>Title</w:t>
            </w:r>
          </w:p>
        </w:tc>
      </w:tr>
      <w:tr w:rsidR="004843DB" w:rsidRPr="0062582F" w:rsidTr="004843DB">
        <w:tc>
          <w:tcPr>
            <w:tcW w:w="1933" w:type="dxa"/>
            <w:tcBorders>
              <w:top w:val="single" w:sz="4" w:space="0" w:color="BFBFBF" w:themeColor="background1" w:themeShade="BF"/>
            </w:tcBorders>
            <w:shd w:val="clear" w:color="auto" w:fill="auto"/>
          </w:tcPr>
          <w:p w:rsidR="004843DB" w:rsidRPr="0062582F" w:rsidRDefault="004843DB" w:rsidP="004843DB">
            <w:pPr>
              <w:pStyle w:val="Tabletextblue"/>
              <w:spacing w:before="30" w:after="30"/>
            </w:pPr>
            <w:r w:rsidRPr="0062582F">
              <w:t>Interpretation 17</w:t>
            </w:r>
          </w:p>
        </w:tc>
        <w:tc>
          <w:tcPr>
            <w:tcW w:w="6480" w:type="dxa"/>
            <w:tcBorders>
              <w:top w:val="single" w:sz="4" w:space="0" w:color="BFBFBF" w:themeColor="background1" w:themeShade="BF"/>
            </w:tcBorders>
            <w:shd w:val="clear" w:color="auto" w:fill="auto"/>
          </w:tcPr>
          <w:p w:rsidR="004843DB" w:rsidRPr="0062582F" w:rsidRDefault="004843DB" w:rsidP="004843DB">
            <w:pPr>
              <w:pStyle w:val="Tabletextblue"/>
              <w:spacing w:before="30" w:after="30"/>
            </w:pPr>
            <w:r w:rsidRPr="0062582F">
              <w:t>Distributions of Non</w:t>
            </w:r>
            <w:r w:rsidR="005A4BB0">
              <w:noBreakHyphen/>
            </w:r>
            <w:r w:rsidRPr="0062582F">
              <w:t>cash Assets to Owners</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19</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Extinguishing Financial Liabilities with Equity Instruments</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20</w:t>
            </w:r>
          </w:p>
        </w:tc>
        <w:tc>
          <w:tcPr>
            <w:tcW w:w="6480" w:type="dxa"/>
            <w:shd w:val="clear" w:color="auto" w:fill="auto"/>
          </w:tcPr>
          <w:p w:rsidR="004843DB" w:rsidRPr="0062582F" w:rsidRDefault="004843DB" w:rsidP="004843DB">
            <w:pPr>
              <w:pStyle w:val="Tabletextblue"/>
              <w:spacing w:before="30" w:after="30"/>
            </w:pPr>
            <w:r w:rsidRPr="0062582F">
              <w:t>Stripping Costs in the Production Phase of a Surface Mine</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21</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Levies</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107</w:t>
            </w:r>
          </w:p>
        </w:tc>
        <w:tc>
          <w:tcPr>
            <w:tcW w:w="6480" w:type="dxa"/>
            <w:shd w:val="clear" w:color="auto" w:fill="auto"/>
          </w:tcPr>
          <w:p w:rsidR="004843DB" w:rsidRPr="0062582F" w:rsidRDefault="004843DB" w:rsidP="004843DB">
            <w:pPr>
              <w:pStyle w:val="Tabletextblue"/>
              <w:spacing w:before="30" w:after="30"/>
            </w:pPr>
            <w:r w:rsidRPr="0062582F">
              <w:t>Introduction of the Euro</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110</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Government Assistance – No Specific Relation to Operating Activities</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125</w:t>
            </w:r>
          </w:p>
        </w:tc>
        <w:tc>
          <w:tcPr>
            <w:tcW w:w="6480" w:type="dxa"/>
            <w:shd w:val="clear" w:color="auto" w:fill="auto"/>
          </w:tcPr>
          <w:p w:rsidR="004843DB" w:rsidRPr="0062582F" w:rsidRDefault="004843DB" w:rsidP="004843DB">
            <w:pPr>
              <w:pStyle w:val="Tabletextblue"/>
              <w:spacing w:before="30" w:after="30"/>
            </w:pPr>
            <w:r w:rsidRPr="0062582F">
              <w:t>Income Taxes – Changes in the Tax Status of an Entity or Its Shareholders</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127</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 xml:space="preserve">Evaluating the Substance of Transactions Involving the Legal Form of a Lease </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131</w:t>
            </w:r>
          </w:p>
        </w:tc>
        <w:tc>
          <w:tcPr>
            <w:tcW w:w="6480" w:type="dxa"/>
            <w:shd w:val="clear" w:color="auto" w:fill="auto"/>
          </w:tcPr>
          <w:p w:rsidR="004843DB" w:rsidRPr="0062582F" w:rsidRDefault="004843DB" w:rsidP="004843DB">
            <w:pPr>
              <w:pStyle w:val="Tabletextblue"/>
              <w:spacing w:before="30" w:after="30"/>
            </w:pPr>
            <w:r w:rsidRPr="0062582F">
              <w:t>Revenue – Barter Transactions Involving Advertising Services</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132</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Intangible Assets – Web Site Costs</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1003</w:t>
            </w:r>
          </w:p>
        </w:tc>
        <w:tc>
          <w:tcPr>
            <w:tcW w:w="6480" w:type="dxa"/>
            <w:shd w:val="clear" w:color="auto" w:fill="auto"/>
          </w:tcPr>
          <w:p w:rsidR="004843DB" w:rsidRPr="0062582F" w:rsidRDefault="004843DB" w:rsidP="004843DB">
            <w:pPr>
              <w:pStyle w:val="Tabletextblue"/>
              <w:spacing w:before="30" w:after="30"/>
            </w:pPr>
            <w:r w:rsidRPr="0062582F">
              <w:t>Australian Petroleum Resource Rent Tax</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1019</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The Superannuation Contributions Surcharge</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1030</w:t>
            </w:r>
          </w:p>
        </w:tc>
        <w:tc>
          <w:tcPr>
            <w:tcW w:w="6480" w:type="dxa"/>
            <w:shd w:val="clear" w:color="auto" w:fill="auto"/>
          </w:tcPr>
          <w:p w:rsidR="004843DB" w:rsidRPr="0062582F" w:rsidRDefault="004843DB" w:rsidP="004843DB">
            <w:pPr>
              <w:pStyle w:val="Tabletextblue"/>
              <w:spacing w:before="30" w:after="30"/>
            </w:pPr>
            <w:r w:rsidRPr="0062582F">
              <w:t>Depreciation of Long</w:t>
            </w:r>
            <w:r w:rsidR="005A4BB0">
              <w:noBreakHyphen/>
            </w:r>
            <w:r w:rsidRPr="0062582F">
              <w:t>lived Physical Assets: Condition</w:t>
            </w:r>
            <w:r w:rsidR="005A4BB0">
              <w:noBreakHyphen/>
            </w:r>
            <w:r w:rsidRPr="0062582F">
              <w:t>based Depreciation and Related Methods</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1042</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Subscriber Acquisition Costs in the Telecommunications Industry</w:t>
            </w:r>
          </w:p>
        </w:tc>
      </w:tr>
      <w:tr w:rsidR="004843DB" w:rsidRPr="0062582F" w:rsidTr="004843DB">
        <w:tc>
          <w:tcPr>
            <w:tcW w:w="1933" w:type="dxa"/>
            <w:shd w:val="clear" w:color="auto" w:fill="auto"/>
          </w:tcPr>
          <w:p w:rsidR="004843DB" w:rsidRPr="0062582F" w:rsidRDefault="004843DB" w:rsidP="004843DB">
            <w:pPr>
              <w:pStyle w:val="Tabletextblue"/>
              <w:spacing w:before="30" w:after="30"/>
            </w:pPr>
            <w:r w:rsidRPr="0062582F">
              <w:t>Interpretation 1047</w:t>
            </w:r>
          </w:p>
        </w:tc>
        <w:tc>
          <w:tcPr>
            <w:tcW w:w="6480" w:type="dxa"/>
            <w:shd w:val="clear" w:color="auto" w:fill="auto"/>
          </w:tcPr>
          <w:p w:rsidR="004843DB" w:rsidRPr="0062582F" w:rsidRDefault="004843DB" w:rsidP="004843DB">
            <w:pPr>
              <w:pStyle w:val="Tabletextblue"/>
              <w:spacing w:before="30" w:after="30"/>
            </w:pPr>
            <w:r w:rsidRPr="0062582F">
              <w:t>Professional Indemnity Claims Liabilities in Medical Defence Organisations</w:t>
            </w:r>
          </w:p>
        </w:tc>
      </w:tr>
      <w:tr w:rsidR="004843DB" w:rsidRPr="0062582F" w:rsidTr="004843DB">
        <w:tc>
          <w:tcPr>
            <w:tcW w:w="1933" w:type="dxa"/>
            <w:shd w:val="clear" w:color="auto" w:fill="D9D9D9" w:themeFill="background1" w:themeFillShade="D9"/>
          </w:tcPr>
          <w:p w:rsidR="004843DB" w:rsidRPr="0062582F" w:rsidRDefault="004843DB" w:rsidP="004843DB">
            <w:pPr>
              <w:pStyle w:val="Tabletextblue"/>
              <w:spacing w:before="30" w:after="30"/>
            </w:pPr>
            <w:r w:rsidRPr="0062582F">
              <w:t>Interpretation 1052</w:t>
            </w:r>
          </w:p>
        </w:tc>
        <w:tc>
          <w:tcPr>
            <w:tcW w:w="6480" w:type="dxa"/>
            <w:shd w:val="clear" w:color="auto" w:fill="D9D9D9" w:themeFill="background1" w:themeFillShade="D9"/>
          </w:tcPr>
          <w:p w:rsidR="004843DB" w:rsidRPr="0062582F" w:rsidRDefault="004843DB" w:rsidP="004843DB">
            <w:pPr>
              <w:pStyle w:val="Tabletextblue"/>
              <w:spacing w:before="30" w:after="30"/>
            </w:pPr>
            <w:r w:rsidRPr="0062582F">
              <w:t>Tax Consolidation Accounting</w:t>
            </w:r>
          </w:p>
        </w:tc>
      </w:tr>
      <w:tr w:rsidR="004843DB" w:rsidRPr="0062582F" w:rsidTr="004843DB">
        <w:tc>
          <w:tcPr>
            <w:tcW w:w="1933" w:type="dxa"/>
            <w:tcBorders>
              <w:bottom w:val="single" w:sz="12" w:space="0" w:color="A6A6A6" w:themeColor="background1" w:themeShade="A6"/>
            </w:tcBorders>
            <w:shd w:val="clear" w:color="auto" w:fill="auto"/>
          </w:tcPr>
          <w:p w:rsidR="004843DB" w:rsidRPr="0062582F" w:rsidRDefault="004843DB" w:rsidP="004843DB">
            <w:pPr>
              <w:pStyle w:val="Tabletextblue"/>
              <w:spacing w:before="30" w:after="30"/>
            </w:pPr>
            <w:r w:rsidRPr="0062582F">
              <w:t>Interpretation 1055</w:t>
            </w:r>
          </w:p>
        </w:tc>
        <w:tc>
          <w:tcPr>
            <w:tcW w:w="6480" w:type="dxa"/>
            <w:tcBorders>
              <w:bottom w:val="single" w:sz="12" w:space="0" w:color="A6A6A6" w:themeColor="background1" w:themeShade="A6"/>
            </w:tcBorders>
            <w:shd w:val="clear" w:color="auto" w:fill="auto"/>
          </w:tcPr>
          <w:p w:rsidR="004843DB" w:rsidRPr="0062582F" w:rsidRDefault="004843DB" w:rsidP="004843DB">
            <w:pPr>
              <w:pStyle w:val="Tabletextblue"/>
              <w:spacing w:before="30" w:after="30"/>
            </w:pPr>
            <w:r w:rsidRPr="0062582F">
              <w:t>Accounting for Road Earthworks</w:t>
            </w:r>
          </w:p>
        </w:tc>
      </w:tr>
    </w:tbl>
    <w:p w:rsidR="004843DB" w:rsidRPr="0062582F" w:rsidRDefault="004843DB" w:rsidP="004843DB">
      <w:pPr>
        <w:pStyle w:val="SmallLine"/>
      </w:pPr>
    </w:p>
    <w:p w:rsidR="004843DB" w:rsidRPr="0062582F" w:rsidRDefault="004843DB" w:rsidP="004843DB">
      <w:pPr>
        <w:pStyle w:val="NotesBlue"/>
        <w:sectPr w:rsidR="004843DB" w:rsidRPr="0062582F" w:rsidSect="00190A01">
          <w:headerReference w:type="first" r:id="rId130"/>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sBlue"/>
        <w:ind w:left="0" w:firstLine="0"/>
      </w:pPr>
      <w:r w:rsidRPr="0062582F">
        <w:lastRenderedPageBreak/>
        <w:br w:type="column"/>
      </w:r>
      <w:r w:rsidRPr="0062582F">
        <w:lastRenderedPageBreak/>
        <w:t>*AASB 2015</w:t>
      </w:r>
      <w:r w:rsidR="005A4BB0">
        <w:noBreakHyphen/>
      </w:r>
      <w:r w:rsidRPr="0062582F">
        <w:t xml:space="preserve">6 </w:t>
      </w:r>
      <w:r w:rsidRPr="0062582F">
        <w:rPr>
          <w:i w:val="0"/>
        </w:rPr>
        <w:t>Amendments to Australian Accounting Standards – Extending Related Party Disclosures to Not</w:t>
      </w:r>
      <w:r w:rsidR="005A4BB0">
        <w:rPr>
          <w:i w:val="0"/>
        </w:rPr>
        <w:noBreakHyphen/>
      </w:r>
      <w:r w:rsidRPr="0062582F">
        <w:rPr>
          <w:i w:val="0"/>
        </w:rPr>
        <w:t>for</w:t>
      </w:r>
      <w:r w:rsidR="005A4BB0">
        <w:rPr>
          <w:i w:val="0"/>
        </w:rPr>
        <w:noBreakHyphen/>
      </w:r>
      <w:r w:rsidRPr="0062582F">
        <w:rPr>
          <w:i w:val="0"/>
        </w:rPr>
        <w:t>Profit Public Sector Entities</w:t>
      </w:r>
      <w:r w:rsidRPr="0062582F">
        <w:t xml:space="preserve"> removes the exemption for not</w:t>
      </w:r>
      <w:r w:rsidR="005A4BB0">
        <w:noBreakHyphen/>
      </w:r>
      <w:r w:rsidRPr="0062582F">
        <w:t>for</w:t>
      </w:r>
      <w:r w:rsidR="005A4BB0">
        <w:noBreakHyphen/>
      </w:r>
      <w:r w:rsidRPr="0062582F">
        <w:t>profit public sector entities from AASB 124 Related Party Disclosures for annual reporting periods beginning 1 January 2016.</w:t>
      </w:r>
    </w:p>
    <w:p w:rsidR="004843DB" w:rsidRPr="0062582F" w:rsidRDefault="004843DB" w:rsidP="004843DB">
      <w:pPr>
        <w:pStyle w:val="NotesBlue"/>
        <w:ind w:left="0" w:firstLine="0"/>
      </w:pPr>
      <w:r w:rsidRPr="0062582F">
        <w:t xml:space="preserve">All amending standards relevant to the standards excluded from illustration in the Model have not been listed for practical purpose. </w:t>
      </w:r>
    </w:p>
    <w:p w:rsidR="004843DB" w:rsidRPr="0062582F" w:rsidRDefault="004843DB" w:rsidP="004843DB">
      <w:pPr>
        <w:pStyle w:val="NotesBlue"/>
        <w:ind w:left="0" w:firstLine="0"/>
      </w:pPr>
      <w:r w:rsidRPr="0062582F">
        <w:t>Update to 1 March 2016, all accounting standards applicable for current and future reporting periods have been listed in Appendix 5 of the 2015</w:t>
      </w:r>
      <w:r w:rsidR="005A4BB0">
        <w:noBreakHyphen/>
      </w:r>
      <w:r w:rsidRPr="0062582F">
        <w:t>16 Model Report. For any subsequent release of the accounting pronouncements up to 30 June 2016, please refer to the upcoming FRD 120J</w:t>
      </w:r>
      <w:r w:rsidRPr="0062582F">
        <w:rPr>
          <w:i w:val="0"/>
        </w:rPr>
        <w:t xml:space="preserve"> Accounting and Reporting Pronouncements Applicable to the 2015</w:t>
      </w:r>
      <w:r w:rsidR="005A4BB0">
        <w:rPr>
          <w:i w:val="0"/>
        </w:rPr>
        <w:noBreakHyphen/>
      </w:r>
      <w:r w:rsidRPr="0062582F">
        <w:rPr>
          <w:i w:val="0"/>
        </w:rPr>
        <w:t>16 Reporting Period</w:t>
      </w:r>
      <w:r w:rsidRPr="0062582F">
        <w:t xml:space="preserve">. </w:t>
      </w:r>
    </w:p>
    <w:p w:rsidR="004843DB" w:rsidRPr="0062582F" w:rsidRDefault="004843DB" w:rsidP="004843DB">
      <w:pPr>
        <w:pStyle w:val="Notes"/>
      </w:pPr>
    </w:p>
    <w:p w:rsidR="004843DB" w:rsidRPr="0062582F" w:rsidRDefault="004843DB" w:rsidP="004843DB">
      <w:pPr>
        <w:spacing w:line="240" w:lineRule="atLeast"/>
        <w:rPr>
          <w:rFonts w:ascii="Calibri" w:hAnsi="Calibri" w:cs="Arial Bold"/>
          <w:b/>
          <w:bCs/>
          <w:color w:val="0000FF"/>
          <w:sz w:val="28"/>
          <w:szCs w:val="28"/>
        </w:rPr>
      </w:pPr>
      <w:bookmarkStart w:id="193" w:name="_Toc192578710"/>
      <w:bookmarkStart w:id="194" w:name="_Toc192645760"/>
      <w:bookmarkStart w:id="195" w:name="_Toc192645913"/>
      <w:bookmarkStart w:id="196" w:name="_Toc215305559"/>
      <w:bookmarkStart w:id="197" w:name="_Toc215371559"/>
      <w:bookmarkStart w:id="198" w:name="_Toc331754625"/>
      <w:bookmarkStart w:id="199" w:name="_Toc416691909"/>
      <w:r w:rsidRPr="0062582F">
        <w:br w:type="page"/>
      </w:r>
    </w:p>
    <w:p w:rsidR="004843DB" w:rsidRPr="0062582F" w:rsidRDefault="004843DB" w:rsidP="004843DB">
      <w:pPr>
        <w:pStyle w:val="Heading1BluePt3"/>
        <w:rPr>
          <w:szCs w:val="16"/>
        </w:rPr>
      </w:pPr>
      <w:r w:rsidRPr="0062582F">
        <w:lastRenderedPageBreak/>
        <w:br w:type="column"/>
      </w:r>
      <w:r w:rsidRPr="0062582F">
        <w:lastRenderedPageBreak/>
        <w:t>IASB/AASB developments potentially relevant to government</w:t>
      </w:r>
      <w:bookmarkStart w:id="200" w:name="_Toc192556921"/>
      <w:bookmarkStart w:id="201" w:name="_Toc192644498"/>
      <w:bookmarkEnd w:id="193"/>
      <w:bookmarkEnd w:id="194"/>
      <w:bookmarkEnd w:id="195"/>
      <w:bookmarkEnd w:id="196"/>
      <w:bookmarkEnd w:id="197"/>
      <w:bookmarkEnd w:id="198"/>
      <w:bookmarkEnd w:id="199"/>
    </w:p>
    <w:p w:rsidR="004843DB" w:rsidRPr="0062582F" w:rsidRDefault="004843DB" w:rsidP="004843DB">
      <w:pPr>
        <w:pStyle w:val="NormalBlue"/>
        <w:spacing w:after="120"/>
      </w:pPr>
      <w:r w:rsidRPr="0062582F">
        <w:t>Entities are encouraged to refer to the latest publication of Accounting Policy Update (newsletter), for the most up</w:t>
      </w:r>
      <w:r w:rsidR="005A4BB0">
        <w:noBreakHyphen/>
      </w:r>
      <w:r w:rsidRPr="0062582F">
        <w:t>to</w:t>
      </w:r>
      <w:r w:rsidR="005A4BB0">
        <w:noBreakHyphen/>
      </w:r>
      <w:r w:rsidRPr="0062582F">
        <w:t>date information on IASB/AASB developments that are relevant to public sector entities.</w:t>
      </w:r>
    </w:p>
    <w:p w:rsidR="004843DB" w:rsidRPr="0062582F" w:rsidRDefault="004843DB" w:rsidP="004843DB">
      <w:pPr>
        <w:pStyle w:val="NormalBlue"/>
        <w:spacing w:before="0"/>
      </w:pPr>
      <w:r w:rsidRPr="0062582F">
        <w:t xml:space="preserve">This newsletter is available from: </w:t>
      </w:r>
    </w:p>
    <w:p w:rsidR="004843DB" w:rsidRPr="0062582F" w:rsidRDefault="00B934BC" w:rsidP="004843DB">
      <w:pPr>
        <w:pStyle w:val="NormalBlue"/>
        <w:rPr>
          <w:rStyle w:val="Hyperlink"/>
        </w:rPr>
      </w:pPr>
      <w:hyperlink r:id="rId131" w:history="1">
        <w:r w:rsidR="004843DB" w:rsidRPr="0062582F">
          <w:rPr>
            <w:rStyle w:val="Hyperlink"/>
          </w:rPr>
          <w:t>http://www.dtf.vic.gov.au/Publications/Government</w:t>
        </w:r>
        <w:r w:rsidR="005A4BB0">
          <w:rPr>
            <w:rStyle w:val="Hyperlink"/>
          </w:rPr>
          <w:noBreakHyphen/>
        </w:r>
        <w:r w:rsidR="004843DB" w:rsidRPr="0062582F">
          <w:rPr>
            <w:rStyle w:val="Hyperlink"/>
          </w:rPr>
          <w:t>Financial</w:t>
        </w:r>
        <w:r w:rsidR="005A4BB0">
          <w:rPr>
            <w:rStyle w:val="Hyperlink"/>
          </w:rPr>
          <w:noBreakHyphen/>
        </w:r>
        <w:r w:rsidR="004843DB" w:rsidRPr="0062582F">
          <w:rPr>
            <w:rStyle w:val="Hyperlink"/>
          </w:rPr>
          <w:t>Management</w:t>
        </w:r>
        <w:r w:rsidR="005A4BB0">
          <w:rPr>
            <w:rStyle w:val="Hyperlink"/>
          </w:rPr>
          <w:noBreakHyphen/>
        </w:r>
        <w:r w:rsidR="004843DB" w:rsidRPr="0062582F">
          <w:rPr>
            <w:rStyle w:val="Hyperlink"/>
          </w:rPr>
          <w:t>publications/Financial</w:t>
        </w:r>
        <w:r w:rsidR="005A4BB0">
          <w:rPr>
            <w:rStyle w:val="Hyperlink"/>
          </w:rPr>
          <w:noBreakHyphen/>
        </w:r>
        <w:r w:rsidR="004843DB" w:rsidRPr="0062582F">
          <w:rPr>
            <w:rStyle w:val="Hyperlink"/>
          </w:rPr>
          <w:t>Reporting</w:t>
        </w:r>
        <w:r w:rsidR="005A4BB0">
          <w:rPr>
            <w:rStyle w:val="Hyperlink"/>
          </w:rPr>
          <w:noBreakHyphen/>
        </w:r>
        <w:r w:rsidR="004843DB" w:rsidRPr="0062582F">
          <w:rPr>
            <w:rStyle w:val="Hyperlink"/>
          </w:rPr>
          <w:t>Policy/Accounting</w:t>
        </w:r>
        <w:r w:rsidR="005A4BB0">
          <w:rPr>
            <w:rStyle w:val="Hyperlink"/>
          </w:rPr>
          <w:noBreakHyphen/>
        </w:r>
        <w:r w:rsidR="004843DB" w:rsidRPr="0062582F">
          <w:rPr>
            <w:rStyle w:val="Hyperlink"/>
          </w:rPr>
          <w:t>policy</w:t>
        </w:r>
        <w:r w:rsidR="005A4BB0">
          <w:rPr>
            <w:rStyle w:val="Hyperlink"/>
          </w:rPr>
          <w:noBreakHyphen/>
        </w:r>
        <w:r w:rsidR="004843DB" w:rsidRPr="0062582F">
          <w:rPr>
            <w:rStyle w:val="Hyperlink"/>
          </w:rPr>
          <w:t>update</w:t>
        </w:r>
        <w:r w:rsidR="005A4BB0">
          <w:rPr>
            <w:rStyle w:val="Hyperlink"/>
          </w:rPr>
          <w:noBreakHyphen/>
        </w:r>
        <w:r w:rsidR="004843DB" w:rsidRPr="0062582F">
          <w:rPr>
            <w:rStyle w:val="Hyperlink"/>
          </w:rPr>
          <w:t>newsletters</w:t>
        </w:r>
      </w:hyperlink>
    </w:p>
    <w:p w:rsidR="004843DB" w:rsidRPr="0062582F" w:rsidRDefault="004843DB" w:rsidP="004843DB">
      <w:pPr>
        <w:pStyle w:val="Heading1BluePt3"/>
      </w:pPr>
      <w:bookmarkStart w:id="202" w:name="_Toc331754626"/>
      <w:bookmarkStart w:id="203" w:name="_Toc416691910"/>
      <w:bookmarkStart w:id="204" w:name="_Toc192578712"/>
      <w:bookmarkStart w:id="205" w:name="_Toc192645762"/>
      <w:bookmarkStart w:id="206" w:name="_Toc192645915"/>
      <w:bookmarkStart w:id="207" w:name="_Toc215305561"/>
      <w:bookmarkStart w:id="208" w:name="_Toc215371561"/>
      <w:bookmarkEnd w:id="200"/>
      <w:bookmarkEnd w:id="201"/>
      <w:r w:rsidRPr="0062582F">
        <w:t>Accounting pronouncements</w:t>
      </w:r>
      <w:bookmarkEnd w:id="202"/>
      <w:bookmarkEnd w:id="203"/>
    </w:p>
    <w:p w:rsidR="004843DB" w:rsidRPr="0062582F" w:rsidRDefault="004843DB" w:rsidP="004843DB">
      <w:pPr>
        <w:pStyle w:val="NormalBlue"/>
      </w:pPr>
      <w:r w:rsidRPr="0062582F">
        <w:t>Entities are encouraged to refer to the AASB website for the latest applicable pronouncements for the 2015</w:t>
      </w:r>
      <w:r w:rsidR="005A4BB0">
        <w:noBreakHyphen/>
      </w:r>
      <w:r w:rsidRPr="0062582F">
        <w:t>16 reporting period. DTF also releases an updated version of FRD 120 on the applicable FRDs and AASs for the current reporting year on a yearly basis (usually published in early July on the DTF website). This FRD is applicable to departments and public bodies, and this year</w:t>
      </w:r>
      <w:r w:rsidR="005A4BB0">
        <w:t>’</w:t>
      </w:r>
      <w:r w:rsidRPr="0062582F">
        <w:t xml:space="preserve">s version will be FRD 120J </w:t>
      </w:r>
      <w:r w:rsidRPr="0062582F">
        <w:rPr>
          <w:i/>
        </w:rPr>
        <w:t>Accounting and Reporting Pronouncements Applicable to 2015</w:t>
      </w:r>
      <w:r w:rsidR="005A4BB0">
        <w:rPr>
          <w:i/>
        </w:rPr>
        <w:noBreakHyphen/>
      </w:r>
      <w:r w:rsidRPr="0062582F">
        <w:rPr>
          <w:i/>
        </w:rPr>
        <w:t>16 Reporting Period</w:t>
      </w:r>
      <w:r w:rsidRPr="0062582F">
        <w:t>.</w:t>
      </w:r>
    </w:p>
    <w:p w:rsidR="004843DB" w:rsidRPr="0062582F" w:rsidRDefault="004843DB" w:rsidP="004843DB">
      <w:pPr>
        <w:pStyle w:val="NormalBlue"/>
      </w:pPr>
    </w:p>
    <w:p w:rsidR="004843DB" w:rsidRPr="0062582F" w:rsidRDefault="004843DB" w:rsidP="004843DB">
      <w:pPr>
        <w:pStyle w:val="NormalBlue"/>
      </w:pPr>
      <w:bookmarkStart w:id="209" w:name="_Toc192578714"/>
      <w:bookmarkStart w:id="210" w:name="_Toc192645764"/>
      <w:bookmarkStart w:id="211" w:name="_Toc192645917"/>
      <w:bookmarkStart w:id="212" w:name="_Toc215305563"/>
      <w:bookmarkStart w:id="213" w:name="_Toc215371563"/>
      <w:bookmarkStart w:id="214" w:name="_Toc331754627"/>
      <w:bookmarkStart w:id="215" w:name="_Toc416691911"/>
      <w:bookmarkEnd w:id="204"/>
      <w:bookmarkEnd w:id="205"/>
      <w:bookmarkEnd w:id="206"/>
      <w:bookmarkEnd w:id="207"/>
      <w:bookmarkEnd w:id="208"/>
      <w:r w:rsidRPr="0062582F">
        <w:br w:type="page"/>
      </w:r>
    </w:p>
    <w:p w:rsidR="004843DB" w:rsidRPr="0062582F" w:rsidRDefault="004843DB" w:rsidP="004843DB">
      <w:pPr>
        <w:pStyle w:val="Reference"/>
      </w:pPr>
    </w:p>
    <w:p w:rsidR="004843DB" w:rsidRPr="0062582F" w:rsidRDefault="004843DB" w:rsidP="004843DB">
      <w:pPr>
        <w:pStyle w:val="Heading1BluePt3"/>
      </w:pPr>
      <w:r w:rsidRPr="0062582F">
        <w:br w:type="column"/>
      </w:r>
      <w:r w:rsidRPr="0062582F">
        <w:lastRenderedPageBreak/>
        <w:t>Budget and Financial Management Guidance</w:t>
      </w:r>
      <w:bookmarkEnd w:id="209"/>
      <w:bookmarkEnd w:id="210"/>
      <w:bookmarkEnd w:id="211"/>
      <w:bookmarkEnd w:id="212"/>
      <w:bookmarkEnd w:id="213"/>
      <w:r w:rsidRPr="0062582F">
        <w:t>s</w:t>
      </w:r>
      <w:bookmarkEnd w:id="214"/>
      <w:bookmarkEnd w:id="215"/>
    </w:p>
    <w:p w:rsidR="004843DB" w:rsidRPr="0062582F" w:rsidRDefault="004843DB" w:rsidP="004843DB">
      <w:pPr>
        <w:pStyle w:val="NormalBlue"/>
      </w:pPr>
      <w:r w:rsidRPr="0062582F">
        <w:t>Budget and Financial Management Guidances (BFMGs) provide detailed guidances on the elements of the existing budget and financial management policy framework, and how it is to be applied. BFMGs typically provide guidance on how to comply with relevant sections of the FMA, manage accrual output budget management issues or how to apply relevant AASs. The BFMGs are currently being revised as part of the revisions to the Standing Directions of the Minister for Finance and will remain operational until 30 June 2016.</w:t>
      </w:r>
    </w:p>
    <w:p w:rsidR="004843DB" w:rsidRPr="0062582F" w:rsidRDefault="004843DB" w:rsidP="004843DB">
      <w:pPr>
        <w:pStyle w:val="NormalBlue"/>
        <w:spacing w:after="120"/>
      </w:pPr>
      <w:r w:rsidRPr="0062582F">
        <w:t xml:space="preserve">The BFMGs relevant to financial reporting are listed below in numeric sequence and are accessible at </w:t>
      </w:r>
      <w:hyperlink r:id="rId132" w:history="1">
        <w:r w:rsidRPr="0062582F">
          <w:rPr>
            <w:rStyle w:val="Hyperlink"/>
          </w:rPr>
          <w:t>http://www.dtf.vic.gov.au/Government</w:t>
        </w:r>
        <w:r w:rsidR="005A4BB0">
          <w:rPr>
            <w:rStyle w:val="Hyperlink"/>
          </w:rPr>
          <w:noBreakHyphen/>
        </w:r>
        <w:r w:rsidRPr="0062582F">
          <w:rPr>
            <w:rStyle w:val="Hyperlink"/>
          </w:rPr>
          <w:t>Financial</w:t>
        </w:r>
        <w:r w:rsidR="005A4BB0">
          <w:rPr>
            <w:rStyle w:val="Hyperlink"/>
          </w:rPr>
          <w:noBreakHyphen/>
        </w:r>
        <w:r w:rsidRPr="0062582F">
          <w:rPr>
            <w:rStyle w:val="Hyperlink"/>
          </w:rPr>
          <w:t>Management/Budgeting</w:t>
        </w:r>
      </w:hyperlink>
      <w:r w:rsidRPr="0062582F">
        <w:t xml:space="preserve"> by only departments and entities internal to the Victoria public sector (VPS) network. </w:t>
      </w:r>
    </w:p>
    <w:p w:rsidR="004843DB" w:rsidRPr="0062582F" w:rsidRDefault="004843DB" w:rsidP="004843DB">
      <w:pPr>
        <w:pStyle w:val="SmallLine"/>
      </w:pPr>
    </w:p>
    <w:tbl>
      <w:tblPr>
        <w:tblW w:w="8323" w:type="dxa"/>
        <w:tblLayout w:type="fixed"/>
        <w:tblCellMar>
          <w:left w:w="43" w:type="dxa"/>
          <w:right w:w="43" w:type="dxa"/>
        </w:tblCellMar>
        <w:tblLook w:val="01E0" w:firstRow="1" w:lastRow="1" w:firstColumn="1" w:lastColumn="1" w:noHBand="0" w:noVBand="0"/>
      </w:tblPr>
      <w:tblGrid>
        <w:gridCol w:w="1033"/>
        <w:gridCol w:w="3240"/>
        <w:gridCol w:w="4050"/>
      </w:tblGrid>
      <w:tr w:rsidR="004843DB" w:rsidRPr="0062582F" w:rsidTr="004843DB">
        <w:trPr>
          <w:cantSplit/>
        </w:trPr>
        <w:tc>
          <w:tcPr>
            <w:tcW w:w="1033"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4843DB" w:rsidRPr="0062582F" w:rsidRDefault="004843DB" w:rsidP="004843DB">
            <w:pPr>
              <w:pStyle w:val="Tabletextblue"/>
              <w:spacing w:before="30" w:after="30"/>
              <w:rPr>
                <w:b/>
              </w:rPr>
            </w:pPr>
            <w:r w:rsidRPr="0062582F">
              <w:rPr>
                <w:b/>
              </w:rPr>
              <w:t xml:space="preserve">Reference </w:t>
            </w:r>
          </w:p>
        </w:tc>
        <w:tc>
          <w:tcPr>
            <w:tcW w:w="3240"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4843DB" w:rsidRPr="0062582F" w:rsidRDefault="004843DB" w:rsidP="004843DB">
            <w:pPr>
              <w:pStyle w:val="Tabletextblue"/>
              <w:spacing w:before="30" w:after="30"/>
              <w:rPr>
                <w:b/>
              </w:rPr>
            </w:pPr>
            <w:r w:rsidRPr="0062582F">
              <w:rPr>
                <w:b/>
              </w:rPr>
              <w:t>Title</w:t>
            </w:r>
          </w:p>
        </w:tc>
        <w:tc>
          <w:tcPr>
            <w:tcW w:w="4050"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4843DB" w:rsidRPr="0062582F" w:rsidRDefault="004843DB" w:rsidP="004843DB">
            <w:pPr>
              <w:pStyle w:val="Tabletextblue"/>
              <w:spacing w:before="30" w:after="30"/>
              <w:rPr>
                <w:b/>
              </w:rPr>
            </w:pPr>
            <w:r w:rsidRPr="0062582F">
              <w:rPr>
                <w:b/>
              </w:rPr>
              <w:t>Description</w:t>
            </w:r>
          </w:p>
        </w:tc>
      </w:tr>
      <w:tr w:rsidR="004843DB" w:rsidRPr="0062582F" w:rsidTr="004843DB">
        <w:trPr>
          <w:cantSplit/>
        </w:trPr>
        <w:tc>
          <w:tcPr>
            <w:tcW w:w="1033" w:type="dxa"/>
            <w:tcBorders>
              <w:top w:val="single" w:sz="6" w:space="0" w:color="BFBFBF" w:themeColor="background1" w:themeShade="BF"/>
            </w:tcBorders>
            <w:shd w:val="clear" w:color="auto" w:fill="auto"/>
          </w:tcPr>
          <w:p w:rsidR="004843DB" w:rsidRPr="0062582F" w:rsidRDefault="004843DB" w:rsidP="004843DB">
            <w:pPr>
              <w:pStyle w:val="Tabletextblue"/>
            </w:pPr>
            <w:r w:rsidRPr="0062582F">
              <w:t>BFMG 22</w:t>
            </w:r>
          </w:p>
        </w:tc>
        <w:tc>
          <w:tcPr>
            <w:tcW w:w="3240" w:type="dxa"/>
            <w:tcBorders>
              <w:top w:val="single" w:sz="6" w:space="0" w:color="BFBFBF" w:themeColor="background1" w:themeShade="BF"/>
            </w:tcBorders>
            <w:shd w:val="clear" w:color="auto" w:fill="auto"/>
          </w:tcPr>
          <w:p w:rsidR="004843DB" w:rsidRPr="0062582F" w:rsidRDefault="004843DB" w:rsidP="004843DB">
            <w:pPr>
              <w:pStyle w:val="Tabletextblue"/>
            </w:pPr>
            <w:r w:rsidRPr="0062582F">
              <w:t>Depreciation expense and accumulated depreciation</w:t>
            </w:r>
          </w:p>
        </w:tc>
        <w:tc>
          <w:tcPr>
            <w:tcW w:w="4050" w:type="dxa"/>
            <w:tcBorders>
              <w:top w:val="single" w:sz="6" w:space="0" w:color="BFBFBF" w:themeColor="background1" w:themeShade="BF"/>
            </w:tcBorders>
            <w:shd w:val="clear" w:color="auto" w:fill="auto"/>
          </w:tcPr>
          <w:p w:rsidR="004843DB" w:rsidRPr="0062582F" w:rsidRDefault="004843DB" w:rsidP="004843DB">
            <w:pPr>
              <w:pStyle w:val="Tabletextblue"/>
            </w:pPr>
            <w:r w:rsidRPr="0062582F">
              <w:t>Guidance on how depreciation expense and accumulated depreciation is treated under accrual output budgeting.</w:t>
            </w:r>
          </w:p>
        </w:tc>
      </w:tr>
      <w:tr w:rsidR="004843DB" w:rsidRPr="0062582F" w:rsidTr="004843DB">
        <w:trPr>
          <w:cantSplit/>
        </w:trPr>
        <w:tc>
          <w:tcPr>
            <w:tcW w:w="1033" w:type="dxa"/>
            <w:shd w:val="clear" w:color="auto" w:fill="D9D9D9"/>
          </w:tcPr>
          <w:p w:rsidR="004843DB" w:rsidRPr="0062582F" w:rsidRDefault="004843DB" w:rsidP="004843DB">
            <w:pPr>
              <w:pStyle w:val="Tabletextblue"/>
            </w:pPr>
            <w:r w:rsidRPr="0062582F">
              <w:t>BFMG 22</w:t>
            </w:r>
          </w:p>
        </w:tc>
        <w:tc>
          <w:tcPr>
            <w:tcW w:w="3240" w:type="dxa"/>
            <w:shd w:val="clear" w:color="auto" w:fill="D9D9D9"/>
          </w:tcPr>
          <w:p w:rsidR="004843DB" w:rsidRPr="0062582F" w:rsidRDefault="004843DB" w:rsidP="004843DB">
            <w:pPr>
              <w:pStyle w:val="Tabletextblue"/>
            </w:pPr>
            <w:r w:rsidRPr="0062582F">
              <w:t>Appendix: Depreciation – indicative rates</w:t>
            </w:r>
          </w:p>
        </w:tc>
        <w:tc>
          <w:tcPr>
            <w:tcW w:w="4050" w:type="dxa"/>
            <w:shd w:val="clear" w:color="auto" w:fill="D9D9D9"/>
          </w:tcPr>
          <w:p w:rsidR="004843DB" w:rsidRPr="0062582F" w:rsidRDefault="004843DB" w:rsidP="004843DB">
            <w:pPr>
              <w:pStyle w:val="Tabletextblue"/>
            </w:pPr>
            <w:r w:rsidRPr="0062582F">
              <w:t>Sets out the indicative depreciation rates for assets.</w:t>
            </w:r>
          </w:p>
        </w:tc>
      </w:tr>
      <w:tr w:rsidR="004843DB" w:rsidRPr="0062582F" w:rsidTr="004843DB">
        <w:trPr>
          <w:cantSplit/>
        </w:trPr>
        <w:tc>
          <w:tcPr>
            <w:tcW w:w="1033" w:type="dxa"/>
            <w:shd w:val="clear" w:color="auto" w:fill="auto"/>
          </w:tcPr>
          <w:p w:rsidR="004843DB" w:rsidRPr="0062582F" w:rsidRDefault="004843DB" w:rsidP="004843DB">
            <w:pPr>
              <w:pStyle w:val="Tabletextblue"/>
            </w:pPr>
            <w:r w:rsidRPr="0062582F">
              <w:t>BFMG 23</w:t>
            </w:r>
          </w:p>
        </w:tc>
        <w:tc>
          <w:tcPr>
            <w:tcW w:w="3240" w:type="dxa"/>
            <w:shd w:val="clear" w:color="auto" w:fill="auto"/>
          </w:tcPr>
          <w:p w:rsidR="004843DB" w:rsidRPr="0062582F" w:rsidRDefault="004843DB" w:rsidP="004843DB">
            <w:pPr>
              <w:pStyle w:val="Tabletextblue"/>
            </w:pPr>
            <w:r w:rsidRPr="0062582F">
              <w:t>Depreciation on administered assets</w:t>
            </w:r>
          </w:p>
        </w:tc>
        <w:tc>
          <w:tcPr>
            <w:tcW w:w="4050" w:type="dxa"/>
            <w:shd w:val="clear" w:color="auto" w:fill="auto"/>
          </w:tcPr>
          <w:p w:rsidR="004843DB" w:rsidRPr="0062582F" w:rsidRDefault="004843DB" w:rsidP="004843DB">
            <w:pPr>
              <w:pStyle w:val="Tabletextblue"/>
            </w:pPr>
            <w:r w:rsidRPr="0062582F">
              <w:t>Guidance on how departments should calculate and record depreciation expense on their administered non</w:t>
            </w:r>
            <w:r w:rsidR="005A4BB0">
              <w:noBreakHyphen/>
            </w:r>
            <w:r w:rsidRPr="0062582F">
              <w:t>current assets.</w:t>
            </w:r>
          </w:p>
        </w:tc>
      </w:tr>
      <w:tr w:rsidR="004843DB" w:rsidRPr="0062582F" w:rsidTr="004843DB">
        <w:trPr>
          <w:cantSplit/>
        </w:trPr>
        <w:tc>
          <w:tcPr>
            <w:tcW w:w="1033" w:type="dxa"/>
            <w:shd w:val="clear" w:color="auto" w:fill="D9D9D9"/>
          </w:tcPr>
          <w:p w:rsidR="004843DB" w:rsidRPr="0062582F" w:rsidRDefault="004843DB" w:rsidP="004843DB">
            <w:pPr>
              <w:pStyle w:val="Tabletextblue"/>
            </w:pPr>
            <w:r w:rsidRPr="0062582F">
              <w:t>BFMG 25</w:t>
            </w:r>
          </w:p>
        </w:tc>
        <w:tc>
          <w:tcPr>
            <w:tcW w:w="3240" w:type="dxa"/>
            <w:shd w:val="clear" w:color="auto" w:fill="D9D9D9"/>
          </w:tcPr>
          <w:p w:rsidR="004843DB" w:rsidRPr="0062582F" w:rsidRDefault="004843DB" w:rsidP="004843DB">
            <w:pPr>
              <w:pStyle w:val="Tabletextblue"/>
            </w:pPr>
            <w:r w:rsidRPr="0062582F">
              <w:t>Recognition of non</w:t>
            </w:r>
            <w:r w:rsidR="005A4BB0">
              <w:noBreakHyphen/>
            </w:r>
            <w:r w:rsidRPr="0062582F">
              <w:t>current physical assets</w:t>
            </w:r>
          </w:p>
        </w:tc>
        <w:tc>
          <w:tcPr>
            <w:tcW w:w="4050" w:type="dxa"/>
            <w:shd w:val="clear" w:color="auto" w:fill="D9D9D9"/>
          </w:tcPr>
          <w:p w:rsidR="004843DB" w:rsidRPr="0062582F" w:rsidRDefault="004843DB" w:rsidP="004843DB">
            <w:pPr>
              <w:pStyle w:val="Tabletextblue"/>
            </w:pPr>
            <w:r w:rsidRPr="0062582F">
              <w:t>Provides the framework for the recognition of non</w:t>
            </w:r>
            <w:r w:rsidR="005A4BB0">
              <w:noBreakHyphen/>
            </w:r>
            <w:r w:rsidRPr="0062582F">
              <w:t>current physical assets.</w:t>
            </w:r>
          </w:p>
        </w:tc>
      </w:tr>
      <w:tr w:rsidR="004843DB" w:rsidRPr="0062582F" w:rsidTr="004843DB">
        <w:trPr>
          <w:cantSplit/>
        </w:trPr>
        <w:tc>
          <w:tcPr>
            <w:tcW w:w="1033" w:type="dxa"/>
            <w:shd w:val="clear" w:color="auto" w:fill="auto"/>
          </w:tcPr>
          <w:p w:rsidR="004843DB" w:rsidRPr="0062582F" w:rsidRDefault="004843DB" w:rsidP="004843DB">
            <w:pPr>
              <w:pStyle w:val="Tabletextblue"/>
            </w:pPr>
            <w:r w:rsidRPr="0062582F">
              <w:t>BFMG 26</w:t>
            </w:r>
          </w:p>
        </w:tc>
        <w:tc>
          <w:tcPr>
            <w:tcW w:w="3240" w:type="dxa"/>
            <w:shd w:val="clear" w:color="auto" w:fill="auto"/>
          </w:tcPr>
          <w:p w:rsidR="004843DB" w:rsidRPr="0062582F" w:rsidRDefault="004843DB" w:rsidP="004843DB">
            <w:pPr>
              <w:pStyle w:val="Tabletextblue"/>
            </w:pPr>
            <w:r w:rsidRPr="0062582F">
              <w:t>Inventory: purchase, valuation, expense</w:t>
            </w:r>
          </w:p>
        </w:tc>
        <w:tc>
          <w:tcPr>
            <w:tcW w:w="4050" w:type="dxa"/>
            <w:shd w:val="clear" w:color="auto" w:fill="auto"/>
          </w:tcPr>
          <w:p w:rsidR="004843DB" w:rsidRPr="0062582F" w:rsidRDefault="004843DB" w:rsidP="004843DB">
            <w:pPr>
              <w:pStyle w:val="Tabletextblue"/>
            </w:pPr>
            <w:r w:rsidRPr="0062582F">
              <w:t>Guidance on inventory purchase and usage, including stock obsolescence and treatment in departments</w:t>
            </w:r>
            <w:r w:rsidR="005A4BB0">
              <w:t>’</w:t>
            </w:r>
            <w:r w:rsidRPr="0062582F">
              <w:t xml:space="preserve"> financial statements and budget planning.</w:t>
            </w:r>
          </w:p>
        </w:tc>
      </w:tr>
      <w:tr w:rsidR="004843DB" w:rsidRPr="0062582F" w:rsidTr="004843DB">
        <w:trPr>
          <w:cantSplit/>
        </w:trPr>
        <w:tc>
          <w:tcPr>
            <w:tcW w:w="1033" w:type="dxa"/>
            <w:shd w:val="clear" w:color="auto" w:fill="D9D9D9"/>
          </w:tcPr>
          <w:p w:rsidR="004843DB" w:rsidRPr="0062582F" w:rsidRDefault="004843DB" w:rsidP="004843DB">
            <w:pPr>
              <w:pStyle w:val="Tabletextblue"/>
            </w:pPr>
            <w:r w:rsidRPr="0062582F">
              <w:t>BFMG 27</w:t>
            </w:r>
          </w:p>
        </w:tc>
        <w:tc>
          <w:tcPr>
            <w:tcW w:w="3240" w:type="dxa"/>
            <w:shd w:val="clear" w:color="auto" w:fill="D9D9D9"/>
          </w:tcPr>
          <w:p w:rsidR="004843DB" w:rsidRPr="0062582F" w:rsidRDefault="004843DB" w:rsidP="004843DB">
            <w:pPr>
              <w:pStyle w:val="Tabletextblue"/>
            </w:pPr>
            <w:r w:rsidRPr="0062582F">
              <w:t>Long service leave</w:t>
            </w:r>
          </w:p>
        </w:tc>
        <w:tc>
          <w:tcPr>
            <w:tcW w:w="4050" w:type="dxa"/>
            <w:shd w:val="clear" w:color="auto" w:fill="D9D9D9"/>
          </w:tcPr>
          <w:p w:rsidR="004843DB" w:rsidRPr="0062582F" w:rsidRDefault="004843DB" w:rsidP="004843DB">
            <w:pPr>
              <w:pStyle w:val="Tabletextblue"/>
            </w:pPr>
            <w:r w:rsidRPr="0062582F">
              <w:t>Guidance on how departments should provide for the cost of employees long service leave.</w:t>
            </w:r>
          </w:p>
        </w:tc>
      </w:tr>
      <w:tr w:rsidR="004843DB" w:rsidRPr="0062582F" w:rsidTr="004843DB">
        <w:trPr>
          <w:cantSplit/>
        </w:trPr>
        <w:tc>
          <w:tcPr>
            <w:tcW w:w="1033" w:type="dxa"/>
            <w:shd w:val="clear" w:color="auto" w:fill="auto"/>
          </w:tcPr>
          <w:p w:rsidR="004843DB" w:rsidRPr="0062582F" w:rsidRDefault="004843DB" w:rsidP="004843DB">
            <w:pPr>
              <w:pStyle w:val="Tabletextblue"/>
            </w:pPr>
            <w:r w:rsidRPr="0062582F">
              <w:t>BFMG 28</w:t>
            </w:r>
          </w:p>
        </w:tc>
        <w:tc>
          <w:tcPr>
            <w:tcW w:w="3240" w:type="dxa"/>
            <w:shd w:val="clear" w:color="auto" w:fill="auto"/>
          </w:tcPr>
          <w:p w:rsidR="004843DB" w:rsidRPr="0062582F" w:rsidRDefault="004843DB" w:rsidP="004843DB">
            <w:pPr>
              <w:pStyle w:val="Tabletextblue"/>
            </w:pPr>
            <w:r w:rsidRPr="0062582F">
              <w:t>Provided and accrued annual leave</w:t>
            </w:r>
          </w:p>
        </w:tc>
        <w:tc>
          <w:tcPr>
            <w:tcW w:w="4050" w:type="dxa"/>
            <w:shd w:val="clear" w:color="auto" w:fill="auto"/>
          </w:tcPr>
          <w:p w:rsidR="004843DB" w:rsidRPr="0062582F" w:rsidRDefault="004843DB" w:rsidP="004843DB">
            <w:pPr>
              <w:pStyle w:val="Tabletextblue"/>
            </w:pPr>
            <w:r w:rsidRPr="0062582F">
              <w:t>Guidance on distinction between accrued and provided annual leave.</w:t>
            </w:r>
          </w:p>
        </w:tc>
      </w:tr>
      <w:tr w:rsidR="004843DB" w:rsidRPr="0062582F" w:rsidTr="004843DB">
        <w:trPr>
          <w:cantSplit/>
        </w:trPr>
        <w:tc>
          <w:tcPr>
            <w:tcW w:w="1033" w:type="dxa"/>
            <w:shd w:val="clear" w:color="auto" w:fill="D9D9D9"/>
          </w:tcPr>
          <w:p w:rsidR="004843DB" w:rsidRPr="0062582F" w:rsidRDefault="004843DB" w:rsidP="004843DB">
            <w:pPr>
              <w:pStyle w:val="Tabletextblue"/>
            </w:pPr>
            <w:r w:rsidRPr="0062582F">
              <w:t>BFMG 29</w:t>
            </w:r>
          </w:p>
        </w:tc>
        <w:tc>
          <w:tcPr>
            <w:tcW w:w="3240" w:type="dxa"/>
            <w:shd w:val="clear" w:color="auto" w:fill="D9D9D9"/>
          </w:tcPr>
          <w:p w:rsidR="004843DB" w:rsidRPr="0062582F" w:rsidRDefault="004843DB" w:rsidP="004843DB">
            <w:pPr>
              <w:pStyle w:val="Tabletextblue"/>
            </w:pPr>
            <w:r w:rsidRPr="0062582F">
              <w:t>Leases</w:t>
            </w:r>
          </w:p>
        </w:tc>
        <w:tc>
          <w:tcPr>
            <w:tcW w:w="4050" w:type="dxa"/>
            <w:shd w:val="clear" w:color="auto" w:fill="D9D9D9"/>
          </w:tcPr>
          <w:p w:rsidR="004843DB" w:rsidRPr="0062582F" w:rsidRDefault="004843DB" w:rsidP="004843DB">
            <w:pPr>
              <w:pStyle w:val="Tabletextblue"/>
            </w:pPr>
            <w:r w:rsidRPr="0062582F">
              <w:t>Guidance on the treatment of lease costs in departmental budgeting.</w:t>
            </w:r>
          </w:p>
        </w:tc>
      </w:tr>
      <w:tr w:rsidR="004843DB" w:rsidRPr="0062582F" w:rsidTr="004843DB">
        <w:trPr>
          <w:cantSplit/>
        </w:trPr>
        <w:tc>
          <w:tcPr>
            <w:tcW w:w="1033" w:type="dxa"/>
            <w:shd w:val="clear" w:color="auto" w:fill="auto"/>
          </w:tcPr>
          <w:p w:rsidR="004843DB" w:rsidRPr="0062582F" w:rsidRDefault="004843DB" w:rsidP="004843DB">
            <w:pPr>
              <w:pStyle w:val="Tabletextblue"/>
            </w:pPr>
            <w:r w:rsidRPr="0062582F">
              <w:t>BFMG 30</w:t>
            </w:r>
          </w:p>
        </w:tc>
        <w:tc>
          <w:tcPr>
            <w:tcW w:w="3240" w:type="dxa"/>
            <w:shd w:val="clear" w:color="auto" w:fill="auto"/>
          </w:tcPr>
          <w:p w:rsidR="004843DB" w:rsidRPr="0062582F" w:rsidRDefault="004843DB" w:rsidP="004843DB">
            <w:pPr>
              <w:pStyle w:val="Tabletextblue"/>
            </w:pPr>
            <w:r w:rsidRPr="0062582F">
              <w:t>Redundancy payments</w:t>
            </w:r>
          </w:p>
        </w:tc>
        <w:tc>
          <w:tcPr>
            <w:tcW w:w="4050" w:type="dxa"/>
            <w:shd w:val="clear" w:color="auto" w:fill="auto"/>
          </w:tcPr>
          <w:p w:rsidR="004843DB" w:rsidRPr="0062582F" w:rsidRDefault="004843DB" w:rsidP="004843DB">
            <w:pPr>
              <w:pStyle w:val="Tabletextblue"/>
            </w:pPr>
            <w:r w:rsidRPr="0062582F">
              <w:t>Guidance on how the costs of redundancy payments should be treated in departmental budgeting.</w:t>
            </w:r>
          </w:p>
        </w:tc>
      </w:tr>
      <w:tr w:rsidR="004843DB" w:rsidRPr="0062582F" w:rsidTr="004843DB">
        <w:trPr>
          <w:cantSplit/>
        </w:trPr>
        <w:tc>
          <w:tcPr>
            <w:tcW w:w="1033" w:type="dxa"/>
            <w:shd w:val="clear" w:color="auto" w:fill="D9D9D9"/>
          </w:tcPr>
          <w:p w:rsidR="004843DB" w:rsidRPr="0062582F" w:rsidRDefault="004843DB" w:rsidP="004843DB">
            <w:pPr>
              <w:pStyle w:val="Tabletextblue"/>
            </w:pPr>
            <w:r w:rsidRPr="0062582F">
              <w:t>BFMG 31</w:t>
            </w:r>
          </w:p>
        </w:tc>
        <w:tc>
          <w:tcPr>
            <w:tcW w:w="3240" w:type="dxa"/>
            <w:shd w:val="clear" w:color="auto" w:fill="D9D9D9"/>
          </w:tcPr>
          <w:p w:rsidR="004843DB" w:rsidRPr="0062582F" w:rsidRDefault="004843DB" w:rsidP="004843DB">
            <w:pPr>
              <w:pStyle w:val="Tabletextblue"/>
            </w:pPr>
            <w:r w:rsidRPr="0062582F">
              <w:t>Motor vehicle leasing</w:t>
            </w:r>
          </w:p>
        </w:tc>
        <w:tc>
          <w:tcPr>
            <w:tcW w:w="4050" w:type="dxa"/>
            <w:shd w:val="clear" w:color="auto" w:fill="D9D9D9"/>
          </w:tcPr>
          <w:p w:rsidR="004843DB" w:rsidRPr="0062582F" w:rsidRDefault="004843DB" w:rsidP="004843DB">
            <w:pPr>
              <w:pStyle w:val="Tabletextblue"/>
            </w:pPr>
            <w:r w:rsidRPr="0062582F">
              <w:t>Guidance on how departments/agencies should account for actual and budget transactions relating to the new VicFleet vehicle finance leases.</w:t>
            </w:r>
          </w:p>
        </w:tc>
      </w:tr>
      <w:tr w:rsidR="004843DB" w:rsidRPr="0062582F" w:rsidTr="004843DB">
        <w:trPr>
          <w:cantSplit/>
        </w:trPr>
        <w:tc>
          <w:tcPr>
            <w:tcW w:w="1033" w:type="dxa"/>
            <w:shd w:val="clear" w:color="auto" w:fill="auto"/>
          </w:tcPr>
          <w:p w:rsidR="004843DB" w:rsidRPr="0062582F" w:rsidRDefault="004843DB" w:rsidP="004843DB">
            <w:pPr>
              <w:pStyle w:val="Tabletextblue"/>
            </w:pPr>
            <w:r w:rsidRPr="0062582F">
              <w:t>BFMG 33</w:t>
            </w:r>
          </w:p>
        </w:tc>
        <w:tc>
          <w:tcPr>
            <w:tcW w:w="3240" w:type="dxa"/>
            <w:shd w:val="clear" w:color="auto" w:fill="auto"/>
          </w:tcPr>
          <w:p w:rsidR="004843DB" w:rsidRPr="0062582F" w:rsidRDefault="004843DB" w:rsidP="004843DB">
            <w:pPr>
              <w:pStyle w:val="Tabletextblue"/>
            </w:pPr>
            <w:r w:rsidRPr="0062582F">
              <w:t>Sale or disposal of non</w:t>
            </w:r>
            <w:r w:rsidR="005A4BB0">
              <w:noBreakHyphen/>
            </w:r>
            <w:r w:rsidRPr="0062582F">
              <w:t>current physical assets</w:t>
            </w:r>
          </w:p>
        </w:tc>
        <w:tc>
          <w:tcPr>
            <w:tcW w:w="4050" w:type="dxa"/>
            <w:shd w:val="clear" w:color="auto" w:fill="auto"/>
          </w:tcPr>
          <w:p w:rsidR="004843DB" w:rsidRPr="0062582F" w:rsidRDefault="004843DB" w:rsidP="004843DB">
            <w:pPr>
              <w:pStyle w:val="Tabletextblue"/>
            </w:pPr>
            <w:r w:rsidRPr="0062582F">
              <w:t>Guidance on the key factors that should be considered in determining when an asset sale or disposal has effectively taken place and therefore when it should be recognised.</w:t>
            </w:r>
          </w:p>
        </w:tc>
      </w:tr>
      <w:tr w:rsidR="004843DB" w:rsidRPr="0062582F" w:rsidTr="004843DB">
        <w:trPr>
          <w:cantSplit/>
        </w:trPr>
        <w:tc>
          <w:tcPr>
            <w:tcW w:w="1033" w:type="dxa"/>
            <w:shd w:val="clear" w:color="auto" w:fill="D9D9D9"/>
          </w:tcPr>
          <w:p w:rsidR="004843DB" w:rsidRPr="0062582F" w:rsidRDefault="004843DB" w:rsidP="004843DB">
            <w:pPr>
              <w:pStyle w:val="Tabletextblue"/>
            </w:pPr>
            <w:r w:rsidRPr="0062582F">
              <w:t>BFMG 34</w:t>
            </w:r>
          </w:p>
        </w:tc>
        <w:tc>
          <w:tcPr>
            <w:tcW w:w="3240" w:type="dxa"/>
            <w:shd w:val="clear" w:color="auto" w:fill="D9D9D9"/>
          </w:tcPr>
          <w:p w:rsidR="004843DB" w:rsidRPr="0062582F" w:rsidRDefault="004843DB" w:rsidP="004843DB">
            <w:pPr>
              <w:pStyle w:val="Tabletextblue"/>
            </w:pPr>
            <w:r w:rsidRPr="0062582F">
              <w:t>Meeting cash costs of departments</w:t>
            </w:r>
          </w:p>
        </w:tc>
        <w:tc>
          <w:tcPr>
            <w:tcW w:w="4050" w:type="dxa"/>
            <w:shd w:val="clear" w:color="auto" w:fill="D9D9D9"/>
          </w:tcPr>
          <w:p w:rsidR="004843DB" w:rsidRPr="0062582F" w:rsidRDefault="004843DB" w:rsidP="004843DB">
            <w:pPr>
              <w:pStyle w:val="Tabletextblue"/>
            </w:pPr>
            <w:r w:rsidRPr="0062582F">
              <w:t>Guidance on how the cash expenditure commitments of departments are met.</w:t>
            </w:r>
          </w:p>
        </w:tc>
      </w:tr>
      <w:tr w:rsidR="004843DB" w:rsidRPr="0062582F" w:rsidTr="004843DB">
        <w:trPr>
          <w:cantSplit/>
        </w:trPr>
        <w:tc>
          <w:tcPr>
            <w:tcW w:w="1033" w:type="dxa"/>
            <w:shd w:val="clear" w:color="auto" w:fill="auto"/>
          </w:tcPr>
          <w:p w:rsidR="004843DB" w:rsidRPr="0062582F" w:rsidRDefault="004843DB" w:rsidP="004843DB">
            <w:pPr>
              <w:pStyle w:val="Tabletextblue"/>
            </w:pPr>
            <w:r w:rsidRPr="0062582F">
              <w:t>BFMG 35</w:t>
            </w:r>
          </w:p>
        </w:tc>
        <w:tc>
          <w:tcPr>
            <w:tcW w:w="3240" w:type="dxa"/>
            <w:shd w:val="clear" w:color="auto" w:fill="auto"/>
          </w:tcPr>
          <w:p w:rsidR="004843DB" w:rsidRPr="0062582F" w:rsidRDefault="004843DB" w:rsidP="004843DB">
            <w:pPr>
              <w:pStyle w:val="Tabletextblue"/>
            </w:pPr>
            <w:r w:rsidRPr="0062582F">
              <w:t>Accounting for the remittance of cash to the Consolidated Fund following sale of non</w:t>
            </w:r>
            <w:r w:rsidR="005A4BB0">
              <w:noBreakHyphen/>
            </w:r>
            <w:r w:rsidRPr="0062582F">
              <w:t>financial assets</w:t>
            </w:r>
          </w:p>
        </w:tc>
        <w:tc>
          <w:tcPr>
            <w:tcW w:w="4050" w:type="dxa"/>
            <w:shd w:val="clear" w:color="auto" w:fill="auto"/>
          </w:tcPr>
          <w:p w:rsidR="004843DB" w:rsidRPr="0062582F" w:rsidRDefault="004843DB" w:rsidP="004843DB">
            <w:pPr>
              <w:pStyle w:val="Tabletextblue"/>
            </w:pPr>
            <w:r w:rsidRPr="0062582F">
              <w:t>Guidance on accounting treatment of all asset sales of a department (other than inventory and consumables) where the sales proceeds are required to be paid into the Consolidated Fund.</w:t>
            </w:r>
          </w:p>
        </w:tc>
      </w:tr>
      <w:tr w:rsidR="004843DB" w:rsidRPr="0062582F" w:rsidTr="004843DB">
        <w:trPr>
          <w:cantSplit/>
        </w:trPr>
        <w:tc>
          <w:tcPr>
            <w:tcW w:w="1033" w:type="dxa"/>
            <w:shd w:val="clear" w:color="auto" w:fill="D9D9D9"/>
          </w:tcPr>
          <w:p w:rsidR="004843DB" w:rsidRPr="0062582F" w:rsidRDefault="004843DB" w:rsidP="004843DB">
            <w:pPr>
              <w:pStyle w:val="Tabletextblue"/>
            </w:pPr>
            <w:r w:rsidRPr="0062582F">
              <w:t>BFMG 36</w:t>
            </w:r>
          </w:p>
        </w:tc>
        <w:tc>
          <w:tcPr>
            <w:tcW w:w="3240" w:type="dxa"/>
            <w:shd w:val="clear" w:color="auto" w:fill="D9D9D9"/>
          </w:tcPr>
          <w:p w:rsidR="004843DB" w:rsidRPr="0062582F" w:rsidRDefault="004843DB" w:rsidP="004843DB">
            <w:pPr>
              <w:pStyle w:val="Tabletextblue"/>
            </w:pPr>
            <w:r w:rsidRPr="0062582F">
              <w:t>Asset valuation policy</w:t>
            </w:r>
          </w:p>
        </w:tc>
        <w:tc>
          <w:tcPr>
            <w:tcW w:w="4050" w:type="dxa"/>
            <w:shd w:val="clear" w:color="auto" w:fill="D9D9D9"/>
          </w:tcPr>
          <w:p w:rsidR="004843DB" w:rsidRPr="0062582F" w:rsidRDefault="004843DB" w:rsidP="004843DB">
            <w:pPr>
              <w:pStyle w:val="Tabletextblue"/>
            </w:pPr>
            <w:r w:rsidRPr="0062582F">
              <w:t>Describes how adjustments to asset values in the opening departmental statement of financial position can affect output costs and appropriations.</w:t>
            </w:r>
          </w:p>
        </w:tc>
      </w:tr>
      <w:tr w:rsidR="004843DB" w:rsidRPr="0062582F" w:rsidTr="004843DB">
        <w:trPr>
          <w:cantSplit/>
        </w:trPr>
        <w:tc>
          <w:tcPr>
            <w:tcW w:w="1033" w:type="dxa"/>
            <w:shd w:val="clear" w:color="auto" w:fill="auto"/>
          </w:tcPr>
          <w:p w:rsidR="004843DB" w:rsidRPr="0062582F" w:rsidRDefault="004843DB" w:rsidP="004843DB">
            <w:pPr>
              <w:pStyle w:val="Tabletextblue"/>
            </w:pPr>
            <w:r w:rsidRPr="0062582F">
              <w:t>BFMG 37</w:t>
            </w:r>
          </w:p>
        </w:tc>
        <w:tc>
          <w:tcPr>
            <w:tcW w:w="3240" w:type="dxa"/>
            <w:shd w:val="clear" w:color="auto" w:fill="auto"/>
          </w:tcPr>
          <w:p w:rsidR="004843DB" w:rsidRPr="0062582F" w:rsidRDefault="004843DB" w:rsidP="004843DB">
            <w:pPr>
              <w:pStyle w:val="Tabletextblue"/>
            </w:pPr>
            <w:r w:rsidRPr="0062582F">
              <w:t>Liability for accumulated superannuation</w:t>
            </w:r>
          </w:p>
        </w:tc>
        <w:tc>
          <w:tcPr>
            <w:tcW w:w="4050" w:type="dxa"/>
            <w:shd w:val="clear" w:color="auto" w:fill="auto"/>
          </w:tcPr>
          <w:p w:rsidR="004843DB" w:rsidRPr="0062582F" w:rsidRDefault="004843DB" w:rsidP="004843DB">
            <w:pPr>
              <w:pStyle w:val="Tabletextblue"/>
            </w:pPr>
            <w:r w:rsidRPr="0062582F">
              <w:t>Guidance on the issue of accumulated superannuation liability on departments</w:t>
            </w:r>
            <w:r w:rsidR="005A4BB0">
              <w:t>’</w:t>
            </w:r>
            <w:r w:rsidRPr="0062582F">
              <w:t xml:space="preserve"> statements of financial position.</w:t>
            </w:r>
          </w:p>
        </w:tc>
      </w:tr>
    </w:tbl>
    <w:p w:rsidR="004843DB" w:rsidRPr="0062582F" w:rsidRDefault="004843DB" w:rsidP="004843DB"/>
    <w:p w:rsidR="004843DB" w:rsidRPr="0062582F" w:rsidRDefault="004843DB" w:rsidP="004843DB">
      <w:pPr>
        <w:pStyle w:val="Heading1BluePt3Contd"/>
      </w:pPr>
      <w:r w:rsidRPr="0062582F">
        <w:br w:type="column"/>
      </w:r>
      <w:r w:rsidRPr="0062582F">
        <w:lastRenderedPageBreak/>
        <w:br w:type="column"/>
      </w:r>
      <w:r w:rsidRPr="0062582F">
        <w:lastRenderedPageBreak/>
        <w:t xml:space="preserve">Budget and Financial Management Guidances </w:t>
      </w:r>
      <w:r w:rsidRPr="0062582F">
        <w:rPr>
          <w:i/>
          <w:iCs/>
        </w:rPr>
        <w:t>(continued)</w:t>
      </w:r>
    </w:p>
    <w:p w:rsidR="004843DB" w:rsidRPr="0062582F" w:rsidRDefault="004843DB" w:rsidP="004843DB">
      <w:pPr>
        <w:pStyle w:val="SmallLine"/>
      </w:pPr>
    </w:p>
    <w:tbl>
      <w:tblPr>
        <w:tblW w:w="8323" w:type="dxa"/>
        <w:tblLayout w:type="fixed"/>
        <w:tblCellMar>
          <w:left w:w="43" w:type="dxa"/>
          <w:right w:w="43" w:type="dxa"/>
        </w:tblCellMar>
        <w:tblLook w:val="01E0" w:firstRow="1" w:lastRow="1" w:firstColumn="1" w:lastColumn="1" w:noHBand="0" w:noVBand="0"/>
      </w:tblPr>
      <w:tblGrid>
        <w:gridCol w:w="1033"/>
        <w:gridCol w:w="3240"/>
        <w:gridCol w:w="4050"/>
      </w:tblGrid>
      <w:tr w:rsidR="004843DB" w:rsidRPr="0062582F" w:rsidTr="004843DB">
        <w:trPr>
          <w:cantSplit/>
        </w:trPr>
        <w:tc>
          <w:tcPr>
            <w:tcW w:w="1033"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4843DB" w:rsidRPr="0062582F" w:rsidRDefault="004843DB" w:rsidP="004843DB">
            <w:pPr>
              <w:pStyle w:val="Tabletextblue"/>
              <w:spacing w:before="30" w:after="30"/>
              <w:rPr>
                <w:b/>
              </w:rPr>
            </w:pPr>
            <w:r w:rsidRPr="0062582F">
              <w:rPr>
                <w:b/>
              </w:rPr>
              <w:t xml:space="preserve">Reference </w:t>
            </w:r>
          </w:p>
        </w:tc>
        <w:tc>
          <w:tcPr>
            <w:tcW w:w="3240"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4843DB" w:rsidRPr="0062582F" w:rsidRDefault="004843DB" w:rsidP="004843DB">
            <w:pPr>
              <w:pStyle w:val="Tabletextblue"/>
              <w:spacing w:before="30" w:after="30"/>
              <w:rPr>
                <w:b/>
              </w:rPr>
            </w:pPr>
            <w:r w:rsidRPr="0062582F">
              <w:rPr>
                <w:b/>
              </w:rPr>
              <w:t>Title</w:t>
            </w:r>
          </w:p>
        </w:tc>
        <w:tc>
          <w:tcPr>
            <w:tcW w:w="4050"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4843DB" w:rsidRPr="0062582F" w:rsidRDefault="004843DB" w:rsidP="004843DB">
            <w:pPr>
              <w:pStyle w:val="Tabletextblue"/>
              <w:spacing w:before="30" w:after="30"/>
              <w:rPr>
                <w:b/>
              </w:rPr>
            </w:pPr>
            <w:r w:rsidRPr="0062582F">
              <w:rPr>
                <w:b/>
              </w:rPr>
              <w:t>Description</w:t>
            </w:r>
          </w:p>
        </w:tc>
      </w:tr>
      <w:tr w:rsidR="004843DB" w:rsidRPr="0062582F" w:rsidTr="004843DB">
        <w:tc>
          <w:tcPr>
            <w:tcW w:w="1033" w:type="dxa"/>
            <w:tcBorders>
              <w:top w:val="single" w:sz="6" w:space="0" w:color="BFBFBF" w:themeColor="background1" w:themeShade="BF"/>
            </w:tcBorders>
            <w:shd w:val="clear" w:color="auto" w:fill="D9D9D9"/>
          </w:tcPr>
          <w:p w:rsidR="004843DB" w:rsidRPr="0062582F" w:rsidRDefault="004843DB" w:rsidP="004843DB">
            <w:pPr>
              <w:pStyle w:val="Tabletextblue"/>
            </w:pPr>
            <w:r w:rsidRPr="0062582F">
              <w:t>BFMG 39</w:t>
            </w:r>
          </w:p>
        </w:tc>
        <w:tc>
          <w:tcPr>
            <w:tcW w:w="3240" w:type="dxa"/>
            <w:tcBorders>
              <w:top w:val="single" w:sz="6" w:space="0" w:color="BFBFBF" w:themeColor="background1" w:themeShade="BF"/>
            </w:tcBorders>
            <w:shd w:val="clear" w:color="auto" w:fill="D9D9D9"/>
          </w:tcPr>
          <w:p w:rsidR="004843DB" w:rsidRPr="0062582F" w:rsidRDefault="004843DB" w:rsidP="004843DB">
            <w:pPr>
              <w:pStyle w:val="Tabletextblue"/>
            </w:pPr>
            <w:r w:rsidRPr="0062582F">
              <w:t>Departmental surpluses/deficits</w:t>
            </w:r>
          </w:p>
        </w:tc>
        <w:tc>
          <w:tcPr>
            <w:tcW w:w="4050" w:type="dxa"/>
            <w:tcBorders>
              <w:top w:val="single" w:sz="6" w:space="0" w:color="BFBFBF" w:themeColor="background1" w:themeShade="BF"/>
            </w:tcBorders>
            <w:shd w:val="clear" w:color="auto" w:fill="D9D9D9"/>
          </w:tcPr>
          <w:p w:rsidR="004843DB" w:rsidRPr="0062582F" w:rsidRDefault="004843DB" w:rsidP="004843DB">
            <w:pPr>
              <w:pStyle w:val="Tabletextblue"/>
            </w:pPr>
            <w:r w:rsidRPr="0062582F">
              <w:t>Guidance on the treatment of the operating surplus or deficit.</w:t>
            </w:r>
          </w:p>
        </w:tc>
      </w:tr>
      <w:tr w:rsidR="004843DB" w:rsidRPr="0062582F" w:rsidTr="004843DB">
        <w:tc>
          <w:tcPr>
            <w:tcW w:w="1033" w:type="dxa"/>
            <w:shd w:val="clear" w:color="auto" w:fill="auto"/>
          </w:tcPr>
          <w:p w:rsidR="004843DB" w:rsidRPr="0062582F" w:rsidRDefault="004843DB" w:rsidP="004843DB">
            <w:pPr>
              <w:pStyle w:val="Tabletextblue"/>
            </w:pPr>
            <w:r w:rsidRPr="0062582F">
              <w:t>BFMG 45</w:t>
            </w:r>
          </w:p>
        </w:tc>
        <w:tc>
          <w:tcPr>
            <w:tcW w:w="3240" w:type="dxa"/>
            <w:shd w:val="clear" w:color="auto" w:fill="auto"/>
          </w:tcPr>
          <w:p w:rsidR="004843DB" w:rsidRPr="0062582F" w:rsidRDefault="004843DB" w:rsidP="004843DB">
            <w:pPr>
              <w:pStyle w:val="Tabletextblue"/>
            </w:pPr>
            <w:r w:rsidRPr="0062582F">
              <w:t>Materiality</w:t>
            </w:r>
          </w:p>
        </w:tc>
        <w:tc>
          <w:tcPr>
            <w:tcW w:w="4050" w:type="dxa"/>
            <w:shd w:val="clear" w:color="auto" w:fill="auto"/>
          </w:tcPr>
          <w:p w:rsidR="004843DB" w:rsidRPr="0062582F" w:rsidRDefault="004843DB" w:rsidP="004843DB">
            <w:pPr>
              <w:pStyle w:val="Tabletextblue"/>
            </w:pPr>
            <w:r w:rsidRPr="0062582F">
              <w:t>Guidance on what is a material or significant item for budget purposes.</w:t>
            </w:r>
          </w:p>
        </w:tc>
      </w:tr>
      <w:tr w:rsidR="004843DB" w:rsidRPr="0062582F" w:rsidTr="004843DB">
        <w:trPr>
          <w:cantSplit/>
        </w:trPr>
        <w:tc>
          <w:tcPr>
            <w:tcW w:w="1033" w:type="dxa"/>
            <w:shd w:val="clear" w:color="auto" w:fill="D9D9D9"/>
          </w:tcPr>
          <w:p w:rsidR="004843DB" w:rsidRPr="0062582F" w:rsidRDefault="004843DB" w:rsidP="004843DB">
            <w:pPr>
              <w:pStyle w:val="Tabletextblue"/>
            </w:pPr>
            <w:r w:rsidRPr="0062582F">
              <w:t>BFMG 46</w:t>
            </w:r>
          </w:p>
        </w:tc>
        <w:tc>
          <w:tcPr>
            <w:tcW w:w="3240" w:type="dxa"/>
            <w:shd w:val="clear" w:color="auto" w:fill="D9D9D9"/>
          </w:tcPr>
          <w:p w:rsidR="004843DB" w:rsidRPr="0062582F" w:rsidRDefault="004843DB" w:rsidP="004843DB">
            <w:pPr>
              <w:pStyle w:val="Tabletextblue"/>
            </w:pPr>
            <w:r w:rsidRPr="0062582F">
              <w:t>Contributed capital: accounting for and reconciliation between the department</w:t>
            </w:r>
            <w:r w:rsidR="005A4BB0">
              <w:t>’</w:t>
            </w:r>
            <w:r w:rsidRPr="0062582F">
              <w:t>s administered investment in controlled entities and contributed capital</w:t>
            </w:r>
          </w:p>
        </w:tc>
        <w:tc>
          <w:tcPr>
            <w:tcW w:w="4050" w:type="dxa"/>
            <w:shd w:val="clear" w:color="auto" w:fill="D9D9D9"/>
          </w:tcPr>
          <w:p w:rsidR="004843DB" w:rsidRPr="0062582F" w:rsidRDefault="004843DB" w:rsidP="004843DB">
            <w:pPr>
              <w:pStyle w:val="Tabletextblue"/>
            </w:pPr>
            <w:r w:rsidRPr="0062582F">
              <w:t>Guidance on how departments account for and reconcile between the department</w:t>
            </w:r>
            <w:r w:rsidR="005A4BB0">
              <w:t>’</w:t>
            </w:r>
            <w:r w:rsidRPr="0062582F">
              <w:t>s investment in controlled entities and the State Administrative Unit (SAU).</w:t>
            </w:r>
          </w:p>
        </w:tc>
      </w:tr>
      <w:tr w:rsidR="004843DB" w:rsidRPr="0062582F" w:rsidTr="004843DB">
        <w:trPr>
          <w:cantSplit/>
        </w:trPr>
        <w:tc>
          <w:tcPr>
            <w:tcW w:w="1033" w:type="dxa"/>
            <w:shd w:val="clear" w:color="auto" w:fill="auto"/>
          </w:tcPr>
          <w:p w:rsidR="004843DB" w:rsidRPr="0062582F" w:rsidRDefault="004843DB" w:rsidP="004843DB">
            <w:pPr>
              <w:pStyle w:val="Tabletextblue"/>
            </w:pPr>
            <w:r w:rsidRPr="0062582F">
              <w:t>BFMG 47</w:t>
            </w:r>
          </w:p>
        </w:tc>
        <w:tc>
          <w:tcPr>
            <w:tcW w:w="3240" w:type="dxa"/>
            <w:shd w:val="clear" w:color="auto" w:fill="auto"/>
          </w:tcPr>
          <w:p w:rsidR="004843DB" w:rsidRPr="0062582F" w:rsidRDefault="004843DB" w:rsidP="004843DB">
            <w:pPr>
              <w:pStyle w:val="Tabletextblue"/>
            </w:pPr>
            <w:r w:rsidRPr="0062582F">
              <w:t>Monthly reporting</w:t>
            </w:r>
          </w:p>
        </w:tc>
        <w:tc>
          <w:tcPr>
            <w:tcW w:w="4050" w:type="dxa"/>
            <w:shd w:val="clear" w:color="auto" w:fill="auto"/>
          </w:tcPr>
          <w:p w:rsidR="004843DB" w:rsidRPr="0062582F" w:rsidRDefault="004843DB" w:rsidP="004843DB">
            <w:pPr>
              <w:pStyle w:val="Tabletextblue"/>
            </w:pPr>
            <w:r w:rsidRPr="0062582F">
              <w:t>Guidance on what information that departments are required to report to DTF on a monthly basis.</w:t>
            </w:r>
          </w:p>
        </w:tc>
      </w:tr>
      <w:tr w:rsidR="004843DB" w:rsidRPr="0062582F" w:rsidTr="004843DB">
        <w:trPr>
          <w:cantSplit/>
        </w:trPr>
        <w:tc>
          <w:tcPr>
            <w:tcW w:w="1033" w:type="dxa"/>
            <w:shd w:val="clear" w:color="auto" w:fill="D9D9D9"/>
          </w:tcPr>
          <w:p w:rsidR="004843DB" w:rsidRPr="0062582F" w:rsidRDefault="004843DB" w:rsidP="004843DB">
            <w:pPr>
              <w:pStyle w:val="Tabletextblue"/>
            </w:pPr>
            <w:r w:rsidRPr="0062582F">
              <w:t>BFMG 60</w:t>
            </w:r>
          </w:p>
        </w:tc>
        <w:tc>
          <w:tcPr>
            <w:tcW w:w="3240" w:type="dxa"/>
            <w:shd w:val="clear" w:color="auto" w:fill="D9D9D9"/>
          </w:tcPr>
          <w:p w:rsidR="004843DB" w:rsidRPr="0062582F" w:rsidRDefault="004843DB" w:rsidP="004843DB">
            <w:pPr>
              <w:pStyle w:val="Tabletextblue"/>
            </w:pPr>
            <w:r w:rsidRPr="0062582F">
              <w:t>Administered and controlled classification</w:t>
            </w:r>
          </w:p>
        </w:tc>
        <w:tc>
          <w:tcPr>
            <w:tcW w:w="4050" w:type="dxa"/>
            <w:shd w:val="clear" w:color="auto" w:fill="D9D9D9"/>
          </w:tcPr>
          <w:p w:rsidR="004843DB" w:rsidRPr="0062582F" w:rsidRDefault="004843DB" w:rsidP="004843DB">
            <w:pPr>
              <w:pStyle w:val="Tabletextblue"/>
            </w:pPr>
            <w:r w:rsidRPr="0062582F">
              <w:t>Guidance on the basis for classifying items in financial statements as either administered or controlled.</w:t>
            </w:r>
          </w:p>
        </w:tc>
      </w:tr>
      <w:tr w:rsidR="004843DB" w:rsidRPr="0062582F" w:rsidTr="004843DB">
        <w:trPr>
          <w:cantSplit/>
        </w:trPr>
        <w:tc>
          <w:tcPr>
            <w:tcW w:w="1033" w:type="dxa"/>
            <w:shd w:val="clear" w:color="auto" w:fill="auto"/>
          </w:tcPr>
          <w:p w:rsidR="004843DB" w:rsidRPr="0062582F" w:rsidRDefault="004843DB" w:rsidP="004843DB">
            <w:pPr>
              <w:pStyle w:val="Tabletextblue"/>
            </w:pPr>
            <w:r w:rsidRPr="0062582F">
              <w:t>BFMG 61</w:t>
            </w:r>
          </w:p>
        </w:tc>
        <w:tc>
          <w:tcPr>
            <w:tcW w:w="3240" w:type="dxa"/>
            <w:shd w:val="clear" w:color="auto" w:fill="auto"/>
          </w:tcPr>
          <w:p w:rsidR="004843DB" w:rsidRPr="0062582F" w:rsidRDefault="004843DB" w:rsidP="004843DB">
            <w:pPr>
              <w:pStyle w:val="Tabletextblue"/>
            </w:pPr>
            <w:r w:rsidRPr="0062582F">
              <w:t>Financial statements: controlled and administered items</w:t>
            </w:r>
          </w:p>
        </w:tc>
        <w:tc>
          <w:tcPr>
            <w:tcW w:w="4050" w:type="dxa"/>
            <w:shd w:val="clear" w:color="auto" w:fill="auto"/>
          </w:tcPr>
          <w:p w:rsidR="004843DB" w:rsidRPr="0062582F" w:rsidRDefault="004843DB" w:rsidP="004843DB">
            <w:pPr>
              <w:pStyle w:val="Tabletextblue"/>
            </w:pPr>
            <w:r w:rsidRPr="0062582F">
              <w:t>Guidance on how departments should display controlled and administered items in their financial statements.</w:t>
            </w:r>
          </w:p>
        </w:tc>
      </w:tr>
      <w:tr w:rsidR="004843DB" w:rsidRPr="0062582F" w:rsidTr="004843DB">
        <w:trPr>
          <w:cantSplit/>
        </w:trPr>
        <w:tc>
          <w:tcPr>
            <w:tcW w:w="1033" w:type="dxa"/>
            <w:tcBorders>
              <w:bottom w:val="single" w:sz="12" w:space="0" w:color="A6A6A6" w:themeColor="background1" w:themeShade="A6"/>
            </w:tcBorders>
            <w:shd w:val="clear" w:color="auto" w:fill="D9D9D9"/>
          </w:tcPr>
          <w:p w:rsidR="004843DB" w:rsidRPr="0062582F" w:rsidRDefault="004843DB" w:rsidP="004843DB">
            <w:pPr>
              <w:pStyle w:val="Tabletextblue"/>
            </w:pPr>
            <w:r w:rsidRPr="0062582F">
              <w:t>BFMG 65</w:t>
            </w:r>
          </w:p>
        </w:tc>
        <w:tc>
          <w:tcPr>
            <w:tcW w:w="3240" w:type="dxa"/>
            <w:tcBorders>
              <w:bottom w:val="single" w:sz="12" w:space="0" w:color="A6A6A6" w:themeColor="background1" w:themeShade="A6"/>
            </w:tcBorders>
            <w:shd w:val="clear" w:color="auto" w:fill="D9D9D9"/>
          </w:tcPr>
          <w:p w:rsidR="004843DB" w:rsidRPr="0062582F" w:rsidRDefault="004843DB" w:rsidP="004843DB">
            <w:pPr>
              <w:pStyle w:val="Tabletextblue"/>
            </w:pPr>
            <w:r w:rsidRPr="0062582F">
              <w:t>Inter/intra agency trading</w:t>
            </w:r>
          </w:p>
        </w:tc>
        <w:tc>
          <w:tcPr>
            <w:tcW w:w="4050" w:type="dxa"/>
            <w:tcBorders>
              <w:bottom w:val="single" w:sz="12" w:space="0" w:color="A6A6A6" w:themeColor="background1" w:themeShade="A6"/>
            </w:tcBorders>
            <w:shd w:val="clear" w:color="auto" w:fill="D9D9D9"/>
          </w:tcPr>
          <w:p w:rsidR="004843DB" w:rsidRPr="0062582F" w:rsidRDefault="004843DB" w:rsidP="004843DB">
            <w:pPr>
              <w:pStyle w:val="Tabletextblue"/>
            </w:pPr>
            <w:r w:rsidRPr="0062582F">
              <w:t>Guidance on how departments should budget for income earned by internal and sales to other departments.</w:t>
            </w:r>
          </w:p>
        </w:tc>
      </w:tr>
    </w:tbl>
    <w:p w:rsidR="004843DB" w:rsidRPr="0062582F" w:rsidRDefault="004843DB" w:rsidP="004843DB">
      <w:pPr>
        <w:pStyle w:val="SmallLine"/>
      </w:pPr>
    </w:p>
    <w:p w:rsidR="004843DB" w:rsidRPr="0062582F" w:rsidRDefault="004843DB" w:rsidP="004843DB">
      <w:pPr>
        <w:pStyle w:val="NotesBlue"/>
      </w:pPr>
      <w:r w:rsidRPr="0062582F">
        <w:t>This BFMG list reflects information available as at 1 March 2016.</w:t>
      </w:r>
    </w:p>
    <w:p w:rsidR="004843DB" w:rsidRPr="0062582F" w:rsidRDefault="004843DB" w:rsidP="004843DB">
      <w:pPr>
        <w:pStyle w:val="Notes"/>
        <w:rPr>
          <w:color w:val="0000FF"/>
        </w:rPr>
      </w:pPr>
    </w:p>
    <w:p w:rsidR="004843DB" w:rsidRPr="0062582F" w:rsidRDefault="004843DB" w:rsidP="004843DB">
      <w:pPr>
        <w:pStyle w:val="Notes"/>
        <w:rPr>
          <w:color w:val="0000FF"/>
        </w:rPr>
      </w:pPr>
    </w:p>
    <w:p w:rsidR="004843DB" w:rsidRPr="0062582F" w:rsidRDefault="004843DB" w:rsidP="004843DB">
      <w:pPr>
        <w:pStyle w:val="Heading1Pt3"/>
        <w:sectPr w:rsidR="004843DB" w:rsidRPr="0062582F" w:rsidSect="00190A01">
          <w:type w:val="continuous"/>
          <w:pgSz w:w="11906" w:h="16838" w:code="9"/>
          <w:pgMar w:top="1152" w:right="864" w:bottom="1152" w:left="864" w:header="432" w:footer="432" w:gutter="0"/>
          <w:cols w:num="2" w:space="360" w:equalWidth="0">
            <w:col w:w="1440" w:space="360"/>
            <w:col w:w="8090"/>
          </w:cols>
        </w:sectPr>
      </w:pPr>
      <w:bookmarkStart w:id="216" w:name="_Toc331754628"/>
      <w:bookmarkStart w:id="217" w:name="_Toc332019427"/>
      <w:bookmarkStart w:id="218" w:name="_Toc350413469"/>
    </w:p>
    <w:p w:rsidR="004843DB" w:rsidRPr="0062582F" w:rsidRDefault="004843DB" w:rsidP="004843DB">
      <w:pPr>
        <w:pStyle w:val="Heading1Pt3"/>
      </w:pPr>
      <w:r w:rsidRPr="0062582F">
        <w:lastRenderedPageBreak/>
        <w:br w:type="column"/>
      </w:r>
      <w:bookmarkStart w:id="219" w:name="_Toc388277743"/>
      <w:bookmarkStart w:id="220" w:name="_Toc416691912"/>
      <w:bookmarkStart w:id="221" w:name="_Toc448493009"/>
      <w:r w:rsidRPr="0062582F">
        <w:lastRenderedPageBreak/>
        <w:t>Accountable Officer</w:t>
      </w:r>
      <w:r w:rsidR="005A4BB0">
        <w:t>’</w:t>
      </w:r>
      <w:r w:rsidRPr="0062582F">
        <w:t>s and Chief Finance and Accounting Officer</w:t>
      </w:r>
      <w:r w:rsidR="005A4BB0">
        <w:t>’</w:t>
      </w:r>
      <w:r w:rsidRPr="0062582F">
        <w:t>s declaration</w:t>
      </w:r>
      <w:bookmarkEnd w:id="216"/>
      <w:bookmarkEnd w:id="217"/>
      <w:bookmarkEnd w:id="218"/>
      <w:bookmarkEnd w:id="219"/>
      <w:bookmarkEnd w:id="220"/>
      <w:bookmarkEnd w:id="221"/>
    </w:p>
    <w:p w:rsidR="004843DB" w:rsidRPr="0062582F" w:rsidRDefault="004843DB" w:rsidP="004843DB">
      <w:pPr>
        <w:sectPr w:rsidR="004843DB" w:rsidRPr="0062582F" w:rsidSect="00190A01">
          <w:headerReference w:type="even" r:id="rId133"/>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SD 4.2(c)</w:t>
      </w:r>
    </w:p>
    <w:p w:rsidR="004843DB" w:rsidRPr="0062582F" w:rsidRDefault="004843DB" w:rsidP="004843DB">
      <w:pPr>
        <w:pStyle w:val="Reference"/>
      </w:pPr>
      <w:r w:rsidRPr="0062582F">
        <w:rPr>
          <w:color w:val="FF0000"/>
        </w:rPr>
        <w:t>Revised</w:t>
      </w:r>
    </w:p>
    <w:p w:rsidR="004843DB" w:rsidRPr="0062582F" w:rsidRDefault="004843DB" w:rsidP="004843DB">
      <w:r w:rsidRPr="0062582F">
        <w:br w:type="column"/>
      </w:r>
      <w:r w:rsidRPr="0062582F">
        <w:lastRenderedPageBreak/>
        <w:t xml:space="preserve">The attached financial statements for the Department of Technology have been prepared in accordance with Direction 4.2 of the Standing Directions of the Minister for Finance under the </w:t>
      </w:r>
      <w:r w:rsidRPr="0062582F">
        <w:rPr>
          <w:i/>
        </w:rPr>
        <w:t>Financial Management Act 1994</w:t>
      </w:r>
      <w:r w:rsidRPr="0062582F">
        <w:t>, applicable Financial Reporting Directions, Australian Accounting Standards including Interpretations, and other mandatory professional reporting requirements.</w:t>
      </w:r>
    </w:p>
    <w:p w:rsidR="004843DB" w:rsidRPr="0062582F" w:rsidRDefault="004843DB" w:rsidP="004843DB">
      <w:r w:rsidRPr="0062582F">
        <w:t>We further state that, in our opinion, the information set out in the comprehensive operating statement, balance sheet, statement of changes in equity, cash flow statement and accompanying notes, presents fairly the financial transactions during the year ended 30 June 2016 and financial position of the Department at 30 June 2016.</w:t>
      </w:r>
    </w:p>
    <w:p w:rsidR="004843DB" w:rsidRPr="0062582F" w:rsidRDefault="004843DB" w:rsidP="004843DB">
      <w:r w:rsidRPr="0062582F">
        <w:t>At the time of signing, we are not aware of any circumstance which would render any particulars included in the financial statements to be misleading or inaccurate.</w:t>
      </w:r>
    </w:p>
    <w:p w:rsidR="004843DB" w:rsidRPr="0062582F" w:rsidRDefault="004843DB" w:rsidP="004843DB">
      <w:r w:rsidRPr="0062582F">
        <w:t xml:space="preserve">We authorise the attached financial statements for issue on 15 August 2016. </w:t>
      </w:r>
    </w:p>
    <w:tbl>
      <w:tblPr>
        <w:tblW w:w="8100" w:type="dxa"/>
        <w:tblInd w:w="43" w:type="dxa"/>
        <w:tblLayout w:type="fixed"/>
        <w:tblCellMar>
          <w:left w:w="43" w:type="dxa"/>
          <w:right w:w="43" w:type="dxa"/>
        </w:tblCellMar>
        <w:tblLook w:val="0000" w:firstRow="0" w:lastRow="0" w:firstColumn="0" w:lastColumn="0" w:noHBand="0" w:noVBand="0"/>
      </w:tblPr>
      <w:tblGrid>
        <w:gridCol w:w="4050"/>
        <w:gridCol w:w="4050"/>
      </w:tblGrid>
      <w:tr w:rsidR="004843DB" w:rsidRPr="0062582F" w:rsidTr="004843DB">
        <w:tc>
          <w:tcPr>
            <w:tcW w:w="4050" w:type="dxa"/>
          </w:tcPr>
          <w:p w:rsidR="004843DB" w:rsidRPr="0062582F" w:rsidRDefault="004843DB" w:rsidP="004843DB">
            <w:pPr>
              <w:rPr>
                <w:color w:val="0000FF"/>
              </w:rPr>
            </w:pPr>
            <w:r w:rsidRPr="0062582F">
              <w:rPr>
                <w:color w:val="0000FF"/>
              </w:rPr>
              <w:t>[Signature]</w:t>
            </w:r>
          </w:p>
          <w:p w:rsidR="004843DB" w:rsidRPr="0062582F" w:rsidRDefault="004843DB" w:rsidP="004843DB"/>
          <w:p w:rsidR="004843DB" w:rsidRPr="0062582F" w:rsidRDefault="004843DB" w:rsidP="004843DB"/>
          <w:p w:rsidR="004843DB" w:rsidRPr="0062582F" w:rsidRDefault="004843DB" w:rsidP="004843DB">
            <w:r w:rsidRPr="0062582F">
              <w:t>R McIvor</w:t>
            </w:r>
            <w:r w:rsidRPr="0062582F">
              <w:br/>
              <w:t xml:space="preserve">Chief Finance and Accounting Officer </w:t>
            </w:r>
            <w:r w:rsidRPr="0062582F">
              <w:br/>
              <w:t>Department of Technology</w:t>
            </w:r>
          </w:p>
          <w:p w:rsidR="004843DB" w:rsidRPr="0062582F" w:rsidRDefault="004843DB" w:rsidP="004843DB"/>
          <w:p w:rsidR="004843DB" w:rsidRPr="0062582F" w:rsidRDefault="004843DB" w:rsidP="004843DB">
            <w:r w:rsidRPr="0062582F">
              <w:t>Melbourne</w:t>
            </w:r>
            <w:r w:rsidRPr="0062582F">
              <w:br/>
              <w:t>15 August 2016</w:t>
            </w:r>
          </w:p>
        </w:tc>
        <w:tc>
          <w:tcPr>
            <w:tcW w:w="4050" w:type="dxa"/>
          </w:tcPr>
          <w:p w:rsidR="004843DB" w:rsidRPr="0062582F" w:rsidRDefault="004843DB" w:rsidP="004843DB">
            <w:pPr>
              <w:rPr>
                <w:color w:val="0000FF"/>
              </w:rPr>
            </w:pPr>
            <w:r w:rsidRPr="0062582F">
              <w:rPr>
                <w:color w:val="0000FF"/>
              </w:rPr>
              <w:t>[Signature]</w:t>
            </w:r>
          </w:p>
          <w:p w:rsidR="004843DB" w:rsidRPr="0062582F" w:rsidRDefault="004843DB" w:rsidP="004843DB"/>
          <w:p w:rsidR="004843DB" w:rsidRPr="0062582F" w:rsidRDefault="004843DB" w:rsidP="004843DB"/>
          <w:p w:rsidR="004843DB" w:rsidRPr="0062582F" w:rsidRDefault="004843DB" w:rsidP="004843DB">
            <w:r w:rsidRPr="0062582F">
              <w:t xml:space="preserve">J Smith </w:t>
            </w:r>
            <w:r w:rsidRPr="0062582F">
              <w:br/>
              <w:t>Secretary</w:t>
            </w:r>
            <w:r w:rsidRPr="0062582F">
              <w:br/>
              <w:t>Department of Technology</w:t>
            </w:r>
          </w:p>
          <w:p w:rsidR="004843DB" w:rsidRPr="0062582F" w:rsidRDefault="004843DB" w:rsidP="004843DB"/>
          <w:p w:rsidR="004843DB" w:rsidRPr="0062582F" w:rsidRDefault="004843DB" w:rsidP="004843DB">
            <w:r w:rsidRPr="0062582F">
              <w:t>Melbourne</w:t>
            </w:r>
            <w:r w:rsidRPr="0062582F">
              <w:br/>
              <w:t>15 August 2016</w:t>
            </w:r>
          </w:p>
          <w:p w:rsidR="004843DB" w:rsidRPr="0062582F" w:rsidRDefault="004843DB" w:rsidP="004843DB"/>
        </w:tc>
      </w:tr>
    </w:tbl>
    <w:p w:rsidR="004843DB" w:rsidRPr="0062582F" w:rsidRDefault="004843DB" w:rsidP="004843DB"/>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SmallLine"/>
      </w:pP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Commentary – Accountable Officer</w:t>
      </w:r>
      <w:r w:rsidR="005A4BB0">
        <w:t>’</w:t>
      </w:r>
      <w:r w:rsidRPr="0062582F">
        <w:t>s and Chief Finance and Accounting Officer</w:t>
      </w:r>
      <w:r w:rsidR="005A4BB0">
        <w:t>’</w:t>
      </w:r>
      <w:r w:rsidRPr="0062582F">
        <w:t xml:space="preserve">s declaration </w:t>
      </w:r>
    </w:p>
    <w:p w:rsidR="004843DB" w:rsidRPr="0062582F" w:rsidRDefault="004843DB" w:rsidP="004843DB">
      <w:pPr>
        <w:pStyle w:val="SmallLineBlue"/>
      </w:pPr>
    </w:p>
    <w:p w:rsidR="004843DB" w:rsidRPr="0062582F" w:rsidRDefault="004843DB" w:rsidP="004843DB">
      <w:pPr>
        <w:pStyle w:val="SmallLineBlue"/>
        <w:rPr>
          <w:noProof/>
        </w:rPr>
        <w:sectPr w:rsidR="004843DB" w:rsidRPr="0062582F" w:rsidSect="00190A01">
          <w:headerReference w:type="even" r:id="rId134"/>
          <w:headerReference w:type="default" r:id="rId135"/>
          <w:headerReference w:type="first" r:id="rId136"/>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Reference"/>
        <w:spacing w:before="300"/>
        <w:rPr>
          <w:noProof/>
        </w:rPr>
      </w:pPr>
      <w:r w:rsidRPr="0062582F">
        <w:rPr>
          <w:noProof/>
        </w:rPr>
        <w:t>SD 4.2(c)</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It is recommended that the general purpose financial statements of a government department should form part of, or be presented in a manner which enables it to be read in conjunction with, the annual report of that government department. To that end, SD 4.2(c) requires that the financial statements of a government department and a public body must, where applicable, be signed and dated by the Accountable Officer, Chief Finance and Accountable Officer (CFAO) and a member of the responsible body.</w:t>
      </w:r>
    </w:p>
    <w:p w:rsidR="004843DB" w:rsidRPr="0062582F" w:rsidRDefault="004843DB" w:rsidP="004843DB">
      <w:pPr>
        <w:pStyle w:val="CommentaryText"/>
        <w:pBdr>
          <w:top w:val="none" w:sz="0" w:space="0" w:color="auto"/>
          <w:bottom w:val="none" w:sz="0" w:space="0" w:color="auto"/>
        </w:pBdr>
      </w:pPr>
      <w:r w:rsidRPr="0062582F">
        <w:t>For departments, the secretary also represents the responsible body, therefore only two signatories are required for the departmental financial statements. (For public bodies, only two signatories are required if the Accountable Officer or the CFAO is a member of the public body</w:t>
      </w:r>
      <w:r w:rsidR="005A4BB0">
        <w:t>’</w:t>
      </w:r>
      <w:r w:rsidRPr="0062582F">
        <w:t>s board. However, if the Accountable Officer and the CFAO are not members of the public body</w:t>
      </w:r>
      <w:r w:rsidR="005A4BB0">
        <w:t>’</w:t>
      </w:r>
      <w:r w:rsidRPr="0062582F">
        <w:t>s board, three signatures are required.)</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rPr>
          <w:noProof/>
          <w:sz w:val="12"/>
          <w:szCs w:val="12"/>
        </w:rPr>
      </w:pPr>
    </w:p>
    <w:p w:rsidR="004843DB" w:rsidRPr="0062582F" w:rsidRDefault="004843DB" w:rsidP="004843DB">
      <w:pPr>
        <w:pStyle w:val="Reference"/>
        <w:spacing w:before="0"/>
      </w:pPr>
      <w:r w:rsidRPr="0062582F">
        <w:rPr>
          <w:noProof/>
        </w:rPr>
        <w:t>SD 3.1.2</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In light with the direction set out in SD 3.1.2, the responsible body must ensure financial management leadership is secured from a suitably experienced and qualified CFAO. It is recommended, but not mandatory, that the CFAO should hold at least tertiary level accounting qualifications and membership of the Chartered Accountants Australia and New Zealand (CAANZ), CPA Australia, National Institute of Accountants (NIA), or equivalent.</w:t>
      </w:r>
    </w:p>
    <w:p w:rsidR="004843DB" w:rsidRPr="0062582F" w:rsidRDefault="004843DB" w:rsidP="004843DB">
      <w:pPr>
        <w:pStyle w:val="CommentaryText"/>
        <w:pBdr>
          <w:top w:val="none" w:sz="0" w:space="0" w:color="auto"/>
          <w:bottom w:val="none" w:sz="0" w:space="0" w:color="auto"/>
        </w:pBdr>
      </w:pPr>
      <w:r w:rsidRPr="0062582F">
        <w:rPr>
          <w:rFonts w:ascii="Calibri" w:hAnsi="Calibri" w:cs="Arial"/>
          <w:b/>
          <w:bCs/>
        </w:rPr>
        <w:t>Abolished agencies and financial declarations required by SD 4.2(c)</w:t>
      </w:r>
    </w:p>
    <w:p w:rsidR="004843DB" w:rsidRPr="0062582F" w:rsidRDefault="004843DB" w:rsidP="004843DB">
      <w:pPr>
        <w:pStyle w:val="CommentaryText"/>
        <w:pBdr>
          <w:top w:val="none" w:sz="0" w:space="0" w:color="auto"/>
          <w:bottom w:val="none" w:sz="0" w:space="0" w:color="auto"/>
        </w:pBdr>
      </w:pPr>
      <w:r w:rsidRPr="0062582F">
        <w:t>In circumstances where an entity has been or is expected to be abolished, the entity is strongly encouraged to engage with the Department of Treasury and Finance (DTF) as early as practicable to determine the arrangements for reporting, including who will sign the declaration as required by SD 4.2(c).</w:t>
      </w:r>
    </w:p>
    <w:p w:rsidR="004843DB" w:rsidRPr="0062582F" w:rsidRDefault="004843DB" w:rsidP="004843DB">
      <w:pPr>
        <w:pStyle w:val="CommentaryText"/>
        <w:pBdr>
          <w:top w:val="none" w:sz="0" w:space="0" w:color="auto"/>
          <w:bottom w:val="none" w:sz="0" w:space="0" w:color="auto"/>
        </w:pBdr>
      </w:pPr>
      <w:r w:rsidRPr="0062582F">
        <w:t>DTF expects that transitional arrangements (for instance, by way of legislation or legislative instrument) will make provisions for the authorisation of the final set of financial statements. In the absence of any such provisions, the successor in law of the agency should take on responsibility for meeting the requirements of SD 4.2(c).</w:t>
      </w:r>
    </w:p>
    <w:p w:rsidR="004843DB" w:rsidRPr="0062582F" w:rsidRDefault="004843DB" w:rsidP="004843DB">
      <w:pPr>
        <w:pStyle w:val="CommentaryText"/>
        <w:pBdr>
          <w:top w:val="none" w:sz="0" w:space="0" w:color="auto"/>
          <w:bottom w:val="none" w:sz="0" w:space="0" w:color="auto"/>
        </w:pBdr>
      </w:pPr>
      <w:r w:rsidRPr="0062582F">
        <w:t xml:space="preserve">If, for any reason, no successor in law exists and no provision has been made regarding the final set of financial statements, the entity to be wound up should seek independent legal advice and liaise with DTF to agree to appropriate arrangements on a case by case basis. </w:t>
      </w:r>
    </w:p>
    <w:p w:rsidR="004843DB" w:rsidRPr="0062582F" w:rsidRDefault="004843DB" w:rsidP="004843DB">
      <w:pPr>
        <w:pStyle w:val="CommentaryText"/>
        <w:pBdr>
          <w:top w:val="none" w:sz="0" w:space="0" w:color="auto"/>
          <w:bottom w:val="none" w:sz="0" w:space="0" w:color="auto"/>
        </w:pBdr>
      </w:pPr>
      <w:r w:rsidRPr="0062582F">
        <w:t>In the absence of an existing CFAO in the abolished entity, it is recommended that any one signing a declaration in the place of a CFAO is expected to hold the experience and qualifications of CFAOs as suggested in the above section.</w:t>
      </w:r>
    </w:p>
    <w:p w:rsidR="004843DB" w:rsidRPr="0062582F" w:rsidRDefault="004843DB" w:rsidP="004843DB">
      <w:pPr>
        <w:pStyle w:val="CommentaryText"/>
        <w:pBdr>
          <w:top w:val="none" w:sz="0" w:space="0" w:color="auto"/>
          <w:bottom w:val="none" w:sz="0" w:space="0" w:color="auto"/>
        </w:pBdr>
        <w:rPr>
          <w:rStyle w:val="CommentaryTextChar"/>
        </w:rPr>
      </w:pPr>
      <w:r w:rsidRPr="0062582F">
        <w:rPr>
          <w:rFonts w:ascii="Calibri" w:hAnsi="Calibri" w:cs="Arial"/>
          <w:b/>
          <w:bCs/>
        </w:rPr>
        <w:t>Declaration details</w:t>
      </w:r>
    </w:p>
    <w:p w:rsidR="004843DB" w:rsidRPr="0062582F" w:rsidRDefault="004843DB" w:rsidP="004843DB">
      <w:pPr>
        <w:pStyle w:val="CommentaryText"/>
        <w:pBdr>
          <w:top w:val="none" w:sz="0" w:space="0" w:color="auto"/>
          <w:bottom w:val="none" w:sz="0" w:space="0" w:color="auto"/>
        </w:pBdr>
      </w:pPr>
      <w:r w:rsidRPr="0062582F">
        <w:t>The declaration should state:</w:t>
      </w:r>
    </w:p>
    <w:p w:rsidR="004843DB" w:rsidRPr="0062582F" w:rsidRDefault="004843DB" w:rsidP="004843DB">
      <w:pPr>
        <w:pStyle w:val="CommentaryText"/>
        <w:pBdr>
          <w:top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rStyle w:val="ReferenceChar"/>
        </w:rPr>
      </w:pPr>
      <w:r w:rsidRPr="0062582F">
        <w:rPr>
          <w:rStyle w:val="ReferenceChar"/>
        </w:rPr>
        <w:lastRenderedPageBreak/>
        <w:t>AASB 101.15</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(a)</w:t>
      </w:r>
      <w:r w:rsidRPr="0062582F">
        <w:tab/>
        <w:t>their opinion on the fairness of presentation of the financial statements. Financial statements shall present fairly the financial position, financial performance and cash flows of an entity.</w:t>
      </w:r>
    </w:p>
    <w:p w:rsidR="004843DB" w:rsidRPr="0062582F" w:rsidRDefault="004843DB" w:rsidP="004843DB">
      <w:pPr>
        <w:pStyle w:val="CommentaryTextIndent"/>
        <w:pBdr>
          <w:top w:val="none" w:sz="0" w:space="0" w:color="auto"/>
          <w:bottom w:val="none" w:sz="0" w:space="0" w:color="auto"/>
        </w:pBdr>
      </w:pPr>
      <w:r w:rsidRPr="0062582F">
        <w:tab/>
        <w:t xml:space="preserve">Fair presentation requires the faithful representation of the effects of transactions, other events and conditions in accordance with the definitions and recognition criteria for assets, liabilities, income and expenses set out in the framework. The application of AASs, with additional disclosure when necessary, is presumed to result in financial statements that achieve a fair presentation; and </w:t>
      </w:r>
    </w:p>
    <w:p w:rsidR="004843DB" w:rsidRPr="0062582F" w:rsidRDefault="004843DB" w:rsidP="004843DB">
      <w:pPr>
        <w:pStyle w:val="CommentaryText"/>
        <w:pBdr>
          <w:top w:val="none" w:sz="0" w:space="0" w:color="auto"/>
        </w:pBdr>
        <w:ind w:left="336" w:hanging="336"/>
        <w:rPr>
          <w:noProof w:val="0"/>
        </w:rPr>
        <w:sectPr w:rsidR="004843DB" w:rsidRPr="0062582F" w:rsidSect="00190A01">
          <w:headerReference w:type="even" r:id="rId137"/>
          <w:headerReference w:type="default" r:id="rId138"/>
          <w:headerReference w:type="first" r:id="rId139"/>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rStyle w:val="ReferenceChar"/>
        </w:rPr>
      </w:pPr>
      <w:r w:rsidRPr="0062582F">
        <w:rPr>
          <w:rStyle w:val="ReferenceChar"/>
        </w:rPr>
        <w:lastRenderedPageBreak/>
        <w:t>AASB 101.17</w:t>
      </w:r>
    </w:p>
    <w:p w:rsidR="004843DB" w:rsidRPr="0062582F" w:rsidRDefault="004843DB" w:rsidP="004843DB">
      <w:pPr>
        <w:pStyle w:val="CommentaryTextIndent"/>
        <w:pBdr>
          <w:top w:val="none" w:sz="0" w:space="0" w:color="auto"/>
        </w:pBdr>
      </w:pPr>
      <w:r w:rsidRPr="0062582F">
        <w:br w:type="column"/>
      </w:r>
      <w:r w:rsidRPr="0062582F">
        <w:lastRenderedPageBreak/>
        <w:t>(b)</w:t>
      </w:r>
      <w:r w:rsidRPr="0062582F">
        <w:tab/>
        <w:t>the date when the financial statements were authorised for issue and who gave that authorisation. If the entity</w:t>
      </w:r>
      <w:r w:rsidR="005A4BB0">
        <w:t>’</w:t>
      </w:r>
      <w:r w:rsidRPr="0062582F">
        <w:t>s owners or others have the power to amend the financial statements after issue, the entity shall disclose that fact.</w:t>
      </w:r>
    </w:p>
    <w:p w:rsidR="004843DB" w:rsidRPr="0062582F" w:rsidRDefault="004843DB" w:rsidP="004843DB">
      <w:pPr>
        <w:pStyle w:val="CommentaryText"/>
        <w:pBdr>
          <w:top w:val="none" w:sz="0" w:space="0" w:color="auto"/>
        </w:pBdr>
        <w:ind w:left="336" w:hanging="336"/>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spacing w:before="0" w:line="240" w:lineRule="atLeast"/>
        <w:rPr>
          <w:sz w:val="4"/>
          <w:szCs w:val="4"/>
        </w:rPr>
      </w:pPr>
      <w:r w:rsidRPr="0062582F">
        <w:br w:type="page"/>
      </w:r>
    </w:p>
    <w:p w:rsidR="004843DB" w:rsidRPr="0062582F" w:rsidRDefault="004843DB" w:rsidP="004843DB">
      <w:pPr>
        <w:pStyle w:val="SmallLine"/>
      </w:pPr>
      <w:r w:rsidRPr="0062582F">
        <w:lastRenderedPageBreak/>
        <w:br w:type="column"/>
      </w:r>
    </w:p>
    <w:p w:rsidR="004843DB" w:rsidRPr="0062582F" w:rsidRDefault="004843DB" w:rsidP="004843DB">
      <w:pPr>
        <w:jc w:val="center"/>
        <w:rPr>
          <w:caps/>
        </w:rPr>
      </w:pPr>
      <w:r w:rsidRPr="0062582F">
        <w:rPr>
          <w:caps/>
          <w:noProof/>
        </w:rPr>
        <w:drawing>
          <wp:inline distT="0" distB="0" distL="0" distR="0" wp14:anchorId="4CBEF291" wp14:editId="546C7945">
            <wp:extent cx="2057400" cy="685800"/>
            <wp:effectExtent l="0" t="0" r="0" b="0"/>
            <wp:docPr id="1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inline>
        </w:drawing>
      </w:r>
    </w:p>
    <w:p w:rsidR="004843DB" w:rsidRPr="0062582F" w:rsidRDefault="004843DB" w:rsidP="004843DB">
      <w:pPr>
        <w:pStyle w:val="SmallLine"/>
      </w:pPr>
    </w:p>
    <w:p w:rsidR="004843DB" w:rsidRPr="0062582F" w:rsidRDefault="004843DB" w:rsidP="004843DB">
      <w:pPr>
        <w:spacing w:before="60"/>
        <w:rPr>
          <w:b/>
          <w:bCs/>
        </w:rPr>
      </w:pPr>
    </w:p>
    <w:p w:rsidR="004843DB" w:rsidRPr="0062582F" w:rsidRDefault="004843DB" w:rsidP="004843DB">
      <w:pPr>
        <w:spacing w:before="60"/>
        <w:jc w:val="center"/>
        <w:rPr>
          <w:b/>
          <w:bCs/>
        </w:rPr>
      </w:pPr>
      <w:r w:rsidRPr="0062582F">
        <w:rPr>
          <w:b/>
          <w:bCs/>
        </w:rPr>
        <w:t>INDEPENDENT AUDITOR</w:t>
      </w:r>
      <w:r w:rsidR="005A4BB0">
        <w:rPr>
          <w:b/>
          <w:bCs/>
        </w:rPr>
        <w:t>’</w:t>
      </w:r>
      <w:r w:rsidRPr="0062582F">
        <w:rPr>
          <w:b/>
          <w:bCs/>
        </w:rPr>
        <w:t>S REPORT</w:t>
      </w:r>
    </w:p>
    <w:p w:rsidR="004843DB" w:rsidRPr="0062582F" w:rsidRDefault="004843DB" w:rsidP="004843DB">
      <w:pPr>
        <w:tabs>
          <w:tab w:val="left" w:pos="360"/>
          <w:tab w:val="left" w:pos="1080"/>
          <w:tab w:val="left" w:pos="1800"/>
          <w:tab w:val="left" w:pos="5400"/>
        </w:tabs>
        <w:suppressAutoHyphens/>
        <w:spacing w:before="60"/>
        <w:jc w:val="center"/>
        <w:rPr>
          <w:b/>
          <w:bCs/>
          <w:spacing w:val="-2"/>
        </w:rPr>
      </w:pPr>
    </w:p>
    <w:p w:rsidR="004843DB" w:rsidRPr="0062582F" w:rsidRDefault="004843DB" w:rsidP="004843DB">
      <w:pPr>
        <w:pStyle w:val="NormalBlue"/>
        <w:rPr>
          <w:i/>
        </w:rPr>
      </w:pPr>
      <w:r w:rsidRPr="0062582F">
        <w:rPr>
          <w:i/>
        </w:rPr>
        <w:t>[Please insert independent auditor</w:t>
      </w:r>
      <w:r w:rsidR="005A4BB0">
        <w:rPr>
          <w:i/>
        </w:rPr>
        <w:t>’</w:t>
      </w:r>
      <w:r w:rsidRPr="0062582F">
        <w:rPr>
          <w:i/>
        </w:rPr>
        <w:t>s report received.]</w:t>
      </w:r>
    </w:p>
    <w:p w:rsidR="004843DB" w:rsidRPr="0062582F" w:rsidRDefault="004843DB" w:rsidP="004843DB">
      <w:pPr>
        <w:rPr>
          <w:caps/>
        </w:rPr>
      </w:pPr>
    </w:p>
    <w:p w:rsidR="004843DB" w:rsidRPr="0062582F" w:rsidRDefault="004843DB" w:rsidP="004843DB"/>
    <w:p w:rsidR="004843DB" w:rsidRPr="0062582F" w:rsidRDefault="004843DB" w:rsidP="004843DB">
      <w:pPr>
        <w:pStyle w:val="SmallLine"/>
      </w:pPr>
      <w:r w:rsidRPr="0062582F">
        <w:br/>
      </w:r>
      <w:r w:rsidRPr="0062582F">
        <w:br/>
      </w:r>
    </w:p>
    <w:p w:rsidR="004843DB" w:rsidRPr="0062582F" w:rsidRDefault="004843DB" w:rsidP="004843DB">
      <w:pPr>
        <w:pStyle w:val="Reference"/>
        <w:spacing w:before="660"/>
      </w:pPr>
      <w:r w:rsidRPr="0062582F">
        <w:br w:type="column"/>
      </w:r>
      <w:r w:rsidRPr="0062582F">
        <w:lastRenderedPageBreak/>
        <w:t>AASB 101.10(b)</w:t>
      </w:r>
      <w:r w:rsidRPr="0062582F">
        <w:br/>
        <w:t>AASB 101.85</w:t>
      </w:r>
      <w:r w:rsidRPr="0062582F">
        <w:br/>
        <w:t>AASB 101.97</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80"/>
      </w:pPr>
      <w:r w:rsidRPr="0062582F">
        <w:t>AASB 101.82(a)</w:t>
      </w:r>
    </w:p>
    <w:p w:rsidR="004843DB" w:rsidRPr="0062582F" w:rsidRDefault="004843DB" w:rsidP="004843DB">
      <w:pPr>
        <w:pStyle w:val="Reference"/>
        <w:spacing w:before="40"/>
      </w:pPr>
      <w:r w:rsidRPr="0062582F">
        <w:t>AASB 1004.63(a)</w:t>
      </w:r>
    </w:p>
    <w:p w:rsidR="004843DB" w:rsidRPr="0062582F" w:rsidRDefault="004843DB" w:rsidP="004843DB">
      <w:pPr>
        <w:pStyle w:val="Reference"/>
        <w:spacing w:before="60"/>
      </w:pPr>
      <w:r w:rsidRPr="0062582F">
        <w:t>AASB 1004.63(a)</w:t>
      </w:r>
    </w:p>
    <w:p w:rsidR="004843DB" w:rsidRPr="0062582F" w:rsidRDefault="004843DB" w:rsidP="004843DB">
      <w:pPr>
        <w:pStyle w:val="Reference"/>
        <w:spacing w:before="40"/>
      </w:pPr>
      <w:r w:rsidRPr="0062582F">
        <w:t>AASB 118.35(b)(iii)</w:t>
      </w:r>
    </w:p>
    <w:p w:rsidR="004843DB" w:rsidRPr="0062582F" w:rsidRDefault="004843DB" w:rsidP="00C862D5">
      <w:pPr>
        <w:pStyle w:val="Reference"/>
        <w:spacing w:before="40"/>
      </w:pPr>
      <w:r w:rsidRPr="0062582F">
        <w:t>AASB 118.35(b)(i)</w:t>
      </w:r>
    </w:p>
    <w:p w:rsidR="004843DB" w:rsidRPr="0062582F" w:rsidRDefault="004843DB" w:rsidP="004843DB">
      <w:pPr>
        <w:pStyle w:val="SmallLine"/>
      </w:pPr>
      <w:r w:rsidRPr="0062582F">
        <w:br/>
      </w:r>
    </w:p>
    <w:p w:rsidR="004843DB" w:rsidRPr="0062582F" w:rsidRDefault="004843DB" w:rsidP="004843DB">
      <w:pPr>
        <w:pStyle w:val="Reference"/>
        <w:spacing w:before="220"/>
      </w:pPr>
      <w:r w:rsidRPr="0062582F">
        <w:t>AASB 1004.62</w:t>
      </w:r>
    </w:p>
    <w:p w:rsidR="004843DB" w:rsidRPr="0062582F" w:rsidRDefault="004843DB" w:rsidP="004843DB">
      <w:pPr>
        <w:pStyle w:val="SmallLine"/>
      </w:pPr>
    </w:p>
    <w:p w:rsidR="004843DB" w:rsidRPr="0062582F" w:rsidRDefault="004843DB" w:rsidP="004843DB">
      <w:pPr>
        <w:pStyle w:val="Reference"/>
        <w:spacing w:before="220"/>
      </w:pPr>
      <w:r w:rsidRPr="0062582F">
        <w:t>AASB 101.85</w:t>
      </w: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C862D5">
      <w:pPr>
        <w:pStyle w:val="Reference"/>
        <w:spacing w:before="220"/>
      </w:pPr>
      <w:r w:rsidRPr="0062582F">
        <w:rPr>
          <w:lang w:val="en-AU"/>
        </w:rPr>
        <w:t>AASB 101.99</w:t>
      </w:r>
    </w:p>
    <w:p w:rsidR="004843DB" w:rsidRPr="0062582F" w:rsidRDefault="004843DB" w:rsidP="004843DB">
      <w:pPr>
        <w:pStyle w:val="Reference"/>
        <w:spacing w:before="40"/>
        <w:rPr>
          <w:rStyle w:val="SmallLineChar"/>
          <w:sz w:val="16"/>
          <w:szCs w:val="16"/>
        </w:rPr>
      </w:pPr>
      <w:r w:rsidRPr="0062582F">
        <w:rPr>
          <w:lang w:val="en-AU"/>
        </w:rPr>
        <w:t>AASB 101.</w:t>
      </w:r>
      <w:r w:rsidRPr="0062582F">
        <w:t>85</w:t>
      </w:r>
    </w:p>
    <w:p w:rsidR="004843DB" w:rsidRPr="0062582F" w:rsidRDefault="004843DB" w:rsidP="004843DB">
      <w:pPr>
        <w:pStyle w:val="Reference"/>
        <w:spacing w:before="40"/>
        <w:rPr>
          <w:rStyle w:val="SmallLineChar"/>
          <w:sz w:val="16"/>
          <w:szCs w:val="16"/>
        </w:rPr>
      </w:pPr>
      <w:r w:rsidRPr="0062582F">
        <w:t>AASB 101.85</w:t>
      </w:r>
    </w:p>
    <w:p w:rsidR="004843DB" w:rsidRPr="0062582F" w:rsidRDefault="004843DB" w:rsidP="004843DB">
      <w:pPr>
        <w:pStyle w:val="Reference"/>
        <w:spacing w:before="60"/>
      </w:pPr>
      <w:r w:rsidRPr="0062582F">
        <w:t>AASB 101.82(b)</w:t>
      </w:r>
    </w:p>
    <w:p w:rsidR="004843DB" w:rsidRPr="0062582F" w:rsidRDefault="004843DB" w:rsidP="004843DB">
      <w:pPr>
        <w:pStyle w:val="Reference"/>
        <w:spacing w:before="60"/>
      </w:pPr>
      <w:r w:rsidRPr="0062582F">
        <w:t>AASB 101.85</w:t>
      </w:r>
    </w:p>
    <w:p w:rsidR="004843DB" w:rsidRPr="0062582F" w:rsidRDefault="004843DB" w:rsidP="004843DB">
      <w:pPr>
        <w:pStyle w:val="Reference"/>
        <w:spacing w:before="80"/>
      </w:pPr>
      <w:r w:rsidRPr="0062582F">
        <w:t>AASB 101.82(b)</w:t>
      </w:r>
    </w:p>
    <w:p w:rsidR="004843DB" w:rsidRPr="0062582F" w:rsidRDefault="004843DB" w:rsidP="004843DB">
      <w:pPr>
        <w:pStyle w:val="Reference"/>
        <w:spacing w:before="60"/>
        <w:rPr>
          <w:lang w:val="en-AU"/>
        </w:rPr>
      </w:pPr>
      <w:r w:rsidRPr="0062582F">
        <w:rPr>
          <w:lang w:val="en-AU"/>
        </w:rPr>
        <w:t>AASB 101.85</w:t>
      </w: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200"/>
      </w:pPr>
      <w:r w:rsidRPr="0062582F">
        <w:t>AASB 1049.32</w:t>
      </w:r>
    </w:p>
    <w:p w:rsidR="004843DB" w:rsidRPr="0062582F" w:rsidRDefault="004843DB" w:rsidP="004843DB">
      <w:pPr>
        <w:pStyle w:val="Reference"/>
        <w:spacing w:before="40" w:after="60"/>
      </w:pPr>
      <w:r w:rsidRPr="0062582F">
        <w:t>AASB 101.85</w:t>
      </w:r>
      <w:r w:rsidR="005A4BB0">
        <w:noBreakHyphen/>
      </w:r>
      <w:r w:rsidRPr="0062582F">
        <w:t>86</w:t>
      </w:r>
    </w:p>
    <w:p w:rsidR="004843DB" w:rsidRPr="0062582F" w:rsidRDefault="004843DB" w:rsidP="004843DB">
      <w:pPr>
        <w:pStyle w:val="Reference"/>
        <w:spacing w:before="40"/>
        <w:rPr>
          <w:lang w:val="en-AU"/>
        </w:rPr>
      </w:pPr>
      <w:r w:rsidRPr="0062582F">
        <w:rPr>
          <w:lang w:val="en-AU"/>
        </w:rPr>
        <w:t>AASB 101.98(c)</w:t>
      </w:r>
    </w:p>
    <w:p w:rsidR="004843DB" w:rsidRPr="0062582F" w:rsidRDefault="004843DB" w:rsidP="004843DB">
      <w:pPr>
        <w:pStyle w:val="SmallLine"/>
      </w:pPr>
      <w:r w:rsidRPr="0062582F">
        <w:br/>
      </w:r>
    </w:p>
    <w:p w:rsidR="004843DB" w:rsidRPr="0062582F" w:rsidRDefault="004843DB" w:rsidP="004843DB">
      <w:pPr>
        <w:pStyle w:val="Reference"/>
        <w:spacing w:before="240"/>
        <w:outlineLvl w:val="1"/>
        <w:rPr>
          <w:lang w:val="en-AU"/>
        </w:rPr>
      </w:pPr>
      <w:r w:rsidRPr="0062582F">
        <w:rPr>
          <w:lang w:val="en-AU"/>
        </w:rPr>
        <w:t>AASB 101.82(c)</w:t>
      </w: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Reference"/>
        <w:spacing w:before="260"/>
        <w:outlineLvl w:val="1"/>
        <w:rPr>
          <w:lang w:val="en-AU"/>
        </w:rPr>
      </w:pPr>
      <w:r w:rsidRPr="0062582F">
        <w:rPr>
          <w:lang w:val="en-AU"/>
        </w:rPr>
        <w:t>AASB 101.85</w:t>
      </w:r>
    </w:p>
    <w:p w:rsidR="004843DB" w:rsidRPr="0062582F" w:rsidRDefault="004843DB" w:rsidP="004843DB">
      <w:pPr>
        <w:pStyle w:val="SmallLine"/>
        <w:spacing w:before="320"/>
        <w:rPr>
          <w:rStyle w:val="ReferenceChar"/>
        </w:rPr>
      </w:pPr>
      <w:r w:rsidRPr="0062582F">
        <w:rPr>
          <w:rStyle w:val="ReferenceChar"/>
        </w:rPr>
        <w:t>AASB 5.33(a)</w:t>
      </w:r>
    </w:p>
    <w:p w:rsidR="004843DB" w:rsidRPr="0062582F" w:rsidRDefault="004843DB" w:rsidP="004843DB">
      <w:pPr>
        <w:pStyle w:val="Reference"/>
        <w:spacing w:before="80"/>
        <w:outlineLvl w:val="1"/>
        <w:rPr>
          <w:lang w:val="en-AU"/>
        </w:rPr>
      </w:pPr>
      <w:r w:rsidRPr="0062582F">
        <w:rPr>
          <w:lang w:val="en-AU"/>
        </w:rPr>
        <w:t>AASB 101.85</w:t>
      </w:r>
    </w:p>
    <w:p w:rsidR="004843DB" w:rsidRPr="0062582F" w:rsidRDefault="004843DB" w:rsidP="004843DB">
      <w:pPr>
        <w:pStyle w:val="SmallLine"/>
      </w:pPr>
      <w:r w:rsidRPr="0062582F">
        <w:br/>
      </w:r>
    </w:p>
    <w:p w:rsidR="004843DB" w:rsidRPr="0062582F" w:rsidRDefault="004843DB" w:rsidP="004843DB">
      <w:pPr>
        <w:pStyle w:val="Reference"/>
        <w:spacing w:before="280"/>
        <w:rPr>
          <w:lang w:val="en-AU"/>
        </w:rPr>
      </w:pPr>
      <w:r w:rsidRPr="0062582F">
        <w:rPr>
          <w:lang w:val="en-AU"/>
        </w:rPr>
        <w:t>AASB 101.82A(a)</w:t>
      </w:r>
    </w:p>
    <w:p w:rsidR="004843DB" w:rsidRPr="0062582F" w:rsidRDefault="004843DB" w:rsidP="004843DB">
      <w:pPr>
        <w:pStyle w:val="SmallLine"/>
      </w:pPr>
      <w:r w:rsidRPr="0062582F">
        <w:br/>
      </w:r>
    </w:p>
    <w:p w:rsidR="004843DB" w:rsidRPr="0062582F" w:rsidRDefault="004843DB" w:rsidP="004843DB">
      <w:pPr>
        <w:pStyle w:val="Reference"/>
        <w:spacing w:before="240"/>
      </w:pPr>
      <w:r w:rsidRPr="0062582F">
        <w:rPr>
          <w:lang w:val="en-AU"/>
        </w:rPr>
        <w:t>AASB 128.39</w:t>
      </w:r>
    </w:p>
    <w:p w:rsidR="004843DB" w:rsidRPr="0062582F" w:rsidRDefault="004843DB" w:rsidP="004843DB">
      <w:pPr>
        <w:pStyle w:val="SmallLine"/>
      </w:pPr>
    </w:p>
    <w:p w:rsidR="004843DB" w:rsidRPr="0062582F" w:rsidRDefault="004843DB" w:rsidP="004843DB">
      <w:pPr>
        <w:pStyle w:val="Reference"/>
        <w:spacing w:before="220"/>
      </w:pPr>
      <w:r w:rsidRPr="0062582F">
        <w:t>AASB 101.82A(b)</w:t>
      </w:r>
    </w:p>
    <w:p w:rsidR="004843DB" w:rsidRPr="0062582F" w:rsidRDefault="004843DB" w:rsidP="004843DB">
      <w:pPr>
        <w:pStyle w:val="Reference"/>
        <w:spacing w:before="80"/>
      </w:pPr>
      <w:r w:rsidRPr="0062582F">
        <w:t>AASB 7.20(a)(ii)</w:t>
      </w:r>
    </w:p>
    <w:p w:rsidR="004843DB" w:rsidRPr="0062582F" w:rsidRDefault="004843DB" w:rsidP="004843DB">
      <w:pPr>
        <w:pStyle w:val="SmallLine"/>
      </w:pPr>
      <w:r w:rsidRPr="0062582F">
        <w:br/>
      </w:r>
    </w:p>
    <w:p w:rsidR="004843DB" w:rsidRPr="0062582F" w:rsidRDefault="004843DB" w:rsidP="00C862D5">
      <w:pPr>
        <w:pStyle w:val="Reference"/>
        <w:spacing w:before="320"/>
      </w:pPr>
      <w:r w:rsidRPr="0062582F">
        <w:t>AASB 101.8</w:t>
      </w:r>
    </w:p>
    <w:p w:rsidR="004843DB" w:rsidRPr="0062582F" w:rsidRDefault="004843DB" w:rsidP="004843DB">
      <w:pPr>
        <w:pStyle w:val="NoteHeadingcontinued"/>
      </w:pPr>
      <w:bookmarkStart w:id="222" w:name="_Toc192644506"/>
      <w:r w:rsidRPr="0062582F">
        <w:br w:type="column"/>
      </w:r>
      <w:r w:rsidRPr="0062582F">
        <w:lastRenderedPageBreak/>
        <w:t xml:space="preserve">Department of Technology </w:t>
      </w:r>
      <w:bookmarkEnd w:id="222"/>
      <w:r w:rsidRPr="0062582F">
        <w:t>financial statements</w:t>
      </w:r>
    </w:p>
    <w:p w:rsidR="004843DB" w:rsidRPr="0062582F" w:rsidRDefault="004843DB" w:rsidP="004843DB">
      <w:pPr>
        <w:pStyle w:val="Heading1Pt3"/>
        <w:spacing w:before="120"/>
      </w:pPr>
      <w:bookmarkStart w:id="223" w:name="_Toc331754629"/>
      <w:bookmarkStart w:id="224" w:name="_Toc332019428"/>
      <w:bookmarkStart w:id="225" w:name="_Toc350413470"/>
      <w:bookmarkStart w:id="226" w:name="_Toc388277744"/>
      <w:bookmarkStart w:id="227" w:name="_Toc416691913"/>
      <w:bookmarkStart w:id="228" w:name="_Toc448493010"/>
      <w:r w:rsidRPr="0062582F">
        <w:t xml:space="preserve">Comprehensive operating statement for the financial year ended 30 June </w:t>
      </w:r>
      <w:bookmarkEnd w:id="223"/>
      <w:bookmarkEnd w:id="224"/>
      <w:bookmarkEnd w:id="225"/>
      <w:bookmarkEnd w:id="226"/>
      <w:r w:rsidRPr="0062582F">
        <w:t>2016</w:t>
      </w:r>
      <w:bookmarkEnd w:id="227"/>
      <w:bookmarkEnd w:id="228"/>
    </w:p>
    <w:p w:rsidR="004843DB" w:rsidRPr="0062582F" w:rsidRDefault="004843DB" w:rsidP="004843DB">
      <w:pPr>
        <w:pStyle w:val="million"/>
        <w:rPr>
          <w:rFonts w:ascii="Tahoma" w:hAnsi="Tahoma" w:cs="Tahoma"/>
          <w:i w:val="0"/>
          <w:iCs w:val="0"/>
          <w:sz w:val="20"/>
          <w:szCs w:val="20"/>
        </w:rPr>
      </w:pPr>
      <w:r w:rsidRPr="0062582F">
        <w:t>($ thousand)</w:t>
      </w:r>
    </w:p>
    <w:tbl>
      <w:tblPr>
        <w:tblW w:w="8215" w:type="dxa"/>
        <w:tblInd w:w="108" w:type="dxa"/>
        <w:tblCellMar>
          <w:left w:w="43" w:type="dxa"/>
          <w:right w:w="43" w:type="dxa"/>
        </w:tblCellMar>
        <w:tblLook w:val="04A0" w:firstRow="1" w:lastRow="0" w:firstColumn="1" w:lastColumn="0" w:noHBand="0" w:noVBand="1"/>
      </w:tblPr>
      <w:tblGrid>
        <w:gridCol w:w="5425"/>
        <w:gridCol w:w="810"/>
        <w:gridCol w:w="990"/>
        <w:gridCol w:w="990"/>
      </w:tblGrid>
      <w:tr w:rsidR="004843DB" w:rsidRPr="0062582F" w:rsidTr="004843DB">
        <w:trPr>
          <w:cantSplit/>
        </w:trPr>
        <w:tc>
          <w:tcPr>
            <w:tcW w:w="5425"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Left"/>
            </w:pPr>
            <w:r w:rsidRPr="0062582F">
              <w:t>FOR ILLUSTRATIVE PURPOSES ONLY</w:t>
            </w:r>
          </w:p>
        </w:tc>
        <w:tc>
          <w:tcPr>
            <w:tcW w:w="81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t>Notes</w:t>
            </w:r>
          </w:p>
        </w:tc>
        <w:tc>
          <w:tcPr>
            <w:tcW w:w="990"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textheading"/>
            </w:pPr>
            <w:r w:rsidRPr="0062582F">
              <w:t>2016</w:t>
            </w:r>
          </w:p>
        </w:tc>
        <w:tc>
          <w:tcPr>
            <w:tcW w:w="99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425" w:type="dxa"/>
            <w:tcBorders>
              <w:top w:val="single" w:sz="6" w:space="0" w:color="auto"/>
              <w:left w:val="nil"/>
              <w:bottom w:val="nil"/>
              <w:right w:val="nil"/>
            </w:tcBorders>
            <w:shd w:val="clear" w:color="auto" w:fill="auto"/>
            <w:hideMark/>
          </w:tcPr>
          <w:p w:rsidR="004843DB" w:rsidRPr="0062582F" w:rsidRDefault="004843DB" w:rsidP="004843DB">
            <w:pPr>
              <w:pStyle w:val="Tabletext"/>
              <w:spacing w:before="0"/>
              <w:rPr>
                <w:b/>
              </w:rPr>
            </w:pPr>
            <w:r w:rsidRPr="0062582F">
              <w:rPr>
                <w:b/>
              </w:rPr>
              <w:t>Continuing operations</w:t>
            </w:r>
          </w:p>
        </w:tc>
        <w:tc>
          <w:tcPr>
            <w:tcW w:w="81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spacing w:before="0"/>
              <w:jc w:val="center"/>
            </w:pPr>
          </w:p>
        </w:tc>
        <w:tc>
          <w:tcPr>
            <w:tcW w:w="990"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spacing w:before="0"/>
            </w:pPr>
            <w:r w:rsidRPr="0062582F">
              <w:t xml:space="preserve"> </w:t>
            </w:r>
          </w:p>
        </w:tc>
        <w:tc>
          <w:tcPr>
            <w:tcW w:w="99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spacing w:before="0"/>
            </w:pPr>
            <w:r w:rsidRPr="0062582F">
              <w:t xml:space="preserve"> </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rPr>
                <w:b/>
              </w:rPr>
            </w:pPr>
            <w:r w:rsidRPr="0062582F">
              <w:rPr>
                <w:b/>
              </w:rPr>
              <w:t>Income from transactions</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 xml:space="preserve"> </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 xml:space="preserve"> </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pPr>
            <w:r w:rsidRPr="0062582F">
              <w:t>Output appropriations</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85 535</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63 682</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pPr>
            <w:r w:rsidRPr="0062582F">
              <w:t>Special appropriations</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8 128</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11 396</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pPr>
            <w:r w:rsidRPr="0062582F">
              <w:t>Interest</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r w:rsidRPr="0062582F">
              <w:t>4(a)</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3 864</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2 897</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pPr>
            <w:r w:rsidRPr="0062582F">
              <w:t>Sale of goods and services</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r w:rsidRPr="0062582F">
              <w:t>4(b)</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1 839</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1 346</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pPr>
            <w:r w:rsidRPr="0062582F">
              <w:t>Grants</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r w:rsidRPr="0062582F">
              <w:t>4(c)</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 xml:space="preserve"> 306</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 xml:space="preserve"> 140</w:t>
            </w:r>
          </w:p>
        </w:tc>
      </w:tr>
      <w:tr w:rsidR="004843DB" w:rsidRPr="0062582F" w:rsidTr="004843DB">
        <w:trPr>
          <w:cantSplit/>
        </w:trPr>
        <w:tc>
          <w:tcPr>
            <w:tcW w:w="5425" w:type="dxa"/>
            <w:tcBorders>
              <w:top w:val="nil"/>
              <w:left w:val="nil"/>
              <w:right w:val="nil"/>
            </w:tcBorders>
            <w:shd w:val="clear" w:color="auto" w:fill="auto"/>
            <w:hideMark/>
          </w:tcPr>
          <w:p w:rsidR="004843DB" w:rsidRPr="0062582F" w:rsidRDefault="004843DB" w:rsidP="004843DB">
            <w:pPr>
              <w:pStyle w:val="Tabletext"/>
              <w:spacing w:before="0"/>
            </w:pPr>
            <w:r w:rsidRPr="0062582F">
              <w:t>Fair value of assets and services received free of charge or for nominal consideration</w:t>
            </w:r>
          </w:p>
        </w:tc>
        <w:tc>
          <w:tcPr>
            <w:tcW w:w="810" w:type="dxa"/>
            <w:tcBorders>
              <w:top w:val="nil"/>
              <w:left w:val="nil"/>
              <w:right w:val="nil"/>
            </w:tcBorders>
            <w:shd w:val="clear" w:color="auto" w:fill="auto"/>
            <w:noWrap/>
            <w:hideMark/>
          </w:tcPr>
          <w:p w:rsidR="004843DB" w:rsidRPr="0062582F" w:rsidRDefault="004843DB" w:rsidP="004843DB">
            <w:pPr>
              <w:pStyle w:val="TableofFigures"/>
              <w:spacing w:before="0"/>
              <w:jc w:val="center"/>
            </w:pPr>
            <w:r w:rsidRPr="0062582F">
              <w:t>4(d)</w:t>
            </w:r>
          </w:p>
        </w:tc>
        <w:tc>
          <w:tcPr>
            <w:tcW w:w="990" w:type="dxa"/>
            <w:tcBorders>
              <w:top w:val="nil"/>
              <w:left w:val="nil"/>
              <w:right w:val="nil"/>
            </w:tcBorders>
            <w:shd w:val="clear" w:color="000000" w:fill="CCCCCC"/>
            <w:noWrap/>
            <w:hideMark/>
          </w:tcPr>
          <w:p w:rsidR="004843DB" w:rsidRPr="0062582F" w:rsidRDefault="004843DB" w:rsidP="004843DB">
            <w:pPr>
              <w:pStyle w:val="TableofFigures"/>
              <w:spacing w:before="0"/>
            </w:pPr>
            <w:r w:rsidRPr="0062582F">
              <w:t>1 589</w:t>
            </w:r>
          </w:p>
        </w:tc>
        <w:tc>
          <w:tcPr>
            <w:tcW w:w="990" w:type="dxa"/>
            <w:tcBorders>
              <w:top w:val="nil"/>
              <w:left w:val="nil"/>
              <w:right w:val="nil"/>
            </w:tcBorders>
            <w:shd w:val="clear" w:color="auto" w:fill="auto"/>
            <w:noWrap/>
            <w:hideMark/>
          </w:tcPr>
          <w:p w:rsidR="004843DB" w:rsidRPr="0062582F" w:rsidRDefault="004843DB" w:rsidP="004843DB">
            <w:pPr>
              <w:pStyle w:val="TableofFigures"/>
              <w:spacing w:before="0"/>
            </w:pPr>
            <w:r w:rsidRPr="0062582F">
              <w:t>1 708</w:t>
            </w:r>
          </w:p>
        </w:tc>
      </w:tr>
      <w:tr w:rsidR="004843DB" w:rsidRPr="0062582F" w:rsidTr="004843DB">
        <w:trPr>
          <w:cantSplit/>
        </w:trPr>
        <w:tc>
          <w:tcPr>
            <w:tcW w:w="5425" w:type="dxa"/>
            <w:tcBorders>
              <w:top w:val="nil"/>
              <w:left w:val="nil"/>
              <w:bottom w:val="single" w:sz="6" w:space="0" w:color="auto"/>
              <w:right w:val="nil"/>
            </w:tcBorders>
            <w:shd w:val="clear" w:color="auto" w:fill="auto"/>
            <w:hideMark/>
          </w:tcPr>
          <w:p w:rsidR="004843DB" w:rsidRPr="0062582F" w:rsidRDefault="004843DB" w:rsidP="004843DB">
            <w:pPr>
              <w:pStyle w:val="Tabletext"/>
              <w:spacing w:before="0"/>
            </w:pPr>
            <w:r w:rsidRPr="0062582F">
              <w:t>Other income</w:t>
            </w:r>
          </w:p>
        </w:tc>
        <w:tc>
          <w:tcPr>
            <w:tcW w:w="81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spacing w:before="0"/>
              <w:jc w:val="center"/>
            </w:pPr>
            <w:r w:rsidRPr="0062582F">
              <w:t>4(e)</w:t>
            </w:r>
          </w:p>
        </w:tc>
        <w:tc>
          <w:tcPr>
            <w:tcW w:w="990" w:type="dxa"/>
            <w:tcBorders>
              <w:top w:val="nil"/>
              <w:left w:val="nil"/>
              <w:bottom w:val="single" w:sz="6" w:space="0" w:color="auto"/>
              <w:right w:val="nil"/>
            </w:tcBorders>
            <w:shd w:val="clear" w:color="000000" w:fill="CCCCCC"/>
            <w:noWrap/>
            <w:hideMark/>
          </w:tcPr>
          <w:p w:rsidR="004843DB" w:rsidRPr="0062582F" w:rsidRDefault="004843DB" w:rsidP="004843DB">
            <w:pPr>
              <w:pStyle w:val="TableofFigures"/>
              <w:spacing w:before="0"/>
            </w:pPr>
            <w:r w:rsidRPr="0062582F">
              <w:t>6 213</w:t>
            </w:r>
          </w:p>
        </w:tc>
        <w:tc>
          <w:tcPr>
            <w:tcW w:w="99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spacing w:before="0"/>
            </w:pPr>
            <w:r w:rsidRPr="0062582F">
              <w:t>5 091</w:t>
            </w:r>
          </w:p>
        </w:tc>
      </w:tr>
      <w:tr w:rsidR="004843DB" w:rsidRPr="0062582F" w:rsidTr="004843DB">
        <w:trPr>
          <w:cantSplit/>
        </w:trPr>
        <w:tc>
          <w:tcPr>
            <w:tcW w:w="5425" w:type="dxa"/>
            <w:tcBorders>
              <w:top w:val="single" w:sz="6" w:space="0" w:color="auto"/>
              <w:left w:val="nil"/>
              <w:bottom w:val="nil"/>
              <w:right w:val="nil"/>
            </w:tcBorders>
            <w:shd w:val="clear" w:color="auto" w:fill="auto"/>
            <w:hideMark/>
          </w:tcPr>
          <w:p w:rsidR="004843DB" w:rsidRPr="0062582F" w:rsidRDefault="004843DB" w:rsidP="004843DB">
            <w:pPr>
              <w:pStyle w:val="Tabletext"/>
              <w:spacing w:before="0"/>
              <w:rPr>
                <w:b/>
              </w:rPr>
            </w:pPr>
            <w:r w:rsidRPr="0062582F">
              <w:rPr>
                <w:b/>
              </w:rPr>
              <w:t>Total income from transactions</w:t>
            </w:r>
          </w:p>
        </w:tc>
        <w:tc>
          <w:tcPr>
            <w:tcW w:w="81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spacing w:before="0"/>
              <w:jc w:val="center"/>
              <w:rPr>
                <w:b/>
              </w:rPr>
            </w:pPr>
          </w:p>
        </w:tc>
        <w:tc>
          <w:tcPr>
            <w:tcW w:w="990"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spacing w:before="0"/>
              <w:rPr>
                <w:b/>
              </w:rPr>
            </w:pPr>
            <w:r w:rsidRPr="0062582F">
              <w:rPr>
                <w:b/>
              </w:rPr>
              <w:t>107 474</w:t>
            </w:r>
          </w:p>
        </w:tc>
        <w:tc>
          <w:tcPr>
            <w:tcW w:w="99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spacing w:before="0"/>
              <w:rPr>
                <w:b/>
              </w:rPr>
            </w:pPr>
            <w:r w:rsidRPr="0062582F">
              <w:rPr>
                <w:b/>
              </w:rPr>
              <w:t>86 260</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Expenses from transactions</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jc w:val="center"/>
              <w:rPr>
                <w:b/>
              </w:rPr>
            </w:pP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pPr>
            <w:r w:rsidRPr="0062582F">
              <w:t>Employee expenses</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r w:rsidRPr="0062582F">
              <w:t>5(a)</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(13 767)</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(10 970)</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pPr>
            <w:r w:rsidRPr="0062582F">
              <w:t xml:space="preserve">Depreciation </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r w:rsidRPr="0062582F">
              <w:t>5(b)</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(15 099)</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(12 157)</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pPr>
            <w:r w:rsidRPr="0062582F">
              <w:t>Interest expense</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r w:rsidRPr="0062582F">
              <w:t>5(c)</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(2 366)</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(2 336)</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pPr>
            <w:r w:rsidRPr="0062582F">
              <w:t>Grants and other transfers</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r w:rsidRPr="0062582F">
              <w:t>5(d)</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(32 883)</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(43 040)</w:t>
            </w:r>
          </w:p>
        </w:tc>
      </w:tr>
      <w:tr w:rsidR="004843DB" w:rsidRPr="0062582F" w:rsidTr="004843DB">
        <w:trPr>
          <w:cantSplit/>
        </w:trPr>
        <w:tc>
          <w:tcPr>
            <w:tcW w:w="5425" w:type="dxa"/>
            <w:tcBorders>
              <w:top w:val="nil"/>
              <w:left w:val="nil"/>
              <w:right w:val="nil"/>
            </w:tcBorders>
            <w:shd w:val="clear" w:color="auto" w:fill="auto"/>
            <w:hideMark/>
          </w:tcPr>
          <w:p w:rsidR="004843DB" w:rsidRPr="0062582F" w:rsidRDefault="004843DB" w:rsidP="004843DB">
            <w:pPr>
              <w:pStyle w:val="Tabletext"/>
              <w:spacing w:before="0"/>
            </w:pPr>
            <w:r w:rsidRPr="0062582F">
              <w:t>Capital asset charge</w:t>
            </w:r>
          </w:p>
        </w:tc>
        <w:tc>
          <w:tcPr>
            <w:tcW w:w="810" w:type="dxa"/>
            <w:tcBorders>
              <w:top w:val="nil"/>
              <w:left w:val="nil"/>
              <w:right w:val="nil"/>
            </w:tcBorders>
            <w:shd w:val="clear" w:color="auto" w:fill="auto"/>
            <w:noWrap/>
            <w:hideMark/>
          </w:tcPr>
          <w:p w:rsidR="004843DB" w:rsidRPr="0062582F" w:rsidRDefault="004843DB" w:rsidP="004843DB">
            <w:pPr>
              <w:pStyle w:val="TableofFigures"/>
              <w:spacing w:before="0"/>
              <w:jc w:val="center"/>
            </w:pPr>
          </w:p>
        </w:tc>
        <w:tc>
          <w:tcPr>
            <w:tcW w:w="990" w:type="dxa"/>
            <w:tcBorders>
              <w:top w:val="nil"/>
              <w:left w:val="nil"/>
              <w:right w:val="nil"/>
            </w:tcBorders>
            <w:shd w:val="clear" w:color="000000" w:fill="CCCCCC"/>
            <w:noWrap/>
            <w:hideMark/>
          </w:tcPr>
          <w:p w:rsidR="004843DB" w:rsidRPr="0062582F" w:rsidRDefault="004843DB" w:rsidP="004843DB">
            <w:pPr>
              <w:pStyle w:val="TableofFigures"/>
              <w:spacing w:before="0"/>
            </w:pPr>
            <w:r w:rsidRPr="0062582F">
              <w:t>(1 309)</w:t>
            </w:r>
          </w:p>
        </w:tc>
        <w:tc>
          <w:tcPr>
            <w:tcW w:w="990" w:type="dxa"/>
            <w:tcBorders>
              <w:top w:val="nil"/>
              <w:left w:val="nil"/>
              <w:right w:val="nil"/>
            </w:tcBorders>
            <w:shd w:val="clear" w:color="auto" w:fill="auto"/>
            <w:noWrap/>
            <w:hideMark/>
          </w:tcPr>
          <w:p w:rsidR="004843DB" w:rsidRPr="0062582F" w:rsidRDefault="004843DB" w:rsidP="004843DB">
            <w:pPr>
              <w:pStyle w:val="TableofFigures"/>
              <w:spacing w:before="0"/>
            </w:pPr>
            <w:r w:rsidRPr="0062582F">
              <w:t>( 720)</w:t>
            </w:r>
          </w:p>
        </w:tc>
      </w:tr>
      <w:tr w:rsidR="004843DB" w:rsidRPr="0062582F" w:rsidTr="004843DB">
        <w:trPr>
          <w:cantSplit/>
        </w:trPr>
        <w:tc>
          <w:tcPr>
            <w:tcW w:w="5425" w:type="dxa"/>
            <w:tcBorders>
              <w:top w:val="nil"/>
              <w:left w:val="nil"/>
              <w:bottom w:val="single" w:sz="6" w:space="0" w:color="auto"/>
              <w:right w:val="nil"/>
            </w:tcBorders>
            <w:shd w:val="clear" w:color="auto" w:fill="auto"/>
            <w:hideMark/>
          </w:tcPr>
          <w:p w:rsidR="004843DB" w:rsidRPr="0062582F" w:rsidRDefault="004843DB" w:rsidP="004843DB">
            <w:pPr>
              <w:pStyle w:val="Tabletext"/>
              <w:spacing w:before="0"/>
            </w:pPr>
            <w:r w:rsidRPr="0062582F">
              <w:t xml:space="preserve">Other operating expenses </w:t>
            </w:r>
            <w:r w:rsidRPr="0062582F">
              <w:rPr>
                <w:rFonts w:ascii="Arial" w:hAnsi="Arial"/>
                <w:vertAlign w:val="superscript"/>
              </w:rPr>
              <w:t>(i)</w:t>
            </w:r>
          </w:p>
        </w:tc>
        <w:tc>
          <w:tcPr>
            <w:tcW w:w="81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spacing w:before="0"/>
              <w:jc w:val="center"/>
            </w:pPr>
            <w:r w:rsidRPr="0062582F">
              <w:t>5(e)</w:t>
            </w:r>
          </w:p>
        </w:tc>
        <w:tc>
          <w:tcPr>
            <w:tcW w:w="990" w:type="dxa"/>
            <w:tcBorders>
              <w:top w:val="nil"/>
              <w:left w:val="nil"/>
              <w:bottom w:val="single" w:sz="6" w:space="0" w:color="auto"/>
              <w:right w:val="nil"/>
            </w:tcBorders>
            <w:shd w:val="clear" w:color="000000" w:fill="CCCCCC"/>
            <w:noWrap/>
            <w:hideMark/>
          </w:tcPr>
          <w:p w:rsidR="004843DB" w:rsidRPr="0062582F" w:rsidRDefault="004843DB" w:rsidP="004843DB">
            <w:pPr>
              <w:pStyle w:val="TableofFigures"/>
              <w:spacing w:before="0"/>
            </w:pPr>
            <w:r w:rsidRPr="0062582F">
              <w:t>(15 828)</w:t>
            </w:r>
          </w:p>
        </w:tc>
        <w:tc>
          <w:tcPr>
            <w:tcW w:w="99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spacing w:before="0"/>
            </w:pPr>
            <w:r w:rsidRPr="0062582F">
              <w:t>(8 197)</w:t>
            </w:r>
          </w:p>
        </w:tc>
      </w:tr>
      <w:tr w:rsidR="004843DB" w:rsidRPr="0062582F" w:rsidTr="004843DB">
        <w:trPr>
          <w:cantSplit/>
        </w:trPr>
        <w:tc>
          <w:tcPr>
            <w:tcW w:w="5425"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
              <w:spacing w:before="0"/>
              <w:rPr>
                <w:b/>
              </w:rPr>
            </w:pPr>
            <w:r w:rsidRPr="0062582F">
              <w:rPr>
                <w:b/>
              </w:rPr>
              <w:t>Total expenses from transactions</w:t>
            </w:r>
          </w:p>
        </w:tc>
        <w:tc>
          <w:tcPr>
            <w:tcW w:w="81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spacing w:before="0"/>
              <w:jc w:val="center"/>
              <w:rPr>
                <w:b/>
              </w:rPr>
            </w:pPr>
          </w:p>
        </w:tc>
        <w:tc>
          <w:tcPr>
            <w:tcW w:w="990"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ofFigures"/>
              <w:spacing w:before="0"/>
              <w:rPr>
                <w:b/>
              </w:rPr>
            </w:pPr>
            <w:r w:rsidRPr="0062582F">
              <w:rPr>
                <w:b/>
              </w:rPr>
              <w:t>(81 252)</w:t>
            </w:r>
          </w:p>
        </w:tc>
        <w:tc>
          <w:tcPr>
            <w:tcW w:w="99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spacing w:before="0"/>
              <w:rPr>
                <w:b/>
              </w:rPr>
            </w:pPr>
            <w:r w:rsidRPr="0062582F">
              <w:rPr>
                <w:b/>
              </w:rPr>
              <w:t>(77 421)</w:t>
            </w:r>
          </w:p>
        </w:tc>
      </w:tr>
      <w:tr w:rsidR="004843DB" w:rsidRPr="0062582F" w:rsidTr="004843DB">
        <w:trPr>
          <w:cantSplit/>
        </w:trPr>
        <w:tc>
          <w:tcPr>
            <w:tcW w:w="5425" w:type="dxa"/>
            <w:tcBorders>
              <w:top w:val="single" w:sz="6"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Net result from transactions (net operating balance)</w:t>
            </w:r>
          </w:p>
        </w:tc>
        <w:tc>
          <w:tcPr>
            <w:tcW w:w="810"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jc w:val="center"/>
              <w:rPr>
                <w:b/>
              </w:rPr>
            </w:pPr>
          </w:p>
        </w:tc>
        <w:tc>
          <w:tcPr>
            <w:tcW w:w="990" w:type="dxa"/>
            <w:tcBorders>
              <w:top w:val="single" w:sz="6"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26 223</w:t>
            </w:r>
          </w:p>
        </w:tc>
        <w:tc>
          <w:tcPr>
            <w:tcW w:w="990"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8 839</w:t>
            </w:r>
          </w:p>
        </w:tc>
      </w:tr>
      <w:tr w:rsidR="004843DB" w:rsidRPr="0062582F" w:rsidTr="004843DB">
        <w:trPr>
          <w:cantSplit/>
        </w:trPr>
        <w:tc>
          <w:tcPr>
            <w:tcW w:w="5425" w:type="dxa"/>
            <w:tcBorders>
              <w:top w:val="single" w:sz="12" w:space="0" w:color="auto"/>
              <w:left w:val="nil"/>
              <w:bottom w:val="nil"/>
              <w:right w:val="nil"/>
            </w:tcBorders>
            <w:shd w:val="clear" w:color="auto" w:fill="auto"/>
            <w:hideMark/>
          </w:tcPr>
          <w:p w:rsidR="004843DB" w:rsidRPr="0062582F" w:rsidRDefault="004843DB" w:rsidP="004843DB">
            <w:pPr>
              <w:pStyle w:val="Tabletext"/>
              <w:spacing w:before="0"/>
              <w:rPr>
                <w:b/>
              </w:rPr>
            </w:pPr>
            <w:r w:rsidRPr="0062582F">
              <w:rPr>
                <w:b/>
              </w:rPr>
              <w:t>Other economic flows included in net result</w:t>
            </w:r>
          </w:p>
        </w:tc>
        <w:tc>
          <w:tcPr>
            <w:tcW w:w="81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spacing w:before="0"/>
              <w:jc w:val="center"/>
            </w:pPr>
          </w:p>
        </w:tc>
        <w:tc>
          <w:tcPr>
            <w:tcW w:w="990" w:type="dxa"/>
            <w:tcBorders>
              <w:top w:val="single" w:sz="12" w:space="0" w:color="auto"/>
              <w:left w:val="nil"/>
              <w:bottom w:val="nil"/>
              <w:right w:val="nil"/>
            </w:tcBorders>
            <w:shd w:val="clear" w:color="000000" w:fill="CCCCCC"/>
            <w:noWrap/>
            <w:hideMark/>
          </w:tcPr>
          <w:p w:rsidR="004843DB" w:rsidRPr="0062582F" w:rsidRDefault="004843DB" w:rsidP="004843DB">
            <w:pPr>
              <w:pStyle w:val="TableofFigures"/>
              <w:spacing w:before="0"/>
            </w:pPr>
            <w:r w:rsidRPr="0062582F">
              <w:t xml:space="preserve"> </w:t>
            </w:r>
          </w:p>
        </w:tc>
        <w:tc>
          <w:tcPr>
            <w:tcW w:w="99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spacing w:before="0"/>
            </w:pPr>
            <w:r w:rsidRPr="0062582F">
              <w:t xml:space="preserve"> </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pPr>
            <w:r w:rsidRPr="0062582F">
              <w:t>Net gain/(loss) on non</w:t>
            </w:r>
            <w:r w:rsidR="005A4BB0">
              <w:noBreakHyphen/>
            </w:r>
            <w:r w:rsidRPr="0062582F">
              <w:t xml:space="preserve">financial assets </w:t>
            </w:r>
            <w:r w:rsidRPr="0062582F">
              <w:rPr>
                <w:rFonts w:ascii="Arial" w:hAnsi="Arial"/>
                <w:vertAlign w:val="superscript"/>
              </w:rPr>
              <w:t>(ii)</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r w:rsidRPr="0062582F">
              <w:t>6(a)</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(5 161)</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1 805</w:t>
            </w:r>
          </w:p>
        </w:tc>
      </w:tr>
      <w:tr w:rsidR="004843DB" w:rsidRPr="0062582F" w:rsidTr="004843DB">
        <w:trPr>
          <w:cantSplit/>
        </w:trPr>
        <w:tc>
          <w:tcPr>
            <w:tcW w:w="5425" w:type="dxa"/>
            <w:tcBorders>
              <w:top w:val="nil"/>
              <w:left w:val="nil"/>
              <w:bottom w:val="nil"/>
              <w:right w:val="nil"/>
            </w:tcBorders>
            <w:shd w:val="clear" w:color="auto" w:fill="auto"/>
            <w:hideMark/>
          </w:tcPr>
          <w:p w:rsidR="004843DB" w:rsidRPr="0062582F" w:rsidRDefault="004843DB" w:rsidP="004843DB">
            <w:pPr>
              <w:pStyle w:val="Tabletext"/>
              <w:spacing w:before="0"/>
            </w:pPr>
            <w:r w:rsidRPr="0062582F">
              <w:t xml:space="preserve">Net gain/(loss) on financial instruments </w:t>
            </w:r>
            <w:r w:rsidRPr="0062582F">
              <w:rPr>
                <w:rFonts w:ascii="Arial" w:hAnsi="Arial"/>
                <w:vertAlign w:val="superscript"/>
              </w:rPr>
              <w:t>(iii)</w:t>
            </w:r>
          </w:p>
        </w:tc>
        <w:tc>
          <w:tcPr>
            <w:tcW w:w="810" w:type="dxa"/>
            <w:tcBorders>
              <w:top w:val="nil"/>
              <w:left w:val="nil"/>
              <w:bottom w:val="nil"/>
              <w:right w:val="nil"/>
            </w:tcBorders>
            <w:shd w:val="clear" w:color="auto" w:fill="auto"/>
            <w:noWrap/>
            <w:hideMark/>
          </w:tcPr>
          <w:p w:rsidR="004843DB" w:rsidRPr="0062582F" w:rsidRDefault="004843DB" w:rsidP="004843DB">
            <w:pPr>
              <w:pStyle w:val="TableofFigures"/>
              <w:spacing w:before="0"/>
              <w:jc w:val="center"/>
            </w:pPr>
            <w:r w:rsidRPr="0062582F">
              <w:t>6(b)</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spacing w:before="0"/>
            </w:pPr>
            <w:r w:rsidRPr="0062582F">
              <w:t>(5 891)</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spacing w:before="0"/>
            </w:pPr>
            <w:r w:rsidRPr="0062582F">
              <w:t>(3 971)</w:t>
            </w:r>
          </w:p>
        </w:tc>
      </w:tr>
      <w:tr w:rsidR="004843DB" w:rsidRPr="0062582F" w:rsidTr="004843DB">
        <w:trPr>
          <w:cantSplit/>
        </w:trPr>
        <w:tc>
          <w:tcPr>
            <w:tcW w:w="5425" w:type="dxa"/>
            <w:tcBorders>
              <w:top w:val="nil"/>
              <w:left w:val="nil"/>
              <w:right w:val="nil"/>
            </w:tcBorders>
            <w:shd w:val="clear" w:color="auto" w:fill="auto"/>
            <w:hideMark/>
          </w:tcPr>
          <w:p w:rsidR="004843DB" w:rsidRPr="0062582F" w:rsidRDefault="004843DB" w:rsidP="004843DB">
            <w:pPr>
              <w:pStyle w:val="Tabletext"/>
              <w:spacing w:before="0"/>
            </w:pPr>
            <w:r w:rsidRPr="0062582F">
              <w:t>Share of net profits/(losses) of associates and joint entities, excluding dividends</w:t>
            </w:r>
          </w:p>
        </w:tc>
        <w:tc>
          <w:tcPr>
            <w:tcW w:w="810" w:type="dxa"/>
            <w:tcBorders>
              <w:top w:val="nil"/>
              <w:left w:val="nil"/>
              <w:right w:val="nil"/>
            </w:tcBorders>
            <w:shd w:val="clear" w:color="auto" w:fill="auto"/>
            <w:noWrap/>
            <w:hideMark/>
          </w:tcPr>
          <w:p w:rsidR="004843DB" w:rsidRPr="0062582F" w:rsidRDefault="004843DB" w:rsidP="004843DB">
            <w:pPr>
              <w:pStyle w:val="TableofFigures"/>
              <w:spacing w:before="0"/>
              <w:jc w:val="center"/>
            </w:pPr>
            <w:r w:rsidRPr="0062582F">
              <w:t>6(c)</w:t>
            </w:r>
          </w:p>
        </w:tc>
        <w:tc>
          <w:tcPr>
            <w:tcW w:w="990" w:type="dxa"/>
            <w:tcBorders>
              <w:top w:val="nil"/>
              <w:left w:val="nil"/>
              <w:right w:val="nil"/>
            </w:tcBorders>
            <w:shd w:val="clear" w:color="000000" w:fill="CCCCCC"/>
            <w:noWrap/>
            <w:hideMark/>
          </w:tcPr>
          <w:p w:rsidR="004843DB" w:rsidRPr="0062582F" w:rsidRDefault="004843DB" w:rsidP="004843DB">
            <w:pPr>
              <w:pStyle w:val="TableofFigures"/>
              <w:spacing w:before="0"/>
            </w:pPr>
            <w:r w:rsidRPr="0062582F">
              <w:t>1 286</w:t>
            </w:r>
          </w:p>
        </w:tc>
        <w:tc>
          <w:tcPr>
            <w:tcW w:w="990" w:type="dxa"/>
            <w:tcBorders>
              <w:top w:val="nil"/>
              <w:left w:val="nil"/>
              <w:right w:val="nil"/>
            </w:tcBorders>
            <w:shd w:val="clear" w:color="auto" w:fill="auto"/>
            <w:noWrap/>
            <w:hideMark/>
          </w:tcPr>
          <w:p w:rsidR="004843DB" w:rsidRPr="0062582F" w:rsidRDefault="004843DB" w:rsidP="004843DB">
            <w:pPr>
              <w:pStyle w:val="TableofFigures"/>
              <w:spacing w:before="0"/>
            </w:pPr>
            <w:r w:rsidRPr="0062582F">
              <w:t>1 397</w:t>
            </w:r>
          </w:p>
        </w:tc>
      </w:tr>
      <w:tr w:rsidR="004843DB" w:rsidRPr="0062582F" w:rsidTr="004843DB">
        <w:trPr>
          <w:cantSplit/>
        </w:trPr>
        <w:tc>
          <w:tcPr>
            <w:tcW w:w="5425" w:type="dxa"/>
            <w:tcBorders>
              <w:top w:val="nil"/>
              <w:left w:val="nil"/>
              <w:bottom w:val="single" w:sz="6" w:space="0" w:color="auto"/>
              <w:right w:val="nil"/>
            </w:tcBorders>
            <w:shd w:val="clear" w:color="auto" w:fill="auto"/>
            <w:hideMark/>
          </w:tcPr>
          <w:p w:rsidR="004843DB" w:rsidRPr="0062582F" w:rsidRDefault="004843DB" w:rsidP="004843DB">
            <w:pPr>
              <w:pStyle w:val="Tabletext"/>
              <w:spacing w:before="0"/>
            </w:pPr>
            <w:r w:rsidRPr="0062582F">
              <w:t>Other gains/(losses) from other economic flows</w:t>
            </w:r>
          </w:p>
        </w:tc>
        <w:tc>
          <w:tcPr>
            <w:tcW w:w="81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spacing w:before="0"/>
              <w:jc w:val="center"/>
            </w:pPr>
            <w:r w:rsidRPr="0062582F">
              <w:t>6(d)</w:t>
            </w:r>
          </w:p>
        </w:tc>
        <w:tc>
          <w:tcPr>
            <w:tcW w:w="990" w:type="dxa"/>
            <w:tcBorders>
              <w:top w:val="nil"/>
              <w:left w:val="nil"/>
              <w:bottom w:val="single" w:sz="6" w:space="0" w:color="auto"/>
              <w:right w:val="nil"/>
            </w:tcBorders>
            <w:shd w:val="clear" w:color="000000" w:fill="CCCCCC"/>
            <w:noWrap/>
            <w:hideMark/>
          </w:tcPr>
          <w:p w:rsidR="004843DB" w:rsidRPr="0062582F" w:rsidRDefault="004843DB" w:rsidP="004843DB">
            <w:pPr>
              <w:pStyle w:val="TableofFigures"/>
              <w:spacing w:before="0"/>
            </w:pPr>
            <w:r w:rsidRPr="0062582F">
              <w:t>(2 895)</w:t>
            </w:r>
          </w:p>
        </w:tc>
        <w:tc>
          <w:tcPr>
            <w:tcW w:w="99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spacing w:before="0"/>
            </w:pPr>
            <w:r w:rsidRPr="0062582F">
              <w:t>(2 047)</w:t>
            </w:r>
          </w:p>
        </w:tc>
      </w:tr>
      <w:tr w:rsidR="004843DB" w:rsidRPr="0062582F" w:rsidTr="004843DB">
        <w:trPr>
          <w:cantSplit/>
        </w:trPr>
        <w:tc>
          <w:tcPr>
            <w:tcW w:w="5425"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
              <w:spacing w:before="0"/>
              <w:rPr>
                <w:b/>
              </w:rPr>
            </w:pPr>
            <w:r w:rsidRPr="0062582F">
              <w:rPr>
                <w:b/>
              </w:rPr>
              <w:t>Total other economic flows included in net result</w:t>
            </w:r>
          </w:p>
        </w:tc>
        <w:tc>
          <w:tcPr>
            <w:tcW w:w="81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spacing w:before="0"/>
              <w:jc w:val="center"/>
              <w:rPr>
                <w:b/>
              </w:rPr>
            </w:pPr>
          </w:p>
        </w:tc>
        <w:tc>
          <w:tcPr>
            <w:tcW w:w="990"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ofFigures"/>
              <w:spacing w:before="0"/>
              <w:rPr>
                <w:b/>
              </w:rPr>
            </w:pPr>
            <w:r w:rsidRPr="0062582F">
              <w:rPr>
                <w:b/>
              </w:rPr>
              <w:t>(12 661)</w:t>
            </w:r>
          </w:p>
        </w:tc>
        <w:tc>
          <w:tcPr>
            <w:tcW w:w="99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spacing w:before="0"/>
              <w:rPr>
                <w:b/>
              </w:rPr>
            </w:pPr>
            <w:r w:rsidRPr="0062582F">
              <w:rPr>
                <w:b/>
              </w:rPr>
              <w:t>(2 816)</w:t>
            </w:r>
          </w:p>
        </w:tc>
      </w:tr>
      <w:tr w:rsidR="004843DB" w:rsidRPr="0062582F" w:rsidTr="004843DB">
        <w:trPr>
          <w:cantSplit/>
        </w:trPr>
        <w:tc>
          <w:tcPr>
            <w:tcW w:w="5425"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
              <w:rPr>
                <w:b/>
              </w:rPr>
            </w:pPr>
            <w:r w:rsidRPr="0062582F">
              <w:rPr>
                <w:b/>
              </w:rPr>
              <w:t>Net result from continuing operations</w:t>
            </w:r>
          </w:p>
        </w:tc>
        <w:tc>
          <w:tcPr>
            <w:tcW w:w="81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jc w:val="center"/>
              <w:rPr>
                <w:b/>
              </w:rPr>
            </w:pPr>
          </w:p>
        </w:tc>
        <w:tc>
          <w:tcPr>
            <w:tcW w:w="990"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ofFigures"/>
              <w:rPr>
                <w:b/>
              </w:rPr>
            </w:pPr>
            <w:r w:rsidRPr="0062582F">
              <w:rPr>
                <w:b/>
              </w:rPr>
              <w:t>13 562</w:t>
            </w:r>
          </w:p>
        </w:tc>
        <w:tc>
          <w:tcPr>
            <w:tcW w:w="99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rPr>
                <w:b/>
              </w:rPr>
            </w:pPr>
            <w:r w:rsidRPr="0062582F">
              <w:rPr>
                <w:b/>
              </w:rPr>
              <w:t>6 023</w:t>
            </w:r>
          </w:p>
        </w:tc>
      </w:tr>
      <w:tr w:rsidR="004843DB" w:rsidRPr="0062582F" w:rsidTr="004843DB">
        <w:trPr>
          <w:cantSplit/>
        </w:trPr>
        <w:tc>
          <w:tcPr>
            <w:tcW w:w="5425"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
              <w:spacing w:before="0"/>
            </w:pPr>
            <w:r w:rsidRPr="0062582F">
              <w:t>Net result from discontinued operations</w:t>
            </w:r>
          </w:p>
        </w:tc>
        <w:tc>
          <w:tcPr>
            <w:tcW w:w="81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spacing w:before="0"/>
              <w:jc w:val="center"/>
            </w:pPr>
            <w:r w:rsidRPr="0062582F">
              <w:t>10(c)</w:t>
            </w:r>
          </w:p>
        </w:tc>
        <w:tc>
          <w:tcPr>
            <w:tcW w:w="990"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ofFigures"/>
              <w:spacing w:before="0"/>
            </w:pPr>
            <w:r w:rsidRPr="0062582F">
              <w:t>1 229</w:t>
            </w:r>
          </w:p>
        </w:tc>
        <w:tc>
          <w:tcPr>
            <w:tcW w:w="99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spacing w:before="0"/>
            </w:pPr>
            <w:r w:rsidRPr="0062582F">
              <w:t>3 856</w:t>
            </w:r>
          </w:p>
        </w:tc>
      </w:tr>
      <w:tr w:rsidR="004843DB" w:rsidRPr="0062582F" w:rsidTr="004843DB">
        <w:trPr>
          <w:cantSplit/>
        </w:trPr>
        <w:tc>
          <w:tcPr>
            <w:tcW w:w="5425"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
              <w:spacing w:before="0"/>
              <w:rPr>
                <w:b/>
              </w:rPr>
            </w:pPr>
            <w:r w:rsidRPr="0062582F">
              <w:rPr>
                <w:b/>
              </w:rPr>
              <w:t>Net result</w:t>
            </w:r>
          </w:p>
        </w:tc>
        <w:tc>
          <w:tcPr>
            <w:tcW w:w="81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spacing w:before="0"/>
              <w:jc w:val="center"/>
              <w:rPr>
                <w:b/>
              </w:rPr>
            </w:pPr>
          </w:p>
        </w:tc>
        <w:tc>
          <w:tcPr>
            <w:tcW w:w="990"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ofFigures"/>
              <w:spacing w:before="0"/>
              <w:rPr>
                <w:b/>
              </w:rPr>
            </w:pPr>
            <w:r w:rsidRPr="0062582F">
              <w:rPr>
                <w:b/>
              </w:rPr>
              <w:t>14 790</w:t>
            </w:r>
          </w:p>
        </w:tc>
        <w:tc>
          <w:tcPr>
            <w:tcW w:w="99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spacing w:before="0"/>
              <w:rPr>
                <w:b/>
              </w:rPr>
            </w:pPr>
            <w:r w:rsidRPr="0062582F">
              <w:rPr>
                <w:b/>
              </w:rPr>
              <w:t>9 879</w:t>
            </w:r>
          </w:p>
        </w:tc>
      </w:tr>
      <w:tr w:rsidR="004843DB" w:rsidRPr="0062582F" w:rsidTr="004843DB">
        <w:trPr>
          <w:cantSplit/>
        </w:trPr>
        <w:tc>
          <w:tcPr>
            <w:tcW w:w="5425" w:type="dxa"/>
            <w:tcBorders>
              <w:top w:val="single" w:sz="6" w:space="0" w:color="auto"/>
              <w:left w:val="nil"/>
              <w:bottom w:val="nil"/>
              <w:right w:val="nil"/>
            </w:tcBorders>
            <w:shd w:val="clear" w:color="auto" w:fill="auto"/>
            <w:hideMark/>
          </w:tcPr>
          <w:p w:rsidR="004843DB" w:rsidRPr="0062582F" w:rsidRDefault="004843DB" w:rsidP="004843DB">
            <w:pPr>
              <w:pStyle w:val="Tabletext"/>
              <w:spacing w:before="0"/>
              <w:rPr>
                <w:b/>
              </w:rPr>
            </w:pPr>
            <w:r w:rsidRPr="0062582F">
              <w:rPr>
                <w:b/>
              </w:rPr>
              <w:t>Other economic flows – other comprehensive income</w:t>
            </w:r>
          </w:p>
        </w:tc>
        <w:tc>
          <w:tcPr>
            <w:tcW w:w="81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spacing w:before="0"/>
              <w:jc w:val="center"/>
              <w:rPr>
                <w:b/>
              </w:rPr>
            </w:pPr>
          </w:p>
        </w:tc>
        <w:tc>
          <w:tcPr>
            <w:tcW w:w="990"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spacing w:before="0"/>
              <w:rPr>
                <w:b/>
              </w:rPr>
            </w:pPr>
            <w:r w:rsidRPr="0062582F">
              <w:rPr>
                <w:b/>
              </w:rPr>
              <w:t xml:space="preserve"> </w:t>
            </w:r>
          </w:p>
        </w:tc>
        <w:tc>
          <w:tcPr>
            <w:tcW w:w="99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spacing w:before="0"/>
              <w:rPr>
                <w:b/>
              </w:rPr>
            </w:pPr>
            <w:r w:rsidRPr="0062582F">
              <w:rPr>
                <w:b/>
              </w:rPr>
              <w:t xml:space="preserve"> </w:t>
            </w:r>
          </w:p>
        </w:tc>
      </w:tr>
      <w:tr w:rsidR="004843DB" w:rsidRPr="0062582F" w:rsidTr="004843DB">
        <w:trPr>
          <w:cantSplit/>
        </w:trPr>
        <w:tc>
          <w:tcPr>
            <w:tcW w:w="5425" w:type="dxa"/>
            <w:tcBorders>
              <w:top w:val="single" w:sz="6" w:space="0" w:color="auto"/>
              <w:left w:val="nil"/>
              <w:bottom w:val="nil"/>
              <w:right w:val="nil"/>
            </w:tcBorders>
            <w:shd w:val="clear" w:color="auto" w:fill="auto"/>
          </w:tcPr>
          <w:p w:rsidR="004843DB" w:rsidRPr="0062582F" w:rsidRDefault="004843DB" w:rsidP="004843DB">
            <w:pPr>
              <w:pStyle w:val="Tabletext"/>
              <w:rPr>
                <w:b/>
              </w:rPr>
            </w:pPr>
            <w:r w:rsidRPr="0062582F">
              <w:rPr>
                <w:b/>
              </w:rPr>
              <w:t>Items that will not be reclassified to net result</w:t>
            </w:r>
          </w:p>
        </w:tc>
        <w:tc>
          <w:tcPr>
            <w:tcW w:w="810" w:type="dxa"/>
            <w:tcBorders>
              <w:top w:val="single" w:sz="6" w:space="0" w:color="auto"/>
              <w:left w:val="nil"/>
              <w:bottom w:val="nil"/>
              <w:right w:val="nil"/>
            </w:tcBorders>
            <w:shd w:val="clear" w:color="auto" w:fill="auto"/>
            <w:noWrap/>
          </w:tcPr>
          <w:p w:rsidR="004843DB" w:rsidRPr="0062582F" w:rsidRDefault="004843DB" w:rsidP="004843DB">
            <w:pPr>
              <w:pStyle w:val="TableofFigures"/>
              <w:jc w:val="center"/>
              <w:rPr>
                <w:b/>
              </w:rPr>
            </w:pPr>
          </w:p>
        </w:tc>
        <w:tc>
          <w:tcPr>
            <w:tcW w:w="990" w:type="dxa"/>
            <w:tcBorders>
              <w:top w:val="single" w:sz="6" w:space="0" w:color="auto"/>
              <w:left w:val="nil"/>
              <w:bottom w:val="nil"/>
              <w:right w:val="nil"/>
            </w:tcBorders>
            <w:shd w:val="clear" w:color="000000" w:fill="CCCCCC"/>
            <w:noWrap/>
          </w:tcPr>
          <w:p w:rsidR="004843DB" w:rsidRPr="0062582F" w:rsidRDefault="004843DB" w:rsidP="004843DB">
            <w:pPr>
              <w:pStyle w:val="TableofFigures"/>
              <w:rPr>
                <w:b/>
              </w:rPr>
            </w:pPr>
          </w:p>
        </w:tc>
        <w:tc>
          <w:tcPr>
            <w:tcW w:w="990" w:type="dxa"/>
            <w:tcBorders>
              <w:top w:val="single" w:sz="6" w:space="0" w:color="auto"/>
              <w:left w:val="nil"/>
              <w:bottom w:val="nil"/>
              <w:right w:val="nil"/>
            </w:tcBorders>
            <w:shd w:val="clear" w:color="auto" w:fill="auto"/>
            <w:noWrap/>
          </w:tcPr>
          <w:p w:rsidR="004843DB" w:rsidRPr="0062582F" w:rsidRDefault="004843DB" w:rsidP="004843DB">
            <w:pPr>
              <w:pStyle w:val="TableofFigures"/>
              <w:rPr>
                <w:b/>
              </w:rPr>
            </w:pPr>
          </w:p>
        </w:tc>
      </w:tr>
      <w:tr w:rsidR="004843DB" w:rsidRPr="0062582F" w:rsidTr="004843DB">
        <w:trPr>
          <w:cantSplit/>
        </w:trPr>
        <w:tc>
          <w:tcPr>
            <w:tcW w:w="5425" w:type="dxa"/>
            <w:tcBorders>
              <w:top w:val="nil"/>
              <w:left w:val="nil"/>
              <w:right w:val="nil"/>
            </w:tcBorders>
            <w:shd w:val="clear" w:color="auto" w:fill="auto"/>
            <w:hideMark/>
          </w:tcPr>
          <w:p w:rsidR="004843DB" w:rsidRPr="0062582F" w:rsidRDefault="004843DB" w:rsidP="004843DB">
            <w:pPr>
              <w:pStyle w:val="Tabletext"/>
              <w:spacing w:before="0"/>
            </w:pPr>
            <w:r w:rsidRPr="0062582F">
              <w:t xml:space="preserve">Changes in physical asset revaluation surplus </w:t>
            </w:r>
            <w:r w:rsidRPr="0062582F">
              <w:rPr>
                <w:rFonts w:ascii="Arial" w:hAnsi="Arial"/>
                <w:vertAlign w:val="superscript"/>
              </w:rPr>
              <w:t>(iv)</w:t>
            </w:r>
          </w:p>
        </w:tc>
        <w:tc>
          <w:tcPr>
            <w:tcW w:w="810" w:type="dxa"/>
            <w:tcBorders>
              <w:top w:val="nil"/>
              <w:left w:val="nil"/>
              <w:right w:val="nil"/>
            </w:tcBorders>
            <w:shd w:val="clear" w:color="auto" w:fill="auto"/>
            <w:noWrap/>
            <w:hideMark/>
          </w:tcPr>
          <w:p w:rsidR="004843DB" w:rsidRPr="0062582F" w:rsidRDefault="004843DB" w:rsidP="004843DB">
            <w:pPr>
              <w:pStyle w:val="TableofFigures"/>
              <w:spacing w:before="0"/>
              <w:jc w:val="center"/>
            </w:pPr>
            <w:r w:rsidRPr="0062582F">
              <w:t>35</w:t>
            </w:r>
          </w:p>
        </w:tc>
        <w:tc>
          <w:tcPr>
            <w:tcW w:w="990" w:type="dxa"/>
            <w:tcBorders>
              <w:top w:val="nil"/>
              <w:left w:val="nil"/>
              <w:right w:val="nil"/>
            </w:tcBorders>
            <w:shd w:val="clear" w:color="000000" w:fill="CCCCCC"/>
            <w:noWrap/>
            <w:hideMark/>
          </w:tcPr>
          <w:p w:rsidR="004843DB" w:rsidRPr="0062582F" w:rsidRDefault="004843DB" w:rsidP="004843DB">
            <w:pPr>
              <w:pStyle w:val="TableofFigures"/>
              <w:spacing w:before="0"/>
            </w:pPr>
            <w:r w:rsidRPr="0062582F">
              <w:t>7 403</w:t>
            </w:r>
          </w:p>
        </w:tc>
        <w:tc>
          <w:tcPr>
            <w:tcW w:w="990" w:type="dxa"/>
            <w:tcBorders>
              <w:top w:val="nil"/>
              <w:left w:val="nil"/>
              <w:right w:val="nil"/>
            </w:tcBorders>
            <w:shd w:val="clear" w:color="auto" w:fill="auto"/>
            <w:noWrap/>
            <w:hideMark/>
          </w:tcPr>
          <w:p w:rsidR="004843DB" w:rsidRPr="0062582F" w:rsidRDefault="004843DB" w:rsidP="004843DB">
            <w:pPr>
              <w:pStyle w:val="TableofFigures"/>
              <w:spacing w:before="0"/>
            </w:pPr>
            <w:r w:rsidRPr="0062582F">
              <w:t>2 825</w:t>
            </w:r>
          </w:p>
        </w:tc>
      </w:tr>
      <w:tr w:rsidR="004843DB" w:rsidRPr="0062582F" w:rsidTr="004843DB">
        <w:trPr>
          <w:cantSplit/>
        </w:trPr>
        <w:tc>
          <w:tcPr>
            <w:tcW w:w="5425" w:type="dxa"/>
            <w:tcBorders>
              <w:top w:val="nil"/>
              <w:left w:val="nil"/>
              <w:right w:val="nil"/>
            </w:tcBorders>
            <w:shd w:val="clear" w:color="auto" w:fill="auto"/>
            <w:hideMark/>
          </w:tcPr>
          <w:p w:rsidR="004843DB" w:rsidRPr="0062582F" w:rsidRDefault="004843DB" w:rsidP="004843DB">
            <w:pPr>
              <w:pStyle w:val="Tabletext"/>
              <w:spacing w:before="0"/>
            </w:pPr>
            <w:r w:rsidRPr="0062582F">
              <w:t>Share of net movement in revaluation surplus of associates and joint ventures</w:t>
            </w:r>
          </w:p>
        </w:tc>
        <w:tc>
          <w:tcPr>
            <w:tcW w:w="810" w:type="dxa"/>
            <w:tcBorders>
              <w:top w:val="nil"/>
              <w:left w:val="nil"/>
              <w:right w:val="nil"/>
            </w:tcBorders>
            <w:shd w:val="clear" w:color="auto" w:fill="auto"/>
            <w:noWrap/>
            <w:hideMark/>
          </w:tcPr>
          <w:p w:rsidR="004843DB" w:rsidRPr="0062582F" w:rsidRDefault="004843DB" w:rsidP="004843DB">
            <w:pPr>
              <w:pStyle w:val="TableofFigures"/>
              <w:spacing w:before="0"/>
              <w:jc w:val="center"/>
            </w:pPr>
            <w:r w:rsidRPr="0062582F">
              <w:t>35</w:t>
            </w:r>
          </w:p>
        </w:tc>
        <w:tc>
          <w:tcPr>
            <w:tcW w:w="990" w:type="dxa"/>
            <w:tcBorders>
              <w:top w:val="nil"/>
              <w:left w:val="nil"/>
              <w:right w:val="nil"/>
            </w:tcBorders>
            <w:shd w:val="clear" w:color="000000" w:fill="CCCCCC"/>
            <w:noWrap/>
            <w:hideMark/>
          </w:tcPr>
          <w:p w:rsidR="004843DB" w:rsidRPr="0062582F" w:rsidRDefault="004843DB" w:rsidP="004843DB">
            <w:pPr>
              <w:pStyle w:val="TableofFigures"/>
              <w:spacing w:before="0"/>
            </w:pPr>
            <w:r w:rsidRPr="0062582F">
              <w:t xml:space="preserve"> 260</w:t>
            </w:r>
          </w:p>
        </w:tc>
        <w:tc>
          <w:tcPr>
            <w:tcW w:w="990" w:type="dxa"/>
            <w:tcBorders>
              <w:top w:val="nil"/>
              <w:left w:val="nil"/>
              <w:right w:val="nil"/>
            </w:tcBorders>
            <w:shd w:val="clear" w:color="auto" w:fill="auto"/>
            <w:noWrap/>
            <w:hideMark/>
          </w:tcPr>
          <w:p w:rsidR="004843DB" w:rsidRPr="0062582F" w:rsidRDefault="004843DB" w:rsidP="004843DB">
            <w:pPr>
              <w:pStyle w:val="TableofFigures"/>
              <w:spacing w:before="0"/>
            </w:pPr>
            <w:r w:rsidRPr="0062582F">
              <w:t xml:space="preserve"> 280</w:t>
            </w:r>
          </w:p>
        </w:tc>
      </w:tr>
      <w:tr w:rsidR="004843DB" w:rsidRPr="0062582F" w:rsidTr="004843DB">
        <w:trPr>
          <w:cantSplit/>
        </w:trPr>
        <w:tc>
          <w:tcPr>
            <w:tcW w:w="5425" w:type="dxa"/>
            <w:tcBorders>
              <w:left w:val="nil"/>
              <w:bottom w:val="nil"/>
              <w:right w:val="nil"/>
            </w:tcBorders>
            <w:shd w:val="clear" w:color="auto" w:fill="auto"/>
          </w:tcPr>
          <w:p w:rsidR="004843DB" w:rsidRPr="0062582F" w:rsidRDefault="004843DB" w:rsidP="004843DB">
            <w:pPr>
              <w:pStyle w:val="Tabletext"/>
              <w:spacing w:before="0"/>
              <w:rPr>
                <w:b/>
              </w:rPr>
            </w:pPr>
            <w:r w:rsidRPr="0062582F">
              <w:rPr>
                <w:b/>
              </w:rPr>
              <w:t>Items that may be reclassified subsequently to net result</w:t>
            </w:r>
          </w:p>
        </w:tc>
        <w:tc>
          <w:tcPr>
            <w:tcW w:w="810" w:type="dxa"/>
            <w:tcBorders>
              <w:left w:val="nil"/>
              <w:bottom w:val="nil"/>
              <w:right w:val="nil"/>
            </w:tcBorders>
            <w:shd w:val="clear" w:color="auto" w:fill="auto"/>
            <w:noWrap/>
          </w:tcPr>
          <w:p w:rsidR="004843DB" w:rsidRPr="0062582F" w:rsidRDefault="004843DB" w:rsidP="004843DB">
            <w:pPr>
              <w:pStyle w:val="TableofFigures"/>
              <w:spacing w:before="0"/>
              <w:jc w:val="center"/>
            </w:pPr>
          </w:p>
        </w:tc>
        <w:tc>
          <w:tcPr>
            <w:tcW w:w="990" w:type="dxa"/>
            <w:tcBorders>
              <w:left w:val="nil"/>
              <w:bottom w:val="nil"/>
              <w:right w:val="nil"/>
            </w:tcBorders>
            <w:shd w:val="clear" w:color="000000" w:fill="CCCCCC"/>
            <w:noWrap/>
          </w:tcPr>
          <w:p w:rsidR="004843DB" w:rsidRPr="0062582F" w:rsidRDefault="004843DB" w:rsidP="004843DB">
            <w:pPr>
              <w:pStyle w:val="TableofFigures"/>
              <w:spacing w:before="0"/>
            </w:pPr>
          </w:p>
        </w:tc>
        <w:tc>
          <w:tcPr>
            <w:tcW w:w="990" w:type="dxa"/>
            <w:tcBorders>
              <w:left w:val="nil"/>
              <w:bottom w:val="nil"/>
              <w:right w:val="nil"/>
            </w:tcBorders>
            <w:shd w:val="clear" w:color="auto" w:fill="auto"/>
            <w:noWrap/>
          </w:tcPr>
          <w:p w:rsidR="004843DB" w:rsidRPr="0062582F" w:rsidRDefault="004843DB" w:rsidP="004843DB">
            <w:pPr>
              <w:pStyle w:val="TableofFigures"/>
              <w:spacing w:before="0"/>
            </w:pPr>
          </w:p>
        </w:tc>
      </w:tr>
      <w:tr w:rsidR="004843DB" w:rsidRPr="0062582F" w:rsidTr="004843DB">
        <w:trPr>
          <w:cantSplit/>
        </w:trPr>
        <w:tc>
          <w:tcPr>
            <w:tcW w:w="5425" w:type="dxa"/>
            <w:tcBorders>
              <w:top w:val="nil"/>
              <w:left w:val="nil"/>
              <w:right w:val="nil"/>
            </w:tcBorders>
            <w:shd w:val="clear" w:color="auto" w:fill="auto"/>
            <w:hideMark/>
          </w:tcPr>
          <w:p w:rsidR="004843DB" w:rsidRPr="0062582F" w:rsidRDefault="004843DB" w:rsidP="004843DB">
            <w:pPr>
              <w:pStyle w:val="Tabletext"/>
              <w:spacing w:before="0"/>
            </w:pPr>
            <w:r w:rsidRPr="0062582F">
              <w:t>Changes to financial assets available</w:t>
            </w:r>
            <w:r w:rsidR="005A4BB0">
              <w:noBreakHyphen/>
            </w:r>
            <w:r w:rsidRPr="0062582F">
              <w:t>for</w:t>
            </w:r>
            <w:r w:rsidR="005A4BB0">
              <w:noBreakHyphen/>
            </w:r>
            <w:r w:rsidRPr="0062582F">
              <w:t xml:space="preserve">sale revaluation surplus </w:t>
            </w:r>
            <w:r w:rsidRPr="0062582F">
              <w:rPr>
                <w:rFonts w:ascii="Arial" w:hAnsi="Arial"/>
                <w:vertAlign w:val="superscript"/>
              </w:rPr>
              <w:t>(iv)</w:t>
            </w:r>
          </w:p>
        </w:tc>
        <w:tc>
          <w:tcPr>
            <w:tcW w:w="810" w:type="dxa"/>
            <w:tcBorders>
              <w:top w:val="nil"/>
              <w:left w:val="nil"/>
              <w:right w:val="nil"/>
            </w:tcBorders>
            <w:shd w:val="clear" w:color="auto" w:fill="auto"/>
            <w:noWrap/>
            <w:hideMark/>
          </w:tcPr>
          <w:p w:rsidR="004843DB" w:rsidRPr="0062582F" w:rsidRDefault="004843DB" w:rsidP="004843DB">
            <w:pPr>
              <w:pStyle w:val="TableofFigures"/>
              <w:spacing w:before="0"/>
              <w:jc w:val="center"/>
            </w:pPr>
            <w:r w:rsidRPr="0062582F">
              <w:t>35</w:t>
            </w:r>
          </w:p>
        </w:tc>
        <w:tc>
          <w:tcPr>
            <w:tcW w:w="990" w:type="dxa"/>
            <w:tcBorders>
              <w:top w:val="nil"/>
              <w:left w:val="nil"/>
              <w:right w:val="nil"/>
            </w:tcBorders>
            <w:shd w:val="clear" w:color="000000" w:fill="CCCCCC"/>
            <w:noWrap/>
            <w:hideMark/>
          </w:tcPr>
          <w:p w:rsidR="004843DB" w:rsidRPr="0062582F" w:rsidRDefault="004843DB" w:rsidP="004843DB">
            <w:pPr>
              <w:pStyle w:val="TableofFigures"/>
              <w:spacing w:before="0"/>
            </w:pPr>
            <w:r w:rsidRPr="0062582F">
              <w:t>(1 250)</w:t>
            </w:r>
          </w:p>
        </w:tc>
        <w:tc>
          <w:tcPr>
            <w:tcW w:w="990" w:type="dxa"/>
            <w:tcBorders>
              <w:top w:val="nil"/>
              <w:left w:val="nil"/>
              <w:right w:val="nil"/>
            </w:tcBorders>
            <w:shd w:val="clear" w:color="auto" w:fill="auto"/>
            <w:noWrap/>
            <w:hideMark/>
          </w:tcPr>
          <w:p w:rsidR="004843DB" w:rsidRPr="0062582F" w:rsidRDefault="004843DB" w:rsidP="004843DB">
            <w:pPr>
              <w:pStyle w:val="TableofFigures"/>
              <w:spacing w:before="0"/>
            </w:pPr>
            <w:r w:rsidRPr="0062582F">
              <w:t xml:space="preserve"> 996</w:t>
            </w:r>
          </w:p>
        </w:tc>
      </w:tr>
      <w:tr w:rsidR="004843DB" w:rsidRPr="0062582F" w:rsidTr="004843DB">
        <w:trPr>
          <w:cantSplit/>
        </w:trPr>
        <w:tc>
          <w:tcPr>
            <w:tcW w:w="5425"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
              <w:spacing w:before="0"/>
              <w:rPr>
                <w:b/>
              </w:rPr>
            </w:pPr>
            <w:r w:rsidRPr="0062582F">
              <w:rPr>
                <w:b/>
              </w:rPr>
              <w:t>Total other economic flows – other comprehensive income</w:t>
            </w:r>
          </w:p>
        </w:tc>
        <w:tc>
          <w:tcPr>
            <w:tcW w:w="81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spacing w:before="0"/>
              <w:jc w:val="center"/>
              <w:rPr>
                <w:b/>
              </w:rPr>
            </w:pPr>
          </w:p>
        </w:tc>
        <w:tc>
          <w:tcPr>
            <w:tcW w:w="990"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ofFigures"/>
              <w:spacing w:before="0"/>
              <w:rPr>
                <w:b/>
              </w:rPr>
            </w:pPr>
            <w:r w:rsidRPr="0062582F">
              <w:rPr>
                <w:b/>
              </w:rPr>
              <w:t>6 413</w:t>
            </w:r>
          </w:p>
        </w:tc>
        <w:tc>
          <w:tcPr>
            <w:tcW w:w="99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spacing w:before="0"/>
              <w:rPr>
                <w:b/>
              </w:rPr>
            </w:pPr>
            <w:r w:rsidRPr="0062582F">
              <w:rPr>
                <w:b/>
              </w:rPr>
              <w:t>4 101</w:t>
            </w:r>
          </w:p>
        </w:tc>
      </w:tr>
      <w:tr w:rsidR="004843DB" w:rsidRPr="0062582F" w:rsidTr="004843DB">
        <w:trPr>
          <w:cantSplit/>
        </w:trPr>
        <w:tc>
          <w:tcPr>
            <w:tcW w:w="5425" w:type="dxa"/>
            <w:tcBorders>
              <w:top w:val="single" w:sz="6" w:space="0" w:color="auto"/>
              <w:left w:val="nil"/>
              <w:bottom w:val="single" w:sz="12" w:space="0" w:color="auto"/>
              <w:right w:val="nil"/>
            </w:tcBorders>
            <w:shd w:val="clear" w:color="auto" w:fill="auto"/>
            <w:hideMark/>
          </w:tcPr>
          <w:p w:rsidR="004843DB" w:rsidRPr="0062582F" w:rsidRDefault="004843DB" w:rsidP="004843DB">
            <w:pPr>
              <w:pStyle w:val="Tabletext"/>
              <w:spacing w:before="0"/>
              <w:rPr>
                <w:b/>
              </w:rPr>
            </w:pPr>
            <w:r w:rsidRPr="0062582F">
              <w:rPr>
                <w:b/>
              </w:rPr>
              <w:t>Comprehensive result</w:t>
            </w:r>
          </w:p>
        </w:tc>
        <w:tc>
          <w:tcPr>
            <w:tcW w:w="810"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0"/>
              <w:jc w:val="center"/>
              <w:rPr>
                <w:b/>
              </w:rPr>
            </w:pPr>
          </w:p>
        </w:tc>
        <w:tc>
          <w:tcPr>
            <w:tcW w:w="990" w:type="dxa"/>
            <w:tcBorders>
              <w:top w:val="single" w:sz="6" w:space="0" w:color="auto"/>
              <w:left w:val="nil"/>
              <w:bottom w:val="single" w:sz="12" w:space="0" w:color="auto"/>
              <w:right w:val="nil"/>
            </w:tcBorders>
            <w:shd w:val="clear" w:color="000000" w:fill="CCCCCC"/>
            <w:noWrap/>
            <w:hideMark/>
          </w:tcPr>
          <w:p w:rsidR="004843DB" w:rsidRPr="0062582F" w:rsidRDefault="004843DB" w:rsidP="004843DB">
            <w:pPr>
              <w:pStyle w:val="TableofFigures"/>
              <w:spacing w:before="0"/>
              <w:rPr>
                <w:b/>
              </w:rPr>
            </w:pPr>
            <w:r w:rsidRPr="0062582F">
              <w:rPr>
                <w:b/>
              </w:rPr>
              <w:t>21 203</w:t>
            </w:r>
          </w:p>
        </w:tc>
        <w:tc>
          <w:tcPr>
            <w:tcW w:w="990"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0"/>
              <w:rPr>
                <w:b/>
              </w:rPr>
            </w:pPr>
            <w:r w:rsidRPr="0062582F">
              <w:rPr>
                <w:b/>
              </w:rPr>
              <w:t>13 980</w:t>
            </w:r>
          </w:p>
        </w:tc>
      </w:tr>
    </w:tbl>
    <w:p w:rsidR="004843DB" w:rsidRPr="0062582F" w:rsidRDefault="004843DB" w:rsidP="004843DB">
      <w:r w:rsidRPr="0062582F">
        <w:rPr>
          <w:b/>
        </w:rPr>
        <w:t>The comprehensive operating statement should be read in conjunction with the notes to the financial statements</w:t>
      </w:r>
      <w:r w:rsidRPr="0062582F">
        <w:t>.</w:t>
      </w:r>
    </w:p>
    <w:p w:rsidR="004843DB" w:rsidRPr="0062582F" w:rsidRDefault="004843DB" w:rsidP="004843DB">
      <w:pPr>
        <w:pStyle w:val="Notes"/>
        <w:tabs>
          <w:tab w:val="clear" w:pos="454"/>
          <w:tab w:val="left" w:pos="0"/>
        </w:tabs>
        <w:ind w:left="0" w:firstLine="0"/>
      </w:pPr>
      <w:r w:rsidRPr="0062582F">
        <w:t>Notes:</w:t>
      </w:r>
    </w:p>
    <w:p w:rsidR="004843DB" w:rsidRPr="0062582F" w:rsidRDefault="004843DB" w:rsidP="004843DB">
      <w:pPr>
        <w:pStyle w:val="Notes"/>
      </w:pPr>
      <w:r w:rsidRPr="0062582F">
        <w:t>(i)</w:t>
      </w:r>
      <w:r w:rsidRPr="0062582F">
        <w:tab/>
      </w:r>
      <w:r w:rsidR="005A4BB0">
        <w:t>‘</w:t>
      </w:r>
      <w:r w:rsidRPr="0062582F">
        <w:t xml:space="preserve">Other operating expenses includes bad debts expense from transactions that are mutually agreed – refer to definition of </w:t>
      </w:r>
      <w:r w:rsidR="005A4BB0">
        <w:t>‘</w:t>
      </w:r>
      <w:r w:rsidRPr="0062582F">
        <w:t>transactions</w:t>
      </w:r>
      <w:r w:rsidR="005A4BB0">
        <w:t>’</w:t>
      </w:r>
      <w:r w:rsidRPr="0062582F">
        <w:t xml:space="preserve"> in Note 44.</w:t>
      </w:r>
    </w:p>
    <w:p w:rsidR="004843DB" w:rsidRPr="0062582F" w:rsidRDefault="004843DB" w:rsidP="004843DB">
      <w:pPr>
        <w:pStyle w:val="Notes"/>
      </w:pPr>
      <w:r w:rsidRPr="0062582F">
        <w:t>(ii)</w:t>
      </w:r>
      <w:r w:rsidRPr="0062582F">
        <w:tab/>
      </w:r>
      <w:r w:rsidR="005A4BB0">
        <w:t>‘</w:t>
      </w:r>
      <w:r w:rsidRPr="0062582F">
        <w:t>Net gain/(loss) on non</w:t>
      </w:r>
      <w:r w:rsidR="005A4BB0">
        <w:noBreakHyphen/>
      </w:r>
      <w:r w:rsidRPr="0062582F">
        <w:t>financial assets</w:t>
      </w:r>
      <w:r w:rsidR="005A4BB0">
        <w:t>’</w:t>
      </w:r>
      <w:r w:rsidRPr="0062582F">
        <w:t xml:space="preserve"> includes unrealised and realised gains/(losses) from revaluations, impairments, and disposals of all physical assets and intangible assets, except when these are taken through the asset revaluation surplus.</w:t>
      </w:r>
    </w:p>
    <w:p w:rsidR="004843DB" w:rsidRPr="0062582F" w:rsidRDefault="004843DB" w:rsidP="004843DB">
      <w:pPr>
        <w:pStyle w:val="Notes"/>
        <w:tabs>
          <w:tab w:val="clear" w:pos="454"/>
          <w:tab w:val="left" w:pos="0"/>
        </w:tabs>
        <w:ind w:left="0" w:firstLine="0"/>
        <w:sectPr w:rsidR="004843DB" w:rsidRPr="0062582F" w:rsidSect="00190A01">
          <w:headerReference w:type="even" r:id="rId141"/>
          <w:headerReference w:type="default" r:id="rId142"/>
          <w:headerReference w:type="first" r:id="rId143"/>
          <w:type w:val="continuous"/>
          <w:pgSz w:w="11906" w:h="16838" w:code="9"/>
          <w:pgMar w:top="1152" w:right="864" w:bottom="1152" w:left="864" w:header="432" w:footer="432" w:gutter="0"/>
          <w:cols w:num="2" w:space="360" w:equalWidth="0">
            <w:col w:w="1440" w:space="360"/>
            <w:col w:w="8242"/>
          </w:cols>
          <w:docGrid w:linePitch="299"/>
        </w:sectPr>
      </w:pPr>
    </w:p>
    <w:p w:rsidR="004843DB" w:rsidRPr="0062582F" w:rsidRDefault="004843DB" w:rsidP="004843DB">
      <w:pPr>
        <w:pStyle w:val="Notes"/>
      </w:pPr>
      <w:r w:rsidRPr="0062582F">
        <w:lastRenderedPageBreak/>
        <w:br w:type="column"/>
      </w:r>
      <w:r w:rsidRPr="0062582F">
        <w:lastRenderedPageBreak/>
        <w:t>Notes (continued):</w:t>
      </w:r>
    </w:p>
    <w:p w:rsidR="004843DB" w:rsidRPr="0062582F" w:rsidRDefault="004843DB" w:rsidP="004843DB">
      <w:pPr>
        <w:pStyle w:val="Notes"/>
      </w:pPr>
      <w:r w:rsidRPr="0062582F">
        <w:t>(iii)</w:t>
      </w:r>
      <w:r w:rsidRPr="0062582F">
        <w:tab/>
      </w:r>
      <w:r w:rsidR="005A4BB0">
        <w:t>‘</w:t>
      </w:r>
      <w:r w:rsidRPr="0062582F">
        <w:t>Net gain/(loss) on financial instruments</w:t>
      </w:r>
      <w:r w:rsidR="005A4BB0">
        <w:t>’</w:t>
      </w:r>
      <w:r w:rsidRPr="0062582F">
        <w:t xml:space="preserve"> includes bad and doubtful debts from other economic flows, unrealised and realised gains/(losses) from revaluations, impairments and reversals of impairment, and gains/(losses) from disposals of financial instruments, except when these are taken through the financial assets available</w:t>
      </w:r>
      <w:r w:rsidR="005A4BB0">
        <w:noBreakHyphen/>
      </w:r>
      <w:r w:rsidRPr="0062582F">
        <w:t>for</w:t>
      </w:r>
      <w:r w:rsidR="005A4BB0">
        <w:noBreakHyphen/>
      </w:r>
      <w:r w:rsidRPr="0062582F">
        <w:t>sale revaluation surplus.</w:t>
      </w:r>
    </w:p>
    <w:p w:rsidR="004843DB" w:rsidRPr="0062582F" w:rsidRDefault="004843DB" w:rsidP="004843DB">
      <w:pPr>
        <w:pStyle w:val="Notes"/>
      </w:pPr>
      <w:r w:rsidRPr="0062582F">
        <w:t>(iv)</w:t>
      </w:r>
      <w:r w:rsidRPr="0062582F">
        <w:tab/>
        <w:t>Changes in revaluation surplus excludes share of net movement in associates and joint ventures, which is disclosed separately.</w:t>
      </w:r>
    </w:p>
    <w:p w:rsidR="004843DB" w:rsidRPr="0062582F" w:rsidRDefault="004843DB" w:rsidP="004843DB">
      <w:pPr>
        <w:pStyle w:val="Notes"/>
        <w:sectPr w:rsidR="004843DB" w:rsidRPr="0062582F" w:rsidSect="00190A01">
          <w:headerReference w:type="even" r:id="rId144"/>
          <w:headerReference w:type="default" r:id="rId145"/>
          <w:headerReference w:type="first" r:id="rId146"/>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Red"/>
        <w:spacing w:before="0"/>
        <w:sectPr w:rsidR="004843DB" w:rsidRPr="0062582F" w:rsidSect="00190A01">
          <w:headerReference w:type="even" r:id="rId147"/>
          <w:headerReference w:type="default" r:id="rId148"/>
          <w:headerReference w:type="first" r:id="rId149"/>
          <w:type w:val="continuous"/>
          <w:pgSz w:w="11906" w:h="16838" w:code="9"/>
          <w:pgMar w:top="1152" w:right="1022" w:bottom="1152" w:left="864" w:header="432" w:footer="432" w:gutter="0"/>
          <w:cols w:num="2" w:space="360" w:equalWidth="0">
            <w:col w:w="1440" w:space="360"/>
            <w:col w:w="8084"/>
          </w:cols>
        </w:sectPr>
      </w:pPr>
    </w:p>
    <w:p w:rsidR="004843DB" w:rsidRPr="0062582F" w:rsidRDefault="004843DB" w:rsidP="004843DB">
      <w:pPr>
        <w:pStyle w:val="Notes"/>
        <w:tabs>
          <w:tab w:val="clear" w:pos="454"/>
          <w:tab w:val="left" w:pos="0"/>
        </w:tabs>
        <w:ind w:left="0" w:firstLine="0"/>
      </w:pPr>
      <w:r w:rsidRPr="0062582F">
        <w:lastRenderedPageBreak/>
        <w:br w:type="column"/>
      </w:r>
    </w:p>
    <w:p w:rsidR="004843DB" w:rsidRPr="0062582F" w:rsidRDefault="004843DB" w:rsidP="004843DB">
      <w:pPr>
        <w:pStyle w:val="Notes"/>
        <w:tabs>
          <w:tab w:val="clear" w:pos="454"/>
          <w:tab w:val="left" w:pos="0"/>
        </w:tabs>
        <w:ind w:left="0" w:firstLine="0"/>
        <w:rPr>
          <w:noProof/>
        </w:rPr>
      </w:pPr>
      <w:r w:rsidRPr="0062582F">
        <w:rPr>
          <w:rFonts w:ascii="Garamond" w:hAnsi="Garamond"/>
          <w:iCs w:val="0"/>
          <w:noProof/>
          <w:color w:val="0000FF"/>
          <w:sz w:val="22"/>
          <w:szCs w:val="22"/>
        </w:rPr>
        <w:t>[The use of brackets to reflect outgoings in the financial columns of the comprehensive operating statement is consistent with the Model report of prior years.]</w:t>
      </w:r>
    </w:p>
    <w:p w:rsidR="004843DB" w:rsidRPr="0062582F" w:rsidRDefault="004843DB" w:rsidP="004843DB">
      <w:pPr>
        <w:rPr>
          <w:noProof/>
        </w:rPr>
      </w:pPr>
    </w:p>
    <w:p w:rsidR="004843DB" w:rsidRPr="0062582F" w:rsidRDefault="004843DB" w:rsidP="004843DB">
      <w:pPr>
        <w:sectPr w:rsidR="004843DB" w:rsidRPr="0062582F" w:rsidSect="00190A01">
          <w:headerReference w:type="even" r:id="rId150"/>
          <w:headerReference w:type="default" r:id="rId151"/>
          <w:headerReference w:type="first" r:id="rId152"/>
          <w:type w:val="continuous"/>
          <w:pgSz w:w="11906" w:h="16838" w:code="9"/>
          <w:pgMar w:top="1152" w:right="864" w:bottom="1152" w:left="864" w:header="432" w:footer="432" w:gutter="0"/>
          <w:cols w:num="2" w:space="360" w:equalWidth="0">
            <w:col w:w="1440" w:space="360"/>
            <w:col w:w="8242"/>
          </w:cols>
          <w:docGrid w:linePitch="299"/>
        </w:sectPr>
      </w:pPr>
    </w:p>
    <w:p w:rsidR="004843DB" w:rsidRPr="0062582F" w:rsidRDefault="004843DB" w:rsidP="004843DB">
      <w:pPr>
        <w:pStyle w:val="SmallLine"/>
      </w:pPr>
    </w:p>
    <w:p w:rsidR="004843DB" w:rsidRPr="0062582F" w:rsidRDefault="004843DB" w:rsidP="004843DB">
      <w:pPr>
        <w:pStyle w:val="CommentaryHeading"/>
      </w:pPr>
      <w:r w:rsidRPr="0062582F">
        <w:lastRenderedPageBreak/>
        <w:t>Commentary – Comprehensive operating statement</w:t>
      </w:r>
    </w:p>
    <w:p w:rsidR="004843DB" w:rsidRPr="0062582F" w:rsidRDefault="004843DB" w:rsidP="004843DB">
      <w:pPr>
        <w:pStyle w:val="SmallLineBlue"/>
      </w:pPr>
    </w:p>
    <w:p w:rsidR="004843DB" w:rsidRPr="0062582F" w:rsidRDefault="004843DB" w:rsidP="004843DB">
      <w:pPr>
        <w:pStyle w:val="SmallLineBlue"/>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pStyle w:val="Reference"/>
        <w:spacing w:before="180"/>
        <w:rPr>
          <w:lang w:val="en-AU"/>
        </w:rPr>
      </w:pPr>
      <w:r w:rsidRPr="0062582F">
        <w:rPr>
          <w:lang w:val="en-AU"/>
        </w:rPr>
        <w:lastRenderedPageBreak/>
        <w:t>AASB 1049.29 and 1049.30</w:t>
      </w:r>
    </w:p>
    <w:p w:rsidR="004843DB" w:rsidRPr="0062582F" w:rsidRDefault="004843DB" w:rsidP="004843DB">
      <w:pPr>
        <w:pStyle w:val="CommentaryHeading1"/>
        <w:pBdr>
          <w:top w:val="none" w:sz="0" w:space="0" w:color="auto"/>
          <w:bottom w:val="none" w:sz="0" w:space="0" w:color="auto"/>
        </w:pBdr>
        <w:spacing w:before="120"/>
      </w:pPr>
      <w:r w:rsidRPr="0062582F">
        <w:rPr>
          <w:rFonts w:ascii="Garamond" w:hAnsi="Garamond" w:cs="Times New Roman"/>
        </w:rPr>
        <w:br w:type="column"/>
      </w:r>
      <w:r w:rsidRPr="0062582F">
        <w:lastRenderedPageBreak/>
        <w:t>Presentation of comprehensive operating statement</w:t>
      </w:r>
    </w:p>
    <w:p w:rsidR="004843DB" w:rsidRPr="0062582F" w:rsidRDefault="004843DB" w:rsidP="004843DB">
      <w:pPr>
        <w:pStyle w:val="CommentaryText"/>
        <w:pBdr>
          <w:top w:val="none" w:sz="0" w:space="0" w:color="auto"/>
          <w:bottom w:val="none" w:sz="0" w:space="0" w:color="auto"/>
        </w:pBdr>
        <w:spacing w:before="80"/>
      </w:pPr>
      <w:r w:rsidRPr="0062582F">
        <w:t xml:space="preserve">The comprehensive operating statement presents income and expense items separated by whether or not they arise from </w:t>
      </w:r>
      <w:r w:rsidR="005A4BB0">
        <w:t>‘</w:t>
      </w:r>
      <w:r w:rsidRPr="0062582F">
        <w:t>transactions</w:t>
      </w:r>
      <w:r w:rsidR="005A4BB0">
        <w:t>’</w:t>
      </w:r>
      <w:r w:rsidRPr="0062582F">
        <w:t xml:space="preserve"> or </w:t>
      </w:r>
      <w:r w:rsidR="005A4BB0">
        <w:t>‘</w:t>
      </w:r>
      <w:r w:rsidRPr="0062582F">
        <w:t>other economic flows included in net result</w:t>
      </w:r>
      <w:r w:rsidR="005A4BB0">
        <w:t>’</w:t>
      </w:r>
      <w:r w:rsidRPr="0062582F">
        <w:t>. In addition, the comprehensive operating statement also presents movements due to changes in non</w:t>
      </w:r>
      <w:r w:rsidR="005A4BB0">
        <w:noBreakHyphen/>
      </w:r>
      <w:r w:rsidRPr="0062582F">
        <w:t xml:space="preserve">owner equity under other economic flows (termed as </w:t>
      </w:r>
      <w:r w:rsidR="005A4BB0">
        <w:t>‘</w:t>
      </w:r>
      <w:r w:rsidRPr="0062582F">
        <w:t>other economic flows – other comprehensive income</w:t>
      </w:r>
      <w:r w:rsidR="005A4BB0">
        <w:t>’</w:t>
      </w:r>
      <w:r w:rsidRPr="0062582F">
        <w:t>). All owner changes in equity in their capacity as owners can be found in the statement of changes in equity.</w:t>
      </w:r>
    </w:p>
    <w:p w:rsidR="004843DB" w:rsidRPr="0062582F" w:rsidRDefault="004843DB" w:rsidP="004843DB">
      <w:pPr>
        <w:pStyle w:val="CommentaryText"/>
        <w:pBdr>
          <w:top w:val="none" w:sz="0" w:space="0" w:color="auto"/>
          <w:bottom w:val="none" w:sz="0" w:space="0" w:color="auto"/>
        </w:pBdr>
        <w:spacing w:before="80"/>
      </w:pPr>
      <w:r w:rsidRPr="0062582F">
        <w:t xml:space="preserve">For further information on transactions and other economic flows, refer to Note 1(E) </w:t>
      </w:r>
      <w:r w:rsidRPr="0062582F">
        <w:rPr>
          <w:i/>
        </w:rPr>
        <w:t>Scope and presentation of financial statements</w:t>
      </w:r>
      <w:r w:rsidRPr="0062582F">
        <w:t xml:space="preserve">, Note 44 </w:t>
      </w:r>
      <w:r w:rsidRPr="0062582F">
        <w:rPr>
          <w:i/>
        </w:rPr>
        <w:t>Glossary of terms and style conventions</w:t>
      </w:r>
      <w:r w:rsidRPr="0062582F">
        <w:t xml:space="preserve"> and Appendix 2 of this Model.</w:t>
      </w:r>
    </w:p>
    <w:p w:rsidR="004843DB" w:rsidRPr="0062582F" w:rsidRDefault="004843DB" w:rsidP="004843DB">
      <w:pPr>
        <w:pStyle w:val="CommentaryHeading2"/>
        <w:spacing w:before="140"/>
      </w:pPr>
      <w:r w:rsidRPr="0062582F">
        <w:t>Revised terminology</w:t>
      </w:r>
    </w:p>
    <w:p w:rsidR="004843DB" w:rsidRPr="0062582F" w:rsidRDefault="004843DB" w:rsidP="004843DB">
      <w:pPr>
        <w:pStyle w:val="CommentaryText"/>
        <w:pBdr>
          <w:top w:val="none" w:sz="0" w:space="0" w:color="auto"/>
          <w:bottom w:val="none" w:sz="0" w:space="0" w:color="auto"/>
        </w:pBdr>
        <w:spacing w:before="80"/>
      </w:pPr>
      <w:r w:rsidRPr="0062582F">
        <w:t xml:space="preserve">Consistent with the revised AASB 101 </w:t>
      </w:r>
      <w:r w:rsidRPr="0062582F">
        <w:rPr>
          <w:i/>
        </w:rPr>
        <w:t>Presentation of Financial Statements</w:t>
      </w:r>
      <w:r w:rsidRPr="0062582F">
        <w:t xml:space="preserve">, references to </w:t>
      </w:r>
      <w:r w:rsidR="005A4BB0">
        <w:t>‘</w:t>
      </w:r>
      <w:r w:rsidRPr="0062582F">
        <w:t>other non</w:t>
      </w:r>
      <w:r w:rsidR="005A4BB0">
        <w:noBreakHyphen/>
      </w:r>
      <w:r w:rsidRPr="0062582F">
        <w:t>owner changes in equity</w:t>
      </w:r>
      <w:r w:rsidR="005A4BB0">
        <w:t>’</w:t>
      </w:r>
      <w:r w:rsidRPr="0062582F">
        <w:t xml:space="preserve"> or </w:t>
      </w:r>
      <w:r w:rsidR="005A4BB0">
        <w:t>‘</w:t>
      </w:r>
      <w:r w:rsidRPr="0062582F">
        <w:t>other changes in equity</w:t>
      </w:r>
      <w:r w:rsidR="005A4BB0">
        <w:t>’</w:t>
      </w:r>
      <w:r w:rsidRPr="0062582F">
        <w:t xml:space="preserve"> were amended to </w:t>
      </w:r>
      <w:r w:rsidR="005A4BB0">
        <w:t>‘</w:t>
      </w:r>
      <w:r w:rsidRPr="0062582F">
        <w:t>other comprehensive income</w:t>
      </w:r>
      <w:r w:rsidR="005A4BB0">
        <w:t>’</w:t>
      </w:r>
      <w:r w:rsidRPr="0062582F">
        <w:t>.</w:t>
      </w:r>
    </w:p>
    <w:p w:rsidR="004843DB" w:rsidRPr="0062582F" w:rsidRDefault="004843DB" w:rsidP="004843DB">
      <w:pPr>
        <w:pStyle w:val="CommentaryText"/>
        <w:pBdr>
          <w:top w:val="none" w:sz="0" w:space="0" w:color="auto"/>
          <w:bottom w:val="none" w:sz="0" w:space="0" w:color="auto"/>
        </w:pBdr>
        <w:rPr>
          <w:rFonts w:ascii="Calibri" w:hAnsi="Calibri" w:cs="Arial"/>
          <w:b/>
          <w:bCs/>
        </w:rPr>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pStyle w:val="CommentaryText"/>
        <w:pBdr>
          <w:top w:val="none" w:sz="0" w:space="0" w:color="auto"/>
          <w:bottom w:val="none" w:sz="0" w:space="0" w:color="auto"/>
        </w:pBdr>
        <w:rPr>
          <w:rFonts w:ascii="Calibri" w:hAnsi="Calibri" w:cs="Arial"/>
          <w:b/>
          <w:bCs/>
        </w:rPr>
      </w:pPr>
      <w:r w:rsidRPr="0062582F">
        <w:rPr>
          <w:rFonts w:ascii="Calibri" w:hAnsi="Calibri" w:cs="Arial"/>
          <w:b/>
          <w:bCs/>
        </w:rPr>
        <w:lastRenderedPageBreak/>
        <w:br w:type="column"/>
      </w:r>
      <w:r w:rsidRPr="0062582F">
        <w:rPr>
          <w:rFonts w:ascii="Calibri" w:hAnsi="Calibri" w:cs="Arial"/>
          <w:b/>
          <w:bCs/>
        </w:rPr>
        <w:lastRenderedPageBreak/>
        <w:t>Materiality</w:t>
      </w:r>
    </w:p>
    <w:p w:rsidR="004843DB" w:rsidRPr="0062582F" w:rsidRDefault="004843DB" w:rsidP="004843DB">
      <w:pPr>
        <w:pStyle w:val="CommentaryText"/>
        <w:pBdr>
          <w:top w:val="none" w:sz="0" w:space="0" w:color="auto"/>
          <w:bottom w:val="none" w:sz="0" w:space="0" w:color="auto"/>
        </w:pBdr>
        <w:spacing w:before="80"/>
      </w:pPr>
      <w:r w:rsidRPr="0062582F">
        <w:t>An entity must assess and make judgements to determine if an item is material. As a general guide, accounting policies will be considered material if their omission, misstatement or non</w:t>
      </w:r>
      <w:r w:rsidR="005A4BB0">
        <w:noBreakHyphen/>
      </w:r>
      <w:r w:rsidRPr="0062582F">
        <w:t>disclosure has the potential, individually or collectively, to:</w:t>
      </w:r>
    </w:p>
    <w:p w:rsidR="004843DB" w:rsidRPr="0062582F" w:rsidRDefault="004843DB" w:rsidP="004843DB">
      <w:pPr>
        <w:pStyle w:val="CommentaryBullet"/>
        <w:spacing w:before="40" w:after="40"/>
      </w:pPr>
      <w:r w:rsidRPr="0062582F">
        <w:t>influence the economic decisions that users make on the basis of the financial statements; and</w:t>
      </w:r>
    </w:p>
    <w:p w:rsidR="004843DB" w:rsidRPr="0062582F" w:rsidRDefault="004843DB" w:rsidP="004843DB">
      <w:pPr>
        <w:pStyle w:val="CommentaryBullet"/>
        <w:spacing w:before="40" w:after="40"/>
      </w:pPr>
      <w:r w:rsidRPr="0062582F">
        <w:t>affect the discharge of accountability by management or governing body of the entity.</w:t>
      </w:r>
    </w:p>
    <w:p w:rsidR="004843DB" w:rsidRPr="0062582F" w:rsidRDefault="004843DB" w:rsidP="004843DB">
      <w:pPr>
        <w:pStyle w:val="CommentaryHeading2"/>
        <w:spacing w:before="140"/>
      </w:pPr>
      <w:r w:rsidRPr="0062582F">
        <w:t>Classification of expenses by nature or function</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pStyle w:val="Reference"/>
        <w:spacing w:before="120"/>
      </w:pPr>
      <w:r w:rsidRPr="0062582F">
        <w:lastRenderedPageBreak/>
        <w:t>AASB 101.99 and 100</w:t>
      </w:r>
    </w:p>
    <w:p w:rsidR="004843DB" w:rsidRPr="0062582F" w:rsidRDefault="004843DB" w:rsidP="004843DB">
      <w:pPr>
        <w:pStyle w:val="CommentaryText"/>
        <w:pBdr>
          <w:top w:val="none" w:sz="0" w:space="0" w:color="auto"/>
          <w:bottom w:val="none" w:sz="0" w:space="0" w:color="auto"/>
        </w:pBdr>
        <w:spacing w:before="80"/>
      </w:pPr>
      <w:r w:rsidRPr="0062582F">
        <w:br w:type="column"/>
      </w:r>
      <w:r w:rsidRPr="0062582F">
        <w:lastRenderedPageBreak/>
        <w:t>An entity shall present, either in the comprehensive operating statement or in the notes to the financial statements, an analysis of expenses using a classification based on either the nature or their function in the entity, whichever provides information that is reliable and more relevant.</w:t>
      </w:r>
    </w:p>
    <w:p w:rsidR="004843DB" w:rsidRPr="0062582F" w:rsidRDefault="004843DB" w:rsidP="004843DB">
      <w:pPr>
        <w:pStyle w:val="CommentaryText"/>
        <w:pBdr>
          <w:top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pStyle w:val="Reference"/>
        <w:spacing w:before="120"/>
      </w:pPr>
      <w:r w:rsidRPr="0062582F">
        <w:lastRenderedPageBreak/>
        <w:t>AASB 101.29</w:t>
      </w:r>
    </w:p>
    <w:p w:rsidR="004843DB" w:rsidRPr="0062582F" w:rsidRDefault="004843DB" w:rsidP="004843DB">
      <w:pPr>
        <w:pStyle w:val="Reference"/>
        <w:spacing w:before="0"/>
      </w:pPr>
    </w:p>
    <w:p w:rsidR="004843DB" w:rsidRPr="0062582F" w:rsidRDefault="004843DB" w:rsidP="004843DB">
      <w:pPr>
        <w:pStyle w:val="CommentaryText"/>
        <w:pBdr>
          <w:top w:val="none" w:sz="0" w:space="0" w:color="auto"/>
        </w:pBdr>
        <w:spacing w:before="80"/>
      </w:pPr>
      <w:r w:rsidRPr="0062582F">
        <w:br w:type="column"/>
      </w:r>
      <w:r w:rsidRPr="0062582F">
        <w:lastRenderedPageBreak/>
        <w:t>Regardless of whether expenses are classified by nature or by function, each material class is separately disclosed. Unclassified expenses that are immaterial both individually and in aggregate may be combined and presented as a single line item. It follows that the total of unclassified expenses is unlikely to exceed 10 per cent of total expenses classified by nature or by function.</w:t>
      </w:r>
    </w:p>
    <w:p w:rsidR="004843DB" w:rsidRPr="0062582F" w:rsidRDefault="004843DB" w:rsidP="004843DB">
      <w:pPr>
        <w:spacing w:before="0" w:line="240" w:lineRule="atLeast"/>
        <w:rPr>
          <w:rFonts w:ascii="Calibri" w:hAnsi="Calibri" w:cs="Arial"/>
          <w:b/>
          <w:bCs/>
          <w:noProof/>
          <w:color w:val="0000FF"/>
        </w:rPr>
      </w:pPr>
      <w:bookmarkStart w:id="229" w:name="_Toc163448544"/>
      <w:r w:rsidRPr="0062582F">
        <w:br w:type="page"/>
      </w: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r w:rsidRPr="0062582F">
        <w:br w:type="column"/>
      </w:r>
    </w:p>
    <w:p w:rsidR="004843DB" w:rsidRPr="0062582F" w:rsidRDefault="004843DB" w:rsidP="004843DB">
      <w:pPr>
        <w:pStyle w:val="CommentaryHeading"/>
        <w:pBdr>
          <w:bottom w:val="none" w:sz="0" w:space="0" w:color="auto"/>
        </w:pBdr>
        <w:rPr>
          <w:i/>
          <w:iCs/>
        </w:rPr>
      </w:pPr>
      <w:r w:rsidRPr="0062582F">
        <w:t xml:space="preserve">Commentary – Comprehensive operating statement </w:t>
      </w:r>
      <w:r w:rsidRPr="0062582F">
        <w:rPr>
          <w:i/>
          <w:iCs/>
        </w:rPr>
        <w:t>(continued)</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bottom w:val="none" w:sz="0" w:space="0" w:color="auto"/>
        </w:pBdr>
      </w:pPr>
      <w:r w:rsidRPr="0062582F">
        <w:t>Information to be presented</w:t>
      </w:r>
      <w:bookmarkEnd w:id="229"/>
    </w:p>
    <w:p w:rsidR="004843DB" w:rsidRPr="0062582F" w:rsidRDefault="004843DB" w:rsidP="004843DB">
      <w:pPr>
        <w:pStyle w:val="CommentaryHeading2"/>
        <w:sectPr w:rsidR="004843DB" w:rsidRPr="0062582F" w:rsidSect="00190A01">
          <w:headerReference w:type="even" r:id="rId153"/>
          <w:headerReference w:type="default" r:id="rId154"/>
          <w:headerReference w:type="first" r:id="rId155"/>
          <w:type w:val="continuous"/>
          <w:pgSz w:w="11906" w:h="16838" w:code="9"/>
          <w:pgMar w:top="1152" w:right="864" w:bottom="1152" w:left="864" w:header="432" w:footer="432" w:gutter="0"/>
          <w:cols w:num="2" w:space="360" w:equalWidth="0">
            <w:col w:w="1440" w:space="360"/>
            <w:col w:w="8242"/>
          </w:cols>
        </w:sectPr>
      </w:pPr>
      <w:bookmarkStart w:id="230" w:name="_Toc163448545"/>
    </w:p>
    <w:p w:rsidR="004843DB" w:rsidRPr="0062582F" w:rsidRDefault="004843DB" w:rsidP="004843DB">
      <w:pPr>
        <w:pStyle w:val="CommentaryHeading2"/>
      </w:pPr>
      <w:r w:rsidRPr="0062582F">
        <w:lastRenderedPageBreak/>
        <w:br w:type="column"/>
      </w:r>
      <w:r w:rsidRPr="0062582F">
        <w:lastRenderedPageBreak/>
        <w:t xml:space="preserve">In the </w:t>
      </w:r>
      <w:bookmarkEnd w:id="230"/>
      <w:r w:rsidRPr="0062582F">
        <w:t>profit or loss (i.e. net result) section of the comprehensive operating statement</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pStyle w:val="Reference"/>
        <w:spacing w:before="100"/>
        <w:rPr>
          <w:lang w:val="en-AU"/>
        </w:rPr>
      </w:pPr>
      <w:r w:rsidRPr="0062582F">
        <w:rPr>
          <w:lang w:val="en-AU"/>
        </w:rPr>
        <w:lastRenderedPageBreak/>
        <w:t xml:space="preserve">AASB 101.82 </w:t>
      </w:r>
    </w:p>
    <w:p w:rsidR="004843DB" w:rsidRPr="0062582F" w:rsidRDefault="004843DB" w:rsidP="004843DB">
      <w:pPr>
        <w:pStyle w:val="Reference"/>
        <w:spacing w:before="0"/>
        <w:rPr>
          <w:lang w:val="en-AU"/>
        </w:rPr>
      </w:pPr>
    </w:p>
    <w:p w:rsidR="004843DB" w:rsidRPr="0062582F" w:rsidRDefault="004843DB" w:rsidP="004843DB">
      <w:pPr>
        <w:pStyle w:val="CommentaryText"/>
        <w:pBdr>
          <w:top w:val="none" w:sz="0" w:space="0" w:color="auto"/>
          <w:bottom w:val="none" w:sz="0" w:space="0" w:color="auto"/>
        </w:pBdr>
        <w:spacing w:before="80"/>
      </w:pPr>
      <w:r w:rsidRPr="0062582F">
        <w:br w:type="column"/>
      </w:r>
      <w:r w:rsidRPr="0062582F">
        <w:lastRenderedPageBreak/>
        <w:t>As a minimum, the comprehensive operating statement shall include line items that present the following amounts for the period:</w:t>
      </w:r>
    </w:p>
    <w:p w:rsidR="004843DB" w:rsidRPr="0062582F" w:rsidRDefault="004843DB" w:rsidP="004843DB">
      <w:pPr>
        <w:pStyle w:val="CommentaryTextIndent"/>
        <w:pBdr>
          <w:top w:val="none" w:sz="0" w:space="0" w:color="auto"/>
          <w:bottom w:val="none" w:sz="0" w:space="0" w:color="auto"/>
        </w:pBdr>
      </w:pPr>
      <w:r w:rsidRPr="0062582F">
        <w:t>(a)</w:t>
      </w:r>
      <w:r w:rsidRPr="0062582F">
        <w:tab/>
        <w:t>revenue;</w:t>
      </w:r>
    </w:p>
    <w:p w:rsidR="004843DB" w:rsidRPr="0062582F" w:rsidRDefault="004843DB" w:rsidP="004843DB">
      <w:pPr>
        <w:pStyle w:val="CommentaryTextIndent"/>
        <w:pBdr>
          <w:top w:val="none" w:sz="0" w:space="0" w:color="auto"/>
          <w:bottom w:val="none" w:sz="0" w:space="0" w:color="auto"/>
        </w:pBdr>
      </w:pPr>
      <w:r w:rsidRPr="0062582F">
        <w:t>(b)</w:t>
      </w:r>
      <w:r w:rsidRPr="0062582F">
        <w:tab/>
        <w:t>finance costs;</w:t>
      </w:r>
    </w:p>
    <w:p w:rsidR="004843DB" w:rsidRPr="0062582F" w:rsidRDefault="004843DB" w:rsidP="004843DB">
      <w:pPr>
        <w:pStyle w:val="CommentaryTextIndent"/>
        <w:pBdr>
          <w:top w:val="none" w:sz="0" w:space="0" w:color="auto"/>
          <w:bottom w:val="none" w:sz="0" w:space="0" w:color="auto"/>
        </w:pBdr>
      </w:pPr>
      <w:r w:rsidRPr="0062582F">
        <w:t>(c)</w:t>
      </w:r>
      <w:r w:rsidRPr="0062582F">
        <w:tab/>
        <w:t>share of the profit or loss of associates and joint ventures accounted for using the equity method;</w:t>
      </w:r>
    </w:p>
    <w:p w:rsidR="004843DB" w:rsidRPr="0062582F" w:rsidRDefault="004843DB" w:rsidP="004843DB">
      <w:pPr>
        <w:pStyle w:val="CommentaryTextIndent"/>
        <w:pBdr>
          <w:top w:val="none" w:sz="0" w:space="0" w:color="auto"/>
          <w:bottom w:val="none" w:sz="0" w:space="0" w:color="auto"/>
        </w:pBdr>
      </w:pPr>
      <w:r w:rsidRPr="0062582F">
        <w:t>(d)</w:t>
      </w:r>
      <w:r w:rsidRPr="0062582F">
        <w:tab/>
        <w:t>tax expense; and</w:t>
      </w:r>
    </w:p>
    <w:p w:rsidR="004843DB" w:rsidRPr="0062582F" w:rsidRDefault="004843DB" w:rsidP="004843DB">
      <w:pPr>
        <w:pStyle w:val="CommentaryTextInden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242"/>
          </w:cols>
        </w:sectPr>
      </w:pPr>
      <w:r w:rsidRPr="0062582F">
        <w:t>(e)</w:t>
      </w:r>
      <w:r w:rsidRPr="0062582F">
        <w:tab/>
        <w:t xml:space="preserve">a single amount for the total of discontinued operations. </w:t>
      </w:r>
    </w:p>
    <w:p w:rsidR="004843DB" w:rsidRPr="0062582F" w:rsidRDefault="004843DB" w:rsidP="004843DB">
      <w:pPr>
        <w:pStyle w:val="SourceReference"/>
      </w:pPr>
    </w:p>
    <w:p w:rsidR="004843DB" w:rsidRPr="0062582F" w:rsidRDefault="004843DB" w:rsidP="004843DB">
      <w:pPr>
        <w:pStyle w:val="SourceReference"/>
      </w:pPr>
      <w:r w:rsidRPr="0062582F">
        <w:t>AASB 101.82A</w:t>
      </w:r>
    </w:p>
    <w:p w:rsidR="004843DB" w:rsidRPr="0062582F" w:rsidRDefault="004843DB" w:rsidP="004843DB">
      <w:pPr>
        <w:pStyle w:val="CommentaryHeading2"/>
      </w:pPr>
      <w:r w:rsidRPr="0062582F">
        <w:br w:type="column"/>
      </w:r>
      <w:r w:rsidRPr="0062582F">
        <w:lastRenderedPageBreak/>
        <w:t>In the other comprehensive income (i.e. other economic flow) section of the comprehensive operating statement</w:t>
      </w:r>
    </w:p>
    <w:p w:rsidR="004843DB" w:rsidRPr="0062582F" w:rsidRDefault="004843DB" w:rsidP="004843DB">
      <w:pPr>
        <w:pStyle w:val="CommentaryText"/>
        <w:pBdr>
          <w:top w:val="none" w:sz="0" w:space="0" w:color="auto"/>
          <w:bottom w:val="none" w:sz="0" w:space="0" w:color="auto"/>
        </w:pBdr>
      </w:pPr>
      <w:r w:rsidRPr="0062582F">
        <w:t xml:space="preserve">The other comprehensive income section shall present line items for amounts of other comprehensive income in the period, classified by nature (including share of the other comprehensive income of associates and joint ventures accounted for using the equity method) and grouped into those that, in accordance with other Australian Accounting Standards: </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will not be reclassified subsequently to profit or loss; and </w:t>
      </w:r>
    </w:p>
    <w:p w:rsidR="004843DB" w:rsidRPr="0062582F" w:rsidRDefault="004843DB" w:rsidP="004843DB">
      <w:pPr>
        <w:pStyle w:val="CommentaryTextIndent"/>
        <w:pBdr>
          <w:top w:val="none" w:sz="0" w:space="0" w:color="auto"/>
          <w:bottom w:val="none" w:sz="0" w:space="0" w:color="auto"/>
        </w:pBdr>
      </w:pPr>
      <w:r w:rsidRPr="0062582F">
        <w:t>(b)</w:t>
      </w:r>
      <w:r w:rsidRPr="0062582F">
        <w:tab/>
        <w:t>will be reclassified subsequently to profit or loss when specific conditions are met.</w:t>
      </w:r>
    </w:p>
    <w:p w:rsidR="004843DB" w:rsidRPr="0062582F" w:rsidRDefault="004843DB" w:rsidP="004843DB">
      <w:pPr>
        <w:pStyle w:val="CommentaryHeading1"/>
        <w:pBdr>
          <w:top w:val="none" w:sz="0" w:space="0" w:color="auto"/>
          <w:bottom w:val="none" w:sz="0" w:space="0" w:color="auto"/>
        </w:pBdr>
      </w:pPr>
      <w:r w:rsidRPr="0062582F">
        <w:t>Income</w:t>
      </w:r>
    </w:p>
    <w:p w:rsidR="004843DB" w:rsidRPr="0062582F" w:rsidRDefault="004843DB" w:rsidP="004843DB">
      <w:pPr>
        <w:pStyle w:val="CommentaryText"/>
        <w:pBdr>
          <w:top w:val="none" w:sz="0" w:space="0" w:color="auto"/>
          <w:bottom w:val="none" w:sz="0" w:space="0" w:color="auto"/>
        </w:pBdr>
      </w:pPr>
      <w:r w:rsidRPr="0062582F">
        <w:t xml:space="preserve">The income required to be disclosed by AASB 101 (the income line items) include all income recognised in accordance with AASB 118 </w:t>
      </w:r>
      <w:r w:rsidRPr="0062582F">
        <w:rPr>
          <w:i/>
          <w:iCs/>
        </w:rPr>
        <w:t>Revenue</w:t>
      </w:r>
      <w:r w:rsidRPr="0062582F">
        <w:t xml:space="preserve"> and AASB 1004</w:t>
      </w:r>
      <w:r w:rsidRPr="0062582F">
        <w:rPr>
          <w:i/>
        </w:rPr>
        <w:t xml:space="preserve"> Contributions </w:t>
      </w:r>
      <w:r w:rsidRPr="0062582F">
        <w:t>requirements.</w:t>
      </w:r>
    </w:p>
    <w:p w:rsidR="004843DB" w:rsidRPr="0062582F" w:rsidRDefault="004843DB" w:rsidP="004843DB">
      <w:pPr>
        <w:pStyle w:val="CommentaryText"/>
        <w:pBdr>
          <w:top w:val="none" w:sz="0" w:space="0" w:color="auto"/>
          <w:bottom w:val="none" w:sz="0" w:space="0" w:color="auto"/>
        </w:pBdr>
      </w:pPr>
      <w:r w:rsidRPr="0062582F">
        <w:t>Disclosure is also required for the amount of income arising from the exchange of goods or services included in each significant category of income.</w:t>
      </w:r>
    </w:p>
    <w:p w:rsidR="004843DB" w:rsidRPr="0062582F" w:rsidRDefault="004843DB" w:rsidP="004843DB">
      <w:pPr>
        <w:pStyle w:val="CommentaryHeading1"/>
        <w:pBdr>
          <w:top w:val="none" w:sz="0" w:space="0" w:color="auto"/>
          <w:bottom w:val="none" w:sz="0" w:space="0" w:color="auto"/>
        </w:pBdr>
      </w:pPr>
      <w:bookmarkStart w:id="231" w:name="_Toc163448547"/>
      <w:r w:rsidRPr="0062582F">
        <w:t>Reconciliation to detailed categorisation</w:t>
      </w:r>
      <w:bookmarkEnd w:id="231"/>
    </w:p>
    <w:p w:rsidR="004843DB" w:rsidRPr="0062582F" w:rsidRDefault="004843DB" w:rsidP="004843DB">
      <w:pPr>
        <w:pStyle w:val="CommentaryText"/>
        <w:pBdr>
          <w:top w:val="none" w:sz="0" w:space="0" w:color="auto"/>
          <w:bottom w:val="none" w:sz="0" w:space="0" w:color="auto"/>
        </w:pBdr>
      </w:pPr>
      <w:r w:rsidRPr="0062582F">
        <w:t>The income and expenses disclosed in the comprehensive operating statement are reconciled to the detailed categorisation of income and expenses unless these disclosures are presented in the comprehensive operating statement.</w:t>
      </w:r>
    </w:p>
    <w:p w:rsidR="004843DB" w:rsidRPr="0062582F" w:rsidRDefault="004843DB" w:rsidP="004843DB">
      <w:pPr>
        <w:pStyle w:val="CommentaryHeading1"/>
        <w:pBdr>
          <w:top w:val="none" w:sz="0" w:space="0" w:color="auto"/>
          <w:bottom w:val="none" w:sz="0" w:space="0" w:color="auto"/>
        </w:pBdr>
        <w:sectPr w:rsidR="004843DB" w:rsidRPr="0062582F" w:rsidSect="00190A01">
          <w:headerReference w:type="even" r:id="rId156"/>
          <w:headerReference w:type="default" r:id="rId157"/>
          <w:headerReference w:type="first" r:id="rId158"/>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pStyle w:val="CommentaryHeading1"/>
        <w:pBdr>
          <w:top w:val="none" w:sz="0" w:space="0" w:color="auto"/>
          <w:bottom w:val="none" w:sz="0" w:space="0" w:color="auto"/>
        </w:pBdr>
      </w:pPr>
      <w:r w:rsidRPr="0062582F">
        <w:lastRenderedPageBreak/>
        <w:br w:type="column"/>
      </w:r>
      <w:r w:rsidR="005A4BB0">
        <w:lastRenderedPageBreak/>
        <w:t>‘</w:t>
      </w:r>
      <w:r w:rsidRPr="0062582F">
        <w:t>Net result from transactions</w:t>
      </w:r>
      <w:r w:rsidR="005A4BB0">
        <w:t>’</w:t>
      </w:r>
      <w:r w:rsidRPr="0062582F">
        <w:t xml:space="preserve"> vs </w:t>
      </w:r>
      <w:r w:rsidR="005A4BB0">
        <w:t>‘</w:t>
      </w:r>
      <w:r w:rsidRPr="0062582F">
        <w:t>other economic flows</w:t>
      </w:r>
      <w:r w:rsidR="005A4BB0">
        <w:t>’</w:t>
      </w:r>
    </w:p>
    <w:p w:rsidR="004843DB" w:rsidRPr="0062582F" w:rsidRDefault="004843DB" w:rsidP="004843DB">
      <w:pPr>
        <w:pStyle w:val="CommentaryHeading1"/>
        <w:pBdr>
          <w:top w:val="none" w:sz="0" w:space="0" w:color="auto"/>
          <w:bottom w:val="none" w:sz="0" w:space="0" w:color="auto"/>
        </w:pBdr>
        <w:rPr>
          <w:rFonts w:ascii="Garamond" w:hAnsi="Garamond" w:cs="Tahoma"/>
          <w:b w:val="0"/>
          <w:bCs w:val="0"/>
        </w:rPr>
      </w:pPr>
      <w:r w:rsidRPr="0062582F">
        <w:rPr>
          <w:rFonts w:ascii="Garamond" w:hAnsi="Garamond" w:cs="Tahoma"/>
          <w:b w:val="0"/>
          <w:bCs w:val="0"/>
        </w:rPr>
        <w:t xml:space="preserve">Refer to Note 44 for the definitions of </w:t>
      </w:r>
      <w:r w:rsidR="005A4BB0">
        <w:rPr>
          <w:rFonts w:ascii="Garamond" w:hAnsi="Garamond" w:cs="Tahoma"/>
          <w:b w:val="0"/>
          <w:bCs w:val="0"/>
        </w:rPr>
        <w:t>‘</w:t>
      </w:r>
      <w:r w:rsidRPr="0062582F">
        <w:rPr>
          <w:rFonts w:ascii="Garamond" w:hAnsi="Garamond" w:cs="Tahoma"/>
          <w:b w:val="0"/>
          <w:bCs w:val="0"/>
        </w:rPr>
        <w:t>net result from transactions</w:t>
      </w:r>
      <w:r w:rsidR="005A4BB0">
        <w:rPr>
          <w:rFonts w:ascii="Garamond" w:hAnsi="Garamond" w:cs="Tahoma"/>
          <w:b w:val="0"/>
          <w:bCs w:val="0"/>
        </w:rPr>
        <w:t>’</w:t>
      </w:r>
      <w:r w:rsidRPr="0062582F">
        <w:rPr>
          <w:rFonts w:ascii="Garamond" w:hAnsi="Garamond" w:cs="Tahoma"/>
          <w:b w:val="0"/>
          <w:bCs w:val="0"/>
        </w:rPr>
        <w:t xml:space="preserve">, </w:t>
      </w:r>
      <w:r w:rsidR="005A4BB0">
        <w:rPr>
          <w:rFonts w:ascii="Garamond" w:hAnsi="Garamond" w:cs="Tahoma"/>
          <w:b w:val="0"/>
          <w:bCs w:val="0"/>
        </w:rPr>
        <w:t>‘</w:t>
      </w:r>
      <w:r w:rsidRPr="0062582F">
        <w:rPr>
          <w:rFonts w:ascii="Garamond" w:hAnsi="Garamond" w:cs="Tahoma"/>
          <w:b w:val="0"/>
          <w:bCs w:val="0"/>
        </w:rPr>
        <w:t>other economic flows included in net result</w:t>
      </w:r>
      <w:r w:rsidR="005A4BB0">
        <w:rPr>
          <w:rFonts w:ascii="Garamond" w:hAnsi="Garamond" w:cs="Tahoma"/>
          <w:b w:val="0"/>
          <w:bCs w:val="0"/>
        </w:rPr>
        <w:t>’</w:t>
      </w:r>
      <w:r w:rsidRPr="0062582F">
        <w:rPr>
          <w:rFonts w:ascii="Garamond" w:hAnsi="Garamond" w:cs="Tahoma"/>
          <w:b w:val="0"/>
          <w:bCs w:val="0"/>
        </w:rPr>
        <w:t xml:space="preserve"> and </w:t>
      </w:r>
      <w:r w:rsidR="005A4BB0">
        <w:rPr>
          <w:rFonts w:ascii="Garamond" w:hAnsi="Garamond" w:cs="Tahoma"/>
          <w:b w:val="0"/>
          <w:bCs w:val="0"/>
        </w:rPr>
        <w:t>‘</w:t>
      </w:r>
      <w:r w:rsidRPr="0062582F">
        <w:rPr>
          <w:rFonts w:ascii="Garamond" w:hAnsi="Garamond" w:cs="Tahoma"/>
          <w:b w:val="0"/>
          <w:bCs w:val="0"/>
        </w:rPr>
        <w:t>other economic flows – other comprehensive income</w:t>
      </w:r>
      <w:r w:rsidR="005A4BB0">
        <w:rPr>
          <w:rFonts w:ascii="Garamond" w:hAnsi="Garamond" w:cs="Tahoma"/>
          <w:b w:val="0"/>
          <w:bCs w:val="0"/>
        </w:rPr>
        <w:t>’</w:t>
      </w:r>
      <w:r w:rsidRPr="0062582F">
        <w:rPr>
          <w:rFonts w:ascii="Garamond" w:hAnsi="Garamond" w:cs="Tahoma"/>
          <w:b w:val="0"/>
          <w:bCs w:val="0"/>
        </w:rPr>
        <w:t>. Further guidance on the classifications of comprehensive operating statement can be found in Appendix 2.</w:t>
      </w:r>
    </w:p>
    <w:p w:rsidR="004843DB" w:rsidRPr="0062582F" w:rsidRDefault="004843DB" w:rsidP="004843DB">
      <w:pPr>
        <w:pStyle w:val="CommentaryHeading1"/>
        <w:pBdr>
          <w:top w:val="none" w:sz="0" w:space="0" w:color="auto"/>
          <w:bottom w:val="none" w:sz="0" w:space="0" w:color="auto"/>
        </w:pBdr>
      </w:pPr>
      <w:r w:rsidRPr="0062582F">
        <w:t>For entities subject to National Tax Equivalent Regime</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pStyle w:val="Reference"/>
        <w:rPr>
          <w:lang w:val="en-AU"/>
        </w:rPr>
      </w:pPr>
      <w:r w:rsidRPr="0062582F">
        <w:lastRenderedPageBreak/>
        <w:t>AASB </w:t>
      </w:r>
      <w:r w:rsidRPr="0062582F">
        <w:rPr>
          <w:lang w:val="en-AU"/>
        </w:rPr>
        <w:t>101.90</w:t>
      </w:r>
      <w:r w:rsidR="005A4BB0">
        <w:rPr>
          <w:lang w:val="en-AU"/>
        </w:rPr>
        <w:noBreakHyphen/>
      </w:r>
      <w:r w:rsidRPr="0062582F">
        <w:rPr>
          <w:lang w:val="en-AU"/>
        </w:rPr>
        <w:t>91</w:t>
      </w:r>
    </w:p>
    <w:p w:rsidR="004843DB" w:rsidRPr="0062582F" w:rsidRDefault="004843DB" w:rsidP="004843DB">
      <w:pPr>
        <w:pStyle w:val="CommentaryText"/>
        <w:pBdr>
          <w:top w:val="none" w:sz="0" w:space="0" w:color="auto"/>
        </w:pBdr>
      </w:pPr>
      <w:r w:rsidRPr="0062582F">
        <w:br w:type="column"/>
      </w:r>
      <w:r w:rsidRPr="0062582F">
        <w:lastRenderedPageBreak/>
        <w:t>Those entities that are subject to National Tax Equivalent Regime (NTER) are required to disclose in the comprehensive operating statement additional items such as net result for the period before income tax, income tax expense, and net result for the period after income tax.</w:t>
      </w:r>
    </w:p>
    <w:p w:rsidR="004843DB" w:rsidRPr="0062582F" w:rsidRDefault="004843DB" w:rsidP="004843DB">
      <w:pPr>
        <w:pStyle w:val="CommentaryText"/>
        <w:pBdr>
          <w:top w:val="none" w:sz="0" w:space="0" w:color="auto"/>
        </w:pBdr>
      </w:pPr>
      <w:r w:rsidRPr="0062582F">
        <w:t>Similarly, items of other comprehensive income are required to be presented net of tax effects.</w:t>
      </w:r>
    </w:p>
    <w:p w:rsidR="004843DB" w:rsidRPr="0062582F" w:rsidRDefault="004843DB" w:rsidP="004843DB">
      <w:pPr>
        <w:spacing w:before="0" w:line="240" w:lineRule="atLeast"/>
        <w:rPr>
          <w:rFonts w:ascii="Calibri" w:hAnsi="Calibri" w:cs="Arial"/>
          <w:b/>
          <w:bCs/>
          <w:noProof/>
          <w:color w:val="0000FF"/>
        </w:rPr>
      </w:pPr>
      <w:r w:rsidRPr="0062582F">
        <w:br w:type="page"/>
      </w:r>
    </w:p>
    <w:p w:rsidR="004843DB" w:rsidRPr="0062582F" w:rsidRDefault="004843DB" w:rsidP="004843DB">
      <w:pPr>
        <w:pStyle w:val="SmallLine"/>
      </w:pPr>
      <w:r w:rsidRPr="0062582F">
        <w:lastRenderedPageBreak/>
        <w:br w:type="column"/>
      </w:r>
    </w:p>
    <w:p w:rsidR="004843DB" w:rsidRPr="0062582F" w:rsidRDefault="004843DB" w:rsidP="004843DB">
      <w:pPr>
        <w:pStyle w:val="CommentaryHeading"/>
        <w:rPr>
          <w:i/>
          <w:iCs/>
        </w:rPr>
      </w:pPr>
      <w:r w:rsidRPr="0062582F">
        <w:t xml:space="preserve">Commentary – Comprehensive operating statement </w:t>
      </w:r>
      <w:r w:rsidRPr="0062582F">
        <w:rPr>
          <w:i/>
          <w:iCs/>
        </w:rPr>
        <w:t>(continued)</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pStyle w:val="CommentaryHeading2"/>
      </w:pPr>
      <w:bookmarkStart w:id="232" w:name="_Toc163448552"/>
      <w:r w:rsidRPr="0062582F">
        <w:lastRenderedPageBreak/>
        <w:br w:type="column"/>
      </w:r>
      <w:r w:rsidRPr="0062582F">
        <w:lastRenderedPageBreak/>
        <w:t>Either in the comprehensive operating statement or in the notes</w:t>
      </w:r>
      <w:bookmarkEnd w:id="232"/>
    </w:p>
    <w:p w:rsidR="004843DB" w:rsidRPr="0062582F" w:rsidRDefault="004843DB" w:rsidP="004843DB">
      <w:pPr>
        <w:pStyle w:val="CommentaryHeading1"/>
        <w:pBdr>
          <w:top w:val="none" w:sz="0" w:space="0" w:color="auto"/>
          <w:bottom w:val="none" w:sz="0" w:space="0" w:color="auto"/>
        </w:pBdr>
      </w:pPr>
      <w:r w:rsidRPr="0062582F">
        <w:t>Material items of income and expense</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pStyle w:val="Reference"/>
        <w:spacing w:before="140"/>
      </w:pPr>
      <w:r w:rsidRPr="0062582F">
        <w:rPr>
          <w:rStyle w:val="ReferenceChar"/>
        </w:rPr>
        <w:lastRenderedPageBreak/>
        <w:t>AASB101.97</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When items of income and expense are material, their nature and amount shall be disclosed separately either in the comprehensive operating statement or in the notes to the financial statements.</w:t>
      </w:r>
    </w:p>
    <w:p w:rsidR="004843DB" w:rsidRPr="0062582F" w:rsidRDefault="004843DB" w:rsidP="004843DB">
      <w:pPr>
        <w:pStyle w:val="CommentaryText"/>
        <w:pBdr>
          <w:top w:val="none" w:sz="0" w:space="0" w:color="auto"/>
          <w:bottom w:val="none" w:sz="0" w:space="0" w:color="auto"/>
        </w:pBdr>
      </w:pPr>
      <w:r w:rsidRPr="0062582F">
        <w:t>Further, an entity shall disclose either in the comprehensive operating statement or in the notes any amounts related to components of other comprehensive income that are reclassified to net result in the current period, that were previously recognised in other comprehensive income in the current or previous periods.</w:t>
      </w:r>
    </w:p>
    <w:p w:rsidR="004843DB" w:rsidRPr="0062582F" w:rsidRDefault="004843DB" w:rsidP="004843DB">
      <w:pPr>
        <w:pStyle w:val="CommentaryHeading1"/>
        <w:pBdr>
          <w:top w:val="none" w:sz="0" w:space="0" w:color="auto"/>
          <w:bottom w:val="none" w:sz="0" w:space="0" w:color="auto"/>
        </w:pBdr>
      </w:pPr>
      <w:r w:rsidRPr="0062582F">
        <w:t>Disclosure of additional information</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pStyle w:val="Reference"/>
        <w:rPr>
          <w:lang w:val="en-AU"/>
        </w:rPr>
      </w:pPr>
      <w:r w:rsidRPr="0062582F">
        <w:rPr>
          <w:lang w:val="en-AU"/>
        </w:rPr>
        <w:lastRenderedPageBreak/>
        <w:t>AASB 101.85</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In addition to those disclosures explained above, additional line items, headings and subtotals shall be presented in the comprehensive operating statement when such presentation is relevant to an understanding of the entity</w:t>
      </w:r>
      <w:r w:rsidR="005A4BB0">
        <w:t>’</w:t>
      </w:r>
      <w:r w:rsidRPr="0062582F">
        <w:t>s financial performance. Entities should ensure that where additional information is to be disclosed, disclosure and presentation should be aligned to and consistent with the requirements in AASB 1049 (refer to Appendix 1:</w:t>
      </w:r>
      <w:r w:rsidRPr="0062582F">
        <w:rPr>
          <w:i/>
        </w:rPr>
        <w:t xml:space="preserve"> Extracts of whole of government financial statements and analysis of disclosures</w:t>
      </w:r>
      <w:r w:rsidRPr="0062582F">
        <w: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 w:rsidR="004843DB" w:rsidRPr="0062582F" w:rsidRDefault="004843DB" w:rsidP="004843DB">
      <w:pPr>
        <w:pStyle w:val="Reference"/>
        <w:spacing w:before="220"/>
      </w:pPr>
      <w:r w:rsidRPr="0062582F">
        <w:t>AASB 108.19, 28</w:t>
      </w:r>
    </w:p>
    <w:p w:rsidR="004843DB" w:rsidRPr="0062582F" w:rsidRDefault="004843DB" w:rsidP="004843DB">
      <w:pPr>
        <w:pStyle w:val="CommentaryHeading1"/>
        <w:pBdr>
          <w:top w:val="none" w:sz="0" w:space="0" w:color="auto"/>
          <w:bottom w:val="none" w:sz="0" w:space="0" w:color="auto"/>
        </w:pBdr>
      </w:pPr>
      <w:r w:rsidRPr="0062582F">
        <w:br w:type="column"/>
      </w:r>
      <w:r w:rsidRPr="0062582F">
        <w:lastRenderedPageBreak/>
        <w:t>Changes in accounting policy</w:t>
      </w:r>
    </w:p>
    <w:p w:rsidR="004843DB" w:rsidRPr="0062582F" w:rsidRDefault="004843DB" w:rsidP="004843DB">
      <w:pPr>
        <w:pStyle w:val="CommentaryText"/>
        <w:pBdr>
          <w:top w:val="none" w:sz="0" w:space="0" w:color="auto"/>
          <w:bottom w:val="none" w:sz="0" w:space="0" w:color="auto"/>
        </w:pBdr>
      </w:pPr>
      <w:r w:rsidRPr="0062582F">
        <w:t xml:space="preserve">When there is a change in accounting policy that requires the changes to be applied retrospectively, entities must disclose the amount of the adjustment relating to the previous periods to the extent practicable. Refer to Note 1 (F) for disclosures on retrospective application and adjustments made. </w:t>
      </w:r>
    </w:p>
    <w:p w:rsidR="004843DB" w:rsidRPr="0062582F" w:rsidRDefault="004843DB" w:rsidP="004843DB">
      <w:pPr>
        <w:pStyle w:val="CommentaryHeading1"/>
        <w:pBdr>
          <w:top w:val="none" w:sz="0" w:space="0" w:color="auto"/>
          <w:bottom w:val="none" w:sz="0" w:space="0" w:color="auto"/>
        </w:pBdr>
      </w:pPr>
      <w:r w:rsidRPr="0062582F">
        <w:t>Goods and Services Tax</w:t>
      </w:r>
    </w:p>
    <w:p w:rsidR="004843DB" w:rsidRPr="0062582F" w:rsidRDefault="004843DB" w:rsidP="004843DB">
      <w:pPr>
        <w:pStyle w:val="CommentaryHeading1"/>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pStyle w:val="Reference"/>
        <w:rPr>
          <w:rStyle w:val="ReferenceChar"/>
        </w:rPr>
      </w:pPr>
      <w:r w:rsidRPr="0062582F">
        <w:rPr>
          <w:rStyle w:val="ReferenceChar"/>
        </w:rPr>
        <w:lastRenderedPageBreak/>
        <w:t>AASB Interpretation 1031.6 and 7</w:t>
      </w:r>
    </w:p>
    <w:p w:rsidR="004843DB" w:rsidRPr="0062582F" w:rsidRDefault="004843DB" w:rsidP="004843DB">
      <w:pPr>
        <w:pStyle w:val="CommentaryText"/>
        <w:pBdr>
          <w:top w:val="none" w:sz="0" w:space="0" w:color="auto"/>
          <w:bottom w:val="none" w:sz="0" w:space="0" w:color="auto"/>
        </w:pBdr>
      </w:pPr>
      <w:r w:rsidRPr="0062582F">
        <w:rPr>
          <w:rStyle w:val="ReferenceChar"/>
        </w:rPr>
        <w:br w:type="column"/>
      </w:r>
      <w:r w:rsidRPr="0062582F">
        <w:lastRenderedPageBreak/>
        <w:t xml:space="preserve">AASB Interpretation 1031 </w:t>
      </w:r>
      <w:r w:rsidRPr="0062582F">
        <w:rPr>
          <w:i/>
          <w:iCs/>
        </w:rPr>
        <w:t>Accounting for the Goods and Services Tax (GST)</w:t>
      </w:r>
      <w:r w:rsidRPr="0062582F">
        <w:t xml:space="preserve"> provides that income and expenses must be recognised net of the amount of GST, except that where GST relating to expense items is not recoverable from the taxation authority it must be recognised as part of the item of expense. </w:t>
      </w:r>
    </w:p>
    <w:p w:rsidR="004843DB" w:rsidRPr="0062582F" w:rsidRDefault="004843DB" w:rsidP="004843DB">
      <w:pPr>
        <w:pStyle w:val="CommentaryText"/>
        <w:pBdr>
          <w:top w:val="none" w:sz="0" w:space="0" w:color="auto"/>
        </w:pBdr>
      </w:pPr>
      <w:r w:rsidRPr="0062582F">
        <w:t>Entities that are not able to recover GST relating to particular expense items should include a policy note indicating which expense items disclosed in the financial statements are inclusive of non</w:t>
      </w:r>
      <w:r w:rsidR="005A4BB0">
        <w:noBreakHyphen/>
      </w:r>
      <w:r w:rsidRPr="0062582F">
        <w:t>recoverable GST. They could also amend the wording of specific disclosures (e.g. auditor</w:t>
      </w:r>
      <w:r w:rsidR="005A4BB0">
        <w:t>’</w:t>
      </w:r>
      <w:r w:rsidRPr="0062582F">
        <w:t xml:space="preserve">s remuneration – refer to commentary on </w:t>
      </w:r>
      <w:r w:rsidR="005A4BB0">
        <w:t>‘</w:t>
      </w:r>
      <w:r w:rsidRPr="0062582F">
        <w:t>remuneration of auditors</w:t>
      </w:r>
      <w:r w:rsidR="005A4BB0">
        <w:t>’</w:t>
      </w:r>
      <w:r w:rsidRPr="0062582F">
        <w:t xml:space="preserve"> in Note 42 </w:t>
      </w:r>
      <w:r w:rsidRPr="0062582F">
        <w:rPr>
          <w:i/>
        </w:rPr>
        <w:t>Remuneration of auditors</w:t>
      </w:r>
      <w:r w:rsidRPr="0062582F">
        <w:t>) to make it clear that the amounts disclosed are inclusive of non</w:t>
      </w:r>
      <w:r w:rsidR="005A4BB0">
        <w:noBreakHyphen/>
      </w:r>
      <w:r w:rsidRPr="0062582F">
        <w:t>recoverable GST.</w:t>
      </w:r>
    </w:p>
    <w:p w:rsidR="004843DB" w:rsidRPr="0062582F" w:rsidRDefault="004843DB" w:rsidP="004843DB"/>
    <w:p w:rsidR="004843DB" w:rsidRPr="0062582F" w:rsidRDefault="004843DB" w:rsidP="004843DB"/>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242"/>
          </w:cols>
        </w:sectPr>
      </w:pPr>
    </w:p>
    <w:p w:rsidR="004843DB" w:rsidRPr="0062582F" w:rsidRDefault="004843DB" w:rsidP="004843DB">
      <w:pPr>
        <w:rPr>
          <w:rStyle w:val="SmallLineChar"/>
        </w:rPr>
      </w:pPr>
    </w:p>
    <w:p w:rsidR="004843DB" w:rsidRPr="0062582F" w:rsidRDefault="004843DB" w:rsidP="004843DB">
      <w:pPr>
        <w:pStyle w:val="NoteHeadingcontinued"/>
        <w:rPr>
          <w:rStyle w:val="SmallLineChar"/>
        </w:rPr>
      </w:pPr>
    </w:p>
    <w:p w:rsidR="004843DB" w:rsidRPr="0062582F" w:rsidRDefault="004843DB" w:rsidP="004843DB">
      <w:pPr>
        <w:pStyle w:val="NoteHeadingcontinued"/>
        <w:rPr>
          <w:rStyle w:val="SmallLineChar"/>
        </w:rPr>
        <w:sectPr w:rsidR="004843DB" w:rsidRPr="0062582F" w:rsidSect="00190A01">
          <w:headerReference w:type="even" r:id="rId159"/>
          <w:headerReference w:type="default" r:id="rId160"/>
          <w:headerReference w:type="first" r:id="rId16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r w:rsidRPr="0062582F">
        <w:lastRenderedPageBreak/>
        <w:br/>
      </w:r>
      <w:r w:rsidRPr="0062582F">
        <w:br/>
      </w:r>
      <w:r w:rsidRPr="0062582F">
        <w:br/>
      </w:r>
    </w:p>
    <w:p w:rsidR="004843DB" w:rsidRPr="0062582F" w:rsidRDefault="004843DB" w:rsidP="004843DB">
      <w:pPr>
        <w:pStyle w:val="Reference"/>
        <w:spacing w:before="280"/>
      </w:pPr>
      <w:r w:rsidRPr="0062582F">
        <w:t>AASB 101.10(a)</w:t>
      </w:r>
    </w:p>
    <w:p w:rsidR="004843DB" w:rsidRPr="0062582F" w:rsidRDefault="004843DB" w:rsidP="004843DB">
      <w:pPr>
        <w:pStyle w:val="SmallLine"/>
      </w:pPr>
      <w:r w:rsidRPr="0062582F">
        <w:br/>
      </w:r>
      <w:r w:rsidRPr="0062582F">
        <w:br/>
      </w:r>
    </w:p>
    <w:p w:rsidR="004843DB" w:rsidRPr="0062582F" w:rsidRDefault="004843DB" w:rsidP="004843DB">
      <w:pPr>
        <w:pStyle w:val="Reference"/>
        <w:spacing w:before="320"/>
      </w:pPr>
      <w:r w:rsidRPr="0062582F">
        <w:t>AASB 101.77</w:t>
      </w:r>
    </w:p>
    <w:p w:rsidR="004843DB" w:rsidRPr="0062582F" w:rsidRDefault="004843DB" w:rsidP="004843DB">
      <w:pPr>
        <w:pStyle w:val="Reference"/>
        <w:spacing w:before="80"/>
      </w:pPr>
      <w:r w:rsidRPr="0062582F">
        <w:t>AASB 101.60</w:t>
      </w:r>
    </w:p>
    <w:p w:rsidR="004843DB" w:rsidRPr="0062582F" w:rsidRDefault="004843DB" w:rsidP="004843DB">
      <w:pPr>
        <w:pStyle w:val="Reference"/>
        <w:spacing w:before="100"/>
        <w:rPr>
          <w:rStyle w:val="SmallLineChar"/>
          <w:sz w:val="16"/>
          <w:szCs w:val="16"/>
        </w:rPr>
      </w:pPr>
      <w:r w:rsidRPr="0062582F">
        <w:t>AASB 101.58(a)</w:t>
      </w:r>
    </w:p>
    <w:p w:rsidR="004843DB" w:rsidRPr="0062582F" w:rsidRDefault="004843DB" w:rsidP="004843DB">
      <w:pPr>
        <w:pStyle w:val="Reference"/>
        <w:spacing w:before="100"/>
        <w:rPr>
          <w:rStyle w:val="SmallLineChar"/>
          <w:sz w:val="16"/>
          <w:szCs w:val="16"/>
        </w:rPr>
      </w:pPr>
      <w:r w:rsidRPr="0062582F">
        <w:t>AASB 101.54(i)</w:t>
      </w:r>
    </w:p>
    <w:p w:rsidR="004843DB" w:rsidRPr="0062582F" w:rsidRDefault="004843DB" w:rsidP="004843DB">
      <w:pPr>
        <w:pStyle w:val="Reference"/>
        <w:spacing w:before="80"/>
        <w:rPr>
          <w:rStyle w:val="SmallLineChar"/>
          <w:sz w:val="16"/>
          <w:szCs w:val="16"/>
        </w:rPr>
      </w:pPr>
      <w:r w:rsidRPr="0062582F">
        <w:t>AASB 101.54(h)</w:t>
      </w:r>
    </w:p>
    <w:p w:rsidR="004843DB" w:rsidRPr="0062582F" w:rsidRDefault="004843DB" w:rsidP="004843DB">
      <w:pPr>
        <w:pStyle w:val="Reference"/>
        <w:spacing w:before="80"/>
      </w:pPr>
      <w:r w:rsidRPr="0062582F">
        <w:t>AASB 101.54(j)</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200" w:after="20"/>
      </w:pPr>
      <w:r w:rsidRPr="0062582F">
        <w:t>AASB 101.54(d)</w:t>
      </w:r>
    </w:p>
    <w:p w:rsidR="004843DB" w:rsidRPr="0062582F" w:rsidRDefault="004843DB" w:rsidP="004843DB">
      <w:pPr>
        <w:pStyle w:val="Reference"/>
        <w:spacing w:before="80"/>
      </w:pPr>
      <w:r w:rsidRPr="0062582F">
        <w:t>AASB 101.54(e)</w:t>
      </w:r>
    </w:p>
    <w:p w:rsidR="004843DB" w:rsidRPr="0062582F" w:rsidRDefault="004843DB" w:rsidP="004843DB">
      <w:pPr>
        <w:pStyle w:val="SmallLine"/>
      </w:pPr>
    </w:p>
    <w:p w:rsidR="004843DB" w:rsidRPr="0062582F" w:rsidRDefault="004843DB" w:rsidP="004843DB">
      <w:pPr>
        <w:pStyle w:val="Reference"/>
        <w:spacing w:before="340"/>
        <w:rPr>
          <w:rStyle w:val="SmallLineChar"/>
          <w:sz w:val="16"/>
          <w:szCs w:val="16"/>
        </w:rPr>
      </w:pPr>
      <w:r w:rsidRPr="0062582F">
        <w:t>AASB 101.58(a)</w:t>
      </w:r>
    </w:p>
    <w:p w:rsidR="004843DB" w:rsidRPr="0062582F" w:rsidRDefault="004843DB" w:rsidP="004843DB">
      <w:pPr>
        <w:pStyle w:val="Reference"/>
        <w:spacing w:before="80"/>
        <w:rPr>
          <w:rStyle w:val="SmallLineChar"/>
          <w:sz w:val="16"/>
          <w:szCs w:val="16"/>
        </w:rPr>
      </w:pPr>
      <w:r w:rsidRPr="0062582F">
        <w:t>AASB 101.54(g)</w:t>
      </w:r>
    </w:p>
    <w:p w:rsidR="004843DB" w:rsidRPr="0062582F" w:rsidRDefault="004843DB" w:rsidP="004843DB">
      <w:pPr>
        <w:pStyle w:val="Reference"/>
        <w:spacing w:before="80"/>
      </w:pPr>
      <w:r w:rsidRPr="0062582F">
        <w:t>AASB 101.54(j)</w:t>
      </w:r>
    </w:p>
    <w:p w:rsidR="004843DB" w:rsidRPr="0062582F" w:rsidRDefault="004843DB" w:rsidP="004843DB">
      <w:pPr>
        <w:pStyle w:val="SmallLine"/>
        <w:rPr>
          <w:rStyle w:val="SmallLineChar"/>
        </w:rPr>
      </w:pPr>
    </w:p>
    <w:p w:rsidR="004843DB" w:rsidRPr="0062582F" w:rsidRDefault="004843DB" w:rsidP="004843DB">
      <w:pPr>
        <w:pStyle w:val="SmallLine"/>
        <w:rPr>
          <w:rStyle w:val="SmallLineChar"/>
        </w:rPr>
      </w:pPr>
    </w:p>
    <w:p w:rsidR="004843DB" w:rsidRPr="0062582F" w:rsidRDefault="004843DB" w:rsidP="004843DB">
      <w:pPr>
        <w:pStyle w:val="SmallLine"/>
        <w:rPr>
          <w:rStyle w:val="SmallLineChar"/>
        </w:rPr>
      </w:pPr>
    </w:p>
    <w:p w:rsidR="004843DB" w:rsidRPr="0062582F" w:rsidRDefault="004843DB" w:rsidP="004843DB">
      <w:pPr>
        <w:pStyle w:val="Reference"/>
        <w:spacing w:before="180"/>
        <w:rPr>
          <w:rStyle w:val="SmallLineChar"/>
          <w:sz w:val="16"/>
          <w:szCs w:val="16"/>
        </w:rPr>
      </w:pPr>
      <w:r w:rsidRPr="0062582F">
        <w:t>AASB 101.54(a)</w:t>
      </w:r>
    </w:p>
    <w:p w:rsidR="004843DB" w:rsidRPr="0062582F" w:rsidRDefault="004843DB" w:rsidP="004843DB">
      <w:pPr>
        <w:pStyle w:val="Reference"/>
        <w:spacing w:before="100"/>
        <w:rPr>
          <w:rStyle w:val="SmallLineChar"/>
          <w:sz w:val="16"/>
          <w:szCs w:val="16"/>
        </w:rPr>
      </w:pPr>
      <w:r w:rsidRPr="0062582F">
        <w:t>AASB 101.54(f)</w:t>
      </w:r>
    </w:p>
    <w:p w:rsidR="004843DB" w:rsidRPr="0062582F" w:rsidRDefault="004843DB" w:rsidP="004843DB">
      <w:pPr>
        <w:pStyle w:val="Reference"/>
        <w:spacing w:before="80"/>
        <w:rPr>
          <w:rStyle w:val="SmallLineChar"/>
          <w:sz w:val="16"/>
          <w:szCs w:val="16"/>
        </w:rPr>
      </w:pPr>
      <w:r w:rsidRPr="0062582F">
        <w:t>AASB 101.54(b)</w:t>
      </w:r>
    </w:p>
    <w:p w:rsidR="004843DB" w:rsidRPr="0062582F" w:rsidRDefault="004843DB" w:rsidP="004843DB">
      <w:pPr>
        <w:pStyle w:val="Reference"/>
        <w:spacing w:before="80"/>
        <w:rPr>
          <w:rStyle w:val="SmallLineChar"/>
          <w:sz w:val="16"/>
          <w:szCs w:val="16"/>
        </w:rPr>
      </w:pPr>
      <w:r w:rsidRPr="0062582F">
        <w:t>AASB 101.54(c)</w:t>
      </w:r>
    </w:p>
    <w:p w:rsidR="004843DB" w:rsidRPr="0062582F" w:rsidRDefault="004843DB" w:rsidP="004843DB">
      <w:pPr>
        <w:pStyle w:val="Reference"/>
      </w:pPr>
    </w:p>
    <w:p w:rsidR="004843DB" w:rsidRPr="0062582F" w:rsidRDefault="004843DB" w:rsidP="004843DB">
      <w:pPr>
        <w:pStyle w:val="Reference"/>
        <w:spacing w:before="120"/>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rPr>
          <w:rStyle w:val="SmallLineChar"/>
          <w:sz w:val="16"/>
          <w:szCs w:val="16"/>
        </w:rPr>
      </w:pPr>
      <w:r w:rsidRPr="0062582F">
        <w:t>AASB 101.58(a)</w:t>
      </w:r>
    </w:p>
    <w:p w:rsidR="004843DB" w:rsidRPr="0062582F" w:rsidRDefault="004843DB" w:rsidP="004843DB">
      <w:pPr>
        <w:pStyle w:val="Reference"/>
        <w:spacing w:before="80"/>
        <w:rPr>
          <w:rStyle w:val="SmallLineChar"/>
          <w:sz w:val="16"/>
          <w:szCs w:val="16"/>
        </w:rPr>
      </w:pPr>
      <w:r w:rsidRPr="0062582F">
        <w:t>AASB 101.54(k)</w:t>
      </w:r>
    </w:p>
    <w:p w:rsidR="004843DB" w:rsidRPr="0062582F" w:rsidRDefault="004843DB" w:rsidP="004843DB">
      <w:pPr>
        <w:pStyle w:val="Reference"/>
        <w:spacing w:before="80"/>
        <w:rPr>
          <w:rStyle w:val="SmallLineChar"/>
          <w:sz w:val="16"/>
          <w:szCs w:val="16"/>
        </w:rPr>
      </w:pPr>
      <w:r w:rsidRPr="0062582F">
        <w:t>AASB 101.54(m)</w:t>
      </w:r>
    </w:p>
    <w:p w:rsidR="004843DB" w:rsidRPr="0062582F" w:rsidRDefault="004843DB" w:rsidP="004843DB">
      <w:pPr>
        <w:pStyle w:val="Reference"/>
        <w:spacing w:before="80"/>
        <w:rPr>
          <w:rStyle w:val="SmallLineChar"/>
          <w:sz w:val="16"/>
          <w:szCs w:val="16"/>
        </w:rPr>
      </w:pPr>
      <w:r w:rsidRPr="0062582F">
        <w:t>AASB 101.54(l)</w:t>
      </w: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Reference"/>
        <w:spacing w:before="240"/>
      </w:pPr>
      <w:r w:rsidRPr="0062582F">
        <w:t>AASB 101.54(p)</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r w:rsidRPr="0062582F">
        <w:br/>
      </w:r>
      <w:r w:rsidRPr="0062582F">
        <w:br/>
      </w: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00"/>
        <w:rPr>
          <w:rStyle w:val="SmallLineChar"/>
          <w:sz w:val="16"/>
          <w:szCs w:val="16"/>
        </w:rPr>
      </w:pPr>
      <w:r w:rsidRPr="0062582F">
        <w:t>AASB 101.54(r)</w:t>
      </w:r>
    </w:p>
    <w:p w:rsidR="004843DB" w:rsidRPr="0062582F" w:rsidRDefault="004843DB" w:rsidP="004843DB">
      <w:pPr>
        <w:pStyle w:val="Reference"/>
        <w:spacing w:before="80"/>
        <w:rPr>
          <w:rStyle w:val="SmallLineChar"/>
          <w:sz w:val="16"/>
          <w:szCs w:val="16"/>
        </w:rPr>
      </w:pPr>
      <w:r w:rsidRPr="0062582F">
        <w:t>AASB 101.54(r)</w:t>
      </w:r>
    </w:p>
    <w:p w:rsidR="004843DB" w:rsidRPr="0062582F" w:rsidRDefault="004843DB" w:rsidP="004843DB">
      <w:pPr>
        <w:pStyle w:val="Reference"/>
        <w:spacing w:before="80"/>
      </w:pPr>
      <w:r w:rsidRPr="0062582F">
        <w:t>AASB 101.54(r)</w:t>
      </w:r>
    </w:p>
    <w:p w:rsidR="004843DB" w:rsidRPr="0062582F" w:rsidRDefault="004843DB" w:rsidP="004843DB">
      <w:pPr>
        <w:pStyle w:val="Reference"/>
      </w:pPr>
    </w:p>
    <w:p w:rsidR="004843DB" w:rsidRPr="0062582F" w:rsidRDefault="004843DB" w:rsidP="004843DB">
      <w:pPr>
        <w:pStyle w:val="Heading1Pt3"/>
      </w:pPr>
      <w:r w:rsidRPr="0062582F">
        <w:br w:type="column"/>
      </w:r>
      <w:bookmarkStart w:id="233" w:name="_Toc331754630"/>
      <w:bookmarkStart w:id="234" w:name="_Toc332019429"/>
      <w:bookmarkStart w:id="235" w:name="_Toc350413471"/>
      <w:bookmarkStart w:id="236" w:name="_Toc388277745"/>
      <w:bookmarkStart w:id="237" w:name="_Toc416691914"/>
      <w:bookmarkStart w:id="238" w:name="_Toc448493011"/>
      <w:r w:rsidRPr="0062582F">
        <w:lastRenderedPageBreak/>
        <w:t xml:space="preserve">Balance sheet as at 30 June </w:t>
      </w:r>
      <w:bookmarkEnd w:id="233"/>
      <w:bookmarkEnd w:id="234"/>
      <w:bookmarkEnd w:id="235"/>
      <w:bookmarkEnd w:id="236"/>
      <w:r w:rsidRPr="0062582F">
        <w:t>2016</w:t>
      </w:r>
      <w:bookmarkEnd w:id="237"/>
      <w:bookmarkEnd w:id="238"/>
    </w:p>
    <w:p w:rsidR="004843DB" w:rsidRPr="0062582F" w:rsidRDefault="004843DB" w:rsidP="004843DB">
      <w:pPr>
        <w:pStyle w:val="million"/>
        <w:rPr>
          <w:rFonts w:ascii="Tahoma" w:hAnsi="Tahoma" w:cs="Tahoma"/>
        </w:rPr>
      </w:pPr>
      <w:r w:rsidRPr="0062582F">
        <w:t>($ thousand)</w:t>
      </w:r>
      <w:bookmarkStart w:id="239" w:name="RANGE!A3:E37"/>
    </w:p>
    <w:tbl>
      <w:tblPr>
        <w:tblW w:w="8035" w:type="dxa"/>
        <w:tblInd w:w="108" w:type="dxa"/>
        <w:tblLayout w:type="fixed"/>
        <w:tblCellMar>
          <w:left w:w="43" w:type="dxa"/>
          <w:right w:w="43" w:type="dxa"/>
        </w:tblCellMar>
        <w:tblLook w:val="04A0" w:firstRow="1" w:lastRow="0" w:firstColumn="1" w:lastColumn="0" w:noHBand="0" w:noVBand="1"/>
      </w:tblPr>
      <w:tblGrid>
        <w:gridCol w:w="4975"/>
        <w:gridCol w:w="760"/>
        <w:gridCol w:w="1150"/>
        <w:gridCol w:w="1150"/>
      </w:tblGrid>
      <w:tr w:rsidR="004843DB" w:rsidRPr="0062582F" w:rsidTr="004843DB">
        <w:trPr>
          <w:cantSplit/>
        </w:trPr>
        <w:tc>
          <w:tcPr>
            <w:tcW w:w="4975" w:type="dxa"/>
            <w:tcBorders>
              <w:top w:val="single" w:sz="4" w:space="0" w:color="auto"/>
              <w:left w:val="nil"/>
              <w:bottom w:val="single" w:sz="4" w:space="0" w:color="auto"/>
              <w:right w:val="nil"/>
            </w:tcBorders>
            <w:shd w:val="clear" w:color="auto" w:fill="auto"/>
            <w:vAlign w:val="center"/>
            <w:hideMark/>
          </w:tcPr>
          <w:bookmarkEnd w:id="239"/>
          <w:p w:rsidR="004843DB" w:rsidRPr="0062582F" w:rsidRDefault="004843DB" w:rsidP="004843DB">
            <w:pPr>
              <w:pStyle w:val="TabletextheadingLeft"/>
            </w:pPr>
            <w:r w:rsidRPr="0062582F">
              <w:t>FOR ILLUSTRATIVE PURPOSES ONLY</w:t>
            </w:r>
          </w:p>
        </w:tc>
        <w:tc>
          <w:tcPr>
            <w:tcW w:w="76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textheadingCentred"/>
            </w:pPr>
            <w:r w:rsidRPr="0062582F">
              <w:t>Notes</w:t>
            </w:r>
          </w:p>
        </w:tc>
        <w:tc>
          <w:tcPr>
            <w:tcW w:w="1150" w:type="dxa"/>
            <w:tcBorders>
              <w:top w:val="single" w:sz="4" w:space="0" w:color="auto"/>
              <w:left w:val="nil"/>
              <w:bottom w:val="single" w:sz="4" w:space="0" w:color="auto"/>
              <w:right w:val="nil"/>
            </w:tcBorders>
            <w:shd w:val="clear" w:color="000000" w:fill="CCCCCC"/>
            <w:noWrap/>
            <w:vAlign w:val="bottom"/>
            <w:hideMark/>
          </w:tcPr>
          <w:p w:rsidR="004843DB" w:rsidRPr="0062582F" w:rsidRDefault="004843DB" w:rsidP="004843DB">
            <w:pPr>
              <w:pStyle w:val="Tabletextheading"/>
            </w:pPr>
            <w:r w:rsidRPr="0062582F">
              <w:t>2016</w:t>
            </w:r>
          </w:p>
        </w:tc>
        <w:tc>
          <w:tcPr>
            <w:tcW w:w="115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textheading"/>
            </w:pPr>
            <w:r w:rsidRPr="0062582F">
              <w:t>2015</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Assets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pP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Financial assets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pP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Cash and deposits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34(a)</w:t>
            </w: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59 528</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48 648</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Receivables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11</w:t>
            </w: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36 045</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20 544</w:t>
            </w:r>
          </w:p>
        </w:tc>
      </w:tr>
      <w:tr w:rsidR="004843DB" w:rsidRPr="0062582F" w:rsidTr="004843DB">
        <w:trPr>
          <w:cantSplit/>
        </w:trPr>
        <w:tc>
          <w:tcPr>
            <w:tcW w:w="4975" w:type="dxa"/>
            <w:tcBorders>
              <w:top w:val="nil"/>
              <w:left w:val="nil"/>
              <w:bottom w:val="nil"/>
              <w:right w:val="nil"/>
            </w:tcBorders>
            <w:shd w:val="clear" w:color="auto" w:fill="auto"/>
          </w:tcPr>
          <w:p w:rsidR="004843DB" w:rsidRPr="0062582F" w:rsidRDefault="004843DB" w:rsidP="004843DB">
            <w:pPr>
              <w:pStyle w:val="Tabletext"/>
            </w:pPr>
            <w:r w:rsidRPr="0062582F">
              <w:t>Financial assets classified as held for sale including disposal group assets</w:t>
            </w:r>
          </w:p>
        </w:tc>
        <w:tc>
          <w:tcPr>
            <w:tcW w:w="760" w:type="dxa"/>
            <w:tcBorders>
              <w:top w:val="nil"/>
              <w:left w:val="nil"/>
              <w:bottom w:val="nil"/>
              <w:right w:val="nil"/>
            </w:tcBorders>
            <w:shd w:val="clear" w:color="auto" w:fill="auto"/>
            <w:noWrap/>
          </w:tcPr>
          <w:p w:rsidR="004843DB" w:rsidRPr="0062582F" w:rsidRDefault="004843DB" w:rsidP="004843DB">
            <w:pPr>
              <w:pStyle w:val="TableofFigures"/>
              <w:jc w:val="center"/>
              <w:rPr>
                <w:iCs/>
              </w:rPr>
            </w:pPr>
            <w:r w:rsidRPr="0062582F">
              <w:rPr>
                <w:iCs/>
              </w:rPr>
              <w:t>10</w:t>
            </w:r>
          </w:p>
        </w:tc>
        <w:tc>
          <w:tcPr>
            <w:tcW w:w="1150" w:type="dxa"/>
            <w:tcBorders>
              <w:top w:val="nil"/>
              <w:left w:val="nil"/>
              <w:bottom w:val="nil"/>
              <w:right w:val="nil"/>
            </w:tcBorders>
            <w:shd w:val="clear" w:color="000000" w:fill="CCCCCC"/>
            <w:noWrap/>
          </w:tcPr>
          <w:p w:rsidR="004843DB" w:rsidRPr="0062582F" w:rsidRDefault="004843DB" w:rsidP="004843DB">
            <w:pPr>
              <w:pStyle w:val="TableofFigures"/>
            </w:pPr>
            <w:r w:rsidRPr="0062582F">
              <w:t>8 572</w:t>
            </w:r>
          </w:p>
        </w:tc>
        <w:tc>
          <w:tcPr>
            <w:tcW w:w="1150" w:type="dxa"/>
            <w:tcBorders>
              <w:top w:val="nil"/>
              <w:left w:val="nil"/>
              <w:bottom w:val="nil"/>
              <w:right w:val="nil"/>
            </w:tcBorders>
            <w:shd w:val="clear" w:color="auto" w:fill="auto"/>
            <w:noWrap/>
          </w:tcPr>
          <w:p w:rsidR="004843DB" w:rsidRPr="0062582F" w:rsidRDefault="004843DB" w:rsidP="004843DB">
            <w:pPr>
              <w:pStyle w:val="TableofFigures"/>
            </w:pPr>
            <w:r w:rsidRPr="0062582F">
              <w:t>11 757</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Investments and other financial assets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12</w:t>
            </w:r>
          </w:p>
        </w:tc>
        <w:tc>
          <w:tcPr>
            <w:tcW w:w="1150" w:type="dxa"/>
            <w:tcBorders>
              <w:top w:val="nil"/>
              <w:left w:val="nil"/>
              <w:right w:val="nil"/>
            </w:tcBorders>
            <w:shd w:val="clear" w:color="000000" w:fill="CCCCCC"/>
            <w:noWrap/>
            <w:hideMark/>
          </w:tcPr>
          <w:p w:rsidR="004843DB" w:rsidRPr="0062582F" w:rsidRDefault="004843DB" w:rsidP="004843DB">
            <w:pPr>
              <w:pStyle w:val="TableofFigures"/>
            </w:pPr>
            <w:r w:rsidRPr="0062582F">
              <w:t>13 976</w:t>
            </w:r>
          </w:p>
        </w:tc>
        <w:tc>
          <w:tcPr>
            <w:tcW w:w="1150" w:type="dxa"/>
            <w:tcBorders>
              <w:top w:val="nil"/>
              <w:left w:val="nil"/>
              <w:right w:val="nil"/>
            </w:tcBorders>
            <w:shd w:val="clear" w:color="auto" w:fill="auto"/>
            <w:noWrap/>
            <w:hideMark/>
          </w:tcPr>
          <w:p w:rsidR="004843DB" w:rsidRPr="0062582F" w:rsidRDefault="004843DB" w:rsidP="004843DB">
            <w:pPr>
              <w:pStyle w:val="TableofFigures"/>
            </w:pPr>
            <w:r w:rsidRPr="0062582F">
              <w:t>16 731</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Investments accounted for using the equity method</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13</w:t>
            </w:r>
          </w:p>
        </w:tc>
        <w:tc>
          <w:tcPr>
            <w:tcW w:w="115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5 187</w:t>
            </w:r>
          </w:p>
        </w:tc>
        <w:tc>
          <w:tcPr>
            <w:tcW w:w="11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6 112</w:t>
            </w:r>
          </w:p>
        </w:tc>
      </w:tr>
      <w:tr w:rsidR="004843DB" w:rsidRPr="0062582F" w:rsidTr="004843DB">
        <w:trPr>
          <w:cantSplit/>
        </w:trPr>
        <w:tc>
          <w:tcPr>
            <w:tcW w:w="4975"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financial assets</w:t>
            </w:r>
          </w:p>
        </w:tc>
        <w:tc>
          <w:tcPr>
            <w:tcW w:w="7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jc w:val="center"/>
              <w:rPr>
                <w:b/>
              </w:rPr>
            </w:pPr>
          </w:p>
        </w:tc>
        <w:tc>
          <w:tcPr>
            <w:tcW w:w="115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123 308</w:t>
            </w:r>
          </w:p>
        </w:tc>
        <w:tc>
          <w:tcPr>
            <w:tcW w:w="115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103 792</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Non</w:t>
            </w:r>
            <w:r w:rsidR="005A4BB0">
              <w:rPr>
                <w:b/>
              </w:rPr>
              <w:noBreakHyphen/>
            </w:r>
            <w:r w:rsidRPr="0062582F">
              <w:rPr>
                <w:b/>
              </w:rPr>
              <w:t>financial assets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pP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Inventories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16</w:t>
            </w: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12 056</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19 733</w:t>
            </w:r>
          </w:p>
        </w:tc>
      </w:tr>
      <w:tr w:rsidR="004843DB" w:rsidRPr="0062582F" w:rsidTr="004843DB">
        <w:trPr>
          <w:cantSplit/>
        </w:trPr>
        <w:tc>
          <w:tcPr>
            <w:tcW w:w="4975" w:type="dxa"/>
            <w:tcBorders>
              <w:top w:val="nil"/>
              <w:left w:val="nil"/>
              <w:bottom w:val="nil"/>
              <w:right w:val="nil"/>
            </w:tcBorders>
            <w:shd w:val="clear" w:color="auto" w:fill="auto"/>
          </w:tcPr>
          <w:p w:rsidR="004843DB" w:rsidRPr="0062582F" w:rsidRDefault="004843DB" w:rsidP="004843DB">
            <w:pPr>
              <w:pStyle w:val="Tabletext"/>
            </w:pPr>
            <w:r w:rsidRPr="0062582F">
              <w:t>Non</w:t>
            </w:r>
            <w:r w:rsidR="005A4BB0">
              <w:noBreakHyphen/>
            </w:r>
            <w:r w:rsidRPr="0062582F">
              <w:t>financial physical assets classified as held for sale including disposal group assets</w:t>
            </w:r>
          </w:p>
        </w:tc>
        <w:tc>
          <w:tcPr>
            <w:tcW w:w="760" w:type="dxa"/>
            <w:tcBorders>
              <w:top w:val="nil"/>
              <w:left w:val="nil"/>
              <w:bottom w:val="nil"/>
              <w:right w:val="nil"/>
            </w:tcBorders>
            <w:shd w:val="clear" w:color="auto" w:fill="auto"/>
            <w:noWrap/>
          </w:tcPr>
          <w:p w:rsidR="004843DB" w:rsidRPr="0062582F" w:rsidRDefault="004843DB" w:rsidP="004843DB">
            <w:pPr>
              <w:pStyle w:val="TableofFigures"/>
              <w:jc w:val="center"/>
              <w:rPr>
                <w:iCs/>
              </w:rPr>
            </w:pPr>
            <w:r w:rsidRPr="0062582F">
              <w:rPr>
                <w:iCs/>
              </w:rPr>
              <w:t>10, 15</w:t>
            </w:r>
          </w:p>
        </w:tc>
        <w:tc>
          <w:tcPr>
            <w:tcW w:w="1150" w:type="dxa"/>
            <w:tcBorders>
              <w:top w:val="nil"/>
              <w:left w:val="nil"/>
              <w:bottom w:val="nil"/>
              <w:right w:val="nil"/>
            </w:tcBorders>
            <w:shd w:val="clear" w:color="000000" w:fill="CCCCCC"/>
            <w:noWrap/>
          </w:tcPr>
          <w:p w:rsidR="004843DB" w:rsidRPr="0062582F" w:rsidRDefault="004843DB" w:rsidP="004843DB">
            <w:pPr>
              <w:pStyle w:val="TableofFigures"/>
            </w:pPr>
            <w:r w:rsidRPr="0062582F">
              <w:t>6 781</w:t>
            </w:r>
          </w:p>
        </w:tc>
        <w:tc>
          <w:tcPr>
            <w:tcW w:w="1150" w:type="dxa"/>
            <w:tcBorders>
              <w:top w:val="nil"/>
              <w:left w:val="nil"/>
              <w:bottom w:val="nil"/>
              <w:right w:val="nil"/>
            </w:tcBorders>
            <w:shd w:val="clear" w:color="auto" w:fill="auto"/>
            <w:noWrap/>
          </w:tcPr>
          <w:p w:rsidR="004843DB" w:rsidRPr="0062582F" w:rsidRDefault="004843DB" w:rsidP="004843DB">
            <w:pPr>
              <w:pStyle w:val="TableofFigures"/>
            </w:pPr>
            <w:r w:rsidRPr="0062582F">
              <w:t>14 599</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Property, plant and equipment</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17</w:t>
            </w: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83 044</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76 807</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Biological assets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18</w:t>
            </w: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4 034</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Investment properties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19</w:t>
            </w: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2 354</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5 029</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Intangible assets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20</w:t>
            </w:r>
          </w:p>
        </w:tc>
        <w:tc>
          <w:tcPr>
            <w:tcW w:w="1150" w:type="dxa"/>
            <w:tcBorders>
              <w:top w:val="nil"/>
              <w:left w:val="nil"/>
              <w:right w:val="nil"/>
            </w:tcBorders>
            <w:shd w:val="clear" w:color="000000" w:fill="CCCCCC"/>
            <w:noWrap/>
            <w:hideMark/>
          </w:tcPr>
          <w:p w:rsidR="004843DB" w:rsidRPr="0062582F" w:rsidRDefault="004843DB" w:rsidP="004843DB">
            <w:pPr>
              <w:pStyle w:val="TableofFigures"/>
            </w:pPr>
            <w:r w:rsidRPr="0062582F">
              <w:t>5 974</w:t>
            </w:r>
          </w:p>
        </w:tc>
        <w:tc>
          <w:tcPr>
            <w:tcW w:w="1150" w:type="dxa"/>
            <w:tcBorders>
              <w:top w:val="nil"/>
              <w:left w:val="nil"/>
              <w:right w:val="nil"/>
            </w:tcBorders>
            <w:shd w:val="clear" w:color="auto" w:fill="auto"/>
            <w:noWrap/>
            <w:hideMark/>
          </w:tcPr>
          <w:p w:rsidR="004843DB" w:rsidRPr="0062582F" w:rsidRDefault="004843DB" w:rsidP="004843DB">
            <w:pPr>
              <w:pStyle w:val="TableofFigures"/>
            </w:pPr>
            <w:r w:rsidRPr="0062582F">
              <w:t>7 447</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Other non</w:t>
            </w:r>
            <w:r w:rsidR="005A4BB0">
              <w:noBreakHyphen/>
            </w:r>
            <w:r w:rsidRPr="0062582F">
              <w:t>financial assets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21</w:t>
            </w:r>
          </w:p>
        </w:tc>
        <w:tc>
          <w:tcPr>
            <w:tcW w:w="115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1 483</w:t>
            </w:r>
          </w:p>
        </w:tc>
        <w:tc>
          <w:tcPr>
            <w:tcW w:w="11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380</w:t>
            </w:r>
          </w:p>
        </w:tc>
      </w:tr>
      <w:tr w:rsidR="004843DB" w:rsidRPr="0062582F" w:rsidTr="004843DB">
        <w:trPr>
          <w:cantSplit/>
        </w:trPr>
        <w:tc>
          <w:tcPr>
            <w:tcW w:w="4975"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non</w:t>
            </w:r>
            <w:r w:rsidR="005A4BB0">
              <w:rPr>
                <w:b/>
              </w:rPr>
              <w:noBreakHyphen/>
            </w:r>
            <w:r w:rsidRPr="0062582F">
              <w:rPr>
                <w:b/>
              </w:rPr>
              <w:t>financial assets</w:t>
            </w:r>
          </w:p>
        </w:tc>
        <w:tc>
          <w:tcPr>
            <w:tcW w:w="7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jc w:val="center"/>
              <w:rPr>
                <w:b/>
              </w:rPr>
            </w:pPr>
          </w:p>
        </w:tc>
        <w:tc>
          <w:tcPr>
            <w:tcW w:w="115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115 726</w:t>
            </w:r>
          </w:p>
        </w:tc>
        <w:tc>
          <w:tcPr>
            <w:tcW w:w="115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123 995</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Total assets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b/>
              </w:rPr>
            </w:pP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239 034</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227 787</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Liabilities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b/>
              </w:rPr>
            </w:pP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Payables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22</w:t>
            </w: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17 591</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16 704</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Borrowings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23</w:t>
            </w: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62 074</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65 548</w:t>
            </w:r>
          </w:p>
        </w:tc>
      </w:tr>
      <w:tr w:rsidR="004843DB" w:rsidRPr="0062582F" w:rsidTr="004843DB">
        <w:trPr>
          <w:cantSplit/>
          <w:trHeight w:val="261"/>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Provisions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24</w:t>
            </w: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12 906</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21 011</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Other liabilities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pP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592</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583</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Liabilities directly associated with assets classified as held for sale including disposal groups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10, 15</w:t>
            </w:r>
          </w:p>
        </w:tc>
        <w:tc>
          <w:tcPr>
            <w:tcW w:w="115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4 438</w:t>
            </w:r>
          </w:p>
        </w:tc>
        <w:tc>
          <w:tcPr>
            <w:tcW w:w="11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8 980</w:t>
            </w:r>
          </w:p>
        </w:tc>
      </w:tr>
      <w:tr w:rsidR="004843DB" w:rsidRPr="0062582F" w:rsidTr="004843DB">
        <w:trPr>
          <w:cantSplit/>
        </w:trPr>
        <w:tc>
          <w:tcPr>
            <w:tcW w:w="4975"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liabilities</w:t>
            </w:r>
          </w:p>
        </w:tc>
        <w:tc>
          <w:tcPr>
            <w:tcW w:w="7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jc w:val="center"/>
              <w:rPr>
                <w:b/>
              </w:rPr>
            </w:pPr>
          </w:p>
        </w:tc>
        <w:tc>
          <w:tcPr>
            <w:tcW w:w="115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97 601</w:t>
            </w:r>
          </w:p>
        </w:tc>
        <w:tc>
          <w:tcPr>
            <w:tcW w:w="11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112 826</w:t>
            </w:r>
          </w:p>
        </w:tc>
      </w:tr>
      <w:tr w:rsidR="004843DB" w:rsidRPr="0062582F" w:rsidTr="004843DB">
        <w:trPr>
          <w:cantSplit/>
        </w:trPr>
        <w:tc>
          <w:tcPr>
            <w:tcW w:w="4975"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Net assets</w:t>
            </w:r>
          </w:p>
        </w:tc>
        <w:tc>
          <w:tcPr>
            <w:tcW w:w="76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jc w:val="center"/>
              <w:rPr>
                <w:b/>
              </w:rPr>
            </w:pPr>
          </w:p>
        </w:tc>
        <w:tc>
          <w:tcPr>
            <w:tcW w:w="115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141 432</w:t>
            </w:r>
          </w:p>
        </w:tc>
        <w:tc>
          <w:tcPr>
            <w:tcW w:w="11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114 961</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Equity</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pP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Accumulated surplus/(deficit)</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pP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76 434</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71 133</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Physical asset revaluation surplus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35</w:t>
            </w: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7 338</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3 759</w:t>
            </w:r>
          </w:p>
        </w:tc>
      </w:tr>
      <w:tr w:rsidR="004843DB" w:rsidRPr="0062582F" w:rsidTr="004843DB">
        <w:trPr>
          <w:cantSplit/>
        </w:trPr>
        <w:tc>
          <w:tcPr>
            <w:tcW w:w="4975" w:type="dxa"/>
            <w:tcBorders>
              <w:top w:val="nil"/>
              <w:left w:val="nil"/>
              <w:bottom w:val="nil"/>
              <w:right w:val="nil"/>
            </w:tcBorders>
            <w:shd w:val="clear" w:color="auto" w:fill="auto"/>
            <w:hideMark/>
          </w:tcPr>
          <w:p w:rsidR="004843DB" w:rsidRPr="0062582F" w:rsidRDefault="004843DB" w:rsidP="004843DB">
            <w:pPr>
              <w:pStyle w:val="Tabletext"/>
            </w:pPr>
            <w:r w:rsidRPr="0062582F">
              <w:t>Financial assets available</w:t>
            </w:r>
            <w:r w:rsidR="005A4BB0">
              <w:noBreakHyphen/>
            </w:r>
            <w:r w:rsidRPr="0062582F">
              <w:t>for</w:t>
            </w:r>
            <w:r w:rsidR="005A4BB0">
              <w:noBreakHyphen/>
            </w:r>
            <w:r w:rsidRPr="0062582F">
              <w:t>sale revaluation surplus</w:t>
            </w:r>
          </w:p>
        </w:tc>
        <w:tc>
          <w:tcPr>
            <w:tcW w:w="760" w:type="dxa"/>
            <w:tcBorders>
              <w:top w:val="nil"/>
              <w:left w:val="nil"/>
              <w:bottom w:val="nil"/>
              <w:right w:val="nil"/>
            </w:tcBorders>
            <w:shd w:val="clear" w:color="auto" w:fill="auto"/>
            <w:noWrap/>
            <w:hideMark/>
          </w:tcPr>
          <w:p w:rsidR="004843DB" w:rsidRPr="0062582F" w:rsidRDefault="004843DB" w:rsidP="004843DB">
            <w:pPr>
              <w:pStyle w:val="TableofFigures"/>
              <w:jc w:val="center"/>
              <w:rPr>
                <w:iCs/>
              </w:rPr>
            </w:pPr>
            <w:r w:rsidRPr="0062582F">
              <w:rPr>
                <w:iCs/>
              </w:rPr>
              <w:t>35</w:t>
            </w:r>
          </w:p>
        </w:tc>
        <w:tc>
          <w:tcPr>
            <w:tcW w:w="115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200</w:t>
            </w:r>
          </w:p>
        </w:tc>
        <w:tc>
          <w:tcPr>
            <w:tcW w:w="11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1 723</w:t>
            </w:r>
          </w:p>
        </w:tc>
      </w:tr>
      <w:tr w:rsidR="004843DB" w:rsidRPr="0062582F" w:rsidTr="004843DB">
        <w:trPr>
          <w:cantSplit/>
        </w:trPr>
        <w:tc>
          <w:tcPr>
            <w:tcW w:w="4975" w:type="dxa"/>
            <w:tcBorders>
              <w:top w:val="nil"/>
              <w:left w:val="nil"/>
              <w:bottom w:val="single" w:sz="6" w:space="0" w:color="auto"/>
              <w:right w:val="nil"/>
            </w:tcBorders>
            <w:shd w:val="clear" w:color="auto" w:fill="auto"/>
            <w:hideMark/>
          </w:tcPr>
          <w:p w:rsidR="004843DB" w:rsidRPr="0062582F" w:rsidRDefault="004843DB" w:rsidP="004843DB">
            <w:pPr>
              <w:pStyle w:val="Tabletext"/>
            </w:pPr>
            <w:r w:rsidRPr="0062582F">
              <w:t>Contributed capital</w:t>
            </w:r>
          </w:p>
        </w:tc>
        <w:tc>
          <w:tcPr>
            <w:tcW w:w="76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jc w:val="center"/>
            </w:pPr>
          </w:p>
        </w:tc>
        <w:tc>
          <w:tcPr>
            <w:tcW w:w="1150" w:type="dxa"/>
            <w:tcBorders>
              <w:top w:val="nil"/>
              <w:left w:val="nil"/>
              <w:bottom w:val="single" w:sz="6" w:space="0" w:color="auto"/>
              <w:right w:val="nil"/>
            </w:tcBorders>
            <w:shd w:val="clear" w:color="000000" w:fill="CCCCCC"/>
            <w:noWrap/>
            <w:hideMark/>
          </w:tcPr>
          <w:p w:rsidR="004843DB" w:rsidRPr="0062582F" w:rsidRDefault="004843DB" w:rsidP="004843DB">
            <w:pPr>
              <w:pStyle w:val="TableofFigures"/>
            </w:pPr>
            <w:r w:rsidRPr="0062582F">
              <w:t>57 460</w:t>
            </w:r>
          </w:p>
        </w:tc>
        <w:tc>
          <w:tcPr>
            <w:tcW w:w="115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38 345</w:t>
            </w:r>
          </w:p>
        </w:tc>
      </w:tr>
      <w:tr w:rsidR="004843DB" w:rsidRPr="0062582F" w:rsidTr="004843DB">
        <w:trPr>
          <w:cantSplit/>
        </w:trPr>
        <w:tc>
          <w:tcPr>
            <w:tcW w:w="4975" w:type="dxa"/>
            <w:tcBorders>
              <w:top w:val="single" w:sz="6"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Net worth</w:t>
            </w:r>
          </w:p>
        </w:tc>
        <w:tc>
          <w:tcPr>
            <w:tcW w:w="760"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jc w:val="center"/>
              <w:rPr>
                <w:b/>
              </w:rPr>
            </w:pPr>
          </w:p>
        </w:tc>
        <w:tc>
          <w:tcPr>
            <w:tcW w:w="1150" w:type="dxa"/>
            <w:tcBorders>
              <w:top w:val="single" w:sz="6"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141 432</w:t>
            </w:r>
          </w:p>
        </w:tc>
        <w:tc>
          <w:tcPr>
            <w:tcW w:w="1150"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114 960</w:t>
            </w:r>
          </w:p>
        </w:tc>
      </w:tr>
      <w:tr w:rsidR="004843DB" w:rsidRPr="0062582F" w:rsidTr="004843DB">
        <w:trPr>
          <w:cantSplit/>
        </w:trPr>
        <w:tc>
          <w:tcPr>
            <w:tcW w:w="4975" w:type="dxa"/>
            <w:tcBorders>
              <w:top w:val="single" w:sz="12" w:space="0" w:color="auto"/>
              <w:left w:val="nil"/>
              <w:right w:val="nil"/>
            </w:tcBorders>
            <w:shd w:val="clear" w:color="auto" w:fill="auto"/>
            <w:hideMark/>
          </w:tcPr>
          <w:p w:rsidR="004843DB" w:rsidRPr="0062582F" w:rsidRDefault="004843DB" w:rsidP="004843DB">
            <w:pPr>
              <w:pStyle w:val="Tabletext"/>
            </w:pPr>
            <w:r w:rsidRPr="0062582F">
              <w:t>Commitments for expenditure</w:t>
            </w:r>
          </w:p>
        </w:tc>
        <w:tc>
          <w:tcPr>
            <w:tcW w:w="760" w:type="dxa"/>
            <w:tcBorders>
              <w:top w:val="single" w:sz="12" w:space="0" w:color="auto"/>
              <w:left w:val="nil"/>
              <w:right w:val="nil"/>
            </w:tcBorders>
            <w:shd w:val="clear" w:color="auto" w:fill="auto"/>
            <w:noWrap/>
            <w:hideMark/>
          </w:tcPr>
          <w:p w:rsidR="004843DB" w:rsidRPr="0062582F" w:rsidRDefault="004843DB" w:rsidP="004843DB">
            <w:pPr>
              <w:pStyle w:val="TableofFigures"/>
              <w:jc w:val="center"/>
              <w:rPr>
                <w:iCs/>
              </w:rPr>
            </w:pPr>
            <w:r w:rsidRPr="0062582F">
              <w:rPr>
                <w:iCs/>
              </w:rPr>
              <w:t>31</w:t>
            </w:r>
          </w:p>
        </w:tc>
        <w:tc>
          <w:tcPr>
            <w:tcW w:w="1150" w:type="dxa"/>
            <w:tcBorders>
              <w:top w:val="single" w:sz="12" w:space="0" w:color="auto"/>
              <w:left w:val="nil"/>
              <w:right w:val="nil"/>
            </w:tcBorders>
            <w:shd w:val="clear" w:color="auto" w:fill="auto"/>
            <w:noWrap/>
            <w:hideMark/>
          </w:tcPr>
          <w:p w:rsidR="004843DB" w:rsidRPr="0062582F" w:rsidRDefault="004843DB" w:rsidP="004843DB">
            <w:pPr>
              <w:pStyle w:val="TableofFigures"/>
            </w:pPr>
            <w:r w:rsidRPr="0062582F">
              <w:t xml:space="preserve"> </w:t>
            </w:r>
          </w:p>
        </w:tc>
        <w:tc>
          <w:tcPr>
            <w:tcW w:w="1150" w:type="dxa"/>
            <w:tcBorders>
              <w:top w:val="single" w:sz="12" w:space="0" w:color="auto"/>
              <w:left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4975" w:type="dxa"/>
            <w:tcBorders>
              <w:top w:val="nil"/>
              <w:left w:val="nil"/>
              <w:bottom w:val="single" w:sz="6" w:space="0" w:color="auto"/>
              <w:right w:val="nil"/>
            </w:tcBorders>
            <w:shd w:val="clear" w:color="auto" w:fill="auto"/>
            <w:hideMark/>
          </w:tcPr>
          <w:p w:rsidR="004843DB" w:rsidRPr="0062582F" w:rsidRDefault="004843DB" w:rsidP="004843DB">
            <w:pPr>
              <w:pStyle w:val="Tabletext"/>
            </w:pPr>
            <w:r w:rsidRPr="0062582F">
              <w:t>Contingent assets and contingent liabilities</w:t>
            </w:r>
          </w:p>
        </w:tc>
        <w:tc>
          <w:tcPr>
            <w:tcW w:w="76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jc w:val="center"/>
              <w:rPr>
                <w:iCs/>
              </w:rPr>
            </w:pPr>
            <w:r w:rsidRPr="0062582F">
              <w:rPr>
                <w:iCs/>
              </w:rPr>
              <w:t>32</w:t>
            </w:r>
          </w:p>
        </w:tc>
        <w:tc>
          <w:tcPr>
            <w:tcW w:w="115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 xml:space="preserve"> </w:t>
            </w:r>
          </w:p>
        </w:tc>
        <w:tc>
          <w:tcPr>
            <w:tcW w:w="115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 xml:space="preserve"> </w:t>
            </w:r>
          </w:p>
        </w:tc>
      </w:tr>
    </w:tbl>
    <w:p w:rsidR="004843DB" w:rsidRPr="0062582F" w:rsidRDefault="004843DB" w:rsidP="004843DB">
      <w:pPr>
        <w:rPr>
          <w:b/>
        </w:rPr>
        <w:sectPr w:rsidR="004843DB" w:rsidRPr="0062582F" w:rsidSect="00190A01">
          <w:headerReference w:type="even" r:id="rId162"/>
          <w:headerReference w:type="default" r:id="rId163"/>
          <w:headerReference w:type="first" r:id="rId164"/>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rStyle w:val="ReferenceRedChar"/>
          <w:color w:val="0000FF"/>
        </w:rPr>
      </w:pPr>
    </w:p>
    <w:p w:rsidR="004843DB" w:rsidRPr="0062582F" w:rsidRDefault="004843DB" w:rsidP="004843DB">
      <w:pPr>
        <w:spacing w:before="240"/>
        <w:rPr>
          <w:b/>
        </w:rPr>
      </w:pPr>
      <w:r w:rsidRPr="0062582F">
        <w:rPr>
          <w:b/>
        </w:rPr>
        <w:br w:type="column"/>
      </w:r>
      <w:r w:rsidRPr="0062582F">
        <w:rPr>
          <w:b/>
        </w:rPr>
        <w:lastRenderedPageBreak/>
        <w:t>The balance sheet should be read in conjunction with the notes to the financial statements.</w:t>
      </w:r>
    </w:p>
    <w:p w:rsidR="004843DB" w:rsidRPr="0062582F" w:rsidRDefault="004843DB" w:rsidP="004843DB">
      <w:pPr>
        <w:pStyle w:val="NotesBlue"/>
        <w:ind w:left="0" w:firstLine="0"/>
      </w:pPr>
      <w:r w:rsidRPr="0062582F">
        <w:t>[A sample third balance sheet is presented in the commentary for Note 8.]</w:t>
      </w:r>
    </w:p>
    <w:p w:rsidR="004843DB" w:rsidRPr="0062582F" w:rsidRDefault="004843DB" w:rsidP="004843DB">
      <w:pPr>
        <w:pStyle w:val="NotesBlue"/>
        <w:ind w:left="0" w:firstLine="0"/>
      </w:pPr>
      <w:r w:rsidRPr="0062582F">
        <w:t>[For guidance as to when a third balance sheet is required to be disclosed, or guidance on the presentation of a third balance sheet, refer to the commentary – balance sheet on the following pages.]</w:t>
      </w:r>
    </w:p>
    <w:p w:rsidR="004843DB" w:rsidRPr="0062582F" w:rsidRDefault="004843DB" w:rsidP="004843DB"/>
    <w:p w:rsidR="004843DB" w:rsidRPr="0062582F" w:rsidRDefault="004843DB" w:rsidP="004843DB">
      <w:pPr>
        <w:pStyle w:val="Reference"/>
        <w:rPr>
          <w:rFonts w:ascii="Garamond" w:hAnsi="Garamond"/>
          <w:color w:val="auto"/>
          <w:sz w:val="22"/>
          <w:lang w:val="en-AU"/>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bookmarkStart w:id="240" w:name="_Toc163448562"/>
      <w:r w:rsidRPr="0062582F">
        <w:lastRenderedPageBreak/>
        <w:br w:type="column"/>
      </w:r>
    </w:p>
    <w:p w:rsidR="004843DB" w:rsidRPr="0062582F" w:rsidRDefault="004843DB" w:rsidP="004843DB">
      <w:pPr>
        <w:pStyle w:val="CommentaryHeading"/>
      </w:pPr>
      <w:r w:rsidRPr="0062582F">
        <w:t xml:space="preserve">Commentary – </w:t>
      </w:r>
      <w:bookmarkEnd w:id="240"/>
      <w:r w:rsidRPr="0062582F">
        <w:t>Balance sheet</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bottom w:val="none" w:sz="0" w:space="0" w:color="auto"/>
        </w:pBdr>
      </w:pPr>
      <w:r w:rsidRPr="0062582F">
        <w:t>Presentation of the balance sheet</w:t>
      </w:r>
    </w:p>
    <w:p w:rsidR="004843DB" w:rsidRPr="0062582F" w:rsidRDefault="004843DB" w:rsidP="004843DB">
      <w:pPr>
        <w:pStyle w:val="CommentaryHeading2"/>
      </w:pPr>
      <w:r w:rsidRPr="0062582F">
        <w:t>Current/non</w:t>
      </w:r>
      <w:r w:rsidR="005A4BB0">
        <w:noBreakHyphen/>
      </w:r>
      <w:r w:rsidRPr="0062582F">
        <w:t>current vs liquidity presentation</w:t>
      </w:r>
    </w:p>
    <w:p w:rsidR="004843DB" w:rsidRPr="0062582F" w:rsidRDefault="004843DB" w:rsidP="004843DB">
      <w:pPr>
        <w:pStyle w:val="CommentaryText"/>
        <w:pBdr>
          <w:top w:val="none" w:sz="0" w:space="0" w:color="auto"/>
          <w:bottom w:val="none" w:sz="0" w:space="0" w:color="auto"/>
        </w:pBdr>
      </w:pPr>
      <w:r w:rsidRPr="0062582F">
        <w:t>The balance sheet presents:</w:t>
      </w:r>
    </w:p>
    <w:p w:rsidR="004843DB" w:rsidRPr="0062582F" w:rsidRDefault="004843DB" w:rsidP="004843DB">
      <w:pPr>
        <w:pStyle w:val="CommentaryBullet"/>
      </w:pPr>
      <w:r w:rsidRPr="0062582F">
        <w:t>line items in liquidity order; and</w:t>
      </w:r>
    </w:p>
    <w:p w:rsidR="004843DB" w:rsidRPr="0062582F" w:rsidRDefault="004843DB" w:rsidP="004843DB">
      <w:pPr>
        <w:pStyle w:val="CommentaryBullet"/>
      </w:pPr>
      <w:r w:rsidRPr="0062582F">
        <w:t>assets split into financial and non</w:t>
      </w:r>
      <w:r w:rsidR="005A4BB0">
        <w:noBreakHyphen/>
      </w:r>
      <w:r w:rsidRPr="0062582F">
        <w:t xml:space="preserve">financial assets. </w:t>
      </w:r>
    </w:p>
    <w:p w:rsidR="004843DB" w:rsidRPr="0062582F" w:rsidRDefault="004843DB" w:rsidP="004843DB">
      <w:pPr>
        <w:pStyle w:val="CommentaryText"/>
        <w:pBdr>
          <w:top w:val="none" w:sz="0" w:space="0" w:color="auto"/>
          <w:bottom w:val="none" w:sz="0" w:space="0" w:color="auto"/>
        </w:pBdr>
        <w:sectPr w:rsidR="004843DB" w:rsidRPr="0062582F" w:rsidSect="00190A01">
          <w:headerReference w:type="even" r:id="rId165"/>
          <w:headerReference w:type="default" r:id="rId166"/>
          <w:headerReference w:type="first" r:id="rId167"/>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lastRenderedPageBreak/>
        <w:t>AASB 101.60</w:t>
      </w:r>
      <w:r w:rsidR="005A4BB0">
        <w:rPr>
          <w:lang w:val="en-AU"/>
        </w:rPr>
        <w:noBreakHyphen/>
      </w:r>
      <w:r w:rsidRPr="0062582F">
        <w:rPr>
          <w:lang w:val="en-AU"/>
        </w:rPr>
        <w:t>61</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 xml:space="preserve">Aligned with AASB 1049 presentation, an entity shall present assets and liabilities based on the order of liquidity in the balance sheet. The presentation of </w:t>
      </w:r>
      <w:r w:rsidR="005A4BB0">
        <w:t>‘</w:t>
      </w:r>
      <w:r w:rsidRPr="0062582F">
        <w:t>current</w:t>
      </w:r>
      <w:r w:rsidR="005A4BB0">
        <w:t>’</w:t>
      </w:r>
      <w:r w:rsidRPr="0062582F">
        <w:t xml:space="preserve"> and </w:t>
      </w:r>
      <w:r w:rsidR="005A4BB0">
        <w:t>‘</w:t>
      </w:r>
      <w:r w:rsidRPr="0062582F">
        <w:t>non</w:t>
      </w:r>
      <w:r w:rsidR="005A4BB0">
        <w:noBreakHyphen/>
      </w:r>
      <w:r w:rsidRPr="0062582F">
        <w:t>current</w:t>
      </w:r>
      <w:r w:rsidR="005A4BB0">
        <w:t>’</w:t>
      </w:r>
      <w:r w:rsidRPr="0062582F">
        <w:t xml:space="preserve"> assets and liabilities are in the notes, in accordance with AASB 101 paragraphs 60 and 61.</w:t>
      </w:r>
    </w:p>
    <w:p w:rsidR="004843DB" w:rsidRPr="0062582F" w:rsidRDefault="004843DB" w:rsidP="004843DB">
      <w:pPr>
        <w:pStyle w:val="CommentaryHeading1"/>
        <w:pBdr>
          <w:top w:val="none" w:sz="0" w:space="0" w:color="auto"/>
          <w:bottom w:val="none" w:sz="0" w:space="0" w:color="auto"/>
        </w:pBdr>
      </w:pPr>
      <w:bookmarkStart w:id="241" w:name="_Toc163448563"/>
      <w:r w:rsidRPr="0062582F">
        <w:t>Information to be presented</w:t>
      </w:r>
      <w:bookmarkEnd w:id="241"/>
    </w:p>
    <w:p w:rsidR="004843DB" w:rsidRPr="0062582F" w:rsidRDefault="004843DB" w:rsidP="004843DB">
      <w:pPr>
        <w:pStyle w:val="CommentaryHeading2"/>
      </w:pPr>
      <w:bookmarkStart w:id="242" w:name="_Toc163448564"/>
      <w:r w:rsidRPr="0062582F">
        <w:t xml:space="preserve">In the </w:t>
      </w:r>
      <w:bookmarkEnd w:id="242"/>
      <w:r w:rsidRPr="0062582F">
        <w:t>balance sheet</w:t>
      </w: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lastRenderedPageBreak/>
        <w:t>AASB </w:t>
      </w:r>
      <w:r w:rsidRPr="0062582F">
        <w:rPr>
          <w:lang w:val="en-AU"/>
        </w:rPr>
        <w:t>101.54</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Paragraph 54 of AASB 101 sets out the line items that shall, as a minimum, be presented in the balance sheet, and these are:</w:t>
      </w:r>
    </w:p>
    <w:p w:rsidR="004843DB" w:rsidRPr="0062582F" w:rsidRDefault="004843DB" w:rsidP="004843DB">
      <w:pPr>
        <w:pStyle w:val="CommentaryHeading2"/>
      </w:pPr>
      <w:bookmarkStart w:id="243" w:name="_Toc163448565"/>
      <w:r w:rsidRPr="0062582F">
        <w:t>Assets</w:t>
      </w:r>
      <w:bookmarkEnd w:id="243"/>
    </w:p>
    <w:p w:rsidR="004843DB" w:rsidRPr="0062582F" w:rsidRDefault="004843DB" w:rsidP="004843DB">
      <w:pPr>
        <w:pStyle w:val="CommentaryBullet"/>
      </w:pPr>
      <w:r w:rsidRPr="0062582F">
        <w:t>cash and cash equivalents;</w:t>
      </w:r>
    </w:p>
    <w:p w:rsidR="004843DB" w:rsidRPr="0062582F" w:rsidRDefault="004843DB" w:rsidP="004843DB">
      <w:pPr>
        <w:pStyle w:val="CommentaryBullet"/>
      </w:pPr>
      <w:r w:rsidRPr="0062582F">
        <w:t>trade and other receivables;</w:t>
      </w:r>
    </w:p>
    <w:p w:rsidR="004843DB" w:rsidRPr="0062582F" w:rsidRDefault="004843DB" w:rsidP="004843DB">
      <w:pPr>
        <w:pStyle w:val="CommentaryBullet"/>
      </w:pPr>
      <w:r w:rsidRPr="0062582F">
        <w:t>inventories;</w:t>
      </w:r>
    </w:p>
    <w:p w:rsidR="004843DB" w:rsidRPr="0062582F" w:rsidRDefault="004843DB" w:rsidP="004843DB">
      <w:pPr>
        <w:pStyle w:val="CommentaryBullet"/>
      </w:pPr>
      <w:r w:rsidRPr="0062582F">
        <w:t>assets held for sale;</w:t>
      </w:r>
    </w:p>
    <w:p w:rsidR="004843DB" w:rsidRPr="0062582F" w:rsidRDefault="004843DB" w:rsidP="004843DB">
      <w:pPr>
        <w:pStyle w:val="CommentaryBullet"/>
      </w:pPr>
      <w:r w:rsidRPr="0062582F">
        <w:t>investment property;</w:t>
      </w:r>
    </w:p>
    <w:p w:rsidR="004843DB" w:rsidRPr="0062582F" w:rsidRDefault="004843DB" w:rsidP="004843DB">
      <w:pPr>
        <w:pStyle w:val="CommentaryBullet"/>
      </w:pPr>
      <w:r w:rsidRPr="0062582F">
        <w:t>biological assets;</w:t>
      </w:r>
    </w:p>
    <w:p w:rsidR="004843DB" w:rsidRPr="0062582F" w:rsidRDefault="004843DB" w:rsidP="004843DB">
      <w:pPr>
        <w:pStyle w:val="CommentaryBullet"/>
      </w:pPr>
      <w:r w:rsidRPr="0062582F">
        <w:t>current tax assets;</w:t>
      </w:r>
    </w:p>
    <w:p w:rsidR="004843DB" w:rsidRPr="0062582F" w:rsidRDefault="004843DB" w:rsidP="004843DB">
      <w:pPr>
        <w:pStyle w:val="CommentaryBullet"/>
      </w:pPr>
      <w:r w:rsidRPr="0062582F">
        <w:t>deferred tax assets;</w:t>
      </w:r>
    </w:p>
    <w:p w:rsidR="004843DB" w:rsidRPr="0062582F" w:rsidRDefault="004843DB" w:rsidP="004843DB">
      <w:pPr>
        <w:pStyle w:val="CommentaryBullet"/>
      </w:pPr>
      <w:r w:rsidRPr="0062582F">
        <w:t>investments accounted for using the equity method (must be recognised as a non</w:t>
      </w:r>
      <w:r w:rsidR="005A4BB0">
        <w:noBreakHyphen/>
      </w:r>
      <w:r w:rsidRPr="0062582F">
        <w:t>current asset);</w:t>
      </w:r>
    </w:p>
    <w:p w:rsidR="004843DB" w:rsidRPr="0062582F" w:rsidRDefault="004843DB" w:rsidP="004843DB">
      <w:pPr>
        <w:pStyle w:val="CommentaryBullet"/>
      </w:pPr>
      <w:r w:rsidRPr="0062582F">
        <w:t>financial assets (excluding cash and cash equivalents, trade and other receivables, inventories and investments accounted for using the equity method);</w:t>
      </w:r>
    </w:p>
    <w:p w:rsidR="004843DB" w:rsidRPr="0062582F" w:rsidRDefault="004843DB" w:rsidP="004843DB">
      <w:pPr>
        <w:pStyle w:val="CommentaryBullet"/>
      </w:pPr>
      <w:r w:rsidRPr="0062582F">
        <w:t>the total assets classified as held for sale and assets included in disposal groups classified as held for sale in accordance with AASB 5;</w:t>
      </w:r>
    </w:p>
    <w:p w:rsidR="004843DB" w:rsidRPr="0062582F" w:rsidRDefault="004843DB" w:rsidP="004843DB">
      <w:pPr>
        <w:pStyle w:val="CommentaryBullet"/>
      </w:pPr>
      <w:r w:rsidRPr="0062582F">
        <w:t>property, plant and equipment; and</w:t>
      </w:r>
    </w:p>
    <w:p w:rsidR="004843DB" w:rsidRPr="0062582F" w:rsidRDefault="004843DB" w:rsidP="004843DB">
      <w:pPr>
        <w:pStyle w:val="CommentaryBullet"/>
      </w:pPr>
      <w:r w:rsidRPr="0062582F">
        <w:t>intangible assets.</w:t>
      </w:r>
    </w:p>
    <w:p w:rsidR="004843DB" w:rsidRPr="0062582F" w:rsidRDefault="004843DB" w:rsidP="004843DB">
      <w:pPr>
        <w:pStyle w:val="CommentaryBullet"/>
        <w:sectPr w:rsidR="004843DB" w:rsidRPr="0062582F" w:rsidSect="00190A01">
          <w:headerReference w:type="even" r:id="rId168"/>
          <w:headerReference w:type="default" r:id="rId169"/>
          <w:headerReference w:type="first" r:id="rId170"/>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80"/>
        <w:rPr>
          <w:rStyle w:val="ReferenceChar"/>
        </w:rPr>
      </w:pPr>
      <w:r w:rsidRPr="0062582F">
        <w:rPr>
          <w:rStyle w:val="ReferenceChar"/>
        </w:rPr>
        <w:lastRenderedPageBreak/>
        <w:t>AASB 101.54</w:t>
      </w:r>
    </w:p>
    <w:p w:rsidR="004843DB" w:rsidRPr="0062582F" w:rsidRDefault="004843DB" w:rsidP="004843DB">
      <w:pPr>
        <w:pStyle w:val="CommentaryHeading1"/>
        <w:pBdr>
          <w:top w:val="none" w:sz="0" w:space="0" w:color="auto"/>
        </w:pBdr>
      </w:pPr>
      <w:r w:rsidRPr="0062582F">
        <w:br w:type="column"/>
      </w:r>
      <w:r w:rsidRPr="0062582F">
        <w:lastRenderedPageBreak/>
        <w:t>Liabilities</w:t>
      </w:r>
    </w:p>
    <w:p w:rsidR="004843DB" w:rsidRPr="0062582F" w:rsidRDefault="004843DB" w:rsidP="004843DB">
      <w:pPr>
        <w:pStyle w:val="CommentaryBullet"/>
        <w:pBdr>
          <w:bottom w:val="single" w:sz="4" w:space="1" w:color="0000FF"/>
        </w:pBdr>
      </w:pPr>
      <w:r w:rsidRPr="0062582F">
        <w:t xml:space="preserve">trade and other payables; </w:t>
      </w:r>
    </w:p>
    <w:p w:rsidR="004843DB" w:rsidRPr="0062582F" w:rsidRDefault="004843DB" w:rsidP="004843DB">
      <w:pPr>
        <w:pStyle w:val="CommentaryBullet"/>
        <w:pBdr>
          <w:bottom w:val="single" w:sz="4" w:space="1" w:color="0000FF"/>
        </w:pBdr>
      </w:pPr>
      <w:r w:rsidRPr="0062582F">
        <w:t>liabilities held for sale;</w:t>
      </w:r>
    </w:p>
    <w:p w:rsidR="004843DB" w:rsidRPr="0062582F" w:rsidRDefault="004843DB" w:rsidP="004843DB">
      <w:pPr>
        <w:pStyle w:val="CommentaryBullet"/>
        <w:pBdr>
          <w:bottom w:val="single" w:sz="4" w:space="1" w:color="0000FF"/>
        </w:pBdr>
      </w:pPr>
      <w:r w:rsidRPr="0062582F">
        <w:t>current tax liabilities;</w:t>
      </w:r>
    </w:p>
    <w:p w:rsidR="004843DB" w:rsidRPr="0062582F" w:rsidRDefault="004843DB" w:rsidP="004843DB">
      <w:pPr>
        <w:pStyle w:val="CommentaryBullet"/>
        <w:pBdr>
          <w:bottom w:val="single" w:sz="4" w:space="1" w:color="0000FF"/>
        </w:pBdr>
      </w:pPr>
      <w:r w:rsidRPr="0062582F">
        <w:t>deferred tax liabilities;</w:t>
      </w:r>
    </w:p>
    <w:p w:rsidR="004843DB" w:rsidRPr="0062582F" w:rsidRDefault="004843DB" w:rsidP="004843DB">
      <w:pPr>
        <w:pStyle w:val="CommentaryBullet"/>
        <w:pBdr>
          <w:bottom w:val="single" w:sz="4" w:space="1" w:color="0000FF"/>
        </w:pBdr>
      </w:pPr>
      <w:r w:rsidRPr="0062582F">
        <w:t>liabilities included in disposal groups classified as held for sale in accordance with AASB 5;</w:t>
      </w:r>
    </w:p>
    <w:p w:rsidR="004843DB" w:rsidRPr="0062582F" w:rsidRDefault="004843DB" w:rsidP="004843DB">
      <w:pPr>
        <w:pStyle w:val="CommentaryBullet"/>
        <w:pBdr>
          <w:bottom w:val="single" w:sz="4" w:space="1" w:color="0000FF"/>
        </w:pBdr>
      </w:pPr>
      <w:r w:rsidRPr="0062582F">
        <w:t>financial liabilities; and</w:t>
      </w:r>
    </w:p>
    <w:p w:rsidR="004843DB" w:rsidRPr="0062582F" w:rsidRDefault="004843DB" w:rsidP="004843DB">
      <w:pPr>
        <w:pStyle w:val="CommentaryBullet"/>
        <w:pBdr>
          <w:bottom w:val="single" w:sz="4" w:space="1" w:color="0000FF"/>
        </w:pBdr>
      </w:pPr>
      <w:r w:rsidRPr="0062582F">
        <w:t>provisions.</w:t>
      </w:r>
    </w:p>
    <w:p w:rsidR="004843DB" w:rsidRPr="0062582F" w:rsidRDefault="004843DB" w:rsidP="004843DB">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rPr>
          <w:i/>
          <w:iCs/>
        </w:rPr>
      </w:pPr>
      <w:r w:rsidRPr="0062582F">
        <w:t xml:space="preserve">Commentary – Balance sheet </w:t>
      </w:r>
      <w:r w:rsidRPr="0062582F">
        <w:rPr>
          <w:i/>
        </w:rPr>
        <w:t>(continued)</w:t>
      </w:r>
    </w:p>
    <w:p w:rsidR="004843DB" w:rsidRPr="0062582F" w:rsidRDefault="004843DB" w:rsidP="004843DB">
      <w:pPr>
        <w:pStyle w:val="SmallLineBlue"/>
        <w:pBdr>
          <w:bottom w:val="none" w:sz="0" w:space="0" w:color="auto"/>
        </w:pBdr>
        <w:rPr>
          <w:caps/>
        </w:rPr>
      </w:pPr>
    </w:p>
    <w:p w:rsidR="004843DB" w:rsidRPr="0062582F" w:rsidRDefault="004843DB" w:rsidP="004843DB">
      <w:pPr>
        <w:sectPr w:rsidR="004843DB" w:rsidRPr="0062582F" w:rsidSect="00190A01">
          <w:headerReference w:type="even" r:id="rId171"/>
          <w:headerReference w:type="first" r:id="rId172"/>
          <w:type w:val="continuous"/>
          <w:pgSz w:w="11906" w:h="16838" w:code="9"/>
          <w:pgMar w:top="1152" w:right="864" w:bottom="1152" w:left="864" w:header="432" w:footer="432" w:gutter="0"/>
          <w:cols w:num="2" w:space="360" w:equalWidth="0">
            <w:col w:w="1440" w:space="360"/>
            <w:col w:w="8090"/>
          </w:cols>
          <w:rtlGutter/>
        </w:sectPr>
      </w:pPr>
      <w:bookmarkStart w:id="244" w:name="_Toc163448566"/>
    </w:p>
    <w:bookmarkEnd w:id="244"/>
    <w:p w:rsidR="004843DB" w:rsidRPr="0062582F" w:rsidRDefault="004843DB" w:rsidP="004843DB">
      <w:pPr>
        <w:pStyle w:val="CommentaryHeading3"/>
        <w:pBdr>
          <w:top w:val="none" w:sz="0" w:space="0" w:color="auto"/>
          <w:bottom w:val="none" w:sz="0" w:space="0" w:color="auto"/>
        </w:pBdr>
      </w:pPr>
      <w:r w:rsidRPr="0062582F">
        <w:lastRenderedPageBreak/>
        <w:br w:type="column"/>
      </w:r>
      <w:r w:rsidRPr="0062582F">
        <w:lastRenderedPageBreak/>
        <w:t>Notes:</w:t>
      </w:r>
    </w:p>
    <w:p w:rsidR="004843DB" w:rsidRPr="0062582F" w:rsidRDefault="004843DB" w:rsidP="004843DB">
      <w:pPr>
        <w:pStyle w:val="CommentaryTextIndent"/>
        <w:pBdr>
          <w:top w:val="none" w:sz="0" w:space="0" w:color="auto"/>
          <w:bottom w:val="none" w:sz="0" w:space="0" w:color="auto"/>
        </w:pBdr>
      </w:pPr>
      <w:r w:rsidRPr="0062582F">
        <w:t>(a)</w:t>
      </w:r>
      <w:r w:rsidRPr="0062582F">
        <w:tab/>
        <w:t>where a department has no amounts applicable to any individual line item, that line item should be omitted from the balance sheet; and</w:t>
      </w:r>
    </w:p>
    <w:p w:rsidR="004843DB" w:rsidRPr="0062582F" w:rsidRDefault="004843DB" w:rsidP="004843DB">
      <w:pPr>
        <w:pStyle w:val="CommentaryText"/>
        <w:pBdr>
          <w:top w:val="none" w:sz="0" w:space="0" w:color="auto"/>
          <w:bottom w:val="none" w:sz="0" w:space="0" w:color="auto"/>
        </w:pBdr>
        <w:tabs>
          <w:tab w:val="left" w:pos="426"/>
        </w:tabs>
        <w:ind w:left="426" w:hanging="426"/>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101.55</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(b)</w:t>
      </w:r>
      <w:r w:rsidRPr="0062582F">
        <w:tab/>
        <w:t>additional line items, headings and subtotals shall be presented in the balance sheet when such presentation is relevant to an understanding of the entity</w:t>
      </w:r>
      <w:r w:rsidR="005A4BB0">
        <w:t>’</w:t>
      </w:r>
      <w:r w:rsidRPr="0062582F">
        <w:t>s financial position.</w:t>
      </w:r>
    </w:p>
    <w:p w:rsidR="004843DB" w:rsidRPr="0062582F" w:rsidRDefault="004843DB" w:rsidP="004843DB">
      <w:pPr>
        <w:pStyle w:val="CommentaryHeading1"/>
        <w:pBdr>
          <w:top w:val="none" w:sz="0" w:space="0" w:color="auto"/>
          <w:bottom w:val="none" w:sz="0" w:space="0" w:color="auto"/>
        </w:pBdr>
      </w:pPr>
      <w:r w:rsidRPr="0062582F">
        <w:t>Third balance sheet</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101.39</w:t>
      </w:r>
      <w:r w:rsidRPr="0062582F">
        <w:br/>
        <w:t>AASB 108.19</w:t>
      </w:r>
      <w:r w:rsidR="005A4BB0">
        <w:noBreakHyphen/>
      </w:r>
      <w:r w:rsidRPr="0062582F">
        <w:t>27</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 xml:space="preserve">When an entity applies an accounting policy retrospectively or makes a retrospective restatement or error correction of items it its financial statements or when it reclassifies items in its financial statements, it shall present, as a minimum, three statements of financial position, two of each of the other statements, and related notes. The balance sheet shall be presented as at: </w:t>
      </w:r>
    </w:p>
    <w:p w:rsidR="004843DB" w:rsidRPr="0062582F" w:rsidRDefault="004843DB" w:rsidP="004843DB">
      <w:pPr>
        <w:pStyle w:val="CommentaryBullet"/>
      </w:pPr>
      <w:r w:rsidRPr="0062582F">
        <w:t>the end of the current period;</w:t>
      </w:r>
    </w:p>
    <w:p w:rsidR="004843DB" w:rsidRPr="0062582F" w:rsidRDefault="004843DB" w:rsidP="004843DB">
      <w:pPr>
        <w:pStyle w:val="CommentaryBullet"/>
      </w:pPr>
      <w:r w:rsidRPr="0062582F">
        <w:t>the end of the previous period; and</w:t>
      </w:r>
    </w:p>
    <w:p w:rsidR="004843DB" w:rsidRPr="0062582F" w:rsidRDefault="004843DB" w:rsidP="004843DB">
      <w:pPr>
        <w:pStyle w:val="CommentaryBullet"/>
      </w:pPr>
      <w:r w:rsidRPr="0062582F">
        <w:t>the beginning of the earliest comparative period.</w:t>
      </w:r>
    </w:p>
    <w:p w:rsidR="004843DB" w:rsidRPr="0062582F" w:rsidRDefault="004843DB" w:rsidP="004843DB">
      <w:pPr>
        <w:pStyle w:val="CommentaryHeading1"/>
        <w:pBdr>
          <w:top w:val="none" w:sz="0" w:space="0" w:color="auto"/>
          <w:bottom w:val="none" w:sz="0" w:space="0" w:color="auto"/>
        </w:pBdr>
      </w:pPr>
      <w:r w:rsidRPr="0062582F">
        <w:t>Materiality</w:t>
      </w:r>
    </w:p>
    <w:p w:rsidR="004843DB" w:rsidRPr="0062582F" w:rsidRDefault="004843DB" w:rsidP="004843DB">
      <w:pPr>
        <w:pStyle w:val="CommentaryBullet"/>
        <w:numPr>
          <w:ilvl w:val="0"/>
          <w:numId w:val="0"/>
        </w:numPr>
        <w:rPr>
          <w:rFonts w:ascii="Calibri" w:hAnsi="Calibri" w:cs="Arial"/>
          <w:b/>
          <w:bCs/>
          <w:noProof/>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101.40A</w:t>
      </w:r>
    </w:p>
    <w:p w:rsidR="004843DB" w:rsidRPr="0062582F" w:rsidRDefault="004843DB" w:rsidP="004843DB">
      <w:pPr>
        <w:pStyle w:val="CommentaryBullet"/>
        <w:numPr>
          <w:ilvl w:val="0"/>
          <w:numId w:val="0"/>
        </w:numPr>
        <w:rPr>
          <w:rFonts w:ascii="Calibri" w:hAnsi="Calibri" w:cs="Arial"/>
          <w:b/>
          <w:bCs/>
          <w:noProof/>
        </w:rPr>
      </w:pPr>
      <w:r w:rsidRPr="0062582F">
        <w:rPr>
          <w:rFonts w:ascii="Calibri" w:hAnsi="Calibri" w:cs="Arial Narrow"/>
          <w:sz w:val="16"/>
          <w:szCs w:val="16"/>
          <w:lang w:val="en-GB"/>
        </w:rPr>
        <w:br w:type="column"/>
      </w:r>
      <w:r w:rsidRPr="0062582F">
        <w:lastRenderedPageBreak/>
        <w:t>In accordance with AASB 101.40A, a third balance sheet is required only when the adjustment has a material effect on the information of the balance sheet at the beginning of the preceding period. Therefore, to the extent that the adjusting effect is immaterial, a third balance sheet is not required.</w:t>
      </w:r>
    </w:p>
    <w:p w:rsidR="004843DB" w:rsidRPr="0062582F" w:rsidRDefault="004843DB" w:rsidP="004843DB">
      <w:pPr>
        <w:pStyle w:val="CommentaryText"/>
        <w:pBdr>
          <w:top w:val="none" w:sz="0" w:space="0" w:color="auto"/>
          <w:bottom w:val="none" w:sz="0" w:space="0" w:color="auto"/>
        </w:pBdr>
      </w:pPr>
      <w:r w:rsidRPr="0062582F">
        <w:t>Refer to the commentary for Note 8 for sample disclosure.</w:t>
      </w:r>
    </w:p>
    <w:p w:rsidR="004843DB" w:rsidRPr="0062582F" w:rsidRDefault="004843DB" w:rsidP="004843DB">
      <w:pPr>
        <w:pStyle w:val="CommentaryHeading4"/>
      </w:pPr>
      <w:bookmarkStart w:id="245" w:name="_Toc163448570"/>
      <w:r w:rsidRPr="0062582F">
        <w:t>Either in the balance sheet or in the notes</w:t>
      </w:r>
      <w:bookmarkEnd w:id="245"/>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lastRenderedPageBreak/>
        <w:t>AASB 101.77 and 78</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An entity shall disclose, either in the balance sheet or in the notes, further sub</w:t>
      </w:r>
      <w:r w:rsidR="005A4BB0">
        <w:noBreakHyphen/>
      </w:r>
      <w:r w:rsidRPr="0062582F">
        <w:t>classifications of the line items presented, classified in a manner appropriate to the entity</w:t>
      </w:r>
      <w:r w:rsidR="005A4BB0">
        <w:t>’</w:t>
      </w:r>
      <w:r w:rsidRPr="0062582F">
        <w:t>s operations. The detail provided in sub</w:t>
      </w:r>
      <w:r w:rsidR="005A4BB0">
        <w:noBreakHyphen/>
      </w:r>
      <w:r w:rsidRPr="0062582F">
        <w:t>classifications depends on the requirements of AASs and on the size, nature and function of the amounts involved.</w:t>
      </w:r>
    </w:p>
    <w:p w:rsidR="004843DB" w:rsidRPr="0062582F" w:rsidRDefault="004843DB" w:rsidP="004843DB">
      <w:pPr>
        <w:pStyle w:val="CommentaryHeading1"/>
        <w:pBdr>
          <w:top w:val="none" w:sz="0" w:space="0" w:color="auto"/>
          <w:bottom w:val="none" w:sz="0" w:space="0" w:color="auto"/>
        </w:pBdr>
      </w:pPr>
      <w:bookmarkStart w:id="246" w:name="_Toc163448577"/>
      <w:r w:rsidRPr="0062582F">
        <w:t>Non</w:t>
      </w:r>
      <w:r w:rsidR="005A4BB0">
        <w:noBreakHyphen/>
      </w:r>
      <w:r w:rsidRPr="0062582F">
        <w:t>financial physical asset or disposal group classified as held for sale</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headerReference w:type="even" r:id="rId173"/>
          <w:headerReference w:type="default" r:id="rId174"/>
          <w:headerReference w:type="first" r:id="rId175"/>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5.40</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An entity shall not reclassify or represent amounts for non</w:t>
      </w:r>
      <w:r w:rsidR="005A4BB0">
        <w:noBreakHyphen/>
      </w:r>
      <w:r w:rsidRPr="0062582F">
        <w:rPr>
          <w:noProof w:val="0"/>
        </w:rPr>
        <w:t>financial physical assets or for the assets and liabilities of disposal groups classified as held for sale in the balance sheets for prior periods to reflect the classification in the balance sheet for the latest period presented.</w:t>
      </w:r>
    </w:p>
    <w:p w:rsidR="004843DB" w:rsidRPr="0062582F" w:rsidRDefault="004843DB" w:rsidP="004843DB">
      <w:pPr>
        <w:pStyle w:val="CommentaryHeading1"/>
        <w:pBdr>
          <w:top w:val="none" w:sz="0" w:space="0" w:color="auto"/>
          <w:bottom w:val="none" w:sz="0" w:space="0" w:color="auto"/>
        </w:pBdr>
      </w:pPr>
      <w:r w:rsidRPr="0062582F">
        <w:t>Refinancing liabilities</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headerReference w:type="even" r:id="rId176"/>
          <w:headerReference w:type="default" r:id="rId177"/>
          <w:headerReference w:type="first" r:id="rId178"/>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101.72</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In the notes, where current and non</w:t>
      </w:r>
      <w:r w:rsidR="005A4BB0">
        <w:noBreakHyphen/>
      </w:r>
      <w:r w:rsidRPr="0062582F">
        <w:rPr>
          <w:noProof w:val="0"/>
        </w:rPr>
        <w:t>current liabilities are presented separately, financial liabilities shall be categorised as current when they are due to be settled within 12 months of reporting period, even if:</w:t>
      </w:r>
    </w:p>
    <w:p w:rsidR="004843DB" w:rsidRPr="0062582F" w:rsidRDefault="004843DB" w:rsidP="004843DB">
      <w:pPr>
        <w:pStyle w:val="CommentaryTextIndent"/>
        <w:pBdr>
          <w:top w:val="none" w:sz="0" w:space="0" w:color="auto"/>
          <w:bottom w:val="none" w:sz="0" w:space="0" w:color="auto"/>
        </w:pBdr>
      </w:pPr>
      <w:r w:rsidRPr="0062582F">
        <w:t>(a)</w:t>
      </w:r>
      <w:r w:rsidRPr="0062582F">
        <w:tab/>
        <w:t>the original term was for a period longer than 12 months; and</w:t>
      </w:r>
    </w:p>
    <w:p w:rsidR="004843DB" w:rsidRPr="0062582F" w:rsidRDefault="004843DB" w:rsidP="004843DB">
      <w:pPr>
        <w:pStyle w:val="CommentaryTextIndent"/>
        <w:pBdr>
          <w:top w:val="none" w:sz="0" w:space="0" w:color="auto"/>
          <w:bottom w:val="none" w:sz="0" w:space="0" w:color="auto"/>
        </w:pBdr>
      </w:pPr>
      <w:r w:rsidRPr="0062582F">
        <w:t>(b)</w:t>
      </w:r>
      <w:r w:rsidRPr="0062582F">
        <w:tab/>
        <w:t>an agreement to refinance, or to reschedule payments, on a long</w:t>
      </w:r>
      <w:r w:rsidR="005A4BB0">
        <w:noBreakHyphen/>
      </w:r>
      <w:r w:rsidRPr="0062582F">
        <w:t>term basis is completed after the reporting period and before the financial statements are authorised for issue.</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101.73</w:t>
      </w:r>
    </w:p>
    <w:p w:rsidR="004843DB" w:rsidRPr="0062582F" w:rsidRDefault="004843DB" w:rsidP="004843DB">
      <w:pPr>
        <w:pStyle w:val="CommentaryText"/>
        <w:pBdr>
          <w:top w:val="none" w:sz="0" w:space="0" w:color="auto"/>
        </w:pBdr>
      </w:pPr>
      <w:r w:rsidRPr="0062582F">
        <w:br w:type="column"/>
      </w:r>
      <w:r w:rsidRPr="0062582F">
        <w:lastRenderedPageBreak/>
        <w:t>However, if an entity expects, and has the discretion, to refinance or roll over an obligation for at least 12 months after the reporting period under an existing loan facility, it classifies the obligation as non</w:t>
      </w:r>
      <w:r w:rsidR="005A4BB0">
        <w:noBreakHyphen/>
      </w:r>
      <w:r w:rsidRPr="0062582F">
        <w:t>current, even if it would otherwise be due in a shorter period. However, when refinancing or rolling over the obligation is not at the discretion of the entity (for example, there is no agreement to refinance), the potential to refinance is not considered and the obligation is classified as current.</w:t>
      </w:r>
    </w:p>
    <w:p w:rsidR="004843DB" w:rsidRPr="0062582F" w:rsidRDefault="004843DB" w:rsidP="004843DB">
      <w:pPr>
        <w:spacing w:before="0" w:line="240" w:lineRule="atLeast"/>
        <w:rPr>
          <w:sz w:val="4"/>
          <w:szCs w:val="4"/>
        </w:rPr>
      </w:pPr>
      <w:r w:rsidRPr="0062582F">
        <w:br w:type="page"/>
      </w:r>
    </w:p>
    <w:p w:rsidR="004843DB" w:rsidRPr="0062582F" w:rsidRDefault="004843DB" w:rsidP="004843DB">
      <w:pPr>
        <w:pStyle w:val="SmallLine"/>
      </w:pPr>
      <w:r w:rsidRPr="0062582F">
        <w:lastRenderedPageBreak/>
        <w:br w:type="column"/>
      </w:r>
    </w:p>
    <w:p w:rsidR="004843DB" w:rsidRPr="0062582F" w:rsidRDefault="004843DB" w:rsidP="004843DB">
      <w:pPr>
        <w:pStyle w:val="CommentaryHeading"/>
        <w:rPr>
          <w:i/>
          <w:iCs/>
        </w:rPr>
      </w:pPr>
      <w:r w:rsidRPr="0062582F">
        <w:t xml:space="preserve">Commentary – Balance sheet </w:t>
      </w:r>
      <w:r w:rsidRPr="0062582F">
        <w:rPr>
          <w:i/>
        </w:rPr>
        <w:t>(continued)</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pPr>
      <w:bookmarkStart w:id="248" w:name="_Toc163448578"/>
      <w:bookmarkEnd w:id="246"/>
      <w:r w:rsidRPr="0062582F">
        <w:t>Breach of loan covenants</w:t>
      </w:r>
      <w:bookmarkEnd w:id="248"/>
    </w:p>
    <w:p w:rsidR="004843DB" w:rsidRPr="0062582F" w:rsidRDefault="004843DB" w:rsidP="004843DB">
      <w:pPr>
        <w:pStyle w:val="CommentaryText"/>
        <w:pBdr>
          <w:top w:val="none" w:sz="0" w:space="0" w:color="auto"/>
          <w:bottom w:val="none" w:sz="0" w:space="0" w:color="auto"/>
        </w:pBdr>
        <w:sectPr w:rsidR="004843DB" w:rsidRPr="0062582F" w:rsidSect="00190A01">
          <w:headerReference w:type="default" r:id="rId179"/>
          <w:headerReference w:type="first" r:id="rId180"/>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lastRenderedPageBreak/>
        <w:t>AASB 101.74</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Where current and non</w:t>
      </w:r>
      <w:r w:rsidR="005A4BB0">
        <w:noBreakHyphen/>
      </w:r>
      <w:r w:rsidRPr="0062582F">
        <w:t>current liabilities are presented separately and an undertaking, including a covenant included in a borrowing agreement, is breached such that the liability becomes payable on demand, the liability shall be categorised as current even if the lender has agreed, after the reporting period, and before the authorisation of the financial statements for issue, not to demand payment as a consequence of the breach.</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101.75</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However, the liability is classified as non</w:t>
      </w:r>
      <w:r w:rsidR="005A4BB0">
        <w:noBreakHyphen/>
      </w:r>
      <w:r w:rsidRPr="0062582F">
        <w:t>current if the lender agreed by the end of the reporting period to provide a period of grace ending at least 12 months after the reporting period, in which the entity can rectify the breach and during which the lender cannot demand immediate repayment.</w:t>
      </w:r>
    </w:p>
    <w:p w:rsidR="004843DB" w:rsidRPr="0062582F" w:rsidRDefault="004843DB" w:rsidP="004843DB">
      <w:pPr>
        <w:pStyle w:val="CommentaryHeading1"/>
        <w:pBdr>
          <w:top w:val="none" w:sz="0" w:space="0" w:color="auto"/>
          <w:bottom w:val="none" w:sz="0" w:space="0" w:color="auto"/>
        </w:pBdr>
      </w:pPr>
      <w:bookmarkStart w:id="249" w:name="_Toc163448579"/>
      <w:r w:rsidRPr="0062582F">
        <w:t xml:space="preserve">Goods and Services Tax </w:t>
      </w:r>
      <w:bookmarkEnd w:id="249"/>
    </w:p>
    <w:p w:rsidR="004843DB" w:rsidRPr="0062582F" w:rsidRDefault="004843DB" w:rsidP="004843DB">
      <w:pPr>
        <w:pStyle w:val="CommentaryText"/>
        <w:pBdr>
          <w:top w:val="none" w:sz="0" w:space="0" w:color="auto"/>
          <w:bottom w:val="none" w:sz="0" w:space="0" w:color="auto"/>
        </w:pBdr>
      </w:pPr>
      <w:r w:rsidRPr="0062582F">
        <w:t xml:space="preserve">AASB Interpretation 1031 </w:t>
      </w:r>
      <w:r w:rsidRPr="0062582F">
        <w:rPr>
          <w:i/>
          <w:iCs/>
        </w:rPr>
        <w:t>Accounting for the Goods and Services Tax (GST)</w:t>
      </w:r>
      <w:r w:rsidRPr="0062582F">
        <w:t xml:space="preserve"> provides that assets shall be recognised net of the amount of goods and services tax (GST), except where:</w:t>
      </w:r>
    </w:p>
    <w:p w:rsidR="004843DB" w:rsidRPr="0062582F" w:rsidRDefault="004843DB" w:rsidP="004843DB">
      <w:pPr>
        <w:pStyle w:val="CommentaryBulle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szCs w:val="14"/>
        </w:rPr>
      </w:pPr>
      <w:r w:rsidRPr="0062582F">
        <w:lastRenderedPageBreak/>
        <w:t>AASB Interpretation 1031.7</w:t>
      </w:r>
    </w:p>
    <w:p w:rsidR="004843DB" w:rsidRPr="0062582F" w:rsidRDefault="004843DB" w:rsidP="004843DB">
      <w:pPr>
        <w:pStyle w:val="CommentaryBullet"/>
      </w:pPr>
      <w:r w:rsidRPr="0062582F">
        <w:br w:type="column"/>
      </w:r>
      <w:r w:rsidRPr="0062582F">
        <w:lastRenderedPageBreak/>
        <w:t>the amount of GST incurred by a purchaser that is not recoverable from the taxation authority shall be recognised as part of the cost of acquisition of an asset or as part of an item of expense; and/or</w:t>
      </w:r>
    </w:p>
    <w:p w:rsidR="004843DB" w:rsidRPr="0062582F" w:rsidRDefault="004843DB" w:rsidP="004843DB">
      <w:pPr>
        <w:pStyle w:val="CommentaryBulle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Interpretation 1031.8</w:t>
      </w:r>
    </w:p>
    <w:p w:rsidR="004843DB" w:rsidRPr="0062582F" w:rsidRDefault="004843DB" w:rsidP="004843DB">
      <w:pPr>
        <w:pStyle w:val="CommentaryBullet"/>
      </w:pPr>
      <w:r w:rsidRPr="0062582F">
        <w:br w:type="column"/>
      </w:r>
      <w:r w:rsidRPr="0062582F">
        <w:lastRenderedPageBreak/>
        <w:t>the interpretation provides that receivables and payables shall be stated with the amount of GST included.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Interpretation 1031.9</w:t>
      </w:r>
    </w:p>
    <w:p w:rsidR="004843DB" w:rsidRPr="0062582F" w:rsidRDefault="004843DB" w:rsidP="004843DB">
      <w:pPr>
        <w:pStyle w:val="CommentaryText"/>
        <w:pBdr>
          <w:top w:val="none" w:sz="0" w:space="0" w:color="auto"/>
        </w:pBdr>
      </w:pPr>
      <w:r w:rsidRPr="0062582F">
        <w:br w:type="column"/>
      </w:r>
      <w:r w:rsidRPr="0062582F">
        <w:lastRenderedPageBreak/>
        <w:t>The gross amount of GST recoverable from, or payable to, the taxation authority shall be included as part of either receivables or other liabilities in the balance sheet.</w:t>
      </w:r>
    </w:p>
    <w:p w:rsidR="004843DB" w:rsidRPr="0062582F" w:rsidRDefault="004843DB" w:rsidP="004843DB">
      <w:pPr>
        <w:pStyle w:val="Reference"/>
      </w:pPr>
      <w:bookmarkStart w:id="250" w:name="_Toc215478974"/>
      <w:bookmarkStart w:id="251" w:name="_Toc215544624"/>
    </w:p>
    <w:p w:rsidR="004843DB" w:rsidRPr="0062582F" w:rsidRDefault="004843DB" w:rsidP="004843DB">
      <w:pPr>
        <w:pStyle w:val="ReferenceRed"/>
        <w:rPr>
          <w:rFonts w:ascii="Garamond" w:hAnsi="Garamond" w:cs="Times New Roman"/>
        </w:rPr>
        <w:sectPr w:rsidR="004843DB" w:rsidRPr="0062582F" w:rsidSect="00190A01">
          <w:headerReference w:type="even" r:id="rId181"/>
          <w:headerReference w:type="default" r:id="rId182"/>
          <w:headerReference w:type="first" r:id="rId183"/>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Reference"/>
      </w:pPr>
      <w:r w:rsidRPr="0062582F">
        <w:br/>
      </w: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pPr>
      <w:r w:rsidRPr="0062582F">
        <w:t>AASB 101.106(d)</w:t>
      </w:r>
    </w:p>
    <w:p w:rsidR="004843DB" w:rsidRPr="0062582F" w:rsidRDefault="004843DB" w:rsidP="004843DB">
      <w:pPr>
        <w:pStyle w:val="Reference"/>
        <w:rPr>
          <w:rFonts w:ascii="Garamond" w:hAnsi="Garamond" w:cs="Times New Roman"/>
          <w:lang w:val="en-AU"/>
        </w:rPr>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20"/>
      </w:pPr>
      <w:r w:rsidRPr="0062582F">
        <w:t>AASB 1004.48</w:t>
      </w:r>
    </w:p>
    <w:p w:rsidR="004843DB" w:rsidRPr="0062582F" w:rsidRDefault="004843DB" w:rsidP="004843DB">
      <w:pPr>
        <w:pStyle w:val="Reference"/>
        <w:spacing w:before="80"/>
      </w:pPr>
      <w:r w:rsidRPr="0062582F">
        <w:t>AASB 1004.49</w:t>
      </w:r>
    </w:p>
    <w:p w:rsidR="004843DB" w:rsidRPr="0062582F" w:rsidRDefault="004843DB" w:rsidP="004843DB">
      <w:pPr>
        <w:pStyle w:val="Reference"/>
        <w:rPr>
          <w:rFonts w:ascii="Garamond" w:hAnsi="Garamond" w:cs="Times New Roman"/>
          <w:lang w:val="en-AU"/>
        </w:rPr>
      </w:pPr>
    </w:p>
    <w:p w:rsidR="004843DB" w:rsidRPr="0062582F" w:rsidRDefault="004843DB" w:rsidP="004843DB">
      <w:pPr>
        <w:pStyle w:val="Heading1Pt3"/>
        <w:spacing w:before="0"/>
        <w:ind w:right="-274"/>
      </w:pPr>
      <w:r w:rsidRPr="0062582F">
        <w:br w:type="column"/>
      </w:r>
      <w:bookmarkStart w:id="252" w:name="_Toc331754631"/>
      <w:bookmarkStart w:id="253" w:name="_Toc332019430"/>
      <w:bookmarkStart w:id="254" w:name="_Toc350413472"/>
      <w:bookmarkStart w:id="255" w:name="_Toc388277746"/>
      <w:bookmarkStart w:id="256" w:name="_Toc416691915"/>
      <w:bookmarkStart w:id="257" w:name="_Toc448493012"/>
      <w:bookmarkEnd w:id="250"/>
      <w:bookmarkEnd w:id="251"/>
      <w:r w:rsidRPr="0062582F">
        <w:lastRenderedPageBreak/>
        <w:t>Statement of changes in equity for the financial year ended</w:t>
      </w:r>
      <w:r w:rsidRPr="0062582F">
        <w:br/>
        <w:t xml:space="preserve">30 June </w:t>
      </w:r>
      <w:bookmarkEnd w:id="252"/>
      <w:bookmarkEnd w:id="253"/>
      <w:bookmarkEnd w:id="254"/>
      <w:bookmarkEnd w:id="255"/>
      <w:r w:rsidRPr="0062582F">
        <w:t>2016</w:t>
      </w:r>
      <w:bookmarkEnd w:id="256"/>
      <w:bookmarkEnd w:id="257"/>
    </w:p>
    <w:p w:rsidR="004843DB" w:rsidRPr="0062582F" w:rsidRDefault="004843DB" w:rsidP="004843DB">
      <w:pPr>
        <w:pStyle w:val="million"/>
        <w:rPr>
          <w:rFonts w:ascii="Tahoma" w:hAnsi="Tahoma" w:cs="Tahoma"/>
          <w:sz w:val="20"/>
        </w:rPr>
      </w:pPr>
      <w:bookmarkStart w:id="258" w:name="_Toc243811280"/>
      <w:bookmarkStart w:id="259" w:name="_Toc243902900"/>
      <w:bookmarkStart w:id="260" w:name="_Toc251839435"/>
      <w:bookmarkStart w:id="261" w:name="_Toc252524366"/>
      <w:bookmarkStart w:id="262" w:name="_Toc252526314"/>
      <w:r w:rsidRPr="0062582F">
        <w:t>($ thousand)</w:t>
      </w:r>
      <w:bookmarkStart w:id="263" w:name="_Toc251839436"/>
      <w:bookmarkStart w:id="264" w:name="_Toc252524367"/>
      <w:bookmarkStart w:id="265" w:name="_Toc252526315"/>
      <w:bookmarkEnd w:id="258"/>
      <w:bookmarkEnd w:id="259"/>
      <w:bookmarkEnd w:id="260"/>
      <w:bookmarkEnd w:id="261"/>
      <w:bookmarkEnd w:id="262"/>
    </w:p>
    <w:tbl>
      <w:tblPr>
        <w:tblW w:w="8035" w:type="dxa"/>
        <w:tblInd w:w="43" w:type="dxa"/>
        <w:tblLayout w:type="fixed"/>
        <w:tblCellMar>
          <w:left w:w="43" w:type="dxa"/>
          <w:right w:w="43" w:type="dxa"/>
        </w:tblCellMar>
        <w:tblLook w:val="04A0" w:firstRow="1" w:lastRow="0" w:firstColumn="1" w:lastColumn="0" w:noHBand="0" w:noVBand="1"/>
      </w:tblPr>
      <w:tblGrid>
        <w:gridCol w:w="5425"/>
        <w:gridCol w:w="960"/>
        <w:gridCol w:w="1650"/>
      </w:tblGrid>
      <w:tr w:rsidR="004843DB" w:rsidRPr="0062582F" w:rsidTr="004843DB">
        <w:trPr>
          <w:cantSplit/>
        </w:trPr>
        <w:tc>
          <w:tcPr>
            <w:tcW w:w="5425" w:type="dxa"/>
            <w:tcBorders>
              <w:top w:val="single" w:sz="4" w:space="0" w:color="auto"/>
              <w:bottom w:val="single" w:sz="4" w:space="0" w:color="auto"/>
            </w:tcBorders>
            <w:shd w:val="clear" w:color="auto" w:fill="auto"/>
            <w:vAlign w:val="bottom"/>
            <w:hideMark/>
          </w:tcPr>
          <w:p w:rsidR="004843DB" w:rsidRPr="0062582F" w:rsidRDefault="004843DB" w:rsidP="004843DB">
            <w:pPr>
              <w:pStyle w:val="Tabletext"/>
            </w:pPr>
            <w:r w:rsidRPr="0062582F">
              <w:t> </w:t>
            </w:r>
          </w:p>
        </w:tc>
        <w:tc>
          <w:tcPr>
            <w:tcW w:w="960" w:type="dxa"/>
            <w:tcBorders>
              <w:top w:val="single" w:sz="4" w:space="0" w:color="auto"/>
              <w:bottom w:val="single" w:sz="4" w:space="0" w:color="auto"/>
            </w:tcBorders>
            <w:shd w:val="clear" w:color="auto" w:fill="auto"/>
            <w:vAlign w:val="bottom"/>
            <w:hideMark/>
          </w:tcPr>
          <w:p w:rsidR="004843DB" w:rsidRPr="0062582F" w:rsidRDefault="004843DB" w:rsidP="004843DB">
            <w:pPr>
              <w:pStyle w:val="TabletextheadingCentred"/>
            </w:pPr>
            <w:r w:rsidRPr="0062582F">
              <w:t>Notes</w:t>
            </w:r>
          </w:p>
        </w:tc>
        <w:tc>
          <w:tcPr>
            <w:tcW w:w="1650" w:type="dxa"/>
            <w:tcBorders>
              <w:top w:val="single" w:sz="4" w:space="0" w:color="auto"/>
              <w:bottom w:val="single" w:sz="4" w:space="0" w:color="auto"/>
            </w:tcBorders>
            <w:shd w:val="clear" w:color="auto" w:fill="auto"/>
            <w:vAlign w:val="bottom"/>
            <w:hideMark/>
          </w:tcPr>
          <w:p w:rsidR="004843DB" w:rsidRPr="0062582F" w:rsidRDefault="004843DB" w:rsidP="004843DB">
            <w:pPr>
              <w:pStyle w:val="Tabletextheading"/>
            </w:pPr>
            <w:r w:rsidRPr="0062582F">
              <w:br/>
              <w:t>Physical asset revaluation surplus</w:t>
            </w:r>
          </w:p>
        </w:tc>
      </w:tr>
      <w:tr w:rsidR="004843DB" w:rsidRPr="0062582F" w:rsidTr="004843DB">
        <w:trPr>
          <w:cantSplit/>
        </w:trPr>
        <w:tc>
          <w:tcPr>
            <w:tcW w:w="5425" w:type="dxa"/>
            <w:tcBorders>
              <w:top w:val="nil"/>
              <w:left w:val="nil"/>
              <w:bottom w:val="nil"/>
              <w:right w:val="nil"/>
            </w:tcBorders>
            <w:shd w:val="clear" w:color="auto" w:fill="auto"/>
            <w:vAlign w:val="bottom"/>
            <w:hideMark/>
          </w:tcPr>
          <w:p w:rsidR="004843DB" w:rsidRPr="0062582F" w:rsidRDefault="004843DB" w:rsidP="004843DB">
            <w:pPr>
              <w:pStyle w:val="Tabletext"/>
              <w:rPr>
                <w:b/>
              </w:rPr>
            </w:pPr>
            <w:r w:rsidRPr="0062582F">
              <w:rPr>
                <w:b/>
              </w:rPr>
              <w:t>Balance at 1 July 2014</w:t>
            </w:r>
          </w:p>
        </w:tc>
        <w:tc>
          <w:tcPr>
            <w:tcW w:w="960" w:type="dxa"/>
            <w:tcBorders>
              <w:top w:val="nil"/>
              <w:left w:val="nil"/>
              <w:bottom w:val="nil"/>
              <w:right w:val="nil"/>
            </w:tcBorders>
            <w:shd w:val="clear" w:color="auto" w:fill="auto"/>
            <w:vAlign w:val="bottom"/>
            <w:hideMark/>
          </w:tcPr>
          <w:p w:rsidR="004843DB" w:rsidRPr="0062582F" w:rsidRDefault="004843DB" w:rsidP="004843DB">
            <w:pPr>
              <w:pStyle w:val="TableTextCentred"/>
              <w:rPr>
                <w:b/>
              </w:rPr>
            </w:pPr>
          </w:p>
        </w:tc>
        <w:tc>
          <w:tcPr>
            <w:tcW w:w="165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2 626</w:t>
            </w:r>
          </w:p>
        </w:tc>
      </w:tr>
      <w:tr w:rsidR="004843DB" w:rsidRPr="0062582F" w:rsidTr="004843DB">
        <w:trPr>
          <w:cantSplit/>
        </w:trPr>
        <w:tc>
          <w:tcPr>
            <w:tcW w:w="5425" w:type="dxa"/>
            <w:tcBorders>
              <w:top w:val="nil"/>
              <w:left w:val="nil"/>
              <w:bottom w:val="nil"/>
              <w:right w:val="nil"/>
            </w:tcBorders>
            <w:shd w:val="clear" w:color="auto" w:fill="auto"/>
            <w:vAlign w:val="bottom"/>
            <w:hideMark/>
          </w:tcPr>
          <w:p w:rsidR="004843DB" w:rsidRPr="0062582F" w:rsidRDefault="004843DB" w:rsidP="004843DB">
            <w:pPr>
              <w:pStyle w:val="Tabletext"/>
              <w:rPr>
                <w:vertAlign w:val="superscript"/>
              </w:rPr>
            </w:pPr>
            <w:r w:rsidRPr="0062582F">
              <w:t>Net result for the year</w:t>
            </w:r>
          </w:p>
        </w:tc>
        <w:tc>
          <w:tcPr>
            <w:tcW w:w="960" w:type="dxa"/>
            <w:tcBorders>
              <w:top w:val="nil"/>
              <w:left w:val="nil"/>
              <w:bottom w:val="nil"/>
              <w:right w:val="nil"/>
            </w:tcBorders>
            <w:shd w:val="clear" w:color="auto" w:fill="auto"/>
            <w:vAlign w:val="bottom"/>
            <w:hideMark/>
          </w:tcPr>
          <w:p w:rsidR="004843DB" w:rsidRPr="0062582F" w:rsidRDefault="004843DB" w:rsidP="004843DB">
            <w:pPr>
              <w:pStyle w:val="TableTextCentred"/>
            </w:pPr>
          </w:p>
        </w:tc>
        <w:tc>
          <w:tcPr>
            <w:tcW w:w="16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25" w:type="dxa"/>
            <w:tcBorders>
              <w:top w:val="nil"/>
              <w:left w:val="nil"/>
              <w:bottom w:val="nil"/>
              <w:right w:val="nil"/>
            </w:tcBorders>
            <w:shd w:val="clear" w:color="auto" w:fill="auto"/>
            <w:vAlign w:val="bottom"/>
            <w:hideMark/>
          </w:tcPr>
          <w:p w:rsidR="004843DB" w:rsidRPr="0062582F" w:rsidRDefault="004843DB" w:rsidP="004843DB">
            <w:pPr>
              <w:pStyle w:val="Tabletext"/>
            </w:pPr>
            <w:r w:rsidRPr="0062582F">
              <w:t>Other comprehensive income for the year</w:t>
            </w:r>
          </w:p>
        </w:tc>
        <w:tc>
          <w:tcPr>
            <w:tcW w:w="960" w:type="dxa"/>
            <w:tcBorders>
              <w:top w:val="nil"/>
              <w:left w:val="nil"/>
              <w:bottom w:val="nil"/>
              <w:right w:val="nil"/>
            </w:tcBorders>
            <w:shd w:val="clear" w:color="auto" w:fill="auto"/>
            <w:vAlign w:val="bottom"/>
            <w:hideMark/>
          </w:tcPr>
          <w:p w:rsidR="004843DB" w:rsidRPr="0062582F" w:rsidRDefault="004843DB" w:rsidP="004843DB">
            <w:pPr>
              <w:pStyle w:val="TableTextCentred"/>
            </w:pPr>
          </w:p>
        </w:tc>
        <w:tc>
          <w:tcPr>
            <w:tcW w:w="16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2 955</w:t>
            </w:r>
          </w:p>
        </w:tc>
      </w:tr>
      <w:tr w:rsidR="004843DB" w:rsidRPr="0062582F" w:rsidTr="004843DB">
        <w:trPr>
          <w:cantSplit/>
        </w:trPr>
        <w:tc>
          <w:tcPr>
            <w:tcW w:w="5425" w:type="dxa"/>
            <w:tcBorders>
              <w:top w:val="nil"/>
              <w:left w:val="nil"/>
              <w:bottom w:val="nil"/>
              <w:right w:val="nil"/>
            </w:tcBorders>
            <w:shd w:val="clear" w:color="auto" w:fill="auto"/>
            <w:vAlign w:val="bottom"/>
            <w:hideMark/>
          </w:tcPr>
          <w:p w:rsidR="004843DB" w:rsidRPr="0062582F" w:rsidRDefault="004843DB" w:rsidP="004843DB">
            <w:pPr>
              <w:pStyle w:val="Tabletext"/>
            </w:pPr>
            <w:r w:rsidRPr="0062582F">
              <w:t>Transfer to accumulated surplus</w:t>
            </w:r>
          </w:p>
        </w:tc>
        <w:tc>
          <w:tcPr>
            <w:tcW w:w="960" w:type="dxa"/>
            <w:tcBorders>
              <w:top w:val="nil"/>
              <w:left w:val="nil"/>
              <w:bottom w:val="nil"/>
              <w:right w:val="nil"/>
            </w:tcBorders>
            <w:shd w:val="clear" w:color="auto" w:fill="auto"/>
            <w:vAlign w:val="bottom"/>
            <w:hideMark/>
          </w:tcPr>
          <w:p w:rsidR="004843DB" w:rsidRPr="0062582F" w:rsidRDefault="004843DB" w:rsidP="004843DB">
            <w:pPr>
              <w:pStyle w:val="TableTextCentred"/>
            </w:pPr>
          </w:p>
        </w:tc>
        <w:tc>
          <w:tcPr>
            <w:tcW w:w="16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(1 822)</w:t>
            </w:r>
          </w:p>
        </w:tc>
      </w:tr>
      <w:tr w:rsidR="004843DB" w:rsidRPr="0062582F" w:rsidTr="004843DB">
        <w:trPr>
          <w:cantSplit/>
        </w:trPr>
        <w:tc>
          <w:tcPr>
            <w:tcW w:w="5425"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text"/>
            </w:pPr>
            <w:r w:rsidRPr="0062582F">
              <w:t>Capital appropriations</w:t>
            </w:r>
          </w:p>
        </w:tc>
        <w:tc>
          <w:tcPr>
            <w:tcW w:w="960"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TextCentred"/>
            </w:pPr>
            <w:r w:rsidRPr="0062582F">
              <w:t> </w:t>
            </w:r>
          </w:p>
        </w:tc>
        <w:tc>
          <w:tcPr>
            <w:tcW w:w="16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w:t>
            </w:r>
          </w:p>
        </w:tc>
      </w:tr>
      <w:tr w:rsidR="004843DB" w:rsidRPr="0062582F" w:rsidTr="004843DB">
        <w:trPr>
          <w:cantSplit/>
        </w:trPr>
        <w:tc>
          <w:tcPr>
            <w:tcW w:w="5425"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text"/>
              <w:rPr>
                <w:b/>
                <w:vertAlign w:val="superscript"/>
              </w:rPr>
            </w:pPr>
            <w:r w:rsidRPr="0062582F">
              <w:rPr>
                <w:b/>
              </w:rPr>
              <w:t>Balance at 30 June 2015</w:t>
            </w:r>
          </w:p>
        </w:tc>
        <w:tc>
          <w:tcPr>
            <w:tcW w:w="960"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TextCentred"/>
              <w:rPr>
                <w:b/>
                <w:bCs/>
              </w:rPr>
            </w:pPr>
            <w:r w:rsidRPr="0062582F">
              <w:rPr>
                <w:b/>
                <w:bCs/>
              </w:rPr>
              <w:t> </w:t>
            </w:r>
          </w:p>
        </w:tc>
        <w:tc>
          <w:tcPr>
            <w:tcW w:w="16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3 759</w:t>
            </w:r>
          </w:p>
        </w:tc>
      </w:tr>
      <w:tr w:rsidR="004843DB" w:rsidRPr="0062582F" w:rsidTr="004843DB">
        <w:trPr>
          <w:cantSplit/>
        </w:trPr>
        <w:tc>
          <w:tcPr>
            <w:tcW w:w="5425" w:type="dxa"/>
            <w:tcBorders>
              <w:top w:val="nil"/>
              <w:left w:val="nil"/>
              <w:bottom w:val="nil"/>
              <w:right w:val="nil"/>
            </w:tcBorders>
            <w:shd w:val="clear" w:color="auto" w:fill="auto"/>
            <w:vAlign w:val="bottom"/>
            <w:hideMark/>
          </w:tcPr>
          <w:p w:rsidR="004843DB" w:rsidRPr="0062582F" w:rsidRDefault="004843DB" w:rsidP="004843DB">
            <w:pPr>
              <w:pStyle w:val="Tabletext"/>
              <w:rPr>
                <w:b/>
              </w:rPr>
            </w:pPr>
            <w:r w:rsidRPr="0062582F">
              <w:rPr>
                <w:b/>
              </w:rPr>
              <w:t>Net result for the year</w:t>
            </w:r>
          </w:p>
        </w:tc>
        <w:tc>
          <w:tcPr>
            <w:tcW w:w="960" w:type="dxa"/>
            <w:tcBorders>
              <w:top w:val="nil"/>
              <w:left w:val="nil"/>
              <w:bottom w:val="nil"/>
              <w:right w:val="nil"/>
            </w:tcBorders>
            <w:shd w:val="clear" w:color="auto" w:fill="auto"/>
            <w:vAlign w:val="bottom"/>
            <w:hideMark/>
          </w:tcPr>
          <w:p w:rsidR="004843DB" w:rsidRPr="0062582F" w:rsidRDefault="004843DB" w:rsidP="004843DB">
            <w:pPr>
              <w:pStyle w:val="TableTextCentred"/>
            </w:pPr>
          </w:p>
        </w:tc>
        <w:tc>
          <w:tcPr>
            <w:tcW w:w="1650"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cantSplit/>
        </w:trPr>
        <w:tc>
          <w:tcPr>
            <w:tcW w:w="5425" w:type="dxa"/>
            <w:tcBorders>
              <w:top w:val="nil"/>
              <w:left w:val="nil"/>
              <w:bottom w:val="nil"/>
              <w:right w:val="nil"/>
            </w:tcBorders>
            <w:shd w:val="clear" w:color="auto" w:fill="auto"/>
            <w:vAlign w:val="bottom"/>
            <w:hideMark/>
          </w:tcPr>
          <w:p w:rsidR="004843DB" w:rsidRPr="0062582F" w:rsidRDefault="004843DB" w:rsidP="004843DB">
            <w:pPr>
              <w:pStyle w:val="Tabletext"/>
            </w:pPr>
            <w:r w:rsidRPr="0062582F">
              <w:t>Other comprehensive income for the year</w:t>
            </w:r>
          </w:p>
        </w:tc>
        <w:tc>
          <w:tcPr>
            <w:tcW w:w="960" w:type="dxa"/>
            <w:tcBorders>
              <w:top w:val="nil"/>
              <w:left w:val="nil"/>
              <w:bottom w:val="nil"/>
              <w:right w:val="nil"/>
            </w:tcBorders>
            <w:shd w:val="clear" w:color="auto" w:fill="auto"/>
            <w:vAlign w:val="bottom"/>
            <w:hideMark/>
          </w:tcPr>
          <w:p w:rsidR="004843DB" w:rsidRPr="0062582F" w:rsidRDefault="004843DB" w:rsidP="004843DB">
            <w:pPr>
              <w:pStyle w:val="TableTextCentred"/>
            </w:pPr>
          </w:p>
        </w:tc>
        <w:tc>
          <w:tcPr>
            <w:tcW w:w="16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7 613</w:t>
            </w:r>
          </w:p>
        </w:tc>
      </w:tr>
      <w:tr w:rsidR="004843DB" w:rsidRPr="0062582F" w:rsidTr="004843DB">
        <w:trPr>
          <w:cantSplit/>
        </w:trPr>
        <w:tc>
          <w:tcPr>
            <w:tcW w:w="5425" w:type="dxa"/>
            <w:tcBorders>
              <w:top w:val="nil"/>
              <w:left w:val="nil"/>
              <w:bottom w:val="nil"/>
              <w:right w:val="nil"/>
            </w:tcBorders>
            <w:shd w:val="clear" w:color="auto" w:fill="auto"/>
            <w:vAlign w:val="bottom"/>
            <w:hideMark/>
          </w:tcPr>
          <w:p w:rsidR="004843DB" w:rsidRPr="0062582F" w:rsidRDefault="004843DB" w:rsidP="004843DB">
            <w:pPr>
              <w:pStyle w:val="Tabletext"/>
            </w:pPr>
            <w:r w:rsidRPr="0062582F">
              <w:t>Transfer to accumulated surplus – on disposal of business</w:t>
            </w:r>
          </w:p>
        </w:tc>
        <w:tc>
          <w:tcPr>
            <w:tcW w:w="960" w:type="dxa"/>
            <w:tcBorders>
              <w:top w:val="nil"/>
              <w:left w:val="nil"/>
              <w:bottom w:val="nil"/>
              <w:right w:val="nil"/>
            </w:tcBorders>
            <w:shd w:val="clear" w:color="auto" w:fill="auto"/>
            <w:vAlign w:val="bottom"/>
            <w:hideMark/>
          </w:tcPr>
          <w:p w:rsidR="004843DB" w:rsidRPr="0062582F" w:rsidRDefault="004843DB" w:rsidP="004843DB">
            <w:pPr>
              <w:pStyle w:val="TableTextCentred"/>
            </w:pPr>
            <w:r w:rsidRPr="0062582F">
              <w:t>35</w:t>
            </w:r>
          </w:p>
        </w:tc>
        <w:tc>
          <w:tcPr>
            <w:tcW w:w="16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(3 396)</w:t>
            </w:r>
          </w:p>
        </w:tc>
      </w:tr>
      <w:tr w:rsidR="004843DB" w:rsidRPr="0062582F" w:rsidTr="004843DB">
        <w:trPr>
          <w:cantSplit/>
        </w:trPr>
        <w:tc>
          <w:tcPr>
            <w:tcW w:w="5425" w:type="dxa"/>
            <w:tcBorders>
              <w:top w:val="nil"/>
              <w:left w:val="nil"/>
              <w:bottom w:val="nil"/>
              <w:right w:val="nil"/>
            </w:tcBorders>
            <w:shd w:val="clear" w:color="auto" w:fill="auto"/>
            <w:vAlign w:val="bottom"/>
            <w:hideMark/>
          </w:tcPr>
          <w:p w:rsidR="004843DB" w:rsidRPr="0062582F" w:rsidRDefault="004843DB" w:rsidP="004843DB">
            <w:pPr>
              <w:pStyle w:val="Tabletext"/>
            </w:pPr>
            <w:r w:rsidRPr="0062582F">
              <w:t>Transfer to accumulated surplus</w:t>
            </w:r>
          </w:p>
        </w:tc>
        <w:tc>
          <w:tcPr>
            <w:tcW w:w="960" w:type="dxa"/>
            <w:tcBorders>
              <w:top w:val="nil"/>
              <w:left w:val="nil"/>
              <w:bottom w:val="nil"/>
              <w:right w:val="nil"/>
            </w:tcBorders>
            <w:shd w:val="clear" w:color="auto" w:fill="auto"/>
            <w:vAlign w:val="bottom"/>
            <w:hideMark/>
          </w:tcPr>
          <w:p w:rsidR="004843DB" w:rsidRPr="0062582F" w:rsidRDefault="004843DB" w:rsidP="004843DB">
            <w:pPr>
              <w:pStyle w:val="TableTextCentred"/>
            </w:pPr>
            <w:r w:rsidRPr="0062582F">
              <w:t>35</w:t>
            </w:r>
          </w:p>
        </w:tc>
        <w:tc>
          <w:tcPr>
            <w:tcW w:w="16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(637)</w:t>
            </w:r>
          </w:p>
        </w:tc>
      </w:tr>
      <w:tr w:rsidR="004843DB" w:rsidRPr="0062582F" w:rsidTr="004843DB">
        <w:trPr>
          <w:cantSplit/>
        </w:trPr>
        <w:tc>
          <w:tcPr>
            <w:tcW w:w="5425" w:type="dxa"/>
            <w:tcBorders>
              <w:top w:val="nil"/>
              <w:left w:val="nil"/>
              <w:bottom w:val="nil"/>
              <w:right w:val="nil"/>
            </w:tcBorders>
            <w:shd w:val="clear" w:color="auto" w:fill="auto"/>
            <w:vAlign w:val="bottom"/>
            <w:hideMark/>
          </w:tcPr>
          <w:p w:rsidR="004843DB" w:rsidRPr="0062582F" w:rsidRDefault="004843DB" w:rsidP="004843DB">
            <w:pPr>
              <w:pStyle w:val="Tabletext"/>
            </w:pPr>
            <w:r w:rsidRPr="0062582F">
              <w:t>Transfer to contributed capital</w:t>
            </w:r>
            <w:r w:rsidRPr="0062582F">
              <w:rPr>
                <w:vertAlign w:val="superscript"/>
              </w:rPr>
              <w:t>(i)</w:t>
            </w:r>
          </w:p>
        </w:tc>
        <w:tc>
          <w:tcPr>
            <w:tcW w:w="960" w:type="dxa"/>
            <w:tcBorders>
              <w:top w:val="nil"/>
              <w:left w:val="nil"/>
              <w:bottom w:val="nil"/>
              <w:right w:val="nil"/>
            </w:tcBorders>
            <w:shd w:val="clear" w:color="auto" w:fill="auto"/>
            <w:vAlign w:val="bottom"/>
            <w:hideMark/>
          </w:tcPr>
          <w:p w:rsidR="004843DB" w:rsidRPr="0062582F" w:rsidRDefault="004843DB" w:rsidP="004843DB">
            <w:pPr>
              <w:pStyle w:val="TableTextCentred"/>
            </w:pPr>
            <w:r w:rsidRPr="0062582F">
              <w:t>35</w:t>
            </w:r>
          </w:p>
        </w:tc>
        <w:tc>
          <w:tcPr>
            <w:tcW w:w="1650"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cantSplit/>
        </w:trPr>
        <w:tc>
          <w:tcPr>
            <w:tcW w:w="5425" w:type="dxa"/>
            <w:tcBorders>
              <w:top w:val="nil"/>
              <w:left w:val="nil"/>
              <w:bottom w:val="nil"/>
              <w:right w:val="nil"/>
            </w:tcBorders>
            <w:shd w:val="clear" w:color="auto" w:fill="auto"/>
            <w:vAlign w:val="bottom"/>
            <w:hideMark/>
          </w:tcPr>
          <w:p w:rsidR="004843DB" w:rsidRPr="0062582F" w:rsidRDefault="004843DB" w:rsidP="004843DB">
            <w:pPr>
              <w:pStyle w:val="Tabletext"/>
            </w:pPr>
            <w:r w:rsidRPr="0062582F">
              <w:t>Capital appropriations</w:t>
            </w:r>
          </w:p>
        </w:tc>
        <w:tc>
          <w:tcPr>
            <w:tcW w:w="960" w:type="dxa"/>
            <w:tcBorders>
              <w:top w:val="nil"/>
              <w:left w:val="nil"/>
              <w:bottom w:val="nil"/>
              <w:right w:val="nil"/>
            </w:tcBorders>
            <w:shd w:val="clear" w:color="auto" w:fill="auto"/>
            <w:vAlign w:val="bottom"/>
            <w:hideMark/>
          </w:tcPr>
          <w:p w:rsidR="004843DB" w:rsidRPr="0062582F" w:rsidRDefault="004843DB" w:rsidP="004843DB">
            <w:pPr>
              <w:pStyle w:val="TableTextCentred"/>
            </w:pPr>
          </w:p>
        </w:tc>
        <w:tc>
          <w:tcPr>
            <w:tcW w:w="1650"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cantSplit/>
        </w:trPr>
        <w:tc>
          <w:tcPr>
            <w:tcW w:w="5425" w:type="dxa"/>
            <w:tcBorders>
              <w:top w:val="nil"/>
              <w:left w:val="nil"/>
              <w:bottom w:val="nil"/>
              <w:right w:val="nil"/>
            </w:tcBorders>
            <w:shd w:val="clear" w:color="auto" w:fill="auto"/>
            <w:vAlign w:val="bottom"/>
            <w:hideMark/>
          </w:tcPr>
          <w:p w:rsidR="004843DB" w:rsidRPr="0062582F" w:rsidRDefault="004843DB" w:rsidP="004843DB">
            <w:pPr>
              <w:pStyle w:val="Tabletext"/>
            </w:pPr>
            <w:r w:rsidRPr="0062582F">
              <w:t>Administrative restructure – net assets received</w:t>
            </w:r>
          </w:p>
        </w:tc>
        <w:tc>
          <w:tcPr>
            <w:tcW w:w="960" w:type="dxa"/>
            <w:tcBorders>
              <w:top w:val="nil"/>
              <w:left w:val="nil"/>
              <w:bottom w:val="nil"/>
              <w:right w:val="nil"/>
            </w:tcBorders>
            <w:shd w:val="clear" w:color="auto" w:fill="auto"/>
            <w:vAlign w:val="bottom"/>
            <w:hideMark/>
          </w:tcPr>
          <w:p w:rsidR="004843DB" w:rsidRPr="0062582F" w:rsidRDefault="004843DB" w:rsidP="004843DB">
            <w:pPr>
              <w:pStyle w:val="TableTextCentred"/>
            </w:pPr>
            <w:r w:rsidRPr="0062582F">
              <w:t>9</w:t>
            </w:r>
          </w:p>
        </w:tc>
        <w:tc>
          <w:tcPr>
            <w:tcW w:w="1650"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cantSplit/>
        </w:trPr>
        <w:tc>
          <w:tcPr>
            <w:tcW w:w="5425"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text"/>
            </w:pPr>
            <w:r w:rsidRPr="0062582F">
              <w:t>Administrative restructure – net assets transferred</w:t>
            </w:r>
          </w:p>
        </w:tc>
        <w:tc>
          <w:tcPr>
            <w:tcW w:w="960"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TextCentred"/>
            </w:pPr>
            <w:r w:rsidRPr="0062582F">
              <w:t>9</w:t>
            </w:r>
          </w:p>
        </w:tc>
        <w:tc>
          <w:tcPr>
            <w:tcW w:w="16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w:t>
            </w:r>
          </w:p>
        </w:tc>
      </w:tr>
      <w:tr w:rsidR="004843DB" w:rsidRPr="0062582F" w:rsidTr="004843DB">
        <w:trPr>
          <w:cantSplit/>
        </w:trPr>
        <w:tc>
          <w:tcPr>
            <w:tcW w:w="5425" w:type="dxa"/>
            <w:tcBorders>
              <w:top w:val="single" w:sz="4" w:space="0" w:color="auto"/>
              <w:left w:val="nil"/>
              <w:bottom w:val="single" w:sz="12" w:space="0" w:color="auto"/>
              <w:right w:val="nil"/>
            </w:tcBorders>
            <w:shd w:val="clear" w:color="auto" w:fill="auto"/>
            <w:vAlign w:val="bottom"/>
            <w:hideMark/>
          </w:tcPr>
          <w:p w:rsidR="004843DB" w:rsidRPr="0062582F" w:rsidRDefault="004843DB" w:rsidP="004843DB">
            <w:pPr>
              <w:pStyle w:val="Tabletext"/>
              <w:rPr>
                <w:b/>
              </w:rPr>
            </w:pPr>
            <w:r w:rsidRPr="0062582F">
              <w:rPr>
                <w:b/>
              </w:rPr>
              <w:t>Balance at 30 June 2016</w:t>
            </w:r>
          </w:p>
        </w:tc>
        <w:tc>
          <w:tcPr>
            <w:tcW w:w="960" w:type="dxa"/>
            <w:tcBorders>
              <w:top w:val="single" w:sz="4" w:space="0" w:color="auto"/>
              <w:left w:val="nil"/>
              <w:bottom w:val="single" w:sz="12" w:space="0" w:color="auto"/>
              <w:right w:val="nil"/>
            </w:tcBorders>
            <w:shd w:val="clear" w:color="auto" w:fill="auto"/>
            <w:vAlign w:val="bottom"/>
            <w:hideMark/>
          </w:tcPr>
          <w:p w:rsidR="004843DB" w:rsidRPr="0062582F" w:rsidRDefault="004843DB" w:rsidP="004843DB">
            <w:pPr>
              <w:pStyle w:val="TableTextCentred"/>
              <w:rPr>
                <w:b/>
                <w:bCs/>
              </w:rPr>
            </w:pPr>
          </w:p>
        </w:tc>
        <w:tc>
          <w:tcPr>
            <w:tcW w:w="165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7 338</w:t>
            </w:r>
          </w:p>
        </w:tc>
      </w:tr>
    </w:tbl>
    <w:p w:rsidR="004843DB" w:rsidRPr="0062582F" w:rsidRDefault="004843DB" w:rsidP="004843DB">
      <w:pPr>
        <w:pStyle w:val="Notes"/>
      </w:pPr>
      <w:r w:rsidRPr="0062582F">
        <w:t>Note:</w:t>
      </w:r>
      <w:bookmarkEnd w:id="263"/>
      <w:bookmarkEnd w:id="264"/>
      <w:bookmarkEnd w:id="265"/>
    </w:p>
    <w:p w:rsidR="004843DB" w:rsidRPr="0062582F" w:rsidRDefault="004843DB" w:rsidP="004843DB">
      <w:pPr>
        <w:pStyle w:val="Notes"/>
      </w:pPr>
      <w:bookmarkStart w:id="266" w:name="_Toc251839437"/>
      <w:bookmarkStart w:id="267" w:name="_Toc252524368"/>
      <w:bookmarkStart w:id="268" w:name="_Toc252526316"/>
      <w:r w:rsidRPr="0062582F">
        <w:t>(i)</w:t>
      </w:r>
      <w:r w:rsidRPr="0062582F">
        <w:tab/>
        <w:t>These are amounts transferred from accumulated surplus to contributed capital due to insufficient contributed capital for the purpose of the machinery of government transfer to the Department of Cabinet Administration on 2 August 2015.</w:t>
      </w:r>
      <w:bookmarkEnd w:id="266"/>
      <w:bookmarkEnd w:id="267"/>
      <w:bookmarkEnd w:id="268"/>
    </w:p>
    <w:p w:rsidR="004843DB" w:rsidRPr="0062582F" w:rsidRDefault="004843DB" w:rsidP="004843DB">
      <w:pPr>
        <w:pStyle w:val="Notes"/>
      </w:pPr>
    </w:p>
    <w:p w:rsidR="004843DB" w:rsidRPr="0062582F" w:rsidRDefault="004843DB" w:rsidP="004843DB">
      <w:r w:rsidRPr="0062582F">
        <w:rPr>
          <w:b/>
        </w:rPr>
        <w:t xml:space="preserve">The statement of changes in equity should be read in conjunction with the notes to the financial statements. </w:t>
      </w:r>
    </w:p>
    <w:p w:rsidR="004843DB" w:rsidRPr="0062582F" w:rsidRDefault="004843DB" w:rsidP="004843DB">
      <w:pPr>
        <w:sectPr w:rsidR="004843DB" w:rsidRPr="0062582F" w:rsidSect="004843DB">
          <w:headerReference w:type="even" r:id="rId184"/>
          <w:headerReference w:type="default" r:id="rId185"/>
          <w:headerReference w:type="first" r:id="rId186"/>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Heading1Pt3"/>
      </w:pPr>
      <w:bookmarkStart w:id="269" w:name="_Toc163448582"/>
      <w:r w:rsidRPr="0062582F">
        <w:lastRenderedPageBreak/>
        <w:br/>
      </w:r>
    </w:p>
    <w:p w:rsidR="004843DB" w:rsidRPr="0062582F" w:rsidRDefault="004843DB" w:rsidP="004843DB">
      <w:pPr>
        <w:pStyle w:val="million"/>
        <w:spacing w:before="20"/>
      </w:pPr>
    </w:p>
    <w:tbl>
      <w:tblPr>
        <w:tblW w:w="6955" w:type="dxa"/>
        <w:tblInd w:w="108" w:type="dxa"/>
        <w:tblLayout w:type="fixed"/>
        <w:tblCellMar>
          <w:left w:w="43" w:type="dxa"/>
          <w:right w:w="43" w:type="dxa"/>
        </w:tblCellMar>
        <w:tblLook w:val="04A0" w:firstRow="1" w:lastRow="0" w:firstColumn="1" w:lastColumn="0" w:noHBand="0" w:noVBand="1"/>
      </w:tblPr>
      <w:tblGrid>
        <w:gridCol w:w="2040"/>
        <w:gridCol w:w="1760"/>
        <w:gridCol w:w="1560"/>
        <w:gridCol w:w="1595"/>
      </w:tblGrid>
      <w:tr w:rsidR="004843DB" w:rsidRPr="0062582F" w:rsidTr="004843DB">
        <w:trPr>
          <w:cantSplit/>
        </w:trPr>
        <w:tc>
          <w:tcPr>
            <w:tcW w:w="2040" w:type="dxa"/>
            <w:tcBorders>
              <w:top w:val="single" w:sz="4" w:space="0" w:color="auto"/>
              <w:left w:val="nil"/>
              <w:bottom w:val="single" w:sz="4" w:space="0" w:color="auto"/>
              <w:right w:val="nil"/>
            </w:tcBorders>
            <w:shd w:val="clear" w:color="auto" w:fill="auto"/>
            <w:vAlign w:val="bottom"/>
            <w:hideMark/>
          </w:tcPr>
          <w:p w:rsidR="004843DB" w:rsidRPr="0062582F" w:rsidRDefault="004843DB" w:rsidP="004843DB">
            <w:pPr>
              <w:pStyle w:val="Tabletextheading"/>
            </w:pPr>
            <w:r w:rsidRPr="0062582F">
              <w:t>Available</w:t>
            </w:r>
            <w:r w:rsidR="005A4BB0">
              <w:noBreakHyphen/>
            </w:r>
            <w:r w:rsidRPr="0062582F">
              <w:t>for</w:t>
            </w:r>
            <w:r w:rsidR="005A4BB0">
              <w:noBreakHyphen/>
            </w:r>
            <w:r w:rsidRPr="0062582F">
              <w:t xml:space="preserve">sale </w:t>
            </w:r>
            <w:r w:rsidRPr="0062582F">
              <w:br/>
              <w:t xml:space="preserve">financial asset </w:t>
            </w:r>
            <w:r w:rsidRPr="0062582F">
              <w:br/>
              <w:t>revaluation surplus</w:t>
            </w:r>
          </w:p>
        </w:tc>
        <w:tc>
          <w:tcPr>
            <w:tcW w:w="1760" w:type="dxa"/>
            <w:tcBorders>
              <w:top w:val="single" w:sz="4" w:space="0" w:color="auto"/>
              <w:left w:val="nil"/>
              <w:bottom w:val="single" w:sz="4" w:space="0" w:color="auto"/>
              <w:right w:val="nil"/>
            </w:tcBorders>
            <w:shd w:val="clear" w:color="auto" w:fill="auto"/>
            <w:vAlign w:val="bottom"/>
            <w:hideMark/>
          </w:tcPr>
          <w:p w:rsidR="004843DB" w:rsidRPr="0062582F" w:rsidRDefault="004843DB" w:rsidP="004843DB">
            <w:pPr>
              <w:pStyle w:val="Tabletextheading"/>
            </w:pPr>
            <w:r w:rsidRPr="0062582F">
              <w:t>Accumulated surplus</w:t>
            </w:r>
          </w:p>
        </w:tc>
        <w:tc>
          <w:tcPr>
            <w:tcW w:w="1560" w:type="dxa"/>
            <w:tcBorders>
              <w:top w:val="single" w:sz="4" w:space="0" w:color="auto"/>
              <w:left w:val="nil"/>
              <w:bottom w:val="single" w:sz="4" w:space="0" w:color="auto"/>
              <w:right w:val="nil"/>
            </w:tcBorders>
            <w:shd w:val="clear" w:color="auto" w:fill="auto"/>
            <w:vAlign w:val="bottom"/>
            <w:hideMark/>
          </w:tcPr>
          <w:p w:rsidR="004843DB" w:rsidRPr="0062582F" w:rsidRDefault="004843DB" w:rsidP="004843DB">
            <w:pPr>
              <w:pStyle w:val="Tabletextheading"/>
            </w:pPr>
            <w:r w:rsidRPr="0062582F">
              <w:t>Contributions by owner</w:t>
            </w:r>
          </w:p>
        </w:tc>
        <w:tc>
          <w:tcPr>
            <w:tcW w:w="1595" w:type="dxa"/>
            <w:tcBorders>
              <w:top w:val="single" w:sz="4" w:space="0" w:color="auto"/>
              <w:left w:val="nil"/>
              <w:bottom w:val="single" w:sz="4" w:space="0" w:color="auto"/>
              <w:right w:val="nil"/>
            </w:tcBorders>
            <w:shd w:val="clear" w:color="000000" w:fill="C0C0C0"/>
            <w:vAlign w:val="bottom"/>
            <w:hideMark/>
          </w:tcPr>
          <w:p w:rsidR="004843DB" w:rsidRPr="0062582F" w:rsidRDefault="004843DB" w:rsidP="004843DB">
            <w:pPr>
              <w:pStyle w:val="Tabletextheading"/>
              <w:rPr>
                <w:bCs/>
              </w:rPr>
            </w:pPr>
            <w:r w:rsidRPr="0062582F">
              <w:rPr>
                <w:bCs/>
              </w:rPr>
              <w:t>Total</w:t>
            </w:r>
          </w:p>
        </w:tc>
      </w:tr>
      <w:tr w:rsidR="004843DB" w:rsidRPr="0062582F" w:rsidTr="004843DB">
        <w:trPr>
          <w:cantSplit/>
        </w:trPr>
        <w:tc>
          <w:tcPr>
            <w:tcW w:w="204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577</w:t>
            </w:r>
          </w:p>
        </w:tc>
        <w:tc>
          <w:tcPr>
            <w:tcW w:w="176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59 433</w:t>
            </w: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27 845</w:t>
            </w:r>
          </w:p>
        </w:tc>
        <w:tc>
          <w:tcPr>
            <w:tcW w:w="1595" w:type="dxa"/>
            <w:tcBorders>
              <w:top w:val="nil"/>
              <w:left w:val="nil"/>
              <w:bottom w:val="nil"/>
              <w:right w:val="nil"/>
            </w:tcBorders>
            <w:shd w:val="clear" w:color="000000" w:fill="C0C0C0"/>
            <w:noWrap/>
            <w:hideMark/>
          </w:tcPr>
          <w:p w:rsidR="004843DB" w:rsidRPr="0062582F" w:rsidRDefault="004843DB" w:rsidP="004843DB">
            <w:pPr>
              <w:pStyle w:val="TableofFigures"/>
              <w:rPr>
                <w:b/>
              </w:rPr>
            </w:pPr>
            <w:r w:rsidRPr="0062582F">
              <w:rPr>
                <w:b/>
              </w:rPr>
              <w:t>90 480</w:t>
            </w:r>
          </w:p>
        </w:tc>
      </w:tr>
      <w:tr w:rsidR="004843DB" w:rsidRPr="0062582F" w:rsidTr="004843DB">
        <w:trPr>
          <w:cantSplit/>
        </w:trPr>
        <w:tc>
          <w:tcPr>
            <w:tcW w:w="20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7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9 879</w:t>
            </w: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59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9 879</w:t>
            </w:r>
          </w:p>
        </w:tc>
      </w:tr>
      <w:tr w:rsidR="004843DB" w:rsidRPr="0062582F" w:rsidTr="004843DB">
        <w:trPr>
          <w:cantSplit/>
        </w:trPr>
        <w:tc>
          <w:tcPr>
            <w:tcW w:w="20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1 146</w:t>
            </w:r>
          </w:p>
        </w:tc>
        <w:tc>
          <w:tcPr>
            <w:tcW w:w="176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59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4 101</w:t>
            </w:r>
          </w:p>
        </w:tc>
      </w:tr>
      <w:tr w:rsidR="004843DB" w:rsidRPr="0062582F" w:rsidTr="004843DB">
        <w:trPr>
          <w:cantSplit/>
        </w:trPr>
        <w:tc>
          <w:tcPr>
            <w:tcW w:w="204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7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1 822</w:t>
            </w: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59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cantSplit/>
        </w:trPr>
        <w:tc>
          <w:tcPr>
            <w:tcW w:w="204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w:t>
            </w:r>
          </w:p>
        </w:tc>
        <w:tc>
          <w:tcPr>
            <w:tcW w:w="176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w:t>
            </w: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10 500</w:t>
            </w:r>
          </w:p>
        </w:tc>
        <w:tc>
          <w:tcPr>
            <w:tcW w:w="159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10 500</w:t>
            </w:r>
          </w:p>
        </w:tc>
      </w:tr>
      <w:tr w:rsidR="004843DB" w:rsidRPr="0062582F" w:rsidTr="004843DB">
        <w:trPr>
          <w:cantSplit/>
        </w:trPr>
        <w:tc>
          <w:tcPr>
            <w:tcW w:w="204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1 723</w:t>
            </w:r>
          </w:p>
        </w:tc>
        <w:tc>
          <w:tcPr>
            <w:tcW w:w="176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71 133</w:t>
            </w:r>
          </w:p>
        </w:tc>
        <w:tc>
          <w:tcPr>
            <w:tcW w:w="15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38 345</w:t>
            </w:r>
          </w:p>
        </w:tc>
        <w:tc>
          <w:tcPr>
            <w:tcW w:w="1595" w:type="dxa"/>
            <w:tcBorders>
              <w:top w:val="single" w:sz="4" w:space="0" w:color="auto"/>
              <w:left w:val="nil"/>
              <w:bottom w:val="nil"/>
              <w:right w:val="nil"/>
            </w:tcBorders>
            <w:shd w:val="clear" w:color="000000" w:fill="C0C0C0"/>
            <w:noWrap/>
            <w:hideMark/>
          </w:tcPr>
          <w:p w:rsidR="004843DB" w:rsidRPr="0062582F" w:rsidRDefault="004843DB" w:rsidP="004843DB">
            <w:pPr>
              <w:pStyle w:val="TableofFigures"/>
              <w:rPr>
                <w:b/>
              </w:rPr>
            </w:pPr>
            <w:r w:rsidRPr="0062582F">
              <w:rPr>
                <w:b/>
              </w:rPr>
              <w:t>114 960</w:t>
            </w:r>
          </w:p>
        </w:tc>
      </w:tr>
      <w:tr w:rsidR="004843DB" w:rsidRPr="0062582F" w:rsidTr="004843DB">
        <w:trPr>
          <w:cantSplit/>
        </w:trPr>
        <w:tc>
          <w:tcPr>
            <w:tcW w:w="204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7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14 790</w:t>
            </w: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595" w:type="dxa"/>
            <w:tcBorders>
              <w:top w:val="single" w:sz="4" w:space="0" w:color="auto"/>
              <w:left w:val="nil"/>
              <w:bottom w:val="nil"/>
              <w:right w:val="nil"/>
            </w:tcBorders>
            <w:shd w:val="clear" w:color="000000" w:fill="C0C0C0"/>
            <w:noWrap/>
            <w:hideMark/>
          </w:tcPr>
          <w:p w:rsidR="004843DB" w:rsidRPr="0062582F" w:rsidRDefault="004843DB" w:rsidP="004843DB">
            <w:pPr>
              <w:pStyle w:val="TableofFigures"/>
            </w:pPr>
            <w:r w:rsidRPr="0062582F">
              <w:t>14 790</w:t>
            </w:r>
          </w:p>
        </w:tc>
      </w:tr>
      <w:tr w:rsidR="004843DB" w:rsidRPr="0062582F" w:rsidTr="004843DB">
        <w:trPr>
          <w:cantSplit/>
        </w:trPr>
        <w:tc>
          <w:tcPr>
            <w:tcW w:w="20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(1 200)</w:t>
            </w:r>
          </w:p>
        </w:tc>
        <w:tc>
          <w:tcPr>
            <w:tcW w:w="176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59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6 413</w:t>
            </w:r>
          </w:p>
        </w:tc>
      </w:tr>
      <w:tr w:rsidR="004843DB" w:rsidRPr="0062582F" w:rsidTr="004843DB">
        <w:trPr>
          <w:cantSplit/>
        </w:trPr>
        <w:tc>
          <w:tcPr>
            <w:tcW w:w="20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(323)</w:t>
            </w:r>
          </w:p>
        </w:tc>
        <w:tc>
          <w:tcPr>
            <w:tcW w:w="17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3 719</w:t>
            </w: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59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cantSplit/>
        </w:trPr>
        <w:tc>
          <w:tcPr>
            <w:tcW w:w="204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7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637</w:t>
            </w: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59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cantSplit/>
        </w:trPr>
        <w:tc>
          <w:tcPr>
            <w:tcW w:w="204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7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(13 847)</w:t>
            </w: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13 847</w:t>
            </w:r>
          </w:p>
        </w:tc>
        <w:tc>
          <w:tcPr>
            <w:tcW w:w="159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cantSplit/>
        </w:trPr>
        <w:tc>
          <w:tcPr>
            <w:tcW w:w="204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76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5 750</w:t>
            </w:r>
          </w:p>
        </w:tc>
        <w:tc>
          <w:tcPr>
            <w:tcW w:w="159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5 750</w:t>
            </w:r>
          </w:p>
        </w:tc>
      </w:tr>
      <w:tr w:rsidR="004843DB" w:rsidRPr="0062582F" w:rsidTr="004843DB">
        <w:trPr>
          <w:cantSplit/>
        </w:trPr>
        <w:tc>
          <w:tcPr>
            <w:tcW w:w="204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76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5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19 616</w:t>
            </w:r>
          </w:p>
        </w:tc>
        <w:tc>
          <w:tcPr>
            <w:tcW w:w="159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19 616</w:t>
            </w:r>
          </w:p>
        </w:tc>
      </w:tr>
      <w:tr w:rsidR="004843DB" w:rsidRPr="0062582F" w:rsidTr="004843DB">
        <w:trPr>
          <w:cantSplit/>
        </w:trPr>
        <w:tc>
          <w:tcPr>
            <w:tcW w:w="204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w:t>
            </w:r>
          </w:p>
        </w:tc>
        <w:tc>
          <w:tcPr>
            <w:tcW w:w="176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w:t>
            </w:r>
          </w:p>
        </w:tc>
        <w:tc>
          <w:tcPr>
            <w:tcW w:w="156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(20 097)</w:t>
            </w:r>
          </w:p>
        </w:tc>
        <w:tc>
          <w:tcPr>
            <w:tcW w:w="1595" w:type="dxa"/>
            <w:tcBorders>
              <w:top w:val="nil"/>
              <w:left w:val="nil"/>
              <w:bottom w:val="single" w:sz="4" w:space="0" w:color="auto"/>
              <w:right w:val="nil"/>
            </w:tcBorders>
            <w:shd w:val="clear" w:color="000000" w:fill="C0C0C0"/>
            <w:noWrap/>
            <w:hideMark/>
          </w:tcPr>
          <w:p w:rsidR="004843DB" w:rsidRPr="0062582F" w:rsidRDefault="004843DB" w:rsidP="004843DB">
            <w:pPr>
              <w:pStyle w:val="TableofFigures"/>
            </w:pPr>
            <w:r w:rsidRPr="0062582F">
              <w:t>(20 097)</w:t>
            </w:r>
          </w:p>
        </w:tc>
      </w:tr>
      <w:tr w:rsidR="004843DB" w:rsidRPr="0062582F" w:rsidTr="004843DB">
        <w:trPr>
          <w:cantSplit/>
        </w:trPr>
        <w:tc>
          <w:tcPr>
            <w:tcW w:w="20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200</w:t>
            </w:r>
          </w:p>
        </w:tc>
        <w:tc>
          <w:tcPr>
            <w:tcW w:w="176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76 433</w:t>
            </w:r>
          </w:p>
        </w:tc>
        <w:tc>
          <w:tcPr>
            <w:tcW w:w="156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57 461</w:t>
            </w:r>
          </w:p>
        </w:tc>
        <w:tc>
          <w:tcPr>
            <w:tcW w:w="1595" w:type="dxa"/>
            <w:tcBorders>
              <w:top w:val="single" w:sz="4" w:space="0" w:color="auto"/>
              <w:left w:val="nil"/>
              <w:bottom w:val="single" w:sz="12" w:space="0" w:color="auto"/>
              <w:right w:val="nil"/>
            </w:tcBorders>
            <w:shd w:val="clear" w:color="000000" w:fill="C0C0C0"/>
            <w:noWrap/>
            <w:hideMark/>
          </w:tcPr>
          <w:p w:rsidR="004843DB" w:rsidRPr="0062582F" w:rsidRDefault="004843DB" w:rsidP="004843DB">
            <w:pPr>
              <w:pStyle w:val="TableofFigures"/>
              <w:rPr>
                <w:b/>
              </w:rPr>
            </w:pPr>
            <w:r w:rsidRPr="0062582F">
              <w:rPr>
                <w:b/>
              </w:rPr>
              <w:t>141 432</w:t>
            </w:r>
          </w:p>
        </w:tc>
      </w:tr>
    </w:tbl>
    <w:p w:rsidR="004843DB" w:rsidRPr="0062582F" w:rsidRDefault="004843DB" w:rsidP="004843DB">
      <w:pPr>
        <w:pStyle w:val="million"/>
      </w:pPr>
    </w:p>
    <w:p w:rsidR="004843DB" w:rsidRPr="0062582F" w:rsidRDefault="004843DB" w:rsidP="004843DB">
      <w:pPr>
        <w:sectPr w:rsidR="004843DB" w:rsidRPr="0062582F" w:rsidSect="004843DB">
          <w:headerReference w:type="even" r:id="rId187"/>
          <w:headerReference w:type="default" r:id="rId188"/>
          <w:headerReference w:type="first" r:id="rId189"/>
          <w:pgSz w:w="11906" w:h="16838" w:code="9"/>
          <w:pgMar w:top="1152" w:right="864" w:bottom="1152" w:left="864" w:header="432" w:footer="432" w:gutter="0"/>
          <w:cols w:space="360"/>
        </w:sectPr>
      </w:pPr>
    </w:p>
    <w:p w:rsidR="004843DB" w:rsidRPr="0062582F" w:rsidRDefault="004843DB" w:rsidP="004843DB">
      <w:pPr>
        <w:pStyle w:val="SmallLine"/>
      </w:pPr>
      <w:r w:rsidRPr="0062582F">
        <w:lastRenderedPageBreak/>
        <w:br w:type="column"/>
      </w:r>
    </w:p>
    <w:p w:rsidR="004843DB" w:rsidRPr="0062582F" w:rsidRDefault="004843DB" w:rsidP="004843DB">
      <w:pPr>
        <w:pStyle w:val="CommentaryHeading"/>
      </w:pPr>
      <w:r w:rsidRPr="0062582F">
        <w:t xml:space="preserve">Commentary – </w:t>
      </w:r>
      <w:bookmarkEnd w:id="269"/>
      <w:r w:rsidRPr="0062582F">
        <w:t>Statement of changes in equity</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pPr>
      <w:r w:rsidRPr="0062582F">
        <w:t xml:space="preserve">Presentation of statement of changes in equity </w:t>
      </w:r>
    </w:p>
    <w:p w:rsidR="004843DB" w:rsidRPr="0062582F" w:rsidRDefault="004843DB" w:rsidP="004843DB">
      <w:pPr>
        <w:pStyle w:val="CommentaryText"/>
        <w:pBdr>
          <w:top w:val="none" w:sz="0" w:space="0" w:color="auto"/>
          <w:bottom w:val="none" w:sz="0" w:space="0" w:color="auto"/>
        </w:pBdr>
        <w:rPr>
          <w:b/>
          <w:bCs/>
        </w:rPr>
      </w:pPr>
      <w:r w:rsidRPr="0062582F">
        <w:t>The statement of changes in equity presents reconciliation between the carrying amount of each non</w:t>
      </w:r>
      <w:r w:rsidR="005A4BB0">
        <w:noBreakHyphen/>
      </w:r>
      <w:r w:rsidRPr="0062582F">
        <w:t>owner and owner equity opening balance at the beginning of the reporting period to the closing balance at the end of the reporting period, showing separately movements included in the comprehensive result and movements due to transactions with owners in their capacity as owners.</w:t>
      </w:r>
    </w:p>
    <w:p w:rsidR="004843DB" w:rsidRPr="0062582F" w:rsidRDefault="004843DB" w:rsidP="004843DB">
      <w:pPr>
        <w:pStyle w:val="CommentaryHeading1"/>
        <w:pBdr>
          <w:top w:val="none" w:sz="0" w:space="0" w:color="auto"/>
          <w:bottom w:val="none" w:sz="0" w:space="0" w:color="auto"/>
        </w:pBdr>
      </w:pPr>
      <w:bookmarkStart w:id="270" w:name="_Toc163448583"/>
      <w:r w:rsidRPr="0062582F">
        <w:t>Information to be disclosed</w:t>
      </w:r>
      <w:bookmarkEnd w:id="270"/>
    </w:p>
    <w:p w:rsidR="004843DB" w:rsidRPr="0062582F" w:rsidRDefault="004843DB" w:rsidP="004843DB">
      <w:pPr>
        <w:pStyle w:val="CommentaryHeading2"/>
      </w:pPr>
      <w:bookmarkStart w:id="271" w:name="_Toc163448584"/>
      <w:r w:rsidRPr="0062582F">
        <w:t>In the statement</w:t>
      </w:r>
      <w:bookmarkEnd w:id="271"/>
    </w:p>
    <w:p w:rsidR="004843DB" w:rsidRPr="0062582F" w:rsidRDefault="004843DB" w:rsidP="004843DB">
      <w:pPr>
        <w:pStyle w:val="CommentaryText"/>
        <w:pBdr>
          <w:top w:val="none" w:sz="0" w:space="0" w:color="auto"/>
          <w:bottom w:val="none" w:sz="0" w:space="0" w:color="auto"/>
        </w:pBdr>
        <w:sectPr w:rsidR="004843DB" w:rsidRPr="0062582F" w:rsidSect="00190A01">
          <w:headerReference w:type="even" r:id="rId190"/>
          <w:headerReference w:type="default" r:id="rId191"/>
          <w:headerReference w:type="first" r:id="rId192"/>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lastRenderedPageBreak/>
        <w:t>AASB </w:t>
      </w:r>
      <w:r w:rsidRPr="0062582F">
        <w:rPr>
          <w:lang w:val="en-AU"/>
        </w:rPr>
        <w:t>101.</w:t>
      </w:r>
      <w:r w:rsidRPr="0062582F">
        <w:t>106</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An entity shall present a statement of changes in equity showing:</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101.106(a)</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(a)</w:t>
      </w:r>
      <w:r w:rsidRPr="0062582F">
        <w:tab/>
        <w:t>total comprehensive result for the period, showing separately the total amounts attributable to owners of the parent and to minority interest;</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101.106(b)</w:t>
      </w:r>
    </w:p>
    <w:p w:rsidR="004843DB" w:rsidRPr="0062582F" w:rsidRDefault="004843DB" w:rsidP="004843DB">
      <w:pPr>
        <w:pStyle w:val="SmallLine"/>
      </w:pPr>
      <w:r w:rsidRPr="0062582F">
        <w:br/>
      </w:r>
      <w:r w:rsidRPr="0062582F">
        <w:br/>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(b)</w:t>
      </w:r>
      <w:r w:rsidRPr="0062582F">
        <w:tab/>
        <w:t>for each component of equity, the effects of retrospective application or retrospective restatement recognised in accordance with AASB 108.</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101.110</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ab/>
        <w:t>AASB 108 requires retrospective adjustments to effect changes in accounting policies, to the extent practicable, except when the transition provisions in another AAS requires otherwise. AASB 108 also requires restatements to correct errors to be made retrospectively, to the extent practicable. Retrospective adjustments and retrospective restatements are not changes in equity but they are adjustments to the opening balance of retained earnings, except when an AAS requires retrospective adjustment of another component of equity. AASB 101.106(b) requires disclosure in the statement of changes in equity of the total adjustment to each component of equity resulting, from changes in accounting policies and separately, from corrections of errors. These adjustments are disclosed for each prior period and the beginning of the period; and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101.106(d)</w:t>
      </w:r>
    </w:p>
    <w:p w:rsidR="004843DB" w:rsidRPr="0062582F" w:rsidRDefault="004843DB" w:rsidP="004843DB">
      <w:pPr>
        <w:pStyle w:val="CommentaryTextIndent"/>
        <w:pBdr>
          <w:top w:val="none" w:sz="0" w:space="0" w:color="auto"/>
          <w:bottom w:val="none" w:sz="0" w:space="0" w:color="auto"/>
        </w:pBdr>
        <w:spacing w:before="80"/>
      </w:pPr>
      <w:r w:rsidRPr="0062582F">
        <w:br w:type="column"/>
      </w:r>
      <w:r w:rsidRPr="0062582F">
        <w:lastRenderedPageBreak/>
        <w:t>(c)</w:t>
      </w:r>
      <w:r w:rsidRPr="0062582F">
        <w:tab/>
        <w:t>for each component of equity, a reconciliation between the carrying amount at the beginning and the end of the period, separately disclosing changes resulting from:</w:t>
      </w:r>
    </w:p>
    <w:p w:rsidR="004843DB" w:rsidRPr="0062582F" w:rsidRDefault="004843DB" w:rsidP="004843DB">
      <w:pPr>
        <w:pStyle w:val="CommentaryTextIndent2"/>
        <w:pBdr>
          <w:top w:val="none" w:sz="0" w:space="0" w:color="auto"/>
          <w:bottom w:val="none" w:sz="0" w:space="0" w:color="auto"/>
        </w:pBdr>
      </w:pPr>
      <w:r w:rsidRPr="0062582F">
        <w:tab/>
        <w:t>(i)</w:t>
      </w:r>
      <w:r w:rsidRPr="0062582F">
        <w:tab/>
        <w:t>profit or loss;</w:t>
      </w:r>
    </w:p>
    <w:p w:rsidR="004843DB" w:rsidRPr="0062582F" w:rsidRDefault="004843DB" w:rsidP="004843DB">
      <w:pPr>
        <w:pStyle w:val="CommentaryTextIndent2"/>
        <w:pBdr>
          <w:top w:val="none" w:sz="0" w:space="0" w:color="auto"/>
          <w:bottom w:val="none" w:sz="0" w:space="0" w:color="auto"/>
        </w:pBdr>
      </w:pPr>
      <w:r w:rsidRPr="0062582F">
        <w:tab/>
        <w:t>(ii)</w:t>
      </w:r>
      <w:r w:rsidRPr="0062582F">
        <w:tab/>
        <w:t>each item of other comprehensive income; and</w:t>
      </w:r>
    </w:p>
    <w:p w:rsidR="004843DB" w:rsidRPr="0062582F" w:rsidRDefault="004843DB" w:rsidP="004843DB">
      <w:pPr>
        <w:pStyle w:val="CommentaryTextIndent2"/>
        <w:pBdr>
          <w:top w:val="none" w:sz="0" w:space="0" w:color="auto"/>
          <w:bottom w:val="none" w:sz="0" w:space="0" w:color="auto"/>
        </w:pBdr>
      </w:pPr>
      <w:r w:rsidRPr="0062582F">
        <w:tab/>
        <w:t>(iii)</w:t>
      </w:r>
      <w:r w:rsidRPr="0062582F">
        <w:tab/>
        <w:t>transactions with owners in their capacity as owners, showing separately contributions by and distributions to owners and changes in ownership interests in subsidiaries that do not result in a loss of control.</w:t>
      </w:r>
    </w:p>
    <w:p w:rsidR="004843DB" w:rsidRPr="0062582F" w:rsidRDefault="004843DB" w:rsidP="004843DB">
      <w:pPr>
        <w:pStyle w:val="CommentaryHeading2"/>
      </w:pPr>
      <w:r w:rsidRPr="0062582F">
        <w:t>Either in the statement or in the notes – for</w:t>
      </w:r>
      <w:r w:rsidR="005A4BB0">
        <w:noBreakHyphen/>
      </w:r>
      <w:r w:rsidRPr="0062582F">
        <w:t>profit guidance</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101.107</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sectPr>
      </w:pPr>
      <w:bookmarkStart w:id="272" w:name="_Toc163448585"/>
      <w:r w:rsidRPr="0062582F">
        <w:br w:type="column"/>
      </w:r>
      <w:bookmarkEnd w:id="272"/>
      <w:r w:rsidRPr="0062582F">
        <w:lastRenderedPageBreak/>
        <w:t>Other entities such as public non</w:t>
      </w:r>
      <w:r w:rsidR="005A4BB0">
        <w:noBreakHyphen/>
      </w:r>
      <w:r w:rsidRPr="0062582F">
        <w:t>financial corporations (PNFCs) and public financial corporations (PFCs) who pay dividends shall also present, either in the statement of changes in equity or in the notes, the amounts of dividends recognised as distributions to owners during the period, and the related amount per share. When presenting the dividends in the statement of changes in equity, a separate column needs to be added to show the dividends paid.</w:t>
      </w:r>
    </w:p>
    <w:p w:rsidR="004843DB" w:rsidRPr="0062582F" w:rsidRDefault="004843DB" w:rsidP="004843DB">
      <w:pPr>
        <w:pStyle w:val="CommentaryHeading1"/>
        <w:pBdr>
          <w:top w:val="none" w:sz="0" w:space="0" w:color="auto"/>
          <w:bottom w:val="none" w:sz="0" w:space="0" w:color="auto"/>
        </w:pBdr>
      </w:pPr>
      <w:r w:rsidRPr="0062582F">
        <w:lastRenderedPageBreak/>
        <w:t>Events affecting changes in equity</w:t>
      </w:r>
    </w:p>
    <w:p w:rsidR="004843DB" w:rsidRPr="0062582F" w:rsidRDefault="004843DB" w:rsidP="004843DB">
      <w:pPr>
        <w:pStyle w:val="CommentaryHeading1"/>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101.109</w:t>
      </w:r>
    </w:p>
    <w:p w:rsidR="004843DB" w:rsidRPr="0062582F" w:rsidRDefault="004843DB" w:rsidP="004843DB">
      <w:pPr>
        <w:pStyle w:val="CommentaryText"/>
        <w:pBdr>
          <w:top w:val="none" w:sz="0" w:space="0" w:color="auto"/>
        </w:pBdr>
      </w:pPr>
      <w:r w:rsidRPr="0062582F">
        <w:rPr>
          <w:b/>
          <w:bCs/>
        </w:rPr>
        <w:br w:type="column"/>
      </w:r>
      <w:r w:rsidRPr="0062582F">
        <w:lastRenderedPageBreak/>
        <w:t>Changes in an entity</w:t>
      </w:r>
      <w:r w:rsidR="005A4BB0">
        <w:t>’</w:t>
      </w:r>
      <w:r w:rsidRPr="0062582F">
        <w:t>s equity between the beginning and the end of the reporting period reflect the increase or decrease in its net assets during the period. Except for changes resulting from transactions with owners acting in their capacity as owners, and transaction costs directly related to such transactions, the overall change in equity during a period represents the total amount of income and expenses, including gains and losses, generated by the entity</w:t>
      </w:r>
      <w:r w:rsidR="005A4BB0">
        <w:t>’</w:t>
      </w:r>
      <w:r w:rsidRPr="0062582F">
        <w:t>s activities during that period (whether those items of income and expenses are recognised in net result or directly as changes in equity).</w:t>
      </w:r>
    </w:p>
    <w:p w:rsidR="004843DB" w:rsidRPr="0062582F" w:rsidRDefault="004843DB" w:rsidP="004843DB">
      <w:pPr>
        <w:pStyle w:val="CommentaryText"/>
        <w:pBdr>
          <w:top w:val="none" w:sz="0" w:space="0" w:color="auto"/>
          <w:bottom w:val="single" w:sz="4" w:space="1"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SmallLine"/>
      </w:pPr>
    </w:p>
    <w:p w:rsidR="004843DB" w:rsidRPr="0062582F" w:rsidRDefault="004843DB" w:rsidP="004843DB">
      <w:pPr>
        <w:pStyle w:val="Reference"/>
        <w:spacing w:before="120"/>
      </w:pPr>
    </w:p>
    <w:p w:rsidR="004843DB" w:rsidRPr="0062582F" w:rsidRDefault="004843DB" w:rsidP="004843DB">
      <w:pPr>
        <w:pStyle w:val="Reference"/>
        <w:spacing w:before="80"/>
      </w:pPr>
      <w:r w:rsidRPr="0062582F">
        <w:t>AASB 101.10(d)</w:t>
      </w:r>
    </w:p>
    <w:p w:rsidR="004843DB" w:rsidRPr="0062582F" w:rsidRDefault="004843DB" w:rsidP="004843DB">
      <w:pPr>
        <w:pStyle w:val="Reference"/>
        <w:spacing w:before="0"/>
        <w:rPr>
          <w:rStyle w:val="SmallLineChar"/>
          <w:sz w:val="16"/>
          <w:szCs w:val="16"/>
        </w:rPr>
      </w:pPr>
      <w:r w:rsidRPr="0062582F">
        <w:t>FRD 110</w:t>
      </w:r>
    </w:p>
    <w:p w:rsidR="004843DB" w:rsidRPr="0062582F" w:rsidRDefault="004843DB" w:rsidP="004843DB">
      <w:pPr>
        <w:pStyle w:val="Reference"/>
      </w:pPr>
    </w:p>
    <w:p w:rsidR="004843DB" w:rsidRPr="0062582F" w:rsidRDefault="004843DB" w:rsidP="004843DB">
      <w:pPr>
        <w:pStyle w:val="Reference"/>
      </w:pPr>
      <w:r w:rsidRPr="0062582F">
        <w:t>AASB 107.10</w:t>
      </w:r>
    </w:p>
    <w:p w:rsidR="004843DB" w:rsidRPr="0062582F" w:rsidRDefault="004843DB" w:rsidP="004843DB">
      <w:pPr>
        <w:pStyle w:val="Reference"/>
        <w:spacing w:before="120"/>
      </w:pPr>
    </w:p>
    <w:p w:rsidR="004843DB" w:rsidRPr="0062582F" w:rsidRDefault="004843DB" w:rsidP="004843DB">
      <w:pPr>
        <w:pStyle w:val="Reference"/>
        <w:spacing w:before="120"/>
      </w:pPr>
    </w:p>
    <w:p w:rsidR="004843DB" w:rsidRPr="0062582F" w:rsidRDefault="004843DB" w:rsidP="004843DB">
      <w:pPr>
        <w:pStyle w:val="Reference"/>
        <w:spacing w:before="120"/>
      </w:pPr>
    </w:p>
    <w:p w:rsidR="004843DB" w:rsidRPr="0062582F" w:rsidRDefault="004843DB" w:rsidP="004843DB">
      <w:pPr>
        <w:pStyle w:val="SmallLine"/>
      </w:pPr>
      <w:r w:rsidRPr="0062582F">
        <w:br/>
      </w:r>
    </w:p>
    <w:p w:rsidR="004843DB" w:rsidRPr="0062582F" w:rsidRDefault="004843DB" w:rsidP="004843DB">
      <w:pPr>
        <w:pStyle w:val="Reference"/>
        <w:spacing w:before="40"/>
      </w:pPr>
      <w:r w:rsidRPr="0062582F">
        <w:t>AASB 107.31</w:t>
      </w:r>
    </w:p>
    <w:p w:rsidR="004843DB" w:rsidRPr="0062582F" w:rsidRDefault="004843DB" w:rsidP="004843DB">
      <w:pPr>
        <w:pStyle w:val="Reference"/>
        <w:spacing w:before="80"/>
        <w:rPr>
          <w:rStyle w:val="SmallLineChar"/>
          <w:sz w:val="16"/>
          <w:szCs w:val="16"/>
        </w:rPr>
      </w:pPr>
      <w:r w:rsidRPr="0062582F">
        <w:t>AASB 107.31</w:t>
      </w:r>
    </w:p>
    <w:p w:rsidR="004843DB" w:rsidRPr="0062582F" w:rsidRDefault="004843DB" w:rsidP="004843DB">
      <w:pPr>
        <w:pStyle w:val="SmallLine"/>
      </w:pPr>
    </w:p>
    <w:p w:rsidR="004843DB" w:rsidRPr="0062582F" w:rsidRDefault="004843DB" w:rsidP="004843DB">
      <w:pPr>
        <w:pStyle w:val="Reference"/>
        <w:spacing w:before="80"/>
      </w:pPr>
    </w:p>
    <w:p w:rsidR="004843DB" w:rsidRPr="0062582F" w:rsidRDefault="004843DB" w:rsidP="004843DB">
      <w:pPr>
        <w:pStyle w:val="Reference"/>
        <w:spacing w:before="80"/>
      </w:pP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Reference"/>
        <w:rPr>
          <w:rStyle w:val="SmallLineChar"/>
          <w:sz w:val="16"/>
          <w:szCs w:val="16"/>
        </w:rPr>
      </w:pPr>
      <w:r w:rsidRPr="0062582F">
        <w:t>AASB 107.14(c), (d)</w:t>
      </w:r>
    </w:p>
    <w:p w:rsidR="004843DB" w:rsidRPr="0062582F" w:rsidRDefault="004843DB" w:rsidP="004843DB">
      <w:pPr>
        <w:pStyle w:val="Reference"/>
        <w:spacing w:before="80"/>
        <w:rPr>
          <w:sz w:val="15"/>
        </w:rPr>
      </w:pPr>
      <w:r w:rsidRPr="0062582F">
        <w:t>AASB Interpretation 1031.11</w:t>
      </w:r>
    </w:p>
    <w:p w:rsidR="004843DB" w:rsidRPr="0062582F" w:rsidRDefault="004843DB" w:rsidP="004843DB">
      <w:pPr>
        <w:pStyle w:val="SmallLine"/>
      </w:pPr>
      <w:r w:rsidRPr="0062582F">
        <w:br/>
      </w:r>
      <w:r w:rsidRPr="0062582F">
        <w:br/>
      </w:r>
    </w:p>
    <w:p w:rsidR="004843DB" w:rsidRPr="0062582F" w:rsidRDefault="004843DB" w:rsidP="004843DB">
      <w:pPr>
        <w:pStyle w:val="Reference"/>
        <w:spacing w:before="260"/>
        <w:rPr>
          <w:rStyle w:val="SmallLineChar"/>
          <w:sz w:val="16"/>
          <w:szCs w:val="16"/>
        </w:rPr>
      </w:pPr>
      <w:r w:rsidRPr="0062582F">
        <w:t>AASB 107.31</w:t>
      </w:r>
    </w:p>
    <w:p w:rsidR="004843DB" w:rsidRPr="0062582F" w:rsidRDefault="004843DB" w:rsidP="004843DB">
      <w:pPr>
        <w:pStyle w:val="Reference"/>
        <w:spacing w:before="80"/>
      </w:pPr>
    </w:p>
    <w:p w:rsidR="004843DB" w:rsidRPr="0062582F" w:rsidRDefault="004843DB" w:rsidP="004843DB">
      <w:pPr>
        <w:pStyle w:val="Reference"/>
        <w:spacing w:before="80"/>
      </w:pPr>
    </w:p>
    <w:p w:rsidR="004843DB" w:rsidRPr="0062582F" w:rsidRDefault="004843DB" w:rsidP="004843DB">
      <w:pPr>
        <w:pStyle w:val="Reference"/>
        <w:spacing w:before="80"/>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0"/>
      </w:pPr>
      <w:r w:rsidRPr="0062582F">
        <w:t>AASB 107.10</w:t>
      </w:r>
    </w:p>
    <w:p w:rsidR="004843DB" w:rsidRPr="0062582F" w:rsidRDefault="004843DB" w:rsidP="004843DB">
      <w:pPr>
        <w:pStyle w:val="Reference"/>
        <w:spacing w:before="80"/>
        <w:rPr>
          <w:rStyle w:val="SmallLineChar"/>
          <w:sz w:val="16"/>
          <w:szCs w:val="16"/>
        </w:rPr>
      </w:pPr>
      <w:r w:rsidRPr="0062582F">
        <w:t>AASB 107.16(c)</w:t>
      </w:r>
    </w:p>
    <w:p w:rsidR="004843DB" w:rsidRPr="0062582F" w:rsidRDefault="004843DB" w:rsidP="004843DB">
      <w:pPr>
        <w:pStyle w:val="Reference"/>
        <w:spacing w:before="60"/>
        <w:rPr>
          <w:rStyle w:val="SmallLineChar"/>
          <w:sz w:val="16"/>
          <w:szCs w:val="16"/>
        </w:rPr>
      </w:pPr>
      <w:r w:rsidRPr="0062582F">
        <w:t>AASB 107.16(d)</w:t>
      </w:r>
    </w:p>
    <w:p w:rsidR="004843DB" w:rsidRPr="0062582F" w:rsidRDefault="004843DB" w:rsidP="004843DB">
      <w:pPr>
        <w:pStyle w:val="Reference"/>
        <w:spacing w:before="60"/>
        <w:rPr>
          <w:rStyle w:val="SmallLineChar"/>
          <w:sz w:val="16"/>
          <w:szCs w:val="16"/>
        </w:rPr>
      </w:pPr>
      <w:r w:rsidRPr="0062582F">
        <w:t>AASB 107.16(a)</w:t>
      </w:r>
    </w:p>
    <w:p w:rsidR="004843DB" w:rsidRPr="0062582F" w:rsidRDefault="004843DB" w:rsidP="004843DB">
      <w:pPr>
        <w:pStyle w:val="Reference"/>
        <w:spacing w:before="80"/>
        <w:rPr>
          <w:rStyle w:val="SmallLineChar"/>
          <w:sz w:val="16"/>
          <w:szCs w:val="16"/>
        </w:rPr>
      </w:pPr>
      <w:r w:rsidRPr="0062582F">
        <w:t>AASB 107.16(b)</w:t>
      </w:r>
    </w:p>
    <w:p w:rsidR="004843DB" w:rsidRPr="0062582F" w:rsidRDefault="004843DB" w:rsidP="004843DB">
      <w:pPr>
        <w:pStyle w:val="Reference"/>
        <w:spacing w:before="60"/>
        <w:rPr>
          <w:rStyle w:val="SmallLineChar"/>
          <w:sz w:val="16"/>
          <w:szCs w:val="16"/>
        </w:rPr>
      </w:pPr>
      <w:r w:rsidRPr="0062582F">
        <w:t>AASB 107.16(e)</w:t>
      </w:r>
    </w:p>
    <w:p w:rsidR="004843DB" w:rsidRPr="0062582F" w:rsidRDefault="004843DB" w:rsidP="004843DB">
      <w:pPr>
        <w:pStyle w:val="Reference"/>
        <w:spacing w:before="80"/>
        <w:rPr>
          <w:rStyle w:val="SmallLineChar"/>
          <w:sz w:val="16"/>
          <w:szCs w:val="16"/>
        </w:rPr>
      </w:pPr>
      <w:r w:rsidRPr="0062582F">
        <w:t>AASB 107.16(f)</w:t>
      </w:r>
    </w:p>
    <w:p w:rsidR="004843DB" w:rsidRPr="0062582F" w:rsidRDefault="004843DB" w:rsidP="004843DB">
      <w:pPr>
        <w:pStyle w:val="SmallLine"/>
      </w:pPr>
      <w:r w:rsidRPr="0062582F">
        <w:br/>
      </w:r>
    </w:p>
    <w:p w:rsidR="004843DB" w:rsidRPr="0062582F" w:rsidRDefault="004843DB" w:rsidP="004843DB">
      <w:pPr>
        <w:pStyle w:val="SmallLine"/>
      </w:pPr>
      <w:r w:rsidRPr="0062582F">
        <w:br/>
      </w:r>
    </w:p>
    <w:p w:rsidR="004843DB" w:rsidRPr="0062582F" w:rsidRDefault="004843DB" w:rsidP="004843DB">
      <w:pPr>
        <w:pStyle w:val="Reference"/>
      </w:pPr>
      <w:r w:rsidRPr="0062582F">
        <w:t>AASB 107.10</w:t>
      </w:r>
    </w:p>
    <w:p w:rsidR="004843DB" w:rsidRPr="0062582F" w:rsidRDefault="004843DB" w:rsidP="004843DB">
      <w:pPr>
        <w:pStyle w:val="SmallLine"/>
      </w:pPr>
    </w:p>
    <w:p w:rsidR="004843DB" w:rsidRPr="0062582F" w:rsidRDefault="004843DB" w:rsidP="004843DB">
      <w:pPr>
        <w:pStyle w:val="Reference"/>
        <w:spacing w:before="240"/>
      </w:pPr>
    </w:p>
    <w:p w:rsidR="004843DB" w:rsidRPr="0062582F" w:rsidRDefault="004843DB" w:rsidP="004843DB">
      <w:pPr>
        <w:pStyle w:val="Reference"/>
        <w:spacing w:before="240"/>
      </w:pPr>
    </w:p>
    <w:p w:rsidR="004843DB" w:rsidRPr="0062582F" w:rsidRDefault="004843DB" w:rsidP="004843DB">
      <w:pPr>
        <w:pStyle w:val="Reference"/>
        <w:spacing w:before="440"/>
      </w:pPr>
      <w:r w:rsidRPr="0062582F">
        <w:t>AASB 107.17(c)</w:t>
      </w:r>
    </w:p>
    <w:p w:rsidR="004843DB" w:rsidRPr="0062582F" w:rsidRDefault="004843DB" w:rsidP="004843DB">
      <w:pPr>
        <w:pStyle w:val="Reference"/>
        <w:spacing w:before="0"/>
        <w:rPr>
          <w:rStyle w:val="SmallLineChar"/>
          <w:rFonts w:ascii="Garamond" w:hAnsi="Garamond" w:cs="Tahoma"/>
          <w:color w:val="auto"/>
          <w:sz w:val="16"/>
          <w:szCs w:val="16"/>
          <w:lang w:val="en-AU"/>
        </w:rPr>
      </w:pPr>
      <w:r w:rsidRPr="0062582F">
        <w:t>AASB 107.17(d) and (e)</w:t>
      </w:r>
    </w:p>
    <w:p w:rsidR="004843DB" w:rsidRPr="0062582F" w:rsidRDefault="004843DB" w:rsidP="004843DB">
      <w:pPr>
        <w:pStyle w:val="Reference"/>
        <w:spacing w:before="240"/>
      </w:pPr>
    </w:p>
    <w:p w:rsidR="004843DB" w:rsidRPr="0062582F" w:rsidRDefault="004843DB" w:rsidP="004843DB">
      <w:pPr>
        <w:pStyle w:val="Reference"/>
        <w:spacing w:before="360"/>
      </w:pPr>
      <w:r w:rsidRPr="0062582F">
        <w:t>AASB 107.28</w:t>
      </w:r>
    </w:p>
    <w:p w:rsidR="004843DB" w:rsidRPr="0062582F" w:rsidRDefault="004843DB" w:rsidP="004843DB">
      <w:pPr>
        <w:pStyle w:val="Heading1Pt3"/>
      </w:pPr>
      <w:r w:rsidRPr="0062582F">
        <w:br w:type="column"/>
      </w:r>
      <w:bookmarkStart w:id="273" w:name="_Toc331754632"/>
      <w:bookmarkStart w:id="274" w:name="_Toc332019431"/>
      <w:bookmarkStart w:id="275" w:name="_Toc350413473"/>
      <w:bookmarkStart w:id="276" w:name="_Toc388277747"/>
      <w:bookmarkStart w:id="277" w:name="_Toc416691916"/>
      <w:bookmarkStart w:id="278" w:name="_Toc448493013"/>
      <w:r w:rsidRPr="0062582F">
        <w:lastRenderedPageBreak/>
        <w:t xml:space="preserve">Cash flow statement for the financial year ended 30 June </w:t>
      </w:r>
      <w:bookmarkEnd w:id="273"/>
      <w:bookmarkEnd w:id="274"/>
      <w:bookmarkEnd w:id="275"/>
      <w:bookmarkEnd w:id="276"/>
      <w:r w:rsidRPr="0062582F">
        <w:t>2016</w:t>
      </w:r>
      <w:bookmarkEnd w:id="277"/>
      <w:bookmarkEnd w:id="278"/>
    </w:p>
    <w:p w:rsidR="004843DB" w:rsidRPr="0062582F" w:rsidRDefault="004843DB" w:rsidP="004843DB">
      <w:pPr>
        <w:pStyle w:val="million"/>
        <w:rPr>
          <w:rFonts w:ascii="Tahoma" w:hAnsi="Tahoma" w:cs="Tahoma"/>
          <w:sz w:val="20"/>
        </w:rPr>
      </w:pPr>
      <w:r w:rsidRPr="0062582F">
        <w:t>($ thousand)</w:t>
      </w:r>
      <w:bookmarkStart w:id="279" w:name="RANGE!A3:E42"/>
    </w:p>
    <w:tbl>
      <w:tblPr>
        <w:tblW w:w="8110" w:type="dxa"/>
        <w:tblInd w:w="43" w:type="dxa"/>
        <w:tblLayout w:type="fixed"/>
        <w:tblCellMar>
          <w:left w:w="43" w:type="dxa"/>
          <w:right w:w="43" w:type="dxa"/>
        </w:tblCellMar>
        <w:tblLook w:val="04A0" w:firstRow="1" w:lastRow="0" w:firstColumn="1" w:lastColumn="0" w:noHBand="0" w:noVBand="1"/>
      </w:tblPr>
      <w:tblGrid>
        <w:gridCol w:w="5310"/>
        <w:gridCol w:w="720"/>
        <w:gridCol w:w="1040"/>
        <w:gridCol w:w="1040"/>
      </w:tblGrid>
      <w:tr w:rsidR="004843DB" w:rsidRPr="0062582F" w:rsidTr="004843DB">
        <w:trPr>
          <w:cantSplit/>
        </w:trPr>
        <w:tc>
          <w:tcPr>
            <w:tcW w:w="5310" w:type="dxa"/>
            <w:tcBorders>
              <w:top w:val="single" w:sz="4" w:space="0" w:color="auto"/>
              <w:left w:val="nil"/>
              <w:bottom w:val="single" w:sz="4" w:space="0" w:color="auto"/>
              <w:right w:val="nil"/>
            </w:tcBorders>
            <w:shd w:val="clear" w:color="auto" w:fill="auto"/>
            <w:vAlign w:val="bottom"/>
            <w:hideMark/>
          </w:tcPr>
          <w:bookmarkEnd w:id="279"/>
          <w:p w:rsidR="004843DB" w:rsidRPr="0062582F" w:rsidRDefault="004843DB" w:rsidP="004843DB">
            <w:pPr>
              <w:pStyle w:val="TabletextheadingLeft"/>
              <w:spacing w:before="20" w:after="20"/>
              <w:rPr>
                <w:sz w:val="17"/>
                <w:szCs w:val="17"/>
              </w:rPr>
            </w:pPr>
            <w:r w:rsidRPr="0062582F">
              <w:rPr>
                <w:sz w:val="17"/>
                <w:szCs w:val="17"/>
              </w:rPr>
              <w:t xml:space="preserve"> </w:t>
            </w:r>
          </w:p>
        </w:tc>
        <w:tc>
          <w:tcPr>
            <w:tcW w:w="72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textheadingCentred"/>
              <w:spacing w:before="20" w:after="20"/>
            </w:pPr>
            <w:r w:rsidRPr="0062582F">
              <w:rPr>
                <w:sz w:val="17"/>
                <w:szCs w:val="17"/>
              </w:rPr>
              <w:t>Notes</w:t>
            </w:r>
          </w:p>
        </w:tc>
        <w:tc>
          <w:tcPr>
            <w:tcW w:w="1040" w:type="dxa"/>
            <w:tcBorders>
              <w:top w:val="single" w:sz="4" w:space="0" w:color="auto"/>
              <w:left w:val="nil"/>
              <w:bottom w:val="single" w:sz="4" w:space="0" w:color="auto"/>
              <w:right w:val="nil"/>
            </w:tcBorders>
            <w:shd w:val="clear" w:color="000000" w:fill="CCCCCC"/>
            <w:noWrap/>
            <w:vAlign w:val="bottom"/>
            <w:hideMark/>
          </w:tcPr>
          <w:p w:rsidR="004843DB" w:rsidRPr="0062582F" w:rsidRDefault="004843DB" w:rsidP="004843DB">
            <w:pPr>
              <w:pStyle w:val="Tabletextheading"/>
              <w:spacing w:before="20" w:after="20"/>
              <w:rPr>
                <w:sz w:val="17"/>
                <w:szCs w:val="17"/>
              </w:rPr>
            </w:pPr>
            <w:r w:rsidRPr="0062582F">
              <w:rPr>
                <w:sz w:val="17"/>
                <w:szCs w:val="17"/>
              </w:rPr>
              <w:t>2016</w:t>
            </w:r>
          </w:p>
        </w:tc>
        <w:tc>
          <w:tcPr>
            <w:tcW w:w="104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textheading"/>
              <w:spacing w:before="20" w:after="20"/>
              <w:rPr>
                <w:sz w:val="17"/>
                <w:szCs w:val="17"/>
              </w:rPr>
            </w:pPr>
            <w:r w:rsidRPr="0062582F">
              <w:rPr>
                <w:sz w:val="17"/>
                <w:szCs w:val="17"/>
              </w:rPr>
              <w:t>2015</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Cash flows from operating activities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 xml:space="preserve"> </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 xml:space="preserve"> </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Receipts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 </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Receipts from government</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78 344</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87 135</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Receipts from other entities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5 536</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4 373</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Interest received</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1 749</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1 606</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 xml:space="preserve">Dividends received </w:t>
            </w:r>
            <w:r w:rsidRPr="0062582F">
              <w:rPr>
                <w:sz w:val="17"/>
                <w:szCs w:val="17"/>
                <w:vertAlign w:val="superscript"/>
              </w:rPr>
              <w:t>(i)</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1 698</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1 611</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Other receipts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 xml:space="preserve"> 516</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 xml:space="preserve"> 262</w:t>
            </w:r>
          </w:p>
        </w:tc>
      </w:tr>
      <w:tr w:rsidR="004843DB" w:rsidRPr="0062582F" w:rsidTr="004843DB">
        <w:trPr>
          <w:cantSplit/>
        </w:trPr>
        <w:tc>
          <w:tcPr>
            <w:tcW w:w="5310" w:type="dxa"/>
            <w:tcBorders>
              <w:top w:val="single" w:sz="4" w:space="0" w:color="auto"/>
              <w:left w:val="nil"/>
              <w:bottom w:val="nil"/>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Total receipts</w:t>
            </w:r>
          </w:p>
        </w:tc>
        <w:tc>
          <w:tcPr>
            <w:tcW w:w="720" w:type="dxa"/>
            <w:tcBorders>
              <w:top w:val="single" w:sz="4" w:space="0" w:color="auto"/>
              <w:left w:val="nil"/>
              <w:bottom w:val="nil"/>
              <w:right w:val="nil"/>
            </w:tcBorders>
            <w:shd w:val="clear" w:color="auto" w:fill="auto"/>
            <w:noWrap/>
            <w:hideMark/>
          </w:tcPr>
          <w:p w:rsidR="004843DB" w:rsidRPr="0062582F" w:rsidRDefault="004843DB" w:rsidP="004843DB">
            <w:pPr>
              <w:pStyle w:val="TableTextCentred"/>
              <w:spacing w:before="20" w:after="20"/>
              <w:rPr>
                <w:b/>
                <w:sz w:val="17"/>
                <w:szCs w:val="17"/>
              </w:rPr>
            </w:pPr>
          </w:p>
        </w:tc>
        <w:tc>
          <w:tcPr>
            <w:tcW w:w="1040" w:type="dxa"/>
            <w:tcBorders>
              <w:top w:val="single" w:sz="4" w:space="0" w:color="auto"/>
              <w:left w:val="nil"/>
              <w:bottom w:val="nil"/>
              <w:right w:val="nil"/>
            </w:tcBorders>
            <w:shd w:val="clear" w:color="000000" w:fill="CCCCCC"/>
            <w:noWrap/>
            <w:hideMark/>
          </w:tcPr>
          <w:p w:rsidR="004843DB" w:rsidRPr="0062582F" w:rsidRDefault="004843DB" w:rsidP="004843DB">
            <w:pPr>
              <w:pStyle w:val="TableofFigures"/>
              <w:spacing w:before="20" w:after="20"/>
              <w:rPr>
                <w:b/>
                <w:sz w:val="17"/>
                <w:szCs w:val="17"/>
              </w:rPr>
            </w:pPr>
            <w:r w:rsidRPr="0062582F">
              <w:rPr>
                <w:b/>
                <w:sz w:val="17"/>
                <w:szCs w:val="17"/>
              </w:rPr>
              <w:t>87 843</w:t>
            </w:r>
          </w:p>
        </w:tc>
        <w:tc>
          <w:tcPr>
            <w:tcW w:w="10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spacing w:before="20" w:after="20"/>
              <w:rPr>
                <w:b/>
                <w:sz w:val="17"/>
                <w:szCs w:val="17"/>
              </w:rPr>
            </w:pPr>
            <w:r w:rsidRPr="0062582F">
              <w:rPr>
                <w:b/>
                <w:sz w:val="17"/>
                <w:szCs w:val="17"/>
              </w:rPr>
              <w:t>94 987</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Payments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b/>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b/>
                <w:sz w:val="17"/>
                <w:szCs w:val="17"/>
              </w:rPr>
            </w:pPr>
            <w:r w:rsidRPr="0062582F">
              <w:rPr>
                <w:b/>
                <w:sz w:val="17"/>
                <w:szCs w:val="17"/>
              </w:rPr>
              <w:t xml:space="preserve"> </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b/>
                <w:sz w:val="17"/>
                <w:szCs w:val="17"/>
              </w:rPr>
            </w:pPr>
            <w:r w:rsidRPr="0062582F">
              <w:rPr>
                <w:b/>
                <w:sz w:val="17"/>
                <w:szCs w:val="17"/>
              </w:rPr>
              <w:t xml:space="preserve"> </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Payments of grants and other transfers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(36 227)</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(47 011)</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Payments to suppliers and employees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(22 979)</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(19 167)</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Goods and Services Tax paid to the ATO</w:t>
            </w:r>
            <w:r w:rsidRPr="0062582F">
              <w:rPr>
                <w:sz w:val="17"/>
                <w:szCs w:val="17"/>
                <w:vertAlign w:val="superscript"/>
              </w:rPr>
              <w:t xml:space="preserve"> (ii)</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(3 055)</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(3 497)</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Capital asset charge payments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(1 567)</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( 952)</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Interest and other costs of finance paid</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(2 427)</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(2 507)</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Other payments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(6 382)</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(3 200)</w:t>
            </w:r>
          </w:p>
        </w:tc>
      </w:tr>
      <w:tr w:rsidR="004843DB" w:rsidRPr="0062582F" w:rsidTr="004843DB">
        <w:trPr>
          <w:cantSplit/>
        </w:trPr>
        <w:tc>
          <w:tcPr>
            <w:tcW w:w="531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Total payments</w:t>
            </w:r>
          </w:p>
        </w:tc>
        <w:tc>
          <w:tcPr>
            <w:tcW w:w="7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Centred"/>
              <w:spacing w:before="20" w:after="20"/>
              <w:rPr>
                <w:b/>
                <w:sz w:val="17"/>
                <w:szCs w:val="17"/>
              </w:rPr>
            </w:pPr>
          </w:p>
        </w:tc>
        <w:tc>
          <w:tcPr>
            <w:tcW w:w="104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spacing w:before="20" w:after="20"/>
              <w:rPr>
                <w:b/>
                <w:sz w:val="17"/>
                <w:szCs w:val="17"/>
              </w:rPr>
            </w:pPr>
            <w:r w:rsidRPr="0062582F">
              <w:rPr>
                <w:b/>
                <w:sz w:val="17"/>
                <w:szCs w:val="17"/>
              </w:rPr>
              <w:t>(72 637)</w:t>
            </w:r>
          </w:p>
        </w:tc>
        <w:tc>
          <w:tcPr>
            <w:tcW w:w="10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spacing w:before="20" w:after="20"/>
              <w:rPr>
                <w:b/>
                <w:sz w:val="17"/>
                <w:szCs w:val="17"/>
              </w:rPr>
            </w:pPr>
            <w:r w:rsidRPr="0062582F">
              <w:rPr>
                <w:b/>
                <w:sz w:val="17"/>
                <w:szCs w:val="17"/>
              </w:rPr>
              <w:t>(76 334)</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Net cash flows from/(used in) operating activities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b/>
                <w:sz w:val="17"/>
                <w:szCs w:val="17"/>
              </w:rPr>
            </w:pPr>
            <w:r w:rsidRPr="0062582F">
              <w:rPr>
                <w:b/>
                <w:sz w:val="17"/>
                <w:szCs w:val="17"/>
              </w:rPr>
              <w:t>34(g)</w:t>
            </w: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b/>
                <w:sz w:val="17"/>
                <w:szCs w:val="17"/>
              </w:rPr>
            </w:pPr>
            <w:r w:rsidRPr="0062582F">
              <w:rPr>
                <w:b/>
                <w:sz w:val="17"/>
                <w:szCs w:val="17"/>
              </w:rPr>
              <w:t>15 207</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b/>
                <w:sz w:val="17"/>
                <w:szCs w:val="17"/>
              </w:rPr>
            </w:pPr>
            <w:r w:rsidRPr="0062582F">
              <w:rPr>
                <w:b/>
                <w:sz w:val="17"/>
                <w:szCs w:val="17"/>
              </w:rPr>
              <w:t>18 654</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Cash flows from investing activities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b/>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b/>
                <w:sz w:val="17"/>
                <w:szCs w:val="17"/>
              </w:rPr>
            </w:pPr>
            <w:r w:rsidRPr="0062582F">
              <w:rPr>
                <w:b/>
                <w:sz w:val="17"/>
                <w:szCs w:val="17"/>
              </w:rPr>
              <w:t xml:space="preserve"> </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b/>
                <w:sz w:val="17"/>
                <w:szCs w:val="17"/>
              </w:rPr>
            </w:pPr>
            <w:r w:rsidRPr="0062582F">
              <w:rPr>
                <w:b/>
                <w:sz w:val="17"/>
                <w:szCs w:val="17"/>
              </w:rPr>
              <w:t xml:space="preserve"> </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bookmarkStart w:id="280" w:name="_Hlk401845439"/>
            <w:r w:rsidRPr="0062582F">
              <w:rPr>
                <w:sz w:val="17"/>
                <w:szCs w:val="17"/>
              </w:rPr>
              <w:t xml:space="preserve">Payments for investments </w:t>
            </w:r>
            <w:r w:rsidRPr="0062582F">
              <w:rPr>
                <w:sz w:val="17"/>
                <w:szCs w:val="17"/>
                <w:vertAlign w:val="superscript"/>
              </w:rPr>
              <w:t>(iii)</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(6 364)</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(13 386)</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 xml:space="preserve">Proceeds from sale of investments </w:t>
            </w:r>
            <w:r w:rsidRPr="0062582F">
              <w:rPr>
                <w:sz w:val="17"/>
                <w:szCs w:val="17"/>
                <w:vertAlign w:val="superscript"/>
              </w:rPr>
              <w:t>(iii)</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7 857</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2 409</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Purchases of non</w:t>
            </w:r>
            <w:r w:rsidR="005A4BB0">
              <w:rPr>
                <w:sz w:val="17"/>
                <w:szCs w:val="17"/>
              </w:rPr>
              <w:noBreakHyphen/>
            </w:r>
            <w:r w:rsidRPr="0062582F">
              <w:rPr>
                <w:sz w:val="17"/>
                <w:szCs w:val="17"/>
              </w:rPr>
              <w:t>financial assets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(23 828)</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(19 438)</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Sales of non</w:t>
            </w:r>
            <w:r w:rsidR="005A4BB0">
              <w:rPr>
                <w:sz w:val="17"/>
                <w:szCs w:val="17"/>
              </w:rPr>
              <w:noBreakHyphen/>
            </w:r>
            <w:r w:rsidRPr="0062582F">
              <w:rPr>
                <w:sz w:val="17"/>
                <w:szCs w:val="17"/>
              </w:rPr>
              <w:t>financial assets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2 855</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7 428</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 xml:space="preserve">Loans granted to other parties </w:t>
            </w:r>
            <w:r w:rsidRPr="0062582F">
              <w:rPr>
                <w:sz w:val="17"/>
                <w:szCs w:val="17"/>
                <w:vertAlign w:val="superscript"/>
              </w:rPr>
              <w:t>(iv)</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( 390)</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( 277)</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 xml:space="preserve">Repayments of loans from other parties </w:t>
            </w:r>
            <w:r w:rsidRPr="0062582F">
              <w:rPr>
                <w:sz w:val="17"/>
                <w:szCs w:val="17"/>
                <w:vertAlign w:val="superscript"/>
              </w:rPr>
              <w:t>(iv)</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 xml:space="preserve"> 78</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 xml:space="preserve"> 140</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Proceeds from disposal of activity</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r w:rsidRPr="0062582F">
              <w:rPr>
                <w:sz w:val="17"/>
                <w:szCs w:val="17"/>
              </w:rPr>
              <w:t>34(c)</w:t>
            </w: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17 795</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Payments for purchase of activity</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(23 407)</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w:t>
            </w:r>
          </w:p>
        </w:tc>
      </w:tr>
      <w:bookmarkEnd w:id="280"/>
      <w:tr w:rsidR="004843DB" w:rsidRPr="0062582F" w:rsidTr="004843DB">
        <w:trPr>
          <w:cantSplit/>
        </w:trPr>
        <w:tc>
          <w:tcPr>
            <w:tcW w:w="5310" w:type="dxa"/>
            <w:tcBorders>
              <w:top w:val="single" w:sz="4" w:space="0" w:color="auto"/>
              <w:left w:val="nil"/>
              <w:bottom w:val="nil"/>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Net cash flows from/(used in) investing activities</w:t>
            </w:r>
          </w:p>
        </w:tc>
        <w:tc>
          <w:tcPr>
            <w:tcW w:w="720" w:type="dxa"/>
            <w:tcBorders>
              <w:top w:val="single" w:sz="4" w:space="0" w:color="auto"/>
              <w:left w:val="nil"/>
              <w:bottom w:val="nil"/>
              <w:right w:val="nil"/>
            </w:tcBorders>
            <w:shd w:val="clear" w:color="auto" w:fill="auto"/>
            <w:noWrap/>
            <w:hideMark/>
          </w:tcPr>
          <w:p w:rsidR="004843DB" w:rsidRPr="0062582F" w:rsidRDefault="004843DB" w:rsidP="004843DB">
            <w:pPr>
              <w:pStyle w:val="TableTextCentred"/>
              <w:spacing w:before="20" w:after="20"/>
              <w:rPr>
                <w:b/>
                <w:sz w:val="17"/>
                <w:szCs w:val="17"/>
              </w:rPr>
            </w:pPr>
          </w:p>
        </w:tc>
        <w:tc>
          <w:tcPr>
            <w:tcW w:w="1040" w:type="dxa"/>
            <w:tcBorders>
              <w:top w:val="single" w:sz="4" w:space="0" w:color="auto"/>
              <w:left w:val="nil"/>
              <w:bottom w:val="nil"/>
              <w:right w:val="nil"/>
            </w:tcBorders>
            <w:shd w:val="clear" w:color="000000" w:fill="CCCCCC"/>
            <w:noWrap/>
            <w:hideMark/>
          </w:tcPr>
          <w:p w:rsidR="004843DB" w:rsidRPr="0062582F" w:rsidRDefault="004843DB" w:rsidP="004843DB">
            <w:pPr>
              <w:pStyle w:val="TableofFigures"/>
              <w:spacing w:before="20" w:after="20"/>
              <w:rPr>
                <w:b/>
                <w:sz w:val="17"/>
                <w:szCs w:val="17"/>
              </w:rPr>
            </w:pPr>
            <w:r w:rsidRPr="0062582F">
              <w:rPr>
                <w:b/>
                <w:sz w:val="17"/>
                <w:szCs w:val="17"/>
              </w:rPr>
              <w:t>(25 403)</w:t>
            </w:r>
          </w:p>
        </w:tc>
        <w:tc>
          <w:tcPr>
            <w:tcW w:w="10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spacing w:before="20" w:after="20"/>
              <w:rPr>
                <w:b/>
                <w:sz w:val="17"/>
                <w:szCs w:val="17"/>
              </w:rPr>
            </w:pPr>
            <w:r w:rsidRPr="0062582F">
              <w:rPr>
                <w:b/>
                <w:sz w:val="17"/>
                <w:szCs w:val="17"/>
              </w:rPr>
              <w:t>(23 124)</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Cash flows from financing activities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b/>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b/>
                <w:sz w:val="17"/>
                <w:szCs w:val="17"/>
              </w:rPr>
            </w:pPr>
            <w:r w:rsidRPr="0062582F">
              <w:rPr>
                <w:b/>
                <w:sz w:val="17"/>
                <w:szCs w:val="17"/>
              </w:rPr>
              <w:t xml:space="preserve"> </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b/>
                <w:sz w:val="17"/>
                <w:szCs w:val="17"/>
              </w:rPr>
            </w:pPr>
            <w:r w:rsidRPr="0062582F">
              <w:rPr>
                <w:b/>
                <w:sz w:val="17"/>
                <w:szCs w:val="17"/>
              </w:rPr>
              <w:t xml:space="preserve"> </w:t>
            </w:r>
          </w:p>
        </w:tc>
      </w:tr>
      <w:tr w:rsidR="004843DB" w:rsidRPr="0062582F" w:rsidTr="004843DB">
        <w:trPr>
          <w:cantSplit/>
        </w:trPr>
        <w:tc>
          <w:tcPr>
            <w:tcW w:w="5310" w:type="dxa"/>
            <w:tcBorders>
              <w:top w:val="nil"/>
              <w:left w:val="nil"/>
              <w:bottom w:val="nil"/>
              <w:right w:val="nil"/>
            </w:tcBorders>
            <w:shd w:val="clear" w:color="auto" w:fill="auto"/>
          </w:tcPr>
          <w:p w:rsidR="004843DB" w:rsidRPr="0062582F" w:rsidRDefault="004843DB" w:rsidP="004843DB">
            <w:pPr>
              <w:pStyle w:val="Tabletext"/>
              <w:spacing w:before="20" w:after="20"/>
              <w:rPr>
                <w:b/>
                <w:sz w:val="17"/>
                <w:szCs w:val="17"/>
              </w:rPr>
            </w:pPr>
            <w:r w:rsidRPr="0062582F">
              <w:rPr>
                <w:sz w:val="17"/>
                <w:szCs w:val="17"/>
              </w:rPr>
              <w:t>Cash received from activity transferred in – MoG changes</w:t>
            </w:r>
          </w:p>
        </w:tc>
        <w:tc>
          <w:tcPr>
            <w:tcW w:w="720" w:type="dxa"/>
            <w:tcBorders>
              <w:top w:val="nil"/>
              <w:left w:val="nil"/>
              <w:bottom w:val="nil"/>
              <w:right w:val="nil"/>
            </w:tcBorders>
            <w:shd w:val="clear" w:color="auto" w:fill="auto"/>
            <w:noWrap/>
          </w:tcPr>
          <w:p w:rsidR="004843DB" w:rsidRPr="0062582F" w:rsidRDefault="004843DB" w:rsidP="004843DB">
            <w:pPr>
              <w:pStyle w:val="TableTextCentred"/>
              <w:spacing w:before="20" w:after="20"/>
              <w:rPr>
                <w:b/>
                <w:sz w:val="17"/>
                <w:szCs w:val="17"/>
              </w:rPr>
            </w:pPr>
          </w:p>
        </w:tc>
        <w:tc>
          <w:tcPr>
            <w:tcW w:w="1040" w:type="dxa"/>
            <w:tcBorders>
              <w:top w:val="nil"/>
              <w:left w:val="nil"/>
              <w:bottom w:val="nil"/>
              <w:right w:val="nil"/>
            </w:tcBorders>
            <w:shd w:val="clear" w:color="000000" w:fill="CCCCCC"/>
            <w:noWrap/>
          </w:tcPr>
          <w:p w:rsidR="004843DB" w:rsidRPr="0062582F" w:rsidRDefault="004843DB" w:rsidP="004843DB">
            <w:pPr>
              <w:pStyle w:val="TableofFigures"/>
              <w:spacing w:before="20" w:after="20"/>
              <w:rPr>
                <w:b/>
                <w:sz w:val="17"/>
                <w:szCs w:val="17"/>
              </w:rPr>
            </w:pPr>
            <w:r w:rsidRPr="0062582F">
              <w:rPr>
                <w:sz w:val="17"/>
                <w:szCs w:val="17"/>
              </w:rPr>
              <w:t xml:space="preserve"> 5</w:t>
            </w:r>
          </w:p>
        </w:tc>
        <w:tc>
          <w:tcPr>
            <w:tcW w:w="1040" w:type="dxa"/>
            <w:tcBorders>
              <w:top w:val="nil"/>
              <w:left w:val="nil"/>
              <w:bottom w:val="nil"/>
              <w:right w:val="nil"/>
            </w:tcBorders>
            <w:shd w:val="clear" w:color="auto" w:fill="auto"/>
            <w:noWrap/>
          </w:tcPr>
          <w:p w:rsidR="004843DB" w:rsidRPr="0062582F" w:rsidRDefault="004843DB" w:rsidP="004843DB">
            <w:pPr>
              <w:pStyle w:val="TableofFigures"/>
              <w:spacing w:before="20" w:after="20"/>
              <w:rPr>
                <w:b/>
                <w:sz w:val="17"/>
                <w:szCs w:val="17"/>
              </w:rPr>
            </w:pPr>
            <w:r w:rsidRPr="0062582F">
              <w:rPr>
                <w:sz w:val="17"/>
                <w:szCs w:val="17"/>
              </w:rPr>
              <w:t>..</w:t>
            </w:r>
          </w:p>
        </w:tc>
      </w:tr>
      <w:tr w:rsidR="004843DB" w:rsidRPr="0062582F" w:rsidTr="004843DB">
        <w:trPr>
          <w:cantSplit/>
        </w:trPr>
        <w:tc>
          <w:tcPr>
            <w:tcW w:w="5310" w:type="dxa"/>
            <w:tcBorders>
              <w:top w:val="nil"/>
              <w:left w:val="nil"/>
              <w:bottom w:val="nil"/>
              <w:right w:val="nil"/>
            </w:tcBorders>
            <w:shd w:val="clear" w:color="auto" w:fill="auto"/>
          </w:tcPr>
          <w:p w:rsidR="004843DB" w:rsidRPr="0062582F" w:rsidRDefault="004843DB" w:rsidP="004843DB">
            <w:pPr>
              <w:pStyle w:val="Tabletext"/>
              <w:spacing w:before="20" w:after="20"/>
              <w:rPr>
                <w:sz w:val="17"/>
                <w:szCs w:val="17"/>
              </w:rPr>
            </w:pPr>
            <w:r w:rsidRPr="0062582F">
              <w:rPr>
                <w:sz w:val="17"/>
                <w:szCs w:val="17"/>
              </w:rPr>
              <w:t>Cash transferred on activity transferred out – MoG changes</w:t>
            </w:r>
          </w:p>
        </w:tc>
        <w:tc>
          <w:tcPr>
            <w:tcW w:w="720" w:type="dxa"/>
            <w:tcBorders>
              <w:top w:val="nil"/>
              <w:left w:val="nil"/>
              <w:bottom w:val="nil"/>
              <w:right w:val="nil"/>
            </w:tcBorders>
            <w:shd w:val="clear" w:color="auto" w:fill="auto"/>
            <w:noWrap/>
          </w:tcPr>
          <w:p w:rsidR="004843DB" w:rsidRPr="0062582F" w:rsidRDefault="004843DB" w:rsidP="004843DB">
            <w:pPr>
              <w:pStyle w:val="TableTextCentred"/>
              <w:spacing w:before="20" w:after="20"/>
              <w:rPr>
                <w:b/>
                <w:sz w:val="17"/>
                <w:szCs w:val="17"/>
              </w:rPr>
            </w:pPr>
          </w:p>
        </w:tc>
        <w:tc>
          <w:tcPr>
            <w:tcW w:w="1040" w:type="dxa"/>
            <w:tcBorders>
              <w:top w:val="nil"/>
              <w:left w:val="nil"/>
              <w:bottom w:val="nil"/>
              <w:right w:val="nil"/>
            </w:tcBorders>
            <w:shd w:val="clear" w:color="000000" w:fill="CCCCCC"/>
            <w:noWrap/>
          </w:tcPr>
          <w:p w:rsidR="004843DB" w:rsidRPr="0062582F" w:rsidRDefault="004843DB" w:rsidP="004843DB">
            <w:pPr>
              <w:pStyle w:val="TableofFigures"/>
              <w:spacing w:before="20" w:after="20"/>
              <w:rPr>
                <w:sz w:val="17"/>
                <w:szCs w:val="17"/>
              </w:rPr>
            </w:pPr>
            <w:r w:rsidRPr="0062582F">
              <w:rPr>
                <w:sz w:val="17"/>
                <w:szCs w:val="17"/>
              </w:rPr>
              <w:t>(3 072)</w:t>
            </w:r>
          </w:p>
        </w:tc>
        <w:tc>
          <w:tcPr>
            <w:tcW w:w="1040" w:type="dxa"/>
            <w:tcBorders>
              <w:top w:val="nil"/>
              <w:left w:val="nil"/>
              <w:bottom w:val="nil"/>
              <w:right w:val="nil"/>
            </w:tcBorders>
            <w:shd w:val="clear" w:color="auto" w:fill="auto"/>
            <w:noWrap/>
          </w:tcPr>
          <w:p w:rsidR="004843DB" w:rsidRPr="0062582F" w:rsidRDefault="004843DB" w:rsidP="004843DB">
            <w:pPr>
              <w:pStyle w:val="TableofFigures"/>
              <w:spacing w:before="20" w:after="20"/>
              <w:rPr>
                <w:sz w:val="17"/>
                <w:szCs w:val="17"/>
              </w:rPr>
            </w:pPr>
            <w:r w:rsidRPr="0062582F">
              <w:rPr>
                <w:sz w:val="17"/>
                <w:szCs w:val="17"/>
              </w:rPr>
              <w:t>..</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Owner contributions by State Government – appropriation for capital expenditure purposes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5 750</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10 500</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Proceeds from borrowings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34 673</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7 255</w:t>
            </w:r>
          </w:p>
        </w:tc>
      </w:tr>
      <w:tr w:rsidR="004843DB" w:rsidRPr="0062582F" w:rsidTr="004843DB">
        <w:trPr>
          <w:cantSplit/>
        </w:trPr>
        <w:tc>
          <w:tcPr>
            <w:tcW w:w="5310" w:type="dxa"/>
            <w:tcBorders>
              <w:top w:val="nil"/>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Repayment of borrowings and finance leases</w:t>
            </w:r>
          </w:p>
        </w:tc>
        <w:tc>
          <w:tcPr>
            <w:tcW w:w="720" w:type="dxa"/>
            <w:tcBorders>
              <w:top w:val="nil"/>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(6 749)</w:t>
            </w:r>
          </w:p>
        </w:tc>
        <w:tc>
          <w:tcPr>
            <w:tcW w:w="1040" w:type="dxa"/>
            <w:tcBorders>
              <w:top w:val="nil"/>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(4 044)</w:t>
            </w:r>
          </w:p>
        </w:tc>
      </w:tr>
      <w:tr w:rsidR="004843DB" w:rsidRPr="0062582F" w:rsidTr="004843DB">
        <w:trPr>
          <w:cantSplit/>
        </w:trPr>
        <w:tc>
          <w:tcPr>
            <w:tcW w:w="531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Net cash flows from/(used in) financing activities</w:t>
            </w:r>
          </w:p>
        </w:tc>
        <w:tc>
          <w:tcPr>
            <w:tcW w:w="7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Centred"/>
              <w:spacing w:before="20" w:after="20"/>
              <w:rPr>
                <w:b/>
                <w:sz w:val="17"/>
                <w:szCs w:val="17"/>
              </w:rPr>
            </w:pPr>
          </w:p>
        </w:tc>
        <w:tc>
          <w:tcPr>
            <w:tcW w:w="104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spacing w:before="20" w:after="20"/>
              <w:rPr>
                <w:b/>
                <w:sz w:val="17"/>
                <w:szCs w:val="17"/>
              </w:rPr>
            </w:pPr>
            <w:r w:rsidRPr="0062582F">
              <w:rPr>
                <w:b/>
                <w:sz w:val="17"/>
                <w:szCs w:val="17"/>
              </w:rPr>
              <w:t>30 607</w:t>
            </w:r>
          </w:p>
        </w:tc>
        <w:tc>
          <w:tcPr>
            <w:tcW w:w="10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spacing w:before="20" w:after="20"/>
              <w:rPr>
                <w:b/>
                <w:sz w:val="17"/>
                <w:szCs w:val="17"/>
              </w:rPr>
            </w:pPr>
            <w:r w:rsidRPr="0062582F">
              <w:rPr>
                <w:b/>
                <w:sz w:val="17"/>
                <w:szCs w:val="17"/>
              </w:rPr>
              <w:t>13 711</w:t>
            </w:r>
          </w:p>
        </w:tc>
      </w:tr>
      <w:tr w:rsidR="004843DB" w:rsidRPr="0062582F" w:rsidTr="004843DB">
        <w:trPr>
          <w:cantSplit/>
        </w:trPr>
        <w:tc>
          <w:tcPr>
            <w:tcW w:w="531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Net increase/(decrease) in cash and cash equivalents</w:t>
            </w:r>
          </w:p>
        </w:tc>
        <w:tc>
          <w:tcPr>
            <w:tcW w:w="72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Centred"/>
              <w:spacing w:before="20" w:after="20"/>
              <w:rPr>
                <w:b/>
                <w:sz w:val="17"/>
                <w:szCs w:val="17"/>
              </w:rPr>
            </w:pPr>
          </w:p>
        </w:tc>
        <w:tc>
          <w:tcPr>
            <w:tcW w:w="1040"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spacing w:before="20" w:after="20"/>
              <w:rPr>
                <w:b/>
                <w:sz w:val="17"/>
                <w:szCs w:val="17"/>
              </w:rPr>
            </w:pPr>
            <w:r w:rsidRPr="0062582F">
              <w:rPr>
                <w:b/>
                <w:sz w:val="17"/>
                <w:szCs w:val="17"/>
              </w:rPr>
              <w:t>20 411</w:t>
            </w:r>
          </w:p>
        </w:tc>
        <w:tc>
          <w:tcPr>
            <w:tcW w:w="10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20" w:after="20"/>
              <w:rPr>
                <w:b/>
                <w:sz w:val="17"/>
                <w:szCs w:val="17"/>
              </w:rPr>
            </w:pPr>
            <w:r w:rsidRPr="0062582F">
              <w:rPr>
                <w:b/>
                <w:sz w:val="17"/>
                <w:szCs w:val="17"/>
              </w:rPr>
              <w:t>9 241</w:t>
            </w:r>
          </w:p>
        </w:tc>
      </w:tr>
      <w:tr w:rsidR="004843DB" w:rsidRPr="0062582F" w:rsidTr="004843DB">
        <w:trPr>
          <w:cantSplit/>
        </w:trPr>
        <w:tc>
          <w:tcPr>
            <w:tcW w:w="5310" w:type="dxa"/>
            <w:tcBorders>
              <w:top w:val="single" w:sz="12" w:space="0" w:color="auto"/>
              <w:left w:val="nil"/>
              <w:bottom w:val="nil"/>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Cash and cash equivalents at beginning of financial year</w:t>
            </w:r>
          </w:p>
        </w:tc>
        <w:tc>
          <w:tcPr>
            <w:tcW w:w="720" w:type="dxa"/>
            <w:tcBorders>
              <w:top w:val="single" w:sz="12" w:space="0" w:color="auto"/>
              <w:left w:val="nil"/>
              <w:bottom w:val="nil"/>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single" w:sz="12" w:space="0" w:color="auto"/>
              <w:left w:val="nil"/>
              <w:bottom w:val="nil"/>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44 494</w:t>
            </w:r>
          </w:p>
        </w:tc>
        <w:tc>
          <w:tcPr>
            <w:tcW w:w="104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35 094</w:t>
            </w:r>
          </w:p>
        </w:tc>
      </w:tr>
      <w:tr w:rsidR="004843DB" w:rsidRPr="0062582F" w:rsidTr="004843DB">
        <w:trPr>
          <w:cantSplit/>
        </w:trPr>
        <w:tc>
          <w:tcPr>
            <w:tcW w:w="5310" w:type="dxa"/>
            <w:tcBorders>
              <w:top w:val="nil"/>
              <w:left w:val="nil"/>
              <w:bottom w:val="single" w:sz="4" w:space="0" w:color="auto"/>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Effect of exchange rate fluctuations on cash held in foreign currency</w:t>
            </w:r>
          </w:p>
        </w:tc>
        <w:tc>
          <w:tcPr>
            <w:tcW w:w="720" w:type="dxa"/>
            <w:tcBorders>
              <w:top w:val="nil"/>
              <w:left w:val="nil"/>
              <w:bottom w:val="single" w:sz="4" w:space="0" w:color="auto"/>
              <w:right w:val="nil"/>
            </w:tcBorders>
            <w:shd w:val="clear" w:color="auto" w:fill="auto"/>
            <w:noWrap/>
            <w:hideMark/>
          </w:tcPr>
          <w:p w:rsidR="004843DB" w:rsidRPr="0062582F" w:rsidRDefault="004843DB" w:rsidP="004843DB">
            <w:pPr>
              <w:pStyle w:val="TableTextCentred"/>
              <w:spacing w:before="20" w:after="20"/>
              <w:rPr>
                <w:sz w:val="17"/>
                <w:szCs w:val="17"/>
              </w:rPr>
            </w:pPr>
          </w:p>
        </w:tc>
        <w:tc>
          <w:tcPr>
            <w:tcW w:w="104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spacing w:before="20" w:after="20"/>
              <w:rPr>
                <w:sz w:val="17"/>
                <w:szCs w:val="17"/>
              </w:rPr>
            </w:pPr>
            <w:r w:rsidRPr="0062582F">
              <w:rPr>
                <w:sz w:val="17"/>
                <w:szCs w:val="17"/>
              </w:rPr>
              <w:t>( 471)</w:t>
            </w:r>
          </w:p>
        </w:tc>
        <w:tc>
          <w:tcPr>
            <w:tcW w:w="104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 xml:space="preserve"> 160</w:t>
            </w:r>
          </w:p>
        </w:tc>
      </w:tr>
      <w:tr w:rsidR="004843DB" w:rsidRPr="0062582F" w:rsidTr="004843DB">
        <w:trPr>
          <w:cantSplit/>
        </w:trPr>
        <w:tc>
          <w:tcPr>
            <w:tcW w:w="531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spacing w:before="20" w:after="20"/>
              <w:rPr>
                <w:b/>
                <w:sz w:val="17"/>
                <w:szCs w:val="17"/>
              </w:rPr>
            </w:pPr>
            <w:r w:rsidRPr="0062582F">
              <w:rPr>
                <w:b/>
                <w:sz w:val="17"/>
                <w:szCs w:val="17"/>
              </w:rPr>
              <w:t>Cash and cash equivalents at end of financial year</w:t>
            </w:r>
          </w:p>
        </w:tc>
        <w:tc>
          <w:tcPr>
            <w:tcW w:w="7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Centred"/>
              <w:spacing w:before="20" w:after="20"/>
              <w:rPr>
                <w:b/>
                <w:sz w:val="17"/>
                <w:szCs w:val="17"/>
              </w:rPr>
            </w:pPr>
            <w:r w:rsidRPr="0062582F">
              <w:rPr>
                <w:b/>
                <w:sz w:val="17"/>
                <w:szCs w:val="17"/>
              </w:rPr>
              <w:t>34(a)</w:t>
            </w:r>
          </w:p>
        </w:tc>
        <w:tc>
          <w:tcPr>
            <w:tcW w:w="104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spacing w:before="20" w:after="20"/>
              <w:rPr>
                <w:b/>
                <w:sz w:val="17"/>
                <w:szCs w:val="17"/>
              </w:rPr>
            </w:pPr>
            <w:r w:rsidRPr="0062582F">
              <w:rPr>
                <w:b/>
                <w:sz w:val="17"/>
                <w:szCs w:val="17"/>
              </w:rPr>
              <w:t>64 434</w:t>
            </w:r>
          </w:p>
        </w:tc>
        <w:tc>
          <w:tcPr>
            <w:tcW w:w="10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spacing w:before="20" w:after="20"/>
              <w:rPr>
                <w:b/>
                <w:sz w:val="17"/>
                <w:szCs w:val="17"/>
              </w:rPr>
            </w:pPr>
            <w:r w:rsidRPr="0062582F">
              <w:rPr>
                <w:b/>
                <w:sz w:val="17"/>
                <w:szCs w:val="17"/>
              </w:rPr>
              <w:t>44 494</w:t>
            </w:r>
          </w:p>
        </w:tc>
      </w:tr>
      <w:tr w:rsidR="004843DB" w:rsidRPr="0062582F" w:rsidTr="004843DB">
        <w:trPr>
          <w:cantSplit/>
        </w:trPr>
        <w:tc>
          <w:tcPr>
            <w:tcW w:w="531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spacing w:before="20" w:after="20"/>
              <w:rPr>
                <w:sz w:val="17"/>
                <w:szCs w:val="17"/>
              </w:rPr>
            </w:pPr>
            <w:r w:rsidRPr="0062582F">
              <w:rPr>
                <w:sz w:val="17"/>
                <w:szCs w:val="17"/>
              </w:rPr>
              <w:t>Non</w:t>
            </w:r>
            <w:r w:rsidR="005A4BB0">
              <w:rPr>
                <w:sz w:val="17"/>
                <w:szCs w:val="17"/>
              </w:rPr>
              <w:noBreakHyphen/>
            </w:r>
            <w:r w:rsidRPr="0062582F">
              <w:rPr>
                <w:sz w:val="17"/>
                <w:szCs w:val="17"/>
              </w:rPr>
              <w:t>cash transactions</w:t>
            </w:r>
          </w:p>
        </w:tc>
        <w:tc>
          <w:tcPr>
            <w:tcW w:w="72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Centred"/>
              <w:spacing w:before="20" w:after="20"/>
              <w:rPr>
                <w:sz w:val="17"/>
                <w:szCs w:val="17"/>
              </w:rPr>
            </w:pPr>
            <w:r w:rsidRPr="0062582F">
              <w:rPr>
                <w:sz w:val="17"/>
                <w:szCs w:val="17"/>
              </w:rPr>
              <w:t>34(d)</w:t>
            </w:r>
          </w:p>
        </w:tc>
        <w:tc>
          <w:tcPr>
            <w:tcW w:w="10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 xml:space="preserve"> </w:t>
            </w:r>
          </w:p>
        </w:tc>
        <w:tc>
          <w:tcPr>
            <w:tcW w:w="10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20" w:after="20"/>
              <w:rPr>
                <w:sz w:val="17"/>
                <w:szCs w:val="17"/>
              </w:rPr>
            </w:pPr>
            <w:r w:rsidRPr="0062582F">
              <w:rPr>
                <w:sz w:val="17"/>
                <w:szCs w:val="17"/>
              </w:rPr>
              <w:t xml:space="preserve"> </w:t>
            </w:r>
          </w:p>
        </w:tc>
      </w:tr>
    </w:tbl>
    <w:p w:rsidR="004843DB" w:rsidRPr="0062582F" w:rsidRDefault="004843DB" w:rsidP="004843DB">
      <w:pPr>
        <w:spacing w:before="80" w:after="80"/>
        <w:rPr>
          <w:b/>
          <w:sz w:val="20"/>
        </w:rPr>
        <w:sectPr w:rsidR="004843DB" w:rsidRPr="0062582F" w:rsidSect="00190A01">
          <w:headerReference w:type="even" r:id="rId193"/>
          <w:headerReference w:type="default" r:id="rId194"/>
          <w:headerReference w:type="first" r:id="rId195"/>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SmallLine"/>
      </w:pPr>
      <w:r w:rsidRPr="0062582F">
        <w:lastRenderedPageBreak/>
        <w:br w:type="column"/>
      </w:r>
    </w:p>
    <w:p w:rsidR="004843DB" w:rsidRPr="0062582F" w:rsidRDefault="004843DB" w:rsidP="004843DB">
      <w:pPr>
        <w:pStyle w:val="SmallLine"/>
      </w:pPr>
    </w:p>
    <w:p w:rsidR="004843DB" w:rsidRPr="0062582F" w:rsidRDefault="004843DB" w:rsidP="004843DB">
      <w:pPr>
        <w:rPr>
          <w:b/>
        </w:rPr>
      </w:pPr>
      <w:r w:rsidRPr="0062582F">
        <w:rPr>
          <w:b/>
        </w:rPr>
        <w:t xml:space="preserve">The above cash flow statement should be read in conjunction with the notes to the financial statements. </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Notes"/>
      </w:pPr>
      <w:r w:rsidRPr="0062582F">
        <w:lastRenderedPageBreak/>
        <w:br w:type="column"/>
      </w:r>
      <w:r w:rsidRPr="0062582F">
        <w:lastRenderedPageBreak/>
        <w:t>Notes:</w:t>
      </w:r>
    </w:p>
    <w:p w:rsidR="004843DB" w:rsidRPr="0062582F" w:rsidRDefault="004843DB" w:rsidP="004843DB">
      <w:pPr>
        <w:pStyle w:val="NotesBlue"/>
      </w:pPr>
      <w:r w:rsidRPr="0062582F">
        <w:t>(i)</w:t>
      </w:r>
      <w:r w:rsidRPr="0062582F">
        <w:tab/>
        <w:t xml:space="preserve">[Please note that </w:t>
      </w:r>
      <w:r w:rsidR="005A4BB0">
        <w:t>‘</w:t>
      </w:r>
      <w:r w:rsidRPr="0062582F">
        <w:t>dividends received</w:t>
      </w:r>
      <w:r w:rsidR="005A4BB0">
        <w:t>’</w:t>
      </w:r>
      <w:r w:rsidRPr="0062582F">
        <w:t xml:space="preserve"> is recognised as cash flow from operating activities. In contrast, </w:t>
      </w:r>
      <w:r w:rsidR="005A4BB0">
        <w:t>‘</w:t>
      </w:r>
      <w:r w:rsidRPr="0062582F">
        <w:t>dividends paid</w:t>
      </w:r>
      <w:r w:rsidR="005A4BB0">
        <w:t>’</w:t>
      </w:r>
      <w:r w:rsidRPr="0062582F">
        <w:t xml:space="preserve"> is recognised as cash flow from financing activities.]</w:t>
      </w:r>
    </w:p>
    <w:p w:rsidR="004843DB" w:rsidRPr="0062582F" w:rsidRDefault="004843DB" w:rsidP="004843DB">
      <w:pPr>
        <w:pStyle w:val="NotesBlue"/>
      </w:pPr>
      <w:r w:rsidRPr="0062582F">
        <w:t>(ii)</w:t>
      </w:r>
      <w:r w:rsidRPr="0062582F">
        <w:tab/>
        <w:t>Goods and Services Tax paid to the ATO is presented on a net basis.</w:t>
      </w:r>
    </w:p>
    <w:p w:rsidR="004843DB" w:rsidRPr="0062582F" w:rsidRDefault="004843DB" w:rsidP="004843DB">
      <w:pPr>
        <w:pStyle w:val="NotesBlue"/>
      </w:pPr>
      <w:r w:rsidRPr="0062582F">
        <w:t>(iii)</w:t>
      </w:r>
      <w:r w:rsidRPr="0062582F">
        <w:tab/>
        <w:t>[Includes equity and debt instruments of other entities and interests in joint ventures, other than for those instruments considered to be cash equivalents and those held for dealing or trading purposes.]</w:t>
      </w:r>
    </w:p>
    <w:p w:rsidR="004843DB" w:rsidRPr="0062582F" w:rsidRDefault="004843DB" w:rsidP="004843DB">
      <w:pPr>
        <w:pStyle w:val="NotesBlue"/>
      </w:pPr>
      <w:r w:rsidRPr="0062582F">
        <w:t>(iv)</w:t>
      </w:r>
      <w:r w:rsidRPr="0062582F">
        <w:tab/>
        <w:t>[Includes loans granted to/from entities external to the Department and related entities.]</w:t>
      </w:r>
    </w:p>
    <w:p w:rsidR="004843DB" w:rsidRPr="0062582F" w:rsidRDefault="004843DB" w:rsidP="004843DB">
      <w:pPr>
        <w:pStyle w:val="NotesBlue"/>
      </w:pPr>
    </w:p>
    <w:p w:rsidR="004843DB" w:rsidRPr="0062582F" w:rsidRDefault="004843DB" w:rsidP="004843DB">
      <w:pPr>
        <w:pStyle w:val="Reference"/>
        <w:sectPr w:rsidR="004843DB" w:rsidRPr="0062582F" w:rsidSect="00190A01">
          <w:type w:val="continuous"/>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Reference"/>
      </w:pPr>
      <w:r w:rsidRPr="0062582F">
        <w:lastRenderedPageBreak/>
        <w:br w:type="column"/>
      </w:r>
      <w:r w:rsidRPr="0062582F">
        <w:lastRenderedPageBreak/>
        <w:br w:type="column"/>
      </w: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Commentary – Cash flow statement</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pPr>
      <w:r w:rsidRPr="0062582F">
        <w:t>Reporting cash flows</w:t>
      </w:r>
    </w:p>
    <w:p w:rsidR="004843DB" w:rsidRPr="0062582F" w:rsidRDefault="004843DB" w:rsidP="004843DB">
      <w:pPr>
        <w:pStyle w:val="CommentaryHeading1"/>
        <w:rPr>
          <w:rFonts w:ascii="Garamond" w:hAnsi="Garamond" w:cs="Times New Roman"/>
          <w:noProof w:val="0"/>
        </w:rPr>
        <w:sectPr w:rsidR="004843DB" w:rsidRPr="0062582F" w:rsidSect="00190A01">
          <w:headerReference w:type="even" r:id="rId196"/>
          <w:headerReference w:type="default" r:id="rId197"/>
          <w:headerReference w:type="first" r:id="rId198"/>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lastRenderedPageBreak/>
        <w:t>AASB 107.11</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An entity presents its cash flows from operating, investing, and financing activities in a manner which is most appropriate to its business.</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lastRenderedPageBreak/>
        <w:t>AASB 107.18 and 19</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There are two methods in reporting cash flows, the direct or indirect method. DTF supports the use of the direct method, and this method is adopted for this Model.</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20"/>
      </w:pPr>
      <w:r w:rsidRPr="0062582F">
        <w:lastRenderedPageBreak/>
        <w:t>AASB 107.14</w:t>
      </w:r>
    </w:p>
    <w:p w:rsidR="004843DB" w:rsidRPr="0062582F" w:rsidRDefault="004843DB" w:rsidP="004843DB">
      <w:pPr>
        <w:pStyle w:val="CommentaryHeading2"/>
      </w:pPr>
      <w:r w:rsidRPr="0062582F">
        <w:br w:type="column"/>
      </w:r>
      <w:r w:rsidRPr="0062582F">
        <w:lastRenderedPageBreak/>
        <w:t>Operating activities</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t>Cash flows from operating activities are primarily derived from the principal income</w:t>
      </w:r>
      <w:r w:rsidR="005A4BB0">
        <w:rPr>
          <w:noProof w:val="0"/>
        </w:rPr>
        <w:noBreakHyphen/>
      </w:r>
      <w:r w:rsidRPr="0062582F">
        <w:rPr>
          <w:noProof w:val="0"/>
        </w:rPr>
        <w:t>producing activities of the entity. Therefore, they generally result from the transactions and other events that enter into the determination of net result. Examples of cash flows from operating activities are:</w:t>
      </w:r>
    </w:p>
    <w:p w:rsidR="004843DB" w:rsidRPr="0062582F" w:rsidRDefault="004843DB" w:rsidP="004843DB">
      <w:pPr>
        <w:pStyle w:val="CommentaryTextIndent"/>
        <w:pBdr>
          <w:top w:val="none" w:sz="0" w:space="0" w:color="auto"/>
          <w:bottom w:val="none" w:sz="0" w:space="0" w:color="auto"/>
        </w:pBdr>
      </w:pPr>
      <w:r w:rsidRPr="0062582F">
        <w:t>(a)</w:t>
      </w:r>
      <w:r w:rsidRPr="0062582F">
        <w:tab/>
        <w:t>cash receipts from the sale of goods and the rendering of services;</w:t>
      </w:r>
    </w:p>
    <w:p w:rsidR="004843DB" w:rsidRPr="0062582F" w:rsidRDefault="004843DB" w:rsidP="004843DB">
      <w:pPr>
        <w:pStyle w:val="CommentaryTextIndent"/>
        <w:pBdr>
          <w:top w:val="none" w:sz="0" w:space="0" w:color="auto"/>
          <w:bottom w:val="none" w:sz="0" w:space="0" w:color="auto"/>
        </w:pBdr>
      </w:pPr>
      <w:r w:rsidRPr="0062582F">
        <w:t>(b)</w:t>
      </w:r>
      <w:r w:rsidRPr="0062582F">
        <w:tab/>
        <w:t>cash receipts from royalties, fees, commissions and other income;</w:t>
      </w:r>
    </w:p>
    <w:p w:rsidR="004843DB" w:rsidRPr="0062582F" w:rsidRDefault="004843DB" w:rsidP="004843DB">
      <w:pPr>
        <w:pStyle w:val="CommentaryTextIndent"/>
        <w:pBdr>
          <w:top w:val="none" w:sz="0" w:space="0" w:color="auto"/>
          <w:bottom w:val="none" w:sz="0" w:space="0" w:color="auto"/>
        </w:pBdr>
      </w:pPr>
      <w:r w:rsidRPr="0062582F">
        <w:t>(c)</w:t>
      </w:r>
      <w:r w:rsidRPr="0062582F">
        <w:tab/>
        <w:t>cash payments to suppliers for goods and services;</w:t>
      </w:r>
    </w:p>
    <w:p w:rsidR="004843DB" w:rsidRPr="0062582F" w:rsidRDefault="004843DB" w:rsidP="004843DB">
      <w:pPr>
        <w:pStyle w:val="CommentaryTextIndent"/>
        <w:pBdr>
          <w:top w:val="none" w:sz="0" w:space="0" w:color="auto"/>
          <w:bottom w:val="none" w:sz="0" w:space="0" w:color="auto"/>
        </w:pBdr>
      </w:pPr>
      <w:r w:rsidRPr="0062582F">
        <w:t>(d)</w:t>
      </w:r>
      <w:r w:rsidRPr="0062582F">
        <w:tab/>
        <w:t>cash payments to and on behalf of employees;</w:t>
      </w:r>
    </w:p>
    <w:p w:rsidR="004843DB" w:rsidRPr="0062582F" w:rsidRDefault="004843DB" w:rsidP="004843DB">
      <w:pPr>
        <w:pStyle w:val="CommentaryTextIndent"/>
        <w:pBdr>
          <w:top w:val="none" w:sz="0" w:space="0" w:color="auto"/>
          <w:bottom w:val="none" w:sz="0" w:space="0" w:color="auto"/>
        </w:pBdr>
      </w:pPr>
      <w:r w:rsidRPr="0062582F">
        <w:t>(e)</w:t>
      </w:r>
      <w:r w:rsidRPr="0062582F">
        <w:tab/>
        <w:t>cash receipts and cash payments of an insurance entity for premiums and claims, annuities and other policy benefits;</w:t>
      </w:r>
    </w:p>
    <w:p w:rsidR="004843DB" w:rsidRPr="0062582F" w:rsidRDefault="004843DB" w:rsidP="004843DB">
      <w:pPr>
        <w:pStyle w:val="CommentaryTextIndent"/>
        <w:pBdr>
          <w:top w:val="none" w:sz="0" w:space="0" w:color="auto"/>
          <w:bottom w:val="none" w:sz="0" w:space="0" w:color="auto"/>
        </w:pBdr>
      </w:pPr>
      <w:r w:rsidRPr="0062582F">
        <w:t>(f)</w:t>
      </w:r>
      <w:r w:rsidRPr="0062582F">
        <w:tab/>
        <w:t xml:space="preserve">cash payments or refunds of income taxes unless they can be specifically identified with financing and investing activities; </w:t>
      </w:r>
    </w:p>
    <w:p w:rsidR="004843DB" w:rsidRPr="0062582F" w:rsidRDefault="004843DB" w:rsidP="004843DB">
      <w:pPr>
        <w:pStyle w:val="CommentaryTextIndent"/>
        <w:pBdr>
          <w:top w:val="none" w:sz="0" w:space="0" w:color="auto"/>
          <w:bottom w:val="none" w:sz="0" w:space="0" w:color="auto"/>
        </w:pBdr>
      </w:pPr>
      <w:r w:rsidRPr="0062582F">
        <w:t>(g)</w:t>
      </w:r>
      <w:r w:rsidRPr="0062582F">
        <w:tab/>
        <w:t>cash receipts and payments from contracts held for dealing or trading purposes; and</w:t>
      </w:r>
    </w:p>
    <w:p w:rsidR="004843DB" w:rsidRPr="0062582F" w:rsidRDefault="004843DB" w:rsidP="004843DB">
      <w:pPr>
        <w:pStyle w:val="CommentaryTextIndent"/>
        <w:pBdr>
          <w:top w:val="none" w:sz="0" w:space="0" w:color="auto"/>
          <w:bottom w:val="none" w:sz="0" w:space="0" w:color="auto"/>
        </w:pBdr>
      </w:pPr>
      <w:r w:rsidRPr="0062582F">
        <w:t>(h)</w:t>
      </w:r>
      <w:r w:rsidRPr="0062582F">
        <w:tab/>
        <w:t xml:space="preserve">cash dividends received. </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t xml:space="preserve">Some transactions, such as the sale of an item of property, plant and equipment, may give rise to a gain or loss which is recognised in net result. The cash flows relating to such transactions are cash flows from investing activities. However, cash payments to manufacture or acquire assets held for rental as described in AASB 116 </w:t>
      </w:r>
      <w:r w:rsidRPr="0062582F">
        <w:rPr>
          <w:i/>
          <w:noProof w:val="0"/>
        </w:rPr>
        <w:t xml:space="preserve">Property, Plant and Equipment </w:t>
      </w:r>
      <w:r w:rsidRPr="0062582F">
        <w:rPr>
          <w:noProof w:val="0"/>
        </w:rPr>
        <w:t>paragraph 68A are cash flows from operating activities. The cash receipts from rents and subsequent sales of such assets are also cash flows from operating activities.</w:t>
      </w:r>
    </w:p>
    <w:p w:rsidR="004843DB" w:rsidRPr="0062582F" w:rsidRDefault="004843DB" w:rsidP="004843DB">
      <w:pPr>
        <w:pStyle w:val="CommentaryHeading2"/>
      </w:pPr>
      <w:r w:rsidRPr="0062582F">
        <w:t>Investing activities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107.16</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The separate disclosure of cash flows arising from investing activities is important because the cash flows represent the extent to which expenditures have been made for resources intended to generate future income and cash flows.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rPr>
          <w:lang w:val="en-AU"/>
        </w:rPr>
        <w:lastRenderedPageBreak/>
        <w:t>AASB 107.16</w:t>
      </w:r>
    </w:p>
    <w:p w:rsidR="004843DB" w:rsidRPr="0062582F" w:rsidRDefault="004843DB" w:rsidP="004843DB">
      <w:pPr>
        <w:pStyle w:val="CommentaryText"/>
        <w:pBdr>
          <w:top w:val="none" w:sz="0" w:space="0" w:color="auto"/>
          <w:bottom w:val="none" w:sz="0" w:space="0" w:color="auto"/>
        </w:pBdr>
        <w:rPr>
          <w:noProof w:val="0"/>
        </w:rPr>
      </w:pPr>
      <w:r w:rsidRPr="0062582F">
        <w:br w:type="column"/>
      </w:r>
      <w:r w:rsidRPr="0062582F">
        <w:rPr>
          <w:noProof w:val="0"/>
        </w:rPr>
        <w:lastRenderedPageBreak/>
        <w:t xml:space="preserve">Cash flows can be disclosed under </w:t>
      </w:r>
      <w:r w:rsidR="005A4BB0">
        <w:rPr>
          <w:noProof w:val="0"/>
        </w:rPr>
        <w:t>‘</w:t>
      </w:r>
      <w:r w:rsidRPr="0062582F">
        <w:rPr>
          <w:noProof w:val="0"/>
        </w:rPr>
        <w:t>cash flows from investing activities</w:t>
      </w:r>
      <w:r w:rsidR="005A4BB0">
        <w:rPr>
          <w:noProof w:val="0"/>
        </w:rPr>
        <w:t>’</w:t>
      </w:r>
      <w:r w:rsidRPr="0062582F">
        <w:rPr>
          <w:noProof w:val="0"/>
        </w:rPr>
        <w:t xml:space="preserve"> only if the entity is absolutely certain that it will have an asset on its balance sheet as a result of the cash expenditure. Accordingly, cash expenditure on a research and development project cannot be disclosed as cash flows from investing activity until the asset is realised. </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t>Examples of cash fl</w:t>
      </w:r>
      <w:r w:rsidRPr="0062582F">
        <w:rPr>
          <w:rStyle w:val="CommentaryTextChar"/>
          <w:noProof w:val="0"/>
        </w:rPr>
        <w:t>o</w:t>
      </w:r>
      <w:r w:rsidRPr="0062582F">
        <w:rPr>
          <w:noProof w:val="0"/>
        </w:rPr>
        <w:t>ws arising from investing activities are:</w:t>
      </w:r>
    </w:p>
    <w:p w:rsidR="004843DB" w:rsidRPr="0062582F" w:rsidRDefault="004843DB" w:rsidP="004843DB">
      <w:pPr>
        <w:pStyle w:val="CommentaryTextIndent"/>
        <w:pBdr>
          <w:top w:val="none" w:sz="0" w:space="0" w:color="auto"/>
          <w:bottom w:val="none" w:sz="0" w:space="0" w:color="auto"/>
        </w:pBdr>
      </w:pPr>
      <w:r w:rsidRPr="0062582F">
        <w:t>(a)</w:t>
      </w:r>
      <w:r w:rsidRPr="0062582F">
        <w:tab/>
        <w:t>cash payments to acquire property, plant and equipment, intangibles and other long</w:t>
      </w:r>
      <w:r w:rsidR="005A4BB0">
        <w:noBreakHyphen/>
      </w:r>
      <w:r w:rsidRPr="0062582F">
        <w:t>term assets. These payments include those relating to capitalised development costs and self</w:t>
      </w:r>
      <w:r w:rsidR="005A4BB0">
        <w:noBreakHyphen/>
      </w:r>
      <w:r w:rsidRPr="0062582F">
        <w:t>constructed property, plant and equipment;</w:t>
      </w:r>
    </w:p>
    <w:p w:rsidR="004843DB" w:rsidRPr="0062582F" w:rsidRDefault="004843DB" w:rsidP="004843DB">
      <w:pPr>
        <w:pStyle w:val="CommentaryTextIndent"/>
        <w:pBdr>
          <w:top w:val="none" w:sz="0" w:space="0" w:color="auto"/>
          <w:bottom w:val="none" w:sz="0" w:space="0" w:color="auto"/>
        </w:pBdr>
      </w:pPr>
      <w:r w:rsidRPr="0062582F">
        <w:t>(b)</w:t>
      </w:r>
      <w:r w:rsidRPr="0062582F">
        <w:tab/>
        <w:t>cash receipts from sales of property, plant and equipment, intangibles and other long</w:t>
      </w:r>
      <w:r w:rsidR="005A4BB0">
        <w:noBreakHyphen/>
      </w:r>
      <w:r w:rsidRPr="0062582F">
        <w:t>term assets;</w:t>
      </w:r>
    </w:p>
    <w:p w:rsidR="004843DB" w:rsidRPr="0062582F" w:rsidRDefault="004843DB" w:rsidP="004843DB">
      <w:pPr>
        <w:pStyle w:val="CommentaryTextIndent"/>
        <w:pBdr>
          <w:top w:val="none" w:sz="0" w:space="0" w:color="auto"/>
        </w:pBdr>
      </w:pPr>
      <w:r w:rsidRPr="0062582F">
        <w:t>(c)</w:t>
      </w:r>
      <w:r w:rsidRPr="0062582F">
        <w:tab/>
        <w:t>cash payments to acquire equity or debt instruments of other entities and interests in joint ventures (other than payments for those instruments considered to be cash equivalents or those held for dealing or trading purposes);</w:t>
      </w:r>
    </w:p>
    <w:p w:rsidR="004843DB" w:rsidRPr="0062582F" w:rsidRDefault="004843DB" w:rsidP="004843DB">
      <w:pPr>
        <w:pStyle w:val="SmallLine"/>
      </w:pPr>
      <w:r w:rsidRPr="0062582F">
        <w:br w:type="column"/>
      </w:r>
    </w:p>
    <w:p w:rsidR="004843DB" w:rsidRPr="0062582F" w:rsidRDefault="004843DB" w:rsidP="004843DB">
      <w:pPr>
        <w:pStyle w:val="Reference"/>
        <w:rPr>
          <w:rFonts w:ascii="Garamond" w:hAnsi="Garamond" w:cs="Times New Roman"/>
          <w:lang w:val="en-AU"/>
        </w:rPr>
      </w:pPr>
    </w:p>
    <w:p w:rsidR="004843DB" w:rsidRPr="0062582F" w:rsidRDefault="004843DB" w:rsidP="004843DB">
      <w:pPr>
        <w:pStyle w:val="SmallLine"/>
      </w:pPr>
      <w:r w:rsidRPr="0062582F">
        <w:br w:type="column"/>
      </w:r>
    </w:p>
    <w:p w:rsidR="004843DB" w:rsidRPr="0062582F" w:rsidRDefault="004843DB" w:rsidP="004843DB">
      <w:pPr>
        <w:pStyle w:val="CommentaryHeading"/>
        <w:rPr>
          <w:i/>
          <w:iCs/>
        </w:rPr>
      </w:pPr>
      <w:r w:rsidRPr="0062582F">
        <w:t xml:space="preserve">Commentary – Cash flow statement </w:t>
      </w:r>
      <w:r w:rsidRPr="0062582F">
        <w:rPr>
          <w:i/>
          <w:iCs/>
        </w:rPr>
        <w:t>(continued)</w:t>
      </w:r>
    </w:p>
    <w:p w:rsidR="004843DB" w:rsidRPr="0062582F" w:rsidRDefault="004843DB" w:rsidP="004843DB">
      <w:pPr>
        <w:pStyle w:val="SmallLineBlue"/>
        <w:pBdr>
          <w:bottom w:val="none" w:sz="0" w:space="0" w:color="auto"/>
        </w:pBdr>
      </w:pPr>
    </w:p>
    <w:p w:rsidR="004843DB" w:rsidRPr="0062582F" w:rsidRDefault="004843DB" w:rsidP="004843DB">
      <w:pPr>
        <w:pStyle w:val="CommentaryTextIndent"/>
        <w:pBdr>
          <w:top w:val="none" w:sz="0" w:space="0" w:color="auto"/>
          <w:bottom w:val="none" w:sz="0" w:space="0" w:color="auto"/>
        </w:pBdr>
      </w:pPr>
      <w:r w:rsidRPr="0062582F">
        <w:t>(d)</w:t>
      </w:r>
      <w:r w:rsidRPr="0062582F">
        <w:tab/>
        <w:t>cash receipts from sales of equity or debt instruments of other entities and interests in joint ventures (other than receipts for those instruments considered to be cash equivalents and those held for dealing or trading purposes);</w:t>
      </w:r>
    </w:p>
    <w:p w:rsidR="004843DB" w:rsidRPr="0062582F" w:rsidRDefault="004843DB" w:rsidP="004843DB">
      <w:pPr>
        <w:pStyle w:val="CommentaryTextIndent"/>
        <w:pBdr>
          <w:top w:val="none" w:sz="0" w:space="0" w:color="auto"/>
          <w:bottom w:val="none" w:sz="0" w:space="0" w:color="auto"/>
        </w:pBdr>
      </w:pPr>
      <w:r w:rsidRPr="0062582F">
        <w:t>(e)</w:t>
      </w:r>
      <w:r w:rsidRPr="0062582F">
        <w:tab/>
        <w:t>cash advances and loans made to other parties (other than advances and loans made by a financial institution);</w:t>
      </w:r>
    </w:p>
    <w:p w:rsidR="004843DB" w:rsidRPr="0062582F" w:rsidRDefault="004843DB" w:rsidP="004843DB">
      <w:pPr>
        <w:pStyle w:val="CommentaryTextIndent"/>
        <w:pBdr>
          <w:top w:val="none" w:sz="0" w:space="0" w:color="auto"/>
          <w:bottom w:val="none" w:sz="0" w:space="0" w:color="auto"/>
        </w:pBdr>
      </w:pPr>
      <w:r w:rsidRPr="0062582F">
        <w:t>(f)</w:t>
      </w:r>
      <w:r w:rsidRPr="0062582F">
        <w:tab/>
        <w:t>cash receipts from the repayment of advances and loans made to other parties (other than advances and loans of a financial institution);</w:t>
      </w:r>
    </w:p>
    <w:p w:rsidR="004843DB" w:rsidRPr="0062582F" w:rsidRDefault="004843DB" w:rsidP="004843DB">
      <w:pPr>
        <w:pStyle w:val="CommentaryTextIndent"/>
        <w:pBdr>
          <w:top w:val="none" w:sz="0" w:space="0" w:color="auto"/>
          <w:bottom w:val="none" w:sz="0" w:space="0" w:color="auto"/>
        </w:pBdr>
      </w:pPr>
      <w:r w:rsidRPr="0062582F">
        <w:t>(g)</w:t>
      </w:r>
      <w:r w:rsidRPr="0062582F">
        <w:tab/>
        <w:t>cash payments for futures contracts, forward contracts, option contracts and swap contracts except when the contracts are held for dealing or trading purposes, or the payments are classified as financing activities; and</w:t>
      </w:r>
    </w:p>
    <w:p w:rsidR="004843DB" w:rsidRPr="0062582F" w:rsidRDefault="004843DB" w:rsidP="004843DB">
      <w:pPr>
        <w:pStyle w:val="CommentaryTextIndent"/>
        <w:pBdr>
          <w:top w:val="none" w:sz="0" w:space="0" w:color="auto"/>
          <w:bottom w:val="none" w:sz="0" w:space="0" w:color="auto"/>
        </w:pBdr>
      </w:pPr>
      <w:r w:rsidRPr="0062582F">
        <w:t>(h)</w:t>
      </w:r>
      <w:r w:rsidRPr="0062582F">
        <w:tab/>
        <w:t>cash receipts from futures contracts, forward contracts, option contracts and swap contracts except when the contracts are held for dealing or trading purposes, or the receipts are classified as financing activities.</w:t>
      </w:r>
    </w:p>
    <w:p w:rsidR="004843DB" w:rsidRPr="0062582F" w:rsidRDefault="004843DB" w:rsidP="004843DB">
      <w:pPr>
        <w:pStyle w:val="CommentaryHeading1"/>
        <w:pBdr>
          <w:top w:val="none" w:sz="0" w:space="0" w:color="auto"/>
          <w:bottom w:val="none" w:sz="0" w:space="0" w:color="auto"/>
        </w:pBdr>
      </w:pPr>
      <w:r w:rsidRPr="0062582F">
        <w:t>Purchases of non</w:t>
      </w:r>
      <w:r w:rsidR="005A4BB0">
        <w:noBreakHyphen/>
      </w:r>
      <w:r w:rsidRPr="0062582F">
        <w:t>financial assets</w:t>
      </w:r>
    </w:p>
    <w:p w:rsidR="004843DB" w:rsidRPr="0062582F" w:rsidRDefault="004843DB" w:rsidP="004843DB">
      <w:pPr>
        <w:pStyle w:val="CommentaryHeading1"/>
        <w:sectPr w:rsidR="004843DB" w:rsidRPr="0062582F" w:rsidSect="00190A01">
          <w:headerReference w:type="even" r:id="rId199"/>
          <w:headerReference w:type="default" r:id="rId200"/>
          <w:headerReference w:type="first" r:id="rId2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lastRenderedPageBreak/>
        <w:t>AASB </w:t>
      </w:r>
      <w:r w:rsidRPr="0062582F">
        <w:rPr>
          <w:lang w:val="en-AU"/>
        </w:rPr>
        <w:t>107.14(c)</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 xml:space="preserve">Purchases of inventory are not included in </w:t>
      </w:r>
      <w:r w:rsidR="005A4BB0">
        <w:t>‘</w:t>
      </w:r>
      <w:r w:rsidRPr="0062582F">
        <w:t>purchases of non</w:t>
      </w:r>
      <w:r w:rsidR="005A4BB0">
        <w:noBreakHyphen/>
      </w:r>
      <w:r w:rsidRPr="0062582F">
        <w:t>financial assets</w:t>
      </w:r>
      <w:r w:rsidR="005A4BB0">
        <w:t>’</w:t>
      </w:r>
      <w:r w:rsidRPr="0062582F">
        <w:t xml:space="preserve"> under investing activities, but in </w:t>
      </w:r>
      <w:r w:rsidR="005A4BB0">
        <w:t>‘</w:t>
      </w:r>
      <w:r w:rsidRPr="0062582F">
        <w:t>payments to suppliers and employees</w:t>
      </w:r>
      <w:r w:rsidR="005A4BB0">
        <w:t>’</w:t>
      </w:r>
      <w:r w:rsidRPr="0062582F">
        <w:t xml:space="preserve"> under operating activities.</w:t>
      </w:r>
    </w:p>
    <w:p w:rsidR="004843DB" w:rsidRPr="0062582F" w:rsidRDefault="004843DB" w:rsidP="004843DB">
      <w:pPr>
        <w:pStyle w:val="CommentaryHeading2"/>
      </w:pPr>
      <w:r w:rsidRPr="0062582F">
        <w:t>Financing activities</w:t>
      </w:r>
    </w:p>
    <w:p w:rsidR="004843DB" w:rsidRPr="0062582F" w:rsidRDefault="004843DB" w:rsidP="004843DB">
      <w:pPr>
        <w:pStyle w:val="CommentaryText"/>
        <w:rPr>
          <w:noProof w:val="0"/>
          <w:sz w:val="18"/>
          <w:szCs w:val="18"/>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107.21</w:t>
      </w: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r w:rsidRPr="0062582F">
        <w:rPr>
          <w:lang w:val="en-AU"/>
        </w:rPr>
        <w:t>AASB 107.17</w:t>
      </w:r>
    </w:p>
    <w:p w:rsidR="004843DB" w:rsidRPr="0062582F" w:rsidRDefault="004843DB" w:rsidP="004843DB">
      <w:pPr>
        <w:pStyle w:val="CommentaryText"/>
        <w:pBdr>
          <w:top w:val="none" w:sz="0" w:space="0" w:color="auto"/>
          <w:bottom w:val="none" w:sz="0" w:space="0" w:color="auto"/>
        </w:pBdr>
        <w:rPr>
          <w:noProof w:val="0"/>
        </w:rPr>
      </w:pPr>
      <w:r w:rsidRPr="0062582F">
        <w:br w:type="column"/>
      </w:r>
      <w:r w:rsidRPr="0062582F">
        <w:rPr>
          <w:noProof w:val="0"/>
        </w:rPr>
        <w:lastRenderedPageBreak/>
        <w:t xml:space="preserve">An entity shall report separately major classes of gross cash receipts and gross cash payments arising from financing activities, except to the extent that cash flows described in paragraphs 22 and 24 of AASB 107 </w:t>
      </w:r>
      <w:r w:rsidRPr="0062582F">
        <w:rPr>
          <w:i/>
          <w:noProof w:val="0"/>
        </w:rPr>
        <w:t>Statement of Cash Flows</w:t>
      </w:r>
      <w:r w:rsidRPr="0062582F">
        <w:rPr>
          <w:noProof w:val="0"/>
        </w:rPr>
        <w:t xml:space="preserve"> are reported on a net basis (refer below).</w:t>
      </w:r>
    </w:p>
    <w:p w:rsidR="004843DB" w:rsidRPr="0062582F" w:rsidRDefault="004843DB" w:rsidP="004843DB">
      <w:pPr>
        <w:pStyle w:val="CommentaryText"/>
        <w:pBdr>
          <w:top w:val="none" w:sz="0" w:space="0" w:color="auto"/>
          <w:bottom w:val="none" w:sz="0" w:space="0" w:color="auto"/>
        </w:pBdr>
      </w:pPr>
      <w:r w:rsidRPr="0062582F">
        <w:t>The separate disclosure of cash flows arising from financing activities is important because it is useful in predicting claims on future cash flows by providers of capital to the entity. Examples of cash flows arising from financing activities are:</w:t>
      </w:r>
    </w:p>
    <w:p w:rsidR="004843DB" w:rsidRPr="0062582F" w:rsidRDefault="004843DB" w:rsidP="004843DB">
      <w:pPr>
        <w:pStyle w:val="CommentaryTextIndent"/>
        <w:pBdr>
          <w:top w:val="none" w:sz="0" w:space="0" w:color="auto"/>
          <w:bottom w:val="none" w:sz="0" w:space="0" w:color="auto"/>
        </w:pBdr>
      </w:pPr>
      <w:r w:rsidRPr="0062582F">
        <w:t>(a)</w:t>
      </w:r>
      <w:r w:rsidRPr="0062582F">
        <w:tab/>
        <w:t>cash proceeds from issuing shares or other equity instruments;</w:t>
      </w:r>
    </w:p>
    <w:p w:rsidR="004843DB" w:rsidRPr="0062582F" w:rsidRDefault="004843DB" w:rsidP="004843DB">
      <w:pPr>
        <w:pStyle w:val="CommentaryTextIndent"/>
        <w:pBdr>
          <w:top w:val="none" w:sz="0" w:space="0" w:color="auto"/>
          <w:bottom w:val="none" w:sz="0" w:space="0" w:color="auto"/>
        </w:pBdr>
      </w:pPr>
      <w:r w:rsidRPr="0062582F">
        <w:t>(b)</w:t>
      </w:r>
      <w:r w:rsidRPr="0062582F">
        <w:tab/>
        <w:t>cash payments to owners to acquire or redeem the entity</w:t>
      </w:r>
      <w:r w:rsidR="005A4BB0">
        <w:t>’</w:t>
      </w:r>
      <w:r w:rsidRPr="0062582F">
        <w:t>s shares;</w:t>
      </w:r>
    </w:p>
    <w:p w:rsidR="004843DB" w:rsidRPr="0062582F" w:rsidRDefault="004843DB" w:rsidP="004843DB">
      <w:pPr>
        <w:pStyle w:val="CommentaryTextIndent"/>
        <w:pBdr>
          <w:top w:val="none" w:sz="0" w:space="0" w:color="auto"/>
          <w:bottom w:val="none" w:sz="0" w:space="0" w:color="auto"/>
        </w:pBdr>
      </w:pPr>
      <w:r w:rsidRPr="0062582F">
        <w:t>(c)</w:t>
      </w:r>
      <w:r w:rsidRPr="0062582F">
        <w:tab/>
        <w:t>cash proceeds from issuing debentures, loans, notes, bonds, mortgages and other short or long</w:t>
      </w:r>
      <w:r w:rsidR="005A4BB0">
        <w:noBreakHyphen/>
      </w:r>
      <w:r w:rsidRPr="0062582F">
        <w:t>term borrowings;</w:t>
      </w:r>
    </w:p>
    <w:p w:rsidR="004843DB" w:rsidRPr="0062582F" w:rsidRDefault="004843DB" w:rsidP="004843DB">
      <w:pPr>
        <w:pStyle w:val="CommentaryTextIndent"/>
        <w:pBdr>
          <w:top w:val="none" w:sz="0" w:space="0" w:color="auto"/>
          <w:bottom w:val="none" w:sz="0" w:space="0" w:color="auto"/>
        </w:pBdr>
      </w:pPr>
      <w:r w:rsidRPr="0062582F">
        <w:t>(d)</w:t>
      </w:r>
      <w:r w:rsidRPr="0062582F">
        <w:tab/>
        <w:t>cash repayments of amounts borrowed; and</w:t>
      </w:r>
    </w:p>
    <w:p w:rsidR="004843DB" w:rsidRPr="0062582F" w:rsidRDefault="004843DB" w:rsidP="004843DB">
      <w:pPr>
        <w:pStyle w:val="CommentaryTextIndent"/>
        <w:pBdr>
          <w:top w:val="none" w:sz="0" w:space="0" w:color="auto"/>
          <w:bottom w:val="none" w:sz="0" w:space="0" w:color="auto"/>
        </w:pBdr>
      </w:pPr>
      <w:r w:rsidRPr="0062582F">
        <w:t>(e)</w:t>
      </w:r>
      <w:r w:rsidRPr="0062582F">
        <w:tab/>
        <w:t>cash payments by a lessee for the reduction of the outstanding liability relating to a finance lease.</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rFonts w:ascii="Calibri" w:hAnsi="Calibri" w:cs="Arial"/>
          <w:b/>
          <w:bCs/>
        </w:rPr>
        <w:lastRenderedPageBreak/>
        <w:t>Cash received/transferred out due to machinery of government changes</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t xml:space="preserve">Where applicable, entities should classify </w:t>
      </w:r>
      <w:r w:rsidR="005A4BB0">
        <w:rPr>
          <w:noProof w:val="0"/>
        </w:rPr>
        <w:t>‘</w:t>
      </w:r>
      <w:r w:rsidRPr="0062582F">
        <w:rPr>
          <w:noProof w:val="0"/>
        </w:rPr>
        <w:t>cash received from activities transferred in</w:t>
      </w:r>
      <w:r w:rsidR="005A4BB0">
        <w:rPr>
          <w:noProof w:val="0"/>
        </w:rPr>
        <w:t>’</w:t>
      </w:r>
      <w:r w:rsidRPr="0062582F">
        <w:rPr>
          <w:noProof w:val="0"/>
        </w:rPr>
        <w:t xml:space="preserve"> and </w:t>
      </w:r>
      <w:r w:rsidR="005A4BB0">
        <w:rPr>
          <w:noProof w:val="0"/>
        </w:rPr>
        <w:t>‘</w:t>
      </w:r>
      <w:r w:rsidRPr="0062582F">
        <w:rPr>
          <w:noProof w:val="0"/>
        </w:rPr>
        <w:t>cash transferred from activities transferred out</w:t>
      </w:r>
      <w:r w:rsidR="005A4BB0">
        <w:rPr>
          <w:noProof w:val="0"/>
        </w:rPr>
        <w:t>’</w:t>
      </w:r>
      <w:r w:rsidRPr="0062582F">
        <w:rPr>
          <w:noProof w:val="0"/>
        </w:rPr>
        <w:t xml:space="preserve"> due to machinery of government (MoG) changes under financing activities rather than investing activities. Those two cash flow items are separately disclosed from </w:t>
      </w:r>
      <w:r w:rsidR="005A4BB0">
        <w:rPr>
          <w:noProof w:val="0"/>
        </w:rPr>
        <w:t>‘</w:t>
      </w:r>
      <w:r w:rsidRPr="0062582F">
        <w:rPr>
          <w:noProof w:val="0"/>
        </w:rPr>
        <w:t>owner contributions by State Government</w:t>
      </w:r>
      <w:r w:rsidR="005A4BB0">
        <w:rPr>
          <w:noProof w:val="0"/>
        </w:rPr>
        <w:t>’</w:t>
      </w:r>
      <w:r w:rsidRPr="0062582F">
        <w:rPr>
          <w:noProof w:val="0"/>
        </w:rPr>
        <w:t xml:space="preserve"> as the former reflects cash flows as a result of MoG changes whereas the latter captures appropriations received directly from the State as contributed capital for capital expenditure purposes.</w:t>
      </w:r>
    </w:p>
    <w:p w:rsidR="004843DB" w:rsidRPr="0062582F" w:rsidRDefault="004843DB" w:rsidP="004843DB">
      <w:pPr>
        <w:pStyle w:val="CommentaryHeading1"/>
        <w:pBdr>
          <w:top w:val="none" w:sz="0" w:space="0" w:color="auto"/>
          <w:bottom w:val="none" w:sz="0" w:space="0" w:color="auto"/>
        </w:pBdr>
      </w:pPr>
      <w:r w:rsidRPr="0062582F">
        <w:t>Reporting cash flows on a net basis</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lastRenderedPageBreak/>
        <w:t>AASB </w:t>
      </w:r>
      <w:r w:rsidRPr="0062582F">
        <w:rPr>
          <w:lang w:val="en-AU"/>
        </w:rPr>
        <w:t>107.22, 23 and 23A</w:t>
      </w:r>
    </w:p>
    <w:p w:rsidR="004843DB" w:rsidRPr="0062582F" w:rsidRDefault="004843DB" w:rsidP="004843DB">
      <w:pPr>
        <w:pStyle w:val="CommentaryText"/>
        <w:pBdr>
          <w:top w:val="none" w:sz="0" w:space="0" w:color="auto"/>
        </w:pBdr>
        <w:rPr>
          <w:noProof w:val="0"/>
        </w:rPr>
      </w:pPr>
      <w:r w:rsidRPr="0062582F">
        <w:rPr>
          <w:noProof w:val="0"/>
        </w:rPr>
        <w:br w:type="column"/>
      </w:r>
      <w:r w:rsidRPr="0062582F">
        <w:rPr>
          <w:noProof w:val="0"/>
        </w:rPr>
        <w:lastRenderedPageBreak/>
        <w:t>Cash flows arising from the following operating, investing or financing activities are to be reported on a net basis:</w:t>
      </w:r>
    </w:p>
    <w:p w:rsidR="004843DB" w:rsidRPr="0062582F" w:rsidRDefault="004843DB" w:rsidP="004843DB">
      <w:pPr>
        <w:pStyle w:val="CommentaryTextIndent"/>
        <w:pBdr>
          <w:top w:val="none" w:sz="0" w:space="0" w:color="auto"/>
        </w:pBdr>
        <w:spacing w:before="80"/>
        <w:ind w:left="446" w:hanging="446"/>
      </w:pPr>
      <w:r w:rsidRPr="0062582F">
        <w:t>(a)</w:t>
      </w:r>
      <w:r w:rsidRPr="0062582F">
        <w:tab/>
        <w:t>cash receipts and payments on behalf of customers when the cash flows reflect the activities of the customer rather than those of the entity; and</w:t>
      </w:r>
    </w:p>
    <w:p w:rsidR="004843DB" w:rsidRPr="0062582F" w:rsidRDefault="004843DB" w:rsidP="004843DB">
      <w:pPr>
        <w:pStyle w:val="CommentaryTextIndent"/>
        <w:pBdr>
          <w:top w:val="none" w:sz="0" w:space="0" w:color="auto"/>
        </w:pBdr>
        <w:spacing w:before="80"/>
        <w:ind w:left="446" w:hanging="446"/>
      </w:pPr>
      <w:r w:rsidRPr="0062582F">
        <w:t>(b)</w:t>
      </w:r>
      <w:r w:rsidRPr="0062582F">
        <w:tab/>
        <w:t>cash receipts and payments for items in which the turnover is quick, the amounts are large, and the maturities are short.</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spacing w:before="60"/>
      </w:pPr>
      <w:r w:rsidRPr="0062582F">
        <w:lastRenderedPageBreak/>
        <w:br w:type="column"/>
      </w:r>
      <w:r w:rsidRPr="0062582F">
        <w:lastRenderedPageBreak/>
        <w:br w:type="column"/>
      </w:r>
      <w:r w:rsidRPr="0062582F">
        <w:lastRenderedPageBreak/>
        <w:br w:type="column"/>
      </w:r>
    </w:p>
    <w:p w:rsidR="004843DB" w:rsidRPr="0062582F" w:rsidRDefault="004843DB" w:rsidP="004843DB">
      <w:pPr>
        <w:pStyle w:val="CommentaryHeading"/>
        <w:rPr>
          <w:i/>
          <w:iCs/>
        </w:rPr>
      </w:pPr>
      <w:r w:rsidRPr="0062582F">
        <w:t xml:space="preserve">Commentary – Cash flow statement </w:t>
      </w:r>
      <w:r w:rsidRPr="0062582F">
        <w:rPr>
          <w:i/>
          <w:iCs/>
        </w:rPr>
        <w:t>(continued)</w:t>
      </w:r>
    </w:p>
    <w:p w:rsidR="004843DB" w:rsidRPr="0062582F" w:rsidRDefault="004843DB" w:rsidP="004843DB">
      <w:pPr>
        <w:pStyle w:val="SmallLineBlue"/>
      </w:pPr>
    </w:p>
    <w:p w:rsidR="004843DB" w:rsidRPr="0062582F" w:rsidRDefault="004843DB" w:rsidP="004843DB">
      <w:pPr>
        <w:pStyle w:val="SmallLineBlue"/>
        <w:pBdr>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w:t>
      </w:r>
      <w:r w:rsidRPr="0062582F">
        <w:t>107</w:t>
      </w:r>
      <w:r w:rsidRPr="0062582F">
        <w:rPr>
          <w:lang w:val="en-AU"/>
        </w:rPr>
        <w:t>.24</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Cash flows arising from each of the following activities of a financial institution are to be reported on a net basis:</w:t>
      </w:r>
    </w:p>
    <w:p w:rsidR="004843DB" w:rsidRPr="0062582F" w:rsidRDefault="004843DB" w:rsidP="004843DB">
      <w:pPr>
        <w:pStyle w:val="CommentaryTextIndent"/>
        <w:pBdr>
          <w:top w:val="none" w:sz="0" w:space="0" w:color="auto"/>
          <w:bottom w:val="none" w:sz="0" w:space="0" w:color="auto"/>
        </w:pBdr>
        <w:spacing w:before="100"/>
        <w:ind w:left="448" w:hanging="448"/>
      </w:pPr>
      <w:r w:rsidRPr="0062582F">
        <w:t>(a)</w:t>
      </w:r>
      <w:r w:rsidRPr="0062582F">
        <w:tab/>
        <w:t>cash receipts and payments for the acceptance and repayment of deposits with a fixed maturity date;</w:t>
      </w:r>
    </w:p>
    <w:p w:rsidR="004843DB" w:rsidRPr="0062582F" w:rsidRDefault="004843DB" w:rsidP="004843DB">
      <w:pPr>
        <w:pStyle w:val="CommentaryTextIndent"/>
        <w:pBdr>
          <w:top w:val="none" w:sz="0" w:space="0" w:color="auto"/>
          <w:bottom w:val="none" w:sz="0" w:space="0" w:color="auto"/>
        </w:pBdr>
        <w:spacing w:before="100"/>
        <w:ind w:left="448" w:hanging="448"/>
      </w:pPr>
      <w:r w:rsidRPr="0062582F">
        <w:t>(b)</w:t>
      </w:r>
      <w:r w:rsidRPr="0062582F">
        <w:tab/>
        <w:t>the placement of deposits with and withdrawal of deposits from other financial institutions; and</w:t>
      </w:r>
    </w:p>
    <w:p w:rsidR="004843DB" w:rsidRPr="0062582F" w:rsidRDefault="004843DB" w:rsidP="004843DB">
      <w:pPr>
        <w:pStyle w:val="CommentaryTextIndent"/>
        <w:pBdr>
          <w:top w:val="none" w:sz="0" w:space="0" w:color="auto"/>
          <w:bottom w:val="none" w:sz="0" w:space="0" w:color="auto"/>
        </w:pBdr>
        <w:spacing w:before="100"/>
        <w:ind w:left="448" w:hanging="448"/>
      </w:pPr>
      <w:r w:rsidRPr="0062582F">
        <w:t>(c)</w:t>
      </w:r>
      <w:r w:rsidRPr="0062582F">
        <w:tab/>
        <w:t>cash advances and loans made to customers and the repayment of those advances and loans.</w:t>
      </w:r>
    </w:p>
    <w:p w:rsidR="004843DB" w:rsidRPr="0062582F" w:rsidRDefault="004843DB" w:rsidP="004843DB">
      <w:pPr>
        <w:pStyle w:val="CommentaryHeading1"/>
        <w:pBdr>
          <w:top w:val="none" w:sz="0" w:space="0" w:color="auto"/>
          <w:bottom w:val="none" w:sz="0" w:space="0" w:color="auto"/>
        </w:pBdr>
      </w:pPr>
      <w:r w:rsidRPr="0062582F">
        <w:t>Goods and Services Tax</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lastRenderedPageBreak/>
        <w:t>AASB Interpretation 1031.10</w:t>
      </w:r>
    </w:p>
    <w:p w:rsidR="004843DB" w:rsidRPr="0062582F" w:rsidRDefault="004843DB" w:rsidP="004843DB">
      <w:pPr>
        <w:pStyle w:val="CommentaryText"/>
        <w:pBdr>
          <w:top w:val="none" w:sz="0" w:space="0" w:color="auto"/>
          <w:bottom w:val="none" w:sz="0" w:space="0" w:color="auto"/>
        </w:pBdr>
        <w:spacing w:before="100"/>
        <w:rPr>
          <w:noProof w:val="0"/>
        </w:rPr>
      </w:pPr>
      <w:r w:rsidRPr="0062582F">
        <w:rPr>
          <w:noProof w:val="0"/>
        </w:rPr>
        <w:br w:type="column"/>
      </w:r>
      <w:r w:rsidRPr="0062582F">
        <w:rPr>
          <w:noProof w:val="0"/>
        </w:rPr>
        <w:lastRenderedPageBreak/>
        <w:t>Cash flows shall be included in the cash flow statement on a gross basis, subject to the paragraph below and AASB 107.</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20"/>
        <w:rPr>
          <w:lang w:val="en-AU"/>
        </w:rPr>
      </w:pPr>
      <w:r w:rsidRPr="0062582F">
        <w:rPr>
          <w:lang w:val="en-AU"/>
        </w:rPr>
        <w:lastRenderedPageBreak/>
        <w:t xml:space="preserve">AASB Interpretation </w:t>
      </w:r>
      <w:r w:rsidRPr="0062582F">
        <w:t>1031</w:t>
      </w:r>
      <w:r w:rsidRPr="0062582F">
        <w:rPr>
          <w:lang w:val="en-AU"/>
        </w:rPr>
        <w:t>.11</w:t>
      </w:r>
    </w:p>
    <w:p w:rsidR="004843DB" w:rsidRPr="0062582F" w:rsidRDefault="004843DB" w:rsidP="004843DB">
      <w:pPr>
        <w:pStyle w:val="CommentaryText"/>
        <w:pBdr>
          <w:top w:val="none" w:sz="0" w:space="0" w:color="auto"/>
          <w:bottom w:val="none" w:sz="0" w:space="0" w:color="auto"/>
        </w:pBdr>
        <w:spacing w:before="100"/>
        <w:rPr>
          <w:noProof w:val="0"/>
        </w:rPr>
      </w:pPr>
      <w:r w:rsidRPr="0062582F">
        <w:rPr>
          <w:noProof w:val="0"/>
        </w:rPr>
        <w:br w:type="column"/>
      </w:r>
      <w:r w:rsidRPr="0062582F">
        <w:rPr>
          <w:noProof w:val="0"/>
        </w:rPr>
        <w:lastRenderedPageBreak/>
        <w:t>The GST component of cash flows arising from investing and financing activities which is recoverable from, or payable to, the taxation authority shall be classified as operating cash flows and will be included in receipts from customers or payments to suppliers, as appropriate.</w:t>
      </w:r>
    </w:p>
    <w:p w:rsidR="004843DB" w:rsidRPr="0062582F" w:rsidRDefault="004843DB" w:rsidP="004843DB">
      <w:pPr>
        <w:pStyle w:val="CommentaryText"/>
        <w:pBdr>
          <w:top w:val="none" w:sz="0" w:space="0" w:color="auto"/>
          <w:bottom w:val="none" w:sz="0" w:space="0" w:color="auto"/>
        </w:pBdr>
        <w:spacing w:before="100"/>
        <w:rPr>
          <w:noProof w:val="0"/>
        </w:rPr>
      </w:pPr>
      <w:r w:rsidRPr="0062582F">
        <w:rPr>
          <w:noProof w:val="0"/>
        </w:rPr>
        <w:t xml:space="preserve">Some entities have experienced difficulty in adjusting net of GST income and expense amounts to GST inclusive amounts for cash flow statements. At the Urgent Issues Group (UIG) meeting in April 2001, UIG members agreed that it would be inappropriate to allow alternative approaches to the preparation of cash flow statements. Accordingly, the requirements of AASB Interpretation 1031 </w:t>
      </w:r>
      <w:r w:rsidRPr="0062582F">
        <w:rPr>
          <w:i/>
          <w:iCs/>
          <w:noProof w:val="0"/>
        </w:rPr>
        <w:t>Accounting for the Goods and Services Tax (GST)</w:t>
      </w:r>
      <w:r w:rsidRPr="0062582F">
        <w:rPr>
          <w:noProof w:val="0"/>
        </w:rPr>
        <w:t xml:space="preserve"> remain in force.</w:t>
      </w:r>
    </w:p>
    <w:p w:rsidR="004843DB" w:rsidRPr="0062582F" w:rsidRDefault="004843DB" w:rsidP="004843DB">
      <w:pPr>
        <w:pStyle w:val="CommentaryHeading1"/>
        <w:pBdr>
          <w:top w:val="none" w:sz="0" w:space="0" w:color="auto"/>
          <w:bottom w:val="none" w:sz="0" w:space="0" w:color="auto"/>
        </w:pBdr>
      </w:pPr>
      <w:r w:rsidRPr="0062582F">
        <w:t>Interest and dividends</w:t>
      </w:r>
    </w:p>
    <w:p w:rsidR="004843DB" w:rsidRPr="0062582F" w:rsidRDefault="004843DB" w:rsidP="004843DB">
      <w:pPr>
        <w:pStyle w:val="CommentaryText"/>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107.31</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Cash flows from interest and dividends received and paid shall each be disclosed separately. Each shall be classified in a consistent manner from period to period as operating, investing or financing activities.</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lastRenderedPageBreak/>
        <w:t>FRD 110</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An entity must classify interest paid and interest and dividends received as operating cash flows.</w:t>
      </w:r>
    </w:p>
    <w:p w:rsidR="004843DB" w:rsidRPr="0062582F" w:rsidRDefault="004843DB" w:rsidP="004843DB">
      <w:pPr>
        <w:pStyle w:val="CommentaryHeading1"/>
        <w:pBdr>
          <w:top w:val="none" w:sz="0" w:space="0" w:color="auto"/>
          <w:bottom w:val="none" w:sz="0" w:space="0" w:color="auto"/>
        </w:pBdr>
      </w:pPr>
      <w:r w:rsidRPr="0062582F">
        <w:t>Investments in subsidiaries, associates and joint ventures</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lastRenderedPageBreak/>
        <w:t>AASB </w:t>
      </w:r>
      <w:r w:rsidRPr="0062582F">
        <w:t>107</w:t>
      </w:r>
      <w:r w:rsidRPr="0062582F">
        <w:rPr>
          <w:lang w:val="en-AU"/>
        </w:rPr>
        <w:t>.37</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When accounting for an investment in an associate, a joint venture or a subsidiary using the equity or cost method, an investor restricts its reporting in the cash flow statement to the cash flows between itself and the investee, for example, to dividends and advances.</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lastRenderedPageBreak/>
        <w:t>AASB </w:t>
      </w:r>
      <w:r w:rsidRPr="0062582F">
        <w:rPr>
          <w:lang w:val="en-AU"/>
        </w:rPr>
        <w:t>107.38</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 xml:space="preserve">An entity that reports its interest in an associate or a joint venture using the equity method includes in its cash flow statement, the cash flows in respect of its investments in the associate or joint venture, and distributions and other payments or receipts between it and the associate or joint venture. </w:t>
      </w:r>
    </w:p>
    <w:p w:rsidR="004843DB" w:rsidRPr="0062582F" w:rsidRDefault="004843DB" w:rsidP="004843DB">
      <w:pPr>
        <w:pStyle w:val="CommentaryHeading1"/>
        <w:pBdr>
          <w:top w:val="none" w:sz="0" w:space="0" w:color="auto"/>
          <w:bottom w:val="none" w:sz="0" w:space="0" w:color="auto"/>
        </w:pBdr>
      </w:pPr>
      <w:r w:rsidRPr="0062582F">
        <w:t>Non</w:t>
      </w:r>
      <w:r w:rsidR="005A4BB0">
        <w:rPr>
          <w:noProof w:val="0"/>
        </w:rPr>
        <w:noBreakHyphen/>
      </w:r>
      <w:r w:rsidRPr="0062582F">
        <w:t>cash transactions</w:t>
      </w:r>
    </w:p>
    <w:p w:rsidR="004843DB" w:rsidRPr="0062582F" w:rsidRDefault="004843DB" w:rsidP="004843DB">
      <w:pPr>
        <w:pStyle w:val="CommentaryHeading1"/>
        <w:rPr>
          <w:rFonts w:ascii="Garamond" w:hAnsi="Garamond" w:cs="Times New Roman"/>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w:t>
      </w:r>
      <w:r w:rsidRPr="0062582F">
        <w:t>107</w:t>
      </w:r>
      <w:r w:rsidRPr="0062582F">
        <w:rPr>
          <w:lang w:val="en-AU"/>
        </w:rPr>
        <w:t>.43</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Investing and financing transactions that do not require the use of cash or cash equivalents shall be excluded from a cash flow statement. Such transactions shall be disclosed elsewhere in the financial statements in a way that provides all the relevant information about these investing and financing activities.</w:t>
      </w:r>
    </w:p>
    <w:p w:rsidR="004843DB" w:rsidRPr="0062582F" w:rsidRDefault="004843DB" w:rsidP="004843DB">
      <w:pPr>
        <w:pStyle w:val="CommentaryHeading1"/>
        <w:pBdr>
          <w:top w:val="none" w:sz="0" w:space="0" w:color="auto"/>
          <w:bottom w:val="none" w:sz="0" w:space="0" w:color="auto"/>
        </w:pBdr>
      </w:pPr>
      <w:r w:rsidRPr="0062582F">
        <w:t>Requirements not applicable to departments</w:t>
      </w:r>
    </w:p>
    <w:p w:rsidR="004843DB" w:rsidRPr="0062582F" w:rsidRDefault="004843DB" w:rsidP="004843DB">
      <w:pPr>
        <w:pStyle w:val="CommentaryHeading2"/>
        <w:spacing w:before="120"/>
      </w:pPr>
      <w:r w:rsidRPr="0062582F">
        <w:t>Taxes on income</w:t>
      </w:r>
    </w:p>
    <w:p w:rsidR="004843DB" w:rsidRPr="0062582F" w:rsidRDefault="004843DB" w:rsidP="004843DB">
      <w:pPr>
        <w:pStyle w:val="CommentaryText"/>
        <w:pBdr>
          <w:top w:val="none" w:sz="0" w:space="0" w:color="auto"/>
        </w:pBdr>
        <w:sectPr w:rsidR="004843DB" w:rsidRPr="0062582F" w:rsidSect="00190A01">
          <w:headerReference w:type="even" r:id="rId202"/>
          <w:headerReference w:type="default" r:id="rId203"/>
          <w:headerReference w:type="first" r:id="rId204"/>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w:t>
      </w:r>
      <w:r w:rsidRPr="0062582F">
        <w:t>107</w:t>
      </w:r>
      <w:r w:rsidRPr="0062582F">
        <w:rPr>
          <w:lang w:val="en-AU"/>
        </w:rPr>
        <w:t>.35</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The disclosure requirements on cash flows arising from taxes on income in accordance with paragraph 35, AASB 107, do not apply to departments.</w:t>
      </w:r>
    </w:p>
    <w:p w:rsidR="004843DB" w:rsidRPr="0062582F" w:rsidRDefault="004843DB" w:rsidP="004843DB">
      <w:pPr>
        <w:pStyle w:val="CommentaryText"/>
        <w:pBdr>
          <w:top w:val="none" w:sz="0" w:space="0" w:color="auto"/>
        </w:pBdr>
      </w:pPr>
      <w:r w:rsidRPr="0062582F">
        <w:t>Please note: entities exposed to National Tax Equivalent Regime are still required to disclose this. Only departments are exempted.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Heading1Pt3"/>
      </w:pPr>
      <w:r w:rsidRPr="0062582F">
        <w:br w:type="column"/>
      </w:r>
      <w:bookmarkStart w:id="281" w:name="_Toc353958201"/>
      <w:bookmarkStart w:id="282" w:name="_Toc353964849"/>
      <w:bookmarkStart w:id="283" w:name="_Toc388277748"/>
      <w:bookmarkStart w:id="284" w:name="_Toc416691917"/>
      <w:bookmarkStart w:id="285" w:name="_Toc448493014"/>
      <w:bookmarkStart w:id="286" w:name="_Toc166471858"/>
      <w:bookmarkStart w:id="287" w:name="_Toc215478976"/>
      <w:bookmarkStart w:id="288" w:name="_Toc215544626"/>
      <w:bookmarkStart w:id="289" w:name="_Toc331754633"/>
      <w:bookmarkStart w:id="290" w:name="_Toc332019432"/>
      <w:bookmarkStart w:id="291" w:name="_Toc350413474"/>
      <w:r w:rsidRPr="0062582F">
        <w:lastRenderedPageBreak/>
        <w:t>Notes to the financial statements</w:t>
      </w:r>
      <w:bookmarkEnd w:id="281"/>
      <w:bookmarkEnd w:id="282"/>
      <w:bookmarkEnd w:id="283"/>
      <w:bookmarkEnd w:id="284"/>
      <w:bookmarkEnd w:id="285"/>
    </w:p>
    <w:p w:rsidR="004843DB" w:rsidRPr="0062582F" w:rsidRDefault="004843DB" w:rsidP="004843DB">
      <w:pPr>
        <w:pStyle w:val="NotesBlue"/>
        <w:rPr>
          <w:lang w:eastAsia="en-US"/>
        </w:rPr>
      </w:pPr>
      <w:r w:rsidRPr="0062582F">
        <w:rPr>
          <w:lang w:eastAsia="en-US"/>
        </w:rPr>
        <w:t>[Notes disclosed below are example notes only. Omit those that are not relevant or include any others that are relevant.]</w:t>
      </w:r>
    </w:p>
    <w:p w:rsidR="004843DB" w:rsidRPr="0062582F" w:rsidRDefault="004843DB" w:rsidP="004843DB">
      <w:pPr>
        <w:rPr>
          <w:rFonts w:eastAsia="Times New Roman" w:cs="Times New Roman"/>
          <w:sz w:val="4"/>
          <w:szCs w:val="4"/>
          <w:lang w:eastAsia="en-US"/>
        </w:rPr>
      </w:pPr>
    </w:p>
    <w:p w:rsidR="004843DB" w:rsidRDefault="004843DB" w:rsidP="001C05C4">
      <w:pPr>
        <w:pStyle w:val="TOC4"/>
        <w:rPr>
          <w:rFonts w:asciiTheme="minorHAnsi" w:eastAsiaTheme="minorEastAsia" w:hAnsiTheme="minorHAnsi" w:cstheme="minorBidi"/>
          <w:sz w:val="22"/>
          <w:szCs w:val="22"/>
        </w:rPr>
      </w:pPr>
      <w:r w:rsidRPr="0062582F">
        <w:rPr>
          <w:rFonts w:eastAsia="Times New Roman"/>
          <w:lang w:eastAsia="en-US"/>
        </w:rPr>
        <w:fldChar w:fldCharType="begin" w:fldLock="1"/>
      </w:r>
      <w:r w:rsidRPr="0062582F">
        <w:rPr>
          <w:rFonts w:eastAsia="Times New Roman"/>
          <w:lang w:eastAsia="en-US"/>
        </w:rPr>
        <w:instrText xml:space="preserve"> </w:instrText>
      </w:r>
      <w:r w:rsidRPr="0062582F">
        <w:rPr>
          <w:rFonts w:ascii="Times New Roman" w:eastAsia="Times New Roman" w:hAnsi="Times New Roman" w:cs="Times New Roman"/>
          <w:lang w:eastAsia="en-US"/>
        </w:rPr>
        <w:instrText>TOC \h \z \t "NoteHeading,4</w:instrText>
      </w:r>
      <w:r w:rsidRPr="0062582F">
        <w:rPr>
          <w:rFonts w:eastAsia="Times New Roman"/>
          <w:lang w:eastAsia="en-US"/>
        </w:rPr>
        <w:instrText xml:space="preserve"> </w:instrText>
      </w:r>
      <w:r w:rsidRPr="0062582F">
        <w:rPr>
          <w:rFonts w:eastAsia="Times New Roman"/>
          <w:lang w:eastAsia="en-US"/>
        </w:rPr>
        <w:fldChar w:fldCharType="separate"/>
      </w:r>
      <w:hyperlink w:anchor="_Toc448157180" w:history="1">
        <w:r w:rsidRPr="00343790">
          <w:rPr>
            <w:rStyle w:val="Hyperlink"/>
          </w:rPr>
          <w:t>Note 1.</w:t>
        </w:r>
        <w:r>
          <w:rPr>
            <w:rFonts w:asciiTheme="minorHAnsi" w:eastAsiaTheme="minorEastAsia" w:hAnsiTheme="minorHAnsi" w:cstheme="minorBidi"/>
            <w:sz w:val="22"/>
            <w:szCs w:val="22"/>
          </w:rPr>
          <w:tab/>
        </w:r>
        <w:r w:rsidRPr="00343790">
          <w:rPr>
            <w:rStyle w:val="Hyperlink"/>
          </w:rPr>
          <w:t>Summary of significant accounting policies</w:t>
        </w:r>
        <w:r>
          <w:rPr>
            <w:webHidden/>
          </w:rPr>
          <w:tab/>
        </w:r>
        <w:r>
          <w:rPr>
            <w:webHidden/>
          </w:rPr>
          <w:fldChar w:fldCharType="begin" w:fldLock="1"/>
        </w:r>
        <w:r>
          <w:rPr>
            <w:webHidden/>
          </w:rPr>
          <w:instrText xml:space="preserve"> PAGEREF _Toc448157180 \h </w:instrText>
        </w:r>
        <w:r>
          <w:rPr>
            <w:webHidden/>
          </w:rPr>
        </w:r>
        <w:r>
          <w:rPr>
            <w:webHidden/>
          </w:rPr>
          <w:fldChar w:fldCharType="separate"/>
        </w:r>
        <w:r>
          <w:rPr>
            <w:webHidden/>
          </w:rPr>
          <w:t>103</w:t>
        </w:r>
        <w:r>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81" w:history="1">
        <w:r w:rsidR="004843DB" w:rsidRPr="00343790">
          <w:rPr>
            <w:rStyle w:val="Hyperlink"/>
          </w:rPr>
          <w:t>Note 2.</w:t>
        </w:r>
        <w:r w:rsidR="004843DB">
          <w:rPr>
            <w:rFonts w:asciiTheme="minorHAnsi" w:eastAsiaTheme="minorEastAsia" w:hAnsiTheme="minorHAnsi" w:cstheme="minorBidi"/>
            <w:sz w:val="22"/>
            <w:szCs w:val="22"/>
          </w:rPr>
          <w:tab/>
        </w:r>
        <w:r w:rsidR="004843DB" w:rsidRPr="00343790">
          <w:rPr>
            <w:rStyle w:val="Hyperlink"/>
          </w:rPr>
          <w:t>Departmental (controlled) outputs</w:t>
        </w:r>
        <w:r w:rsidR="004843DB">
          <w:rPr>
            <w:webHidden/>
          </w:rPr>
          <w:tab/>
        </w:r>
        <w:r w:rsidR="004843DB">
          <w:rPr>
            <w:webHidden/>
          </w:rPr>
          <w:fldChar w:fldCharType="begin" w:fldLock="1"/>
        </w:r>
        <w:r w:rsidR="004843DB">
          <w:rPr>
            <w:webHidden/>
          </w:rPr>
          <w:instrText xml:space="preserve"> PAGEREF _Toc448157181 \h </w:instrText>
        </w:r>
        <w:r w:rsidR="004843DB">
          <w:rPr>
            <w:webHidden/>
          </w:rPr>
        </w:r>
        <w:r w:rsidR="004843DB">
          <w:rPr>
            <w:webHidden/>
          </w:rPr>
          <w:fldChar w:fldCharType="separate"/>
        </w:r>
        <w:r w:rsidR="004843DB">
          <w:rPr>
            <w:webHidden/>
          </w:rPr>
          <w:t>141</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82" w:history="1">
        <w:r w:rsidR="004843DB" w:rsidRPr="00343790">
          <w:rPr>
            <w:rStyle w:val="Hyperlink"/>
          </w:rPr>
          <w:t>Note 3.</w:t>
        </w:r>
        <w:r w:rsidR="004843DB">
          <w:rPr>
            <w:rFonts w:asciiTheme="minorHAnsi" w:eastAsiaTheme="minorEastAsia" w:hAnsiTheme="minorHAnsi" w:cstheme="minorBidi"/>
            <w:sz w:val="22"/>
            <w:szCs w:val="22"/>
          </w:rPr>
          <w:tab/>
        </w:r>
        <w:r w:rsidR="004843DB" w:rsidRPr="00343790">
          <w:rPr>
            <w:rStyle w:val="Hyperlink"/>
          </w:rPr>
          <w:t>Administered (non</w:t>
        </w:r>
        <w:r w:rsidR="005A4BB0">
          <w:rPr>
            <w:rStyle w:val="Hyperlink"/>
          </w:rPr>
          <w:noBreakHyphen/>
        </w:r>
        <w:r w:rsidR="004843DB" w:rsidRPr="00343790">
          <w:rPr>
            <w:rStyle w:val="Hyperlink"/>
          </w:rPr>
          <w:t>controlled) items</w:t>
        </w:r>
        <w:r w:rsidR="004843DB">
          <w:rPr>
            <w:webHidden/>
          </w:rPr>
          <w:tab/>
        </w:r>
        <w:r w:rsidR="004843DB">
          <w:rPr>
            <w:webHidden/>
          </w:rPr>
          <w:fldChar w:fldCharType="begin" w:fldLock="1"/>
        </w:r>
        <w:r w:rsidR="004843DB">
          <w:rPr>
            <w:webHidden/>
          </w:rPr>
          <w:instrText xml:space="preserve"> PAGEREF _Toc448157182 \h </w:instrText>
        </w:r>
        <w:r w:rsidR="004843DB">
          <w:rPr>
            <w:webHidden/>
          </w:rPr>
        </w:r>
        <w:r w:rsidR="004843DB">
          <w:rPr>
            <w:webHidden/>
          </w:rPr>
          <w:fldChar w:fldCharType="separate"/>
        </w:r>
        <w:r w:rsidR="004843DB">
          <w:rPr>
            <w:webHidden/>
          </w:rPr>
          <w:t>148</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83" w:history="1">
        <w:r w:rsidR="004843DB" w:rsidRPr="00343790">
          <w:rPr>
            <w:rStyle w:val="Hyperlink"/>
          </w:rPr>
          <w:t xml:space="preserve">Note 4. </w:t>
        </w:r>
        <w:r w:rsidR="004843DB">
          <w:rPr>
            <w:rFonts w:asciiTheme="minorHAnsi" w:eastAsiaTheme="minorEastAsia" w:hAnsiTheme="minorHAnsi" w:cstheme="minorBidi"/>
            <w:sz w:val="22"/>
            <w:szCs w:val="22"/>
          </w:rPr>
          <w:tab/>
        </w:r>
        <w:r w:rsidR="004843DB" w:rsidRPr="00343790">
          <w:rPr>
            <w:rStyle w:val="Hyperlink"/>
          </w:rPr>
          <w:t>Income from transactions</w:t>
        </w:r>
        <w:r w:rsidR="004843DB">
          <w:rPr>
            <w:webHidden/>
          </w:rPr>
          <w:tab/>
        </w:r>
        <w:r w:rsidR="004843DB">
          <w:rPr>
            <w:webHidden/>
          </w:rPr>
          <w:fldChar w:fldCharType="begin" w:fldLock="1"/>
        </w:r>
        <w:r w:rsidR="004843DB">
          <w:rPr>
            <w:webHidden/>
          </w:rPr>
          <w:instrText xml:space="preserve"> PAGEREF _Toc448157183 \h </w:instrText>
        </w:r>
        <w:r w:rsidR="004843DB">
          <w:rPr>
            <w:webHidden/>
          </w:rPr>
        </w:r>
        <w:r w:rsidR="004843DB">
          <w:rPr>
            <w:webHidden/>
          </w:rPr>
          <w:fldChar w:fldCharType="separate"/>
        </w:r>
        <w:r w:rsidR="004843DB">
          <w:rPr>
            <w:webHidden/>
          </w:rPr>
          <w:t>153</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84" w:history="1">
        <w:r w:rsidR="004843DB" w:rsidRPr="00343790">
          <w:rPr>
            <w:rStyle w:val="Hyperlink"/>
          </w:rPr>
          <w:t>Note 5.</w:t>
        </w:r>
        <w:r w:rsidR="004843DB">
          <w:rPr>
            <w:rFonts w:asciiTheme="minorHAnsi" w:eastAsiaTheme="minorEastAsia" w:hAnsiTheme="minorHAnsi" w:cstheme="minorBidi"/>
            <w:sz w:val="22"/>
            <w:szCs w:val="22"/>
          </w:rPr>
          <w:tab/>
        </w:r>
        <w:r w:rsidR="004843DB" w:rsidRPr="00343790">
          <w:rPr>
            <w:rStyle w:val="Hyperlink"/>
          </w:rPr>
          <w:t>Expenses from transactions</w:t>
        </w:r>
        <w:r w:rsidR="004843DB">
          <w:rPr>
            <w:webHidden/>
          </w:rPr>
          <w:tab/>
        </w:r>
        <w:r w:rsidR="004843DB">
          <w:rPr>
            <w:webHidden/>
          </w:rPr>
          <w:fldChar w:fldCharType="begin" w:fldLock="1"/>
        </w:r>
        <w:r w:rsidR="004843DB">
          <w:rPr>
            <w:webHidden/>
          </w:rPr>
          <w:instrText xml:space="preserve"> PAGEREF _Toc448157184 \h </w:instrText>
        </w:r>
        <w:r w:rsidR="004843DB">
          <w:rPr>
            <w:webHidden/>
          </w:rPr>
        </w:r>
        <w:r w:rsidR="004843DB">
          <w:rPr>
            <w:webHidden/>
          </w:rPr>
          <w:fldChar w:fldCharType="separate"/>
        </w:r>
        <w:r w:rsidR="004843DB">
          <w:rPr>
            <w:webHidden/>
          </w:rPr>
          <w:t>156</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85" w:history="1">
        <w:r w:rsidR="004843DB" w:rsidRPr="00343790">
          <w:rPr>
            <w:rStyle w:val="Hyperlink"/>
          </w:rPr>
          <w:t>Note 6.</w:t>
        </w:r>
        <w:r w:rsidR="004843DB">
          <w:rPr>
            <w:rFonts w:asciiTheme="minorHAnsi" w:eastAsiaTheme="minorEastAsia" w:hAnsiTheme="minorHAnsi" w:cstheme="minorBidi"/>
            <w:sz w:val="22"/>
            <w:szCs w:val="22"/>
          </w:rPr>
          <w:tab/>
        </w:r>
        <w:r w:rsidR="004843DB" w:rsidRPr="00343790">
          <w:rPr>
            <w:rStyle w:val="Hyperlink"/>
          </w:rPr>
          <w:t>Other economic flows included in net result</w:t>
        </w:r>
        <w:r w:rsidR="004843DB">
          <w:rPr>
            <w:webHidden/>
          </w:rPr>
          <w:tab/>
        </w:r>
        <w:r w:rsidR="004843DB">
          <w:rPr>
            <w:webHidden/>
          </w:rPr>
          <w:fldChar w:fldCharType="begin" w:fldLock="1"/>
        </w:r>
        <w:r w:rsidR="004843DB">
          <w:rPr>
            <w:webHidden/>
          </w:rPr>
          <w:instrText xml:space="preserve"> PAGEREF _Toc448157185 \h </w:instrText>
        </w:r>
        <w:r w:rsidR="004843DB">
          <w:rPr>
            <w:webHidden/>
          </w:rPr>
        </w:r>
        <w:r w:rsidR="004843DB">
          <w:rPr>
            <w:webHidden/>
          </w:rPr>
          <w:fldChar w:fldCharType="separate"/>
        </w:r>
        <w:r w:rsidR="004843DB">
          <w:rPr>
            <w:webHidden/>
          </w:rPr>
          <w:t>159</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86" w:history="1">
        <w:r w:rsidR="004843DB" w:rsidRPr="00343790">
          <w:rPr>
            <w:rStyle w:val="Hyperlink"/>
          </w:rPr>
          <w:t>Note 7.</w:t>
        </w:r>
        <w:r w:rsidR="004843DB">
          <w:rPr>
            <w:rFonts w:asciiTheme="minorHAnsi" w:eastAsiaTheme="minorEastAsia" w:hAnsiTheme="minorHAnsi" w:cstheme="minorBidi"/>
            <w:sz w:val="22"/>
            <w:szCs w:val="22"/>
          </w:rPr>
          <w:tab/>
        </w:r>
        <w:r w:rsidR="004843DB" w:rsidRPr="00343790">
          <w:rPr>
            <w:rStyle w:val="Hyperlink"/>
          </w:rPr>
          <w:t>Revision of accounting estimates</w:t>
        </w:r>
        <w:r w:rsidR="004843DB">
          <w:rPr>
            <w:webHidden/>
          </w:rPr>
          <w:tab/>
        </w:r>
        <w:r w:rsidR="004843DB">
          <w:rPr>
            <w:webHidden/>
          </w:rPr>
          <w:fldChar w:fldCharType="begin" w:fldLock="1"/>
        </w:r>
        <w:r w:rsidR="004843DB">
          <w:rPr>
            <w:webHidden/>
          </w:rPr>
          <w:instrText xml:space="preserve"> PAGEREF _Toc448157186 \h </w:instrText>
        </w:r>
        <w:r w:rsidR="004843DB">
          <w:rPr>
            <w:webHidden/>
          </w:rPr>
        </w:r>
        <w:r w:rsidR="004843DB">
          <w:rPr>
            <w:webHidden/>
          </w:rPr>
          <w:fldChar w:fldCharType="separate"/>
        </w:r>
        <w:r w:rsidR="004843DB">
          <w:rPr>
            <w:webHidden/>
          </w:rPr>
          <w:t>160</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87" w:history="1">
        <w:r w:rsidR="004843DB" w:rsidRPr="00343790">
          <w:rPr>
            <w:rStyle w:val="Hyperlink"/>
          </w:rPr>
          <w:t>Note 8.</w:t>
        </w:r>
        <w:r w:rsidR="004843DB">
          <w:rPr>
            <w:rFonts w:asciiTheme="minorHAnsi" w:eastAsiaTheme="minorEastAsia" w:hAnsiTheme="minorHAnsi" w:cstheme="minorBidi"/>
            <w:sz w:val="22"/>
            <w:szCs w:val="22"/>
          </w:rPr>
          <w:tab/>
        </w:r>
        <w:r w:rsidR="004843DB" w:rsidRPr="00343790">
          <w:rPr>
            <w:rStyle w:val="Hyperlink"/>
          </w:rPr>
          <w:t>Correction of a prior period error</w:t>
        </w:r>
        <w:r w:rsidR="004843DB">
          <w:rPr>
            <w:webHidden/>
          </w:rPr>
          <w:tab/>
        </w:r>
        <w:r w:rsidR="004843DB">
          <w:rPr>
            <w:webHidden/>
          </w:rPr>
          <w:fldChar w:fldCharType="begin" w:fldLock="1"/>
        </w:r>
        <w:r w:rsidR="004843DB">
          <w:rPr>
            <w:webHidden/>
          </w:rPr>
          <w:instrText xml:space="preserve"> PAGEREF _Toc448157187 \h </w:instrText>
        </w:r>
        <w:r w:rsidR="004843DB">
          <w:rPr>
            <w:webHidden/>
          </w:rPr>
        </w:r>
        <w:r w:rsidR="004843DB">
          <w:rPr>
            <w:webHidden/>
          </w:rPr>
          <w:fldChar w:fldCharType="separate"/>
        </w:r>
        <w:r w:rsidR="004843DB">
          <w:rPr>
            <w:webHidden/>
          </w:rPr>
          <w:t>161</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88" w:history="1">
        <w:r w:rsidR="004843DB" w:rsidRPr="00343790">
          <w:rPr>
            <w:rStyle w:val="Hyperlink"/>
          </w:rPr>
          <w:t>Note 9.</w:t>
        </w:r>
        <w:r w:rsidR="004843DB">
          <w:rPr>
            <w:rFonts w:asciiTheme="minorHAnsi" w:eastAsiaTheme="minorEastAsia" w:hAnsiTheme="minorHAnsi" w:cstheme="minorBidi"/>
            <w:sz w:val="22"/>
            <w:szCs w:val="22"/>
          </w:rPr>
          <w:tab/>
        </w:r>
        <w:r w:rsidR="004843DB" w:rsidRPr="00343790">
          <w:rPr>
            <w:rStyle w:val="Hyperlink"/>
          </w:rPr>
          <w:t>Restructuring of administrative arrangements</w:t>
        </w:r>
        <w:r w:rsidR="004843DB">
          <w:rPr>
            <w:webHidden/>
          </w:rPr>
          <w:tab/>
        </w:r>
        <w:r w:rsidR="004843DB">
          <w:rPr>
            <w:webHidden/>
          </w:rPr>
          <w:fldChar w:fldCharType="begin" w:fldLock="1"/>
        </w:r>
        <w:r w:rsidR="004843DB">
          <w:rPr>
            <w:webHidden/>
          </w:rPr>
          <w:instrText xml:space="preserve"> PAGEREF _Toc448157188 \h </w:instrText>
        </w:r>
        <w:r w:rsidR="004843DB">
          <w:rPr>
            <w:webHidden/>
          </w:rPr>
        </w:r>
        <w:r w:rsidR="004843DB">
          <w:rPr>
            <w:webHidden/>
          </w:rPr>
          <w:fldChar w:fldCharType="separate"/>
        </w:r>
        <w:r w:rsidR="004843DB">
          <w:rPr>
            <w:webHidden/>
          </w:rPr>
          <w:t>166</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89" w:history="1">
        <w:r w:rsidR="004843DB" w:rsidRPr="00343790">
          <w:rPr>
            <w:rStyle w:val="Hyperlink"/>
          </w:rPr>
          <w:t>Note 10.</w:t>
        </w:r>
        <w:r w:rsidR="004843DB">
          <w:rPr>
            <w:rFonts w:asciiTheme="minorHAnsi" w:eastAsiaTheme="minorEastAsia" w:hAnsiTheme="minorHAnsi" w:cstheme="minorBidi"/>
            <w:sz w:val="22"/>
            <w:szCs w:val="22"/>
          </w:rPr>
          <w:tab/>
        </w:r>
        <w:r w:rsidR="004843DB" w:rsidRPr="00343790">
          <w:rPr>
            <w:rStyle w:val="Hyperlink"/>
          </w:rPr>
          <w:t>Discontinued operations</w:t>
        </w:r>
        <w:r w:rsidR="004843DB">
          <w:rPr>
            <w:webHidden/>
          </w:rPr>
          <w:tab/>
        </w:r>
        <w:r w:rsidR="004843DB">
          <w:rPr>
            <w:webHidden/>
          </w:rPr>
          <w:fldChar w:fldCharType="begin" w:fldLock="1"/>
        </w:r>
        <w:r w:rsidR="004843DB">
          <w:rPr>
            <w:webHidden/>
          </w:rPr>
          <w:instrText xml:space="preserve"> PAGEREF _Toc448157189 \h </w:instrText>
        </w:r>
        <w:r w:rsidR="004843DB">
          <w:rPr>
            <w:webHidden/>
          </w:rPr>
        </w:r>
        <w:r w:rsidR="004843DB">
          <w:rPr>
            <w:webHidden/>
          </w:rPr>
          <w:fldChar w:fldCharType="separate"/>
        </w:r>
        <w:r w:rsidR="004843DB">
          <w:rPr>
            <w:webHidden/>
          </w:rPr>
          <w:t>171</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90" w:history="1">
        <w:r w:rsidR="004843DB" w:rsidRPr="00343790">
          <w:rPr>
            <w:rStyle w:val="Hyperlink"/>
          </w:rPr>
          <w:t>Note 11.</w:t>
        </w:r>
        <w:r w:rsidR="004843DB">
          <w:rPr>
            <w:rFonts w:asciiTheme="minorHAnsi" w:eastAsiaTheme="minorEastAsia" w:hAnsiTheme="minorHAnsi" w:cstheme="minorBidi"/>
            <w:sz w:val="22"/>
            <w:szCs w:val="22"/>
          </w:rPr>
          <w:tab/>
        </w:r>
        <w:r w:rsidR="004843DB" w:rsidRPr="00343790">
          <w:rPr>
            <w:rStyle w:val="Hyperlink"/>
          </w:rPr>
          <w:t>Receivables</w:t>
        </w:r>
        <w:r w:rsidR="004843DB">
          <w:rPr>
            <w:webHidden/>
          </w:rPr>
          <w:tab/>
        </w:r>
        <w:r w:rsidR="004843DB">
          <w:rPr>
            <w:webHidden/>
          </w:rPr>
          <w:fldChar w:fldCharType="begin" w:fldLock="1"/>
        </w:r>
        <w:r w:rsidR="004843DB">
          <w:rPr>
            <w:webHidden/>
          </w:rPr>
          <w:instrText xml:space="preserve"> PAGEREF _Toc448157190 \h </w:instrText>
        </w:r>
        <w:r w:rsidR="004843DB">
          <w:rPr>
            <w:webHidden/>
          </w:rPr>
        </w:r>
        <w:r w:rsidR="004843DB">
          <w:rPr>
            <w:webHidden/>
          </w:rPr>
          <w:fldChar w:fldCharType="separate"/>
        </w:r>
        <w:r w:rsidR="004843DB">
          <w:rPr>
            <w:webHidden/>
          </w:rPr>
          <w:t>175</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91" w:history="1">
        <w:r w:rsidR="004843DB" w:rsidRPr="00343790">
          <w:rPr>
            <w:rStyle w:val="Hyperlink"/>
          </w:rPr>
          <w:t>Note 12.</w:t>
        </w:r>
        <w:r w:rsidR="004843DB">
          <w:rPr>
            <w:rFonts w:asciiTheme="minorHAnsi" w:eastAsiaTheme="minorEastAsia" w:hAnsiTheme="minorHAnsi" w:cstheme="minorBidi"/>
            <w:sz w:val="22"/>
            <w:szCs w:val="22"/>
          </w:rPr>
          <w:tab/>
        </w:r>
        <w:r w:rsidR="004843DB" w:rsidRPr="00343790">
          <w:rPr>
            <w:rStyle w:val="Hyperlink"/>
          </w:rPr>
          <w:t>Investments and other financial assets</w:t>
        </w:r>
        <w:r w:rsidR="004843DB">
          <w:rPr>
            <w:webHidden/>
          </w:rPr>
          <w:tab/>
        </w:r>
        <w:r w:rsidR="004843DB">
          <w:rPr>
            <w:webHidden/>
          </w:rPr>
          <w:fldChar w:fldCharType="begin" w:fldLock="1"/>
        </w:r>
        <w:r w:rsidR="004843DB">
          <w:rPr>
            <w:webHidden/>
          </w:rPr>
          <w:instrText xml:space="preserve"> PAGEREF _Toc448157191 \h </w:instrText>
        </w:r>
        <w:r w:rsidR="004843DB">
          <w:rPr>
            <w:webHidden/>
          </w:rPr>
        </w:r>
        <w:r w:rsidR="004843DB">
          <w:rPr>
            <w:webHidden/>
          </w:rPr>
          <w:fldChar w:fldCharType="separate"/>
        </w:r>
        <w:r w:rsidR="004843DB">
          <w:rPr>
            <w:webHidden/>
          </w:rPr>
          <w:t>178</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92" w:history="1">
        <w:r w:rsidR="004843DB" w:rsidRPr="00343790">
          <w:rPr>
            <w:rStyle w:val="Hyperlink"/>
          </w:rPr>
          <w:t>Note 13.</w:t>
        </w:r>
        <w:r w:rsidR="004843DB">
          <w:rPr>
            <w:rFonts w:asciiTheme="minorHAnsi" w:eastAsiaTheme="minorEastAsia" w:hAnsiTheme="minorHAnsi" w:cstheme="minorBidi"/>
            <w:sz w:val="22"/>
            <w:szCs w:val="22"/>
          </w:rPr>
          <w:tab/>
        </w:r>
        <w:r w:rsidR="004843DB" w:rsidRPr="00343790">
          <w:rPr>
            <w:rStyle w:val="Hyperlink"/>
          </w:rPr>
          <w:t>Investments accounted for using the equity method</w:t>
        </w:r>
        <w:r w:rsidR="004843DB">
          <w:rPr>
            <w:webHidden/>
          </w:rPr>
          <w:tab/>
        </w:r>
        <w:r w:rsidR="004843DB">
          <w:rPr>
            <w:webHidden/>
          </w:rPr>
          <w:fldChar w:fldCharType="begin" w:fldLock="1"/>
        </w:r>
        <w:r w:rsidR="004843DB">
          <w:rPr>
            <w:webHidden/>
          </w:rPr>
          <w:instrText xml:space="preserve"> PAGEREF _Toc448157192 \h </w:instrText>
        </w:r>
        <w:r w:rsidR="004843DB">
          <w:rPr>
            <w:webHidden/>
          </w:rPr>
        </w:r>
        <w:r w:rsidR="004843DB">
          <w:rPr>
            <w:webHidden/>
          </w:rPr>
          <w:fldChar w:fldCharType="separate"/>
        </w:r>
        <w:r w:rsidR="004843DB">
          <w:rPr>
            <w:webHidden/>
          </w:rPr>
          <w:t>179</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93" w:history="1">
        <w:r w:rsidR="004843DB" w:rsidRPr="00343790">
          <w:rPr>
            <w:rStyle w:val="Hyperlink"/>
          </w:rPr>
          <w:t>Note 14.</w:t>
        </w:r>
        <w:r w:rsidR="004843DB">
          <w:rPr>
            <w:rFonts w:asciiTheme="minorHAnsi" w:eastAsiaTheme="minorEastAsia" w:hAnsiTheme="minorHAnsi" w:cstheme="minorBidi"/>
            <w:sz w:val="22"/>
            <w:szCs w:val="22"/>
          </w:rPr>
          <w:tab/>
        </w:r>
        <w:r w:rsidR="004843DB" w:rsidRPr="00343790">
          <w:rPr>
            <w:rStyle w:val="Hyperlink"/>
          </w:rPr>
          <w:t>Interests in subsidiary and unconsolidated structured entities</w:t>
        </w:r>
        <w:r w:rsidR="004843DB">
          <w:rPr>
            <w:webHidden/>
          </w:rPr>
          <w:tab/>
        </w:r>
        <w:r w:rsidR="004843DB">
          <w:rPr>
            <w:webHidden/>
          </w:rPr>
          <w:fldChar w:fldCharType="begin" w:fldLock="1"/>
        </w:r>
        <w:r w:rsidR="004843DB">
          <w:rPr>
            <w:webHidden/>
          </w:rPr>
          <w:instrText xml:space="preserve"> PAGEREF _Toc448157193 \h </w:instrText>
        </w:r>
        <w:r w:rsidR="004843DB">
          <w:rPr>
            <w:webHidden/>
          </w:rPr>
        </w:r>
        <w:r w:rsidR="004843DB">
          <w:rPr>
            <w:webHidden/>
          </w:rPr>
          <w:fldChar w:fldCharType="separate"/>
        </w:r>
        <w:r w:rsidR="004843DB">
          <w:rPr>
            <w:webHidden/>
          </w:rPr>
          <w:t>185</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94" w:history="1">
        <w:r w:rsidR="004843DB" w:rsidRPr="00343790">
          <w:rPr>
            <w:rStyle w:val="Hyperlink"/>
          </w:rPr>
          <w:t>Note 15.</w:t>
        </w:r>
        <w:r w:rsidR="004843DB">
          <w:rPr>
            <w:rFonts w:asciiTheme="minorHAnsi" w:eastAsiaTheme="minorEastAsia" w:hAnsiTheme="minorHAnsi" w:cstheme="minorBidi"/>
            <w:sz w:val="22"/>
            <w:szCs w:val="22"/>
          </w:rPr>
          <w:tab/>
        </w:r>
        <w:r w:rsidR="004843DB" w:rsidRPr="00343790">
          <w:rPr>
            <w:rStyle w:val="Hyperlink"/>
          </w:rPr>
          <w:t>Non</w:t>
        </w:r>
        <w:r w:rsidR="005A4BB0">
          <w:rPr>
            <w:rStyle w:val="Hyperlink"/>
          </w:rPr>
          <w:noBreakHyphen/>
        </w:r>
        <w:r w:rsidR="004843DB" w:rsidRPr="00343790">
          <w:rPr>
            <w:rStyle w:val="Hyperlink"/>
          </w:rPr>
          <w:t>financial physical assets classified as held for sale including disposal group and directly associated liabilities</w:t>
        </w:r>
        <w:r w:rsidR="004843DB">
          <w:rPr>
            <w:webHidden/>
          </w:rPr>
          <w:tab/>
        </w:r>
        <w:r w:rsidR="004843DB">
          <w:rPr>
            <w:webHidden/>
          </w:rPr>
          <w:fldChar w:fldCharType="begin" w:fldLock="1"/>
        </w:r>
        <w:r w:rsidR="004843DB">
          <w:rPr>
            <w:webHidden/>
          </w:rPr>
          <w:instrText xml:space="preserve"> PAGEREF _Toc448157194 \h </w:instrText>
        </w:r>
        <w:r w:rsidR="004843DB">
          <w:rPr>
            <w:webHidden/>
          </w:rPr>
        </w:r>
        <w:r w:rsidR="004843DB">
          <w:rPr>
            <w:webHidden/>
          </w:rPr>
          <w:fldChar w:fldCharType="separate"/>
        </w:r>
        <w:r w:rsidR="004843DB">
          <w:rPr>
            <w:webHidden/>
          </w:rPr>
          <w:t>189</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95" w:history="1">
        <w:r w:rsidR="004843DB" w:rsidRPr="00343790">
          <w:rPr>
            <w:rStyle w:val="Hyperlink"/>
          </w:rPr>
          <w:t>Note 16.</w:t>
        </w:r>
        <w:r w:rsidR="004843DB">
          <w:rPr>
            <w:rFonts w:asciiTheme="minorHAnsi" w:eastAsiaTheme="minorEastAsia" w:hAnsiTheme="minorHAnsi" w:cstheme="minorBidi"/>
            <w:sz w:val="22"/>
            <w:szCs w:val="22"/>
          </w:rPr>
          <w:tab/>
        </w:r>
        <w:r w:rsidR="004843DB" w:rsidRPr="00343790">
          <w:rPr>
            <w:rStyle w:val="Hyperlink"/>
          </w:rPr>
          <w:t>Inventories</w:t>
        </w:r>
        <w:r w:rsidR="004843DB">
          <w:rPr>
            <w:webHidden/>
          </w:rPr>
          <w:tab/>
        </w:r>
        <w:r w:rsidR="004843DB">
          <w:rPr>
            <w:webHidden/>
          </w:rPr>
          <w:fldChar w:fldCharType="begin" w:fldLock="1"/>
        </w:r>
        <w:r w:rsidR="004843DB">
          <w:rPr>
            <w:webHidden/>
          </w:rPr>
          <w:instrText xml:space="preserve"> PAGEREF _Toc448157195 \h </w:instrText>
        </w:r>
        <w:r w:rsidR="004843DB">
          <w:rPr>
            <w:webHidden/>
          </w:rPr>
        </w:r>
        <w:r w:rsidR="004843DB">
          <w:rPr>
            <w:webHidden/>
          </w:rPr>
          <w:fldChar w:fldCharType="separate"/>
        </w:r>
        <w:r w:rsidR="004843DB">
          <w:rPr>
            <w:webHidden/>
          </w:rPr>
          <w:t>191</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96" w:history="1">
        <w:r w:rsidR="004843DB" w:rsidRPr="00343790">
          <w:rPr>
            <w:rStyle w:val="Hyperlink"/>
          </w:rPr>
          <w:t>Note 17.</w:t>
        </w:r>
        <w:r w:rsidR="004843DB">
          <w:rPr>
            <w:rFonts w:asciiTheme="minorHAnsi" w:eastAsiaTheme="minorEastAsia" w:hAnsiTheme="minorHAnsi" w:cstheme="minorBidi"/>
            <w:sz w:val="22"/>
            <w:szCs w:val="22"/>
          </w:rPr>
          <w:tab/>
        </w:r>
        <w:r w:rsidR="004843DB" w:rsidRPr="00343790">
          <w:rPr>
            <w:rStyle w:val="Hyperlink"/>
          </w:rPr>
          <w:t>Property, plant and equipment</w:t>
        </w:r>
        <w:r w:rsidR="004843DB">
          <w:rPr>
            <w:webHidden/>
          </w:rPr>
          <w:tab/>
        </w:r>
        <w:r w:rsidR="004843DB">
          <w:rPr>
            <w:webHidden/>
          </w:rPr>
          <w:fldChar w:fldCharType="begin" w:fldLock="1"/>
        </w:r>
        <w:r w:rsidR="004843DB">
          <w:rPr>
            <w:webHidden/>
          </w:rPr>
          <w:instrText xml:space="preserve"> PAGEREF _Toc448157196 \h </w:instrText>
        </w:r>
        <w:r w:rsidR="004843DB">
          <w:rPr>
            <w:webHidden/>
          </w:rPr>
        </w:r>
        <w:r w:rsidR="004843DB">
          <w:rPr>
            <w:webHidden/>
          </w:rPr>
          <w:fldChar w:fldCharType="separate"/>
        </w:r>
        <w:r w:rsidR="004843DB">
          <w:rPr>
            <w:webHidden/>
          </w:rPr>
          <w:t>192</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97" w:history="1">
        <w:r w:rsidR="004843DB" w:rsidRPr="00343790">
          <w:rPr>
            <w:rStyle w:val="Hyperlink"/>
          </w:rPr>
          <w:t>Note 18.</w:t>
        </w:r>
        <w:r w:rsidR="004843DB">
          <w:rPr>
            <w:rFonts w:asciiTheme="minorHAnsi" w:eastAsiaTheme="minorEastAsia" w:hAnsiTheme="minorHAnsi" w:cstheme="minorBidi"/>
            <w:sz w:val="22"/>
            <w:szCs w:val="22"/>
          </w:rPr>
          <w:tab/>
        </w:r>
        <w:r w:rsidR="004843DB" w:rsidRPr="00343790">
          <w:rPr>
            <w:rStyle w:val="Hyperlink"/>
          </w:rPr>
          <w:t>Biological assets</w:t>
        </w:r>
        <w:r w:rsidR="004843DB">
          <w:rPr>
            <w:webHidden/>
          </w:rPr>
          <w:tab/>
        </w:r>
        <w:r w:rsidR="004843DB">
          <w:rPr>
            <w:webHidden/>
          </w:rPr>
          <w:fldChar w:fldCharType="begin" w:fldLock="1"/>
        </w:r>
        <w:r w:rsidR="004843DB">
          <w:rPr>
            <w:webHidden/>
          </w:rPr>
          <w:instrText xml:space="preserve"> PAGEREF _Toc448157197 \h </w:instrText>
        </w:r>
        <w:r w:rsidR="004843DB">
          <w:rPr>
            <w:webHidden/>
          </w:rPr>
        </w:r>
        <w:r w:rsidR="004843DB">
          <w:rPr>
            <w:webHidden/>
          </w:rPr>
          <w:fldChar w:fldCharType="separate"/>
        </w:r>
        <w:r w:rsidR="004843DB">
          <w:rPr>
            <w:webHidden/>
          </w:rPr>
          <w:t>211</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98" w:history="1">
        <w:r w:rsidR="004843DB" w:rsidRPr="00343790">
          <w:rPr>
            <w:rStyle w:val="Hyperlink"/>
          </w:rPr>
          <w:t>Note 19.</w:t>
        </w:r>
        <w:r w:rsidR="004843DB">
          <w:rPr>
            <w:rFonts w:asciiTheme="minorHAnsi" w:eastAsiaTheme="minorEastAsia" w:hAnsiTheme="minorHAnsi" w:cstheme="minorBidi"/>
            <w:sz w:val="22"/>
            <w:szCs w:val="22"/>
          </w:rPr>
          <w:tab/>
        </w:r>
        <w:r w:rsidR="004843DB" w:rsidRPr="00343790">
          <w:rPr>
            <w:rStyle w:val="Hyperlink"/>
          </w:rPr>
          <w:t>Investment properties</w:t>
        </w:r>
        <w:r w:rsidR="004843DB">
          <w:rPr>
            <w:webHidden/>
          </w:rPr>
          <w:tab/>
        </w:r>
        <w:r w:rsidR="004843DB">
          <w:rPr>
            <w:webHidden/>
          </w:rPr>
          <w:fldChar w:fldCharType="begin" w:fldLock="1"/>
        </w:r>
        <w:r w:rsidR="004843DB">
          <w:rPr>
            <w:webHidden/>
          </w:rPr>
          <w:instrText xml:space="preserve"> PAGEREF _Toc448157198 \h </w:instrText>
        </w:r>
        <w:r w:rsidR="004843DB">
          <w:rPr>
            <w:webHidden/>
          </w:rPr>
        </w:r>
        <w:r w:rsidR="004843DB">
          <w:rPr>
            <w:webHidden/>
          </w:rPr>
          <w:fldChar w:fldCharType="separate"/>
        </w:r>
        <w:r w:rsidR="004843DB">
          <w:rPr>
            <w:webHidden/>
          </w:rPr>
          <w:t>214</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199" w:history="1">
        <w:r w:rsidR="004843DB" w:rsidRPr="00343790">
          <w:rPr>
            <w:rStyle w:val="Hyperlink"/>
          </w:rPr>
          <w:t>Note 20.</w:t>
        </w:r>
        <w:r w:rsidR="004843DB">
          <w:rPr>
            <w:rFonts w:asciiTheme="minorHAnsi" w:eastAsiaTheme="minorEastAsia" w:hAnsiTheme="minorHAnsi" w:cstheme="minorBidi"/>
            <w:sz w:val="22"/>
            <w:szCs w:val="22"/>
          </w:rPr>
          <w:tab/>
        </w:r>
        <w:r w:rsidR="004843DB" w:rsidRPr="00343790">
          <w:rPr>
            <w:rStyle w:val="Hyperlink"/>
          </w:rPr>
          <w:t>Intangible assets</w:t>
        </w:r>
        <w:r w:rsidR="004843DB">
          <w:rPr>
            <w:webHidden/>
          </w:rPr>
          <w:tab/>
        </w:r>
        <w:r w:rsidR="004843DB">
          <w:rPr>
            <w:webHidden/>
          </w:rPr>
          <w:fldChar w:fldCharType="begin" w:fldLock="1"/>
        </w:r>
        <w:r w:rsidR="004843DB">
          <w:rPr>
            <w:webHidden/>
          </w:rPr>
          <w:instrText xml:space="preserve"> PAGEREF _Toc448157199 \h </w:instrText>
        </w:r>
        <w:r w:rsidR="004843DB">
          <w:rPr>
            <w:webHidden/>
          </w:rPr>
        </w:r>
        <w:r w:rsidR="004843DB">
          <w:rPr>
            <w:webHidden/>
          </w:rPr>
          <w:fldChar w:fldCharType="separate"/>
        </w:r>
        <w:r w:rsidR="004843DB">
          <w:rPr>
            <w:webHidden/>
          </w:rPr>
          <w:t>218</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00" w:history="1">
        <w:r w:rsidR="004843DB" w:rsidRPr="00343790">
          <w:rPr>
            <w:rStyle w:val="Hyperlink"/>
          </w:rPr>
          <w:t>Note 21.</w:t>
        </w:r>
        <w:r w:rsidR="004843DB">
          <w:rPr>
            <w:rFonts w:asciiTheme="minorHAnsi" w:eastAsiaTheme="minorEastAsia" w:hAnsiTheme="minorHAnsi" w:cstheme="minorBidi"/>
            <w:sz w:val="22"/>
            <w:szCs w:val="22"/>
          </w:rPr>
          <w:tab/>
        </w:r>
        <w:r w:rsidR="004843DB" w:rsidRPr="00343790">
          <w:rPr>
            <w:rStyle w:val="Hyperlink"/>
          </w:rPr>
          <w:t>Other non</w:t>
        </w:r>
        <w:r w:rsidR="005A4BB0">
          <w:rPr>
            <w:rStyle w:val="Hyperlink"/>
          </w:rPr>
          <w:noBreakHyphen/>
        </w:r>
        <w:r w:rsidR="004843DB" w:rsidRPr="00343790">
          <w:rPr>
            <w:rStyle w:val="Hyperlink"/>
          </w:rPr>
          <w:t>financial assets</w:t>
        </w:r>
        <w:r w:rsidR="004843DB">
          <w:rPr>
            <w:webHidden/>
          </w:rPr>
          <w:tab/>
        </w:r>
        <w:r w:rsidR="004843DB">
          <w:rPr>
            <w:webHidden/>
          </w:rPr>
          <w:fldChar w:fldCharType="begin" w:fldLock="1"/>
        </w:r>
        <w:r w:rsidR="004843DB">
          <w:rPr>
            <w:webHidden/>
          </w:rPr>
          <w:instrText xml:space="preserve"> PAGEREF _Toc448157200 \h </w:instrText>
        </w:r>
        <w:r w:rsidR="004843DB">
          <w:rPr>
            <w:webHidden/>
          </w:rPr>
        </w:r>
        <w:r w:rsidR="004843DB">
          <w:rPr>
            <w:webHidden/>
          </w:rPr>
          <w:fldChar w:fldCharType="separate"/>
        </w:r>
        <w:r w:rsidR="004843DB">
          <w:rPr>
            <w:webHidden/>
          </w:rPr>
          <w:t>221</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01" w:history="1">
        <w:r w:rsidR="004843DB" w:rsidRPr="00343790">
          <w:rPr>
            <w:rStyle w:val="Hyperlink"/>
          </w:rPr>
          <w:t>Note 22.</w:t>
        </w:r>
        <w:r w:rsidR="004843DB">
          <w:rPr>
            <w:rFonts w:asciiTheme="minorHAnsi" w:eastAsiaTheme="minorEastAsia" w:hAnsiTheme="minorHAnsi" w:cstheme="minorBidi"/>
            <w:sz w:val="22"/>
            <w:szCs w:val="22"/>
          </w:rPr>
          <w:tab/>
        </w:r>
        <w:r w:rsidR="004843DB" w:rsidRPr="00343790">
          <w:rPr>
            <w:rStyle w:val="Hyperlink"/>
          </w:rPr>
          <w:t>Payables</w:t>
        </w:r>
        <w:r w:rsidR="004843DB">
          <w:rPr>
            <w:webHidden/>
          </w:rPr>
          <w:tab/>
        </w:r>
        <w:r w:rsidR="004843DB">
          <w:rPr>
            <w:webHidden/>
          </w:rPr>
          <w:fldChar w:fldCharType="begin" w:fldLock="1"/>
        </w:r>
        <w:r w:rsidR="004843DB">
          <w:rPr>
            <w:webHidden/>
          </w:rPr>
          <w:instrText xml:space="preserve"> PAGEREF _Toc448157201 \h </w:instrText>
        </w:r>
        <w:r w:rsidR="004843DB">
          <w:rPr>
            <w:webHidden/>
          </w:rPr>
        </w:r>
        <w:r w:rsidR="004843DB">
          <w:rPr>
            <w:webHidden/>
          </w:rPr>
          <w:fldChar w:fldCharType="separate"/>
        </w:r>
        <w:r w:rsidR="004843DB">
          <w:rPr>
            <w:webHidden/>
          </w:rPr>
          <w:t>222</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02" w:history="1">
        <w:r w:rsidR="004843DB" w:rsidRPr="00343790">
          <w:rPr>
            <w:rStyle w:val="Hyperlink"/>
          </w:rPr>
          <w:t>Note 23.</w:t>
        </w:r>
        <w:r w:rsidR="004843DB">
          <w:rPr>
            <w:rFonts w:asciiTheme="minorHAnsi" w:eastAsiaTheme="minorEastAsia" w:hAnsiTheme="minorHAnsi" w:cstheme="minorBidi"/>
            <w:sz w:val="22"/>
            <w:szCs w:val="22"/>
          </w:rPr>
          <w:tab/>
        </w:r>
        <w:r w:rsidR="004843DB" w:rsidRPr="00343790">
          <w:rPr>
            <w:rStyle w:val="Hyperlink"/>
          </w:rPr>
          <w:t>Borrowings</w:t>
        </w:r>
        <w:r w:rsidR="004843DB">
          <w:rPr>
            <w:webHidden/>
          </w:rPr>
          <w:tab/>
        </w:r>
        <w:r w:rsidR="004843DB">
          <w:rPr>
            <w:webHidden/>
          </w:rPr>
          <w:fldChar w:fldCharType="begin" w:fldLock="1"/>
        </w:r>
        <w:r w:rsidR="004843DB">
          <w:rPr>
            <w:webHidden/>
          </w:rPr>
          <w:instrText xml:space="preserve"> PAGEREF _Toc448157202 \h </w:instrText>
        </w:r>
        <w:r w:rsidR="004843DB">
          <w:rPr>
            <w:webHidden/>
          </w:rPr>
        </w:r>
        <w:r w:rsidR="004843DB">
          <w:rPr>
            <w:webHidden/>
          </w:rPr>
          <w:fldChar w:fldCharType="separate"/>
        </w:r>
        <w:r w:rsidR="004843DB">
          <w:rPr>
            <w:webHidden/>
          </w:rPr>
          <w:t>224</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03" w:history="1">
        <w:r w:rsidR="004843DB" w:rsidRPr="00343790">
          <w:rPr>
            <w:rStyle w:val="Hyperlink"/>
          </w:rPr>
          <w:t>Note 24.</w:t>
        </w:r>
        <w:r w:rsidR="004843DB">
          <w:rPr>
            <w:rFonts w:asciiTheme="minorHAnsi" w:eastAsiaTheme="minorEastAsia" w:hAnsiTheme="minorHAnsi" w:cstheme="minorBidi"/>
            <w:sz w:val="22"/>
            <w:szCs w:val="22"/>
          </w:rPr>
          <w:tab/>
        </w:r>
        <w:r w:rsidR="004843DB" w:rsidRPr="00343790">
          <w:rPr>
            <w:rStyle w:val="Hyperlink"/>
          </w:rPr>
          <w:t>Provisions</w:t>
        </w:r>
        <w:r w:rsidR="004843DB">
          <w:rPr>
            <w:webHidden/>
          </w:rPr>
          <w:tab/>
        </w:r>
        <w:r w:rsidR="004843DB">
          <w:rPr>
            <w:webHidden/>
          </w:rPr>
          <w:fldChar w:fldCharType="begin" w:fldLock="1"/>
        </w:r>
        <w:r w:rsidR="004843DB">
          <w:rPr>
            <w:webHidden/>
          </w:rPr>
          <w:instrText xml:space="preserve"> PAGEREF _Toc448157203 \h </w:instrText>
        </w:r>
        <w:r w:rsidR="004843DB">
          <w:rPr>
            <w:webHidden/>
          </w:rPr>
        </w:r>
        <w:r w:rsidR="004843DB">
          <w:rPr>
            <w:webHidden/>
          </w:rPr>
          <w:fldChar w:fldCharType="separate"/>
        </w:r>
        <w:r w:rsidR="004843DB">
          <w:rPr>
            <w:webHidden/>
          </w:rPr>
          <w:t>226</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04" w:history="1">
        <w:r w:rsidR="004843DB" w:rsidRPr="00343790">
          <w:rPr>
            <w:rStyle w:val="Hyperlink"/>
          </w:rPr>
          <w:t>Note 25.</w:t>
        </w:r>
        <w:r w:rsidR="004843DB">
          <w:rPr>
            <w:rFonts w:asciiTheme="minorHAnsi" w:eastAsiaTheme="minorEastAsia" w:hAnsiTheme="minorHAnsi" w:cstheme="minorBidi"/>
            <w:sz w:val="22"/>
            <w:szCs w:val="22"/>
          </w:rPr>
          <w:tab/>
        </w:r>
        <w:r w:rsidR="004843DB" w:rsidRPr="00343790">
          <w:rPr>
            <w:rStyle w:val="Hyperlink"/>
          </w:rPr>
          <w:t>Assets received as collateral</w:t>
        </w:r>
        <w:r w:rsidR="004843DB">
          <w:rPr>
            <w:webHidden/>
          </w:rPr>
          <w:tab/>
        </w:r>
        <w:r w:rsidR="004843DB">
          <w:rPr>
            <w:webHidden/>
          </w:rPr>
          <w:fldChar w:fldCharType="begin" w:fldLock="1"/>
        </w:r>
        <w:r w:rsidR="004843DB">
          <w:rPr>
            <w:webHidden/>
          </w:rPr>
          <w:instrText xml:space="preserve"> PAGEREF _Toc448157204 \h </w:instrText>
        </w:r>
        <w:r w:rsidR="004843DB">
          <w:rPr>
            <w:webHidden/>
          </w:rPr>
        </w:r>
        <w:r w:rsidR="004843DB">
          <w:rPr>
            <w:webHidden/>
          </w:rPr>
          <w:fldChar w:fldCharType="separate"/>
        </w:r>
        <w:r w:rsidR="004843DB">
          <w:rPr>
            <w:webHidden/>
          </w:rPr>
          <w:t>231</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05" w:history="1">
        <w:r w:rsidR="004843DB" w:rsidRPr="00343790">
          <w:rPr>
            <w:rStyle w:val="Hyperlink"/>
          </w:rPr>
          <w:t>Note 26.</w:t>
        </w:r>
        <w:r w:rsidR="004843DB">
          <w:rPr>
            <w:rFonts w:asciiTheme="minorHAnsi" w:eastAsiaTheme="minorEastAsia" w:hAnsiTheme="minorHAnsi" w:cstheme="minorBidi"/>
            <w:sz w:val="22"/>
            <w:szCs w:val="22"/>
          </w:rPr>
          <w:tab/>
        </w:r>
        <w:r w:rsidR="004843DB" w:rsidRPr="00343790">
          <w:rPr>
            <w:rStyle w:val="Hyperlink"/>
          </w:rPr>
          <w:t>Assets pledged as security</w:t>
        </w:r>
        <w:r w:rsidR="004843DB">
          <w:rPr>
            <w:webHidden/>
          </w:rPr>
          <w:tab/>
        </w:r>
        <w:r w:rsidR="004843DB">
          <w:rPr>
            <w:webHidden/>
          </w:rPr>
          <w:fldChar w:fldCharType="begin" w:fldLock="1"/>
        </w:r>
        <w:r w:rsidR="004843DB">
          <w:rPr>
            <w:webHidden/>
          </w:rPr>
          <w:instrText xml:space="preserve"> PAGEREF _Toc448157205 \h </w:instrText>
        </w:r>
        <w:r w:rsidR="004843DB">
          <w:rPr>
            <w:webHidden/>
          </w:rPr>
        </w:r>
        <w:r w:rsidR="004843DB">
          <w:rPr>
            <w:webHidden/>
          </w:rPr>
          <w:fldChar w:fldCharType="separate"/>
        </w:r>
        <w:r w:rsidR="004843DB">
          <w:rPr>
            <w:webHidden/>
          </w:rPr>
          <w:t>232</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06" w:history="1">
        <w:r w:rsidR="004843DB" w:rsidRPr="00343790">
          <w:rPr>
            <w:rStyle w:val="Hyperlink"/>
          </w:rPr>
          <w:t>Note 27.</w:t>
        </w:r>
        <w:r w:rsidR="004843DB">
          <w:rPr>
            <w:rFonts w:asciiTheme="minorHAnsi" w:eastAsiaTheme="minorEastAsia" w:hAnsiTheme="minorHAnsi" w:cstheme="minorBidi"/>
            <w:sz w:val="22"/>
            <w:szCs w:val="22"/>
          </w:rPr>
          <w:tab/>
        </w:r>
        <w:r w:rsidR="004843DB" w:rsidRPr="00343790">
          <w:rPr>
            <w:rStyle w:val="Hyperlink"/>
          </w:rPr>
          <w:t>Derecognition of financial assets</w:t>
        </w:r>
        <w:r w:rsidR="004843DB">
          <w:rPr>
            <w:webHidden/>
          </w:rPr>
          <w:tab/>
        </w:r>
        <w:r w:rsidR="004843DB">
          <w:rPr>
            <w:webHidden/>
          </w:rPr>
          <w:fldChar w:fldCharType="begin" w:fldLock="1"/>
        </w:r>
        <w:r w:rsidR="004843DB">
          <w:rPr>
            <w:webHidden/>
          </w:rPr>
          <w:instrText xml:space="preserve"> PAGEREF _Toc448157206 \h </w:instrText>
        </w:r>
        <w:r w:rsidR="004843DB">
          <w:rPr>
            <w:webHidden/>
          </w:rPr>
        </w:r>
        <w:r w:rsidR="004843DB">
          <w:rPr>
            <w:webHidden/>
          </w:rPr>
          <w:fldChar w:fldCharType="separate"/>
        </w:r>
        <w:r w:rsidR="004843DB">
          <w:rPr>
            <w:webHidden/>
          </w:rPr>
          <w:t>233</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07" w:history="1">
        <w:r w:rsidR="004843DB" w:rsidRPr="00343790">
          <w:rPr>
            <w:rStyle w:val="Hyperlink"/>
          </w:rPr>
          <w:t>Note 28.</w:t>
        </w:r>
        <w:r w:rsidR="004843DB">
          <w:rPr>
            <w:rFonts w:asciiTheme="minorHAnsi" w:eastAsiaTheme="minorEastAsia" w:hAnsiTheme="minorHAnsi" w:cstheme="minorBidi"/>
            <w:sz w:val="22"/>
            <w:szCs w:val="22"/>
          </w:rPr>
          <w:tab/>
        </w:r>
        <w:r w:rsidR="004843DB" w:rsidRPr="00343790">
          <w:rPr>
            <w:rStyle w:val="Hyperlink"/>
          </w:rPr>
          <w:t>Superannuation</w:t>
        </w:r>
        <w:r w:rsidR="004843DB">
          <w:rPr>
            <w:webHidden/>
          </w:rPr>
          <w:tab/>
        </w:r>
        <w:r w:rsidR="004843DB">
          <w:rPr>
            <w:webHidden/>
          </w:rPr>
          <w:fldChar w:fldCharType="begin" w:fldLock="1"/>
        </w:r>
        <w:r w:rsidR="004843DB">
          <w:rPr>
            <w:webHidden/>
          </w:rPr>
          <w:instrText xml:space="preserve"> PAGEREF _Toc448157207 \h </w:instrText>
        </w:r>
        <w:r w:rsidR="004843DB">
          <w:rPr>
            <w:webHidden/>
          </w:rPr>
        </w:r>
        <w:r w:rsidR="004843DB">
          <w:rPr>
            <w:webHidden/>
          </w:rPr>
          <w:fldChar w:fldCharType="separate"/>
        </w:r>
        <w:r w:rsidR="004843DB">
          <w:rPr>
            <w:webHidden/>
          </w:rPr>
          <w:t>234</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08" w:history="1">
        <w:r w:rsidR="004843DB" w:rsidRPr="00343790">
          <w:rPr>
            <w:rStyle w:val="Hyperlink"/>
          </w:rPr>
          <w:t>Note 29.</w:t>
        </w:r>
        <w:r w:rsidR="004843DB">
          <w:rPr>
            <w:rFonts w:asciiTheme="minorHAnsi" w:eastAsiaTheme="minorEastAsia" w:hAnsiTheme="minorHAnsi" w:cstheme="minorBidi"/>
            <w:sz w:val="22"/>
            <w:szCs w:val="22"/>
          </w:rPr>
          <w:tab/>
        </w:r>
        <w:r w:rsidR="004843DB" w:rsidRPr="00343790">
          <w:rPr>
            <w:rStyle w:val="Hyperlink"/>
          </w:rPr>
          <w:t>Other asset and liability disclosures</w:t>
        </w:r>
        <w:r w:rsidR="004843DB">
          <w:rPr>
            <w:webHidden/>
          </w:rPr>
          <w:tab/>
        </w:r>
        <w:r w:rsidR="004843DB">
          <w:rPr>
            <w:webHidden/>
          </w:rPr>
          <w:fldChar w:fldCharType="begin" w:fldLock="1"/>
        </w:r>
        <w:r w:rsidR="004843DB">
          <w:rPr>
            <w:webHidden/>
          </w:rPr>
          <w:instrText xml:space="preserve"> PAGEREF _Toc448157208 \h </w:instrText>
        </w:r>
        <w:r w:rsidR="004843DB">
          <w:rPr>
            <w:webHidden/>
          </w:rPr>
        </w:r>
        <w:r w:rsidR="004843DB">
          <w:rPr>
            <w:webHidden/>
          </w:rPr>
          <w:fldChar w:fldCharType="separate"/>
        </w:r>
        <w:r w:rsidR="004843DB">
          <w:rPr>
            <w:webHidden/>
          </w:rPr>
          <w:t>236</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09" w:history="1">
        <w:r w:rsidR="004843DB" w:rsidRPr="00343790">
          <w:rPr>
            <w:rStyle w:val="Hyperlink"/>
          </w:rPr>
          <w:t>Note 30.</w:t>
        </w:r>
        <w:r w:rsidR="004843DB">
          <w:rPr>
            <w:rFonts w:asciiTheme="minorHAnsi" w:eastAsiaTheme="minorEastAsia" w:hAnsiTheme="minorHAnsi" w:cstheme="minorBidi"/>
            <w:sz w:val="22"/>
            <w:szCs w:val="22"/>
          </w:rPr>
          <w:tab/>
        </w:r>
        <w:r w:rsidR="004843DB" w:rsidRPr="00343790">
          <w:rPr>
            <w:rStyle w:val="Hyperlink"/>
          </w:rPr>
          <w:t>Leases</w:t>
        </w:r>
        <w:r w:rsidR="004843DB">
          <w:rPr>
            <w:webHidden/>
          </w:rPr>
          <w:tab/>
        </w:r>
        <w:r w:rsidR="004843DB">
          <w:rPr>
            <w:webHidden/>
          </w:rPr>
          <w:fldChar w:fldCharType="begin" w:fldLock="1"/>
        </w:r>
        <w:r w:rsidR="004843DB">
          <w:rPr>
            <w:webHidden/>
          </w:rPr>
          <w:instrText xml:space="preserve"> PAGEREF _Toc448157209 \h </w:instrText>
        </w:r>
        <w:r w:rsidR="004843DB">
          <w:rPr>
            <w:webHidden/>
          </w:rPr>
        </w:r>
        <w:r w:rsidR="004843DB">
          <w:rPr>
            <w:webHidden/>
          </w:rPr>
          <w:fldChar w:fldCharType="separate"/>
        </w:r>
        <w:r w:rsidR="004843DB">
          <w:rPr>
            <w:webHidden/>
          </w:rPr>
          <w:t>236</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10" w:history="1">
        <w:r w:rsidR="004843DB" w:rsidRPr="00343790">
          <w:rPr>
            <w:rStyle w:val="Hyperlink"/>
          </w:rPr>
          <w:t>Note 31.</w:t>
        </w:r>
        <w:r w:rsidR="004843DB">
          <w:rPr>
            <w:rFonts w:asciiTheme="minorHAnsi" w:eastAsiaTheme="minorEastAsia" w:hAnsiTheme="minorHAnsi" w:cstheme="minorBidi"/>
            <w:sz w:val="22"/>
            <w:szCs w:val="22"/>
          </w:rPr>
          <w:tab/>
        </w:r>
        <w:r w:rsidR="004843DB" w:rsidRPr="00343790">
          <w:rPr>
            <w:rStyle w:val="Hyperlink"/>
          </w:rPr>
          <w:t>Commitments for expenditure</w:t>
        </w:r>
        <w:r w:rsidR="004843DB">
          <w:rPr>
            <w:webHidden/>
          </w:rPr>
          <w:tab/>
        </w:r>
        <w:r w:rsidR="004843DB">
          <w:rPr>
            <w:webHidden/>
          </w:rPr>
          <w:fldChar w:fldCharType="begin" w:fldLock="1"/>
        </w:r>
        <w:r w:rsidR="004843DB">
          <w:rPr>
            <w:webHidden/>
          </w:rPr>
          <w:instrText xml:space="preserve"> PAGEREF _Toc448157210 \h </w:instrText>
        </w:r>
        <w:r w:rsidR="004843DB">
          <w:rPr>
            <w:webHidden/>
          </w:rPr>
        </w:r>
        <w:r w:rsidR="004843DB">
          <w:rPr>
            <w:webHidden/>
          </w:rPr>
          <w:fldChar w:fldCharType="separate"/>
        </w:r>
        <w:r w:rsidR="004843DB">
          <w:rPr>
            <w:webHidden/>
          </w:rPr>
          <w:t>240</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11" w:history="1">
        <w:r w:rsidR="004843DB" w:rsidRPr="00343790">
          <w:rPr>
            <w:rStyle w:val="Hyperlink"/>
          </w:rPr>
          <w:t>Note 32.</w:t>
        </w:r>
        <w:r w:rsidR="004843DB">
          <w:rPr>
            <w:rFonts w:asciiTheme="minorHAnsi" w:eastAsiaTheme="minorEastAsia" w:hAnsiTheme="minorHAnsi" w:cstheme="minorBidi"/>
            <w:sz w:val="22"/>
            <w:szCs w:val="22"/>
          </w:rPr>
          <w:tab/>
        </w:r>
        <w:r w:rsidR="004843DB" w:rsidRPr="00343790">
          <w:rPr>
            <w:rStyle w:val="Hyperlink"/>
          </w:rPr>
          <w:t>Contingent assets and contingent liabilities</w:t>
        </w:r>
        <w:r w:rsidR="004843DB">
          <w:rPr>
            <w:webHidden/>
          </w:rPr>
          <w:tab/>
        </w:r>
        <w:r w:rsidR="004843DB">
          <w:rPr>
            <w:webHidden/>
          </w:rPr>
          <w:fldChar w:fldCharType="begin" w:fldLock="1"/>
        </w:r>
        <w:r w:rsidR="004843DB">
          <w:rPr>
            <w:webHidden/>
          </w:rPr>
          <w:instrText xml:space="preserve"> PAGEREF _Toc448157211 \h </w:instrText>
        </w:r>
        <w:r w:rsidR="004843DB">
          <w:rPr>
            <w:webHidden/>
          </w:rPr>
        </w:r>
        <w:r w:rsidR="004843DB">
          <w:rPr>
            <w:webHidden/>
          </w:rPr>
          <w:fldChar w:fldCharType="separate"/>
        </w:r>
        <w:r w:rsidR="004843DB">
          <w:rPr>
            <w:webHidden/>
          </w:rPr>
          <w:t>245</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12" w:history="1">
        <w:r w:rsidR="004843DB" w:rsidRPr="00343790">
          <w:rPr>
            <w:rStyle w:val="Hyperlink"/>
          </w:rPr>
          <w:t>Note 33.</w:t>
        </w:r>
        <w:r w:rsidR="004843DB">
          <w:rPr>
            <w:rFonts w:asciiTheme="minorHAnsi" w:eastAsiaTheme="minorEastAsia" w:hAnsiTheme="minorHAnsi" w:cstheme="minorBidi"/>
            <w:sz w:val="22"/>
            <w:szCs w:val="22"/>
          </w:rPr>
          <w:tab/>
        </w:r>
        <w:r w:rsidR="004843DB" w:rsidRPr="00343790">
          <w:rPr>
            <w:rStyle w:val="Hyperlink"/>
          </w:rPr>
          <w:t>Financial instruments</w:t>
        </w:r>
        <w:r w:rsidR="004843DB">
          <w:rPr>
            <w:webHidden/>
          </w:rPr>
          <w:tab/>
        </w:r>
        <w:r w:rsidR="004843DB">
          <w:rPr>
            <w:webHidden/>
          </w:rPr>
          <w:fldChar w:fldCharType="begin" w:fldLock="1"/>
        </w:r>
        <w:r w:rsidR="004843DB">
          <w:rPr>
            <w:webHidden/>
          </w:rPr>
          <w:instrText xml:space="preserve"> PAGEREF _Toc448157212 \h </w:instrText>
        </w:r>
        <w:r w:rsidR="004843DB">
          <w:rPr>
            <w:webHidden/>
          </w:rPr>
        </w:r>
        <w:r w:rsidR="004843DB">
          <w:rPr>
            <w:webHidden/>
          </w:rPr>
          <w:fldChar w:fldCharType="separate"/>
        </w:r>
        <w:r w:rsidR="004843DB">
          <w:rPr>
            <w:webHidden/>
          </w:rPr>
          <w:t>247</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13" w:history="1">
        <w:r w:rsidR="004843DB" w:rsidRPr="00343790">
          <w:rPr>
            <w:rStyle w:val="Hyperlink"/>
          </w:rPr>
          <w:t xml:space="preserve">Note 34. </w:t>
        </w:r>
        <w:r w:rsidR="004843DB">
          <w:rPr>
            <w:rFonts w:asciiTheme="minorHAnsi" w:eastAsiaTheme="minorEastAsia" w:hAnsiTheme="minorHAnsi" w:cstheme="minorBidi"/>
            <w:sz w:val="22"/>
            <w:szCs w:val="22"/>
          </w:rPr>
          <w:tab/>
        </w:r>
        <w:r w:rsidR="004843DB" w:rsidRPr="00343790">
          <w:rPr>
            <w:rStyle w:val="Hyperlink"/>
          </w:rPr>
          <w:t>Cash flow information</w:t>
        </w:r>
        <w:r w:rsidR="004843DB">
          <w:rPr>
            <w:webHidden/>
          </w:rPr>
          <w:tab/>
        </w:r>
        <w:r w:rsidR="004843DB">
          <w:rPr>
            <w:webHidden/>
          </w:rPr>
          <w:fldChar w:fldCharType="begin" w:fldLock="1"/>
        </w:r>
        <w:r w:rsidR="004843DB">
          <w:rPr>
            <w:webHidden/>
          </w:rPr>
          <w:instrText xml:space="preserve"> PAGEREF _Toc448157213 \h </w:instrText>
        </w:r>
        <w:r w:rsidR="004843DB">
          <w:rPr>
            <w:webHidden/>
          </w:rPr>
        </w:r>
        <w:r w:rsidR="004843DB">
          <w:rPr>
            <w:webHidden/>
          </w:rPr>
          <w:fldChar w:fldCharType="separate"/>
        </w:r>
        <w:r w:rsidR="004843DB">
          <w:rPr>
            <w:webHidden/>
          </w:rPr>
          <w:t>283</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14" w:history="1">
        <w:r w:rsidR="004843DB" w:rsidRPr="00343790">
          <w:rPr>
            <w:rStyle w:val="Hyperlink"/>
          </w:rPr>
          <w:t>Note 35.</w:t>
        </w:r>
        <w:r w:rsidR="004843DB">
          <w:rPr>
            <w:rFonts w:asciiTheme="minorHAnsi" w:eastAsiaTheme="minorEastAsia" w:hAnsiTheme="minorHAnsi" w:cstheme="minorBidi"/>
            <w:sz w:val="22"/>
            <w:szCs w:val="22"/>
          </w:rPr>
          <w:tab/>
        </w:r>
        <w:r w:rsidR="004843DB" w:rsidRPr="00343790">
          <w:rPr>
            <w:rStyle w:val="Hyperlink"/>
          </w:rPr>
          <w:t>Reserves</w:t>
        </w:r>
        <w:r w:rsidR="004843DB">
          <w:rPr>
            <w:webHidden/>
          </w:rPr>
          <w:tab/>
        </w:r>
        <w:r w:rsidR="004843DB">
          <w:rPr>
            <w:webHidden/>
          </w:rPr>
          <w:fldChar w:fldCharType="begin" w:fldLock="1"/>
        </w:r>
        <w:r w:rsidR="004843DB">
          <w:rPr>
            <w:webHidden/>
          </w:rPr>
          <w:instrText xml:space="preserve"> PAGEREF _Toc448157214 \h </w:instrText>
        </w:r>
        <w:r w:rsidR="004843DB">
          <w:rPr>
            <w:webHidden/>
          </w:rPr>
        </w:r>
        <w:r w:rsidR="004843DB">
          <w:rPr>
            <w:webHidden/>
          </w:rPr>
          <w:fldChar w:fldCharType="separate"/>
        </w:r>
        <w:r w:rsidR="004843DB">
          <w:rPr>
            <w:webHidden/>
          </w:rPr>
          <w:t>289</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15" w:history="1">
        <w:r w:rsidR="004843DB" w:rsidRPr="00343790">
          <w:rPr>
            <w:rStyle w:val="Hyperlink"/>
          </w:rPr>
          <w:t>Note 36.</w:t>
        </w:r>
        <w:r w:rsidR="004843DB">
          <w:rPr>
            <w:rFonts w:asciiTheme="minorHAnsi" w:eastAsiaTheme="minorEastAsia" w:hAnsiTheme="minorHAnsi" w:cstheme="minorBidi"/>
            <w:sz w:val="22"/>
            <w:szCs w:val="22"/>
          </w:rPr>
          <w:tab/>
        </w:r>
        <w:r w:rsidR="004843DB" w:rsidRPr="00343790">
          <w:rPr>
            <w:rStyle w:val="Hyperlink"/>
          </w:rPr>
          <w:t>Summary of compliance with annual Parliamentary and special appropriations</w:t>
        </w:r>
        <w:r w:rsidR="004843DB">
          <w:rPr>
            <w:webHidden/>
          </w:rPr>
          <w:tab/>
        </w:r>
        <w:r w:rsidR="004843DB">
          <w:rPr>
            <w:webHidden/>
          </w:rPr>
          <w:fldChar w:fldCharType="begin" w:fldLock="1"/>
        </w:r>
        <w:r w:rsidR="004843DB">
          <w:rPr>
            <w:webHidden/>
          </w:rPr>
          <w:instrText xml:space="preserve"> PAGEREF _Toc448157215 \h </w:instrText>
        </w:r>
        <w:r w:rsidR="004843DB">
          <w:rPr>
            <w:webHidden/>
          </w:rPr>
        </w:r>
        <w:r w:rsidR="004843DB">
          <w:rPr>
            <w:webHidden/>
          </w:rPr>
          <w:fldChar w:fldCharType="separate"/>
        </w:r>
        <w:r w:rsidR="004843DB">
          <w:rPr>
            <w:webHidden/>
          </w:rPr>
          <w:t>290</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16" w:history="1">
        <w:r w:rsidR="004843DB" w:rsidRPr="00343790">
          <w:rPr>
            <w:rStyle w:val="Hyperlink"/>
          </w:rPr>
          <w:t>Note 37.</w:t>
        </w:r>
        <w:r w:rsidR="004843DB">
          <w:rPr>
            <w:rFonts w:asciiTheme="minorHAnsi" w:eastAsiaTheme="minorEastAsia" w:hAnsiTheme="minorHAnsi" w:cstheme="minorBidi"/>
            <w:sz w:val="22"/>
            <w:szCs w:val="22"/>
          </w:rPr>
          <w:tab/>
        </w:r>
        <w:r w:rsidR="004843DB" w:rsidRPr="00343790">
          <w:rPr>
            <w:rStyle w:val="Hyperlink"/>
          </w:rPr>
          <w:t>Ex gratia expenses</w:t>
        </w:r>
        <w:r w:rsidR="004843DB" w:rsidRPr="00343790">
          <w:rPr>
            <w:rStyle w:val="Hyperlink"/>
            <w:vertAlign w:val="superscript"/>
          </w:rPr>
          <w:t>(i)</w:t>
        </w:r>
        <w:r w:rsidR="004843DB">
          <w:rPr>
            <w:webHidden/>
          </w:rPr>
          <w:tab/>
        </w:r>
        <w:r w:rsidR="004843DB">
          <w:rPr>
            <w:webHidden/>
          </w:rPr>
          <w:fldChar w:fldCharType="begin" w:fldLock="1"/>
        </w:r>
        <w:r w:rsidR="004843DB">
          <w:rPr>
            <w:webHidden/>
          </w:rPr>
          <w:instrText xml:space="preserve"> PAGEREF _Toc448157216 \h </w:instrText>
        </w:r>
        <w:r w:rsidR="004843DB">
          <w:rPr>
            <w:webHidden/>
          </w:rPr>
        </w:r>
        <w:r w:rsidR="004843DB">
          <w:rPr>
            <w:webHidden/>
          </w:rPr>
          <w:fldChar w:fldCharType="separate"/>
        </w:r>
        <w:r w:rsidR="004843DB">
          <w:rPr>
            <w:webHidden/>
          </w:rPr>
          <w:t>293</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17" w:history="1">
        <w:r w:rsidR="004843DB" w:rsidRPr="00343790">
          <w:rPr>
            <w:rStyle w:val="Hyperlink"/>
          </w:rPr>
          <w:t>Note 38.</w:t>
        </w:r>
        <w:r w:rsidR="004843DB">
          <w:rPr>
            <w:rFonts w:asciiTheme="minorHAnsi" w:eastAsiaTheme="minorEastAsia" w:hAnsiTheme="minorHAnsi" w:cstheme="minorBidi"/>
            <w:sz w:val="22"/>
            <w:szCs w:val="22"/>
          </w:rPr>
          <w:tab/>
        </w:r>
        <w:r w:rsidR="004843DB" w:rsidRPr="00343790">
          <w:rPr>
            <w:rStyle w:val="Hyperlink"/>
          </w:rPr>
          <w:t>Annotated income agreements</w:t>
        </w:r>
        <w:r w:rsidR="004843DB">
          <w:rPr>
            <w:webHidden/>
          </w:rPr>
          <w:tab/>
        </w:r>
        <w:r w:rsidR="004843DB">
          <w:rPr>
            <w:webHidden/>
          </w:rPr>
          <w:fldChar w:fldCharType="begin" w:fldLock="1"/>
        </w:r>
        <w:r w:rsidR="004843DB">
          <w:rPr>
            <w:webHidden/>
          </w:rPr>
          <w:instrText xml:space="preserve"> PAGEREF _Toc448157217 \h </w:instrText>
        </w:r>
        <w:r w:rsidR="004843DB">
          <w:rPr>
            <w:webHidden/>
          </w:rPr>
        </w:r>
        <w:r w:rsidR="004843DB">
          <w:rPr>
            <w:webHidden/>
          </w:rPr>
          <w:fldChar w:fldCharType="separate"/>
        </w:r>
        <w:r w:rsidR="004843DB">
          <w:rPr>
            <w:webHidden/>
          </w:rPr>
          <w:t>295</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18" w:history="1">
        <w:r w:rsidR="004843DB" w:rsidRPr="00343790">
          <w:rPr>
            <w:rStyle w:val="Hyperlink"/>
          </w:rPr>
          <w:t>Note 39.</w:t>
        </w:r>
        <w:r w:rsidR="004843DB">
          <w:rPr>
            <w:rFonts w:asciiTheme="minorHAnsi" w:eastAsiaTheme="minorEastAsia" w:hAnsiTheme="minorHAnsi" w:cstheme="minorBidi"/>
            <w:sz w:val="22"/>
            <w:szCs w:val="22"/>
          </w:rPr>
          <w:tab/>
        </w:r>
        <w:r w:rsidR="004843DB" w:rsidRPr="00343790">
          <w:rPr>
            <w:rStyle w:val="Hyperlink"/>
          </w:rPr>
          <w:t>Trust account balances</w:t>
        </w:r>
        <w:r w:rsidR="004843DB">
          <w:rPr>
            <w:webHidden/>
          </w:rPr>
          <w:tab/>
        </w:r>
        <w:r w:rsidR="004843DB">
          <w:rPr>
            <w:webHidden/>
          </w:rPr>
          <w:fldChar w:fldCharType="begin" w:fldLock="1"/>
        </w:r>
        <w:r w:rsidR="004843DB">
          <w:rPr>
            <w:webHidden/>
          </w:rPr>
          <w:instrText xml:space="preserve"> PAGEREF _Toc448157218 \h </w:instrText>
        </w:r>
        <w:r w:rsidR="004843DB">
          <w:rPr>
            <w:webHidden/>
          </w:rPr>
        </w:r>
        <w:r w:rsidR="004843DB">
          <w:rPr>
            <w:webHidden/>
          </w:rPr>
          <w:fldChar w:fldCharType="separate"/>
        </w:r>
        <w:r w:rsidR="004843DB">
          <w:rPr>
            <w:webHidden/>
          </w:rPr>
          <w:t>296</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19" w:history="1">
        <w:r w:rsidR="004843DB" w:rsidRPr="00343790">
          <w:rPr>
            <w:rStyle w:val="Hyperlink"/>
          </w:rPr>
          <w:t>Note 40.</w:t>
        </w:r>
        <w:r w:rsidR="004843DB">
          <w:rPr>
            <w:rFonts w:asciiTheme="minorHAnsi" w:eastAsiaTheme="minorEastAsia" w:hAnsiTheme="minorHAnsi" w:cstheme="minorBidi"/>
            <w:sz w:val="22"/>
            <w:szCs w:val="22"/>
          </w:rPr>
          <w:tab/>
        </w:r>
        <w:r w:rsidR="004843DB" w:rsidRPr="00343790">
          <w:rPr>
            <w:rStyle w:val="Hyperlink"/>
          </w:rPr>
          <w:t>Responsible persons</w:t>
        </w:r>
        <w:r w:rsidR="004843DB">
          <w:rPr>
            <w:webHidden/>
          </w:rPr>
          <w:tab/>
        </w:r>
        <w:r w:rsidR="004843DB">
          <w:rPr>
            <w:webHidden/>
          </w:rPr>
          <w:fldChar w:fldCharType="begin" w:fldLock="1"/>
        </w:r>
        <w:r w:rsidR="004843DB">
          <w:rPr>
            <w:webHidden/>
          </w:rPr>
          <w:instrText xml:space="preserve"> PAGEREF _Toc448157219 \h </w:instrText>
        </w:r>
        <w:r w:rsidR="004843DB">
          <w:rPr>
            <w:webHidden/>
          </w:rPr>
        </w:r>
        <w:r w:rsidR="004843DB">
          <w:rPr>
            <w:webHidden/>
          </w:rPr>
          <w:fldChar w:fldCharType="separate"/>
        </w:r>
        <w:r w:rsidR="004843DB">
          <w:rPr>
            <w:webHidden/>
          </w:rPr>
          <w:t>301</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20" w:history="1">
        <w:r w:rsidR="004843DB" w:rsidRPr="00343790">
          <w:rPr>
            <w:rStyle w:val="Hyperlink"/>
          </w:rPr>
          <w:t>Note 41.</w:t>
        </w:r>
        <w:r w:rsidR="004843DB">
          <w:rPr>
            <w:rFonts w:asciiTheme="minorHAnsi" w:eastAsiaTheme="minorEastAsia" w:hAnsiTheme="minorHAnsi" w:cstheme="minorBidi"/>
            <w:sz w:val="22"/>
            <w:szCs w:val="22"/>
          </w:rPr>
          <w:tab/>
        </w:r>
        <w:r w:rsidR="004843DB" w:rsidRPr="00343790">
          <w:rPr>
            <w:rStyle w:val="Hyperlink"/>
          </w:rPr>
          <w:t>Remuneration of executives and payments to other personnel (i.e. contractors with significant management responsibilities)</w:t>
        </w:r>
        <w:r w:rsidR="004843DB">
          <w:rPr>
            <w:webHidden/>
          </w:rPr>
          <w:tab/>
        </w:r>
        <w:r w:rsidR="004843DB">
          <w:rPr>
            <w:webHidden/>
          </w:rPr>
          <w:fldChar w:fldCharType="begin" w:fldLock="1"/>
        </w:r>
        <w:r w:rsidR="004843DB">
          <w:rPr>
            <w:webHidden/>
          </w:rPr>
          <w:instrText xml:space="preserve"> PAGEREF _Toc448157220 \h </w:instrText>
        </w:r>
        <w:r w:rsidR="004843DB">
          <w:rPr>
            <w:webHidden/>
          </w:rPr>
        </w:r>
        <w:r w:rsidR="004843DB">
          <w:rPr>
            <w:webHidden/>
          </w:rPr>
          <w:fldChar w:fldCharType="separate"/>
        </w:r>
        <w:r w:rsidR="004843DB">
          <w:rPr>
            <w:webHidden/>
          </w:rPr>
          <w:t>302</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21" w:history="1">
        <w:r w:rsidR="004843DB" w:rsidRPr="00343790">
          <w:rPr>
            <w:rStyle w:val="Hyperlink"/>
          </w:rPr>
          <w:t>Note 42.</w:t>
        </w:r>
        <w:r w:rsidR="004843DB">
          <w:rPr>
            <w:rFonts w:asciiTheme="minorHAnsi" w:eastAsiaTheme="minorEastAsia" w:hAnsiTheme="minorHAnsi" w:cstheme="minorBidi"/>
            <w:sz w:val="22"/>
            <w:szCs w:val="22"/>
          </w:rPr>
          <w:tab/>
        </w:r>
        <w:r w:rsidR="004843DB" w:rsidRPr="00343790">
          <w:rPr>
            <w:rStyle w:val="Hyperlink"/>
          </w:rPr>
          <w:t>Remuneration of auditors</w:t>
        </w:r>
        <w:r w:rsidR="004843DB">
          <w:rPr>
            <w:webHidden/>
          </w:rPr>
          <w:tab/>
        </w:r>
        <w:r w:rsidR="004843DB">
          <w:rPr>
            <w:webHidden/>
          </w:rPr>
          <w:fldChar w:fldCharType="begin" w:fldLock="1"/>
        </w:r>
        <w:r w:rsidR="004843DB">
          <w:rPr>
            <w:webHidden/>
          </w:rPr>
          <w:instrText xml:space="preserve"> PAGEREF _Toc448157221 \h </w:instrText>
        </w:r>
        <w:r w:rsidR="004843DB">
          <w:rPr>
            <w:webHidden/>
          </w:rPr>
        </w:r>
        <w:r w:rsidR="004843DB">
          <w:rPr>
            <w:webHidden/>
          </w:rPr>
          <w:fldChar w:fldCharType="separate"/>
        </w:r>
        <w:r w:rsidR="004843DB">
          <w:rPr>
            <w:webHidden/>
          </w:rPr>
          <w:t>307</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22" w:history="1">
        <w:r w:rsidR="004843DB" w:rsidRPr="00343790">
          <w:rPr>
            <w:rStyle w:val="Hyperlink"/>
          </w:rPr>
          <w:t>Note 43.</w:t>
        </w:r>
        <w:r w:rsidR="004843DB">
          <w:rPr>
            <w:rFonts w:asciiTheme="minorHAnsi" w:eastAsiaTheme="minorEastAsia" w:hAnsiTheme="minorHAnsi" w:cstheme="minorBidi"/>
            <w:sz w:val="22"/>
            <w:szCs w:val="22"/>
          </w:rPr>
          <w:tab/>
        </w:r>
        <w:r w:rsidR="004843DB" w:rsidRPr="00343790">
          <w:rPr>
            <w:rStyle w:val="Hyperlink"/>
          </w:rPr>
          <w:t>Subsequent events</w:t>
        </w:r>
        <w:r w:rsidR="004843DB">
          <w:rPr>
            <w:webHidden/>
          </w:rPr>
          <w:tab/>
        </w:r>
        <w:r w:rsidR="004843DB">
          <w:rPr>
            <w:webHidden/>
          </w:rPr>
          <w:fldChar w:fldCharType="begin" w:fldLock="1"/>
        </w:r>
        <w:r w:rsidR="004843DB">
          <w:rPr>
            <w:webHidden/>
          </w:rPr>
          <w:instrText xml:space="preserve"> PAGEREF _Toc448157222 \h </w:instrText>
        </w:r>
        <w:r w:rsidR="004843DB">
          <w:rPr>
            <w:webHidden/>
          </w:rPr>
        </w:r>
        <w:r w:rsidR="004843DB">
          <w:rPr>
            <w:webHidden/>
          </w:rPr>
          <w:fldChar w:fldCharType="separate"/>
        </w:r>
        <w:r w:rsidR="004843DB">
          <w:rPr>
            <w:webHidden/>
          </w:rPr>
          <w:t>308</w:t>
        </w:r>
        <w:r w:rsidR="004843DB">
          <w:rPr>
            <w:webHidden/>
          </w:rPr>
          <w:fldChar w:fldCharType="end"/>
        </w:r>
      </w:hyperlink>
    </w:p>
    <w:p w:rsidR="004843DB" w:rsidRDefault="00B934BC" w:rsidP="001C05C4">
      <w:pPr>
        <w:pStyle w:val="TOC4"/>
        <w:rPr>
          <w:rFonts w:asciiTheme="minorHAnsi" w:eastAsiaTheme="minorEastAsia" w:hAnsiTheme="minorHAnsi" w:cstheme="minorBidi"/>
          <w:sz w:val="22"/>
          <w:szCs w:val="22"/>
        </w:rPr>
      </w:pPr>
      <w:hyperlink w:anchor="_Toc448157223" w:history="1">
        <w:r w:rsidR="004843DB" w:rsidRPr="00343790">
          <w:rPr>
            <w:rStyle w:val="Hyperlink"/>
          </w:rPr>
          <w:t>Note 44.</w:t>
        </w:r>
        <w:r w:rsidR="004843DB">
          <w:rPr>
            <w:rFonts w:asciiTheme="minorHAnsi" w:eastAsiaTheme="minorEastAsia" w:hAnsiTheme="minorHAnsi" w:cstheme="minorBidi"/>
            <w:sz w:val="22"/>
            <w:szCs w:val="22"/>
          </w:rPr>
          <w:tab/>
        </w:r>
        <w:r w:rsidR="004843DB" w:rsidRPr="00343790">
          <w:rPr>
            <w:rStyle w:val="Hyperlink"/>
          </w:rPr>
          <w:t>Glossary of terms and style conventions</w:t>
        </w:r>
        <w:r w:rsidR="004843DB">
          <w:rPr>
            <w:webHidden/>
          </w:rPr>
          <w:tab/>
        </w:r>
        <w:r w:rsidR="004843DB">
          <w:rPr>
            <w:webHidden/>
          </w:rPr>
          <w:fldChar w:fldCharType="begin" w:fldLock="1"/>
        </w:r>
        <w:r w:rsidR="004843DB">
          <w:rPr>
            <w:webHidden/>
          </w:rPr>
          <w:instrText xml:space="preserve"> PAGEREF _Toc448157223 \h </w:instrText>
        </w:r>
        <w:r w:rsidR="004843DB">
          <w:rPr>
            <w:webHidden/>
          </w:rPr>
        </w:r>
        <w:r w:rsidR="004843DB">
          <w:rPr>
            <w:webHidden/>
          </w:rPr>
          <w:fldChar w:fldCharType="separate"/>
        </w:r>
        <w:r w:rsidR="004843DB">
          <w:rPr>
            <w:webHidden/>
          </w:rPr>
          <w:t>309</w:t>
        </w:r>
        <w:r w:rsidR="004843DB">
          <w:rPr>
            <w:webHidden/>
          </w:rPr>
          <w:fldChar w:fldCharType="end"/>
        </w:r>
      </w:hyperlink>
    </w:p>
    <w:p w:rsidR="004843DB" w:rsidRPr="0062582F" w:rsidRDefault="004843DB" w:rsidP="004843DB">
      <w:r w:rsidRPr="0062582F">
        <w:rPr>
          <w:lang w:eastAsia="en-US"/>
        </w:rPr>
        <w:fldChar w:fldCharType="end"/>
      </w:r>
      <w:bookmarkEnd w:id="286"/>
      <w:bookmarkEnd w:id="287"/>
      <w:bookmarkEnd w:id="288"/>
      <w:bookmarkEnd w:id="289"/>
      <w:bookmarkEnd w:id="290"/>
      <w:bookmarkEnd w:id="291"/>
    </w:p>
    <w:p w:rsidR="004843DB" w:rsidRPr="0062582F" w:rsidRDefault="004843DB" w:rsidP="004843DB">
      <w:pPr>
        <w:pStyle w:val="SmallLine"/>
      </w:pPr>
    </w:p>
    <w:p w:rsidR="004843DB" w:rsidRPr="0062582F" w:rsidRDefault="004843DB" w:rsidP="004843DB">
      <w:pPr>
        <w:pStyle w:val="CommentaryHeading"/>
      </w:pPr>
      <w:r w:rsidRPr="0062582F">
        <w:t>Commentary – Notes to the financial statements</w:t>
      </w:r>
    </w:p>
    <w:p w:rsidR="004843DB" w:rsidRPr="0062582F" w:rsidRDefault="004843DB" w:rsidP="004843DB">
      <w:pPr>
        <w:pStyle w:val="SmallLineBlue"/>
      </w:pPr>
    </w:p>
    <w:p w:rsidR="004843DB" w:rsidRPr="0062582F" w:rsidRDefault="004843DB" w:rsidP="004843DB">
      <w:pPr>
        <w:pStyle w:val="CommentaryHeading1"/>
      </w:pPr>
      <w:r w:rsidRPr="0062582F">
        <w:t>Table of contents for the notes to the financial statements</w:t>
      </w:r>
    </w:p>
    <w:p w:rsidR="004843DB" w:rsidRPr="0062582F" w:rsidRDefault="004843DB" w:rsidP="004843DB">
      <w:pPr>
        <w:pStyle w:val="CommentaryText"/>
      </w:pPr>
      <w:r w:rsidRPr="0062582F">
        <w:t xml:space="preserve">DTF </w:t>
      </w:r>
      <w:r w:rsidRPr="0062582F">
        <w:rPr>
          <w:b/>
        </w:rPr>
        <w:t>encourages</w:t>
      </w:r>
      <w:r w:rsidRPr="0062582F">
        <w:t xml:space="preserve"> entities to set out a contents page</w:t>
      </w:r>
      <w:r w:rsidRPr="0062582F" w:rsidDel="001841B0">
        <w:t xml:space="preserve"> </w:t>
      </w:r>
      <w:r w:rsidRPr="0062582F">
        <w:t>such as the one illustrated above.</w:t>
      </w:r>
    </w:p>
    <w:p w:rsidR="004843DB" w:rsidRPr="0062582F" w:rsidRDefault="004843DB" w:rsidP="004843DB">
      <w:pPr>
        <w:pStyle w:val="CommentaryText"/>
        <w:sectPr w:rsidR="004843DB" w:rsidRPr="0062582F" w:rsidSect="00190A01">
          <w:headerReference w:type="even" r:id="rId205"/>
          <w:headerReference w:type="default" r:id="rId206"/>
          <w:headerReference w:type="first" r:id="rId207"/>
          <w:pgSz w:w="11906" w:h="16838" w:code="9"/>
          <w:pgMar w:top="1152" w:right="864" w:bottom="1152" w:left="864" w:header="432" w:footer="432" w:gutter="0"/>
          <w:cols w:num="2" w:space="360" w:equalWidth="0">
            <w:col w:w="1440" w:space="360"/>
            <w:col w:w="8090"/>
          </w:cols>
          <w:titlePg/>
        </w:sectPr>
      </w:pPr>
    </w:p>
    <w:p w:rsidR="004843DB" w:rsidRPr="0062582F" w:rsidRDefault="004843DB" w:rsidP="004843DB">
      <w:pPr>
        <w:pStyle w:val="SmallLine"/>
      </w:pPr>
    </w:p>
    <w:p w:rsidR="004843DB" w:rsidRPr="0062582F" w:rsidRDefault="004843DB" w:rsidP="004843DB">
      <w:pPr>
        <w:pStyle w:val="SmallLine"/>
      </w:pPr>
      <w:r w:rsidRPr="0062582F">
        <w:br w:type="column"/>
      </w:r>
    </w:p>
    <w:p w:rsidR="004843DB" w:rsidRPr="0062582F" w:rsidRDefault="004843DB" w:rsidP="004843DB">
      <w:pPr>
        <w:pStyle w:val="CommentaryHeading"/>
        <w:rPr>
          <w:i/>
        </w:rPr>
      </w:pPr>
      <w:r w:rsidRPr="0062582F">
        <w:t xml:space="preserve">Commentary – Notes to the financial statements </w:t>
      </w:r>
      <w:r w:rsidRPr="0062582F">
        <w:rPr>
          <w:i/>
        </w:rPr>
        <w:t>(continued)</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bottom w:val="none" w:sz="0" w:space="0" w:color="auto"/>
        </w:pBdr>
      </w:pPr>
      <w:r w:rsidRPr="0062582F">
        <w:t>Contents of notes to the financial statements</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headerReference w:type="even" r:id="rId208"/>
          <w:headerReference w:type="default" r:id="rId209"/>
          <w:headerReference w:type="first" r:id="rId210"/>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rPr>
          <w:lang w:val="en-AU"/>
        </w:rPr>
        <w:lastRenderedPageBreak/>
        <w:t>AASB 101.112</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The notes to the financial statements of an entity shall:</w:t>
      </w:r>
    </w:p>
    <w:p w:rsidR="004843DB" w:rsidRPr="0062582F" w:rsidRDefault="004843DB" w:rsidP="004843DB">
      <w:pPr>
        <w:pStyle w:val="CommentaryTextIndent"/>
        <w:pBdr>
          <w:top w:val="none" w:sz="0" w:space="0" w:color="auto"/>
          <w:bottom w:val="none" w:sz="0" w:space="0" w:color="auto"/>
        </w:pBdr>
      </w:pPr>
      <w:r w:rsidRPr="0062582F">
        <w:t>(a)</w:t>
      </w:r>
      <w:r w:rsidRPr="0062582F">
        <w:tab/>
        <w:t>present information about the basis of preparation of the financial statements and the specific accounting policies used in accordance with paragraphs 112</w:t>
      </w:r>
      <w:r w:rsidR="005A4BB0">
        <w:noBreakHyphen/>
      </w:r>
      <w:r w:rsidRPr="0062582F">
        <w:t>124 of AASB 101 </w:t>
      </w:r>
      <w:r w:rsidRPr="0062582F">
        <w:rPr>
          <w:i/>
          <w:iCs/>
        </w:rPr>
        <w:t>Presentation of Financial Statements</w:t>
      </w:r>
      <w:r w:rsidRPr="0062582F">
        <w:t>;</w:t>
      </w:r>
    </w:p>
    <w:p w:rsidR="004843DB" w:rsidRPr="0062582F" w:rsidRDefault="004843DB" w:rsidP="004843DB">
      <w:pPr>
        <w:pStyle w:val="CommentaryTextIndent"/>
        <w:pBdr>
          <w:top w:val="none" w:sz="0" w:space="0" w:color="auto"/>
          <w:bottom w:val="none" w:sz="0" w:space="0" w:color="auto"/>
        </w:pBdr>
      </w:pPr>
      <w:r w:rsidRPr="0062582F">
        <w:t>(b)</w:t>
      </w:r>
      <w:r w:rsidRPr="0062582F">
        <w:tab/>
        <w:t>disclose the information required by AASs that is not presented in the face of the balance sheet, comprehensive operating statement, statement of changes in equity or cash flow statement; and</w:t>
      </w:r>
    </w:p>
    <w:p w:rsidR="004843DB" w:rsidRPr="0062582F" w:rsidRDefault="004843DB" w:rsidP="004843DB">
      <w:pPr>
        <w:pStyle w:val="CommentaryTextIndent"/>
        <w:pBdr>
          <w:top w:val="none" w:sz="0" w:space="0" w:color="auto"/>
          <w:bottom w:val="none" w:sz="0" w:space="0" w:color="auto"/>
        </w:pBdr>
        <w:rPr>
          <w:noProof w:val="0"/>
        </w:rPr>
      </w:pPr>
      <w:r w:rsidRPr="0062582F">
        <w:rPr>
          <w:noProof w:val="0"/>
        </w:rPr>
        <w:t>(c)</w:t>
      </w:r>
      <w:r w:rsidRPr="0062582F">
        <w:rPr>
          <w:noProof w:val="0"/>
        </w:rPr>
        <w:tab/>
        <w:t>provide additional information that is not presented in the face of the balance sheet, comprehensive operating statement, statement of changes in equity or cash flow statement, but is relevant to an understanding of the financial statements.</w:t>
      </w:r>
    </w:p>
    <w:p w:rsidR="004843DB" w:rsidRPr="0062582F" w:rsidRDefault="004843DB" w:rsidP="004843DB">
      <w:pPr>
        <w:pStyle w:val="CommentaryHeading1"/>
        <w:pBdr>
          <w:top w:val="none" w:sz="0" w:space="0" w:color="auto"/>
          <w:bottom w:val="none" w:sz="0" w:space="0" w:color="auto"/>
        </w:pBdr>
      </w:pPr>
      <w:r w:rsidRPr="0062582F">
        <w:t>Systematic structure</w:t>
      </w:r>
    </w:p>
    <w:p w:rsidR="004843DB" w:rsidRPr="0062582F" w:rsidRDefault="004843DB" w:rsidP="004843DB">
      <w:pPr>
        <w:pStyle w:val="CommentaryHeading1"/>
        <w:pBdr>
          <w:top w:val="none" w:sz="0" w:space="0" w:color="auto"/>
        </w:pBdr>
        <w:rPr>
          <w:rFonts w:ascii="Garamond" w:hAnsi="Garamond" w:cs="Times New Roman"/>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lastRenderedPageBreak/>
        <w:t>AASB </w:t>
      </w:r>
      <w:r w:rsidRPr="0062582F">
        <w:rPr>
          <w:lang w:val="en-AU"/>
        </w:rPr>
        <w:t>101.113</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Notes shall, as far as practicable, be presented in a systematic manner. Each item in the balance sheet, comprehensive operating statement, statement of changes in equity and cash flow statement shall be cross referenced to any related information in the notes.</w:t>
      </w:r>
    </w:p>
    <w:p w:rsidR="004843DB" w:rsidRPr="0062582F" w:rsidRDefault="004843DB" w:rsidP="004843DB">
      <w:pPr>
        <w:pStyle w:val="CommentaryText"/>
        <w:pBdr>
          <w:top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101.114</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Notes are normally presented in the following order, which assists users in understanding the financial statements and comparing them with financial statements of other entities: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1054.7</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(a)</w:t>
      </w:r>
      <w:r w:rsidRPr="0062582F">
        <w:tab/>
        <w:t>a statement of compliance with AASs (refer to paragraph 7of AASB 1054). Departments are normally unable to fully comply with International Financial Reporting Standards because of the application of not</w:t>
      </w:r>
      <w:r w:rsidR="005A4BB0">
        <w:noBreakHyphen/>
      </w:r>
      <w:r w:rsidRPr="0062582F">
        <w:t>for</w:t>
      </w:r>
      <w:r w:rsidR="005A4BB0">
        <w:noBreakHyphen/>
      </w:r>
      <w:r w:rsidRPr="0062582F">
        <w:t>profit Aus. paragraphs and Australian specific standards;</w:t>
      </w:r>
    </w:p>
    <w:p w:rsidR="004843DB" w:rsidRPr="0062582F" w:rsidRDefault="004843DB" w:rsidP="004843DB">
      <w:pPr>
        <w:pStyle w:val="CommentaryTextIndent"/>
        <w:pBdr>
          <w:top w:val="none" w:sz="0" w:space="0" w:color="auto"/>
          <w:bottom w:val="none" w:sz="0" w:space="0" w:color="auto"/>
        </w:pBdr>
      </w:pPr>
      <w:r w:rsidRPr="0062582F">
        <w:t>(b)</w:t>
      </w:r>
      <w:r w:rsidRPr="0062582F">
        <w:tab/>
        <w:t>a summary of significant accounting policies applied (refer to paragraph 117 of AASB 101);</w:t>
      </w:r>
    </w:p>
    <w:p w:rsidR="004843DB" w:rsidRPr="0062582F" w:rsidRDefault="004843DB" w:rsidP="004843DB">
      <w:pPr>
        <w:pStyle w:val="CommentaryTextIndent"/>
        <w:pBdr>
          <w:top w:val="none" w:sz="0" w:space="0" w:color="auto"/>
          <w:bottom w:val="none" w:sz="0" w:space="0" w:color="auto"/>
        </w:pBdr>
      </w:pPr>
      <w:r w:rsidRPr="0062582F">
        <w:t>(c)</w:t>
      </w:r>
      <w:r w:rsidRPr="0062582F">
        <w:tab/>
        <w:t>supporting information for items presented in the financial statements, and to follow the order in which each statement and each line item is presented, i.e. comprehensive operating statement, balance sheet, statement of changes in equity and cash flow statement; and/or</w:t>
      </w:r>
    </w:p>
    <w:p w:rsidR="004843DB" w:rsidRPr="0062582F" w:rsidRDefault="004843DB" w:rsidP="004843DB">
      <w:pPr>
        <w:pStyle w:val="CommentaryTextIndent"/>
        <w:pBdr>
          <w:top w:val="none" w:sz="0" w:space="0" w:color="auto"/>
          <w:bottom w:val="none" w:sz="0" w:space="0" w:color="auto"/>
        </w:pBdr>
      </w:pPr>
      <w:r w:rsidRPr="0062582F">
        <w:t>(d)</w:t>
      </w:r>
      <w:r w:rsidRPr="0062582F">
        <w:tab/>
        <w:t>other disclosures, including:</w:t>
      </w:r>
    </w:p>
    <w:p w:rsidR="004843DB" w:rsidRPr="0062582F" w:rsidRDefault="004843DB" w:rsidP="004843DB">
      <w:pPr>
        <w:pStyle w:val="CommentaryTextIndent2"/>
        <w:pBdr>
          <w:top w:val="none" w:sz="0" w:space="0" w:color="auto"/>
        </w:pBdr>
      </w:pPr>
      <w:r w:rsidRPr="0062582F">
        <w:tab/>
        <w:t>(i)</w:t>
      </w:r>
      <w:r w:rsidRPr="0062582F">
        <w:tab/>
        <w:t>contingent liabilities (refer to AASB 137) and unrecognised contractual commitments; and</w:t>
      </w:r>
    </w:p>
    <w:p w:rsidR="004843DB" w:rsidRPr="0062582F" w:rsidRDefault="004843DB" w:rsidP="004843DB">
      <w:pPr>
        <w:pStyle w:val="CommentaryTextIndent2"/>
        <w:pBdr>
          <w:top w:val="none" w:sz="0" w:space="0" w:color="auto"/>
        </w:pBdr>
      </w:pPr>
      <w:r w:rsidRPr="0062582F">
        <w:tab/>
        <w:t>(ii)</w:t>
      </w:r>
      <w:r w:rsidRPr="0062582F">
        <w:tab/>
        <w:t>non</w:t>
      </w:r>
      <w:r w:rsidR="005A4BB0">
        <w:noBreakHyphen/>
      </w:r>
      <w:r w:rsidRPr="0062582F">
        <w:t>financial disclosures; for example, the entity</w:t>
      </w:r>
      <w:r w:rsidR="005A4BB0">
        <w:t>’</w:t>
      </w:r>
      <w:r w:rsidRPr="0062582F">
        <w:t>s financial risk management objectives and policies (refer to AASB 7).</w:t>
      </w: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docGrid w:linePitch="299"/>
        </w:sectPr>
      </w:pPr>
    </w:p>
    <w:p w:rsidR="004843DB" w:rsidRPr="0062582F" w:rsidRDefault="004843DB" w:rsidP="00D920B4">
      <w:pPr>
        <w:pStyle w:val="Heading1a"/>
      </w:pPr>
      <w:r w:rsidRPr="0062582F">
        <w:lastRenderedPageBreak/>
        <w:br w:type="column"/>
      </w:r>
      <w:bookmarkStart w:id="292" w:name="_Toc132616914"/>
      <w:bookmarkStart w:id="293" w:name="_Toc133203886"/>
      <w:bookmarkStart w:id="294" w:name="_Toc133206247"/>
      <w:bookmarkStart w:id="295" w:name="_Toc133286846"/>
      <w:bookmarkStart w:id="296" w:name="_Toc154475414"/>
      <w:bookmarkStart w:id="297" w:name="_Toc154475735"/>
      <w:bookmarkStart w:id="298" w:name="_Toc157396826"/>
      <w:bookmarkStart w:id="299" w:name="_Toc160795696"/>
      <w:bookmarkStart w:id="300" w:name="_Toc161681205"/>
      <w:bookmarkStart w:id="301" w:name="_Toc162327185"/>
      <w:bookmarkStart w:id="302" w:name="_Toc163448606"/>
      <w:bookmarkStart w:id="303" w:name="_Toc164591346"/>
      <w:bookmarkStart w:id="304" w:name="_Toc164591479"/>
      <w:bookmarkStart w:id="305" w:name="_Toc164591750"/>
      <w:bookmarkStart w:id="306" w:name="_Toc164653485"/>
      <w:bookmarkStart w:id="307" w:name="_Toc225564582"/>
      <w:bookmarkStart w:id="308" w:name="_Toc324234837"/>
      <w:r w:rsidRPr="0062582F">
        <w:lastRenderedPageBreak/>
        <w:t>Notes to the financial statements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4843DB" w:rsidRPr="0062582F" w:rsidRDefault="004843DB" w:rsidP="004843DB">
      <w:pPr>
        <w:pStyle w:val="Heading2"/>
        <w:sectPr w:rsidR="004843DB" w:rsidRPr="0062582F" w:rsidSect="00190A01">
          <w:pgSz w:w="11906" w:h="16838" w:code="9"/>
          <w:pgMar w:top="1152" w:right="864" w:bottom="1152" w:left="864" w:header="432" w:footer="432" w:gutter="0"/>
          <w:cols w:num="2" w:space="360" w:equalWidth="0">
            <w:col w:w="1440" w:space="360"/>
            <w:col w:w="8090"/>
          </w:cols>
          <w:rtlGutter/>
          <w:docGrid w:linePitch="299"/>
        </w:sectPr>
      </w:pPr>
    </w:p>
    <w:p w:rsidR="004843DB" w:rsidRPr="0062582F" w:rsidRDefault="004843DB" w:rsidP="004843DB">
      <w:pPr>
        <w:pStyle w:val="Reference"/>
        <w:spacing w:before="200"/>
        <w:rPr>
          <w:lang w:val="en-AU"/>
        </w:rPr>
      </w:pPr>
      <w:r w:rsidRPr="0062582F">
        <w:lastRenderedPageBreak/>
        <w:t>AASB </w:t>
      </w:r>
      <w:r w:rsidRPr="0062582F">
        <w:rPr>
          <w:lang w:val="en-AU"/>
        </w:rPr>
        <w:t>1054.7</w:t>
      </w:r>
      <w:r w:rsidR="005A4BB0">
        <w:rPr>
          <w:lang w:val="en-AU"/>
        </w:rPr>
        <w:noBreakHyphen/>
      </w:r>
      <w:r w:rsidRPr="0062582F">
        <w:rPr>
          <w:lang w:val="en-AU"/>
        </w:rPr>
        <w:t xml:space="preserve">9, </w:t>
      </w:r>
      <w:r w:rsidRPr="0062582F">
        <w:t>SD4</w:t>
      </w:r>
      <w:r w:rsidRPr="0062582F">
        <w:rPr>
          <w:lang w:val="en-AU"/>
        </w:rPr>
        <w:t>.2 (a)</w:t>
      </w:r>
    </w:p>
    <w:p w:rsidR="004843DB" w:rsidRPr="0062582F" w:rsidRDefault="004843DB" w:rsidP="004843DB">
      <w:pPr>
        <w:pStyle w:val="Heading2"/>
      </w:pPr>
      <w:r w:rsidRPr="0062582F">
        <w:br w:type="column"/>
      </w:r>
      <w:r w:rsidRPr="0062582F">
        <w:lastRenderedPageBreak/>
        <w:t>For the financial year ended 30 June 2016</w:t>
      </w:r>
    </w:p>
    <w:p w:rsidR="004843DB" w:rsidRPr="0062582F" w:rsidRDefault="004843DB" w:rsidP="004843DB">
      <w:pPr>
        <w:pStyle w:val="NoteHeading"/>
      </w:pPr>
      <w:bookmarkStart w:id="309" w:name="_Toc332019459"/>
      <w:bookmarkStart w:id="310" w:name="_Toc366843348"/>
      <w:bookmarkStart w:id="311" w:name="_Toc448157180"/>
      <w:r w:rsidRPr="0062582F">
        <w:t>Note 1.</w:t>
      </w:r>
      <w:r w:rsidRPr="0062582F">
        <w:tab/>
        <w:t>Summary of significant accounting policies</w:t>
      </w:r>
      <w:bookmarkEnd w:id="309"/>
      <w:bookmarkEnd w:id="310"/>
      <w:bookmarkEnd w:id="311"/>
      <w:r w:rsidRPr="0062582F" w:rsidDel="00932D7F">
        <w:t xml:space="preserve"> </w:t>
      </w:r>
    </w:p>
    <w:p w:rsidR="004843DB" w:rsidRPr="0062582F" w:rsidRDefault="004843DB" w:rsidP="004843DB">
      <w:pPr>
        <w:pStyle w:val="NormalBlue"/>
        <w:rPr>
          <w:i/>
          <w:color w:val="C00000"/>
        </w:rPr>
      </w:pPr>
      <w:bookmarkStart w:id="312" w:name="_Toc191867010"/>
      <w:bookmarkStart w:id="313" w:name="_Toc191876296"/>
      <w:bookmarkStart w:id="314" w:name="_Toc191876459"/>
      <w:bookmarkStart w:id="315" w:name="_Toc192039897"/>
      <w:bookmarkStart w:id="316" w:name="_Toc192040040"/>
      <w:r w:rsidRPr="0062582F">
        <w:rPr>
          <w:i/>
          <w:color w:val="C00000"/>
        </w:rPr>
        <w:t>[Customise/insert/omit accounting policies as applicable to your department after reading the commentary section on summary of accounting policies.]</w:t>
      </w:r>
      <w:bookmarkEnd w:id="312"/>
      <w:bookmarkEnd w:id="313"/>
      <w:bookmarkEnd w:id="314"/>
      <w:bookmarkEnd w:id="315"/>
      <w:bookmarkEnd w:id="316"/>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bookmarkStart w:id="317" w:name="_Toc163448608"/>
    </w:p>
    <w:p w:rsidR="004843DB" w:rsidRPr="0062582F" w:rsidRDefault="004843DB" w:rsidP="004843DB">
      <w:pPr>
        <w:pStyle w:val="Reference"/>
      </w:pPr>
      <w:r w:rsidRPr="0062582F">
        <w:lastRenderedPageBreak/>
        <w:t>AASB 1054.9</w:t>
      </w:r>
    </w:p>
    <w:p w:rsidR="004843DB" w:rsidRPr="0062582F" w:rsidRDefault="004843DB" w:rsidP="004843DB">
      <w:r w:rsidRPr="0062582F">
        <w:br w:type="column"/>
      </w:r>
      <w:r w:rsidRPr="0062582F">
        <w:lastRenderedPageBreak/>
        <w:t>These annual financial statements represent the audited general purpose financial statements for the Department of Technology (the Department) for the period ending 30 June 2016. The report provides users with information about the Department</w:t>
      </w:r>
      <w:r w:rsidR="005A4BB0">
        <w:t>’</w:t>
      </w:r>
      <w:r w:rsidRPr="0062582F">
        <w:t>s stewardship of resources entrusted to it.</w:t>
      </w:r>
    </w:p>
    <w:p w:rsidR="004843DB" w:rsidRPr="0062582F" w:rsidRDefault="004843DB" w:rsidP="004843DB">
      <w:pPr>
        <w:pStyle w:val="Heading3Numbering"/>
      </w:pPr>
      <w:r w:rsidRPr="0062582F">
        <w:t>Statement of compliance</w:t>
      </w:r>
      <w:bookmarkEnd w:id="317"/>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1054.7</w:t>
      </w:r>
    </w:p>
    <w:p w:rsidR="004843DB" w:rsidRPr="0062582F" w:rsidRDefault="004843DB" w:rsidP="004843DB">
      <w:pPr>
        <w:rPr>
          <w:i/>
        </w:rPr>
      </w:pPr>
      <w:r w:rsidRPr="0062582F">
        <w:br w:type="column"/>
      </w:r>
      <w:r w:rsidRPr="0062582F">
        <w:lastRenderedPageBreak/>
        <w:t xml:space="preserve">These general purpose financial statements have been prepared in accordance with the </w:t>
      </w:r>
      <w:r w:rsidRPr="0062582F">
        <w:rPr>
          <w:i/>
        </w:rPr>
        <w:t>Financial Management Act 1994</w:t>
      </w:r>
      <w:r w:rsidRPr="0062582F">
        <w:t xml:space="preserve"> (FMA) and applicable Australian Accounting Standards (AAS) which include Interpretations, issued by the Australian Accounting Standards Board (AASB). In particular, they are presented in a manner consistent with the requirements of the AASB 1049 </w:t>
      </w:r>
      <w:r w:rsidRPr="0062582F">
        <w:rPr>
          <w:i/>
        </w:rPr>
        <w:t>Whole of Government and General Government Sector Financial Reporting.</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rPr>
          <w:lang w:val="en-AU"/>
        </w:rPr>
        <w:lastRenderedPageBreak/>
        <w:t>AASB 110.17</w:t>
      </w:r>
    </w:p>
    <w:p w:rsidR="004843DB" w:rsidRPr="0062582F" w:rsidRDefault="004843DB" w:rsidP="004843DB">
      <w:r w:rsidRPr="0062582F">
        <w:br w:type="column"/>
      </w:r>
      <w:r w:rsidRPr="0062582F">
        <w:lastRenderedPageBreak/>
        <w:t>Where appropriate, those AASs paragraphs applicable to not</w:t>
      </w:r>
      <w:r w:rsidR="005A4BB0">
        <w:noBreakHyphen/>
      </w:r>
      <w:r w:rsidRPr="0062582F">
        <w:t>for</w:t>
      </w:r>
      <w:r w:rsidR="005A4BB0">
        <w:noBreakHyphen/>
      </w:r>
      <w:r w:rsidRPr="0062582F">
        <w:t>profit entities have been applied.</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lastRenderedPageBreak/>
        <w:t>AASB 101.17</w:t>
      </w:r>
    </w:p>
    <w:p w:rsidR="004843DB" w:rsidRPr="0062582F" w:rsidRDefault="004843DB" w:rsidP="004843DB">
      <w:r w:rsidRPr="0062582F">
        <w:br w:type="column"/>
      </w:r>
      <w:r w:rsidRPr="0062582F">
        <w:lastRenderedPageBreak/>
        <w:t>Accounting policies are selected and applied in a manner which ensures that the resulting financial information satisfies the concepts of relevance and reliability, thereby ensuring that the substance of the underlying transactions or other events is reported.</w:t>
      </w:r>
    </w:p>
    <w:p w:rsidR="004843DB" w:rsidRPr="0062582F" w:rsidRDefault="004843DB" w:rsidP="004843DB">
      <w:r w:rsidRPr="0062582F">
        <w:t>To gain a better understanding of the terminology used in these financial statements, a glossary of terms and style conventions can be found in Note 44.</w:t>
      </w:r>
    </w:p>
    <w:p w:rsidR="004843DB" w:rsidRPr="0062582F" w:rsidRDefault="004843DB" w:rsidP="004843DB">
      <w:r w:rsidRPr="0062582F">
        <w:t xml:space="preserve">These annual financial statements were authorised for issue by the Secretary of the Department on </w:t>
      </w:r>
      <w:r w:rsidRPr="0062582F">
        <w:rPr>
          <w:rStyle w:val="NormalBlueChar"/>
          <w:i/>
        </w:rPr>
        <w:t>[insert day month year].</w:t>
      </w:r>
    </w:p>
    <w:p w:rsidR="004843DB" w:rsidRPr="0062582F" w:rsidRDefault="004843DB" w:rsidP="004843DB">
      <w:pPr>
        <w:pStyle w:val="Heading3Numbering"/>
      </w:pPr>
      <w:bookmarkStart w:id="318" w:name="_Toc163448609"/>
      <w:r w:rsidRPr="0062582F">
        <w:t>Basis of accounting preparation</w:t>
      </w:r>
      <w:bookmarkEnd w:id="318"/>
      <w:r w:rsidRPr="0062582F">
        <w:t xml:space="preserve"> and measurement</w:t>
      </w:r>
    </w:p>
    <w:p w:rsidR="004843DB" w:rsidRPr="0062582F" w:rsidRDefault="004843DB" w:rsidP="004843DB">
      <w:pPr>
        <w:sectPr w:rsidR="004843DB" w:rsidRPr="0062582F" w:rsidSect="00190A01">
          <w:headerReference w:type="even" r:id="rId211"/>
          <w:headerReference w:type="default" r:id="rId212"/>
          <w:headerReference w:type="first" r:id="rId213"/>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lastRenderedPageBreak/>
        <w:t>AASB 101.117(a)</w:t>
      </w:r>
    </w:p>
    <w:p w:rsidR="004843DB" w:rsidRPr="0062582F" w:rsidRDefault="004843DB" w:rsidP="004843DB">
      <w:r w:rsidRPr="0062582F">
        <w:br w:type="column"/>
      </w:r>
      <w:r w:rsidRPr="0062582F">
        <w:lastRenderedPageBreak/>
        <w:t>The accrual basis of accounting has been applied in the preparation of these financial statements, whereby assets, liabilities, equity, income and expenses are recognised in the reporting period to which they relate, regardless of when cash is received or paid.</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lastRenderedPageBreak/>
        <w:t>AASB </w:t>
      </w:r>
      <w:r w:rsidRPr="0062582F">
        <w:t>101</w:t>
      </w:r>
      <w:r w:rsidRPr="0062582F">
        <w:rPr>
          <w:lang w:val="en-AU"/>
        </w:rPr>
        <w:t>.122 and 125</w:t>
      </w:r>
    </w:p>
    <w:p w:rsidR="004843DB" w:rsidRPr="0062582F" w:rsidRDefault="004843DB" w:rsidP="004843DB">
      <w:pPr>
        <w:rPr>
          <w:rStyle w:val="NormalBlueChar"/>
          <w:i/>
        </w:rPr>
      </w:pPr>
      <w:r w:rsidRPr="0062582F">
        <w:br w:type="column"/>
      </w:r>
      <w:r w:rsidRPr="0062582F">
        <w:lastRenderedPageBreak/>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r w:rsidRPr="0062582F" w:rsidDel="007114F8">
        <w:t xml:space="preserve">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rPr>
          <w:rFonts w:ascii="Calibri" w:hAnsi="Calibri" w:cs="Arial Narrow"/>
          <w:sz w:val="16"/>
          <w:szCs w:val="16"/>
          <w:lang w:val="en-GB"/>
        </w:rPr>
      </w:pPr>
    </w:p>
    <w:p w:rsidR="004843DB" w:rsidRPr="0062582F" w:rsidRDefault="004843DB" w:rsidP="004843DB">
      <w:pPr>
        <w:rPr>
          <w:i/>
        </w:rPr>
      </w:pPr>
      <w:r w:rsidRPr="0062582F">
        <w:br w:type="column"/>
      </w:r>
      <w:r w:rsidRPr="0062582F">
        <w:rPr>
          <w:i/>
          <w:color w:val="0000FF"/>
        </w:rPr>
        <w:lastRenderedPageBreak/>
        <w:t>[Entities are required by AASB 101 paragraph 122 to disclose the nature of significant judgements, estimates and assumptions made by management. The illustrated paragraph above only discloses:</w:t>
      </w:r>
    </w:p>
    <w:p w:rsidR="004843DB" w:rsidRPr="0062582F" w:rsidRDefault="004843DB" w:rsidP="004843DB">
      <w:pPr>
        <w:pStyle w:val="BulletBlue"/>
        <w:spacing w:before="80"/>
        <w:rPr>
          <w:i/>
        </w:rPr>
      </w:pPr>
      <w:r w:rsidRPr="0062582F">
        <w:rPr>
          <w:i/>
        </w:rPr>
        <w:t>the fact that significant assumptions, judgements and estimates were made; and</w:t>
      </w:r>
    </w:p>
    <w:p w:rsidR="004843DB" w:rsidRPr="0062582F" w:rsidRDefault="004843DB" w:rsidP="004843DB">
      <w:pPr>
        <w:pStyle w:val="BulletBlue"/>
        <w:spacing w:before="80"/>
        <w:rPr>
          <w:i/>
        </w:rPr>
      </w:pPr>
      <w:r w:rsidRPr="0062582F">
        <w:rPr>
          <w:i/>
        </w:rPr>
        <w:t>how these were made (the method used).</w:t>
      </w:r>
    </w:p>
    <w:p w:rsidR="004843DB" w:rsidRPr="0062582F" w:rsidRDefault="004843DB" w:rsidP="004843DB">
      <w:pPr>
        <w:pStyle w:val="NormalBlue"/>
        <w:rPr>
          <w:i/>
        </w:rPr>
      </w:pPr>
      <w:r w:rsidRPr="0062582F">
        <w:rPr>
          <w:i/>
        </w:rPr>
        <w:t>It does not describe the nature of these significant assumptions, judgements and estimates. Entities may provide the nature of significant assumptions, judgements and estimates (e.g. for operating lease commitments, valuation of investments, impairment of Property, Plant and Equipments etc) in addition to the above, either in Note 1 or in relevant notes to the financial statements.</w:t>
      </w:r>
    </w:p>
    <w:p w:rsidR="004843DB" w:rsidRPr="0062582F" w:rsidRDefault="004843DB" w:rsidP="004843DB">
      <w:pPr>
        <w:pStyle w:val="NormalBlue"/>
        <w:rPr>
          <w:i/>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12.7</w:t>
      </w:r>
    </w:p>
    <w:p w:rsidR="004843DB" w:rsidRPr="0062582F" w:rsidRDefault="004843DB" w:rsidP="004843DB">
      <w:pPr>
        <w:pStyle w:val="NormalBlue"/>
        <w:rPr>
          <w:i/>
        </w:rPr>
      </w:pPr>
      <w:r w:rsidRPr="0062582F">
        <w:rPr>
          <w:i/>
        </w:rPr>
        <w:br w:type="column"/>
      </w:r>
      <w:r w:rsidRPr="0062582F">
        <w:rPr>
          <w:i/>
        </w:rPr>
        <w:lastRenderedPageBreak/>
        <w:t>Where applicable, entities should also disclose information about significant judgements and assumptions it has made (and changes to those judgements and assumptions) in determining:</w:t>
      </w:r>
    </w:p>
    <w:p w:rsidR="004843DB" w:rsidRPr="0062582F" w:rsidRDefault="004843DB" w:rsidP="004843DB">
      <w:pPr>
        <w:pStyle w:val="BulletBlue"/>
        <w:spacing w:before="80"/>
      </w:pPr>
      <w:r w:rsidRPr="0062582F">
        <w:rPr>
          <w:i/>
        </w:rPr>
        <w:t>that it has control of another entity;</w:t>
      </w:r>
    </w:p>
    <w:p w:rsidR="004843DB" w:rsidRPr="0062582F" w:rsidRDefault="004843DB" w:rsidP="004843DB">
      <w:pPr>
        <w:pStyle w:val="BulletBlue"/>
        <w:spacing w:before="80"/>
        <w:rPr>
          <w:i/>
        </w:rPr>
      </w:pPr>
      <w:r w:rsidRPr="0062582F">
        <w:rPr>
          <w:i/>
        </w:rPr>
        <w:t>that it has joint control of an arrangement or significant influence over another entity; and</w:t>
      </w:r>
    </w:p>
    <w:p w:rsidR="004843DB" w:rsidRPr="0062582F" w:rsidRDefault="004843DB" w:rsidP="004843DB">
      <w:pPr>
        <w:pStyle w:val="BulletBlue"/>
        <w:numPr>
          <w:ilvl w:val="0"/>
          <w:numId w:val="0"/>
        </w:numPr>
        <w:ind w:left="360"/>
      </w:pPr>
    </w:p>
    <w:p w:rsidR="004843DB" w:rsidRPr="0062582F" w:rsidRDefault="004843DB" w:rsidP="004843DB">
      <w:pPr>
        <w:pStyle w:val="BulletBlue"/>
        <w:numPr>
          <w:ilvl w:val="0"/>
          <w:numId w:val="0"/>
        </w:numPr>
        <w:ind w:left="360"/>
      </w:pPr>
    </w:p>
    <w:p w:rsidR="004843DB" w:rsidRPr="0062582F" w:rsidRDefault="004843DB" w:rsidP="004843DB">
      <w:pPr>
        <w:pStyle w:val="NoteHeadingcontinued"/>
      </w:pPr>
      <w:r w:rsidRPr="0062582F">
        <w:rPr>
          <w:i/>
        </w:rPr>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pPr>
        <w:pStyle w:val="BulletBlue"/>
      </w:pPr>
      <w:r w:rsidRPr="0062582F">
        <w:rPr>
          <w:i/>
        </w:rPr>
        <w:t>the type of joint arrangement (i.e. joint operation or joint venture) when the arrangement has been structured through a separate vehicle.]</w:t>
      </w:r>
      <w:r w:rsidRPr="0062582F" w:rsidDel="005D2B3C">
        <w:rPr>
          <w:i/>
        </w:rPr>
        <w:t xml:space="preserve"> </w:t>
      </w:r>
    </w:p>
    <w:p w:rsidR="004843DB" w:rsidRPr="0062582F" w:rsidRDefault="004843DB" w:rsidP="004843DB">
      <w:pPr>
        <w:pStyle w:val="NormalBlue"/>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40"/>
      </w:pPr>
      <w:r w:rsidRPr="0062582F">
        <w:lastRenderedPageBreak/>
        <w:t>AASB 108.36</w:t>
      </w:r>
    </w:p>
    <w:p w:rsidR="004843DB" w:rsidRPr="0062582F" w:rsidRDefault="004843DB" w:rsidP="004843DB">
      <w:r w:rsidRPr="0062582F">
        <w:br w:type="column"/>
      </w:r>
      <w:r w:rsidRPr="0062582F">
        <w:lastRenderedPageBreak/>
        <w:t xml:space="preserve">Revisions to accounting estimates are recognised in the period in which the estimate is revised and also in future periods that are affected by the revision. Judgements and assumptions made by management in the application of AASs that have significant effects on the financial statements and estimates relate to: </w:t>
      </w:r>
    </w:p>
    <w:p w:rsidR="004843DB" w:rsidRPr="0062582F" w:rsidRDefault="004843DB" w:rsidP="004843DB">
      <w:pPr>
        <w:pStyle w:val="Bullet"/>
        <w:spacing w:before="100"/>
      </w:pPr>
      <w:r w:rsidRPr="0062582F">
        <w:t xml:space="preserve">the fair value of land, buildings, infrastructure, plant and equipment (refer to </w:t>
      </w:r>
      <w:r w:rsidRPr="0062582F">
        <w:rPr>
          <w:rFonts w:eastAsia="Times New Roman" w:cs="Times New Roman"/>
        </w:rPr>
        <w:t>Note</w:t>
      </w:r>
      <w:r w:rsidRPr="0062582F">
        <w:t> 1(M));</w:t>
      </w:r>
    </w:p>
    <w:p w:rsidR="004843DB" w:rsidRPr="0062582F" w:rsidRDefault="004843DB" w:rsidP="004843DB">
      <w:pPr>
        <w:pStyle w:val="Bullet"/>
        <w:spacing w:before="100"/>
      </w:pPr>
      <w:r w:rsidRPr="0062582F">
        <w:rPr>
          <w:rFonts w:eastAsia="Times New Roman" w:cs="Times New Roman"/>
        </w:rPr>
        <w:t>superannuation</w:t>
      </w:r>
      <w:r w:rsidRPr="0062582F">
        <w:t xml:space="preserve"> expense (refer to Note 1(H); </w:t>
      </w:r>
    </w:p>
    <w:p w:rsidR="004843DB" w:rsidRPr="0062582F" w:rsidRDefault="004843DB" w:rsidP="004843DB">
      <w:pPr>
        <w:pStyle w:val="Bullet"/>
        <w:spacing w:before="100"/>
      </w:pPr>
      <w:r w:rsidRPr="0062582F">
        <w:rPr>
          <w:rFonts w:eastAsia="Times New Roman" w:cs="Times New Roman"/>
        </w:rPr>
        <w:t>actuarial</w:t>
      </w:r>
      <w:r w:rsidRPr="0062582F">
        <w:t xml:space="preserve"> assumptions for employee benefit provisions based on likely tenure of existing staff, patterns of leave claims, future salary movements and future discount rates (refer to Note 1(N)); and</w:t>
      </w:r>
    </w:p>
    <w:p w:rsidR="004843DB" w:rsidRPr="0062582F" w:rsidRDefault="004843DB" w:rsidP="004843DB">
      <w:pPr>
        <w:pStyle w:val="Bullet"/>
        <w:spacing w:before="100"/>
      </w:pPr>
      <w:r w:rsidRPr="0062582F">
        <w:t>equities and managed investment schemes classified at level 3 of the fair value hierarchy (refer to Note 33).</w:t>
      </w:r>
    </w:p>
    <w:p w:rsidR="004843DB" w:rsidRPr="0062582F" w:rsidRDefault="004843DB" w:rsidP="004843DB">
      <w:pPr>
        <w:pStyle w:val="NormalBlue"/>
        <w:rPr>
          <w:i/>
        </w:rPr>
      </w:pPr>
      <w:r w:rsidRPr="0062582F">
        <w:rPr>
          <w:i/>
        </w:rPr>
        <w:t>[Entities to include other examples as appropriate.]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101.51(d), 121.11 and 53</w:t>
      </w:r>
    </w:p>
    <w:p w:rsidR="004843DB" w:rsidRPr="0062582F" w:rsidRDefault="004843DB" w:rsidP="004843DB">
      <w:r w:rsidRPr="0062582F">
        <w:br w:type="column"/>
      </w:r>
      <w:r w:rsidRPr="0062582F">
        <w:lastRenderedPageBreak/>
        <w:t xml:space="preserve">These financial statements are presented in Australian dollars, and prepared in accordance with the historical cost convention except for: </w:t>
      </w:r>
    </w:p>
    <w:p w:rsidR="004843DB" w:rsidRPr="0062582F" w:rsidRDefault="004843DB" w:rsidP="004843DB">
      <w:pPr>
        <w:pStyle w:val="Bullet"/>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FRD 104</w:t>
      </w:r>
    </w:p>
    <w:p w:rsidR="004843DB" w:rsidRPr="0062582F" w:rsidRDefault="004843DB" w:rsidP="004843DB">
      <w:pPr>
        <w:pStyle w:val="Bullet"/>
        <w:spacing w:before="100"/>
      </w:pPr>
      <w:r w:rsidRPr="0062582F">
        <w:br w:type="column"/>
      </w:r>
      <w:r w:rsidRPr="0062582F">
        <w:lastRenderedPageBreak/>
        <w:t>non</w:t>
      </w:r>
      <w:r w:rsidR="005A4BB0">
        <w:noBreakHyphen/>
      </w:r>
      <w:r w:rsidRPr="0062582F">
        <w:t>financial physical assets which, subsequent to acquisition, are measured at a revalued amount being their fair value at the date of the revaluation less any subsequent accumulated depreciation and subsequent impairment losses. Revaluations are made with sufficient regularity to ensure that the carrying amounts do not materially differ from their fair value;</w:t>
      </w:r>
    </w:p>
    <w:p w:rsidR="004843DB" w:rsidRPr="0062582F" w:rsidRDefault="004843DB" w:rsidP="004843DB">
      <w:pPr>
        <w:pStyle w:val="Bullet"/>
        <w:spacing w:before="100"/>
      </w:pPr>
      <w:r w:rsidRPr="0062582F">
        <w:t xml:space="preserve">productive trees in commercial native forests which are measured at their fair value less costs to sell; </w:t>
      </w:r>
    </w:p>
    <w:p w:rsidR="004843DB" w:rsidRPr="0062582F" w:rsidRDefault="004843DB" w:rsidP="004843DB">
      <w:pPr>
        <w:pStyle w:val="Bullet"/>
        <w:spacing w:before="100"/>
      </w:pPr>
      <w:r w:rsidRPr="0062582F">
        <w:t xml:space="preserve">derivative financial instruments, managed investment schemes, certain debt securities, investment properties after initial recognition, which are measured at fair value with changes reflected in the comprehensive operating statement (fair value through profit and loss); </w:t>
      </w:r>
    </w:p>
    <w:p w:rsidR="004843DB" w:rsidRPr="0062582F" w:rsidRDefault="004843DB" w:rsidP="004843DB">
      <w:pPr>
        <w:pStyle w:val="Bullet"/>
        <w:spacing w:before="100"/>
      </w:pPr>
      <w:r w:rsidRPr="0062582F">
        <w:t xml:space="preserve">certain liabilities, most notably… </w:t>
      </w:r>
      <w:r w:rsidRPr="0062582F">
        <w:rPr>
          <w:i/>
          <w:color w:val="0000FF"/>
        </w:rPr>
        <w:t>[add liabilities or omit where appropriate]</w:t>
      </w:r>
      <w:r w:rsidRPr="0062582F">
        <w:t>; and</w:t>
      </w:r>
    </w:p>
    <w:p w:rsidR="004843DB" w:rsidRPr="0062582F" w:rsidRDefault="004843DB" w:rsidP="004843DB">
      <w:pPr>
        <w:pStyle w:val="Bullet"/>
        <w:spacing w:before="100"/>
      </w:pPr>
      <w:r w:rsidRPr="0062582F">
        <w:t>available</w:t>
      </w:r>
      <w:r w:rsidR="005A4BB0">
        <w:noBreakHyphen/>
      </w:r>
      <w:r w:rsidRPr="0062582F">
        <w:t>for</w:t>
      </w:r>
      <w:r w:rsidR="005A4BB0">
        <w:noBreakHyphen/>
      </w:r>
      <w:r w:rsidRPr="0062582F">
        <w:t xml:space="preserve">sale investments which are measured at fair value with movements reflected in </w:t>
      </w:r>
      <w:r w:rsidR="005A4BB0">
        <w:t>‘</w:t>
      </w:r>
      <w:r w:rsidRPr="0062582F">
        <w:t>other economic flows – other comprehensive income.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40"/>
      </w:pPr>
      <w:r w:rsidRPr="0062582F">
        <w:rPr>
          <w:rStyle w:val="ReferenceChar"/>
          <w:bCs/>
          <w:kern w:val="28"/>
        </w:rPr>
        <w:lastRenderedPageBreak/>
        <w:t>AASB 13.93(g)</w:t>
      </w:r>
    </w:p>
    <w:p w:rsidR="004843DB" w:rsidRPr="0062582F" w:rsidRDefault="004843DB" w:rsidP="004843DB">
      <w:r w:rsidRPr="0062582F">
        <w:br w:type="column"/>
      </w:r>
      <w:r w:rsidRPr="0062582F">
        <w:lastRenderedPageBreak/>
        <w:t xml:space="preserve">Consistent with AASB 13 </w:t>
      </w:r>
      <w:r w:rsidRPr="0062582F">
        <w:rPr>
          <w:i/>
        </w:rPr>
        <w:t>Fair Value Measurement</w:t>
      </w:r>
      <w:r w:rsidRPr="0062582F">
        <w:t>, the Department determines the policies and procedures for both recurring fair value measurements such as property, plant and equipment, biological assets, investment properties and financial instruments and for non</w:t>
      </w:r>
      <w:r w:rsidR="005A4BB0">
        <w:noBreakHyphen/>
      </w:r>
      <w:r w:rsidRPr="0062582F">
        <w:t>recurring fair value measurements such as non</w:t>
      </w:r>
      <w:r w:rsidR="005A4BB0">
        <w:noBreakHyphen/>
      </w:r>
      <w:r w:rsidRPr="0062582F">
        <w:t>financial physical assets held for sale, in accordance with the requirements of AASB 13 and the relevant Financial Reporting Directions.</w:t>
      </w:r>
    </w:p>
    <w:p w:rsidR="004843DB" w:rsidRPr="0062582F" w:rsidRDefault="004843DB" w:rsidP="004843DB">
      <w:r w:rsidRPr="0062582F">
        <w:t xml:space="preserve">All assets and liabilities for which fair value is measured or disclosed in the financial statements are categorised within the fair value hierarchy, described as follows, based on the lowest level input that is significant to the fair value measurement as a whole: </w:t>
      </w:r>
    </w:p>
    <w:p w:rsidR="004843DB" w:rsidRPr="0062582F" w:rsidRDefault="004843DB" w:rsidP="004843DB">
      <w:pPr>
        <w:pStyle w:val="Bullet"/>
        <w:spacing w:before="100"/>
      </w:pPr>
      <w:r w:rsidRPr="0062582F">
        <w:t xml:space="preserve">Level 1 – Quoted (unadjusted) market prices in active markets for identical assets or liabilities </w:t>
      </w:r>
    </w:p>
    <w:p w:rsidR="004843DB" w:rsidRPr="0062582F" w:rsidRDefault="004843DB" w:rsidP="004843DB">
      <w:pPr>
        <w:pStyle w:val="Bullet"/>
        <w:spacing w:before="100"/>
      </w:pPr>
      <w:r w:rsidRPr="0062582F">
        <w:t>Level 2 – Valuation techniques for which the lowest level input that is significant to the fair value measurement is directly or indirectly observable; and</w:t>
      </w:r>
    </w:p>
    <w:p w:rsidR="004843DB" w:rsidRPr="0062582F" w:rsidRDefault="004843DB" w:rsidP="004843DB">
      <w:pPr>
        <w:pStyle w:val="Bullet"/>
        <w:spacing w:before="100"/>
      </w:pPr>
      <w:r w:rsidRPr="0062582F">
        <w:t>Level 3 – Valuation techniques for which the lowest level input that is significant to the fair value measurement is unobservable.</w:t>
      </w:r>
    </w:p>
    <w:p w:rsidR="004843DB" w:rsidRPr="0062582F" w:rsidRDefault="004843DB" w:rsidP="004843DB">
      <w:r w:rsidRPr="0062582F">
        <w:t>For the purpose of fair value disclosures, the Department has determined classes of assets and liabilities on the basis of the nature, characteristics and risks of the asset or liability and the level of the fair value hierarchy as explained above.</w:t>
      </w:r>
    </w:p>
    <w:p w:rsidR="004843DB" w:rsidRPr="0062582F" w:rsidRDefault="004843DB" w:rsidP="004843DB">
      <w:pPr>
        <w:pStyle w:val="Bullet"/>
        <w:numPr>
          <w:ilvl w:val="0"/>
          <w:numId w:val="0"/>
        </w:numPr>
        <w:ind w:left="360" w:hanging="360"/>
      </w:pPr>
    </w:p>
    <w:p w:rsidR="004843DB" w:rsidRPr="0062582F" w:rsidRDefault="004843DB" w:rsidP="004843DB">
      <w:pPr>
        <w:pStyle w:val="Bullet"/>
        <w:numPr>
          <w:ilvl w:val="0"/>
          <w:numId w:val="0"/>
        </w:numPr>
        <w:ind w:left="360" w:hanging="360"/>
      </w:pPr>
    </w:p>
    <w:p w:rsidR="004843DB" w:rsidRPr="0062582F" w:rsidRDefault="004843DB" w:rsidP="004843DB">
      <w:pPr>
        <w:pStyle w:val="Bullet"/>
        <w:numPr>
          <w:ilvl w:val="0"/>
          <w:numId w:val="0"/>
        </w:numPr>
        <w:ind w:left="360" w:hanging="360"/>
      </w:pPr>
    </w:p>
    <w:p w:rsidR="004843DB" w:rsidRPr="0062582F" w:rsidRDefault="004843DB" w:rsidP="004843DB">
      <w:pPr>
        <w:pStyle w:val="Reference"/>
      </w:pPr>
    </w:p>
    <w:p w:rsidR="004843DB" w:rsidRPr="0062582F" w:rsidRDefault="004843DB" w:rsidP="004843DB">
      <w:pPr>
        <w:pStyle w:val="NoteHeadingcontinued"/>
      </w:pPr>
      <w:r w:rsidRPr="0062582F">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r w:rsidRPr="0062582F">
        <w:t>In addition, the Department determines whether transfers have occurred between levels in the hierarchy by reassessing categorisation (based on the lowest level input that is significant to the fair value measurement as a whole) at the end of each reporting period.</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titlePg/>
          <w:docGrid w:linePitch="299"/>
        </w:sectPr>
      </w:pPr>
    </w:p>
    <w:p w:rsidR="004843DB" w:rsidRPr="0062582F" w:rsidRDefault="004843DB" w:rsidP="004843DB">
      <w:pPr>
        <w:pStyle w:val="Reference"/>
      </w:pPr>
      <w:r w:rsidRPr="0062582F">
        <w:lastRenderedPageBreak/>
        <w:t>AASB 13. 95</w:t>
      </w:r>
    </w:p>
    <w:p w:rsidR="004843DB" w:rsidRPr="0062582F" w:rsidRDefault="004843DB" w:rsidP="004843DB">
      <w:r w:rsidRPr="0062582F">
        <w:br w:type="column"/>
      </w:r>
      <w:r w:rsidRPr="0062582F">
        <w:lastRenderedPageBreak/>
        <w:t>The Valuer</w:t>
      </w:r>
      <w:r w:rsidR="005A4BB0">
        <w:noBreakHyphen/>
      </w:r>
      <w:r w:rsidRPr="0062582F">
        <w:t>General Victoria (VGV) is the Department</w:t>
      </w:r>
      <w:r w:rsidR="005A4BB0">
        <w:t>’</w:t>
      </w:r>
      <w:r w:rsidRPr="0062582F">
        <w:t xml:space="preserve">s independent valuation agency. </w:t>
      </w:r>
    </w:p>
    <w:p w:rsidR="004843DB" w:rsidRPr="0062582F" w:rsidRDefault="004843DB" w:rsidP="004843DB">
      <w:pPr>
        <w:pStyle w:val="NormalBlue"/>
        <w:rPr>
          <w:i/>
        </w:rPr>
      </w:pPr>
      <w:r w:rsidRPr="0062582F">
        <w:rPr>
          <w:i/>
        </w:rPr>
        <w:t>[There may be occasions when the entity utilises the services of other external third party valuers to determine fair value. Please disclose the fact if so.]</w:t>
      </w:r>
    </w:p>
    <w:p w:rsidR="004843DB" w:rsidRPr="0062582F" w:rsidRDefault="004843DB" w:rsidP="004843DB">
      <w:r w:rsidRPr="0062582F">
        <w:t xml:space="preserve">The Department, in conjunction with VGV </w:t>
      </w:r>
      <w:r w:rsidRPr="0062582F">
        <w:rPr>
          <w:i/>
          <w:color w:val="0000FF"/>
        </w:rPr>
        <w:t>[and other external valuers, if applicable]</w:t>
      </w:r>
      <w:r w:rsidRPr="0062582F">
        <w:t>, monitors changes in the fair value of each asset and liability through relevant data sources to determine whether revaluation is required.</w:t>
      </w:r>
    </w:p>
    <w:p w:rsidR="004843DB" w:rsidRPr="0062582F" w:rsidRDefault="004843DB" w:rsidP="004843DB">
      <w:r w:rsidRPr="0062582F">
        <w:rPr>
          <w:i/>
          <w:color w:val="0000FF"/>
        </w:rPr>
        <w:t>[An entity is required to provide a description of the valuation policies and processes used by the entity (including, for example, how an entity decides its valuation policies and procedures and analyses changes in fair value measurements from period to period.]</w:t>
      </w:r>
      <w:r w:rsidRPr="0062582F">
        <w:t xml:space="preserve"> </w:t>
      </w:r>
    </w:p>
    <w:p w:rsidR="004843DB" w:rsidRPr="0062582F" w:rsidRDefault="004843DB" w:rsidP="004843DB">
      <w:pPr>
        <w:pStyle w:val="Heading3Numbering"/>
      </w:pPr>
      <w:r w:rsidRPr="0062582F">
        <w:t>Reporting entity</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lastRenderedPageBreak/>
        <w:t>AASB 101.138(a)</w:t>
      </w:r>
    </w:p>
    <w:p w:rsidR="004843DB" w:rsidRPr="0062582F" w:rsidRDefault="004843DB" w:rsidP="004843DB">
      <w:r w:rsidRPr="0062582F">
        <w:br w:type="column"/>
      </w:r>
      <w:r w:rsidRPr="0062582F">
        <w:lastRenderedPageBreak/>
        <w:t xml:space="preserve">The financial statements cover the Department as an individual reporting entity. </w:t>
      </w:r>
    </w:p>
    <w:p w:rsidR="004843DB" w:rsidRPr="0062582F" w:rsidRDefault="004843DB" w:rsidP="004843DB">
      <w:r w:rsidRPr="0062582F">
        <w:t xml:space="preserve">The Department is a government department of the State of Victoria, established pursuant to an order made by the Premier under the </w:t>
      </w:r>
      <w:r w:rsidRPr="0062582F">
        <w:rPr>
          <w:i/>
        </w:rPr>
        <w:t>Administrative Arrangements Act 1983</w:t>
      </w:r>
      <w:r w:rsidRPr="0062582F">
        <w:t xml:space="preserve">. </w:t>
      </w:r>
    </w:p>
    <w:p w:rsidR="004843DB" w:rsidRPr="0062582F" w:rsidRDefault="004843DB" w:rsidP="004843DB">
      <w:r w:rsidRPr="0062582F">
        <w:t>Its principal address is:</w:t>
      </w:r>
    </w:p>
    <w:p w:rsidR="004843DB" w:rsidRPr="0062582F" w:rsidRDefault="004843DB" w:rsidP="004843DB">
      <w:pPr>
        <w:pStyle w:val="NormalIndent2"/>
        <w:ind w:left="360"/>
      </w:pPr>
      <w:r w:rsidRPr="0062582F">
        <w:t>Department of Technology</w:t>
      </w:r>
      <w:r w:rsidRPr="0062582F">
        <w:br/>
        <w:t>1 Victoria Place</w:t>
      </w:r>
      <w:r w:rsidRPr="0062582F">
        <w:br/>
        <w:t>Melbourne VIC 3000</w:t>
      </w:r>
    </w:p>
    <w:p w:rsidR="004843DB" w:rsidRPr="0062582F" w:rsidRDefault="004843DB" w:rsidP="004843DB">
      <w:pPr>
        <w:pStyle w:val="NormalIndent2"/>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rPr>
          <w:lang w:val="en-AU"/>
        </w:rPr>
        <w:lastRenderedPageBreak/>
        <w:t>AASB 101.138(c)</w:t>
      </w:r>
    </w:p>
    <w:p w:rsidR="004843DB" w:rsidRPr="0062582F" w:rsidRDefault="004843DB" w:rsidP="004843DB">
      <w:r w:rsidRPr="0062582F">
        <w:br w:type="column"/>
      </w:r>
      <w:r w:rsidRPr="0062582F">
        <w:lastRenderedPageBreak/>
        <w:t>The Department is administrative agency acting on behalf of the Crown.</w:t>
      </w:r>
    </w:p>
    <w:p w:rsidR="004843DB" w:rsidRPr="0062582F" w:rsidRDefault="004843DB" w:rsidP="004843DB">
      <w:pPr>
        <w:rPr>
          <w:b/>
          <w:bCs/>
        </w:rPr>
        <w:sectPr w:rsidR="004843DB" w:rsidRPr="0062582F" w:rsidSect="00190A01">
          <w:headerReference w:type="even" r:id="rId214"/>
          <w:headerReference w:type="default" r:id="rId215"/>
          <w:headerReference w:type="first" r:id="rId216"/>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r w:rsidRPr="0062582F">
        <w:lastRenderedPageBreak/>
        <w:br w:type="column"/>
      </w:r>
      <w:r w:rsidRPr="0062582F">
        <w:lastRenderedPageBreak/>
        <w:t xml:space="preserve">The financial statements include all the controlled activities of the Department. </w:t>
      </w:r>
    </w:p>
    <w:p w:rsidR="004843DB" w:rsidRPr="0062582F" w:rsidRDefault="004843DB" w:rsidP="004843DB">
      <w:r w:rsidRPr="0062582F">
        <w:t>The following statutory bodies are included in the Department</w:t>
      </w:r>
      <w:r w:rsidR="005A4BB0">
        <w:t>’</w:t>
      </w:r>
      <w:r w:rsidRPr="0062582F">
        <w:t>s reporting entity:</w:t>
      </w:r>
    </w:p>
    <w:p w:rsidR="004843DB" w:rsidRPr="0062582F" w:rsidRDefault="004843DB" w:rsidP="004843DB">
      <w:pPr>
        <w:pStyle w:val="Bullet"/>
      </w:pPr>
      <w:r w:rsidRPr="0062582F">
        <w:t xml:space="preserve">Gene Sciences Victoria is a business unit of the Department established under the </w:t>
      </w:r>
      <w:r w:rsidRPr="0062582F">
        <w:rPr>
          <w:i/>
        </w:rPr>
        <w:t xml:space="preserve">Biological Technology Act 1998 </w:t>
      </w:r>
      <w:r w:rsidRPr="0062582F">
        <w:t>(the Act). The unit is headed by the Director of Gene Sciences, established under s15 of the Act. The Director</w:t>
      </w:r>
      <w:r w:rsidR="005A4BB0">
        <w:t>’</w:t>
      </w:r>
      <w:r w:rsidRPr="0062582F">
        <w:t>s powers and functions are set out in s16 of the Act. The Director reports to the Secretary of the Department.</w:t>
      </w:r>
    </w:p>
    <w:p w:rsidR="004843DB" w:rsidRPr="0062582F" w:rsidRDefault="004843DB" w:rsidP="004843DB">
      <w:pPr>
        <w:pStyle w:val="Bullet"/>
        <w:rPr>
          <w:b/>
          <w:bCs/>
        </w:rPr>
      </w:pPr>
      <w:r w:rsidRPr="0062582F">
        <w:t xml:space="preserve">The Office of the Commissioner of New Technology is an administrative unit of the Department established under the </w:t>
      </w:r>
      <w:r w:rsidRPr="0062582F">
        <w:rPr>
          <w:i/>
        </w:rPr>
        <w:t>New Technology Act 1999</w:t>
      </w:r>
      <w:r w:rsidRPr="0062582F">
        <w:t xml:space="preserve"> (the Act). The powers and function of the Commissioner are set out in s50 of the Act. The Commissioner reports directly to the Minister for New Technology on policy matters but reports to the Secretary on all operational and administrative matters.</w:t>
      </w:r>
    </w:p>
    <w:p w:rsidR="004843DB" w:rsidRPr="0062582F" w:rsidRDefault="004843DB" w:rsidP="004843DB">
      <w:pPr>
        <w:pStyle w:val="Bullet"/>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r w:rsidRPr="0062582F">
        <w:t xml:space="preserve">The Innovation Victoria is an entity of the Department established under the </w:t>
      </w:r>
      <w:r w:rsidRPr="0062582F">
        <w:rPr>
          <w:i/>
        </w:rPr>
        <w:t xml:space="preserve">Innovation Victoria Act 2015 </w:t>
      </w:r>
      <w:r w:rsidRPr="0062582F">
        <w:t>(the Act). The entity is headed by the Director of Innovation, established under s15 of the Act. The powers and function of the Innovation Victoria are set out in s21 of the Act. The Director reports to the Secretary of the Department.</w:t>
      </w:r>
    </w:p>
    <w:p w:rsidR="004843DB" w:rsidRPr="0062582F" w:rsidRDefault="004843DB" w:rsidP="004843DB">
      <w:pPr>
        <w:pStyle w:val="Reference"/>
        <w:rPr>
          <w:lang w:val="en-AU"/>
        </w:rPr>
      </w:pPr>
      <w:r w:rsidRPr="0062582F">
        <w:rPr>
          <w:lang w:val="en-AU"/>
        </w:rPr>
        <w:lastRenderedPageBreak/>
        <w:t>AASB 101.138(b)</w:t>
      </w:r>
    </w:p>
    <w:p w:rsidR="004843DB" w:rsidRPr="0062582F" w:rsidRDefault="004843DB" w:rsidP="004843DB">
      <w:r w:rsidRPr="0062582F">
        <w:br w:type="column"/>
      </w:r>
      <w:r w:rsidRPr="0062582F">
        <w:lastRenderedPageBreak/>
        <w:t>A description of the nature of the Department</w:t>
      </w:r>
      <w:r w:rsidR="005A4BB0">
        <w:t>’</w:t>
      </w:r>
      <w:r w:rsidRPr="0062582F">
        <w:t xml:space="preserve">s operations and its principal activities is included in the report of operations on </w:t>
      </w:r>
      <w:r w:rsidRPr="00E23CD5">
        <w:t>page 13, which does not form part of these financial statements.</w:t>
      </w:r>
    </w:p>
    <w:p w:rsidR="004843DB" w:rsidRPr="0062582F" w:rsidRDefault="004843DB" w:rsidP="004843DB">
      <w:pPr>
        <w:pStyle w:val="Heading4"/>
      </w:pPr>
      <w:r w:rsidRPr="0062582F">
        <w:t>Objectives and funding</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40"/>
        <w:rPr>
          <w:lang w:val="en-AU"/>
        </w:rPr>
      </w:pPr>
      <w:r w:rsidRPr="0062582F">
        <w:rPr>
          <w:lang w:val="en-AU"/>
        </w:rPr>
        <w:lastRenderedPageBreak/>
        <w:t>FRD 9A</w:t>
      </w:r>
    </w:p>
    <w:p w:rsidR="004843DB" w:rsidRPr="0062582F" w:rsidRDefault="004843DB" w:rsidP="004843DB">
      <w:pPr>
        <w:pStyle w:val="Reference"/>
        <w:spacing w:before="0"/>
        <w:rPr>
          <w:lang w:val="en-AU"/>
        </w:rPr>
      </w:pPr>
      <w:r w:rsidRPr="0062582F">
        <w:rPr>
          <w:lang w:val="en-AU"/>
        </w:rPr>
        <w:t>AASB 1052.15(b)</w:t>
      </w:r>
    </w:p>
    <w:p w:rsidR="004843DB" w:rsidRPr="0062582F" w:rsidRDefault="004843DB" w:rsidP="004843DB">
      <w:pPr>
        <w:pStyle w:val="Reference"/>
        <w:spacing w:before="0"/>
        <w:rPr>
          <w:lang w:val="en-AU"/>
        </w:rPr>
      </w:pPr>
      <w:r w:rsidRPr="0062582F">
        <w:rPr>
          <w:lang w:val="en-AU"/>
        </w:rPr>
        <w:t>AASB 1050.7</w:t>
      </w:r>
    </w:p>
    <w:p w:rsidR="004843DB" w:rsidRPr="0062582F" w:rsidRDefault="004843DB" w:rsidP="004843DB">
      <w:r w:rsidRPr="0062582F">
        <w:br w:type="column"/>
      </w:r>
      <w:r w:rsidRPr="0062582F">
        <w:lastRenderedPageBreak/>
        <w:t>The Department</w:t>
      </w:r>
      <w:r w:rsidR="005A4BB0">
        <w:t>’</w:t>
      </w:r>
      <w:r w:rsidRPr="0062582F">
        <w:t xml:space="preserve">s overall objective is to research, develop, promote and support the use of leading edge information, biological technology and telecommunications in the public and private sectors, that brings improvements to the efficiency and effectiveness of government operation, as well as improvements to the quality of life of Victorians. </w:t>
      </w:r>
    </w:p>
    <w:p w:rsidR="004843DB" w:rsidRPr="0062582F" w:rsidRDefault="004843DB" w:rsidP="004843DB">
      <w:pPr>
        <w:spacing w:before="0" w:line="240" w:lineRule="atLeast"/>
      </w:pPr>
      <w:r w:rsidRPr="0062582F">
        <w:br w:type="page"/>
      </w:r>
    </w:p>
    <w:p w:rsidR="004843DB" w:rsidRPr="0062582F" w:rsidRDefault="004843DB" w:rsidP="004843DB">
      <w:pPr>
        <w:pStyle w:val="NoteHeadingcontinued"/>
      </w:pPr>
      <w:r w:rsidRPr="0062582F">
        <w:lastRenderedPageBreak/>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r w:rsidRPr="0062582F">
        <w:t xml:space="preserve">The Department is predominantly funded by accrual based parliamentary appropriations for the provision of outputs that are further described in Note 2 </w:t>
      </w:r>
      <w:r w:rsidRPr="0062582F">
        <w:rPr>
          <w:i/>
        </w:rPr>
        <w:t>Departmental (controlled) outputs</w:t>
      </w:r>
      <w:r w:rsidRPr="0062582F">
        <w:t>. It provides, on a fee for service basis, advice and other services on information technology and telecommunications. The fees charged for these services are determined by prevailing market forces.</w:t>
      </w:r>
    </w:p>
    <w:p w:rsidR="004843DB" w:rsidRPr="0062582F" w:rsidRDefault="004843DB" w:rsidP="004843DB">
      <w:pPr>
        <w:pStyle w:val="Heading4"/>
      </w:pPr>
      <w:r w:rsidRPr="0062582F">
        <w:t>Outputs of the Department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20"/>
        <w:rPr>
          <w:lang w:val="en-AU"/>
        </w:rPr>
      </w:pPr>
      <w:r w:rsidRPr="0062582F">
        <w:rPr>
          <w:lang w:val="en-AU"/>
        </w:rPr>
        <w:lastRenderedPageBreak/>
        <w:t>AASB 1052.15(a), (c)</w:t>
      </w:r>
      <w:r w:rsidR="005A4BB0">
        <w:rPr>
          <w:lang w:val="en-AU"/>
        </w:rPr>
        <w:noBreakHyphen/>
      </w:r>
      <w:r w:rsidRPr="0062582F">
        <w:rPr>
          <w:lang w:val="en-AU"/>
        </w:rPr>
        <w:t>(d)</w:t>
      </w:r>
    </w:p>
    <w:p w:rsidR="004843DB" w:rsidRPr="0062582F" w:rsidRDefault="004843DB" w:rsidP="004843DB">
      <w:r w:rsidRPr="0062582F">
        <w:br w:type="column"/>
      </w:r>
      <w:r w:rsidRPr="0062582F">
        <w:lastRenderedPageBreak/>
        <w:t>Information about the Department</w:t>
      </w:r>
      <w:r w:rsidR="005A4BB0">
        <w:t>’</w:t>
      </w:r>
      <w:r w:rsidRPr="0062582F">
        <w:t>s output activities, and the expenses, income, assets and liabilities which are reliably attributable to those output activities is set out in the output activities schedule (Note 2). Information about expenses, income, assets and liabilities administered by the Department are given in the schedule of administered expenses and income and the schedule of administered assets and liabilities (see Note 3).</w:t>
      </w:r>
    </w:p>
    <w:p w:rsidR="004843DB" w:rsidRPr="0062582F" w:rsidRDefault="004843DB" w:rsidP="004843DB">
      <w:r w:rsidRPr="0062582F">
        <w:t xml:space="preserve">As a consequence of machinery of government administrative changes announced on 2 August 2015, financial statements of the Department reflect the actual period of responsibility for the outputs, being the period from 1 July to 31 August 2015 for the transferred output New Technology Administration and from 1 September 2015 to 30 June 2016 for the received output research and development for biological technology. Comparative amounts for the prior year have not been adjusted. </w:t>
      </w:r>
    </w:p>
    <w:p w:rsidR="004843DB" w:rsidRPr="0062582F" w:rsidRDefault="004843DB" w:rsidP="004843DB">
      <w:r w:rsidRPr="0062582F">
        <w:t>Details of assets and liabilities transferred into the Department and other information relating to machinery of government changes are reflected in Note 2 and Note 9.</w:t>
      </w:r>
    </w:p>
    <w:p w:rsidR="004843DB" w:rsidRPr="0062582F" w:rsidRDefault="004843DB" w:rsidP="004843DB">
      <w:pPr>
        <w:pStyle w:val="Heading3Numbering"/>
      </w:pPr>
      <w:r w:rsidRPr="0062582F">
        <w:t>Basis of consolidation</w:t>
      </w:r>
    </w:p>
    <w:p w:rsidR="004843DB" w:rsidRPr="0062582F" w:rsidRDefault="004843DB" w:rsidP="004843DB">
      <w:r w:rsidRPr="0062582F">
        <w:t xml:space="preserve">In accordance with AASB 10 </w:t>
      </w:r>
      <w:r w:rsidRPr="0062582F">
        <w:rPr>
          <w:i/>
        </w:rPr>
        <w:t>Consolidated Financial Statements</w:t>
      </w:r>
      <w:r w:rsidRPr="0062582F">
        <w:t>:</w:t>
      </w:r>
    </w:p>
    <w:p w:rsidR="004843DB" w:rsidRPr="0062582F" w:rsidRDefault="004843DB" w:rsidP="004843DB">
      <w:pPr>
        <w:pStyle w:val="Bullet"/>
      </w:pPr>
      <w:r w:rsidRPr="0062582F">
        <w:t>the consolidated financial statements of the Department include all reporting entities controlled by the Department as at 30 June 2016; and</w:t>
      </w:r>
    </w:p>
    <w:p w:rsidR="004843DB" w:rsidRPr="0062582F" w:rsidRDefault="004843DB" w:rsidP="004843DB">
      <w:pPr>
        <w:pStyle w:val="Bullet"/>
      </w:pPr>
      <w:r w:rsidRPr="0062582F">
        <w:t>the consolidated financial statements exclude bodies in the Department</w:t>
      </w:r>
      <w:r w:rsidR="005A4BB0">
        <w:t>’</w:t>
      </w:r>
      <w:r w:rsidRPr="0062582F">
        <w:t>s portfolio that are not controlled by the Department, and therefore are not consolidated. Bodies and activities that are administered (see explanation below under administered items) are also not controlled and not consolidated.</w:t>
      </w:r>
    </w:p>
    <w:p w:rsidR="004843DB" w:rsidRPr="0062582F" w:rsidRDefault="004843DB" w:rsidP="004843DB">
      <w:r w:rsidRPr="0062582F">
        <w:t>Where control of an entity is obtained during the financial period, its results are included in the comprehensive operating statement from the date on which control commenced. Where control ceases during a financial period, the entity</w:t>
      </w:r>
      <w:r w:rsidR="005A4BB0">
        <w:t>’</w:t>
      </w:r>
      <w:r w:rsidRPr="0062582F">
        <w:t>s results are included for that part of the period in which control existed. Where entities adopt dissimilar accounting policies and their effect is considered material, adjustments are made to ensure consistent policies are adopted in these financial statements.</w:t>
      </w:r>
    </w:p>
    <w:p w:rsidR="004843DB" w:rsidRPr="0062582F" w:rsidRDefault="004843DB" w:rsidP="004843DB">
      <w:r w:rsidRPr="0062582F">
        <w:t>In preparing consolidated financial statements for the Department, all material transactions and balances between consolidated entities are eliminated.</w:t>
      </w:r>
    </w:p>
    <w:p w:rsidR="004843DB" w:rsidRPr="0062582F" w:rsidRDefault="004843DB" w:rsidP="004843DB">
      <w:r w:rsidRPr="0062582F">
        <w:rPr>
          <w:i/>
          <w:color w:val="0000FF"/>
        </w:rPr>
        <w:t>[Include if appropriate]</w:t>
      </w:r>
      <w:r w:rsidRPr="0062582F">
        <w:t xml:space="preserve"> Entities consolidated into the Department reporting entity include: </w:t>
      </w:r>
      <w:r w:rsidRPr="0062582F">
        <w:br/>
      </w:r>
      <w:r w:rsidRPr="0062582F">
        <w:rPr>
          <w:i/>
          <w:color w:val="0000FF"/>
        </w:rPr>
        <w:t>[insert list]</w:t>
      </w:r>
      <w:r w:rsidRPr="0062582F">
        <w:rPr>
          <w:i/>
        </w:rPr>
        <w:t xml:space="preserve">. </w:t>
      </w:r>
    </w:p>
    <w:p w:rsidR="004843DB" w:rsidRPr="0062582F" w:rsidRDefault="004843DB" w:rsidP="004843DB">
      <w:pPr>
        <w:pStyle w:val="NormalBlue"/>
        <w:rPr>
          <w:rFonts w:asciiTheme="minorHAnsi" w:hAnsiTheme="minorHAnsi" w:cstheme="minorHAnsi"/>
          <w:i/>
          <w:color w:val="FF0000"/>
          <w:sz w:val="16"/>
          <w:szCs w:val="16"/>
        </w:rPr>
      </w:pPr>
      <w:r w:rsidRPr="0062582F">
        <w:rPr>
          <w:i/>
        </w:rPr>
        <w:t>[Entities should assess the facts and circumstances in accordance with AASB 10, including the not</w:t>
      </w:r>
      <w:r w:rsidR="005A4BB0">
        <w:rPr>
          <w:i/>
        </w:rPr>
        <w:noBreakHyphen/>
      </w:r>
      <w:r w:rsidRPr="0062582F">
        <w:rPr>
          <w:i/>
        </w:rPr>
        <w:t>for</w:t>
      </w:r>
      <w:r w:rsidR="005A4BB0">
        <w:rPr>
          <w:i/>
        </w:rPr>
        <w:noBreakHyphen/>
      </w:r>
      <w:r w:rsidRPr="0062582F">
        <w:rPr>
          <w:i/>
        </w:rPr>
        <w:t xml:space="preserve">profit implementation guidance to determine whether there are any changes to the entities that need to be consolidated into the group. Please refer to Appendix 7 </w:t>
      </w:r>
      <w:r w:rsidRPr="0062582F">
        <w:t>AASB 10 Consolidated Financial Statements Checklist – Control analysis</w:t>
      </w:r>
      <w:r w:rsidRPr="0062582F">
        <w:rPr>
          <w:i/>
        </w:rPr>
        <w:t xml:space="preserve"> </w:t>
      </w:r>
      <w:r w:rsidRPr="0062582F">
        <w:t>for Victorian public sector entities</w:t>
      </w:r>
      <w:r w:rsidRPr="0062582F" w:rsidDel="00C067DC">
        <w:rPr>
          <w:i/>
        </w:rPr>
        <w:t xml:space="preserve"> </w:t>
      </w:r>
      <w:r w:rsidRPr="0062582F">
        <w:rPr>
          <w:i/>
        </w:rPr>
        <w:t>for this assessment. Where entities have made a material prior period error in the consolidation assessment, please refer to Note 8 for a sample disclosure of the consequential impacts on the financial statements.]</w:t>
      </w:r>
    </w:p>
    <w:p w:rsidR="004843DB" w:rsidRPr="0062582F" w:rsidRDefault="004843DB" w:rsidP="004843DB">
      <w:pPr>
        <w:pStyle w:val="SmallLine"/>
      </w:pPr>
      <w:r w:rsidRPr="0062582F">
        <w:br w:type="column"/>
      </w:r>
    </w:p>
    <w:p w:rsidR="004843DB" w:rsidRPr="0062582F" w:rsidRDefault="004843DB" w:rsidP="004843DB">
      <w:pPr>
        <w:pStyle w:val="Reference"/>
      </w:pPr>
    </w:p>
    <w:p w:rsidR="004843DB" w:rsidRPr="0062582F" w:rsidRDefault="004843DB" w:rsidP="004843DB">
      <w:pPr>
        <w:pStyle w:val="NoteHeadingcontinued"/>
      </w:pPr>
      <w:r w:rsidRPr="0062582F">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pPr>
        <w:pStyle w:val="Heading4"/>
      </w:pPr>
      <w:r w:rsidRPr="0062582F">
        <w:t>Administered items</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1050.7</w:t>
      </w:r>
    </w:p>
    <w:p w:rsidR="004843DB" w:rsidRPr="0062582F" w:rsidRDefault="004843DB" w:rsidP="004843DB">
      <w:pPr>
        <w:pStyle w:val="Reference"/>
        <w:spacing w:before="0"/>
      </w:pPr>
      <w:r w:rsidRPr="0062582F">
        <w:t>AASB 1050.24</w:t>
      </w:r>
    </w:p>
    <w:p w:rsidR="004843DB" w:rsidRPr="0062582F" w:rsidRDefault="004843DB" w:rsidP="004843DB">
      <w:r w:rsidRPr="0062582F">
        <w:br w:type="column"/>
      </w:r>
      <w:r w:rsidRPr="0062582F">
        <w:lastRenderedPageBreak/>
        <w:t>Certain resources are administered by the Department on behalf of the State. While the Department is accountable for the transactions involving administered items, it does not have the discretion to deploy the resources for its own benefit or the achievement of its objectives. Accordingly, transactions and balances relating to administered items are not recognised as departmental income, expenses, assets or liabilities in the body of the financial statements.</w:t>
      </w:r>
    </w:p>
    <w:p w:rsidR="004843DB" w:rsidRPr="0062582F" w:rsidRDefault="004843DB" w:rsidP="004843DB">
      <w:r w:rsidRPr="0062582F">
        <w:t>Administered income includes taxes, fees and fines and the proceeds from the sale of administered surplus land and buildings. Administered assets include government income earned but yet to be collected. Administered liabilities include government expenses incurred but yet to be paid.</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1050.24</w:t>
      </w:r>
    </w:p>
    <w:p w:rsidR="004843DB" w:rsidRPr="0062582F" w:rsidRDefault="004843DB" w:rsidP="004843DB">
      <w:r w:rsidRPr="0062582F">
        <w:br w:type="column"/>
      </w:r>
      <w:r w:rsidRPr="0062582F">
        <w:lastRenderedPageBreak/>
        <w:t>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rsidR="004843DB" w:rsidRPr="0062582F" w:rsidRDefault="004843DB" w:rsidP="004843DB">
      <w:r w:rsidRPr="0062582F">
        <w:t>Disclosures related to administered items can be found in Note 3 and Note 9.</w:t>
      </w:r>
    </w:p>
    <w:p w:rsidR="004843DB" w:rsidRPr="0062582F" w:rsidRDefault="004843DB" w:rsidP="004843DB">
      <w:pPr>
        <w:pStyle w:val="Heading4"/>
      </w:pPr>
      <w:r w:rsidRPr="0062582F">
        <w:t>Funds held in trust</w:t>
      </w:r>
    </w:p>
    <w:p w:rsidR="004843DB" w:rsidRPr="0062582F" w:rsidRDefault="004843DB" w:rsidP="004843DB">
      <w:pPr>
        <w:pStyle w:val="Heading5"/>
      </w:pPr>
      <w:r w:rsidRPr="0062582F">
        <w:t>Other trust activities on behalf of parties external to the Victorian Government</w:t>
      </w:r>
    </w:p>
    <w:p w:rsidR="004843DB" w:rsidRPr="0062582F" w:rsidRDefault="004843DB" w:rsidP="004843DB">
      <w:r w:rsidRPr="0062582F">
        <w:t xml:space="preserve">The Department has responsibility for transactions and balances relating to trust funds on behalf of third parties external to the Victorian Government. Income, expenses, assets and liabilities managed on behalf of third parties are not recognised in these financial statements as they are managed on a fiduciary and custodial basis, and therefore are not controlled by the Department or the Victorian Government. Funds under management are reported in Note 39(b) </w:t>
      </w:r>
      <w:r w:rsidRPr="0062582F">
        <w:rPr>
          <w:i/>
        </w:rPr>
        <w:t>Third party funds under management</w:t>
      </w:r>
      <w:r w:rsidRPr="0062582F">
        <w:t>.</w:t>
      </w:r>
    </w:p>
    <w:p w:rsidR="004843DB" w:rsidRPr="0062582F" w:rsidRDefault="004843DB" w:rsidP="004843DB">
      <w:pPr>
        <w:pStyle w:val="Heading3Numbering"/>
      </w:pPr>
      <w:r w:rsidRPr="0062582F">
        <w:t>Scope and presentation of financial statements</w:t>
      </w:r>
    </w:p>
    <w:p w:rsidR="004843DB" w:rsidRPr="0062582F" w:rsidRDefault="004843DB" w:rsidP="004843DB">
      <w:pPr>
        <w:pStyle w:val="Heading4"/>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80"/>
      </w:pPr>
      <w:r w:rsidRPr="0062582F">
        <w:lastRenderedPageBreak/>
        <w:t>AASB 1049.App A</w:t>
      </w:r>
    </w:p>
    <w:p w:rsidR="004843DB" w:rsidRPr="0062582F" w:rsidRDefault="004843DB" w:rsidP="004843DB">
      <w:pPr>
        <w:pStyle w:val="Reference"/>
      </w:pPr>
    </w:p>
    <w:p w:rsidR="004843DB" w:rsidRPr="0062582F" w:rsidRDefault="004843DB" w:rsidP="004843DB">
      <w:pPr>
        <w:pStyle w:val="Heading4"/>
      </w:pPr>
      <w:r w:rsidRPr="0062582F">
        <w:br w:type="column"/>
      </w:r>
      <w:r w:rsidRPr="0062582F">
        <w:lastRenderedPageBreak/>
        <w:t>Comprehensive operating statement</w:t>
      </w:r>
    </w:p>
    <w:p w:rsidR="004843DB" w:rsidRPr="0062582F" w:rsidRDefault="004843DB" w:rsidP="004843DB">
      <w:r w:rsidRPr="0062582F">
        <w:t xml:space="preserve">The comprehensive operating statement comprises three components, being </w:t>
      </w:r>
      <w:r w:rsidR="005A4BB0">
        <w:t>‘</w:t>
      </w:r>
      <w:r w:rsidRPr="0062582F">
        <w:t>net result from transactions</w:t>
      </w:r>
      <w:r w:rsidR="005A4BB0">
        <w:t>’</w:t>
      </w:r>
      <w:r w:rsidRPr="0062582F">
        <w:t xml:space="preserve"> (or termed as </w:t>
      </w:r>
      <w:r w:rsidR="005A4BB0">
        <w:t>‘</w:t>
      </w:r>
      <w:r w:rsidRPr="0062582F">
        <w:t>net operating balance</w:t>
      </w:r>
      <w:r w:rsidR="005A4BB0">
        <w:t>’</w:t>
      </w:r>
      <w:r w:rsidRPr="0062582F">
        <w:t xml:space="preserve">), </w:t>
      </w:r>
      <w:r w:rsidR="005A4BB0">
        <w:t>‘</w:t>
      </w:r>
      <w:r w:rsidRPr="0062582F">
        <w:t>other economic flows included in net result</w:t>
      </w:r>
      <w:r w:rsidR="005A4BB0">
        <w:t>’</w:t>
      </w:r>
      <w:r w:rsidRPr="0062582F">
        <w:t xml:space="preserve">, as well as </w:t>
      </w:r>
      <w:r w:rsidR="005A4BB0">
        <w:t>‘</w:t>
      </w:r>
      <w:r w:rsidRPr="0062582F">
        <w:t>other economic flows – other comprehensive income</w:t>
      </w:r>
      <w:r w:rsidR="005A4BB0">
        <w:t>’</w:t>
      </w:r>
      <w:r w:rsidRPr="0062582F">
        <w:t>. The sum of the former two, together with the net result from discontinued operations, represents the net result.</w:t>
      </w:r>
    </w:p>
    <w:p w:rsidR="004843DB" w:rsidRPr="0062582F" w:rsidRDefault="004843DB" w:rsidP="004843DB">
      <w:r w:rsidRPr="0062582F">
        <w:t>The net result is equivalent to profit or loss derived in accordance with AASs.</w:t>
      </w:r>
    </w:p>
    <w:p w:rsidR="004843DB" w:rsidRPr="0062582F" w:rsidRDefault="005A4BB0" w:rsidP="004843DB">
      <w:r>
        <w:t>‘</w:t>
      </w:r>
      <w:r w:rsidR="004843DB" w:rsidRPr="0062582F">
        <w:t>Other economic flows</w:t>
      </w:r>
      <w:r>
        <w:t>’</w:t>
      </w:r>
      <w:r w:rsidR="004843DB" w:rsidRPr="0062582F">
        <w:t xml:space="preserve"> are changes arising from market remeasurements. They include:</w:t>
      </w:r>
    </w:p>
    <w:p w:rsidR="004843DB" w:rsidRPr="0062582F" w:rsidRDefault="004843DB" w:rsidP="004843DB">
      <w:pPr>
        <w:pStyle w:val="Bullet"/>
      </w:pPr>
      <w:r w:rsidRPr="0062582F">
        <w:t>gains and losses from disposals of non</w:t>
      </w:r>
      <w:r w:rsidR="005A4BB0">
        <w:noBreakHyphen/>
      </w:r>
      <w:r w:rsidRPr="0062582F">
        <w:t xml:space="preserve">financial assets; </w:t>
      </w:r>
    </w:p>
    <w:p w:rsidR="004843DB" w:rsidRPr="0062582F" w:rsidRDefault="004843DB" w:rsidP="004843DB">
      <w:pPr>
        <w:pStyle w:val="Bullet"/>
      </w:pPr>
      <w:r w:rsidRPr="0062582F">
        <w:t>revaluations and impairments of non</w:t>
      </w:r>
      <w:r w:rsidR="005A4BB0">
        <w:noBreakHyphen/>
      </w:r>
      <w:r w:rsidRPr="0062582F">
        <w:t>financial physical and intangible assets;</w:t>
      </w:r>
    </w:p>
    <w:p w:rsidR="004843DB" w:rsidRPr="0062582F" w:rsidRDefault="004843DB" w:rsidP="004843DB">
      <w:pPr>
        <w:pStyle w:val="Bullet"/>
      </w:pPr>
      <w:r w:rsidRPr="0062582F">
        <w:t>remeasurement arising from defined benefit superannuation plans;</w:t>
      </w:r>
    </w:p>
    <w:p w:rsidR="004843DB" w:rsidRPr="0062582F" w:rsidRDefault="004843DB" w:rsidP="004843DB">
      <w:pPr>
        <w:pStyle w:val="Bullet"/>
      </w:pPr>
      <w:r w:rsidRPr="0062582F">
        <w:t>fair value changes of financial instruments and agricultural assets; and</w:t>
      </w:r>
    </w:p>
    <w:p w:rsidR="004843DB" w:rsidRPr="0062582F" w:rsidRDefault="004843DB" w:rsidP="004843DB">
      <w:pPr>
        <w:pStyle w:val="Bullet"/>
      </w:pPr>
      <w:r w:rsidRPr="0062582F">
        <w:t>depletion of natural assets (non</w:t>
      </w:r>
      <w:r w:rsidR="005A4BB0">
        <w:noBreakHyphen/>
      </w:r>
      <w:r w:rsidRPr="0062582F">
        <w:t>produced) from their use or removal.</w:t>
      </w:r>
    </w:p>
    <w:p w:rsidR="004843DB" w:rsidRPr="0062582F" w:rsidRDefault="004843DB" w:rsidP="004843DB">
      <w:pPr>
        <w:rPr>
          <w:i/>
        </w:rPr>
      </w:pPr>
      <w:r w:rsidRPr="0062582F">
        <w:t xml:space="preserve">This classification is consistent with the whole of government reporting format and is allowed under AASB 101 </w:t>
      </w:r>
      <w:r w:rsidRPr="0062582F">
        <w:rPr>
          <w:i/>
        </w:rPr>
        <w:t>Presentation of Financial Statements</w:t>
      </w:r>
      <w:r w:rsidRPr="0062582F">
        <w:t xml:space="preserve">. </w:t>
      </w:r>
      <w:r w:rsidRPr="0062582F">
        <w:rPr>
          <w:rFonts w:cs="Arial"/>
          <w:bCs/>
          <w:i/>
          <w:noProof/>
          <w:color w:val="0000FF"/>
        </w:rPr>
        <w:t xml:space="preserve">[Refer to Note 44 Glossary for the definitions of </w:t>
      </w:r>
      <w:r w:rsidR="005A4BB0">
        <w:rPr>
          <w:rFonts w:cs="Arial"/>
          <w:bCs/>
          <w:i/>
          <w:noProof/>
          <w:color w:val="0000FF"/>
        </w:rPr>
        <w:t>‘</w:t>
      </w:r>
      <w:r w:rsidRPr="0062582F">
        <w:rPr>
          <w:rFonts w:cs="Arial"/>
          <w:bCs/>
          <w:i/>
          <w:noProof/>
          <w:color w:val="0000FF"/>
        </w:rPr>
        <w:t xml:space="preserve">net result from transactions, </w:t>
      </w:r>
      <w:r w:rsidR="005A4BB0">
        <w:rPr>
          <w:rFonts w:cs="Arial"/>
          <w:bCs/>
          <w:i/>
          <w:noProof/>
          <w:color w:val="0000FF"/>
        </w:rPr>
        <w:t>‘</w:t>
      </w:r>
      <w:r w:rsidRPr="0062582F">
        <w:rPr>
          <w:rFonts w:cs="Arial"/>
          <w:bCs/>
          <w:i/>
          <w:noProof/>
          <w:color w:val="0000FF"/>
        </w:rPr>
        <w:t>other economic flows included in net result</w:t>
      </w:r>
      <w:r w:rsidR="005A4BB0">
        <w:rPr>
          <w:rFonts w:cs="Arial"/>
          <w:bCs/>
          <w:i/>
          <w:noProof/>
          <w:color w:val="0000FF"/>
        </w:rPr>
        <w:t>’</w:t>
      </w:r>
      <w:r w:rsidRPr="0062582F">
        <w:rPr>
          <w:rFonts w:cs="Arial"/>
          <w:bCs/>
          <w:i/>
          <w:noProof/>
          <w:color w:val="0000FF"/>
        </w:rPr>
        <w:t xml:space="preserve"> and </w:t>
      </w:r>
      <w:r w:rsidR="005A4BB0">
        <w:rPr>
          <w:rFonts w:cs="Arial"/>
          <w:bCs/>
          <w:i/>
          <w:noProof/>
          <w:color w:val="0000FF"/>
        </w:rPr>
        <w:t>‘</w:t>
      </w:r>
      <w:r w:rsidRPr="0062582F">
        <w:rPr>
          <w:rFonts w:cs="Arial"/>
          <w:bCs/>
          <w:i/>
          <w:noProof/>
          <w:color w:val="0000FF"/>
        </w:rPr>
        <w:t>other economic flows – other comprehensive income</w:t>
      </w:r>
      <w:r w:rsidR="005A4BB0">
        <w:rPr>
          <w:rFonts w:cs="Arial"/>
          <w:bCs/>
          <w:i/>
          <w:noProof/>
          <w:color w:val="0000FF"/>
        </w:rPr>
        <w:t>’</w:t>
      </w:r>
      <w:r w:rsidRPr="0062582F">
        <w:rPr>
          <w:rFonts w:cs="Arial"/>
          <w:bCs/>
          <w:i/>
          <w:noProof/>
          <w:color w:val="0000FF"/>
        </w:rPr>
        <w:t>. Further guidance on the classifications of comprehensive operating statement can be found in Appendix 2</w:t>
      </w:r>
      <w:r w:rsidRPr="0062582F">
        <w:rPr>
          <w:i/>
        </w:rPr>
        <w:t>.]</w:t>
      </w:r>
    </w:p>
    <w:p w:rsidR="004843DB" w:rsidRPr="0062582F" w:rsidRDefault="004843DB" w:rsidP="004843DB"/>
    <w:p w:rsidR="004843DB" w:rsidRPr="0062582F" w:rsidRDefault="004843DB" w:rsidP="004843DB">
      <w:pPr>
        <w:pStyle w:val="Heading4"/>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Headingcontinued"/>
      </w:pPr>
      <w:r w:rsidRPr="0062582F">
        <w:lastRenderedPageBreak/>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pPr>
        <w:pStyle w:val="Heading4"/>
      </w:pPr>
      <w:r w:rsidRPr="0062582F">
        <w:t>Balance sheet</w:t>
      </w:r>
    </w:p>
    <w:p w:rsidR="004843DB" w:rsidRPr="0062582F" w:rsidRDefault="004843DB" w:rsidP="004843DB">
      <w:r w:rsidRPr="0062582F">
        <w:t>Assets and liabilities are presented in liquidity order with assets aggregated into financial assets and non</w:t>
      </w:r>
      <w:r w:rsidR="005A4BB0">
        <w:noBreakHyphen/>
      </w:r>
      <w:r w:rsidRPr="0062582F">
        <w:t>financial assets.</w:t>
      </w:r>
    </w:p>
    <w:p w:rsidR="004843DB" w:rsidRPr="0062582F" w:rsidRDefault="004843DB" w:rsidP="004843DB">
      <w:pPr>
        <w:autoSpaceDE w:val="0"/>
        <w:autoSpaceDN w:val="0"/>
        <w:adjustRightInd w:val="0"/>
      </w:pPr>
      <w:r w:rsidRPr="0062582F">
        <w:t>Current and non</w:t>
      </w:r>
      <w:r w:rsidR="005A4BB0">
        <w:noBreakHyphen/>
      </w:r>
      <w:r w:rsidRPr="0062582F">
        <w:t>current assets and liabilities are disclosed in the notes, where relevant. In general, non</w:t>
      </w:r>
      <w:r w:rsidR="005A4BB0">
        <w:noBreakHyphen/>
      </w:r>
      <w:r w:rsidRPr="0062582F">
        <w:t xml:space="preserve">current assets or liabilities are expected to be recovered or settled more than 12 months after the reporting period, except for the provisions of employee benefits, which are classified as </w:t>
      </w:r>
      <w:r w:rsidRPr="0062582F">
        <w:rPr>
          <w:u w:val="single"/>
        </w:rPr>
        <w:t>current</w:t>
      </w:r>
      <w:r w:rsidRPr="0062582F">
        <w:t xml:space="preserve"> liabilities if the Department does not have the unconditional right to defer the settlement of the liabilities within 12 months after the end of the reporting period.</w:t>
      </w:r>
    </w:p>
    <w:p w:rsidR="004843DB" w:rsidRPr="0062582F" w:rsidRDefault="004843DB" w:rsidP="004843DB">
      <w:pPr>
        <w:pStyle w:val="Heading4"/>
      </w:pPr>
      <w:r w:rsidRPr="0062582F">
        <w:t>Cash flow statement</w:t>
      </w:r>
    </w:p>
    <w:p w:rsidR="004843DB" w:rsidRPr="0062582F" w:rsidRDefault="004843DB" w:rsidP="004843DB">
      <w:r w:rsidRPr="0062582F">
        <w:t xml:space="preserve">Cash flows are classified according to whether or not they arise from operating, investing, or financing activities. This classification is consistent with requirements under AASB 107 </w:t>
      </w:r>
      <w:r w:rsidRPr="0062582F">
        <w:rPr>
          <w:i/>
        </w:rPr>
        <w:t>Statement of Cash Flows</w:t>
      </w:r>
      <w:r w:rsidRPr="0062582F">
        <w:t>.</w:t>
      </w:r>
    </w:p>
    <w:p w:rsidR="004843DB" w:rsidRPr="0062582F" w:rsidRDefault="004843DB" w:rsidP="004843DB">
      <w:r w:rsidRPr="0062582F">
        <w:t>For cash flow statement presentation purposes, cash and cash equivalents include bank overdrafts, which are included as current borrowings on the balance sheet.</w:t>
      </w:r>
    </w:p>
    <w:p w:rsidR="004843DB" w:rsidRPr="0062582F" w:rsidRDefault="004843DB" w:rsidP="004843DB">
      <w:pPr>
        <w:pStyle w:val="Heading4"/>
      </w:pPr>
      <w:r w:rsidRPr="0062582F">
        <w:t>Statement of changes in equity</w:t>
      </w:r>
    </w:p>
    <w:p w:rsidR="004843DB" w:rsidRPr="0062582F" w:rsidRDefault="004843DB" w:rsidP="004843DB">
      <w:r w:rsidRPr="0062582F">
        <w:t>The statement of changes in equity presents reconciliations of non</w:t>
      </w:r>
      <w:r w:rsidR="005A4BB0">
        <w:noBreakHyphen/>
      </w:r>
      <w:r w:rsidRPr="0062582F">
        <w:t xml:space="preserve">owner and owner changes in equity from opening balances at the beginning of the reporting period to the closing balances at the end of the reporting period. It also shows separately changes due to amounts recognised in the </w:t>
      </w:r>
      <w:r w:rsidR="005A4BB0">
        <w:t>‘</w:t>
      </w:r>
      <w:r w:rsidRPr="0062582F">
        <w:t>Comprehensive result</w:t>
      </w:r>
      <w:r w:rsidR="005A4BB0">
        <w:t>’</w:t>
      </w:r>
      <w:r w:rsidRPr="0062582F">
        <w:t xml:space="preserve"> and amounts related to </w:t>
      </w:r>
      <w:r w:rsidR="005A4BB0">
        <w:t>‘</w:t>
      </w:r>
      <w:r w:rsidRPr="0062582F">
        <w:t>Transactions with owner in its capacity as owner</w:t>
      </w:r>
      <w:r w:rsidR="005A4BB0">
        <w:t>’</w:t>
      </w:r>
      <w:r w:rsidRPr="0062582F">
        <w:t>.</w:t>
      </w:r>
    </w:p>
    <w:p w:rsidR="004843DB" w:rsidRPr="0062582F" w:rsidRDefault="004843DB" w:rsidP="004843DB">
      <w:pPr>
        <w:pStyle w:val="Heading4"/>
      </w:pPr>
      <w:r w:rsidRPr="0062582F">
        <w:t>Rounding</w:t>
      </w:r>
    </w:p>
    <w:p w:rsidR="004843DB" w:rsidRPr="0062582F" w:rsidRDefault="004843DB" w:rsidP="004843DB">
      <w:pPr>
        <w:sectPr w:rsidR="004843DB" w:rsidRPr="0062582F" w:rsidSect="00190A01">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101.51(e)</w:t>
      </w:r>
      <w:r w:rsidRPr="0062582F">
        <w:br/>
        <w:t>SD 4.2 (d)</w:t>
      </w:r>
    </w:p>
    <w:p w:rsidR="004843DB" w:rsidRPr="0062582F" w:rsidRDefault="004843DB" w:rsidP="004843DB">
      <w:r w:rsidRPr="0062582F">
        <w:br w:type="column"/>
      </w:r>
      <w:r w:rsidRPr="0062582F">
        <w:lastRenderedPageBreak/>
        <w:t>Amounts in the financial statements have been rounded to the nearest $1 000, unless otherwise stated. Figures in the financial statements may not equate due to rounding. Please refer to the end of Note 44 for a style convention for explanations of minor discrepancies resulting from rounding.</w:t>
      </w:r>
    </w:p>
    <w:p w:rsidR="004843DB" w:rsidRPr="0062582F" w:rsidRDefault="004843DB" w:rsidP="004843DB">
      <w:pPr>
        <w:pStyle w:val="Heading3Numbering"/>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Heading3Numbering"/>
      </w:pPr>
      <w:r w:rsidRPr="0062582F">
        <w:lastRenderedPageBreak/>
        <w:br w:type="column"/>
      </w:r>
      <w:r w:rsidRPr="0062582F">
        <w:lastRenderedPageBreak/>
        <w:t>Changes in accounting policies</w:t>
      </w:r>
      <w:r w:rsidRPr="0062582F" w:rsidDel="001F5C55">
        <w:t xml:space="preserve">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108.14,28</w:t>
      </w:r>
    </w:p>
    <w:p w:rsidR="004843DB" w:rsidRPr="0062582F" w:rsidRDefault="004843DB" w:rsidP="004843DB">
      <w:pPr>
        <w:pStyle w:val="Reference"/>
      </w:pPr>
    </w:p>
    <w:p w:rsidR="004843DB" w:rsidRPr="0062582F" w:rsidRDefault="004843DB" w:rsidP="004843DB">
      <w:pPr>
        <w:pStyle w:val="NormalBlue"/>
        <w:rPr>
          <w:i/>
          <w:noProof/>
        </w:rPr>
      </w:pPr>
      <w:r w:rsidRPr="0062582F">
        <w:br w:type="column"/>
      </w:r>
      <w:r w:rsidRPr="0062582F">
        <w:rPr>
          <w:i/>
          <w:noProof/>
        </w:rPr>
        <w:lastRenderedPageBreak/>
        <w:t>[Include or omit where appropriate.]</w:t>
      </w:r>
    </w:p>
    <w:p w:rsidR="004843DB" w:rsidRPr="0062582F" w:rsidRDefault="004843DB" w:rsidP="004843DB">
      <w:pPr>
        <w:pStyle w:val="Heading3Numbering"/>
        <w:rPr>
          <w:sz w:val="26"/>
          <w:szCs w:val="26"/>
        </w:rPr>
      </w:pPr>
      <w:r w:rsidRPr="0062582F">
        <w:t>Income from transactions</w:t>
      </w:r>
    </w:p>
    <w:p w:rsidR="004843DB" w:rsidRPr="0062582F" w:rsidRDefault="004843DB" w:rsidP="004843DB">
      <w:r w:rsidRPr="0062582F">
        <w:t>Income is recognised to the extent that it is probable that the economic benefits will flow to the entity and the income can be reliably measured at fair value.</w:t>
      </w:r>
    </w:p>
    <w:p w:rsidR="004843DB" w:rsidRPr="0062582F" w:rsidRDefault="004843DB" w:rsidP="004843DB">
      <w:pPr>
        <w:pStyle w:val="Heading4"/>
      </w:pPr>
      <w:r w:rsidRPr="0062582F">
        <w:t>Appropriation income</w:t>
      </w:r>
    </w:p>
    <w:p w:rsidR="004843DB" w:rsidRPr="0062582F" w:rsidRDefault="004843DB" w:rsidP="004843DB">
      <w:r w:rsidRPr="0062582F">
        <w:t>Appropriated income becomes controlled and is recognised by the Department when it is appropriated from the consolidated fund by the Victorian Parliament and applied to the purposes defined under the relevant appropriations Act. Additionally, the Department is permitted under s29 of the FMA to have certain income annotated to the annual appropriation. The income which forms part of a s29 agreement is recognised by the Department and the receipts paid into the consolidated fund as an administered item. At the point of income recognition, s29 provides for an equivalent amount to be added to the annual appropriation. Examples of receipts which can form part of a s29 agreement are Commonwealth specific purpose grants, municipal council special purpose grants, the proceeds from the sale of assets and income from the sale of products and services.</w:t>
      </w:r>
    </w:p>
    <w:p w:rsidR="004843DB" w:rsidRPr="0062582F" w:rsidRDefault="004843DB" w:rsidP="004843DB">
      <w:pPr>
        <w:rPr>
          <w:iCs/>
        </w:rPr>
      </w:pPr>
    </w:p>
    <w:p w:rsidR="004843DB" w:rsidRPr="0062582F" w:rsidRDefault="004843DB" w:rsidP="004843DB">
      <w:pPr>
        <w:pStyle w:val="SmallLine"/>
      </w:pPr>
      <w:r w:rsidRPr="0062582F">
        <w:br w:type="column"/>
      </w:r>
    </w:p>
    <w:p w:rsidR="004843DB" w:rsidRPr="0062582F" w:rsidRDefault="004843DB" w:rsidP="004843DB">
      <w:pPr>
        <w:pStyle w:val="Reference"/>
      </w:pPr>
    </w:p>
    <w:p w:rsidR="004843DB" w:rsidRPr="0062582F" w:rsidRDefault="004843DB" w:rsidP="004843DB">
      <w:pPr>
        <w:pStyle w:val="NoteHeadingcontinued"/>
      </w:pPr>
      <w:r w:rsidRPr="0062582F">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r w:rsidRPr="0062582F">
        <w:t>Where applicable, amounts disclosed as income are net of returns, allowances, duties and taxes. All amounts of income over which the Department does not have control are disclosed as administered income in the schedule of administered income and expenses (see Note 3). Income is recognised for each of the Department</w:t>
      </w:r>
      <w:r w:rsidR="005A4BB0">
        <w:t>’</w:t>
      </w:r>
      <w:r w:rsidRPr="0062582F">
        <w:t>s major activities as follows:</w:t>
      </w:r>
      <w:r w:rsidRPr="0062582F" w:rsidDel="009479B8">
        <w:t xml:space="preserve"> </w:t>
      </w:r>
    </w:p>
    <w:p w:rsidR="004843DB" w:rsidRPr="0062582F" w:rsidRDefault="004843DB" w:rsidP="004843DB">
      <w:pPr>
        <w:pStyle w:val="Heading5"/>
        <w:tabs>
          <w:tab w:val="clear" w:pos="450"/>
          <w:tab w:val="left" w:pos="0"/>
        </w:tabs>
        <w:spacing w:before="0" w:after="120"/>
        <w:ind w:left="0" w:firstLine="0"/>
        <w:rPr>
          <w:b w:val="0"/>
          <w:bCs w:val="0"/>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60"/>
        <w:rPr>
          <w:lang w:val="en-AU"/>
        </w:rPr>
      </w:pPr>
      <w:r w:rsidRPr="0062582F">
        <w:rPr>
          <w:lang w:val="en-AU"/>
        </w:rPr>
        <w:lastRenderedPageBreak/>
        <w:t>AASB </w:t>
      </w:r>
      <w:r w:rsidRPr="0062582F">
        <w:t>118</w:t>
      </w:r>
      <w:r w:rsidRPr="0062582F">
        <w:rPr>
          <w:lang w:val="en-AU"/>
        </w:rPr>
        <w:t xml:space="preserve">.20 </w:t>
      </w:r>
    </w:p>
    <w:p w:rsidR="004843DB" w:rsidRPr="0062582F" w:rsidRDefault="004843DB" w:rsidP="004843DB">
      <w:pPr>
        <w:pStyle w:val="Heading5"/>
      </w:pPr>
      <w:r w:rsidRPr="0062582F">
        <w:br w:type="column"/>
      </w:r>
      <w:r w:rsidRPr="0062582F">
        <w:lastRenderedPageBreak/>
        <w:t>Output appropriations</w:t>
      </w:r>
    </w:p>
    <w:p w:rsidR="004843DB" w:rsidRPr="0062582F" w:rsidRDefault="004843DB" w:rsidP="004843DB">
      <w:r w:rsidRPr="0062582F">
        <w:t>Income from the outputs the Department provides to the Government is recognised when those outputs have been delivered and the relevant minister has certified delivery of those outputs in accordance with specified performance criteria.</w:t>
      </w:r>
    </w:p>
    <w:p w:rsidR="004843DB" w:rsidRPr="0062582F" w:rsidRDefault="004843DB" w:rsidP="004843DB">
      <w:pPr>
        <w:pStyle w:val="Heading5"/>
        <w:ind w:left="0" w:firstLine="0"/>
      </w:pPr>
      <w:r w:rsidRPr="0062582F">
        <w:t>Special appropriations</w:t>
      </w:r>
    </w:p>
    <w:p w:rsidR="004843DB" w:rsidRPr="0062582F" w:rsidRDefault="004843DB" w:rsidP="004843DB">
      <w:r w:rsidRPr="0062582F">
        <w:t xml:space="preserve">Under section </w:t>
      </w:r>
      <w:r w:rsidRPr="0062582F">
        <w:rPr>
          <w:bCs/>
        </w:rPr>
        <w:t>[</w:t>
      </w:r>
      <w:r w:rsidRPr="0062582F">
        <w:rPr>
          <w:color w:val="0000FF"/>
        </w:rPr>
        <w:t>XX</w:t>
      </w:r>
      <w:r w:rsidRPr="0062582F">
        <w:rPr>
          <w:bCs/>
        </w:rPr>
        <w:t>]</w:t>
      </w:r>
      <w:r w:rsidRPr="0062582F">
        <w:t xml:space="preserve"> of the [</w:t>
      </w:r>
      <w:r w:rsidRPr="0062582F">
        <w:rPr>
          <w:color w:val="0000FF"/>
        </w:rPr>
        <w:t>YY</w:t>
      </w:r>
      <w:r w:rsidRPr="0062582F">
        <w:rPr>
          <w:bCs/>
        </w:rPr>
        <w:t>]</w:t>
      </w:r>
      <w:r w:rsidRPr="0062582F">
        <w:t xml:space="preserve"> Act, income related to [</w:t>
      </w:r>
      <w:r w:rsidRPr="0062582F">
        <w:rPr>
          <w:color w:val="0000FF"/>
        </w:rPr>
        <w:t>ZZ</w:t>
      </w:r>
      <w:r w:rsidRPr="0062582F">
        <w:rPr>
          <w:bCs/>
        </w:rPr>
        <w:t>]</w:t>
      </w:r>
      <w:r w:rsidRPr="0062582F">
        <w:t xml:space="preserve"> is recognised when the amount appropriated for that purpose is due and payable by the Department.</w:t>
      </w:r>
    </w:p>
    <w:p w:rsidR="004843DB" w:rsidRPr="0062582F" w:rsidRDefault="004843DB" w:rsidP="004843DB">
      <w:pPr>
        <w:pStyle w:val="Heading4"/>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20"/>
      </w:pPr>
      <w:r w:rsidRPr="0062582F">
        <w:lastRenderedPageBreak/>
        <w:t>AASB 118.30(a)</w:t>
      </w:r>
    </w:p>
    <w:p w:rsidR="004843DB" w:rsidRPr="0062582F" w:rsidRDefault="004843DB" w:rsidP="004843DB">
      <w:pPr>
        <w:pStyle w:val="Heading4"/>
      </w:pPr>
      <w:r w:rsidRPr="0062582F">
        <w:br w:type="column"/>
      </w:r>
      <w:r w:rsidRPr="0062582F">
        <w:lastRenderedPageBreak/>
        <w:t>Interest</w:t>
      </w:r>
    </w:p>
    <w:p w:rsidR="004843DB" w:rsidRPr="0062582F" w:rsidRDefault="004843DB" w:rsidP="004843DB">
      <w:r w:rsidRPr="0062582F">
        <w:t xml:space="preserve">Interest income includes interest received on bank term deposits and other investments and the unwinding over time of the discount on financial assets. Interest income is recognised using the effective interest method which allocates the interest over the relevant period. </w:t>
      </w:r>
    </w:p>
    <w:p w:rsidR="004843DB" w:rsidRPr="0062582F" w:rsidRDefault="004843DB" w:rsidP="004843DB">
      <w:r w:rsidRPr="0062582F">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0"/>
      </w:pPr>
      <w:r w:rsidRPr="0062582F">
        <w:lastRenderedPageBreak/>
        <w:t>AASB 118.20</w:t>
      </w:r>
    </w:p>
    <w:p w:rsidR="004843DB" w:rsidRPr="0062582F" w:rsidRDefault="004843DB" w:rsidP="004843DB">
      <w:pPr>
        <w:pStyle w:val="Heading4"/>
      </w:pPr>
      <w:r w:rsidRPr="0062582F">
        <w:br w:type="column"/>
      </w:r>
      <w:r w:rsidRPr="0062582F">
        <w:lastRenderedPageBreak/>
        <w:t>Sale of goods and services</w:t>
      </w:r>
    </w:p>
    <w:p w:rsidR="004843DB" w:rsidRPr="0062582F" w:rsidRDefault="004843DB" w:rsidP="004843DB">
      <w:pPr>
        <w:pStyle w:val="Heading5"/>
        <w:spacing w:before="120"/>
      </w:pPr>
      <w:r w:rsidRPr="0062582F">
        <w:t xml:space="preserve">Income from the supply of services </w:t>
      </w:r>
    </w:p>
    <w:p w:rsidR="004843DB" w:rsidRPr="0062582F" w:rsidRDefault="004843DB" w:rsidP="004843DB">
      <w:r w:rsidRPr="0062582F">
        <w:t>Income from the supply</w:t>
      </w:r>
      <w:r w:rsidRPr="0062582F" w:rsidDel="00E60C29">
        <w:t xml:space="preserve"> </w:t>
      </w:r>
      <w:r w:rsidRPr="0062582F">
        <w:t>of services is recognised by reference to the stage of completion of the services being performed. The income is recognised when:</w:t>
      </w:r>
    </w:p>
    <w:p w:rsidR="004843DB" w:rsidRPr="0062582F" w:rsidRDefault="004843DB" w:rsidP="004843DB">
      <w:pPr>
        <w:pStyle w:val="Bullet"/>
      </w:pPr>
      <w:r w:rsidRPr="0062582F">
        <w:t>the amount of the income, stage of completion and transaction costs incurred can be reliably measured; and</w:t>
      </w:r>
    </w:p>
    <w:p w:rsidR="004843DB" w:rsidRPr="0062582F" w:rsidRDefault="004843DB" w:rsidP="004843DB">
      <w:pPr>
        <w:pStyle w:val="Bullet"/>
      </w:pPr>
      <w:r w:rsidRPr="0062582F">
        <w:t>it is probable that the economic benefits associated with the transaction will flow to the Department.</w:t>
      </w:r>
    </w:p>
    <w:p w:rsidR="004843DB" w:rsidRPr="0062582F" w:rsidRDefault="004843DB" w:rsidP="004843DB">
      <w:r w:rsidRPr="0062582F">
        <w:t>Under the stage of completion method, income is recognised by reference to labour hours supplied or to labour hours supplied as a percentage of total services to be performed in each annual reporting period.</w:t>
      </w:r>
    </w:p>
    <w:p w:rsidR="004843DB" w:rsidRPr="0062582F" w:rsidRDefault="004843DB" w:rsidP="004843DB">
      <w:pPr>
        <w:pStyle w:val="Reference"/>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118.14</w:t>
      </w:r>
    </w:p>
    <w:p w:rsidR="004843DB" w:rsidRPr="0062582F" w:rsidRDefault="004843DB" w:rsidP="004843DB">
      <w:pPr>
        <w:pStyle w:val="Heading5"/>
        <w:rPr>
          <w:i/>
          <w:iCs/>
        </w:rPr>
      </w:pPr>
      <w:r w:rsidRPr="0062582F">
        <w:rPr>
          <w:rFonts w:cs="Arial Narrow"/>
          <w:b w:val="0"/>
          <w:bCs w:val="0"/>
          <w:color w:val="0000FF"/>
          <w:sz w:val="16"/>
          <w:szCs w:val="16"/>
          <w:lang w:val="en-GB"/>
        </w:rPr>
        <w:br w:type="column"/>
      </w:r>
      <w:r w:rsidRPr="0062582F">
        <w:lastRenderedPageBreak/>
        <w:t>Income from sale of goods</w:t>
      </w:r>
    </w:p>
    <w:p w:rsidR="004843DB" w:rsidRPr="0062582F" w:rsidRDefault="004843DB" w:rsidP="004843DB">
      <w:r w:rsidRPr="0062582F">
        <w:t>Income from the sale of goods is recognised when:</w:t>
      </w:r>
    </w:p>
    <w:p w:rsidR="004843DB" w:rsidRPr="0062582F" w:rsidRDefault="004843DB" w:rsidP="004843DB">
      <w:pPr>
        <w:pStyle w:val="Bullet"/>
      </w:pPr>
      <w:r w:rsidRPr="0062582F">
        <w:t>the Department no longer has any of the significant risks and rewards of ownership of the goods transferred to the buyer;</w:t>
      </w:r>
    </w:p>
    <w:p w:rsidR="004843DB" w:rsidRPr="0062582F" w:rsidRDefault="004843DB" w:rsidP="004843DB">
      <w:pPr>
        <w:pStyle w:val="Bullet"/>
      </w:pPr>
      <w:r w:rsidRPr="0062582F">
        <w:t>the Department no longer has continuing managerial involvement to the degree usually associated with ownership, nor effective control over the goods sold;</w:t>
      </w:r>
    </w:p>
    <w:p w:rsidR="004843DB" w:rsidRPr="0062582F" w:rsidRDefault="004843DB" w:rsidP="004843DB">
      <w:pPr>
        <w:pStyle w:val="Bullet"/>
      </w:pPr>
      <w:r w:rsidRPr="0062582F">
        <w:t>the amount of income, and the costs incurred or to be incurred in respect of the transactions, can be reliably measured; and</w:t>
      </w:r>
    </w:p>
    <w:p w:rsidR="004843DB" w:rsidRPr="0062582F" w:rsidRDefault="004843DB" w:rsidP="004843DB">
      <w:pPr>
        <w:pStyle w:val="Bullet"/>
      </w:pPr>
      <w:r w:rsidRPr="0062582F">
        <w:t xml:space="preserve">it is probable that the economic benefits associated with the transaction will flow to the Department. </w:t>
      </w:r>
    </w:p>
    <w:p w:rsidR="004843DB" w:rsidRPr="0062582F" w:rsidRDefault="004843DB" w:rsidP="004843DB">
      <w:r w:rsidRPr="0062582F">
        <w:t>Sale of goods and services includes regulatory fees which are recognised at the time the regulatory fee is billed.</w:t>
      </w:r>
    </w:p>
    <w:p w:rsidR="004843DB" w:rsidRPr="0062582F" w:rsidRDefault="004843DB" w:rsidP="004843DB">
      <w:pPr>
        <w:spacing w:line="240" w:lineRule="atLeast"/>
      </w:pPr>
      <w:r w:rsidRPr="0062582F">
        <w:br w:type="page"/>
      </w:r>
    </w:p>
    <w:p w:rsidR="004843DB" w:rsidRPr="0062582F" w:rsidRDefault="004843DB" w:rsidP="004843DB">
      <w:pPr>
        <w:pStyle w:val="NoteHeadingcontinued"/>
      </w:pPr>
      <w:r w:rsidRPr="0062582F">
        <w:lastRenderedPageBreak/>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pPr>
        <w:pStyle w:val="Heading4"/>
      </w:pPr>
      <w:r w:rsidRPr="0062582F">
        <w:t>Grants</w:t>
      </w:r>
    </w:p>
    <w:p w:rsidR="004843DB" w:rsidRPr="0062582F" w:rsidRDefault="004843DB" w:rsidP="004843DB">
      <w:pPr>
        <w:spacing w:after="120"/>
        <w:sectPr w:rsidR="004843DB" w:rsidRPr="0062582F" w:rsidSect="00190A01">
          <w:type w:val="continuous"/>
          <w:pgSz w:w="11906" w:h="16838" w:code="9"/>
          <w:pgMar w:top="1152" w:right="864" w:bottom="1152" w:left="864" w:header="432" w:footer="432" w:gutter="0"/>
          <w:cols w:num="2" w:space="360" w:equalWidth="0">
            <w:col w:w="1440" w:space="360"/>
            <w:col w:w="8090"/>
          </w:cols>
        </w:sectPr>
      </w:pPr>
      <w:r w:rsidRPr="0062582F">
        <w:t>Income from grants (other than contribution by owners) is recognised when the Department obtains control over the contribution</w:t>
      </w:r>
    </w:p>
    <w:p w:rsidR="004843DB" w:rsidRPr="0062582F" w:rsidRDefault="004843DB" w:rsidP="004843DB">
      <w:pPr>
        <w:pStyle w:val="Reference"/>
        <w:spacing w:before="280"/>
      </w:pPr>
      <w:r w:rsidRPr="0062582F">
        <w:lastRenderedPageBreak/>
        <w:t>AASB 1004</w:t>
      </w:r>
    </w:p>
    <w:p w:rsidR="004843DB" w:rsidRPr="0062582F" w:rsidRDefault="004843DB" w:rsidP="004843DB">
      <w:r w:rsidRPr="0062582F">
        <w:br w:type="column"/>
      </w:r>
      <w:r w:rsidRPr="0062582F">
        <w:lastRenderedPageBreak/>
        <w:t>Where such grants are payable into the consolidated fund, they are reported as administered income (refer to Note 1 (D) and (J)). For reciprocal grants (i.e. equal value is given back by the Department to the provider), the Department is deemed to have assumed control when the Department has satisfied its performance obligations under the terms of the grant. For non</w:t>
      </w:r>
      <w:r w:rsidR="005A4BB0">
        <w:noBreakHyphen/>
      </w:r>
      <w:r w:rsidRPr="0062582F">
        <w:t>reciprocal grants, the Department is deemed to have assumed control when the grant is receivable or received. Conditional grants may be reciprocal or non</w:t>
      </w:r>
      <w:r w:rsidR="005A4BB0">
        <w:noBreakHyphen/>
      </w:r>
      <w:r w:rsidRPr="0062582F">
        <w:t>reciprocal depending on the terms of the grant.</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rmalBlue"/>
        <w:rPr>
          <w:i/>
        </w:rPr>
      </w:pPr>
      <w:r w:rsidRPr="0062582F">
        <w:lastRenderedPageBreak/>
        <w:br w:type="column"/>
      </w:r>
      <w:r w:rsidRPr="0062582F">
        <w:rPr>
          <w:i/>
        </w:rPr>
        <w:lastRenderedPageBreak/>
        <w:t>[Entities are encouraged to elaborate on the specific accounting policy treatment of material non</w:t>
      </w:r>
      <w:r w:rsidR="005A4BB0">
        <w:rPr>
          <w:i/>
        </w:rPr>
        <w:noBreakHyphen/>
      </w:r>
      <w:r w:rsidRPr="0062582F">
        <w:rPr>
          <w:i/>
        </w:rPr>
        <w:t>exchange transactions where appropriate.]</w:t>
      </w:r>
    </w:p>
    <w:p w:rsidR="004843DB" w:rsidRPr="0062582F" w:rsidRDefault="004843DB" w:rsidP="004843DB">
      <w:pPr>
        <w:pStyle w:val="Heading4"/>
        <w:ind w:left="0" w:firstLine="0"/>
      </w:pPr>
      <w:r w:rsidRPr="0062582F">
        <w:t>Fair value of assets and services received free of charge or for nominal consideration</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40"/>
        <w:rPr>
          <w:lang w:val="en-AU"/>
        </w:rPr>
      </w:pPr>
      <w:r w:rsidRPr="0062582F">
        <w:rPr>
          <w:lang w:val="en-AU"/>
        </w:rPr>
        <w:lastRenderedPageBreak/>
        <w:t>AASB 1004.11, 20 and 44</w:t>
      </w:r>
    </w:p>
    <w:p w:rsidR="004843DB" w:rsidRPr="0062582F" w:rsidRDefault="004843DB" w:rsidP="004843DB">
      <w:r w:rsidRPr="0062582F">
        <w:br w:type="column"/>
      </w:r>
      <w:r w:rsidRPr="0062582F">
        <w:lastRenderedPageBreak/>
        <w:t>Contributions of resources received free of charge or for nominal consideration are recognised at fair value when control is obtained over them, irrespective of whether these contributions are subject to restrictions or conditions over their use. Contributions in the form of services are only recognised when a fair value can be reliably determined and the services would have been purchased if not received as a donation.</w:t>
      </w:r>
    </w:p>
    <w:p w:rsidR="004843DB" w:rsidRPr="0062582F" w:rsidRDefault="004843DB" w:rsidP="004843DB">
      <w:pPr>
        <w:pStyle w:val="Heading4"/>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Heading4"/>
      </w:pPr>
      <w:r w:rsidRPr="0062582F">
        <w:lastRenderedPageBreak/>
        <w:br w:type="column"/>
      </w:r>
      <w:r w:rsidRPr="0062582F">
        <w:lastRenderedPageBreak/>
        <w:t>Other income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117.50, AASB 118.29, and AASB 1004.16</w:t>
      </w:r>
    </w:p>
    <w:p w:rsidR="004843DB" w:rsidRPr="0062582F" w:rsidRDefault="004843DB" w:rsidP="004843DB">
      <w:r w:rsidRPr="0062582F">
        <w:br w:type="column"/>
      </w:r>
      <w:r w:rsidRPr="0062582F">
        <w:lastRenderedPageBreak/>
        <w:t>Other income includes non</w:t>
      </w:r>
      <w:r w:rsidR="005A4BB0">
        <w:noBreakHyphen/>
      </w:r>
      <w:r w:rsidRPr="0062582F">
        <w:t>property rental, dividends, forgiveness of liabilities, and bad debt reversals.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40"/>
        <w:rPr>
          <w:color w:val="FF0000"/>
        </w:rPr>
      </w:pPr>
      <w:r w:rsidRPr="0062582F">
        <w:lastRenderedPageBreak/>
        <w:t>AASB 118.30(c)</w:t>
      </w:r>
    </w:p>
    <w:p w:rsidR="004843DB" w:rsidRPr="0062582F" w:rsidRDefault="004843DB" w:rsidP="004843DB">
      <w:pPr>
        <w:pStyle w:val="Reference"/>
      </w:pPr>
    </w:p>
    <w:p w:rsidR="004843DB" w:rsidRPr="0062582F" w:rsidRDefault="004843DB" w:rsidP="004843DB">
      <w:r w:rsidRPr="0062582F">
        <w:br w:type="column"/>
      </w:r>
      <w:r w:rsidRPr="0062582F">
        <w:lastRenderedPageBreak/>
        <w:t>Dividend income is recognised when the right to receive payment is established. Dividends represent the income arising from the Department</w:t>
      </w:r>
      <w:r w:rsidR="005A4BB0">
        <w:t>’</w:t>
      </w:r>
      <w:r w:rsidRPr="0062582F">
        <w:t xml:space="preserve">s investments in financial assets. The Department does not recognise dividends received or receivable from its associates and joint ventures as income. Instead, dividends from associates and joint ventures are adjusted directly against the carrying amount of the investments using the equity method (refer to Note 1 (L) </w:t>
      </w:r>
      <w:r w:rsidRPr="0062582F">
        <w:rPr>
          <w:i/>
        </w:rPr>
        <w:t>Financial Assets</w:t>
      </w:r>
      <w:r w:rsidRPr="0062582F">
        <w:t>).</w:t>
      </w:r>
    </w:p>
    <w:p w:rsidR="004843DB" w:rsidRPr="0062582F" w:rsidRDefault="004843DB" w:rsidP="004843DB">
      <w:pPr>
        <w:pStyle w:val="Heading3Numbering"/>
        <w:rPr>
          <w:kern w:val="0"/>
          <w:szCs w:val="24"/>
        </w:rPr>
      </w:pPr>
      <w:r w:rsidRPr="0062582F">
        <w:t>Expenses from transactions</w:t>
      </w:r>
    </w:p>
    <w:p w:rsidR="004843DB" w:rsidRPr="0062582F" w:rsidRDefault="004843DB" w:rsidP="004843DB">
      <w:r w:rsidRPr="0062582F">
        <w:t>Expenses from transactions are recognised as they are incurred, and reported in the financial year to which they relate.</w:t>
      </w:r>
    </w:p>
    <w:p w:rsidR="004843DB" w:rsidRPr="0062582F" w:rsidRDefault="004843DB" w:rsidP="004843DB">
      <w:pPr>
        <w:pStyle w:val="Heading4"/>
      </w:pPr>
      <w:r w:rsidRPr="0062582F">
        <w:t>Employee expenses</w:t>
      </w:r>
    </w:p>
    <w:p w:rsidR="004843DB" w:rsidRPr="0062582F" w:rsidRDefault="004843DB" w:rsidP="004843DB">
      <w:r w:rsidRPr="0062582F">
        <w:t>Refer to the section in Note 1(N) regarding employee benefits.</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lastRenderedPageBreak/>
        <w:t>AASB 119.8</w:t>
      </w:r>
    </w:p>
    <w:p w:rsidR="004843DB" w:rsidRPr="0062582F" w:rsidRDefault="004843DB" w:rsidP="004843DB">
      <w:r w:rsidRPr="0062582F">
        <w:br w:type="column"/>
      </w:r>
      <w:r w:rsidRPr="0062582F">
        <w:lastRenderedPageBreak/>
        <w:t>These expenses include all forms of considerations (other than superannuation which is accounted for separately) given by the Department in exchange for service rendered by employees or for the termination of employment. This includes wages and salaries, fringe benefits tax, leave entitlements, termination payments and WorkCover premiums.</w:t>
      </w:r>
    </w:p>
    <w:p w:rsidR="004843DB" w:rsidRPr="0062582F" w:rsidRDefault="004843DB" w:rsidP="004843DB">
      <w:pPr>
        <w:pStyle w:val="Heading5"/>
      </w:pPr>
      <w:r w:rsidRPr="0062582F">
        <w:t>Superannuation</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FRD 112D</w:t>
      </w:r>
    </w:p>
    <w:p w:rsidR="004843DB" w:rsidRPr="0062582F" w:rsidRDefault="004843DB" w:rsidP="004843DB">
      <w:r w:rsidRPr="0062582F">
        <w:br w:type="column"/>
      </w:r>
      <w:r w:rsidRPr="0062582F">
        <w:lastRenderedPageBreak/>
        <w:t xml:space="preserve">The amount recognised in the comprehensive operating statement is the employer contributions for members of both defined benefit and defined contribution superannuation plans that are paid or payable during the reporting period. </w:t>
      </w:r>
    </w:p>
    <w:p w:rsidR="004843DB" w:rsidRPr="0062582F" w:rsidRDefault="004843DB" w:rsidP="004843DB">
      <w:pPr>
        <w:rPr>
          <w:rFonts w:ascii="Calibri" w:hAnsi="Calibri" w:cs="Arial"/>
          <w:b/>
          <w:bCs/>
          <w:sz w:val="26"/>
          <w:szCs w:val="28"/>
          <w:lang w:val="en-GB"/>
        </w:rPr>
      </w:pPr>
      <w:r w:rsidRPr="0062582F">
        <w:t>The Department of Treasury and Finance (DTF) in its annual financial statements, disclose on behalf of the State as the sponsoring employer, the net defined benefit cost related to the members of these plans as an administered liability. Refer to DTF</w:t>
      </w:r>
      <w:r w:rsidR="005A4BB0">
        <w:t>’</w:t>
      </w:r>
      <w:r w:rsidRPr="0062582F">
        <w:t>s annual financial statements for more detailed disclosures in relation to these plans.</w:t>
      </w:r>
      <w:r w:rsidRPr="0062582F">
        <w:br w:type="page"/>
      </w:r>
    </w:p>
    <w:p w:rsidR="004843DB" w:rsidRPr="0062582F" w:rsidRDefault="004843DB" w:rsidP="004843DB">
      <w:pPr>
        <w:pStyle w:val="NoteHeadingcontinued"/>
      </w:pPr>
      <w:r w:rsidRPr="0062582F">
        <w:lastRenderedPageBreak/>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pPr>
        <w:pStyle w:val="Heading4"/>
      </w:pPr>
      <w:r w:rsidRPr="0062582F">
        <w:t>Depreciation</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40"/>
      </w:pPr>
      <w:r w:rsidRPr="0062582F">
        <w:lastRenderedPageBreak/>
        <w:t>AASB 116.73(b)</w:t>
      </w:r>
    </w:p>
    <w:p w:rsidR="004843DB" w:rsidRPr="0062582F" w:rsidRDefault="004843DB" w:rsidP="004843DB">
      <w:r w:rsidRPr="0062582F">
        <w:br w:type="column"/>
      </w:r>
      <w:r w:rsidRPr="0062582F">
        <w:lastRenderedPageBreak/>
        <w:t>All infrastructure assets, buildings, plant and equipment and other non</w:t>
      </w:r>
      <w:r w:rsidR="005A4BB0">
        <w:noBreakHyphen/>
      </w:r>
      <w:r w:rsidRPr="0062582F">
        <w:t>financial physical assets (excluding items under operating leases, assets held for sale, land and investment properties) that have finite useful lives are depreciated. Depreciation is generally calculated on a straight</w:t>
      </w:r>
      <w:r w:rsidR="005A4BB0">
        <w:noBreakHyphen/>
      </w:r>
      <w:r w:rsidRPr="0062582F">
        <w:t>line basis, at rates that allocate the asset</w:t>
      </w:r>
      <w:r w:rsidR="005A4BB0">
        <w:t>’</w:t>
      </w:r>
      <w:r w:rsidRPr="0062582F">
        <w:t xml:space="preserve">s value, less any estimated residual value, over its estimated useful life. Refer to Note 1 (M) for the depreciation policy for leasehold improvements. </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BFMG 22</w:t>
      </w:r>
    </w:p>
    <w:p w:rsidR="004843DB" w:rsidRPr="0062582F" w:rsidRDefault="004843DB" w:rsidP="004843DB">
      <w:r w:rsidRPr="0062582F">
        <w:br w:type="column"/>
      </w:r>
      <w:r w:rsidRPr="0062582F">
        <w:lastRenderedPageBreak/>
        <w:t>The estimated useful lives, residual values and depreciation method are reviewed at the end of each annual reporting period, and adjustments made where appropriate.</w:t>
      </w:r>
    </w:p>
    <w:p w:rsidR="004843DB" w:rsidRPr="0062582F" w:rsidRDefault="004843DB" w:rsidP="004843DB">
      <w:r w:rsidRPr="0062582F">
        <w:t>The following are typical estimated useful lives for the different asset classes for current and prior years.</w:t>
      </w:r>
    </w:p>
    <w:p w:rsidR="004843DB" w:rsidRPr="0062582F" w:rsidRDefault="004843DB" w:rsidP="004843DB">
      <w:pPr>
        <w:pStyle w:val="SmallLine"/>
      </w:pP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Red"/>
        <w:spacing w:before="80"/>
      </w:pPr>
    </w:p>
    <w:p w:rsidR="004843DB" w:rsidRPr="0062582F" w:rsidRDefault="004843DB" w:rsidP="004843DB">
      <w:pPr>
        <w:pStyle w:val="Reference"/>
        <w:spacing w:before="0"/>
      </w:pPr>
      <w:r w:rsidRPr="0062582F">
        <w:t>AASB 116.73(c)</w:t>
      </w:r>
    </w:p>
    <w:p w:rsidR="004843DB" w:rsidRPr="0062582F" w:rsidRDefault="004843DB" w:rsidP="004843DB">
      <w:pPr>
        <w:pStyle w:val="SmallLine"/>
      </w:pPr>
      <w:r w:rsidRPr="0062582F">
        <w:br w:type="column"/>
      </w:r>
    </w:p>
    <w:tbl>
      <w:tblPr>
        <w:tblW w:w="8204" w:type="dxa"/>
        <w:tblInd w:w="29" w:type="dxa"/>
        <w:tblCellMar>
          <w:left w:w="43" w:type="dxa"/>
          <w:right w:w="43" w:type="dxa"/>
        </w:tblCellMar>
        <w:tblLook w:val="01E0" w:firstRow="1" w:lastRow="1" w:firstColumn="1" w:lastColumn="1" w:noHBand="0" w:noVBand="0"/>
      </w:tblPr>
      <w:tblGrid>
        <w:gridCol w:w="4604"/>
        <w:gridCol w:w="3600"/>
      </w:tblGrid>
      <w:tr w:rsidR="004843DB" w:rsidRPr="0062582F" w:rsidTr="004843DB">
        <w:trPr>
          <w:cantSplit/>
          <w:trHeight w:val="20"/>
        </w:trPr>
        <w:tc>
          <w:tcPr>
            <w:tcW w:w="4604" w:type="dxa"/>
            <w:tcBorders>
              <w:top w:val="single" w:sz="6" w:space="0" w:color="auto"/>
              <w:left w:val="single" w:sz="6" w:space="0" w:color="auto"/>
              <w:bottom w:val="nil"/>
              <w:right w:val="nil"/>
            </w:tcBorders>
            <w:shd w:val="clear" w:color="auto" w:fill="000000"/>
            <w:hideMark/>
          </w:tcPr>
          <w:p w:rsidR="004843DB" w:rsidRPr="0062582F" w:rsidRDefault="004843DB" w:rsidP="004843DB">
            <w:pPr>
              <w:pStyle w:val="TabletextheadingLeft"/>
            </w:pPr>
            <w:r w:rsidRPr="0062582F">
              <w:t xml:space="preserve">Asset </w:t>
            </w:r>
          </w:p>
        </w:tc>
        <w:tc>
          <w:tcPr>
            <w:tcW w:w="3600" w:type="dxa"/>
            <w:tcBorders>
              <w:top w:val="single" w:sz="6" w:space="0" w:color="auto"/>
              <w:left w:val="nil"/>
              <w:bottom w:val="nil"/>
              <w:right w:val="single" w:sz="6" w:space="0" w:color="auto"/>
            </w:tcBorders>
            <w:shd w:val="clear" w:color="auto" w:fill="000000"/>
            <w:hideMark/>
          </w:tcPr>
          <w:p w:rsidR="004843DB" w:rsidRPr="0062582F" w:rsidRDefault="004843DB" w:rsidP="004843DB">
            <w:pPr>
              <w:pStyle w:val="TabletextheadingLeft"/>
            </w:pPr>
            <w:r w:rsidRPr="0062582F">
              <w:t>Useful life</w:t>
            </w:r>
          </w:p>
        </w:tc>
      </w:tr>
      <w:tr w:rsidR="004843DB" w:rsidRPr="0062582F" w:rsidTr="004843DB">
        <w:trPr>
          <w:cantSplit/>
          <w:trHeight w:val="20"/>
        </w:trPr>
        <w:tc>
          <w:tcPr>
            <w:tcW w:w="4604" w:type="dxa"/>
            <w:hideMark/>
          </w:tcPr>
          <w:p w:rsidR="004843DB" w:rsidRPr="0062582F" w:rsidRDefault="004843DB" w:rsidP="004843DB">
            <w:pPr>
              <w:pStyle w:val="Tabletext"/>
            </w:pPr>
            <w:r w:rsidRPr="0062582F">
              <w:t>Buildings:</w:t>
            </w:r>
          </w:p>
        </w:tc>
        <w:tc>
          <w:tcPr>
            <w:tcW w:w="3600" w:type="dxa"/>
          </w:tcPr>
          <w:p w:rsidR="004843DB" w:rsidRPr="0062582F" w:rsidRDefault="004843DB" w:rsidP="004843DB">
            <w:pPr>
              <w:pStyle w:val="Tabletext"/>
            </w:pPr>
            <w:r w:rsidRPr="0062582F">
              <w:t>20 to 100 years</w:t>
            </w:r>
          </w:p>
        </w:tc>
      </w:tr>
      <w:tr w:rsidR="004843DB" w:rsidRPr="0062582F" w:rsidTr="004843DB">
        <w:trPr>
          <w:cantSplit/>
          <w:trHeight w:val="20"/>
        </w:trPr>
        <w:tc>
          <w:tcPr>
            <w:tcW w:w="4604" w:type="dxa"/>
            <w:hideMark/>
          </w:tcPr>
          <w:p w:rsidR="004843DB" w:rsidRPr="0062582F" w:rsidRDefault="004843DB" w:rsidP="004843DB">
            <w:pPr>
              <w:pStyle w:val="Tabletext"/>
            </w:pPr>
            <w:r w:rsidRPr="0062582F">
              <w:t>Leasehold buildings</w:t>
            </w:r>
          </w:p>
        </w:tc>
        <w:tc>
          <w:tcPr>
            <w:tcW w:w="3600" w:type="dxa"/>
            <w:hideMark/>
          </w:tcPr>
          <w:p w:rsidR="004843DB" w:rsidRPr="0062582F" w:rsidRDefault="004843DB" w:rsidP="004843DB">
            <w:pPr>
              <w:pStyle w:val="Tabletext"/>
            </w:pPr>
            <w:r w:rsidRPr="0062582F">
              <w:t xml:space="preserve">2 to 60 years </w:t>
            </w:r>
          </w:p>
        </w:tc>
      </w:tr>
      <w:tr w:rsidR="004843DB" w:rsidRPr="0062582F" w:rsidTr="004843DB">
        <w:trPr>
          <w:cantSplit/>
          <w:trHeight w:val="20"/>
        </w:trPr>
        <w:tc>
          <w:tcPr>
            <w:tcW w:w="4604" w:type="dxa"/>
            <w:hideMark/>
          </w:tcPr>
          <w:p w:rsidR="004843DB" w:rsidRPr="0062582F" w:rsidRDefault="004843DB" w:rsidP="004843DB">
            <w:pPr>
              <w:pStyle w:val="Tabletext"/>
            </w:pPr>
            <w:r w:rsidRPr="0062582F">
              <w:t>Infrastructure systems:</w:t>
            </w:r>
          </w:p>
        </w:tc>
        <w:tc>
          <w:tcPr>
            <w:tcW w:w="3600" w:type="dxa"/>
          </w:tcPr>
          <w:p w:rsidR="004843DB" w:rsidRPr="0062582F" w:rsidRDefault="004843DB" w:rsidP="004843DB">
            <w:pPr>
              <w:pStyle w:val="Tabletext"/>
            </w:pPr>
          </w:p>
        </w:tc>
      </w:tr>
      <w:tr w:rsidR="004843DB" w:rsidRPr="0062582F" w:rsidTr="004843DB">
        <w:trPr>
          <w:cantSplit/>
          <w:trHeight w:val="20"/>
        </w:trPr>
        <w:tc>
          <w:tcPr>
            <w:tcW w:w="4604" w:type="dxa"/>
            <w:hideMark/>
          </w:tcPr>
          <w:p w:rsidR="004843DB" w:rsidRPr="0062582F" w:rsidRDefault="004843DB" w:rsidP="004843DB">
            <w:pPr>
              <w:pStyle w:val="TableBullet"/>
              <w:ind w:left="266" w:hanging="266"/>
            </w:pPr>
            <w:r w:rsidRPr="0062582F">
              <w:t>water infrastructure – storage facilities</w:t>
            </w:r>
          </w:p>
        </w:tc>
        <w:tc>
          <w:tcPr>
            <w:tcW w:w="3600" w:type="dxa"/>
            <w:hideMark/>
          </w:tcPr>
          <w:p w:rsidR="004843DB" w:rsidRPr="0062582F" w:rsidRDefault="004843DB" w:rsidP="004843DB">
            <w:pPr>
              <w:pStyle w:val="Tabletext"/>
            </w:pPr>
            <w:r w:rsidRPr="0062582F">
              <w:t>25 to 300 years</w:t>
            </w:r>
          </w:p>
        </w:tc>
      </w:tr>
      <w:tr w:rsidR="004843DB" w:rsidRPr="0062582F" w:rsidTr="004843DB">
        <w:trPr>
          <w:cantSplit/>
          <w:trHeight w:val="20"/>
        </w:trPr>
        <w:tc>
          <w:tcPr>
            <w:tcW w:w="4604" w:type="dxa"/>
            <w:hideMark/>
          </w:tcPr>
          <w:p w:rsidR="004843DB" w:rsidRPr="0062582F" w:rsidRDefault="004843DB" w:rsidP="004843DB">
            <w:pPr>
              <w:pStyle w:val="TableBullet"/>
              <w:ind w:left="266" w:hanging="266"/>
            </w:pPr>
            <w:r w:rsidRPr="0062582F">
              <w:t xml:space="preserve">water infrastructure – other </w:t>
            </w:r>
          </w:p>
        </w:tc>
        <w:tc>
          <w:tcPr>
            <w:tcW w:w="3600" w:type="dxa"/>
            <w:hideMark/>
          </w:tcPr>
          <w:p w:rsidR="004843DB" w:rsidRPr="0062582F" w:rsidRDefault="004843DB" w:rsidP="004843DB">
            <w:pPr>
              <w:pStyle w:val="Tabletext"/>
            </w:pPr>
            <w:r w:rsidRPr="0062582F">
              <w:t>25 to 100 years</w:t>
            </w:r>
          </w:p>
        </w:tc>
      </w:tr>
      <w:tr w:rsidR="004843DB" w:rsidRPr="0062582F" w:rsidTr="004843DB">
        <w:trPr>
          <w:cantSplit/>
          <w:trHeight w:val="20"/>
        </w:trPr>
        <w:tc>
          <w:tcPr>
            <w:tcW w:w="4604" w:type="dxa"/>
            <w:hideMark/>
          </w:tcPr>
          <w:p w:rsidR="004843DB" w:rsidRPr="0062582F" w:rsidRDefault="004843DB" w:rsidP="004843DB">
            <w:pPr>
              <w:pStyle w:val="TableBullet"/>
              <w:ind w:left="266" w:hanging="266"/>
            </w:pPr>
            <w:r w:rsidRPr="0062582F">
              <w:t>rail infrastructure</w:t>
            </w:r>
          </w:p>
        </w:tc>
        <w:tc>
          <w:tcPr>
            <w:tcW w:w="3600" w:type="dxa"/>
            <w:hideMark/>
          </w:tcPr>
          <w:p w:rsidR="004843DB" w:rsidRPr="0062582F" w:rsidRDefault="004843DB" w:rsidP="004843DB">
            <w:pPr>
              <w:pStyle w:val="Tabletext"/>
            </w:pPr>
            <w:r w:rsidRPr="0062582F">
              <w:t>2 to 50 years</w:t>
            </w:r>
          </w:p>
        </w:tc>
      </w:tr>
      <w:tr w:rsidR="004843DB" w:rsidRPr="0062582F" w:rsidTr="004843DB">
        <w:trPr>
          <w:cantSplit/>
          <w:trHeight w:val="20"/>
        </w:trPr>
        <w:tc>
          <w:tcPr>
            <w:tcW w:w="4604" w:type="dxa"/>
            <w:hideMark/>
          </w:tcPr>
          <w:p w:rsidR="004843DB" w:rsidRPr="0062582F" w:rsidRDefault="004843DB" w:rsidP="004843DB">
            <w:pPr>
              <w:pStyle w:val="TableBullet"/>
              <w:ind w:left="266" w:hanging="266"/>
            </w:pPr>
            <w:r w:rsidRPr="0062582F">
              <w:t>other infrastructure</w:t>
            </w:r>
          </w:p>
        </w:tc>
        <w:tc>
          <w:tcPr>
            <w:tcW w:w="3600" w:type="dxa"/>
            <w:hideMark/>
          </w:tcPr>
          <w:p w:rsidR="004843DB" w:rsidRPr="0062582F" w:rsidRDefault="004843DB" w:rsidP="004843DB">
            <w:pPr>
              <w:pStyle w:val="Tabletext"/>
            </w:pPr>
            <w:r w:rsidRPr="0062582F">
              <w:t>10 to 32 years</w:t>
            </w:r>
          </w:p>
        </w:tc>
      </w:tr>
      <w:tr w:rsidR="004843DB" w:rsidRPr="0062582F" w:rsidTr="004843DB">
        <w:trPr>
          <w:cantSplit/>
          <w:trHeight w:val="20"/>
        </w:trPr>
        <w:tc>
          <w:tcPr>
            <w:tcW w:w="4604" w:type="dxa"/>
            <w:hideMark/>
          </w:tcPr>
          <w:p w:rsidR="004843DB" w:rsidRPr="0062582F" w:rsidRDefault="004843DB" w:rsidP="004843DB">
            <w:pPr>
              <w:pStyle w:val="Tabletext"/>
            </w:pPr>
            <w:r w:rsidRPr="0062582F">
              <w:t>Plant, equipment and vehicle (incl. leased assets)</w:t>
            </w:r>
          </w:p>
        </w:tc>
        <w:tc>
          <w:tcPr>
            <w:tcW w:w="3600" w:type="dxa"/>
            <w:hideMark/>
          </w:tcPr>
          <w:p w:rsidR="004843DB" w:rsidRPr="0062582F" w:rsidRDefault="004843DB" w:rsidP="004843DB">
            <w:pPr>
              <w:pStyle w:val="Tabletext"/>
            </w:pPr>
            <w:r w:rsidRPr="0062582F">
              <w:t>3 to 10 years</w:t>
            </w:r>
          </w:p>
        </w:tc>
      </w:tr>
      <w:tr w:rsidR="004843DB" w:rsidRPr="0062582F" w:rsidTr="004843DB">
        <w:trPr>
          <w:cantSplit/>
          <w:trHeight w:val="336"/>
        </w:trPr>
        <w:tc>
          <w:tcPr>
            <w:tcW w:w="4604" w:type="dxa"/>
            <w:hideMark/>
          </w:tcPr>
          <w:p w:rsidR="004843DB" w:rsidRPr="0062582F" w:rsidRDefault="004843DB" w:rsidP="004843DB">
            <w:pPr>
              <w:pStyle w:val="Tabletext"/>
            </w:pPr>
            <w:r w:rsidRPr="0062582F">
              <w:t>Road and road networks (incl. bridges)</w:t>
            </w:r>
          </w:p>
        </w:tc>
        <w:tc>
          <w:tcPr>
            <w:tcW w:w="3600" w:type="dxa"/>
            <w:hideMark/>
          </w:tcPr>
          <w:p w:rsidR="004843DB" w:rsidRPr="0062582F" w:rsidRDefault="004843DB" w:rsidP="004843DB">
            <w:pPr>
              <w:pStyle w:val="Tabletext"/>
            </w:pPr>
            <w:r w:rsidRPr="0062582F">
              <w:t>60 to 90 years</w:t>
            </w:r>
          </w:p>
        </w:tc>
      </w:tr>
      <w:tr w:rsidR="004843DB" w:rsidRPr="0062582F" w:rsidTr="004843DB">
        <w:trPr>
          <w:cantSplit/>
          <w:trHeight w:val="20"/>
        </w:trPr>
        <w:tc>
          <w:tcPr>
            <w:tcW w:w="4604" w:type="dxa"/>
            <w:hideMark/>
          </w:tcPr>
          <w:p w:rsidR="004843DB" w:rsidRPr="0062582F" w:rsidRDefault="004843DB" w:rsidP="004843DB">
            <w:pPr>
              <w:pStyle w:val="Tabletext"/>
            </w:pPr>
            <w:r w:rsidRPr="0062582F">
              <w:t>Cultural assets (with finite useful lives)</w:t>
            </w:r>
          </w:p>
        </w:tc>
        <w:tc>
          <w:tcPr>
            <w:tcW w:w="3600" w:type="dxa"/>
            <w:hideMark/>
          </w:tcPr>
          <w:p w:rsidR="004843DB" w:rsidRPr="0062582F" w:rsidRDefault="004843DB" w:rsidP="004843DB">
            <w:pPr>
              <w:pStyle w:val="Tabletext"/>
            </w:pPr>
            <w:r w:rsidRPr="0062582F">
              <w:t>100 years</w:t>
            </w:r>
          </w:p>
        </w:tc>
      </w:tr>
      <w:tr w:rsidR="004843DB" w:rsidRPr="0062582F" w:rsidTr="004843DB">
        <w:trPr>
          <w:cantSplit/>
          <w:trHeight w:val="20"/>
        </w:trPr>
        <w:tc>
          <w:tcPr>
            <w:tcW w:w="4604" w:type="dxa"/>
            <w:hideMark/>
          </w:tcPr>
          <w:p w:rsidR="004843DB" w:rsidRPr="0062582F" w:rsidRDefault="004843DB" w:rsidP="004843DB">
            <w:pPr>
              <w:pStyle w:val="Tabletext"/>
            </w:pPr>
            <w:r w:rsidRPr="0062582F">
              <w:t>Intangible produced assets:</w:t>
            </w:r>
          </w:p>
        </w:tc>
        <w:tc>
          <w:tcPr>
            <w:tcW w:w="3600" w:type="dxa"/>
          </w:tcPr>
          <w:p w:rsidR="004843DB" w:rsidRPr="0062582F" w:rsidRDefault="004843DB" w:rsidP="004843DB">
            <w:pPr>
              <w:pStyle w:val="Tabletext"/>
            </w:pPr>
          </w:p>
        </w:tc>
      </w:tr>
      <w:tr w:rsidR="004843DB" w:rsidRPr="0062582F" w:rsidTr="004843DB">
        <w:trPr>
          <w:cantSplit/>
          <w:trHeight w:val="20"/>
        </w:trPr>
        <w:tc>
          <w:tcPr>
            <w:tcW w:w="4604" w:type="dxa"/>
            <w:tcBorders>
              <w:top w:val="nil"/>
              <w:left w:val="nil"/>
              <w:bottom w:val="single" w:sz="12" w:space="0" w:color="auto"/>
              <w:right w:val="nil"/>
            </w:tcBorders>
            <w:hideMark/>
          </w:tcPr>
          <w:p w:rsidR="004843DB" w:rsidRPr="0062582F" w:rsidRDefault="004843DB" w:rsidP="004843DB">
            <w:pPr>
              <w:pStyle w:val="TableBullet"/>
              <w:ind w:left="266" w:hanging="266"/>
            </w:pPr>
            <w:r w:rsidRPr="0062582F">
              <w:t>capitalised software development costs</w:t>
            </w:r>
          </w:p>
        </w:tc>
        <w:tc>
          <w:tcPr>
            <w:tcW w:w="3600" w:type="dxa"/>
            <w:tcBorders>
              <w:top w:val="nil"/>
              <w:left w:val="nil"/>
              <w:bottom w:val="single" w:sz="12" w:space="0" w:color="auto"/>
              <w:right w:val="nil"/>
            </w:tcBorders>
            <w:hideMark/>
          </w:tcPr>
          <w:p w:rsidR="004843DB" w:rsidRPr="0062582F" w:rsidRDefault="004843DB" w:rsidP="004843DB">
            <w:pPr>
              <w:pStyle w:val="Tabletext"/>
            </w:pPr>
            <w:r w:rsidRPr="0062582F">
              <w:t>3 to 5 years</w:t>
            </w:r>
          </w:p>
        </w:tc>
      </w:tr>
    </w:tbl>
    <w:p w:rsidR="004843DB" w:rsidRPr="0062582F" w:rsidRDefault="004843DB" w:rsidP="004843DB">
      <w:pPr>
        <w:pStyle w:val="Source"/>
      </w:pPr>
    </w:p>
    <w:p w:rsidR="004843DB" w:rsidRPr="0062582F" w:rsidRDefault="004843DB" w:rsidP="004843DB">
      <w:pPr>
        <w:pStyle w:val="NormalBlue"/>
        <w:rPr>
          <w:i/>
        </w:rPr>
      </w:pPr>
      <w:r w:rsidRPr="0062582F">
        <w:rPr>
          <w:i/>
        </w:rPr>
        <w:t>[The useful lives illustrated in the Model are for illustrative purposes only. Departments should determine the useful lives of assets by consideration of the nature and characteristics of specific assets.]</w:t>
      </w:r>
    </w:p>
    <w:p w:rsidR="004843DB" w:rsidRPr="0062582F" w:rsidRDefault="004843DB" w:rsidP="004843DB">
      <w:pPr>
        <w:pStyle w:val="SmallLine"/>
      </w:pP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1051.11</w:t>
      </w:r>
    </w:p>
    <w:p w:rsidR="004843DB" w:rsidRPr="0062582F" w:rsidRDefault="004843DB" w:rsidP="004843DB">
      <w:r w:rsidRPr="0062582F">
        <w:br w:type="column"/>
      </w:r>
      <w:r w:rsidRPr="0062582F">
        <w:lastRenderedPageBreak/>
        <w:t>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138.97, 104, 109 and 118(b)</w:t>
      </w:r>
    </w:p>
    <w:p w:rsidR="004843DB" w:rsidRPr="0062582F" w:rsidRDefault="004843DB" w:rsidP="004843DB">
      <w:r w:rsidRPr="0062582F">
        <w:br w:type="column"/>
      </w:r>
      <w:r w:rsidRPr="0062582F">
        <w:lastRenderedPageBreak/>
        <w:t>Intangible produced assets with finite useful lives are depreciated as an expense from transactions on a systematic (typically straight</w:t>
      </w:r>
      <w:r w:rsidR="005A4BB0">
        <w:noBreakHyphen/>
      </w:r>
      <w:r w:rsidRPr="0062582F">
        <w:t>line) basis over the asset</w:t>
      </w:r>
      <w:r w:rsidR="005A4BB0">
        <w:t>’</w:t>
      </w:r>
      <w:r w:rsidRPr="0062582F">
        <w:t>s useful life. Depreciation begins when the asset is available for use, that is, when it is in the location and condition necessary for it to be capable of operating in the manner intended by management.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Pr>
        <w:pStyle w:val="ReferenceRed"/>
        <w:spacing w:before="0"/>
        <w:rPr>
          <w:color w:val="0000FF"/>
        </w:rPr>
      </w:pPr>
      <w:r w:rsidRPr="0062582F">
        <w:rPr>
          <w:color w:val="0000FF"/>
        </w:rPr>
        <w:t>AASB 138.108</w:t>
      </w:r>
    </w:p>
    <w:p w:rsidR="004843DB" w:rsidRPr="0062582F" w:rsidRDefault="004843DB" w:rsidP="004843DB">
      <w:r w:rsidRPr="0062582F">
        <w:br w:type="column"/>
      </w:r>
      <w:r w:rsidRPr="0062582F">
        <w:lastRenderedPageBreak/>
        <w:t>On the other hand, the consumption of intangible non</w:t>
      </w:r>
      <w:r w:rsidR="005A4BB0">
        <w:noBreakHyphen/>
      </w:r>
      <w:r w:rsidRPr="0062582F">
        <w:t xml:space="preserve">produced assets with finite useful lives is not classified as a transaction, but as amortisation. Consequently, the amortisation is included as an other economic flow in the net result. </w:t>
      </w:r>
    </w:p>
    <w:p w:rsidR="004843DB" w:rsidRPr="0062582F" w:rsidRDefault="004843DB" w:rsidP="004843DB">
      <w:r w:rsidRPr="0062582F">
        <w:t>All intangible assets with indefinite useful lives are not depreciated or amortised, but are tested for impairment by comparing its recoverable amount with its carrying amount:</w:t>
      </w:r>
    </w:p>
    <w:p w:rsidR="004843DB" w:rsidRPr="0062582F" w:rsidRDefault="004843DB" w:rsidP="004843DB">
      <w:pPr>
        <w:pStyle w:val="aalpha"/>
        <w:numPr>
          <w:ilvl w:val="0"/>
          <w:numId w:val="18"/>
        </w:numPr>
      </w:pPr>
      <w:r w:rsidRPr="0062582F">
        <w:t>annually; and</w:t>
      </w:r>
    </w:p>
    <w:p w:rsidR="004843DB" w:rsidRPr="0062582F" w:rsidRDefault="004843DB" w:rsidP="004843DB">
      <w:pPr>
        <w:pStyle w:val="aalpha"/>
        <w:tabs>
          <w:tab w:val="left" w:pos="360"/>
          <w:tab w:val="left" w:pos="720"/>
        </w:tabs>
      </w:pPr>
      <w:r w:rsidRPr="0062582F">
        <w:t>whenever there is an indication that the intangible asset may be impaired (refer to Note 1(I)).</w:t>
      </w:r>
    </w:p>
    <w:p w:rsidR="004843DB" w:rsidRPr="0062582F" w:rsidRDefault="004843DB" w:rsidP="004843DB">
      <w:pPr>
        <w:spacing w:line="240" w:lineRule="atLeast"/>
        <w:rPr>
          <w:rFonts w:ascii="Calibri" w:hAnsi="Calibri" w:cs="Arial"/>
          <w:b/>
          <w:bCs/>
          <w:sz w:val="26"/>
          <w:szCs w:val="28"/>
          <w:lang w:val="en-GB"/>
        </w:rPr>
      </w:pPr>
      <w:r w:rsidRPr="0062582F">
        <w:br w:type="page"/>
      </w:r>
    </w:p>
    <w:p w:rsidR="004843DB" w:rsidRPr="0062582F" w:rsidRDefault="004843DB" w:rsidP="004843DB">
      <w:pPr>
        <w:pStyle w:val="NoteHeadingcontinued"/>
      </w:pPr>
      <w:r w:rsidRPr="0062582F">
        <w:lastRenderedPageBreak/>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pPr>
        <w:pStyle w:val="Reference"/>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80"/>
      </w:pPr>
      <w:r w:rsidRPr="0062582F">
        <w:lastRenderedPageBreak/>
        <w:t xml:space="preserve">FRD 105A and </w:t>
      </w:r>
      <w:r w:rsidRPr="0062582F">
        <w:br/>
        <w:t>AASB 123. 8 and 9</w:t>
      </w:r>
    </w:p>
    <w:p w:rsidR="004843DB" w:rsidRPr="0062582F" w:rsidRDefault="004843DB" w:rsidP="004843DB">
      <w:pPr>
        <w:pStyle w:val="Heading4"/>
        <w:spacing w:before="0"/>
      </w:pPr>
      <w:r w:rsidRPr="0062582F">
        <w:br w:type="column"/>
      </w:r>
      <w:r w:rsidRPr="0062582F">
        <w:lastRenderedPageBreak/>
        <w:t>Interest expense</w:t>
      </w:r>
    </w:p>
    <w:p w:rsidR="004843DB" w:rsidRPr="0062582F" w:rsidRDefault="004843DB" w:rsidP="004843DB">
      <w:pPr>
        <w:spacing w:before="100"/>
        <w:rPr>
          <w:rFonts w:asciiTheme="majorHAnsi" w:hAnsiTheme="majorHAnsi"/>
          <w:sz w:val="20"/>
        </w:rPr>
      </w:pPr>
      <w:r w:rsidRPr="0062582F">
        <w:t>Interest expense represents costs incurred in connection with borrowings. It includes interest on advances, loans, overdrafts, bonds and bills, deposits, interest components of finance lease repayments, and amortisation of discounts or premiums in relation to borrowings.</w:t>
      </w:r>
    </w:p>
    <w:p w:rsidR="004843DB" w:rsidRPr="0062582F" w:rsidRDefault="004843DB" w:rsidP="004843DB">
      <w:pPr>
        <w:spacing w:before="100"/>
      </w:pPr>
      <w:r w:rsidRPr="0062582F">
        <w:t>Interest expense (excluding swap interest that is classified as an other economic flow) is recognised in the period in which it is incurred. Refer to Note 44 for an explanation of interest expense items.</w:t>
      </w:r>
    </w:p>
    <w:p w:rsidR="004843DB" w:rsidRPr="0062582F" w:rsidRDefault="004843DB" w:rsidP="004843DB">
      <w:pPr>
        <w:pStyle w:val="Heading4"/>
      </w:pPr>
      <w:r w:rsidRPr="0062582F">
        <w:t>Grants and other transfers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20"/>
      </w:pPr>
      <w:r w:rsidRPr="0062582F">
        <w:lastRenderedPageBreak/>
        <w:t>AASB Framework paragraph 83</w:t>
      </w:r>
    </w:p>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Pr>
        <w:pStyle w:val="ReferenceRed"/>
      </w:pPr>
      <w:r w:rsidRPr="0062582F">
        <w:t>Revised</w:t>
      </w:r>
    </w:p>
    <w:p w:rsidR="004843DB" w:rsidRPr="0062582F" w:rsidRDefault="004843DB" w:rsidP="004843DB">
      <w:pPr>
        <w:spacing w:before="100"/>
      </w:pPr>
      <w:r w:rsidRPr="0062582F">
        <w:br w:type="column"/>
      </w:r>
      <w:r w:rsidRPr="0062582F">
        <w:lastRenderedPageBreak/>
        <w:t>Grants and other transfers to third parties (other than contribution to owners) are recognised as an expense in the reporting period in which they are paid or payable. They include transactions such as: grants, subsidies, personal benefit payments made in cash to individuals; other transfer payments made to State</w:t>
      </w:r>
      <w:r w:rsidR="005A4BB0">
        <w:noBreakHyphen/>
      </w:r>
      <w:r w:rsidRPr="0062582F">
        <w:t>owned agencies, local government, non</w:t>
      </w:r>
      <w:r w:rsidR="005A4BB0">
        <w:noBreakHyphen/>
      </w:r>
      <w:r w:rsidRPr="0062582F">
        <w:t>government schools, and community groups. Refer to Note 44 for an explanation of grants and other transfers.</w:t>
      </w:r>
    </w:p>
    <w:p w:rsidR="004843DB" w:rsidRPr="0062582F" w:rsidRDefault="004843DB" w:rsidP="004843DB">
      <w:pPr>
        <w:pStyle w:val="Heading4"/>
      </w:pPr>
      <w:r w:rsidRPr="0062582F">
        <w:t>Capital asset charge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20"/>
      </w:pPr>
      <w:r w:rsidRPr="0062582F">
        <w:lastRenderedPageBreak/>
        <w:t>BFMG 12</w:t>
      </w:r>
    </w:p>
    <w:p w:rsidR="004843DB" w:rsidRPr="0062582F" w:rsidRDefault="004843DB" w:rsidP="004843DB">
      <w:pPr>
        <w:spacing w:before="100"/>
      </w:pPr>
      <w:r w:rsidRPr="0062582F">
        <w:br w:type="column"/>
      </w:r>
      <w:r w:rsidRPr="0062582F">
        <w:lastRenderedPageBreak/>
        <w:t>A charge levied on the written</w:t>
      </w:r>
      <w:r w:rsidR="005A4BB0">
        <w:noBreakHyphen/>
      </w:r>
      <w:r w:rsidRPr="0062582F">
        <w:t>down value of controlled non</w:t>
      </w:r>
      <w:r w:rsidR="005A4BB0">
        <w:noBreakHyphen/>
      </w:r>
      <w:r w:rsidRPr="0062582F">
        <w:t>current physical assets in a department</w:t>
      </w:r>
      <w:r w:rsidR="005A4BB0">
        <w:t>’</w:t>
      </w:r>
      <w:r w:rsidRPr="0062582F">
        <w:t>s balance sheet which aims to: attribute to agency outputs the opportunity cost of capital used in service delivery; and provide incentives to departments to identify and dispose of underutilised or surplus assets in a timely manner. The capital asset charge is calculated on the budgeted carrying amount of applicable non</w:t>
      </w:r>
      <w:r w:rsidR="005A4BB0">
        <w:noBreakHyphen/>
      </w:r>
      <w:r w:rsidRPr="0062582F">
        <w:t>financial physical assets.</w:t>
      </w:r>
    </w:p>
    <w:p w:rsidR="004843DB" w:rsidRPr="0062582F" w:rsidRDefault="004843DB" w:rsidP="004843DB">
      <w:pPr>
        <w:pStyle w:val="Heading4"/>
      </w:pPr>
      <w:r w:rsidRPr="0062582F">
        <w:t>Other operating expenses</w:t>
      </w:r>
    </w:p>
    <w:p w:rsidR="004843DB" w:rsidRPr="0062582F" w:rsidRDefault="004843DB" w:rsidP="004843DB">
      <w:pPr>
        <w:spacing w:before="100"/>
      </w:pPr>
      <w:r w:rsidRPr="0062582F">
        <w:t>Other operating expenses generally represent the day</w:t>
      </w:r>
      <w:r w:rsidR="005A4BB0">
        <w:noBreakHyphen/>
      </w:r>
      <w:r w:rsidRPr="0062582F">
        <w:t>to</w:t>
      </w:r>
      <w:r w:rsidR="005A4BB0">
        <w:noBreakHyphen/>
      </w:r>
      <w:r w:rsidRPr="0062582F">
        <w:t xml:space="preserve">day running costs incurred in normal operations and include: </w:t>
      </w:r>
    </w:p>
    <w:p w:rsidR="004843DB" w:rsidRPr="0062582F" w:rsidRDefault="004843DB" w:rsidP="004843DB">
      <w:pPr>
        <w:pStyle w:val="Heading5"/>
      </w:pPr>
      <w:r w:rsidRPr="0062582F">
        <w:t>Supplies and services</w:t>
      </w:r>
    </w:p>
    <w:p w:rsidR="004843DB" w:rsidRPr="0062582F" w:rsidRDefault="004843DB" w:rsidP="004843DB">
      <w:pPr>
        <w:spacing w:before="80"/>
      </w:pPr>
      <w:r w:rsidRPr="0062582F">
        <w:t>Supplies and services are recognised as an expense in the reporting period in which they are incurred. The carrying amounts of any inventories held for distribution are expensed when distributed.</w:t>
      </w:r>
    </w:p>
    <w:p w:rsidR="004843DB" w:rsidRPr="0062582F" w:rsidRDefault="004843DB" w:rsidP="004843DB">
      <w:pPr>
        <w:pStyle w:val="Heading5"/>
      </w:pPr>
      <w:r w:rsidRPr="0062582F">
        <w:t>Bad and doubtful debts</w:t>
      </w:r>
    </w:p>
    <w:p w:rsidR="004843DB" w:rsidRPr="0062582F" w:rsidRDefault="004843DB" w:rsidP="004843DB">
      <w:pPr>
        <w:spacing w:before="100"/>
      </w:pPr>
      <w:r w:rsidRPr="0062582F">
        <w:t xml:space="preserve">Refer to Note 1(L) </w:t>
      </w:r>
      <w:r w:rsidRPr="0062582F">
        <w:rPr>
          <w:i/>
        </w:rPr>
        <w:t>Impairment of financial assets</w:t>
      </w:r>
      <w:r w:rsidRPr="0062582F">
        <w:t xml:space="preserve">. </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0"/>
      </w:pPr>
      <w:r w:rsidRPr="0062582F">
        <w:lastRenderedPageBreak/>
        <w:t>AASB 1004.9</w:t>
      </w:r>
    </w:p>
    <w:p w:rsidR="004843DB" w:rsidRPr="0062582F" w:rsidRDefault="004843DB" w:rsidP="004843DB">
      <w:pPr>
        <w:pStyle w:val="Heading5"/>
      </w:pPr>
      <w:r w:rsidRPr="0062582F">
        <w:br w:type="column"/>
      </w:r>
      <w:r w:rsidRPr="0062582F">
        <w:lastRenderedPageBreak/>
        <w:t>Fair value of assets and services provided free of charge or for nominal consideration</w:t>
      </w:r>
    </w:p>
    <w:p w:rsidR="004843DB" w:rsidRPr="0062582F" w:rsidRDefault="004843DB" w:rsidP="004843DB">
      <w:pPr>
        <w:spacing w:before="80"/>
      </w:pPr>
      <w:r w:rsidRPr="0062582F">
        <w:t xml:space="preserve">Contributions of resources provided free of charge or for nominal consideration are recognised at their fair value when the transferee obtains control over them, irrespective of whether restrictions or conditions are imposed over the use of the contributions, unless received from another government department or agency as a consequence of a restructuring of administrative arrangements. In the latter case, such a transfer will be recognised at its carrying value. </w:t>
      </w:r>
    </w:p>
    <w:p w:rsidR="004843DB" w:rsidRPr="0062582F" w:rsidRDefault="004843DB" w:rsidP="004843DB">
      <w:pPr>
        <w:spacing w:before="100"/>
      </w:pPr>
      <w:r w:rsidRPr="0062582F">
        <w:t xml:space="preserve">Contributions in the form of services are only recognised when a fair value can be reliably determined and the services would have been purchased if not donated. </w:t>
      </w:r>
    </w:p>
    <w:p w:rsidR="004843DB" w:rsidRPr="0062582F" w:rsidRDefault="004843DB" w:rsidP="004843DB">
      <w:pPr>
        <w:pStyle w:val="Heading5"/>
      </w:pPr>
      <w:r w:rsidRPr="0062582F">
        <w:t>Borrowing costs of qualifying assets</w:t>
      </w:r>
    </w:p>
    <w:p w:rsidR="004843DB" w:rsidRPr="0062582F" w:rsidRDefault="004843DB" w:rsidP="004843DB">
      <w:pPr>
        <w:rPr>
          <w:snapToGrid w:val="0"/>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
      </w:pPr>
      <w:r w:rsidRPr="0062582F">
        <w:lastRenderedPageBreak/>
        <w:t>AASB 123.Aus1.0, Aus 8.1</w:t>
      </w:r>
    </w:p>
    <w:p w:rsidR="004843DB" w:rsidRPr="0062582F" w:rsidRDefault="004843DB" w:rsidP="004843DB">
      <w:pPr>
        <w:spacing w:before="0"/>
        <w:rPr>
          <w:snapToGrid w:val="0"/>
        </w:rPr>
      </w:pPr>
      <w:r w:rsidRPr="0062582F">
        <w:rPr>
          <w:snapToGrid w:val="0"/>
        </w:rPr>
        <w:br w:type="column"/>
      </w:r>
      <w:r w:rsidRPr="0062582F">
        <w:rPr>
          <w:snapToGrid w:val="0"/>
        </w:rPr>
        <w:lastRenderedPageBreak/>
        <w:t xml:space="preserve">In accordance with the paragraphs of AASB 123 </w:t>
      </w:r>
      <w:r w:rsidRPr="0062582F">
        <w:rPr>
          <w:i/>
          <w:snapToGrid w:val="0"/>
        </w:rPr>
        <w:t>Borrowing Costs</w:t>
      </w:r>
      <w:r w:rsidRPr="0062582F">
        <w:rPr>
          <w:snapToGrid w:val="0"/>
        </w:rPr>
        <w:t xml:space="preserve"> applicable to not</w:t>
      </w:r>
      <w:r w:rsidR="005A4BB0">
        <w:rPr>
          <w:snapToGrid w:val="0"/>
        </w:rPr>
        <w:noBreakHyphen/>
      </w:r>
      <w:r w:rsidRPr="0062582F">
        <w:rPr>
          <w:snapToGrid w:val="0"/>
        </w:rPr>
        <w:t>for</w:t>
      </w:r>
      <w:r w:rsidR="005A4BB0">
        <w:rPr>
          <w:snapToGrid w:val="0"/>
        </w:rPr>
        <w:noBreakHyphen/>
      </w:r>
      <w:r w:rsidRPr="0062582F">
        <w:rPr>
          <w:snapToGrid w:val="0"/>
        </w:rPr>
        <w:t>profit public sector entities, the Department continues to recognise borrowing costs immediately as an expense, to the extent that they are directly attributable to the acquisition, construction or production of a qualifying asset</w:t>
      </w:r>
    </w:p>
    <w:p w:rsidR="004843DB" w:rsidRPr="0062582F" w:rsidRDefault="004843DB" w:rsidP="004843DB">
      <w:pPr>
        <w:pStyle w:val="Heading3Numbering"/>
      </w:pPr>
      <w:r w:rsidRPr="0062582F">
        <w:t>Other economic flows included in the net result</w:t>
      </w:r>
    </w:p>
    <w:p w:rsidR="004843DB" w:rsidRPr="0062582F" w:rsidRDefault="004843DB" w:rsidP="004843DB">
      <w:pPr>
        <w:rPr>
          <w:snapToGrid w:val="0"/>
        </w:rPr>
      </w:pPr>
      <w:r w:rsidRPr="0062582F">
        <w:t>Other economic flows are changes in the volume or value an asset or liability that does not result from transactions.</w:t>
      </w:r>
    </w:p>
    <w:p w:rsidR="004843DB" w:rsidRPr="0062582F" w:rsidRDefault="004843DB" w:rsidP="004843DB">
      <w:pPr>
        <w:pStyle w:val="NoteHeadingcontinued"/>
      </w:pPr>
      <w:r w:rsidRPr="0062582F">
        <w:br w:type="column"/>
      </w:r>
      <w:r w:rsidRPr="0062582F">
        <w:lastRenderedPageBreak/>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pPr>
        <w:pStyle w:val="Heading4"/>
      </w:pPr>
      <w:r w:rsidRPr="0062582F">
        <w:t>Net gain/(loss) on non</w:t>
      </w:r>
      <w:r w:rsidR="005A4BB0">
        <w:noBreakHyphen/>
      </w:r>
      <w:r w:rsidRPr="0062582F">
        <w:t xml:space="preserve">financial assets </w:t>
      </w:r>
    </w:p>
    <w:p w:rsidR="004843DB" w:rsidRPr="0062582F" w:rsidRDefault="004843DB" w:rsidP="004843DB">
      <w:r w:rsidRPr="0062582F">
        <w:t>Net gain/(loss) on non</w:t>
      </w:r>
      <w:r w:rsidR="005A4BB0">
        <w:noBreakHyphen/>
      </w:r>
      <w:r w:rsidRPr="0062582F">
        <w:t>financial assets and liabilities includes realised and unrealised gains and losses as follows:</w:t>
      </w:r>
    </w:p>
    <w:p w:rsidR="004843DB" w:rsidRPr="0062582F" w:rsidRDefault="004843DB" w:rsidP="004843DB">
      <w:pPr>
        <w:pStyle w:val="Heading5"/>
      </w:pPr>
      <w:r w:rsidRPr="0062582F">
        <w:t>Revaluation gains/(losses) of non</w:t>
      </w:r>
      <w:r w:rsidR="005A4BB0">
        <w:noBreakHyphen/>
      </w:r>
      <w:r w:rsidRPr="0062582F">
        <w:t>financial physical assets</w:t>
      </w:r>
    </w:p>
    <w:p w:rsidR="004843DB" w:rsidRPr="0062582F" w:rsidRDefault="004843DB" w:rsidP="004843DB">
      <w:r w:rsidRPr="0062582F">
        <w:t>Refer to Note 1(M) Revaluations of non</w:t>
      </w:r>
      <w:r w:rsidR="005A4BB0">
        <w:noBreakHyphen/>
      </w:r>
      <w:r w:rsidRPr="0062582F">
        <w:t>financial physical assets.</w:t>
      </w:r>
    </w:p>
    <w:p w:rsidR="004843DB" w:rsidRPr="0062582F" w:rsidRDefault="004843DB" w:rsidP="004843DB">
      <w:pPr>
        <w:pStyle w:val="Heading5"/>
      </w:pPr>
      <w:r w:rsidRPr="0062582F">
        <w:t xml:space="preserve">Gain/(loss) arising from fair value changes of biological assets </w:t>
      </w:r>
    </w:p>
    <w:p w:rsidR="004843DB" w:rsidRPr="0062582F" w:rsidRDefault="004843DB" w:rsidP="004843DB">
      <w:r w:rsidRPr="0062582F">
        <w:t>Refer to Note 1(M) Biological assets.</w:t>
      </w:r>
    </w:p>
    <w:p w:rsidR="004843DB" w:rsidRPr="0062582F" w:rsidRDefault="004843DB" w:rsidP="004843DB">
      <w:pPr>
        <w:pStyle w:val="Heading5"/>
      </w:pPr>
      <w:r w:rsidRPr="0062582F">
        <w:t>Net gain/(loss) on disposal of non</w:t>
      </w:r>
      <w:r w:rsidR="005A4BB0">
        <w:noBreakHyphen/>
      </w:r>
      <w:r w:rsidRPr="0062582F">
        <w:t>financial assets</w:t>
      </w:r>
    </w:p>
    <w:p w:rsidR="004843DB" w:rsidRPr="0062582F" w:rsidRDefault="004843DB" w:rsidP="004843DB">
      <w:r w:rsidRPr="0062582F">
        <w:t>Any gain or loss on the disposal of non</w:t>
      </w:r>
      <w:r w:rsidR="005A4BB0">
        <w:noBreakHyphen/>
      </w:r>
      <w:r w:rsidRPr="0062582F">
        <w:t>financial assets is recognised at the date of disposal and is determined after deducting the proceeds from the carrying value of the asset at the time.</w:t>
      </w:r>
    </w:p>
    <w:p w:rsidR="004843DB" w:rsidRPr="0062582F" w:rsidRDefault="004843DB" w:rsidP="004843DB">
      <w:pPr>
        <w:pStyle w:val="Heading5"/>
      </w:pPr>
      <w:r w:rsidRPr="0062582F">
        <w:t>Amortisation of non</w:t>
      </w:r>
      <w:r w:rsidR="005A4BB0">
        <w:noBreakHyphen/>
      </w:r>
      <w:r w:rsidRPr="0062582F">
        <w:t>produced intangible assets</w:t>
      </w:r>
    </w:p>
    <w:p w:rsidR="004843DB" w:rsidRPr="0062582F" w:rsidRDefault="004843DB" w:rsidP="004843DB">
      <w:r w:rsidRPr="0062582F">
        <w:t>Intangible non</w:t>
      </w:r>
      <w:r w:rsidR="005A4BB0">
        <w:noBreakHyphen/>
      </w:r>
      <w:r w:rsidRPr="0062582F">
        <w:t>produced assets with finite lives are amortised as an other economic flow on a systematic (typically straight</w:t>
      </w:r>
      <w:r w:rsidR="005A4BB0">
        <w:noBreakHyphen/>
      </w:r>
      <w:r w:rsidRPr="0062582F">
        <w:t>line) basis over the asset</w:t>
      </w:r>
      <w:r w:rsidR="005A4BB0">
        <w:t>’</w:t>
      </w:r>
      <w:r w:rsidRPr="0062582F">
        <w:t>s useful life. Amortisation begins when the asset is available for use, that is, when it is in the location and condition necessary for it to be capable of operating in the manner intended by management.</w:t>
      </w:r>
    </w:p>
    <w:p w:rsidR="004843DB" w:rsidRPr="0062582F" w:rsidRDefault="004843DB" w:rsidP="004843DB">
      <w:pPr>
        <w:pStyle w:val="Heading5"/>
        <w:spacing w:before="120"/>
      </w:pPr>
      <w:r w:rsidRPr="0062582F">
        <w:t>Gain/(loss) arising from transactions in foreign exchange</w:t>
      </w:r>
    </w:p>
    <w:p w:rsidR="004843DB" w:rsidRPr="0062582F" w:rsidRDefault="004843DB" w:rsidP="004843DB">
      <w:r w:rsidRPr="0062582F">
        <w:t xml:space="preserve">Refer to Note 1(U) </w:t>
      </w:r>
      <w:r w:rsidRPr="0062582F">
        <w:rPr>
          <w:i/>
        </w:rPr>
        <w:t>Foreign currency balances/transactions</w:t>
      </w:r>
      <w:r w:rsidRPr="0062582F">
        <w:t>.</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80"/>
        <w:rPr>
          <w:lang w:val="en-AU"/>
        </w:rPr>
      </w:pPr>
      <w:r w:rsidRPr="0062582F">
        <w:rPr>
          <w:lang w:val="en-AU"/>
        </w:rPr>
        <w:lastRenderedPageBreak/>
        <w:t>AASB 136.10(a)</w:t>
      </w:r>
      <w:r w:rsidRPr="0062582F">
        <w:rPr>
          <w:lang w:val="en-AU"/>
        </w:rPr>
        <w:br/>
      </w:r>
    </w:p>
    <w:p w:rsidR="004843DB" w:rsidRPr="0062582F" w:rsidRDefault="004843DB" w:rsidP="004843DB">
      <w:pPr>
        <w:pStyle w:val="Heading5"/>
      </w:pPr>
      <w:r w:rsidRPr="0062582F">
        <w:br w:type="column"/>
      </w:r>
      <w:r w:rsidRPr="0062582F">
        <w:lastRenderedPageBreak/>
        <w:t>Impairment of non</w:t>
      </w:r>
      <w:r w:rsidR="005A4BB0">
        <w:noBreakHyphen/>
      </w:r>
      <w:r w:rsidRPr="0062582F">
        <w:t>financial assets</w:t>
      </w:r>
    </w:p>
    <w:p w:rsidR="004843DB" w:rsidRPr="0062582F" w:rsidRDefault="004843DB" w:rsidP="004843DB">
      <w:pPr>
        <w:spacing w:before="100"/>
      </w:pPr>
      <w:r w:rsidRPr="0062582F">
        <w:t>Goodwill and intangible assets with indefinite useful lives (and intangible assets not yet available for use) are tested annually for impairment (as described below) and whenever there is an indication that the asset may be impaired.</w:t>
      </w:r>
    </w:p>
    <w:p w:rsidR="004843DB" w:rsidRPr="0062582F" w:rsidRDefault="004843DB" w:rsidP="004843DB">
      <w:r w:rsidRPr="0062582F">
        <w:t>All other assets are assessed annually for indications of impairment, except for:</w:t>
      </w:r>
    </w:p>
    <w:p w:rsidR="004843DB" w:rsidRPr="0062582F" w:rsidRDefault="004843DB" w:rsidP="004843DB">
      <w:pPr>
        <w:pStyle w:val="Bullet"/>
      </w:pPr>
      <w:r w:rsidRPr="0062582F">
        <w:t>inventories (refer Note 1(M));</w:t>
      </w:r>
    </w:p>
    <w:p w:rsidR="004843DB" w:rsidRPr="0062582F" w:rsidRDefault="004843DB" w:rsidP="004843DB">
      <w:pPr>
        <w:pStyle w:val="Bullet"/>
      </w:pPr>
      <w:r w:rsidRPr="0062582F">
        <w:t>non</w:t>
      </w:r>
      <w:r w:rsidR="005A4BB0">
        <w:noBreakHyphen/>
      </w:r>
      <w:r w:rsidRPr="0062582F">
        <w:t>financial physical assets held for sale (refer Note 1(M));</w:t>
      </w:r>
    </w:p>
    <w:p w:rsidR="004843DB" w:rsidRPr="0062582F" w:rsidRDefault="004843DB" w:rsidP="004843DB">
      <w:pPr>
        <w:pStyle w:val="Bullet"/>
      </w:pPr>
      <w:r w:rsidRPr="0062582F">
        <w:t>certain biological assets related to agricultural activity (refer Note 1(M));</w:t>
      </w:r>
    </w:p>
    <w:p w:rsidR="004843DB" w:rsidRPr="0062582F" w:rsidRDefault="004843DB" w:rsidP="004843DB">
      <w:pPr>
        <w:pStyle w:val="Bullet"/>
      </w:pPr>
      <w:r w:rsidRPr="0062582F">
        <w:t>investment properties that are measured at fair value (refer Note 1(M)); and</w:t>
      </w:r>
    </w:p>
    <w:p w:rsidR="004843DB" w:rsidRPr="0062582F" w:rsidRDefault="004843DB" w:rsidP="004843DB">
      <w:pPr>
        <w:pStyle w:val="Bullet"/>
      </w:pPr>
      <w:r w:rsidRPr="0062582F">
        <w:t xml:space="preserve">assets arising from construction contracts (refer Note 1(M)). </w:t>
      </w:r>
    </w:p>
    <w:p w:rsidR="004843DB" w:rsidRPr="0062582F" w:rsidRDefault="004843DB" w:rsidP="004843DB">
      <w:r w:rsidRPr="0062582F">
        <w:t>If there is an indication of impairment, the assets concerned are tested as to whether their carrying value exceeds their recoverable amount. Where an asset</w:t>
      </w:r>
      <w:r w:rsidR="005A4BB0">
        <w:t>’</w:t>
      </w:r>
      <w:r w:rsidRPr="0062582F">
        <w:t>s carrying value exceeds its recoverable amount, the difference is written off as an other economic flow, except to the extent that the write</w:t>
      </w:r>
      <w:r w:rsidR="005A4BB0">
        <w:noBreakHyphen/>
      </w:r>
      <w:r w:rsidRPr="0062582F">
        <w:t>down can be debited to an asset revaluation surplus amount applicable to that class of asset.</w:t>
      </w:r>
      <w:r w:rsidRPr="0062582F" w:rsidDel="002A5372">
        <w:t xml:space="preserve"> </w:t>
      </w:r>
    </w:p>
    <w:p w:rsidR="004843DB" w:rsidRPr="0062582F" w:rsidRDefault="004843DB" w:rsidP="004843DB">
      <w:r w:rsidRPr="0062582F">
        <w:t>If there is an indication that there has been a reversal in the estimate of an asset</w:t>
      </w:r>
      <w:r w:rsidR="005A4BB0">
        <w:t>’</w:t>
      </w:r>
      <w:r w:rsidRPr="0062582F">
        <w:t>s recoverable amount since the last impairment loss was recognised, the carrying amount shall be increased to its recoverable amount. The impairment loss is reversed only to the extent that the asset</w:t>
      </w:r>
      <w:r w:rsidR="005A4BB0">
        <w:t>’</w:t>
      </w:r>
      <w:r w:rsidRPr="0062582F">
        <w:t xml:space="preserve">s carrying amount does not exceed the carrying amount that would have been determined, net of depreciation or amortisation, if no impairment loss had been recognised in prior years. </w:t>
      </w:r>
    </w:p>
    <w:p w:rsidR="004843DB" w:rsidRPr="0062582F" w:rsidRDefault="004843DB" w:rsidP="004843DB">
      <w:r w:rsidRPr="0062582F">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rsidR="004843DB" w:rsidRPr="0062582F" w:rsidRDefault="004843DB" w:rsidP="004843DB">
      <w:r w:rsidRPr="0062582F">
        <w:t>Refer to Note 1(M) in relation to the recognition and measurement of non</w:t>
      </w:r>
      <w:r w:rsidR="005A4BB0">
        <w:noBreakHyphen/>
      </w:r>
      <w:r w:rsidRPr="0062582F">
        <w:t xml:space="preserve">financial assets. </w:t>
      </w:r>
      <w:r w:rsidRPr="0062582F">
        <w:br w:type="page"/>
      </w:r>
    </w:p>
    <w:p w:rsidR="004843DB" w:rsidRPr="0062582F" w:rsidRDefault="004843DB" w:rsidP="004843DB"/>
    <w:p w:rsidR="004843DB" w:rsidRPr="0062582F" w:rsidRDefault="004843DB" w:rsidP="004843DB">
      <w:pPr>
        <w:pStyle w:val="NoteHeadingcontinued"/>
      </w:pPr>
      <w:r w:rsidRPr="0062582F">
        <w:rPr>
          <w:rStyle w:val="NoteHeadingcontinuedChar"/>
        </w:rPr>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pPr>
        <w:pStyle w:val="Heading4"/>
      </w:pPr>
      <w:r w:rsidRPr="0062582F">
        <w:t>Net gain/(loss) on financial instruments</w:t>
      </w:r>
    </w:p>
    <w:p w:rsidR="004843DB" w:rsidRPr="0062582F" w:rsidRDefault="004843DB" w:rsidP="004843DB">
      <w:r w:rsidRPr="0062582F">
        <w:t>Net gain/(loss) on financial instruments includes:</w:t>
      </w:r>
    </w:p>
    <w:p w:rsidR="004843DB" w:rsidRPr="0062582F" w:rsidRDefault="004843DB" w:rsidP="004843DB">
      <w:pPr>
        <w:pStyle w:val="Bullet"/>
        <w:spacing w:before="80"/>
      </w:pPr>
      <w:r w:rsidRPr="0062582F">
        <w:t>realised and unrealised gains and losses from revaluations of financial instruments at fair value;</w:t>
      </w:r>
    </w:p>
    <w:p w:rsidR="004843DB" w:rsidRPr="0062582F" w:rsidRDefault="004843DB" w:rsidP="004843DB">
      <w:pPr>
        <w:pStyle w:val="Bullet"/>
        <w:spacing w:before="80"/>
      </w:pPr>
      <w:r w:rsidRPr="0062582F">
        <w:t xml:space="preserve">impairment and reversal of impairment for financial instruments at amortised cost (refer to Note 1(K)); and </w:t>
      </w:r>
    </w:p>
    <w:p w:rsidR="004843DB" w:rsidRPr="0062582F" w:rsidRDefault="004843DB" w:rsidP="004843DB">
      <w:pPr>
        <w:pStyle w:val="Bullet"/>
        <w:spacing w:before="80"/>
      </w:pPr>
      <w:r w:rsidRPr="0062582F">
        <w:t xml:space="preserve">disposals of financial assets and derecognition of financial liabilities. </w:t>
      </w:r>
    </w:p>
    <w:p w:rsidR="004843DB" w:rsidRPr="0062582F" w:rsidRDefault="004843DB" w:rsidP="004843DB">
      <w:pPr>
        <w:pStyle w:val="Heading5"/>
      </w:pPr>
      <w:r w:rsidRPr="0062582F">
        <w:t>Revaluations of financial instruments at fair value</w:t>
      </w:r>
    </w:p>
    <w:p w:rsidR="004843DB" w:rsidRPr="0062582F" w:rsidRDefault="004843DB" w:rsidP="004843DB">
      <w:r w:rsidRPr="0062582F">
        <w:t xml:space="preserve">Refer to Note 1(K) </w:t>
      </w:r>
      <w:r w:rsidRPr="0062582F">
        <w:rPr>
          <w:i/>
        </w:rPr>
        <w:t>Financial instruments</w:t>
      </w:r>
      <w:r w:rsidRPr="0062582F">
        <w:t xml:space="preserve">. </w:t>
      </w:r>
    </w:p>
    <w:p w:rsidR="004843DB" w:rsidRPr="0062582F" w:rsidRDefault="004843DB" w:rsidP="004843DB">
      <w:pPr>
        <w:pStyle w:val="Heading5"/>
        <w:tabs>
          <w:tab w:val="clear" w:pos="450"/>
          <w:tab w:val="left" w:pos="0"/>
        </w:tabs>
        <w:ind w:left="0" w:firstLine="0"/>
      </w:pPr>
      <w:r w:rsidRPr="0062582F">
        <w:t>Share of net profits/(losses) of associates and jointly controlled entities, excluding dividends</w:t>
      </w:r>
    </w:p>
    <w:p w:rsidR="004843DB" w:rsidRPr="0062582F" w:rsidRDefault="004843DB" w:rsidP="004843DB">
      <w:r w:rsidRPr="0062582F">
        <w:t xml:space="preserve">Refer to Note 1(D) </w:t>
      </w:r>
      <w:r w:rsidRPr="0062582F">
        <w:rPr>
          <w:i/>
        </w:rPr>
        <w:t>Basis of consolidation</w:t>
      </w:r>
      <w:r w:rsidRPr="0062582F">
        <w:t>.</w:t>
      </w:r>
    </w:p>
    <w:p w:rsidR="004843DB" w:rsidRPr="0062582F" w:rsidRDefault="004843DB" w:rsidP="004843DB">
      <w:pPr>
        <w:pStyle w:val="Heading5"/>
      </w:pPr>
      <w:r w:rsidRPr="0062582F">
        <w:t>Other gains/(losses) from other economic flows</w:t>
      </w:r>
    </w:p>
    <w:p w:rsidR="004843DB" w:rsidRPr="0062582F" w:rsidRDefault="004843DB" w:rsidP="004843DB">
      <w:r w:rsidRPr="0062582F">
        <w:t>Other gains/(losses) from other economic flows include the gains or losses from:</w:t>
      </w:r>
    </w:p>
    <w:p w:rsidR="004843DB" w:rsidRPr="0062582F" w:rsidRDefault="004843DB" w:rsidP="004843DB">
      <w:pPr>
        <w:pStyle w:val="Bullet"/>
        <w:spacing w:before="80"/>
      </w:pPr>
      <w:r w:rsidRPr="0062582F">
        <w:t>the revaluation of the present value of the long service leave liability due to changes in the bond interest rates; and</w:t>
      </w:r>
    </w:p>
    <w:p w:rsidR="004843DB" w:rsidRPr="0062582F" w:rsidRDefault="004843DB" w:rsidP="004843DB">
      <w:pPr>
        <w:pStyle w:val="Bullet"/>
        <w:spacing w:before="80"/>
      </w:pPr>
      <w:r w:rsidRPr="0062582F">
        <w:t xml:space="preserve">reclassified amounts relating to available for sale financial instruments from the reserves to net result due to a disposal or derecognition of the financial instrument. This does not include reclassification between equity accounts due to machinery of government changes or </w:t>
      </w:r>
      <w:r w:rsidR="005A4BB0">
        <w:t>‘</w:t>
      </w:r>
      <w:r w:rsidRPr="0062582F">
        <w:t>other transfers</w:t>
      </w:r>
      <w:r w:rsidR="005A4BB0">
        <w:t>’</w:t>
      </w:r>
      <w:r w:rsidRPr="0062582F">
        <w:t xml:space="preserve"> of assets.</w:t>
      </w:r>
    </w:p>
    <w:p w:rsidR="004843DB" w:rsidRPr="0062582F" w:rsidRDefault="004843DB" w:rsidP="004843DB">
      <w:pPr>
        <w:pStyle w:val="Heading3Numbering"/>
      </w:pPr>
      <w:r w:rsidRPr="0062582F">
        <w:t>Administered income</w:t>
      </w:r>
    </w:p>
    <w:p w:rsidR="004843DB" w:rsidRPr="0062582F" w:rsidRDefault="004843DB" w:rsidP="004843DB">
      <w:pPr>
        <w:pStyle w:val="Heading4"/>
      </w:pPr>
      <w:r w:rsidRPr="0062582F">
        <w:t>Taxes, fines and regulatory fees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rPr>
          <w:lang w:val="en-AU"/>
        </w:rPr>
        <w:lastRenderedPageBreak/>
        <w:t>AASB 1050.7</w:t>
      </w:r>
      <w:r w:rsidRPr="0062582F">
        <w:rPr>
          <w:lang w:val="en-AU"/>
        </w:rPr>
        <w:br/>
      </w:r>
      <w:r w:rsidRPr="0062582F">
        <w:t>AASB 1050.12</w:t>
      </w:r>
    </w:p>
    <w:p w:rsidR="004843DB" w:rsidRPr="0062582F" w:rsidRDefault="004843DB" w:rsidP="004843DB">
      <w:r w:rsidRPr="0062582F">
        <w:br w:type="column"/>
      </w:r>
      <w:r w:rsidRPr="0062582F">
        <w:lastRenderedPageBreak/>
        <w:t>The Department does not gain control over assets arising from taxes, fines and regulatory fees, consequently no income is recognised in the Department</w:t>
      </w:r>
      <w:r w:rsidR="005A4BB0">
        <w:t>’</w:t>
      </w:r>
      <w:r w:rsidRPr="0062582F">
        <w:t>s financial statements.</w:t>
      </w:r>
    </w:p>
    <w:p w:rsidR="004843DB" w:rsidRPr="0062582F" w:rsidRDefault="004843DB" w:rsidP="004843DB">
      <w:r w:rsidRPr="0062582F">
        <w:t xml:space="preserve">The Department collects these amounts on behalf of the State. Accordingly, the amounts are disclosed as income in the schedule of Administered Items (see Note 3). Refer to Note 1(G) </w:t>
      </w:r>
      <w:r w:rsidRPr="0062582F">
        <w:rPr>
          <w:i/>
        </w:rPr>
        <w:t>Income from transactions</w:t>
      </w:r>
      <w:r w:rsidRPr="0062582F">
        <w:t xml:space="preserve"> for the accounting of grants.</w:t>
      </w:r>
    </w:p>
    <w:p w:rsidR="004843DB" w:rsidRPr="0062582F" w:rsidRDefault="004843DB" w:rsidP="004843DB">
      <w:pPr>
        <w:pStyle w:val="Heading4"/>
      </w:pPr>
      <w:r w:rsidRPr="0062582F">
        <w:t>Grants from the Commonwealth Government and other jurisdictions</w:t>
      </w:r>
    </w:p>
    <w:p w:rsidR="004843DB" w:rsidRPr="0062582F" w:rsidRDefault="004843DB" w:rsidP="004843DB">
      <w:r w:rsidRPr="0062582F">
        <w:t>The Department</w:t>
      </w:r>
      <w:r w:rsidR="005A4BB0">
        <w:t>’</w:t>
      </w:r>
      <w:r w:rsidRPr="0062582F">
        <w:t>s administered grants mainly comprise funds provided by the Commonwealth to assist the State Government in meeting general or specific service delivery obligations, primarily for the purpose of aiding in the financing of the operations of the recipient, capital purposes and/or for on passing to other recipients. The Department also receives grants for on passing from other jurisdictions. The Department does not have control over these grants, and the income is not recognised in the Department</w:t>
      </w:r>
      <w:r w:rsidR="005A4BB0">
        <w:t>’</w:t>
      </w:r>
      <w:r w:rsidRPr="0062582F">
        <w:t>s financial statements. Administered grants are disclosed in the schedule of Administered Items in Note 3.</w:t>
      </w:r>
    </w:p>
    <w:p w:rsidR="004843DB" w:rsidRPr="0062582F" w:rsidRDefault="004843DB" w:rsidP="004843DB">
      <w:pPr>
        <w:pStyle w:val="Heading3Numbering"/>
      </w:pPr>
      <w:r w:rsidRPr="0062582F">
        <w:t>Financial instruments</w:t>
      </w:r>
    </w:p>
    <w:p w:rsidR="004843DB" w:rsidRPr="0062582F" w:rsidRDefault="004843DB" w:rsidP="004843DB">
      <w:r w:rsidRPr="0062582F">
        <w:t>Financial instruments arise out of contractual agreements that give rise to a financial asset of one entity and a financial liability or equity instrument of another entity. Due to the nature of the Department</w:t>
      </w:r>
      <w:r w:rsidR="005A4BB0">
        <w:t>’</w:t>
      </w:r>
      <w:r w:rsidRPr="0062582F">
        <w:t xml:space="preserve">s activities, certain financial assets and financial liabilities arise under statute rather than a contract. Such financial assets and financial liabilities do not meet the definition of financial instruments in AASB 132 </w:t>
      </w:r>
      <w:r w:rsidRPr="0062582F">
        <w:rPr>
          <w:i/>
        </w:rPr>
        <w:t>Financial Instruments: Presentation</w:t>
      </w:r>
      <w:r w:rsidRPr="0062582F">
        <w:t xml:space="preserve">. For example, statutory receivables arising from taxes, fines and penalties do not meet the definition of financial instruments as they do not arise under contract. However, guarantees issued by the Treasurer on behalf of the Department are financial instruments because, although authorised under statute, the terms and conditions for each financial guarantee may vary and are subject to an agreement. </w:t>
      </w:r>
      <w:r w:rsidRPr="0062582F">
        <w:br w:type="page"/>
      </w:r>
    </w:p>
    <w:p w:rsidR="004843DB" w:rsidRPr="0062582F" w:rsidRDefault="004843DB" w:rsidP="004843DB">
      <w:pPr>
        <w:pStyle w:val="Reference"/>
      </w:pPr>
    </w:p>
    <w:p w:rsidR="004843DB" w:rsidRPr="0062582F" w:rsidRDefault="004843DB" w:rsidP="004843DB">
      <w:pPr>
        <w:pStyle w:val="NoteHeadingcontinued"/>
      </w:pPr>
      <w:r w:rsidRPr="0062582F">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r w:rsidRPr="0062582F">
        <w:t>Where relevant, for note disclosure purposes, a distinction is made between those financial assets and financial liabilities that meet the definition of financial instruments in accordance with AASB 132 and those that do not.</w:t>
      </w:r>
    </w:p>
    <w:p w:rsidR="004843DB" w:rsidRPr="0062582F" w:rsidRDefault="004843DB" w:rsidP="004843DB">
      <w:r w:rsidRPr="0062582F">
        <w:t>The following refers to financial instruments unless otherwise stated.</w:t>
      </w:r>
    </w:p>
    <w:p w:rsidR="004843DB" w:rsidRPr="0062582F" w:rsidRDefault="004843DB" w:rsidP="004843DB">
      <w:pPr>
        <w:pStyle w:val="Heading4"/>
      </w:pPr>
      <w:r w:rsidRPr="0062582F">
        <w:t>Categories of non</w:t>
      </w:r>
      <w:r w:rsidR="005A4BB0">
        <w:noBreakHyphen/>
      </w:r>
      <w:r w:rsidRPr="0062582F">
        <w:t>derivative financial instruments</w:t>
      </w:r>
    </w:p>
    <w:p w:rsidR="004843DB" w:rsidRPr="0062582F" w:rsidRDefault="004843DB" w:rsidP="004843DB">
      <w:pPr>
        <w:pStyle w:val="Heading5"/>
      </w:pPr>
      <w:r w:rsidRPr="0062582F">
        <w:t xml:space="preserve">Loans and receivables </w:t>
      </w:r>
    </w:p>
    <w:p w:rsidR="004843DB" w:rsidRPr="0062582F" w:rsidRDefault="004843DB" w:rsidP="004843DB">
      <w:r w:rsidRPr="0062582F">
        <w:t>Loans and receivables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less any impairment.</w:t>
      </w:r>
    </w:p>
    <w:p w:rsidR="004843DB" w:rsidRPr="0062582F" w:rsidRDefault="004843DB" w:rsidP="004843DB">
      <w:pPr>
        <w:spacing w:after="120"/>
      </w:pPr>
      <w:r w:rsidRPr="0062582F">
        <w:t>Loans and receivables category includes cash and deposits (refer to Note 1(L)), term deposits with maturity greater than three months, trade receivables, loans and other receivables, but not statutory receivables.</w:t>
      </w:r>
    </w:p>
    <w:p w:rsidR="004843DB" w:rsidRPr="0062582F" w:rsidRDefault="004843DB" w:rsidP="004843DB">
      <w:pPr>
        <w:pStyle w:val="Heading5"/>
      </w:pPr>
      <w:r w:rsidRPr="0062582F">
        <w:t>Available</w:t>
      </w:r>
      <w:r w:rsidR="005A4BB0">
        <w:noBreakHyphen/>
      </w:r>
      <w:r w:rsidRPr="0062582F">
        <w:t>for</w:t>
      </w:r>
      <w:r w:rsidR="005A4BB0">
        <w:noBreakHyphen/>
      </w:r>
      <w:r w:rsidRPr="0062582F">
        <w:t>sale financial assets</w:t>
      </w:r>
    </w:p>
    <w:p w:rsidR="004843DB" w:rsidRPr="0062582F" w:rsidRDefault="004843DB" w:rsidP="004843DB">
      <w:r w:rsidRPr="0062582F">
        <w:t>Available</w:t>
      </w:r>
      <w:r w:rsidR="005A4BB0">
        <w:noBreakHyphen/>
      </w:r>
      <w:r w:rsidRPr="0062582F">
        <w:t>for</w:t>
      </w:r>
      <w:r w:rsidR="005A4BB0">
        <w:noBreakHyphen/>
      </w:r>
      <w:r w:rsidRPr="0062582F">
        <w:t>sale financial instrument assets are those designated as available</w:t>
      </w:r>
      <w:r w:rsidR="005A4BB0">
        <w:noBreakHyphen/>
      </w:r>
      <w:r w:rsidRPr="0062582F">
        <w:t>for</w:t>
      </w:r>
      <w:r w:rsidR="005A4BB0">
        <w:noBreakHyphen/>
      </w:r>
      <w:r w:rsidRPr="0062582F">
        <w:t xml:space="preserve">sale or not classified in any other category of financial instrument asset. </w:t>
      </w:r>
    </w:p>
    <w:p w:rsidR="004843DB" w:rsidRPr="0062582F" w:rsidRDefault="004843DB" w:rsidP="004843DB">
      <w:r w:rsidRPr="0062582F">
        <w:t xml:space="preserve">Such assets are initially recognised at fair value. Subsequent to initial recognition, they are measured at fair value with gains and losses arising from changes in fair value, recognised in </w:t>
      </w:r>
      <w:r w:rsidR="005A4BB0">
        <w:t>‘</w:t>
      </w:r>
      <w:r w:rsidRPr="0062582F">
        <w:t>Other economic flows – other comprehensive income</w:t>
      </w:r>
      <w:r w:rsidR="005A4BB0">
        <w:t>’</w:t>
      </w:r>
      <w:r w:rsidRPr="0062582F">
        <w:t xml:space="preserve"> until the investments are disposed. </w:t>
      </w:r>
    </w:p>
    <w:p w:rsidR="004843DB" w:rsidRPr="0062582F" w:rsidRDefault="004843DB" w:rsidP="004843DB">
      <w:r w:rsidRPr="0062582F">
        <w:t xml:space="preserve">Movements resulting from impairment and foreign currency changes are recognised in the net result as other economic flows. On disposal, the cumulative gain or loss previously recognised in </w:t>
      </w:r>
      <w:r w:rsidR="005A4BB0">
        <w:t>‘</w:t>
      </w:r>
      <w:r w:rsidRPr="0062582F">
        <w:t>other economic flows – other comprehensive income</w:t>
      </w:r>
      <w:r w:rsidR="005A4BB0">
        <w:t>’</w:t>
      </w:r>
      <w:r w:rsidRPr="0062582F">
        <w:t xml:space="preserve"> is transferred to other economic flows in the net result. </w:t>
      </w:r>
    </w:p>
    <w:p w:rsidR="004843DB" w:rsidRPr="0062582F" w:rsidRDefault="004843DB" w:rsidP="004843DB">
      <w:r w:rsidRPr="0062582F">
        <w:t xml:space="preserve">Fair value is determined in the manner described in Note 33 </w:t>
      </w:r>
      <w:r w:rsidRPr="0062582F">
        <w:rPr>
          <w:i/>
        </w:rPr>
        <w:t>Financial instruments</w:t>
      </w:r>
      <w:r w:rsidRPr="0062582F">
        <w:t>.</w:t>
      </w:r>
    </w:p>
    <w:p w:rsidR="004843DB" w:rsidRPr="0062582F" w:rsidRDefault="004843DB" w:rsidP="004843DB">
      <w:r w:rsidRPr="0062582F">
        <w:t>Available</w:t>
      </w:r>
      <w:r w:rsidR="005A4BB0">
        <w:noBreakHyphen/>
      </w:r>
      <w:r w:rsidRPr="0062582F">
        <w:t>for</w:t>
      </w:r>
      <w:r w:rsidR="005A4BB0">
        <w:noBreakHyphen/>
      </w:r>
      <w:r w:rsidRPr="0062582F">
        <w:t>sale category includes certain equity investments and those debt securities that are designated as available</w:t>
      </w:r>
      <w:r w:rsidR="005A4BB0">
        <w:noBreakHyphen/>
      </w:r>
      <w:r w:rsidRPr="0062582F">
        <w:t>for</w:t>
      </w:r>
      <w:r w:rsidR="005A4BB0">
        <w:noBreakHyphen/>
      </w:r>
      <w:r w:rsidRPr="0062582F">
        <w:t>sale.</w:t>
      </w:r>
    </w:p>
    <w:p w:rsidR="004843DB" w:rsidRPr="0062582F" w:rsidRDefault="004843DB" w:rsidP="004843DB">
      <w:pPr>
        <w:pStyle w:val="Heading5"/>
      </w:pPr>
      <w:r w:rsidRPr="0062582F">
        <w:t>Held</w:t>
      </w:r>
      <w:r w:rsidR="005A4BB0">
        <w:noBreakHyphen/>
      </w:r>
      <w:r w:rsidRPr="0062582F">
        <w:t>to</w:t>
      </w:r>
      <w:r w:rsidR="005A4BB0">
        <w:noBreakHyphen/>
      </w:r>
      <w:r w:rsidRPr="0062582F">
        <w:t>maturity financial assets</w:t>
      </w:r>
    </w:p>
    <w:p w:rsidR="004843DB" w:rsidRPr="0062582F" w:rsidRDefault="004843DB" w:rsidP="004843DB">
      <w:r w:rsidRPr="0062582F">
        <w:t>If the Department has the positive intent and ability to hold nominated investments to maturity, then such financial assets may be classified as held</w:t>
      </w:r>
      <w:r w:rsidR="005A4BB0">
        <w:noBreakHyphen/>
      </w:r>
      <w:r w:rsidRPr="0062582F">
        <w:t>to</w:t>
      </w:r>
      <w:r w:rsidR="005A4BB0">
        <w:noBreakHyphen/>
      </w:r>
      <w:r w:rsidRPr="0062582F">
        <w:t>maturity. Held</w:t>
      </w:r>
      <w:r w:rsidR="005A4BB0">
        <w:noBreakHyphen/>
      </w:r>
      <w:r w:rsidRPr="0062582F">
        <w:t>to</w:t>
      </w:r>
      <w:r w:rsidR="005A4BB0">
        <w:noBreakHyphen/>
      </w:r>
      <w:r w:rsidRPr="0062582F">
        <w:t>maturity financial assets are recognised initially at fair value plus any directly attributable transaction costs. Subsequent to initial recognition held</w:t>
      </w:r>
      <w:r w:rsidR="005A4BB0">
        <w:noBreakHyphen/>
      </w:r>
      <w:r w:rsidRPr="0062582F">
        <w:t>to</w:t>
      </w:r>
      <w:r w:rsidR="005A4BB0">
        <w:noBreakHyphen/>
      </w:r>
      <w:r w:rsidRPr="0062582F">
        <w:t xml:space="preserve">maturity financial assets are measured at amortised cost using the effective interest method, less any impairment losses. </w:t>
      </w:r>
    </w:p>
    <w:p w:rsidR="004843DB" w:rsidRPr="0062582F" w:rsidRDefault="004843DB" w:rsidP="004843DB">
      <w:r w:rsidRPr="0062582F">
        <w:t>The Department makes limited use of this classification because any sale or reclassification of more than an insignificant amount of held</w:t>
      </w:r>
      <w:r w:rsidR="005A4BB0">
        <w:noBreakHyphen/>
      </w:r>
      <w:r w:rsidRPr="0062582F">
        <w:t>to</w:t>
      </w:r>
      <w:r w:rsidR="005A4BB0">
        <w:noBreakHyphen/>
      </w:r>
      <w:r w:rsidRPr="0062582F">
        <w:t>maturity investments not close to their maturity, would result in the whole category being reclassified as available</w:t>
      </w:r>
      <w:r w:rsidR="005A4BB0">
        <w:noBreakHyphen/>
      </w:r>
      <w:r w:rsidRPr="0062582F">
        <w:t>for</w:t>
      </w:r>
      <w:r w:rsidR="005A4BB0">
        <w:noBreakHyphen/>
      </w:r>
      <w:r w:rsidRPr="0062582F">
        <w:t>sale. The Department would also be prevented from classifying investment securities as held</w:t>
      </w:r>
      <w:r w:rsidR="005A4BB0">
        <w:noBreakHyphen/>
      </w:r>
      <w:r w:rsidRPr="0062582F">
        <w:t>to</w:t>
      </w:r>
      <w:r w:rsidR="005A4BB0">
        <w:noBreakHyphen/>
      </w:r>
      <w:r w:rsidRPr="0062582F">
        <w:t xml:space="preserve">maturity for the current and the following two financial years. </w:t>
      </w:r>
    </w:p>
    <w:p w:rsidR="004843DB" w:rsidRPr="0062582F" w:rsidRDefault="004843DB" w:rsidP="004843DB">
      <w:r w:rsidRPr="0062582F">
        <w:t>The held</w:t>
      </w:r>
      <w:r w:rsidR="005A4BB0">
        <w:noBreakHyphen/>
      </w:r>
      <w:r w:rsidRPr="0062582F">
        <w:t>to</w:t>
      </w:r>
      <w:r w:rsidR="005A4BB0">
        <w:noBreakHyphen/>
      </w:r>
      <w:r w:rsidRPr="0062582F">
        <w:t>maturity category includes certain term deposits and debt securities for which the entity concerned intends to hold to maturity.</w:t>
      </w:r>
    </w:p>
    <w:p w:rsidR="004843DB" w:rsidRPr="0062582F" w:rsidRDefault="004843DB" w:rsidP="004843DB">
      <w:pPr>
        <w:spacing w:line="240" w:lineRule="atLeast"/>
      </w:pPr>
      <w:r w:rsidRPr="0062582F">
        <w:br w:type="page"/>
      </w:r>
    </w:p>
    <w:p w:rsidR="004843DB" w:rsidRPr="0062582F" w:rsidRDefault="004843DB" w:rsidP="004843DB">
      <w:pPr>
        <w:pStyle w:val="NoteHeadingcontinued"/>
      </w:pPr>
      <w:r w:rsidRPr="0062582F">
        <w:lastRenderedPageBreak/>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pPr>
        <w:pStyle w:val="Heading5"/>
      </w:pPr>
      <w:r w:rsidRPr="0062582F">
        <w:t>Financial assets and liabilities at fair value through profit and loss</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FRD 114A</w:t>
      </w:r>
      <w:r w:rsidRPr="0062582F">
        <w:rPr>
          <w:rStyle w:val="SmallLineChar"/>
          <w:rFonts w:cs="Times New Roman"/>
        </w:rPr>
        <w:br/>
      </w:r>
      <w:r w:rsidRPr="0062582F">
        <w:t>AASB 139.9, 45 </w:t>
      </w:r>
    </w:p>
    <w:p w:rsidR="004843DB" w:rsidRPr="0062582F" w:rsidRDefault="004843DB" w:rsidP="004843DB">
      <w:r w:rsidRPr="0062582F">
        <w:br w:type="column"/>
      </w:r>
      <w:r w:rsidRPr="0062582F">
        <w:lastRenderedPageBreak/>
        <w:t xml:space="preserve">Financial assets are categorised as fair value through profit or loss at trade date if they are classified as held for trading or designated as such upon initial recognition. Financial instrument assets are designated at fair value through profit or loss on the basis that the financial assets form part of a group of financial assets that are managed by the entity concerned based on their fair values, and have their performance evaluated in accordance with documented risk management and investment strategies. </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139.43 and 46</w:t>
      </w:r>
    </w:p>
    <w:p w:rsidR="004843DB" w:rsidRPr="0062582F" w:rsidRDefault="004843DB" w:rsidP="004843DB">
      <w:r w:rsidRPr="0062582F">
        <w:br w:type="column"/>
      </w:r>
      <w:r w:rsidRPr="0062582F">
        <w:lastRenderedPageBreak/>
        <w:t>Financial instruments at fair value through profit or loss are initially measured at fair value and attributable transaction costs are expensed as incurred. Subsequently, any changes in fair value are recognised in the net result as other economic flows. Any dividend or interest on a financial asset is recognised in the net result from transactions.</w:t>
      </w:r>
    </w:p>
    <w:p w:rsidR="004843DB" w:rsidRPr="0062582F" w:rsidRDefault="004843DB" w:rsidP="004843DB">
      <w:r w:rsidRPr="0062582F">
        <w:t>Financial assets and liabilities at fair value through profit or loss include the majority of the Department</w:t>
      </w:r>
      <w:r w:rsidR="005A4BB0">
        <w:t>’</w:t>
      </w:r>
      <w:r w:rsidRPr="0062582F">
        <w:t>s equity investments, debt securities, and borrowings.</w:t>
      </w:r>
    </w:p>
    <w:p w:rsidR="004843DB" w:rsidRPr="0062582F" w:rsidRDefault="004843DB" w:rsidP="004843DB">
      <w:pPr>
        <w:pStyle w:val="Heading5"/>
      </w:pPr>
      <w:r w:rsidRPr="0062582F">
        <w:t>Financial liabilities at amortised cost</w:t>
      </w:r>
    </w:p>
    <w:p w:rsidR="004843DB" w:rsidRPr="0062582F" w:rsidRDefault="004843DB" w:rsidP="004843DB">
      <w:r w:rsidRPr="0062582F">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w:t>
      </w:r>
      <w:r w:rsidR="005A4BB0">
        <w:noBreakHyphen/>
      </w:r>
      <w:r w:rsidRPr="0062582F">
        <w:t>bearing liability, using the effective interest rate method (refer to Note 44).</w:t>
      </w:r>
    </w:p>
    <w:p w:rsidR="004843DB" w:rsidRPr="0062582F" w:rsidRDefault="004843DB" w:rsidP="004843DB">
      <w:r w:rsidRPr="0062582F">
        <w:t>Financial instrument liabilities measured at amortised cost include all of the Departments contractual payables, deposits held and advances received, and interest</w:t>
      </w:r>
      <w:r w:rsidR="005A4BB0">
        <w:noBreakHyphen/>
      </w:r>
      <w:r w:rsidRPr="0062582F">
        <w:t>bearing arrangements other than those designated at fair value through profit or loss.</w:t>
      </w:r>
    </w:p>
    <w:p w:rsidR="004843DB" w:rsidRPr="0062582F" w:rsidRDefault="004843DB" w:rsidP="004843DB">
      <w:pPr>
        <w:pStyle w:val="Heading4"/>
        <w:rPr>
          <w:b/>
          <w:bCs/>
        </w:rPr>
      </w:pPr>
      <w:r w:rsidRPr="0062582F">
        <w:t>Derivative financial instruments</w:t>
      </w:r>
    </w:p>
    <w:p w:rsidR="004843DB" w:rsidRPr="0062582F" w:rsidRDefault="004843DB" w:rsidP="004843DB">
      <w:r w:rsidRPr="0062582F">
        <w:t>Derivative financial instruments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rsidR="004843DB" w:rsidRPr="0062582F" w:rsidRDefault="004843DB" w:rsidP="004843DB">
      <w:pPr>
        <w:pStyle w:val="Heading4"/>
      </w:pPr>
      <w:r w:rsidRPr="0062582F">
        <w:t>Offsetting financial instruments</w:t>
      </w:r>
    </w:p>
    <w:p w:rsidR="004843DB" w:rsidRPr="00B22AF0" w:rsidRDefault="004843DB" w:rsidP="004843DB">
      <w:pPr>
        <w:spacing w:before="0" w:after="120"/>
        <w:jc w:val="both"/>
        <w:rPr>
          <w:i/>
          <w:color w:val="0000FF"/>
        </w:rPr>
      </w:pPr>
      <w:r w:rsidRPr="00B22AF0">
        <w:rPr>
          <w:i/>
          <w:color w:val="0000FF"/>
        </w:rPr>
        <w:t>[A master netting arrangement or similar arrangement can be set up with counterparties where required by general market practice. To the extent that these arrangements meet the criteria for offsetting in the consolidated balance sheet, they are reported on a net basis.]</w:t>
      </w:r>
    </w:p>
    <w:p w:rsidR="004843DB" w:rsidRPr="0062582F" w:rsidRDefault="004843DB" w:rsidP="004843DB">
      <w:r w:rsidRPr="0062582F">
        <w:t>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rsidR="004843DB" w:rsidRPr="0062582F" w:rsidRDefault="004843DB" w:rsidP="004843DB">
      <w:r w:rsidRPr="0062582F">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rsidR="004843DB" w:rsidRPr="0062582F" w:rsidRDefault="004843DB" w:rsidP="004843DB">
      <w:pPr>
        <w:pStyle w:val="Heading4"/>
      </w:pPr>
      <w:r w:rsidRPr="0062582F">
        <w:t>Reclassification of financial instruments</w:t>
      </w:r>
    </w:p>
    <w:p w:rsidR="004843DB" w:rsidRPr="0062582F" w:rsidRDefault="004843DB" w:rsidP="004843DB">
      <w:r w:rsidRPr="0062582F">
        <w:t>Subsequent to initial recognition and under rare circumstances, non</w:t>
      </w:r>
      <w:r w:rsidR="005A4BB0">
        <w:noBreakHyphen/>
      </w:r>
      <w:r w:rsidRPr="0062582F">
        <w:t>derivative financial instruments assets that have not been designated at fair value through profit or loss upon recognition, may be reclassified out of the fair value through profit or loss category, if they are no longer held for the purpose of selling or repurchasing in the near term.</w:t>
      </w:r>
    </w:p>
    <w:p w:rsidR="004843DB" w:rsidRPr="0062582F" w:rsidRDefault="004843DB" w:rsidP="004843DB">
      <w:pPr>
        <w:spacing w:line="240" w:lineRule="atLeast"/>
        <w:rPr>
          <w:rFonts w:ascii="Calibri" w:hAnsi="Calibri" w:cs="Arial"/>
          <w:b/>
          <w:bCs/>
          <w:sz w:val="26"/>
          <w:szCs w:val="28"/>
          <w:lang w:val="en-GB"/>
        </w:rPr>
      </w:pPr>
      <w:r w:rsidRPr="0062582F">
        <w:br w:type="page"/>
      </w:r>
    </w:p>
    <w:p w:rsidR="004843DB" w:rsidRPr="0062582F" w:rsidRDefault="004843DB" w:rsidP="004843DB">
      <w:pPr>
        <w:pStyle w:val="Reference"/>
      </w:pPr>
    </w:p>
    <w:p w:rsidR="004843DB" w:rsidRPr="0062582F" w:rsidRDefault="004843DB" w:rsidP="004843DB">
      <w:pPr>
        <w:pStyle w:val="NoteHeadingcontinued"/>
      </w:pPr>
      <w:r w:rsidRPr="0062582F">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r w:rsidRPr="0062582F">
        <w:t>Financial instrument assets that meet the definition of loans and receivables may be reclassified out of the fair value through profit and loss category into the loans and receivables category, where they would have met the definition of loans and receivables had they not been required to be classified as fair value through profit and loss. In these cases, the financial instrument assets may be reclassified out of the fair value through profit and loss category, if there is the intention and ability to hold them for the foreseeable future or until maturity.</w:t>
      </w:r>
    </w:p>
    <w:p w:rsidR="004843DB" w:rsidRPr="0062582F" w:rsidRDefault="004843DB" w:rsidP="004843DB">
      <w:r w:rsidRPr="0062582F">
        <w:t>Available</w:t>
      </w:r>
      <w:r w:rsidR="005A4BB0">
        <w:noBreakHyphen/>
      </w:r>
      <w:r w:rsidRPr="0062582F">
        <w:t>for</w:t>
      </w:r>
      <w:r w:rsidR="005A4BB0">
        <w:noBreakHyphen/>
      </w:r>
      <w:r w:rsidRPr="0062582F">
        <w:t>sale financial instrument assets that meet the definition of loans and receivables may be reclassified into the loans and receivables category if there is the intention and ability to hold them for the foreseeable future or until maturity.</w:t>
      </w:r>
    </w:p>
    <w:p w:rsidR="004843DB" w:rsidRPr="0062582F" w:rsidRDefault="004843DB" w:rsidP="004843DB">
      <w:pPr>
        <w:pStyle w:val="Heading3Numbering"/>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0"/>
      </w:pPr>
      <w:r w:rsidRPr="0062582F">
        <w:lastRenderedPageBreak/>
        <w:t>AASB 7.21</w:t>
      </w:r>
    </w:p>
    <w:p w:rsidR="004843DB" w:rsidRPr="0062582F" w:rsidRDefault="004843DB" w:rsidP="004843DB">
      <w:pPr>
        <w:pStyle w:val="Heading3Numbering"/>
        <w:spacing w:before="120"/>
      </w:pPr>
      <w:r w:rsidRPr="0062582F">
        <w:br w:type="column"/>
      </w:r>
      <w:r w:rsidRPr="0062582F">
        <w:lastRenderedPageBreak/>
        <w:t>Financial assets</w:t>
      </w:r>
    </w:p>
    <w:p w:rsidR="004843DB" w:rsidRPr="0062582F" w:rsidRDefault="004843DB" w:rsidP="004843DB">
      <w:pPr>
        <w:pStyle w:val="Heading4"/>
      </w:pPr>
      <w:r w:rsidRPr="0062582F">
        <w:t>Cash and deposits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40"/>
      </w:pPr>
      <w:r w:rsidRPr="0062582F">
        <w:rPr>
          <w:lang w:val="en-AU"/>
        </w:rPr>
        <w:lastRenderedPageBreak/>
        <w:t>AASB </w:t>
      </w:r>
      <w:r w:rsidRPr="0062582F">
        <w:t>107.6</w:t>
      </w:r>
    </w:p>
    <w:p w:rsidR="004843DB" w:rsidRPr="0062582F" w:rsidRDefault="004843DB" w:rsidP="004843DB">
      <w:r w:rsidRPr="0062582F">
        <w:br w:type="column"/>
      </w:r>
      <w:r w:rsidRPr="0062582F">
        <w:lastRenderedPageBreak/>
        <w:t xml:space="preserve">Cash and deposits recognised on the balance sheet comprise cash on hand and cash at bank, deposits at call and those highly liquid investments (with an original maturity of three months or less), which are held for the purpose of meeting short term cash commitments rather than for investment purposes, and readily convertible to known amounts of cash with an insignificant risk of changes in value.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r w:rsidRPr="0062582F">
        <w:lastRenderedPageBreak/>
        <w:br w:type="column"/>
      </w:r>
      <w:r w:rsidRPr="0062582F">
        <w:lastRenderedPageBreak/>
        <w:t>For cash flow statement presentation purposes, cash and cash equivalents include bank overdrafts, which are included as borrowings on the balance sheet.</w:t>
      </w:r>
    </w:p>
    <w:p w:rsidR="004843DB" w:rsidRPr="0062582F" w:rsidRDefault="004843DB" w:rsidP="004843DB">
      <w:pPr>
        <w:pStyle w:val="Heading4"/>
      </w:pPr>
      <w:r w:rsidRPr="0062582F">
        <w:t>Receivables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139.43 and 46(a)</w:t>
      </w:r>
    </w:p>
    <w:p w:rsidR="004843DB" w:rsidRPr="0062582F" w:rsidRDefault="004843DB" w:rsidP="004843DB">
      <w:r w:rsidRPr="0062582F">
        <w:br w:type="column"/>
      </w:r>
      <w:r w:rsidRPr="0062582F">
        <w:lastRenderedPageBreak/>
        <w:t>Receivables consist of:</w:t>
      </w:r>
    </w:p>
    <w:p w:rsidR="004843DB" w:rsidRPr="0062582F" w:rsidRDefault="004843DB" w:rsidP="004843DB">
      <w:pPr>
        <w:pStyle w:val="Bullet"/>
      </w:pPr>
      <w:r w:rsidRPr="0062582F">
        <w:t xml:space="preserve">contractual receivables, such as debtors in relation to goods and services, loans to third parties, accrued investment income, and finance lease receivables (refer to Note 1(O) </w:t>
      </w:r>
      <w:r w:rsidRPr="0062582F">
        <w:rPr>
          <w:i/>
        </w:rPr>
        <w:t>Leases</w:t>
      </w:r>
      <w:r w:rsidRPr="0062582F">
        <w:t>); and</w:t>
      </w:r>
    </w:p>
    <w:p w:rsidR="004843DB" w:rsidRPr="0062582F" w:rsidRDefault="004843DB" w:rsidP="004843DB">
      <w:pPr>
        <w:pStyle w:val="Bullet"/>
      </w:pPr>
      <w:r w:rsidRPr="0062582F">
        <w:t xml:space="preserve">statutory receivables, such as amounts owing from the Victorian Government and Goods and Services Tax (GST) input tax credits recoverable. </w:t>
      </w:r>
    </w:p>
    <w:p w:rsidR="004843DB" w:rsidRPr="0062582F" w:rsidRDefault="004843DB" w:rsidP="004843DB">
      <w:r w:rsidRPr="0062582F">
        <w:t xml:space="preserve">Contractual receivables are classified as financial instruments and categorised as loans and receivables (refer to Note 1(K) </w:t>
      </w:r>
      <w:r w:rsidRPr="0062582F">
        <w:rPr>
          <w:i/>
        </w:rPr>
        <w:t>Financial Instruments</w:t>
      </w:r>
      <w:r w:rsidRPr="0062582F">
        <w:t xml:space="preserve"> for recognition and measurement). Statutory receivables, are recognised and measured similarly to contractual receivables (except for impairment), but are not classified as financial instruments because they do not arise from a contract.</w:t>
      </w:r>
    </w:p>
    <w:p w:rsidR="004843DB" w:rsidRPr="0062582F" w:rsidRDefault="004843DB" w:rsidP="004843DB">
      <w:r w:rsidRPr="0062582F">
        <w:t>Receivables are subject to impairment testing as described below. A provision for doubtful receivables is recognised when there is objective evidence that the debts may not be collected, and bad debts are written off when identified.</w:t>
      </w:r>
    </w:p>
    <w:p w:rsidR="004843DB" w:rsidRPr="0062582F" w:rsidRDefault="004843DB" w:rsidP="004843DB">
      <w:r w:rsidRPr="0062582F">
        <w:t>For the measurement principle of receivables, refer to Note 1(K).</w:t>
      </w:r>
    </w:p>
    <w:p w:rsidR="004843DB" w:rsidRPr="0062582F" w:rsidRDefault="004843DB" w:rsidP="004843DB">
      <w:pPr>
        <w:pStyle w:val="NoteHeadingcontinued"/>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p>
    <w:p w:rsidR="004843DB" w:rsidRPr="0062582F" w:rsidRDefault="004843DB" w:rsidP="004843DB">
      <w:pPr>
        <w:pStyle w:val="Reference"/>
        <w:spacing w:before="320"/>
      </w:pPr>
      <w:r w:rsidRPr="0062582F">
        <w:t>FRD 114A</w:t>
      </w:r>
      <w:r w:rsidRPr="0062582F">
        <w:br/>
        <w:t>AASB 139.45</w:t>
      </w:r>
    </w:p>
    <w:p w:rsidR="004843DB" w:rsidRPr="0062582F" w:rsidRDefault="004843DB" w:rsidP="004843DB">
      <w:pPr>
        <w:pStyle w:val="Heading4"/>
      </w:pPr>
      <w:r w:rsidRPr="0062582F">
        <w:rPr>
          <w:rFonts w:ascii="Garamond" w:hAnsi="Garamond"/>
        </w:rPr>
        <w:br w:type="column"/>
      </w:r>
      <w:r w:rsidRPr="0062582F">
        <w:lastRenderedPageBreak/>
        <w:t>Investments and other financial assets</w:t>
      </w:r>
    </w:p>
    <w:p w:rsidR="004843DB" w:rsidRPr="0062582F" w:rsidRDefault="004843DB" w:rsidP="004843DB">
      <w:r w:rsidRPr="0062582F">
        <w:t xml:space="preserve">Investments are classified in the following categories: </w:t>
      </w:r>
    </w:p>
    <w:p w:rsidR="004843DB" w:rsidRPr="0062582F" w:rsidRDefault="004843DB" w:rsidP="004843DB">
      <w:pPr>
        <w:pStyle w:val="Bullet"/>
      </w:pPr>
      <w:r w:rsidRPr="0062582F">
        <w:t>financial assets at fair value through profit or loss;</w:t>
      </w:r>
    </w:p>
    <w:p w:rsidR="004843DB" w:rsidRPr="0062582F" w:rsidRDefault="004843DB" w:rsidP="004843DB">
      <w:pPr>
        <w:pStyle w:val="Bullet"/>
      </w:pPr>
      <w:r w:rsidRPr="0062582F">
        <w:t xml:space="preserve">loans and receivables; </w:t>
      </w:r>
    </w:p>
    <w:p w:rsidR="004843DB" w:rsidRPr="0062582F" w:rsidRDefault="004843DB" w:rsidP="004843DB">
      <w:pPr>
        <w:pStyle w:val="Bullet"/>
      </w:pPr>
      <w:r w:rsidRPr="0062582F">
        <w:t>held</w:t>
      </w:r>
      <w:r w:rsidR="005A4BB0">
        <w:noBreakHyphen/>
      </w:r>
      <w:r w:rsidRPr="0062582F">
        <w:t>to</w:t>
      </w:r>
      <w:r w:rsidR="005A4BB0">
        <w:noBreakHyphen/>
      </w:r>
      <w:r w:rsidRPr="0062582F">
        <w:t>maturity; and</w:t>
      </w:r>
    </w:p>
    <w:p w:rsidR="004843DB" w:rsidRPr="0062582F" w:rsidRDefault="004843DB" w:rsidP="004843DB">
      <w:pPr>
        <w:pStyle w:val="Bullet"/>
      </w:pPr>
      <w:r w:rsidRPr="0062582F">
        <w:t>available</w:t>
      </w:r>
      <w:r w:rsidR="005A4BB0">
        <w:noBreakHyphen/>
      </w:r>
      <w:r w:rsidRPr="0062582F">
        <w:t>for</w:t>
      </w:r>
      <w:r w:rsidR="005A4BB0">
        <w:noBreakHyphen/>
      </w:r>
      <w:r w:rsidRPr="0062582F">
        <w:t>sale financial assets. </w:t>
      </w:r>
    </w:p>
    <w:p w:rsidR="004843DB" w:rsidRPr="0062582F" w:rsidRDefault="004843DB" w:rsidP="004843DB">
      <w:r w:rsidRPr="0062582F">
        <w:t>The classification depends on the purpose for which the investments were acquired. Management determines the classification of its investments at initial recognition.</w:t>
      </w:r>
    </w:p>
    <w:p w:rsidR="004843DB" w:rsidRPr="0062582F" w:rsidRDefault="004843DB" w:rsidP="004843DB">
      <w:r w:rsidRPr="0062582F">
        <w:t xml:space="preserve">Any dividend or interest earned on the financial asset is recognised in the comprehensive operating statement as a transaction. </w:t>
      </w:r>
      <w:r w:rsidRPr="0062582F">
        <w:br w:type="page"/>
      </w:r>
    </w:p>
    <w:p w:rsidR="004843DB" w:rsidRPr="0062582F" w:rsidRDefault="004843DB" w:rsidP="004843DB">
      <w:pPr>
        <w:pStyle w:val="NoteHeadingcontinued"/>
        <w:rPr>
          <w:i/>
          <w:iCs/>
        </w:rPr>
      </w:pPr>
      <w:r w:rsidRPr="0062582F">
        <w:lastRenderedPageBreak/>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pPr>
        <w:pStyle w:val="Heading4"/>
        <w:sectPr w:rsidR="004843DB" w:rsidRPr="0062582F" w:rsidSect="00190A01">
          <w:type w:val="continuous"/>
          <w:pgSz w:w="11906" w:h="16838" w:code="9"/>
          <w:pgMar w:top="1152" w:right="864" w:bottom="1152" w:left="864" w:header="432" w:footer="432" w:gutter="0"/>
          <w:cols w:num="2" w:space="360" w:equalWidth="0">
            <w:col w:w="1440" w:space="360"/>
            <w:col w:w="8090"/>
          </w:cols>
        </w:sectPr>
      </w:pPr>
      <w:r w:rsidRPr="0062582F">
        <w:t>Investments accounted for using the equity method</w:t>
      </w:r>
    </w:p>
    <w:p w:rsidR="004843DB" w:rsidRPr="0062582F" w:rsidRDefault="004843DB" w:rsidP="004843DB">
      <w:pPr>
        <w:pStyle w:val="Reference"/>
      </w:pPr>
    </w:p>
    <w:p w:rsidR="004843DB" w:rsidRPr="0062582F" w:rsidRDefault="004843DB" w:rsidP="004843DB">
      <w:pPr>
        <w:pStyle w:val="Reference"/>
        <w:spacing w:before="200"/>
      </w:pPr>
      <w:r w:rsidRPr="0062582F">
        <w:br/>
        <w:t>AASB 128.10</w:t>
      </w:r>
    </w:p>
    <w:p w:rsidR="004843DB" w:rsidRPr="0062582F" w:rsidRDefault="004843DB" w:rsidP="004843DB">
      <w:pPr>
        <w:pStyle w:val="Reference"/>
        <w:spacing w:before="0"/>
      </w:pPr>
      <w:r w:rsidRPr="0062582F">
        <w:t xml:space="preserve">AASB 12. 21(b) </w:t>
      </w:r>
    </w:p>
    <w:p w:rsidR="004843DB" w:rsidRPr="0062582F" w:rsidRDefault="004843DB" w:rsidP="004843DB">
      <w:r w:rsidRPr="0062582F">
        <w:br w:type="column"/>
      </w:r>
      <w:r w:rsidRPr="0062582F">
        <w:lastRenderedPageBreak/>
        <w:t>An associate is an entity over which the Department exercises significant influence, but not control.</w:t>
      </w:r>
    </w:p>
    <w:p w:rsidR="004843DB" w:rsidRPr="0062582F" w:rsidRDefault="004843DB" w:rsidP="004843DB">
      <w:r w:rsidRPr="0062582F">
        <w:t>The investment in the associate is accounted for in the financial statements using the equity method. Under this method, the investment in the associate is recognised at cost on initial recognition, and the carrying amount is increased or decreased in subsequent years to recognise the Department</w:t>
      </w:r>
      <w:r w:rsidR="005A4BB0">
        <w:t>’</w:t>
      </w:r>
      <w:r w:rsidRPr="0062582F">
        <w:t>s share of the profits or losses of the associate after the date of acquisition. The Department</w:t>
      </w:r>
      <w:r w:rsidR="005A4BB0">
        <w:t>’</w:t>
      </w:r>
      <w:r w:rsidRPr="0062582F">
        <w:t>s share of the associate</w:t>
      </w:r>
      <w:r w:rsidR="005A4BB0">
        <w:t>’</w:t>
      </w:r>
      <w:r w:rsidRPr="0062582F">
        <w:t>s profit or loss is recognised in the Department</w:t>
      </w:r>
      <w:r w:rsidR="005A4BB0">
        <w:t>’</w:t>
      </w:r>
      <w:r w:rsidRPr="0062582F">
        <w:t>s net result as other economic flows. The share of post</w:t>
      </w:r>
      <w:r w:rsidR="005A4BB0">
        <w:noBreakHyphen/>
      </w:r>
      <w:r w:rsidRPr="0062582F">
        <w:t>acquisition movements in revaluation surpluses and any other reserves is recognised in both the comprehensive operating statement and the statement of changes in equity. The cumulative post</w:t>
      </w:r>
      <w:r w:rsidR="005A4BB0">
        <w:noBreakHyphen/>
      </w:r>
      <w:r w:rsidRPr="0062582F">
        <w:t xml:space="preserve">acquisition movements are adjusted against the carrying amount of the investment, including dividends received or receivable from the associate.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spacing w:before="160"/>
      </w:pPr>
      <w:r w:rsidRPr="0062582F">
        <w:rPr>
          <w:rFonts w:ascii="Calibri" w:hAnsi="Calibri" w:cs="Arial Narrow"/>
          <w:color w:val="0000FF"/>
          <w:sz w:val="16"/>
          <w:szCs w:val="16"/>
          <w:lang w:val="en-GB"/>
        </w:rPr>
        <w:lastRenderedPageBreak/>
        <w:t>AASB 11.7</w:t>
      </w:r>
      <w:r w:rsidRPr="0062582F">
        <w:t xml:space="preserve"> </w:t>
      </w:r>
    </w:p>
    <w:p w:rsidR="004843DB" w:rsidRPr="0062582F" w:rsidRDefault="004843DB" w:rsidP="004843DB">
      <w:r w:rsidRPr="0062582F">
        <w:br w:type="column"/>
      </w:r>
      <w:r w:rsidRPr="0062582F">
        <w:lastRenderedPageBreak/>
        <w:t>Joint control is the contractually agreed sharing of control of an arrangement, which exists only when decisions about the relevant activities require the unanimous consent of the parties sharing control.</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spacing w:before="160"/>
      </w:pPr>
      <w:r w:rsidRPr="0062582F">
        <w:rPr>
          <w:rFonts w:ascii="Calibri" w:hAnsi="Calibri" w:cs="Arial Narrow"/>
          <w:color w:val="0000FF"/>
          <w:sz w:val="16"/>
          <w:szCs w:val="16"/>
          <w:lang w:val="en-GB"/>
        </w:rPr>
        <w:lastRenderedPageBreak/>
        <w:t>AASB 11.16</w:t>
      </w:r>
    </w:p>
    <w:p w:rsidR="004843DB" w:rsidRPr="0062582F" w:rsidRDefault="004843DB" w:rsidP="004843DB">
      <w:r w:rsidRPr="0062582F">
        <w:br w:type="column"/>
      </w:r>
      <w:r w:rsidRPr="0062582F">
        <w:lastRenderedPageBreak/>
        <w:t>Joint ventures are joint arrangements whereby the Department, via its joint control of the arrangement, has rights to the net assets of the arrangements.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spacing w:before="160"/>
        <w:rPr>
          <w:rFonts w:ascii="Calibri" w:hAnsi="Calibri" w:cs="Arial Narrow"/>
          <w:color w:val="0000FF"/>
          <w:sz w:val="16"/>
          <w:szCs w:val="16"/>
          <w:lang w:val="en-GB"/>
        </w:rPr>
      </w:pPr>
      <w:r w:rsidRPr="0062582F">
        <w:rPr>
          <w:rFonts w:ascii="Calibri" w:hAnsi="Calibri" w:cs="Arial Narrow"/>
          <w:color w:val="0000FF"/>
          <w:sz w:val="16"/>
          <w:szCs w:val="16"/>
          <w:lang w:val="en-GB"/>
        </w:rPr>
        <w:lastRenderedPageBreak/>
        <w:t>AASB 12. 21(b)</w:t>
      </w:r>
    </w:p>
    <w:p w:rsidR="004843DB" w:rsidRPr="0062582F" w:rsidRDefault="004843DB" w:rsidP="004843DB">
      <w:r w:rsidRPr="0062582F">
        <w:br w:type="column"/>
      </w:r>
      <w:r w:rsidRPr="0062582F">
        <w:lastRenderedPageBreak/>
        <w:t>Interests in joint ventures are accounted for in the financial statements using the equity method, as applied to investments in associates and are disclosed as required by AASB 12.</w:t>
      </w:r>
    </w:p>
    <w:p w:rsidR="004843DB" w:rsidRPr="0062582F" w:rsidRDefault="004843DB" w:rsidP="004843DB">
      <w:pPr>
        <w:pStyle w:val="Heading4"/>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0"/>
      </w:pPr>
      <w:r w:rsidRPr="0062582F">
        <w:lastRenderedPageBreak/>
        <w:t>AASB 11.20</w:t>
      </w:r>
    </w:p>
    <w:p w:rsidR="004843DB" w:rsidRPr="0062582F" w:rsidRDefault="004843DB" w:rsidP="004843DB">
      <w:pPr>
        <w:pStyle w:val="Heading4"/>
        <w:rPr>
          <w:rFonts w:ascii="Garamond" w:hAnsi="Garamond" w:cs="Times New Roman"/>
        </w:rPr>
      </w:pPr>
      <w:r w:rsidRPr="0062582F">
        <w:br w:type="column"/>
      </w:r>
      <w:r w:rsidRPr="0062582F">
        <w:lastRenderedPageBreak/>
        <w:t>Investments in joint operations</w:t>
      </w:r>
    </w:p>
    <w:p w:rsidR="004843DB" w:rsidRPr="0062582F" w:rsidRDefault="004843DB" w:rsidP="004843DB">
      <w:r w:rsidRPr="0062582F">
        <w:t xml:space="preserve">In respect of any interest in joint operations, the Department recognises in the financial statements: </w:t>
      </w:r>
    </w:p>
    <w:p w:rsidR="004843DB" w:rsidRPr="0062582F" w:rsidRDefault="004843DB" w:rsidP="004843DB">
      <w:pPr>
        <w:pStyle w:val="Bullet"/>
      </w:pPr>
      <w:r w:rsidRPr="0062582F">
        <w:t xml:space="preserve">its assets, including its share of any assets held jointly; </w:t>
      </w:r>
    </w:p>
    <w:p w:rsidR="004843DB" w:rsidRPr="0062582F" w:rsidRDefault="004843DB" w:rsidP="004843DB">
      <w:pPr>
        <w:pStyle w:val="Bullet"/>
      </w:pPr>
      <w:r w:rsidRPr="0062582F">
        <w:t xml:space="preserve">its liabilities, including its share of any liabilities that it had incurred; </w:t>
      </w:r>
    </w:p>
    <w:p w:rsidR="004843DB" w:rsidRPr="0062582F" w:rsidRDefault="004843DB" w:rsidP="004843DB">
      <w:pPr>
        <w:pStyle w:val="Bullet"/>
      </w:pPr>
      <w:r w:rsidRPr="0062582F">
        <w:t xml:space="preserve">its revenue from the sale of its share of the output from the joint operation; </w:t>
      </w:r>
    </w:p>
    <w:p w:rsidR="004843DB" w:rsidRPr="0062582F" w:rsidRDefault="004843DB" w:rsidP="004843DB">
      <w:pPr>
        <w:pStyle w:val="Bullet"/>
      </w:pPr>
      <w:r w:rsidRPr="0062582F">
        <w:t>its share of the revenue from the sale of the output by the joint operation; and</w:t>
      </w:r>
    </w:p>
    <w:p w:rsidR="004843DB" w:rsidRPr="0062582F" w:rsidRDefault="004843DB" w:rsidP="004843DB">
      <w:pPr>
        <w:pStyle w:val="Bullet"/>
      </w:pPr>
      <w:r w:rsidRPr="0062582F">
        <w:t>its expenses, including its share of any expenses incurred jointly.</w:t>
      </w:r>
    </w:p>
    <w:p w:rsidR="004843DB" w:rsidRPr="0062582F" w:rsidRDefault="004843DB" w:rsidP="004843DB">
      <w:pPr>
        <w:pStyle w:val="Heading4"/>
      </w:pPr>
      <w:r w:rsidRPr="0062582F">
        <w:t xml:space="preserve">Derecognition of financial assets </w:t>
      </w:r>
    </w:p>
    <w:p w:rsidR="004843DB" w:rsidRPr="0062582F" w:rsidRDefault="004843DB" w:rsidP="004843DB">
      <w:r w:rsidRPr="0062582F">
        <w:t xml:space="preserve">A financial asset (or, where applicable, a part of a financial asset or part of a group of similar financial assets) is derecognised when: </w:t>
      </w:r>
    </w:p>
    <w:p w:rsidR="004843DB" w:rsidRPr="0062582F" w:rsidRDefault="004843DB" w:rsidP="004843DB">
      <w:pPr>
        <w:pStyle w:val="Bullet"/>
      </w:pPr>
      <w:r w:rsidRPr="0062582F">
        <w:t>the rights to receive cash flows from the asset have expired; or</w:t>
      </w:r>
    </w:p>
    <w:p w:rsidR="004843DB" w:rsidRPr="0062582F" w:rsidRDefault="004843DB" w:rsidP="004843DB">
      <w:pPr>
        <w:pStyle w:val="Bullet"/>
      </w:pPr>
      <w:r w:rsidRPr="0062582F">
        <w:t xml:space="preserve">the Department retains the right to receive cash flows from the asset, but has assumed an obligation to pay them in full without material delay to a third party under a </w:t>
      </w:r>
      <w:r w:rsidR="005A4BB0">
        <w:t>‘</w:t>
      </w:r>
      <w:r w:rsidRPr="0062582F">
        <w:t>pass through</w:t>
      </w:r>
      <w:r w:rsidR="005A4BB0">
        <w:t>’</w:t>
      </w:r>
      <w:r w:rsidRPr="0062582F">
        <w:t xml:space="preserve"> arrangement; or</w:t>
      </w:r>
    </w:p>
    <w:p w:rsidR="004843DB" w:rsidRPr="0062582F" w:rsidRDefault="004843DB" w:rsidP="004843DB">
      <w:pPr>
        <w:pStyle w:val="Bullet"/>
      </w:pPr>
      <w:r w:rsidRPr="0062582F">
        <w:t>the Department has transferred its rights to receive cash flows from the asset and either:</w:t>
      </w:r>
    </w:p>
    <w:p w:rsidR="004843DB" w:rsidRPr="0062582F" w:rsidRDefault="004843DB" w:rsidP="004843DB">
      <w:pPr>
        <w:pStyle w:val="NormalIndent2"/>
        <w:ind w:left="810" w:hanging="450"/>
      </w:pPr>
      <w:r w:rsidRPr="0062582F">
        <w:t>(a)</w:t>
      </w:r>
      <w:r w:rsidRPr="0062582F">
        <w:tab/>
        <w:t>has transferred substantially all the risks and rewards of the asset; or</w:t>
      </w:r>
    </w:p>
    <w:p w:rsidR="004843DB" w:rsidRPr="0062582F" w:rsidRDefault="004843DB" w:rsidP="004843DB">
      <w:pPr>
        <w:pStyle w:val="NormalIndent2"/>
        <w:ind w:left="810" w:hanging="450"/>
      </w:pPr>
      <w:r w:rsidRPr="0062582F">
        <w:t>(b)</w:t>
      </w:r>
      <w:r w:rsidRPr="0062582F">
        <w:tab/>
        <w:t xml:space="preserve">has neither transferred nor retained substantially all the risks and rewards of the asset, but has transferred control of the asset. </w:t>
      </w:r>
    </w:p>
    <w:p w:rsidR="004843DB" w:rsidRPr="0062582F" w:rsidRDefault="004843DB" w:rsidP="004843DB">
      <w:r w:rsidRPr="0062582F">
        <w:t>Where the Department has neither transferred nor retained substantially all the risks and rewards or transferred control, the asset is recognised to the extent of the Department</w:t>
      </w:r>
      <w:r w:rsidR="005A4BB0">
        <w:t>’</w:t>
      </w:r>
      <w:r w:rsidRPr="0062582F">
        <w:t>s continuing involvement in the asset.</w:t>
      </w:r>
    </w:p>
    <w:p w:rsidR="004843DB" w:rsidRPr="0062582F" w:rsidRDefault="004843DB" w:rsidP="004843DB">
      <w:pPr>
        <w:spacing w:before="0" w:line="240" w:lineRule="atLeast"/>
        <w:rPr>
          <w:rFonts w:ascii="Calibri" w:hAnsi="Calibri" w:cs="Arial"/>
          <w:sz w:val="24"/>
          <w:szCs w:val="24"/>
        </w:rPr>
      </w:pPr>
      <w:r w:rsidRPr="0062582F">
        <w:rPr>
          <w:i/>
          <w:iCs/>
        </w:rPr>
        <w:br w:type="page"/>
      </w:r>
    </w:p>
    <w:p w:rsidR="004843DB" w:rsidRPr="0062582F" w:rsidRDefault="004843DB" w:rsidP="004843DB">
      <w:pPr>
        <w:pStyle w:val="NoteHeadingcontinued"/>
      </w:pPr>
      <w:r w:rsidRPr="0062582F">
        <w:rPr>
          <w:i/>
          <w:iCs/>
        </w:rPr>
        <w:lastRenderedPageBreak/>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pPr>
        <w:pStyle w:val="Heading4"/>
      </w:pPr>
      <w:r w:rsidRPr="0062582F">
        <w:t xml:space="preserve">Impairment of financial assets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20"/>
        <w:rPr>
          <w:rStyle w:val="SmallLineChar"/>
          <w:sz w:val="16"/>
        </w:rPr>
      </w:pPr>
      <w:r w:rsidRPr="0062582F">
        <w:rPr>
          <w:rStyle w:val="SmallLineChar"/>
          <w:sz w:val="16"/>
        </w:rPr>
        <w:lastRenderedPageBreak/>
        <w:t>AASB 139.58</w:t>
      </w:r>
      <w:r w:rsidR="005A4BB0">
        <w:rPr>
          <w:rStyle w:val="SmallLineChar"/>
          <w:sz w:val="16"/>
        </w:rPr>
        <w:noBreakHyphen/>
      </w:r>
      <w:r w:rsidRPr="0062582F">
        <w:rPr>
          <w:rStyle w:val="SmallLineChar"/>
          <w:sz w:val="16"/>
        </w:rPr>
        <w:t>70</w:t>
      </w:r>
      <w:r w:rsidRPr="0062582F">
        <w:rPr>
          <w:rStyle w:val="SmallLineChar"/>
          <w:sz w:val="16"/>
        </w:rPr>
        <w:br/>
        <w:t>AASB 7.B5(f)</w:t>
      </w:r>
    </w:p>
    <w:p w:rsidR="004843DB" w:rsidRPr="0062582F" w:rsidRDefault="004843DB" w:rsidP="004843DB">
      <w:r w:rsidRPr="0062582F">
        <w:br w:type="column"/>
      </w:r>
      <w:r w:rsidRPr="0062582F">
        <w:lastRenderedPageBreak/>
        <w:t>At the end of each reporting period, the Department assesses whether there is objective evidence that a financial asset or group of financial assets is impaired. All financial instrument assets, except those measured at fair value through profit or loss, are subject to annual review for impairment.</w:t>
      </w:r>
    </w:p>
    <w:p w:rsidR="004843DB" w:rsidRPr="0062582F" w:rsidRDefault="004843DB" w:rsidP="004843DB">
      <w:r w:rsidRPr="0062582F">
        <w:t>Receivables are assessed for bad and doubtful debts on a regular basis. Those bad debts considered as written off by mutual consent are classified as a transaction expense. Bad debts not written off by mutual consent and the allowance for doubtful receivables are classified as other economic flows in the net result.</w:t>
      </w:r>
    </w:p>
    <w:p w:rsidR="004843DB" w:rsidRPr="0062582F" w:rsidRDefault="004843DB" w:rsidP="004843DB">
      <w:r w:rsidRPr="0062582F">
        <w:t>The amount of the allowance is the difference between the financial asset</w:t>
      </w:r>
      <w:r w:rsidR="005A4BB0">
        <w:t>’</w:t>
      </w:r>
      <w:r w:rsidRPr="0062582F">
        <w:t>s carrying amount and the present value of estimated future cash flows, discounted at the effective interest rate.</w:t>
      </w:r>
    </w:p>
    <w:p w:rsidR="004843DB" w:rsidRPr="0062582F" w:rsidRDefault="004843DB" w:rsidP="004843DB">
      <w:r w:rsidRPr="0062582F">
        <w:t>In assessing impairment of statutory (non</w:t>
      </w:r>
      <w:r w:rsidR="005A4BB0">
        <w:noBreakHyphen/>
      </w:r>
      <w:r w:rsidRPr="0062582F">
        <w:t xml:space="preserve">contractual) financial assets, which are not financial instruments, professional judgement is applied in assessing materiality using estimates, averages and other computational methods in accordance with AASB 136 </w:t>
      </w:r>
      <w:r w:rsidRPr="0062582F">
        <w:rPr>
          <w:i/>
        </w:rPr>
        <w:t>Impairment of Assets</w:t>
      </w:r>
      <w:r w:rsidRPr="0062582F">
        <w:t>.</w:t>
      </w:r>
    </w:p>
    <w:p w:rsidR="004843DB" w:rsidRPr="0062582F" w:rsidRDefault="004843DB" w:rsidP="004843DB">
      <w:pPr>
        <w:pStyle w:val="Heading3Numbering"/>
      </w:pPr>
      <w:r w:rsidRPr="0062582F">
        <w:t>Non</w:t>
      </w:r>
      <w:r w:rsidR="005A4BB0">
        <w:noBreakHyphen/>
      </w:r>
      <w:r w:rsidRPr="0062582F">
        <w:t xml:space="preserve">financial assets </w:t>
      </w:r>
    </w:p>
    <w:p w:rsidR="004843DB" w:rsidRPr="0062582F" w:rsidRDefault="004843DB" w:rsidP="004843DB">
      <w:pPr>
        <w:pStyle w:val="Heading4"/>
      </w:pPr>
      <w:r w:rsidRPr="0062582F">
        <w:t>Inventories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r w:rsidRPr="0062582F">
        <w:lastRenderedPageBreak/>
        <w:br w:type="column"/>
      </w:r>
      <w:r w:rsidRPr="0062582F">
        <w:lastRenderedPageBreak/>
        <w:t xml:space="preserve">Inventories include goods and other property held either for sale, or for distribution at zero or nominal cost, or for consumption in the ordinary course of business operations.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rPr>
          <w:rStyle w:val="ReferenceChar"/>
        </w:rPr>
        <w:lastRenderedPageBreak/>
        <w:t>AASB 102.9 and 36(a)</w:t>
      </w:r>
    </w:p>
    <w:p w:rsidR="004843DB" w:rsidRPr="0062582F" w:rsidRDefault="004843DB" w:rsidP="004843DB">
      <w:r w:rsidRPr="0062582F">
        <w:br w:type="column"/>
      </w:r>
      <w:r w:rsidRPr="0062582F">
        <w:lastRenderedPageBreak/>
        <w:t>Inventories held for distribution are measured at cost, adjusted for any loss of service potential. All other inventories, including land held for sale, are measured at the lower of cost and net realisable value. Where inventories are acquired for no cost or nominal consideration, they are measured at current replacement cost at the date of acquisition.</w:t>
      </w:r>
    </w:p>
    <w:p w:rsidR="004843DB" w:rsidRPr="0062582F" w:rsidRDefault="004843DB" w:rsidP="004843DB">
      <w:pPr>
        <w:pStyle w:val="Reference"/>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r w:rsidRPr="0062582F">
        <w:lastRenderedPageBreak/>
        <w:br w:type="column"/>
      </w:r>
      <w:r w:rsidRPr="0062582F">
        <w:lastRenderedPageBreak/>
        <w:t>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102.Aus9.1</w:t>
      </w:r>
    </w:p>
    <w:p w:rsidR="004843DB" w:rsidRPr="0062582F" w:rsidRDefault="004843DB" w:rsidP="004843DB">
      <w:r w:rsidRPr="0062582F">
        <w:br w:type="column"/>
      </w:r>
      <w:r w:rsidRPr="0062582F">
        <w:lastRenderedPageBreak/>
        <w:t>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rsidR="004843DB" w:rsidRPr="0062582F" w:rsidRDefault="004843DB" w:rsidP="004843DB">
      <w:pPr>
        <w:pStyle w:val="Heading4"/>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80"/>
      </w:pPr>
      <w:r w:rsidRPr="0062582F">
        <w:lastRenderedPageBreak/>
        <w:t>AASB 5.6 and 15</w:t>
      </w:r>
    </w:p>
    <w:p w:rsidR="004843DB" w:rsidRPr="0062582F" w:rsidRDefault="004843DB" w:rsidP="004843DB">
      <w:pPr>
        <w:pStyle w:val="Heading4"/>
        <w:ind w:left="0" w:firstLine="0"/>
      </w:pPr>
      <w:r w:rsidRPr="0062582F">
        <w:br w:type="column"/>
      </w:r>
      <w:r w:rsidRPr="0062582F">
        <w:lastRenderedPageBreak/>
        <w:t>Non</w:t>
      </w:r>
      <w:r w:rsidR="005A4BB0">
        <w:noBreakHyphen/>
      </w:r>
      <w:r w:rsidRPr="0062582F">
        <w:t>financial physical assets classified as held for sale, including disposal group assets</w:t>
      </w:r>
    </w:p>
    <w:p w:rsidR="004843DB" w:rsidRPr="0062582F" w:rsidRDefault="004843DB" w:rsidP="004843DB">
      <w:r w:rsidRPr="0062582F">
        <w:t>Non</w:t>
      </w:r>
      <w:r w:rsidR="005A4BB0">
        <w:noBreakHyphen/>
      </w:r>
      <w:r w:rsidRPr="0062582F">
        <w:t xml:space="preserve">financial physical assets (including disposal group assets) are treated as current and classified as held for sale if their carrying amount will be recovered through a sale transaction rather than through continuing use. </w:t>
      </w:r>
    </w:p>
    <w:p w:rsidR="004843DB" w:rsidRPr="0062582F" w:rsidRDefault="004843DB" w:rsidP="004843DB">
      <w:r w:rsidRPr="0062582F">
        <w:t>This condition is regarded as met only when:</w:t>
      </w:r>
    </w:p>
    <w:p w:rsidR="004843DB" w:rsidRPr="0062582F" w:rsidRDefault="004843DB" w:rsidP="004843DB">
      <w:pPr>
        <w:pStyle w:val="Bullet"/>
      </w:pPr>
      <w:r w:rsidRPr="0062582F">
        <w:t xml:space="preserve">the asset is available for immediate use in the current condition; and </w:t>
      </w:r>
    </w:p>
    <w:p w:rsidR="004843DB" w:rsidRPr="0062582F" w:rsidRDefault="004843DB" w:rsidP="004843DB">
      <w:pPr>
        <w:pStyle w:val="Bullet"/>
      </w:pPr>
      <w:r w:rsidRPr="0062582F">
        <w:t>the sale is highly probable and the asset</w:t>
      </w:r>
      <w:r w:rsidR="005A4BB0">
        <w:t>’</w:t>
      </w:r>
      <w:r w:rsidRPr="0062582F">
        <w:t xml:space="preserve">s sale is expected to be completed in 12 months from the date of classification. </w:t>
      </w:r>
    </w:p>
    <w:p w:rsidR="004843DB" w:rsidRPr="0062582F" w:rsidRDefault="004843DB" w:rsidP="004843DB">
      <w:pPr>
        <w:pStyle w:val="Bullet"/>
      </w:pPr>
      <w:r w:rsidRPr="0062582F">
        <w:t>These non</w:t>
      </w:r>
      <w:r w:rsidR="005A4BB0">
        <w:noBreakHyphen/>
      </w:r>
      <w:r w:rsidRPr="0062582F">
        <w:t>financial physical assets, related liabilities and financial assets are measured at the lower of carrying amount and fair value less costs of disposal, and are not subject to depreciation or amortisation.</w:t>
      </w:r>
      <w:r w:rsidRPr="0062582F" w:rsidDel="00271025">
        <w:t xml:space="preserve"> </w:t>
      </w:r>
    </w:p>
    <w:p w:rsidR="004843DB" w:rsidRPr="0062582F" w:rsidRDefault="004843DB" w:rsidP="004843DB">
      <w:r w:rsidRPr="0062582F">
        <w:br w:type="page"/>
      </w:r>
    </w:p>
    <w:p w:rsidR="004843DB" w:rsidRPr="0062582F" w:rsidRDefault="004843DB" w:rsidP="004843DB">
      <w:pPr>
        <w:pStyle w:val="NoteHeadingcontinued"/>
        <w:rPr>
          <w:i/>
          <w:iCs/>
        </w:rPr>
      </w:pPr>
      <w:r w:rsidRPr="0062582F">
        <w:lastRenderedPageBreak/>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pPr>
        <w:pStyle w:val="Heading4"/>
      </w:pPr>
      <w:r w:rsidRPr="0062582F">
        <w:t>Property, plant and equipment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116.73(a)</w:t>
      </w:r>
      <w:r w:rsidRPr="0062582F">
        <w:br/>
        <w:t xml:space="preserve">FRD 103F </w:t>
      </w:r>
    </w:p>
    <w:p w:rsidR="004843DB" w:rsidRPr="0062582F" w:rsidRDefault="004843DB" w:rsidP="004843DB">
      <w:r w:rsidRPr="0062582F">
        <w:br w:type="column"/>
      </w:r>
      <w:r w:rsidRPr="0062582F">
        <w:lastRenderedPageBreak/>
        <w:t>All non</w:t>
      </w:r>
      <w:r w:rsidR="005A4BB0">
        <w:noBreakHyphen/>
      </w:r>
      <w:r w:rsidRPr="0062582F">
        <w:t xml:space="preserve">financial physical assets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p>
    <w:p w:rsidR="004843DB" w:rsidRPr="0062582F" w:rsidRDefault="004843DB" w:rsidP="004843DB">
      <w:r w:rsidRPr="0062582F">
        <w:t>The initial cost for non</w:t>
      </w:r>
      <w:r w:rsidR="005A4BB0">
        <w:noBreakHyphen/>
      </w:r>
      <w:r w:rsidRPr="0062582F">
        <w:t>financial physical assets under a finance lease (refer to Note 1(O)) is measured at amounts equal to the fair value of the leased asset or, if lower, the present value of the minimum lease payments, each determined at the inception of the lease.</w:t>
      </w:r>
    </w:p>
    <w:p w:rsidR="004843DB" w:rsidRPr="0062582F" w:rsidRDefault="004843DB" w:rsidP="004843DB">
      <w:r w:rsidRPr="0062582F">
        <w:t>Non</w:t>
      </w:r>
      <w:r w:rsidR="005A4BB0">
        <w:noBreakHyphen/>
      </w:r>
      <w:r w:rsidRPr="0062582F">
        <w:t>financial physical assets such as national parks, other Crown land and heritage assets are measured at fair value with regard to the property</w:t>
      </w:r>
      <w:r w:rsidR="005A4BB0">
        <w:t>’</w:t>
      </w:r>
      <w:r w:rsidRPr="0062582F">
        <w:t xml:space="preserve">s highest and best use after due consideration is made for any legal or </w:t>
      </w:r>
      <w:r w:rsidRPr="0062582F">
        <w:rPr>
          <w:bCs/>
        </w:rPr>
        <w:t>physical</w:t>
      </w:r>
      <w:r w:rsidRPr="0062582F">
        <w:t xml:space="preserve"> restrictions imposed on the asset, public announcements or commitments made in relation to the intended use of the asset. Theoretical opportunities that may be available in relation to the asset are not taken into account until it is virtually certain that the restrictions will no longer apply. </w:t>
      </w:r>
      <w:r w:rsidRPr="0062582F">
        <w:rPr>
          <w:bCs/>
        </w:rPr>
        <w:t>Therefore, unless otherwise disclosed, the current use of these non</w:t>
      </w:r>
      <w:r w:rsidR="005A4BB0">
        <w:rPr>
          <w:bCs/>
        </w:rPr>
        <w:noBreakHyphen/>
      </w:r>
      <w:r w:rsidRPr="0062582F">
        <w:rPr>
          <w:bCs/>
        </w:rPr>
        <w:t>financial physical assets will be their highest and best uses.</w:t>
      </w:r>
      <w:r w:rsidRPr="0062582F" w:rsidDel="000F53A8">
        <w:t xml:space="preserve"> </w:t>
      </w:r>
    </w:p>
    <w:p w:rsidR="004843DB" w:rsidRPr="0062582F" w:rsidRDefault="004843DB" w:rsidP="004843DB">
      <w:r w:rsidRPr="0062582F">
        <w:t>Road network assets (including earthworks of the declared road networks) are measured at fair value, determined by reference to the asset</w:t>
      </w:r>
      <w:r w:rsidR="005A4BB0">
        <w:t>’</w:t>
      </w:r>
      <w:r w:rsidRPr="0062582F">
        <w:t xml:space="preserve">s depreciated replacement cost.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1051.11</w:t>
      </w:r>
      <w:r w:rsidRPr="0062582F">
        <w:br/>
        <w:t>FRD 118B</w:t>
      </w:r>
    </w:p>
    <w:p w:rsidR="004843DB" w:rsidRPr="0062582F" w:rsidRDefault="004843DB" w:rsidP="004843DB">
      <w:r w:rsidRPr="0062582F">
        <w:br w:type="column"/>
      </w:r>
      <w:r w:rsidRPr="0062582F">
        <w:lastRenderedPageBreak/>
        <w:t>Land under declared roads acquired prior to 1 July 2008 is measured at fair value. Land under declared roads acquired on or after 1 July 2008 is measured initially at cost of acquisition and subsequently at fair value. The fair value methodology applied by the Valuer</w:t>
      </w:r>
      <w:r w:rsidR="005A4BB0">
        <w:noBreakHyphen/>
      </w:r>
      <w:r w:rsidRPr="0062582F">
        <w:t>General Victoria is based on discounted site values for relevant municipal areas applied to land area under the arterial road network, including related reservations.</w:t>
      </w:r>
    </w:p>
    <w:p w:rsidR="004843DB" w:rsidRPr="0062582F" w:rsidRDefault="004843DB" w:rsidP="004843DB">
      <w:r w:rsidRPr="0062582F">
        <w:t>The fair value of infrastructure systems and plant, equipment and vehicles, is normally determined by reference to the asset</w:t>
      </w:r>
      <w:r w:rsidR="005A4BB0">
        <w:t>’</w:t>
      </w:r>
      <w:r w:rsidRPr="0062582F">
        <w:t>s depreciated replacement cost, or where the infrastructure is held by a for</w:t>
      </w:r>
      <w:r w:rsidR="005A4BB0">
        <w:noBreakHyphen/>
      </w:r>
      <w:r w:rsidRPr="0062582F">
        <w:t xml:space="preserve">profit entity, the fair value may be derived from estimates of the present value of future cash flows. </w:t>
      </w:r>
    </w:p>
    <w:p w:rsidR="004843DB" w:rsidRPr="0062582F" w:rsidRDefault="004843DB" w:rsidP="004843DB">
      <w:r w:rsidRPr="0062582F">
        <w:t xml:space="preserve">Certain assets are acquired under finance leases, which may form part of a service concession arrangement (i.e. public private partnership). Refer to Notes 1(O) </w:t>
      </w:r>
      <w:r w:rsidRPr="0062582F">
        <w:rPr>
          <w:i/>
        </w:rPr>
        <w:t>Leases</w:t>
      </w:r>
      <w:r w:rsidRPr="0062582F">
        <w:t xml:space="preserve"> and 1(Q) </w:t>
      </w:r>
      <w:r w:rsidRPr="0062582F">
        <w:rPr>
          <w:i/>
        </w:rPr>
        <w:t>Commitments</w:t>
      </w:r>
      <w:r w:rsidRPr="0062582F">
        <w:t xml:space="preserve"> for more information.</w:t>
      </w:r>
    </w:p>
    <w:p w:rsidR="004843DB" w:rsidRPr="0062582F" w:rsidRDefault="004843DB" w:rsidP="004843DB">
      <w:r w:rsidRPr="0062582F">
        <w:t>The cost of constructed non</w:t>
      </w:r>
      <w:r w:rsidR="005A4BB0">
        <w:noBreakHyphen/>
      </w:r>
      <w:r w:rsidRPr="0062582F">
        <w:t>financial physical assets includes the cost of all materials used in construction, direct labour on the project, and an appropriate proportion of variable and fixed overheads.</w:t>
      </w:r>
    </w:p>
    <w:p w:rsidR="004843DB" w:rsidRPr="0062582F" w:rsidRDefault="004843DB" w:rsidP="004843DB">
      <w:r w:rsidRPr="0062582F">
        <w:t>For the accounting policy on impairment of non</w:t>
      </w:r>
      <w:r w:rsidR="005A4BB0">
        <w:noBreakHyphen/>
      </w:r>
      <w:r w:rsidRPr="0062582F">
        <w:t>financial physical assets, refer to impairment of non</w:t>
      </w:r>
      <w:r w:rsidR="005A4BB0">
        <w:noBreakHyphen/>
      </w:r>
      <w:r w:rsidRPr="0062582F">
        <w:t xml:space="preserve">financial assets under Note 1(I) </w:t>
      </w:r>
      <w:r w:rsidRPr="0062582F">
        <w:rPr>
          <w:i/>
        </w:rPr>
        <w:t>Impairment of non</w:t>
      </w:r>
      <w:r w:rsidR="005A4BB0">
        <w:rPr>
          <w:i/>
        </w:rPr>
        <w:noBreakHyphen/>
      </w:r>
      <w:r w:rsidRPr="0062582F">
        <w:rPr>
          <w:i/>
        </w:rPr>
        <w:t>financial assets</w:t>
      </w:r>
      <w:r w:rsidRPr="0062582F">
        <w:t>.</w:t>
      </w:r>
    </w:p>
    <w:p w:rsidR="004843DB" w:rsidRPr="0062582F" w:rsidRDefault="004843DB" w:rsidP="004843DB">
      <w:pPr>
        <w:rPr>
          <w:b/>
          <w:bCs/>
        </w:rPr>
      </w:pPr>
      <w:r w:rsidRPr="0062582F">
        <w:t>More details about the valuation techniques and inputs used in determining the fair value of non</w:t>
      </w:r>
      <w:r w:rsidR="005A4BB0">
        <w:noBreakHyphen/>
      </w:r>
      <w:r w:rsidRPr="0062582F">
        <w:t xml:space="preserve">financial physical assets are discussed in Note 17 </w:t>
      </w:r>
      <w:r w:rsidRPr="0062582F">
        <w:rPr>
          <w:i/>
        </w:rPr>
        <w:t>Property, plant and equipment</w:t>
      </w:r>
      <w:r w:rsidRPr="0062582F">
        <w:t>.</w:t>
      </w:r>
    </w:p>
    <w:p w:rsidR="004843DB" w:rsidRPr="0062582F" w:rsidRDefault="004843DB" w:rsidP="004843DB">
      <w:pPr>
        <w:pStyle w:val="Heading5"/>
      </w:pPr>
      <w:r w:rsidRPr="0062582F">
        <w:t>Leasehold improvements</w:t>
      </w:r>
    </w:p>
    <w:p w:rsidR="004843DB" w:rsidRPr="0062582F" w:rsidRDefault="004843DB" w:rsidP="004843DB">
      <w:r w:rsidRPr="0062582F">
        <w:t>The cost of a leasehold improvements is capitalised as an asset and depreciated over the shorter of the remaining term of the lease or the estimated useful life of the improvements.</w:t>
      </w:r>
    </w:p>
    <w:p w:rsidR="004843DB" w:rsidRPr="0062582F" w:rsidRDefault="004843DB" w:rsidP="004843DB">
      <w:pPr>
        <w:pStyle w:val="Heading4"/>
        <w:ind w:left="0" w:firstLine="0"/>
      </w:pPr>
      <w:r w:rsidRPr="0062582F">
        <w:t>Restrictive nature of cultural and heritage assets, Crown land and infrastructure assets</w:t>
      </w:r>
    </w:p>
    <w:p w:rsidR="004843DB" w:rsidRPr="0062582F" w:rsidRDefault="004843DB" w:rsidP="004843DB">
      <w:r w:rsidRPr="0062582F">
        <w:t>During the reporting period, the Department also holds cultural assets, heritage assets, and other non</w:t>
      </w:r>
      <w:r w:rsidR="005A4BB0">
        <w:noBreakHyphen/>
      </w:r>
      <w:r w:rsidRPr="0062582F">
        <w:t xml:space="preserve">financial physical assets (including Crown land and infrastructure assets) that the Department intends to preserve because of their unique historical, cultural or environmental attributes. </w:t>
      </w:r>
    </w:p>
    <w:p w:rsidR="004843DB" w:rsidRPr="0062582F" w:rsidRDefault="004843DB" w:rsidP="004843DB">
      <w:r w:rsidRPr="0062582F">
        <w:t xml:space="preserve"> </w:t>
      </w:r>
      <w:r w:rsidRPr="0062582F">
        <w:br w:type="page"/>
      </w:r>
    </w:p>
    <w:p w:rsidR="004843DB" w:rsidRPr="0062582F" w:rsidRDefault="004843DB" w:rsidP="004843DB">
      <w:pPr>
        <w:pStyle w:val="Reference"/>
      </w:pPr>
    </w:p>
    <w:p w:rsidR="004843DB" w:rsidRPr="0062582F" w:rsidRDefault="004843DB" w:rsidP="004843DB">
      <w:pPr>
        <w:pStyle w:val="NoteHeadingcontinued"/>
      </w:pPr>
      <w:r w:rsidRPr="0062582F">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r w:rsidRPr="0062582F">
        <w:t>In general, the fair value of those assets is measured at the depreciated replacement cost. However, the cost of some heritage and iconic assets may be the reproduction cost rather than the replacement cost if those assets</w:t>
      </w:r>
      <w:r w:rsidR="005A4BB0">
        <w:t>’</w:t>
      </w:r>
      <w:r w:rsidRPr="0062582F">
        <w:t xml:space="preserve"> service potential could only be replaced by reproducing them with the same materials. In addition, as there are limitations and restrictions imposed on those assets use and/or disposal, they may impact the fair value of those assets, and should be taken into account when the fair value is determined. </w:t>
      </w:r>
    </w:p>
    <w:p w:rsidR="004843DB" w:rsidRPr="0062582F" w:rsidRDefault="004843DB" w:rsidP="004843DB">
      <w:pPr>
        <w:pStyle w:val="Heading5"/>
        <w:ind w:left="0" w:firstLine="0"/>
      </w:pPr>
      <w:r w:rsidRPr="0062582F">
        <w:t>Revaluations of non</w:t>
      </w:r>
      <w:r w:rsidR="005A4BB0">
        <w:noBreakHyphen/>
      </w:r>
      <w:r w:rsidRPr="0062582F">
        <w:t>financial physical assets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FRD 103F</w:t>
      </w:r>
    </w:p>
    <w:p w:rsidR="004843DB" w:rsidRPr="0062582F" w:rsidRDefault="004843DB" w:rsidP="004843DB">
      <w:r w:rsidRPr="0062582F">
        <w:br w:type="column"/>
      </w:r>
      <w:r w:rsidRPr="0062582F">
        <w:lastRenderedPageBreak/>
        <w:t>Non</w:t>
      </w:r>
      <w:r w:rsidR="005A4BB0">
        <w:noBreakHyphen/>
      </w:r>
      <w:r w:rsidRPr="0062582F">
        <w:t xml:space="preserve">financial physical assets are measured at fair value on a cyclical basis, in accordance with the FRDs issued by the Minister for Finance. </w:t>
      </w:r>
      <w:r w:rsidRPr="0062582F" w:rsidDel="005C5DC9">
        <w:t>A full revaluation normally occurs every five years, based upon the asset</w:t>
      </w:r>
      <w:r w:rsidR="005A4BB0">
        <w:t>’</w:t>
      </w:r>
      <w:r w:rsidRPr="0062582F" w:rsidDel="005C5DC9">
        <w:t>s government purpose classification but may occur more frequently if fair value assessments indicate material changes in values. Independent valuers are generally used to conduct these scheduled revaluations. Certain infrastructure assets are revalued using specialised advisors. Any interim revaluations are determined in accordance with the requirements of the FR</w:t>
      </w:r>
      <w:r w:rsidRPr="0062582F">
        <w:t>Ds. Revaluation increases or decreases arise from differences between an asset</w:t>
      </w:r>
      <w:r w:rsidR="005A4BB0">
        <w:t>’</w:t>
      </w:r>
      <w:r w:rsidRPr="0062582F">
        <w:t>s carrying value and fair value.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40"/>
      </w:pPr>
      <w:r w:rsidRPr="0062582F">
        <w:lastRenderedPageBreak/>
        <w:t>AASB 116.Aus39.1</w:t>
      </w:r>
    </w:p>
    <w:p w:rsidR="004843DB" w:rsidRPr="0062582F" w:rsidRDefault="004843DB" w:rsidP="004843DB">
      <w:r w:rsidRPr="0062582F">
        <w:br w:type="column"/>
      </w:r>
      <w:r w:rsidRPr="0062582F">
        <w:lastRenderedPageBreak/>
        <w:t xml:space="preserve">Net revaluation increases (where the carrying amount of a class of assets is increased as a result of a revaluation) are recognised in </w:t>
      </w:r>
      <w:r w:rsidR="005A4BB0">
        <w:t>‘</w:t>
      </w:r>
      <w:r w:rsidRPr="0062582F">
        <w:t>other economic flows – other comprehensive income</w:t>
      </w:r>
      <w:r w:rsidR="005A4BB0">
        <w:t>’</w:t>
      </w:r>
      <w:r w:rsidRPr="0062582F">
        <w:t>, and accumulated in equity under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rsidR="004843DB" w:rsidRPr="0062582F" w:rsidRDefault="004843DB" w:rsidP="004843DB">
      <w:pPr>
        <w:pStyle w:val="Reference"/>
        <w:spacing w:before="240"/>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116 Aus 40.1</w:t>
      </w:r>
    </w:p>
    <w:p w:rsidR="004843DB" w:rsidRPr="0062582F" w:rsidRDefault="004843DB" w:rsidP="004843DB">
      <w:r w:rsidRPr="0062582F">
        <w:br w:type="column"/>
      </w:r>
      <w:r w:rsidRPr="0062582F">
        <w:lastRenderedPageBreak/>
        <w:t xml:space="preserve">Net revaluation decrease is recognised in </w:t>
      </w:r>
      <w:r w:rsidR="005A4BB0">
        <w:t>‘</w:t>
      </w:r>
      <w:r w:rsidRPr="0062582F">
        <w:t>other economic flows – other comprehensive income</w:t>
      </w:r>
      <w:r w:rsidR="005A4BB0">
        <w:t>’</w:t>
      </w:r>
      <w:r w:rsidRPr="0062582F">
        <w:t xml:space="preserv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w:t>
      </w:r>
      <w:r w:rsidR="005A4BB0">
        <w:t>‘</w:t>
      </w:r>
      <w:r w:rsidRPr="0062582F">
        <w:t>other economic flows – other comprehensive income</w:t>
      </w:r>
      <w:r w:rsidR="005A4BB0">
        <w:t>’</w:t>
      </w:r>
      <w:r w:rsidRPr="0062582F">
        <w:t xml:space="preserve"> reduces the amount accumulated in equity under the asset revaluation surplus.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116.Aus 40.2</w:t>
      </w:r>
    </w:p>
    <w:p w:rsidR="004843DB" w:rsidRPr="0062582F" w:rsidRDefault="004843DB" w:rsidP="004843DB">
      <w:r w:rsidRPr="0062582F">
        <w:br w:type="column"/>
      </w:r>
      <w:r w:rsidRPr="0062582F">
        <w:lastRenderedPageBreak/>
        <w:t>Revaluation increases and decreases relating to individual assets in a class of property, plant and equipment, are offset against one another in that class but are not offset in respect of assets in different classes. The asset revaluation surplus is not transferred to accumulated funds on derecognition of the relevant asset.</w:t>
      </w:r>
    </w:p>
    <w:p w:rsidR="004843DB" w:rsidRPr="0062582F" w:rsidRDefault="004843DB" w:rsidP="004843DB">
      <w:pPr>
        <w:pStyle w:val="Heading4"/>
      </w:pPr>
      <w:r w:rsidRPr="0062582F">
        <w:t xml:space="preserve">Biological assets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141.12, 20, 25 and 47</w:t>
      </w:r>
    </w:p>
    <w:p w:rsidR="004843DB" w:rsidRPr="0062582F" w:rsidRDefault="004843DB" w:rsidP="004843DB">
      <w:r w:rsidRPr="0062582F">
        <w:br w:type="column"/>
      </w:r>
      <w:r w:rsidRPr="0062582F">
        <w:lastRenderedPageBreak/>
        <w:t>Productive trees in commercial native forests and breeding livestock are recognised as biological assets. These biological assets are measured at fair value less costs to sell and are revalued at 30 June each year.</w:t>
      </w:r>
    </w:p>
    <w:p w:rsidR="004843DB" w:rsidRPr="0062582F" w:rsidRDefault="004843DB" w:rsidP="004843DB">
      <w:r w:rsidRPr="0062582F">
        <w:t>For breeding livestock, fair value is based on the amount that could be expected to be received from the disposal of livestock with similar attributes.</w:t>
      </w:r>
    </w:p>
    <w:p w:rsidR="004843DB" w:rsidRPr="0062582F" w:rsidRDefault="004843DB" w:rsidP="004843DB">
      <w:r w:rsidRPr="0062582F">
        <w:t>For productive trees, revaluation to fair value is determined using a discounted cash flow method based on expected net future cash flows, discounted by a current market determined rate. After harvest, productive trees are treated as inventories (refer to Note 1(M)).</w:t>
      </w:r>
    </w:p>
    <w:p w:rsidR="004843DB" w:rsidRPr="0062582F" w:rsidRDefault="004843DB" w:rsidP="004843DB">
      <w:r w:rsidRPr="0062582F">
        <w:t xml:space="preserve">An increase or decrease in the fair value of these biological assets is recognised in the consolidated comprehensive operating statement as other economic flow. </w:t>
      </w:r>
      <w:r w:rsidRPr="0062582F">
        <w:rPr>
          <w:i/>
          <w:color w:val="0000FF"/>
        </w:rPr>
        <w:t>[Omit if not applicable.]</w:t>
      </w:r>
    </w:p>
    <w:p w:rsidR="004843DB" w:rsidRPr="0062582F" w:rsidRDefault="004843DB" w:rsidP="004843DB">
      <w:pPr>
        <w:spacing w:before="0" w:line="240" w:lineRule="atLeast"/>
      </w:pPr>
      <w:r w:rsidRPr="0062582F">
        <w:br w:type="page"/>
      </w:r>
    </w:p>
    <w:p w:rsidR="004843DB" w:rsidRPr="0062582F" w:rsidRDefault="004843DB" w:rsidP="004843DB">
      <w:pPr>
        <w:pStyle w:val="NoteHeadingcontinued"/>
      </w:pPr>
      <w:r w:rsidRPr="0062582F">
        <w:lastRenderedPageBreak/>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pPr>
        <w:pStyle w:val="Heading4"/>
      </w:pPr>
      <w:r w:rsidRPr="0062582F">
        <w:t>Investment properties</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40"/>
      </w:pPr>
      <w:r w:rsidRPr="0062582F">
        <w:lastRenderedPageBreak/>
        <w:t>AASB 140.20, 30, 32A, 33 and 75(a)</w:t>
      </w:r>
      <w:r w:rsidRPr="0062582F">
        <w:br/>
        <w:t>FRD 107A</w:t>
      </w:r>
    </w:p>
    <w:p w:rsidR="004843DB" w:rsidRPr="0062582F" w:rsidRDefault="004843DB" w:rsidP="004843DB">
      <w:r w:rsidRPr="0062582F">
        <w:br w:type="column"/>
      </w:r>
      <w:r w:rsidRPr="0062582F">
        <w:lastRenderedPageBreak/>
        <w:t>Investment properties represent properties held to earn rentals or for capital appreciation, or both. Investment properties exclude properties held to meet service delivery objectives of the Department.</w:t>
      </w:r>
    </w:p>
    <w:p w:rsidR="004843DB" w:rsidRPr="0062582F" w:rsidRDefault="004843DB" w:rsidP="004843DB">
      <w:r w:rsidRPr="0062582F">
        <w:t>Investment properties are initially measured at cost. Costs incurred subsequent to initial acquisition are capitalised when it is probable that future economic benefits in excess of the originally assessed performance of the asset will flow to the Department.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spacing w:before="0" w:line="240" w:lineRule="atLeast"/>
      </w:pPr>
      <w:r w:rsidRPr="0062582F">
        <w:rPr>
          <w:lang w:val="en-GB"/>
        </w:rPr>
        <w:lastRenderedPageBreak/>
        <w:br w:type="column"/>
      </w:r>
      <w:r w:rsidRPr="0062582F">
        <w:lastRenderedPageBreak/>
        <w:t>Subsequent to initial recognition at cost, investment properties are revalued to fair value with changes in the fair value recognised as other economic flows in the comprehensive operating statement in the period that they arise. Fair values are determined based on a market comparable approach that reflects recent transaction prices for similar properties.</w:t>
      </w:r>
      <w:r w:rsidRPr="0062582F">
        <w:rPr>
          <w:b/>
          <w:i/>
        </w:rPr>
        <w:t xml:space="preserve"> </w:t>
      </w:r>
      <w:r w:rsidRPr="0062582F">
        <w:t>These properties are neither depreciated nor tested for impairment.</w:t>
      </w:r>
    </w:p>
    <w:p w:rsidR="004843DB" w:rsidRPr="0062582F" w:rsidRDefault="004843DB" w:rsidP="004843DB">
      <w:r w:rsidRPr="0062582F">
        <w:t>Rental income from the leasing of investment properties is recognised in the comprehensive operating statement on a straight</w:t>
      </w:r>
      <w:r w:rsidR="005A4BB0">
        <w:noBreakHyphen/>
      </w:r>
      <w:r w:rsidRPr="0062582F">
        <w:t>line basis over the lease term.</w:t>
      </w:r>
    </w:p>
    <w:p w:rsidR="004843DB" w:rsidRPr="0062582F" w:rsidRDefault="004843DB" w:rsidP="004843DB">
      <w:pPr>
        <w:pStyle w:val="NormalBlue"/>
        <w:rPr>
          <w:i/>
        </w:rPr>
      </w:pPr>
      <w:r w:rsidRPr="0062582F">
        <w:rPr>
          <w:i/>
        </w:rPr>
        <w:t>[Omit if not applicable.]</w:t>
      </w:r>
    </w:p>
    <w:p w:rsidR="004843DB" w:rsidRPr="0062582F" w:rsidRDefault="004843DB" w:rsidP="004843DB">
      <w:pPr>
        <w:pStyle w:val="Heading4"/>
      </w:pPr>
      <w:r w:rsidRPr="0062582F">
        <w:t>Intangible assets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40"/>
      </w:pPr>
      <w:r w:rsidRPr="0062582F">
        <w:rPr>
          <w:lang w:val="en-AU"/>
        </w:rPr>
        <w:lastRenderedPageBreak/>
        <w:t>AASB </w:t>
      </w:r>
      <w:r w:rsidRPr="0062582F">
        <w:t>138</w:t>
      </w:r>
      <w:r w:rsidRPr="0062582F">
        <w:rPr>
          <w:lang w:val="en-AU"/>
        </w:rPr>
        <w:t>.74 and 75</w:t>
      </w:r>
      <w:r w:rsidRPr="0062582F">
        <w:rPr>
          <w:lang w:val="en-AU"/>
        </w:rPr>
        <w:br/>
      </w:r>
      <w:r w:rsidRPr="0062582F">
        <w:t>FRD 109</w:t>
      </w:r>
    </w:p>
    <w:p w:rsidR="004843DB" w:rsidRPr="0062582F" w:rsidRDefault="004843DB" w:rsidP="004843DB">
      <w:r w:rsidRPr="0062582F">
        <w:br w:type="column"/>
      </w:r>
      <w:r w:rsidRPr="0062582F">
        <w:lastRenderedPageBreak/>
        <w:t>Intangible assets are initially recognised at cost. Subsequently, intangible assets with finite useful lives are carried at cost less accumulated depreciation/amortisation and accumulated impairment losses. Costs incurred subsequent to initial acquisition are capitalised when it is expected that additional future economic benefits will flow to the Department.</w:t>
      </w:r>
    </w:p>
    <w:p w:rsidR="004843DB" w:rsidRPr="0062582F" w:rsidRDefault="004843DB" w:rsidP="004843DB">
      <w:r w:rsidRPr="0062582F">
        <w:t xml:space="preserve">When the recognition criteria in AASB 138 </w:t>
      </w:r>
      <w:r w:rsidRPr="0062582F">
        <w:rPr>
          <w:i/>
        </w:rPr>
        <w:t>Intangible Assets</w:t>
      </w:r>
      <w:r w:rsidRPr="0062582F">
        <w:t xml:space="preserve"> are met, internally generated intangible assets are recognised and measured at cost less accumulated depreciation/amortisation and impairment.</w:t>
      </w:r>
    </w:p>
    <w:p w:rsidR="004843DB" w:rsidRPr="0062582F" w:rsidRDefault="004843DB" w:rsidP="004843DB">
      <w:r w:rsidRPr="0062582F">
        <w:t xml:space="preserve">Refer to Note 1(H) </w:t>
      </w:r>
      <w:r w:rsidRPr="0062582F">
        <w:rPr>
          <w:i/>
        </w:rPr>
        <w:t>Depreciation</w:t>
      </w:r>
      <w:r w:rsidRPr="0062582F">
        <w:t xml:space="preserve">, Note 1(I) </w:t>
      </w:r>
      <w:r w:rsidRPr="0062582F">
        <w:rPr>
          <w:i/>
        </w:rPr>
        <w:t>Amortisation of non</w:t>
      </w:r>
      <w:r w:rsidR="005A4BB0">
        <w:rPr>
          <w:i/>
        </w:rPr>
        <w:noBreakHyphen/>
      </w:r>
      <w:r w:rsidRPr="0062582F">
        <w:rPr>
          <w:i/>
        </w:rPr>
        <w:t>produced intangible assets</w:t>
      </w:r>
      <w:r w:rsidRPr="0062582F">
        <w:t xml:space="preserve"> and Note 1(I) </w:t>
      </w:r>
      <w:r w:rsidRPr="0062582F">
        <w:rPr>
          <w:i/>
        </w:rPr>
        <w:t>Impairment of non</w:t>
      </w:r>
      <w:r w:rsidR="005A4BB0">
        <w:rPr>
          <w:i/>
        </w:rPr>
        <w:noBreakHyphen/>
      </w:r>
      <w:r w:rsidRPr="0062582F">
        <w:rPr>
          <w:i/>
        </w:rPr>
        <w:t>financial assets</w:t>
      </w:r>
      <w:r w:rsidRPr="0062582F">
        <w: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 xml:space="preserve">AASB 138.54 </w:t>
      </w:r>
    </w:p>
    <w:p w:rsidR="004843DB" w:rsidRPr="0062582F" w:rsidRDefault="004843DB" w:rsidP="004843DB">
      <w:r w:rsidRPr="0062582F">
        <w:br w:type="column"/>
      </w:r>
      <w:r w:rsidRPr="0062582F">
        <w:lastRenderedPageBreak/>
        <w:t>Expenditure on research activities is recognised as an expense in the period in which it is incurred.</w:t>
      </w:r>
    </w:p>
    <w:p w:rsidR="004843DB" w:rsidRPr="0062582F" w:rsidRDefault="004843DB" w:rsidP="004843DB">
      <w:pPr>
        <w:pStyle w:val="Reference"/>
        <w:spacing w:before="0"/>
        <w:rPr>
          <w:rFonts w:ascii="Garamond" w:hAnsi="Garamond" w:cs="Times New Roman"/>
          <w:lang w:val="en-AU"/>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w:t>
      </w:r>
      <w:r w:rsidRPr="0062582F">
        <w:rPr>
          <w:lang w:val="en-AU"/>
        </w:rPr>
        <w:t>138.57</w:t>
      </w:r>
    </w:p>
    <w:p w:rsidR="004843DB" w:rsidRPr="0062582F" w:rsidRDefault="004843DB" w:rsidP="004843DB">
      <w:r w:rsidRPr="0062582F">
        <w:br w:type="column"/>
      </w:r>
      <w:r w:rsidRPr="0062582F">
        <w:lastRenderedPageBreak/>
        <w:t>An internally</w:t>
      </w:r>
      <w:r w:rsidR="005A4BB0">
        <w:noBreakHyphen/>
      </w:r>
      <w:r w:rsidRPr="0062582F">
        <w:t>generated intangible asset arising from development (or from the development phase of an internal project) is recognised if, and only if, all of the following are demonstrated:</w:t>
      </w:r>
    </w:p>
    <w:p w:rsidR="004843DB" w:rsidRPr="0062582F" w:rsidRDefault="004843DB" w:rsidP="004843DB">
      <w:pPr>
        <w:pStyle w:val="aalpha"/>
        <w:numPr>
          <w:ilvl w:val="0"/>
          <w:numId w:val="27"/>
        </w:numPr>
      </w:pPr>
      <w:r w:rsidRPr="0062582F">
        <w:t>the technical feasibility of completing the intangible asset so that it will be available for use or sale;</w:t>
      </w:r>
    </w:p>
    <w:p w:rsidR="004843DB" w:rsidRPr="0062582F" w:rsidRDefault="004843DB" w:rsidP="004843DB">
      <w:pPr>
        <w:pStyle w:val="aalpha"/>
      </w:pPr>
      <w:r w:rsidRPr="0062582F">
        <w:t>an intention to complete the intangible asset and use or sell it;</w:t>
      </w:r>
    </w:p>
    <w:p w:rsidR="004843DB" w:rsidRPr="0062582F" w:rsidRDefault="004843DB" w:rsidP="004843DB">
      <w:pPr>
        <w:pStyle w:val="aalpha"/>
      </w:pPr>
      <w:r w:rsidRPr="0062582F">
        <w:t xml:space="preserve">the ability to use or sell the intangible asset; </w:t>
      </w:r>
    </w:p>
    <w:p w:rsidR="004843DB" w:rsidRPr="0062582F" w:rsidRDefault="004843DB" w:rsidP="004843DB">
      <w:pPr>
        <w:pStyle w:val="aalpha"/>
      </w:pPr>
      <w:r w:rsidRPr="0062582F">
        <w:t>the intangible asset will generate probable future economic benefits;</w:t>
      </w:r>
    </w:p>
    <w:p w:rsidR="004843DB" w:rsidRPr="0062582F" w:rsidRDefault="004843DB" w:rsidP="004843DB">
      <w:pPr>
        <w:pStyle w:val="aalpha"/>
      </w:pPr>
      <w:r w:rsidRPr="0062582F">
        <w:t>the availability of adequate technical, financial and other resources to complete the development and to use or sell the intangible asset; and</w:t>
      </w:r>
    </w:p>
    <w:p w:rsidR="004843DB" w:rsidRPr="0062582F" w:rsidDel="00AC3B8F" w:rsidRDefault="004843DB" w:rsidP="004843DB">
      <w:pPr>
        <w:pStyle w:val="aalpha"/>
      </w:pPr>
      <w:r w:rsidRPr="0062582F">
        <w:t>the ability to measure reliably the expenditure attributable to the intangible asset during its development.</w:t>
      </w:r>
    </w:p>
    <w:p w:rsidR="004843DB" w:rsidRPr="0062582F" w:rsidRDefault="004843DB" w:rsidP="004843DB">
      <w:pPr>
        <w:pStyle w:val="NoteHeadingcontinued"/>
      </w:pPr>
      <w:r w:rsidRPr="0062582F">
        <w:br w:type="column"/>
      </w:r>
      <w:r w:rsidRPr="0062582F">
        <w:lastRenderedPageBreak/>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pPr>
        <w:pStyle w:val="Heading4"/>
      </w:pPr>
      <w:r w:rsidRPr="0062582F">
        <w:t>Other non</w:t>
      </w:r>
      <w:r w:rsidR="005A4BB0">
        <w:noBreakHyphen/>
      </w:r>
      <w:r w:rsidRPr="0062582F">
        <w:t>financial assets</w:t>
      </w:r>
    </w:p>
    <w:p w:rsidR="004843DB" w:rsidRPr="0062582F" w:rsidRDefault="004843DB" w:rsidP="004843DB">
      <w:pPr>
        <w:pStyle w:val="Heading5"/>
      </w:pPr>
      <w:r w:rsidRPr="0062582F">
        <w:t xml:space="preserve">Prepayments </w:t>
      </w:r>
    </w:p>
    <w:p w:rsidR="004843DB" w:rsidRPr="0062582F" w:rsidRDefault="004843DB" w:rsidP="004843DB">
      <w:r w:rsidRPr="0062582F">
        <w:t>Other non</w:t>
      </w:r>
      <w:r w:rsidR="005A4BB0">
        <w:noBreakHyphen/>
      </w:r>
      <w:r w:rsidRPr="0062582F">
        <w:t>financial assets include prepayments which represent payments in advance of receipt of goods or services or that part of expenditure made in one accounting period covering a term extending beyond that period.</w:t>
      </w:r>
    </w:p>
    <w:p w:rsidR="004843DB" w:rsidRPr="0062582F" w:rsidRDefault="004843DB" w:rsidP="004843DB">
      <w:pPr>
        <w:pStyle w:val="Heading3Numbering"/>
      </w:pPr>
      <w:r w:rsidRPr="0062582F">
        <w:t>Liabilities</w:t>
      </w:r>
    </w:p>
    <w:p w:rsidR="004843DB" w:rsidRPr="0062582F" w:rsidRDefault="004843DB" w:rsidP="004843DB">
      <w:pPr>
        <w:pStyle w:val="Heading4"/>
      </w:pPr>
      <w:r w:rsidRPr="0062582F">
        <w:t>Payables</w:t>
      </w:r>
    </w:p>
    <w:p w:rsidR="004843DB" w:rsidRPr="0062582F" w:rsidRDefault="004843DB" w:rsidP="004843DB">
      <w:pPr>
        <w:pStyle w:val="Heading3Numbering"/>
        <w:numPr>
          <w:ilvl w:val="0"/>
          <w:numId w:val="0"/>
        </w:num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lastRenderedPageBreak/>
        <w:t xml:space="preserve">AASB 7.21, 139.43 </w:t>
      </w:r>
      <w:r w:rsidRPr="0062582F">
        <w:br/>
        <w:t>and 47</w:t>
      </w:r>
    </w:p>
    <w:p w:rsidR="004843DB" w:rsidRPr="0062582F" w:rsidRDefault="004843DB" w:rsidP="004843DB">
      <w:r w:rsidRPr="0062582F">
        <w:rPr>
          <w:b/>
          <w:bCs/>
          <w:szCs w:val="24"/>
        </w:rPr>
        <w:br w:type="column"/>
      </w:r>
      <w:r w:rsidRPr="0062582F">
        <w:lastRenderedPageBreak/>
        <w:t>Payables consist of:</w:t>
      </w:r>
    </w:p>
    <w:p w:rsidR="004843DB" w:rsidRPr="0062582F" w:rsidRDefault="004843DB" w:rsidP="004843DB">
      <w:pPr>
        <w:pStyle w:val="Bullet"/>
      </w:pPr>
      <w:r w:rsidRPr="0062582F">
        <w:t>contractual payables, such as accounts payable, and unearned income including deferred income from concession notes. Accounts payable represent liabilities for goods and services provided to the Department prior to the end of the financial year that are unpaid, and arise when the Department becomes obliged to make future payments in respect of the purchase of those goods and services; and</w:t>
      </w:r>
    </w:p>
    <w:p w:rsidR="004843DB" w:rsidRPr="0062582F" w:rsidRDefault="004843DB" w:rsidP="004843DB">
      <w:pPr>
        <w:pStyle w:val="Bullet"/>
      </w:pPr>
      <w:r w:rsidRPr="0062582F">
        <w:t>statutory payables, such as goods and services tax and fringe benefits tax payables.</w:t>
      </w:r>
    </w:p>
    <w:p w:rsidR="004843DB" w:rsidRPr="0062582F" w:rsidRDefault="004843DB" w:rsidP="004843DB">
      <w:r w:rsidRPr="0062582F">
        <w:t>Contractual payables are classified as financial instruments and categorised as financial liabilities at amortised cost (refer to Note 1(K)). Statutory payables are recognised and measured similarly to contractual payables, but are not classified as financial instruments and not included in the category of financial liabilities at amortised cost, because they do not arise from a contract.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rPr>
          <w:rFonts w:ascii="Calibri" w:hAnsi="Calibri" w:cs="Arial"/>
          <w:i/>
          <w:iCs/>
          <w:sz w:val="24"/>
          <w:szCs w:val="24"/>
        </w:rPr>
        <w:t>Borrowings</w:t>
      </w:r>
    </w:p>
    <w:p w:rsidR="004843DB" w:rsidRPr="0062582F" w:rsidRDefault="004843DB" w:rsidP="004843DB">
      <w:pPr>
        <w:pStyle w:val="Reference"/>
        <w:spacing w:before="140"/>
        <w:rPr>
          <w:lang w:val="en-AU"/>
        </w:rPr>
      </w:pPr>
      <w:r w:rsidRPr="0062582F">
        <w:lastRenderedPageBreak/>
        <w:t>AASB </w:t>
      </w:r>
      <w:r w:rsidRPr="0062582F">
        <w:rPr>
          <w:lang w:val="en-AU"/>
        </w:rPr>
        <w:t xml:space="preserve">7.21, 139.43 </w:t>
      </w:r>
      <w:r w:rsidRPr="0062582F">
        <w:rPr>
          <w:lang w:val="en-AU"/>
        </w:rPr>
        <w:br/>
        <w:t>and 47</w:t>
      </w:r>
      <w:r w:rsidRPr="0062582F">
        <w:rPr>
          <w:lang w:val="en-AU"/>
        </w:rPr>
        <w:br/>
        <w:t>FRD 114A</w:t>
      </w:r>
    </w:p>
    <w:p w:rsidR="004843DB" w:rsidRPr="0062582F" w:rsidRDefault="004843DB" w:rsidP="004843DB">
      <w:r w:rsidRPr="0062582F">
        <w:br w:type="column"/>
      </w:r>
      <w:r w:rsidRPr="0062582F">
        <w:lastRenderedPageBreak/>
        <w:t xml:space="preserve">All interest bearing liabilities are initially recognised at the fair value of the consideration received, less directly attributable transaction costs (refer also to Note 1(O) </w:t>
      </w:r>
      <w:r w:rsidRPr="0062582F">
        <w:rPr>
          <w:i/>
        </w:rPr>
        <w:t>Leases</w:t>
      </w:r>
      <w:r w:rsidRPr="0062582F">
        <w:t>). The measurement basis subsequent to initial recognition depends on whether the Department has categorised its interest</w:t>
      </w:r>
      <w:r w:rsidR="005A4BB0">
        <w:noBreakHyphen/>
      </w:r>
      <w:r w:rsidRPr="0062582F">
        <w:t>bearing liabilities as either financial liabilities designated at fair value through profit or loss, or financial liabilities at amortised cost. Any difference between the initial recognised amount and the redemption value is recognised in net result over the period of the borrowing using the effective interest method.</w:t>
      </w:r>
    </w:p>
    <w:p w:rsidR="004843DB" w:rsidRPr="0062582F" w:rsidRDefault="004843DB" w:rsidP="004843DB">
      <w:r w:rsidRPr="0062582F">
        <w:t>The above classification depends on the nature and purpose of the interest bearing liabilities. The Department determines the classification of its interest bearing liabilities at initial recognition.</w:t>
      </w:r>
    </w:p>
    <w:p w:rsidR="004843DB" w:rsidRPr="0062582F" w:rsidRDefault="004843DB" w:rsidP="004843DB">
      <w:pPr>
        <w:pStyle w:val="Heading4"/>
      </w:pPr>
      <w:r w:rsidRPr="0062582F">
        <w:t>Provisions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lastRenderedPageBreak/>
        <w:t>AASB 137.14</w:t>
      </w:r>
    </w:p>
    <w:p w:rsidR="004843DB" w:rsidRPr="0062582F" w:rsidRDefault="004843DB" w:rsidP="004843DB">
      <w:r w:rsidRPr="0062582F">
        <w:br w:type="column"/>
      </w:r>
      <w:r w:rsidRPr="0062582F">
        <w:lastRenderedPageBreak/>
        <w:t>Provisions are recognised when the Department has a present obligation, the future sacrifice of economic benefits is probable, and the amount of the provision can be measured reliably.</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rPr>
          <w:lang w:val="en-AU"/>
        </w:rPr>
        <w:lastRenderedPageBreak/>
        <w:t>AASB 137.36, 45, 47 and 60</w:t>
      </w:r>
    </w:p>
    <w:p w:rsidR="004843DB" w:rsidRPr="0062582F" w:rsidRDefault="004843DB" w:rsidP="004843DB">
      <w:r w:rsidRPr="0062582F">
        <w:br w:type="column"/>
      </w:r>
      <w:r w:rsidRPr="0062582F">
        <w:lastRenderedPageBreak/>
        <w:t>The amount recognised as a provision is the best estimate of the consideration required to settle the present obligation at reporting date, taking into account the risks and uncertainties surrounding the obligation. Where a provision is measured using the cash flows estimated to settle the present obligation, its carrying amount is the present value of those cash flows, using discount rate that reflects the time value of money and risks specific to the provision.</w:t>
      </w:r>
    </w:p>
    <w:p w:rsidR="004843DB" w:rsidRPr="0062582F" w:rsidRDefault="004843DB" w:rsidP="004843DB">
      <w:r w:rsidRPr="0062582F">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rsidR="004843DB" w:rsidRPr="0062582F" w:rsidRDefault="004843DB" w:rsidP="004843DB">
      <w:pPr>
        <w:pStyle w:val="NoteHeadingcontinued"/>
      </w:pPr>
      <w:r w:rsidRPr="0062582F">
        <w:br w:type="column"/>
      </w:r>
      <w:r w:rsidRPr="0062582F">
        <w:lastRenderedPageBreak/>
        <w:br w:type="column"/>
      </w:r>
      <w:r w:rsidRPr="0062582F">
        <w:lastRenderedPageBreak/>
        <w:t>Note 1.</w:t>
      </w:r>
      <w:r w:rsidRPr="0062582F">
        <w:tab/>
        <w:t xml:space="preserve">Summary of significant accounting policies </w:t>
      </w:r>
      <w:r w:rsidRPr="0062582F">
        <w:rPr>
          <w:i/>
          <w:iCs/>
        </w:rPr>
        <w:t>(continued)</w:t>
      </w:r>
    </w:p>
    <w:p w:rsidR="004843DB" w:rsidRPr="0062582F" w:rsidRDefault="004843DB" w:rsidP="004843DB">
      <w:pPr>
        <w:pStyle w:val="Heading5"/>
      </w:pPr>
      <w:r w:rsidRPr="0062582F">
        <w:t>Employee benefits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lastRenderedPageBreak/>
        <w:t>AASB </w:t>
      </w:r>
      <w:r w:rsidRPr="0062582F">
        <w:rPr>
          <w:lang w:val="en-AU"/>
        </w:rPr>
        <w:t>119.11</w:t>
      </w:r>
    </w:p>
    <w:p w:rsidR="004843DB" w:rsidRPr="0062582F" w:rsidRDefault="004843DB" w:rsidP="004843DB">
      <w:pPr>
        <w:pStyle w:val="Reference"/>
        <w:spacing w:before="0"/>
        <w:rPr>
          <w:lang w:val="en-AU"/>
        </w:rPr>
      </w:pPr>
      <w:r w:rsidRPr="0062582F">
        <w:rPr>
          <w:lang w:val="en-AU"/>
        </w:rPr>
        <w:t>AASB 119.153</w:t>
      </w:r>
    </w:p>
    <w:p w:rsidR="004843DB" w:rsidRPr="0062582F" w:rsidRDefault="004843DB" w:rsidP="004843DB">
      <w:r w:rsidRPr="0062582F">
        <w:br w:type="column"/>
      </w:r>
      <w:r w:rsidRPr="0062582F">
        <w:lastRenderedPageBreak/>
        <w:t>Provision is made for benefits accruing to employees in respect of wages and salaries, annual leave and long service leave (LSL) for services rendered to the reporting date.</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pPr>
    </w:p>
    <w:p w:rsidR="004843DB" w:rsidRPr="0062582F" w:rsidRDefault="004843DB" w:rsidP="004843DB">
      <w:pPr>
        <w:pStyle w:val="Reference"/>
        <w:spacing w:before="200"/>
      </w:pPr>
      <w:r w:rsidRPr="0062582F">
        <w:t>AASB 101.69</w:t>
      </w:r>
    </w:p>
    <w:p w:rsidR="004843DB" w:rsidRPr="0062582F" w:rsidRDefault="004843DB" w:rsidP="004843DB">
      <w:pPr>
        <w:pStyle w:val="Reference"/>
        <w:spacing w:before="0"/>
      </w:pPr>
      <w:r w:rsidRPr="0062582F">
        <w:t>AASB 119.8</w:t>
      </w:r>
    </w:p>
    <w:p w:rsidR="004843DB" w:rsidRPr="0062582F" w:rsidRDefault="004843DB" w:rsidP="004843DB">
      <w:pPr>
        <w:pStyle w:val="Heading5"/>
      </w:pPr>
      <w:r w:rsidRPr="0062582F">
        <w:br w:type="column"/>
      </w:r>
      <w:r w:rsidRPr="0062582F">
        <w:lastRenderedPageBreak/>
        <w:t>(i)</w:t>
      </w:r>
      <w:r w:rsidRPr="0062582F">
        <w:tab/>
        <w:t>Wages and salaries, annual leave and sick leave</w:t>
      </w:r>
    </w:p>
    <w:p w:rsidR="004843DB" w:rsidRPr="0062582F" w:rsidRDefault="004843DB" w:rsidP="004843DB">
      <w:pPr>
        <w:pStyle w:val="NormalIndent2"/>
      </w:pPr>
      <w:r w:rsidRPr="0062582F">
        <w:t>Liabilities for wages and salaries, including non</w:t>
      </w:r>
      <w:r w:rsidR="005A4BB0">
        <w:noBreakHyphen/>
      </w:r>
      <w:r w:rsidRPr="0062582F">
        <w:t xml:space="preserve">monetary benefits annual leave and accumulating sick leave, are all recognised in the provision for employee benefits as </w:t>
      </w:r>
      <w:r w:rsidR="005A4BB0">
        <w:t>‘</w:t>
      </w:r>
      <w:r w:rsidRPr="0062582F">
        <w:t>current liabilities</w:t>
      </w:r>
      <w:r w:rsidR="005A4BB0">
        <w:t>’</w:t>
      </w:r>
      <w:r w:rsidRPr="0062582F">
        <w:t xml:space="preserve">, because the Department does not have an unconditional right to defer settlements of these liabilities. </w:t>
      </w:r>
    </w:p>
    <w:p w:rsidR="004843DB" w:rsidRPr="0062582F" w:rsidRDefault="004843DB" w:rsidP="004843DB">
      <w:pPr>
        <w:pStyle w:val="NormalIndent2"/>
      </w:pPr>
      <w:r w:rsidRPr="0062582F">
        <w:t>Depending on the expectation of the timing of settlement, liabilities for wages and salaries, annual leave and sick leave are measured at:</w:t>
      </w:r>
    </w:p>
    <w:p w:rsidR="004843DB" w:rsidRPr="0062582F" w:rsidRDefault="004843DB" w:rsidP="004843DB">
      <w:pPr>
        <w:pStyle w:val="BulletIndent"/>
        <w:tabs>
          <w:tab w:val="clear" w:pos="360"/>
        </w:tabs>
      </w:pPr>
      <w:r w:rsidRPr="0062582F">
        <w:t xml:space="preserve">nominal value – if the Department expects to wholly settle within 12 months; or </w:t>
      </w:r>
    </w:p>
    <w:p w:rsidR="004843DB" w:rsidRPr="0062582F" w:rsidRDefault="004843DB" w:rsidP="004843DB">
      <w:pPr>
        <w:pStyle w:val="BulletIndent"/>
        <w:tabs>
          <w:tab w:val="clear" w:pos="360"/>
        </w:tabs>
      </w:pPr>
      <w:r w:rsidRPr="0062582F">
        <w:t>present value – if the Department does not expect to wholly settle within 12 months.</w:t>
      </w:r>
    </w:p>
    <w:p w:rsidR="004843DB" w:rsidRPr="0062582F" w:rsidRDefault="004843DB" w:rsidP="004843DB">
      <w:pPr>
        <w:pStyle w:val="Heading5"/>
        <w:rPr>
          <w:b w:val="0"/>
          <w:bCs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520"/>
      </w:pPr>
      <w:r w:rsidRPr="0062582F">
        <w:lastRenderedPageBreak/>
        <w:t>AASB 119.28</w:t>
      </w:r>
    </w:p>
    <w:p w:rsidR="004843DB" w:rsidRPr="0062582F" w:rsidRDefault="004843DB" w:rsidP="004843DB">
      <w:pPr>
        <w:pStyle w:val="Heading5"/>
      </w:pPr>
      <w:r w:rsidRPr="0062582F">
        <w:br w:type="column"/>
      </w:r>
      <w:r w:rsidRPr="0062582F">
        <w:lastRenderedPageBreak/>
        <w:t>(ii)</w:t>
      </w:r>
      <w:r w:rsidRPr="0062582F">
        <w:tab/>
        <w:t>Long service leave</w:t>
      </w:r>
    </w:p>
    <w:p w:rsidR="004843DB" w:rsidRPr="0062582F" w:rsidRDefault="004843DB" w:rsidP="004843DB">
      <w:pPr>
        <w:pStyle w:val="NormalIndent2"/>
      </w:pPr>
      <w:r w:rsidRPr="0062582F">
        <w:t>Liability for LSL is recognised in the provision for employee benefits.</w:t>
      </w:r>
    </w:p>
    <w:p w:rsidR="004843DB" w:rsidRPr="0062582F" w:rsidRDefault="004843DB" w:rsidP="004843DB">
      <w:pPr>
        <w:pStyle w:val="NormalIndent2"/>
      </w:pPr>
      <w:r w:rsidRPr="0062582F">
        <w:rPr>
          <w:bCs/>
          <w:iCs/>
        </w:rPr>
        <w:t>Unconditional LSL</w:t>
      </w:r>
      <w:r w:rsidRPr="0062582F">
        <w:t xml:space="preserve"> is disclosed in the notes to the financial statements as a current liability, even where the Department does not expect to settle the liability within 12 months because it will not have the unconditional right to defer the settlement of the entitlement should an employee take leave within 12 months. </w:t>
      </w:r>
    </w:p>
    <w:p w:rsidR="004843DB" w:rsidRPr="0062582F" w:rsidRDefault="004843DB" w:rsidP="004843DB">
      <w:pPr>
        <w:pStyle w:val="NormalIndent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pPr>
    </w:p>
    <w:p w:rsidR="004843DB" w:rsidRPr="0062582F" w:rsidRDefault="004843DB" w:rsidP="004843DB">
      <w:pPr>
        <w:pStyle w:val="NormalIndent2"/>
      </w:pPr>
      <w:r w:rsidRPr="0062582F">
        <w:br w:type="column"/>
      </w:r>
      <w:r w:rsidRPr="0062582F">
        <w:lastRenderedPageBreak/>
        <w:t>The components of this current LSL liability are measured at:</w:t>
      </w:r>
    </w:p>
    <w:p w:rsidR="004843DB" w:rsidRPr="0062582F" w:rsidRDefault="004843DB" w:rsidP="004843DB">
      <w:pPr>
        <w:pStyle w:val="BulletIndent"/>
        <w:tabs>
          <w:tab w:val="clear" w:pos="360"/>
        </w:tabs>
      </w:pPr>
      <w:r w:rsidRPr="0062582F">
        <w:t>nominal value</w:t>
      </w:r>
      <w:r w:rsidR="005A4BB0">
        <w:noBreakHyphen/>
      </w:r>
      <w:r w:rsidRPr="0062582F">
        <w:t xml:space="preserve"> if the Department expects to wholly settle within 12 months; and</w:t>
      </w:r>
    </w:p>
    <w:p w:rsidR="004843DB" w:rsidRPr="0062582F" w:rsidRDefault="004843DB" w:rsidP="004843DB">
      <w:pPr>
        <w:pStyle w:val="BulletIndent"/>
        <w:tabs>
          <w:tab w:val="clear" w:pos="360"/>
        </w:tabs>
      </w:pPr>
      <w:r w:rsidRPr="0062582F">
        <w:t>present value</w:t>
      </w:r>
      <w:r w:rsidR="005A4BB0">
        <w:noBreakHyphen/>
      </w:r>
      <w:r w:rsidRPr="0062582F">
        <w:t>if the Department does not expect to wholly settle within 12 months.</w:t>
      </w:r>
    </w:p>
    <w:p w:rsidR="004843DB" w:rsidRPr="0062582F" w:rsidRDefault="004843DB" w:rsidP="004843DB">
      <w:pPr>
        <w:pStyle w:val="NormalIndent2"/>
      </w:pPr>
      <w:r w:rsidRPr="0062582F">
        <w:rPr>
          <w:bCs/>
          <w:iCs/>
        </w:rPr>
        <w:t>Conditional LSL</w:t>
      </w:r>
      <w:r w:rsidRPr="0062582F">
        <w:t xml:space="preserve"> is disclosed as a non</w:t>
      </w:r>
      <w:r w:rsidR="005A4BB0">
        <w:noBreakHyphen/>
      </w:r>
      <w:r w:rsidRPr="0062582F">
        <w:t>current liability. There is an unconditional right to defer the settlement of the entitlement until the employee has completed the requisite years of service. This non</w:t>
      </w:r>
      <w:r w:rsidR="005A4BB0">
        <w:noBreakHyphen/>
      </w:r>
      <w:r w:rsidRPr="0062582F">
        <w:t xml:space="preserve">current LSL liability is measured at present value. </w:t>
      </w:r>
    </w:p>
    <w:p w:rsidR="004843DB" w:rsidRPr="0062582F" w:rsidRDefault="004843DB" w:rsidP="004843DB">
      <w:pPr>
        <w:pStyle w:val="NormalIndent2"/>
      </w:pPr>
      <w:r w:rsidRPr="0062582F">
        <w:t>Any gain or loss following revaluation of the present value of non</w:t>
      </w:r>
      <w:r w:rsidR="005A4BB0">
        <w:noBreakHyphen/>
      </w:r>
      <w:r w:rsidRPr="0062582F">
        <w:t xml:space="preserve">current LSL liability is recognised in the </w:t>
      </w:r>
      <w:r w:rsidR="005A4BB0">
        <w:t>‘</w:t>
      </w:r>
      <w:r w:rsidRPr="0062582F">
        <w:t>net result from transactions</w:t>
      </w:r>
      <w:r w:rsidR="005A4BB0">
        <w:t>’</w:t>
      </w:r>
      <w:r w:rsidRPr="0062582F">
        <w:t>, except to the extent that a gain or loss arises due to changes in bond interest rates for which it is then recognised in the net result as an other economic flow (refer to Note 1(I)).</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pPr>
      <w:r w:rsidRPr="0062582F">
        <w:lastRenderedPageBreak/>
        <w:t xml:space="preserve"> </w:t>
      </w:r>
    </w:p>
    <w:p w:rsidR="004843DB" w:rsidRPr="0062582F" w:rsidRDefault="004843DB" w:rsidP="004843DB">
      <w:pPr>
        <w:pStyle w:val="Reference"/>
      </w:pPr>
      <w:r w:rsidRPr="0062582F">
        <w:t>AASB 119.128, 133</w:t>
      </w:r>
      <w:r w:rsidR="005A4BB0">
        <w:noBreakHyphen/>
      </w:r>
      <w:r w:rsidRPr="0062582F">
        <w:t>134 and 139</w:t>
      </w:r>
    </w:p>
    <w:p w:rsidR="004843DB" w:rsidRPr="0062582F" w:rsidRDefault="004843DB" w:rsidP="004843DB">
      <w:pPr>
        <w:pStyle w:val="Heading5"/>
      </w:pPr>
      <w:r w:rsidRPr="0062582F">
        <w:br w:type="column"/>
      </w:r>
      <w:r w:rsidRPr="0062582F">
        <w:lastRenderedPageBreak/>
        <w:t>(iii)</w:t>
      </w:r>
      <w:r w:rsidRPr="0062582F">
        <w:tab/>
        <w:t>Termination benefits</w:t>
      </w:r>
    </w:p>
    <w:p w:rsidR="004843DB" w:rsidRPr="0062582F" w:rsidRDefault="004843DB" w:rsidP="004843DB">
      <w:pPr>
        <w:pStyle w:val="NormalIndent2"/>
      </w:pPr>
      <w:r w:rsidRPr="0062582F">
        <w:t>Termination benefits are payable when employment is terminated before the normal retirement date, or when an employee decides to accept an offer of benefits in exchange for the termination of employment. The Department recognises termination benefits when it is demonstrably committed to either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Heading5"/>
      </w:pPr>
      <w:r w:rsidRPr="0062582F">
        <w:lastRenderedPageBreak/>
        <w:br w:type="column"/>
      </w:r>
      <w:r w:rsidRPr="0062582F">
        <w:lastRenderedPageBreak/>
        <w:t>On</w:t>
      </w:r>
      <w:r w:rsidR="005A4BB0">
        <w:noBreakHyphen/>
      </w:r>
      <w:r w:rsidRPr="0062582F">
        <w:t>costs related to employee expenses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lastRenderedPageBreak/>
        <w:t>AASB 137.85</w:t>
      </w:r>
    </w:p>
    <w:p w:rsidR="004843DB" w:rsidRPr="0062582F" w:rsidRDefault="004843DB" w:rsidP="004843DB">
      <w:r w:rsidRPr="0062582F">
        <w:br w:type="column"/>
      </w:r>
      <w:r w:rsidRPr="0062582F">
        <w:lastRenderedPageBreak/>
        <w:t>On</w:t>
      </w:r>
      <w:r w:rsidR="005A4BB0">
        <w:noBreakHyphen/>
      </w:r>
      <w:r w:rsidRPr="0062582F">
        <w:t>costs such as payroll tax, and workers compensation are recognised separately from the provision for employee benefits.</w:t>
      </w:r>
    </w:p>
    <w:p w:rsidR="004843DB" w:rsidRPr="0062582F" w:rsidRDefault="004843DB" w:rsidP="004843DB">
      <w:pPr>
        <w:pStyle w:val="NoteHeadingcontinued"/>
      </w:pPr>
      <w:r w:rsidRPr="0062582F">
        <w:br w:type="column"/>
      </w:r>
      <w:r w:rsidRPr="0062582F">
        <w:lastRenderedPageBreak/>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pPr>
        <w:pStyle w:val="Heading5"/>
      </w:pPr>
      <w:r w:rsidRPr="0062582F">
        <w:t>Onerous contracts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137.66</w:t>
      </w:r>
    </w:p>
    <w:p w:rsidR="004843DB" w:rsidRPr="0062582F" w:rsidRDefault="004843DB" w:rsidP="004843DB">
      <w:r w:rsidRPr="0062582F">
        <w:br w:type="column"/>
      </w:r>
      <w:r w:rsidRPr="0062582F">
        <w:lastRenderedPageBreak/>
        <w:t>An onerous contract is considered to exist when the unavoidable cost of meeting the contractual obligations exceeds the estimated economic benefits to be received. Present obligations arising under onerous contracts are recognised as a provision to the extent that the present obligation exceeds the estimated economic benefits to be received.</w:t>
      </w:r>
    </w:p>
    <w:p w:rsidR="004843DB" w:rsidRPr="0062582F" w:rsidRDefault="004843DB" w:rsidP="004843DB">
      <w:pPr>
        <w:pStyle w:val="Heading5"/>
        <w:rPr>
          <w:b w:val="0"/>
          <w:bCs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139.47(c)</w:t>
      </w:r>
    </w:p>
    <w:p w:rsidR="004843DB" w:rsidRPr="0062582F" w:rsidRDefault="004843DB" w:rsidP="004843DB">
      <w:pPr>
        <w:pStyle w:val="Heading5"/>
      </w:pPr>
      <w:r w:rsidRPr="0062582F">
        <w:br w:type="column"/>
      </w:r>
      <w:r w:rsidRPr="0062582F">
        <w:lastRenderedPageBreak/>
        <w:t>Financial guarantees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lastRenderedPageBreak/>
        <w:t>AASB </w:t>
      </w:r>
      <w:r w:rsidRPr="0062582F">
        <w:rPr>
          <w:lang w:val="en-AU"/>
        </w:rPr>
        <w:t>139.43</w:t>
      </w:r>
    </w:p>
    <w:p w:rsidR="004843DB" w:rsidRPr="0062582F" w:rsidRDefault="004843DB" w:rsidP="004843DB">
      <w:r w:rsidRPr="0062582F">
        <w:br w:type="column"/>
      </w:r>
      <w:r w:rsidRPr="0062582F">
        <w:lastRenderedPageBreak/>
        <w:t>Payments that are contingent under financial guarantee contracts are recognised as a liability at the time the guarantee is issued. The liability is initially measured at fair value, and if there is a material increase in the likelihood that the guarantee may have to be exercised, then it is measured at the higher of the amount and the amount initially recognised less cumulative amortisation, where appropriate.</w:t>
      </w:r>
    </w:p>
    <w:p w:rsidR="004843DB" w:rsidRPr="0062582F" w:rsidRDefault="004843DB" w:rsidP="004843DB">
      <w:r w:rsidRPr="0062582F">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rsidR="004843DB" w:rsidRPr="0062582F" w:rsidRDefault="004843DB" w:rsidP="004843DB">
      <w:r w:rsidRPr="0062582F">
        <w:t xml:space="preserve">The value of loans and other amounts guaranteed by the Treasurer is disclosed in Note 32 </w:t>
      </w:r>
      <w:r w:rsidRPr="0062582F">
        <w:rPr>
          <w:i/>
        </w:rPr>
        <w:t>Contingent assets and contingent liabilities</w:t>
      </w:r>
      <w:r w:rsidRPr="0062582F">
        <w:t>.</w:t>
      </w:r>
    </w:p>
    <w:p w:rsidR="004843DB" w:rsidRPr="0062582F" w:rsidRDefault="004843DB" w:rsidP="004843DB">
      <w:pPr>
        <w:pStyle w:val="Heading4"/>
      </w:pPr>
      <w:r w:rsidRPr="0062582F">
        <w:t>Derecognition of financial liabilities</w:t>
      </w:r>
    </w:p>
    <w:p w:rsidR="004843DB" w:rsidRPr="0062582F" w:rsidRDefault="004843DB" w:rsidP="004843DB">
      <w:r w:rsidRPr="0062582F">
        <w:t>A financial liability is derecognised when the obligation under the liability is discharged, cancelled or expires.</w:t>
      </w:r>
    </w:p>
    <w:p w:rsidR="004843DB" w:rsidRPr="0062582F" w:rsidRDefault="004843DB" w:rsidP="004843DB">
      <w:r w:rsidRPr="0062582F">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estimated consolidated comprehensive operating statement.</w:t>
      </w:r>
    </w:p>
    <w:p w:rsidR="004843DB" w:rsidRPr="0062582F" w:rsidRDefault="004843DB" w:rsidP="004843DB">
      <w:pPr>
        <w:pStyle w:val="NormalBlue"/>
        <w:rPr>
          <w:i/>
        </w:rPr>
      </w:pPr>
      <w:r w:rsidRPr="0062582F">
        <w:rPr>
          <w:i/>
        </w:rPr>
        <w:t>[Omit if not applicable.]</w:t>
      </w:r>
    </w:p>
    <w:p w:rsidR="004843DB" w:rsidRPr="0062582F" w:rsidRDefault="004843DB" w:rsidP="004843DB">
      <w:pPr>
        <w:pStyle w:val="Reference"/>
        <w:spacing w:before="20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20"/>
      </w:pPr>
      <w:r w:rsidRPr="0062582F">
        <w:lastRenderedPageBreak/>
        <w:t>AASB 117.4</w:t>
      </w:r>
    </w:p>
    <w:p w:rsidR="004843DB" w:rsidRPr="0062582F" w:rsidRDefault="004843DB" w:rsidP="004843DB">
      <w:pPr>
        <w:pStyle w:val="Heading3Numbering"/>
      </w:pPr>
      <w:r w:rsidRPr="0062582F">
        <w:br w:type="column"/>
      </w:r>
      <w:r w:rsidRPr="0062582F">
        <w:lastRenderedPageBreak/>
        <w:t>Leases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 xml:space="preserve">AASB 117.8 </w:t>
      </w:r>
    </w:p>
    <w:p w:rsidR="004843DB" w:rsidRPr="0062582F" w:rsidRDefault="004843DB" w:rsidP="004843DB">
      <w:pPr>
        <w:pStyle w:val="Reference"/>
      </w:pPr>
      <w:r w:rsidRPr="0062582F">
        <w:t>AASB Interpretation 4.6</w:t>
      </w:r>
    </w:p>
    <w:p w:rsidR="004843DB" w:rsidRPr="0062582F" w:rsidRDefault="004843DB" w:rsidP="004843DB">
      <w:r w:rsidRPr="0062582F">
        <w:br w:type="column"/>
      </w:r>
      <w:r w:rsidRPr="0062582F">
        <w:lastRenderedPageBreak/>
        <w:t>A lease is a right to use an asset for an agreed period of time in exchange for payment.</w:t>
      </w:r>
    </w:p>
    <w:p w:rsidR="004843DB" w:rsidRPr="0062582F" w:rsidRDefault="004843DB" w:rsidP="004843DB">
      <w:r w:rsidRPr="0062582F">
        <w:t>Leases are classified at their inception as either operating or finance leases based on the economic substance of the agreement so as to reflect the risks and rewards incidental to ownership. Leases of infrastructure, property, plant and equipment are classified as finance infrastructure leases whenever the terms of the lease transfer substantially all the risks and rewards of ownership from the lessor to the lessee. For service concession arrangements (see Note 1(S)), the commencement of the lease term is deemed to be the date the asset is commissioned. All other leases are classified as operating leases.</w:t>
      </w:r>
    </w:p>
    <w:p w:rsidR="004843DB" w:rsidRPr="0062582F" w:rsidRDefault="004843DB" w:rsidP="004843DB">
      <w:pPr>
        <w:pStyle w:val="Heading4"/>
      </w:pPr>
      <w:r w:rsidRPr="0062582F">
        <w:t>Finance leases</w:t>
      </w:r>
    </w:p>
    <w:p w:rsidR="004843DB" w:rsidRPr="0062582F" w:rsidRDefault="004843DB" w:rsidP="004843DB">
      <w:pPr>
        <w:pStyle w:val="Heading5"/>
        <w:tabs>
          <w:tab w:val="clear" w:pos="450"/>
          <w:tab w:val="left" w:pos="0"/>
        </w:tabs>
        <w:ind w:left="0" w:firstLine="0"/>
      </w:pPr>
      <w:r w:rsidRPr="0062582F">
        <w:t xml:space="preserve">Department as lessor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117.36, 39</w:t>
      </w:r>
    </w:p>
    <w:p w:rsidR="004843DB" w:rsidRPr="0062582F" w:rsidRDefault="004843DB" w:rsidP="004843DB">
      <w:r w:rsidRPr="0062582F">
        <w:br w:type="column"/>
      </w:r>
      <w:r w:rsidRPr="0062582F">
        <w:lastRenderedPageBreak/>
        <w:t xml:space="preserve">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income and reduction of the lease receivable over the term of the lease in order to reflect a constant periodic rate of return on the net investment outstanding in respect of the lease. </w:t>
      </w:r>
    </w:p>
    <w:p w:rsidR="004843DB" w:rsidRPr="0062582F" w:rsidRDefault="004843DB" w:rsidP="004843DB">
      <w:pPr>
        <w:pStyle w:val="NoteHeadingcontinued"/>
      </w:pPr>
      <w:r w:rsidRPr="0062582F">
        <w:br w:type="column"/>
      </w:r>
      <w:r w:rsidRPr="0062582F">
        <w:lastRenderedPageBreak/>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pPr>
        <w:pStyle w:val="Heading5"/>
      </w:pPr>
      <w:r w:rsidRPr="0062582F">
        <w:t>Department as lessee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lastRenderedPageBreak/>
        <w:t>AASB 117.27</w:t>
      </w:r>
    </w:p>
    <w:p w:rsidR="004843DB" w:rsidRPr="0062582F" w:rsidRDefault="004843DB" w:rsidP="004843DB">
      <w:r w:rsidRPr="0062582F">
        <w:br w:type="column"/>
      </w:r>
      <w:r w:rsidRPr="0062582F">
        <w:lastRenderedPageBreak/>
        <w:t>At the commencement of the lease term, finance leases are initially recognised as assets and liabilities at amounts equal to the fair value of the lease property or, if lower, the present value of the minimum lease payment, each determined at the inception of the lease. The lease asset is accounted for as a non</w:t>
      </w:r>
      <w:r w:rsidR="005A4BB0">
        <w:noBreakHyphen/>
      </w:r>
      <w:r w:rsidRPr="0062582F">
        <w:t xml:space="preserve">financial physical asset. If there is certainty that the Department will obtain the ownership of the lease asset by the end of the lease term, the asset shall be depreciated over the useful life of the asset. If there is no reasonable certainty that the lessee will obtain ownership by the end of the lease term, the asset shall be fully depreciated over the shorter of the lease term and its useful life. </w:t>
      </w:r>
    </w:p>
    <w:p w:rsidR="004843DB" w:rsidRPr="0062582F" w:rsidRDefault="004843DB" w:rsidP="004843DB">
      <w:r w:rsidRPr="0062582F">
        <w:t xml:space="preserve">Minimum finance lease payments are apportioned between reduction of the outstanding lease liability and periodic finance expense which is calculated using the interest rate implicit in the lease and charged directly to the comprehensive operating statement. Contingent rentals associated with finance leases are recognised as an expense in the period in which they are incurred. </w:t>
      </w:r>
    </w:p>
    <w:p w:rsidR="004843DB" w:rsidRPr="0062582F" w:rsidRDefault="004843DB" w:rsidP="004843DB">
      <w:pPr>
        <w:pStyle w:val="NormalBlue"/>
        <w:rPr>
          <w:i/>
        </w:rPr>
      </w:pPr>
      <w:r w:rsidRPr="0062582F">
        <w:rPr>
          <w:i/>
        </w:rPr>
        <w:t>[Omit if not applicable.]</w:t>
      </w:r>
    </w:p>
    <w:p w:rsidR="004843DB" w:rsidRPr="0062582F" w:rsidRDefault="004843DB" w:rsidP="004843DB">
      <w:pPr>
        <w:pStyle w:val="Heading4"/>
      </w:pPr>
      <w:r w:rsidRPr="0062582F">
        <w:t>Operating leases</w:t>
      </w:r>
    </w:p>
    <w:p w:rsidR="004843DB" w:rsidRPr="0062582F" w:rsidRDefault="004843DB" w:rsidP="004843DB">
      <w:pPr>
        <w:pStyle w:val="Heading5"/>
      </w:pPr>
      <w:r w:rsidRPr="0062582F">
        <w:t xml:space="preserve">Department as lessor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117.50</w:t>
      </w:r>
    </w:p>
    <w:p w:rsidR="004843DB" w:rsidRPr="0062582F" w:rsidRDefault="004843DB" w:rsidP="004843DB">
      <w:r w:rsidRPr="0062582F">
        <w:br w:type="column"/>
      </w:r>
      <w:r w:rsidRPr="0062582F">
        <w:lastRenderedPageBreak/>
        <w:t>Rental income from operating leases is recognised on a straight</w:t>
      </w:r>
      <w:r w:rsidR="005A4BB0">
        <w:noBreakHyphen/>
      </w:r>
      <w:r w:rsidRPr="0062582F">
        <w:t>line basis over the term of the relevant lease.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Interpretation 115.3</w:t>
      </w:r>
    </w:p>
    <w:p w:rsidR="004843DB" w:rsidRPr="0062582F" w:rsidRDefault="004843DB" w:rsidP="004843DB">
      <w:r w:rsidRPr="0062582F">
        <w:br w:type="column"/>
      </w:r>
      <w:r w:rsidRPr="0062582F">
        <w:lastRenderedPageBreak/>
        <w:t>All incentives for the agreement of a new or renewed operating lease are recognised as an integral part of the net consideration agreed for the use of the leased asset, irrespective of the incentive</w:t>
      </w:r>
      <w:r w:rsidR="005A4BB0">
        <w:t>’</w:t>
      </w:r>
      <w:r w:rsidRPr="0062582F">
        <w:t>s nature or form or the timing of payments.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Interpretation 115.4</w:t>
      </w:r>
    </w:p>
    <w:p w:rsidR="004843DB" w:rsidRPr="0062582F" w:rsidRDefault="004843DB" w:rsidP="004843DB">
      <w:r w:rsidRPr="0062582F">
        <w:br w:type="column"/>
      </w:r>
      <w:r w:rsidRPr="0062582F">
        <w:lastRenderedPageBreak/>
        <w:t>In the event that lease incentives are given to the lessee, the aggregate cost of incentives are recognised as a reduction of rental income over the lease term, on a straight</w:t>
      </w:r>
      <w:r w:rsidR="005A4BB0">
        <w:noBreakHyphen/>
      </w:r>
      <w:r w:rsidRPr="0062582F">
        <w:t>line basis unless another systematic basis is more representative of the time pattern over which the economic benefit of the leased asset is diminished.</w:t>
      </w:r>
    </w:p>
    <w:p w:rsidR="004843DB" w:rsidRPr="0062582F" w:rsidRDefault="004843DB" w:rsidP="004843DB">
      <w:pPr>
        <w:pStyle w:val="NormalBlue"/>
        <w:rPr>
          <w:i/>
        </w:rPr>
      </w:pPr>
      <w:r w:rsidRPr="0062582F">
        <w:rPr>
          <w:i/>
        </w:rPr>
        <w:t>[Omit if not applicable.]</w:t>
      </w:r>
    </w:p>
    <w:p w:rsidR="004843DB" w:rsidRPr="0062582F" w:rsidRDefault="004843DB" w:rsidP="004843DB">
      <w:pPr>
        <w:pStyle w:val="Heading5"/>
      </w:pPr>
      <w:r w:rsidRPr="0062582F">
        <w:t>Department as lessee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117.33</w:t>
      </w:r>
    </w:p>
    <w:p w:rsidR="004843DB" w:rsidRPr="0062582F" w:rsidRDefault="004843DB" w:rsidP="004843DB">
      <w:r w:rsidRPr="0062582F">
        <w:br w:type="column"/>
      </w:r>
      <w:r w:rsidRPr="0062582F">
        <w:lastRenderedPageBreak/>
        <w:t>Operating lease payments, including any contingent rentals, are recognised as an expense in the comprehensive operating statement on a straight</w:t>
      </w:r>
      <w:r w:rsidR="005A4BB0">
        <w:noBreakHyphen/>
      </w:r>
      <w:r w:rsidRPr="0062582F">
        <w:t>line basis over the lease term, except where another systematic basis is more representative of the time pattern of the benefits derived from the use of the leased asset. The leased asset is not recognised in the balance sheet.</w:t>
      </w:r>
    </w:p>
    <w:p w:rsidR="004843DB" w:rsidRPr="0062582F" w:rsidRDefault="004843DB" w:rsidP="004843DB">
      <w:pPr>
        <w:pStyle w:val="Heading3Numbering"/>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Interpretation 115.3</w:t>
      </w:r>
    </w:p>
    <w:p w:rsidR="004843DB" w:rsidRPr="0062582F" w:rsidRDefault="004843DB" w:rsidP="004843DB">
      <w:r w:rsidRPr="0062582F">
        <w:br w:type="column"/>
      </w:r>
      <w:r w:rsidRPr="0062582F">
        <w:lastRenderedPageBreak/>
        <w:t>All incentives for the agreement of a new or renewed operating lease are recognised as an integral part of the net consideration agreed for the use of the leased asset, irrespective of the incentive</w:t>
      </w:r>
      <w:r w:rsidR="005A4BB0">
        <w:t>’</w:t>
      </w:r>
      <w:r w:rsidRPr="0062582F">
        <w:t>s nature or form or the timing of payments.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Interpretation 115.5</w:t>
      </w:r>
    </w:p>
    <w:p w:rsidR="004843DB" w:rsidRPr="0062582F" w:rsidRDefault="004843DB" w:rsidP="004843DB">
      <w:r w:rsidRPr="0062582F">
        <w:br w:type="column"/>
      </w:r>
      <w:r w:rsidRPr="0062582F">
        <w:lastRenderedPageBreak/>
        <w:t>In the event that lease incentives are received to enter into operating leases, the aggregate cost of incentives are recognised as a reduction of rental expense over the lease term on a straight</w:t>
      </w:r>
      <w:r w:rsidR="005A4BB0">
        <w:noBreakHyphen/>
      </w:r>
      <w:r w:rsidRPr="0062582F">
        <w:t>line basis, unless another systematic basis is more representative of the time pattern in which economic benefits from the leased asset are consumed.</w:t>
      </w:r>
    </w:p>
    <w:p w:rsidR="004843DB" w:rsidRPr="0062582F" w:rsidRDefault="004843DB" w:rsidP="004843DB">
      <w:pPr>
        <w:pStyle w:val="NormalBlue"/>
        <w:rPr>
          <w:i/>
        </w:rPr>
      </w:pPr>
      <w:r w:rsidRPr="0062582F">
        <w:rPr>
          <w:i/>
        </w:rPr>
        <w:t>[Omit if not applicable.]</w:t>
      </w:r>
    </w:p>
    <w:p w:rsidR="004843DB" w:rsidRPr="0062582F" w:rsidRDefault="004843DB" w:rsidP="004843DB">
      <w:pPr>
        <w:spacing w:before="0" w:line="240" w:lineRule="atLeast"/>
        <w:rPr>
          <w:rFonts w:ascii="Calibri" w:hAnsi="Calibri" w:cs="Arial"/>
          <w:b/>
          <w:bCs/>
          <w:sz w:val="26"/>
          <w:szCs w:val="28"/>
          <w:lang w:val="en-GB"/>
        </w:rPr>
      </w:pPr>
      <w:r w:rsidRPr="0062582F">
        <w:br w:type="page"/>
      </w:r>
    </w:p>
    <w:p w:rsidR="004843DB" w:rsidRPr="0062582F" w:rsidRDefault="004843DB" w:rsidP="004843DB">
      <w:pPr>
        <w:pStyle w:val="NoteHeadingcontinued"/>
      </w:pPr>
      <w:r w:rsidRPr="0062582F">
        <w:lastRenderedPageBreak/>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pPr>
        <w:pStyle w:val="Heading3Numbering"/>
      </w:pPr>
      <w:r w:rsidRPr="0062582F">
        <w:t>Equity</w:t>
      </w:r>
    </w:p>
    <w:p w:rsidR="004843DB" w:rsidRPr="0062582F" w:rsidRDefault="004843DB" w:rsidP="004843DB">
      <w:pPr>
        <w:pStyle w:val="Heading4"/>
      </w:pPr>
      <w:r w:rsidRPr="0062582F">
        <w:t>Contributions by owners</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lastRenderedPageBreak/>
        <w:t>FRD 119A</w:t>
      </w:r>
      <w:r w:rsidRPr="0062582F">
        <w:rPr>
          <w:lang w:val="en-AU"/>
        </w:rPr>
        <w:br/>
        <w:t>AASB Interpretation 1038.7</w:t>
      </w:r>
    </w:p>
    <w:p w:rsidR="004843DB" w:rsidRPr="0062582F" w:rsidRDefault="004843DB" w:rsidP="004843DB">
      <w:r w:rsidRPr="0062582F">
        <w:br w:type="column"/>
      </w:r>
      <w:r w:rsidRPr="0062582F">
        <w:lastRenderedPageBreak/>
        <w:t xml:space="preserve">Consistent with the requirements of AASB 1004 </w:t>
      </w:r>
      <w:r w:rsidRPr="0062582F">
        <w:rPr>
          <w:i/>
          <w:iCs/>
        </w:rPr>
        <w:t>Contributions</w:t>
      </w:r>
      <w:r w:rsidRPr="0062582F">
        <w:t>, contributions by owners (that is, contributed capital and its repayment) are treated as equity transactions and, therefore, do not form part of the income and expenses of the Department.</w:t>
      </w:r>
    </w:p>
    <w:p w:rsidR="004843DB" w:rsidRPr="0062582F" w:rsidRDefault="004843DB" w:rsidP="004843DB">
      <w:r w:rsidRPr="0062582F">
        <w:t xml:space="preserve">Additions to net assets which have been designated as contributions by owners are recognised as contributed capital. Other transfers that are in the nature of contributions to or distributions by owners have also been designated as contributions by owners. </w:t>
      </w:r>
    </w:p>
    <w:p w:rsidR="004843DB" w:rsidRPr="0062582F" w:rsidRDefault="004843DB" w:rsidP="004843DB">
      <w:r w:rsidRPr="0062582F">
        <w:t>Transfers of net assets arising from administrative restructurings are treated as distributions to or contributions by owners. Transfers of net liabilities arising from administrative restructurings are treated as distributions to owners.</w:t>
      </w:r>
    </w:p>
    <w:p w:rsidR="004843DB" w:rsidRPr="0062582F" w:rsidRDefault="004843DB" w:rsidP="004843DB">
      <w:pPr>
        <w:pStyle w:val="Heading3Numbering"/>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Heading3Numbering"/>
        <w:numPr>
          <w:ilvl w:val="0"/>
          <w:numId w:val="0"/>
        </w:numPr>
        <w:spacing w:before="600"/>
        <w:rPr>
          <w:rFonts w:cs="Arial Narrow"/>
          <w:b w:val="0"/>
          <w:bCs w:val="0"/>
          <w:i/>
          <w:iCs w:val="0"/>
          <w:color w:val="0000FF"/>
          <w:kern w:val="0"/>
          <w:sz w:val="16"/>
          <w:szCs w:val="16"/>
          <w:lang w:val="en-GB"/>
        </w:rPr>
      </w:pPr>
      <w:r w:rsidRPr="0062582F">
        <w:rPr>
          <w:rFonts w:cs="Arial Narrow"/>
          <w:b w:val="0"/>
          <w:bCs w:val="0"/>
          <w:iCs w:val="0"/>
          <w:color w:val="0000FF"/>
          <w:kern w:val="0"/>
          <w:sz w:val="16"/>
          <w:szCs w:val="16"/>
          <w:lang w:val="en-GB"/>
        </w:rPr>
        <w:lastRenderedPageBreak/>
        <w:t>AASB 116.74(c)</w:t>
      </w:r>
    </w:p>
    <w:p w:rsidR="004843DB" w:rsidRPr="0062582F" w:rsidRDefault="004843DB" w:rsidP="004843DB">
      <w:pPr>
        <w:pStyle w:val="Heading3Numbering"/>
        <w:numPr>
          <w:ilvl w:val="0"/>
          <w:numId w:val="0"/>
        </w:numPr>
        <w:spacing w:before="0"/>
        <w:rPr>
          <w:rFonts w:cs="Arial Narrow"/>
          <w:b w:val="0"/>
          <w:bCs w:val="0"/>
          <w:i/>
          <w:iCs w:val="0"/>
          <w:color w:val="0000FF"/>
          <w:kern w:val="0"/>
          <w:sz w:val="16"/>
          <w:szCs w:val="16"/>
          <w:lang w:val="en-GB"/>
        </w:rPr>
      </w:pPr>
      <w:r w:rsidRPr="0062582F">
        <w:rPr>
          <w:rFonts w:cs="Arial Narrow"/>
          <w:b w:val="0"/>
          <w:bCs w:val="0"/>
          <w:iCs w:val="0"/>
          <w:color w:val="0000FF"/>
          <w:kern w:val="0"/>
          <w:sz w:val="16"/>
          <w:szCs w:val="16"/>
          <w:lang w:val="en-GB"/>
        </w:rPr>
        <w:t>AASB 117.35(a)</w:t>
      </w:r>
    </w:p>
    <w:p w:rsidR="004843DB" w:rsidRPr="0062582F" w:rsidRDefault="004843DB" w:rsidP="004843DB">
      <w:pPr>
        <w:pStyle w:val="Heading3Numbering"/>
        <w:numPr>
          <w:ilvl w:val="0"/>
          <w:numId w:val="0"/>
        </w:numPr>
        <w:spacing w:before="0"/>
        <w:rPr>
          <w:rFonts w:cs="Arial Narrow"/>
          <w:b w:val="0"/>
          <w:bCs w:val="0"/>
          <w:i/>
          <w:iCs w:val="0"/>
          <w:color w:val="0000FF"/>
          <w:kern w:val="0"/>
          <w:sz w:val="16"/>
          <w:szCs w:val="16"/>
          <w:lang w:val="en-GB"/>
        </w:rPr>
      </w:pPr>
      <w:r w:rsidRPr="0062582F">
        <w:rPr>
          <w:rFonts w:cs="Arial Narrow"/>
          <w:b w:val="0"/>
          <w:bCs w:val="0"/>
          <w:iCs w:val="0"/>
          <w:color w:val="0000FF"/>
          <w:kern w:val="0"/>
          <w:sz w:val="16"/>
          <w:szCs w:val="16"/>
          <w:lang w:val="en-GB"/>
        </w:rPr>
        <w:t>AASB 138.122(e)</w:t>
      </w:r>
    </w:p>
    <w:p w:rsidR="004843DB" w:rsidRPr="0062582F" w:rsidRDefault="004843DB" w:rsidP="004843DB">
      <w:pPr>
        <w:pStyle w:val="Heading3Numbering"/>
        <w:numPr>
          <w:ilvl w:val="0"/>
          <w:numId w:val="0"/>
        </w:numPr>
        <w:spacing w:before="0"/>
        <w:rPr>
          <w:rFonts w:cs="Arial Narrow"/>
          <w:b w:val="0"/>
          <w:bCs w:val="0"/>
          <w:i/>
          <w:iCs w:val="0"/>
          <w:color w:val="0000FF"/>
          <w:kern w:val="0"/>
          <w:sz w:val="16"/>
          <w:szCs w:val="16"/>
          <w:lang w:val="en-GB"/>
        </w:rPr>
      </w:pPr>
      <w:r w:rsidRPr="0062582F">
        <w:rPr>
          <w:rFonts w:cs="Arial Narrow"/>
          <w:b w:val="0"/>
          <w:bCs w:val="0"/>
          <w:iCs w:val="0"/>
          <w:color w:val="0000FF"/>
          <w:kern w:val="0"/>
          <w:sz w:val="16"/>
          <w:szCs w:val="16"/>
          <w:lang w:val="en-GB"/>
        </w:rPr>
        <w:t>AASB 12.23(a)</w:t>
      </w:r>
    </w:p>
    <w:p w:rsidR="004843DB" w:rsidRPr="0062582F" w:rsidRDefault="004843DB" w:rsidP="004843DB">
      <w:pPr>
        <w:pStyle w:val="Heading3Numbering"/>
      </w:pPr>
      <w:r w:rsidRPr="0062582F">
        <w:br w:type="column"/>
      </w:r>
      <w:r w:rsidRPr="0062582F">
        <w:lastRenderedPageBreak/>
        <w:t>Commitments</w:t>
      </w:r>
    </w:p>
    <w:p w:rsidR="004843DB" w:rsidRPr="0062582F" w:rsidRDefault="004843DB" w:rsidP="004843DB">
      <w:r w:rsidRPr="0062582F">
        <w:t>Commitments</w:t>
      </w:r>
      <w:r w:rsidRPr="0062582F">
        <w:rPr>
          <w:b/>
        </w:rPr>
        <w:t xml:space="preserve"> </w:t>
      </w:r>
      <w:r w:rsidRPr="0062582F">
        <w:t>for future expenditure include operating and capital commitments arising from contracts.</w:t>
      </w:r>
      <w:r w:rsidRPr="0062582F">
        <w:rPr>
          <w:b/>
          <w:i/>
        </w:rPr>
        <w:t xml:space="preserve"> </w:t>
      </w:r>
      <w:r w:rsidRPr="0062582F">
        <w:t>These commitments</w:t>
      </w:r>
      <w:r w:rsidRPr="0062582F">
        <w:rPr>
          <w:b/>
          <w:i/>
        </w:rPr>
        <w:t xml:space="preserve"> </w:t>
      </w:r>
      <w:r w:rsidRPr="0062582F">
        <w:t>are disclosed</w:t>
      </w:r>
      <w:r w:rsidRPr="0062582F">
        <w:rPr>
          <w:i/>
        </w:rPr>
        <w:t xml:space="preserve"> </w:t>
      </w:r>
      <w:r w:rsidRPr="0062582F">
        <w:t xml:space="preserve">by way of a note (refer to Note 31 </w:t>
      </w:r>
      <w:r w:rsidRPr="0062582F">
        <w:rPr>
          <w:i/>
        </w:rPr>
        <w:t>Commitments for expenditure</w:t>
      </w:r>
      <w:r w:rsidRPr="0062582F">
        <w:t xml:space="preserve">) at their nominal value and inclusive of the GST payable. </w:t>
      </w:r>
    </w:p>
    <w:p w:rsidR="004843DB" w:rsidRPr="0062582F" w:rsidRDefault="004843DB" w:rsidP="004843DB">
      <w:r w:rsidRPr="0062582F">
        <w:t>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rsidR="004843DB" w:rsidRPr="0062582F" w:rsidRDefault="004843DB" w:rsidP="004843DB">
      <w:pPr>
        <w:pStyle w:val="Heading3Numbering"/>
      </w:pPr>
      <w:r w:rsidRPr="0062582F">
        <w:t>Contingent assets and contingent liabilities</w:t>
      </w:r>
    </w:p>
    <w:p w:rsidR="004843DB" w:rsidRPr="0062582F" w:rsidRDefault="004843DB" w:rsidP="004843DB">
      <w:pPr>
        <w:spacing w:after="120"/>
      </w:pPr>
      <w:r w:rsidRPr="0062582F">
        <w:t xml:space="preserve">Contingent assets and contingent liabilities are not recognised in the balance sheet, but are disclosed by way of a note (refer to Note 32 </w:t>
      </w:r>
      <w:r w:rsidRPr="0062582F">
        <w:rPr>
          <w:i/>
        </w:rPr>
        <w:t>Contingent assets and contingent liabilities</w:t>
      </w:r>
      <w:r w:rsidRPr="0062582F">
        <w:t>) and, if quantifiable, are measured at nominal value. Contingent assets and liabilities are presented inclusive of GST receivable or payable respectively.</w:t>
      </w:r>
    </w:p>
    <w:p w:rsidR="004843DB" w:rsidRPr="0062582F" w:rsidRDefault="004843DB" w:rsidP="004843DB">
      <w:pPr>
        <w:pStyle w:val="Heading3Numbering"/>
      </w:pPr>
      <w:r w:rsidRPr="0062582F">
        <w:t>Service concession arrangements</w:t>
      </w:r>
    </w:p>
    <w:p w:rsidR="004843DB" w:rsidRPr="0062582F" w:rsidRDefault="004843DB" w:rsidP="004843DB">
      <w:r w:rsidRPr="0062582F">
        <w:t xml:space="preserve">The Department sometimes enters into certain arrangements with private sector participants to design and construct or upgrade assets used to provide public services. These arrangements are typically complex and usually include the provision of operational and maintenance services for a specified period of time. These arrangements are often referred to as either public private partnerships or service concession arrangements (SCAs). </w:t>
      </w:r>
    </w:p>
    <w:p w:rsidR="004843DB" w:rsidRPr="0062582F" w:rsidRDefault="004843DB" w:rsidP="004843DB">
      <w:r w:rsidRPr="0062582F">
        <w:t>These SCAs usually take one of two main forms. In the more common form, the Department pays the operator over the period of the arrangement,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 policy (see Note 1(O)). The remaining components are accounted for as commitments (see Note 1(Q)) for operating costs which are expensed in the comprehensive operating statement as they are incurred.</w:t>
      </w:r>
    </w:p>
    <w:p w:rsidR="004843DB" w:rsidRPr="0062582F" w:rsidRDefault="004843DB" w:rsidP="004843DB">
      <w:r w:rsidRPr="0062582F">
        <w:t>The other, less common form of SCA, is one in which the Department grants to an operator, for a specified period of time, the right to collect fees from users of the SCA asset, in return for which the operator constructs the asset and has the obligation to supply agreed 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grantor Department.</w:t>
      </w:r>
    </w:p>
    <w:p w:rsidR="004843DB" w:rsidRPr="0062582F" w:rsidRDefault="004843DB" w:rsidP="004843DB">
      <w:r w:rsidRPr="0062582F">
        <w:br w:type="column"/>
      </w:r>
    </w:p>
    <w:p w:rsidR="004843DB" w:rsidRPr="0062582F" w:rsidRDefault="004843DB" w:rsidP="004843DB">
      <w:pPr>
        <w:pStyle w:val="NoteHeadingcontinued"/>
      </w:pPr>
      <w:r w:rsidRPr="0062582F">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pPr>
        <w:pStyle w:val="SmallLine"/>
      </w:pPr>
    </w:p>
    <w:p w:rsidR="004843DB" w:rsidRPr="0062582F" w:rsidRDefault="004843DB" w:rsidP="004843DB">
      <w:pPr>
        <w:pStyle w:val="NormalBlue"/>
        <w:rPr>
          <w:i/>
        </w:rPr>
      </w:pPr>
      <w:r w:rsidRPr="0062582F">
        <w:rPr>
          <w:i/>
        </w:rPr>
        <w:t>[Entities are strongly encouraged to briefly describe significant arrangements.]</w:t>
      </w:r>
    </w:p>
    <w:p w:rsidR="004843DB" w:rsidRPr="0062582F" w:rsidRDefault="004843DB" w:rsidP="004843DB">
      <w:r w:rsidRPr="0062582F">
        <w:t>There is currently no authoritative accounting guidance applicable to grantors (the Department) on the recognition and measurement of the right of the Department to receive assets from such concession arrangements. Due to the lack of such guidance, there has been no change to existing policy and those assets are not currently recognised.</w:t>
      </w:r>
    </w:p>
    <w:p w:rsidR="004843DB" w:rsidRPr="0062582F" w:rsidRDefault="004843DB" w:rsidP="004843DB">
      <w:pPr>
        <w:pStyle w:val="Heading3Numbering"/>
        <w:rPr>
          <w:sz w:val="26"/>
          <w:szCs w:val="26"/>
        </w:rPr>
      </w:pPr>
      <w:r w:rsidRPr="0062582F">
        <w:t>Accounting for the goods and services tax</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Interpretation 1031.6 and 7</w:t>
      </w:r>
    </w:p>
    <w:p w:rsidR="004843DB" w:rsidRPr="0062582F" w:rsidRDefault="004843DB" w:rsidP="004843DB">
      <w:r w:rsidRPr="0062582F">
        <w:br w:type="column"/>
      </w:r>
      <w:r w:rsidRPr="0062582F">
        <w:lastRenderedPageBreak/>
        <w:t>Income, expenses and assets are recognised net of the amount of associated goods and services tax (GST), except where GST incurred is not recoverable from the taxation authority. In this case, the GST payable is recognised as part of the cost of acquisition of the asset or as part of the expense.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Interpretation 1031.8 and 9</w:t>
      </w:r>
    </w:p>
    <w:p w:rsidR="004843DB" w:rsidRPr="0062582F" w:rsidRDefault="004843DB" w:rsidP="004843DB">
      <w:r w:rsidRPr="0062582F">
        <w:br w:type="column"/>
      </w:r>
      <w:r w:rsidRPr="0062582F">
        <w:lastRenderedPageBreak/>
        <w:t>Receivables and payables are stated inclusive of the amount of GST receivable or payable. The net amount of GST recoverable from, or payable to, the taxation authority is included with other receivables or payables in the balance sheet.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Interpretation 1031.10 and 11</w:t>
      </w:r>
    </w:p>
    <w:p w:rsidR="004843DB" w:rsidRPr="0062582F" w:rsidRDefault="004843DB" w:rsidP="004843DB">
      <w:r w:rsidRPr="0062582F">
        <w:br w:type="column"/>
      </w:r>
      <w:r w:rsidRPr="0062582F">
        <w:lastRenderedPageBreak/>
        <w:t>Cash flows are presented on a gross basis. The GST components of cash flows arising from investing or financing activities which are recoverable from, or payable to the taxation authority, are presented as an operating cash flow.</w:t>
      </w:r>
    </w:p>
    <w:p w:rsidR="004843DB" w:rsidRPr="0062582F" w:rsidRDefault="004843DB" w:rsidP="004843DB">
      <w:pPr>
        <w:spacing w:after="120"/>
      </w:pPr>
      <w:r w:rsidRPr="0062582F">
        <w:rPr>
          <w:kern w:val="28"/>
        </w:rPr>
        <w:t xml:space="preserve">Commitments and contingent assets and liabilities are also stated inclusive of </w:t>
      </w:r>
      <w:r w:rsidRPr="0062582F">
        <w:t>GST (refer to Note 1(Q) and Note 1(R))</w:t>
      </w:r>
      <w:r w:rsidRPr="0062582F">
        <w:rPr>
          <w:kern w:val="28"/>
        </w:rPr>
        <w: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Heading3Numbering"/>
      </w:pPr>
      <w:r w:rsidRPr="0062582F">
        <w:lastRenderedPageBreak/>
        <w:br w:type="column"/>
      </w:r>
      <w:r w:rsidRPr="0062582F">
        <w:lastRenderedPageBreak/>
        <w:t>Foreign currency balances/transactions</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1036BA" w:rsidRDefault="004843DB" w:rsidP="004843DB">
      <w:pPr>
        <w:pStyle w:val="Reference"/>
      </w:pPr>
      <w:r w:rsidRPr="001036BA">
        <w:rPr>
          <w:lang w:val="en-AU"/>
        </w:rPr>
        <w:lastRenderedPageBreak/>
        <w:br/>
      </w:r>
      <w:r w:rsidRPr="001036BA">
        <w:t>AASB 121.21 and 23</w:t>
      </w:r>
    </w:p>
    <w:p w:rsidR="004843DB" w:rsidRPr="0062582F" w:rsidRDefault="004843DB" w:rsidP="004843DB">
      <w:r w:rsidRPr="0062582F">
        <w:br w:type="column"/>
      </w:r>
      <w:r w:rsidRPr="0062582F">
        <w:lastRenderedPageBreak/>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w:t>
      </w:r>
      <w:r w:rsidR="005A4BB0">
        <w:noBreakHyphen/>
      </w:r>
      <w:r w:rsidRPr="0062582F">
        <w:t xml:space="preserve">monetary assets carried at fair value that are denominated in foreign currencies are translated to the functional currency at the rates prevailing at the date when the fair value was determined. </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121.52(b)</w:t>
      </w:r>
    </w:p>
    <w:p w:rsidR="004843DB" w:rsidRPr="0062582F" w:rsidRDefault="004843DB" w:rsidP="004843DB">
      <w:r w:rsidRPr="0062582F">
        <w:br w:type="column"/>
      </w:r>
      <w:r w:rsidRPr="0062582F">
        <w:lastRenderedPageBreak/>
        <w:t>Foreign currency translation differences are recognised in other economic flows and accumulated in a separate component of equity, in the period in which they arise.</w:t>
      </w:r>
    </w:p>
    <w:p w:rsidR="004843DB" w:rsidRPr="0062582F" w:rsidRDefault="004843DB" w:rsidP="004843DB">
      <w:pPr>
        <w:pStyle w:val="NormalBlue"/>
        <w:spacing w:before="80"/>
        <w:rPr>
          <w:i/>
        </w:rPr>
      </w:pPr>
      <w:r w:rsidRPr="0062582F">
        <w:rPr>
          <w:i/>
        </w:rPr>
        <w:t>[Omit if not applicable.]</w:t>
      </w:r>
    </w:p>
    <w:p w:rsidR="004843DB" w:rsidRPr="0062582F" w:rsidRDefault="004843DB" w:rsidP="004843DB">
      <w:pPr>
        <w:pStyle w:val="Heading3Numbering"/>
      </w:pPr>
      <w:r w:rsidRPr="0062582F">
        <w:t>Events after the reporting period</w:t>
      </w:r>
    </w:p>
    <w:p w:rsidR="004843DB" w:rsidRPr="0062582F" w:rsidRDefault="004843DB" w:rsidP="004843DB">
      <w:pPr>
        <w:pStyle w:val="NormalBlue"/>
        <w:rPr>
          <w:i/>
        </w:rPr>
      </w:pPr>
      <w:r w:rsidRPr="0062582F">
        <w:rPr>
          <w:i/>
        </w:rPr>
        <w:t>[Include as appropriate.]</w:t>
      </w:r>
    </w:p>
    <w:p w:rsidR="004843DB" w:rsidRPr="0062582F" w:rsidRDefault="004843DB" w:rsidP="004843DB">
      <w:pPr>
        <w:rPr>
          <w:b/>
          <w:bCs/>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lastRenderedPageBreak/>
        <w:t>AASB 110.3</w:t>
      </w:r>
    </w:p>
    <w:p w:rsidR="004843DB" w:rsidRPr="0062582F" w:rsidRDefault="004843DB" w:rsidP="004843DB">
      <w:pPr>
        <w:rPr>
          <w:rFonts w:ascii="Calibri" w:hAnsi="Calibri"/>
          <w:b/>
          <w:bCs/>
          <w:kern w:val="28"/>
          <w:sz w:val="26"/>
          <w:szCs w:val="24"/>
        </w:rPr>
      </w:pPr>
      <w:r w:rsidRPr="0062582F">
        <w:br w:type="column"/>
      </w:r>
      <w:r w:rsidRPr="0062582F">
        <w:lastRenderedPageBreak/>
        <w:t>Assets, liabilities, income or expenses arise from past transactions or other past events. Where the transactions result from an agreement between the Department and other parties, the transactions are only recognised when the agreement is irrevocable at or before the end of the reporting period. Adjustments are made to amounts recognised in the financial statements for events which occur between the end of the reporting period and the date when the financial statements are authorised for issue, where those events provide information about conditions which existed at the reporting date. Note disclosure is made about events between the end of the reporting period and the date the financial statements are authorised for issue where the events relate to conditions which arose after the end of the reporting period that are considered to be of material interest.</w:t>
      </w:r>
    </w:p>
    <w:p w:rsidR="004843DB" w:rsidRPr="0062582F" w:rsidRDefault="004843DB" w:rsidP="004843DB"/>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rStyle w:val="ReferenceChar"/>
        </w:rPr>
      </w:pPr>
      <w:r w:rsidRPr="0062582F">
        <w:rPr>
          <w:rStyle w:val="ReferenceChar"/>
        </w:rPr>
        <w:lastRenderedPageBreak/>
        <w:br w:type="column"/>
      </w:r>
      <w:r w:rsidRPr="0062582F">
        <w:rPr>
          <w:rStyle w:val="ReferenceChar"/>
        </w:rPr>
        <w:lastRenderedPageBreak/>
        <w:br w:type="column"/>
      </w:r>
      <w:r w:rsidRPr="0062582F">
        <w:rPr>
          <w:rStyle w:val="ReferenceChar"/>
        </w:rPr>
        <w:lastRenderedPageBreak/>
        <w:br/>
      </w:r>
    </w:p>
    <w:p w:rsidR="004843DB" w:rsidRPr="0062582F" w:rsidRDefault="004843DB" w:rsidP="004843DB">
      <w:pPr>
        <w:pStyle w:val="Reference"/>
        <w:spacing w:before="120"/>
        <w:rPr>
          <w:rStyle w:val="ReferenceChar"/>
        </w:rPr>
      </w:pPr>
      <w:r w:rsidRPr="0062582F">
        <w:rPr>
          <w:rStyle w:val="ReferenceChar"/>
        </w:rPr>
        <w:t>AASB 108.30</w:t>
      </w:r>
    </w:p>
    <w:p w:rsidR="004843DB" w:rsidRPr="0062582F" w:rsidRDefault="004843DB" w:rsidP="004843DB">
      <w:pPr>
        <w:pStyle w:val="Reference"/>
        <w:spacing w:before="40"/>
        <w:rPr>
          <w:rStyle w:val="ReferenceChar"/>
        </w:rPr>
      </w:pPr>
    </w:p>
    <w:p w:rsidR="004843DB" w:rsidRPr="0062582F" w:rsidRDefault="004843DB" w:rsidP="004843DB">
      <w:pPr>
        <w:pStyle w:val="Reference"/>
        <w:spacing w:before="40"/>
        <w:rPr>
          <w:rStyle w:val="ReferenceChar"/>
        </w:rPr>
      </w:pPr>
    </w:p>
    <w:p w:rsidR="004843DB" w:rsidRPr="0062582F" w:rsidRDefault="004843DB" w:rsidP="004843DB">
      <w:pPr>
        <w:pStyle w:val="Reference"/>
        <w:spacing w:before="40"/>
        <w:rPr>
          <w:rStyle w:val="ReferenceChar"/>
        </w:rPr>
      </w:pPr>
    </w:p>
    <w:p w:rsidR="004843DB" w:rsidRPr="0062582F" w:rsidRDefault="004843DB" w:rsidP="004843DB">
      <w:pPr>
        <w:pStyle w:val="Reference"/>
        <w:spacing w:before="40"/>
        <w:rPr>
          <w:rStyle w:val="ReferenceChar"/>
        </w:rPr>
      </w:pPr>
    </w:p>
    <w:p w:rsidR="004843DB" w:rsidRPr="0062582F" w:rsidRDefault="004843DB" w:rsidP="004843DB">
      <w:pPr>
        <w:pStyle w:val="Reference"/>
        <w:spacing w:before="40"/>
        <w:rPr>
          <w:rStyle w:val="ReferenceChar"/>
        </w:rPr>
      </w:pPr>
    </w:p>
    <w:p w:rsidR="004843DB" w:rsidRPr="0062582F" w:rsidRDefault="004843DB" w:rsidP="004843DB">
      <w:pPr>
        <w:pStyle w:val="Reference"/>
        <w:spacing w:before="40"/>
        <w:rPr>
          <w:rStyle w:val="ReferenceChar"/>
        </w:rPr>
      </w:pPr>
    </w:p>
    <w:p w:rsidR="004843DB" w:rsidRPr="0062582F" w:rsidRDefault="004843DB" w:rsidP="004843DB">
      <w:pPr>
        <w:pStyle w:val="Reference"/>
        <w:spacing w:before="100"/>
      </w:pPr>
      <w:r w:rsidRPr="0062582F">
        <w:rPr>
          <w:rStyle w:val="ReferenceChar"/>
        </w:rPr>
        <w:t>AASB 108.31</w:t>
      </w:r>
    </w:p>
    <w:p w:rsidR="004843DB" w:rsidRPr="0062582F" w:rsidRDefault="004843DB" w:rsidP="004843DB">
      <w:pPr>
        <w:pStyle w:val="NoteHeadingcontinued"/>
      </w:pPr>
      <w:r w:rsidRPr="0062582F">
        <w:rPr>
          <w:rStyle w:val="ReferenceChar"/>
        </w:rPr>
        <w:br w:type="column"/>
      </w:r>
      <w:r w:rsidRPr="0062582F">
        <w:lastRenderedPageBreak/>
        <w:t>Note 1.</w:t>
      </w:r>
      <w:r w:rsidRPr="0062582F">
        <w:tab/>
        <w:t xml:space="preserve">Summary of significant accounting policies </w:t>
      </w:r>
      <w:r w:rsidRPr="0062582F">
        <w:rPr>
          <w:i/>
        </w:rPr>
        <w:t>(continued)</w:t>
      </w:r>
    </w:p>
    <w:p w:rsidR="004843DB" w:rsidRPr="0062582F" w:rsidRDefault="004843DB" w:rsidP="004843DB">
      <w:pPr>
        <w:pStyle w:val="Heading3Numbering"/>
      </w:pPr>
      <w:r w:rsidRPr="0062582F">
        <w:t>Australian Accounting Standards issued that are not yet effective</w:t>
      </w:r>
    </w:p>
    <w:p w:rsidR="004843DB" w:rsidRPr="0062582F" w:rsidRDefault="004843DB" w:rsidP="004843DB">
      <w:r w:rsidRPr="0062582F">
        <w:t>Certain new Australian Accounting Standards (AAS) have been published that are not mandatory for the 30 June 2016 reporting period. DTF assesses the impact of all these new standards and advises the Department of their applicability and early adoption where applicable. Please refer to Appendix 5 for the detailed list of the AASs issued but are not yet effective for the 2015</w:t>
      </w:r>
      <w:r w:rsidR="005A4BB0">
        <w:noBreakHyphen/>
      </w:r>
      <w:r w:rsidRPr="0062582F">
        <w:t>16 reporting period.</w:t>
      </w:r>
    </w:p>
    <w:p w:rsidR="004843DB" w:rsidRPr="0062582F" w:rsidRDefault="004843DB" w:rsidP="004843DB">
      <w:pPr>
        <w:pStyle w:val="NormalBlue"/>
        <w:rPr>
          <w:i/>
        </w:rPr>
      </w:pPr>
      <w:r w:rsidRPr="0062582F">
        <w:rPr>
          <w:i/>
        </w:rPr>
        <w:t xml:space="preserve">[The latest listing on impacts of AASs that are issued but not yet effective will be issued as Appendix 2 of the upcoming FRD 120J. Entities are advised to refer to this appendix to assist them in disclosing the impacts of AASs issued not yet effective, as required by AASB 108, in Policy Note 1 of the annual financial statements.] </w:t>
      </w:r>
    </w:p>
    <w:p w:rsidR="004843DB" w:rsidRPr="0062582F" w:rsidRDefault="004843DB" w:rsidP="004843DB">
      <w:pPr>
        <w:rPr>
          <w:b/>
          <w:i/>
          <w:color w:val="C00000"/>
        </w:rPr>
      </w:pPr>
      <w:r w:rsidRPr="0062582F">
        <w:rPr>
          <w:b/>
          <w:i/>
          <w:color w:val="C00000"/>
        </w:rPr>
        <w:t>[Entities will need to exercise judgement in deciding which issued but not yet effective standards may have material impacts on their entities and not just reallocate this section of the FRD into their annual reports.]</w:t>
      </w:r>
      <w:r w:rsidRPr="0062582F" w:rsidDel="002339B8">
        <w:rPr>
          <w:b/>
          <w:i/>
          <w:color w:val="C00000"/>
        </w:rPr>
        <w:t xml:space="preserve"> </w:t>
      </w:r>
    </w:p>
    <w:p w:rsidR="004843DB" w:rsidRPr="0062582F" w:rsidRDefault="004843DB" w:rsidP="004843DB">
      <w:pPr>
        <w:pStyle w:val="Heading3Numbering"/>
      </w:pPr>
      <w:r w:rsidRPr="0062582F">
        <w:t>Correction of a prior period error</w:t>
      </w:r>
    </w:p>
    <w:p w:rsidR="004843DB" w:rsidRPr="0062582F" w:rsidRDefault="004843DB" w:rsidP="004843DB">
      <w:pPr>
        <w:pStyle w:val="NormalBlue"/>
        <w:rPr>
          <w:i/>
        </w:rPr>
      </w:pPr>
      <w:r w:rsidRPr="0062582F">
        <w:rPr>
          <w:i/>
        </w:rPr>
        <w:t>[Include or omit as appropriate. Refer to Note 8 Correction of Error.]</w:t>
      </w:r>
    </w:p>
    <w:p w:rsidR="004843DB" w:rsidRPr="0062582F" w:rsidRDefault="004843DB" w:rsidP="004843DB"/>
    <w:p w:rsidR="004843DB" w:rsidRPr="0062582F" w:rsidRDefault="004843DB" w:rsidP="004843DB">
      <w:r w:rsidRPr="0062582F">
        <w:br w:type="page"/>
      </w:r>
    </w:p>
    <w:p w:rsidR="004843DB" w:rsidRPr="0062582F" w:rsidRDefault="004843DB" w:rsidP="004843DB"/>
    <w:p w:rsidR="004843DB" w:rsidRDefault="004843DB" w:rsidP="004843DB">
      <w:pPr>
        <w:pStyle w:val="CommentaryHeading"/>
      </w:pPr>
      <w:r w:rsidRPr="0062582F">
        <w:lastRenderedPageBreak/>
        <w:t>Commentary – Summary of significant accounting policies</w:t>
      </w:r>
    </w:p>
    <w:p w:rsidR="004843DB" w:rsidRPr="0062582F" w:rsidRDefault="004843DB" w:rsidP="004843DB">
      <w:pPr>
        <w:pStyle w:val="SmallLineBlue"/>
      </w:pPr>
    </w:p>
    <w:p w:rsidR="004843DB" w:rsidRPr="0062582F"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sectPr>
      </w:pPr>
      <w:bookmarkStart w:id="319" w:name="_Toc163448668"/>
    </w:p>
    <w:p w:rsidR="004843DB" w:rsidRPr="0062582F" w:rsidRDefault="004843DB" w:rsidP="004843DB">
      <w:pPr>
        <w:pStyle w:val="Reference"/>
        <w:spacing w:before="200"/>
      </w:pPr>
      <w:r w:rsidRPr="0062582F">
        <w:lastRenderedPageBreak/>
        <w:t>AASB 101.112(a)</w:t>
      </w:r>
    </w:p>
    <w:p w:rsidR="004843DB" w:rsidRPr="0062582F" w:rsidRDefault="004843DB" w:rsidP="004843DB">
      <w:pPr>
        <w:pStyle w:val="CommentaryHeading1"/>
        <w:pBdr>
          <w:top w:val="none" w:sz="0" w:space="0" w:color="auto"/>
          <w:bottom w:val="none" w:sz="0" w:space="0" w:color="auto"/>
        </w:pBdr>
      </w:pPr>
      <w:r w:rsidRPr="0062582F">
        <w:br w:type="column"/>
      </w:r>
      <w:r w:rsidRPr="0062582F">
        <w:lastRenderedPageBreak/>
        <w:t>Disclosures in Note 1 – summary of significant accounting policies</w:t>
      </w:r>
    </w:p>
    <w:bookmarkEnd w:id="319"/>
    <w:p w:rsidR="004843DB" w:rsidRPr="0062582F" w:rsidRDefault="004843DB" w:rsidP="004843DB">
      <w:pPr>
        <w:pStyle w:val="CommentaryText"/>
        <w:pBdr>
          <w:top w:val="none" w:sz="0" w:space="0" w:color="auto"/>
          <w:bottom w:val="none" w:sz="0" w:space="0" w:color="auto"/>
        </w:pBdr>
      </w:pPr>
      <w:r w:rsidRPr="0062582F">
        <w:t>The following disclosures should be made in Note 1:</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1054.9</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(a)</w:t>
      </w:r>
      <w:r w:rsidRPr="0062582F">
        <w:tab/>
        <w:t>a statement that the financial statements are general purpose financial statements or special purpose financial statements;</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1054.7</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(b)</w:t>
      </w:r>
      <w:r w:rsidRPr="0062582F">
        <w:tab/>
        <w:t>a statement of compliance with AASs; and</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101.16</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(c)</w:t>
      </w:r>
      <w:r w:rsidRPr="0062582F">
        <w:tab/>
        <w:t>where applicable, a statement of compliance with the International Financial Reporting Standards (IFRSs).</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 xml:space="preserve">AASB 101.Aus16.3 </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ab/>
        <w:t>This statement of compliance is unlikely to be applicable to departments because they would have applied additional Australian paragraphs or Australian standards applicable to not</w:t>
      </w:r>
      <w:r w:rsidR="005A4BB0">
        <w:noBreakHyphen/>
      </w:r>
      <w:r w:rsidRPr="0062582F">
        <w:t>for</w:t>
      </w:r>
      <w:r w:rsidR="005A4BB0">
        <w:noBreakHyphen/>
      </w:r>
      <w:r w:rsidRPr="0062582F">
        <w:t>profit entities, which are not part of IFRSs.</w:t>
      </w:r>
    </w:p>
    <w:p w:rsidR="004843DB" w:rsidRPr="0062582F" w:rsidRDefault="004843DB" w:rsidP="004843DB">
      <w:pPr>
        <w:pStyle w:val="CommentaryHeading2"/>
        <w:tabs>
          <w:tab w:val="left" w:pos="426"/>
        </w:tabs>
      </w:pPr>
      <w:r w:rsidRPr="0062582F">
        <w:tab/>
        <w:t>Where compliance with AAS does not lead to compliance with IFRSs</w:t>
      </w: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101.Aus16.3</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ab/>
        <w:t>Some AASs contain requirements specific to not</w:t>
      </w:r>
      <w:r w:rsidR="005A4BB0">
        <w:noBreakHyphen/>
      </w:r>
      <w:r w:rsidRPr="0062582F">
        <w:t>for</w:t>
      </w:r>
      <w:r w:rsidR="005A4BB0">
        <w:noBreakHyphen/>
      </w:r>
      <w:r w:rsidRPr="0062582F">
        <w:t>profit entities that are inconsistent with IFRS requirements. A not</w:t>
      </w:r>
      <w:r w:rsidR="005A4BB0">
        <w:noBreakHyphen/>
      </w:r>
      <w:r w:rsidRPr="0062582F">
        <w:t>for</w:t>
      </w:r>
      <w:r w:rsidR="005A4BB0">
        <w:noBreakHyphen/>
      </w:r>
      <w:r w:rsidRPr="0062582F">
        <w:t>profit entity is only able to make a statement of explicit and unreserved compliance with IFRSs if the entity:</w:t>
      </w:r>
    </w:p>
    <w:p w:rsidR="004843DB" w:rsidRPr="0062582F" w:rsidRDefault="004843DB" w:rsidP="004843DB">
      <w:pPr>
        <w:pStyle w:val="CommentaryDashBlue"/>
      </w:pPr>
      <w:r w:rsidRPr="0062582F">
        <w:tab/>
        <w:t>–</w:t>
      </w:r>
      <w:r w:rsidRPr="0062582F">
        <w:tab/>
        <w:t>has not applied any of these not</w:t>
      </w:r>
      <w:r w:rsidR="005A4BB0">
        <w:noBreakHyphen/>
      </w:r>
      <w:r w:rsidRPr="0062582F">
        <w:t>for</w:t>
      </w:r>
      <w:r w:rsidR="005A4BB0">
        <w:noBreakHyphen/>
      </w:r>
      <w:r w:rsidRPr="0062582F">
        <w:t>profit requirements that are inconsistent with IFRSs;</w:t>
      </w:r>
    </w:p>
    <w:p w:rsidR="004843DB" w:rsidRPr="0062582F" w:rsidRDefault="004843DB" w:rsidP="004843DB">
      <w:pPr>
        <w:pStyle w:val="CommentaryDashBlue"/>
      </w:pPr>
      <w:r w:rsidRPr="0062582F">
        <w:tab/>
        <w:t>–</w:t>
      </w:r>
      <w:r w:rsidRPr="0062582F">
        <w:tab/>
        <w:t>has voluntarily applied those IFRS</w:t>
      </w:r>
      <w:r w:rsidR="005A4BB0">
        <w:noBreakHyphen/>
      </w:r>
      <w:r w:rsidRPr="0062582F">
        <w:t>compliant AASs that are not required to be applied by not</w:t>
      </w:r>
      <w:r w:rsidR="005A4BB0">
        <w:noBreakHyphen/>
      </w:r>
      <w:r w:rsidRPr="0062582F">
        <w:t>for</w:t>
      </w:r>
      <w:r w:rsidR="005A4BB0">
        <w:noBreakHyphen/>
      </w:r>
      <w:r w:rsidRPr="0062582F">
        <w:t>profit entities;</w:t>
      </w:r>
    </w:p>
    <w:p w:rsidR="004843DB" w:rsidRPr="0062582F" w:rsidRDefault="004843DB" w:rsidP="004843DB">
      <w:pPr>
        <w:pStyle w:val="CommentaryDashBlue"/>
      </w:pPr>
      <w:r w:rsidRPr="0062582F">
        <w:tab/>
        <w:t>–</w:t>
      </w:r>
      <w:r w:rsidRPr="0062582F">
        <w:tab/>
        <w:t>is not a parent that falls within the exceptions in AASB 101 Aus16.2; and</w:t>
      </w:r>
    </w:p>
    <w:p w:rsidR="004843DB" w:rsidRPr="0062582F" w:rsidRDefault="004843DB" w:rsidP="004843DB">
      <w:pPr>
        <w:pStyle w:val="CommentaryTextIndent"/>
        <w:pBdr>
          <w:top w:val="none" w:sz="0" w:space="0" w:color="auto"/>
          <w:bottom w:val="none" w:sz="0" w:space="0" w:color="auto"/>
        </w:pBdr>
      </w:pPr>
      <w:r w:rsidRPr="0062582F">
        <w:t>(d)</w:t>
      </w:r>
      <w:r w:rsidRPr="0062582F">
        <w:tab/>
        <w:t>summary of accounting policy.</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lastRenderedPageBreak/>
        <w:t>AASB 101.112(a)</w:t>
      </w:r>
    </w:p>
    <w:p w:rsidR="004843DB" w:rsidRPr="0062582F" w:rsidRDefault="004843DB" w:rsidP="004843DB">
      <w:pPr>
        <w:pStyle w:val="CommentaryHeading1"/>
        <w:pBdr>
          <w:top w:val="none" w:sz="0" w:space="0" w:color="auto"/>
          <w:bottom w:val="none" w:sz="0" w:space="0" w:color="auto"/>
        </w:pBdr>
      </w:pPr>
      <w:r w:rsidRPr="0062582F">
        <w:br w:type="column"/>
      </w:r>
      <w:bookmarkStart w:id="320" w:name="_Toc163448671"/>
      <w:r w:rsidRPr="0062582F">
        <w:lastRenderedPageBreak/>
        <w:t>Summary of accounting policies</w:t>
      </w:r>
    </w:p>
    <w:p w:rsidR="004843DB" w:rsidRPr="0062582F" w:rsidRDefault="004843DB" w:rsidP="004843DB">
      <w:pPr>
        <w:pStyle w:val="CommentaryHeading2"/>
      </w:pPr>
      <w:bookmarkStart w:id="321" w:name="_Toc163448675"/>
      <w:r w:rsidRPr="0062582F">
        <w:t>Contents</w:t>
      </w:r>
      <w:bookmarkEnd w:id="321"/>
    </w:p>
    <w:p w:rsidR="004843DB" w:rsidRPr="0062582F" w:rsidRDefault="004843DB" w:rsidP="004843DB">
      <w:pPr>
        <w:pStyle w:val="CommentaryText"/>
        <w:pBdr>
          <w:top w:val="none" w:sz="0" w:space="0" w:color="auto"/>
          <w:bottom w:val="none" w:sz="0" w:space="0" w:color="auto"/>
        </w:pBdr>
      </w:pPr>
      <w:r w:rsidRPr="0062582F">
        <w:t>The summary of accounting policies shall include a description of each specific accounting policy that is necessary for an understanding of the financial statements. In making judgements about the details to be disclosed about an entity</w:t>
      </w:r>
      <w:r w:rsidR="005A4BB0">
        <w:t>’</w:t>
      </w:r>
      <w:r w:rsidRPr="0062582F">
        <w:t>s accounting policies, consideration shall be given to the information needs of the likely users of the financial statements, the nature of the entity</w:t>
      </w:r>
      <w:r w:rsidR="005A4BB0">
        <w:t>’</w:t>
      </w:r>
      <w:r w:rsidRPr="0062582F">
        <w:t>s operations and the policies that a user would expect to find disclosed for that type of entity.</w:t>
      </w:r>
    </w:p>
    <w:bookmarkEnd w:id="320"/>
    <w:p w:rsidR="004843DB" w:rsidRPr="0062582F" w:rsidRDefault="004843DB" w:rsidP="004843DB">
      <w:pPr>
        <w:pStyle w:val="Reference"/>
        <w:spacing w:before="240"/>
        <w:rPr>
          <w:lang w:val="en-AU"/>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20"/>
        <w:rPr>
          <w:lang w:val="en-AU"/>
        </w:rPr>
      </w:pPr>
      <w:r w:rsidRPr="0062582F">
        <w:rPr>
          <w:lang w:val="en-AU"/>
        </w:rPr>
        <w:lastRenderedPageBreak/>
        <w:t>AASB 101.117</w:t>
      </w:r>
    </w:p>
    <w:p w:rsidR="004843DB" w:rsidRPr="0062582F" w:rsidRDefault="004843DB" w:rsidP="004843DB">
      <w:pPr>
        <w:pStyle w:val="CommentaryHeading2"/>
        <w:rPr>
          <w:u w:val="single"/>
        </w:rPr>
      </w:pPr>
      <w:r w:rsidRPr="0062582F">
        <w:br w:type="column"/>
      </w:r>
      <w:r w:rsidRPr="0062582F">
        <w:lastRenderedPageBreak/>
        <w:t>Measurement basis</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t>An entity shall disclose in the summary of significant accounting policies:</w:t>
      </w:r>
    </w:p>
    <w:p w:rsidR="004843DB" w:rsidRPr="0062582F" w:rsidRDefault="004843DB" w:rsidP="004843DB">
      <w:pPr>
        <w:pStyle w:val="CommentaryBullet"/>
      </w:pPr>
      <w:r w:rsidRPr="0062582F">
        <w:t>the measurement basis (or bases) used in preparing the financial statements; and</w:t>
      </w:r>
    </w:p>
    <w:p w:rsidR="004843DB" w:rsidRPr="0062582F" w:rsidRDefault="004843DB" w:rsidP="004843DB">
      <w:pPr>
        <w:pStyle w:val="CommentaryBullet"/>
      </w:pPr>
      <w:r w:rsidRPr="0062582F">
        <w:t>the other accounting policies used that are relevant to an understanding of the financial statements.</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p>
    <w:p w:rsidR="004843DB" w:rsidRPr="0062582F" w:rsidRDefault="004843DB" w:rsidP="004843DB">
      <w:pPr>
        <w:pStyle w:val="CommentaryHeading2"/>
      </w:pPr>
      <w:r w:rsidRPr="0062582F">
        <w:br w:type="column"/>
      </w:r>
      <w:r w:rsidRPr="0062582F">
        <w:lastRenderedPageBreak/>
        <w:t>Basis of consolidation</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t xml:space="preserve">AASB 10 </w:t>
      </w:r>
      <w:r w:rsidRPr="0062582F">
        <w:rPr>
          <w:i/>
        </w:rPr>
        <w:t>Consolidated Financial Statements</w:t>
      </w:r>
      <w:r w:rsidRPr="0062582F">
        <w:t xml:space="preserve"> defines the principle of control, and establishes control as the basis for consolidation. Please refer to Appendix 7 on the detailed guidance for application of AASB 10 in the not</w:t>
      </w:r>
      <w:r w:rsidR="005A4BB0">
        <w:noBreakHyphen/>
      </w:r>
      <w:r w:rsidRPr="0062582F">
        <w:t>for</w:t>
      </w:r>
      <w:r w:rsidR="005A4BB0">
        <w:noBreakHyphen/>
      </w:r>
      <w:r w:rsidRPr="0062582F">
        <w:t>profit context.</w:t>
      </w:r>
    </w:p>
    <w:p w:rsidR="004843DB" w:rsidRPr="0062582F" w:rsidRDefault="004843DB" w:rsidP="004843DB">
      <w:pPr>
        <w:pStyle w:val="Reference"/>
        <w:spacing w:before="200"/>
      </w:pPr>
      <w:r w:rsidRPr="0062582F">
        <w:rPr>
          <w:lang w:val="en-AU"/>
        </w:rPr>
        <w:lastRenderedPageBreak/>
        <w:t>AASB 12.7(a)</w:t>
      </w:r>
    </w:p>
    <w:p w:rsidR="004843DB" w:rsidRPr="0062582F" w:rsidRDefault="004843DB" w:rsidP="004843DB">
      <w:pPr>
        <w:pStyle w:val="CommentaryText"/>
        <w:pBdr>
          <w:top w:val="none" w:sz="0" w:space="0" w:color="auto"/>
        </w:pBdr>
      </w:pPr>
      <w:r w:rsidRPr="0062582F">
        <w:br w:type="column"/>
      </w:r>
      <w:r w:rsidRPr="0062582F">
        <w:lastRenderedPageBreak/>
        <w:t>An entity shall disclose information about significant judgements and assumptions it has made (and changes to those judgements and assumptions) in determining that it has control of another entity, ie an investee as described in paragraphs 5 and 6 of AASB 10.</w:t>
      </w:r>
      <w:bookmarkStart w:id="322" w:name="_Toc163448674"/>
    </w:p>
    <w:p w:rsidR="004843DB" w:rsidRPr="0062582F" w:rsidRDefault="004843DB" w:rsidP="004843DB">
      <w:pPr>
        <w:spacing w:line="240" w:lineRule="atLeast"/>
        <w:rPr>
          <w:noProof/>
          <w:color w:val="0000FF"/>
        </w:rPr>
      </w:pPr>
      <w:r w:rsidRPr="0062582F">
        <w:br w:type="page"/>
      </w:r>
    </w:p>
    <w:p w:rsidR="004843DB" w:rsidRPr="0062582F" w:rsidRDefault="004843DB" w:rsidP="004843DB">
      <w:pPr>
        <w:pStyle w:val="Reference"/>
        <w:keepNext w:val="0"/>
        <w:spacing w:before="140"/>
        <w:rPr>
          <w:lang w:val="en-AU"/>
        </w:rPr>
      </w:pPr>
    </w:p>
    <w:p w:rsidR="004843DB" w:rsidRPr="0062582F" w:rsidRDefault="004843DB" w:rsidP="004843DB">
      <w:pPr>
        <w:pStyle w:val="Reference"/>
        <w:keepNext w:val="0"/>
        <w:spacing w:before="140"/>
        <w:rPr>
          <w:lang w:val="en-AU"/>
        </w:rPr>
      </w:pPr>
    </w:p>
    <w:p w:rsidR="004843DB" w:rsidRPr="0062582F" w:rsidRDefault="004843DB" w:rsidP="004843DB">
      <w:pPr>
        <w:pStyle w:val="Reference"/>
        <w:keepNext w:val="0"/>
        <w:spacing w:before="140"/>
        <w:rPr>
          <w:color w:val="FF0000"/>
          <w:lang w:val="en-AU"/>
        </w:rPr>
      </w:pPr>
      <w:r w:rsidRPr="0062582F">
        <w:rPr>
          <w:color w:val="FF0000"/>
          <w:lang w:val="en-AU"/>
        </w:rPr>
        <w:t>New</w:t>
      </w:r>
    </w:p>
    <w:p w:rsidR="004843DB" w:rsidRPr="0062582F" w:rsidRDefault="004843DB" w:rsidP="004843DB">
      <w:pPr>
        <w:pStyle w:val="SmallLine"/>
      </w:pPr>
      <w:r w:rsidRPr="0062582F">
        <w:br w:type="column"/>
      </w:r>
    </w:p>
    <w:p w:rsidR="004843DB" w:rsidRPr="0062582F" w:rsidRDefault="004843DB" w:rsidP="004843DB">
      <w:pPr>
        <w:pStyle w:val="CommentaryHeading"/>
        <w:rPr>
          <w:i/>
          <w:iCs/>
        </w:rPr>
      </w:pPr>
      <w:r w:rsidRPr="0062582F">
        <w:t xml:space="preserve">Commentary – Summary of significant accounting policies </w:t>
      </w:r>
      <w:r w:rsidRPr="0062582F">
        <w:rPr>
          <w:i/>
          <w:iCs/>
        </w:rPr>
        <w:t>(continued)</w:t>
      </w:r>
    </w:p>
    <w:p w:rsidR="004843DB" w:rsidRPr="0062582F" w:rsidRDefault="004843DB" w:rsidP="004843DB">
      <w:pPr>
        <w:pStyle w:val="SmallLineBlue"/>
        <w:pBdr>
          <w:bottom w:val="none" w:sz="0" w:space="0" w:color="auto"/>
        </w:pBdr>
      </w:pPr>
    </w:p>
    <w:p w:rsidR="004843DB" w:rsidRPr="0062582F" w:rsidRDefault="004843DB" w:rsidP="004843DB">
      <w:pPr>
        <w:pStyle w:val="CommentaryText"/>
        <w:pBdr>
          <w:top w:val="none" w:sz="0" w:space="0" w:color="auto"/>
          <w:bottom w:val="none" w:sz="0" w:space="0" w:color="auto"/>
        </w:pBdr>
      </w:pPr>
      <w:r w:rsidRPr="0062582F">
        <w:t>For departments that aggregate entities under section 53(1)(b) of the FMA in their annual report, this following guidance has been provided for use in the policy note:</w:t>
      </w:r>
    </w:p>
    <w:p w:rsidR="004843DB" w:rsidRPr="0062582F" w:rsidRDefault="004843DB" w:rsidP="004843DB">
      <w:pPr>
        <w:pStyle w:val="CommentaryText"/>
        <w:pBdr>
          <w:top w:val="none" w:sz="0" w:space="0" w:color="auto"/>
          <w:bottom w:val="none" w:sz="0" w:space="0" w:color="auto"/>
        </w:pBdr>
        <w:spacing w:before="100"/>
        <w:rPr>
          <w:i/>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rPr>
          <w:i/>
        </w:rPr>
        <w:t xml:space="preserve">Pursuant to section 53(1)(b) of the </w:t>
      </w:r>
      <w:r w:rsidRPr="0062582F">
        <w:t>Financial Management Act 1994</w:t>
      </w:r>
      <w:r w:rsidRPr="0062582F">
        <w:rPr>
          <w:i/>
        </w:rPr>
        <w:t>, the results of the following entities are reported in aggregate as part of the department</w:t>
      </w:r>
      <w:r w:rsidR="005A4BB0">
        <w:rPr>
          <w:i/>
        </w:rPr>
        <w:t>’</w:t>
      </w:r>
      <w:r w:rsidRPr="0062582F">
        <w:rPr>
          <w:i/>
        </w:rPr>
        <w:t>s financial statements. These entities are not controlled by the department.</w:t>
      </w:r>
    </w:p>
    <w:p w:rsidR="004843DB" w:rsidRPr="0062582F" w:rsidRDefault="004843DB" w:rsidP="004843DB">
      <w:pPr>
        <w:pStyle w:val="Reference"/>
        <w:keepNext w:val="0"/>
        <w:spacing w:before="100"/>
      </w:pPr>
    </w:p>
    <w:p w:rsidR="004843DB" w:rsidRPr="0062582F" w:rsidRDefault="004843DB" w:rsidP="004843DB">
      <w:pPr>
        <w:pStyle w:val="CommentaryText"/>
        <w:pBdr>
          <w:top w:val="none" w:sz="0" w:space="0" w:color="auto"/>
          <w:bottom w:val="none" w:sz="0" w:space="0" w:color="auto"/>
        </w:pBdr>
        <w:spacing w:before="60"/>
      </w:pPr>
      <w:r w:rsidRPr="0062582F">
        <w:rPr>
          <w:i/>
        </w:rPr>
        <w:br w:type="column"/>
      </w:r>
      <w:r w:rsidRPr="0062582F">
        <w:rPr>
          <w:i/>
        </w:rPr>
        <w:lastRenderedPageBreak/>
        <w:t>[insert names</w:t>
      </w:r>
      <w:bookmarkEnd w:id="322"/>
      <w:r w:rsidRPr="0062582F">
        <w:rPr>
          <w:i/>
        </w:rPr>
        <w:t>]</w:t>
      </w:r>
    </w:p>
    <w:p w:rsidR="004843DB" w:rsidRPr="0062582F" w:rsidRDefault="004843DB" w:rsidP="004843DB">
      <w:pPr>
        <w:pStyle w:val="Reference"/>
        <w:spacing w:before="200"/>
        <w:rPr>
          <w:lang w:val="en-AU"/>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keepNext w:val="0"/>
        <w:spacing w:before="140"/>
        <w:rPr>
          <w:lang w:val="en-AU"/>
        </w:rPr>
      </w:pPr>
      <w:r w:rsidRPr="0062582F">
        <w:rPr>
          <w:lang w:val="en-AU"/>
        </w:rPr>
        <w:lastRenderedPageBreak/>
        <w:t>AASB 101.25</w:t>
      </w:r>
    </w:p>
    <w:p w:rsidR="004843DB" w:rsidRPr="0062582F" w:rsidRDefault="004843DB" w:rsidP="004843DB">
      <w:pPr>
        <w:pStyle w:val="CommentaryHeading2"/>
        <w:spacing w:before="80"/>
      </w:pPr>
      <w:r w:rsidRPr="0062582F">
        <w:br w:type="column"/>
      </w:r>
      <w:r w:rsidRPr="0062582F">
        <w:lastRenderedPageBreak/>
        <w:t>Going concern basis</w:t>
      </w:r>
    </w:p>
    <w:p w:rsidR="004843DB" w:rsidRPr="0062582F" w:rsidRDefault="004843DB" w:rsidP="004843DB">
      <w:pPr>
        <w:pStyle w:val="CommentaryText"/>
        <w:pBdr>
          <w:top w:val="none" w:sz="0" w:space="0" w:color="auto"/>
          <w:bottom w:val="none" w:sz="0" w:space="0" w:color="auto"/>
        </w:pBdr>
        <w:spacing w:before="80"/>
      </w:pPr>
      <w:r w:rsidRPr="0062582F">
        <w:t>When preparing financial statements, management shall make an assessment of an entity</w:t>
      </w:r>
      <w:r w:rsidR="005A4BB0">
        <w:t>’</w:t>
      </w:r>
      <w:r w:rsidRPr="0062582F">
        <w:t>s ability to continue as a going concern. Financial statements shall be prepared on a going concern basis unless management either intends to liquidate the entity or to cease trading, or has no realistic alternative but to do so. When management is aware, in making its assessment, of material uncertainties related to events or conditions that may cast significant doubt upon the entity</w:t>
      </w:r>
      <w:r w:rsidR="005A4BB0">
        <w:t>’</w:t>
      </w:r>
      <w:r w:rsidRPr="0062582F">
        <w:t>s ability to continue as a going concern, those uncertainties shall be disclosed. When the financial statements are not prepared on a going concern basis, that fact shall be disclosed, together with the basis on which the financial statements are prepared and the reason why the entity is not regarded as a going concern.</w:t>
      </w:r>
    </w:p>
    <w:p w:rsidR="004843DB" w:rsidRPr="0062582F" w:rsidRDefault="004843DB" w:rsidP="004843DB">
      <w:pPr>
        <w:pStyle w:val="CommentaryHeading2"/>
      </w:pPr>
      <w:r w:rsidRPr="0062582F">
        <w:t>Critical accounting estimates and judgements</w:t>
      </w: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101.122</w:t>
      </w:r>
    </w:p>
    <w:p w:rsidR="004843DB" w:rsidRPr="0062582F" w:rsidRDefault="004843DB" w:rsidP="004843DB">
      <w:pPr>
        <w:pStyle w:val="CommentaryText"/>
        <w:pBdr>
          <w:top w:val="none" w:sz="0" w:space="0" w:color="auto"/>
          <w:bottom w:val="none" w:sz="0" w:space="0" w:color="auto"/>
        </w:pBdr>
        <w:spacing w:before="100"/>
      </w:pPr>
      <w:r w:rsidRPr="0062582F">
        <w:br w:type="column"/>
      </w:r>
      <w:r w:rsidRPr="0062582F">
        <w:lastRenderedPageBreak/>
        <w:t>An entity shall disclose, in the summary of significant accounting policies or other notes, the judgements, apart from those involving estimations, that management has made in the process of applying the entity</w:t>
      </w:r>
      <w:r w:rsidR="005A4BB0">
        <w:t>’</w:t>
      </w:r>
      <w:r w:rsidRPr="0062582F">
        <w:t>s accounting policies and that have the most significant effect on the amounts recognised in the financial statements.</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101.123</w:t>
      </w:r>
    </w:p>
    <w:p w:rsidR="004843DB" w:rsidRPr="0062582F" w:rsidRDefault="004843DB" w:rsidP="004843DB">
      <w:pPr>
        <w:pStyle w:val="CommentaryText"/>
        <w:pBdr>
          <w:top w:val="none" w:sz="0" w:space="0" w:color="auto"/>
          <w:bottom w:val="none" w:sz="0" w:space="0" w:color="auto"/>
        </w:pBdr>
        <w:spacing w:before="100"/>
        <w:rPr>
          <w:noProof w:val="0"/>
        </w:rPr>
      </w:pPr>
      <w:r w:rsidRPr="0062582F">
        <w:br w:type="column"/>
      </w:r>
      <w:r w:rsidRPr="0062582F">
        <w:rPr>
          <w:noProof w:val="0"/>
        </w:rPr>
        <w:lastRenderedPageBreak/>
        <w:t>In the process of applying the entity</w:t>
      </w:r>
      <w:r w:rsidR="005A4BB0">
        <w:rPr>
          <w:noProof w:val="0"/>
        </w:rPr>
        <w:t>’</w:t>
      </w:r>
      <w:r w:rsidRPr="0062582F">
        <w:rPr>
          <w:noProof w:val="0"/>
        </w:rPr>
        <w:t>s accounting policies, management makes various judgements, apart from those involving estimations, that can significantly affect the amounts recognised in the financial statements. For example, management makes judgements in determining:</w:t>
      </w:r>
    </w:p>
    <w:p w:rsidR="004843DB" w:rsidRPr="0062582F" w:rsidRDefault="004843DB" w:rsidP="004843DB">
      <w:pPr>
        <w:pStyle w:val="CommentaryTextIndent"/>
        <w:pBdr>
          <w:top w:val="none" w:sz="0" w:space="0" w:color="auto"/>
          <w:bottom w:val="none" w:sz="0" w:space="0" w:color="auto"/>
        </w:pBdr>
        <w:spacing w:before="80"/>
      </w:pPr>
      <w:r w:rsidRPr="0062582F">
        <w:t>(a)</w:t>
      </w:r>
      <w:r w:rsidRPr="0062582F">
        <w:tab/>
        <w:t>whether financial assets are held</w:t>
      </w:r>
      <w:r w:rsidR="005A4BB0">
        <w:noBreakHyphen/>
      </w:r>
      <w:r w:rsidRPr="0062582F">
        <w:t>to</w:t>
      </w:r>
      <w:r w:rsidR="005A4BB0">
        <w:noBreakHyphen/>
      </w:r>
      <w:r w:rsidRPr="0062582F">
        <w:t>maturity investments;</w:t>
      </w:r>
    </w:p>
    <w:p w:rsidR="004843DB" w:rsidRPr="0062582F" w:rsidRDefault="004843DB" w:rsidP="004843DB">
      <w:pPr>
        <w:pStyle w:val="CommentaryTextIndent"/>
        <w:pBdr>
          <w:top w:val="none" w:sz="0" w:space="0" w:color="auto"/>
          <w:bottom w:val="none" w:sz="0" w:space="0" w:color="auto"/>
        </w:pBdr>
        <w:spacing w:before="80"/>
      </w:pPr>
      <w:r w:rsidRPr="0062582F">
        <w:t>(b)</w:t>
      </w:r>
      <w:r w:rsidRPr="0062582F">
        <w:tab/>
        <w:t>when substantially all the significant risks and rewards of ownership of financial assets and lease assets are transferred to other entities;</w:t>
      </w:r>
    </w:p>
    <w:p w:rsidR="004843DB" w:rsidRPr="0062582F" w:rsidRDefault="004843DB" w:rsidP="004843DB">
      <w:pPr>
        <w:pStyle w:val="CommentaryTextIndent"/>
        <w:pBdr>
          <w:top w:val="none" w:sz="0" w:space="0" w:color="auto"/>
          <w:bottom w:val="none" w:sz="0" w:space="0" w:color="auto"/>
        </w:pBdr>
        <w:spacing w:before="80"/>
      </w:pPr>
      <w:r w:rsidRPr="0062582F">
        <w:t>(c)</w:t>
      </w:r>
      <w:r w:rsidRPr="0062582F">
        <w:tab/>
        <w:t>whether, in substance, particular sales of goods are financing arrangements and therefore do not give rise to income; and</w:t>
      </w:r>
    </w:p>
    <w:p w:rsidR="004843DB" w:rsidRPr="0062582F" w:rsidRDefault="004843DB" w:rsidP="004843DB">
      <w:pPr>
        <w:pStyle w:val="CommentaryTextIndent"/>
        <w:pBdr>
          <w:top w:val="none" w:sz="0" w:space="0" w:color="auto"/>
          <w:bottom w:val="none" w:sz="0" w:space="0" w:color="auto"/>
        </w:pBdr>
        <w:spacing w:before="80"/>
      </w:pPr>
      <w:r w:rsidRPr="0062582F">
        <w:t>(d)</w:t>
      </w:r>
      <w:r w:rsidRPr="0062582F">
        <w:tab/>
        <w:t>whether the substance of the relationship between the entity and a special purpose entity indicates that the special purpose entity is controlled by the entity.</w:t>
      </w:r>
    </w:p>
    <w:p w:rsidR="004843DB" w:rsidRPr="0062582F" w:rsidRDefault="004843DB" w:rsidP="004843DB">
      <w:pPr>
        <w:pStyle w:val="CommentaryHeading2"/>
      </w:pPr>
      <w:r w:rsidRPr="0062582F">
        <w:t>Key sources of estimation uncertainty</w:t>
      </w: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101.125</w:t>
      </w:r>
    </w:p>
    <w:p w:rsidR="004843DB" w:rsidRPr="0062582F" w:rsidRDefault="004843DB" w:rsidP="004843DB">
      <w:pPr>
        <w:pStyle w:val="CommentaryText"/>
        <w:pBdr>
          <w:top w:val="none" w:sz="0" w:space="0" w:color="auto"/>
          <w:bottom w:val="none" w:sz="0" w:space="0" w:color="auto"/>
        </w:pBdr>
        <w:spacing w:before="100"/>
      </w:pPr>
      <w:r w:rsidRPr="0062582F">
        <w:br w:type="column"/>
      </w:r>
      <w:r w:rsidRPr="0062582F">
        <w:lastRenderedPageBreak/>
        <w:t>An entity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rsidR="004843DB" w:rsidRPr="0062582F" w:rsidRDefault="004843DB" w:rsidP="004843DB">
      <w:pPr>
        <w:pStyle w:val="CommentaryTextIndent"/>
        <w:pBdr>
          <w:top w:val="none" w:sz="0" w:space="0" w:color="auto"/>
          <w:bottom w:val="none" w:sz="0" w:space="0" w:color="auto"/>
        </w:pBdr>
        <w:spacing w:before="80"/>
      </w:pPr>
      <w:r w:rsidRPr="0062582F">
        <w:t>(a)</w:t>
      </w:r>
      <w:r w:rsidRPr="0062582F">
        <w:tab/>
        <w:t>their nature; and</w:t>
      </w:r>
    </w:p>
    <w:p w:rsidR="004843DB" w:rsidRPr="0062582F" w:rsidRDefault="004843DB" w:rsidP="004843DB">
      <w:pPr>
        <w:pStyle w:val="CommentaryTextIndent"/>
        <w:pBdr>
          <w:top w:val="none" w:sz="0" w:space="0" w:color="auto"/>
          <w:bottom w:val="none" w:sz="0" w:space="0" w:color="auto"/>
        </w:pBdr>
        <w:spacing w:before="80"/>
      </w:pPr>
      <w:r w:rsidRPr="0062582F">
        <w:t>(b)</w:t>
      </w:r>
      <w:r w:rsidRPr="0062582F">
        <w:tab/>
        <w:t>their carrying amount at the end of the reporting period.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101.126</w:t>
      </w:r>
    </w:p>
    <w:p w:rsidR="004843DB" w:rsidRPr="0062582F" w:rsidRDefault="004843DB" w:rsidP="004843DB">
      <w:pPr>
        <w:pStyle w:val="Reference"/>
        <w:rPr>
          <w:lang w:val="en-AU"/>
        </w:rPr>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20"/>
        <w:rPr>
          <w:lang w:val="en-AU"/>
        </w:rPr>
      </w:pPr>
      <w:r w:rsidRPr="0062582F">
        <w:rPr>
          <w:lang w:val="en-AU"/>
        </w:rPr>
        <w:t>AASB 101.128</w:t>
      </w:r>
    </w:p>
    <w:p w:rsidR="004843DB" w:rsidRPr="0062582F" w:rsidRDefault="004843DB" w:rsidP="004843DB">
      <w:pPr>
        <w:pStyle w:val="CommentaryText"/>
        <w:pBdr>
          <w:top w:val="none" w:sz="0" w:space="0" w:color="auto"/>
        </w:pBdr>
      </w:pPr>
      <w:r w:rsidRPr="0062582F">
        <w:br w:type="column"/>
      </w:r>
      <w:r w:rsidRPr="0062582F">
        <w:lastRenderedPageBreak/>
        <w:t>Determining the carrying amounts of some assets and liabilities requires estimation of the effects of uncertain future events on those assets and liabilities at the end of the reporting period.</w:t>
      </w:r>
    </w:p>
    <w:p w:rsidR="004843DB" w:rsidRPr="0062582F" w:rsidRDefault="004843DB" w:rsidP="004843DB">
      <w:pPr>
        <w:pStyle w:val="CommentaryText"/>
        <w:pBdr>
          <w:top w:val="none" w:sz="0" w:space="0" w:color="auto"/>
        </w:pBdr>
        <w:spacing w:before="80"/>
        <w:rPr>
          <w:rFonts w:ascii="Calibri" w:hAnsi="Calibri" w:cs="Arial Narrow"/>
          <w:sz w:val="16"/>
          <w:szCs w:val="16"/>
        </w:rPr>
      </w:pPr>
      <w:r w:rsidRPr="0062582F">
        <w:t>The disclosures in the paragraph above are not required for assets and liabilities with a significant risk that their carrying amounts might change materially within the next financial year if, at the end of the reporting period, they are measured at fair value based on recently observed market prices.</w:t>
      </w:r>
      <w:r w:rsidRPr="0062582F">
        <w:br w:type="page"/>
      </w:r>
    </w:p>
    <w:p w:rsidR="004843DB" w:rsidRPr="0062582F" w:rsidRDefault="004843DB" w:rsidP="004843DB">
      <w:pPr>
        <w:pStyle w:val="SmallLine"/>
      </w:pPr>
      <w:r w:rsidRPr="0062582F">
        <w:lastRenderedPageBreak/>
        <w:br w:type="column"/>
      </w:r>
    </w:p>
    <w:p w:rsidR="004843DB" w:rsidRPr="0062582F" w:rsidRDefault="004843DB" w:rsidP="004843DB">
      <w:pPr>
        <w:pStyle w:val="CommentaryHeading"/>
        <w:rPr>
          <w:i/>
          <w:iCs/>
        </w:rPr>
      </w:pPr>
      <w:r w:rsidRPr="0062582F">
        <w:t xml:space="preserve">Commentary – Summary of significant accounting policies </w:t>
      </w:r>
      <w:r w:rsidRPr="0062582F">
        <w:rPr>
          <w:i/>
          <w:iCs/>
        </w:rPr>
        <w:t>(continued)</w:t>
      </w:r>
    </w:p>
    <w:p w:rsidR="004843DB" w:rsidRPr="0062582F" w:rsidRDefault="004843DB" w:rsidP="004843DB">
      <w:pPr>
        <w:pStyle w:val="SmallLineBlue"/>
        <w:pBdr>
          <w:bottom w:val="none" w:sz="0" w:space="0" w:color="auto"/>
        </w:pBdr>
      </w:pPr>
    </w:p>
    <w:p w:rsidR="004843DB" w:rsidRPr="0062582F" w:rsidRDefault="004843DB" w:rsidP="004843DB">
      <w:pPr>
        <w:pStyle w:val="Reference"/>
        <w:rPr>
          <w:lang w:val="en-AU"/>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101.119</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In deciding whether a particular accounting policy should be disclosed, management considers whether disclosure would assist users in understanding how transactions, other events and conditions are reflected in the reported financial performance and financial position. Disclosure of particular accounting policies is especially useful to users when those policies are selected from alternatives allowed in AASs. Some AASs specifically require disclosure of particular accounting policies, including choices made by management between different policies allowed by an AAS.</w:t>
      </w:r>
    </w:p>
    <w:p w:rsidR="004843DB" w:rsidRPr="0062582F" w:rsidRDefault="004843DB" w:rsidP="004843DB">
      <w:pPr>
        <w:pStyle w:val="CommentaryText"/>
        <w:pBdr>
          <w:top w:val="none" w:sz="0" w:space="0" w:color="auto"/>
          <w:bottom w:val="none" w:sz="0" w:space="0" w:color="auto"/>
        </w:pBdr>
        <w:rPr>
          <w:rFonts w:ascii="Calibri" w:hAnsi="Calibri" w:cs="Arial"/>
          <w:b/>
          <w:bCs/>
          <w:i/>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spacing w:before="200"/>
      </w:pPr>
    </w:p>
    <w:p w:rsidR="004843DB" w:rsidRPr="0062582F" w:rsidRDefault="004843DB" w:rsidP="004843DB">
      <w:pPr>
        <w:pStyle w:val="CommentaryHeading2"/>
      </w:pPr>
      <w:r w:rsidRPr="0062582F">
        <w:br w:type="column"/>
      </w:r>
      <w:r w:rsidRPr="0062582F">
        <w:lastRenderedPageBreak/>
        <w:t>Fair value measurement</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13.86</w:t>
      </w:r>
      <w:r w:rsidR="005A4BB0">
        <w:noBreakHyphen/>
      </w:r>
      <w:r w:rsidRPr="0062582F">
        <w:t>89</w:t>
      </w:r>
    </w:p>
    <w:p w:rsidR="004843DB" w:rsidRPr="0062582F" w:rsidRDefault="004843DB" w:rsidP="004843DB">
      <w:pPr>
        <w:pStyle w:val="CommentaryText"/>
        <w:pBdr>
          <w:top w:val="none" w:sz="0" w:space="0" w:color="auto"/>
        </w:pBdr>
      </w:pPr>
      <w:r w:rsidRPr="0062582F">
        <w:br w:type="column"/>
      </w:r>
      <w:r w:rsidRPr="0062582F">
        <w:lastRenderedPageBreak/>
        <w:t xml:space="preserve">Fair value is the price that would be received to sell an asset or paid to transfer a liability in an orderly transaction between market participants at the measurement date. </w:t>
      </w:r>
    </w:p>
    <w:p w:rsidR="004843DB" w:rsidRPr="0062582F" w:rsidRDefault="004843DB" w:rsidP="004843DB">
      <w:pPr>
        <w:pStyle w:val="CommentaryText"/>
        <w:pBdr>
          <w:top w:val="none" w:sz="0" w:space="0" w:color="auto"/>
        </w:pBdr>
      </w:pPr>
      <w:r w:rsidRPr="0062582F">
        <w:t>The fair value measurement is based on the following assumptions:</w:t>
      </w:r>
    </w:p>
    <w:p w:rsidR="004843DB" w:rsidRPr="0062582F" w:rsidRDefault="004843DB" w:rsidP="004843DB">
      <w:pPr>
        <w:pStyle w:val="CommentaryBullet"/>
        <w:pBdr>
          <w:bottom w:val="single" w:sz="4" w:space="1" w:color="0000FF"/>
        </w:pBdr>
        <w:rPr>
          <w:noProof/>
        </w:rPr>
      </w:pPr>
      <w:r w:rsidRPr="0062582F">
        <w:rPr>
          <w:noProof/>
        </w:rPr>
        <w:t xml:space="preserve">that the transaction to sell the asset or transfer the liability takes place either in the principal market (or the most </w:t>
      </w:r>
      <w:r w:rsidRPr="0062582F">
        <w:t>advantageous market, in the absence of the principal market), either of which must be accessible to the entity</w:t>
      </w:r>
      <w:r w:rsidRPr="0062582F">
        <w:rPr>
          <w:noProof/>
        </w:rPr>
        <w:t xml:space="preserve"> at the measurement date; and</w:t>
      </w:r>
    </w:p>
    <w:p w:rsidR="004843DB" w:rsidRPr="0062582F" w:rsidRDefault="004843DB" w:rsidP="004843DB">
      <w:pPr>
        <w:pStyle w:val="CommentaryBullet"/>
        <w:pBdr>
          <w:bottom w:val="single" w:sz="4" w:space="1" w:color="0000FF"/>
        </w:pBdr>
      </w:pPr>
      <w:r w:rsidRPr="0062582F">
        <w:t>that the entity uses the same valuation assumptions that market participants would use when pricing the asset or liability, assuming that market participants act in their economic best interest.</w:t>
      </w:r>
    </w:p>
    <w:p w:rsidR="004843DB" w:rsidRPr="0062582F" w:rsidRDefault="004843DB" w:rsidP="004843DB">
      <w:pPr>
        <w:pStyle w:val="CommentaryText"/>
        <w:pBdr>
          <w:top w:val="none" w:sz="0" w:space="0" w:color="auto"/>
        </w:pBdr>
      </w:pPr>
      <w:r w:rsidRPr="0062582F">
        <w:t>The fair value measurement of a non</w:t>
      </w:r>
      <w:r w:rsidR="005A4BB0">
        <w:noBreakHyphen/>
      </w:r>
      <w:r w:rsidRPr="0062582F">
        <w:t>financial asset takes into account a market participant</w:t>
      </w:r>
      <w:r w:rsidR="005A4BB0">
        <w:t>’</w:t>
      </w:r>
      <w:r w:rsidRPr="0062582F">
        <w:t>s ability to generate economic benefits by using the asset in its highest and best use or by selling it to another market participant that would use the asset in its highest and best use.</w:t>
      </w:r>
    </w:p>
    <w:p w:rsidR="004843DB" w:rsidRPr="0062582F" w:rsidRDefault="004843DB" w:rsidP="004843DB">
      <w:pPr>
        <w:pStyle w:val="CommentaryHeading2"/>
        <w:pBdr>
          <w:bottom w:val="single" w:sz="4" w:space="1" w:color="0000FF"/>
        </w:pBdr>
      </w:pPr>
      <w:r w:rsidRPr="0062582F">
        <w:t>Consideration of highest and best use for non</w:t>
      </w:r>
      <w:r w:rsidR="005A4BB0">
        <w:noBreakHyphen/>
      </w:r>
      <w:r w:rsidRPr="0062582F">
        <w:t>financial physical assets</w:t>
      </w:r>
    </w:p>
    <w:p w:rsidR="004843DB" w:rsidRPr="0062582F" w:rsidRDefault="004843DB" w:rsidP="004843DB">
      <w:pPr>
        <w:pStyle w:val="CommentaryText"/>
        <w:pBdr>
          <w:top w:val="none" w:sz="0" w:space="0" w:color="auto"/>
        </w:pBdr>
      </w:pPr>
      <w:r w:rsidRPr="0062582F">
        <w:t>Judgements about highest and best use must take into account the characteristics of the assets concerned, including restrictions on the use and disposal of assets arising from the asset</w:t>
      </w:r>
      <w:r w:rsidR="005A4BB0">
        <w:t>’</w:t>
      </w:r>
      <w:r w:rsidRPr="0062582F">
        <w:t xml:space="preserve">s physical nature and any applicable legislative/contractual arrangements. </w:t>
      </w:r>
    </w:p>
    <w:p w:rsidR="004843DB" w:rsidRPr="0062582F" w:rsidRDefault="004843DB" w:rsidP="004843DB">
      <w:pPr>
        <w:pStyle w:val="CommentaryText"/>
        <w:pBdr>
          <w:top w:val="none" w:sz="0" w:space="0" w:color="auto"/>
        </w:pBdr>
      </w:pPr>
      <w:r w:rsidRPr="0062582F">
        <w:t>In considering the highest and best use (HBU) for non</w:t>
      </w:r>
      <w:r w:rsidR="005A4BB0">
        <w:noBreakHyphen/>
      </w:r>
      <w:r w:rsidRPr="0062582F">
        <w:t>financial physical assets, valuers are probably best placed to determine HBU in consultation with entities. Entities and their valuers therefore need to have a shared understanding of the circumstances of the assets. An entity has to form its own view about a valuer</w:t>
      </w:r>
      <w:r w:rsidR="005A4BB0">
        <w:t>’</w:t>
      </w:r>
      <w:r w:rsidRPr="0062582F">
        <w:t xml:space="preserve">s determination, as the entity is ultimately responsible for what is presented in its audited financial statements. </w:t>
      </w:r>
    </w:p>
    <w:p w:rsidR="004843DB" w:rsidRPr="0062582F" w:rsidRDefault="004843DB" w:rsidP="004843DB">
      <w:pPr>
        <w:pStyle w:val="CommentaryText"/>
        <w:pBdr>
          <w:top w:val="none" w:sz="0" w:space="0" w:color="auto"/>
        </w:pBdr>
      </w:pPr>
      <w:r w:rsidRPr="0062582F">
        <w:t>In accordance with paragraph AASB 13.29, entities can assume the current use of a non</w:t>
      </w:r>
      <w:r w:rsidR="005A4BB0">
        <w:noBreakHyphen/>
      </w:r>
      <w:r w:rsidRPr="0062582F">
        <w:t xml:space="preserve">financial physical asset is its HBU unless market or other factors suggest that a different use by market participants would maximise the value of the asset. </w:t>
      </w:r>
    </w:p>
    <w:p w:rsidR="004843DB" w:rsidRPr="0062582F" w:rsidRDefault="004843DB" w:rsidP="004843DB">
      <w:pPr>
        <w:pStyle w:val="CommentaryText"/>
        <w:pBdr>
          <w:top w:val="none" w:sz="0" w:space="0" w:color="auto"/>
        </w:pBdr>
      </w:pPr>
      <w:r w:rsidRPr="0062582F">
        <w:t>Therefore, an assessment of the HBU will be required when the indicators are triggered within a reporting period, which suggest that the market participants would have perceived an alternative use of an asset that can generate maximum value. Once identified, entities are required to engage with VGV or other independent valuers for formal HBU assessment.</w:t>
      </w:r>
    </w:p>
    <w:p w:rsidR="004843DB" w:rsidRPr="0062582F" w:rsidRDefault="004843DB" w:rsidP="004843DB">
      <w:pPr>
        <w:pStyle w:val="CommentaryText"/>
        <w:pBdr>
          <w:top w:val="none" w:sz="0" w:space="0" w:color="auto"/>
        </w:pBdr>
      </w:pPr>
      <w:r w:rsidRPr="0062582F">
        <w:t xml:space="preserve">These indicators, as a minimum, include: </w:t>
      </w:r>
    </w:p>
    <w:p w:rsidR="004843DB" w:rsidRPr="0062582F" w:rsidRDefault="004843DB" w:rsidP="004843DB">
      <w:pPr>
        <w:pStyle w:val="CommentaryHeading3"/>
        <w:pBdr>
          <w:top w:val="none" w:sz="0" w:space="0" w:color="auto"/>
        </w:pBdr>
      </w:pPr>
      <w:r w:rsidRPr="0062582F">
        <w:t>External indicators</w:t>
      </w:r>
    </w:p>
    <w:p w:rsidR="004843DB" w:rsidRPr="0062582F" w:rsidRDefault="004843DB" w:rsidP="004843DB">
      <w:pPr>
        <w:pStyle w:val="CommentaryBullet"/>
        <w:pBdr>
          <w:bottom w:val="single" w:sz="4" w:space="1" w:color="0000FF"/>
        </w:pBdr>
        <w:rPr>
          <w:noProof/>
        </w:rPr>
      </w:pPr>
      <w:r w:rsidRPr="0062582F">
        <w:rPr>
          <w:noProof/>
        </w:rPr>
        <w:t>changed Acts, regulation, local law or such instrument which affects or may affect the use or development of the asset;</w:t>
      </w:r>
    </w:p>
    <w:p w:rsidR="004843DB" w:rsidRPr="0062582F" w:rsidRDefault="004843DB" w:rsidP="004843DB">
      <w:pPr>
        <w:pStyle w:val="CommentaryBullet"/>
        <w:pBdr>
          <w:bottom w:val="single" w:sz="4" w:space="1" w:color="0000FF"/>
        </w:pBdr>
        <w:rPr>
          <w:noProof/>
        </w:rPr>
      </w:pPr>
      <w:r w:rsidRPr="0062582F">
        <w:rPr>
          <w:noProof/>
        </w:rPr>
        <w:t>changes in planning scheme, including zones, reservations, overlays that would affect or remove the restrictions imposed on the assets</w:t>
      </w:r>
      <w:r w:rsidR="005A4BB0">
        <w:rPr>
          <w:noProof/>
        </w:rPr>
        <w:t>’</w:t>
      </w:r>
      <w:r w:rsidRPr="0062582F">
        <w:rPr>
          <w:noProof/>
        </w:rPr>
        <w:t xml:space="preserve"> use;</w:t>
      </w:r>
    </w:p>
    <w:p w:rsidR="004843DB" w:rsidRPr="0062582F" w:rsidRDefault="004843DB" w:rsidP="004843DB">
      <w:pPr>
        <w:pStyle w:val="CommentaryBullet"/>
        <w:pBdr>
          <w:bottom w:val="single" w:sz="4" w:space="1" w:color="0000FF"/>
        </w:pBdr>
        <w:rPr>
          <w:noProof/>
        </w:rPr>
      </w:pPr>
      <w:r w:rsidRPr="0062582F">
        <w:rPr>
          <w:noProof/>
        </w:rPr>
        <w:t>existence of government policies (e.g. Government Gazette)/public announcements with expectations that an asset will be used in certain way to support the service delivery;</w:t>
      </w:r>
    </w:p>
    <w:p w:rsidR="004843DB" w:rsidRPr="0062582F" w:rsidRDefault="004843DB" w:rsidP="004843DB">
      <w:pPr>
        <w:pStyle w:val="CommentaryBullet"/>
        <w:pBdr>
          <w:bottom w:val="single" w:sz="4" w:space="1" w:color="0000FF"/>
        </w:pBdr>
        <w:rPr>
          <w:noProof/>
        </w:rPr>
      </w:pPr>
      <w:r w:rsidRPr="0062582F">
        <w:rPr>
          <w:noProof/>
        </w:rPr>
        <w:t>government decisions declaring the asset</w:t>
      </w:r>
      <w:r w:rsidR="005A4BB0">
        <w:rPr>
          <w:noProof/>
        </w:rPr>
        <w:t>’</w:t>
      </w:r>
      <w:r w:rsidRPr="0062582F">
        <w:rPr>
          <w:noProof/>
        </w:rPr>
        <w:t>s redundancy or surplus; and</w:t>
      </w:r>
    </w:p>
    <w:p w:rsidR="004843DB" w:rsidRPr="0062582F" w:rsidRDefault="004843DB" w:rsidP="004843DB">
      <w:pPr>
        <w:pStyle w:val="CommentaryBullet"/>
        <w:pBdr>
          <w:bottom w:val="single" w:sz="4" w:space="1" w:color="0000FF"/>
        </w:pBdr>
        <w:rPr>
          <w:noProof/>
        </w:rPr>
      </w:pPr>
      <w:r w:rsidRPr="0062582F">
        <w:rPr>
          <w:noProof/>
        </w:rPr>
        <w:t>social</w:t>
      </w:r>
      <w:r w:rsidR="005A4BB0">
        <w:rPr>
          <w:noProof/>
        </w:rPr>
        <w:noBreakHyphen/>
      </w:r>
      <w:r w:rsidRPr="0062582F">
        <w:rPr>
          <w:noProof/>
        </w:rPr>
        <w:t>environmental evidences indicating changes in public expectations of the assets</w:t>
      </w:r>
      <w:r w:rsidR="005A4BB0">
        <w:rPr>
          <w:noProof/>
        </w:rPr>
        <w:t>’</w:t>
      </w:r>
      <w:r w:rsidRPr="0062582F">
        <w:rPr>
          <w:noProof/>
        </w:rPr>
        <w:t xml:space="preserve"> use.</w:t>
      </w:r>
    </w:p>
    <w:p w:rsidR="004843DB" w:rsidRPr="0062582F" w:rsidRDefault="004843DB" w:rsidP="004843DB">
      <w:pPr>
        <w:pStyle w:val="ReferenceRed"/>
        <w:spacing w:before="0"/>
      </w:pPr>
      <w:r w:rsidRPr="0062582F">
        <w:br w:type="column"/>
      </w:r>
    </w:p>
    <w:p w:rsidR="004843DB" w:rsidRPr="0062582F" w:rsidRDefault="004843DB" w:rsidP="004843DB">
      <w:pPr>
        <w:pStyle w:val="SmallLine"/>
        <w:rPr>
          <w:noProof/>
        </w:rPr>
      </w:pPr>
      <w:r w:rsidRPr="0062582F">
        <w:rPr>
          <w:noProof/>
        </w:rPr>
        <w:br w:type="column"/>
      </w:r>
    </w:p>
    <w:p w:rsidR="004843DB" w:rsidRDefault="004843DB" w:rsidP="004843DB">
      <w:pPr>
        <w:pStyle w:val="CommentaryHeading"/>
        <w:rPr>
          <w:i/>
        </w:rPr>
      </w:pPr>
      <w:r w:rsidRPr="0062582F">
        <w:t xml:space="preserve">Commentary – Summary of significant accounting policies </w:t>
      </w:r>
      <w:r w:rsidRPr="0062582F">
        <w:rPr>
          <w:i/>
        </w:rPr>
        <w:t>(continued)</w:t>
      </w:r>
    </w:p>
    <w:p w:rsidR="004843DB" w:rsidRPr="0062582F" w:rsidRDefault="004843DB" w:rsidP="004843DB">
      <w:pPr>
        <w:pStyle w:val="SmallLineBlue"/>
      </w:pPr>
    </w:p>
    <w:p w:rsidR="004843DB" w:rsidRPr="0062582F" w:rsidRDefault="004843DB" w:rsidP="004843DB">
      <w:pPr>
        <w:pStyle w:val="SmallLineBlue"/>
      </w:pPr>
    </w:p>
    <w:p w:rsidR="004843DB" w:rsidRPr="0062582F" w:rsidRDefault="004843DB" w:rsidP="004843DB">
      <w:pPr>
        <w:pStyle w:val="CommentaryBullet"/>
        <w:rPr>
          <w:noProof/>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rPr>
          <w:noProof/>
        </w:rPr>
      </w:pPr>
    </w:p>
    <w:p w:rsidR="004843DB" w:rsidRPr="0062582F" w:rsidRDefault="004843DB" w:rsidP="004843DB">
      <w:pPr>
        <w:pStyle w:val="CommentaryHeading3"/>
        <w:pBdr>
          <w:top w:val="none" w:sz="0" w:space="0" w:color="auto"/>
          <w:bottom w:val="none" w:sz="0" w:space="0" w:color="auto"/>
        </w:pBdr>
      </w:pPr>
      <w:r w:rsidRPr="0062582F">
        <w:br w:type="column"/>
      </w:r>
      <w:r w:rsidRPr="0062582F">
        <w:lastRenderedPageBreak/>
        <w:t>Internal indicators</w:t>
      </w:r>
    </w:p>
    <w:p w:rsidR="004843DB" w:rsidRPr="0062582F" w:rsidRDefault="004843DB" w:rsidP="004843DB">
      <w:pPr>
        <w:pStyle w:val="CommentaryBullet"/>
        <w:pBdr>
          <w:bottom w:val="single" w:sz="4" w:space="1" w:color="0000FF"/>
        </w:pBdr>
        <w:rPr>
          <w:noProof/>
        </w:rPr>
      </w:pPr>
      <w:r w:rsidRPr="0062582F">
        <w:rPr>
          <w:noProof/>
        </w:rPr>
        <w:t>where an asset use is within an entity</w:t>
      </w:r>
      <w:r w:rsidR="005A4BB0">
        <w:rPr>
          <w:noProof/>
        </w:rPr>
        <w:t>’</w:t>
      </w:r>
      <w:r w:rsidRPr="0062582F">
        <w:rPr>
          <w:noProof/>
        </w:rPr>
        <w:t xml:space="preserve">s discretion, any plans or intentions that have been formally communicated for a different use of the asset from its past use; </w:t>
      </w:r>
    </w:p>
    <w:p w:rsidR="004843DB" w:rsidRPr="0062582F" w:rsidRDefault="004843DB" w:rsidP="004843DB">
      <w:pPr>
        <w:pStyle w:val="CommentaryBullet"/>
        <w:pBdr>
          <w:bottom w:val="single" w:sz="4" w:space="1" w:color="0000FF"/>
        </w:pBdr>
        <w:rPr>
          <w:noProof/>
        </w:rPr>
      </w:pPr>
      <w:r w:rsidRPr="0062582F">
        <w:rPr>
          <w:noProof/>
        </w:rPr>
        <w:t>evidence that suggest the current use of an asset is no longer core to requirements to deliver an entity</w:t>
      </w:r>
      <w:r w:rsidR="005A4BB0">
        <w:rPr>
          <w:noProof/>
        </w:rPr>
        <w:t>’</w:t>
      </w:r>
      <w:r w:rsidRPr="0062582F">
        <w:rPr>
          <w:noProof/>
        </w:rPr>
        <w:t>s service obligation; and</w:t>
      </w:r>
    </w:p>
    <w:p w:rsidR="004843DB" w:rsidRPr="0062582F" w:rsidRDefault="004843DB" w:rsidP="004843DB">
      <w:pPr>
        <w:pStyle w:val="CommentaryBullet"/>
        <w:pBdr>
          <w:bottom w:val="single" w:sz="4" w:space="1" w:color="0000FF"/>
        </w:pBdr>
        <w:rPr>
          <w:noProof/>
        </w:rPr>
      </w:pPr>
      <w:r w:rsidRPr="0062582F">
        <w:rPr>
          <w:noProof/>
        </w:rPr>
        <w:t>evidence that suggests that the asset might be sold or demolished as reaching the late stage of an asset</w:t>
      </w:r>
      <w:r w:rsidR="005A4BB0">
        <w:rPr>
          <w:noProof/>
        </w:rPr>
        <w:t>’</w:t>
      </w:r>
      <w:r w:rsidRPr="0062582F">
        <w:rPr>
          <w:noProof/>
        </w:rPr>
        <w:t>s life cycle.</w:t>
      </w:r>
    </w:p>
    <w:p w:rsidR="004843DB" w:rsidRPr="0062582F" w:rsidRDefault="004843DB" w:rsidP="004843DB">
      <w:pPr>
        <w:pStyle w:val="CommentaryText"/>
        <w:pBdr>
          <w:top w:val="none" w:sz="0" w:space="0" w:color="auto"/>
        </w:pBdr>
      </w:pPr>
      <w:r w:rsidRPr="0062582F">
        <w:t>In addition, entities need to assess the HBU as part of the five</w:t>
      </w:r>
      <w:r w:rsidR="005A4BB0">
        <w:noBreakHyphen/>
      </w:r>
      <w:r w:rsidRPr="0062582F">
        <w:t>year review for fair value of non</w:t>
      </w:r>
      <w:r w:rsidR="005A4BB0">
        <w:noBreakHyphen/>
      </w:r>
      <w:r w:rsidRPr="0062582F">
        <w:t xml:space="preserve">financial physical assets. This is consistent with the current requirements in </w:t>
      </w:r>
      <w:r w:rsidRPr="0062582F">
        <w:br/>
        <w:t xml:space="preserve">FRD 103F </w:t>
      </w:r>
      <w:r w:rsidRPr="0062582F">
        <w:rPr>
          <w:i/>
        </w:rPr>
        <w:t>Non</w:t>
      </w:r>
      <w:r w:rsidR="005A4BB0">
        <w:rPr>
          <w:i/>
        </w:rPr>
        <w:noBreakHyphen/>
      </w:r>
      <w:r w:rsidRPr="0062582F">
        <w:rPr>
          <w:i/>
        </w:rPr>
        <w:t>financial phyiscal assets</w:t>
      </w:r>
      <w:r w:rsidRPr="0062582F">
        <w:t xml:space="preserve"> and FRD 107A </w:t>
      </w:r>
      <w:r w:rsidRPr="0062582F">
        <w:rPr>
          <w:i/>
        </w:rPr>
        <w:t>Investment Properties</w:t>
      </w:r>
      <w:r w:rsidRPr="0062582F">
        <w:t>.</w:t>
      </w:r>
    </w:p>
    <w:p w:rsidR="004843DB" w:rsidRPr="0062582F" w:rsidRDefault="004843DB" w:rsidP="004843DB">
      <w:pPr>
        <w:pStyle w:val="CommentaryHeading2"/>
        <w:pBdr>
          <w:bottom w:val="single" w:sz="4" w:space="1" w:color="0000FF"/>
        </w:pBdr>
      </w:pPr>
      <w:r w:rsidRPr="0062582F">
        <w:t xml:space="preserve">Valuation hierarchy </w:t>
      </w:r>
    </w:p>
    <w:p w:rsidR="004843DB" w:rsidRPr="0062582F" w:rsidRDefault="004843DB" w:rsidP="004843DB">
      <w:pPr>
        <w:pStyle w:val="CommentaryText"/>
        <w:pBdr>
          <w:top w:val="none" w:sz="0" w:space="0" w:color="auto"/>
        </w:pBdr>
      </w:pPr>
      <w:r w:rsidRPr="0062582F">
        <w:t>Entities need to use valuation techniques that are appropriate for the circumstances and where there is sufficient data available to measure fair value, maximising the use of relevant observable inputs and minimising the use of unobservable inputs.</w:t>
      </w:r>
    </w:p>
    <w:p w:rsidR="004843DB" w:rsidRPr="0062582F" w:rsidRDefault="004843DB" w:rsidP="004843DB">
      <w:pPr>
        <w:pStyle w:val="CommentaryText"/>
        <w:pBdr>
          <w:top w:val="none" w:sz="0" w:space="0" w:color="auto"/>
        </w:pBdr>
      </w:pPr>
      <w:r w:rsidRPr="0062582F">
        <w:t xml:space="preserve">All assets and liabilities for which fair value is measured or disclosed in the financial statements are categorised within the fair value hierarchy. It is based on the lowest level input that is significant to the fair value measurement as a whole: </w:t>
      </w:r>
    </w:p>
    <w:p w:rsidR="004843DB" w:rsidRPr="0062582F" w:rsidRDefault="004843DB" w:rsidP="004843DB">
      <w:pPr>
        <w:pStyle w:val="CommentaryBullet"/>
        <w:pBdr>
          <w:bottom w:val="single" w:sz="4" w:space="1" w:color="0000FF"/>
        </w:pBdr>
        <w:rPr>
          <w:noProof/>
        </w:rPr>
      </w:pPr>
      <w:r w:rsidRPr="0062582F">
        <w:rPr>
          <w:noProof/>
        </w:rPr>
        <w:t xml:space="preserve">Level 1 – quoted (unadjusted) market prices in active markets for identical assets or liabilities; </w:t>
      </w:r>
    </w:p>
    <w:p w:rsidR="004843DB" w:rsidRPr="0062582F" w:rsidRDefault="004843DB" w:rsidP="004843DB">
      <w:pPr>
        <w:pStyle w:val="CommentaryBullet"/>
        <w:pBdr>
          <w:bottom w:val="single" w:sz="4" w:space="1" w:color="0000FF"/>
        </w:pBdr>
        <w:rPr>
          <w:noProof/>
        </w:rPr>
      </w:pPr>
      <w:r w:rsidRPr="0062582F">
        <w:rPr>
          <w:noProof/>
        </w:rPr>
        <w:t>Level 2 – valuation techniques for which the lowest level input that is significant to the fair value measurement is directly or indirectly observable; and</w:t>
      </w:r>
    </w:p>
    <w:p w:rsidR="004843DB" w:rsidRPr="0062582F" w:rsidRDefault="004843DB" w:rsidP="004843DB">
      <w:pPr>
        <w:pStyle w:val="CommentaryBullet"/>
        <w:pBdr>
          <w:bottom w:val="single" w:sz="4" w:space="1" w:color="0000FF"/>
        </w:pBdr>
        <w:rPr>
          <w:rFonts w:ascii="Calibri" w:hAnsi="Calibri" w:cs="Arial"/>
          <w:b/>
          <w:bCs/>
          <w:i/>
        </w:rPr>
      </w:pPr>
      <w:r w:rsidRPr="0062582F">
        <w:t>Level 3 – valuation techniques for which the lowest level input that is significant to the fair value measurement is unobservable.</w:t>
      </w:r>
    </w:p>
    <w:p w:rsidR="004843DB" w:rsidRPr="0062582F" w:rsidRDefault="004843DB" w:rsidP="004843DB">
      <w:pPr>
        <w:pStyle w:val="CommentaryText"/>
        <w:pBdr>
          <w:top w:val="none" w:sz="0" w:space="0" w:color="auto"/>
        </w:pBdr>
        <w:rPr>
          <w:rFonts w:ascii="Calibri" w:hAnsi="Calibri" w:cs="Arial"/>
          <w:b/>
          <w:bCs/>
          <w:i/>
        </w:rPr>
      </w:pPr>
      <w:r w:rsidRPr="0062582F">
        <w:rPr>
          <w:rFonts w:ascii="Calibri" w:hAnsi="Calibri" w:cs="Arial"/>
          <w:b/>
          <w:bCs/>
          <w:i/>
        </w:rPr>
        <w:t>Identifying unobservable inputs (Level 3) fair value measurements</w:t>
      </w:r>
    </w:p>
    <w:p w:rsidR="004843DB" w:rsidRPr="0062582F" w:rsidRDefault="004843DB" w:rsidP="004843DB">
      <w:pPr>
        <w:pStyle w:val="CommentaryText"/>
        <w:pBdr>
          <w:top w:val="none" w:sz="0" w:space="0" w:color="auto"/>
        </w:pBdr>
      </w:pPr>
      <w:r w:rsidRPr="0062582F">
        <w:t>Level 3 fair value inputs are unobservable valuation inputs for an asset or liability. These inputs require significant judgement and assumptions in deriving fair value for both financial and non</w:t>
      </w:r>
      <w:r w:rsidR="005A4BB0">
        <w:noBreakHyphen/>
      </w:r>
      <w:r w:rsidRPr="0062582F">
        <w:t>financial assets.</w:t>
      </w:r>
    </w:p>
    <w:p w:rsidR="004843DB" w:rsidRPr="0062582F" w:rsidRDefault="004843DB" w:rsidP="004843DB">
      <w:pPr>
        <w:pStyle w:val="CommentaryText"/>
        <w:pBdr>
          <w:top w:val="none" w:sz="0" w:space="0" w:color="auto"/>
        </w:pBdr>
      </w:pPr>
      <w:r w:rsidRPr="0062582F">
        <w:t>Unobservable inputs shall be used to measure fair value to the extent that relevant observable inputs are not available, thereby allowing for situations in which there is little, if any, market activity for the asset or liability at the measurement date. However, the fair value measurement objective remains the same, i.e. an exit price at the measurement date from the perspective of a market participant that holds the asset or owes the liability. Therefore, unobservable inputs shall reflect the assumptions that market participants would use when pricing the asset or liability, including assumptions about risk.</w:t>
      </w:r>
    </w:p>
    <w:p w:rsidR="004843DB" w:rsidRPr="0062582F" w:rsidRDefault="004843DB" w:rsidP="004843DB">
      <w:pPr>
        <w:pStyle w:val="CommentaryText"/>
        <w:pBdr>
          <w:top w:val="none" w:sz="0" w:space="0" w:color="auto"/>
        </w:pBdr>
      </w:pPr>
      <w:r w:rsidRPr="0062582F">
        <w:t>Assumptions about risk include the risk inherent in a particular valuation technique used to measure fair value (such as a pricing model) and the risk inherent in the inputs to the valuation technique. A measurement that does not include an adjustment for risk would not represent a fair value measurement if market participants would include one when pricing the asset or liability, i.e. it might be necessary to include a risk adjustment when there is significant measurement uncertainty. For example, when there has been a significant decrease in the volume or level of activity when compared with normal market activity for the asset or liability, or similar assets or liabilities, and the entity has determined that the transaction price or quoted price does not represent fair value.</w:t>
      </w:r>
    </w:p>
    <w:p w:rsidR="004843DB" w:rsidRPr="0062582F" w:rsidRDefault="004843DB" w:rsidP="004843DB">
      <w:pPr>
        <w:spacing w:before="0" w:line="240" w:lineRule="atLeast"/>
      </w:pPr>
      <w:r w:rsidRPr="0062582F">
        <w:rPr>
          <w:rFonts w:ascii="Calibri" w:hAnsi="Calibri" w:cs="Arial Narrow"/>
          <w:color w:val="FF0000"/>
          <w:sz w:val="16"/>
          <w:szCs w:val="16"/>
          <w:lang w:val="en-GB"/>
        </w:rPr>
        <w:br w:type="column"/>
      </w:r>
    </w:p>
    <w:p w:rsidR="004843DB" w:rsidRPr="0062582F" w:rsidRDefault="004843DB" w:rsidP="004843DB">
      <w:pPr>
        <w:pStyle w:val="SmallLine"/>
      </w:pPr>
      <w:r w:rsidRPr="0062582F">
        <w:br w:type="column"/>
      </w:r>
    </w:p>
    <w:p w:rsidR="004843DB" w:rsidRPr="0062582F" w:rsidRDefault="004843DB" w:rsidP="004843DB">
      <w:pPr>
        <w:pStyle w:val="CommentaryHeading"/>
        <w:rPr>
          <w:i/>
        </w:rPr>
      </w:pPr>
      <w:r w:rsidRPr="0062582F">
        <w:t xml:space="preserve">Commentary – Summary of significant accounting policies </w:t>
      </w:r>
      <w:r w:rsidRPr="0062582F">
        <w:rPr>
          <w:i/>
        </w:rPr>
        <w:t>(continued)</w:t>
      </w:r>
    </w:p>
    <w:p w:rsidR="004843DB" w:rsidRPr="0062582F" w:rsidRDefault="004843DB" w:rsidP="004843DB">
      <w:pPr>
        <w:pStyle w:val="SmallLineBlue"/>
      </w:pP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pP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An entity shall develop unobservable inputs using the best information available in the circumstances, which might include the entity</w:t>
      </w:r>
      <w:r w:rsidR="005A4BB0">
        <w:t>’</w:t>
      </w:r>
      <w:r w:rsidRPr="0062582F">
        <w:t>s own data. In developing unobservable inputs, an entity may begin with its own data, but it shall adjust this data if reasonably available information indicates that other market participants would use different data or there is something particular to the entity that is not available to other market participants (e.g. an entity</w:t>
      </w:r>
      <w:r w:rsidR="005A4BB0">
        <w:noBreakHyphen/>
      </w:r>
      <w:r w:rsidRPr="0062582F">
        <w:t>specific synergy). An entity need not undertake exhaustive efforts to obtain information about market participant assumptions. However, an entity shall take into account all information about market participant assumptions that is reasonably available. Unobservable inputs developed in the manner described above are considered market participant assumptions and meet the objective of a fair value measurement.</w:t>
      </w:r>
    </w:p>
    <w:p w:rsidR="004843DB" w:rsidRPr="0062582F" w:rsidRDefault="004843DB" w:rsidP="004843DB">
      <w:pPr>
        <w:pStyle w:val="CommentaryText"/>
        <w:pBdr>
          <w:top w:val="none" w:sz="0" w:space="0" w:color="auto"/>
          <w:bottom w:val="none" w:sz="0" w:space="0" w:color="auto"/>
        </w:pBdr>
        <w:rPr>
          <w:rFonts w:ascii="Calibri" w:hAnsi="Calibri" w:cs="Arial"/>
          <w:b/>
          <w:bCs/>
          <w:i/>
        </w:rPr>
      </w:pPr>
      <w:r w:rsidRPr="0062582F">
        <w:rPr>
          <w:rFonts w:ascii="Calibri" w:hAnsi="Calibri" w:cs="Arial"/>
          <w:b/>
          <w:bCs/>
          <w:i/>
        </w:rPr>
        <w:t>Fair value measurement expectation for Victorian public assets</w:t>
      </w:r>
    </w:p>
    <w:p w:rsidR="004843DB" w:rsidRPr="0062582F" w:rsidRDefault="004843DB" w:rsidP="004843DB">
      <w:pPr>
        <w:pStyle w:val="CommentaryText"/>
        <w:pBdr>
          <w:top w:val="none" w:sz="0" w:space="0" w:color="auto"/>
          <w:bottom w:val="none" w:sz="0" w:space="0" w:color="auto"/>
        </w:pBdr>
      </w:pPr>
      <w:r w:rsidRPr="0062582F">
        <w:t xml:space="preserve">Please see Appendix 3 for a summary table regarding fair value measurement expectations for the typical VPS assets. </w:t>
      </w:r>
    </w:p>
    <w:p w:rsidR="004843DB" w:rsidRPr="0062582F" w:rsidRDefault="004843DB" w:rsidP="004843DB">
      <w:pPr>
        <w:pStyle w:val="CommentaryHeading1"/>
        <w:pBdr>
          <w:top w:val="none" w:sz="0" w:space="0" w:color="auto"/>
          <w:bottom w:val="none" w:sz="0" w:space="0" w:color="auto"/>
        </w:pBdr>
      </w:pPr>
      <w:r w:rsidRPr="0062582F">
        <w:t>Changes in accounting policies</w:t>
      </w:r>
    </w:p>
    <w:p w:rsidR="004843DB" w:rsidRPr="0062582F" w:rsidRDefault="004843DB" w:rsidP="004843DB">
      <w:pPr>
        <w:pStyle w:val="CommentaryHeading2"/>
      </w:pPr>
      <w:r w:rsidRPr="0062582F">
        <w:t>Initial application of an AAS</w:t>
      </w: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108.28</w:t>
      </w:r>
    </w:p>
    <w:p w:rsidR="004843DB" w:rsidRPr="0062582F" w:rsidRDefault="004843DB" w:rsidP="004843DB">
      <w:pPr>
        <w:pStyle w:val="Reference"/>
        <w:rPr>
          <w:lang w:val="en-AU"/>
        </w:rPr>
      </w:pP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When initial application of an AAS has an effect on the current period or any prior period, or would have such an effect except that it is impracticable to determine the amount of the adjustment, or might have an effect on future periods, an entity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the title of the AAS;</w:t>
      </w:r>
    </w:p>
    <w:p w:rsidR="004843DB" w:rsidRPr="0062582F" w:rsidRDefault="004843DB" w:rsidP="004843DB">
      <w:pPr>
        <w:pStyle w:val="CommentaryTextIndent"/>
        <w:pBdr>
          <w:top w:val="none" w:sz="0" w:space="0" w:color="auto"/>
          <w:bottom w:val="none" w:sz="0" w:space="0" w:color="auto"/>
        </w:pBdr>
      </w:pPr>
      <w:r w:rsidRPr="0062582F">
        <w:t>(b)</w:t>
      </w:r>
      <w:r w:rsidRPr="0062582F">
        <w:tab/>
        <w:t>when applicable, that the change in accounting policy is made in accordance with its transitional provisions;</w:t>
      </w:r>
    </w:p>
    <w:p w:rsidR="004843DB" w:rsidRPr="0062582F" w:rsidRDefault="004843DB" w:rsidP="004843DB">
      <w:pPr>
        <w:pStyle w:val="CommentaryTextIndent"/>
        <w:pBdr>
          <w:top w:val="none" w:sz="0" w:space="0" w:color="auto"/>
          <w:bottom w:val="none" w:sz="0" w:space="0" w:color="auto"/>
        </w:pBdr>
      </w:pPr>
      <w:r w:rsidRPr="0062582F">
        <w:t>(c)</w:t>
      </w:r>
      <w:r w:rsidRPr="0062582F">
        <w:tab/>
        <w:t>the nature of the change in accounting policy;</w:t>
      </w:r>
    </w:p>
    <w:p w:rsidR="004843DB" w:rsidRPr="0062582F" w:rsidRDefault="004843DB" w:rsidP="004843DB">
      <w:pPr>
        <w:pStyle w:val="CommentaryTextIndent"/>
        <w:pBdr>
          <w:top w:val="none" w:sz="0" w:space="0" w:color="auto"/>
          <w:bottom w:val="none" w:sz="0" w:space="0" w:color="auto"/>
        </w:pBdr>
      </w:pPr>
      <w:r w:rsidRPr="0062582F">
        <w:t>(d)</w:t>
      </w:r>
      <w:r w:rsidRPr="0062582F">
        <w:tab/>
        <w:t>when applicable, a description of the transitional provisions;</w:t>
      </w:r>
    </w:p>
    <w:p w:rsidR="004843DB" w:rsidRPr="0062582F" w:rsidRDefault="004843DB" w:rsidP="004843DB">
      <w:pPr>
        <w:pStyle w:val="CommentaryTextIndent"/>
        <w:pBdr>
          <w:top w:val="none" w:sz="0" w:space="0" w:color="auto"/>
          <w:bottom w:val="none" w:sz="0" w:space="0" w:color="auto"/>
        </w:pBdr>
      </w:pPr>
      <w:r w:rsidRPr="0062582F">
        <w:t>(e)</w:t>
      </w:r>
      <w:r w:rsidRPr="0062582F">
        <w:tab/>
        <w:t>when applicable, the transitional provisions that might have an effect on future periods;</w:t>
      </w:r>
    </w:p>
    <w:p w:rsidR="004843DB" w:rsidRPr="0062582F" w:rsidRDefault="004843DB" w:rsidP="004843DB">
      <w:pPr>
        <w:pStyle w:val="CommentaryTextIndent"/>
        <w:pBdr>
          <w:top w:val="none" w:sz="0" w:space="0" w:color="auto"/>
          <w:bottom w:val="none" w:sz="0" w:space="0" w:color="auto"/>
        </w:pBdr>
      </w:pPr>
      <w:r w:rsidRPr="0062582F">
        <w:t>(f)</w:t>
      </w:r>
      <w:r w:rsidRPr="0062582F">
        <w:tab/>
        <w:t>for the current period and each prior period presented, to the extent practicable, the amount of the adjustment:</w:t>
      </w:r>
    </w:p>
    <w:p w:rsidR="004843DB" w:rsidRPr="0062582F" w:rsidRDefault="004843DB" w:rsidP="004843DB">
      <w:pPr>
        <w:pStyle w:val="CommentaryTextIndent2"/>
        <w:pBdr>
          <w:top w:val="none" w:sz="0" w:space="0" w:color="auto"/>
          <w:bottom w:val="none" w:sz="0" w:space="0" w:color="auto"/>
        </w:pBdr>
      </w:pPr>
      <w:r w:rsidRPr="0062582F">
        <w:tab/>
        <w:t>(i)</w:t>
      </w:r>
      <w:r w:rsidRPr="0062582F">
        <w:tab/>
        <w:t>for each financial statement</w:t>
      </w:r>
      <w:r w:rsidR="005A4BB0">
        <w:t>’</w:t>
      </w:r>
      <w:r w:rsidRPr="0062582F">
        <w:t>s line item affected; and</w:t>
      </w:r>
    </w:p>
    <w:p w:rsidR="004843DB" w:rsidRPr="0062582F" w:rsidRDefault="004843DB" w:rsidP="004843DB">
      <w:pPr>
        <w:pStyle w:val="CommentaryTextIndent2"/>
        <w:pBdr>
          <w:top w:val="none" w:sz="0" w:space="0" w:color="auto"/>
          <w:bottom w:val="none" w:sz="0" w:space="0" w:color="auto"/>
        </w:pBdr>
      </w:pPr>
      <w:r w:rsidRPr="0062582F">
        <w:tab/>
        <w:t>(ii)</w:t>
      </w:r>
      <w:r w:rsidRPr="0062582F">
        <w:tab/>
        <w:t xml:space="preserve">if AASB 133 </w:t>
      </w:r>
      <w:r w:rsidRPr="0062582F">
        <w:rPr>
          <w:i/>
          <w:iCs/>
        </w:rPr>
        <w:t>Earnings per Share</w:t>
      </w:r>
      <w:r w:rsidRPr="0062582F">
        <w:t xml:space="preserve"> applies to the entity, for basic and diluted earnings per share;</w:t>
      </w:r>
    </w:p>
    <w:p w:rsidR="004843DB" w:rsidRPr="0062582F" w:rsidRDefault="004843DB" w:rsidP="004843DB">
      <w:pPr>
        <w:pStyle w:val="CommentaryTextIndent"/>
        <w:pBdr>
          <w:top w:val="none" w:sz="0" w:space="0" w:color="auto"/>
          <w:bottom w:val="none" w:sz="0" w:space="0" w:color="auto"/>
        </w:pBdr>
      </w:pPr>
      <w:r w:rsidRPr="0062582F">
        <w:t>(g)</w:t>
      </w:r>
      <w:r w:rsidRPr="0062582F">
        <w:tab/>
        <w:t>the amount of the adjustment relating to periods before those presented, to the extent practicable; and</w:t>
      </w:r>
    </w:p>
    <w:p w:rsidR="004843DB" w:rsidRPr="0062582F" w:rsidRDefault="004843DB" w:rsidP="004843DB">
      <w:pPr>
        <w:pStyle w:val="CommentaryTextIndent"/>
        <w:pBdr>
          <w:top w:val="none" w:sz="0" w:space="0" w:color="auto"/>
          <w:bottom w:val="none" w:sz="0" w:space="0" w:color="auto"/>
        </w:pBdr>
      </w:pPr>
      <w:r w:rsidRPr="0062582F">
        <w:t>(h)</w:t>
      </w:r>
      <w:r w:rsidRPr="0062582F">
        <w:tab/>
        <w:t xml:space="preserve">if retrospective application required by paragraph 19(a) or (b) of AASB 108 </w:t>
      </w:r>
      <w:r w:rsidRPr="0062582F">
        <w:rPr>
          <w:i/>
          <w:iCs/>
        </w:rPr>
        <w:t>Accounting Policies, Changes in Accounting Estimates and Errors</w:t>
      </w:r>
      <w:r w:rsidRPr="0062582F">
        <w:t xml:space="preserve"> is impracticable for a particular prior period, or for periods before those presented, the circumstances that led to the existence of that condition and a description of how and from when the change in accounting policy has been applied.</w:t>
      </w:r>
    </w:p>
    <w:p w:rsidR="004843DB" w:rsidRPr="0062582F" w:rsidRDefault="004843DB" w:rsidP="004843DB">
      <w:pPr>
        <w:pStyle w:val="CommentaryHeading2"/>
      </w:pPr>
      <w:bookmarkStart w:id="323" w:name="_Toc163448683"/>
      <w:r w:rsidRPr="0062582F">
        <w:t>Voluntary changes in accounting policies</w:t>
      </w:r>
      <w:bookmarkEnd w:id="323"/>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108.14</w:t>
      </w:r>
    </w:p>
    <w:p w:rsidR="004843DB" w:rsidRPr="0062582F" w:rsidRDefault="004843DB" w:rsidP="004843DB">
      <w:pPr>
        <w:pStyle w:val="CommentaryText"/>
        <w:pBdr>
          <w:top w:val="none" w:sz="0" w:space="0" w:color="auto"/>
        </w:pBdr>
      </w:pPr>
      <w:r w:rsidRPr="0062582F">
        <w:br w:type="column"/>
      </w:r>
      <w:r w:rsidRPr="0062582F">
        <w:lastRenderedPageBreak/>
        <w:t>An entity shall change an accounting policy only if the change:</w:t>
      </w:r>
    </w:p>
    <w:p w:rsidR="004843DB" w:rsidRPr="0062582F" w:rsidRDefault="004843DB" w:rsidP="004843DB">
      <w:pPr>
        <w:pStyle w:val="CommentaryBullet"/>
        <w:pBdr>
          <w:bottom w:val="single" w:sz="4" w:space="1" w:color="0000FF"/>
        </w:pBdr>
      </w:pPr>
      <w:r w:rsidRPr="0062582F">
        <w:t>is required by an AAS; or</w:t>
      </w:r>
    </w:p>
    <w:p w:rsidR="004843DB" w:rsidRPr="0062582F" w:rsidRDefault="004843DB" w:rsidP="004843DB">
      <w:pPr>
        <w:pStyle w:val="CommentaryBullet"/>
        <w:pBdr>
          <w:bottom w:val="single" w:sz="4" w:space="1" w:color="0000FF"/>
        </w:pBdr>
      </w:pPr>
      <w:r w:rsidRPr="0062582F">
        <w:t>results in the financial statements providing reliable and more relevant information about the effects of transactions, other events or conditions on the entity</w:t>
      </w:r>
      <w:r w:rsidR="005A4BB0">
        <w:t>’</w:t>
      </w:r>
      <w:r w:rsidRPr="0062582F">
        <w:t>s financial position, financial performance or cash flows.</w:t>
      </w:r>
    </w:p>
    <w:p w:rsidR="004843DB" w:rsidRPr="0062582F" w:rsidRDefault="004843DB" w:rsidP="004843DB">
      <w:pPr>
        <w:pStyle w:val="SmallLine"/>
      </w:pPr>
      <w:bookmarkStart w:id="324" w:name="_Toc163448681"/>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rPr>
          <w:i/>
          <w:iCs/>
        </w:rPr>
      </w:pPr>
      <w:r w:rsidRPr="0062582F">
        <w:t xml:space="preserve">Commentary – Statement of significant accounting policies </w:t>
      </w:r>
      <w:r w:rsidRPr="0062582F">
        <w:rPr>
          <w:i/>
          <w:iCs/>
        </w:rPr>
        <w:t>(continued)</w:t>
      </w:r>
    </w:p>
    <w:p w:rsidR="004843DB" w:rsidRPr="0062582F" w:rsidRDefault="004843DB" w:rsidP="004843DB">
      <w:pPr>
        <w:pStyle w:val="SmallLineBlue"/>
        <w:pBdr>
          <w:bottom w:val="none" w:sz="0" w:space="0" w:color="auto"/>
        </w:pBdr>
      </w:pPr>
    </w:p>
    <w:bookmarkEnd w:id="324"/>
    <w:p w:rsidR="004843DB" w:rsidRPr="0062582F" w:rsidRDefault="004843DB" w:rsidP="004843DB">
      <w:pPr>
        <w:pStyle w:val="CommentaryHeading1"/>
        <w:rPr>
          <w:rFonts w:ascii="Garamond" w:hAnsi="Garamond" w:cs="Times New Roman"/>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108.29</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When a voluntary change in accounting policy has an effect on the current period or any prior period, or would have an effect on that period except that it is impracticable to determine the amount of the adjustment, or might have an effect on future periods, an entity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the nature of the change in accounting policy;</w:t>
      </w:r>
    </w:p>
    <w:p w:rsidR="004843DB" w:rsidRPr="0062582F" w:rsidRDefault="004843DB" w:rsidP="004843DB">
      <w:pPr>
        <w:pStyle w:val="CommentaryTextIndent"/>
        <w:pBdr>
          <w:top w:val="none" w:sz="0" w:space="0" w:color="auto"/>
          <w:bottom w:val="none" w:sz="0" w:space="0" w:color="auto"/>
        </w:pBdr>
      </w:pPr>
      <w:r w:rsidRPr="0062582F">
        <w:t>(b)</w:t>
      </w:r>
      <w:r w:rsidRPr="0062582F">
        <w:tab/>
        <w:t>the reasons why applying the new accounting policy provides reliable and more relevant information;</w:t>
      </w:r>
    </w:p>
    <w:p w:rsidR="004843DB" w:rsidRPr="0062582F" w:rsidRDefault="004843DB" w:rsidP="004843DB">
      <w:pPr>
        <w:pStyle w:val="CommentaryTextIndent"/>
        <w:pBdr>
          <w:top w:val="none" w:sz="0" w:space="0" w:color="auto"/>
          <w:bottom w:val="none" w:sz="0" w:space="0" w:color="auto"/>
        </w:pBdr>
      </w:pPr>
      <w:r w:rsidRPr="0062582F">
        <w:t>(c)</w:t>
      </w:r>
      <w:r w:rsidRPr="0062582F">
        <w:tab/>
        <w:t>for the current period and each prior period presented, to the extent practicable, the amount of the adjustment:</w:t>
      </w:r>
    </w:p>
    <w:p w:rsidR="004843DB" w:rsidRPr="0062582F" w:rsidRDefault="004843DB" w:rsidP="004843DB">
      <w:pPr>
        <w:pStyle w:val="CommentaryTextIndent2"/>
        <w:pBdr>
          <w:top w:val="none" w:sz="0" w:space="0" w:color="auto"/>
          <w:bottom w:val="none" w:sz="0" w:space="0" w:color="auto"/>
        </w:pBdr>
      </w:pPr>
      <w:r w:rsidRPr="0062582F">
        <w:tab/>
        <w:t>(i)</w:t>
      </w:r>
      <w:r w:rsidRPr="0062582F">
        <w:tab/>
        <w:t>for each financial statement</w:t>
      </w:r>
      <w:r w:rsidR="005A4BB0">
        <w:t>’</w:t>
      </w:r>
      <w:r w:rsidRPr="0062582F">
        <w:t>s line item affected; and</w:t>
      </w:r>
    </w:p>
    <w:p w:rsidR="004843DB" w:rsidRPr="0062582F" w:rsidRDefault="004843DB" w:rsidP="004843DB">
      <w:pPr>
        <w:pStyle w:val="CommentaryTextIndent2"/>
        <w:pBdr>
          <w:top w:val="none" w:sz="0" w:space="0" w:color="auto"/>
          <w:bottom w:val="none" w:sz="0" w:space="0" w:color="auto"/>
        </w:pBdr>
      </w:pPr>
      <w:r w:rsidRPr="0062582F">
        <w:tab/>
        <w:t>(ii)</w:t>
      </w:r>
      <w:r w:rsidRPr="0062582F">
        <w:tab/>
        <w:t xml:space="preserve">if AASB 133 </w:t>
      </w:r>
      <w:r w:rsidRPr="0062582F">
        <w:rPr>
          <w:i/>
          <w:iCs/>
        </w:rPr>
        <w:t>Earnings per Share</w:t>
      </w:r>
      <w:r w:rsidRPr="0062582F">
        <w:t xml:space="preserve"> applies to the entity, for basic and diluted earnings per share;</w:t>
      </w:r>
    </w:p>
    <w:p w:rsidR="004843DB" w:rsidRPr="0062582F" w:rsidRDefault="004843DB" w:rsidP="004843DB">
      <w:pPr>
        <w:pStyle w:val="CommentaryTextIndent"/>
        <w:pBdr>
          <w:top w:val="none" w:sz="0" w:space="0" w:color="auto"/>
          <w:bottom w:val="none" w:sz="0" w:space="0" w:color="auto"/>
        </w:pBdr>
      </w:pPr>
      <w:r w:rsidRPr="0062582F">
        <w:t>(d)</w:t>
      </w:r>
      <w:r w:rsidRPr="0062582F">
        <w:tab/>
        <w:t>the amount of the adjustment relating to periods before those presented, to the extent practicable; and</w:t>
      </w:r>
    </w:p>
    <w:p w:rsidR="004843DB" w:rsidRPr="0062582F" w:rsidRDefault="004843DB" w:rsidP="004843DB">
      <w:pPr>
        <w:pStyle w:val="CommentaryTextIndent"/>
        <w:pBdr>
          <w:top w:val="none" w:sz="0" w:space="0" w:color="auto"/>
          <w:bottom w:val="none" w:sz="0" w:space="0" w:color="auto"/>
        </w:pBdr>
      </w:pPr>
      <w:r w:rsidRPr="0062582F">
        <w:t>(e)</w:t>
      </w:r>
      <w:r w:rsidRPr="0062582F">
        <w:tab/>
        <w:t>if retrospective application of the accounting policy is impracticable for a particular prior period, or for periods before those presented, the circumstances that led to the existence of that condition and a description of how and from when the change in accounting policy has been applied.</w:t>
      </w:r>
    </w:p>
    <w:p w:rsidR="004843DB" w:rsidRPr="0062582F" w:rsidRDefault="004843DB" w:rsidP="004843DB">
      <w:pPr>
        <w:pStyle w:val="CommentaryHeading2"/>
      </w:pPr>
      <w:r w:rsidRPr="0062582F">
        <w:t>Effect of changes in accounting policy of equity</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101.106(b)</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For each component of equity affected by the change in accounting policy, AASB 101 requires that the entity discloses the effects of retrospective application or retrospective restatement recognised in accordance with AASB 108.</w:t>
      </w:r>
    </w:p>
    <w:p w:rsidR="004843DB" w:rsidRPr="0062582F" w:rsidRDefault="004843DB" w:rsidP="004843DB">
      <w:pPr>
        <w:pStyle w:val="CommentaryHeading1"/>
        <w:pBdr>
          <w:top w:val="none" w:sz="0" w:space="0" w:color="auto"/>
          <w:bottom w:val="none" w:sz="0" w:space="0" w:color="auto"/>
        </w:pBdr>
      </w:pPr>
      <w:bookmarkStart w:id="325" w:name="_Toc163448685"/>
      <w:r w:rsidRPr="0062582F">
        <w:t>Where compliance with an AAS is misleading</w:t>
      </w:r>
      <w:bookmarkEnd w:id="325"/>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101.23</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In the extremely rare circumstances in which management concludes that compliance with a requirement in an AAS would be so misleading that it would conflict with the objective of financial statements set out in the framework, the entity shall, to the maximum extent possible, reduce the perceived misleading aspects of compliance by disclosing:</w:t>
      </w:r>
    </w:p>
    <w:p w:rsidR="004843DB" w:rsidRPr="0062582F" w:rsidRDefault="004843DB" w:rsidP="004843DB">
      <w:pPr>
        <w:pStyle w:val="CommentaryBullet"/>
      </w:pPr>
      <w:r w:rsidRPr="0062582F">
        <w:t>the title of the AAS in question, the nature of the requirement, and the reason why management has concluded that complying with that requirement is so misleading in the circumstances that it conflicts with the objective of financial statements set out in the framework; and</w:t>
      </w:r>
    </w:p>
    <w:p w:rsidR="004843DB" w:rsidRPr="0062582F" w:rsidRDefault="004843DB" w:rsidP="004843DB">
      <w:pPr>
        <w:pStyle w:val="CommentaryBullet"/>
      </w:pPr>
      <w:r w:rsidRPr="0062582F">
        <w:t>for each period presented, the adjustments to each item in the financial statements that management has concluded would be necessary to achieve a fair presentation.</w:t>
      </w:r>
    </w:p>
    <w:p w:rsidR="004843DB" w:rsidRPr="0062582F" w:rsidRDefault="004843DB" w:rsidP="004843DB">
      <w:pPr>
        <w:pStyle w:val="CommentaryHeading1"/>
        <w:pBdr>
          <w:top w:val="none" w:sz="0" w:space="0" w:color="auto"/>
          <w:bottom w:val="none" w:sz="0" w:space="0" w:color="auto"/>
        </w:pBdr>
      </w:pPr>
      <w:r w:rsidRPr="0062582F">
        <w:t>Inappropriate accounting policies not rectified by disclosure</w:t>
      </w:r>
    </w:p>
    <w:p w:rsidR="004843DB" w:rsidRPr="0062582F" w:rsidRDefault="004843DB" w:rsidP="004843DB">
      <w:pPr>
        <w:pStyle w:val="CommentaryHeading1"/>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101.18</w:t>
      </w:r>
    </w:p>
    <w:p w:rsidR="004843DB" w:rsidRPr="0062582F" w:rsidRDefault="004843DB" w:rsidP="004843DB">
      <w:pPr>
        <w:pStyle w:val="CommentaryText"/>
        <w:pBdr>
          <w:top w:val="none" w:sz="0" w:space="0" w:color="auto"/>
          <w:bottom w:val="none" w:sz="0" w:space="0" w:color="auto"/>
        </w:pBdr>
      </w:pPr>
      <w:bookmarkStart w:id="326" w:name="_Toc163448686"/>
      <w:r w:rsidRPr="0062582F">
        <w:br w:type="column"/>
      </w:r>
      <w:bookmarkEnd w:id="326"/>
      <w:r w:rsidRPr="0062582F">
        <w:lastRenderedPageBreak/>
        <w:t>Inappropriate accounting policies are not rectified either by disclosure of the accounting policies used or by notes or explanatory material.</w:t>
      </w:r>
    </w:p>
    <w:p w:rsidR="004843DB" w:rsidRPr="0062582F" w:rsidRDefault="004843DB" w:rsidP="004843DB">
      <w:pPr>
        <w:pStyle w:val="CommentaryHeading1"/>
        <w:pBdr>
          <w:top w:val="none" w:sz="0" w:space="0" w:color="auto"/>
          <w:bottom w:val="none" w:sz="0" w:space="0" w:color="auto"/>
        </w:pBdr>
      </w:pPr>
      <w:bookmarkStart w:id="327" w:name="_Toc163448687"/>
      <w:r w:rsidRPr="0062582F">
        <w:t>Reporting entity</w:t>
      </w:r>
      <w:bookmarkEnd w:id="327"/>
    </w:p>
    <w:p w:rsidR="004843DB" w:rsidRPr="0062582F" w:rsidRDefault="004843DB" w:rsidP="004843DB">
      <w:pPr>
        <w:pStyle w:val="CommentaryText"/>
        <w:pBdr>
          <w:top w:val="none" w:sz="0" w:space="0" w:color="auto"/>
          <w:bottom w:val="none" w:sz="0" w:space="0" w:color="auto"/>
        </w:pBdr>
      </w:pPr>
      <w:r w:rsidRPr="0062582F">
        <w:t>Government departments may conduct activities through a variety of administrative and organisational structures. For example, they may manage commercial activities separately from non</w:t>
      </w:r>
      <w:r w:rsidR="005A4BB0">
        <w:noBreakHyphen/>
      </w:r>
      <w:r w:rsidRPr="0062582F">
        <w:t xml:space="preserve">commercial activities, operate one or more trust accounts and may undertake a number of activities. </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1050.25</w:t>
      </w:r>
    </w:p>
    <w:p w:rsidR="004843DB" w:rsidRPr="0062582F" w:rsidRDefault="004843DB" w:rsidP="004843DB">
      <w:pPr>
        <w:pStyle w:val="CommentaryText"/>
        <w:pBdr>
          <w:top w:val="none" w:sz="0" w:space="0" w:color="auto"/>
        </w:pBdr>
      </w:pPr>
      <w:r w:rsidRPr="0062582F">
        <w:br w:type="column"/>
      </w:r>
      <w:r w:rsidRPr="0062582F">
        <w:lastRenderedPageBreak/>
        <w:t>Where a department administers activities on behalf of parties external to the Victorian Government, the nature and amount of the funds under management should be disclosed separately from income, expenses, assets and liabilities in the notes.</w:t>
      </w:r>
    </w:p>
    <w:p w:rsidR="004843DB" w:rsidRPr="0062582F" w:rsidRDefault="004843DB" w:rsidP="004843DB">
      <w:pPr>
        <w:pStyle w:val="SmallLine"/>
      </w:pPr>
    </w:p>
    <w:p w:rsidR="004843DB" w:rsidRPr="0062582F" w:rsidRDefault="004843DB" w:rsidP="004843DB">
      <w:pPr>
        <w:pStyle w:val="SmallLine"/>
      </w:pP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rPr>
          <w:i/>
          <w:iCs/>
        </w:rPr>
      </w:pPr>
      <w:r w:rsidRPr="0062582F">
        <w:t xml:space="preserve">Commentary – Statement of significant accounting policies </w:t>
      </w:r>
      <w:r w:rsidRPr="0062582F">
        <w:rPr>
          <w:i/>
          <w:iCs/>
        </w:rPr>
        <w:t>(continued)</w:t>
      </w:r>
    </w:p>
    <w:p w:rsidR="004843DB" w:rsidRPr="0062582F" w:rsidRDefault="004843DB" w:rsidP="004843DB">
      <w:pPr>
        <w:pStyle w:val="SmallLineBlue"/>
      </w:pP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CommentaryHeading1"/>
        <w:pBdr>
          <w:top w:val="none" w:sz="0" w:space="0" w:color="auto"/>
          <w:bottom w:val="none" w:sz="0" w:space="0" w:color="auto"/>
        </w:pBdr>
      </w:pPr>
      <w:r w:rsidRPr="0062582F">
        <w:lastRenderedPageBreak/>
        <w:t>Administered items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1050.24</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To facilitate the assessment of the costs incurred and the cost recoveries generated as a result of the government department</w:t>
      </w:r>
      <w:r w:rsidR="005A4BB0">
        <w:t>’</w:t>
      </w:r>
      <w:r w:rsidRPr="0062582F">
        <w:t>s activities, administered income, expenses, assets and liabilities are reported on the same basis adopted for the recognition of the elements of the financial statements. That is, they are accounted for using the accrual basis of accounting and by applying the same accounting policies as those applied to items recognised in the departmental financial statements.</w:t>
      </w:r>
    </w:p>
    <w:p w:rsidR="004843DB" w:rsidRPr="0062582F" w:rsidRDefault="004843DB" w:rsidP="004843DB">
      <w:pPr>
        <w:pStyle w:val="CommentaryHeading2"/>
      </w:pPr>
      <w:r w:rsidRPr="0062582F">
        <w:t>Other trust activities on behalf of parties external to the Victorian Government</w:t>
      </w:r>
    </w:p>
    <w:p w:rsidR="004843DB" w:rsidRPr="0062582F" w:rsidRDefault="004843DB" w:rsidP="004843DB">
      <w:pPr>
        <w:pStyle w:val="CommentaryText"/>
        <w:pBdr>
          <w:top w:val="none" w:sz="0" w:space="0" w:color="auto"/>
          <w:bottom w:val="none" w:sz="0" w:space="0" w:color="auto"/>
        </w:pBdr>
      </w:pPr>
      <w:r w:rsidRPr="0062582F">
        <w:t>Such trust activities should be distinguished from administered activities although the latter are sometimes referred to as trust items managed by the department.</w:t>
      </w:r>
    </w:p>
    <w:p w:rsidR="004843DB" w:rsidRPr="0062582F" w:rsidRDefault="004843DB" w:rsidP="004843DB">
      <w:pPr>
        <w:pStyle w:val="CommentaryText"/>
        <w:pBdr>
          <w:top w:val="none" w:sz="0" w:space="0" w:color="auto"/>
          <w:bottom w:val="none" w:sz="0" w:space="0" w:color="auto"/>
        </w:pBdr>
      </w:pPr>
      <w:r w:rsidRPr="0062582F">
        <w:t xml:space="preserve">Transactions and balances from other trust activities of an entity on behalf of parties external to the Victorian Government should be reported in a separate note (refer to illustration in Note 39(b) </w:t>
      </w:r>
      <w:r w:rsidRPr="0062582F">
        <w:rPr>
          <w:i/>
        </w:rPr>
        <w:t>Third party funds under management</w:t>
      </w:r>
      <w:r w:rsidRPr="0062582F">
        <w:t>).</w:t>
      </w:r>
    </w:p>
    <w:p w:rsidR="004843DB" w:rsidRPr="0062582F" w:rsidRDefault="004843DB" w:rsidP="004843DB">
      <w:pPr>
        <w:pStyle w:val="CommentaryHeading1"/>
        <w:pBdr>
          <w:top w:val="none" w:sz="0" w:space="0" w:color="auto"/>
          <w:bottom w:val="none" w:sz="0" w:space="0" w:color="auto"/>
        </w:pBdr>
      </w:pPr>
      <w:r w:rsidRPr="0062582F">
        <w:t>Commonwealth grants</w:t>
      </w:r>
    </w:p>
    <w:p w:rsidR="004843DB" w:rsidRPr="0062582F" w:rsidRDefault="004843DB" w:rsidP="004843DB">
      <w:pPr>
        <w:pStyle w:val="CommentaryHeading2"/>
      </w:pPr>
      <w:bookmarkStart w:id="328" w:name="_Toc163448695"/>
      <w:r w:rsidRPr="0062582F">
        <w:t>Example policy note</w:t>
      </w:r>
      <w:bookmarkStart w:id="329" w:name="_Toc163448696"/>
      <w:bookmarkEnd w:id="328"/>
      <w:r w:rsidRPr="0062582F">
        <w:t xml:space="preserve"> disclosure for a for</w:t>
      </w:r>
      <w:r w:rsidR="005A4BB0">
        <w:noBreakHyphen/>
      </w:r>
      <w:r w:rsidRPr="0062582F">
        <w:t>profit entity</w:t>
      </w:r>
      <w:bookmarkEnd w:id="329"/>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120.12</w:t>
      </w:r>
    </w:p>
    <w:p w:rsidR="004843DB" w:rsidRPr="0062582F" w:rsidRDefault="004843DB" w:rsidP="004843DB">
      <w:pPr>
        <w:pStyle w:val="CommentaryText"/>
        <w:pBdr>
          <w:top w:val="none" w:sz="0" w:space="0" w:color="auto"/>
          <w:bottom w:val="none" w:sz="0" w:space="0" w:color="auto"/>
        </w:pBdr>
        <w:rPr>
          <w:i/>
          <w:noProof w:val="0"/>
        </w:rPr>
      </w:pPr>
      <w:r w:rsidRPr="0062582F">
        <w:rPr>
          <w:noProof w:val="0"/>
        </w:rPr>
        <w:br w:type="column"/>
      </w:r>
      <w:r w:rsidR="005A4BB0">
        <w:rPr>
          <w:noProof w:val="0"/>
        </w:rPr>
        <w:lastRenderedPageBreak/>
        <w:t>‘</w:t>
      </w:r>
      <w:r w:rsidRPr="0062582F">
        <w:rPr>
          <w:i/>
          <w:noProof w:val="0"/>
        </w:rPr>
        <w:t xml:space="preserve">Government grants relating to </w:t>
      </w:r>
      <w:r w:rsidRPr="0062582F">
        <w:rPr>
          <w:iCs/>
          <w:noProof w:val="0"/>
        </w:rPr>
        <w:t>[describe income item to which the grant relates]</w:t>
      </w:r>
      <w:r w:rsidRPr="0062582F">
        <w:rPr>
          <w:i/>
          <w:noProof w:val="0"/>
        </w:rPr>
        <w:t xml:space="preserve"> are recognised as income over the periods necessary to match them with the related costs.</w:t>
      </w:r>
    </w:p>
    <w:p w:rsidR="004843DB" w:rsidRPr="0062582F" w:rsidRDefault="004843DB" w:rsidP="004843DB">
      <w:pPr>
        <w:pStyle w:val="CommentaryText"/>
        <w:pBdr>
          <w:top w:val="none" w:sz="0" w:space="0" w:color="auto"/>
          <w:bottom w:val="none" w:sz="0" w:space="0" w:color="auto"/>
        </w:pBdr>
        <w:spacing w:before="60"/>
        <w:rPr>
          <w:i/>
          <w:iCs/>
          <w:noProof w:val="0"/>
        </w:rPr>
      </w:pPr>
      <w:r w:rsidRPr="0062582F">
        <w:rPr>
          <w:i/>
          <w:noProof w:val="0"/>
        </w:rPr>
        <w:t xml:space="preserve">Government grants relating to </w:t>
      </w:r>
      <w:r w:rsidRPr="0062582F">
        <w:rPr>
          <w:iCs/>
          <w:noProof w:val="0"/>
        </w:rPr>
        <w:t>[describe the asset item to which the grant relates]</w:t>
      </w:r>
      <w:r w:rsidRPr="0062582F">
        <w:rPr>
          <w:i/>
          <w:noProof w:val="0"/>
        </w:rPr>
        <w:t xml:space="preserve"> are treated as deferred income and released to the net result over the expected useful lives of the assets concerned</w:t>
      </w:r>
      <w:r w:rsidRPr="0062582F">
        <w:rPr>
          <w:noProof w:val="0"/>
        </w:rPr>
        <w:t>.</w:t>
      </w:r>
      <w:r w:rsidR="005A4BB0">
        <w:rPr>
          <w:i/>
          <w:noProof w:val="0"/>
        </w:rPr>
        <w:t>’</w:t>
      </w:r>
    </w:p>
    <w:p w:rsidR="004843DB" w:rsidRPr="0062582F" w:rsidRDefault="004843DB" w:rsidP="004843DB">
      <w:pPr>
        <w:pStyle w:val="CommentaryText"/>
        <w:pBdr>
          <w:top w:val="none" w:sz="0" w:space="0" w:color="auto"/>
          <w:bottom w:val="none" w:sz="0" w:space="0" w:color="auto"/>
        </w:pBdr>
        <w:rPr>
          <w:i/>
        </w:rPr>
      </w:pPr>
      <w:r w:rsidRPr="0062582F">
        <w:t xml:space="preserve">This treatment under AASB 120 </w:t>
      </w:r>
      <w:r w:rsidRPr="0062582F">
        <w:rPr>
          <w:i/>
        </w:rPr>
        <w:t xml:space="preserve">Accounting for Government Grants and Disclosure of Government Assistance </w:t>
      </w:r>
      <w:r w:rsidRPr="0062582F">
        <w:t>differs from that applied by not</w:t>
      </w:r>
      <w:r w:rsidR="005A4BB0">
        <w:noBreakHyphen/>
      </w:r>
      <w:r w:rsidRPr="0062582F">
        <w:t>for</w:t>
      </w:r>
      <w:r w:rsidR="005A4BB0">
        <w:noBreakHyphen/>
      </w:r>
      <w:r w:rsidRPr="0062582F">
        <w:t xml:space="preserve">profit entities, which are required to follow AASB 1004 </w:t>
      </w:r>
      <w:r w:rsidRPr="0062582F">
        <w:rPr>
          <w:i/>
        </w:rPr>
        <w:t>Contributions.</w:t>
      </w:r>
    </w:p>
    <w:p w:rsidR="004843DB" w:rsidRPr="0062582F" w:rsidRDefault="004843DB" w:rsidP="004843DB">
      <w:pPr>
        <w:pStyle w:val="CommentaryHeading1"/>
        <w:pBdr>
          <w:top w:val="none" w:sz="0" w:space="0" w:color="auto"/>
          <w:bottom w:val="none" w:sz="0" w:space="0" w:color="auto"/>
        </w:pBdr>
      </w:pPr>
      <w:bookmarkStart w:id="330" w:name="_Toc163448698"/>
      <w:r w:rsidRPr="0062582F">
        <w:t>Non</w:t>
      </w:r>
      <w:r w:rsidR="005A4BB0">
        <w:noBreakHyphen/>
      </w:r>
      <w:r w:rsidRPr="0062582F">
        <w:t xml:space="preserve">financial physical assets </w:t>
      </w:r>
    </w:p>
    <w:p w:rsidR="004843DB" w:rsidRPr="0062582F" w:rsidRDefault="004843DB" w:rsidP="004843DB">
      <w:pPr>
        <w:pStyle w:val="CommentaryHeading2"/>
      </w:pPr>
      <w:r w:rsidRPr="0062582F">
        <w:t>Depreciation</w:t>
      </w:r>
      <w:bookmarkEnd w:id="330"/>
      <w:r w:rsidRPr="0062582F">
        <w:t xml:space="preserve"> </w:t>
      </w:r>
    </w:p>
    <w:p w:rsidR="004843DB" w:rsidRPr="0062582F" w:rsidRDefault="004843DB" w:rsidP="004843DB">
      <w:pPr>
        <w:pStyle w:val="CommentaryHeading1"/>
        <w:pBdr>
          <w:bottom w:val="none" w:sz="0" w:space="0" w:color="auto"/>
        </w:pBdr>
        <w:rPr>
          <w:rFonts w:ascii="Garamond" w:hAnsi="Garamond" w:cs="Times New Roman"/>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116.60</w:t>
      </w:r>
    </w:p>
    <w:p w:rsidR="004843DB" w:rsidRPr="0062582F" w:rsidRDefault="004843DB" w:rsidP="004843DB">
      <w:pPr>
        <w:pStyle w:val="CommentaryText"/>
        <w:pBdr>
          <w:top w:val="none" w:sz="0" w:space="0" w:color="auto"/>
          <w:bottom w:val="none" w:sz="0" w:space="0" w:color="auto"/>
        </w:pBdr>
      </w:pPr>
      <w:r w:rsidRPr="0062582F">
        <w:rPr>
          <w:b/>
          <w:bCs/>
        </w:rPr>
        <w:br w:type="column"/>
      </w:r>
      <w:r w:rsidRPr="0062582F">
        <w:lastRenderedPageBreak/>
        <w:t>The depreciation method used shall reflect the pattern in which the asset</w:t>
      </w:r>
      <w:r w:rsidR="005A4BB0">
        <w:t>’</w:t>
      </w:r>
      <w:r w:rsidRPr="0062582F">
        <w:t>s future economic benefits are expected to be consumed by the entity.</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116.51, 61</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Depreciation rates and methods shall be reviewed at least annually and, where changed, shall be accounted for as a change in accounting estimate. Where depreciation rates or methods are changed, the net written</w:t>
      </w:r>
      <w:r w:rsidR="005A4BB0">
        <w:noBreakHyphen/>
      </w:r>
      <w:r w:rsidRPr="0062582F">
        <w:t>down value of the asset is depreciated from the date of the change in accordance with the new depreciation rate or method. Depreciation recognised in prior financial years shall not be changed, that is, the change in depreciation rate or method shall be accounted for on a prospective basis.</w:t>
      </w:r>
    </w:p>
    <w:p w:rsidR="004843DB" w:rsidRPr="0062582F" w:rsidRDefault="004843DB" w:rsidP="004843DB">
      <w:pPr>
        <w:pStyle w:val="CommentaryHeading1"/>
        <w:pBdr>
          <w:top w:val="none" w:sz="0" w:space="0" w:color="auto"/>
          <w:bottom w:val="none" w:sz="0" w:space="0" w:color="auto"/>
        </w:pBdr>
      </w:pPr>
      <w:bookmarkStart w:id="331" w:name="_Toc163448700"/>
      <w:r w:rsidRPr="0062582F">
        <w:t>Capital asset charge</w:t>
      </w:r>
      <w:bookmarkEnd w:id="331"/>
    </w:p>
    <w:p w:rsidR="004843DB" w:rsidRPr="0062582F" w:rsidRDefault="004843DB" w:rsidP="004843DB">
      <w:pPr>
        <w:pStyle w:val="CommentaryText"/>
        <w:pBdr>
          <w:top w:val="none" w:sz="0" w:space="0" w:color="auto"/>
          <w:bottom w:val="none" w:sz="0" w:space="0" w:color="auto"/>
        </w:pBdr>
      </w:pPr>
      <w:r w:rsidRPr="0062582F">
        <w:t xml:space="preserve">Departments and other entities pay a capital assets charge as set out in BFMG 12 </w:t>
      </w:r>
      <w:r w:rsidRPr="0062582F">
        <w:rPr>
          <w:i/>
        </w:rPr>
        <w:t>Capital Assets Charge</w:t>
      </w:r>
      <w:r w:rsidRPr="0062582F">
        <w:t>. The policy note for the fictitious DoT includes a suitable example disclosure.</w:t>
      </w:r>
    </w:p>
    <w:p w:rsidR="004843DB" w:rsidRPr="0062582F" w:rsidRDefault="004843DB" w:rsidP="004843DB">
      <w:pPr>
        <w:pStyle w:val="CommentaryText"/>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bookmarkStart w:id="332" w:name="_Toc163448701"/>
      <w:r w:rsidRPr="0062582F">
        <w:rPr>
          <w:lang w:val="en-AU"/>
        </w:rPr>
        <w:lastRenderedPageBreak/>
        <w:t xml:space="preserve">AASB 136.9 and </w:t>
      </w:r>
      <w:r w:rsidRPr="0062582F">
        <w:t>138</w:t>
      </w:r>
      <w:r w:rsidRPr="0062582F">
        <w:rPr>
          <w:lang w:val="en-AU"/>
        </w:rPr>
        <w:t>.111</w:t>
      </w:r>
      <w:r w:rsidRPr="0062582F">
        <w:rPr>
          <w:lang w:val="en-AU"/>
        </w:rPr>
        <w:br/>
      </w:r>
      <w:r w:rsidRPr="0062582F">
        <w:t>FRD 106</w:t>
      </w:r>
    </w:p>
    <w:p w:rsidR="004843DB" w:rsidRPr="0062582F" w:rsidRDefault="004843DB" w:rsidP="004843DB">
      <w:pPr>
        <w:pStyle w:val="CommentaryHeading2"/>
        <w:pBdr>
          <w:bottom w:val="single" w:sz="4" w:space="1" w:color="0000FF"/>
        </w:pBdr>
      </w:pPr>
      <w:r w:rsidRPr="0062582F">
        <w:br w:type="column"/>
      </w:r>
      <w:r w:rsidRPr="0062582F">
        <w:lastRenderedPageBreak/>
        <w:t>Impairment of non</w:t>
      </w:r>
      <w:r w:rsidR="005A4BB0">
        <w:noBreakHyphen/>
      </w:r>
      <w:r w:rsidRPr="0062582F">
        <w:t>financial physical assets</w:t>
      </w:r>
      <w:bookmarkEnd w:id="332"/>
    </w:p>
    <w:p w:rsidR="004843DB" w:rsidRPr="0062582F" w:rsidRDefault="004843DB" w:rsidP="004843DB">
      <w:pPr>
        <w:pStyle w:val="CommentaryText"/>
        <w:pBdr>
          <w:top w:val="none" w:sz="0" w:space="0" w:color="auto"/>
        </w:pBdr>
      </w:pPr>
      <w:r w:rsidRPr="0062582F">
        <w:t>Goodwill, intangible assets and all other assets must be tested annually for indications of impairment, except for the following:</w:t>
      </w:r>
    </w:p>
    <w:p w:rsidR="004843DB" w:rsidRPr="0062582F" w:rsidRDefault="004843DB" w:rsidP="004843DB">
      <w:pPr>
        <w:pStyle w:val="CommentaryBullet"/>
        <w:pBdr>
          <w:bottom w:val="single" w:sz="4" w:space="1" w:color="0000FF"/>
        </w:pBdr>
      </w:pPr>
      <w:r w:rsidRPr="0062582F">
        <w:t>inventories;</w:t>
      </w:r>
    </w:p>
    <w:p w:rsidR="004843DB" w:rsidRPr="0062582F" w:rsidRDefault="004843DB" w:rsidP="004843DB">
      <w:pPr>
        <w:pStyle w:val="CommentaryBullet"/>
        <w:pBdr>
          <w:bottom w:val="single" w:sz="4" w:space="1" w:color="0000FF"/>
        </w:pBdr>
      </w:pPr>
      <w:r w:rsidRPr="0062582F">
        <w:t>assets arising from construction contracts;</w:t>
      </w:r>
    </w:p>
    <w:p w:rsidR="004843DB" w:rsidRPr="0062582F" w:rsidRDefault="004843DB" w:rsidP="004843DB">
      <w:pPr>
        <w:pStyle w:val="CommentaryBullet"/>
        <w:pBdr>
          <w:bottom w:val="single" w:sz="4" w:space="1" w:color="0000FF"/>
        </w:pBdr>
      </w:pPr>
      <w:r w:rsidRPr="0062582F">
        <w:t>assets arising from employee benefits;</w:t>
      </w:r>
    </w:p>
    <w:p w:rsidR="004843DB" w:rsidRPr="0062582F" w:rsidRDefault="004843DB" w:rsidP="004843DB">
      <w:pPr>
        <w:pStyle w:val="CommentaryBullet"/>
        <w:pBdr>
          <w:bottom w:val="single" w:sz="4" w:space="1" w:color="0000FF"/>
        </w:pBdr>
      </w:pPr>
      <w:r w:rsidRPr="0062582F">
        <w:t>deferred tax assets;</w:t>
      </w:r>
    </w:p>
    <w:p w:rsidR="004843DB" w:rsidRPr="0062582F" w:rsidRDefault="004843DB" w:rsidP="004843DB">
      <w:pPr>
        <w:pStyle w:val="SmallLine"/>
      </w:pP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rPr>
          <w:i/>
          <w:iCs/>
        </w:rPr>
      </w:pPr>
      <w:r w:rsidRPr="0062582F">
        <w:t xml:space="preserve">Commentary – Statement of significant accounting policies </w:t>
      </w:r>
      <w:r w:rsidRPr="0062582F">
        <w:rPr>
          <w:i/>
          <w:iCs/>
        </w:rPr>
        <w:t>(continued)</w:t>
      </w:r>
    </w:p>
    <w:p w:rsidR="004843DB" w:rsidRPr="0062582F" w:rsidRDefault="004843DB" w:rsidP="004843DB">
      <w:pPr>
        <w:pStyle w:val="SmallLineBlue"/>
      </w:pP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CommentaryBullet"/>
      </w:pPr>
      <w:r w:rsidRPr="0062582F">
        <w:br w:type="column"/>
      </w:r>
      <w:r w:rsidRPr="0062582F">
        <w:lastRenderedPageBreak/>
        <w:t>financial instrument assets;</w:t>
      </w:r>
    </w:p>
    <w:p w:rsidR="004843DB" w:rsidRPr="0062582F" w:rsidRDefault="004843DB" w:rsidP="004843DB">
      <w:pPr>
        <w:pStyle w:val="CommentaryBullet"/>
      </w:pPr>
      <w:r w:rsidRPr="0062582F">
        <w:t>investment property that is measured at fair value;</w:t>
      </w:r>
    </w:p>
    <w:p w:rsidR="004843DB" w:rsidRPr="0062582F" w:rsidRDefault="004843DB" w:rsidP="004843DB">
      <w:pPr>
        <w:pStyle w:val="CommentaryBullet"/>
      </w:pPr>
      <w:r w:rsidRPr="0062582F">
        <w:t>certain biological assets related to agricultural activity;</w:t>
      </w:r>
    </w:p>
    <w:p w:rsidR="004843DB" w:rsidRPr="0062582F" w:rsidRDefault="004843DB" w:rsidP="004843DB">
      <w:pPr>
        <w:pStyle w:val="CommentaryBullet"/>
      </w:pPr>
      <w:r w:rsidRPr="0062582F">
        <w:t>certain deferred acquisition costs and intangible assets arising from an insurer</w:t>
      </w:r>
      <w:r w:rsidR="005A4BB0">
        <w:t>’</w:t>
      </w:r>
      <w:r w:rsidRPr="0062582F">
        <w:t>s contractual rights; and</w:t>
      </w:r>
    </w:p>
    <w:p w:rsidR="004843DB" w:rsidRPr="0062582F" w:rsidRDefault="004843DB" w:rsidP="004843DB">
      <w:pPr>
        <w:pStyle w:val="CommentaryBullet"/>
      </w:pPr>
      <w:r w:rsidRPr="0062582F">
        <w:t>non</w:t>
      </w:r>
      <w:r w:rsidR="005A4BB0">
        <w:noBreakHyphen/>
      </w:r>
      <w:r w:rsidRPr="0062582F">
        <w:t>financial physical assets held for sale.</w:t>
      </w:r>
    </w:p>
    <w:p w:rsidR="004843DB" w:rsidRPr="0062582F" w:rsidRDefault="004843DB" w:rsidP="004843DB">
      <w:pPr>
        <w:pStyle w:val="CommentaryText"/>
        <w:pBdr>
          <w:top w:val="none" w:sz="0" w:space="0" w:color="auto"/>
          <w:bottom w:val="none" w:sz="0" w:space="0" w:color="auto"/>
        </w:pBdr>
      </w:pPr>
      <w:r w:rsidRPr="0062582F">
        <w:t>For</w:t>
      </w:r>
      <w:r w:rsidR="005A4BB0">
        <w:noBreakHyphen/>
      </w:r>
      <w:r w:rsidRPr="0062582F">
        <w:t>profit entities may use the following paragraphs to replace relevant paragraphs in their accounting policy disclosure on impairment of assets:</w:t>
      </w:r>
    </w:p>
    <w:p w:rsidR="004843DB" w:rsidRPr="0062582F" w:rsidRDefault="005A4BB0" w:rsidP="004843DB">
      <w:pPr>
        <w:pStyle w:val="CommentaryText"/>
        <w:pBdr>
          <w:top w:val="none" w:sz="0" w:space="0" w:color="auto"/>
          <w:bottom w:val="none" w:sz="0" w:space="0" w:color="auto"/>
        </w:pBdr>
        <w:rPr>
          <w:i/>
          <w:iCs/>
          <w:noProof w:val="0"/>
        </w:rPr>
      </w:pPr>
      <w:r>
        <w:rPr>
          <w:i/>
          <w:iCs/>
          <w:noProof w:val="0"/>
        </w:rPr>
        <w:t>‘</w:t>
      </w:r>
      <w:r w:rsidR="004843DB" w:rsidRPr="0062582F">
        <w:rPr>
          <w:i/>
          <w:iCs/>
          <w:noProof w:val="0"/>
        </w:rPr>
        <w:t>If there is an indication of impairment, the assets concerned are tested as to whether their carrying value exceeds their recoverable amount. Where an asset</w:t>
      </w:r>
      <w:r>
        <w:rPr>
          <w:i/>
          <w:iCs/>
          <w:noProof w:val="0"/>
        </w:rPr>
        <w:t>’</w:t>
      </w:r>
      <w:r w:rsidR="004843DB" w:rsidRPr="0062582F">
        <w:rPr>
          <w:i/>
          <w:iCs/>
          <w:noProof w:val="0"/>
        </w:rPr>
        <w:t>s carrying value exceeds its recoverable amount, the difference is written off by a charge to the comprehensive operating statement except to the extent that the write</w:t>
      </w:r>
      <w:r>
        <w:rPr>
          <w:i/>
          <w:iCs/>
          <w:noProof w:val="0"/>
        </w:rPr>
        <w:noBreakHyphen/>
      </w:r>
      <w:r w:rsidR="004843DB" w:rsidRPr="0062582F">
        <w:rPr>
          <w:i/>
          <w:iCs/>
          <w:noProof w:val="0"/>
        </w:rPr>
        <w:t>down can be debited to an asset revaluation surplus amount applicable to that specific asset.</w:t>
      </w:r>
    </w:p>
    <w:p w:rsidR="004843DB" w:rsidRPr="0062582F" w:rsidRDefault="004843DB" w:rsidP="004843DB">
      <w:pPr>
        <w:pStyle w:val="CommentaryText"/>
        <w:pBdr>
          <w:top w:val="none" w:sz="0" w:space="0" w:color="auto"/>
          <w:bottom w:val="none" w:sz="0" w:space="0" w:color="auto"/>
        </w:pBdr>
        <w:rPr>
          <w:iCs/>
          <w:noProof w:val="0"/>
        </w:rPr>
      </w:pPr>
      <w:r w:rsidRPr="0062582F">
        <w:rPr>
          <w:i/>
          <w:iCs/>
          <w:noProof w:val="0"/>
        </w:rPr>
        <w:t>The recoverable amount for assets is measured at the higher of the present value of future cash flows expected to be obtained from the asset and fair value less costs to sell</w:t>
      </w:r>
      <w:r w:rsidR="005A4BB0">
        <w:rPr>
          <w:i/>
          <w:iCs/>
          <w:noProof w:val="0"/>
        </w:rPr>
        <w:t>’</w:t>
      </w:r>
      <w:r w:rsidRPr="0062582F">
        <w:rPr>
          <w:i/>
          <w:iCs/>
          <w:noProof w:val="0"/>
        </w:rPr>
        <w:t xml:space="preserve">. </w:t>
      </w:r>
    </w:p>
    <w:p w:rsidR="004843DB" w:rsidRPr="0062582F" w:rsidRDefault="004843DB" w:rsidP="004843DB">
      <w:pPr>
        <w:pStyle w:val="CommentaryHeading1"/>
        <w:pBdr>
          <w:top w:val="none" w:sz="0" w:space="0" w:color="auto"/>
          <w:bottom w:val="none" w:sz="0" w:space="0" w:color="auto"/>
        </w:pBdr>
      </w:pPr>
      <w:r w:rsidRPr="0062582F">
        <w:t>Inventories held for distribution</w:t>
      </w:r>
    </w:p>
    <w:p w:rsidR="004843DB" w:rsidRPr="0062582F" w:rsidRDefault="004843DB" w:rsidP="004843DB">
      <w:pPr>
        <w:pStyle w:val="CommentaryHeading2"/>
        <w:rPr>
          <w:iCs/>
        </w:rPr>
      </w:pPr>
      <w:r w:rsidRPr="0062582F">
        <w:t>Guidance for assessing loss of service potential</w:t>
      </w:r>
    </w:p>
    <w:p w:rsidR="004843DB" w:rsidRPr="0062582F" w:rsidRDefault="004843DB" w:rsidP="004843DB">
      <w:pPr>
        <w:pStyle w:val="CommentaryText"/>
        <w:rPr>
          <w:i/>
          <w:iCs/>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102.Aus9.2 and BC15</w:t>
      </w:r>
    </w:p>
    <w:p w:rsidR="004843DB" w:rsidRPr="0062582F" w:rsidRDefault="004843DB" w:rsidP="004843DB">
      <w:pPr>
        <w:pStyle w:val="CommentaryText"/>
        <w:pBdr>
          <w:top w:val="none" w:sz="0" w:space="0" w:color="auto"/>
          <w:bottom w:val="none" w:sz="0" w:space="0" w:color="auto"/>
        </w:pBdr>
        <w:rPr>
          <w:b/>
          <w:bCs/>
        </w:rPr>
      </w:pPr>
      <w:r w:rsidRPr="0062582F">
        <w:br w:type="column"/>
      </w:r>
      <w:r w:rsidRPr="0062582F">
        <w:lastRenderedPageBreak/>
        <w:t>The loss of service potential for inventories held for distribution by not</w:t>
      </w:r>
      <w:r w:rsidR="005A4BB0">
        <w:noBreakHyphen/>
      </w:r>
      <w:r w:rsidRPr="0062582F">
        <w:t>for</w:t>
      </w:r>
      <w:r w:rsidR="005A4BB0">
        <w:noBreakHyphen/>
      </w:r>
      <w:r w:rsidRPr="0062582F">
        <w:t xml:space="preserve">profit entities may sometimes be identified through a fall in replacement cost of the inventories, but this is not necessarily always the case, and more relevant bases can be used to identify loss of service potential. For example, obsolescence, which may occur with or without there being a fall in current replacement cost. Obsolescence covers both technical and/or functional obsolescence. </w:t>
      </w:r>
      <w:r w:rsidRPr="0062582F">
        <w:rPr>
          <w:b/>
          <w:bCs/>
        </w:rPr>
        <w:t>It is strongly encouraged that entities use their judgement in determining the most appropriate basis (bases) in assessing any loss in service potential for inventories held for distribution.</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rPr>
          <w:noProof w:val="0"/>
        </w:rPr>
        <w:t xml:space="preserve">Entities should refer to the AASB 102 </w:t>
      </w:r>
      <w:r w:rsidRPr="0062582F">
        <w:rPr>
          <w:i/>
          <w:noProof w:val="0"/>
        </w:rPr>
        <w:t xml:space="preserve">Inventories </w:t>
      </w:r>
      <w:r w:rsidRPr="0062582F">
        <w:rPr>
          <w:noProof w:val="0"/>
        </w:rPr>
        <w:t>paragraphs BC12</w:t>
      </w:r>
      <w:r w:rsidR="005A4BB0">
        <w:rPr>
          <w:noProof w:val="0"/>
        </w:rPr>
        <w:noBreakHyphen/>
      </w:r>
      <w:r w:rsidRPr="0062582F">
        <w:rPr>
          <w:noProof w:val="0"/>
        </w:rPr>
        <w:t xml:space="preserve">BC20 for detailed guidance on assessing loss of service potential. </w:t>
      </w:r>
    </w:p>
    <w:p w:rsidR="004843DB" w:rsidRPr="0062582F" w:rsidRDefault="004843DB" w:rsidP="004843DB">
      <w:pPr>
        <w:pStyle w:val="Reference"/>
        <w:spacing w:before="240"/>
      </w:pPr>
      <w:r w:rsidRPr="0062582F">
        <w:lastRenderedPageBreak/>
        <w:t>AASB 116</w:t>
      </w:r>
    </w:p>
    <w:p w:rsidR="004843DB" w:rsidRPr="0062582F" w:rsidRDefault="004843DB" w:rsidP="004843DB">
      <w:pPr>
        <w:pStyle w:val="CommentaryHeading2"/>
      </w:pPr>
      <w:r w:rsidRPr="0062582F">
        <w:br w:type="column"/>
      </w:r>
      <w:r w:rsidRPr="0062582F">
        <w:lastRenderedPageBreak/>
        <w:t>Recoverable amount and revaluation of non</w:t>
      </w:r>
      <w:r w:rsidR="005A4BB0">
        <w:noBreakHyphen/>
      </w:r>
      <w:r w:rsidRPr="0062582F">
        <w:t>financial physical assets</w:t>
      </w:r>
    </w:p>
    <w:p w:rsidR="004843DB" w:rsidRPr="0062582F" w:rsidRDefault="004843DB" w:rsidP="004843DB">
      <w:pPr>
        <w:pStyle w:val="CommentaryText"/>
        <w:pBdr>
          <w:top w:val="none" w:sz="0" w:space="0" w:color="auto"/>
          <w:left w:val="single" w:sz="4" w:space="4" w:color="3366FF"/>
          <w:bottom w:val="none" w:sz="0" w:space="0" w:color="auto"/>
          <w:right w:val="single" w:sz="4" w:space="4" w:color="3366FF"/>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FRD 103F</w:t>
      </w:r>
    </w:p>
    <w:p w:rsidR="004843DB" w:rsidRPr="0062582F" w:rsidRDefault="004843DB" w:rsidP="00A85EA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Accounting requirements for the recoverable amount and revaluation of non</w:t>
      </w:r>
      <w:r w:rsidR="005A4BB0">
        <w:rPr>
          <w:noProof w:val="0"/>
        </w:rPr>
        <w:noBreakHyphen/>
      </w:r>
      <w:r w:rsidRPr="0062582F">
        <w:rPr>
          <w:noProof w:val="0"/>
        </w:rPr>
        <w:t xml:space="preserve">financial physical assets are set out in AASB 116 </w:t>
      </w:r>
      <w:r w:rsidRPr="0062582F">
        <w:rPr>
          <w:i/>
          <w:iCs/>
          <w:noProof w:val="0"/>
        </w:rPr>
        <w:t>Property, Plant and Equipment</w:t>
      </w:r>
      <w:r w:rsidRPr="0062582F">
        <w:rPr>
          <w:noProof w:val="0"/>
        </w:rPr>
        <w:t>. In addition, entities should refer to FRD 103F on the required timing and process in relation to any subsequent revaluation undertaken.</w:t>
      </w:r>
    </w:p>
    <w:p w:rsidR="004843DB" w:rsidRPr="0062582F" w:rsidRDefault="004843DB" w:rsidP="00A85EA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7354A1">
      <w:pPr>
        <w:pStyle w:val="Reference"/>
      </w:pPr>
      <w:r w:rsidRPr="0062582F">
        <w:lastRenderedPageBreak/>
        <w:t>AASB 116.2</w:t>
      </w:r>
    </w:p>
    <w:p w:rsidR="004843DB" w:rsidRPr="0062582F" w:rsidRDefault="004843DB" w:rsidP="00A85EA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AASB 116 shall be applied in accounting for property, plant and equipment except when another standard requires or permits a different accounting treatment.</w:t>
      </w:r>
    </w:p>
    <w:p w:rsidR="004843DB" w:rsidRPr="0062582F" w:rsidRDefault="004843DB" w:rsidP="00A85EA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7354A1">
      <w:pPr>
        <w:pStyle w:val="Reference"/>
      </w:pPr>
      <w:r w:rsidRPr="0062582F">
        <w:lastRenderedPageBreak/>
        <w:t>AASB 116.3</w:t>
      </w:r>
    </w:p>
    <w:p w:rsidR="004843DB" w:rsidRPr="0062582F" w:rsidRDefault="004843DB" w:rsidP="00A85EA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AASB 116 does not apply to:</w:t>
      </w:r>
    </w:p>
    <w:p w:rsidR="004843DB" w:rsidRPr="0062582F" w:rsidRDefault="004843DB" w:rsidP="004843DB">
      <w:pPr>
        <w:pStyle w:val="CommentaryTextIndent"/>
        <w:pBdr>
          <w:top w:val="none" w:sz="0" w:space="0" w:color="auto"/>
        </w:pBdr>
      </w:pPr>
      <w:r w:rsidRPr="0062582F">
        <w:t>(a)</w:t>
      </w:r>
      <w:r w:rsidRPr="0062582F">
        <w:tab/>
        <w:t xml:space="preserve">property, plant and equipment classified as held for sale in accordance with AASB 5 </w:t>
      </w:r>
      <w:r w:rsidRPr="0062582F">
        <w:rPr>
          <w:i/>
        </w:rPr>
        <w:t>Non</w:t>
      </w:r>
      <w:r w:rsidR="005A4BB0">
        <w:rPr>
          <w:i/>
        </w:rPr>
        <w:noBreakHyphen/>
      </w:r>
      <w:r w:rsidRPr="0062582F">
        <w:rPr>
          <w:i/>
        </w:rPr>
        <w:t>current Assets Held for Sale and Discontinued Operations</w:t>
      </w:r>
      <w:r w:rsidRPr="0062582F">
        <w:t>; or</w:t>
      </w:r>
    </w:p>
    <w:p w:rsidR="004843DB" w:rsidRPr="0062582F" w:rsidRDefault="004843DB" w:rsidP="004843DB">
      <w:pPr>
        <w:pStyle w:val="CommentaryTextIndent"/>
        <w:pBdr>
          <w:top w:val="none" w:sz="0" w:space="0" w:color="auto"/>
        </w:pBdr>
      </w:pPr>
      <w:r w:rsidRPr="0062582F">
        <w:t>(b)</w:t>
      </w:r>
      <w:r w:rsidRPr="0062582F">
        <w:tab/>
        <w:t>biological assets related to agricultural activity; or</w:t>
      </w:r>
    </w:p>
    <w:p w:rsidR="004843DB" w:rsidRPr="0062582F" w:rsidRDefault="004843DB" w:rsidP="004843DB">
      <w:pPr>
        <w:pStyle w:val="CommentaryTextIndent"/>
        <w:pBdr>
          <w:top w:val="none" w:sz="0" w:space="0" w:color="auto"/>
        </w:pBdr>
      </w:pPr>
      <w:r w:rsidRPr="0062582F">
        <w:t>(c)</w:t>
      </w:r>
      <w:r w:rsidRPr="0062582F">
        <w:tab/>
        <w:t>mineral rights and mineral reserves such as oil, natural gas and similar non</w:t>
      </w:r>
      <w:r w:rsidR="005A4BB0">
        <w:noBreakHyphen/>
      </w:r>
      <w:r w:rsidRPr="0062582F">
        <w:t>regenerative resources.</w:t>
      </w:r>
    </w:p>
    <w:p w:rsidR="004843DB" w:rsidRPr="0062582F" w:rsidRDefault="004843DB" w:rsidP="004843DB">
      <w:pPr>
        <w:spacing w:before="0" w:line="240" w:lineRule="atLeast"/>
        <w:rPr>
          <w:rFonts w:cs="Times New Roman"/>
          <w:b/>
          <w:bCs/>
          <w:color w:val="0000FF"/>
        </w:rPr>
      </w:pPr>
      <w:r w:rsidRPr="0062582F">
        <w:rPr>
          <w:rFonts w:cs="Times New Roman"/>
          <w:b/>
          <w:bCs/>
        </w:rPr>
        <w:br w:type="page"/>
      </w:r>
    </w:p>
    <w:p w:rsidR="004843DB" w:rsidRPr="0062582F" w:rsidRDefault="004843DB" w:rsidP="004843DB">
      <w:pPr>
        <w:pStyle w:val="SmallLine"/>
      </w:pPr>
      <w:r w:rsidRPr="0062582F">
        <w:lastRenderedPageBreak/>
        <w:br w:type="column"/>
      </w:r>
    </w:p>
    <w:p w:rsidR="004843DB" w:rsidRPr="0062582F" w:rsidRDefault="004843DB" w:rsidP="004843DB">
      <w:pPr>
        <w:pStyle w:val="CommentaryHeading"/>
        <w:rPr>
          <w:i/>
          <w:iCs/>
        </w:rPr>
      </w:pPr>
      <w:r w:rsidRPr="0062582F">
        <w:t xml:space="preserve">Commentary – Statement of significant accounting policies </w:t>
      </w:r>
      <w:r w:rsidRPr="0062582F">
        <w:rPr>
          <w:i/>
          <w:iCs/>
        </w:rPr>
        <w:t>(continued)</w:t>
      </w:r>
    </w:p>
    <w:p w:rsidR="004843DB" w:rsidRPr="0062582F" w:rsidRDefault="004843DB" w:rsidP="004843DB">
      <w:pPr>
        <w:pStyle w:val="SmallLineBlue"/>
        <w:pBdr>
          <w:top w:val="single" w:sz="4" w:space="0" w:color="0000FF"/>
        </w:pBdr>
      </w:pPr>
    </w:p>
    <w:p w:rsidR="004843DB" w:rsidRPr="0062582F" w:rsidRDefault="004843DB" w:rsidP="004843DB">
      <w:pPr>
        <w:pStyle w:val="CommentaryText"/>
        <w:pBdr>
          <w:top w:val="none" w:sz="0" w:space="0" w:color="auto"/>
          <w:bottom w:val="none" w:sz="0" w:space="0" w:color="auto"/>
        </w:pBdr>
      </w:pPr>
      <w:r w:rsidRPr="0062582F">
        <w:rPr>
          <w:rFonts w:cs="Times New Roman"/>
          <w:b/>
          <w:bCs/>
          <w:noProof w:val="0"/>
        </w:rPr>
        <w:t xml:space="preserve">Note: </w:t>
      </w:r>
      <w:r w:rsidRPr="0062582F">
        <w:t>The policy disclosure provided in this Model for revaluation of non</w:t>
      </w:r>
      <w:r w:rsidR="005A4BB0">
        <w:noBreakHyphen/>
      </w:r>
      <w:r w:rsidRPr="0062582F">
        <w:t>financial physical assets is also applicable to for</w:t>
      </w:r>
      <w:r w:rsidR="005A4BB0">
        <w:noBreakHyphen/>
      </w:r>
      <w:r w:rsidRPr="0062582F">
        <w:t>profit entities, except for the policy on the transfer of physical asset revaluation surplus to accumulated surplus. Unlike not</w:t>
      </w:r>
      <w:r w:rsidR="005A4BB0">
        <w:noBreakHyphen/>
      </w:r>
      <w:r w:rsidRPr="0062582F">
        <w:t>for</w:t>
      </w:r>
      <w:r w:rsidR="005A4BB0">
        <w:noBreakHyphen/>
      </w:r>
      <w:r w:rsidRPr="0062582F">
        <w:t>profit entities, for</w:t>
      </w:r>
      <w:r w:rsidR="005A4BB0">
        <w:noBreakHyphen/>
      </w:r>
      <w:r w:rsidRPr="0062582F">
        <w:t>profit entities may transfer the physical asset revaluation surplus to accumulated surplus on derecognition of the relevant asset.</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2"/>
      </w:pPr>
      <w:r w:rsidRPr="0062582F">
        <w:lastRenderedPageBreak/>
        <w:br w:type="column"/>
      </w:r>
      <w:r w:rsidRPr="0062582F">
        <w:lastRenderedPageBreak/>
        <w:t xml:space="preserve">Biological assets </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lastRenderedPageBreak/>
        <w:t>AASB 141.15</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The determination of fair value for a biological asset may be facilitated by grouping biological assets according to significant attributes; for example, by age or quality. An entity selects the attributes corresponding to the attributes used in the market as a basis for pricing.</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141.16</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 xml:space="preserve">Entities often enter into contracts to sell their biological assets at a future date. Contract prices are not necessarily relevant in determining fair value, because fair value reflects the current market in which a willing buyer and seller would enter into a transaction. As a result, the fair value of a biological asset is not adjusted because of the existence of a contract. In some cases, a contract for the sale of a biological asset may be an onerous contract. AASB 137 </w:t>
      </w:r>
      <w:r w:rsidRPr="0062582F">
        <w:rPr>
          <w:i/>
        </w:rPr>
        <w:t xml:space="preserve">Provisions, Contingent Liabilities and Contingent Assets </w:t>
      </w:r>
      <w:r w:rsidRPr="0062582F">
        <w:t>applies to onerous contracts.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141.17</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If an active market exists for a biological asset in its present location and condition, the quoted price in that market is the appropriate basis for determining the fair value of that asset. If an entity has access to different active markets, the entity uses the most relevant one. For example, if an entity has access to two active markets, it would use the price existing in the market expected to be used.</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141.18</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If an active market does not exist, an entity uses one or more of the following, when available, in determining fair value:</w:t>
      </w:r>
    </w:p>
    <w:p w:rsidR="004843DB" w:rsidRPr="0062582F" w:rsidRDefault="004843DB" w:rsidP="004843DB">
      <w:pPr>
        <w:pStyle w:val="CommentaryTextIndent"/>
        <w:pBdr>
          <w:top w:val="none" w:sz="0" w:space="0" w:color="auto"/>
          <w:bottom w:val="none" w:sz="0" w:space="0" w:color="auto"/>
        </w:pBdr>
      </w:pPr>
      <w:r w:rsidRPr="0062582F">
        <w:t>(a)</w:t>
      </w:r>
      <w:r w:rsidRPr="0062582F">
        <w:tab/>
        <w:t>the most recent market transaction price, provided that there has not been a significant change in economic circumstances between the date of that transaction and the end of the reporting period;</w:t>
      </w:r>
    </w:p>
    <w:p w:rsidR="004843DB" w:rsidRPr="0062582F" w:rsidRDefault="004843DB" w:rsidP="004843DB">
      <w:pPr>
        <w:pStyle w:val="CommentaryTextIndent"/>
        <w:pBdr>
          <w:top w:val="none" w:sz="0" w:space="0" w:color="auto"/>
          <w:bottom w:val="none" w:sz="0" w:space="0" w:color="auto"/>
        </w:pBdr>
      </w:pPr>
      <w:r w:rsidRPr="0062582F">
        <w:t>(b)</w:t>
      </w:r>
      <w:r w:rsidRPr="0062582F">
        <w:tab/>
        <w:t>market prices for similar assets with adjustment to reflect differences; and</w:t>
      </w:r>
    </w:p>
    <w:p w:rsidR="004843DB" w:rsidRPr="0062582F" w:rsidRDefault="004843DB" w:rsidP="004843DB">
      <w:pPr>
        <w:pStyle w:val="CommentaryTextIndent"/>
        <w:pBdr>
          <w:top w:val="none" w:sz="0" w:space="0" w:color="auto"/>
          <w:bottom w:val="none" w:sz="0" w:space="0" w:color="auto"/>
        </w:pBdr>
      </w:pPr>
      <w:r w:rsidRPr="0062582F">
        <w:t>(c)</w:t>
      </w:r>
      <w:r w:rsidRPr="0062582F">
        <w:tab/>
        <w:t>sector benchmarks such as the value of an orchard expressed per export tray, bushel, or hectare, and the value of cattle expressed per kilogram of meat.</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141.19</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sectPr>
      </w:pPr>
      <w:r w:rsidRPr="0062582F">
        <w:br w:type="column"/>
      </w:r>
      <w:r w:rsidRPr="0062582F">
        <w:lastRenderedPageBreak/>
        <w:t>In some cases, the information sources listed above may suggest different conclusions as to the fair value of a biological asset. An entity considers the reasons for those differences, in order to arrive at the most reliable estimate of fair value within a relatively narrow range of reasonable estimates.</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pPr>
      <w:r w:rsidRPr="0062582F">
        <w:t>AASB 141.20</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In some circumstances, market</w:t>
      </w:r>
      <w:r w:rsidR="005A4BB0">
        <w:noBreakHyphen/>
      </w:r>
      <w:r w:rsidRPr="0062582F">
        <w:t>determined prices or values may not be available for a biological asset in its present condition. In these circumstances, an entity uses the present value of expected net cash flows from the asset discounted at a current market</w:t>
      </w:r>
      <w:r w:rsidR="005A4BB0">
        <w:noBreakHyphen/>
      </w:r>
      <w:r w:rsidRPr="0062582F">
        <w:t>determined rate in determining fair value.</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141.21</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The objective of a calculation of the present value of expected net cash flows is to determine the fair value of a biological asset in its present location and condition. An entity considers this in determining an appropriate discount rate to be used and in estimating expected net cash flows. In determining the present value of expected net cash flows, an entity includes the net cash flows that market participants would expect the asset to generate in its most relevant market.</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141.22</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An entity does not include any cash flows for financing the assets, taxation, or re</w:t>
      </w:r>
      <w:r w:rsidR="005A4BB0">
        <w:noBreakHyphen/>
      </w:r>
      <w:r w:rsidRPr="0062582F">
        <w:t>establishing biological assets after harvest.</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141.23</w:t>
      </w:r>
    </w:p>
    <w:p w:rsidR="004843DB" w:rsidRPr="0062582F" w:rsidRDefault="004843DB" w:rsidP="004843DB">
      <w:pPr>
        <w:pStyle w:val="CommentaryText"/>
        <w:pBdr>
          <w:top w:val="none" w:sz="0" w:space="0" w:color="auto"/>
        </w:pBdr>
      </w:pPr>
      <w:r w:rsidRPr="0062582F">
        <w:br w:type="column"/>
      </w:r>
      <w:r w:rsidRPr="0062582F">
        <w:lastRenderedPageBreak/>
        <w:t>In agreeing an arm</w:t>
      </w:r>
      <w:r w:rsidR="005A4BB0">
        <w:t>’</w:t>
      </w:r>
      <w:r w:rsidRPr="0062582F">
        <w:t xml:space="preserve">s length transaction price, knowledgeable, willing buyers and sellers consider the possibility of variations in cash flows. It follows that fair value reflects the possibility of such variations. Accordingly, an entity incorporates expectations about possible variations in cash flows into either the expected cash flows, or the discount rate, or some </w:t>
      </w:r>
    </w:p>
    <w:p w:rsidR="004843DB" w:rsidRPr="0062582F" w:rsidRDefault="004843DB" w:rsidP="004843DB">
      <w:pPr>
        <w:spacing w:before="0" w:line="240" w:lineRule="atLeast"/>
        <w:rPr>
          <w:noProof/>
          <w:color w:val="0000FF"/>
        </w:rPr>
      </w:pPr>
      <w:r w:rsidRPr="0062582F">
        <w:br w:type="page"/>
      </w:r>
    </w:p>
    <w:p w:rsidR="004843DB" w:rsidRPr="0062582F" w:rsidRDefault="004843DB" w:rsidP="004843DB">
      <w:pPr>
        <w:pStyle w:val="SmallLine"/>
      </w:pPr>
      <w:r w:rsidRPr="0062582F">
        <w:lastRenderedPageBreak/>
        <w:br w:type="column"/>
      </w:r>
    </w:p>
    <w:p w:rsidR="004843DB" w:rsidRPr="0062582F" w:rsidRDefault="004843DB" w:rsidP="004843DB">
      <w:pPr>
        <w:pStyle w:val="CommentaryHeading"/>
        <w:rPr>
          <w:i/>
          <w:iCs/>
        </w:rPr>
      </w:pPr>
      <w:r w:rsidRPr="0062582F">
        <w:t xml:space="preserve">Commentary – Statement of significant accounting policies </w:t>
      </w:r>
      <w:r w:rsidRPr="0062582F">
        <w:rPr>
          <w:i/>
          <w:iCs/>
        </w:rPr>
        <w:t>(continued)</w:t>
      </w:r>
    </w:p>
    <w:p w:rsidR="004843DB" w:rsidRPr="0062582F" w:rsidRDefault="004843DB" w:rsidP="004843DB">
      <w:pPr>
        <w:pStyle w:val="SmallLineBlue"/>
      </w:pPr>
    </w:p>
    <w:p w:rsidR="004843DB" w:rsidRPr="0062582F" w:rsidRDefault="004843DB" w:rsidP="004843DB">
      <w:pPr>
        <w:pStyle w:val="CommentaryText"/>
        <w:pBdr>
          <w:top w:val="none" w:sz="0" w:space="0" w:color="auto"/>
          <w:bottom w:val="none" w:sz="0" w:space="0" w:color="auto"/>
        </w:pBdr>
      </w:pPr>
      <w:r w:rsidRPr="0062582F">
        <w:t>combination of the two. In determining a discount rate, an entity uses assumptions consistent with those used in estimating the expected cash flows, to avoid the effect of some assumptions being double</w:t>
      </w:r>
      <w:r w:rsidR="005A4BB0">
        <w:noBreakHyphen/>
      </w:r>
      <w:r w:rsidRPr="0062582F">
        <w:t>counted or ignored.</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141.24</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Cost may sometimes approximate fair value, particularly when:</w:t>
      </w:r>
    </w:p>
    <w:p w:rsidR="004843DB" w:rsidRPr="0062582F" w:rsidRDefault="004843DB" w:rsidP="004843DB">
      <w:pPr>
        <w:pStyle w:val="CommentaryText"/>
        <w:numPr>
          <w:ilvl w:val="0"/>
          <w:numId w:val="12"/>
        </w:numPr>
        <w:pBdr>
          <w:top w:val="none" w:sz="0" w:space="0" w:color="auto"/>
          <w:bottom w:val="none" w:sz="0" w:space="0" w:color="auto"/>
        </w:pBdr>
        <w:tabs>
          <w:tab w:val="clear" w:pos="1080"/>
          <w:tab w:val="num" w:pos="426"/>
        </w:tabs>
        <w:ind w:left="426" w:hanging="426"/>
        <w:rPr>
          <w:noProof w:val="0"/>
        </w:rPr>
      </w:pPr>
      <w:r w:rsidRPr="0062582F">
        <w:rPr>
          <w:noProof w:val="0"/>
        </w:rPr>
        <w:t>little biological transformation has taken place since initial cost incurrence; or</w:t>
      </w:r>
    </w:p>
    <w:p w:rsidR="004843DB" w:rsidRPr="0062582F" w:rsidRDefault="004843DB" w:rsidP="004843DB">
      <w:pPr>
        <w:pStyle w:val="CommentaryText"/>
        <w:numPr>
          <w:ilvl w:val="0"/>
          <w:numId w:val="12"/>
        </w:numPr>
        <w:pBdr>
          <w:top w:val="none" w:sz="0" w:space="0" w:color="auto"/>
          <w:bottom w:val="none" w:sz="0" w:space="0" w:color="auto"/>
        </w:pBdr>
        <w:tabs>
          <w:tab w:val="clear" w:pos="1080"/>
          <w:tab w:val="num" w:pos="426"/>
        </w:tabs>
        <w:ind w:left="426" w:hanging="426"/>
        <w:rPr>
          <w:noProof w:val="0"/>
        </w:rPr>
      </w:pPr>
      <w:r w:rsidRPr="0062582F">
        <w:rPr>
          <w:noProof w:val="0"/>
        </w:rPr>
        <w:t>the impact of the biological transformation on price is not expected to be material.</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141.25</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Biological assets are often physically attached to land. Where</w:t>
      </w:r>
      <w:r w:rsidRPr="0062582F">
        <w:rPr>
          <w:b/>
        </w:rPr>
        <w:t xml:space="preserve"> </w:t>
      </w:r>
      <w:r w:rsidRPr="0062582F">
        <w:t>there is no separate market for biological assets that are attached to land, but an active market may exist for combined assets, the fair value of the raw land and land improvements may be deducted from the fair value of the combined assets to arrive at the fair value of the biological assets.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0"/>
      </w:pPr>
      <w:r w:rsidRPr="0062582F">
        <w:lastRenderedPageBreak/>
        <w:t>AASB 139.9</w:t>
      </w:r>
    </w:p>
    <w:p w:rsidR="004843DB" w:rsidRPr="0062582F" w:rsidRDefault="004843DB" w:rsidP="004843DB">
      <w:pPr>
        <w:pStyle w:val="CommentaryHeading1"/>
        <w:pBdr>
          <w:top w:val="none" w:sz="0" w:space="0" w:color="auto"/>
          <w:bottom w:val="none" w:sz="0" w:space="0" w:color="auto"/>
        </w:pBdr>
      </w:pPr>
      <w:r w:rsidRPr="0062582F">
        <w:br w:type="column"/>
      </w:r>
      <w:r w:rsidRPr="0062582F">
        <w:lastRenderedPageBreak/>
        <w:t>Other financial liabilities – financial guarantees</w:t>
      </w:r>
    </w:p>
    <w:p w:rsidR="004843DB" w:rsidRPr="0062582F" w:rsidRDefault="004843DB" w:rsidP="004843DB">
      <w:pPr>
        <w:pStyle w:val="CommentaryText"/>
        <w:pBdr>
          <w:top w:val="none" w:sz="0" w:space="0" w:color="auto"/>
          <w:bottom w:val="none" w:sz="0" w:space="0" w:color="auto"/>
        </w:pBdr>
      </w:pPr>
      <w:r w:rsidRPr="0062582F">
        <w:t xml:space="preserve">A </w:t>
      </w:r>
      <w:r w:rsidRPr="0062582F">
        <w:rPr>
          <w:iCs/>
        </w:rPr>
        <w:t>financial guarantee contract</w:t>
      </w:r>
      <w:r w:rsidRPr="0062582F">
        <w:t xml:space="preserve"> is a contract that requires the issuer to make specified payments to reimburse the holder for a loss it incurs because a specified debtor fails to make payment when due. Financial guarantee contracts may have various forms, and may arise under legislation. Departments should undertake a comprehensive review to identify whether any financial guarantee contracts exist.</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t>It is highly unlikely that financial guarantees would be issued other than under legislation that is administered by DTF, although it is possible. In the rare instance where a financial guarantee has been issued under legislation administered by another department, the department concerned would need to disclose this in a separate note and it is recommended that the department seeks separate advice regarding this matter.</w:t>
      </w:r>
    </w:p>
    <w:p w:rsidR="004843DB" w:rsidRPr="0062582F" w:rsidRDefault="004843DB" w:rsidP="004843DB">
      <w:pPr>
        <w:pStyle w:val="CommentaryText"/>
        <w:pBdr>
          <w:top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lastRenderedPageBreak/>
        <w:t>AASB 139.47(c)</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Financial guarantee contracts are recognised as a financial liability at the time the guarantee is issued. The liability is initially measured at fair value and subsequently at the higher of the amount and the amount initially recognised less cumulative amortisation, where appropriate.</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t>The fair value of financial guarantees is determined as the present value of the difference in net cash flows between the contractual payments under the debt instrument and the payments that would be required without the guarantee.</w:t>
      </w:r>
    </w:p>
    <w:p w:rsidR="004843DB" w:rsidRPr="0062582F" w:rsidRDefault="004843DB" w:rsidP="004843DB">
      <w:pPr>
        <w:pStyle w:val="CommentaryHeading1"/>
        <w:pBdr>
          <w:top w:val="none" w:sz="0" w:space="0" w:color="auto"/>
          <w:bottom w:val="none" w:sz="0" w:space="0" w:color="auto"/>
        </w:pBdr>
        <w:spacing w:before="80"/>
        <w:rPr>
          <w:noProof w:val="0"/>
        </w:rPr>
      </w:pPr>
      <w:r w:rsidRPr="0062582F">
        <w:t>Reclassification of financial assets</w:t>
      </w:r>
    </w:p>
    <w:p w:rsidR="004843DB" w:rsidRPr="0062582F" w:rsidRDefault="004843DB" w:rsidP="004843DB">
      <w:pPr>
        <w:pStyle w:val="CommentaryText"/>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bookmarkStart w:id="333" w:name="_Toc163448707"/>
      <w:r w:rsidRPr="0062582F">
        <w:lastRenderedPageBreak/>
        <w:t>AASB 7.12</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 xml:space="preserve">If, as a result of a change in intention or ability or in the rare circumstance that a reliable measure of fair value is no longer available, or because the </w:t>
      </w:r>
      <w:r w:rsidR="005A4BB0">
        <w:t>‘</w:t>
      </w:r>
      <w:r w:rsidRPr="0062582F">
        <w:t>two preceding annual reporting periods</w:t>
      </w:r>
      <w:r w:rsidR="005A4BB0">
        <w:t>’</w:t>
      </w:r>
      <w:r w:rsidRPr="0062582F">
        <w:t xml:space="preserve"> have passed in relation to a financial asset that could previously not be classified as held</w:t>
      </w:r>
      <w:r w:rsidR="005A4BB0">
        <w:noBreakHyphen/>
      </w:r>
      <w:r w:rsidRPr="0062582F">
        <w:t>to</w:t>
      </w:r>
      <w:r w:rsidR="005A4BB0">
        <w:noBreakHyphen/>
      </w:r>
      <w:r w:rsidRPr="0062582F">
        <w:t>maturity, where an entity reclassifies a financial asset as one measured at cost or amortised cost rather than at fair value, it shall disclose the reason for the reclassification.</w:t>
      </w:r>
    </w:p>
    <w:p w:rsidR="004843DB" w:rsidRPr="0062582F" w:rsidRDefault="004843DB" w:rsidP="004843DB">
      <w:pPr>
        <w:pStyle w:val="CommentaryHeading1"/>
        <w:pBdr>
          <w:top w:val="none" w:sz="0" w:space="0" w:color="auto"/>
          <w:bottom w:val="none" w:sz="0" w:space="0" w:color="auto"/>
        </w:pBdr>
      </w:pPr>
      <w:bookmarkStart w:id="334" w:name="_Toc163448712"/>
      <w:bookmarkEnd w:id="333"/>
      <w:r w:rsidRPr="0062582F">
        <w:t>Functional and presentation currency</w:t>
      </w:r>
      <w:bookmarkEnd w:id="334"/>
    </w:p>
    <w:p w:rsidR="004843DB" w:rsidRPr="0062582F" w:rsidRDefault="004843DB" w:rsidP="004843DB">
      <w:pPr>
        <w:pStyle w:val="CommentaryText"/>
        <w:pBdr>
          <w:top w:val="none" w:sz="0" w:space="0" w:color="auto"/>
          <w:bottom w:val="none" w:sz="0" w:space="0" w:color="auto"/>
        </w:pBdr>
        <w:rPr>
          <w:iCs/>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FRD 104</w:t>
      </w:r>
    </w:p>
    <w:p w:rsidR="004843DB" w:rsidRPr="0062582F" w:rsidRDefault="004843DB" w:rsidP="004843DB">
      <w:pPr>
        <w:pStyle w:val="CommentaryText"/>
        <w:pBdr>
          <w:top w:val="none" w:sz="0" w:space="0" w:color="auto"/>
        </w:pBdr>
        <w:rPr>
          <w:iCs/>
          <w:noProof w:val="0"/>
        </w:rPr>
      </w:pPr>
      <w:r w:rsidRPr="0062582F">
        <w:rPr>
          <w:iCs/>
          <w:noProof w:val="0"/>
        </w:rPr>
        <w:br w:type="column"/>
      </w:r>
      <w:r w:rsidRPr="0062582F">
        <w:rPr>
          <w:iCs/>
          <w:noProof w:val="0"/>
        </w:rPr>
        <w:lastRenderedPageBreak/>
        <w:t>The following disclosure may be appropriate for departments with foreign operations:</w:t>
      </w:r>
    </w:p>
    <w:p w:rsidR="004843DB" w:rsidRPr="0062582F" w:rsidRDefault="005A4BB0" w:rsidP="004843DB">
      <w:pPr>
        <w:pStyle w:val="CommentaryText"/>
        <w:pBdr>
          <w:top w:val="none" w:sz="0" w:space="0" w:color="auto"/>
        </w:pBdr>
        <w:rPr>
          <w:i/>
          <w:noProof w:val="0"/>
        </w:rPr>
      </w:pPr>
      <w:r>
        <w:rPr>
          <w:i/>
          <w:noProof w:val="0"/>
        </w:rPr>
        <w:t>‘</w:t>
      </w:r>
      <w:r w:rsidR="004843DB" w:rsidRPr="0062582F">
        <w:rPr>
          <w:i/>
          <w:noProof w:val="0"/>
        </w:rPr>
        <w:t xml:space="preserve">The presentation currency of Department </w:t>
      </w:r>
      <w:r w:rsidR="004843DB" w:rsidRPr="0062582F">
        <w:rPr>
          <w:noProof w:val="0"/>
        </w:rPr>
        <w:t>[insert entity name]</w:t>
      </w:r>
      <w:r w:rsidR="004843DB" w:rsidRPr="0062582F">
        <w:rPr>
          <w:i/>
          <w:noProof w:val="0"/>
        </w:rPr>
        <w:t xml:space="preserve"> is the Australian dollar. The functional currency of each subsidiary throughout the group is generally the local currency. For consolidation purposes, assets and liabilities of these subsidiaries are translated at the closing rate at the end of the reporting period. Income and expense items are translated at the average exchange rate for the period. The effects of translating the financial position and results of operations from local functional currencies are included in other comprehensive income.</w:t>
      </w:r>
      <w:r>
        <w:rPr>
          <w:i/>
          <w:noProof w:val="0"/>
        </w:rPr>
        <w:t>’</w:t>
      </w:r>
    </w:p>
    <w:p w:rsidR="004843DB" w:rsidRPr="0062582F" w:rsidRDefault="004843DB" w:rsidP="004843DB">
      <w:pPr>
        <w:spacing w:before="0" w:line="240" w:lineRule="atLeast"/>
        <w:rPr>
          <w:i/>
          <w:color w:val="0000FF"/>
        </w:rPr>
      </w:pPr>
      <w:r w:rsidRPr="0062582F">
        <w:rPr>
          <w:i/>
        </w:rPr>
        <w:br w:type="page"/>
      </w:r>
    </w:p>
    <w:p w:rsidR="004843DB" w:rsidRPr="0062582F" w:rsidRDefault="004843DB" w:rsidP="004843DB">
      <w:pPr>
        <w:pStyle w:val="SmallLine"/>
      </w:pPr>
      <w:r w:rsidRPr="0062582F">
        <w:lastRenderedPageBreak/>
        <w:br w:type="column"/>
      </w:r>
    </w:p>
    <w:p w:rsidR="004843DB" w:rsidRPr="0062582F" w:rsidRDefault="004843DB" w:rsidP="004843DB">
      <w:pPr>
        <w:pStyle w:val="CommentaryHeading"/>
        <w:rPr>
          <w:i/>
          <w:iCs/>
        </w:rPr>
      </w:pPr>
      <w:r w:rsidRPr="0062582F">
        <w:t xml:space="preserve">Commentary – Statement of significant accounting policies </w:t>
      </w:r>
      <w:r w:rsidRPr="0062582F">
        <w:rPr>
          <w:i/>
          <w:iCs/>
        </w:rPr>
        <w:t>(continued)</w:t>
      </w:r>
    </w:p>
    <w:p w:rsidR="004843DB" w:rsidRPr="0062582F" w:rsidRDefault="004843DB" w:rsidP="004843DB">
      <w:pPr>
        <w:pStyle w:val="SmallLineBlue"/>
      </w:pPr>
    </w:p>
    <w:p w:rsidR="004843DB" w:rsidRPr="0062582F" w:rsidRDefault="004843DB" w:rsidP="004843DB">
      <w:pPr>
        <w:pStyle w:val="CommentaryText"/>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rPr>
          <w:lang w:val="en-AU"/>
        </w:rPr>
        <w:lastRenderedPageBreak/>
        <w:t>SD 4.2</w:t>
      </w:r>
    </w:p>
    <w:p w:rsidR="004843DB" w:rsidRPr="0062582F" w:rsidRDefault="004843DB" w:rsidP="004843DB">
      <w:pPr>
        <w:pStyle w:val="CommentaryHeading1"/>
        <w:pBdr>
          <w:top w:val="none" w:sz="0" w:space="0" w:color="auto"/>
          <w:bottom w:val="none" w:sz="0" w:space="0" w:color="auto"/>
        </w:pBdr>
      </w:pPr>
      <w:bookmarkStart w:id="335" w:name="_Toc163448713"/>
      <w:r w:rsidRPr="0062582F">
        <w:br w:type="column"/>
      </w:r>
      <w:r w:rsidRPr="0062582F">
        <w:lastRenderedPageBreak/>
        <w:t>Rounding of amounts</w:t>
      </w:r>
      <w:bookmarkEnd w:id="335"/>
    </w:p>
    <w:p w:rsidR="004843DB" w:rsidRPr="0062582F" w:rsidRDefault="004843DB" w:rsidP="004843DB">
      <w:pPr>
        <w:pStyle w:val="CommentaryText"/>
        <w:pBdr>
          <w:top w:val="none" w:sz="0" w:space="0" w:color="auto"/>
          <w:bottom w:val="none" w:sz="0" w:space="0" w:color="auto"/>
        </w:pBdr>
        <w:rPr>
          <w:noProof w:val="0"/>
        </w:rPr>
      </w:pPr>
      <w:r w:rsidRPr="0062582F">
        <w:rPr>
          <w:noProof w:val="0"/>
        </w:rPr>
        <w:t>The rounding used in the presentation of amounts in the financial statements must be prominently displayed. The financial statements of a department must be expressed by reference to the nearest dollar except where the total assets, or liabilities, or income, or expenses, of a department are greater than:</w:t>
      </w:r>
    </w:p>
    <w:p w:rsidR="004843DB" w:rsidRPr="0062582F" w:rsidRDefault="004843DB" w:rsidP="004843DB">
      <w:pPr>
        <w:pStyle w:val="CommentaryBullet"/>
      </w:pPr>
      <w:r w:rsidRPr="0062582F">
        <w:t>$10 000 000 – the amounts shown in the financial statements may be expressed by reference to the nearest $1 000; or</w:t>
      </w:r>
    </w:p>
    <w:p w:rsidR="004843DB" w:rsidRPr="0062582F" w:rsidRDefault="004843DB" w:rsidP="004843DB">
      <w:pPr>
        <w:pStyle w:val="CommentaryBullet"/>
      </w:pPr>
      <w:r w:rsidRPr="0062582F">
        <w:t>$1 000 000 000 – the amounts shown in the financial statements may be expressed by reference to the nearest $100 000.</w:t>
      </w:r>
    </w:p>
    <w:p w:rsidR="004843DB" w:rsidRPr="0062582F" w:rsidRDefault="004843DB" w:rsidP="004843DB">
      <w:pPr>
        <w:pStyle w:val="CommentaryBulle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1"/>
        <w:pBdr>
          <w:top w:val="none" w:sz="0" w:space="0" w:color="auto"/>
          <w:bottom w:val="none" w:sz="0" w:space="0" w:color="auto"/>
        </w:pBdr>
      </w:pPr>
      <w:bookmarkStart w:id="336" w:name="_Toc163448715"/>
      <w:r w:rsidRPr="0062582F">
        <w:lastRenderedPageBreak/>
        <w:br w:type="column"/>
      </w:r>
      <w:r w:rsidRPr="0062582F">
        <w:lastRenderedPageBreak/>
        <w:t>New Accounting Standards and interpretations</w:t>
      </w:r>
      <w:bookmarkEnd w:id="336"/>
    </w:p>
    <w:p w:rsidR="004843DB" w:rsidRPr="0062582F" w:rsidRDefault="004843DB" w:rsidP="004843DB">
      <w:pPr>
        <w:pStyle w:val="CommentaryHeading2"/>
      </w:pPr>
      <w:bookmarkStart w:id="337" w:name="_Toc163448716"/>
      <w:r w:rsidRPr="0062582F">
        <w:t>AAS issued but not yet effective</w:t>
      </w:r>
      <w:bookmarkEnd w:id="337"/>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108.30</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When an entity has not applied a new AAS that has been issued but is not yet effective, the entity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this fact; and</w:t>
      </w:r>
    </w:p>
    <w:p w:rsidR="004843DB" w:rsidRPr="0062582F" w:rsidRDefault="004843DB" w:rsidP="004843DB">
      <w:pPr>
        <w:pStyle w:val="CommentaryTextIndent"/>
        <w:pBdr>
          <w:top w:val="none" w:sz="0" w:space="0" w:color="auto"/>
          <w:bottom w:val="none" w:sz="0" w:space="0" w:color="auto"/>
        </w:pBdr>
      </w:pPr>
      <w:r w:rsidRPr="0062582F">
        <w:t>(b)</w:t>
      </w:r>
      <w:r w:rsidRPr="0062582F">
        <w:tab/>
        <w:t>known or reasonably estimable information relevant to assessing the possible impact that application of the new AAS will have on the entity</w:t>
      </w:r>
      <w:r w:rsidR="005A4BB0">
        <w:t>’</w:t>
      </w:r>
      <w:r w:rsidRPr="0062582F">
        <w:t>s financial statements in the period of initial application.</w:t>
      </w:r>
    </w:p>
    <w:p w:rsidR="004843DB" w:rsidRPr="0062582F" w:rsidRDefault="004843DB" w:rsidP="004843DB">
      <w:pPr>
        <w:pStyle w:val="CommentaryText"/>
        <w:pBdr>
          <w:top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108.31</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r>
      <w:r w:rsidRPr="0062582F">
        <w:rPr>
          <w:noProof w:val="0"/>
        </w:rPr>
        <w:lastRenderedPageBreak/>
        <w:t>In complying with requirement above, an entity considers disclosing:</w:t>
      </w:r>
    </w:p>
    <w:p w:rsidR="004843DB" w:rsidRPr="0062582F" w:rsidRDefault="004843DB" w:rsidP="004843DB">
      <w:pPr>
        <w:pStyle w:val="CommentaryTextIndent"/>
        <w:pBdr>
          <w:top w:val="none" w:sz="0" w:space="0" w:color="auto"/>
          <w:bottom w:val="none" w:sz="0" w:space="0" w:color="auto"/>
        </w:pBdr>
      </w:pPr>
      <w:r w:rsidRPr="0062582F">
        <w:t>(a)</w:t>
      </w:r>
      <w:r w:rsidRPr="0062582F">
        <w:tab/>
        <w:t>the title of the new AAS;</w:t>
      </w:r>
    </w:p>
    <w:p w:rsidR="004843DB" w:rsidRPr="0062582F" w:rsidRDefault="004843DB" w:rsidP="004843DB">
      <w:pPr>
        <w:pStyle w:val="CommentaryTextIndent"/>
        <w:pBdr>
          <w:top w:val="none" w:sz="0" w:space="0" w:color="auto"/>
          <w:bottom w:val="none" w:sz="0" w:space="0" w:color="auto"/>
        </w:pBdr>
      </w:pPr>
      <w:r w:rsidRPr="0062582F">
        <w:t>(b)</w:t>
      </w:r>
      <w:r w:rsidRPr="0062582F">
        <w:tab/>
        <w:t>the nature of the impending change or changes in accounting policy;</w:t>
      </w:r>
    </w:p>
    <w:p w:rsidR="004843DB" w:rsidRPr="0062582F" w:rsidRDefault="004843DB" w:rsidP="004843DB">
      <w:pPr>
        <w:pStyle w:val="CommentaryTextIndent"/>
        <w:pBdr>
          <w:top w:val="none" w:sz="0" w:space="0" w:color="auto"/>
          <w:bottom w:val="none" w:sz="0" w:space="0" w:color="auto"/>
        </w:pBdr>
      </w:pPr>
      <w:r w:rsidRPr="0062582F">
        <w:t>(c)</w:t>
      </w:r>
      <w:r w:rsidRPr="0062582F">
        <w:tab/>
        <w:t>the date by which application of the standard is required;</w:t>
      </w:r>
    </w:p>
    <w:p w:rsidR="004843DB" w:rsidRPr="0062582F" w:rsidRDefault="004843DB" w:rsidP="004843DB">
      <w:pPr>
        <w:pStyle w:val="CommentaryTextIndent"/>
        <w:pBdr>
          <w:top w:val="none" w:sz="0" w:space="0" w:color="auto"/>
          <w:bottom w:val="none" w:sz="0" w:space="0" w:color="auto"/>
        </w:pBdr>
      </w:pPr>
      <w:r w:rsidRPr="0062582F">
        <w:t>(d)</w:t>
      </w:r>
      <w:r w:rsidRPr="0062582F">
        <w:tab/>
        <w:t>the date as at which it plans to apply the standard initially; and</w:t>
      </w:r>
    </w:p>
    <w:p w:rsidR="004843DB" w:rsidRPr="0062582F" w:rsidRDefault="004843DB" w:rsidP="004843DB">
      <w:pPr>
        <w:pStyle w:val="CommentaryTextIndent"/>
        <w:pBdr>
          <w:top w:val="none" w:sz="0" w:space="0" w:color="auto"/>
          <w:bottom w:val="none" w:sz="0" w:space="0" w:color="auto"/>
        </w:pBdr>
      </w:pPr>
      <w:r w:rsidRPr="0062582F">
        <w:t>(e)</w:t>
      </w:r>
      <w:r w:rsidRPr="0062582F">
        <w:tab/>
        <w:t>either:</w:t>
      </w:r>
    </w:p>
    <w:p w:rsidR="004843DB" w:rsidRPr="0062582F" w:rsidRDefault="004843DB" w:rsidP="004843DB">
      <w:pPr>
        <w:pStyle w:val="CommentaryTextIndent2"/>
        <w:pBdr>
          <w:top w:val="none" w:sz="0" w:space="0" w:color="auto"/>
          <w:bottom w:val="none" w:sz="0" w:space="0" w:color="auto"/>
        </w:pBdr>
      </w:pPr>
      <w:r w:rsidRPr="0062582F">
        <w:tab/>
        <w:t>(i)</w:t>
      </w:r>
      <w:r w:rsidRPr="0062582F">
        <w:tab/>
        <w:t>a discussion of the impact that initial application of the standard is expected to have on the entity</w:t>
      </w:r>
      <w:r w:rsidR="005A4BB0">
        <w:t>’</w:t>
      </w:r>
      <w:r w:rsidRPr="0062582F">
        <w:t>s financial statements; or</w:t>
      </w:r>
    </w:p>
    <w:p w:rsidR="004843DB" w:rsidRPr="0062582F" w:rsidRDefault="004843DB" w:rsidP="004843DB">
      <w:pPr>
        <w:pStyle w:val="CommentaryTextIndent2"/>
        <w:pBdr>
          <w:top w:val="none" w:sz="0" w:space="0" w:color="auto"/>
          <w:bottom w:val="none" w:sz="0" w:space="0" w:color="auto"/>
        </w:pBdr>
      </w:pPr>
      <w:r w:rsidRPr="0062582F">
        <w:tab/>
        <w:t>(ii)</w:t>
      </w:r>
      <w:r w:rsidRPr="0062582F">
        <w:tab/>
        <w:t>if that impact is not known or reasonably estimable, a statement to that effect.</w:t>
      </w:r>
    </w:p>
    <w:p w:rsidR="004843DB" w:rsidRPr="0062582F" w:rsidRDefault="004843DB" w:rsidP="004843DB">
      <w:pPr>
        <w:pStyle w:val="CommentaryText"/>
        <w:pBdr>
          <w:top w:val="none" w:sz="0" w:space="0" w:color="auto"/>
        </w:pBdr>
      </w:pPr>
      <w:r w:rsidRPr="0062582F">
        <w:t>The disclosures as described above must be made even if the impact on the entity is not expected to be material. However, there is no need to mention an AAS if it is clearly not applicable to the entity.</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Heading"/>
      </w:pPr>
      <w:bookmarkStart w:id="338" w:name="_Toc332019460"/>
      <w:r w:rsidRPr="0062582F">
        <w:lastRenderedPageBreak/>
        <w:br w:type="column"/>
      </w:r>
      <w:bookmarkStart w:id="339" w:name="_Toc366843349"/>
      <w:bookmarkStart w:id="340" w:name="_Toc448157181"/>
      <w:r w:rsidRPr="0062582F">
        <w:lastRenderedPageBreak/>
        <w:t>Note 2.</w:t>
      </w:r>
      <w:r w:rsidRPr="0062582F">
        <w:tab/>
        <w:t>Departmental (controlled) outputs</w:t>
      </w:r>
      <w:bookmarkEnd w:id="338"/>
      <w:bookmarkEnd w:id="339"/>
      <w:bookmarkEnd w:id="340"/>
    </w:p>
    <w:p w:rsidR="004843DB" w:rsidRPr="0062582F" w:rsidRDefault="004843DB" w:rsidP="004843DB">
      <w:r w:rsidRPr="0062582F">
        <w:t>A description of departmental outputs performed during the year ended 30 June 2016, and the objectives of these outputs, are summarised below.</w:t>
      </w:r>
    </w:p>
    <w:p w:rsidR="004843DB" w:rsidRPr="0062582F" w:rsidRDefault="004843DB" w:rsidP="004843DB">
      <w:pPr>
        <w:pStyle w:val="Heading2"/>
        <w:sectPr w:rsidR="004843DB" w:rsidRPr="0062582F" w:rsidSect="00190A01">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lastRenderedPageBreak/>
        <w:t>AASB 1052.15(a), (b)</w:t>
      </w:r>
    </w:p>
    <w:p w:rsidR="004843DB" w:rsidRPr="0062582F" w:rsidRDefault="004843DB" w:rsidP="004843DB">
      <w:pPr>
        <w:pStyle w:val="Heading2"/>
      </w:pPr>
      <w:r w:rsidRPr="0062582F">
        <w:br w:type="column"/>
      </w:r>
      <w:r w:rsidRPr="0062582F">
        <w:lastRenderedPageBreak/>
        <w:t>Strategic policy advice</w:t>
      </w:r>
    </w:p>
    <w:p w:rsidR="004843DB" w:rsidRPr="0062582F" w:rsidRDefault="004843DB" w:rsidP="004843DB">
      <w:pPr>
        <w:pStyle w:val="Heading4"/>
      </w:pPr>
      <w:r w:rsidRPr="0062582F">
        <w:t>Description of output</w:t>
      </w:r>
    </w:p>
    <w:p w:rsidR="004843DB" w:rsidRPr="0062582F" w:rsidRDefault="004843DB" w:rsidP="004843DB">
      <w:r w:rsidRPr="0062582F">
        <w:t>Provision of policy advice to the Government on the development, promotion, and support of information and biological technology in the public and private sectors.</w:t>
      </w:r>
    </w:p>
    <w:p w:rsidR="004843DB" w:rsidRPr="0062582F" w:rsidRDefault="004843DB" w:rsidP="004843DB">
      <w:pPr>
        <w:pStyle w:val="Heading4"/>
      </w:pPr>
      <w:r w:rsidRPr="0062582F">
        <w:t xml:space="preserve">Objectives </w:t>
      </w:r>
    </w:p>
    <w:p w:rsidR="004843DB" w:rsidRPr="0062582F" w:rsidRDefault="004843DB" w:rsidP="004843DB">
      <w:r w:rsidRPr="0062582F">
        <w:t>Improved economic performance of the State through the application of leading edge technology and to promote leadership in scientific research and innovation.</w:t>
      </w:r>
    </w:p>
    <w:p w:rsidR="004843DB" w:rsidRPr="0062582F" w:rsidRDefault="004843DB" w:rsidP="004843DB">
      <w:r w:rsidRPr="0062582F">
        <w:t xml:space="preserve">Contribution to </w:t>
      </w:r>
      <w:r w:rsidRPr="0062582F">
        <w:rPr>
          <w:rStyle w:val="NormalBlueChar"/>
          <w:i/>
          <w:iCs/>
        </w:rPr>
        <w:t>[Sustainable Thriving Victoria]</w:t>
      </w:r>
      <w:r w:rsidRPr="0062582F">
        <w:t xml:space="preserve"> Government outcomes:</w:t>
      </w:r>
    </w:p>
    <w:p w:rsidR="004843DB" w:rsidRPr="0062582F" w:rsidRDefault="004843DB" w:rsidP="004843DB">
      <w:pPr>
        <w:pStyle w:val="Bullet"/>
      </w:pPr>
      <w:r w:rsidRPr="0062582F">
        <w:t>more quality jobs and thriving innovative industries across Victoria; and</w:t>
      </w:r>
    </w:p>
    <w:p w:rsidR="004843DB" w:rsidRPr="0062582F" w:rsidRDefault="004843DB" w:rsidP="004843DB">
      <w:pPr>
        <w:pStyle w:val="Bullet"/>
      </w:pPr>
      <w:r w:rsidRPr="0062582F">
        <w:t>growing and linking all of Victoria.</w:t>
      </w:r>
    </w:p>
    <w:p w:rsidR="004843DB" w:rsidRPr="0062582F" w:rsidRDefault="004843DB" w:rsidP="004843DB">
      <w:pPr>
        <w:pStyle w:val="Heading2"/>
      </w:pPr>
      <w:r w:rsidRPr="0062582F">
        <w:t>Information technology and telecommunication services</w:t>
      </w:r>
    </w:p>
    <w:p w:rsidR="004843DB" w:rsidRPr="0062582F" w:rsidRDefault="004843DB" w:rsidP="004843DB">
      <w:pPr>
        <w:pStyle w:val="Heading4"/>
      </w:pPr>
      <w:r w:rsidRPr="0062582F">
        <w:t>Description of output</w:t>
      </w:r>
    </w:p>
    <w:p w:rsidR="004843DB" w:rsidRPr="0062582F" w:rsidRDefault="004843DB" w:rsidP="004843DB">
      <w:r w:rsidRPr="0062582F">
        <w:t>Provision of payroll, accounting and database management bureau service to a range of agencies in the Victorian public sector. Services also include information technology training and auditing of telephone usage. The Information Technology and Telecommunications (IT&amp;T) division of the Department provides services on the application and use of IT&amp;T to other governments in Australia and around the world on a fee for service basis.</w:t>
      </w:r>
    </w:p>
    <w:p w:rsidR="004843DB" w:rsidRPr="0062582F" w:rsidRDefault="004843DB" w:rsidP="004843DB">
      <w:pPr>
        <w:pStyle w:val="Heading4"/>
      </w:pPr>
      <w:r w:rsidRPr="0062582F">
        <w:t>Objectives</w:t>
      </w:r>
    </w:p>
    <w:p w:rsidR="004843DB" w:rsidRPr="0062582F" w:rsidRDefault="004843DB" w:rsidP="004843DB">
      <w:r w:rsidRPr="0062582F">
        <w:t>Efficient and economical operation of government activities to ensure optimal use of resources.</w:t>
      </w:r>
    </w:p>
    <w:p w:rsidR="004843DB" w:rsidRPr="0062582F" w:rsidRDefault="004843DB" w:rsidP="004843DB">
      <w:r w:rsidRPr="0062582F">
        <w:t>Leadership in IT&amp;T promotes Victoria as a centre for excellence in the application of new information technology and has the potential to contribute to the economic growth of the State.</w:t>
      </w:r>
    </w:p>
    <w:p w:rsidR="004843DB" w:rsidRPr="0062582F" w:rsidRDefault="004843DB" w:rsidP="004843DB">
      <w:r w:rsidRPr="0062582F">
        <w:t xml:space="preserve">Contribution to </w:t>
      </w:r>
      <w:r w:rsidRPr="0062582F">
        <w:rPr>
          <w:rStyle w:val="NormalBlueChar"/>
          <w:i/>
          <w:iCs/>
        </w:rPr>
        <w:t>[Sustainable Thriving Victoria]</w:t>
      </w:r>
      <w:r w:rsidRPr="0062582F">
        <w:t xml:space="preserve"> Government outcomes:</w:t>
      </w:r>
    </w:p>
    <w:p w:rsidR="004843DB" w:rsidRPr="0062582F" w:rsidRDefault="004843DB" w:rsidP="004843DB">
      <w:pPr>
        <w:pStyle w:val="Bullet"/>
      </w:pPr>
      <w:r w:rsidRPr="0062582F">
        <w:t>more quality jobs and thriving innovative industries across Victoria; and</w:t>
      </w:r>
    </w:p>
    <w:p w:rsidR="004843DB" w:rsidRPr="0062582F" w:rsidRDefault="004843DB" w:rsidP="004843DB">
      <w:pPr>
        <w:pStyle w:val="Bullet"/>
      </w:pPr>
      <w:r w:rsidRPr="0062582F">
        <w:t>sound financial management.</w:t>
      </w:r>
    </w:p>
    <w:p w:rsidR="004843DB" w:rsidRPr="0062582F" w:rsidRDefault="004843DB" w:rsidP="004843DB">
      <w:pPr>
        <w:pStyle w:val="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40"/>
      </w:pPr>
      <w:r w:rsidRPr="0062582F">
        <w:lastRenderedPageBreak/>
        <w:t>AASB 1052.15(a), (b)</w:t>
      </w:r>
    </w:p>
    <w:p w:rsidR="004843DB" w:rsidRPr="0062582F" w:rsidRDefault="004843DB" w:rsidP="004843DB">
      <w:pPr>
        <w:pStyle w:val="Heading2"/>
      </w:pPr>
      <w:r w:rsidRPr="0062582F">
        <w:br w:type="column"/>
      </w:r>
      <w:r w:rsidRPr="0062582F">
        <w:lastRenderedPageBreak/>
        <w:t>Research and development of biological technology</w:t>
      </w:r>
    </w:p>
    <w:p w:rsidR="004843DB" w:rsidRPr="0062582F" w:rsidRDefault="004843DB" w:rsidP="004843DB">
      <w:pPr>
        <w:pStyle w:val="Heading4"/>
      </w:pPr>
      <w:r w:rsidRPr="0062582F">
        <w:t>Description of output</w:t>
      </w:r>
    </w:p>
    <w:p w:rsidR="004843DB" w:rsidRPr="0062582F" w:rsidRDefault="004843DB" w:rsidP="004843DB">
      <w:r w:rsidRPr="0062582F">
        <w:t>A number of units within the Department conduct research and development of new biological technology for application in industry, particularly in the agricultural and health sectors. Commercial development of this new technology is primarily undertaken by Gene Sciences Victoria, a business unit of the Department.</w:t>
      </w:r>
    </w:p>
    <w:p w:rsidR="004843DB" w:rsidRPr="0062582F" w:rsidRDefault="004843DB" w:rsidP="004843DB">
      <w:pPr>
        <w:pStyle w:val="Heading4"/>
      </w:pPr>
      <w:r w:rsidRPr="0062582F">
        <w:t>Objectives</w:t>
      </w:r>
    </w:p>
    <w:p w:rsidR="004843DB" w:rsidRPr="0062582F" w:rsidRDefault="004843DB" w:rsidP="004843DB">
      <w:pPr>
        <w:rPr>
          <w:color w:val="800080"/>
        </w:rPr>
      </w:pPr>
      <w:r w:rsidRPr="0062582F">
        <w:t>Improvements to the quality of life of Victorians through eradicating certain diseases and enhancing nutrition as a result of better quality agricultural products.</w:t>
      </w:r>
    </w:p>
    <w:p w:rsidR="004843DB" w:rsidRPr="0062582F" w:rsidRDefault="004843DB" w:rsidP="004843DB">
      <w:r w:rsidRPr="0062582F">
        <w:t>Improved agricultural products are also considered to contribute to the economic growth of the State.</w:t>
      </w:r>
    </w:p>
    <w:p w:rsidR="004843DB" w:rsidRPr="0062582F" w:rsidRDefault="004843DB" w:rsidP="004843DB">
      <w:pPr>
        <w:spacing w:before="0" w:line="240" w:lineRule="atLeast"/>
        <w:rPr>
          <w:rFonts w:ascii="Calibri" w:hAnsi="Calibri" w:cs="Arial"/>
          <w:b/>
          <w:bCs/>
          <w:sz w:val="26"/>
          <w:szCs w:val="28"/>
          <w:lang w:val="en-GB"/>
        </w:rPr>
      </w:pPr>
      <w:r w:rsidRPr="0062582F">
        <w:br w:type="page"/>
      </w:r>
    </w:p>
    <w:p w:rsidR="004843DB" w:rsidRPr="0062582F" w:rsidRDefault="004843DB" w:rsidP="004843DB">
      <w:pPr>
        <w:pStyle w:val="NoteHeadingcontinued"/>
        <w:rPr>
          <w:i/>
        </w:rPr>
      </w:pPr>
      <w:r w:rsidRPr="0062582F">
        <w:lastRenderedPageBreak/>
        <w:br w:type="column"/>
      </w:r>
      <w:r w:rsidRPr="0062582F">
        <w:lastRenderedPageBreak/>
        <w:t>Note 2.</w:t>
      </w:r>
      <w:r w:rsidRPr="0062582F">
        <w:tab/>
        <w:t xml:space="preserve">Departmental (controlled) outputs </w:t>
      </w:r>
      <w:r w:rsidRPr="0062582F">
        <w:rPr>
          <w:i/>
        </w:rPr>
        <w:t>(continued)</w:t>
      </w:r>
    </w:p>
    <w:p w:rsidR="004843DB" w:rsidRPr="0062582F" w:rsidRDefault="004843DB" w:rsidP="004843DB">
      <w:r w:rsidRPr="0062582F">
        <w:t xml:space="preserve">Contribution to </w:t>
      </w:r>
      <w:r w:rsidRPr="0062582F">
        <w:rPr>
          <w:rStyle w:val="NormalBlueChar"/>
          <w:i/>
          <w:iCs/>
        </w:rPr>
        <w:t>[Sustainable Thriving Victoria]</w:t>
      </w:r>
      <w:r w:rsidRPr="0062582F">
        <w:t xml:space="preserve"> Government outcomes:</w:t>
      </w:r>
    </w:p>
    <w:p w:rsidR="004843DB" w:rsidRPr="0062582F" w:rsidRDefault="004843DB" w:rsidP="004843DB">
      <w:pPr>
        <w:pStyle w:val="Bullet"/>
      </w:pPr>
      <w:r w:rsidRPr="0062582F">
        <w:t>protecting the environment for future generations; and</w:t>
      </w:r>
    </w:p>
    <w:p w:rsidR="004843DB" w:rsidRPr="0062582F" w:rsidRDefault="004843DB" w:rsidP="004843DB">
      <w:pPr>
        <w:pStyle w:val="Bullet"/>
        <w:rPr>
          <w:b/>
          <w:bCs/>
        </w:rPr>
      </w:pPr>
      <w:r w:rsidRPr="0062582F">
        <w:t>more quality jobs and thriving innovative industries across Victoria.</w:t>
      </w:r>
    </w:p>
    <w:p w:rsidR="004843DB" w:rsidRPr="0062582F" w:rsidRDefault="004843DB" w:rsidP="004843DB">
      <w:pPr>
        <w:pStyle w:val="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Reference"/>
      </w:pPr>
      <w:r w:rsidRPr="0062582F">
        <w:t>AASB 1004.57</w:t>
      </w:r>
    </w:p>
    <w:p w:rsidR="004843DB" w:rsidRPr="0062582F" w:rsidRDefault="004843DB" w:rsidP="004843DB">
      <w:pPr>
        <w:pStyle w:val="Heading2"/>
      </w:pPr>
      <w:r w:rsidRPr="0062582F">
        <w:br w:type="column"/>
      </w:r>
      <w:r w:rsidRPr="0062582F">
        <w:lastRenderedPageBreak/>
        <w:t>Changes in outputs</w:t>
      </w:r>
    </w:p>
    <w:p w:rsidR="004843DB" w:rsidRPr="0062582F" w:rsidRDefault="004843DB" w:rsidP="004843DB">
      <w:r w:rsidRPr="0062582F">
        <w:t xml:space="preserve">The research and development of biological technology output was transferred from the Department of Natural Resources to the Department as a consequence of machinery of government changes announced on 2 August 2015. However, accounts and reports for this output for the purposes of the </w:t>
      </w:r>
      <w:r w:rsidRPr="0062582F">
        <w:rPr>
          <w:i/>
          <w:iCs/>
        </w:rPr>
        <w:t>Financial Management Act 1994</w:t>
      </w:r>
      <w:r w:rsidRPr="0062582F">
        <w:rPr>
          <w:iCs/>
        </w:rPr>
        <w:t xml:space="preserve"> (FMA)</w:t>
      </w:r>
      <w:r w:rsidRPr="0062582F">
        <w:rPr>
          <w:i/>
          <w:iCs/>
        </w:rPr>
        <w:t xml:space="preserve"> </w:t>
      </w:r>
      <w:r w:rsidRPr="0062582F">
        <w:t xml:space="preserve">were kept and provided from 1 September 2015 as per the </w:t>
      </w:r>
      <w:r w:rsidRPr="0062582F">
        <w:rPr>
          <w:i/>
          <w:iCs/>
        </w:rPr>
        <w:t xml:space="preserve">Administrative Arrangements Order </w:t>
      </w:r>
      <w:r w:rsidRPr="0062582F">
        <w:rPr>
          <w:i/>
          <w:iCs/>
          <w:color w:val="0000FF"/>
        </w:rPr>
        <w:t xml:space="preserve">[No. xxx] </w:t>
      </w:r>
      <w:r w:rsidRPr="0062582F">
        <w:rPr>
          <w:i/>
        </w:rPr>
        <w:t>2015</w:t>
      </w:r>
      <w:r w:rsidRPr="0062582F">
        <w:t xml:space="preserve">. Expenses and income attributable to the transferred outputs for the reporting period are disclosed in Note 9 </w:t>
      </w:r>
      <w:r w:rsidRPr="0062582F">
        <w:rPr>
          <w:i/>
        </w:rPr>
        <w:t>Restructuring of administrative arrangements</w:t>
      </w:r>
      <w:r w:rsidRPr="0062582F">
        <w:t>.</w:t>
      </w:r>
    </w:p>
    <w:p w:rsidR="004843DB" w:rsidRPr="0062582F" w:rsidRDefault="004843DB" w:rsidP="004843DB">
      <w:r w:rsidRPr="0062582F">
        <w:t>At the same time, activities of the Commissioner for Technology, under the new technology administration output, were transferred to the Department of Cabinet Administration. This is in line with the Government</w:t>
      </w:r>
      <w:r w:rsidR="005A4BB0">
        <w:t>’</w:t>
      </w:r>
      <w:r w:rsidRPr="0062582F">
        <w:t xml:space="preserve">s commitment to continuously improve efficiency through centralisation of common administrative functions within Victorian government departments. Accounts and reports for this output for the purposes of the </w:t>
      </w:r>
      <w:r w:rsidRPr="0062582F">
        <w:rPr>
          <w:iCs/>
        </w:rPr>
        <w:t>FMA</w:t>
      </w:r>
      <w:r w:rsidRPr="0062582F">
        <w:rPr>
          <w:i/>
          <w:iCs/>
        </w:rPr>
        <w:t xml:space="preserve"> </w:t>
      </w:r>
      <w:r w:rsidRPr="0062582F">
        <w:t xml:space="preserve">were kept and provided until 31 August 2015 as per the </w:t>
      </w:r>
      <w:r w:rsidRPr="0062582F">
        <w:rPr>
          <w:i/>
          <w:iCs/>
        </w:rPr>
        <w:t xml:space="preserve">Administrative Arrangements Order </w:t>
      </w:r>
      <w:r w:rsidRPr="0062582F">
        <w:rPr>
          <w:i/>
          <w:iCs/>
          <w:color w:val="0000FF"/>
        </w:rPr>
        <w:t>[No. xxx] </w:t>
      </w:r>
      <w:r w:rsidRPr="0062582F">
        <w:rPr>
          <w:i/>
        </w:rPr>
        <w:t>2015</w:t>
      </w:r>
      <w:r w:rsidRPr="0062582F">
        <w:t>.</w:t>
      </w:r>
    </w:p>
    <w:p w:rsidR="004843DB" w:rsidRPr="0062582F" w:rsidRDefault="004843DB" w:rsidP="004843DB"/>
    <w:p w:rsidR="004843DB" w:rsidRPr="0062582F" w:rsidRDefault="004843DB" w:rsidP="004843DB">
      <w:pPr>
        <w:pStyle w:val="SmallLine"/>
      </w:pPr>
    </w:p>
    <w:p w:rsidR="004843DB" w:rsidRPr="0062582F" w:rsidRDefault="004843DB" w:rsidP="004843DB">
      <w:pPr>
        <w:pStyle w:val="CommentaryHeading"/>
      </w:pPr>
      <w:r w:rsidRPr="0062582F">
        <w:t>Commentary – Departmental (controlled) outputs</w:t>
      </w:r>
    </w:p>
    <w:p w:rsidR="004843DB" w:rsidRPr="0062582F" w:rsidRDefault="004843DB" w:rsidP="004843DB">
      <w:pPr>
        <w:pStyle w:val="SmallLineBlue"/>
        <w:pBdr>
          <w:bottom w:val="none" w:sz="0" w:space="0" w:color="auto"/>
        </w:pBdr>
      </w:pPr>
    </w:p>
    <w:p w:rsidR="004843DB" w:rsidRPr="0062582F" w:rsidRDefault="004843DB" w:rsidP="004843DB">
      <w:pPr>
        <w:pStyle w:val="CommentaryText"/>
        <w:pBdr>
          <w:top w:val="none" w:sz="0" w:space="0" w:color="auto"/>
          <w:bottom w:val="none" w:sz="0" w:space="0" w:color="auto"/>
        </w:pBdr>
        <w:rPr>
          <w:rFonts w:ascii="Calibri" w:hAnsi="Calibri" w:cs="Arial"/>
          <w:b/>
          <w:bCs/>
        </w:rPr>
      </w:pPr>
      <w:r w:rsidRPr="0062582F">
        <w:rPr>
          <w:rFonts w:ascii="Calibri" w:hAnsi="Calibri" w:cs="Arial"/>
          <w:b/>
          <w:bCs/>
        </w:rPr>
        <w:t>Information to be disclosed for Departmental (controlled) outputs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1052.15</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 xml:space="preserve">AASB 1052 </w:t>
      </w:r>
      <w:r w:rsidRPr="0062582F">
        <w:rPr>
          <w:i/>
        </w:rPr>
        <w:t>Disaggregated Disclosures</w:t>
      </w:r>
      <w:r w:rsidRPr="0062582F">
        <w:t xml:space="preserve"> requires:</w:t>
      </w:r>
    </w:p>
    <w:p w:rsidR="004843DB" w:rsidRPr="0062582F" w:rsidRDefault="004843DB" w:rsidP="004843DB">
      <w:pPr>
        <w:pStyle w:val="CommentaryTextIndent"/>
        <w:pBdr>
          <w:top w:val="none" w:sz="0" w:space="0" w:color="auto"/>
          <w:bottom w:val="none" w:sz="0" w:space="0" w:color="auto"/>
        </w:pBdr>
      </w:pPr>
      <w:r w:rsidRPr="0062582F">
        <w:t>(a)</w:t>
      </w:r>
      <w:r w:rsidRPr="0062582F">
        <w:tab/>
        <w:t>a summary of the identity and purpose of each of the department</w:t>
      </w:r>
      <w:r w:rsidR="005A4BB0">
        <w:t>’</w:t>
      </w:r>
      <w:r w:rsidRPr="0062582F">
        <w:t>s major activities (outputs) undertaken during the reporting period;</w:t>
      </w:r>
    </w:p>
    <w:p w:rsidR="004843DB" w:rsidRPr="0062582F" w:rsidRDefault="004843DB" w:rsidP="004843DB">
      <w:pPr>
        <w:pStyle w:val="CommentaryTextIndent"/>
        <w:pBdr>
          <w:top w:val="none" w:sz="0" w:space="0" w:color="auto"/>
          <w:bottom w:val="none" w:sz="0" w:space="0" w:color="auto"/>
        </w:pBdr>
      </w:pPr>
      <w:r w:rsidRPr="0062582F">
        <w:t>(b)</w:t>
      </w:r>
      <w:r w:rsidRPr="0062582F">
        <w:tab/>
        <w:t>the objectives of the department, if not disclosed elsewhere in the annual report; and</w:t>
      </w:r>
    </w:p>
    <w:p w:rsidR="004843DB" w:rsidRPr="0062582F" w:rsidRDefault="004843DB" w:rsidP="004843DB">
      <w:pPr>
        <w:pStyle w:val="CommentaryTextIndent"/>
        <w:pBdr>
          <w:top w:val="none" w:sz="0" w:space="0" w:color="auto"/>
          <w:bottom w:val="none" w:sz="0" w:space="0" w:color="auto"/>
        </w:pBdr>
      </w:pPr>
      <w:r w:rsidRPr="0062582F">
        <w:t>(c)</w:t>
      </w:r>
      <w:r w:rsidRPr="0062582F">
        <w:tab/>
        <w:t>income and expenses attributable to outputs identified in (a) above, showing separately each major class.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1052.19</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 xml:space="preserve">Allocation of income and expenses to outputs is only required to the extent that such an allocation can be determined reliably. Where amounts cannot be allocated on a reliable basis, they should be disclosed in a separate </w:t>
      </w:r>
      <w:r w:rsidR="005A4BB0">
        <w:t>‘</w:t>
      </w:r>
      <w:r w:rsidRPr="0062582F">
        <w:t>unallocated</w:t>
      </w:r>
      <w:r w:rsidR="005A4BB0">
        <w:t>’</w:t>
      </w:r>
      <w:r w:rsidRPr="0062582F">
        <w:t xml:space="preserve"> column.</w:t>
      </w:r>
    </w:p>
    <w:p w:rsidR="004843DB" w:rsidRPr="0062582F" w:rsidRDefault="004843DB" w:rsidP="004843DB">
      <w:pPr>
        <w:pStyle w:val="Reference"/>
        <w:rPr>
          <w:lang w:val="en-AU"/>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1052.20</w:t>
      </w: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color w:val="FF0000"/>
          <w:lang w:val="en-AU"/>
        </w:rPr>
      </w:pPr>
      <w:r w:rsidRPr="0062582F">
        <w:rPr>
          <w:color w:val="FF0000"/>
          <w:lang w:val="en-AU"/>
        </w:rPr>
        <w:t>New</w:t>
      </w:r>
    </w:p>
    <w:p w:rsidR="004843DB" w:rsidRPr="0062582F" w:rsidRDefault="004843DB" w:rsidP="004843DB">
      <w:pPr>
        <w:pStyle w:val="Reference"/>
        <w:rPr>
          <w:lang w:val="en-AU"/>
        </w:rPr>
      </w:pPr>
    </w:p>
    <w:p w:rsidR="004843DB" w:rsidRPr="0062582F" w:rsidRDefault="004843DB" w:rsidP="004843DB">
      <w:pPr>
        <w:pStyle w:val="CommentaryText"/>
        <w:pBdr>
          <w:top w:val="none" w:sz="0" w:space="0" w:color="auto"/>
        </w:pBdr>
      </w:pPr>
      <w:r w:rsidRPr="0062582F">
        <w:br w:type="column"/>
      </w:r>
      <w:r w:rsidRPr="0062582F">
        <w:lastRenderedPageBreak/>
        <w:t>In identifying major activities, judgement is required to identify those activities of a government department that warrant separate disclosure in the general purpose financial statements. Exercising this judgement involves a consideration of the following:</w:t>
      </w:r>
    </w:p>
    <w:p w:rsidR="004843DB" w:rsidRPr="0062582F" w:rsidRDefault="004843DB" w:rsidP="004843DB">
      <w:pPr>
        <w:pStyle w:val="CommentaryTextIndent"/>
        <w:pBdr>
          <w:top w:val="none" w:sz="0" w:space="0" w:color="auto"/>
        </w:pBdr>
      </w:pPr>
      <w:r w:rsidRPr="0062582F">
        <w:t>(a)</w:t>
      </w:r>
      <w:r w:rsidRPr="0062582F">
        <w:tab/>
        <w:t>the objectives of the government department;</w:t>
      </w:r>
    </w:p>
    <w:p w:rsidR="004843DB" w:rsidRPr="0062582F" w:rsidRDefault="004843DB" w:rsidP="004843DB">
      <w:pPr>
        <w:pStyle w:val="CommentaryTextIndent"/>
        <w:pBdr>
          <w:top w:val="none" w:sz="0" w:space="0" w:color="auto"/>
        </w:pBdr>
      </w:pPr>
      <w:r w:rsidRPr="0062582F">
        <w:t>(b)</w:t>
      </w:r>
      <w:r w:rsidRPr="0062582F">
        <w:tab/>
        <w:t>the likely users of the general purpose financial statements;</w:t>
      </w:r>
    </w:p>
    <w:p w:rsidR="004843DB" w:rsidRPr="0062582F" w:rsidRDefault="004843DB" w:rsidP="004843DB">
      <w:pPr>
        <w:pStyle w:val="CommentaryTextIndent"/>
        <w:pBdr>
          <w:top w:val="none" w:sz="0" w:space="0" w:color="auto"/>
        </w:pBdr>
      </w:pPr>
      <w:r w:rsidRPr="0062582F">
        <w:t>(c)</w:t>
      </w:r>
      <w:r w:rsidRPr="0062582F">
        <w:tab/>
        <w:t>the activity level that may be relevant to users</w:t>
      </w:r>
      <w:r w:rsidR="005A4BB0">
        <w:t>’</w:t>
      </w:r>
      <w:r w:rsidRPr="0062582F">
        <w:t xml:space="preserve"> assessments of the performance of the government department; and</w:t>
      </w:r>
    </w:p>
    <w:p w:rsidR="004843DB" w:rsidRPr="0062582F" w:rsidRDefault="004843DB" w:rsidP="004843DB">
      <w:pPr>
        <w:pStyle w:val="CommentaryTextIndent"/>
        <w:pBdr>
          <w:top w:val="none" w:sz="0" w:space="0" w:color="auto"/>
        </w:pBdr>
      </w:pPr>
      <w:r w:rsidRPr="0062582F">
        <w:t>(d)</w:t>
      </w:r>
      <w:r w:rsidRPr="0062582F">
        <w:tab/>
        <w:t>the concept of materiality.</w:t>
      </w:r>
    </w:p>
    <w:p w:rsidR="004843DB" w:rsidRPr="0062582F" w:rsidRDefault="004843DB" w:rsidP="004843DB">
      <w:pPr>
        <w:pStyle w:val="CommentaryText"/>
        <w:pBdr>
          <w:top w:val="none" w:sz="0" w:space="0" w:color="auto"/>
        </w:pBdr>
        <w:rPr>
          <w:b/>
        </w:rPr>
      </w:pPr>
      <w:r w:rsidRPr="0062582F">
        <w:rPr>
          <w:b/>
        </w:rPr>
        <w:t>Descriptions of output activities and key government objectives for the reporting period should be consistent with those reported in the corresponding budget papers.</w:t>
      </w:r>
    </w:p>
    <w:p w:rsidR="004843DB" w:rsidRPr="0062582F" w:rsidRDefault="004843DB" w:rsidP="004843DB">
      <w:pPr>
        <w:pStyle w:val="CommentaryText"/>
        <w:pBdr>
          <w:top w:val="none" w:sz="0" w:space="0" w:color="auto"/>
        </w:pBdr>
        <w:rPr>
          <w:b/>
        </w:rPr>
      </w:pPr>
      <w:r w:rsidRPr="0062582F">
        <w:rPr>
          <w:rFonts w:ascii="Calibri" w:hAnsi="Calibri" w:cs="Arial"/>
          <w:b/>
          <w:bCs/>
        </w:rPr>
        <w:t>Guidance on the classification as controlled or administered</w:t>
      </w:r>
    </w:p>
    <w:p w:rsidR="004843DB" w:rsidRPr="0062582F" w:rsidRDefault="004843DB" w:rsidP="004843DB">
      <w:pPr>
        <w:pStyle w:val="CommentaryText"/>
        <w:pBdr>
          <w:top w:val="none" w:sz="0" w:space="0" w:color="auto"/>
        </w:pBdr>
      </w:pPr>
      <w:r w:rsidRPr="0062582F">
        <w:t xml:space="preserve">Government departments are required to classify revenues, expenses, assets and liabilities as either </w:t>
      </w:r>
      <w:r w:rsidR="005A4BB0">
        <w:t>‘</w:t>
      </w:r>
      <w:r w:rsidRPr="0062582F">
        <w:t>controlled</w:t>
      </w:r>
      <w:r w:rsidR="005A4BB0">
        <w:t>’</w:t>
      </w:r>
      <w:r w:rsidRPr="0062582F">
        <w:t xml:space="preserve"> or </w:t>
      </w:r>
      <w:r w:rsidR="005A4BB0">
        <w:t>‘</w:t>
      </w:r>
      <w:r w:rsidRPr="0062582F">
        <w:t>administered</w:t>
      </w:r>
      <w:r w:rsidR="005A4BB0">
        <w:t>’</w:t>
      </w:r>
      <w:r w:rsidRPr="0062582F">
        <w:t>. Note 2 and Note 3 disclose controlled and administered information respectively.</w:t>
      </w:r>
    </w:p>
    <w:p w:rsidR="004843DB" w:rsidRPr="0062582F" w:rsidRDefault="004843DB" w:rsidP="004843DB">
      <w:pPr>
        <w:spacing w:line="240" w:lineRule="atLeast"/>
        <w:rPr>
          <w:noProof/>
          <w:color w:val="0000FF"/>
        </w:rPr>
      </w:pPr>
      <w:r w:rsidRPr="0062582F">
        <w:br w:type="page"/>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 xml:space="preserve">Commentary – Departmental (controlled) outputs </w:t>
      </w:r>
      <w:r w:rsidRPr="0062582F">
        <w:rPr>
          <w:i/>
        </w:rPr>
        <w:t>(continued)</w:t>
      </w:r>
    </w:p>
    <w:p w:rsidR="004843DB" w:rsidRPr="0062582F" w:rsidRDefault="004843DB" w:rsidP="004843DB">
      <w:pPr>
        <w:pStyle w:val="SmallLineBlue"/>
        <w:pBdr>
          <w:bottom w:val="none" w:sz="0" w:space="0" w:color="auto"/>
        </w:pBdr>
      </w:pPr>
    </w:p>
    <w:p w:rsidR="004843DB" w:rsidRPr="0062582F" w:rsidRDefault="004843DB" w:rsidP="004843DB">
      <w:pPr>
        <w:pStyle w:val="CommentaryText"/>
        <w:pBdr>
          <w:top w:val="none" w:sz="0" w:space="0" w:color="auto"/>
        </w:pBdr>
      </w:pPr>
      <w:r w:rsidRPr="0062582F">
        <w:t xml:space="preserve">The way an output is defined can affect the classification of a revenue or expense between the administered or controlled categories. The decision to classify an asset or liability as </w:t>
      </w:r>
      <w:r w:rsidR="005A4BB0">
        <w:t>‘</w:t>
      </w:r>
      <w:r w:rsidRPr="0062582F">
        <w:t>administered</w:t>
      </w:r>
      <w:r w:rsidR="005A4BB0">
        <w:t>’</w:t>
      </w:r>
      <w:r w:rsidRPr="0062582F">
        <w:t xml:space="preserve"> rather than </w:t>
      </w:r>
      <w:r w:rsidR="005A4BB0">
        <w:t>‘</w:t>
      </w:r>
      <w:r w:rsidRPr="0062582F">
        <w:t>controlled</w:t>
      </w:r>
      <w:r w:rsidR="005A4BB0">
        <w:t>’</w:t>
      </w:r>
      <w:r w:rsidRPr="0062582F">
        <w:t xml:space="preserve"> will impact items such as the capital assets charge on the department</w:t>
      </w:r>
      <w:r w:rsidR="005A4BB0">
        <w:t>’</w:t>
      </w:r>
      <w:r w:rsidRPr="0062582F">
        <w:t>s operations, and the way in which the asset or liability is presented in the Budget.</w:t>
      </w:r>
    </w:p>
    <w:p w:rsidR="004843DB" w:rsidRPr="0062582F" w:rsidRDefault="004843DB" w:rsidP="004843DB">
      <w:pPr>
        <w:pStyle w:val="CommentaryText"/>
        <w:pBdr>
          <w:top w:val="none" w:sz="0" w:space="0" w:color="auto"/>
        </w:pBdr>
        <w:rPr>
          <w:b/>
        </w:rPr>
      </w:pPr>
      <w:r w:rsidRPr="0062582F">
        <w:t>Administered items do not form part of a department</w:t>
      </w:r>
      <w:r w:rsidR="005A4BB0">
        <w:t>’</w:t>
      </w:r>
      <w:r w:rsidRPr="0062582F">
        <w:t>s outputs, and in the case of administered expenses, funding is provided under a separate appropriation.</w:t>
      </w:r>
    </w:p>
    <w:p w:rsidR="004843DB" w:rsidRPr="0062582F" w:rsidRDefault="004843DB" w:rsidP="004843DB">
      <w:pPr>
        <w:pStyle w:val="CommentaryText"/>
        <w:pBdr>
          <w:top w:val="none" w:sz="0" w:space="0" w:color="auto"/>
        </w:pBdr>
      </w:pPr>
      <w:r w:rsidRPr="0062582F">
        <w:t>For example:</w:t>
      </w:r>
    </w:p>
    <w:p w:rsidR="004843DB" w:rsidRPr="0062582F" w:rsidRDefault="004843DB" w:rsidP="004843DB">
      <w:pPr>
        <w:pStyle w:val="BulletBlue"/>
        <w:pBdr>
          <w:left w:val="single" w:sz="4" w:space="4" w:color="0000FF"/>
          <w:bottom w:val="single" w:sz="4" w:space="1" w:color="0000FF"/>
          <w:right w:val="single" w:sz="4" w:space="4" w:color="0000FF"/>
        </w:pBdr>
      </w:pPr>
      <w:r w:rsidRPr="0062582F">
        <w:t>If the administrative process of making welfare transfer payments is part of an output of the department, it should be classified as a controlled expense. However, the actual funds being paid to the beneficiaries could be classified as an administered item if they meet the criteria for administered items. In respect to an Act or binding agreement, an item may be classified as administered if the department has no influence over eligibility, timing, or the amount, unless contributing to output delivery.</w:t>
      </w:r>
    </w:p>
    <w:p w:rsidR="004843DB" w:rsidRPr="0062582F" w:rsidRDefault="004843DB" w:rsidP="004843DB">
      <w:pPr>
        <w:pStyle w:val="BulletBlue"/>
        <w:pBdr>
          <w:left w:val="single" w:sz="4" w:space="4" w:color="0000FF"/>
          <w:bottom w:val="single" w:sz="4" w:space="1" w:color="0000FF"/>
          <w:right w:val="single" w:sz="4" w:space="4" w:color="0000FF"/>
        </w:pBdr>
      </w:pPr>
      <w:r w:rsidRPr="0062582F">
        <w:t xml:space="preserve">If a department defined an output as </w:t>
      </w:r>
      <w:r w:rsidR="005A4BB0">
        <w:t>‘</w:t>
      </w:r>
      <w:r w:rsidRPr="0062582F">
        <w:t>the management of grants to [some external body] for [some purpose]</w:t>
      </w:r>
      <w:r w:rsidR="005A4BB0">
        <w:t>’</w:t>
      </w:r>
      <w:r w:rsidRPr="0062582F">
        <w:t xml:space="preserve">, the actual grants themselves (as opposed to the administrative costs of managing the grants program) could be classified as administered expenditure. However, if the output were defined as </w:t>
      </w:r>
      <w:r w:rsidR="005A4BB0">
        <w:t>‘</w:t>
      </w:r>
      <w:r w:rsidRPr="0062582F">
        <w:t>delivery of products or services for [some purpose]</w:t>
      </w:r>
      <w:r w:rsidR="005A4BB0">
        <w:t>’</w:t>
      </w:r>
      <w:r w:rsidRPr="0062582F">
        <w:t>, with the payment being conditional on the fulfilment of specified conditions, it may be seen to involve an exchange of value and therefore should be treated as controlled.</w:t>
      </w:r>
    </w:p>
    <w:p w:rsidR="004843DB" w:rsidRPr="0062582F" w:rsidRDefault="004843DB" w:rsidP="004843DB">
      <w:pPr>
        <w:pStyle w:val="BulletBlue"/>
        <w:pBdr>
          <w:left w:val="single" w:sz="4" w:space="4" w:color="0000FF"/>
          <w:bottom w:val="single" w:sz="4" w:space="1" w:color="0000FF"/>
          <w:right w:val="single" w:sz="4" w:space="4" w:color="0000FF"/>
        </w:pBdr>
      </w:pPr>
      <w:r w:rsidRPr="0062582F">
        <w:t>If crime compensation payments awarded by a Court or Tribunal or revenues or taxes collected by a department on behalf of the State would normally be classified as giving rise to administered items. On the other hand, revenues, expenses, assets or liabilities arising in connection with the discharge of the function of making crime compensation payments (as distinct from the payments themselves) or collecting revenues (as distinct from the revenues themselves) on behalf of the State would normally be classified as controlled.</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Headingcontinued"/>
      </w:pPr>
      <w:r w:rsidRPr="0062582F">
        <w:rPr>
          <w:rFonts w:ascii="Garamond" w:hAnsi="Garamond"/>
        </w:rPr>
        <w:lastRenderedPageBreak/>
        <w:br w:type="column"/>
      </w:r>
      <w:r w:rsidRPr="0062582F">
        <w:lastRenderedPageBreak/>
        <w:t>Note 2.</w:t>
      </w:r>
      <w:r w:rsidRPr="0062582F">
        <w:tab/>
        <w:t>Departmental (controlled) outputs</w:t>
      </w:r>
      <w:r w:rsidRPr="0062582F">
        <w:rPr>
          <w:rFonts w:ascii="Garamond" w:hAnsi="Garamond"/>
        </w:rPr>
        <w:t xml:space="preserve"> </w:t>
      </w:r>
      <w:r w:rsidRPr="0062582F">
        <w:rPr>
          <w:i/>
        </w:rPr>
        <w:t>(continued)</w:t>
      </w:r>
    </w:p>
    <w:p w:rsidR="004843DB" w:rsidRPr="0062582F" w:rsidRDefault="004843DB" w:rsidP="00E348C3">
      <w:pPr>
        <w:pStyle w:val="Tableheading"/>
        <w:sectPr w:rsidR="004843DB" w:rsidRPr="0062582F" w:rsidSect="00190A01">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rPr>
          <w:lang w:val="en-AU"/>
        </w:rPr>
        <w:lastRenderedPageBreak/>
        <w:t>AASB 1052.15(c)</w:t>
      </w:r>
      <w:r w:rsidRPr="0062582F">
        <w:rPr>
          <w:lang w:val="en-AU"/>
        </w:rPr>
        <w:br/>
        <w:t>AASB 1052.15(d)</w:t>
      </w:r>
    </w:p>
    <w:p w:rsidR="004843DB" w:rsidRPr="0062582F" w:rsidRDefault="004843DB" w:rsidP="00E348C3">
      <w:pPr>
        <w:pStyle w:val="Tableheading"/>
      </w:pPr>
      <w:r w:rsidRPr="0062582F">
        <w:br w:type="column"/>
      </w:r>
      <w:r w:rsidRPr="0062582F">
        <w:lastRenderedPageBreak/>
        <w:t>Schedule A – Controlled income and expenses for the year ended 30 June 2016</w:t>
      </w:r>
    </w:p>
    <w:p w:rsidR="004843DB" w:rsidRPr="0062582F" w:rsidRDefault="004843DB" w:rsidP="004843DB">
      <w:pPr>
        <w:pStyle w:val="million"/>
        <w:rPr>
          <w:rFonts w:ascii="Tahoma" w:hAnsi="Tahoma" w:cs="Tahoma"/>
          <w:sz w:val="20"/>
        </w:rPr>
      </w:pPr>
      <w:r w:rsidRPr="0062582F">
        <w:t>($ thousand)</w:t>
      </w:r>
      <w:bookmarkStart w:id="341" w:name="RANGE!B6:D41"/>
    </w:p>
    <w:tbl>
      <w:tblPr>
        <w:tblW w:w="8440" w:type="dxa"/>
        <w:tblInd w:w="58" w:type="dxa"/>
        <w:tblCellMar>
          <w:left w:w="43" w:type="dxa"/>
          <w:right w:w="43" w:type="dxa"/>
        </w:tblCellMar>
        <w:tblLook w:val="04A0" w:firstRow="1" w:lastRow="0" w:firstColumn="1" w:lastColumn="0" w:noHBand="0" w:noVBand="1"/>
      </w:tblPr>
      <w:tblGrid>
        <w:gridCol w:w="6640"/>
        <w:gridCol w:w="900"/>
        <w:gridCol w:w="900"/>
      </w:tblGrid>
      <w:tr w:rsidR="004843DB" w:rsidRPr="0062582F" w:rsidTr="004843DB">
        <w:trPr>
          <w:cantSplit/>
        </w:trPr>
        <w:tc>
          <w:tcPr>
            <w:tcW w:w="6640" w:type="dxa"/>
            <w:tcBorders>
              <w:top w:val="single" w:sz="4" w:space="0" w:color="auto"/>
              <w:left w:val="nil"/>
              <w:bottom w:val="single" w:sz="4" w:space="0" w:color="auto"/>
              <w:right w:val="nil"/>
            </w:tcBorders>
            <w:shd w:val="clear" w:color="auto" w:fill="auto"/>
            <w:vAlign w:val="bottom"/>
            <w:hideMark/>
          </w:tcPr>
          <w:bookmarkEnd w:id="341"/>
          <w:p w:rsidR="004843DB" w:rsidRPr="0062582F" w:rsidRDefault="004843DB" w:rsidP="004843DB">
            <w:pPr>
              <w:pStyle w:val="Tabletextheading"/>
            </w:pPr>
            <w:r w:rsidRPr="0062582F">
              <w:t xml:space="preserve"> </w:t>
            </w:r>
          </w:p>
        </w:tc>
        <w:tc>
          <w:tcPr>
            <w:tcW w:w="1800"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pPr>
            <w:r w:rsidRPr="0062582F">
              <w:t xml:space="preserve">Strategic policy </w:t>
            </w:r>
            <w:r w:rsidRPr="0062582F">
              <w:br/>
              <w:t xml:space="preserve">advice </w:t>
            </w:r>
            <w:r w:rsidRPr="0062582F">
              <w:rPr>
                <w:vertAlign w:val="superscript"/>
              </w:rPr>
              <w:t>(i)</w:t>
            </w:r>
          </w:p>
        </w:tc>
      </w:tr>
      <w:tr w:rsidR="004843DB" w:rsidRPr="0062582F" w:rsidTr="004843DB">
        <w:trPr>
          <w:cantSplit/>
        </w:trPr>
        <w:tc>
          <w:tcPr>
            <w:tcW w:w="6640"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textheading"/>
            </w:pPr>
            <w:r w:rsidRPr="0062582F">
              <w:t xml:space="preserve"> </w:t>
            </w:r>
          </w:p>
        </w:tc>
        <w:tc>
          <w:tcPr>
            <w:tcW w:w="900" w:type="dxa"/>
            <w:tcBorders>
              <w:top w:val="nil"/>
              <w:left w:val="nil"/>
              <w:bottom w:val="single" w:sz="4" w:space="0" w:color="auto"/>
              <w:right w:val="nil"/>
            </w:tcBorders>
            <w:shd w:val="clear" w:color="auto" w:fill="BFBFBF"/>
            <w:noWrap/>
            <w:vAlign w:val="bottom"/>
            <w:hideMark/>
          </w:tcPr>
          <w:p w:rsidR="004843DB" w:rsidRPr="0062582F" w:rsidRDefault="004843DB" w:rsidP="004843DB">
            <w:pPr>
              <w:pStyle w:val="Tabletextheading"/>
            </w:pPr>
            <w:r w:rsidRPr="0062582F">
              <w:t>2016</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textheading"/>
            </w:pPr>
            <w:r w:rsidRPr="0062582F">
              <w:t>2015</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Continuing operations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Income from transactions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Output appropriations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36 042</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30 000</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Special appropriations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1 980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3 587</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Interest</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1 154</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1 120</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Sale of goods and services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 xml:space="preserve"> 702</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555</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Grants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 xml:space="preserve"> 48</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50</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Fair value of assets and services received free of charge or for nominal consideration</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 xml:space="preserve"> 849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696</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Other income</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4 333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4 159</w:t>
            </w:r>
          </w:p>
        </w:tc>
      </w:tr>
      <w:tr w:rsidR="004843DB" w:rsidRPr="0062582F" w:rsidTr="004843DB">
        <w:trPr>
          <w:cantSplit/>
        </w:trPr>
        <w:tc>
          <w:tcPr>
            <w:tcW w:w="6640" w:type="dxa"/>
            <w:tcBorders>
              <w:top w:val="single" w:sz="4" w:space="0" w:color="auto"/>
              <w:left w:val="nil"/>
              <w:bottom w:val="single" w:sz="4" w:space="0" w:color="auto"/>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Total income from transactions</w:t>
            </w:r>
          </w:p>
        </w:tc>
        <w:tc>
          <w:tcPr>
            <w:tcW w:w="900" w:type="dxa"/>
            <w:tcBorders>
              <w:top w:val="single" w:sz="4" w:space="0" w:color="auto"/>
              <w:left w:val="nil"/>
              <w:bottom w:val="single" w:sz="4" w:space="0" w:color="auto"/>
              <w:right w:val="nil"/>
            </w:tcBorders>
            <w:shd w:val="clear" w:color="auto" w:fill="BFBFBF"/>
            <w:noWrap/>
            <w:vAlign w:val="bottom"/>
            <w:hideMark/>
          </w:tcPr>
          <w:p w:rsidR="004843DB" w:rsidRPr="0062582F" w:rsidRDefault="004843DB" w:rsidP="004843DB">
            <w:pPr>
              <w:pStyle w:val="TableofFigures"/>
              <w:rPr>
                <w:b/>
                <w:sz w:val="17"/>
                <w:szCs w:val="17"/>
              </w:rPr>
            </w:pPr>
            <w:r w:rsidRPr="0062582F">
              <w:rPr>
                <w:b/>
                <w:sz w:val="17"/>
                <w:szCs w:val="17"/>
              </w:rPr>
              <w:t>45 108</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40 167</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Expenses from transactions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Employee expenses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(3 883)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(5 258)</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Depreciation</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(4 725)</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(4 615)</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Interest expense</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( 259)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(275)</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Grants and other transfers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(19 525)</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(25 217)</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Capital asset charge</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(403)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(350)</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Other operating expenses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(3 990)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(3 887)</w:t>
            </w:r>
          </w:p>
        </w:tc>
      </w:tr>
      <w:tr w:rsidR="004843DB" w:rsidRPr="0062582F" w:rsidTr="004843DB">
        <w:trPr>
          <w:cantSplit/>
        </w:trPr>
        <w:tc>
          <w:tcPr>
            <w:tcW w:w="6640" w:type="dxa"/>
            <w:tcBorders>
              <w:top w:val="single" w:sz="4" w:space="0" w:color="auto"/>
              <w:left w:val="nil"/>
              <w:bottom w:val="single" w:sz="4" w:space="0" w:color="auto"/>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Total expenses from transactions</w:t>
            </w:r>
          </w:p>
        </w:tc>
        <w:tc>
          <w:tcPr>
            <w:tcW w:w="900" w:type="dxa"/>
            <w:tcBorders>
              <w:top w:val="single" w:sz="4" w:space="0" w:color="auto"/>
              <w:left w:val="nil"/>
              <w:bottom w:val="single" w:sz="4" w:space="0" w:color="auto"/>
              <w:right w:val="nil"/>
            </w:tcBorders>
            <w:shd w:val="clear" w:color="auto" w:fill="BFBFBF"/>
            <w:noWrap/>
            <w:vAlign w:val="bottom"/>
            <w:hideMark/>
          </w:tcPr>
          <w:p w:rsidR="004843DB" w:rsidRPr="0062582F" w:rsidRDefault="004843DB" w:rsidP="004843DB">
            <w:pPr>
              <w:pStyle w:val="TableofFigures"/>
              <w:rPr>
                <w:b/>
                <w:sz w:val="17"/>
                <w:szCs w:val="17"/>
              </w:rPr>
            </w:pPr>
            <w:r w:rsidRPr="0062582F">
              <w:rPr>
                <w:b/>
                <w:sz w:val="17"/>
                <w:szCs w:val="17"/>
              </w:rPr>
              <w:t>(32 786)</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(39 602)</w:t>
            </w:r>
          </w:p>
        </w:tc>
      </w:tr>
      <w:tr w:rsidR="004843DB" w:rsidRPr="0062582F" w:rsidTr="004843DB">
        <w:trPr>
          <w:cantSplit/>
        </w:trPr>
        <w:tc>
          <w:tcPr>
            <w:tcW w:w="6640" w:type="dxa"/>
            <w:tcBorders>
              <w:top w:val="single" w:sz="4" w:space="0" w:color="auto"/>
              <w:left w:val="nil"/>
              <w:bottom w:val="single" w:sz="12" w:space="0" w:color="auto"/>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Net result from transactions (net operating balance)</w:t>
            </w:r>
          </w:p>
        </w:tc>
        <w:tc>
          <w:tcPr>
            <w:tcW w:w="900" w:type="dxa"/>
            <w:tcBorders>
              <w:top w:val="single" w:sz="4" w:space="0" w:color="auto"/>
              <w:left w:val="nil"/>
              <w:bottom w:val="single" w:sz="12" w:space="0" w:color="auto"/>
              <w:right w:val="nil"/>
            </w:tcBorders>
            <w:shd w:val="clear" w:color="auto" w:fill="BFBFBF"/>
            <w:noWrap/>
            <w:vAlign w:val="bottom"/>
            <w:hideMark/>
          </w:tcPr>
          <w:p w:rsidR="004843DB" w:rsidRPr="0062582F" w:rsidRDefault="004843DB" w:rsidP="004843DB">
            <w:pPr>
              <w:pStyle w:val="TableofFigures"/>
              <w:rPr>
                <w:b/>
                <w:sz w:val="17"/>
                <w:szCs w:val="17"/>
              </w:rPr>
            </w:pPr>
            <w:r w:rsidRPr="0062582F">
              <w:rPr>
                <w:b/>
                <w:sz w:val="17"/>
                <w:szCs w:val="17"/>
              </w:rPr>
              <w:t>12 322</w:t>
            </w:r>
          </w:p>
        </w:tc>
        <w:tc>
          <w:tcPr>
            <w:tcW w:w="900"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 xml:space="preserve"> 565</w:t>
            </w:r>
          </w:p>
        </w:tc>
      </w:tr>
      <w:tr w:rsidR="004843DB" w:rsidRPr="0062582F" w:rsidTr="004843DB">
        <w:trPr>
          <w:cantSplit/>
        </w:trPr>
        <w:tc>
          <w:tcPr>
            <w:tcW w:w="6640" w:type="dxa"/>
            <w:tcBorders>
              <w:top w:val="single" w:sz="12" w:space="0" w:color="auto"/>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Other economic flows included in net result</w:t>
            </w:r>
          </w:p>
        </w:tc>
        <w:tc>
          <w:tcPr>
            <w:tcW w:w="900" w:type="dxa"/>
            <w:tcBorders>
              <w:top w:val="single" w:sz="12" w:space="0" w:color="auto"/>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single" w:sz="12" w:space="0" w:color="auto"/>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Net gain/(loss) on non</w:t>
            </w:r>
            <w:r w:rsidR="005A4BB0">
              <w:rPr>
                <w:sz w:val="17"/>
                <w:szCs w:val="17"/>
              </w:rPr>
              <w:noBreakHyphen/>
            </w:r>
            <w:r w:rsidRPr="0062582F">
              <w:rPr>
                <w:sz w:val="17"/>
                <w:szCs w:val="17"/>
              </w:rPr>
              <w:t>financial assets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(5 898)</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1 547</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Net gain/(loss) on financial instruments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(2 099)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(140)</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Share of net profits/(losses) of associates and joint entities, excluding dividends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1 055</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652</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Other gains/(losses) from other economic flows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(681)</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(956)</w:t>
            </w:r>
          </w:p>
        </w:tc>
      </w:tr>
      <w:tr w:rsidR="004843DB" w:rsidRPr="0062582F" w:rsidTr="004843DB">
        <w:trPr>
          <w:cantSplit/>
        </w:trPr>
        <w:tc>
          <w:tcPr>
            <w:tcW w:w="6640" w:type="dxa"/>
            <w:tcBorders>
              <w:top w:val="single" w:sz="4" w:space="0" w:color="auto"/>
              <w:left w:val="nil"/>
              <w:bottom w:val="single" w:sz="4" w:space="0" w:color="auto"/>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Total other economic flows included in net result</w:t>
            </w:r>
          </w:p>
        </w:tc>
        <w:tc>
          <w:tcPr>
            <w:tcW w:w="900" w:type="dxa"/>
            <w:tcBorders>
              <w:top w:val="single" w:sz="4" w:space="0" w:color="auto"/>
              <w:left w:val="nil"/>
              <w:bottom w:val="single" w:sz="4" w:space="0" w:color="auto"/>
              <w:right w:val="nil"/>
            </w:tcBorders>
            <w:shd w:val="clear" w:color="auto" w:fill="BFBFBF"/>
            <w:noWrap/>
            <w:vAlign w:val="bottom"/>
            <w:hideMark/>
          </w:tcPr>
          <w:p w:rsidR="004843DB" w:rsidRPr="0062582F" w:rsidRDefault="004843DB" w:rsidP="004843DB">
            <w:pPr>
              <w:pStyle w:val="TableofFigures"/>
              <w:rPr>
                <w:b/>
                <w:sz w:val="17"/>
                <w:szCs w:val="17"/>
              </w:rPr>
            </w:pPr>
            <w:r w:rsidRPr="0062582F">
              <w:rPr>
                <w:b/>
                <w:sz w:val="17"/>
                <w:szCs w:val="17"/>
              </w:rPr>
              <w:t>(7 622)</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1 103</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Net result from continuing operations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b/>
                <w:sz w:val="17"/>
                <w:szCs w:val="17"/>
              </w:rPr>
            </w:pPr>
            <w:r w:rsidRPr="0062582F">
              <w:rPr>
                <w:b/>
                <w:sz w:val="17"/>
                <w:szCs w:val="17"/>
              </w:rPr>
              <w:t>4 700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1 668</w:t>
            </w:r>
          </w:p>
        </w:tc>
      </w:tr>
      <w:tr w:rsidR="004843DB" w:rsidRPr="0062582F" w:rsidTr="004843DB">
        <w:trPr>
          <w:cantSplit/>
        </w:trPr>
        <w:tc>
          <w:tcPr>
            <w:tcW w:w="6640"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Net result from discontinued operations</w:t>
            </w:r>
          </w:p>
        </w:tc>
        <w:tc>
          <w:tcPr>
            <w:tcW w:w="900" w:type="dxa"/>
            <w:tcBorders>
              <w:top w:val="nil"/>
              <w:left w:val="nil"/>
              <w:bottom w:val="single" w:sz="4" w:space="0" w:color="auto"/>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(317)</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1 326</w:t>
            </w:r>
          </w:p>
        </w:tc>
      </w:tr>
      <w:tr w:rsidR="004843DB" w:rsidRPr="0062582F" w:rsidTr="004843DB">
        <w:trPr>
          <w:cantSplit/>
        </w:trPr>
        <w:tc>
          <w:tcPr>
            <w:tcW w:w="6640"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Net result</w:t>
            </w:r>
          </w:p>
        </w:tc>
        <w:tc>
          <w:tcPr>
            <w:tcW w:w="900" w:type="dxa"/>
            <w:tcBorders>
              <w:top w:val="nil"/>
              <w:left w:val="nil"/>
              <w:bottom w:val="single" w:sz="4" w:space="0" w:color="auto"/>
              <w:right w:val="nil"/>
            </w:tcBorders>
            <w:shd w:val="clear" w:color="auto" w:fill="BFBFBF"/>
            <w:noWrap/>
            <w:vAlign w:val="bottom"/>
            <w:hideMark/>
          </w:tcPr>
          <w:p w:rsidR="004843DB" w:rsidRPr="0062582F" w:rsidRDefault="004843DB" w:rsidP="004843DB">
            <w:pPr>
              <w:pStyle w:val="TableofFigures"/>
              <w:rPr>
                <w:b/>
                <w:sz w:val="17"/>
                <w:szCs w:val="17"/>
              </w:rPr>
            </w:pPr>
            <w:r w:rsidRPr="0062582F">
              <w:rPr>
                <w:b/>
                <w:sz w:val="17"/>
                <w:szCs w:val="17"/>
              </w:rPr>
              <w:t>4 383</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2 994</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Other economic flows – other comprehensive income</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6640" w:type="dxa"/>
            <w:tcBorders>
              <w:top w:val="nil"/>
              <w:left w:val="nil"/>
              <w:bottom w:val="nil"/>
              <w:right w:val="nil"/>
            </w:tcBorders>
            <w:shd w:val="clear" w:color="auto" w:fill="auto"/>
            <w:vAlign w:val="bottom"/>
          </w:tcPr>
          <w:p w:rsidR="004843DB" w:rsidRPr="0062582F" w:rsidRDefault="004843DB" w:rsidP="004843DB">
            <w:pPr>
              <w:pStyle w:val="Tabletext"/>
              <w:rPr>
                <w:b/>
                <w:sz w:val="17"/>
                <w:szCs w:val="17"/>
              </w:rPr>
            </w:pPr>
            <w:r w:rsidRPr="0062582F">
              <w:rPr>
                <w:b/>
                <w:sz w:val="17"/>
                <w:szCs w:val="17"/>
              </w:rPr>
              <w:t>Items that will not be reclassified to net result</w:t>
            </w:r>
          </w:p>
        </w:tc>
        <w:tc>
          <w:tcPr>
            <w:tcW w:w="900" w:type="dxa"/>
            <w:tcBorders>
              <w:top w:val="nil"/>
              <w:left w:val="nil"/>
              <w:bottom w:val="nil"/>
              <w:right w:val="nil"/>
            </w:tcBorders>
            <w:shd w:val="clear" w:color="auto" w:fill="BFBFBF"/>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auto" w:fill="auto"/>
            <w:noWrap/>
            <w:vAlign w:val="bottom"/>
          </w:tcPr>
          <w:p w:rsidR="004843DB" w:rsidRPr="0062582F" w:rsidRDefault="004843DB" w:rsidP="004843DB">
            <w:pPr>
              <w:pStyle w:val="TableofFigures"/>
              <w:rPr>
                <w:sz w:val="17"/>
                <w:szCs w:val="17"/>
              </w:rPr>
            </w:pP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Changes in physical asset revaluation surplus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1 238</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(484)</w:t>
            </w: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Transfer from physical asset revaluation surplus to accumulated surplus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 xml:space="preserve"> 156</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614</w:t>
            </w:r>
          </w:p>
        </w:tc>
      </w:tr>
      <w:tr w:rsidR="004843DB" w:rsidRPr="0062582F" w:rsidTr="004843DB">
        <w:trPr>
          <w:cantSplit/>
        </w:trPr>
        <w:tc>
          <w:tcPr>
            <w:tcW w:w="6640" w:type="dxa"/>
            <w:tcBorders>
              <w:top w:val="nil"/>
              <w:left w:val="nil"/>
              <w:bottom w:val="nil"/>
              <w:right w:val="nil"/>
            </w:tcBorders>
            <w:shd w:val="clear" w:color="auto" w:fill="auto"/>
            <w:vAlign w:val="bottom"/>
          </w:tcPr>
          <w:p w:rsidR="004843DB" w:rsidRPr="0062582F" w:rsidRDefault="004843DB" w:rsidP="004843DB">
            <w:pPr>
              <w:pStyle w:val="Tabletext"/>
              <w:rPr>
                <w:b/>
                <w:sz w:val="17"/>
                <w:szCs w:val="17"/>
              </w:rPr>
            </w:pPr>
            <w:r w:rsidRPr="0062582F">
              <w:rPr>
                <w:b/>
                <w:sz w:val="17"/>
                <w:szCs w:val="17"/>
              </w:rPr>
              <w:t>Items that may be reclassified subsequently to net result</w:t>
            </w:r>
          </w:p>
        </w:tc>
        <w:tc>
          <w:tcPr>
            <w:tcW w:w="900" w:type="dxa"/>
            <w:tcBorders>
              <w:top w:val="nil"/>
              <w:left w:val="nil"/>
              <w:bottom w:val="nil"/>
              <w:right w:val="nil"/>
            </w:tcBorders>
            <w:shd w:val="clear" w:color="auto" w:fill="BFBFBF"/>
            <w:noWrap/>
            <w:vAlign w:val="bottom"/>
          </w:tcPr>
          <w:p w:rsidR="004843DB" w:rsidRPr="0062582F" w:rsidRDefault="004843DB" w:rsidP="004843DB">
            <w:pPr>
              <w:pStyle w:val="TableofFigures"/>
              <w:rPr>
                <w:b/>
                <w:sz w:val="17"/>
                <w:szCs w:val="17"/>
              </w:rPr>
            </w:pPr>
          </w:p>
        </w:tc>
        <w:tc>
          <w:tcPr>
            <w:tcW w:w="900" w:type="dxa"/>
            <w:tcBorders>
              <w:top w:val="nil"/>
              <w:left w:val="nil"/>
              <w:bottom w:val="nil"/>
              <w:right w:val="nil"/>
            </w:tcBorders>
            <w:shd w:val="clear" w:color="auto" w:fill="auto"/>
            <w:noWrap/>
            <w:vAlign w:val="bottom"/>
          </w:tcPr>
          <w:p w:rsidR="004843DB" w:rsidRPr="0062582F" w:rsidRDefault="004843DB" w:rsidP="004843DB">
            <w:pPr>
              <w:pStyle w:val="TableofFigures"/>
              <w:rPr>
                <w:b/>
                <w:sz w:val="17"/>
                <w:szCs w:val="17"/>
              </w:rPr>
            </w:pPr>
          </w:p>
        </w:tc>
      </w:tr>
      <w:tr w:rsidR="004843DB" w:rsidRPr="0062582F" w:rsidTr="004843DB">
        <w:trPr>
          <w:cantSplit/>
        </w:trPr>
        <w:tc>
          <w:tcPr>
            <w:tcW w:w="6640" w:type="dxa"/>
            <w:tcBorders>
              <w:top w:val="nil"/>
              <w:left w:val="nil"/>
              <w:bottom w:val="nil"/>
              <w:right w:val="nil"/>
            </w:tcBorders>
            <w:shd w:val="clear" w:color="auto" w:fill="auto"/>
            <w:vAlign w:val="bottom"/>
            <w:hideMark/>
          </w:tcPr>
          <w:p w:rsidR="004843DB" w:rsidRPr="0062582F" w:rsidRDefault="004843DB" w:rsidP="004843DB">
            <w:pPr>
              <w:pStyle w:val="Tabletext"/>
              <w:rPr>
                <w:sz w:val="17"/>
                <w:szCs w:val="17"/>
              </w:rPr>
            </w:pPr>
            <w:r w:rsidRPr="0062582F">
              <w:rPr>
                <w:sz w:val="17"/>
                <w:szCs w:val="17"/>
              </w:rPr>
              <w:t>Changes to financial assets available</w:t>
            </w:r>
            <w:r w:rsidR="005A4BB0">
              <w:rPr>
                <w:sz w:val="17"/>
                <w:szCs w:val="17"/>
              </w:rPr>
              <w:noBreakHyphen/>
            </w:r>
            <w:r w:rsidRPr="0062582F">
              <w:rPr>
                <w:sz w:val="17"/>
                <w:szCs w:val="17"/>
              </w:rPr>
              <w:t>for</w:t>
            </w:r>
            <w:r w:rsidR="005A4BB0">
              <w:rPr>
                <w:sz w:val="17"/>
                <w:szCs w:val="17"/>
              </w:rPr>
              <w:noBreakHyphen/>
            </w:r>
            <w:r w:rsidRPr="0062582F">
              <w:rPr>
                <w:sz w:val="17"/>
                <w:szCs w:val="17"/>
              </w:rPr>
              <w:t>sale revaluation surplus</w:t>
            </w:r>
          </w:p>
        </w:tc>
        <w:tc>
          <w:tcPr>
            <w:tcW w:w="900" w:type="dxa"/>
            <w:tcBorders>
              <w:top w:val="nil"/>
              <w:left w:val="nil"/>
              <w:bottom w:val="nil"/>
              <w:right w:val="nil"/>
            </w:tcBorders>
            <w:shd w:val="clear" w:color="auto" w:fill="BFBFBF"/>
            <w:noWrap/>
            <w:vAlign w:val="bottom"/>
            <w:hideMark/>
          </w:tcPr>
          <w:p w:rsidR="004843DB" w:rsidRPr="0062582F" w:rsidRDefault="004843DB" w:rsidP="004843DB">
            <w:pPr>
              <w:pStyle w:val="TableofFigures"/>
              <w:rPr>
                <w:sz w:val="17"/>
                <w:szCs w:val="17"/>
              </w:rPr>
            </w:pPr>
            <w:r w:rsidRPr="0062582F">
              <w:rPr>
                <w:sz w:val="17"/>
                <w:szCs w:val="17"/>
              </w:rPr>
              <w:t>(1 250)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996</w:t>
            </w:r>
          </w:p>
        </w:tc>
      </w:tr>
      <w:tr w:rsidR="004843DB" w:rsidRPr="0062582F" w:rsidTr="004843DB">
        <w:trPr>
          <w:cantSplit/>
        </w:trPr>
        <w:tc>
          <w:tcPr>
            <w:tcW w:w="6640" w:type="dxa"/>
            <w:tcBorders>
              <w:top w:val="single" w:sz="4" w:space="0" w:color="auto"/>
              <w:left w:val="nil"/>
              <w:bottom w:val="single" w:sz="4" w:space="0" w:color="auto"/>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Total other economic flows – other comprehensive income</w:t>
            </w:r>
          </w:p>
        </w:tc>
        <w:tc>
          <w:tcPr>
            <w:tcW w:w="900" w:type="dxa"/>
            <w:tcBorders>
              <w:top w:val="single" w:sz="4" w:space="0" w:color="auto"/>
              <w:left w:val="nil"/>
              <w:bottom w:val="single" w:sz="4" w:space="0" w:color="auto"/>
              <w:right w:val="nil"/>
            </w:tcBorders>
            <w:shd w:val="clear" w:color="auto" w:fill="BFBFBF"/>
            <w:noWrap/>
            <w:vAlign w:val="bottom"/>
            <w:hideMark/>
          </w:tcPr>
          <w:p w:rsidR="004843DB" w:rsidRPr="0062582F" w:rsidRDefault="004843DB" w:rsidP="004843DB">
            <w:pPr>
              <w:pStyle w:val="TableofFigures"/>
              <w:rPr>
                <w:b/>
                <w:sz w:val="17"/>
                <w:szCs w:val="17"/>
              </w:rPr>
            </w:pPr>
            <w:r w:rsidRPr="0062582F">
              <w:rPr>
                <w:b/>
                <w:sz w:val="17"/>
                <w:szCs w:val="17"/>
              </w:rPr>
              <w:t>1 189</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1 126</w:t>
            </w:r>
          </w:p>
        </w:tc>
      </w:tr>
      <w:tr w:rsidR="004843DB" w:rsidRPr="0062582F" w:rsidTr="004843DB">
        <w:trPr>
          <w:cantSplit/>
        </w:trPr>
        <w:tc>
          <w:tcPr>
            <w:tcW w:w="6640" w:type="dxa"/>
            <w:tcBorders>
              <w:top w:val="single" w:sz="4" w:space="0" w:color="auto"/>
              <w:left w:val="nil"/>
              <w:bottom w:val="single" w:sz="12" w:space="0" w:color="auto"/>
              <w:right w:val="nil"/>
            </w:tcBorders>
            <w:shd w:val="clear" w:color="auto" w:fill="auto"/>
            <w:vAlign w:val="bottom"/>
            <w:hideMark/>
          </w:tcPr>
          <w:p w:rsidR="004843DB" w:rsidRPr="0062582F" w:rsidRDefault="004843DB" w:rsidP="004843DB">
            <w:pPr>
              <w:pStyle w:val="Tabletext"/>
              <w:rPr>
                <w:b/>
                <w:sz w:val="17"/>
                <w:szCs w:val="17"/>
              </w:rPr>
            </w:pPr>
            <w:r w:rsidRPr="0062582F">
              <w:rPr>
                <w:b/>
                <w:sz w:val="17"/>
                <w:szCs w:val="17"/>
              </w:rPr>
              <w:t>Comprehensive result</w:t>
            </w:r>
          </w:p>
        </w:tc>
        <w:tc>
          <w:tcPr>
            <w:tcW w:w="900" w:type="dxa"/>
            <w:tcBorders>
              <w:top w:val="single" w:sz="4" w:space="0" w:color="auto"/>
              <w:left w:val="nil"/>
              <w:bottom w:val="single" w:sz="12" w:space="0" w:color="auto"/>
              <w:right w:val="nil"/>
            </w:tcBorders>
            <w:shd w:val="clear" w:color="auto" w:fill="BFBFBF"/>
            <w:noWrap/>
            <w:vAlign w:val="bottom"/>
            <w:hideMark/>
          </w:tcPr>
          <w:p w:rsidR="004843DB" w:rsidRPr="0062582F" w:rsidRDefault="004843DB" w:rsidP="004843DB">
            <w:pPr>
              <w:pStyle w:val="TableofFigures"/>
              <w:rPr>
                <w:b/>
                <w:sz w:val="17"/>
                <w:szCs w:val="17"/>
              </w:rPr>
            </w:pPr>
            <w:r w:rsidRPr="0062582F">
              <w:rPr>
                <w:b/>
                <w:sz w:val="17"/>
                <w:szCs w:val="17"/>
              </w:rPr>
              <w:t>5 572</w:t>
            </w:r>
          </w:p>
        </w:tc>
        <w:tc>
          <w:tcPr>
            <w:tcW w:w="900"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4 120</w:t>
            </w:r>
          </w:p>
        </w:tc>
      </w:tr>
    </w:tbl>
    <w:p w:rsidR="004843DB" w:rsidRPr="0062582F" w:rsidRDefault="004843DB" w:rsidP="004843DB">
      <w:pPr>
        <w:pStyle w:val="Notes"/>
      </w:pPr>
      <w:r w:rsidRPr="0062582F">
        <w:t>Notes:</w:t>
      </w:r>
    </w:p>
    <w:p w:rsidR="004843DB" w:rsidRPr="0062582F" w:rsidRDefault="004843DB" w:rsidP="004843DB">
      <w:pPr>
        <w:pStyle w:val="Notes"/>
      </w:pPr>
      <w:r w:rsidRPr="0062582F">
        <w:t>(i)</w:t>
      </w:r>
      <w:r w:rsidRPr="0062582F">
        <w:tab/>
        <w:t xml:space="preserve">Information about the objectives of these departmental outputs can be located in the Report of Operations under the </w:t>
      </w:r>
      <w:r w:rsidR="005A4BB0">
        <w:t>‘</w:t>
      </w:r>
      <w:r w:rsidRPr="0062582F">
        <w:t>Operational and budgetary objectives and performance against objectives</w:t>
      </w:r>
      <w:r w:rsidR="005A4BB0">
        <w:t>’</w:t>
      </w:r>
      <w:r w:rsidRPr="0062582F">
        <w:t xml:space="preserve"> section.</w:t>
      </w:r>
    </w:p>
    <w:p w:rsidR="004843DB" w:rsidRPr="0062582F" w:rsidRDefault="004843DB" w:rsidP="004843DB">
      <w:pPr>
        <w:pStyle w:val="Notes"/>
      </w:pPr>
      <w:r w:rsidRPr="0062582F">
        <w:t>(ii)</w:t>
      </w:r>
      <w:r w:rsidRPr="0062582F">
        <w:tab/>
        <w:t xml:space="preserve">Based on the Administrative Arrangements Order </w:t>
      </w:r>
      <w:r w:rsidRPr="0062582F">
        <w:rPr>
          <w:color w:val="0000FF"/>
        </w:rPr>
        <w:t xml:space="preserve">[No. xxx] </w:t>
      </w:r>
      <w:r w:rsidRPr="0062582F">
        <w:t xml:space="preserve">2015, figures for the current financial year for the new technology administration output reflect the period from 1 July 2015 to 31 August 2015, figures for the comparative year are not adjusted. Figures for the period from 1 September 2015 to 30 June 2016 are reported by the Department of Cabinet Administration. </w:t>
      </w:r>
    </w:p>
    <w:p w:rsidR="004843DB" w:rsidRPr="0062582F" w:rsidRDefault="004843DB" w:rsidP="004843DB">
      <w:pPr>
        <w:pStyle w:val="Notes"/>
      </w:pPr>
      <w:r w:rsidRPr="0062582F">
        <w:t>(iii)</w:t>
      </w:r>
      <w:r w:rsidRPr="0062582F">
        <w:tab/>
        <w:t xml:space="preserve">Based on the Administrative Arrangements Order </w:t>
      </w:r>
      <w:r w:rsidRPr="0062582F">
        <w:rPr>
          <w:color w:val="0000FF"/>
        </w:rPr>
        <w:t xml:space="preserve">[No. xxx] </w:t>
      </w:r>
      <w:r w:rsidRPr="0062582F">
        <w:t>2015, figures for the current financial year for the R&amp;D biological technology output reflect the period from 1 September 2015 to 30 June 2016. Figures for the period from 1 July 2015 to 31 August 2015, and figures for the comparative year, are reported by the Department of Natural Resources.</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Headingcontinued"/>
      </w:pPr>
    </w:p>
    <w:p w:rsidR="004843DB" w:rsidRPr="0062582F" w:rsidRDefault="004843DB" w:rsidP="00E348C3">
      <w:pPr>
        <w:pStyle w:val="Tableheading"/>
      </w:pPr>
    </w:p>
    <w:p w:rsidR="004843DB" w:rsidRPr="0062582F" w:rsidRDefault="004843DB" w:rsidP="00747D28">
      <w:pPr>
        <w:pStyle w:val="million"/>
        <w:tabs>
          <w:tab w:val="left" w:pos="3261"/>
          <w:tab w:val="left" w:pos="3686"/>
          <w:tab w:val="left" w:pos="4820"/>
        </w:tabs>
        <w:spacing w:before="200"/>
        <w:ind w:left="-3067"/>
      </w:pPr>
      <w:bookmarkStart w:id="342" w:name="RANGE!E6:L41"/>
    </w:p>
    <w:tbl>
      <w:tblPr>
        <w:tblW w:w="7300" w:type="dxa"/>
        <w:tblInd w:w="108" w:type="dxa"/>
        <w:tblLayout w:type="fixed"/>
        <w:tblCellMar>
          <w:left w:w="43" w:type="dxa"/>
          <w:right w:w="43" w:type="dxa"/>
        </w:tblCellMar>
        <w:tblLook w:val="04A0" w:firstRow="1" w:lastRow="0" w:firstColumn="1" w:lastColumn="0" w:noHBand="0" w:noVBand="1"/>
      </w:tblPr>
      <w:tblGrid>
        <w:gridCol w:w="900"/>
        <w:gridCol w:w="900"/>
        <w:gridCol w:w="900"/>
        <w:gridCol w:w="900"/>
        <w:gridCol w:w="900"/>
        <w:gridCol w:w="900"/>
        <w:gridCol w:w="1000"/>
        <w:gridCol w:w="900"/>
      </w:tblGrid>
      <w:tr w:rsidR="004843DB" w:rsidRPr="0062582F" w:rsidTr="004843DB">
        <w:trPr>
          <w:cantSplit/>
        </w:trPr>
        <w:tc>
          <w:tcPr>
            <w:tcW w:w="1800" w:type="dxa"/>
            <w:gridSpan w:val="2"/>
            <w:tcBorders>
              <w:top w:val="single" w:sz="4" w:space="0" w:color="auto"/>
              <w:left w:val="nil"/>
              <w:bottom w:val="single" w:sz="4" w:space="0" w:color="auto"/>
              <w:right w:val="nil"/>
            </w:tcBorders>
            <w:shd w:val="clear" w:color="auto" w:fill="auto"/>
            <w:hideMark/>
          </w:tcPr>
          <w:bookmarkEnd w:id="342"/>
          <w:p w:rsidR="004843DB" w:rsidRPr="0062582F" w:rsidRDefault="004843DB" w:rsidP="004843DB">
            <w:pPr>
              <w:pStyle w:val="TabletextheadingCentred"/>
              <w:rPr>
                <w:sz w:val="17"/>
                <w:szCs w:val="17"/>
              </w:rPr>
            </w:pPr>
            <w:r w:rsidRPr="0062582F">
              <w:rPr>
                <w:sz w:val="17"/>
                <w:szCs w:val="17"/>
              </w:rPr>
              <w:br/>
              <w:t xml:space="preserve">IT&amp;T services </w:t>
            </w:r>
            <w:r w:rsidRPr="0062582F">
              <w:rPr>
                <w:sz w:val="17"/>
                <w:szCs w:val="17"/>
                <w:vertAlign w:val="superscript"/>
              </w:rPr>
              <w:t>(i)</w:t>
            </w:r>
          </w:p>
        </w:tc>
        <w:tc>
          <w:tcPr>
            <w:tcW w:w="1800"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rPr>
                <w:sz w:val="17"/>
                <w:szCs w:val="17"/>
                <w:vertAlign w:val="superscript"/>
              </w:rPr>
            </w:pPr>
            <w:r w:rsidRPr="0062582F">
              <w:rPr>
                <w:sz w:val="17"/>
                <w:szCs w:val="17"/>
              </w:rPr>
              <w:t xml:space="preserve">New technology administration </w:t>
            </w:r>
            <w:r w:rsidRPr="0062582F">
              <w:rPr>
                <w:sz w:val="17"/>
                <w:szCs w:val="17"/>
                <w:vertAlign w:val="superscript"/>
              </w:rPr>
              <w:t>(i)(ii)</w:t>
            </w:r>
          </w:p>
        </w:tc>
        <w:tc>
          <w:tcPr>
            <w:tcW w:w="1800"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rPr>
                <w:sz w:val="17"/>
                <w:szCs w:val="17"/>
                <w:vertAlign w:val="superscript"/>
              </w:rPr>
            </w:pPr>
            <w:r w:rsidRPr="0062582F">
              <w:rPr>
                <w:sz w:val="17"/>
                <w:szCs w:val="17"/>
              </w:rPr>
              <w:t xml:space="preserve">R&amp;D biological technology </w:t>
            </w:r>
            <w:r w:rsidRPr="0062582F">
              <w:rPr>
                <w:sz w:val="17"/>
                <w:szCs w:val="17"/>
                <w:vertAlign w:val="superscript"/>
              </w:rPr>
              <w:t>(i)(iii)</w:t>
            </w:r>
          </w:p>
        </w:tc>
        <w:tc>
          <w:tcPr>
            <w:tcW w:w="1900"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rPr>
                <w:sz w:val="17"/>
                <w:szCs w:val="17"/>
              </w:rPr>
            </w:pPr>
            <w:r w:rsidRPr="0062582F">
              <w:rPr>
                <w:sz w:val="17"/>
                <w:szCs w:val="17"/>
              </w:rPr>
              <w:br/>
              <w:t>Departmental total</w:t>
            </w:r>
          </w:p>
        </w:tc>
      </w:tr>
      <w:tr w:rsidR="004843DB" w:rsidRPr="0062582F" w:rsidTr="004843DB">
        <w:trPr>
          <w:cantSplit/>
        </w:trPr>
        <w:tc>
          <w:tcPr>
            <w:tcW w:w="9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textheading"/>
              <w:rPr>
                <w:sz w:val="17"/>
                <w:szCs w:val="17"/>
              </w:rPr>
            </w:pPr>
            <w:r w:rsidRPr="0062582F">
              <w:rPr>
                <w:sz w:val="17"/>
                <w:szCs w:val="17"/>
              </w:rPr>
              <w:t>2016</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textheading"/>
              <w:rPr>
                <w:sz w:val="17"/>
                <w:szCs w:val="17"/>
              </w:rPr>
            </w:pPr>
            <w:r w:rsidRPr="0062582F">
              <w:rPr>
                <w:sz w:val="17"/>
                <w:szCs w:val="17"/>
              </w:rPr>
              <w:t>2015</w:t>
            </w:r>
          </w:p>
        </w:tc>
        <w:tc>
          <w:tcPr>
            <w:tcW w:w="9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textheading"/>
              <w:rPr>
                <w:sz w:val="17"/>
                <w:szCs w:val="17"/>
              </w:rPr>
            </w:pPr>
            <w:r w:rsidRPr="0062582F">
              <w:rPr>
                <w:sz w:val="17"/>
                <w:szCs w:val="17"/>
              </w:rPr>
              <w:t>2016</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textheading"/>
              <w:rPr>
                <w:sz w:val="17"/>
                <w:szCs w:val="17"/>
              </w:rPr>
            </w:pPr>
            <w:r w:rsidRPr="0062582F">
              <w:rPr>
                <w:sz w:val="17"/>
                <w:szCs w:val="17"/>
              </w:rPr>
              <w:t>2015</w:t>
            </w:r>
          </w:p>
        </w:tc>
        <w:tc>
          <w:tcPr>
            <w:tcW w:w="9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textheading"/>
              <w:rPr>
                <w:sz w:val="17"/>
                <w:szCs w:val="17"/>
              </w:rPr>
            </w:pPr>
            <w:r w:rsidRPr="0062582F">
              <w:rPr>
                <w:sz w:val="17"/>
                <w:szCs w:val="17"/>
              </w:rPr>
              <w:t>2016</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textheading"/>
              <w:rPr>
                <w:sz w:val="17"/>
                <w:szCs w:val="17"/>
              </w:rPr>
            </w:pPr>
            <w:r w:rsidRPr="0062582F">
              <w:rPr>
                <w:sz w:val="17"/>
                <w:szCs w:val="17"/>
              </w:rPr>
              <w:t>2015</w:t>
            </w:r>
          </w:p>
        </w:tc>
        <w:tc>
          <w:tcPr>
            <w:tcW w:w="10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textheading"/>
              <w:rPr>
                <w:sz w:val="17"/>
                <w:szCs w:val="17"/>
              </w:rPr>
            </w:pPr>
            <w:r w:rsidRPr="0062582F">
              <w:rPr>
                <w:sz w:val="17"/>
                <w:szCs w:val="17"/>
              </w:rPr>
              <w:t>2016</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textheading"/>
              <w:rPr>
                <w:sz w:val="17"/>
                <w:szCs w:val="17"/>
              </w:rPr>
            </w:pPr>
            <w:r w:rsidRPr="0062582F">
              <w:rPr>
                <w:sz w:val="17"/>
                <w:szCs w:val="17"/>
              </w:rPr>
              <w:t>2015</w:t>
            </w:r>
          </w:p>
        </w:tc>
      </w:tr>
      <w:tr w:rsidR="004843DB" w:rsidRPr="0062582F" w:rsidTr="004843DB">
        <w:trPr>
          <w:cantSplit/>
        </w:trPr>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10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10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9 500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7 000</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13 167</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26 682</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26 826</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85 535</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63 682</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5 384</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3 020</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760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4 789</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4</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8 128</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11 396</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1 071</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816</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970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961</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669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3 864</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2 897</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756</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703</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204</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88</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177</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1 839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1 346</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85</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90</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173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306</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140</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34</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109</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180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903</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526</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1 589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1 708</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950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775</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255</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157</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675</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6 213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5 091</w:t>
            </w:r>
          </w:p>
        </w:tc>
      </w:tr>
      <w:tr w:rsidR="004843DB" w:rsidRPr="0062582F" w:rsidTr="004843DB">
        <w:trPr>
          <w:cantSplit/>
        </w:trPr>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17 695</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12 423</w:t>
            </w:r>
          </w:p>
        </w:tc>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15 621</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33 670</w:t>
            </w:r>
          </w:p>
        </w:tc>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29 050</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w:t>
            </w:r>
          </w:p>
        </w:tc>
        <w:tc>
          <w:tcPr>
            <w:tcW w:w="10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107 474</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86 260</w:t>
            </w:r>
          </w:p>
        </w:tc>
      </w:tr>
      <w:tr w:rsidR="004843DB" w:rsidRPr="0062582F" w:rsidTr="004843DB">
        <w:trPr>
          <w:cantSplit/>
        </w:trPr>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10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(2 586)</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(3 388)</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(2 729)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(2 324)</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(4 569)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(13 767)</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(10 970)</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(1 807)</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(3 530)</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(4 276)</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(4 013)</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(4 290)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(15 099)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(12 157)</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(179)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(232)</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(1 860)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(1 829)</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(68)</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(2 366)</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(2 336)</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(822)</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(17 823)</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(12 536)</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(32 883)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(43 040)</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(403)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(237)</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(219)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(133)</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(284)</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(1 309)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(720)</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(1 328)</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(1 112)</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(3 525)</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(3 198)</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(6 985)</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(15 828)</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(8 197)</w:t>
            </w:r>
          </w:p>
        </w:tc>
      </w:tr>
      <w:tr w:rsidR="004843DB" w:rsidRPr="0062582F" w:rsidTr="004843DB">
        <w:trPr>
          <w:cantSplit/>
        </w:trPr>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(6 303)</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(8 499)</w:t>
            </w:r>
          </w:p>
        </w:tc>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(13 431)</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(29 320)</w:t>
            </w:r>
          </w:p>
        </w:tc>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(28 732)</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w:t>
            </w:r>
          </w:p>
        </w:tc>
        <w:tc>
          <w:tcPr>
            <w:tcW w:w="10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(81 252)</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(77 421)</w:t>
            </w:r>
          </w:p>
        </w:tc>
      </w:tr>
      <w:tr w:rsidR="004843DB" w:rsidRPr="0062582F" w:rsidTr="004843DB">
        <w:trPr>
          <w:cantSplit/>
        </w:trPr>
        <w:tc>
          <w:tcPr>
            <w:tcW w:w="900" w:type="dxa"/>
            <w:tcBorders>
              <w:top w:val="single" w:sz="4" w:space="0" w:color="auto"/>
              <w:left w:val="nil"/>
              <w:bottom w:val="single" w:sz="12"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11 392</w:t>
            </w:r>
          </w:p>
        </w:tc>
        <w:tc>
          <w:tcPr>
            <w:tcW w:w="900"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3 924</w:t>
            </w:r>
          </w:p>
        </w:tc>
        <w:tc>
          <w:tcPr>
            <w:tcW w:w="900" w:type="dxa"/>
            <w:tcBorders>
              <w:top w:val="single" w:sz="4" w:space="0" w:color="auto"/>
              <w:left w:val="nil"/>
              <w:bottom w:val="single" w:sz="12"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2 190</w:t>
            </w:r>
          </w:p>
        </w:tc>
        <w:tc>
          <w:tcPr>
            <w:tcW w:w="900"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4 350</w:t>
            </w:r>
          </w:p>
        </w:tc>
        <w:tc>
          <w:tcPr>
            <w:tcW w:w="900" w:type="dxa"/>
            <w:tcBorders>
              <w:top w:val="single" w:sz="4" w:space="0" w:color="auto"/>
              <w:left w:val="nil"/>
              <w:bottom w:val="single" w:sz="12"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 xml:space="preserve"> 318</w:t>
            </w:r>
          </w:p>
        </w:tc>
        <w:tc>
          <w:tcPr>
            <w:tcW w:w="900"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w:t>
            </w:r>
          </w:p>
        </w:tc>
        <w:tc>
          <w:tcPr>
            <w:tcW w:w="1000" w:type="dxa"/>
            <w:tcBorders>
              <w:top w:val="single" w:sz="4" w:space="0" w:color="auto"/>
              <w:left w:val="nil"/>
              <w:bottom w:val="single" w:sz="12"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26 223</w:t>
            </w:r>
          </w:p>
        </w:tc>
        <w:tc>
          <w:tcPr>
            <w:tcW w:w="900"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8 839</w:t>
            </w:r>
          </w:p>
        </w:tc>
      </w:tr>
      <w:tr w:rsidR="004843DB" w:rsidRPr="0062582F" w:rsidTr="004843DB">
        <w:trPr>
          <w:cantSplit/>
        </w:trPr>
        <w:tc>
          <w:tcPr>
            <w:tcW w:w="900" w:type="dxa"/>
            <w:tcBorders>
              <w:top w:val="single" w:sz="12" w:space="0" w:color="auto"/>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single" w:sz="12" w:space="0" w:color="auto"/>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single" w:sz="12" w:space="0" w:color="auto"/>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single" w:sz="12" w:space="0" w:color="auto"/>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single" w:sz="12" w:space="0" w:color="auto"/>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w:t>
            </w:r>
          </w:p>
        </w:tc>
        <w:tc>
          <w:tcPr>
            <w:tcW w:w="900" w:type="dxa"/>
            <w:tcBorders>
              <w:top w:val="single" w:sz="12" w:space="0" w:color="auto"/>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1000" w:type="dxa"/>
            <w:tcBorders>
              <w:top w:val="single" w:sz="12" w:space="0" w:color="auto"/>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single" w:sz="12" w:space="0" w:color="auto"/>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80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297</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(334)</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(39)</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991</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(5 161)</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1 805</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(162)</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(241)</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(2 830)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(3 590)</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(800)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(5 891)</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(3 971)</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231</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745</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1 286</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1 397</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(459)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(696)</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(516)</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(395)</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(1 240)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(2 895)</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(2 047)</w:t>
            </w:r>
          </w:p>
        </w:tc>
      </w:tr>
      <w:tr w:rsidR="004843DB" w:rsidRPr="0062582F" w:rsidTr="004843DB">
        <w:trPr>
          <w:cantSplit/>
        </w:trPr>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(541)</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( 639)</w:t>
            </w:r>
          </w:p>
        </w:tc>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(3 449)</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(3 280)</w:t>
            </w:r>
          </w:p>
        </w:tc>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(1 049)</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w:t>
            </w:r>
          </w:p>
        </w:tc>
        <w:tc>
          <w:tcPr>
            <w:tcW w:w="10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(12 661)</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(2 816)</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10 851</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3 285</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(1 259)</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1 070</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(731)</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13 562</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6 023</w:t>
            </w:r>
          </w:p>
        </w:tc>
      </w:tr>
      <w:tr w:rsidR="004843DB" w:rsidRPr="0062582F" w:rsidTr="004843DB">
        <w:trPr>
          <w:cantSplit/>
        </w:trPr>
        <w:tc>
          <w:tcPr>
            <w:tcW w:w="9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1 545</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2 530</w:t>
            </w:r>
          </w:p>
        </w:tc>
        <w:tc>
          <w:tcPr>
            <w:tcW w:w="9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1 229</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3 856</w:t>
            </w:r>
          </w:p>
        </w:tc>
      </w:tr>
      <w:tr w:rsidR="004843DB" w:rsidRPr="0062582F" w:rsidTr="004843DB">
        <w:trPr>
          <w:cantSplit/>
        </w:trPr>
        <w:tc>
          <w:tcPr>
            <w:tcW w:w="9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12 396</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5 815</w:t>
            </w:r>
          </w:p>
        </w:tc>
        <w:tc>
          <w:tcPr>
            <w:tcW w:w="9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(1 259)</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1 070</w:t>
            </w:r>
          </w:p>
        </w:tc>
        <w:tc>
          <w:tcPr>
            <w:tcW w:w="9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(731)</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w:t>
            </w:r>
          </w:p>
        </w:tc>
        <w:tc>
          <w:tcPr>
            <w:tcW w:w="1000" w:type="dxa"/>
            <w:tcBorders>
              <w:top w:val="nil"/>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14 790</w:t>
            </w:r>
          </w:p>
        </w:tc>
        <w:tc>
          <w:tcPr>
            <w:tcW w:w="900"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9 879</w:t>
            </w:r>
          </w:p>
        </w:tc>
      </w:tr>
      <w:tr w:rsidR="004843DB" w:rsidRPr="0062582F" w:rsidTr="004843DB">
        <w:trPr>
          <w:cantSplit/>
        </w:trPr>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9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c>
          <w:tcPr>
            <w:tcW w:w="1000"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sz w:val="17"/>
                <w:szCs w:val="17"/>
              </w:rPr>
            </w:pPr>
            <w:r w:rsidRPr="0062582F">
              <w:rPr>
                <w:sz w:val="17"/>
                <w:szCs w:val="17"/>
              </w:rPr>
              <w:t> </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900" w:type="dxa"/>
            <w:tcBorders>
              <w:top w:val="nil"/>
              <w:left w:val="nil"/>
              <w:bottom w:val="nil"/>
              <w:right w:val="nil"/>
            </w:tcBorders>
            <w:shd w:val="clear" w:color="000000" w:fill="CCCCCC"/>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auto" w:fill="auto"/>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000000" w:fill="CCCCCC"/>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auto" w:fill="auto"/>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000000" w:fill="CCCCCC"/>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auto" w:fill="auto"/>
            <w:noWrap/>
            <w:vAlign w:val="bottom"/>
          </w:tcPr>
          <w:p w:rsidR="004843DB" w:rsidRPr="0062582F" w:rsidRDefault="004843DB" w:rsidP="004843DB">
            <w:pPr>
              <w:pStyle w:val="TableofFigures"/>
              <w:rPr>
                <w:sz w:val="17"/>
                <w:szCs w:val="17"/>
              </w:rPr>
            </w:pPr>
          </w:p>
        </w:tc>
        <w:tc>
          <w:tcPr>
            <w:tcW w:w="1000" w:type="dxa"/>
            <w:tcBorders>
              <w:top w:val="nil"/>
              <w:left w:val="nil"/>
              <w:bottom w:val="nil"/>
              <w:right w:val="nil"/>
            </w:tcBorders>
            <w:shd w:val="clear" w:color="000000" w:fill="CCCCCC"/>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auto" w:fill="auto"/>
            <w:noWrap/>
            <w:vAlign w:val="bottom"/>
          </w:tcPr>
          <w:p w:rsidR="004843DB" w:rsidRPr="0062582F" w:rsidRDefault="004843DB" w:rsidP="004843DB">
            <w:pPr>
              <w:pStyle w:val="TableofFigures"/>
              <w:rPr>
                <w:sz w:val="17"/>
                <w:szCs w:val="17"/>
              </w:rPr>
            </w:pP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773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1 588</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(385)</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28</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1 954</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3 580</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1 133</w:t>
            </w: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113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386</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34</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822</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333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 xml:space="preserve"> 637</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1 822</w:t>
            </w:r>
          </w:p>
        </w:tc>
      </w:tr>
      <w:tr w:rsidR="004843DB" w:rsidRPr="0062582F" w:rsidTr="004843DB">
        <w:trPr>
          <w:cantSplit/>
        </w:trPr>
        <w:tc>
          <w:tcPr>
            <w:tcW w:w="900" w:type="dxa"/>
            <w:tcBorders>
              <w:top w:val="nil"/>
              <w:left w:val="nil"/>
              <w:bottom w:val="nil"/>
              <w:right w:val="nil"/>
            </w:tcBorders>
            <w:shd w:val="clear" w:color="00FFFF" w:fill="CCCCCC"/>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auto" w:fill="auto"/>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00FFFF" w:fill="CCCCCC"/>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auto" w:fill="auto"/>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00FFFF" w:fill="CCCCCC"/>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auto" w:fill="auto"/>
            <w:noWrap/>
            <w:vAlign w:val="bottom"/>
          </w:tcPr>
          <w:p w:rsidR="004843DB" w:rsidRPr="0062582F" w:rsidRDefault="004843DB" w:rsidP="004843DB">
            <w:pPr>
              <w:pStyle w:val="TableofFigures"/>
              <w:rPr>
                <w:sz w:val="17"/>
                <w:szCs w:val="17"/>
              </w:rPr>
            </w:pPr>
          </w:p>
        </w:tc>
        <w:tc>
          <w:tcPr>
            <w:tcW w:w="1000" w:type="dxa"/>
            <w:tcBorders>
              <w:top w:val="nil"/>
              <w:left w:val="nil"/>
              <w:bottom w:val="nil"/>
              <w:right w:val="nil"/>
            </w:tcBorders>
            <w:shd w:val="clear" w:color="00FFFF" w:fill="CCCCCC"/>
            <w:noWrap/>
            <w:vAlign w:val="bottom"/>
          </w:tcPr>
          <w:p w:rsidR="004843DB" w:rsidRPr="0062582F" w:rsidRDefault="004843DB" w:rsidP="004843DB">
            <w:pPr>
              <w:pStyle w:val="TableofFigures"/>
              <w:rPr>
                <w:sz w:val="17"/>
                <w:szCs w:val="17"/>
              </w:rPr>
            </w:pPr>
          </w:p>
        </w:tc>
        <w:tc>
          <w:tcPr>
            <w:tcW w:w="900" w:type="dxa"/>
            <w:tcBorders>
              <w:top w:val="nil"/>
              <w:left w:val="nil"/>
              <w:bottom w:val="nil"/>
              <w:right w:val="nil"/>
            </w:tcBorders>
            <w:shd w:val="clear" w:color="auto" w:fill="auto"/>
            <w:noWrap/>
            <w:vAlign w:val="bottom"/>
          </w:tcPr>
          <w:p w:rsidR="004843DB" w:rsidRPr="0062582F" w:rsidRDefault="004843DB" w:rsidP="004843DB">
            <w:pPr>
              <w:pStyle w:val="TableofFigures"/>
              <w:rPr>
                <w:sz w:val="17"/>
                <w:szCs w:val="17"/>
              </w:rPr>
            </w:pPr>
          </w:p>
        </w:tc>
      </w:tr>
      <w:tr w:rsidR="004843DB" w:rsidRPr="0062582F" w:rsidTr="004843DB">
        <w:trPr>
          <w:cantSplit/>
        </w:trPr>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(273)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 xml:space="preserve"> 150</w:t>
            </w:r>
          </w:p>
        </w:tc>
        <w:tc>
          <w:tcPr>
            <w:tcW w:w="9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w:t>
            </w:r>
          </w:p>
        </w:tc>
        <w:tc>
          <w:tcPr>
            <w:tcW w:w="1000" w:type="dxa"/>
            <w:tcBorders>
              <w:top w:val="nil"/>
              <w:left w:val="nil"/>
              <w:bottom w:val="nil"/>
              <w:right w:val="nil"/>
            </w:tcBorders>
            <w:shd w:val="clear" w:color="00FFFF" w:fill="CCCCCC"/>
            <w:noWrap/>
            <w:vAlign w:val="bottom"/>
            <w:hideMark/>
          </w:tcPr>
          <w:p w:rsidR="004843DB" w:rsidRPr="0062582F" w:rsidRDefault="004843DB" w:rsidP="004843DB">
            <w:pPr>
              <w:pStyle w:val="TableofFigures"/>
              <w:rPr>
                <w:sz w:val="17"/>
                <w:szCs w:val="17"/>
              </w:rPr>
            </w:pPr>
            <w:r w:rsidRPr="0062582F">
              <w:rPr>
                <w:sz w:val="17"/>
                <w:szCs w:val="17"/>
              </w:rPr>
              <w:t>(1 523)</w:t>
            </w:r>
          </w:p>
        </w:tc>
        <w:tc>
          <w:tcPr>
            <w:tcW w:w="900" w:type="dxa"/>
            <w:tcBorders>
              <w:top w:val="nil"/>
              <w:left w:val="nil"/>
              <w:bottom w:val="nil"/>
              <w:right w:val="nil"/>
            </w:tcBorders>
            <w:shd w:val="clear" w:color="auto" w:fill="auto"/>
            <w:noWrap/>
            <w:vAlign w:val="bottom"/>
            <w:hideMark/>
          </w:tcPr>
          <w:p w:rsidR="004843DB" w:rsidRPr="0062582F" w:rsidRDefault="004843DB" w:rsidP="004843DB">
            <w:pPr>
              <w:pStyle w:val="TableofFigures"/>
              <w:rPr>
                <w:sz w:val="17"/>
                <w:szCs w:val="17"/>
              </w:rPr>
            </w:pPr>
            <w:r w:rsidRPr="0062582F">
              <w:rPr>
                <w:sz w:val="17"/>
                <w:szCs w:val="17"/>
              </w:rPr>
              <w:t>1 146</w:t>
            </w:r>
          </w:p>
        </w:tc>
      </w:tr>
      <w:tr w:rsidR="004843DB" w:rsidRPr="0062582F" w:rsidTr="004843DB">
        <w:trPr>
          <w:cantSplit/>
        </w:trPr>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 xml:space="preserve"> 886</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1 975</w:t>
            </w:r>
          </w:p>
        </w:tc>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2 051</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1 000</w:t>
            </w:r>
          </w:p>
        </w:tc>
        <w:tc>
          <w:tcPr>
            <w:tcW w:w="9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2 287</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w:t>
            </w:r>
          </w:p>
        </w:tc>
        <w:tc>
          <w:tcPr>
            <w:tcW w:w="1000" w:type="dxa"/>
            <w:tcBorders>
              <w:top w:val="single" w:sz="4" w:space="0" w:color="auto"/>
              <w:left w:val="nil"/>
              <w:bottom w:val="single" w:sz="4"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6 413</w:t>
            </w:r>
          </w:p>
        </w:tc>
        <w:tc>
          <w:tcPr>
            <w:tcW w:w="900" w:type="dxa"/>
            <w:tcBorders>
              <w:top w:val="single" w:sz="4" w:space="0" w:color="auto"/>
              <w:left w:val="nil"/>
              <w:bottom w:val="single" w:sz="4"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4 101</w:t>
            </w:r>
          </w:p>
        </w:tc>
      </w:tr>
      <w:tr w:rsidR="004843DB" w:rsidRPr="0062582F" w:rsidTr="004843DB">
        <w:trPr>
          <w:cantSplit/>
        </w:trPr>
        <w:tc>
          <w:tcPr>
            <w:tcW w:w="900" w:type="dxa"/>
            <w:tcBorders>
              <w:top w:val="single" w:sz="4" w:space="0" w:color="auto"/>
              <w:left w:val="nil"/>
              <w:bottom w:val="single" w:sz="12"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13 282</w:t>
            </w:r>
          </w:p>
        </w:tc>
        <w:tc>
          <w:tcPr>
            <w:tcW w:w="900"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7 790</w:t>
            </w:r>
          </w:p>
        </w:tc>
        <w:tc>
          <w:tcPr>
            <w:tcW w:w="900" w:type="dxa"/>
            <w:tcBorders>
              <w:top w:val="single" w:sz="4" w:space="0" w:color="auto"/>
              <w:left w:val="nil"/>
              <w:bottom w:val="single" w:sz="12"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 xml:space="preserve"> 792</w:t>
            </w:r>
          </w:p>
        </w:tc>
        <w:tc>
          <w:tcPr>
            <w:tcW w:w="900"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2 070</w:t>
            </w:r>
          </w:p>
        </w:tc>
        <w:tc>
          <w:tcPr>
            <w:tcW w:w="900" w:type="dxa"/>
            <w:tcBorders>
              <w:top w:val="single" w:sz="4" w:space="0" w:color="auto"/>
              <w:left w:val="nil"/>
              <w:bottom w:val="single" w:sz="12"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1 556</w:t>
            </w:r>
          </w:p>
        </w:tc>
        <w:tc>
          <w:tcPr>
            <w:tcW w:w="900"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w:t>
            </w:r>
          </w:p>
        </w:tc>
        <w:tc>
          <w:tcPr>
            <w:tcW w:w="1000" w:type="dxa"/>
            <w:tcBorders>
              <w:top w:val="single" w:sz="4" w:space="0" w:color="auto"/>
              <w:left w:val="nil"/>
              <w:bottom w:val="single" w:sz="12" w:space="0" w:color="auto"/>
              <w:right w:val="nil"/>
            </w:tcBorders>
            <w:shd w:val="clear" w:color="00FFFF" w:fill="CCCCCC"/>
            <w:noWrap/>
            <w:vAlign w:val="bottom"/>
            <w:hideMark/>
          </w:tcPr>
          <w:p w:rsidR="004843DB" w:rsidRPr="0062582F" w:rsidRDefault="004843DB" w:rsidP="004843DB">
            <w:pPr>
              <w:pStyle w:val="TableofFigures"/>
              <w:rPr>
                <w:b/>
                <w:sz w:val="17"/>
                <w:szCs w:val="17"/>
              </w:rPr>
            </w:pPr>
            <w:r w:rsidRPr="0062582F">
              <w:rPr>
                <w:b/>
                <w:sz w:val="17"/>
                <w:szCs w:val="17"/>
              </w:rPr>
              <w:t>21 203</w:t>
            </w:r>
          </w:p>
        </w:tc>
        <w:tc>
          <w:tcPr>
            <w:tcW w:w="900"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sz w:val="17"/>
                <w:szCs w:val="17"/>
              </w:rPr>
            </w:pPr>
            <w:r w:rsidRPr="0062582F">
              <w:rPr>
                <w:b/>
                <w:sz w:val="17"/>
                <w:szCs w:val="17"/>
              </w:rPr>
              <w:t>13 980</w:t>
            </w:r>
          </w:p>
        </w:tc>
      </w:tr>
    </w:tbl>
    <w:p w:rsidR="004843DB" w:rsidRPr="0062582F" w:rsidRDefault="004843DB" w:rsidP="004843DB">
      <w:pPr>
        <w:pStyle w:val="Notes"/>
        <w:tabs>
          <w:tab w:val="clear" w:pos="454"/>
          <w:tab w:val="left" w:pos="450"/>
        </w:tabs>
        <w:ind w:left="450"/>
      </w:pPr>
    </w:p>
    <w:p w:rsidR="004843DB" w:rsidRPr="0062582F" w:rsidRDefault="004843DB" w:rsidP="004843DB">
      <w:pPr>
        <w:pStyle w:val="Notes"/>
      </w:pPr>
    </w:p>
    <w:p w:rsidR="004843DB" w:rsidRPr="0062582F" w:rsidRDefault="004843DB" w:rsidP="004843DB">
      <w:pPr>
        <w:pStyle w:val="Notes"/>
        <w:sectPr w:rsidR="004843DB" w:rsidRPr="0062582F" w:rsidSect="00190A01">
          <w:headerReference w:type="even" r:id="rId217"/>
          <w:headerReference w:type="default" r:id="rId218"/>
          <w:footerReference w:type="even" r:id="rId219"/>
          <w:footerReference w:type="default" r:id="rId220"/>
          <w:headerReference w:type="first" r:id="rId221"/>
          <w:pgSz w:w="11906" w:h="16838" w:code="9"/>
          <w:pgMar w:top="1152" w:right="864" w:bottom="1152" w:left="864" w:header="432" w:footer="432" w:gutter="0"/>
          <w:cols w:space="360"/>
          <w:rtlGutter/>
        </w:sectPr>
      </w:pPr>
    </w:p>
    <w:p w:rsidR="004843DB" w:rsidRPr="0062582F" w:rsidRDefault="004843DB" w:rsidP="004843DB">
      <w:pPr>
        <w:pStyle w:val="ReferenceRed"/>
        <w:rPr>
          <w:rFonts w:ascii="Garamond" w:hAnsi="Garamond" w:cs="Times New Roman"/>
          <w:lang w:val="en-AU"/>
        </w:rPr>
      </w:pPr>
    </w:p>
    <w:p w:rsidR="004843DB" w:rsidRPr="0062582F" w:rsidRDefault="004843DB" w:rsidP="004843DB">
      <w:pPr>
        <w:pStyle w:val="SmallLine"/>
      </w:pPr>
      <w:r w:rsidRPr="0062582F">
        <w:br/>
      </w:r>
    </w:p>
    <w:p w:rsidR="004843DB" w:rsidRPr="0062582F" w:rsidRDefault="004843DB" w:rsidP="004843DB">
      <w:pPr>
        <w:pStyle w:val="Reference"/>
        <w:spacing w:before="200"/>
        <w:rPr>
          <w:lang w:val="en-AU"/>
        </w:rPr>
      </w:pPr>
      <w:r w:rsidRPr="0062582F">
        <w:t>AASB </w:t>
      </w:r>
      <w:r w:rsidRPr="0062582F">
        <w:rPr>
          <w:lang w:val="en-AU"/>
        </w:rPr>
        <w:t>1052.16</w:t>
      </w:r>
    </w:p>
    <w:p w:rsidR="004843DB" w:rsidRPr="0062582F" w:rsidRDefault="004843DB" w:rsidP="004843DB">
      <w:pPr>
        <w:pStyle w:val="NoteHeadingcontinued"/>
      </w:pPr>
      <w:r w:rsidRPr="0062582F">
        <w:br w:type="column"/>
      </w:r>
      <w:r w:rsidRPr="0062582F">
        <w:lastRenderedPageBreak/>
        <w:t>Note 2.</w:t>
      </w:r>
      <w:r w:rsidRPr="0062582F">
        <w:tab/>
        <w:t>Departmental (controlled) outputs</w:t>
      </w:r>
      <w:r w:rsidRPr="0062582F">
        <w:rPr>
          <w:rFonts w:ascii="Garamond" w:hAnsi="Garamond"/>
        </w:rPr>
        <w:t xml:space="preserve"> </w:t>
      </w:r>
      <w:r w:rsidRPr="0062582F">
        <w:rPr>
          <w:i/>
        </w:rPr>
        <w:t>(continued)</w:t>
      </w:r>
    </w:p>
    <w:p w:rsidR="004843DB" w:rsidRPr="0062582F" w:rsidRDefault="004843DB" w:rsidP="00E348C3">
      <w:pPr>
        <w:pStyle w:val="Tableheading"/>
      </w:pPr>
      <w:r w:rsidRPr="0062582F">
        <w:t>Schedule B – Controlled assets and liabilities as at 30 June 2016</w:t>
      </w:r>
    </w:p>
    <w:p w:rsidR="004843DB" w:rsidRPr="0062582F" w:rsidRDefault="004843DB" w:rsidP="004843DB">
      <w:pPr>
        <w:pStyle w:val="million"/>
      </w:pPr>
      <w:r w:rsidRPr="0062582F">
        <w:t>($ thousand)</w:t>
      </w:r>
      <w:bookmarkStart w:id="343" w:name="RANGE!B4:F14"/>
    </w:p>
    <w:tbl>
      <w:tblPr>
        <w:tblW w:w="8125" w:type="dxa"/>
        <w:tblInd w:w="58" w:type="dxa"/>
        <w:tblBorders>
          <w:insideH w:val="single" w:sz="2" w:space="0" w:color="auto"/>
        </w:tblBorders>
        <w:tblLayout w:type="fixed"/>
        <w:tblCellMar>
          <w:left w:w="43" w:type="dxa"/>
          <w:right w:w="43" w:type="dxa"/>
        </w:tblCellMar>
        <w:tblLook w:val="04A0" w:firstRow="1" w:lastRow="0" w:firstColumn="1" w:lastColumn="0" w:noHBand="0" w:noVBand="1"/>
      </w:tblPr>
      <w:tblGrid>
        <w:gridCol w:w="3355"/>
        <w:gridCol w:w="1192"/>
        <w:gridCol w:w="1193"/>
        <w:gridCol w:w="1192"/>
        <w:gridCol w:w="1193"/>
      </w:tblGrid>
      <w:tr w:rsidR="004843DB" w:rsidRPr="0062582F" w:rsidTr="004843DB">
        <w:trPr>
          <w:cantSplit/>
        </w:trPr>
        <w:tc>
          <w:tcPr>
            <w:tcW w:w="3355" w:type="dxa"/>
            <w:tcBorders>
              <w:top w:val="single" w:sz="6" w:space="0" w:color="auto"/>
              <w:bottom w:val="single" w:sz="6" w:space="0" w:color="auto"/>
            </w:tcBorders>
            <w:shd w:val="clear" w:color="auto" w:fill="auto"/>
            <w:hideMark/>
          </w:tcPr>
          <w:bookmarkEnd w:id="343"/>
          <w:p w:rsidR="004843DB" w:rsidRPr="0062582F" w:rsidRDefault="004843DB" w:rsidP="004843DB">
            <w:pPr>
              <w:rPr>
                <w:rFonts w:ascii="Arial" w:hAnsi="Arial" w:cs="Arial"/>
                <w:sz w:val="18"/>
                <w:szCs w:val="18"/>
              </w:rPr>
            </w:pPr>
            <w:r w:rsidRPr="0062582F">
              <w:rPr>
                <w:rFonts w:ascii="Arial" w:hAnsi="Arial" w:cs="Arial"/>
                <w:sz w:val="18"/>
                <w:szCs w:val="18"/>
              </w:rPr>
              <w:t xml:space="preserve"> </w:t>
            </w:r>
          </w:p>
        </w:tc>
        <w:tc>
          <w:tcPr>
            <w:tcW w:w="2385" w:type="dxa"/>
            <w:gridSpan w:val="2"/>
            <w:tcBorders>
              <w:top w:val="single" w:sz="6" w:space="0" w:color="auto"/>
              <w:bottom w:val="single" w:sz="6" w:space="0" w:color="auto"/>
            </w:tcBorders>
            <w:shd w:val="clear" w:color="auto" w:fill="auto"/>
            <w:hideMark/>
          </w:tcPr>
          <w:p w:rsidR="004843DB" w:rsidRPr="0062582F" w:rsidRDefault="004843DB" w:rsidP="004843DB">
            <w:pPr>
              <w:pStyle w:val="TabletextheadingCentred"/>
            </w:pPr>
            <w:r w:rsidRPr="0062582F">
              <w:t xml:space="preserve">Strategic policy </w:t>
            </w:r>
            <w:r w:rsidRPr="0062582F">
              <w:br/>
              <w:t xml:space="preserve">advice </w:t>
            </w:r>
            <w:r w:rsidRPr="0062582F">
              <w:rPr>
                <w:vertAlign w:val="superscript"/>
              </w:rPr>
              <w:t>(i)</w:t>
            </w:r>
          </w:p>
        </w:tc>
        <w:tc>
          <w:tcPr>
            <w:tcW w:w="2385" w:type="dxa"/>
            <w:gridSpan w:val="2"/>
            <w:tcBorders>
              <w:top w:val="single" w:sz="6" w:space="0" w:color="auto"/>
              <w:bottom w:val="single" w:sz="6" w:space="0" w:color="auto"/>
            </w:tcBorders>
            <w:shd w:val="clear" w:color="auto" w:fill="auto"/>
            <w:hideMark/>
          </w:tcPr>
          <w:p w:rsidR="004843DB" w:rsidRPr="0062582F" w:rsidRDefault="004843DB" w:rsidP="004843DB">
            <w:pPr>
              <w:pStyle w:val="TabletextheadingCentred"/>
            </w:pPr>
            <w:r w:rsidRPr="0062582F">
              <w:br/>
              <w:t xml:space="preserve">IT&amp;T services </w:t>
            </w:r>
            <w:r w:rsidRPr="0062582F">
              <w:rPr>
                <w:vertAlign w:val="superscript"/>
              </w:rPr>
              <w:t>(i)</w:t>
            </w:r>
          </w:p>
        </w:tc>
      </w:tr>
      <w:tr w:rsidR="004843DB" w:rsidRPr="0062582F" w:rsidTr="004843DB">
        <w:trPr>
          <w:cantSplit/>
        </w:trPr>
        <w:tc>
          <w:tcPr>
            <w:tcW w:w="3355" w:type="dxa"/>
            <w:tcBorders>
              <w:top w:val="single" w:sz="6" w:space="0" w:color="auto"/>
            </w:tcBorders>
            <w:shd w:val="clear" w:color="auto" w:fill="auto"/>
            <w:hideMark/>
          </w:tcPr>
          <w:p w:rsidR="004843DB" w:rsidRPr="0062582F" w:rsidRDefault="004843DB" w:rsidP="004843DB">
            <w:pPr>
              <w:rPr>
                <w:rFonts w:ascii="Arial" w:hAnsi="Arial" w:cs="Arial"/>
                <w:sz w:val="18"/>
                <w:szCs w:val="18"/>
              </w:rPr>
            </w:pPr>
            <w:r w:rsidRPr="0062582F">
              <w:rPr>
                <w:rFonts w:ascii="Arial" w:hAnsi="Arial" w:cs="Arial"/>
                <w:sz w:val="18"/>
                <w:szCs w:val="18"/>
              </w:rPr>
              <w:t xml:space="preserve"> </w:t>
            </w:r>
          </w:p>
        </w:tc>
        <w:tc>
          <w:tcPr>
            <w:tcW w:w="1192" w:type="dxa"/>
            <w:tcBorders>
              <w:top w:val="single" w:sz="6" w:space="0" w:color="auto"/>
            </w:tcBorders>
            <w:shd w:val="clear" w:color="auto" w:fill="BFBFBF"/>
            <w:noWrap/>
            <w:hideMark/>
          </w:tcPr>
          <w:p w:rsidR="004843DB" w:rsidRPr="0062582F" w:rsidRDefault="004843DB" w:rsidP="004843DB">
            <w:pPr>
              <w:pStyle w:val="Tabletextheading"/>
            </w:pPr>
            <w:r w:rsidRPr="0062582F">
              <w:t>2016</w:t>
            </w:r>
          </w:p>
        </w:tc>
        <w:tc>
          <w:tcPr>
            <w:tcW w:w="1193" w:type="dxa"/>
            <w:tcBorders>
              <w:top w:val="single" w:sz="6" w:space="0" w:color="auto"/>
            </w:tcBorders>
            <w:shd w:val="clear" w:color="auto" w:fill="auto"/>
            <w:noWrap/>
            <w:hideMark/>
          </w:tcPr>
          <w:p w:rsidR="004843DB" w:rsidRPr="0062582F" w:rsidRDefault="004843DB" w:rsidP="004843DB">
            <w:pPr>
              <w:pStyle w:val="Tabletextheading"/>
            </w:pPr>
            <w:r w:rsidRPr="0062582F">
              <w:t>2015</w:t>
            </w:r>
          </w:p>
        </w:tc>
        <w:tc>
          <w:tcPr>
            <w:tcW w:w="1192" w:type="dxa"/>
            <w:tcBorders>
              <w:top w:val="single" w:sz="6" w:space="0" w:color="auto"/>
            </w:tcBorders>
            <w:shd w:val="clear" w:color="auto" w:fill="BFBFBF"/>
            <w:noWrap/>
            <w:hideMark/>
          </w:tcPr>
          <w:p w:rsidR="004843DB" w:rsidRPr="0062582F" w:rsidRDefault="004843DB" w:rsidP="004843DB">
            <w:pPr>
              <w:pStyle w:val="Tabletextheading"/>
            </w:pPr>
            <w:r w:rsidRPr="0062582F">
              <w:t>2016</w:t>
            </w:r>
          </w:p>
        </w:tc>
        <w:tc>
          <w:tcPr>
            <w:tcW w:w="1193" w:type="dxa"/>
            <w:tcBorders>
              <w:top w:val="single" w:sz="6" w:space="0" w:color="auto"/>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3355" w:type="dxa"/>
            <w:tcBorders>
              <w:bottom w:val="nil"/>
            </w:tcBorders>
            <w:shd w:val="clear" w:color="auto" w:fill="auto"/>
            <w:hideMark/>
          </w:tcPr>
          <w:p w:rsidR="004843DB" w:rsidRPr="0062582F" w:rsidRDefault="004843DB" w:rsidP="004843DB">
            <w:pPr>
              <w:pStyle w:val="Tabletext"/>
              <w:rPr>
                <w:b/>
              </w:rPr>
            </w:pPr>
            <w:r w:rsidRPr="0062582F">
              <w:rPr>
                <w:b/>
              </w:rPr>
              <w:t>Assets</w:t>
            </w:r>
          </w:p>
        </w:tc>
        <w:tc>
          <w:tcPr>
            <w:tcW w:w="1192" w:type="dxa"/>
            <w:tcBorders>
              <w:bottom w:val="nil"/>
            </w:tcBorders>
            <w:shd w:val="clear" w:color="auto" w:fill="BFBFBF"/>
            <w:noWrap/>
            <w:hideMark/>
          </w:tcPr>
          <w:p w:rsidR="004843DB" w:rsidRPr="0062582F" w:rsidRDefault="004843DB" w:rsidP="004843DB">
            <w:pPr>
              <w:pStyle w:val="TableofFigures"/>
            </w:pPr>
            <w:r w:rsidRPr="0062582F">
              <w:t xml:space="preserve"> </w:t>
            </w:r>
          </w:p>
        </w:tc>
        <w:tc>
          <w:tcPr>
            <w:tcW w:w="1193" w:type="dxa"/>
            <w:tcBorders>
              <w:bottom w:val="nil"/>
            </w:tcBorders>
            <w:shd w:val="clear" w:color="auto" w:fill="auto"/>
            <w:noWrap/>
            <w:hideMark/>
          </w:tcPr>
          <w:p w:rsidR="004843DB" w:rsidRPr="0062582F" w:rsidRDefault="004843DB" w:rsidP="004843DB">
            <w:pPr>
              <w:pStyle w:val="TableofFigures"/>
            </w:pPr>
            <w:r w:rsidRPr="0062582F">
              <w:t xml:space="preserve"> </w:t>
            </w:r>
          </w:p>
        </w:tc>
        <w:tc>
          <w:tcPr>
            <w:tcW w:w="1192" w:type="dxa"/>
            <w:tcBorders>
              <w:bottom w:val="nil"/>
            </w:tcBorders>
            <w:shd w:val="clear" w:color="auto" w:fill="BFBFBF"/>
            <w:noWrap/>
            <w:hideMark/>
          </w:tcPr>
          <w:p w:rsidR="004843DB" w:rsidRPr="0062582F" w:rsidRDefault="004843DB" w:rsidP="004843DB">
            <w:pPr>
              <w:pStyle w:val="TableofFigures"/>
            </w:pPr>
            <w:r w:rsidRPr="0062582F">
              <w:t xml:space="preserve"> </w:t>
            </w:r>
          </w:p>
        </w:tc>
        <w:tc>
          <w:tcPr>
            <w:tcW w:w="1193" w:type="dxa"/>
            <w:tcBorders>
              <w:bottom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3355" w:type="dxa"/>
            <w:tcBorders>
              <w:top w:val="nil"/>
              <w:bottom w:val="nil"/>
            </w:tcBorders>
            <w:shd w:val="clear" w:color="auto" w:fill="auto"/>
            <w:hideMark/>
          </w:tcPr>
          <w:p w:rsidR="004843DB" w:rsidRPr="0062582F" w:rsidRDefault="004843DB" w:rsidP="004843DB">
            <w:pPr>
              <w:pStyle w:val="Tabletext"/>
            </w:pPr>
            <w:r w:rsidRPr="0062582F">
              <w:t>Financial assets</w:t>
            </w:r>
          </w:p>
        </w:tc>
        <w:tc>
          <w:tcPr>
            <w:tcW w:w="1192" w:type="dxa"/>
            <w:tcBorders>
              <w:top w:val="nil"/>
              <w:bottom w:val="nil"/>
            </w:tcBorders>
            <w:shd w:val="clear" w:color="auto" w:fill="BFBFBF"/>
            <w:noWrap/>
            <w:hideMark/>
          </w:tcPr>
          <w:p w:rsidR="004843DB" w:rsidRPr="0062582F" w:rsidRDefault="004843DB" w:rsidP="004843DB">
            <w:pPr>
              <w:pStyle w:val="TableofFigures"/>
            </w:pPr>
            <w:r w:rsidRPr="0062582F">
              <w:t>77 617</w:t>
            </w:r>
          </w:p>
        </w:tc>
        <w:tc>
          <w:tcPr>
            <w:tcW w:w="1193" w:type="dxa"/>
            <w:tcBorders>
              <w:top w:val="nil"/>
              <w:bottom w:val="nil"/>
            </w:tcBorders>
            <w:shd w:val="clear" w:color="auto" w:fill="auto"/>
            <w:noWrap/>
            <w:hideMark/>
          </w:tcPr>
          <w:p w:rsidR="004843DB" w:rsidRPr="0062582F" w:rsidRDefault="004843DB" w:rsidP="004843DB">
            <w:pPr>
              <w:pStyle w:val="TableofFigures"/>
            </w:pPr>
            <w:r w:rsidRPr="0062582F">
              <w:t>58 442</w:t>
            </w:r>
          </w:p>
        </w:tc>
        <w:tc>
          <w:tcPr>
            <w:tcW w:w="1192" w:type="dxa"/>
            <w:tcBorders>
              <w:top w:val="nil"/>
              <w:bottom w:val="nil"/>
            </w:tcBorders>
            <w:shd w:val="clear" w:color="auto" w:fill="BFBFBF"/>
            <w:noWrap/>
            <w:hideMark/>
          </w:tcPr>
          <w:p w:rsidR="004843DB" w:rsidRPr="0062582F" w:rsidRDefault="004843DB" w:rsidP="004843DB">
            <w:pPr>
              <w:pStyle w:val="TableofFigures"/>
            </w:pPr>
            <w:r w:rsidRPr="0062582F">
              <w:t>31 365</w:t>
            </w:r>
          </w:p>
        </w:tc>
        <w:tc>
          <w:tcPr>
            <w:tcW w:w="1193" w:type="dxa"/>
            <w:tcBorders>
              <w:top w:val="nil"/>
              <w:bottom w:val="nil"/>
            </w:tcBorders>
            <w:shd w:val="clear" w:color="auto" w:fill="auto"/>
            <w:noWrap/>
            <w:hideMark/>
          </w:tcPr>
          <w:p w:rsidR="004843DB" w:rsidRPr="0062582F" w:rsidRDefault="004843DB" w:rsidP="004843DB">
            <w:pPr>
              <w:pStyle w:val="TableofFigures"/>
            </w:pPr>
            <w:r w:rsidRPr="0062582F">
              <w:t>17 505</w:t>
            </w:r>
          </w:p>
        </w:tc>
      </w:tr>
      <w:tr w:rsidR="004843DB" w:rsidRPr="0062582F" w:rsidTr="004843DB">
        <w:trPr>
          <w:cantSplit/>
        </w:trPr>
        <w:tc>
          <w:tcPr>
            <w:tcW w:w="3355" w:type="dxa"/>
            <w:tcBorders>
              <w:top w:val="nil"/>
              <w:bottom w:val="single" w:sz="2" w:space="0" w:color="auto"/>
            </w:tcBorders>
            <w:shd w:val="clear" w:color="auto" w:fill="auto"/>
            <w:hideMark/>
          </w:tcPr>
          <w:p w:rsidR="004843DB" w:rsidRPr="0062582F" w:rsidRDefault="004843DB" w:rsidP="004843DB">
            <w:pPr>
              <w:pStyle w:val="Tabletext"/>
            </w:pPr>
            <w:r w:rsidRPr="0062582F">
              <w:t>Non</w:t>
            </w:r>
            <w:r w:rsidR="005A4BB0">
              <w:noBreakHyphen/>
            </w:r>
            <w:r w:rsidRPr="0062582F">
              <w:t>financial assets</w:t>
            </w:r>
          </w:p>
        </w:tc>
        <w:tc>
          <w:tcPr>
            <w:tcW w:w="1192" w:type="dxa"/>
            <w:tcBorders>
              <w:top w:val="nil"/>
              <w:bottom w:val="single" w:sz="2" w:space="0" w:color="auto"/>
            </w:tcBorders>
            <w:shd w:val="clear" w:color="auto" w:fill="BFBFBF"/>
            <w:noWrap/>
            <w:hideMark/>
          </w:tcPr>
          <w:p w:rsidR="004843DB" w:rsidRPr="0062582F" w:rsidRDefault="004843DB" w:rsidP="004843DB">
            <w:pPr>
              <w:pStyle w:val="TableofFigures"/>
            </w:pPr>
            <w:r w:rsidRPr="0062582F">
              <w:t>40 363</w:t>
            </w:r>
          </w:p>
        </w:tc>
        <w:tc>
          <w:tcPr>
            <w:tcW w:w="1193" w:type="dxa"/>
            <w:tcBorders>
              <w:top w:val="nil"/>
              <w:bottom w:val="single" w:sz="2" w:space="0" w:color="auto"/>
            </w:tcBorders>
            <w:shd w:val="clear" w:color="auto" w:fill="auto"/>
            <w:noWrap/>
            <w:hideMark/>
          </w:tcPr>
          <w:p w:rsidR="004843DB" w:rsidRPr="0062582F" w:rsidRDefault="004843DB" w:rsidP="004843DB">
            <w:pPr>
              <w:pStyle w:val="TableofFigures"/>
            </w:pPr>
            <w:r w:rsidRPr="0062582F">
              <w:t>60 342</w:t>
            </w:r>
          </w:p>
        </w:tc>
        <w:tc>
          <w:tcPr>
            <w:tcW w:w="1192" w:type="dxa"/>
            <w:tcBorders>
              <w:top w:val="nil"/>
              <w:bottom w:val="single" w:sz="2" w:space="0" w:color="auto"/>
            </w:tcBorders>
            <w:shd w:val="clear" w:color="auto" w:fill="BFBFBF"/>
            <w:noWrap/>
            <w:hideMark/>
          </w:tcPr>
          <w:p w:rsidR="004843DB" w:rsidRPr="0062582F" w:rsidRDefault="004843DB" w:rsidP="004843DB">
            <w:pPr>
              <w:pStyle w:val="TableofFigures"/>
            </w:pPr>
            <w:r w:rsidRPr="0062582F">
              <w:t>19 739</w:t>
            </w:r>
          </w:p>
        </w:tc>
        <w:tc>
          <w:tcPr>
            <w:tcW w:w="1193" w:type="dxa"/>
            <w:tcBorders>
              <w:top w:val="nil"/>
              <w:bottom w:val="single" w:sz="2" w:space="0" w:color="auto"/>
            </w:tcBorders>
            <w:shd w:val="clear" w:color="auto" w:fill="auto"/>
            <w:noWrap/>
            <w:hideMark/>
          </w:tcPr>
          <w:p w:rsidR="004843DB" w:rsidRPr="0062582F" w:rsidRDefault="004843DB" w:rsidP="004843DB">
            <w:pPr>
              <w:pStyle w:val="TableofFigures"/>
            </w:pPr>
            <w:r w:rsidRPr="0062582F">
              <w:t>19 989</w:t>
            </w:r>
          </w:p>
        </w:tc>
      </w:tr>
      <w:tr w:rsidR="004843DB" w:rsidRPr="0062582F" w:rsidTr="004843DB">
        <w:trPr>
          <w:cantSplit/>
        </w:trPr>
        <w:tc>
          <w:tcPr>
            <w:tcW w:w="3355" w:type="dxa"/>
            <w:tcBorders>
              <w:top w:val="single" w:sz="2" w:space="0" w:color="auto"/>
              <w:bottom w:val="nil"/>
            </w:tcBorders>
            <w:shd w:val="clear" w:color="auto" w:fill="auto"/>
            <w:hideMark/>
          </w:tcPr>
          <w:p w:rsidR="004843DB" w:rsidRPr="0062582F" w:rsidRDefault="004843DB" w:rsidP="004843DB">
            <w:pPr>
              <w:pStyle w:val="Tabletext"/>
              <w:rPr>
                <w:b/>
              </w:rPr>
            </w:pPr>
            <w:r w:rsidRPr="0062582F">
              <w:rPr>
                <w:b/>
              </w:rPr>
              <w:t>Total assets</w:t>
            </w:r>
          </w:p>
        </w:tc>
        <w:tc>
          <w:tcPr>
            <w:tcW w:w="1192" w:type="dxa"/>
            <w:tcBorders>
              <w:top w:val="single" w:sz="2" w:space="0" w:color="auto"/>
              <w:bottom w:val="nil"/>
            </w:tcBorders>
            <w:shd w:val="clear" w:color="auto" w:fill="BFBFBF"/>
            <w:noWrap/>
            <w:hideMark/>
          </w:tcPr>
          <w:p w:rsidR="004843DB" w:rsidRPr="0062582F" w:rsidRDefault="004843DB" w:rsidP="004843DB">
            <w:pPr>
              <w:pStyle w:val="TableofFigures"/>
              <w:rPr>
                <w:b/>
              </w:rPr>
            </w:pPr>
            <w:r w:rsidRPr="0062582F">
              <w:rPr>
                <w:b/>
              </w:rPr>
              <w:t>117 980</w:t>
            </w:r>
          </w:p>
        </w:tc>
        <w:tc>
          <w:tcPr>
            <w:tcW w:w="1193" w:type="dxa"/>
            <w:tcBorders>
              <w:top w:val="single" w:sz="2" w:space="0" w:color="auto"/>
              <w:bottom w:val="nil"/>
            </w:tcBorders>
            <w:shd w:val="clear" w:color="auto" w:fill="auto"/>
            <w:noWrap/>
            <w:hideMark/>
          </w:tcPr>
          <w:p w:rsidR="004843DB" w:rsidRPr="0062582F" w:rsidRDefault="004843DB" w:rsidP="004843DB">
            <w:pPr>
              <w:pStyle w:val="TableofFigures"/>
              <w:rPr>
                <w:b/>
              </w:rPr>
            </w:pPr>
            <w:r w:rsidRPr="0062582F">
              <w:rPr>
                <w:b/>
              </w:rPr>
              <w:t>118 784</w:t>
            </w:r>
          </w:p>
        </w:tc>
        <w:tc>
          <w:tcPr>
            <w:tcW w:w="1192" w:type="dxa"/>
            <w:tcBorders>
              <w:top w:val="single" w:sz="2" w:space="0" w:color="auto"/>
              <w:bottom w:val="nil"/>
            </w:tcBorders>
            <w:shd w:val="clear" w:color="auto" w:fill="BFBFBF"/>
            <w:noWrap/>
            <w:hideMark/>
          </w:tcPr>
          <w:p w:rsidR="004843DB" w:rsidRPr="0062582F" w:rsidRDefault="004843DB" w:rsidP="004843DB">
            <w:pPr>
              <w:pStyle w:val="TableofFigures"/>
              <w:rPr>
                <w:b/>
              </w:rPr>
            </w:pPr>
            <w:r w:rsidRPr="0062582F">
              <w:rPr>
                <w:b/>
              </w:rPr>
              <w:t>51 104</w:t>
            </w:r>
          </w:p>
        </w:tc>
        <w:tc>
          <w:tcPr>
            <w:tcW w:w="1193" w:type="dxa"/>
            <w:tcBorders>
              <w:top w:val="single" w:sz="2" w:space="0" w:color="auto"/>
              <w:bottom w:val="nil"/>
            </w:tcBorders>
            <w:shd w:val="clear" w:color="auto" w:fill="auto"/>
            <w:noWrap/>
            <w:hideMark/>
          </w:tcPr>
          <w:p w:rsidR="004843DB" w:rsidRPr="0062582F" w:rsidRDefault="004843DB" w:rsidP="004843DB">
            <w:pPr>
              <w:pStyle w:val="TableofFigures"/>
              <w:rPr>
                <w:b/>
              </w:rPr>
            </w:pPr>
            <w:r w:rsidRPr="0062582F">
              <w:rPr>
                <w:b/>
              </w:rPr>
              <w:t>37 493</w:t>
            </w:r>
          </w:p>
        </w:tc>
      </w:tr>
      <w:tr w:rsidR="004843DB" w:rsidRPr="0062582F" w:rsidTr="004843DB">
        <w:trPr>
          <w:cantSplit/>
          <w:trHeight w:hRule="exact" w:val="120"/>
        </w:trPr>
        <w:tc>
          <w:tcPr>
            <w:tcW w:w="3355" w:type="dxa"/>
            <w:tcBorders>
              <w:top w:val="nil"/>
            </w:tcBorders>
            <w:shd w:val="clear" w:color="auto" w:fill="auto"/>
            <w:hideMark/>
          </w:tcPr>
          <w:p w:rsidR="004843DB" w:rsidRPr="0062582F" w:rsidRDefault="004843DB" w:rsidP="004843DB">
            <w:pPr>
              <w:pStyle w:val="million"/>
            </w:pPr>
            <w:r w:rsidRPr="0062582F">
              <w:t xml:space="preserve"> </w:t>
            </w:r>
          </w:p>
        </w:tc>
        <w:tc>
          <w:tcPr>
            <w:tcW w:w="1192" w:type="dxa"/>
            <w:tcBorders>
              <w:top w:val="nil"/>
            </w:tcBorders>
            <w:shd w:val="clear" w:color="auto" w:fill="BFBFBF"/>
            <w:noWrap/>
            <w:hideMark/>
          </w:tcPr>
          <w:p w:rsidR="004843DB" w:rsidRPr="0062582F" w:rsidRDefault="004843DB" w:rsidP="004843DB">
            <w:pPr>
              <w:pStyle w:val="million"/>
              <w:spacing w:after="30"/>
            </w:pPr>
            <w:r w:rsidRPr="0062582F">
              <w:t xml:space="preserve"> </w:t>
            </w:r>
          </w:p>
        </w:tc>
        <w:tc>
          <w:tcPr>
            <w:tcW w:w="1193" w:type="dxa"/>
            <w:tcBorders>
              <w:top w:val="nil"/>
            </w:tcBorders>
            <w:shd w:val="clear" w:color="auto" w:fill="auto"/>
            <w:noWrap/>
            <w:hideMark/>
          </w:tcPr>
          <w:p w:rsidR="004843DB" w:rsidRPr="0062582F" w:rsidRDefault="004843DB" w:rsidP="004843DB">
            <w:pPr>
              <w:pStyle w:val="million"/>
              <w:spacing w:after="30"/>
            </w:pPr>
            <w:r w:rsidRPr="0062582F">
              <w:t xml:space="preserve"> </w:t>
            </w:r>
          </w:p>
        </w:tc>
        <w:tc>
          <w:tcPr>
            <w:tcW w:w="1192" w:type="dxa"/>
            <w:tcBorders>
              <w:top w:val="nil"/>
            </w:tcBorders>
            <w:shd w:val="clear" w:color="auto" w:fill="BFBFBF"/>
            <w:noWrap/>
            <w:hideMark/>
          </w:tcPr>
          <w:p w:rsidR="004843DB" w:rsidRPr="0062582F" w:rsidRDefault="004843DB" w:rsidP="004843DB">
            <w:pPr>
              <w:pStyle w:val="million"/>
              <w:spacing w:after="30"/>
            </w:pPr>
            <w:r w:rsidRPr="0062582F">
              <w:t xml:space="preserve"> </w:t>
            </w:r>
          </w:p>
        </w:tc>
        <w:tc>
          <w:tcPr>
            <w:tcW w:w="1193" w:type="dxa"/>
            <w:tcBorders>
              <w:top w:val="nil"/>
            </w:tcBorders>
            <w:shd w:val="clear" w:color="auto" w:fill="auto"/>
            <w:noWrap/>
            <w:hideMark/>
          </w:tcPr>
          <w:p w:rsidR="004843DB" w:rsidRPr="0062582F" w:rsidRDefault="004843DB" w:rsidP="004843DB">
            <w:pPr>
              <w:pStyle w:val="million"/>
              <w:spacing w:after="30"/>
            </w:pPr>
            <w:r w:rsidRPr="0062582F">
              <w:t xml:space="preserve"> </w:t>
            </w:r>
          </w:p>
        </w:tc>
      </w:tr>
      <w:tr w:rsidR="004843DB" w:rsidRPr="0062582F" w:rsidTr="004843DB">
        <w:trPr>
          <w:cantSplit/>
        </w:trPr>
        <w:tc>
          <w:tcPr>
            <w:tcW w:w="3355" w:type="dxa"/>
            <w:tcBorders>
              <w:bottom w:val="single" w:sz="2" w:space="0" w:color="auto"/>
            </w:tcBorders>
            <w:shd w:val="clear" w:color="auto" w:fill="auto"/>
            <w:hideMark/>
          </w:tcPr>
          <w:p w:rsidR="004843DB" w:rsidRPr="0062582F" w:rsidRDefault="004843DB" w:rsidP="004843DB">
            <w:pPr>
              <w:pStyle w:val="Tabletext"/>
              <w:rPr>
                <w:b/>
              </w:rPr>
            </w:pPr>
            <w:r w:rsidRPr="0062582F">
              <w:rPr>
                <w:b/>
              </w:rPr>
              <w:t>Liabilities</w:t>
            </w:r>
          </w:p>
        </w:tc>
        <w:tc>
          <w:tcPr>
            <w:tcW w:w="1192" w:type="dxa"/>
            <w:tcBorders>
              <w:bottom w:val="single" w:sz="2" w:space="0" w:color="auto"/>
            </w:tcBorders>
            <w:shd w:val="clear" w:color="auto" w:fill="BFBFBF"/>
            <w:noWrap/>
            <w:hideMark/>
          </w:tcPr>
          <w:p w:rsidR="004843DB" w:rsidRPr="0062582F" w:rsidRDefault="004843DB" w:rsidP="004843DB">
            <w:pPr>
              <w:pStyle w:val="TableofFigures"/>
            </w:pPr>
            <w:r w:rsidRPr="0062582F">
              <w:t>37 035</w:t>
            </w:r>
          </w:p>
        </w:tc>
        <w:tc>
          <w:tcPr>
            <w:tcW w:w="1193" w:type="dxa"/>
            <w:tcBorders>
              <w:bottom w:val="single" w:sz="2" w:space="0" w:color="auto"/>
            </w:tcBorders>
            <w:shd w:val="clear" w:color="auto" w:fill="auto"/>
            <w:noWrap/>
            <w:hideMark/>
          </w:tcPr>
          <w:p w:rsidR="004843DB" w:rsidRPr="0062582F" w:rsidRDefault="004843DB" w:rsidP="004843DB">
            <w:pPr>
              <w:pStyle w:val="TableofFigures"/>
            </w:pPr>
            <w:r w:rsidRPr="0062582F">
              <w:t>43 409</w:t>
            </w:r>
          </w:p>
        </w:tc>
        <w:tc>
          <w:tcPr>
            <w:tcW w:w="1192" w:type="dxa"/>
            <w:tcBorders>
              <w:bottom w:val="single" w:sz="2" w:space="0" w:color="auto"/>
            </w:tcBorders>
            <w:shd w:val="clear" w:color="auto" w:fill="BFBFBF"/>
            <w:noWrap/>
            <w:hideMark/>
          </w:tcPr>
          <w:p w:rsidR="004843DB" w:rsidRPr="0062582F" w:rsidRDefault="004843DB" w:rsidP="004843DB">
            <w:pPr>
              <w:pStyle w:val="TableofFigures"/>
            </w:pPr>
            <w:r w:rsidRPr="0062582F">
              <w:t>17 540</w:t>
            </w:r>
          </w:p>
        </w:tc>
        <w:tc>
          <w:tcPr>
            <w:tcW w:w="1193" w:type="dxa"/>
            <w:tcBorders>
              <w:bottom w:val="single" w:sz="2" w:space="0" w:color="auto"/>
            </w:tcBorders>
            <w:shd w:val="clear" w:color="auto" w:fill="auto"/>
            <w:noWrap/>
            <w:hideMark/>
          </w:tcPr>
          <w:p w:rsidR="004843DB" w:rsidRPr="0062582F" w:rsidRDefault="004843DB" w:rsidP="004843DB">
            <w:pPr>
              <w:pStyle w:val="TableofFigures"/>
            </w:pPr>
            <w:r w:rsidRPr="0062582F">
              <w:t>17 211</w:t>
            </w:r>
          </w:p>
        </w:tc>
      </w:tr>
      <w:tr w:rsidR="004843DB" w:rsidRPr="0062582F" w:rsidTr="004843DB">
        <w:trPr>
          <w:cantSplit/>
        </w:trPr>
        <w:tc>
          <w:tcPr>
            <w:tcW w:w="3355" w:type="dxa"/>
            <w:tcBorders>
              <w:top w:val="single" w:sz="2" w:space="0" w:color="auto"/>
              <w:bottom w:val="nil"/>
            </w:tcBorders>
            <w:shd w:val="clear" w:color="auto" w:fill="auto"/>
            <w:hideMark/>
          </w:tcPr>
          <w:p w:rsidR="004843DB" w:rsidRPr="0062582F" w:rsidRDefault="004843DB" w:rsidP="004843DB">
            <w:pPr>
              <w:pStyle w:val="Tabletext"/>
              <w:rPr>
                <w:b/>
              </w:rPr>
            </w:pPr>
            <w:r w:rsidRPr="0062582F">
              <w:rPr>
                <w:b/>
              </w:rPr>
              <w:t>Total liabilities</w:t>
            </w:r>
          </w:p>
        </w:tc>
        <w:tc>
          <w:tcPr>
            <w:tcW w:w="1192" w:type="dxa"/>
            <w:tcBorders>
              <w:top w:val="single" w:sz="2" w:space="0" w:color="auto"/>
              <w:bottom w:val="nil"/>
            </w:tcBorders>
            <w:shd w:val="clear" w:color="auto" w:fill="BFBFBF"/>
            <w:noWrap/>
            <w:hideMark/>
          </w:tcPr>
          <w:p w:rsidR="004843DB" w:rsidRPr="0062582F" w:rsidRDefault="004843DB" w:rsidP="004843DB">
            <w:pPr>
              <w:pStyle w:val="TableofFigures"/>
              <w:rPr>
                <w:b/>
              </w:rPr>
            </w:pPr>
            <w:r w:rsidRPr="0062582F">
              <w:rPr>
                <w:b/>
              </w:rPr>
              <w:t>37 035</w:t>
            </w:r>
          </w:p>
        </w:tc>
        <w:tc>
          <w:tcPr>
            <w:tcW w:w="1193" w:type="dxa"/>
            <w:tcBorders>
              <w:top w:val="single" w:sz="2" w:space="0" w:color="auto"/>
              <w:bottom w:val="nil"/>
            </w:tcBorders>
            <w:shd w:val="clear" w:color="auto" w:fill="auto"/>
            <w:noWrap/>
            <w:hideMark/>
          </w:tcPr>
          <w:p w:rsidR="004843DB" w:rsidRPr="0062582F" w:rsidRDefault="004843DB" w:rsidP="004843DB">
            <w:pPr>
              <w:pStyle w:val="TableofFigures"/>
              <w:rPr>
                <w:b/>
              </w:rPr>
            </w:pPr>
            <w:r w:rsidRPr="0062582F">
              <w:rPr>
                <w:b/>
              </w:rPr>
              <w:t>43 409</w:t>
            </w:r>
          </w:p>
        </w:tc>
        <w:tc>
          <w:tcPr>
            <w:tcW w:w="1192" w:type="dxa"/>
            <w:tcBorders>
              <w:top w:val="single" w:sz="2" w:space="0" w:color="auto"/>
              <w:bottom w:val="nil"/>
            </w:tcBorders>
            <w:shd w:val="clear" w:color="auto" w:fill="BFBFBF"/>
            <w:noWrap/>
            <w:hideMark/>
          </w:tcPr>
          <w:p w:rsidR="004843DB" w:rsidRPr="0062582F" w:rsidRDefault="004843DB" w:rsidP="004843DB">
            <w:pPr>
              <w:pStyle w:val="TableofFigures"/>
              <w:rPr>
                <w:b/>
              </w:rPr>
            </w:pPr>
            <w:r w:rsidRPr="0062582F">
              <w:rPr>
                <w:b/>
              </w:rPr>
              <w:t>17 540</w:t>
            </w:r>
          </w:p>
        </w:tc>
        <w:tc>
          <w:tcPr>
            <w:tcW w:w="1193" w:type="dxa"/>
            <w:tcBorders>
              <w:top w:val="single" w:sz="2" w:space="0" w:color="auto"/>
              <w:bottom w:val="nil"/>
            </w:tcBorders>
            <w:shd w:val="clear" w:color="auto" w:fill="auto"/>
            <w:noWrap/>
            <w:hideMark/>
          </w:tcPr>
          <w:p w:rsidR="004843DB" w:rsidRPr="0062582F" w:rsidRDefault="004843DB" w:rsidP="004843DB">
            <w:pPr>
              <w:pStyle w:val="TableofFigures"/>
              <w:rPr>
                <w:b/>
              </w:rPr>
            </w:pPr>
            <w:r w:rsidRPr="0062582F">
              <w:rPr>
                <w:b/>
              </w:rPr>
              <w:t>17 211</w:t>
            </w:r>
          </w:p>
        </w:tc>
      </w:tr>
      <w:tr w:rsidR="004843DB" w:rsidRPr="0062582F" w:rsidTr="004843DB">
        <w:trPr>
          <w:cantSplit/>
          <w:trHeight w:hRule="exact" w:val="120"/>
        </w:trPr>
        <w:tc>
          <w:tcPr>
            <w:tcW w:w="3355" w:type="dxa"/>
            <w:tcBorders>
              <w:top w:val="nil"/>
              <w:bottom w:val="single" w:sz="2" w:space="0" w:color="auto"/>
            </w:tcBorders>
            <w:shd w:val="clear" w:color="auto" w:fill="auto"/>
            <w:hideMark/>
          </w:tcPr>
          <w:p w:rsidR="004843DB" w:rsidRPr="0062582F" w:rsidRDefault="004843DB" w:rsidP="004843DB">
            <w:pPr>
              <w:pStyle w:val="Tabletext"/>
            </w:pPr>
            <w:r w:rsidRPr="0062582F">
              <w:t xml:space="preserve"> </w:t>
            </w:r>
          </w:p>
        </w:tc>
        <w:tc>
          <w:tcPr>
            <w:tcW w:w="1192" w:type="dxa"/>
            <w:tcBorders>
              <w:top w:val="nil"/>
              <w:bottom w:val="single" w:sz="2" w:space="0" w:color="auto"/>
            </w:tcBorders>
            <w:shd w:val="clear" w:color="auto" w:fill="BFBFBF"/>
            <w:noWrap/>
            <w:hideMark/>
          </w:tcPr>
          <w:p w:rsidR="004843DB" w:rsidRPr="0062582F" w:rsidRDefault="004843DB" w:rsidP="004843DB">
            <w:pPr>
              <w:pStyle w:val="TableofFigures"/>
            </w:pPr>
            <w:r w:rsidRPr="0062582F">
              <w:t xml:space="preserve"> </w:t>
            </w:r>
          </w:p>
        </w:tc>
        <w:tc>
          <w:tcPr>
            <w:tcW w:w="1193" w:type="dxa"/>
            <w:tcBorders>
              <w:top w:val="nil"/>
              <w:bottom w:val="single" w:sz="2" w:space="0" w:color="auto"/>
            </w:tcBorders>
            <w:shd w:val="clear" w:color="auto" w:fill="auto"/>
            <w:noWrap/>
            <w:hideMark/>
          </w:tcPr>
          <w:p w:rsidR="004843DB" w:rsidRPr="0062582F" w:rsidRDefault="004843DB" w:rsidP="004843DB">
            <w:pPr>
              <w:pStyle w:val="TableofFigures"/>
            </w:pPr>
            <w:r w:rsidRPr="0062582F">
              <w:t xml:space="preserve"> </w:t>
            </w:r>
          </w:p>
        </w:tc>
        <w:tc>
          <w:tcPr>
            <w:tcW w:w="1192" w:type="dxa"/>
            <w:tcBorders>
              <w:top w:val="nil"/>
              <w:bottom w:val="single" w:sz="2" w:space="0" w:color="auto"/>
            </w:tcBorders>
            <w:shd w:val="clear" w:color="auto" w:fill="BFBFBF"/>
            <w:noWrap/>
            <w:hideMark/>
          </w:tcPr>
          <w:p w:rsidR="004843DB" w:rsidRPr="0062582F" w:rsidRDefault="004843DB" w:rsidP="004843DB">
            <w:pPr>
              <w:pStyle w:val="TableofFigures"/>
            </w:pPr>
            <w:r w:rsidRPr="0062582F">
              <w:t xml:space="preserve"> </w:t>
            </w:r>
          </w:p>
        </w:tc>
        <w:tc>
          <w:tcPr>
            <w:tcW w:w="1193" w:type="dxa"/>
            <w:tcBorders>
              <w:top w:val="nil"/>
              <w:bottom w:val="single" w:sz="2" w:space="0" w:color="auto"/>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3355" w:type="dxa"/>
            <w:tcBorders>
              <w:top w:val="single" w:sz="2" w:space="0" w:color="auto"/>
              <w:bottom w:val="single" w:sz="12" w:space="0" w:color="auto"/>
            </w:tcBorders>
            <w:shd w:val="clear" w:color="auto" w:fill="auto"/>
            <w:hideMark/>
          </w:tcPr>
          <w:p w:rsidR="004843DB" w:rsidRPr="0062582F" w:rsidRDefault="004843DB" w:rsidP="004843DB">
            <w:pPr>
              <w:pStyle w:val="Tabletext"/>
              <w:rPr>
                <w:b/>
              </w:rPr>
            </w:pPr>
            <w:r w:rsidRPr="0062582F">
              <w:rPr>
                <w:b/>
              </w:rPr>
              <w:t>Net assets</w:t>
            </w:r>
          </w:p>
        </w:tc>
        <w:tc>
          <w:tcPr>
            <w:tcW w:w="1192" w:type="dxa"/>
            <w:tcBorders>
              <w:top w:val="single" w:sz="2" w:space="0" w:color="auto"/>
              <w:bottom w:val="single" w:sz="12" w:space="0" w:color="auto"/>
            </w:tcBorders>
            <w:shd w:val="clear" w:color="auto" w:fill="BFBFBF"/>
            <w:noWrap/>
            <w:hideMark/>
          </w:tcPr>
          <w:p w:rsidR="004843DB" w:rsidRPr="0062582F" w:rsidRDefault="004843DB" w:rsidP="004843DB">
            <w:pPr>
              <w:pStyle w:val="TableofFigures"/>
              <w:rPr>
                <w:b/>
              </w:rPr>
            </w:pPr>
            <w:r w:rsidRPr="0062582F">
              <w:rPr>
                <w:b/>
              </w:rPr>
              <w:t>80 946</w:t>
            </w:r>
          </w:p>
        </w:tc>
        <w:tc>
          <w:tcPr>
            <w:tcW w:w="1193" w:type="dxa"/>
            <w:tcBorders>
              <w:top w:val="single" w:sz="2" w:space="0" w:color="auto"/>
              <w:bottom w:val="single" w:sz="12" w:space="0" w:color="auto"/>
            </w:tcBorders>
            <w:shd w:val="clear" w:color="auto" w:fill="auto"/>
            <w:noWrap/>
            <w:hideMark/>
          </w:tcPr>
          <w:p w:rsidR="004843DB" w:rsidRPr="0062582F" w:rsidRDefault="004843DB" w:rsidP="004843DB">
            <w:pPr>
              <w:pStyle w:val="TableofFigures"/>
              <w:rPr>
                <w:b/>
              </w:rPr>
            </w:pPr>
            <w:r w:rsidRPr="0062582F">
              <w:rPr>
                <w:b/>
              </w:rPr>
              <w:t>75 375</w:t>
            </w:r>
          </w:p>
        </w:tc>
        <w:tc>
          <w:tcPr>
            <w:tcW w:w="1192" w:type="dxa"/>
            <w:tcBorders>
              <w:top w:val="single" w:sz="2" w:space="0" w:color="auto"/>
              <w:bottom w:val="single" w:sz="12" w:space="0" w:color="auto"/>
            </w:tcBorders>
            <w:shd w:val="clear" w:color="auto" w:fill="BFBFBF"/>
            <w:noWrap/>
            <w:hideMark/>
          </w:tcPr>
          <w:p w:rsidR="004843DB" w:rsidRPr="0062582F" w:rsidRDefault="004843DB" w:rsidP="004843DB">
            <w:pPr>
              <w:pStyle w:val="TableofFigures"/>
              <w:rPr>
                <w:b/>
              </w:rPr>
            </w:pPr>
            <w:r w:rsidRPr="0062582F">
              <w:rPr>
                <w:b/>
              </w:rPr>
              <w:t>33 564</w:t>
            </w:r>
          </w:p>
        </w:tc>
        <w:tc>
          <w:tcPr>
            <w:tcW w:w="1193" w:type="dxa"/>
            <w:tcBorders>
              <w:top w:val="single" w:sz="2" w:space="0" w:color="auto"/>
              <w:bottom w:val="single" w:sz="12" w:space="0" w:color="auto"/>
            </w:tcBorders>
            <w:shd w:val="clear" w:color="auto" w:fill="auto"/>
            <w:noWrap/>
            <w:hideMark/>
          </w:tcPr>
          <w:p w:rsidR="004843DB" w:rsidRPr="0062582F" w:rsidRDefault="004843DB" w:rsidP="004843DB">
            <w:pPr>
              <w:pStyle w:val="TableofFigures"/>
              <w:rPr>
                <w:b/>
              </w:rPr>
            </w:pPr>
            <w:r w:rsidRPr="0062582F">
              <w:rPr>
                <w:b/>
              </w:rPr>
              <w:t>20 283</w:t>
            </w:r>
          </w:p>
        </w:tc>
      </w:tr>
    </w:tbl>
    <w:p w:rsidR="004843DB" w:rsidRPr="0062582F" w:rsidRDefault="004843DB" w:rsidP="004843DB">
      <w:pPr>
        <w:pStyle w:val="Notes"/>
      </w:pPr>
      <w:r w:rsidRPr="0062582F">
        <w:t>Notes:</w:t>
      </w:r>
    </w:p>
    <w:p w:rsidR="004843DB" w:rsidRPr="0062582F" w:rsidRDefault="004843DB" w:rsidP="004843DB">
      <w:pPr>
        <w:pStyle w:val="Notes"/>
      </w:pPr>
      <w:r w:rsidRPr="0062582F">
        <w:t>(i)</w:t>
      </w:r>
      <w:r w:rsidRPr="0062582F">
        <w:tab/>
        <w:t xml:space="preserve">Information about the objectives of these departmental outputs can be located in the Report of Operations under the </w:t>
      </w:r>
      <w:r w:rsidR="005A4BB0">
        <w:t>‘</w:t>
      </w:r>
      <w:r w:rsidRPr="0062582F">
        <w:t>operational and budgetary objectives and performance against objectives</w:t>
      </w:r>
      <w:r w:rsidR="005A4BB0">
        <w:t>’</w:t>
      </w:r>
      <w:r w:rsidRPr="0062582F">
        <w:t xml:space="preserve"> section.</w:t>
      </w:r>
    </w:p>
    <w:p w:rsidR="004843DB" w:rsidRPr="0062582F" w:rsidRDefault="004843DB" w:rsidP="004843DB">
      <w:pPr>
        <w:pStyle w:val="Notes"/>
      </w:pPr>
      <w:r w:rsidRPr="0062582F">
        <w:t>(ii)</w:t>
      </w:r>
      <w:r w:rsidRPr="0062582F">
        <w:tab/>
        <w:t xml:space="preserve">Based on the Administrative Arrangements Order </w:t>
      </w:r>
      <w:r w:rsidRPr="0062582F">
        <w:rPr>
          <w:color w:val="0000FF"/>
        </w:rPr>
        <w:t xml:space="preserve">[No. xxx] </w:t>
      </w:r>
      <w:r w:rsidRPr="0062582F">
        <w:t>2015, figures for the assets and liabilities for the new technology administration output for the comparative year are not adjusted. Figures for the assets and liabilities of the output for the current year are reported by the Department of Cabinet Administration.</w:t>
      </w:r>
    </w:p>
    <w:p w:rsidR="004843DB" w:rsidRPr="0062582F" w:rsidRDefault="004843DB" w:rsidP="004843DB">
      <w:pPr>
        <w:pStyle w:val="Notes"/>
      </w:pPr>
      <w:r w:rsidRPr="0062582F">
        <w:t>(iii)</w:t>
      </w:r>
      <w:r w:rsidRPr="0062582F">
        <w:tab/>
        <w:t xml:space="preserve">Based on the Administrative Arrangements Order </w:t>
      </w:r>
      <w:r w:rsidRPr="0062582F">
        <w:rPr>
          <w:color w:val="0000FF"/>
        </w:rPr>
        <w:t xml:space="preserve">[No. xxx] </w:t>
      </w:r>
      <w:r w:rsidRPr="0062582F">
        <w:t>2015, figures for the assets and liabilities for the R&amp;D biological technology output for the current financial year are as at 30 June 2016. Figures for the assets and liabilities of the output for the comparative year are reported by the Department of Natural Resources.</w:t>
      </w:r>
    </w:p>
    <w:p w:rsidR="004843DB" w:rsidRPr="0062582F" w:rsidRDefault="004843DB" w:rsidP="004843DB">
      <w:pPr>
        <w:pStyle w:val="Notes"/>
      </w:pPr>
    </w:p>
    <w:p w:rsidR="004843DB" w:rsidRPr="0062582F" w:rsidRDefault="004843DB" w:rsidP="004843DB">
      <w:pPr>
        <w:pStyle w:val="BulletBlue"/>
        <w:numPr>
          <w:ilvl w:val="0"/>
          <w:numId w:val="0"/>
        </w:numPr>
        <w:rPr>
          <w:i/>
        </w:rPr>
        <w:sectPr w:rsidR="004843DB" w:rsidRPr="0062582F" w:rsidSect="00190A01">
          <w:headerReference w:type="even" r:id="rId222"/>
          <w:headerReference w:type="default" r:id="rId223"/>
          <w:footerReference w:type="even" r:id="rId224"/>
          <w:footerReference w:type="default" r:id="rId225"/>
          <w:headerReference w:type="first" r:id="rId226"/>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BulletBlue"/>
        <w:numPr>
          <w:ilvl w:val="0"/>
          <w:numId w:val="0"/>
        </w:numPr>
      </w:pPr>
      <w:r w:rsidRPr="0062582F">
        <w:rPr>
          <w:i/>
        </w:rPr>
        <w:lastRenderedPageBreak/>
        <w:br w:type="column"/>
      </w:r>
      <w:r w:rsidRPr="0062582F">
        <w:rPr>
          <w:i/>
        </w:rPr>
        <w:lastRenderedPageBreak/>
        <w:t>[Entities are encouraged to disclose a more detailed disaggregation of material assets and liabilities where possible to enhance transparency of the current disclosure in Schedule B as part of better practice.]</w:t>
      </w:r>
    </w:p>
    <w:p w:rsidR="004843DB" w:rsidRPr="0062582F" w:rsidRDefault="004843DB" w:rsidP="004843DB">
      <w:pPr>
        <w:pStyle w:val="Notes"/>
      </w:pPr>
    </w:p>
    <w:p w:rsidR="004843DB" w:rsidRPr="0062582F" w:rsidRDefault="004843DB" w:rsidP="004843DB"/>
    <w:p w:rsidR="004843DB" w:rsidRPr="0062582F" w:rsidRDefault="004843DB" w:rsidP="004843DB">
      <w:pPr>
        <w:pStyle w:val="million"/>
        <w:rPr>
          <w:rFonts w:ascii="Garamond" w:hAnsi="Garamond" w:cs="Times New Roman"/>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Headingcontinued"/>
      </w:pPr>
    </w:p>
    <w:p w:rsidR="004843DB" w:rsidRPr="0062582F" w:rsidRDefault="004843DB" w:rsidP="00E348C3">
      <w:pPr>
        <w:pStyle w:val="Tableheading"/>
      </w:pPr>
    </w:p>
    <w:p w:rsidR="004843DB" w:rsidRPr="0062582F" w:rsidRDefault="004843DB" w:rsidP="004843DB">
      <w:pPr>
        <w:pStyle w:val="million"/>
        <w:spacing w:before="80"/>
      </w:pPr>
    </w:p>
    <w:tbl>
      <w:tblPr>
        <w:tblW w:w="8215" w:type="dxa"/>
        <w:tblInd w:w="108" w:type="dxa"/>
        <w:tblLayout w:type="fixed"/>
        <w:tblCellMar>
          <w:left w:w="43" w:type="dxa"/>
          <w:right w:w="43" w:type="dxa"/>
        </w:tblCellMar>
        <w:tblLook w:val="04A0" w:firstRow="1" w:lastRow="0" w:firstColumn="1" w:lastColumn="0" w:noHBand="0" w:noVBand="1"/>
      </w:tblPr>
      <w:tblGrid>
        <w:gridCol w:w="1369"/>
        <w:gridCol w:w="1369"/>
        <w:gridCol w:w="1369"/>
        <w:gridCol w:w="1369"/>
        <w:gridCol w:w="1369"/>
        <w:gridCol w:w="1370"/>
      </w:tblGrid>
      <w:tr w:rsidR="004843DB" w:rsidRPr="0062582F" w:rsidTr="004843DB">
        <w:trPr>
          <w:trHeight w:val="389"/>
        </w:trPr>
        <w:tc>
          <w:tcPr>
            <w:tcW w:w="2738" w:type="dxa"/>
            <w:gridSpan w:val="2"/>
            <w:tcBorders>
              <w:top w:val="single" w:sz="4" w:space="0" w:color="auto"/>
              <w:left w:val="nil"/>
              <w:bottom w:val="single" w:sz="4" w:space="0" w:color="auto"/>
              <w:right w:val="nil"/>
            </w:tcBorders>
          </w:tcPr>
          <w:p w:rsidR="004843DB" w:rsidRPr="0062582F" w:rsidRDefault="004843DB" w:rsidP="004843DB">
            <w:pPr>
              <w:pStyle w:val="TabletextheadingCentred"/>
              <w:rPr>
                <w:vertAlign w:val="superscript"/>
              </w:rPr>
            </w:pPr>
            <w:r w:rsidRPr="0062582F">
              <w:t xml:space="preserve">New technology </w:t>
            </w:r>
            <w:r w:rsidRPr="0062582F">
              <w:br/>
              <w:t xml:space="preserve">administration </w:t>
            </w:r>
            <w:r w:rsidRPr="0062582F">
              <w:rPr>
                <w:vertAlign w:val="superscript"/>
              </w:rPr>
              <w:t>(i)(ii)</w:t>
            </w:r>
          </w:p>
        </w:tc>
        <w:tc>
          <w:tcPr>
            <w:tcW w:w="2738"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rPr>
                <w:vertAlign w:val="superscript"/>
              </w:rPr>
            </w:pPr>
            <w:r w:rsidRPr="0062582F">
              <w:br/>
              <w:t xml:space="preserve">R&amp;D biological technology </w:t>
            </w:r>
            <w:r w:rsidRPr="0062582F">
              <w:rPr>
                <w:vertAlign w:val="superscript"/>
              </w:rPr>
              <w:t>(i)(iii)</w:t>
            </w:r>
          </w:p>
        </w:tc>
        <w:tc>
          <w:tcPr>
            <w:tcW w:w="2739"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pPr>
            <w:r w:rsidRPr="0062582F">
              <w:br/>
              <w:t>Departmental total</w:t>
            </w:r>
          </w:p>
        </w:tc>
      </w:tr>
      <w:tr w:rsidR="004843DB" w:rsidRPr="0062582F" w:rsidTr="004843DB">
        <w:trPr>
          <w:trHeight w:val="255"/>
        </w:trPr>
        <w:tc>
          <w:tcPr>
            <w:tcW w:w="1369" w:type="dxa"/>
            <w:tcBorders>
              <w:top w:val="nil"/>
              <w:left w:val="nil"/>
              <w:bottom w:val="single" w:sz="4" w:space="0" w:color="auto"/>
              <w:right w:val="nil"/>
            </w:tcBorders>
            <w:shd w:val="clear" w:color="auto" w:fill="BFBFBF"/>
          </w:tcPr>
          <w:p w:rsidR="004843DB" w:rsidRPr="0062582F" w:rsidRDefault="004843DB" w:rsidP="004843DB">
            <w:pPr>
              <w:pStyle w:val="Tabletextheading"/>
            </w:pPr>
            <w:r w:rsidRPr="0062582F">
              <w:t>2016</w:t>
            </w:r>
          </w:p>
        </w:tc>
        <w:tc>
          <w:tcPr>
            <w:tcW w:w="1369"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1369" w:type="dxa"/>
            <w:tcBorders>
              <w:top w:val="nil"/>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369"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1369" w:type="dxa"/>
            <w:tcBorders>
              <w:top w:val="nil"/>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370"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trHeight w:val="255"/>
        </w:trPr>
        <w:tc>
          <w:tcPr>
            <w:tcW w:w="1369" w:type="dxa"/>
            <w:tcBorders>
              <w:top w:val="nil"/>
              <w:left w:val="nil"/>
              <w:bottom w:val="nil"/>
              <w:right w:val="nil"/>
            </w:tcBorders>
            <w:shd w:val="clear" w:color="auto" w:fill="BFBFBF"/>
          </w:tcPr>
          <w:p w:rsidR="004843DB" w:rsidRPr="0062582F" w:rsidRDefault="004843DB" w:rsidP="004843DB">
            <w:pPr>
              <w:pStyle w:val="TableofFigures"/>
            </w:pPr>
            <w:r w:rsidRPr="0062582F">
              <w:t xml:space="preserve"> </w:t>
            </w:r>
          </w:p>
        </w:tc>
        <w:tc>
          <w:tcPr>
            <w:tcW w:w="13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36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3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36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37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trHeight w:val="255"/>
        </w:trPr>
        <w:tc>
          <w:tcPr>
            <w:tcW w:w="1369" w:type="dxa"/>
            <w:tcBorders>
              <w:top w:val="nil"/>
              <w:left w:val="nil"/>
              <w:bottom w:val="nil"/>
              <w:right w:val="nil"/>
            </w:tcBorders>
            <w:shd w:val="clear" w:color="auto" w:fill="BFBFBF"/>
          </w:tcPr>
          <w:p w:rsidR="004843DB" w:rsidRPr="0062582F" w:rsidRDefault="004843DB" w:rsidP="004843DB">
            <w:pPr>
              <w:pStyle w:val="TableofFigures"/>
            </w:pPr>
            <w:r w:rsidRPr="0062582F">
              <w:t>..</w:t>
            </w:r>
          </w:p>
        </w:tc>
        <w:tc>
          <w:tcPr>
            <w:tcW w:w="13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27 845</w:t>
            </w:r>
          </w:p>
        </w:tc>
        <w:tc>
          <w:tcPr>
            <w:tcW w:w="136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14 326</w:t>
            </w:r>
          </w:p>
        </w:tc>
        <w:tc>
          <w:tcPr>
            <w:tcW w:w="13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36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123 308</w:t>
            </w:r>
          </w:p>
        </w:tc>
        <w:tc>
          <w:tcPr>
            <w:tcW w:w="137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103 792</w:t>
            </w:r>
          </w:p>
        </w:tc>
      </w:tr>
      <w:tr w:rsidR="004843DB" w:rsidRPr="0062582F" w:rsidTr="004843DB">
        <w:trPr>
          <w:trHeight w:val="180"/>
        </w:trPr>
        <w:tc>
          <w:tcPr>
            <w:tcW w:w="1369" w:type="dxa"/>
            <w:tcBorders>
              <w:top w:val="nil"/>
              <w:left w:val="nil"/>
              <w:bottom w:val="nil"/>
              <w:right w:val="nil"/>
            </w:tcBorders>
            <w:shd w:val="clear" w:color="auto" w:fill="BFBFBF"/>
          </w:tcPr>
          <w:p w:rsidR="004843DB" w:rsidRPr="0062582F" w:rsidRDefault="004843DB" w:rsidP="004843DB">
            <w:pPr>
              <w:pStyle w:val="TableofFigures"/>
            </w:pPr>
            <w:r w:rsidRPr="0062582F">
              <w:t>..</w:t>
            </w:r>
          </w:p>
        </w:tc>
        <w:tc>
          <w:tcPr>
            <w:tcW w:w="13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43 664</w:t>
            </w:r>
          </w:p>
        </w:tc>
        <w:tc>
          <w:tcPr>
            <w:tcW w:w="136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55 623</w:t>
            </w:r>
          </w:p>
        </w:tc>
        <w:tc>
          <w:tcPr>
            <w:tcW w:w="13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36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115 726</w:t>
            </w:r>
          </w:p>
        </w:tc>
        <w:tc>
          <w:tcPr>
            <w:tcW w:w="137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123 995</w:t>
            </w:r>
          </w:p>
        </w:tc>
      </w:tr>
      <w:tr w:rsidR="004843DB" w:rsidRPr="0062582F" w:rsidTr="004843DB">
        <w:trPr>
          <w:trHeight w:val="255"/>
        </w:trPr>
        <w:tc>
          <w:tcPr>
            <w:tcW w:w="1369" w:type="dxa"/>
            <w:tcBorders>
              <w:top w:val="single" w:sz="4" w:space="0" w:color="auto"/>
              <w:left w:val="nil"/>
              <w:bottom w:val="nil"/>
              <w:right w:val="nil"/>
            </w:tcBorders>
            <w:shd w:val="clear" w:color="auto" w:fill="BFBFBF"/>
          </w:tcPr>
          <w:p w:rsidR="004843DB" w:rsidRPr="0062582F" w:rsidRDefault="004843DB" w:rsidP="004843DB">
            <w:pPr>
              <w:pStyle w:val="TableofFigures"/>
              <w:rPr>
                <w:b/>
              </w:rPr>
            </w:pPr>
            <w:r w:rsidRPr="0062582F">
              <w:rPr>
                <w:b/>
              </w:rPr>
              <w:t>..</w:t>
            </w:r>
          </w:p>
        </w:tc>
        <w:tc>
          <w:tcPr>
            <w:tcW w:w="1369"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71 509</w:t>
            </w:r>
          </w:p>
        </w:tc>
        <w:tc>
          <w:tcPr>
            <w:tcW w:w="1369"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69 950</w:t>
            </w:r>
          </w:p>
        </w:tc>
        <w:tc>
          <w:tcPr>
            <w:tcW w:w="1369"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w:t>
            </w:r>
          </w:p>
        </w:tc>
        <w:tc>
          <w:tcPr>
            <w:tcW w:w="1369"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239 034</w:t>
            </w:r>
          </w:p>
        </w:tc>
        <w:tc>
          <w:tcPr>
            <w:tcW w:w="137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227 787</w:t>
            </w:r>
          </w:p>
        </w:tc>
      </w:tr>
      <w:tr w:rsidR="004843DB" w:rsidRPr="0062582F" w:rsidTr="004843DB">
        <w:trPr>
          <w:trHeight w:hRule="exact" w:val="120"/>
        </w:trPr>
        <w:tc>
          <w:tcPr>
            <w:tcW w:w="1369" w:type="dxa"/>
            <w:tcBorders>
              <w:top w:val="nil"/>
              <w:left w:val="nil"/>
              <w:bottom w:val="single" w:sz="4" w:space="0" w:color="auto"/>
              <w:right w:val="nil"/>
            </w:tcBorders>
            <w:shd w:val="clear" w:color="auto" w:fill="BFBFBF"/>
          </w:tcPr>
          <w:p w:rsidR="004843DB" w:rsidRPr="0062582F" w:rsidRDefault="004843DB" w:rsidP="004843DB">
            <w:pPr>
              <w:pStyle w:val="TableofFigures"/>
            </w:pPr>
            <w:r w:rsidRPr="0062582F">
              <w:t xml:space="preserve"> </w:t>
            </w:r>
          </w:p>
        </w:tc>
        <w:tc>
          <w:tcPr>
            <w:tcW w:w="136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w:t>
            </w:r>
          </w:p>
        </w:tc>
        <w:tc>
          <w:tcPr>
            <w:tcW w:w="136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w:t>
            </w:r>
          </w:p>
        </w:tc>
        <w:tc>
          <w:tcPr>
            <w:tcW w:w="136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w:t>
            </w:r>
          </w:p>
        </w:tc>
        <w:tc>
          <w:tcPr>
            <w:tcW w:w="136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w:t>
            </w:r>
          </w:p>
        </w:tc>
        <w:tc>
          <w:tcPr>
            <w:tcW w:w="137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trHeight w:val="255"/>
        </w:trPr>
        <w:tc>
          <w:tcPr>
            <w:tcW w:w="1369" w:type="dxa"/>
            <w:tcBorders>
              <w:top w:val="single" w:sz="4" w:space="0" w:color="auto"/>
              <w:left w:val="nil"/>
              <w:bottom w:val="single" w:sz="4" w:space="0" w:color="auto"/>
              <w:right w:val="nil"/>
            </w:tcBorders>
            <w:shd w:val="clear" w:color="auto" w:fill="BFBFBF"/>
          </w:tcPr>
          <w:p w:rsidR="004843DB" w:rsidRPr="0062582F" w:rsidRDefault="004843DB" w:rsidP="004843DB">
            <w:pPr>
              <w:pStyle w:val="TableofFigures"/>
            </w:pPr>
            <w:r w:rsidRPr="0062582F">
              <w:t>..</w:t>
            </w:r>
          </w:p>
        </w:tc>
        <w:tc>
          <w:tcPr>
            <w:tcW w:w="1369"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52 206</w:t>
            </w:r>
          </w:p>
        </w:tc>
        <w:tc>
          <w:tcPr>
            <w:tcW w:w="1369"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pPr>
            <w:r w:rsidRPr="0062582F">
              <w:t>43 027</w:t>
            </w:r>
          </w:p>
        </w:tc>
        <w:tc>
          <w:tcPr>
            <w:tcW w:w="1369"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369"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pPr>
            <w:r w:rsidRPr="0062582F">
              <w:t>97 601</w:t>
            </w:r>
          </w:p>
        </w:tc>
        <w:tc>
          <w:tcPr>
            <w:tcW w:w="137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112 826</w:t>
            </w:r>
          </w:p>
        </w:tc>
      </w:tr>
      <w:tr w:rsidR="004843DB" w:rsidRPr="0062582F" w:rsidTr="004843DB">
        <w:trPr>
          <w:trHeight w:val="255"/>
        </w:trPr>
        <w:tc>
          <w:tcPr>
            <w:tcW w:w="1369" w:type="dxa"/>
            <w:tcBorders>
              <w:top w:val="single" w:sz="4" w:space="0" w:color="auto"/>
              <w:left w:val="nil"/>
              <w:bottom w:val="nil"/>
              <w:right w:val="nil"/>
            </w:tcBorders>
            <w:shd w:val="clear" w:color="auto" w:fill="BFBFBF"/>
          </w:tcPr>
          <w:p w:rsidR="004843DB" w:rsidRPr="0062582F" w:rsidRDefault="004843DB" w:rsidP="004843DB">
            <w:pPr>
              <w:pStyle w:val="TableofFigures"/>
              <w:rPr>
                <w:b/>
              </w:rPr>
            </w:pPr>
            <w:r w:rsidRPr="0062582F">
              <w:rPr>
                <w:b/>
              </w:rPr>
              <w:t>..</w:t>
            </w:r>
          </w:p>
        </w:tc>
        <w:tc>
          <w:tcPr>
            <w:tcW w:w="1369"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52 206</w:t>
            </w:r>
          </w:p>
        </w:tc>
        <w:tc>
          <w:tcPr>
            <w:tcW w:w="1369"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43 027</w:t>
            </w:r>
          </w:p>
        </w:tc>
        <w:tc>
          <w:tcPr>
            <w:tcW w:w="1369"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w:t>
            </w:r>
          </w:p>
        </w:tc>
        <w:tc>
          <w:tcPr>
            <w:tcW w:w="1369"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97 601</w:t>
            </w:r>
          </w:p>
        </w:tc>
        <w:tc>
          <w:tcPr>
            <w:tcW w:w="137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112 826</w:t>
            </w:r>
          </w:p>
        </w:tc>
      </w:tr>
      <w:tr w:rsidR="004843DB" w:rsidRPr="0062582F" w:rsidTr="004843DB">
        <w:trPr>
          <w:trHeight w:hRule="exact" w:val="120"/>
        </w:trPr>
        <w:tc>
          <w:tcPr>
            <w:tcW w:w="1369" w:type="dxa"/>
            <w:tcBorders>
              <w:top w:val="nil"/>
              <w:left w:val="nil"/>
              <w:bottom w:val="single" w:sz="6" w:space="0" w:color="auto"/>
              <w:right w:val="nil"/>
            </w:tcBorders>
            <w:shd w:val="clear" w:color="auto" w:fill="BFBFBF"/>
          </w:tcPr>
          <w:p w:rsidR="004843DB" w:rsidRPr="0062582F" w:rsidRDefault="004843DB" w:rsidP="004843DB">
            <w:pPr>
              <w:pStyle w:val="TableofFigures"/>
            </w:pPr>
            <w:r w:rsidRPr="0062582F">
              <w:t xml:space="preserve"> </w:t>
            </w:r>
          </w:p>
        </w:tc>
        <w:tc>
          <w:tcPr>
            <w:tcW w:w="1369"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 xml:space="preserve"> </w:t>
            </w:r>
          </w:p>
        </w:tc>
        <w:tc>
          <w:tcPr>
            <w:tcW w:w="1369"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 xml:space="preserve"> </w:t>
            </w:r>
          </w:p>
        </w:tc>
        <w:tc>
          <w:tcPr>
            <w:tcW w:w="1369"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 xml:space="preserve"> </w:t>
            </w:r>
          </w:p>
        </w:tc>
        <w:tc>
          <w:tcPr>
            <w:tcW w:w="1369"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 xml:space="preserve"> </w:t>
            </w:r>
          </w:p>
        </w:tc>
        <w:tc>
          <w:tcPr>
            <w:tcW w:w="137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trHeight w:val="270"/>
        </w:trPr>
        <w:tc>
          <w:tcPr>
            <w:tcW w:w="1369" w:type="dxa"/>
            <w:tcBorders>
              <w:top w:val="single" w:sz="6" w:space="0" w:color="auto"/>
              <w:left w:val="nil"/>
              <w:bottom w:val="single" w:sz="12" w:space="0" w:color="auto"/>
              <w:right w:val="nil"/>
            </w:tcBorders>
            <w:shd w:val="clear" w:color="auto" w:fill="BFBFBF"/>
          </w:tcPr>
          <w:p w:rsidR="004843DB" w:rsidRPr="0062582F" w:rsidRDefault="004843DB" w:rsidP="004843DB">
            <w:pPr>
              <w:pStyle w:val="TableofFigures"/>
              <w:rPr>
                <w:b/>
              </w:rPr>
            </w:pPr>
            <w:r w:rsidRPr="0062582F">
              <w:rPr>
                <w:b/>
              </w:rPr>
              <w:t>..</w:t>
            </w:r>
          </w:p>
        </w:tc>
        <w:tc>
          <w:tcPr>
            <w:tcW w:w="1369"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19 303</w:t>
            </w:r>
          </w:p>
        </w:tc>
        <w:tc>
          <w:tcPr>
            <w:tcW w:w="1369" w:type="dxa"/>
            <w:tcBorders>
              <w:top w:val="single" w:sz="6"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26 923</w:t>
            </w:r>
          </w:p>
        </w:tc>
        <w:tc>
          <w:tcPr>
            <w:tcW w:w="1369"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369" w:type="dxa"/>
            <w:tcBorders>
              <w:top w:val="single" w:sz="6"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141 432</w:t>
            </w:r>
          </w:p>
        </w:tc>
        <w:tc>
          <w:tcPr>
            <w:tcW w:w="1370"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114 961</w:t>
            </w:r>
          </w:p>
        </w:tc>
      </w:tr>
    </w:tbl>
    <w:p w:rsidR="004843DB" w:rsidRPr="0062582F" w:rsidRDefault="004843DB" w:rsidP="004843DB"/>
    <w:p w:rsidR="004843DB" w:rsidRPr="0062582F" w:rsidRDefault="004843DB" w:rsidP="004843DB"/>
    <w:p w:rsidR="004843DB" w:rsidRPr="0062582F" w:rsidRDefault="004843DB" w:rsidP="004843DB">
      <w:pPr>
        <w:pStyle w:val="Notes"/>
      </w:pPr>
    </w:p>
    <w:p w:rsidR="004843DB" w:rsidRPr="0062582F" w:rsidRDefault="004843DB" w:rsidP="004843DB"/>
    <w:p w:rsidR="004843DB" w:rsidRPr="0062582F" w:rsidRDefault="004843DB" w:rsidP="004843DB">
      <w:pPr>
        <w:sectPr w:rsidR="004843DB" w:rsidRPr="0062582F" w:rsidSect="00190A01">
          <w:headerReference w:type="even" r:id="rId227"/>
          <w:headerReference w:type="default" r:id="rId228"/>
          <w:headerReference w:type="first" r:id="rId229"/>
          <w:pgSz w:w="11906" w:h="16838" w:code="9"/>
          <w:pgMar w:top="1152" w:right="864" w:bottom="1152" w:left="864" w:header="432" w:footer="432" w:gutter="0"/>
          <w:cols w:space="360"/>
          <w:rtlGutter/>
        </w:sectPr>
      </w:pPr>
    </w:p>
    <w:p w:rsidR="004843DB" w:rsidRPr="0062582F" w:rsidRDefault="004843DB" w:rsidP="004843DB">
      <w:pPr>
        <w:pStyle w:val="NoteHeading"/>
      </w:pPr>
      <w:r w:rsidRPr="0062582F">
        <w:lastRenderedPageBreak/>
        <w:br w:type="column"/>
      </w:r>
      <w:bookmarkStart w:id="344" w:name="_Toc282608477"/>
      <w:bookmarkStart w:id="345" w:name="_Toc332019461"/>
      <w:bookmarkStart w:id="346" w:name="_Toc366843350"/>
      <w:bookmarkStart w:id="347" w:name="_Toc448157182"/>
      <w:r w:rsidRPr="0062582F">
        <w:lastRenderedPageBreak/>
        <w:t>Note 3.</w:t>
      </w:r>
      <w:r w:rsidRPr="0062582F">
        <w:tab/>
        <w:t>Administered (non</w:t>
      </w:r>
      <w:r w:rsidR="005A4BB0">
        <w:noBreakHyphen/>
      </w:r>
      <w:r w:rsidRPr="0062582F">
        <w:t>controlled) items</w:t>
      </w:r>
      <w:bookmarkEnd w:id="344"/>
      <w:bookmarkEnd w:id="345"/>
      <w:bookmarkEnd w:id="346"/>
      <w:bookmarkEnd w:id="347"/>
      <w:r w:rsidRPr="0062582F">
        <w:t xml:space="preserve"> </w:t>
      </w:r>
    </w:p>
    <w:p w:rsidR="004843DB" w:rsidRPr="0062582F" w:rsidRDefault="004843DB" w:rsidP="004843DB">
      <w:pPr>
        <w:pStyle w:val="Heading2"/>
        <w:sectPr w:rsidR="004843DB" w:rsidRPr="0062582F" w:rsidSect="00190A01">
          <w:headerReference w:type="even" r:id="rId230"/>
          <w:headerReference w:type="default" r:id="rId231"/>
          <w:headerReference w:type="first" r:id="rId232"/>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FRD 9A</w:t>
      </w:r>
      <w:r w:rsidRPr="0062582F">
        <w:br/>
        <w:t>AASB 1050.7</w:t>
      </w:r>
    </w:p>
    <w:p w:rsidR="004843DB" w:rsidRPr="0062582F" w:rsidRDefault="004843DB" w:rsidP="004843DB">
      <w:r w:rsidRPr="0062582F">
        <w:br w:type="column"/>
      </w:r>
      <w:r w:rsidRPr="0062582F">
        <w:lastRenderedPageBreak/>
        <w:t xml:space="preserve">In addition to the specific departmental operations which are included in the financial statements (comprehensive operating statement, balance sheet, statement of changes on equity and cash flow statement), the Department administers or manages other activities and resources on behalf of the State such as </w:t>
      </w:r>
      <w:r w:rsidRPr="0062582F">
        <w:rPr>
          <w:i/>
          <w:color w:val="0000FF"/>
        </w:rPr>
        <w:t>[entity to describe]</w:t>
      </w:r>
      <w:r w:rsidRPr="0062582F">
        <w:t>. The transactions relating to these activities are reported as administered items (refer to Note 1(D) and (J)) in this note.</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r w:rsidRPr="0062582F">
        <w:br/>
      </w:r>
    </w:p>
    <w:p w:rsidR="004843DB" w:rsidRPr="0062582F" w:rsidRDefault="004843DB" w:rsidP="004843DB">
      <w:pPr>
        <w:pStyle w:val="Reference"/>
        <w:spacing w:before="380"/>
      </w:pPr>
      <w:r w:rsidRPr="0062582F">
        <w:t>FRD 9A AASB 1050.7(a)</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r w:rsidRPr="0062582F">
        <w:br/>
      </w:r>
      <w:r w:rsidRPr="0062582F">
        <w:br/>
      </w:r>
      <w:r w:rsidRPr="0062582F">
        <w:br/>
      </w:r>
    </w:p>
    <w:p w:rsidR="004843DB" w:rsidRPr="0062582F" w:rsidRDefault="004843DB" w:rsidP="004843DB">
      <w:pPr>
        <w:pStyle w:val="Reference"/>
        <w:spacing w:before="260"/>
      </w:pPr>
      <w:r w:rsidRPr="0062582F">
        <w:t xml:space="preserve">FRD 9A </w:t>
      </w:r>
      <w:r w:rsidRPr="0062582F">
        <w:br/>
        <w:t>AASB 1050.7(b)</w:t>
      </w:r>
    </w:p>
    <w:p w:rsidR="004843DB" w:rsidRPr="0062582F" w:rsidRDefault="004843DB" w:rsidP="004843DB">
      <w:pPr>
        <w:pStyle w:val="million"/>
      </w:pPr>
      <w:r w:rsidRPr="0062582F">
        <w:br w:type="column"/>
      </w:r>
      <w:r w:rsidRPr="0062582F">
        <w:lastRenderedPageBreak/>
        <w:t>($ thousand)</w:t>
      </w:r>
      <w:bookmarkStart w:id="348" w:name="RANGE!B4:D31"/>
    </w:p>
    <w:tbl>
      <w:tblPr>
        <w:tblW w:w="8364" w:type="dxa"/>
        <w:tblInd w:w="43" w:type="dxa"/>
        <w:tblLayout w:type="fixed"/>
        <w:tblCellMar>
          <w:left w:w="43" w:type="dxa"/>
          <w:right w:w="43" w:type="dxa"/>
        </w:tblCellMar>
        <w:tblLook w:val="04A0" w:firstRow="1" w:lastRow="0" w:firstColumn="1" w:lastColumn="0" w:noHBand="0" w:noVBand="1"/>
      </w:tblPr>
      <w:tblGrid>
        <w:gridCol w:w="6521"/>
        <w:gridCol w:w="921"/>
        <w:gridCol w:w="922"/>
      </w:tblGrid>
      <w:tr w:rsidR="004843DB" w:rsidRPr="0062582F" w:rsidTr="004843DB">
        <w:trPr>
          <w:cantSplit/>
        </w:trPr>
        <w:tc>
          <w:tcPr>
            <w:tcW w:w="6521" w:type="dxa"/>
            <w:tcBorders>
              <w:top w:val="single" w:sz="4" w:space="0" w:color="auto"/>
              <w:left w:val="nil"/>
              <w:bottom w:val="single" w:sz="4" w:space="0" w:color="auto"/>
              <w:right w:val="nil"/>
            </w:tcBorders>
            <w:shd w:val="clear" w:color="auto" w:fill="auto"/>
            <w:noWrap/>
            <w:hideMark/>
          </w:tcPr>
          <w:bookmarkEnd w:id="348"/>
          <w:p w:rsidR="004843DB" w:rsidRPr="0062582F" w:rsidRDefault="004843DB" w:rsidP="004843DB">
            <w:pPr>
              <w:pStyle w:val="Tabletextheading"/>
            </w:pPr>
            <w:r w:rsidRPr="0062582F">
              <w:t xml:space="preserve"> </w:t>
            </w:r>
          </w:p>
        </w:tc>
        <w:tc>
          <w:tcPr>
            <w:tcW w:w="1843"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jc w:val="center"/>
            </w:pPr>
            <w:r w:rsidRPr="0062582F">
              <w:t xml:space="preserve">Strategic policy </w:t>
            </w:r>
            <w:r w:rsidRPr="0062582F">
              <w:br/>
              <w:t>advice</w:t>
            </w:r>
          </w:p>
        </w:tc>
      </w:tr>
      <w:tr w:rsidR="004843DB" w:rsidRPr="0062582F" w:rsidTr="004843DB">
        <w:trPr>
          <w:cantSplit/>
        </w:trPr>
        <w:tc>
          <w:tcPr>
            <w:tcW w:w="6521"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921" w:type="dxa"/>
            <w:tcBorders>
              <w:top w:val="nil"/>
              <w:left w:val="nil"/>
              <w:bottom w:val="single" w:sz="4" w:space="0" w:color="auto"/>
              <w:right w:val="nil"/>
            </w:tcBorders>
            <w:shd w:val="clear" w:color="auto" w:fill="BFBFBF"/>
            <w:noWrap/>
            <w:hideMark/>
          </w:tcPr>
          <w:p w:rsidR="004843DB" w:rsidRPr="0062582F" w:rsidRDefault="004843DB" w:rsidP="004843DB">
            <w:pPr>
              <w:pStyle w:val="Tabletextheading"/>
            </w:pPr>
            <w:r w:rsidRPr="0062582F">
              <w:t>2016</w:t>
            </w:r>
          </w:p>
        </w:tc>
        <w:tc>
          <w:tcPr>
            <w:tcW w:w="922"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Administered income from transactions</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 xml:space="preserve"> </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Appropriations – payments made on behalf of the State</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6 786</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6 245</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Sales of goods and services [include fees]</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5 887</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5 634</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Grants</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 xml:space="preserve"> 871</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1 790</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Taxation income</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Fines</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Refunds and other miscellaneous income</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521"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administered income from transactions</w:t>
            </w:r>
          </w:p>
        </w:tc>
        <w:tc>
          <w:tcPr>
            <w:tcW w:w="921" w:type="dxa"/>
            <w:tcBorders>
              <w:top w:val="single" w:sz="4" w:space="0" w:color="auto"/>
              <w:left w:val="nil"/>
              <w:bottom w:val="single" w:sz="4" w:space="0" w:color="auto"/>
              <w:right w:val="nil"/>
            </w:tcBorders>
            <w:shd w:val="clear" w:color="auto" w:fill="BFBFBF"/>
            <w:noWrap/>
            <w:hideMark/>
          </w:tcPr>
          <w:p w:rsidR="004843DB" w:rsidRPr="0062582F" w:rsidRDefault="004843DB" w:rsidP="004843DB">
            <w:pPr>
              <w:pStyle w:val="TableofFigures"/>
              <w:rPr>
                <w:b/>
              </w:rPr>
            </w:pPr>
            <w:r w:rsidRPr="0062582F">
              <w:rPr>
                <w:b/>
              </w:rPr>
              <w:t>13 544</w:t>
            </w:r>
          </w:p>
        </w:tc>
        <w:tc>
          <w:tcPr>
            <w:tcW w:w="922"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13 669</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Administered expenses from transactions</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rPr>
                <w:b/>
              </w:rPr>
            </w:pPr>
            <w:r w:rsidRPr="0062582F">
              <w:rPr>
                <w:b/>
              </w:rPr>
              <w:t xml:space="preserve"> </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Payments made on behalf of the State</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(6 786)</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(6 245)</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Payments into the consolidated fund</w:t>
            </w:r>
          </w:p>
        </w:tc>
        <w:tc>
          <w:tcPr>
            <w:tcW w:w="921" w:type="dxa"/>
            <w:tcBorders>
              <w:top w:val="nil"/>
              <w:left w:val="nil"/>
              <w:bottom w:val="single" w:sz="4" w:space="0" w:color="auto"/>
              <w:right w:val="nil"/>
            </w:tcBorders>
            <w:shd w:val="clear" w:color="auto" w:fill="BFBFBF"/>
            <w:noWrap/>
            <w:hideMark/>
          </w:tcPr>
          <w:p w:rsidR="004843DB" w:rsidRPr="0062582F" w:rsidRDefault="004843DB" w:rsidP="004843DB">
            <w:pPr>
              <w:pStyle w:val="TableofFigures"/>
            </w:pPr>
            <w:r w:rsidRPr="0062582F">
              <w:t>(6 758)</w:t>
            </w:r>
          </w:p>
        </w:tc>
        <w:tc>
          <w:tcPr>
            <w:tcW w:w="92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(7 424)</w:t>
            </w:r>
          </w:p>
        </w:tc>
      </w:tr>
      <w:tr w:rsidR="004843DB" w:rsidRPr="0062582F" w:rsidTr="004843DB">
        <w:trPr>
          <w:cantSplit/>
        </w:trPr>
        <w:tc>
          <w:tcPr>
            <w:tcW w:w="6521"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administered expenses from transactions</w:t>
            </w:r>
          </w:p>
        </w:tc>
        <w:tc>
          <w:tcPr>
            <w:tcW w:w="921" w:type="dxa"/>
            <w:tcBorders>
              <w:top w:val="nil"/>
              <w:left w:val="nil"/>
              <w:bottom w:val="single" w:sz="4" w:space="0" w:color="auto"/>
              <w:right w:val="nil"/>
            </w:tcBorders>
            <w:shd w:val="clear" w:color="auto" w:fill="BFBFBF"/>
            <w:noWrap/>
            <w:hideMark/>
          </w:tcPr>
          <w:p w:rsidR="004843DB" w:rsidRPr="0062582F" w:rsidRDefault="004843DB" w:rsidP="004843DB">
            <w:pPr>
              <w:pStyle w:val="TableofFigures"/>
              <w:rPr>
                <w:b/>
              </w:rPr>
            </w:pPr>
            <w:r w:rsidRPr="0062582F">
              <w:rPr>
                <w:b/>
              </w:rPr>
              <w:t>(13 544)</w:t>
            </w:r>
          </w:p>
        </w:tc>
        <w:tc>
          <w:tcPr>
            <w:tcW w:w="92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(13 669)</w:t>
            </w:r>
          </w:p>
        </w:tc>
      </w:tr>
      <w:tr w:rsidR="004843DB" w:rsidRPr="0062582F" w:rsidTr="004843DB">
        <w:trPr>
          <w:cantSplit/>
        </w:trPr>
        <w:tc>
          <w:tcPr>
            <w:tcW w:w="6521"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administered net result from transactions (net operating balance)</w:t>
            </w:r>
          </w:p>
        </w:tc>
        <w:tc>
          <w:tcPr>
            <w:tcW w:w="921" w:type="dxa"/>
            <w:tcBorders>
              <w:top w:val="nil"/>
              <w:left w:val="nil"/>
              <w:bottom w:val="single" w:sz="4" w:space="0" w:color="auto"/>
              <w:right w:val="nil"/>
            </w:tcBorders>
            <w:shd w:val="clear" w:color="auto" w:fill="BFBFBF"/>
            <w:noWrap/>
            <w:hideMark/>
          </w:tcPr>
          <w:p w:rsidR="004843DB" w:rsidRPr="0062582F" w:rsidRDefault="004843DB" w:rsidP="004843DB">
            <w:pPr>
              <w:pStyle w:val="TableofFigures"/>
              <w:rPr>
                <w:b/>
              </w:rPr>
            </w:pPr>
            <w:r w:rsidRPr="0062582F">
              <w:rPr>
                <w:b/>
              </w:rPr>
              <w:t>..</w:t>
            </w:r>
          </w:p>
        </w:tc>
        <w:tc>
          <w:tcPr>
            <w:tcW w:w="92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Administered other economic flows included in administered net result</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 xml:space="preserve"> </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Net gain/(loss) on non</w:t>
            </w:r>
            <w:r w:rsidR="005A4BB0">
              <w:noBreakHyphen/>
            </w:r>
            <w:r w:rsidRPr="0062582F">
              <w:t>financial assets</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Net gain/(loss) on financial instruments</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 xml:space="preserve"> 253</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(156)</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Share of net profits/(losses) of associates and joint entities, excluding dividends</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Other gains/(losses) from other economic flows</w:t>
            </w:r>
          </w:p>
        </w:tc>
        <w:tc>
          <w:tcPr>
            <w:tcW w:w="921" w:type="dxa"/>
            <w:tcBorders>
              <w:top w:val="nil"/>
              <w:left w:val="nil"/>
              <w:bottom w:val="single" w:sz="4" w:space="0" w:color="auto"/>
              <w:right w:val="nil"/>
            </w:tcBorders>
            <w:shd w:val="clear" w:color="auto" w:fill="BFBFBF"/>
            <w:noWrap/>
            <w:hideMark/>
          </w:tcPr>
          <w:p w:rsidR="004843DB" w:rsidRPr="0062582F" w:rsidRDefault="004843DB" w:rsidP="004843DB">
            <w:pPr>
              <w:pStyle w:val="TableofFigures"/>
            </w:pPr>
            <w:r w:rsidRPr="0062582F">
              <w:t>..</w:t>
            </w:r>
          </w:p>
        </w:tc>
        <w:tc>
          <w:tcPr>
            <w:tcW w:w="92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521"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administered other economic flows</w:t>
            </w:r>
          </w:p>
        </w:tc>
        <w:tc>
          <w:tcPr>
            <w:tcW w:w="921" w:type="dxa"/>
            <w:tcBorders>
              <w:top w:val="nil"/>
              <w:left w:val="nil"/>
              <w:bottom w:val="single" w:sz="4" w:space="0" w:color="auto"/>
              <w:right w:val="nil"/>
            </w:tcBorders>
            <w:shd w:val="clear" w:color="auto" w:fill="BFBFBF"/>
            <w:noWrap/>
            <w:hideMark/>
          </w:tcPr>
          <w:p w:rsidR="004843DB" w:rsidRPr="0062582F" w:rsidRDefault="004843DB" w:rsidP="004843DB">
            <w:pPr>
              <w:pStyle w:val="TableofFigures"/>
              <w:rPr>
                <w:b/>
              </w:rPr>
            </w:pPr>
            <w:r w:rsidRPr="0062582F">
              <w:rPr>
                <w:b/>
              </w:rPr>
              <w:t xml:space="preserve"> 253</w:t>
            </w:r>
          </w:p>
        </w:tc>
        <w:tc>
          <w:tcPr>
            <w:tcW w:w="92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(156)</w:t>
            </w:r>
          </w:p>
        </w:tc>
      </w:tr>
      <w:tr w:rsidR="004843DB" w:rsidRPr="0062582F" w:rsidTr="004843DB">
        <w:trPr>
          <w:cantSplit/>
        </w:trPr>
        <w:tc>
          <w:tcPr>
            <w:tcW w:w="6521"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Administered net result</w:t>
            </w:r>
          </w:p>
        </w:tc>
        <w:tc>
          <w:tcPr>
            <w:tcW w:w="921" w:type="dxa"/>
            <w:tcBorders>
              <w:top w:val="nil"/>
              <w:left w:val="nil"/>
              <w:bottom w:val="single" w:sz="4" w:space="0" w:color="auto"/>
              <w:right w:val="nil"/>
            </w:tcBorders>
            <w:shd w:val="clear" w:color="auto" w:fill="BFBFBF"/>
            <w:noWrap/>
            <w:hideMark/>
          </w:tcPr>
          <w:p w:rsidR="004843DB" w:rsidRPr="0062582F" w:rsidRDefault="004843DB" w:rsidP="004843DB">
            <w:pPr>
              <w:pStyle w:val="TableofFigures"/>
              <w:rPr>
                <w:b/>
              </w:rPr>
            </w:pPr>
            <w:r w:rsidRPr="0062582F">
              <w:rPr>
                <w:b/>
              </w:rPr>
              <w:t xml:space="preserve"> 253</w:t>
            </w:r>
          </w:p>
        </w:tc>
        <w:tc>
          <w:tcPr>
            <w:tcW w:w="92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(156)</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Administered other economic flows – other comprehensive income</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rPr>
                <w:b/>
              </w:rPr>
            </w:pPr>
            <w:r w:rsidRPr="0062582F">
              <w:rPr>
                <w:b/>
              </w:rPr>
              <w:t xml:space="preserve"> </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6521" w:type="dxa"/>
            <w:tcBorders>
              <w:top w:val="nil"/>
              <w:left w:val="nil"/>
              <w:bottom w:val="nil"/>
              <w:right w:val="nil"/>
            </w:tcBorders>
            <w:shd w:val="clear" w:color="auto" w:fill="auto"/>
          </w:tcPr>
          <w:p w:rsidR="004843DB" w:rsidRPr="0062582F" w:rsidRDefault="004843DB" w:rsidP="004843DB">
            <w:pPr>
              <w:pStyle w:val="Tabletext"/>
              <w:rPr>
                <w:b/>
              </w:rPr>
            </w:pPr>
            <w:r w:rsidRPr="0062582F">
              <w:rPr>
                <w:b/>
              </w:rPr>
              <w:t>Items that will not be reclassified to administered net result</w:t>
            </w:r>
          </w:p>
        </w:tc>
        <w:tc>
          <w:tcPr>
            <w:tcW w:w="921" w:type="dxa"/>
            <w:tcBorders>
              <w:top w:val="nil"/>
              <w:left w:val="nil"/>
              <w:bottom w:val="nil"/>
              <w:right w:val="nil"/>
            </w:tcBorders>
            <w:shd w:val="clear" w:color="auto" w:fill="BFBFBF"/>
            <w:noWrap/>
          </w:tcPr>
          <w:p w:rsidR="004843DB" w:rsidRPr="0062582F" w:rsidRDefault="004843DB" w:rsidP="004843DB">
            <w:pPr>
              <w:pStyle w:val="TableofFigures"/>
              <w:rPr>
                <w:b/>
              </w:rPr>
            </w:pPr>
          </w:p>
        </w:tc>
        <w:tc>
          <w:tcPr>
            <w:tcW w:w="922" w:type="dxa"/>
            <w:tcBorders>
              <w:top w:val="nil"/>
              <w:left w:val="nil"/>
              <w:bottom w:val="nil"/>
              <w:right w:val="nil"/>
            </w:tcBorders>
            <w:shd w:val="clear" w:color="auto" w:fill="auto"/>
            <w:noWrap/>
          </w:tcPr>
          <w:p w:rsidR="004843DB" w:rsidRPr="0062582F" w:rsidRDefault="004843DB" w:rsidP="004843DB">
            <w:pPr>
              <w:pStyle w:val="TableofFigures"/>
              <w:rPr>
                <w:b/>
              </w:rPr>
            </w:pP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Adjustment to accumulated surplus/(deficit) due to change in accounting policy</w:t>
            </w:r>
          </w:p>
        </w:tc>
        <w:tc>
          <w:tcPr>
            <w:tcW w:w="921"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w:t>
            </w:r>
          </w:p>
        </w:tc>
        <w:tc>
          <w:tcPr>
            <w:tcW w:w="92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153</w:t>
            </w:r>
          </w:p>
        </w:tc>
      </w:tr>
      <w:tr w:rsidR="004843DB" w:rsidRPr="0062582F" w:rsidTr="004843DB">
        <w:trPr>
          <w:cantSplit/>
        </w:trPr>
        <w:tc>
          <w:tcPr>
            <w:tcW w:w="6521" w:type="dxa"/>
            <w:tcBorders>
              <w:top w:val="nil"/>
              <w:left w:val="nil"/>
              <w:bottom w:val="nil"/>
              <w:right w:val="nil"/>
            </w:tcBorders>
            <w:shd w:val="clear" w:color="auto" w:fill="auto"/>
            <w:hideMark/>
          </w:tcPr>
          <w:p w:rsidR="004843DB" w:rsidRPr="0062582F" w:rsidRDefault="004843DB" w:rsidP="004843DB">
            <w:pPr>
              <w:pStyle w:val="Tabletext"/>
            </w:pPr>
            <w:r w:rsidRPr="0062582F">
              <w:t>Changes in physical asset revaluation surplus</w:t>
            </w:r>
          </w:p>
        </w:tc>
        <w:tc>
          <w:tcPr>
            <w:tcW w:w="921" w:type="dxa"/>
            <w:tcBorders>
              <w:top w:val="nil"/>
              <w:left w:val="nil"/>
              <w:bottom w:val="single" w:sz="4" w:space="0" w:color="auto"/>
              <w:right w:val="nil"/>
            </w:tcBorders>
            <w:shd w:val="clear" w:color="auto" w:fill="BFBFBF"/>
            <w:noWrap/>
            <w:hideMark/>
          </w:tcPr>
          <w:p w:rsidR="004843DB" w:rsidRPr="0062582F" w:rsidRDefault="004843DB" w:rsidP="004843DB">
            <w:pPr>
              <w:pStyle w:val="TableofFigures"/>
            </w:pPr>
            <w:r w:rsidRPr="0062582F">
              <w:t>..</w:t>
            </w:r>
          </w:p>
        </w:tc>
        <w:tc>
          <w:tcPr>
            <w:tcW w:w="92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521"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administered other economic flows – other comprehensive income</w:t>
            </w:r>
          </w:p>
        </w:tc>
        <w:tc>
          <w:tcPr>
            <w:tcW w:w="921" w:type="dxa"/>
            <w:tcBorders>
              <w:top w:val="nil"/>
              <w:left w:val="nil"/>
              <w:bottom w:val="single" w:sz="4" w:space="0" w:color="auto"/>
              <w:right w:val="nil"/>
            </w:tcBorders>
            <w:shd w:val="clear" w:color="auto" w:fill="BFBFBF"/>
            <w:noWrap/>
            <w:hideMark/>
          </w:tcPr>
          <w:p w:rsidR="004843DB" w:rsidRPr="0062582F" w:rsidRDefault="004843DB" w:rsidP="004843DB">
            <w:pPr>
              <w:pStyle w:val="TableofFigures"/>
              <w:rPr>
                <w:b/>
              </w:rPr>
            </w:pPr>
            <w:r w:rsidRPr="0062582F">
              <w:rPr>
                <w:b/>
              </w:rPr>
              <w:t>..</w:t>
            </w:r>
          </w:p>
        </w:tc>
        <w:tc>
          <w:tcPr>
            <w:tcW w:w="92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153</w:t>
            </w:r>
          </w:p>
        </w:tc>
      </w:tr>
      <w:tr w:rsidR="004843DB" w:rsidRPr="0062582F" w:rsidTr="004843DB">
        <w:trPr>
          <w:cantSplit/>
        </w:trPr>
        <w:tc>
          <w:tcPr>
            <w:tcW w:w="6521"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administered comprehensive result</w:t>
            </w:r>
          </w:p>
        </w:tc>
        <w:tc>
          <w:tcPr>
            <w:tcW w:w="921" w:type="dxa"/>
            <w:tcBorders>
              <w:top w:val="single" w:sz="4" w:space="0" w:color="auto"/>
              <w:left w:val="nil"/>
              <w:bottom w:val="single" w:sz="12" w:space="0" w:color="auto"/>
              <w:right w:val="nil"/>
            </w:tcBorders>
            <w:shd w:val="clear" w:color="auto" w:fill="BFBFBF"/>
            <w:noWrap/>
            <w:hideMark/>
          </w:tcPr>
          <w:p w:rsidR="004843DB" w:rsidRPr="0062582F" w:rsidRDefault="004843DB" w:rsidP="004843DB">
            <w:pPr>
              <w:pStyle w:val="TableofFigures"/>
              <w:rPr>
                <w:b/>
              </w:rPr>
            </w:pPr>
            <w:r w:rsidRPr="0062582F">
              <w:rPr>
                <w:b/>
              </w:rPr>
              <w:t xml:space="preserve"> 253</w:t>
            </w:r>
          </w:p>
        </w:tc>
        <w:tc>
          <w:tcPr>
            <w:tcW w:w="922"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w:t>
            </w:r>
          </w:p>
        </w:tc>
      </w:tr>
    </w:tbl>
    <w:p w:rsidR="004843DB" w:rsidRPr="0062582F" w:rsidRDefault="004843DB" w:rsidP="004843DB">
      <w:pPr>
        <w:pStyle w:val="Notes"/>
      </w:pPr>
      <w:r w:rsidRPr="0062582F">
        <w:t>Notes:</w:t>
      </w:r>
    </w:p>
    <w:p w:rsidR="004843DB" w:rsidRPr="0062582F" w:rsidRDefault="004843DB" w:rsidP="004843DB">
      <w:pPr>
        <w:pStyle w:val="Notes"/>
      </w:pPr>
      <w:r w:rsidRPr="0062582F">
        <w:t>(i)</w:t>
      </w:r>
      <w:r w:rsidRPr="0062582F">
        <w:tab/>
        <w:t xml:space="preserve">Based on the Administrative Arrangements Order </w:t>
      </w:r>
      <w:r w:rsidRPr="0062582F">
        <w:rPr>
          <w:rStyle w:val="TabletextblueChar"/>
        </w:rPr>
        <w:t xml:space="preserve">[No. xxx] </w:t>
      </w:r>
      <w:r w:rsidRPr="0062582F">
        <w:t>2015, figures for the income and expenses for the new technology administration output for the comparative year are not adjusted. Figures for the income and expenses of the output for the current year are reported by the Department of Cabinet Administration.</w:t>
      </w:r>
    </w:p>
    <w:p w:rsidR="004843DB" w:rsidRPr="0062582F" w:rsidRDefault="004843DB" w:rsidP="004843DB">
      <w:pPr>
        <w:pStyle w:val="Notes"/>
      </w:pPr>
      <w:r w:rsidRPr="0062582F">
        <w:t>(ii)</w:t>
      </w:r>
      <w:r w:rsidRPr="0062582F">
        <w:tab/>
        <w:t xml:space="preserve">Based on the Administrative Arrangements Order </w:t>
      </w:r>
      <w:r w:rsidRPr="0062582F">
        <w:rPr>
          <w:rStyle w:val="TabletextblueChar"/>
        </w:rPr>
        <w:t>[No. xxx]</w:t>
      </w:r>
      <w:r w:rsidRPr="0062582F">
        <w:t xml:space="preserve"> 2015, figures for the income and expenses for the R&amp;D biological technology output for the current financial year are as at 30 June 2016. Figures for the income and expenses of the output for the comparative year are reported by the Department of Natural Resources.</w:t>
      </w:r>
    </w:p>
    <w:p w:rsidR="004843DB" w:rsidRPr="0062582F" w:rsidRDefault="004843DB" w:rsidP="004843DB">
      <w:pPr>
        <w:rPr>
          <w:rFonts w:ascii="Tahoma" w:hAnsi="Tahoma"/>
          <w:sz w:val="20"/>
          <w:szCs w:val="20"/>
        </w:rPr>
      </w:pPr>
    </w:p>
    <w:p w:rsidR="004843DB" w:rsidRPr="0062582F" w:rsidRDefault="004843DB" w:rsidP="004843DB">
      <w:pPr>
        <w:rPr>
          <w:sz w:val="20"/>
          <w:szCs w:val="2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Heading2"/>
      </w:pPr>
    </w:p>
    <w:p w:rsidR="004843DB" w:rsidRPr="0062582F" w:rsidRDefault="004843DB" w:rsidP="004843DB">
      <w:r w:rsidRPr="0062582F">
        <w:br/>
      </w:r>
      <w:r w:rsidRPr="0062582F">
        <w:br/>
      </w:r>
    </w:p>
    <w:p w:rsidR="004843DB" w:rsidRPr="0062582F" w:rsidRDefault="004843DB" w:rsidP="004843DB">
      <w:r w:rsidRPr="0062582F">
        <w:br/>
      </w:r>
    </w:p>
    <w:p w:rsidR="004843DB" w:rsidRPr="0062582F" w:rsidRDefault="004843DB" w:rsidP="004843DB">
      <w:pPr>
        <w:pStyle w:val="million"/>
      </w:pPr>
    </w:p>
    <w:tbl>
      <w:tblPr>
        <w:tblW w:w="8160" w:type="dxa"/>
        <w:tblInd w:w="108" w:type="dxa"/>
        <w:tblLayout w:type="fixed"/>
        <w:tblCellMar>
          <w:left w:w="17" w:type="dxa"/>
          <w:right w:w="17" w:type="dxa"/>
        </w:tblCellMar>
        <w:tblLook w:val="04A0" w:firstRow="1" w:lastRow="0" w:firstColumn="1" w:lastColumn="0" w:noHBand="0" w:noVBand="1"/>
      </w:tblPr>
      <w:tblGrid>
        <w:gridCol w:w="1020"/>
        <w:gridCol w:w="1020"/>
        <w:gridCol w:w="1020"/>
        <w:gridCol w:w="1020"/>
        <w:gridCol w:w="1020"/>
        <w:gridCol w:w="1020"/>
        <w:gridCol w:w="1020"/>
        <w:gridCol w:w="1020"/>
      </w:tblGrid>
      <w:tr w:rsidR="004843DB" w:rsidRPr="0062582F" w:rsidTr="004843DB">
        <w:trPr>
          <w:cantSplit/>
        </w:trPr>
        <w:tc>
          <w:tcPr>
            <w:tcW w:w="2040"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pPr>
            <w:r w:rsidRPr="0062582F">
              <w:br/>
              <w:t>IT&amp;T services</w:t>
            </w:r>
          </w:p>
        </w:tc>
        <w:tc>
          <w:tcPr>
            <w:tcW w:w="2040"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rPr>
                <w:vertAlign w:val="superscript"/>
              </w:rPr>
            </w:pPr>
            <w:r w:rsidRPr="0062582F">
              <w:t>New technology</w:t>
            </w:r>
            <w:r w:rsidRPr="0062582F">
              <w:rPr>
                <w:sz w:val="14"/>
              </w:rPr>
              <w:t xml:space="preserve"> </w:t>
            </w:r>
            <w:r w:rsidRPr="0062582F">
              <w:t xml:space="preserve">administration </w:t>
            </w:r>
            <w:r w:rsidRPr="0062582F">
              <w:rPr>
                <w:vertAlign w:val="superscript"/>
              </w:rPr>
              <w:t>(i)</w:t>
            </w:r>
          </w:p>
        </w:tc>
        <w:tc>
          <w:tcPr>
            <w:tcW w:w="2040"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rPr>
                <w:vertAlign w:val="superscript"/>
              </w:rPr>
            </w:pPr>
            <w:r w:rsidRPr="0062582F">
              <w:t>R&amp;D biological</w:t>
            </w:r>
            <w:r w:rsidRPr="0062582F">
              <w:br/>
              <w:t xml:space="preserve">technology </w:t>
            </w:r>
            <w:r w:rsidRPr="0062582F">
              <w:rPr>
                <w:vertAlign w:val="superscript"/>
              </w:rPr>
              <w:t>(ii)</w:t>
            </w:r>
          </w:p>
        </w:tc>
        <w:tc>
          <w:tcPr>
            <w:tcW w:w="2040"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pPr>
            <w:r w:rsidRPr="0062582F">
              <w:br/>
              <w:t>Departmental total</w:t>
            </w:r>
          </w:p>
        </w:tc>
      </w:tr>
      <w:tr w:rsidR="004843DB" w:rsidRPr="0062582F" w:rsidTr="004843DB">
        <w:trPr>
          <w:cantSplit/>
        </w:trPr>
        <w:tc>
          <w:tcPr>
            <w:tcW w:w="1020" w:type="dxa"/>
            <w:tcBorders>
              <w:top w:val="nil"/>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1020" w:type="dxa"/>
            <w:tcBorders>
              <w:top w:val="nil"/>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1020" w:type="dxa"/>
            <w:tcBorders>
              <w:top w:val="nil"/>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1020" w:type="dxa"/>
            <w:tcBorders>
              <w:top w:val="nil"/>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3 550</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3 487</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546</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1 137</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1 137</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12 019</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10 869</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3 003</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2 318</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3 517</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2 725</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11 615</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11 469</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222</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301</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2 330</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2 996</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162</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3 585</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5 087</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5 176</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4 982</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5 176</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4 982</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6 213</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5 988</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6 213</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5 988</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02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6 775</w:t>
            </w:r>
          </w:p>
        </w:tc>
        <w:tc>
          <w:tcPr>
            <w:tcW w:w="10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6 106</w:t>
            </w:r>
          </w:p>
        </w:tc>
        <w:tc>
          <w:tcPr>
            <w:tcW w:w="102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14 265</w:t>
            </w:r>
          </w:p>
        </w:tc>
        <w:tc>
          <w:tcPr>
            <w:tcW w:w="10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18 620</w:t>
            </w:r>
          </w:p>
        </w:tc>
        <w:tc>
          <w:tcPr>
            <w:tcW w:w="102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4 024</w:t>
            </w:r>
          </w:p>
        </w:tc>
        <w:tc>
          <w:tcPr>
            <w:tcW w:w="10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020" w:type="dxa"/>
            <w:tcBorders>
              <w:top w:val="single" w:sz="4" w:space="0" w:color="auto"/>
              <w:left w:val="nil"/>
              <w:bottom w:val="nil"/>
              <w:right w:val="nil"/>
            </w:tcBorders>
            <w:shd w:val="clear" w:color="000000" w:fill="CCCCCC"/>
            <w:noWrap/>
            <w:hideMark/>
          </w:tcPr>
          <w:p w:rsidR="004843DB" w:rsidRPr="0062582F" w:rsidRDefault="004843DB" w:rsidP="004843DB">
            <w:pPr>
              <w:pStyle w:val="TableofFigures"/>
              <w:rPr>
                <w:b/>
              </w:rPr>
            </w:pPr>
            <w:r w:rsidRPr="0062582F">
              <w:rPr>
                <w:b/>
              </w:rPr>
              <w:t>38 608</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38 395</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single" w:sz="4"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(3 550)</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(2 987)</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(546)</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(1 637)</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(1 137)</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(12 019)</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(10 869)</w:t>
            </w:r>
          </w:p>
        </w:tc>
      </w:tr>
      <w:tr w:rsidR="004843DB" w:rsidRPr="0062582F" w:rsidTr="004843DB">
        <w:trPr>
          <w:cantSplit/>
        </w:trPr>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(3 225)</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(2 619)</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(13 719)</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(17 483)</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(2 887)</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(26 589)</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(27 526)</w:t>
            </w:r>
          </w:p>
        </w:tc>
      </w:tr>
      <w:tr w:rsidR="004843DB" w:rsidRPr="0062582F" w:rsidTr="004843DB">
        <w:trPr>
          <w:cantSplit/>
        </w:trPr>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(6 775)</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(5 606)</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(14 265)</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(19 120)</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(4 024)</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(38 608)</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(38 395)</w:t>
            </w:r>
          </w:p>
        </w:tc>
      </w:tr>
      <w:tr w:rsidR="004843DB" w:rsidRPr="0062582F" w:rsidTr="004843DB">
        <w:trPr>
          <w:cantSplit/>
        </w:trPr>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500</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(500)</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253</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(156)</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 xml:space="preserve"> 225</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88</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225</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88</w:t>
            </w:r>
          </w:p>
        </w:tc>
      </w:tr>
      <w:tr w:rsidR="004843DB" w:rsidRPr="0062582F" w:rsidTr="004843DB">
        <w:trPr>
          <w:cantSplit/>
        </w:trPr>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 xml:space="preserve"> 225</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88</w:t>
            </w:r>
          </w:p>
        </w:tc>
        <w:tc>
          <w:tcPr>
            <w:tcW w:w="102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 xml:space="preserve"> 478</w:t>
            </w:r>
          </w:p>
        </w:tc>
        <w:tc>
          <w:tcPr>
            <w:tcW w:w="10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(68)</w:t>
            </w:r>
          </w:p>
        </w:tc>
      </w:tr>
      <w:tr w:rsidR="004843DB" w:rsidRPr="0062582F" w:rsidTr="004843DB">
        <w:trPr>
          <w:cantSplit/>
        </w:trPr>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500</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(500)</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 xml:space="preserve"> 225</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88</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 xml:space="preserve"> 478</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(68)</w:t>
            </w: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020" w:type="dxa"/>
            <w:tcBorders>
              <w:top w:val="nil"/>
              <w:left w:val="nil"/>
              <w:bottom w:val="nil"/>
              <w:right w:val="nil"/>
            </w:tcBorders>
            <w:shd w:val="clear" w:color="000000" w:fill="CCCCCC"/>
            <w:noWrap/>
          </w:tcPr>
          <w:p w:rsidR="004843DB" w:rsidRPr="0062582F" w:rsidRDefault="004843DB" w:rsidP="004843DB">
            <w:pPr>
              <w:pStyle w:val="TableofFigures"/>
            </w:pP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p>
        </w:tc>
        <w:tc>
          <w:tcPr>
            <w:tcW w:w="1020" w:type="dxa"/>
            <w:tcBorders>
              <w:top w:val="nil"/>
              <w:left w:val="nil"/>
              <w:bottom w:val="nil"/>
              <w:right w:val="nil"/>
            </w:tcBorders>
            <w:shd w:val="clear" w:color="000000" w:fill="CCCCCC"/>
            <w:noWrap/>
          </w:tcPr>
          <w:p w:rsidR="004843DB" w:rsidRPr="0062582F" w:rsidRDefault="004843DB" w:rsidP="004843DB">
            <w:pPr>
              <w:pStyle w:val="TableofFigures"/>
            </w:pP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p>
        </w:tc>
        <w:tc>
          <w:tcPr>
            <w:tcW w:w="1020" w:type="dxa"/>
            <w:tcBorders>
              <w:top w:val="nil"/>
              <w:left w:val="nil"/>
              <w:bottom w:val="nil"/>
              <w:right w:val="nil"/>
            </w:tcBorders>
            <w:shd w:val="clear" w:color="000000" w:fill="CCCCCC"/>
            <w:noWrap/>
          </w:tcPr>
          <w:p w:rsidR="004843DB" w:rsidRPr="0062582F" w:rsidRDefault="004843DB" w:rsidP="004843DB">
            <w:pPr>
              <w:pStyle w:val="TableofFigures"/>
            </w:pP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p>
        </w:tc>
        <w:tc>
          <w:tcPr>
            <w:tcW w:w="1020" w:type="dxa"/>
            <w:tcBorders>
              <w:top w:val="nil"/>
              <w:left w:val="nil"/>
              <w:bottom w:val="nil"/>
              <w:right w:val="nil"/>
            </w:tcBorders>
            <w:shd w:val="clear" w:color="000000" w:fill="CCCCCC"/>
            <w:noWrap/>
          </w:tcPr>
          <w:p w:rsidR="004843DB" w:rsidRPr="0062582F" w:rsidRDefault="004843DB" w:rsidP="004843DB">
            <w:pPr>
              <w:pStyle w:val="TableofFigures"/>
            </w:pP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p>
        </w:tc>
      </w:tr>
      <w:tr w:rsidR="004843DB" w:rsidRPr="0062582F" w:rsidTr="004843DB">
        <w:trPr>
          <w:cantSplit/>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201</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243</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597</w:t>
            </w:r>
          </w:p>
        </w:tc>
      </w:tr>
      <w:tr w:rsidR="004843DB" w:rsidRPr="0062582F" w:rsidTr="004843DB">
        <w:trPr>
          <w:cantSplit/>
        </w:trPr>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201</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243</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597</w:t>
            </w:r>
          </w:p>
        </w:tc>
      </w:tr>
      <w:tr w:rsidR="004843DB" w:rsidRPr="0062582F" w:rsidTr="004843DB">
        <w:trPr>
          <w:cantSplit/>
        </w:trPr>
        <w:tc>
          <w:tcPr>
            <w:tcW w:w="1020"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701</w:t>
            </w:r>
          </w:p>
        </w:tc>
        <w:tc>
          <w:tcPr>
            <w:tcW w:w="1020"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102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(257)</w:t>
            </w:r>
          </w:p>
        </w:tc>
        <w:tc>
          <w:tcPr>
            <w:tcW w:w="1020"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 xml:space="preserve"> 225</w:t>
            </w:r>
          </w:p>
        </w:tc>
        <w:tc>
          <w:tcPr>
            <w:tcW w:w="102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88</w:t>
            </w:r>
          </w:p>
        </w:tc>
        <w:tc>
          <w:tcPr>
            <w:tcW w:w="1020"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 xml:space="preserve"> 478</w:t>
            </w:r>
          </w:p>
        </w:tc>
        <w:tc>
          <w:tcPr>
            <w:tcW w:w="102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529</w:t>
            </w:r>
          </w:p>
        </w:tc>
      </w:tr>
    </w:tbl>
    <w:p w:rsidR="004843DB" w:rsidRPr="0062582F" w:rsidRDefault="004843DB" w:rsidP="004843DB"/>
    <w:p w:rsidR="004843DB" w:rsidRPr="0062582F" w:rsidRDefault="004843DB" w:rsidP="004843DB"/>
    <w:p w:rsidR="004843DB" w:rsidRPr="0062582F" w:rsidRDefault="004843DB" w:rsidP="004843DB">
      <w:pPr>
        <w:pStyle w:val="million"/>
        <w:rPr>
          <w:rFonts w:ascii="Garamond" w:hAnsi="Garamond" w:cs="Times New Roman"/>
        </w:rPr>
        <w:sectPr w:rsidR="004843DB" w:rsidRPr="0062582F" w:rsidSect="00190A01">
          <w:headerReference w:type="even" r:id="rId233"/>
          <w:headerReference w:type="default" r:id="rId234"/>
          <w:headerReference w:type="first" r:id="rId235"/>
          <w:pgSz w:w="11906" w:h="16838" w:code="9"/>
          <w:pgMar w:top="1152" w:right="864" w:bottom="1152" w:left="864" w:header="432" w:footer="432" w:gutter="0"/>
          <w:cols w:space="360"/>
        </w:sectPr>
      </w:pPr>
    </w:p>
    <w:p w:rsidR="004843DB" w:rsidRPr="0062582F" w:rsidRDefault="004843DB" w:rsidP="004843DB">
      <w:pPr>
        <w:pStyle w:val="NoteHeadingcontinued"/>
        <w:rPr>
          <w:i/>
        </w:rPr>
      </w:pPr>
      <w:r w:rsidRPr="0062582F">
        <w:lastRenderedPageBreak/>
        <w:br w:type="column"/>
      </w:r>
      <w:bookmarkStart w:id="349" w:name="_Toc285703684"/>
      <w:r w:rsidRPr="0062582F">
        <w:lastRenderedPageBreak/>
        <w:t xml:space="preserve">Note 3. </w:t>
      </w:r>
      <w:r w:rsidRPr="0062582F">
        <w:tab/>
        <w:t>Administered (non</w:t>
      </w:r>
      <w:r w:rsidR="005A4BB0">
        <w:noBreakHyphen/>
      </w:r>
      <w:r w:rsidRPr="0062582F">
        <w:t>controlled) items</w:t>
      </w:r>
      <w:bookmarkEnd w:id="349"/>
      <w:r w:rsidRPr="0062582F">
        <w:t xml:space="preserve"> </w:t>
      </w:r>
      <w:r w:rsidRPr="0062582F">
        <w:rPr>
          <w:i/>
        </w:rPr>
        <w:t>(continued)</w:t>
      </w:r>
    </w:p>
    <w:p w:rsidR="004843DB" w:rsidRPr="0062582F" w:rsidRDefault="004843DB" w:rsidP="004843DB">
      <w:pPr>
        <w:pStyle w:val="million"/>
        <w:sectPr w:rsidR="004843DB" w:rsidRPr="0062582F" w:rsidSect="00190A01">
          <w:headerReference w:type="even" r:id="rId236"/>
          <w:headerReference w:type="default" r:id="rId237"/>
          <w:headerReference w:type="first" r:id="rId238"/>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120"/>
      </w:pPr>
    </w:p>
    <w:p w:rsidR="004843DB" w:rsidRPr="0062582F" w:rsidRDefault="004843DB" w:rsidP="004843DB">
      <w:pPr>
        <w:pStyle w:val="Reference"/>
        <w:spacing w:before="60"/>
      </w:pPr>
      <w:r w:rsidRPr="0062582F">
        <w:t>FRD 9A</w:t>
      </w:r>
      <w:r w:rsidRPr="0062582F">
        <w:br/>
        <w:t>AASB 1050.7(c)</w:t>
      </w:r>
    </w:p>
    <w:p w:rsidR="004843DB" w:rsidRPr="0062582F" w:rsidRDefault="004843DB" w:rsidP="004843DB">
      <w:pPr>
        <w:pStyle w:val="SmallLine"/>
      </w:pPr>
    </w:p>
    <w:p w:rsidR="004843DB" w:rsidRPr="0062582F" w:rsidRDefault="004843DB" w:rsidP="004843DB">
      <w:pPr>
        <w:pStyle w:val="Reference"/>
        <w:spacing w:before="120"/>
      </w:pPr>
    </w:p>
    <w:p w:rsidR="004843DB" w:rsidRPr="0062582F" w:rsidRDefault="004843DB" w:rsidP="004843DB">
      <w:pPr>
        <w:pStyle w:val="Reference"/>
        <w:spacing w:before="120"/>
      </w:pPr>
    </w:p>
    <w:p w:rsidR="004843DB" w:rsidRPr="0062582F" w:rsidRDefault="004843DB" w:rsidP="004843DB">
      <w:pPr>
        <w:pStyle w:val="Reference"/>
        <w:spacing w:before="0"/>
      </w:pPr>
      <w:r w:rsidRPr="0062582F">
        <w:t>FRD 9A</w:t>
      </w:r>
      <w:r w:rsidRPr="0062582F">
        <w:br/>
        <w:t>AASB 1050.7(d)</w:t>
      </w:r>
    </w:p>
    <w:p w:rsidR="004843DB" w:rsidRPr="0062582F" w:rsidRDefault="004843DB" w:rsidP="004843DB">
      <w:pPr>
        <w:pStyle w:val="million"/>
        <w:rPr>
          <w:rFonts w:ascii="Tahoma" w:hAnsi="Tahoma" w:cs="Tahoma"/>
          <w:sz w:val="20"/>
        </w:rPr>
      </w:pPr>
      <w:r w:rsidRPr="0062582F">
        <w:br w:type="column"/>
      </w:r>
      <w:r w:rsidRPr="0062582F">
        <w:lastRenderedPageBreak/>
        <w:t>($ thousand)</w:t>
      </w:r>
    </w:p>
    <w:tbl>
      <w:tblPr>
        <w:tblW w:w="8045" w:type="dxa"/>
        <w:tblInd w:w="17" w:type="dxa"/>
        <w:tblCellMar>
          <w:left w:w="17" w:type="dxa"/>
          <w:right w:w="17" w:type="dxa"/>
        </w:tblCellMar>
        <w:tblLook w:val="04A0" w:firstRow="1" w:lastRow="0" w:firstColumn="1" w:lastColumn="0" w:noHBand="0" w:noVBand="1"/>
      </w:tblPr>
      <w:tblGrid>
        <w:gridCol w:w="6209"/>
        <w:gridCol w:w="918"/>
        <w:gridCol w:w="918"/>
      </w:tblGrid>
      <w:tr w:rsidR="004843DB" w:rsidRPr="0062582F" w:rsidTr="004843DB">
        <w:trPr>
          <w:trHeight w:val="260"/>
        </w:trPr>
        <w:tc>
          <w:tcPr>
            <w:tcW w:w="6209" w:type="dxa"/>
            <w:tcBorders>
              <w:top w:val="single" w:sz="6"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836" w:type="dxa"/>
            <w:gridSpan w:val="2"/>
            <w:tcBorders>
              <w:top w:val="single" w:sz="6" w:space="0" w:color="auto"/>
              <w:left w:val="nil"/>
              <w:bottom w:val="single" w:sz="4" w:space="0" w:color="auto"/>
              <w:right w:val="nil"/>
            </w:tcBorders>
            <w:shd w:val="clear" w:color="00FFFF" w:fill="auto"/>
            <w:noWrap/>
          </w:tcPr>
          <w:p w:rsidR="004843DB" w:rsidRPr="0062582F" w:rsidRDefault="004843DB" w:rsidP="004843DB">
            <w:pPr>
              <w:pStyle w:val="TabletextheadingCentred"/>
            </w:pPr>
            <w:r w:rsidRPr="0062582F">
              <w:t xml:space="preserve">Strategic policy </w:t>
            </w:r>
            <w:r w:rsidRPr="0062582F">
              <w:br/>
              <w:t>advice</w:t>
            </w:r>
          </w:p>
        </w:tc>
      </w:tr>
      <w:tr w:rsidR="004843DB" w:rsidRPr="0062582F" w:rsidTr="004843DB">
        <w:trPr>
          <w:trHeight w:val="260"/>
        </w:trPr>
        <w:tc>
          <w:tcPr>
            <w:tcW w:w="6209" w:type="dxa"/>
            <w:tcBorders>
              <w:top w:val="nil"/>
              <w:left w:val="nil"/>
              <w:bottom w:val="single" w:sz="4" w:space="0" w:color="auto"/>
              <w:right w:val="nil"/>
            </w:tcBorders>
            <w:shd w:val="clear" w:color="auto" w:fill="auto"/>
          </w:tcPr>
          <w:p w:rsidR="004843DB" w:rsidRPr="0062582F" w:rsidRDefault="004843DB" w:rsidP="004843DB">
            <w:pPr>
              <w:pStyle w:val="Tabletext"/>
            </w:pPr>
          </w:p>
        </w:tc>
        <w:tc>
          <w:tcPr>
            <w:tcW w:w="918" w:type="dxa"/>
            <w:tcBorders>
              <w:top w:val="nil"/>
              <w:left w:val="nil"/>
              <w:bottom w:val="single" w:sz="4" w:space="0" w:color="auto"/>
              <w:right w:val="nil"/>
            </w:tcBorders>
            <w:shd w:val="clear" w:color="auto" w:fill="BFBFBF"/>
            <w:noWrap/>
          </w:tcPr>
          <w:p w:rsidR="004843DB" w:rsidRPr="0062582F" w:rsidRDefault="004843DB" w:rsidP="004843DB">
            <w:pPr>
              <w:pStyle w:val="Tabletextheading"/>
            </w:pPr>
            <w:r w:rsidRPr="0062582F">
              <w:t>2016</w:t>
            </w:r>
          </w:p>
        </w:tc>
        <w:tc>
          <w:tcPr>
            <w:tcW w:w="918" w:type="dxa"/>
            <w:tcBorders>
              <w:top w:val="nil"/>
              <w:left w:val="nil"/>
              <w:bottom w:val="single" w:sz="4" w:space="0" w:color="auto"/>
              <w:right w:val="nil"/>
            </w:tcBorders>
            <w:shd w:val="clear" w:color="auto" w:fill="auto"/>
            <w:noWrap/>
          </w:tcPr>
          <w:p w:rsidR="004843DB" w:rsidRPr="0062582F" w:rsidRDefault="004843DB" w:rsidP="004843DB">
            <w:pPr>
              <w:pStyle w:val="Tabletextheading"/>
            </w:pPr>
            <w:r w:rsidRPr="0062582F">
              <w:t>2015</w:t>
            </w:r>
          </w:p>
        </w:tc>
      </w:tr>
      <w:tr w:rsidR="004843DB" w:rsidRPr="0062582F" w:rsidTr="004843DB">
        <w:trPr>
          <w:trHeight w:val="260"/>
        </w:trPr>
        <w:tc>
          <w:tcPr>
            <w:tcW w:w="6209" w:type="dxa"/>
            <w:tcBorders>
              <w:top w:val="nil"/>
              <w:left w:val="nil"/>
              <w:bottom w:val="nil"/>
              <w:right w:val="nil"/>
            </w:tcBorders>
            <w:shd w:val="clear" w:color="auto" w:fill="auto"/>
            <w:noWrap/>
            <w:hideMark/>
          </w:tcPr>
          <w:p w:rsidR="004843DB" w:rsidRPr="0062582F" w:rsidRDefault="004843DB" w:rsidP="004843DB">
            <w:pPr>
              <w:pStyle w:val="Tabletext"/>
              <w:rPr>
                <w:b/>
              </w:rPr>
            </w:pPr>
            <w:r w:rsidRPr="0062582F">
              <w:rPr>
                <w:b/>
              </w:rPr>
              <w:t>Administered financial assets</w:t>
            </w:r>
          </w:p>
        </w:tc>
        <w:tc>
          <w:tcPr>
            <w:tcW w:w="918" w:type="dxa"/>
            <w:tcBorders>
              <w:top w:val="nil"/>
              <w:left w:val="nil"/>
              <w:bottom w:val="nil"/>
              <w:right w:val="nil"/>
            </w:tcBorders>
            <w:shd w:val="clear" w:color="auto" w:fill="BFBFBF"/>
            <w:noWrap/>
            <w:hideMark/>
          </w:tcPr>
          <w:p w:rsidR="004843DB" w:rsidRPr="0062582F" w:rsidRDefault="004843DB" w:rsidP="004843DB">
            <w:pPr>
              <w:pStyle w:val="TableofFigures"/>
              <w:rPr>
                <w:b/>
              </w:rPr>
            </w:pPr>
            <w:r w:rsidRPr="0062582F">
              <w:rPr>
                <w:b/>
              </w:rPr>
              <w:t xml:space="preserve"> </w:t>
            </w:r>
          </w:p>
        </w:tc>
        <w:tc>
          <w:tcPr>
            <w:tcW w:w="918"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val="260"/>
        </w:trPr>
        <w:tc>
          <w:tcPr>
            <w:tcW w:w="6209" w:type="dxa"/>
            <w:tcBorders>
              <w:top w:val="nil"/>
              <w:left w:val="nil"/>
              <w:bottom w:val="nil"/>
              <w:right w:val="nil"/>
            </w:tcBorders>
            <w:shd w:val="clear" w:color="auto" w:fill="auto"/>
            <w:noWrap/>
            <w:hideMark/>
          </w:tcPr>
          <w:p w:rsidR="004843DB" w:rsidRPr="0062582F" w:rsidRDefault="004843DB" w:rsidP="004843DB">
            <w:pPr>
              <w:pStyle w:val="Tabletext"/>
            </w:pPr>
            <w:r w:rsidRPr="0062582F">
              <w:t>Receivables</w:t>
            </w:r>
          </w:p>
        </w:tc>
        <w:tc>
          <w:tcPr>
            <w:tcW w:w="918"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 xml:space="preserve"> 443</w:t>
            </w:r>
          </w:p>
        </w:tc>
        <w:tc>
          <w:tcPr>
            <w:tcW w:w="91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746</w:t>
            </w:r>
          </w:p>
        </w:tc>
      </w:tr>
      <w:tr w:rsidR="004843DB" w:rsidRPr="0062582F" w:rsidTr="004843DB">
        <w:trPr>
          <w:trHeight w:val="260"/>
        </w:trPr>
        <w:tc>
          <w:tcPr>
            <w:tcW w:w="6209" w:type="dxa"/>
            <w:tcBorders>
              <w:top w:val="nil"/>
              <w:left w:val="nil"/>
              <w:bottom w:val="nil"/>
              <w:right w:val="nil"/>
            </w:tcBorders>
            <w:shd w:val="clear" w:color="auto" w:fill="auto"/>
            <w:noWrap/>
            <w:hideMark/>
          </w:tcPr>
          <w:p w:rsidR="004843DB" w:rsidRPr="0062582F" w:rsidRDefault="004843DB" w:rsidP="004843DB">
            <w:pPr>
              <w:pStyle w:val="Tabletext"/>
            </w:pPr>
            <w:r w:rsidRPr="0062582F">
              <w:t>Investments</w:t>
            </w:r>
          </w:p>
        </w:tc>
        <w:tc>
          <w:tcPr>
            <w:tcW w:w="918"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5 897</w:t>
            </w:r>
          </w:p>
        </w:tc>
        <w:tc>
          <w:tcPr>
            <w:tcW w:w="91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4 378</w:t>
            </w:r>
          </w:p>
        </w:tc>
      </w:tr>
      <w:tr w:rsidR="004843DB" w:rsidRPr="0062582F" w:rsidTr="004843DB">
        <w:trPr>
          <w:trHeight w:val="260"/>
        </w:trPr>
        <w:tc>
          <w:tcPr>
            <w:tcW w:w="6209"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rPr>
                <w:b/>
              </w:rPr>
            </w:pPr>
            <w:r w:rsidRPr="0062582F">
              <w:rPr>
                <w:b/>
              </w:rPr>
              <w:t>Total administered financial assets</w:t>
            </w:r>
          </w:p>
        </w:tc>
        <w:tc>
          <w:tcPr>
            <w:tcW w:w="918" w:type="dxa"/>
            <w:tcBorders>
              <w:top w:val="single" w:sz="4" w:space="0" w:color="auto"/>
              <w:left w:val="nil"/>
              <w:bottom w:val="single" w:sz="4" w:space="0" w:color="auto"/>
              <w:right w:val="nil"/>
            </w:tcBorders>
            <w:shd w:val="clear" w:color="auto" w:fill="BFBFBF"/>
            <w:noWrap/>
            <w:hideMark/>
          </w:tcPr>
          <w:p w:rsidR="004843DB" w:rsidRPr="0062582F" w:rsidRDefault="004843DB" w:rsidP="004843DB">
            <w:pPr>
              <w:pStyle w:val="TableofFigures"/>
              <w:rPr>
                <w:b/>
              </w:rPr>
            </w:pPr>
            <w:r w:rsidRPr="0062582F">
              <w:rPr>
                <w:b/>
              </w:rPr>
              <w:t>6 340</w:t>
            </w:r>
          </w:p>
        </w:tc>
        <w:tc>
          <w:tcPr>
            <w:tcW w:w="91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5 124</w:t>
            </w:r>
          </w:p>
        </w:tc>
      </w:tr>
      <w:tr w:rsidR="004843DB" w:rsidRPr="0062582F" w:rsidTr="004843DB">
        <w:trPr>
          <w:trHeight w:val="260"/>
        </w:trPr>
        <w:tc>
          <w:tcPr>
            <w:tcW w:w="6209" w:type="dxa"/>
            <w:tcBorders>
              <w:top w:val="nil"/>
              <w:left w:val="nil"/>
              <w:bottom w:val="nil"/>
              <w:right w:val="nil"/>
            </w:tcBorders>
            <w:shd w:val="clear" w:color="auto" w:fill="auto"/>
            <w:noWrap/>
            <w:hideMark/>
          </w:tcPr>
          <w:p w:rsidR="004843DB" w:rsidRPr="0062582F" w:rsidRDefault="004843DB" w:rsidP="004843DB">
            <w:pPr>
              <w:pStyle w:val="Tabletext"/>
              <w:rPr>
                <w:b/>
              </w:rPr>
            </w:pPr>
            <w:r w:rsidRPr="0062582F">
              <w:rPr>
                <w:b/>
              </w:rPr>
              <w:t>Administered non</w:t>
            </w:r>
            <w:r w:rsidR="005A4BB0">
              <w:rPr>
                <w:b/>
              </w:rPr>
              <w:noBreakHyphen/>
            </w:r>
            <w:r w:rsidRPr="0062582F">
              <w:rPr>
                <w:b/>
              </w:rPr>
              <w:t xml:space="preserve">financial assets </w:t>
            </w:r>
            <w:r w:rsidRPr="0062582F">
              <w:rPr>
                <w:b/>
                <w:iCs/>
                <w:szCs w:val="20"/>
                <w:vertAlign w:val="superscript"/>
              </w:rPr>
              <w:t>(iii)</w:t>
            </w:r>
          </w:p>
        </w:tc>
        <w:tc>
          <w:tcPr>
            <w:tcW w:w="918" w:type="dxa"/>
            <w:tcBorders>
              <w:top w:val="nil"/>
              <w:left w:val="nil"/>
              <w:bottom w:val="nil"/>
              <w:right w:val="nil"/>
            </w:tcBorders>
            <w:shd w:val="clear" w:color="auto" w:fill="BFBFBF"/>
            <w:noWrap/>
            <w:hideMark/>
          </w:tcPr>
          <w:p w:rsidR="004843DB" w:rsidRPr="0062582F" w:rsidRDefault="004843DB" w:rsidP="004843DB">
            <w:pPr>
              <w:pStyle w:val="TableofFigures"/>
              <w:rPr>
                <w:b/>
              </w:rPr>
            </w:pPr>
            <w:r w:rsidRPr="0062582F">
              <w:rPr>
                <w:b/>
              </w:rPr>
              <w:t xml:space="preserve"> </w:t>
            </w:r>
          </w:p>
        </w:tc>
        <w:tc>
          <w:tcPr>
            <w:tcW w:w="918"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val="260"/>
        </w:trPr>
        <w:tc>
          <w:tcPr>
            <w:tcW w:w="6209" w:type="dxa"/>
            <w:tcBorders>
              <w:top w:val="nil"/>
              <w:left w:val="nil"/>
              <w:bottom w:val="nil"/>
              <w:right w:val="nil"/>
            </w:tcBorders>
            <w:shd w:val="clear" w:color="auto" w:fill="auto"/>
            <w:noWrap/>
            <w:hideMark/>
          </w:tcPr>
          <w:p w:rsidR="004843DB" w:rsidRPr="0062582F" w:rsidRDefault="004843DB" w:rsidP="004843DB">
            <w:pPr>
              <w:pStyle w:val="Tabletext"/>
            </w:pPr>
            <w:r w:rsidRPr="0062582F">
              <w:t>Inventories</w:t>
            </w:r>
          </w:p>
        </w:tc>
        <w:tc>
          <w:tcPr>
            <w:tcW w:w="918"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w:t>
            </w:r>
          </w:p>
        </w:tc>
        <w:tc>
          <w:tcPr>
            <w:tcW w:w="91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60"/>
        </w:trPr>
        <w:tc>
          <w:tcPr>
            <w:tcW w:w="6209" w:type="dxa"/>
            <w:tcBorders>
              <w:top w:val="nil"/>
              <w:left w:val="nil"/>
              <w:bottom w:val="nil"/>
              <w:right w:val="nil"/>
            </w:tcBorders>
            <w:shd w:val="clear" w:color="auto" w:fill="auto"/>
            <w:noWrap/>
            <w:hideMark/>
          </w:tcPr>
          <w:p w:rsidR="004843DB" w:rsidRPr="0062582F" w:rsidRDefault="004843DB" w:rsidP="004843DB">
            <w:pPr>
              <w:pStyle w:val="Tabletext"/>
            </w:pPr>
            <w:r w:rsidRPr="0062582F">
              <w:t>Prepayments</w:t>
            </w:r>
          </w:p>
        </w:tc>
        <w:tc>
          <w:tcPr>
            <w:tcW w:w="918"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 xml:space="preserve"> 578</w:t>
            </w:r>
          </w:p>
        </w:tc>
        <w:tc>
          <w:tcPr>
            <w:tcW w:w="91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872</w:t>
            </w:r>
          </w:p>
        </w:tc>
      </w:tr>
      <w:tr w:rsidR="004843DB" w:rsidRPr="0062582F" w:rsidTr="004843DB">
        <w:trPr>
          <w:trHeight w:val="260"/>
        </w:trPr>
        <w:tc>
          <w:tcPr>
            <w:tcW w:w="6209"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rPr>
                <w:b/>
              </w:rPr>
            </w:pPr>
            <w:r w:rsidRPr="0062582F">
              <w:rPr>
                <w:b/>
              </w:rPr>
              <w:t>Total administered non</w:t>
            </w:r>
            <w:r w:rsidR="005A4BB0">
              <w:rPr>
                <w:b/>
              </w:rPr>
              <w:noBreakHyphen/>
            </w:r>
            <w:r w:rsidRPr="0062582F">
              <w:rPr>
                <w:b/>
              </w:rPr>
              <w:t xml:space="preserve">financial assets </w:t>
            </w:r>
          </w:p>
        </w:tc>
        <w:tc>
          <w:tcPr>
            <w:tcW w:w="918" w:type="dxa"/>
            <w:tcBorders>
              <w:top w:val="single" w:sz="4" w:space="0" w:color="auto"/>
              <w:left w:val="nil"/>
              <w:bottom w:val="single" w:sz="4" w:space="0" w:color="auto"/>
              <w:right w:val="nil"/>
            </w:tcBorders>
            <w:shd w:val="clear" w:color="auto" w:fill="BFBFBF"/>
            <w:noWrap/>
            <w:hideMark/>
          </w:tcPr>
          <w:p w:rsidR="004843DB" w:rsidRPr="0062582F" w:rsidRDefault="004843DB" w:rsidP="004843DB">
            <w:pPr>
              <w:pStyle w:val="TableofFigures"/>
              <w:rPr>
                <w:b/>
              </w:rPr>
            </w:pPr>
            <w:r w:rsidRPr="0062582F">
              <w:rPr>
                <w:b/>
              </w:rPr>
              <w:t xml:space="preserve"> 578</w:t>
            </w:r>
          </w:p>
        </w:tc>
        <w:tc>
          <w:tcPr>
            <w:tcW w:w="91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872</w:t>
            </w:r>
          </w:p>
        </w:tc>
      </w:tr>
      <w:tr w:rsidR="004843DB" w:rsidRPr="0062582F" w:rsidTr="004843DB">
        <w:trPr>
          <w:trHeight w:val="260"/>
        </w:trPr>
        <w:tc>
          <w:tcPr>
            <w:tcW w:w="6209" w:type="dxa"/>
            <w:tcBorders>
              <w:top w:val="nil"/>
              <w:left w:val="nil"/>
              <w:bottom w:val="single" w:sz="4" w:space="0" w:color="auto"/>
              <w:right w:val="nil"/>
            </w:tcBorders>
            <w:shd w:val="clear" w:color="auto" w:fill="auto"/>
            <w:noWrap/>
            <w:hideMark/>
          </w:tcPr>
          <w:p w:rsidR="004843DB" w:rsidRPr="0062582F" w:rsidRDefault="004843DB" w:rsidP="004843DB">
            <w:pPr>
              <w:pStyle w:val="Tabletext"/>
              <w:rPr>
                <w:b/>
              </w:rPr>
            </w:pPr>
            <w:r w:rsidRPr="0062582F">
              <w:rPr>
                <w:b/>
              </w:rPr>
              <w:t>Total administered assets</w:t>
            </w:r>
          </w:p>
        </w:tc>
        <w:tc>
          <w:tcPr>
            <w:tcW w:w="918" w:type="dxa"/>
            <w:tcBorders>
              <w:top w:val="nil"/>
              <w:left w:val="nil"/>
              <w:bottom w:val="single" w:sz="4" w:space="0" w:color="auto"/>
              <w:right w:val="nil"/>
            </w:tcBorders>
            <w:shd w:val="clear" w:color="auto" w:fill="BFBFBF"/>
            <w:noWrap/>
            <w:hideMark/>
          </w:tcPr>
          <w:p w:rsidR="004843DB" w:rsidRPr="0062582F" w:rsidRDefault="004843DB" w:rsidP="004843DB">
            <w:pPr>
              <w:pStyle w:val="TableofFigures"/>
              <w:rPr>
                <w:b/>
              </w:rPr>
            </w:pPr>
            <w:r w:rsidRPr="0062582F">
              <w:rPr>
                <w:b/>
              </w:rPr>
              <w:t>6 918</w:t>
            </w:r>
          </w:p>
        </w:tc>
        <w:tc>
          <w:tcPr>
            <w:tcW w:w="918"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5 996</w:t>
            </w:r>
          </w:p>
        </w:tc>
      </w:tr>
      <w:tr w:rsidR="004843DB" w:rsidRPr="0062582F" w:rsidTr="004843DB">
        <w:trPr>
          <w:trHeight w:val="260"/>
        </w:trPr>
        <w:tc>
          <w:tcPr>
            <w:tcW w:w="6209" w:type="dxa"/>
            <w:tcBorders>
              <w:top w:val="nil"/>
              <w:left w:val="nil"/>
              <w:bottom w:val="nil"/>
              <w:right w:val="nil"/>
            </w:tcBorders>
            <w:shd w:val="clear" w:color="auto" w:fill="auto"/>
            <w:noWrap/>
            <w:hideMark/>
          </w:tcPr>
          <w:p w:rsidR="004843DB" w:rsidRPr="0062582F" w:rsidRDefault="004843DB" w:rsidP="004843DB">
            <w:pPr>
              <w:pStyle w:val="Tabletext"/>
              <w:rPr>
                <w:b/>
              </w:rPr>
            </w:pPr>
            <w:r w:rsidRPr="0062582F">
              <w:rPr>
                <w:b/>
              </w:rPr>
              <w:t xml:space="preserve">Administered liabilities </w:t>
            </w:r>
            <w:r w:rsidRPr="0062582F">
              <w:rPr>
                <w:b/>
                <w:iCs/>
                <w:szCs w:val="20"/>
                <w:vertAlign w:val="superscript"/>
              </w:rPr>
              <w:t>(iv)</w:t>
            </w:r>
          </w:p>
        </w:tc>
        <w:tc>
          <w:tcPr>
            <w:tcW w:w="918" w:type="dxa"/>
            <w:tcBorders>
              <w:top w:val="nil"/>
              <w:left w:val="nil"/>
              <w:bottom w:val="nil"/>
              <w:right w:val="nil"/>
            </w:tcBorders>
            <w:shd w:val="clear" w:color="auto" w:fill="BFBFBF"/>
            <w:noWrap/>
            <w:hideMark/>
          </w:tcPr>
          <w:p w:rsidR="004843DB" w:rsidRPr="0062582F" w:rsidRDefault="004843DB" w:rsidP="004843DB">
            <w:pPr>
              <w:pStyle w:val="TableofFigures"/>
              <w:rPr>
                <w:b/>
              </w:rPr>
            </w:pPr>
            <w:r w:rsidRPr="0062582F">
              <w:rPr>
                <w:b/>
              </w:rPr>
              <w:t xml:space="preserve"> </w:t>
            </w:r>
          </w:p>
        </w:tc>
        <w:tc>
          <w:tcPr>
            <w:tcW w:w="918"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val="260"/>
        </w:trPr>
        <w:tc>
          <w:tcPr>
            <w:tcW w:w="6209" w:type="dxa"/>
            <w:tcBorders>
              <w:top w:val="nil"/>
              <w:left w:val="nil"/>
              <w:bottom w:val="nil"/>
              <w:right w:val="nil"/>
            </w:tcBorders>
            <w:shd w:val="clear" w:color="auto" w:fill="auto"/>
            <w:noWrap/>
            <w:hideMark/>
          </w:tcPr>
          <w:p w:rsidR="004843DB" w:rsidRPr="0062582F" w:rsidRDefault="004843DB" w:rsidP="004843DB">
            <w:pPr>
              <w:pStyle w:val="Tabletext"/>
            </w:pPr>
            <w:r w:rsidRPr="0062582F">
              <w:t>Creditors and accruals</w:t>
            </w:r>
          </w:p>
        </w:tc>
        <w:tc>
          <w:tcPr>
            <w:tcW w:w="918"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1 364</w:t>
            </w:r>
          </w:p>
        </w:tc>
        <w:tc>
          <w:tcPr>
            <w:tcW w:w="91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1 093</w:t>
            </w:r>
          </w:p>
        </w:tc>
      </w:tr>
      <w:tr w:rsidR="004843DB" w:rsidRPr="0062582F" w:rsidTr="004843DB">
        <w:trPr>
          <w:trHeight w:val="260"/>
        </w:trPr>
        <w:tc>
          <w:tcPr>
            <w:tcW w:w="6209" w:type="dxa"/>
            <w:tcBorders>
              <w:top w:val="nil"/>
              <w:left w:val="nil"/>
              <w:bottom w:val="nil"/>
              <w:right w:val="nil"/>
            </w:tcBorders>
            <w:shd w:val="clear" w:color="auto" w:fill="auto"/>
            <w:noWrap/>
            <w:hideMark/>
          </w:tcPr>
          <w:p w:rsidR="004843DB" w:rsidRPr="0062582F" w:rsidRDefault="004843DB" w:rsidP="004843DB">
            <w:pPr>
              <w:pStyle w:val="Tabletext"/>
            </w:pPr>
            <w:r w:rsidRPr="0062582F">
              <w:t>Amounts owing to other departments</w:t>
            </w:r>
          </w:p>
        </w:tc>
        <w:tc>
          <w:tcPr>
            <w:tcW w:w="918"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w:t>
            </w:r>
          </w:p>
        </w:tc>
        <w:tc>
          <w:tcPr>
            <w:tcW w:w="91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60"/>
        </w:trPr>
        <w:tc>
          <w:tcPr>
            <w:tcW w:w="6209" w:type="dxa"/>
            <w:tcBorders>
              <w:top w:val="nil"/>
              <w:left w:val="nil"/>
              <w:bottom w:val="nil"/>
              <w:right w:val="nil"/>
            </w:tcBorders>
            <w:shd w:val="clear" w:color="auto" w:fill="auto"/>
            <w:noWrap/>
            <w:hideMark/>
          </w:tcPr>
          <w:p w:rsidR="004843DB" w:rsidRPr="0062582F" w:rsidRDefault="004843DB" w:rsidP="004843DB">
            <w:pPr>
              <w:pStyle w:val="Tabletext"/>
            </w:pPr>
            <w:r w:rsidRPr="0062582F">
              <w:t>Interest bearing liabilities</w:t>
            </w:r>
          </w:p>
        </w:tc>
        <w:tc>
          <w:tcPr>
            <w:tcW w:w="918" w:type="dxa"/>
            <w:tcBorders>
              <w:top w:val="nil"/>
              <w:left w:val="nil"/>
              <w:bottom w:val="nil"/>
              <w:right w:val="nil"/>
            </w:tcBorders>
            <w:shd w:val="clear" w:color="auto" w:fill="BFBFBF"/>
            <w:noWrap/>
            <w:hideMark/>
          </w:tcPr>
          <w:p w:rsidR="004843DB" w:rsidRPr="0062582F" w:rsidRDefault="004843DB" w:rsidP="004843DB">
            <w:pPr>
              <w:pStyle w:val="TableofFigures"/>
            </w:pPr>
            <w:r w:rsidRPr="0062582F">
              <w:t>2 015</w:t>
            </w:r>
          </w:p>
        </w:tc>
        <w:tc>
          <w:tcPr>
            <w:tcW w:w="91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2 227</w:t>
            </w:r>
          </w:p>
        </w:tc>
      </w:tr>
      <w:tr w:rsidR="004843DB" w:rsidRPr="0062582F" w:rsidTr="004843DB">
        <w:trPr>
          <w:trHeight w:val="260"/>
        </w:trPr>
        <w:tc>
          <w:tcPr>
            <w:tcW w:w="6209"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rPr>
                <w:b/>
              </w:rPr>
            </w:pPr>
            <w:r w:rsidRPr="0062582F">
              <w:rPr>
                <w:b/>
              </w:rPr>
              <w:t>Total administered liabilities</w:t>
            </w:r>
          </w:p>
        </w:tc>
        <w:tc>
          <w:tcPr>
            <w:tcW w:w="918" w:type="dxa"/>
            <w:tcBorders>
              <w:top w:val="single" w:sz="4" w:space="0" w:color="auto"/>
              <w:left w:val="nil"/>
              <w:bottom w:val="single" w:sz="4" w:space="0" w:color="auto"/>
              <w:right w:val="nil"/>
            </w:tcBorders>
            <w:shd w:val="clear" w:color="auto" w:fill="BFBFBF"/>
            <w:noWrap/>
            <w:hideMark/>
          </w:tcPr>
          <w:p w:rsidR="004843DB" w:rsidRPr="0062582F" w:rsidRDefault="004843DB" w:rsidP="004843DB">
            <w:pPr>
              <w:pStyle w:val="TableofFigures"/>
              <w:rPr>
                <w:b/>
              </w:rPr>
            </w:pPr>
            <w:r w:rsidRPr="0062582F">
              <w:rPr>
                <w:b/>
              </w:rPr>
              <w:t>3 379</w:t>
            </w:r>
          </w:p>
        </w:tc>
        <w:tc>
          <w:tcPr>
            <w:tcW w:w="91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3 320</w:t>
            </w:r>
          </w:p>
        </w:tc>
      </w:tr>
      <w:tr w:rsidR="004843DB" w:rsidRPr="0062582F" w:rsidTr="004843DB">
        <w:trPr>
          <w:trHeight w:val="260"/>
        </w:trPr>
        <w:tc>
          <w:tcPr>
            <w:tcW w:w="6209"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b/>
              </w:rPr>
            </w:pPr>
            <w:r w:rsidRPr="0062582F">
              <w:rPr>
                <w:b/>
              </w:rPr>
              <w:t>Total administered net assets</w:t>
            </w:r>
          </w:p>
        </w:tc>
        <w:tc>
          <w:tcPr>
            <w:tcW w:w="918" w:type="dxa"/>
            <w:tcBorders>
              <w:top w:val="single" w:sz="4" w:space="0" w:color="auto"/>
              <w:left w:val="nil"/>
              <w:bottom w:val="single" w:sz="12" w:space="0" w:color="auto"/>
              <w:right w:val="nil"/>
            </w:tcBorders>
            <w:shd w:val="clear" w:color="auto" w:fill="BFBFBF"/>
            <w:noWrap/>
            <w:hideMark/>
          </w:tcPr>
          <w:p w:rsidR="004843DB" w:rsidRPr="0062582F" w:rsidRDefault="004843DB" w:rsidP="004843DB">
            <w:pPr>
              <w:pStyle w:val="TableofFigures"/>
              <w:rPr>
                <w:b/>
              </w:rPr>
            </w:pPr>
            <w:r w:rsidRPr="0062582F">
              <w:rPr>
                <w:b/>
              </w:rPr>
              <w:t>3 539</w:t>
            </w:r>
          </w:p>
        </w:tc>
        <w:tc>
          <w:tcPr>
            <w:tcW w:w="918"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2 676</w:t>
            </w:r>
          </w:p>
        </w:tc>
      </w:tr>
    </w:tbl>
    <w:p w:rsidR="004843DB" w:rsidRPr="0062582F" w:rsidRDefault="004843DB" w:rsidP="004843DB">
      <w:pPr>
        <w:pStyle w:val="Notes"/>
        <w:ind w:left="518"/>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s"/>
      </w:pPr>
      <w:r w:rsidRPr="0062582F">
        <w:lastRenderedPageBreak/>
        <w:br w:type="column"/>
      </w:r>
      <w:r w:rsidRPr="0062582F">
        <w:lastRenderedPageBreak/>
        <w:t>Notes:</w:t>
      </w:r>
    </w:p>
    <w:p w:rsidR="004843DB" w:rsidRPr="0062582F" w:rsidRDefault="004843DB" w:rsidP="004843DB">
      <w:pPr>
        <w:pStyle w:val="Notes"/>
      </w:pPr>
      <w:r w:rsidRPr="0062582F">
        <w:t>(i)</w:t>
      </w:r>
      <w:r w:rsidRPr="0062582F">
        <w:tab/>
        <w:t>As a result of the administrative restructure, the administered assets and liabilities for the new technology administration output are now reported by the Department of Cabinet Administration. Accordingly, the administered income and expenses for the current financial year only reflect Department</w:t>
      </w:r>
      <w:r w:rsidR="005A4BB0">
        <w:t>’</w:t>
      </w:r>
      <w:r w:rsidRPr="0062582F">
        <w:t xml:space="preserve">s period of responsibility, which was 1 July 2015 to 31 August 2015. </w:t>
      </w:r>
    </w:p>
    <w:p w:rsidR="004843DB" w:rsidRPr="0062582F" w:rsidRDefault="004843DB" w:rsidP="004843DB">
      <w:pPr>
        <w:pStyle w:val="Notes"/>
      </w:pPr>
      <w:r w:rsidRPr="0062582F">
        <w:t>(ii)</w:t>
      </w:r>
      <w:r w:rsidRPr="0062582F">
        <w:tab/>
        <w:t xml:space="preserve">As a result of the administrative restructure, the figures for administered income and expenses for the R&amp;D biological technology only represents activities since 1 September 2015. Administered items for the prior year and the current year to 31 August 2015 are reported by Department of Natural Resources. </w:t>
      </w:r>
    </w:p>
    <w:p w:rsidR="004843DB" w:rsidRPr="0062582F" w:rsidRDefault="004843DB" w:rsidP="004843DB">
      <w:pPr>
        <w:pStyle w:val="Notes"/>
      </w:pPr>
      <w:r w:rsidRPr="0062582F">
        <w:t xml:space="preserve">(iii) </w:t>
      </w:r>
      <w:r w:rsidRPr="0062582F">
        <w:tab/>
        <w:t>The state</w:t>
      </w:r>
      <w:r w:rsidR="005A4BB0">
        <w:t>’</w:t>
      </w:r>
      <w:r w:rsidRPr="0062582F">
        <w:t>s investment in all its controlled entities is disclosed in the administered note of the Department of Treasury and Finance</w:t>
      </w:r>
      <w:r w:rsidR="005A4BB0">
        <w:t>’</w:t>
      </w:r>
      <w:r w:rsidRPr="0062582F">
        <w:t xml:space="preserve">s financial statements. This includes the investment in the Department of </w:t>
      </w:r>
      <w:r w:rsidRPr="0062582F">
        <w:rPr>
          <w:rStyle w:val="NormalBlueChar"/>
        </w:rPr>
        <w:t>[Technology</w:t>
      </w:r>
      <w:r w:rsidR="005A4BB0">
        <w:rPr>
          <w:rStyle w:val="NormalBlueChar"/>
        </w:rPr>
        <w:t>’</w:t>
      </w:r>
      <w:r w:rsidRPr="0062582F">
        <w:rPr>
          <w:rStyle w:val="NormalBlueChar"/>
        </w:rPr>
        <w:t>s]</w:t>
      </w:r>
      <w:r w:rsidRPr="0062582F">
        <w:rPr>
          <w:color w:val="6699FF"/>
        </w:rPr>
        <w:t xml:space="preserve"> </w:t>
      </w:r>
      <w:r w:rsidRPr="0062582F">
        <w:t>portfolio entities.</w:t>
      </w:r>
    </w:p>
    <w:p w:rsidR="004843DB" w:rsidRPr="0062582F" w:rsidRDefault="004843DB" w:rsidP="004843DB">
      <w:pPr>
        <w:pStyle w:val="Notes"/>
      </w:pPr>
      <w:r w:rsidRPr="0062582F">
        <w:t xml:space="preserve">(iv) </w:t>
      </w:r>
      <w:r w:rsidRPr="0062582F">
        <w:tab/>
        <w:t>DTF in its Annual Financial Statements, disclose on behalf of the State as the sponsoring employer, the net defined benefit cost related to the members of these plans as an administered liability. Refer to DTF</w:t>
      </w:r>
      <w:r w:rsidR="005A4BB0">
        <w:t>’</w:t>
      </w:r>
      <w:r w:rsidRPr="0062582F">
        <w:t>s Annual Financial Statements for more detailed disclosures in relation to these plans.</w:t>
      </w:r>
    </w:p>
    <w:p w:rsidR="004843DB" w:rsidRPr="0062582F" w:rsidRDefault="004843DB" w:rsidP="004843DB">
      <w:pPr>
        <w:pStyle w:val="Notes"/>
      </w:pPr>
    </w:p>
    <w:p w:rsidR="004843DB" w:rsidRPr="0062582F" w:rsidRDefault="004843DB" w:rsidP="004843DB"/>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747D28">
      <w:pPr>
        <w:pStyle w:val="NoteHeadingcontinued"/>
        <w:spacing w:before="240"/>
        <w:rPr>
          <w:rStyle w:val="Heading2Char"/>
        </w:rPr>
      </w:pPr>
    </w:p>
    <w:p w:rsidR="004843DB" w:rsidRPr="0062582F" w:rsidRDefault="004843DB" w:rsidP="004843DB">
      <w:pPr>
        <w:pStyle w:val="million"/>
      </w:pPr>
    </w:p>
    <w:tbl>
      <w:tblPr>
        <w:tblW w:w="8160" w:type="dxa"/>
        <w:tblInd w:w="108" w:type="dxa"/>
        <w:tblCellMar>
          <w:left w:w="17" w:type="dxa"/>
          <w:right w:w="17" w:type="dxa"/>
        </w:tblCellMar>
        <w:tblLook w:val="04A0" w:firstRow="1" w:lastRow="0" w:firstColumn="1" w:lastColumn="0" w:noHBand="0" w:noVBand="1"/>
      </w:tblPr>
      <w:tblGrid>
        <w:gridCol w:w="1020"/>
        <w:gridCol w:w="1020"/>
        <w:gridCol w:w="1020"/>
        <w:gridCol w:w="1020"/>
        <w:gridCol w:w="1020"/>
        <w:gridCol w:w="1020"/>
        <w:gridCol w:w="1020"/>
        <w:gridCol w:w="1020"/>
      </w:tblGrid>
      <w:tr w:rsidR="004843DB" w:rsidRPr="0062582F" w:rsidTr="004843DB">
        <w:trPr>
          <w:trHeight w:val="255"/>
        </w:trPr>
        <w:tc>
          <w:tcPr>
            <w:tcW w:w="2040" w:type="dxa"/>
            <w:gridSpan w:val="2"/>
            <w:tcBorders>
              <w:top w:val="single" w:sz="6" w:space="0" w:color="auto"/>
              <w:left w:val="nil"/>
              <w:bottom w:val="single" w:sz="4" w:space="0" w:color="auto"/>
              <w:right w:val="nil"/>
            </w:tcBorders>
            <w:shd w:val="clear" w:color="auto" w:fill="auto"/>
            <w:noWrap/>
          </w:tcPr>
          <w:p w:rsidR="004843DB" w:rsidRPr="0062582F" w:rsidRDefault="004843DB" w:rsidP="004843DB">
            <w:pPr>
              <w:pStyle w:val="TabletextheadingCentred"/>
            </w:pPr>
            <w:r w:rsidRPr="0062582F">
              <w:br/>
              <w:t>IT&amp;T services</w:t>
            </w:r>
          </w:p>
        </w:tc>
        <w:tc>
          <w:tcPr>
            <w:tcW w:w="2040" w:type="dxa"/>
            <w:gridSpan w:val="2"/>
            <w:tcBorders>
              <w:top w:val="single" w:sz="6" w:space="0" w:color="auto"/>
              <w:left w:val="nil"/>
              <w:bottom w:val="single" w:sz="4" w:space="0" w:color="auto"/>
              <w:right w:val="nil"/>
            </w:tcBorders>
            <w:shd w:val="clear" w:color="auto" w:fill="auto"/>
            <w:noWrap/>
          </w:tcPr>
          <w:p w:rsidR="004843DB" w:rsidRPr="0062582F" w:rsidRDefault="004843DB" w:rsidP="004843DB">
            <w:pPr>
              <w:pStyle w:val="TabletextheadingCentred"/>
              <w:rPr>
                <w:vertAlign w:val="superscript"/>
              </w:rPr>
            </w:pPr>
            <w:r w:rsidRPr="0062582F">
              <w:t xml:space="preserve">New technology administration </w:t>
            </w:r>
            <w:r w:rsidRPr="0062582F">
              <w:rPr>
                <w:vertAlign w:val="superscript"/>
              </w:rPr>
              <w:t>(i)</w:t>
            </w:r>
          </w:p>
        </w:tc>
        <w:tc>
          <w:tcPr>
            <w:tcW w:w="2040" w:type="dxa"/>
            <w:gridSpan w:val="2"/>
            <w:tcBorders>
              <w:top w:val="single" w:sz="6" w:space="0" w:color="auto"/>
              <w:left w:val="nil"/>
              <w:bottom w:val="single" w:sz="4" w:space="0" w:color="auto"/>
              <w:right w:val="nil"/>
            </w:tcBorders>
            <w:shd w:val="clear" w:color="auto" w:fill="auto"/>
            <w:noWrap/>
          </w:tcPr>
          <w:p w:rsidR="004843DB" w:rsidRPr="0062582F" w:rsidRDefault="004843DB" w:rsidP="004843DB">
            <w:pPr>
              <w:pStyle w:val="TabletextheadingCentred"/>
              <w:rPr>
                <w:vertAlign w:val="superscript"/>
              </w:rPr>
            </w:pPr>
            <w:r w:rsidRPr="0062582F">
              <w:br/>
              <w:t xml:space="preserve">R&amp;D Technology </w:t>
            </w:r>
            <w:r w:rsidRPr="0062582F">
              <w:rPr>
                <w:vertAlign w:val="superscript"/>
              </w:rPr>
              <w:t>(ii)</w:t>
            </w:r>
          </w:p>
        </w:tc>
        <w:tc>
          <w:tcPr>
            <w:tcW w:w="2040" w:type="dxa"/>
            <w:gridSpan w:val="2"/>
            <w:tcBorders>
              <w:top w:val="single" w:sz="6" w:space="0" w:color="auto"/>
              <w:left w:val="nil"/>
              <w:bottom w:val="single" w:sz="4" w:space="0" w:color="auto"/>
              <w:right w:val="nil"/>
            </w:tcBorders>
            <w:shd w:val="clear" w:color="auto" w:fill="auto"/>
            <w:noWrap/>
          </w:tcPr>
          <w:p w:rsidR="004843DB" w:rsidRPr="0062582F" w:rsidRDefault="004843DB" w:rsidP="004843DB">
            <w:pPr>
              <w:pStyle w:val="TabletextheadingCentred"/>
            </w:pPr>
            <w:r w:rsidRPr="0062582F">
              <w:br/>
              <w:t>Departmental total</w:t>
            </w:r>
          </w:p>
        </w:tc>
      </w:tr>
      <w:tr w:rsidR="004843DB" w:rsidRPr="0062582F" w:rsidTr="004843DB">
        <w:trPr>
          <w:trHeight w:val="255"/>
        </w:trPr>
        <w:tc>
          <w:tcPr>
            <w:tcW w:w="1020" w:type="dxa"/>
            <w:tcBorders>
              <w:top w:val="nil"/>
              <w:left w:val="nil"/>
              <w:bottom w:val="single" w:sz="4" w:space="0" w:color="auto"/>
              <w:right w:val="nil"/>
            </w:tcBorders>
            <w:shd w:val="clear" w:color="00FFFF" w:fill="CCCCCC"/>
            <w:noWrap/>
          </w:tcPr>
          <w:p w:rsidR="004843DB" w:rsidRPr="0062582F" w:rsidRDefault="004843DB" w:rsidP="004843DB">
            <w:pPr>
              <w:pStyle w:val="Tabletextheading"/>
            </w:pPr>
            <w:r w:rsidRPr="0062582F">
              <w:t>2016</w:t>
            </w:r>
          </w:p>
        </w:tc>
        <w:tc>
          <w:tcPr>
            <w:tcW w:w="1020" w:type="dxa"/>
            <w:tcBorders>
              <w:top w:val="nil"/>
              <w:left w:val="nil"/>
              <w:bottom w:val="single" w:sz="4" w:space="0" w:color="auto"/>
              <w:right w:val="nil"/>
            </w:tcBorders>
            <w:shd w:val="clear" w:color="auto" w:fill="auto"/>
            <w:noWrap/>
          </w:tcPr>
          <w:p w:rsidR="004843DB" w:rsidRPr="0062582F" w:rsidRDefault="004843DB" w:rsidP="004843DB">
            <w:pPr>
              <w:pStyle w:val="Tabletextheading"/>
              <w:rPr>
                <w:noProof w:val="0"/>
              </w:rPr>
            </w:pPr>
            <w:r w:rsidRPr="0062582F">
              <w:t>2015</w:t>
            </w:r>
          </w:p>
        </w:tc>
        <w:tc>
          <w:tcPr>
            <w:tcW w:w="1020" w:type="dxa"/>
            <w:tcBorders>
              <w:top w:val="nil"/>
              <w:left w:val="nil"/>
              <w:bottom w:val="single" w:sz="4" w:space="0" w:color="auto"/>
              <w:right w:val="nil"/>
            </w:tcBorders>
            <w:shd w:val="clear" w:color="00FFFF" w:fill="CCCCCC"/>
            <w:noWrap/>
          </w:tcPr>
          <w:p w:rsidR="004843DB" w:rsidRPr="0062582F" w:rsidRDefault="004843DB" w:rsidP="004843DB">
            <w:pPr>
              <w:pStyle w:val="Tabletextheading"/>
              <w:rPr>
                <w:noProof w:val="0"/>
              </w:rPr>
            </w:pPr>
            <w:r w:rsidRPr="0062582F">
              <w:t>2016</w:t>
            </w:r>
          </w:p>
        </w:tc>
        <w:tc>
          <w:tcPr>
            <w:tcW w:w="1020" w:type="dxa"/>
            <w:tcBorders>
              <w:top w:val="nil"/>
              <w:left w:val="nil"/>
              <w:bottom w:val="single" w:sz="4" w:space="0" w:color="auto"/>
              <w:right w:val="nil"/>
            </w:tcBorders>
            <w:shd w:val="clear" w:color="auto" w:fill="auto"/>
            <w:noWrap/>
          </w:tcPr>
          <w:p w:rsidR="004843DB" w:rsidRPr="0062582F" w:rsidRDefault="004843DB" w:rsidP="004843DB">
            <w:pPr>
              <w:pStyle w:val="Tabletextheading"/>
              <w:rPr>
                <w:noProof w:val="0"/>
              </w:rPr>
            </w:pPr>
            <w:r w:rsidRPr="0062582F">
              <w:t>2015</w:t>
            </w:r>
          </w:p>
        </w:tc>
        <w:tc>
          <w:tcPr>
            <w:tcW w:w="1020" w:type="dxa"/>
            <w:tcBorders>
              <w:top w:val="nil"/>
              <w:left w:val="nil"/>
              <w:bottom w:val="single" w:sz="4" w:space="0" w:color="auto"/>
              <w:right w:val="nil"/>
            </w:tcBorders>
            <w:shd w:val="clear" w:color="00FFFF" w:fill="CCCCCC"/>
            <w:noWrap/>
          </w:tcPr>
          <w:p w:rsidR="004843DB" w:rsidRPr="0062582F" w:rsidRDefault="004843DB" w:rsidP="004843DB">
            <w:pPr>
              <w:pStyle w:val="Tabletextheading"/>
              <w:rPr>
                <w:noProof w:val="0"/>
              </w:rPr>
            </w:pPr>
            <w:r w:rsidRPr="0062582F">
              <w:t>2016</w:t>
            </w:r>
          </w:p>
        </w:tc>
        <w:tc>
          <w:tcPr>
            <w:tcW w:w="1020" w:type="dxa"/>
            <w:tcBorders>
              <w:top w:val="nil"/>
              <w:left w:val="nil"/>
              <w:bottom w:val="single" w:sz="4" w:space="0" w:color="auto"/>
              <w:right w:val="nil"/>
            </w:tcBorders>
            <w:shd w:val="clear" w:color="auto" w:fill="auto"/>
            <w:noWrap/>
          </w:tcPr>
          <w:p w:rsidR="004843DB" w:rsidRPr="0062582F" w:rsidRDefault="004843DB" w:rsidP="004843DB">
            <w:pPr>
              <w:pStyle w:val="Tabletextheading"/>
            </w:pPr>
            <w:r w:rsidRPr="0062582F">
              <w:t>2015</w:t>
            </w:r>
          </w:p>
        </w:tc>
        <w:tc>
          <w:tcPr>
            <w:tcW w:w="1020" w:type="dxa"/>
            <w:tcBorders>
              <w:top w:val="nil"/>
              <w:left w:val="nil"/>
              <w:bottom w:val="single" w:sz="4" w:space="0" w:color="auto"/>
              <w:right w:val="nil"/>
            </w:tcBorders>
            <w:shd w:val="clear" w:color="00FFFF" w:fill="CCCCCC"/>
            <w:noWrap/>
          </w:tcPr>
          <w:p w:rsidR="004843DB" w:rsidRPr="0062582F" w:rsidRDefault="004843DB" w:rsidP="004843DB">
            <w:pPr>
              <w:pStyle w:val="Tabletextheading"/>
            </w:pPr>
            <w:r w:rsidRPr="0062582F">
              <w:t>2016</w:t>
            </w:r>
          </w:p>
        </w:tc>
        <w:tc>
          <w:tcPr>
            <w:tcW w:w="1020" w:type="dxa"/>
            <w:tcBorders>
              <w:top w:val="nil"/>
              <w:left w:val="nil"/>
              <w:bottom w:val="single" w:sz="4" w:space="0" w:color="auto"/>
              <w:right w:val="nil"/>
            </w:tcBorders>
            <w:shd w:val="clear" w:color="auto" w:fill="auto"/>
            <w:noWrap/>
          </w:tcPr>
          <w:p w:rsidR="004843DB" w:rsidRPr="0062582F" w:rsidRDefault="004843DB" w:rsidP="004843DB">
            <w:pPr>
              <w:pStyle w:val="Tabletextheading"/>
            </w:pPr>
            <w:r w:rsidRPr="0062582F">
              <w:t>2015</w:t>
            </w:r>
          </w:p>
        </w:tc>
      </w:tr>
      <w:tr w:rsidR="004843DB" w:rsidRPr="0062582F" w:rsidTr="004843DB">
        <w:trPr>
          <w:trHeight w:val="255"/>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trHeight w:val="255"/>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3 242</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1 491</w:t>
            </w:r>
          </w:p>
        </w:tc>
        <w:tc>
          <w:tcPr>
            <w:tcW w:w="1020" w:type="dxa"/>
            <w:tcBorders>
              <w:top w:val="nil"/>
              <w:left w:val="nil"/>
              <w:bottom w:val="nil"/>
              <w:right w:val="nil"/>
            </w:tcBorders>
            <w:shd w:val="clear" w:color="000000" w:fill="CCCCCC"/>
            <w:noWrap/>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4 167</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5 407</w:t>
            </w: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9 092</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6 404</w:t>
            </w:r>
          </w:p>
        </w:tc>
      </w:tr>
      <w:tr w:rsidR="004843DB" w:rsidRPr="0062582F" w:rsidTr="004843DB">
        <w:trPr>
          <w:trHeight w:val="255"/>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4 090</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3 051</w:t>
            </w:r>
          </w:p>
        </w:tc>
        <w:tc>
          <w:tcPr>
            <w:tcW w:w="1020" w:type="dxa"/>
            <w:tcBorders>
              <w:top w:val="nil"/>
              <w:left w:val="nil"/>
              <w:bottom w:val="nil"/>
              <w:right w:val="nil"/>
            </w:tcBorders>
            <w:shd w:val="clear" w:color="000000" w:fill="CCCCCC"/>
            <w:noWrap/>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4 573</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2 245</w:t>
            </w: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12 232</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12 002</w:t>
            </w:r>
          </w:p>
        </w:tc>
      </w:tr>
      <w:tr w:rsidR="004843DB" w:rsidRPr="0062582F" w:rsidTr="004843DB">
        <w:trPr>
          <w:trHeight w:val="255"/>
        </w:trPr>
        <w:tc>
          <w:tcPr>
            <w:tcW w:w="102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7 332</w:t>
            </w:r>
          </w:p>
        </w:tc>
        <w:tc>
          <w:tcPr>
            <w:tcW w:w="10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4 542</w:t>
            </w:r>
          </w:p>
        </w:tc>
        <w:tc>
          <w:tcPr>
            <w:tcW w:w="102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rPr>
                <w:b/>
              </w:rPr>
            </w:pPr>
            <w:r w:rsidRPr="0062582F">
              <w:t>..</w:t>
            </w:r>
          </w:p>
        </w:tc>
        <w:tc>
          <w:tcPr>
            <w:tcW w:w="10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8 740</w:t>
            </w:r>
          </w:p>
        </w:tc>
        <w:tc>
          <w:tcPr>
            <w:tcW w:w="102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7 652</w:t>
            </w:r>
          </w:p>
        </w:tc>
        <w:tc>
          <w:tcPr>
            <w:tcW w:w="102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rPr>
                <w:b/>
              </w:rPr>
            </w:pPr>
            <w:r w:rsidRPr="0062582F">
              <w:t>..</w:t>
            </w:r>
          </w:p>
        </w:tc>
        <w:tc>
          <w:tcPr>
            <w:tcW w:w="102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21 324</w:t>
            </w:r>
          </w:p>
        </w:tc>
        <w:tc>
          <w:tcPr>
            <w:tcW w:w="10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18 406</w:t>
            </w:r>
          </w:p>
        </w:tc>
      </w:tr>
      <w:tr w:rsidR="004843DB" w:rsidRPr="0062582F" w:rsidTr="004843DB">
        <w:trPr>
          <w:trHeight w:val="255"/>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tcPr>
          <w:p w:rsidR="004843DB" w:rsidRPr="0062582F" w:rsidRDefault="004843DB" w:rsidP="004843DB">
            <w:pPr>
              <w:pStyle w:val="TableofFigures"/>
            </w:pP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trHeight w:val="255"/>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243</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1 894</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1 109</w:t>
            </w: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1 352</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1 894</w:t>
            </w:r>
          </w:p>
        </w:tc>
      </w:tr>
      <w:tr w:rsidR="004843DB" w:rsidRPr="0062582F" w:rsidTr="004843DB">
        <w:trPr>
          <w:trHeight w:val="255"/>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326</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537</w:t>
            </w:r>
          </w:p>
        </w:tc>
        <w:tc>
          <w:tcPr>
            <w:tcW w:w="1020" w:type="dxa"/>
            <w:tcBorders>
              <w:top w:val="nil"/>
              <w:left w:val="nil"/>
              <w:bottom w:val="nil"/>
              <w:right w:val="nil"/>
            </w:tcBorders>
            <w:shd w:val="clear" w:color="000000" w:fill="CCCCCC"/>
            <w:noWrap/>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901</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783</w:t>
            </w: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1 687</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2 310</w:t>
            </w:r>
          </w:p>
        </w:tc>
      </w:tr>
      <w:tr w:rsidR="004843DB" w:rsidRPr="0062582F" w:rsidTr="004843DB">
        <w:trPr>
          <w:trHeight w:val="255"/>
        </w:trPr>
        <w:tc>
          <w:tcPr>
            <w:tcW w:w="102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 xml:space="preserve"> 569</w:t>
            </w:r>
          </w:p>
        </w:tc>
        <w:tc>
          <w:tcPr>
            <w:tcW w:w="10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537</w:t>
            </w:r>
          </w:p>
        </w:tc>
        <w:tc>
          <w:tcPr>
            <w:tcW w:w="102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rPr>
                <w:b/>
              </w:rPr>
            </w:pPr>
            <w:r w:rsidRPr="0062582F">
              <w:t>..</w:t>
            </w:r>
          </w:p>
        </w:tc>
        <w:tc>
          <w:tcPr>
            <w:tcW w:w="10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2 795</w:t>
            </w:r>
          </w:p>
        </w:tc>
        <w:tc>
          <w:tcPr>
            <w:tcW w:w="102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1 892</w:t>
            </w:r>
          </w:p>
        </w:tc>
        <w:tc>
          <w:tcPr>
            <w:tcW w:w="102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rPr>
                <w:b/>
              </w:rPr>
            </w:pPr>
            <w:r w:rsidRPr="0062582F">
              <w:t>..</w:t>
            </w:r>
          </w:p>
        </w:tc>
        <w:tc>
          <w:tcPr>
            <w:tcW w:w="102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3 039</w:t>
            </w:r>
          </w:p>
        </w:tc>
        <w:tc>
          <w:tcPr>
            <w:tcW w:w="10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4 204</w:t>
            </w:r>
          </w:p>
        </w:tc>
      </w:tr>
      <w:tr w:rsidR="004843DB" w:rsidRPr="0062582F" w:rsidTr="004843DB">
        <w:trPr>
          <w:trHeight w:val="255"/>
        </w:trPr>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7 901</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5 079</w:t>
            </w:r>
          </w:p>
        </w:tc>
        <w:tc>
          <w:tcPr>
            <w:tcW w:w="1020" w:type="dxa"/>
            <w:tcBorders>
              <w:top w:val="nil"/>
              <w:left w:val="nil"/>
              <w:bottom w:val="single" w:sz="4" w:space="0" w:color="auto"/>
              <w:right w:val="nil"/>
            </w:tcBorders>
            <w:shd w:val="clear" w:color="000000" w:fill="CCCCCC"/>
            <w:noWrap/>
          </w:tcPr>
          <w:p w:rsidR="004843DB" w:rsidRPr="0062582F" w:rsidRDefault="004843DB" w:rsidP="004843DB">
            <w:pPr>
              <w:pStyle w:val="TableofFigures"/>
              <w:rPr>
                <w:b/>
              </w:rPr>
            </w:pPr>
            <w:r w:rsidRPr="0062582F">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11 535</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9 544</w:t>
            </w:r>
          </w:p>
        </w:tc>
        <w:tc>
          <w:tcPr>
            <w:tcW w:w="1020" w:type="dxa"/>
            <w:tcBorders>
              <w:top w:val="nil"/>
              <w:left w:val="nil"/>
              <w:bottom w:val="single" w:sz="4" w:space="0" w:color="auto"/>
              <w:right w:val="nil"/>
            </w:tcBorders>
            <w:shd w:val="clear" w:color="auto" w:fill="auto"/>
            <w:noWrap/>
          </w:tcPr>
          <w:p w:rsidR="004843DB" w:rsidRPr="0062582F" w:rsidRDefault="004843DB" w:rsidP="004843DB">
            <w:pPr>
              <w:pStyle w:val="TableofFigures"/>
              <w:rPr>
                <w:b/>
              </w:rPr>
            </w:pPr>
            <w:r w:rsidRPr="0062582F">
              <w:t>..</w:t>
            </w:r>
          </w:p>
        </w:tc>
        <w:tc>
          <w:tcPr>
            <w:tcW w:w="102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24 363</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22 610</w:t>
            </w:r>
          </w:p>
        </w:tc>
      </w:tr>
      <w:tr w:rsidR="004843DB" w:rsidRPr="0062582F" w:rsidTr="004843DB">
        <w:trPr>
          <w:trHeight w:val="255"/>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tcPr>
          <w:p w:rsidR="004843DB" w:rsidRPr="0062582F" w:rsidRDefault="004843DB" w:rsidP="004843DB">
            <w:pPr>
              <w:pStyle w:val="TableofFigures"/>
            </w:pP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trHeight w:val="255"/>
        </w:trPr>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921</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849</w:t>
            </w:r>
          </w:p>
        </w:tc>
        <w:tc>
          <w:tcPr>
            <w:tcW w:w="1020" w:type="dxa"/>
            <w:tcBorders>
              <w:top w:val="nil"/>
              <w:left w:val="nil"/>
              <w:bottom w:val="nil"/>
              <w:right w:val="nil"/>
            </w:tcBorders>
            <w:shd w:val="clear" w:color="000000" w:fill="CCCCCC"/>
            <w:noWrap/>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2 277</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2 107</w:t>
            </w: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r w:rsidRPr="0062582F">
              <w:t>..</w:t>
            </w:r>
          </w:p>
        </w:tc>
        <w:tc>
          <w:tcPr>
            <w:tcW w:w="102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4 392</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4 219</w:t>
            </w:r>
          </w:p>
        </w:tc>
      </w:tr>
      <w:tr w:rsidR="004843DB" w:rsidRPr="0062582F" w:rsidTr="004843DB">
        <w:trPr>
          <w:trHeight w:val="255"/>
        </w:trPr>
        <w:tc>
          <w:tcPr>
            <w:tcW w:w="1020" w:type="dxa"/>
            <w:tcBorders>
              <w:top w:val="nil"/>
              <w:left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right w:val="nil"/>
            </w:tcBorders>
            <w:shd w:val="clear" w:color="000000" w:fill="CCCCCC"/>
            <w:noWrap/>
          </w:tcPr>
          <w:p w:rsidR="004843DB" w:rsidRPr="0062582F" w:rsidRDefault="004843DB" w:rsidP="004843DB">
            <w:pPr>
              <w:pStyle w:val="TableofFigures"/>
            </w:pPr>
            <w:r w:rsidRPr="0062582F">
              <w:t>..</w:t>
            </w:r>
          </w:p>
        </w:tc>
        <w:tc>
          <w:tcPr>
            <w:tcW w:w="1020" w:type="dxa"/>
            <w:tcBorders>
              <w:top w:val="nil"/>
              <w:left w:val="nil"/>
              <w:right w:val="nil"/>
            </w:tcBorders>
            <w:shd w:val="clear" w:color="auto" w:fill="auto"/>
            <w:noWrap/>
            <w:hideMark/>
          </w:tcPr>
          <w:p w:rsidR="004843DB" w:rsidRPr="0062582F" w:rsidRDefault="004843DB" w:rsidP="004843DB">
            <w:pPr>
              <w:pStyle w:val="TableofFigures"/>
            </w:pPr>
            <w:r w:rsidRPr="0062582F">
              <w:t>..</w:t>
            </w:r>
          </w:p>
        </w:tc>
        <w:tc>
          <w:tcPr>
            <w:tcW w:w="1020" w:type="dxa"/>
            <w:tcBorders>
              <w:top w:val="nil"/>
              <w:left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right w:val="nil"/>
            </w:tcBorders>
            <w:shd w:val="clear" w:color="auto" w:fill="auto"/>
            <w:noWrap/>
          </w:tcPr>
          <w:p w:rsidR="004843DB" w:rsidRPr="0062582F" w:rsidRDefault="004843DB" w:rsidP="004843DB">
            <w:pPr>
              <w:pStyle w:val="TableofFigures"/>
            </w:pPr>
            <w:r w:rsidRPr="0062582F">
              <w:t>..</w:t>
            </w:r>
          </w:p>
        </w:tc>
        <w:tc>
          <w:tcPr>
            <w:tcW w:w="1020" w:type="dxa"/>
            <w:tcBorders>
              <w:top w:val="nil"/>
              <w:left w:val="nil"/>
              <w:right w:val="nil"/>
            </w:tcBorders>
            <w:shd w:val="clear" w:color="000000" w:fill="CCCCCC"/>
            <w:noWrap/>
            <w:hideMark/>
          </w:tcPr>
          <w:p w:rsidR="004843DB" w:rsidRPr="0062582F" w:rsidRDefault="004843DB" w:rsidP="004843DB">
            <w:pPr>
              <w:pStyle w:val="TableofFigures"/>
            </w:pPr>
            <w:r w:rsidRPr="0062582F">
              <w:t>..</w:t>
            </w:r>
          </w:p>
        </w:tc>
        <w:tc>
          <w:tcPr>
            <w:tcW w:w="1020" w:type="dxa"/>
            <w:tcBorders>
              <w:top w:val="nil"/>
              <w:left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55"/>
        </w:trPr>
        <w:tc>
          <w:tcPr>
            <w:tcW w:w="1020" w:type="dxa"/>
            <w:tcBorders>
              <w:left w:val="nil"/>
              <w:bottom w:val="single" w:sz="4" w:space="0" w:color="auto"/>
              <w:right w:val="nil"/>
            </w:tcBorders>
            <w:shd w:val="clear" w:color="000000" w:fill="CCCCCC"/>
            <w:noWrap/>
            <w:hideMark/>
          </w:tcPr>
          <w:p w:rsidR="004843DB" w:rsidRPr="0062582F" w:rsidRDefault="004843DB" w:rsidP="004843DB">
            <w:pPr>
              <w:pStyle w:val="TableofFigures"/>
            </w:pPr>
            <w:r w:rsidRPr="0062582F">
              <w:t xml:space="preserve"> 543</w:t>
            </w:r>
          </w:p>
        </w:tc>
        <w:tc>
          <w:tcPr>
            <w:tcW w:w="1020" w:type="dxa"/>
            <w:tcBorders>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764</w:t>
            </w:r>
          </w:p>
        </w:tc>
        <w:tc>
          <w:tcPr>
            <w:tcW w:w="1020" w:type="dxa"/>
            <w:tcBorders>
              <w:left w:val="nil"/>
              <w:bottom w:val="single" w:sz="4" w:space="0" w:color="auto"/>
              <w:right w:val="nil"/>
            </w:tcBorders>
            <w:shd w:val="clear" w:color="000000" w:fill="CCCCCC"/>
            <w:noWrap/>
          </w:tcPr>
          <w:p w:rsidR="004843DB" w:rsidRPr="0062582F" w:rsidRDefault="004843DB" w:rsidP="004843DB">
            <w:pPr>
              <w:pStyle w:val="TableofFigures"/>
            </w:pPr>
            <w:r w:rsidRPr="0062582F">
              <w:t>..</w:t>
            </w:r>
          </w:p>
        </w:tc>
        <w:tc>
          <w:tcPr>
            <w:tcW w:w="1020" w:type="dxa"/>
            <w:tcBorders>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272</w:t>
            </w:r>
          </w:p>
        </w:tc>
        <w:tc>
          <w:tcPr>
            <w:tcW w:w="1020" w:type="dxa"/>
            <w:tcBorders>
              <w:left w:val="nil"/>
              <w:bottom w:val="single" w:sz="4" w:space="0" w:color="auto"/>
              <w:right w:val="nil"/>
            </w:tcBorders>
            <w:shd w:val="clear" w:color="000000" w:fill="CCCCCC"/>
            <w:noWrap/>
            <w:hideMark/>
          </w:tcPr>
          <w:p w:rsidR="004843DB" w:rsidRPr="0062582F" w:rsidRDefault="004843DB" w:rsidP="004843DB">
            <w:pPr>
              <w:pStyle w:val="TableofFigures"/>
            </w:pPr>
            <w:r w:rsidRPr="0062582F">
              <w:t xml:space="preserve"> 221</w:t>
            </w:r>
          </w:p>
        </w:tc>
        <w:tc>
          <w:tcPr>
            <w:tcW w:w="1020" w:type="dxa"/>
            <w:tcBorders>
              <w:left w:val="nil"/>
              <w:bottom w:val="single" w:sz="4" w:space="0" w:color="auto"/>
              <w:right w:val="nil"/>
            </w:tcBorders>
            <w:shd w:val="clear" w:color="auto" w:fill="auto"/>
            <w:noWrap/>
          </w:tcPr>
          <w:p w:rsidR="004843DB" w:rsidRPr="0062582F" w:rsidRDefault="004843DB" w:rsidP="004843DB">
            <w:pPr>
              <w:pStyle w:val="TableofFigures"/>
            </w:pPr>
            <w:r w:rsidRPr="0062582F">
              <w:t>..</w:t>
            </w:r>
          </w:p>
        </w:tc>
        <w:tc>
          <w:tcPr>
            <w:tcW w:w="1020" w:type="dxa"/>
            <w:tcBorders>
              <w:left w:val="nil"/>
              <w:bottom w:val="single" w:sz="4" w:space="0" w:color="auto"/>
              <w:right w:val="nil"/>
            </w:tcBorders>
            <w:shd w:val="clear" w:color="000000" w:fill="CCCCCC"/>
            <w:noWrap/>
            <w:hideMark/>
          </w:tcPr>
          <w:p w:rsidR="004843DB" w:rsidRPr="0062582F" w:rsidRDefault="004843DB" w:rsidP="004843DB">
            <w:pPr>
              <w:pStyle w:val="TableofFigures"/>
            </w:pPr>
            <w:r w:rsidRPr="0062582F">
              <w:t>2 779</w:t>
            </w:r>
          </w:p>
        </w:tc>
        <w:tc>
          <w:tcPr>
            <w:tcW w:w="1020" w:type="dxa"/>
            <w:tcBorders>
              <w:left w:val="nil"/>
              <w:bottom w:val="single" w:sz="4" w:space="0" w:color="auto"/>
              <w:right w:val="nil"/>
            </w:tcBorders>
            <w:shd w:val="clear" w:color="auto" w:fill="auto"/>
            <w:noWrap/>
            <w:hideMark/>
          </w:tcPr>
          <w:p w:rsidR="004843DB" w:rsidRPr="0062582F" w:rsidRDefault="004843DB" w:rsidP="004843DB">
            <w:pPr>
              <w:pStyle w:val="TableofFigures"/>
            </w:pPr>
            <w:r w:rsidRPr="0062582F">
              <w:t>3 263</w:t>
            </w:r>
          </w:p>
        </w:tc>
      </w:tr>
      <w:tr w:rsidR="004843DB" w:rsidRPr="0062582F" w:rsidTr="004843DB">
        <w:trPr>
          <w:trHeight w:val="255"/>
        </w:trPr>
        <w:tc>
          <w:tcPr>
            <w:tcW w:w="1020" w:type="dxa"/>
            <w:tcBorders>
              <w:top w:val="single" w:sz="4" w:space="0" w:color="auto"/>
              <w:left w:val="nil"/>
              <w:bottom w:val="single" w:sz="6" w:space="0" w:color="auto"/>
              <w:right w:val="nil"/>
            </w:tcBorders>
            <w:shd w:val="clear" w:color="000000" w:fill="CCCCCC"/>
            <w:noWrap/>
            <w:hideMark/>
          </w:tcPr>
          <w:p w:rsidR="004843DB" w:rsidRPr="0062582F" w:rsidRDefault="004843DB" w:rsidP="004843DB">
            <w:pPr>
              <w:pStyle w:val="TableofFigures"/>
              <w:rPr>
                <w:b/>
              </w:rPr>
            </w:pPr>
            <w:r w:rsidRPr="0062582F">
              <w:rPr>
                <w:b/>
              </w:rPr>
              <w:t>1 464</w:t>
            </w:r>
          </w:p>
        </w:tc>
        <w:tc>
          <w:tcPr>
            <w:tcW w:w="1020" w:type="dxa"/>
            <w:tcBorders>
              <w:top w:val="single" w:sz="4" w:space="0" w:color="auto"/>
              <w:left w:val="nil"/>
              <w:bottom w:val="single" w:sz="6" w:space="0" w:color="auto"/>
              <w:right w:val="nil"/>
            </w:tcBorders>
            <w:shd w:val="clear" w:color="auto" w:fill="auto"/>
            <w:noWrap/>
            <w:hideMark/>
          </w:tcPr>
          <w:p w:rsidR="004843DB" w:rsidRPr="0062582F" w:rsidRDefault="004843DB" w:rsidP="004843DB">
            <w:pPr>
              <w:pStyle w:val="TableofFigures"/>
              <w:rPr>
                <w:b/>
              </w:rPr>
            </w:pPr>
            <w:r w:rsidRPr="0062582F">
              <w:rPr>
                <w:b/>
              </w:rPr>
              <w:t>1 613</w:t>
            </w:r>
          </w:p>
        </w:tc>
        <w:tc>
          <w:tcPr>
            <w:tcW w:w="1020" w:type="dxa"/>
            <w:tcBorders>
              <w:top w:val="single" w:sz="4" w:space="0" w:color="auto"/>
              <w:left w:val="nil"/>
              <w:bottom w:val="single" w:sz="6" w:space="0" w:color="auto"/>
              <w:right w:val="nil"/>
            </w:tcBorders>
            <w:shd w:val="clear" w:color="000000" w:fill="CCCCCC"/>
            <w:noWrap/>
          </w:tcPr>
          <w:p w:rsidR="004843DB" w:rsidRPr="0062582F" w:rsidRDefault="004843DB" w:rsidP="004843DB">
            <w:pPr>
              <w:pStyle w:val="TableofFigures"/>
              <w:rPr>
                <w:b/>
              </w:rPr>
            </w:pPr>
            <w:r w:rsidRPr="0062582F">
              <w:t>..</w:t>
            </w:r>
          </w:p>
        </w:tc>
        <w:tc>
          <w:tcPr>
            <w:tcW w:w="1020" w:type="dxa"/>
            <w:tcBorders>
              <w:top w:val="single" w:sz="4" w:space="0" w:color="auto"/>
              <w:left w:val="nil"/>
              <w:bottom w:val="single" w:sz="6" w:space="0" w:color="auto"/>
              <w:right w:val="nil"/>
            </w:tcBorders>
            <w:shd w:val="clear" w:color="auto" w:fill="auto"/>
            <w:noWrap/>
            <w:hideMark/>
          </w:tcPr>
          <w:p w:rsidR="004843DB" w:rsidRPr="0062582F" w:rsidRDefault="004843DB" w:rsidP="004843DB">
            <w:pPr>
              <w:pStyle w:val="TableofFigures"/>
              <w:rPr>
                <w:b/>
              </w:rPr>
            </w:pPr>
            <w:r w:rsidRPr="0062582F">
              <w:rPr>
                <w:b/>
              </w:rPr>
              <w:t>2 549</w:t>
            </w:r>
          </w:p>
        </w:tc>
        <w:tc>
          <w:tcPr>
            <w:tcW w:w="1020" w:type="dxa"/>
            <w:tcBorders>
              <w:top w:val="single" w:sz="4" w:space="0" w:color="auto"/>
              <w:left w:val="nil"/>
              <w:bottom w:val="single" w:sz="6" w:space="0" w:color="auto"/>
              <w:right w:val="nil"/>
            </w:tcBorders>
            <w:shd w:val="clear" w:color="000000" w:fill="CCCCCC"/>
            <w:noWrap/>
            <w:hideMark/>
          </w:tcPr>
          <w:p w:rsidR="004843DB" w:rsidRPr="0062582F" w:rsidRDefault="004843DB" w:rsidP="004843DB">
            <w:pPr>
              <w:pStyle w:val="TableofFigures"/>
              <w:rPr>
                <w:b/>
              </w:rPr>
            </w:pPr>
            <w:r w:rsidRPr="0062582F">
              <w:rPr>
                <w:b/>
              </w:rPr>
              <w:t>2 328</w:t>
            </w:r>
          </w:p>
        </w:tc>
        <w:tc>
          <w:tcPr>
            <w:tcW w:w="1020" w:type="dxa"/>
            <w:tcBorders>
              <w:top w:val="single" w:sz="4" w:space="0" w:color="auto"/>
              <w:left w:val="nil"/>
              <w:bottom w:val="single" w:sz="6" w:space="0" w:color="auto"/>
              <w:right w:val="nil"/>
            </w:tcBorders>
            <w:shd w:val="clear" w:color="auto" w:fill="auto"/>
            <w:noWrap/>
          </w:tcPr>
          <w:p w:rsidR="004843DB" w:rsidRPr="0062582F" w:rsidRDefault="004843DB" w:rsidP="004843DB">
            <w:pPr>
              <w:pStyle w:val="TableofFigures"/>
              <w:rPr>
                <w:b/>
              </w:rPr>
            </w:pPr>
            <w:r w:rsidRPr="0062582F">
              <w:t>..</w:t>
            </w:r>
          </w:p>
        </w:tc>
        <w:tc>
          <w:tcPr>
            <w:tcW w:w="1020" w:type="dxa"/>
            <w:tcBorders>
              <w:top w:val="single" w:sz="4" w:space="0" w:color="auto"/>
              <w:left w:val="nil"/>
              <w:bottom w:val="single" w:sz="6" w:space="0" w:color="auto"/>
              <w:right w:val="nil"/>
            </w:tcBorders>
            <w:shd w:val="clear" w:color="000000" w:fill="CCCCCC"/>
            <w:noWrap/>
            <w:hideMark/>
          </w:tcPr>
          <w:p w:rsidR="004843DB" w:rsidRPr="0062582F" w:rsidRDefault="004843DB" w:rsidP="004843DB">
            <w:pPr>
              <w:pStyle w:val="TableofFigures"/>
              <w:rPr>
                <w:b/>
              </w:rPr>
            </w:pPr>
            <w:r w:rsidRPr="0062582F">
              <w:rPr>
                <w:b/>
              </w:rPr>
              <w:t>7 171</w:t>
            </w:r>
          </w:p>
        </w:tc>
        <w:tc>
          <w:tcPr>
            <w:tcW w:w="1020" w:type="dxa"/>
            <w:tcBorders>
              <w:top w:val="single" w:sz="4" w:space="0" w:color="auto"/>
              <w:left w:val="nil"/>
              <w:bottom w:val="single" w:sz="6" w:space="0" w:color="auto"/>
              <w:right w:val="nil"/>
            </w:tcBorders>
            <w:shd w:val="clear" w:color="auto" w:fill="auto"/>
            <w:noWrap/>
            <w:hideMark/>
          </w:tcPr>
          <w:p w:rsidR="004843DB" w:rsidRPr="0062582F" w:rsidRDefault="004843DB" w:rsidP="004843DB">
            <w:pPr>
              <w:pStyle w:val="TableofFigures"/>
              <w:rPr>
                <w:b/>
              </w:rPr>
            </w:pPr>
            <w:r w:rsidRPr="0062582F">
              <w:rPr>
                <w:b/>
              </w:rPr>
              <w:t>7 482</w:t>
            </w:r>
          </w:p>
        </w:tc>
      </w:tr>
      <w:tr w:rsidR="004843DB" w:rsidRPr="0062582F" w:rsidTr="004843DB">
        <w:trPr>
          <w:trHeight w:val="255"/>
        </w:trPr>
        <w:tc>
          <w:tcPr>
            <w:tcW w:w="1020" w:type="dxa"/>
            <w:tcBorders>
              <w:top w:val="single" w:sz="6" w:space="0" w:color="auto"/>
              <w:left w:val="nil"/>
              <w:bottom w:val="single" w:sz="12" w:space="0" w:color="auto"/>
              <w:right w:val="nil"/>
            </w:tcBorders>
            <w:shd w:val="clear" w:color="000000" w:fill="CCCCCC"/>
            <w:noWrap/>
          </w:tcPr>
          <w:p w:rsidR="004843DB" w:rsidRPr="0062582F" w:rsidRDefault="004843DB" w:rsidP="004843DB">
            <w:pPr>
              <w:pStyle w:val="TableofFigures"/>
              <w:rPr>
                <w:b/>
              </w:rPr>
            </w:pPr>
            <w:r w:rsidRPr="0062582F">
              <w:rPr>
                <w:b/>
              </w:rPr>
              <w:t>6 437</w:t>
            </w:r>
          </w:p>
        </w:tc>
        <w:tc>
          <w:tcPr>
            <w:tcW w:w="1020" w:type="dxa"/>
            <w:tcBorders>
              <w:top w:val="single" w:sz="6" w:space="0" w:color="auto"/>
              <w:left w:val="nil"/>
              <w:bottom w:val="single" w:sz="12" w:space="0" w:color="auto"/>
              <w:right w:val="nil"/>
            </w:tcBorders>
            <w:shd w:val="clear" w:color="auto" w:fill="auto"/>
            <w:noWrap/>
          </w:tcPr>
          <w:p w:rsidR="004843DB" w:rsidRPr="0062582F" w:rsidRDefault="004843DB" w:rsidP="004843DB">
            <w:pPr>
              <w:pStyle w:val="TableofFigures"/>
              <w:rPr>
                <w:b/>
              </w:rPr>
            </w:pPr>
            <w:r w:rsidRPr="0062582F">
              <w:rPr>
                <w:b/>
              </w:rPr>
              <w:t>3 466</w:t>
            </w:r>
          </w:p>
        </w:tc>
        <w:tc>
          <w:tcPr>
            <w:tcW w:w="1020" w:type="dxa"/>
            <w:tcBorders>
              <w:top w:val="single" w:sz="6" w:space="0" w:color="auto"/>
              <w:left w:val="nil"/>
              <w:bottom w:val="single" w:sz="12" w:space="0" w:color="auto"/>
              <w:right w:val="nil"/>
            </w:tcBorders>
            <w:shd w:val="clear" w:color="000000" w:fill="CCCCCC"/>
            <w:noWrap/>
          </w:tcPr>
          <w:p w:rsidR="004843DB" w:rsidRPr="0062582F" w:rsidRDefault="004843DB" w:rsidP="004843DB">
            <w:pPr>
              <w:pStyle w:val="TableofFigures"/>
              <w:rPr>
                <w:b/>
              </w:rPr>
            </w:pPr>
            <w:r w:rsidRPr="0062582F">
              <w:t>..</w:t>
            </w:r>
          </w:p>
        </w:tc>
        <w:tc>
          <w:tcPr>
            <w:tcW w:w="1020" w:type="dxa"/>
            <w:tcBorders>
              <w:top w:val="single" w:sz="6" w:space="0" w:color="auto"/>
              <w:left w:val="nil"/>
              <w:bottom w:val="single" w:sz="12" w:space="0" w:color="auto"/>
              <w:right w:val="nil"/>
            </w:tcBorders>
            <w:shd w:val="clear" w:color="auto" w:fill="auto"/>
            <w:noWrap/>
          </w:tcPr>
          <w:p w:rsidR="004843DB" w:rsidRPr="0062582F" w:rsidRDefault="004843DB" w:rsidP="004843DB">
            <w:pPr>
              <w:pStyle w:val="TableofFigures"/>
              <w:rPr>
                <w:b/>
              </w:rPr>
            </w:pPr>
            <w:r w:rsidRPr="0062582F">
              <w:rPr>
                <w:b/>
              </w:rPr>
              <w:t>8 986</w:t>
            </w:r>
          </w:p>
        </w:tc>
        <w:tc>
          <w:tcPr>
            <w:tcW w:w="1020" w:type="dxa"/>
            <w:tcBorders>
              <w:top w:val="single" w:sz="6" w:space="0" w:color="auto"/>
              <w:left w:val="nil"/>
              <w:bottom w:val="single" w:sz="12" w:space="0" w:color="auto"/>
              <w:right w:val="nil"/>
            </w:tcBorders>
            <w:shd w:val="clear" w:color="000000" w:fill="CCCCCC"/>
            <w:noWrap/>
          </w:tcPr>
          <w:p w:rsidR="004843DB" w:rsidRPr="0062582F" w:rsidRDefault="004843DB" w:rsidP="004843DB">
            <w:pPr>
              <w:pStyle w:val="TableofFigures"/>
              <w:rPr>
                <w:b/>
              </w:rPr>
            </w:pPr>
            <w:r w:rsidRPr="0062582F">
              <w:rPr>
                <w:b/>
              </w:rPr>
              <w:t>7 216</w:t>
            </w:r>
          </w:p>
        </w:tc>
        <w:tc>
          <w:tcPr>
            <w:tcW w:w="1020" w:type="dxa"/>
            <w:tcBorders>
              <w:top w:val="single" w:sz="6" w:space="0" w:color="auto"/>
              <w:left w:val="nil"/>
              <w:bottom w:val="single" w:sz="12" w:space="0" w:color="auto"/>
              <w:right w:val="nil"/>
            </w:tcBorders>
            <w:shd w:val="clear" w:color="auto" w:fill="auto"/>
            <w:noWrap/>
          </w:tcPr>
          <w:p w:rsidR="004843DB" w:rsidRPr="0062582F" w:rsidRDefault="004843DB" w:rsidP="004843DB">
            <w:pPr>
              <w:pStyle w:val="TableofFigures"/>
              <w:rPr>
                <w:b/>
              </w:rPr>
            </w:pPr>
            <w:r w:rsidRPr="0062582F">
              <w:t>..</w:t>
            </w:r>
          </w:p>
        </w:tc>
        <w:tc>
          <w:tcPr>
            <w:tcW w:w="1020" w:type="dxa"/>
            <w:tcBorders>
              <w:top w:val="single" w:sz="6" w:space="0" w:color="auto"/>
              <w:left w:val="nil"/>
              <w:bottom w:val="single" w:sz="12" w:space="0" w:color="auto"/>
              <w:right w:val="nil"/>
            </w:tcBorders>
            <w:shd w:val="clear" w:color="000000" w:fill="CCCCCC"/>
            <w:noWrap/>
          </w:tcPr>
          <w:p w:rsidR="004843DB" w:rsidRPr="0062582F" w:rsidRDefault="004843DB" w:rsidP="004843DB">
            <w:pPr>
              <w:pStyle w:val="TableofFigures"/>
              <w:rPr>
                <w:b/>
              </w:rPr>
            </w:pPr>
            <w:r w:rsidRPr="0062582F">
              <w:rPr>
                <w:b/>
              </w:rPr>
              <w:t>17 192</w:t>
            </w:r>
          </w:p>
        </w:tc>
        <w:tc>
          <w:tcPr>
            <w:tcW w:w="1020" w:type="dxa"/>
            <w:tcBorders>
              <w:top w:val="single" w:sz="6" w:space="0" w:color="auto"/>
              <w:left w:val="nil"/>
              <w:bottom w:val="single" w:sz="12" w:space="0" w:color="auto"/>
              <w:right w:val="nil"/>
            </w:tcBorders>
            <w:shd w:val="clear" w:color="auto" w:fill="auto"/>
            <w:noWrap/>
          </w:tcPr>
          <w:p w:rsidR="004843DB" w:rsidRPr="0062582F" w:rsidRDefault="004843DB" w:rsidP="004843DB">
            <w:pPr>
              <w:pStyle w:val="TableofFigures"/>
              <w:rPr>
                <w:b/>
              </w:rPr>
            </w:pPr>
            <w:r w:rsidRPr="0062582F">
              <w:rPr>
                <w:b/>
              </w:rPr>
              <w:t>15 128</w:t>
            </w:r>
          </w:p>
        </w:tc>
      </w:tr>
    </w:tbl>
    <w:p w:rsidR="004843DB" w:rsidRPr="0062582F" w:rsidRDefault="004843DB" w:rsidP="004843DB"/>
    <w:p w:rsidR="004843DB" w:rsidRPr="0062582F" w:rsidRDefault="004843DB" w:rsidP="004843DB">
      <w:pPr>
        <w:pStyle w:val="million"/>
        <w:jc w:val="left"/>
      </w:pPr>
    </w:p>
    <w:p w:rsidR="004843DB" w:rsidRPr="0062582F" w:rsidRDefault="004843DB" w:rsidP="004843DB">
      <w:pPr>
        <w:pStyle w:val="million"/>
      </w:pPr>
    </w:p>
    <w:p w:rsidR="004843DB" w:rsidRPr="0062582F" w:rsidRDefault="004843DB" w:rsidP="004843DB">
      <w:pPr>
        <w:pStyle w:val="million"/>
        <w:sectPr w:rsidR="004843DB" w:rsidRPr="0062582F" w:rsidSect="00190A01">
          <w:headerReference w:type="even" r:id="rId239"/>
          <w:headerReference w:type="first" r:id="rId240"/>
          <w:pgSz w:w="11906" w:h="16838" w:code="9"/>
          <w:pgMar w:top="1152" w:right="864" w:bottom="1152" w:left="864" w:header="432" w:footer="432" w:gutter="0"/>
          <w:cols w:space="360"/>
          <w:rtlGutter/>
        </w:sectPr>
      </w:pPr>
    </w:p>
    <w:p w:rsidR="004843DB" w:rsidRPr="0062582F" w:rsidRDefault="004843DB" w:rsidP="004843DB"/>
    <w:p w:rsidR="004843DB" w:rsidRPr="0062582F" w:rsidRDefault="004843DB" w:rsidP="004843DB">
      <w:pPr>
        <w:pStyle w:val="SmallLine"/>
      </w:pPr>
      <w:r w:rsidRPr="0062582F">
        <w:br w:type="column"/>
      </w:r>
    </w:p>
    <w:p w:rsidR="004843DB" w:rsidRPr="0062582F" w:rsidRDefault="004843DB" w:rsidP="004843DB">
      <w:pPr>
        <w:pStyle w:val="CommentaryHeading"/>
      </w:pPr>
      <w:bookmarkStart w:id="350" w:name="_Toc163448941"/>
      <w:r w:rsidRPr="0062582F">
        <w:t>Commentary – Administered (non</w:t>
      </w:r>
      <w:r w:rsidR="005A4BB0">
        <w:noBreakHyphen/>
      </w:r>
      <w:r w:rsidRPr="0062582F">
        <w:t>controlled) items</w:t>
      </w:r>
      <w:bookmarkEnd w:id="350"/>
      <w:r w:rsidRPr="0062582F">
        <w:t xml:space="preserve"> as presented in this Model</w:t>
      </w:r>
    </w:p>
    <w:p w:rsidR="004843DB" w:rsidRPr="0062582F" w:rsidRDefault="004843DB" w:rsidP="004843DB">
      <w:pPr>
        <w:pStyle w:val="SmallLineBlue"/>
        <w:pBdr>
          <w:bottom w:val="none" w:sz="0" w:space="0" w:color="auto"/>
        </w:pBdr>
      </w:pPr>
    </w:p>
    <w:p w:rsidR="004843DB" w:rsidRPr="0062582F" w:rsidRDefault="004843DB" w:rsidP="004843DB">
      <w:pPr>
        <w:pStyle w:val="CommentaryText"/>
        <w:rPr>
          <w:noProof w:val="0"/>
        </w:rPr>
        <w:sectPr w:rsidR="004843DB" w:rsidRPr="0062582F" w:rsidSect="00190A01">
          <w:headerReference w:type="even" r:id="rId241"/>
          <w:headerReference w:type="default" r:id="rId242"/>
          <w:footerReference w:type="even" r:id="rId243"/>
          <w:footerReference w:type="default" r:id="rId244"/>
          <w:headerReference w:type="first" r:id="rId245"/>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rPr>
          <w:lang w:val="en-AU"/>
        </w:rPr>
        <w:lastRenderedPageBreak/>
        <w:t>AASB 1050. 9 and 11</w:t>
      </w:r>
    </w:p>
    <w:p w:rsidR="004843DB" w:rsidRPr="0062582F" w:rsidRDefault="004843DB" w:rsidP="004843DB">
      <w:pPr>
        <w:pStyle w:val="CommentaryHeading1"/>
        <w:pBdr>
          <w:top w:val="none" w:sz="0" w:space="0" w:color="auto"/>
          <w:bottom w:val="none" w:sz="0" w:space="0" w:color="auto"/>
        </w:pBdr>
      </w:pPr>
      <w:bookmarkStart w:id="351" w:name="_Toc163448942"/>
      <w:r w:rsidRPr="0062582F">
        <w:br w:type="column"/>
      </w:r>
      <w:r w:rsidRPr="0062582F">
        <w:lastRenderedPageBreak/>
        <w:t>Administered income and expenses</w:t>
      </w:r>
      <w:bookmarkEnd w:id="351"/>
    </w:p>
    <w:p w:rsidR="004843DB" w:rsidRPr="0062582F" w:rsidRDefault="004843DB" w:rsidP="004843DB">
      <w:pPr>
        <w:pStyle w:val="CommentaryText"/>
        <w:pBdr>
          <w:top w:val="none" w:sz="0" w:space="0" w:color="auto"/>
          <w:bottom w:val="none" w:sz="0" w:space="0" w:color="auto"/>
        </w:pBdr>
        <w:spacing w:before="80"/>
      </w:pPr>
      <w:r w:rsidRPr="0062582F">
        <w:t>A department may be responsible for levying and collecting taxes, fines and fees, the provision of goods and services and transfer payments. These activities may give rise to income and expenses which the department does not control. This would occur where, for example, the department is not permitted to utilise the proceeds from user charges without further authorisation. Income and expenses that are administered by a department are not recognised in its comprehensive operating statement but are disclosed in the notes.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 xml:space="preserve">FRD 9A </w:t>
      </w:r>
      <w:r w:rsidRPr="0062582F">
        <w:br/>
        <w:t>AASB 1050.7</w:t>
      </w:r>
    </w:p>
    <w:p w:rsidR="004843DB" w:rsidRPr="0062582F" w:rsidRDefault="004843DB" w:rsidP="004843DB">
      <w:pPr>
        <w:pStyle w:val="CommentaryText"/>
        <w:pBdr>
          <w:top w:val="none" w:sz="0" w:space="0" w:color="auto"/>
          <w:bottom w:val="none" w:sz="0" w:space="0" w:color="auto"/>
        </w:pBdr>
        <w:spacing w:before="80"/>
      </w:pPr>
      <w:r w:rsidRPr="0062582F">
        <w:br w:type="column"/>
      </w:r>
      <w:r w:rsidRPr="0062582F">
        <w:lastRenderedPageBreak/>
        <w:t xml:space="preserve">AASB 1050 </w:t>
      </w:r>
      <w:r w:rsidRPr="0062582F">
        <w:rPr>
          <w:i/>
        </w:rPr>
        <w:t xml:space="preserve">Administered Items </w:t>
      </w:r>
      <w:r w:rsidRPr="0062582F">
        <w:t xml:space="preserve">and FRD 9A </w:t>
      </w:r>
      <w:r w:rsidRPr="0062582F">
        <w:rPr>
          <w:i/>
          <w:iCs/>
        </w:rPr>
        <w:t>Departmental Disclosure of Administered Assets and Liabilities by Activities</w:t>
      </w:r>
      <w:r w:rsidRPr="0062582F">
        <w:t xml:space="preserve"> requires administered income and expenses to be disclosed separately by major class and attributed to outputs where such allocation can be determined reliably.</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bookmarkStart w:id="352" w:name="_Toc163448943"/>
    </w:p>
    <w:p w:rsidR="004843DB" w:rsidRPr="0062582F" w:rsidRDefault="004843DB" w:rsidP="004843DB">
      <w:pPr>
        <w:pStyle w:val="CommentaryHeading1"/>
        <w:pBdr>
          <w:top w:val="none" w:sz="0" w:space="0" w:color="auto"/>
          <w:bottom w:val="none" w:sz="0" w:space="0" w:color="auto"/>
        </w:pBdr>
      </w:pPr>
      <w:r w:rsidRPr="0062582F">
        <w:lastRenderedPageBreak/>
        <w:br w:type="column"/>
      </w:r>
      <w:r w:rsidRPr="0062582F">
        <w:lastRenderedPageBreak/>
        <w:t>Administered assets and liabilities</w:t>
      </w:r>
      <w:bookmarkEnd w:id="352"/>
    </w:p>
    <w:p w:rsidR="004843DB" w:rsidRPr="0062582F" w:rsidRDefault="004843DB" w:rsidP="004843DB">
      <w:pPr>
        <w:pStyle w:val="CommentaryText"/>
        <w:pBdr>
          <w:top w:val="none" w:sz="0" w:space="0" w:color="auto"/>
          <w:bottom w:val="none" w:sz="0" w:space="0" w:color="auto"/>
        </w:pBdr>
        <w:spacing w:before="80"/>
      </w:pPr>
      <w:r w:rsidRPr="0062582F">
        <w:t>When undertaking administered activities, a department may manage and deploy assets in the capacity of an agent and may incur liabilities which will not involve a sacrifice of assets that are controlled by the department at the end of the reporting period. Assets and liabilities administered by the department are not recognised in its balance sheet but are disclosed in the notes.</w:t>
      </w:r>
    </w:p>
    <w:p w:rsidR="004843DB" w:rsidRPr="0062582F" w:rsidRDefault="004843DB" w:rsidP="004843DB">
      <w:pPr>
        <w:pStyle w:val="CommentaryText"/>
        <w:pBdr>
          <w:top w:val="none" w:sz="0" w:space="0" w:color="auto"/>
          <w:bottom w:val="none" w:sz="0" w:space="0" w:color="auto"/>
        </w:pBdr>
        <w:spacing w:before="80"/>
      </w:pPr>
      <w:r w:rsidRPr="0062582F">
        <w:t>On behalf of the State, the DTF discloses in its administered note of its annual financial statements the State</w:t>
      </w:r>
      <w:r w:rsidR="005A4BB0">
        <w:t>’</w:t>
      </w:r>
      <w:r w:rsidRPr="0062582F">
        <w:t>s investment in controlled entities and the superannuation liabilities related to departmental employees. While other departments are not required to show these items in their administered notes, they are advised to include footnotes as illustrated stating that this information is available in the DTF</w:t>
      </w:r>
      <w:r w:rsidR="005A4BB0">
        <w:t>’</w:t>
      </w:r>
      <w:r w:rsidRPr="0062582F">
        <w:t>s annual report.</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 xml:space="preserve">FRD 9A </w:t>
      </w:r>
      <w:r w:rsidRPr="0062582F">
        <w:rPr>
          <w:lang w:val="en-AU"/>
        </w:rPr>
        <w:br/>
        <w:t>AASB 1050.7</w:t>
      </w:r>
    </w:p>
    <w:p w:rsidR="004843DB" w:rsidRPr="0062582F" w:rsidRDefault="004843DB" w:rsidP="004843DB">
      <w:pPr>
        <w:pStyle w:val="CommentaryText"/>
        <w:pBdr>
          <w:top w:val="none" w:sz="0" w:space="0" w:color="auto"/>
          <w:bottom w:val="none" w:sz="0" w:space="0" w:color="auto"/>
        </w:pBdr>
        <w:spacing w:before="80"/>
      </w:pPr>
      <w:r w:rsidRPr="0062582F">
        <w:br w:type="column"/>
      </w:r>
      <w:r w:rsidRPr="0062582F">
        <w:lastRenderedPageBreak/>
        <w:t>AASB 1050 encourages, but does not require, the allocation of administered assets and liabilities to outputs. However, FRD 9A extends AASB 1050</w:t>
      </w:r>
      <w:r w:rsidR="005A4BB0">
        <w:t>’</w:t>
      </w:r>
      <w:r w:rsidRPr="0062582F">
        <w:t>s disclosure requirement for administered income and expenses to include disclosure on a major activity basis for administered assets and liabilities. Assets and liabilities should only be disclosed on a major activity basis when such allocations can be reliably attributable to the outputs.</w:t>
      </w:r>
      <w:bookmarkStart w:id="353" w:name="_Toc163448944"/>
    </w:p>
    <w:p w:rsidR="004843DB" w:rsidRPr="0062582F" w:rsidRDefault="004843DB" w:rsidP="004843DB">
      <w:pPr>
        <w:pStyle w:val="CommentaryHeading1"/>
        <w:pBdr>
          <w:top w:val="none" w:sz="0" w:space="0" w:color="auto"/>
          <w:bottom w:val="none" w:sz="0" w:space="0" w:color="auto"/>
        </w:pBdr>
      </w:pPr>
      <w:r w:rsidRPr="0062582F">
        <w:t>Identifying an allocation basis</w:t>
      </w:r>
      <w:bookmarkEnd w:id="353"/>
    </w:p>
    <w:p w:rsidR="004843DB" w:rsidRPr="0062582F" w:rsidRDefault="004843DB" w:rsidP="004843DB">
      <w:pPr>
        <w:pStyle w:val="CommentaryText"/>
        <w:pBdr>
          <w:top w:val="none" w:sz="0" w:space="0" w:color="auto"/>
          <w:bottom w:val="none" w:sz="0" w:space="0" w:color="auto"/>
        </w:pBdr>
        <w:spacing w:before="80"/>
      </w:pPr>
      <w:r w:rsidRPr="0062582F">
        <w:t>Usually, it is the elements of those administered activities that are undertaken by an autonomous unit of the department, such as a tax collection agency, which are more likely to be separately identifiable. Refer to the commentary on departmental outputs (Note 2) for comments on identification of major activities.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FRD 9A</w:t>
      </w:r>
    </w:p>
    <w:p w:rsidR="004843DB" w:rsidRPr="0062582F" w:rsidRDefault="004843DB" w:rsidP="004843DB">
      <w:pPr>
        <w:pStyle w:val="CommentaryText"/>
        <w:pBdr>
          <w:top w:val="none" w:sz="0" w:space="0" w:color="auto"/>
          <w:bottom w:val="none" w:sz="0" w:space="0" w:color="auto"/>
        </w:pBdr>
        <w:spacing w:before="80"/>
      </w:pPr>
      <w:r w:rsidRPr="0062582F">
        <w:br w:type="column"/>
      </w:r>
      <w:r w:rsidRPr="0062582F">
        <w:lastRenderedPageBreak/>
        <w:t>Where a department cannot determine an allocation on a reliable basis, it should discuss the matter with its auditor and advise the DTF of the outcome of those discussions before finalisation of the financial statements.</w:t>
      </w:r>
    </w:p>
    <w:p w:rsidR="004843DB" w:rsidRPr="0062582F" w:rsidRDefault="004843DB" w:rsidP="004843DB">
      <w:pPr>
        <w:pStyle w:val="CommentaryHeading1"/>
        <w:pBdr>
          <w:top w:val="none" w:sz="0" w:space="0" w:color="auto"/>
        </w:pBdr>
      </w:pPr>
      <w:bookmarkStart w:id="354" w:name="_Toc163448945"/>
      <w:r w:rsidRPr="0062582F">
        <w:t>Material administered items</w:t>
      </w:r>
      <w:bookmarkEnd w:id="354"/>
    </w:p>
    <w:p w:rsidR="004843DB" w:rsidRPr="0062582F" w:rsidRDefault="004843DB" w:rsidP="004843DB">
      <w:pPr>
        <w:pStyle w:val="CommentaryText"/>
        <w:pBdr>
          <w:top w:val="none" w:sz="0" w:space="0" w:color="auto"/>
        </w:pBdr>
        <w:spacing w:before="80"/>
      </w:pPr>
      <w:r w:rsidRPr="0062582F">
        <w:t xml:space="preserve">Where administered items are material, departments are required to provide additional disclosure by way of additional notes, for example, taxes, fees and fines, are to be disaggregated further where these items are material. </w:t>
      </w:r>
    </w:p>
    <w:p w:rsidR="004843DB" w:rsidRPr="0062582F" w:rsidRDefault="004843DB" w:rsidP="004843DB">
      <w:pPr>
        <w:pStyle w:val="CommentaryHeading1"/>
        <w:pBdr>
          <w:top w:val="none" w:sz="0" w:space="0" w:color="auto"/>
        </w:pBdr>
      </w:pPr>
      <w:r w:rsidRPr="0062582F">
        <w:t>Changes in accounting policies</w:t>
      </w:r>
    </w:p>
    <w:p w:rsidR="004843DB" w:rsidRPr="0062582F" w:rsidRDefault="004843DB" w:rsidP="004843DB">
      <w:pPr>
        <w:pStyle w:val="CommentaryText"/>
        <w:pBdr>
          <w:top w:val="none" w:sz="0" w:space="0" w:color="auto"/>
        </w:pBdr>
        <w:spacing w:before="80"/>
      </w:pPr>
      <w:r w:rsidRPr="0062582F">
        <w:t xml:space="preserve">Where an item moves from controlled to administered, or vice versa, the reclassification may constitute a change of accounting policy. </w:t>
      </w:r>
    </w:p>
    <w:p w:rsidR="004843DB" w:rsidRPr="0062582F" w:rsidRDefault="004843DB" w:rsidP="004843DB">
      <w:pPr>
        <w:pStyle w:val="CommentaryText"/>
        <w:pBdr>
          <w:top w:val="none" w:sz="0" w:space="0" w:color="auto"/>
        </w:pBdr>
        <w:spacing w:before="80"/>
      </w:pPr>
      <w:r w:rsidRPr="0062582F">
        <w:t xml:space="preserve">Where principles in respect of classification have been applied consistently and the reclassification arises from a change in circumstances, the change does not constitute a change in accounting policy. </w:t>
      </w:r>
    </w:p>
    <w:p w:rsidR="004843DB" w:rsidRPr="0062582F" w:rsidRDefault="004843DB" w:rsidP="004843DB">
      <w:pPr>
        <w:pStyle w:val="CommentaryText"/>
        <w:pBdr>
          <w:top w:val="none" w:sz="0" w:space="0" w:color="auto"/>
        </w:pBdr>
        <w:spacing w:before="80"/>
      </w:pPr>
      <w:r w:rsidRPr="0062582F">
        <w:t xml:space="preserve">However, where there is no change in circumstances or facts, a reclassification would constitute a change in accounting policy and would have to be disclosed as such under AASB 108 </w:t>
      </w:r>
      <w:r w:rsidRPr="0062582F">
        <w:rPr>
          <w:i/>
        </w:rPr>
        <w:t>Accounting Policies, Changes in Accounting Estimates and Errors</w:t>
      </w:r>
    </w:p>
    <w:p w:rsidR="004843DB" w:rsidRPr="0062582F" w:rsidRDefault="004843DB" w:rsidP="004843DB">
      <w:pPr>
        <w:spacing w:line="240" w:lineRule="atLeast"/>
        <w:rPr>
          <w:rFonts w:ascii="Calibri" w:hAnsi="Calibri" w:cs="Arial Narrow"/>
          <w:color w:val="0000FF"/>
          <w:sz w:val="16"/>
          <w:szCs w:val="16"/>
          <w:lang w:val="en-GB"/>
        </w:rPr>
      </w:pPr>
      <w:r w:rsidRPr="0062582F">
        <w:br w:type="page"/>
      </w:r>
    </w:p>
    <w:p w:rsidR="004843DB" w:rsidRPr="0062582F" w:rsidRDefault="004843DB" w:rsidP="004843DB">
      <w:pPr>
        <w:pStyle w:val="Reference"/>
      </w:pPr>
      <w:r w:rsidRPr="0062582F">
        <w:rPr>
          <w:rStyle w:val="ReferenceChar"/>
        </w:rPr>
        <w:lastRenderedPageBreak/>
        <w:br/>
        <w:t xml:space="preserve">AASB 101.97 </w:t>
      </w:r>
    </w:p>
    <w:p w:rsidR="004843DB" w:rsidRPr="0062582F" w:rsidRDefault="004843DB" w:rsidP="004843DB">
      <w:pPr>
        <w:pStyle w:val="NoteHeading"/>
      </w:pPr>
      <w:r w:rsidRPr="0062582F">
        <w:br w:type="column"/>
      </w:r>
      <w:bookmarkStart w:id="355" w:name="_Toc332019462"/>
      <w:bookmarkStart w:id="356" w:name="_Toc448157183"/>
      <w:r w:rsidRPr="0062582F">
        <w:lastRenderedPageBreak/>
        <w:t xml:space="preserve">Note 4. </w:t>
      </w:r>
      <w:r w:rsidRPr="0062582F">
        <w:tab/>
        <w:t>Income from transactions</w:t>
      </w:r>
      <w:bookmarkEnd w:id="355"/>
      <w:bookmarkEnd w:id="356"/>
    </w:p>
    <w:p w:rsidR="004843DB" w:rsidRPr="0062582F" w:rsidRDefault="004843DB" w:rsidP="004843DB">
      <w:pPr>
        <w:pStyle w:val="million"/>
        <w:sectPr w:rsidR="004843DB" w:rsidRPr="0062582F" w:rsidSect="00190A01">
          <w:headerReference w:type="default" r:id="rId246"/>
          <w:footerReference w:type="even" r:id="rId247"/>
          <w:footerReference w:type="default" r:id="rId248"/>
          <w:headerReference w:type="first" r:id="rId249"/>
          <w:footerReference w:type="first" r:id="rId250"/>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SmallLine"/>
      </w:pPr>
      <w:r w:rsidRPr="0062582F">
        <w:lastRenderedPageBreak/>
        <w:br/>
      </w:r>
      <w:r w:rsidRPr="0062582F">
        <w:br/>
      </w:r>
      <w:r w:rsidRPr="0062582F">
        <w:br/>
      </w:r>
      <w:r w:rsidRPr="0062582F">
        <w:br/>
      </w:r>
      <w:r w:rsidRPr="0062582F">
        <w:br/>
      </w:r>
    </w:p>
    <w:p w:rsidR="004843DB" w:rsidRPr="0062582F" w:rsidRDefault="004843DB" w:rsidP="004843DB">
      <w:pPr>
        <w:pStyle w:val="Reference"/>
      </w:pPr>
    </w:p>
    <w:p w:rsidR="004843DB" w:rsidRPr="0062582F" w:rsidRDefault="004843DB" w:rsidP="004843DB">
      <w:pPr>
        <w:pStyle w:val="Reference"/>
        <w:spacing w:before="40"/>
      </w:pPr>
      <w:r w:rsidRPr="0062582F">
        <w:t>AASB 118.35(b)(iii)</w:t>
      </w: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320"/>
      </w:pPr>
      <w:r w:rsidRPr="0062582F">
        <w:t>AASB 7.20(b)</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rPr>
          <w:sz w:val="8"/>
        </w:rPr>
      </w:pPr>
    </w:p>
    <w:p w:rsidR="004843DB" w:rsidRPr="0062582F" w:rsidRDefault="004843DB" w:rsidP="004843DB">
      <w:pPr>
        <w:pStyle w:val="Reference"/>
      </w:pPr>
      <w:r w:rsidRPr="0062582F">
        <w:br/>
      </w:r>
    </w:p>
    <w:p w:rsidR="004843DB" w:rsidRPr="0062582F" w:rsidRDefault="004843DB" w:rsidP="004843DB">
      <w:pPr>
        <w:pStyle w:val="Reference"/>
        <w:spacing w:before="200"/>
      </w:pPr>
      <w:r w:rsidRPr="0062582F">
        <w:t>AASB 118.35(b)(i)</w:t>
      </w:r>
    </w:p>
    <w:p w:rsidR="004843DB" w:rsidRPr="0062582F" w:rsidRDefault="004843DB" w:rsidP="004843DB">
      <w:pPr>
        <w:pStyle w:val="SmallLine"/>
        <w:rPr>
          <w:sz w:val="2"/>
        </w:rPr>
      </w:pPr>
      <w:r w:rsidRPr="0062582F">
        <w:rPr>
          <w:sz w:val="2"/>
        </w:rPr>
        <w:br/>
      </w:r>
      <w:r w:rsidRPr="0062582F">
        <w:rPr>
          <w:sz w:val="2"/>
        </w:rPr>
        <w:br/>
      </w:r>
    </w:p>
    <w:p w:rsidR="004843DB" w:rsidRPr="0062582F" w:rsidRDefault="004843DB" w:rsidP="004843DB">
      <w:pPr>
        <w:pStyle w:val="Reference"/>
        <w:spacing w:before="300"/>
        <w:rPr>
          <w:rStyle w:val="SmallLineChar"/>
          <w:sz w:val="16"/>
          <w:szCs w:val="16"/>
        </w:rPr>
      </w:pPr>
      <w:r w:rsidRPr="0062582F">
        <w:t>AASB 118.35(b)(ii)</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r w:rsidRPr="0062582F">
        <w:br/>
      </w:r>
      <w:r w:rsidRPr="0062582F">
        <w:br/>
      </w:r>
    </w:p>
    <w:p w:rsidR="004843DB" w:rsidRPr="0062582F" w:rsidRDefault="004843DB" w:rsidP="004843DB">
      <w:pPr>
        <w:pStyle w:val="Reference"/>
        <w:spacing w:before="300"/>
      </w:pPr>
      <w:r w:rsidRPr="0062582F">
        <w:t>AASB 1004. 62</w:t>
      </w:r>
    </w:p>
    <w:p w:rsidR="004843DB" w:rsidRPr="0062582F" w:rsidRDefault="004843DB" w:rsidP="004843DB">
      <w:pPr>
        <w:pStyle w:val="Reference"/>
        <w:spacing w:before="300"/>
      </w:pPr>
    </w:p>
    <w:p w:rsidR="004843DB" w:rsidRPr="0062582F" w:rsidRDefault="004843DB" w:rsidP="004843DB">
      <w:pPr>
        <w:pStyle w:val="Reference"/>
        <w:spacing w:before="300"/>
      </w:pPr>
    </w:p>
    <w:p w:rsidR="004843DB" w:rsidRPr="0062582F" w:rsidRDefault="004843DB" w:rsidP="004843DB">
      <w:pPr>
        <w:pStyle w:val="Reference"/>
        <w:spacing w:before="300"/>
      </w:pPr>
    </w:p>
    <w:p w:rsidR="004843DB" w:rsidRPr="0062582F" w:rsidRDefault="004843DB" w:rsidP="004843DB">
      <w:pPr>
        <w:pStyle w:val="Reference"/>
        <w:spacing w:before="300"/>
      </w:pPr>
    </w:p>
    <w:p w:rsidR="004843DB" w:rsidRPr="0062582F" w:rsidRDefault="004843DB" w:rsidP="004843DB">
      <w:pPr>
        <w:pStyle w:val="Reference"/>
        <w:spacing w:before="300"/>
      </w:pPr>
    </w:p>
    <w:p w:rsidR="004843DB" w:rsidRPr="0062582F" w:rsidRDefault="004843DB" w:rsidP="004843DB">
      <w:pPr>
        <w:pStyle w:val="Reference"/>
        <w:spacing w:before="300"/>
      </w:pPr>
    </w:p>
    <w:p w:rsidR="004843DB" w:rsidRPr="0062582F" w:rsidRDefault="004843DB" w:rsidP="004843DB">
      <w:pPr>
        <w:pStyle w:val="Reference"/>
        <w:spacing w:before="140"/>
      </w:pPr>
      <w:r w:rsidRPr="0062582F">
        <w:t>AASB 101.97</w:t>
      </w:r>
    </w:p>
    <w:p w:rsidR="004843DB" w:rsidRPr="0062582F" w:rsidRDefault="004843DB" w:rsidP="004843DB">
      <w:pPr>
        <w:pStyle w:val="SmallLine"/>
      </w:pPr>
    </w:p>
    <w:p w:rsidR="004843DB" w:rsidRPr="0062582F" w:rsidRDefault="004843DB" w:rsidP="004843DB">
      <w:pPr>
        <w:pStyle w:val="Reference"/>
        <w:spacing w:before="0"/>
      </w:pPr>
      <w:r w:rsidRPr="0062582F">
        <w:t>AASB 140.75(f)(i)</w:t>
      </w:r>
    </w:p>
    <w:p w:rsidR="004843DB" w:rsidRPr="0062582F" w:rsidRDefault="004843DB" w:rsidP="004843DB">
      <w:pPr>
        <w:pStyle w:val="SmallLine"/>
      </w:pPr>
      <w:r w:rsidRPr="0062582F">
        <w:br/>
      </w:r>
    </w:p>
    <w:p w:rsidR="004843DB" w:rsidRPr="0062582F" w:rsidRDefault="004843DB" w:rsidP="004843DB">
      <w:pPr>
        <w:pStyle w:val="Reference"/>
        <w:spacing w:before="0"/>
        <w:rPr>
          <w:color w:val="FF0000"/>
        </w:rPr>
      </w:pPr>
    </w:p>
    <w:p w:rsidR="004843DB" w:rsidRPr="0062582F" w:rsidRDefault="004843DB" w:rsidP="004843DB">
      <w:pPr>
        <w:pStyle w:val="Reference"/>
        <w:spacing w:before="0"/>
      </w:pPr>
      <w:r w:rsidRPr="0062582F">
        <w:t>AASB 118.35(b)(v)</w:t>
      </w:r>
    </w:p>
    <w:p w:rsidR="004843DB" w:rsidRPr="0062582F" w:rsidRDefault="004843DB" w:rsidP="004843DB">
      <w:pPr>
        <w:pStyle w:val="SmallLine"/>
      </w:pPr>
    </w:p>
    <w:p w:rsidR="004843DB" w:rsidRPr="0062582F" w:rsidRDefault="004843DB" w:rsidP="004843DB">
      <w:pPr>
        <w:pStyle w:val="SmallLine"/>
      </w:pPr>
      <w:r w:rsidRPr="0062582F">
        <w:br/>
      </w:r>
      <w:r w:rsidRPr="0062582F">
        <w:br/>
      </w:r>
      <w:r w:rsidRPr="0062582F">
        <w:br/>
      </w:r>
    </w:p>
    <w:p w:rsidR="004843DB" w:rsidRPr="0062582F" w:rsidRDefault="004843DB" w:rsidP="004843DB">
      <w:pPr>
        <w:pStyle w:val="Reference"/>
        <w:spacing w:before="240"/>
      </w:pPr>
      <w:r w:rsidRPr="0062582F">
        <w:t>AASB 1004.18(b)</w:t>
      </w:r>
    </w:p>
    <w:p w:rsidR="004843DB" w:rsidRPr="0062582F" w:rsidRDefault="004843DB" w:rsidP="004843DB">
      <w:pPr>
        <w:pStyle w:val="Reference"/>
        <w:spacing w:before="300"/>
      </w:pPr>
    </w:p>
    <w:p w:rsidR="004843DB" w:rsidRPr="0062582F" w:rsidRDefault="004843DB" w:rsidP="004843DB">
      <w:pPr>
        <w:pStyle w:val="million"/>
        <w:rPr>
          <w:rFonts w:ascii="Tahoma" w:hAnsi="Tahoma" w:cs="Tahoma"/>
          <w:sz w:val="20"/>
        </w:rPr>
      </w:pPr>
      <w:r w:rsidRPr="0062582F">
        <w:br w:type="column"/>
      </w:r>
      <w:r w:rsidRPr="0062582F">
        <w:lastRenderedPageBreak/>
        <w:t>($ thousand)</w:t>
      </w:r>
    </w:p>
    <w:tbl>
      <w:tblPr>
        <w:tblW w:w="7989" w:type="dxa"/>
        <w:tblInd w:w="108" w:type="dxa"/>
        <w:tblCellMar>
          <w:left w:w="17" w:type="dxa"/>
          <w:right w:w="17" w:type="dxa"/>
        </w:tblCellMar>
        <w:tblLook w:val="04A0" w:firstRow="1" w:lastRow="0" w:firstColumn="1" w:lastColumn="0" w:noHBand="0" w:noVBand="1"/>
      </w:tblPr>
      <w:tblGrid>
        <w:gridCol w:w="340"/>
        <w:gridCol w:w="5689"/>
        <w:gridCol w:w="980"/>
        <w:gridCol w:w="980"/>
      </w:tblGrid>
      <w:tr w:rsidR="004843DB" w:rsidRPr="0062582F" w:rsidTr="004843DB">
        <w:trPr>
          <w:trHeight w:val="255"/>
        </w:trPr>
        <w:tc>
          <w:tcPr>
            <w:tcW w:w="3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 xml:space="preserve"> </w:t>
            </w:r>
          </w:p>
        </w:tc>
        <w:tc>
          <w:tcPr>
            <w:tcW w:w="5689"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 xml:space="preserve"> </w:t>
            </w:r>
          </w:p>
        </w:tc>
        <w:tc>
          <w:tcPr>
            <w:tcW w:w="98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98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rPr>
                <w:b/>
              </w:rPr>
            </w:pPr>
            <w:r w:rsidRPr="0062582F">
              <w:rPr>
                <w:b/>
              </w:rPr>
              <w:t>(a)</w:t>
            </w:r>
          </w:p>
        </w:tc>
        <w:tc>
          <w:tcPr>
            <w:tcW w:w="5689"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Interest</w:t>
            </w:r>
          </w:p>
        </w:tc>
        <w:tc>
          <w:tcPr>
            <w:tcW w:w="98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
            </w:pPr>
            <w:r w:rsidRPr="0062582F">
              <w:t>Interest from financial assets not at fair value through P/L</w:t>
            </w:r>
          </w:p>
        </w:tc>
        <w:tc>
          <w:tcPr>
            <w:tcW w:w="98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
            </w:pPr>
            <w:r w:rsidRPr="0062582F">
              <w:t>Interest on bank deposits</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888</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839</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
            </w:pPr>
            <w:r w:rsidRPr="0062582F">
              <w:t>Interest from loans</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242</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235</w:t>
            </w:r>
          </w:p>
        </w:tc>
      </w:tr>
      <w:tr w:rsidR="004843DB" w:rsidRPr="0062582F" w:rsidTr="004843DB">
        <w:trPr>
          <w:trHeight w:val="66"/>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
            </w:pPr>
            <w:r w:rsidRPr="0062582F">
              <w:t>Other miscellaneous interest income</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1 045</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561</w:t>
            </w:r>
          </w:p>
        </w:tc>
      </w:tr>
      <w:tr w:rsidR="004843DB" w:rsidRPr="0062582F" w:rsidTr="004843DB">
        <w:trPr>
          <w:trHeight w:val="255"/>
        </w:trPr>
        <w:tc>
          <w:tcPr>
            <w:tcW w:w="3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Total interest from financial assets not at fair value through P/L</w:t>
            </w:r>
          </w:p>
        </w:tc>
        <w:tc>
          <w:tcPr>
            <w:tcW w:w="98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2 175</w:t>
            </w:r>
          </w:p>
        </w:tc>
        <w:tc>
          <w:tcPr>
            <w:tcW w:w="98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1 635</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
            </w:pPr>
            <w:r w:rsidRPr="0062582F">
              <w:t>Interest from financial assets at fair value through P/L</w:t>
            </w:r>
          </w:p>
        </w:tc>
        <w:tc>
          <w:tcPr>
            <w:tcW w:w="98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
            </w:pPr>
            <w:r w:rsidRPr="0062582F">
              <w:t>Interest from debt securities</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1 689</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1 262</w:t>
            </w:r>
          </w:p>
        </w:tc>
      </w:tr>
      <w:tr w:rsidR="004843DB" w:rsidRPr="0062582F" w:rsidTr="004843DB">
        <w:trPr>
          <w:trHeight w:val="255"/>
        </w:trPr>
        <w:tc>
          <w:tcPr>
            <w:tcW w:w="3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Total interest from financial assets at fair value through P/L</w:t>
            </w:r>
          </w:p>
        </w:tc>
        <w:tc>
          <w:tcPr>
            <w:tcW w:w="98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1 689</w:t>
            </w:r>
          </w:p>
        </w:tc>
        <w:tc>
          <w:tcPr>
            <w:tcW w:w="98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1 262</w:t>
            </w:r>
          </w:p>
        </w:tc>
      </w:tr>
      <w:tr w:rsidR="004843DB" w:rsidRPr="0062582F" w:rsidTr="004843DB">
        <w:trPr>
          <w:trHeight w:val="255"/>
        </w:trPr>
        <w:tc>
          <w:tcPr>
            <w:tcW w:w="3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b/>
              </w:rPr>
            </w:pPr>
            <w:r w:rsidRPr="0062582F">
              <w:rPr>
                <w:b/>
              </w:rPr>
              <w:t xml:space="preserve"> </w:t>
            </w:r>
          </w:p>
        </w:tc>
        <w:tc>
          <w:tcPr>
            <w:tcW w:w="5689"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interest</w:t>
            </w:r>
          </w:p>
        </w:tc>
        <w:tc>
          <w:tcPr>
            <w:tcW w:w="9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3 864</w:t>
            </w:r>
          </w:p>
        </w:tc>
        <w:tc>
          <w:tcPr>
            <w:tcW w:w="98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2 897</w:t>
            </w:r>
          </w:p>
        </w:tc>
      </w:tr>
      <w:tr w:rsidR="004843DB" w:rsidRPr="0062582F" w:rsidTr="004843DB">
        <w:trPr>
          <w:trHeight w:val="255"/>
        </w:trPr>
        <w:tc>
          <w:tcPr>
            <w:tcW w:w="340" w:type="dxa"/>
            <w:tcBorders>
              <w:top w:val="single" w:sz="12" w:space="0" w:color="auto"/>
              <w:left w:val="nil"/>
              <w:bottom w:val="nil"/>
              <w:right w:val="nil"/>
            </w:tcBorders>
            <w:shd w:val="clear" w:color="auto" w:fill="auto"/>
            <w:noWrap/>
            <w:hideMark/>
          </w:tcPr>
          <w:p w:rsidR="004843DB" w:rsidRPr="0062582F" w:rsidRDefault="004843DB" w:rsidP="004843DB">
            <w:pPr>
              <w:pStyle w:val="Tabletext"/>
              <w:rPr>
                <w:b/>
              </w:rPr>
            </w:pPr>
            <w:r w:rsidRPr="0062582F">
              <w:rPr>
                <w:b/>
              </w:rPr>
              <w:t>(b)</w:t>
            </w:r>
          </w:p>
        </w:tc>
        <w:tc>
          <w:tcPr>
            <w:tcW w:w="5689" w:type="dxa"/>
            <w:tcBorders>
              <w:top w:val="single" w:sz="12"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Sale of goods and services</w:t>
            </w:r>
          </w:p>
        </w:tc>
        <w:tc>
          <w:tcPr>
            <w:tcW w:w="980" w:type="dxa"/>
            <w:tcBorders>
              <w:top w:val="single" w:sz="12" w:space="0" w:color="auto"/>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8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
            </w:pPr>
            <w:r w:rsidRPr="0062582F">
              <w:t>Sales of goods</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1 114</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945</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
            </w:pPr>
            <w:r w:rsidRPr="0062582F">
              <w:t>Sale of biological assets</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215</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55"/>
        </w:trPr>
        <w:tc>
          <w:tcPr>
            <w:tcW w:w="340"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Rendering of services</w:t>
            </w:r>
          </w:p>
        </w:tc>
        <w:tc>
          <w:tcPr>
            <w:tcW w:w="9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510</w:t>
            </w:r>
          </w:p>
        </w:tc>
        <w:tc>
          <w:tcPr>
            <w:tcW w:w="98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401</w:t>
            </w:r>
          </w:p>
        </w:tc>
      </w:tr>
      <w:tr w:rsidR="004843DB" w:rsidRPr="0062582F" w:rsidTr="004843DB">
        <w:trPr>
          <w:trHeight w:val="255"/>
        </w:trPr>
        <w:tc>
          <w:tcPr>
            <w:tcW w:w="3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b/>
              </w:rPr>
            </w:pPr>
            <w:r w:rsidRPr="0062582F">
              <w:rPr>
                <w:b/>
              </w:rPr>
              <w:t xml:space="preserve"> </w:t>
            </w:r>
          </w:p>
        </w:tc>
        <w:tc>
          <w:tcPr>
            <w:tcW w:w="5689"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sale of goods and services</w:t>
            </w:r>
          </w:p>
        </w:tc>
        <w:tc>
          <w:tcPr>
            <w:tcW w:w="9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1 839</w:t>
            </w:r>
          </w:p>
        </w:tc>
        <w:tc>
          <w:tcPr>
            <w:tcW w:w="98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1 346</w:t>
            </w:r>
          </w:p>
        </w:tc>
      </w:tr>
      <w:tr w:rsidR="004843DB" w:rsidRPr="0062582F" w:rsidTr="004843DB">
        <w:trPr>
          <w:trHeight w:val="255"/>
        </w:trPr>
        <w:tc>
          <w:tcPr>
            <w:tcW w:w="340" w:type="dxa"/>
            <w:tcBorders>
              <w:top w:val="single" w:sz="12" w:space="0" w:color="auto"/>
              <w:left w:val="nil"/>
              <w:bottom w:val="nil"/>
              <w:right w:val="nil"/>
            </w:tcBorders>
            <w:shd w:val="clear" w:color="auto" w:fill="auto"/>
            <w:noWrap/>
            <w:hideMark/>
          </w:tcPr>
          <w:p w:rsidR="004843DB" w:rsidRPr="0062582F" w:rsidRDefault="004843DB" w:rsidP="004843DB">
            <w:pPr>
              <w:pStyle w:val="Tabletext"/>
              <w:rPr>
                <w:b/>
              </w:rPr>
            </w:pPr>
            <w:r w:rsidRPr="0062582F">
              <w:rPr>
                <w:b/>
              </w:rPr>
              <w:t>(c)</w:t>
            </w:r>
          </w:p>
        </w:tc>
        <w:tc>
          <w:tcPr>
            <w:tcW w:w="5689" w:type="dxa"/>
            <w:tcBorders>
              <w:top w:val="single" w:sz="12"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Grants</w:t>
            </w:r>
          </w:p>
        </w:tc>
        <w:tc>
          <w:tcPr>
            <w:tcW w:w="980" w:type="dxa"/>
            <w:tcBorders>
              <w:top w:val="single" w:sz="12" w:space="0" w:color="auto"/>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8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
            </w:pPr>
            <w:r w:rsidRPr="0062582F">
              <w:t>General purpose</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125</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121</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
            </w:pPr>
            <w:r w:rsidRPr="0062582F">
              <w:t>Specific purpose grants for on</w:t>
            </w:r>
            <w:r w:rsidR="005A4BB0">
              <w:noBreakHyphen/>
            </w:r>
            <w:r w:rsidRPr="0062582F">
              <w:t>passing</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128</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55"/>
        </w:trPr>
        <w:tc>
          <w:tcPr>
            <w:tcW w:w="340"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Other specific purpose</w:t>
            </w:r>
          </w:p>
        </w:tc>
        <w:tc>
          <w:tcPr>
            <w:tcW w:w="9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53</w:t>
            </w:r>
          </w:p>
        </w:tc>
        <w:tc>
          <w:tcPr>
            <w:tcW w:w="98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19</w:t>
            </w:r>
          </w:p>
        </w:tc>
      </w:tr>
      <w:tr w:rsidR="004843DB" w:rsidRPr="0062582F" w:rsidTr="004843DB">
        <w:trPr>
          <w:trHeight w:val="255"/>
        </w:trPr>
        <w:tc>
          <w:tcPr>
            <w:tcW w:w="3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b/>
              </w:rPr>
            </w:pPr>
            <w:r w:rsidRPr="0062582F">
              <w:rPr>
                <w:b/>
              </w:rPr>
              <w:t xml:space="preserve"> </w:t>
            </w:r>
          </w:p>
        </w:tc>
        <w:tc>
          <w:tcPr>
            <w:tcW w:w="5689"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grants</w:t>
            </w:r>
          </w:p>
        </w:tc>
        <w:tc>
          <w:tcPr>
            <w:tcW w:w="9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306</w:t>
            </w:r>
          </w:p>
        </w:tc>
        <w:tc>
          <w:tcPr>
            <w:tcW w:w="98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140</w:t>
            </w:r>
          </w:p>
        </w:tc>
      </w:tr>
      <w:tr w:rsidR="004843DB" w:rsidRPr="0062582F" w:rsidTr="004843DB">
        <w:trPr>
          <w:trHeight w:val="255"/>
        </w:trPr>
        <w:tc>
          <w:tcPr>
            <w:tcW w:w="340" w:type="dxa"/>
            <w:tcBorders>
              <w:top w:val="single" w:sz="12" w:space="0" w:color="auto"/>
              <w:left w:val="nil"/>
              <w:bottom w:val="nil"/>
              <w:right w:val="nil"/>
            </w:tcBorders>
            <w:shd w:val="clear" w:color="auto" w:fill="auto"/>
            <w:noWrap/>
            <w:hideMark/>
          </w:tcPr>
          <w:p w:rsidR="004843DB" w:rsidRPr="0062582F" w:rsidRDefault="004843DB" w:rsidP="004843DB">
            <w:pPr>
              <w:pStyle w:val="Tabletext"/>
              <w:rPr>
                <w:b/>
              </w:rPr>
            </w:pPr>
            <w:r w:rsidRPr="0062582F">
              <w:rPr>
                <w:b/>
              </w:rPr>
              <w:t>(d)</w:t>
            </w:r>
          </w:p>
        </w:tc>
        <w:tc>
          <w:tcPr>
            <w:tcW w:w="5689" w:type="dxa"/>
            <w:tcBorders>
              <w:top w:val="single" w:sz="12"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Fair value of assets and services received free of charge or for nominal consideration</w:t>
            </w:r>
          </w:p>
        </w:tc>
        <w:tc>
          <w:tcPr>
            <w:tcW w:w="980" w:type="dxa"/>
            <w:tcBorders>
              <w:top w:val="single" w:sz="12" w:space="0" w:color="auto"/>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8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
            </w:pPr>
            <w:r w:rsidRPr="0062582F">
              <w:t>Assets</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Indent"/>
            </w:pPr>
            <w:r w:rsidRPr="0062582F">
              <w:t>Cash donations and gifts</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1 023</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790</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Indent"/>
            </w:pPr>
            <w:r w:rsidRPr="0062582F">
              <w:t>Plant and equipment</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33</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16</w:t>
            </w:r>
          </w:p>
        </w:tc>
      </w:tr>
      <w:tr w:rsidR="004843DB" w:rsidRPr="0062582F" w:rsidTr="004843DB">
        <w:trPr>
          <w:trHeight w:val="255"/>
        </w:trPr>
        <w:tc>
          <w:tcPr>
            <w:tcW w:w="340" w:type="dxa"/>
            <w:tcBorders>
              <w:top w:val="nil"/>
              <w:left w:val="nil"/>
              <w:bottom w:val="nil"/>
              <w:right w:val="nil"/>
            </w:tcBorders>
            <w:shd w:val="clear" w:color="auto" w:fill="auto"/>
            <w:noWrap/>
          </w:tcPr>
          <w:p w:rsidR="004843DB" w:rsidRPr="0062582F" w:rsidRDefault="004843DB" w:rsidP="004843DB">
            <w:pPr>
              <w:pStyle w:val="Tabletext"/>
              <w:rPr>
                <w:b/>
                <w:bCs/>
              </w:rPr>
            </w:pPr>
          </w:p>
        </w:tc>
        <w:tc>
          <w:tcPr>
            <w:tcW w:w="5689" w:type="dxa"/>
            <w:tcBorders>
              <w:top w:val="nil"/>
              <w:left w:val="nil"/>
              <w:bottom w:val="nil"/>
              <w:right w:val="nil"/>
            </w:tcBorders>
            <w:shd w:val="clear" w:color="auto" w:fill="auto"/>
          </w:tcPr>
          <w:p w:rsidR="004843DB" w:rsidRPr="0062582F" w:rsidRDefault="004843DB" w:rsidP="004843DB">
            <w:pPr>
              <w:pStyle w:val="TabletextIndent"/>
            </w:pPr>
            <w:r w:rsidRPr="0062582F">
              <w:t>Land at fair value</w:t>
            </w:r>
          </w:p>
        </w:tc>
        <w:tc>
          <w:tcPr>
            <w:tcW w:w="980" w:type="dxa"/>
            <w:tcBorders>
              <w:top w:val="nil"/>
              <w:left w:val="nil"/>
              <w:bottom w:val="nil"/>
              <w:right w:val="nil"/>
            </w:tcBorders>
            <w:shd w:val="clear" w:color="00FFFF" w:fill="CCCCCC"/>
            <w:noWrap/>
          </w:tcPr>
          <w:p w:rsidR="004843DB" w:rsidRPr="0062582F" w:rsidRDefault="004843DB" w:rsidP="004843DB">
            <w:pPr>
              <w:pStyle w:val="TableofFigures"/>
            </w:pPr>
            <w:r w:rsidRPr="0062582F">
              <w:t>348</w:t>
            </w:r>
          </w:p>
        </w:tc>
        <w:tc>
          <w:tcPr>
            <w:tcW w:w="980" w:type="dxa"/>
            <w:tcBorders>
              <w:top w:val="nil"/>
              <w:left w:val="nil"/>
              <w:bottom w:val="nil"/>
              <w:right w:val="nil"/>
            </w:tcBorders>
            <w:shd w:val="clear" w:color="auto" w:fill="auto"/>
            <w:noWrap/>
          </w:tcPr>
          <w:p w:rsidR="004843DB" w:rsidRPr="0062582F" w:rsidRDefault="004843DB" w:rsidP="004843DB">
            <w:pPr>
              <w:pStyle w:val="TableofFigures"/>
            </w:pPr>
            <w:r w:rsidRPr="0062582F">
              <w:t>525</w:t>
            </w:r>
          </w:p>
        </w:tc>
      </w:tr>
      <w:tr w:rsidR="004843DB" w:rsidRPr="0062582F" w:rsidTr="004843DB">
        <w:trPr>
          <w:trHeight w:val="255"/>
        </w:trPr>
        <w:tc>
          <w:tcPr>
            <w:tcW w:w="340"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bottom w:val="nil"/>
              <w:right w:val="nil"/>
            </w:tcBorders>
            <w:shd w:val="clear" w:color="auto" w:fill="auto"/>
            <w:hideMark/>
          </w:tcPr>
          <w:p w:rsidR="004843DB" w:rsidRPr="0062582F" w:rsidRDefault="004843DB" w:rsidP="004843DB">
            <w:pPr>
              <w:pStyle w:val="TabletextIndent"/>
            </w:pPr>
            <w:r w:rsidRPr="0062582F">
              <w:t>Buildings at fair value</w:t>
            </w:r>
          </w:p>
        </w:tc>
        <w:tc>
          <w:tcPr>
            <w:tcW w:w="9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325</w:t>
            </w:r>
          </w:p>
        </w:tc>
      </w:tr>
      <w:tr w:rsidR="004843DB" w:rsidRPr="0062582F" w:rsidTr="004843DB">
        <w:trPr>
          <w:trHeight w:val="255"/>
        </w:trPr>
        <w:tc>
          <w:tcPr>
            <w:tcW w:w="340" w:type="dxa"/>
            <w:tcBorders>
              <w:top w:val="nil"/>
              <w:left w:val="nil"/>
              <w:right w:val="nil"/>
            </w:tcBorders>
            <w:shd w:val="clear" w:color="auto" w:fill="auto"/>
            <w:noWrap/>
          </w:tcPr>
          <w:p w:rsidR="004843DB" w:rsidRPr="0062582F" w:rsidRDefault="004843DB" w:rsidP="004843DB">
            <w:pPr>
              <w:pStyle w:val="Tabletext"/>
              <w:rPr>
                <w:b/>
                <w:bCs/>
              </w:rPr>
            </w:pPr>
          </w:p>
        </w:tc>
        <w:tc>
          <w:tcPr>
            <w:tcW w:w="5689" w:type="dxa"/>
            <w:tcBorders>
              <w:top w:val="nil"/>
              <w:left w:val="nil"/>
              <w:right w:val="nil"/>
            </w:tcBorders>
            <w:shd w:val="clear" w:color="auto" w:fill="auto"/>
          </w:tcPr>
          <w:p w:rsidR="004843DB" w:rsidRPr="0062582F" w:rsidRDefault="004843DB" w:rsidP="004843DB">
            <w:pPr>
              <w:pStyle w:val="TabletextIndent"/>
            </w:pPr>
            <w:r w:rsidRPr="0062582F">
              <w:t>Road, infrastructure and earthworks at fair value</w:t>
            </w:r>
          </w:p>
        </w:tc>
        <w:tc>
          <w:tcPr>
            <w:tcW w:w="980" w:type="dxa"/>
            <w:tcBorders>
              <w:top w:val="nil"/>
              <w:left w:val="nil"/>
              <w:right w:val="nil"/>
            </w:tcBorders>
            <w:shd w:val="clear" w:color="00FFFF" w:fill="CCCCCC"/>
            <w:noWrap/>
          </w:tcPr>
          <w:p w:rsidR="004843DB" w:rsidRPr="0062582F" w:rsidRDefault="004843DB" w:rsidP="004843DB">
            <w:pPr>
              <w:pStyle w:val="TableofFigures"/>
            </w:pPr>
            <w:r w:rsidRPr="0062582F">
              <w:t>109</w:t>
            </w:r>
          </w:p>
        </w:tc>
        <w:tc>
          <w:tcPr>
            <w:tcW w:w="980" w:type="dxa"/>
            <w:tcBorders>
              <w:top w:val="nil"/>
              <w:left w:val="nil"/>
              <w:right w:val="nil"/>
            </w:tcBorders>
            <w:shd w:val="clear" w:color="auto" w:fill="auto"/>
            <w:noWrap/>
          </w:tcPr>
          <w:p w:rsidR="004843DB" w:rsidRPr="0062582F" w:rsidRDefault="004843DB" w:rsidP="004843DB">
            <w:pPr>
              <w:pStyle w:val="TableofFigures"/>
            </w:pPr>
            <w:r w:rsidRPr="0062582F">
              <w:t>..</w:t>
            </w:r>
          </w:p>
        </w:tc>
      </w:tr>
      <w:tr w:rsidR="004843DB" w:rsidRPr="0062582F" w:rsidTr="004843DB">
        <w:trPr>
          <w:trHeight w:val="255"/>
        </w:trPr>
        <w:tc>
          <w:tcPr>
            <w:tcW w:w="340" w:type="dxa"/>
            <w:tcBorders>
              <w:top w:val="nil"/>
              <w:left w:val="nil"/>
              <w:right w:val="nil"/>
            </w:tcBorders>
            <w:shd w:val="clear" w:color="auto" w:fill="auto"/>
            <w:noWrap/>
            <w:hideMark/>
          </w:tcPr>
          <w:p w:rsidR="004843DB" w:rsidRPr="0062582F" w:rsidRDefault="004843DB" w:rsidP="004843DB">
            <w:pPr>
              <w:pStyle w:val="Tabletext"/>
            </w:pPr>
            <w:r w:rsidRPr="0062582F">
              <w:t xml:space="preserve"> </w:t>
            </w:r>
          </w:p>
        </w:tc>
        <w:tc>
          <w:tcPr>
            <w:tcW w:w="5689" w:type="dxa"/>
            <w:tcBorders>
              <w:top w:val="nil"/>
              <w:left w:val="nil"/>
              <w:right w:val="nil"/>
            </w:tcBorders>
            <w:shd w:val="clear" w:color="auto" w:fill="auto"/>
            <w:hideMark/>
          </w:tcPr>
          <w:p w:rsidR="004843DB" w:rsidRPr="0062582F" w:rsidRDefault="004843DB" w:rsidP="004843DB">
            <w:pPr>
              <w:pStyle w:val="TabletextIndent"/>
            </w:pPr>
            <w:r w:rsidRPr="0062582F">
              <w:t>Other</w:t>
            </w:r>
          </w:p>
        </w:tc>
        <w:tc>
          <w:tcPr>
            <w:tcW w:w="980" w:type="dxa"/>
            <w:tcBorders>
              <w:top w:val="nil"/>
              <w:left w:val="nil"/>
              <w:right w:val="nil"/>
            </w:tcBorders>
            <w:shd w:val="clear" w:color="00FFFF" w:fill="CCCCCC"/>
            <w:noWrap/>
            <w:hideMark/>
          </w:tcPr>
          <w:p w:rsidR="004843DB" w:rsidRPr="0062582F" w:rsidRDefault="004843DB" w:rsidP="004843DB">
            <w:pPr>
              <w:pStyle w:val="TableofFigures"/>
            </w:pPr>
            <w:r w:rsidRPr="0062582F">
              <w:t xml:space="preserve"> 76</w:t>
            </w:r>
          </w:p>
        </w:tc>
        <w:tc>
          <w:tcPr>
            <w:tcW w:w="980" w:type="dxa"/>
            <w:tcBorders>
              <w:top w:val="nil"/>
              <w:left w:val="nil"/>
              <w:right w:val="nil"/>
            </w:tcBorders>
            <w:shd w:val="clear" w:color="auto" w:fill="auto"/>
            <w:noWrap/>
            <w:hideMark/>
          </w:tcPr>
          <w:p w:rsidR="004843DB" w:rsidRPr="0062582F" w:rsidRDefault="004843DB" w:rsidP="004843DB">
            <w:pPr>
              <w:pStyle w:val="TableofFigures"/>
            </w:pPr>
            <w:r w:rsidRPr="0062582F">
              <w:t xml:space="preserve"> 52</w:t>
            </w:r>
          </w:p>
        </w:tc>
      </w:tr>
      <w:tr w:rsidR="004843DB" w:rsidRPr="0062582F" w:rsidTr="004843DB">
        <w:trPr>
          <w:trHeight w:val="255"/>
        </w:trPr>
        <w:tc>
          <w:tcPr>
            <w:tcW w:w="340" w:type="dxa"/>
            <w:tcBorders>
              <w:left w:val="nil"/>
              <w:bottom w:val="single" w:sz="4" w:space="0" w:color="auto"/>
              <w:right w:val="nil"/>
            </w:tcBorders>
            <w:shd w:val="clear" w:color="auto" w:fill="auto"/>
            <w:noWrap/>
          </w:tcPr>
          <w:p w:rsidR="004843DB" w:rsidRPr="0062582F" w:rsidRDefault="004843DB" w:rsidP="004843DB">
            <w:pPr>
              <w:pStyle w:val="Tabletext"/>
              <w:rPr>
                <w:b/>
                <w:bCs/>
              </w:rPr>
            </w:pPr>
          </w:p>
        </w:tc>
        <w:tc>
          <w:tcPr>
            <w:tcW w:w="5689" w:type="dxa"/>
            <w:tcBorders>
              <w:left w:val="nil"/>
              <w:bottom w:val="single" w:sz="4" w:space="0" w:color="auto"/>
              <w:right w:val="nil"/>
            </w:tcBorders>
            <w:shd w:val="clear" w:color="auto" w:fill="auto"/>
          </w:tcPr>
          <w:p w:rsidR="004843DB" w:rsidRPr="0062582F" w:rsidRDefault="004843DB" w:rsidP="004843DB">
            <w:pPr>
              <w:pStyle w:val="Tabletext"/>
            </w:pPr>
            <w:r w:rsidRPr="0062582F">
              <w:t>Services</w:t>
            </w:r>
          </w:p>
        </w:tc>
        <w:tc>
          <w:tcPr>
            <w:tcW w:w="980" w:type="dxa"/>
            <w:tcBorders>
              <w:left w:val="nil"/>
              <w:bottom w:val="single" w:sz="4" w:space="0" w:color="auto"/>
              <w:right w:val="nil"/>
            </w:tcBorders>
            <w:shd w:val="clear" w:color="00FFFF" w:fill="CCCCCC"/>
            <w:noWrap/>
          </w:tcPr>
          <w:p w:rsidR="004843DB" w:rsidRPr="0062582F" w:rsidRDefault="004843DB" w:rsidP="004843DB">
            <w:pPr>
              <w:pStyle w:val="TableofFigures"/>
            </w:pPr>
            <w:r w:rsidRPr="0062582F">
              <w:t>..</w:t>
            </w:r>
          </w:p>
        </w:tc>
        <w:tc>
          <w:tcPr>
            <w:tcW w:w="980" w:type="dxa"/>
            <w:tcBorders>
              <w:left w:val="nil"/>
              <w:bottom w:val="single" w:sz="4" w:space="0" w:color="auto"/>
              <w:right w:val="nil"/>
            </w:tcBorders>
            <w:shd w:val="clear" w:color="auto" w:fill="auto"/>
            <w:noWrap/>
          </w:tcPr>
          <w:p w:rsidR="004843DB" w:rsidRPr="0062582F" w:rsidRDefault="004843DB" w:rsidP="004843DB">
            <w:pPr>
              <w:pStyle w:val="TableofFigures"/>
            </w:pPr>
            <w:r w:rsidRPr="0062582F">
              <w:t>..</w:t>
            </w:r>
          </w:p>
        </w:tc>
      </w:tr>
      <w:tr w:rsidR="004843DB" w:rsidRPr="0062582F" w:rsidTr="004843DB">
        <w:trPr>
          <w:trHeight w:val="255"/>
        </w:trPr>
        <w:tc>
          <w:tcPr>
            <w:tcW w:w="3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b/>
              </w:rPr>
            </w:pPr>
            <w:r w:rsidRPr="0062582F">
              <w:rPr>
                <w:b/>
              </w:rPr>
              <w:t xml:space="preserve"> </w:t>
            </w:r>
          </w:p>
        </w:tc>
        <w:tc>
          <w:tcPr>
            <w:tcW w:w="5689"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fair value of assets and services received free of charge or for nominal consideration</w:t>
            </w:r>
          </w:p>
        </w:tc>
        <w:tc>
          <w:tcPr>
            <w:tcW w:w="9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1 589</w:t>
            </w:r>
          </w:p>
        </w:tc>
        <w:tc>
          <w:tcPr>
            <w:tcW w:w="98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1 708</w:t>
            </w:r>
          </w:p>
        </w:tc>
      </w:tr>
      <w:tr w:rsidR="004843DB" w:rsidRPr="0062582F" w:rsidTr="004843DB">
        <w:trPr>
          <w:trHeight w:val="255"/>
        </w:trPr>
        <w:tc>
          <w:tcPr>
            <w:tcW w:w="340" w:type="dxa"/>
            <w:tcBorders>
              <w:top w:val="single" w:sz="12" w:space="0" w:color="auto"/>
              <w:left w:val="nil"/>
              <w:right w:val="nil"/>
            </w:tcBorders>
            <w:shd w:val="clear" w:color="auto" w:fill="auto"/>
            <w:noWrap/>
          </w:tcPr>
          <w:p w:rsidR="004843DB" w:rsidRPr="0062582F" w:rsidRDefault="004843DB" w:rsidP="004843DB">
            <w:pPr>
              <w:pStyle w:val="Tabletext"/>
              <w:rPr>
                <w:b/>
              </w:rPr>
            </w:pPr>
            <w:r w:rsidRPr="0062582F">
              <w:rPr>
                <w:b/>
              </w:rPr>
              <w:t>(e)</w:t>
            </w:r>
          </w:p>
        </w:tc>
        <w:tc>
          <w:tcPr>
            <w:tcW w:w="5689" w:type="dxa"/>
            <w:tcBorders>
              <w:top w:val="single" w:sz="12" w:space="0" w:color="auto"/>
              <w:left w:val="nil"/>
              <w:right w:val="nil"/>
            </w:tcBorders>
            <w:shd w:val="clear" w:color="auto" w:fill="auto"/>
          </w:tcPr>
          <w:p w:rsidR="004843DB" w:rsidRPr="0062582F" w:rsidRDefault="004843DB" w:rsidP="004843DB">
            <w:pPr>
              <w:pStyle w:val="Tabletext"/>
              <w:rPr>
                <w:b/>
              </w:rPr>
            </w:pPr>
            <w:r w:rsidRPr="0062582F">
              <w:rPr>
                <w:b/>
              </w:rPr>
              <w:t>Other income</w:t>
            </w:r>
          </w:p>
        </w:tc>
        <w:tc>
          <w:tcPr>
            <w:tcW w:w="980" w:type="dxa"/>
            <w:tcBorders>
              <w:top w:val="single" w:sz="12" w:space="0" w:color="auto"/>
              <w:left w:val="nil"/>
              <w:right w:val="nil"/>
            </w:tcBorders>
            <w:shd w:val="clear" w:color="00FFFF" w:fill="CCCCCC"/>
            <w:noWrap/>
          </w:tcPr>
          <w:p w:rsidR="004843DB" w:rsidRPr="0062582F" w:rsidRDefault="004843DB" w:rsidP="004843DB">
            <w:pPr>
              <w:pStyle w:val="TableofFigures"/>
              <w:rPr>
                <w:b/>
              </w:rPr>
            </w:pPr>
          </w:p>
        </w:tc>
        <w:tc>
          <w:tcPr>
            <w:tcW w:w="980" w:type="dxa"/>
            <w:tcBorders>
              <w:top w:val="single" w:sz="12" w:space="0" w:color="auto"/>
              <w:left w:val="nil"/>
              <w:right w:val="nil"/>
            </w:tcBorders>
            <w:shd w:val="clear" w:color="auto" w:fill="auto"/>
            <w:noWrap/>
          </w:tcPr>
          <w:p w:rsidR="004843DB" w:rsidRPr="0062582F" w:rsidRDefault="004843DB" w:rsidP="004843DB">
            <w:pPr>
              <w:pStyle w:val="TableofFigures"/>
              <w:rPr>
                <w:b/>
              </w:rPr>
            </w:pPr>
          </w:p>
        </w:tc>
      </w:tr>
      <w:tr w:rsidR="004843DB" w:rsidRPr="0062582F" w:rsidTr="004843DB">
        <w:trPr>
          <w:trHeight w:val="255"/>
        </w:trPr>
        <w:tc>
          <w:tcPr>
            <w:tcW w:w="340" w:type="dxa"/>
            <w:tcBorders>
              <w:left w:val="nil"/>
              <w:bottom w:val="single" w:sz="4" w:space="0" w:color="auto"/>
              <w:right w:val="nil"/>
            </w:tcBorders>
            <w:shd w:val="clear" w:color="auto" w:fill="auto"/>
            <w:noWrap/>
          </w:tcPr>
          <w:p w:rsidR="004843DB" w:rsidRPr="0062582F" w:rsidRDefault="004843DB" w:rsidP="004843DB">
            <w:pPr>
              <w:pStyle w:val="Tabletext"/>
              <w:rPr>
                <w:b/>
              </w:rPr>
            </w:pPr>
          </w:p>
        </w:tc>
        <w:tc>
          <w:tcPr>
            <w:tcW w:w="5689" w:type="dxa"/>
            <w:tcBorders>
              <w:left w:val="nil"/>
              <w:bottom w:val="single" w:sz="4" w:space="0" w:color="auto"/>
              <w:right w:val="nil"/>
            </w:tcBorders>
            <w:shd w:val="clear" w:color="auto" w:fill="auto"/>
          </w:tcPr>
          <w:p w:rsidR="004843DB" w:rsidRPr="0062582F" w:rsidRDefault="004843DB" w:rsidP="004843DB">
            <w:pPr>
              <w:pStyle w:val="Tabletext"/>
            </w:pPr>
            <w:r w:rsidRPr="0062582F">
              <w:t>Rental income – Investment properties</w:t>
            </w:r>
          </w:p>
        </w:tc>
        <w:tc>
          <w:tcPr>
            <w:tcW w:w="980" w:type="dxa"/>
            <w:tcBorders>
              <w:left w:val="nil"/>
              <w:bottom w:val="single" w:sz="4" w:space="0" w:color="auto"/>
              <w:right w:val="nil"/>
            </w:tcBorders>
            <w:shd w:val="clear" w:color="00FFFF" w:fill="CCCCCC"/>
            <w:noWrap/>
          </w:tcPr>
          <w:p w:rsidR="004843DB" w:rsidRPr="0062582F" w:rsidRDefault="004843DB" w:rsidP="004843DB">
            <w:pPr>
              <w:pStyle w:val="TableofFigures"/>
            </w:pPr>
            <w:r w:rsidRPr="0062582F">
              <w:t>2 215</w:t>
            </w:r>
          </w:p>
        </w:tc>
        <w:tc>
          <w:tcPr>
            <w:tcW w:w="980" w:type="dxa"/>
            <w:tcBorders>
              <w:left w:val="nil"/>
              <w:bottom w:val="single" w:sz="4" w:space="0" w:color="auto"/>
              <w:right w:val="nil"/>
            </w:tcBorders>
            <w:shd w:val="clear" w:color="auto" w:fill="auto"/>
            <w:noWrap/>
          </w:tcPr>
          <w:p w:rsidR="004843DB" w:rsidRPr="0062582F" w:rsidRDefault="004843DB" w:rsidP="004843DB">
            <w:pPr>
              <w:pStyle w:val="TableofFigures"/>
            </w:pPr>
            <w:r w:rsidRPr="0062582F">
              <w:t>1 440</w:t>
            </w:r>
          </w:p>
        </w:tc>
      </w:tr>
      <w:tr w:rsidR="004843DB" w:rsidRPr="0062582F" w:rsidTr="004843DB">
        <w:trPr>
          <w:trHeight w:val="255"/>
        </w:trPr>
        <w:tc>
          <w:tcPr>
            <w:tcW w:w="34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text"/>
              <w:rPr>
                <w:b/>
              </w:rPr>
            </w:pPr>
          </w:p>
        </w:tc>
        <w:tc>
          <w:tcPr>
            <w:tcW w:w="5689"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rPr>
                <w:b/>
              </w:rPr>
            </w:pPr>
            <w:r w:rsidRPr="0062582F">
              <w:rPr>
                <w:b/>
              </w:rPr>
              <w:t>Total rental income</w:t>
            </w:r>
          </w:p>
        </w:tc>
        <w:tc>
          <w:tcPr>
            <w:tcW w:w="980" w:type="dxa"/>
            <w:tcBorders>
              <w:top w:val="single" w:sz="4" w:space="0" w:color="auto"/>
              <w:left w:val="nil"/>
              <w:bottom w:val="single" w:sz="4" w:space="0" w:color="auto"/>
              <w:right w:val="nil"/>
            </w:tcBorders>
            <w:shd w:val="clear" w:color="00FFFF" w:fill="CCCCCC"/>
            <w:noWrap/>
          </w:tcPr>
          <w:p w:rsidR="004843DB" w:rsidRPr="0062582F" w:rsidRDefault="004843DB" w:rsidP="004843DB">
            <w:pPr>
              <w:pStyle w:val="TableofFigures"/>
              <w:rPr>
                <w:b/>
              </w:rPr>
            </w:pPr>
            <w:r w:rsidRPr="0062582F">
              <w:rPr>
                <w:b/>
              </w:rPr>
              <w:t>2 215</w:t>
            </w:r>
          </w:p>
        </w:tc>
        <w:tc>
          <w:tcPr>
            <w:tcW w:w="9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rPr>
                <w:b/>
              </w:rPr>
            </w:pPr>
            <w:r w:rsidRPr="0062582F">
              <w:rPr>
                <w:b/>
              </w:rPr>
              <w:t>1 440</w:t>
            </w:r>
          </w:p>
        </w:tc>
      </w:tr>
      <w:tr w:rsidR="004843DB" w:rsidRPr="0062582F" w:rsidTr="004843DB">
        <w:trPr>
          <w:trHeight w:val="255"/>
        </w:trPr>
        <w:tc>
          <w:tcPr>
            <w:tcW w:w="34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text"/>
              <w:rPr>
                <w:b/>
              </w:rPr>
            </w:pPr>
          </w:p>
        </w:tc>
        <w:tc>
          <w:tcPr>
            <w:tcW w:w="5689"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pPr>
            <w:r w:rsidRPr="0062582F">
              <w:t>Dividends received from investments</w:t>
            </w:r>
          </w:p>
        </w:tc>
        <w:tc>
          <w:tcPr>
            <w:tcW w:w="980" w:type="dxa"/>
            <w:tcBorders>
              <w:top w:val="single" w:sz="4" w:space="0" w:color="auto"/>
              <w:left w:val="nil"/>
              <w:bottom w:val="single" w:sz="4" w:space="0" w:color="auto"/>
              <w:right w:val="nil"/>
            </w:tcBorders>
            <w:shd w:val="clear" w:color="00FFFF" w:fill="CCCCCC"/>
            <w:noWrap/>
          </w:tcPr>
          <w:p w:rsidR="004843DB" w:rsidRPr="0062582F" w:rsidRDefault="004843DB" w:rsidP="004843DB">
            <w:pPr>
              <w:pStyle w:val="TableofFigures"/>
            </w:pPr>
            <w:r w:rsidRPr="0062582F">
              <w:t xml:space="preserve"> 1 698</w:t>
            </w:r>
          </w:p>
        </w:tc>
        <w:tc>
          <w:tcPr>
            <w:tcW w:w="9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pPr>
            <w:r w:rsidRPr="0062582F">
              <w:t>1 611</w:t>
            </w:r>
          </w:p>
        </w:tc>
      </w:tr>
      <w:tr w:rsidR="004843DB" w:rsidRPr="0062582F" w:rsidTr="004843DB">
        <w:trPr>
          <w:trHeight w:val="255"/>
        </w:trPr>
        <w:tc>
          <w:tcPr>
            <w:tcW w:w="34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text"/>
              <w:rPr>
                <w:b/>
              </w:rPr>
            </w:pPr>
          </w:p>
        </w:tc>
        <w:tc>
          <w:tcPr>
            <w:tcW w:w="5689"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rPr>
                <w:b/>
              </w:rPr>
            </w:pPr>
            <w:r w:rsidRPr="0062582F">
              <w:rPr>
                <w:b/>
              </w:rPr>
              <w:t>Total dividends</w:t>
            </w:r>
          </w:p>
        </w:tc>
        <w:tc>
          <w:tcPr>
            <w:tcW w:w="980" w:type="dxa"/>
            <w:tcBorders>
              <w:top w:val="single" w:sz="4" w:space="0" w:color="auto"/>
              <w:left w:val="nil"/>
              <w:bottom w:val="single" w:sz="4" w:space="0" w:color="auto"/>
              <w:right w:val="nil"/>
            </w:tcBorders>
            <w:shd w:val="clear" w:color="00FFFF" w:fill="CCCCCC"/>
            <w:noWrap/>
          </w:tcPr>
          <w:p w:rsidR="004843DB" w:rsidRPr="0062582F" w:rsidRDefault="004843DB" w:rsidP="004843DB">
            <w:pPr>
              <w:pStyle w:val="TableofFigures"/>
              <w:rPr>
                <w:b/>
              </w:rPr>
            </w:pPr>
            <w:r w:rsidRPr="0062582F">
              <w:rPr>
                <w:b/>
              </w:rPr>
              <w:t>1 698</w:t>
            </w:r>
          </w:p>
        </w:tc>
        <w:tc>
          <w:tcPr>
            <w:tcW w:w="9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rPr>
                <w:b/>
              </w:rPr>
            </w:pPr>
            <w:r w:rsidRPr="0062582F">
              <w:rPr>
                <w:b/>
              </w:rPr>
              <w:t>1 611</w:t>
            </w:r>
          </w:p>
        </w:tc>
      </w:tr>
      <w:tr w:rsidR="004843DB" w:rsidRPr="0062582F" w:rsidTr="004843DB">
        <w:trPr>
          <w:trHeight w:val="255"/>
        </w:trPr>
        <w:tc>
          <w:tcPr>
            <w:tcW w:w="34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text"/>
              <w:rPr>
                <w:b/>
              </w:rPr>
            </w:pPr>
          </w:p>
        </w:tc>
        <w:tc>
          <w:tcPr>
            <w:tcW w:w="5689"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pPr>
            <w:r w:rsidRPr="0062582F">
              <w:t>Bad debts reversal</w:t>
            </w:r>
          </w:p>
        </w:tc>
        <w:tc>
          <w:tcPr>
            <w:tcW w:w="980" w:type="dxa"/>
            <w:tcBorders>
              <w:top w:val="single" w:sz="4" w:space="0" w:color="auto"/>
              <w:left w:val="nil"/>
              <w:bottom w:val="single" w:sz="4" w:space="0" w:color="auto"/>
              <w:right w:val="nil"/>
            </w:tcBorders>
            <w:shd w:val="clear" w:color="00FFFF" w:fill="CCCCCC"/>
            <w:noWrap/>
          </w:tcPr>
          <w:p w:rsidR="004843DB" w:rsidRPr="0062582F" w:rsidRDefault="004843DB" w:rsidP="004843DB">
            <w:pPr>
              <w:pStyle w:val="TableofFigures"/>
            </w:pPr>
            <w:r w:rsidRPr="0062582F">
              <w:t xml:space="preserve"> 30</w:t>
            </w:r>
          </w:p>
        </w:tc>
        <w:tc>
          <w:tcPr>
            <w:tcW w:w="9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pPr>
            <w:r w:rsidRPr="0062582F">
              <w:t xml:space="preserve"> 15</w:t>
            </w:r>
          </w:p>
        </w:tc>
      </w:tr>
      <w:tr w:rsidR="004843DB" w:rsidRPr="0062582F" w:rsidTr="004843DB">
        <w:trPr>
          <w:trHeight w:val="255"/>
        </w:trPr>
        <w:tc>
          <w:tcPr>
            <w:tcW w:w="34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text"/>
              <w:rPr>
                <w:b/>
              </w:rPr>
            </w:pPr>
          </w:p>
        </w:tc>
        <w:tc>
          <w:tcPr>
            <w:tcW w:w="5689"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rPr>
                <w:b/>
              </w:rPr>
            </w:pPr>
            <w:r w:rsidRPr="0062582F">
              <w:rPr>
                <w:b/>
              </w:rPr>
              <w:t>Total bad debts reversal</w:t>
            </w:r>
          </w:p>
        </w:tc>
        <w:tc>
          <w:tcPr>
            <w:tcW w:w="980" w:type="dxa"/>
            <w:tcBorders>
              <w:top w:val="single" w:sz="4" w:space="0" w:color="auto"/>
              <w:left w:val="nil"/>
              <w:bottom w:val="single" w:sz="4" w:space="0" w:color="auto"/>
              <w:right w:val="nil"/>
            </w:tcBorders>
            <w:shd w:val="clear" w:color="00FFFF" w:fill="CCCCCC"/>
            <w:noWrap/>
          </w:tcPr>
          <w:p w:rsidR="004843DB" w:rsidRPr="0062582F" w:rsidRDefault="004843DB" w:rsidP="004843DB">
            <w:pPr>
              <w:pStyle w:val="TableofFigures"/>
              <w:rPr>
                <w:b/>
              </w:rPr>
            </w:pPr>
            <w:r w:rsidRPr="0062582F">
              <w:rPr>
                <w:b/>
              </w:rPr>
              <w:t xml:space="preserve"> 30</w:t>
            </w:r>
          </w:p>
        </w:tc>
        <w:tc>
          <w:tcPr>
            <w:tcW w:w="9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rPr>
                <w:b/>
              </w:rPr>
            </w:pPr>
            <w:r w:rsidRPr="0062582F">
              <w:rPr>
                <w:b/>
              </w:rPr>
              <w:t xml:space="preserve"> 15</w:t>
            </w:r>
          </w:p>
        </w:tc>
      </w:tr>
      <w:tr w:rsidR="004843DB" w:rsidRPr="0062582F" w:rsidTr="004843DB">
        <w:trPr>
          <w:trHeight w:val="255"/>
        </w:trPr>
        <w:tc>
          <w:tcPr>
            <w:tcW w:w="34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text"/>
              <w:rPr>
                <w:b/>
              </w:rPr>
            </w:pPr>
          </w:p>
        </w:tc>
        <w:tc>
          <w:tcPr>
            <w:tcW w:w="5689"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rPr>
                <w:b/>
              </w:rPr>
            </w:pPr>
            <w:r w:rsidRPr="0062582F">
              <w:rPr>
                <w:b/>
              </w:rPr>
              <w:t>Forgiveness of liabilities</w:t>
            </w:r>
          </w:p>
        </w:tc>
        <w:tc>
          <w:tcPr>
            <w:tcW w:w="980" w:type="dxa"/>
            <w:tcBorders>
              <w:top w:val="single" w:sz="4" w:space="0" w:color="auto"/>
              <w:left w:val="nil"/>
              <w:bottom w:val="single" w:sz="4" w:space="0" w:color="auto"/>
              <w:right w:val="nil"/>
            </w:tcBorders>
            <w:shd w:val="clear" w:color="00FFFF" w:fill="CCCCCC"/>
            <w:noWrap/>
          </w:tcPr>
          <w:p w:rsidR="004843DB" w:rsidRPr="0062582F" w:rsidRDefault="004843DB" w:rsidP="004843DB">
            <w:pPr>
              <w:pStyle w:val="TableofFigures"/>
              <w:rPr>
                <w:b/>
              </w:rPr>
            </w:pPr>
            <w:r w:rsidRPr="0062582F">
              <w:rPr>
                <w:b/>
              </w:rPr>
              <w:t>2 270</w:t>
            </w:r>
          </w:p>
        </w:tc>
        <w:tc>
          <w:tcPr>
            <w:tcW w:w="9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rPr>
                <w:b/>
              </w:rPr>
            </w:pPr>
            <w:r w:rsidRPr="0062582F">
              <w:rPr>
                <w:b/>
              </w:rPr>
              <w:t>2 025</w:t>
            </w:r>
          </w:p>
        </w:tc>
      </w:tr>
      <w:tr w:rsidR="004843DB" w:rsidRPr="0062582F" w:rsidTr="004843DB">
        <w:trPr>
          <w:trHeight w:val="255"/>
        </w:trPr>
        <w:tc>
          <w:tcPr>
            <w:tcW w:w="340" w:type="dxa"/>
            <w:tcBorders>
              <w:top w:val="single" w:sz="4" w:space="0" w:color="auto"/>
              <w:left w:val="nil"/>
              <w:bottom w:val="single" w:sz="12" w:space="0" w:color="auto"/>
              <w:right w:val="nil"/>
            </w:tcBorders>
            <w:shd w:val="clear" w:color="auto" w:fill="auto"/>
            <w:noWrap/>
          </w:tcPr>
          <w:p w:rsidR="004843DB" w:rsidRPr="0062582F" w:rsidRDefault="004843DB" w:rsidP="004843DB">
            <w:pPr>
              <w:pStyle w:val="Tabletext"/>
              <w:rPr>
                <w:b/>
              </w:rPr>
            </w:pPr>
          </w:p>
        </w:tc>
        <w:tc>
          <w:tcPr>
            <w:tcW w:w="5689" w:type="dxa"/>
            <w:tcBorders>
              <w:top w:val="single" w:sz="4" w:space="0" w:color="auto"/>
              <w:left w:val="nil"/>
              <w:bottom w:val="single" w:sz="12" w:space="0" w:color="auto"/>
              <w:right w:val="nil"/>
            </w:tcBorders>
            <w:shd w:val="clear" w:color="auto" w:fill="auto"/>
          </w:tcPr>
          <w:p w:rsidR="004843DB" w:rsidRPr="0062582F" w:rsidRDefault="004843DB" w:rsidP="004843DB">
            <w:pPr>
              <w:pStyle w:val="Tabletext"/>
              <w:rPr>
                <w:b/>
              </w:rPr>
            </w:pPr>
            <w:r w:rsidRPr="0062582F">
              <w:rPr>
                <w:b/>
              </w:rPr>
              <w:t>Total other income</w:t>
            </w:r>
          </w:p>
        </w:tc>
        <w:tc>
          <w:tcPr>
            <w:tcW w:w="980" w:type="dxa"/>
            <w:tcBorders>
              <w:top w:val="single" w:sz="4" w:space="0" w:color="auto"/>
              <w:left w:val="nil"/>
              <w:bottom w:val="single" w:sz="12" w:space="0" w:color="auto"/>
              <w:right w:val="nil"/>
            </w:tcBorders>
            <w:shd w:val="clear" w:color="00FFFF" w:fill="CCCCCC"/>
            <w:noWrap/>
          </w:tcPr>
          <w:p w:rsidR="004843DB" w:rsidRPr="0062582F" w:rsidRDefault="004843DB" w:rsidP="004843DB">
            <w:pPr>
              <w:pStyle w:val="TableofFigures"/>
              <w:rPr>
                <w:b/>
              </w:rPr>
            </w:pPr>
            <w:r w:rsidRPr="0062582F">
              <w:rPr>
                <w:b/>
              </w:rPr>
              <w:t>6 213</w:t>
            </w:r>
          </w:p>
        </w:tc>
        <w:tc>
          <w:tcPr>
            <w:tcW w:w="980" w:type="dxa"/>
            <w:tcBorders>
              <w:top w:val="single" w:sz="4" w:space="0" w:color="auto"/>
              <w:left w:val="nil"/>
              <w:bottom w:val="single" w:sz="12" w:space="0" w:color="auto"/>
              <w:right w:val="nil"/>
            </w:tcBorders>
            <w:shd w:val="clear" w:color="auto" w:fill="auto"/>
            <w:noWrap/>
          </w:tcPr>
          <w:p w:rsidR="004843DB" w:rsidRPr="0062582F" w:rsidRDefault="004843DB" w:rsidP="004843DB">
            <w:pPr>
              <w:pStyle w:val="TableofFigures"/>
              <w:rPr>
                <w:b/>
              </w:rPr>
            </w:pPr>
            <w:r w:rsidRPr="0062582F">
              <w:rPr>
                <w:b/>
              </w:rPr>
              <w:t>5 091</w:t>
            </w:r>
          </w:p>
        </w:tc>
      </w:tr>
    </w:tbl>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20"/>
      </w:pPr>
    </w:p>
    <w:p w:rsidR="004843DB" w:rsidRPr="0062582F" w:rsidRDefault="004843DB" w:rsidP="004843DB">
      <w:pPr>
        <w:spacing w:before="0" w:line="240" w:lineRule="atLeast"/>
        <w:rPr>
          <w:rFonts w:ascii="Calibri" w:hAnsi="Calibri" w:cs="Arial Narrow"/>
          <w:color w:val="0000FF"/>
          <w:sz w:val="16"/>
          <w:szCs w:val="16"/>
          <w:lang w:val="en-GB"/>
        </w:rPr>
      </w:pPr>
      <w:r w:rsidRPr="0062582F">
        <w:rPr>
          <w:rFonts w:ascii="Calibri" w:hAnsi="Calibri" w:cs="Arial Narrow"/>
          <w:color w:val="0000FF"/>
          <w:sz w:val="16"/>
          <w:szCs w:val="16"/>
          <w:lang w:val="en-GB"/>
        </w:rPr>
        <w:br w:type="page"/>
      </w:r>
    </w:p>
    <w:p w:rsidR="004843DB" w:rsidRPr="0062582F" w:rsidRDefault="004843DB" w:rsidP="004843DB">
      <w:pPr>
        <w:spacing w:before="0" w:line="240" w:lineRule="atLeast"/>
        <w:rPr>
          <w:rFonts w:ascii="Calibri" w:hAnsi="Calibri" w:cs="Arial Narrow"/>
          <w:color w:val="0000FF"/>
          <w:sz w:val="16"/>
          <w:szCs w:val="16"/>
          <w:lang w:val="en-GB"/>
        </w:rPr>
      </w:pP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Commentary – Income from transactions</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bottom w:val="none" w:sz="0" w:space="0" w:color="auto"/>
        </w:pBdr>
        <w:rPr>
          <w:b w:val="0"/>
          <w:bCs w:val="0"/>
        </w:rPr>
      </w:pPr>
      <w:r w:rsidRPr="0062582F">
        <w:t>Accounting for income</w:t>
      </w:r>
    </w:p>
    <w:p w:rsidR="004843DB" w:rsidRPr="0062582F" w:rsidRDefault="004843DB" w:rsidP="004843DB">
      <w:pPr>
        <w:pStyle w:val="CommentaryText"/>
        <w:pBdr>
          <w:bottom w:val="none" w:sz="0" w:space="0" w:color="auto"/>
        </w:pBdr>
      </w:pPr>
      <w:r w:rsidRPr="0062582F">
        <w:t xml:space="preserve">Accounting for income generally has to comply with AASB 118 </w:t>
      </w:r>
      <w:r w:rsidRPr="0062582F">
        <w:rPr>
          <w:i/>
        </w:rPr>
        <w:t>Revenue</w:t>
      </w:r>
      <w:r w:rsidRPr="0062582F">
        <w:t xml:space="preserve"> and AASB 1004 </w:t>
      </w:r>
      <w:r w:rsidRPr="0062582F">
        <w:rPr>
          <w:i/>
        </w:rPr>
        <w:t xml:space="preserve">Contributions, </w:t>
      </w:r>
      <w:r w:rsidRPr="0062582F">
        <w:t>except for income that arises from sources that are covered by other standards. For example income arising from lease agreements (AASB 117 </w:t>
      </w:r>
      <w:r w:rsidRPr="0062582F">
        <w:rPr>
          <w:i/>
        </w:rPr>
        <w:t>Leases</w:t>
      </w:r>
      <w:r w:rsidRPr="0062582F">
        <w:t xml:space="preserve">), dividends from investment accounted for using the equity method (AASB 128 </w:t>
      </w:r>
      <w:r w:rsidRPr="0062582F">
        <w:rPr>
          <w:i/>
        </w:rPr>
        <w:t>Investments in Associates and Joint Ventures</w:t>
      </w:r>
      <w:r w:rsidRPr="0062582F">
        <w:t>) etc.</w:t>
      </w:r>
    </w:p>
    <w:p w:rsidR="004843DB" w:rsidRPr="0062582F" w:rsidRDefault="004843DB" w:rsidP="004843DB">
      <w:pPr>
        <w:pStyle w:val="CommentaryHeading1"/>
        <w:pBdr>
          <w:top w:val="none" w:sz="0" w:space="0" w:color="auto"/>
          <w:bottom w:val="none" w:sz="0" w:space="0" w:color="auto"/>
        </w:pBdr>
      </w:pPr>
      <w:r w:rsidRPr="0062582F">
        <w:t xml:space="preserve">Disclosure requirements </w:t>
      </w:r>
    </w:p>
    <w:p w:rsidR="004843DB" w:rsidRPr="0062582F" w:rsidRDefault="004843DB" w:rsidP="004843DB">
      <w:pPr>
        <w:pStyle w:val="CommentaryText"/>
        <w:pBdr>
          <w:top w:val="none" w:sz="0" w:space="0" w:color="auto"/>
          <w:bottom w:val="none" w:sz="0" w:space="0" w:color="auto"/>
        </w:pBdr>
      </w:pPr>
      <w:r w:rsidRPr="0062582F">
        <w:t xml:space="preserve">To align with whole of government reporting, which is in compliance with AASB 1049 requirements, </w:t>
      </w:r>
      <w:r w:rsidRPr="0062582F">
        <w:rPr>
          <w:b/>
        </w:rPr>
        <w:t>departments are required</w:t>
      </w:r>
      <w:r w:rsidRPr="0062582F">
        <w:t xml:space="preserve"> to classify items of income between transactions and other economic flows as appropriate. Departments should refer to Note 44 </w:t>
      </w:r>
      <w:r w:rsidRPr="0062582F">
        <w:rPr>
          <w:i/>
        </w:rPr>
        <w:t xml:space="preserve">Glossary of terms and style conventions </w:t>
      </w:r>
      <w:r w:rsidRPr="0062582F">
        <w:t xml:space="preserve">in the Model for definitions on </w:t>
      </w:r>
      <w:r w:rsidR="005A4BB0">
        <w:t>‘</w:t>
      </w:r>
      <w:r w:rsidRPr="0062582F">
        <w:t>transactions</w:t>
      </w:r>
      <w:r w:rsidR="005A4BB0">
        <w:t>’</w:t>
      </w:r>
      <w:r w:rsidRPr="0062582F">
        <w:t xml:space="preserve"> and </w:t>
      </w:r>
      <w:r w:rsidR="005A4BB0">
        <w:t>‘</w:t>
      </w:r>
      <w:r w:rsidRPr="0062582F">
        <w:t>other economic flows</w:t>
      </w:r>
      <w:r w:rsidR="005A4BB0">
        <w:t>’</w:t>
      </w:r>
      <w:r w:rsidRPr="0062582F">
        <w:t xml:space="preserve">, and refer to Appendix 2 for the </w:t>
      </w:r>
      <w:r w:rsidRPr="0062582F">
        <w:rPr>
          <w:i/>
        </w:rPr>
        <w:t>Practical classification guide between transactions and other economic flows</w:t>
      </w:r>
      <w:r w:rsidRPr="0062582F">
        <w:t xml:space="preserve"> for further examples. </w:t>
      </w:r>
    </w:p>
    <w:p w:rsidR="004843DB" w:rsidRPr="0062582F" w:rsidRDefault="004843DB" w:rsidP="004843DB">
      <w:pPr>
        <w:pStyle w:val="CommentaryText"/>
        <w:pBdr>
          <w:top w:val="none" w:sz="0" w:space="0" w:color="auto"/>
          <w:bottom w:val="none" w:sz="0" w:space="0" w:color="auto"/>
        </w:pBdr>
      </w:pPr>
      <w:r w:rsidRPr="0062582F">
        <w:t>In relation to income from transactions, common material items (some are illustrated in Note 4 of the Model</w:t>
      </w:r>
      <w:r w:rsidRPr="0062582F">
        <w:rPr>
          <w:i/>
        </w:rPr>
        <w:t>)</w:t>
      </w:r>
      <w:r w:rsidRPr="0062582F">
        <w:t xml:space="preserve"> may include the following:</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118.35</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(a)</w:t>
      </w:r>
      <w:r w:rsidRPr="0062582F">
        <w:tab/>
        <w:t>the amount of each significant category of income recognised during the period including income arising from:</w:t>
      </w:r>
    </w:p>
    <w:p w:rsidR="004843DB" w:rsidRPr="0062582F" w:rsidRDefault="004843DB" w:rsidP="004843DB">
      <w:pPr>
        <w:pStyle w:val="CommentaryTextIndent2"/>
        <w:pBdr>
          <w:top w:val="none" w:sz="0" w:space="0" w:color="auto"/>
          <w:bottom w:val="none" w:sz="0" w:space="0" w:color="auto"/>
        </w:pBdr>
      </w:pPr>
      <w:r w:rsidRPr="0062582F">
        <w:tab/>
        <w:t>(i)</w:t>
      </w:r>
      <w:r w:rsidRPr="0062582F">
        <w:tab/>
        <w:t>the sale of goods;</w:t>
      </w:r>
    </w:p>
    <w:p w:rsidR="004843DB" w:rsidRPr="0062582F" w:rsidRDefault="004843DB" w:rsidP="004843DB">
      <w:pPr>
        <w:pStyle w:val="CommentaryTextIndent2"/>
        <w:pBdr>
          <w:top w:val="none" w:sz="0" w:space="0" w:color="auto"/>
          <w:bottom w:val="none" w:sz="0" w:space="0" w:color="auto"/>
        </w:pBdr>
      </w:pPr>
      <w:r w:rsidRPr="0062582F">
        <w:tab/>
        <w:t>(ii)</w:t>
      </w:r>
      <w:r w:rsidRPr="0062582F">
        <w:tab/>
        <w:t>the rendering of services;</w:t>
      </w:r>
    </w:p>
    <w:p w:rsidR="004843DB" w:rsidRPr="0062582F" w:rsidRDefault="004843DB" w:rsidP="004843DB">
      <w:pPr>
        <w:pStyle w:val="CommentaryTextIndent2"/>
        <w:pBdr>
          <w:top w:val="none" w:sz="0" w:space="0" w:color="auto"/>
          <w:bottom w:val="none" w:sz="0" w:space="0" w:color="auto"/>
        </w:pBdr>
      </w:pPr>
      <w:r w:rsidRPr="0062582F">
        <w:tab/>
        <w:t>(iii)</w:t>
      </w:r>
      <w:r w:rsidRPr="0062582F">
        <w:tab/>
        <w:t>interest;</w:t>
      </w:r>
    </w:p>
    <w:p w:rsidR="004843DB" w:rsidRPr="0062582F" w:rsidRDefault="004843DB" w:rsidP="004843DB">
      <w:pPr>
        <w:pStyle w:val="CommentaryTextIndent2"/>
        <w:pBdr>
          <w:top w:val="none" w:sz="0" w:space="0" w:color="auto"/>
          <w:bottom w:val="none" w:sz="0" w:space="0" w:color="auto"/>
        </w:pBdr>
      </w:pPr>
      <w:r w:rsidRPr="0062582F">
        <w:tab/>
        <w:t>(iv)</w:t>
      </w:r>
      <w:r w:rsidRPr="0062582F">
        <w:tab/>
        <w:t>royalties;</w:t>
      </w:r>
    </w:p>
    <w:p w:rsidR="004843DB" w:rsidRPr="0062582F" w:rsidRDefault="004843DB" w:rsidP="004843DB">
      <w:pPr>
        <w:pStyle w:val="CommentaryTextIndent2"/>
        <w:pBdr>
          <w:top w:val="none" w:sz="0" w:space="0" w:color="auto"/>
          <w:bottom w:val="none" w:sz="0" w:space="0" w:color="auto"/>
        </w:pBdr>
      </w:pPr>
      <w:r w:rsidRPr="0062582F">
        <w:tab/>
        <w:t>(v)</w:t>
      </w:r>
      <w:r w:rsidRPr="0062582F">
        <w:tab/>
        <w:t>dividends;</w:t>
      </w:r>
    </w:p>
    <w:p w:rsidR="004843DB" w:rsidRPr="0062582F" w:rsidRDefault="004843DB" w:rsidP="004843DB">
      <w:pPr>
        <w:pStyle w:val="CommentaryTextIndent"/>
        <w:pBdr>
          <w:top w:val="none" w:sz="0" w:space="0" w:color="auto"/>
          <w:bottom w:val="none" w:sz="0" w:space="0" w:color="auto"/>
        </w:pBdr>
      </w:pPr>
      <w:r w:rsidRPr="0062582F">
        <w:t>(b)</w:t>
      </w:r>
      <w:r w:rsidRPr="0062582F">
        <w:tab/>
        <w:t>the amount of income arising from exchanges of goods or services included in each significant category of income;</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7.20(b)</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(c)</w:t>
      </w:r>
      <w:r w:rsidRPr="0062582F">
        <w:tab/>
        <w:t xml:space="preserve">total interest income for financial assets that are not at fair value through profit or loss; </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7.20(c)</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(d)</w:t>
      </w:r>
      <w:r w:rsidRPr="0062582F">
        <w:tab/>
        <w:t>fee income arising from:</w:t>
      </w:r>
    </w:p>
    <w:p w:rsidR="004843DB" w:rsidRPr="0062582F" w:rsidRDefault="004843DB" w:rsidP="004843DB">
      <w:pPr>
        <w:pStyle w:val="CommentaryTextIndent2"/>
        <w:pBdr>
          <w:top w:val="none" w:sz="0" w:space="0" w:color="auto"/>
          <w:bottom w:val="none" w:sz="0" w:space="0" w:color="auto"/>
        </w:pBdr>
      </w:pPr>
      <w:r w:rsidRPr="0062582F">
        <w:tab/>
        <w:t>(i)</w:t>
      </w:r>
      <w:r w:rsidRPr="0062582F">
        <w:tab/>
        <w:t>financial assets that are not at fair value through profit or loss;</w:t>
      </w:r>
    </w:p>
    <w:p w:rsidR="004843DB" w:rsidRPr="0062582F" w:rsidRDefault="004843DB" w:rsidP="004843DB">
      <w:pPr>
        <w:pStyle w:val="CommentaryTextIndent2"/>
        <w:pBdr>
          <w:top w:val="none" w:sz="0" w:space="0" w:color="auto"/>
          <w:bottom w:val="none" w:sz="0" w:space="0" w:color="auto"/>
        </w:pBdr>
      </w:pPr>
      <w:r w:rsidRPr="0062582F">
        <w:tab/>
        <w:t xml:space="preserve">(ii) </w:t>
      </w:r>
      <w:r w:rsidRPr="0062582F">
        <w:tab/>
        <w:t>trust and other fiduciary activities that result in the holding of assets on behalf of individuals, trusts retirement benefit plans, and other institutions; and</w:t>
      </w:r>
    </w:p>
    <w:p w:rsidR="004843DB" w:rsidRPr="0062582F" w:rsidRDefault="004843DB" w:rsidP="004843DB">
      <w:pPr>
        <w:pStyle w:val="CommentaryTextIndent2"/>
        <w:ind w:firstLine="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7.20(d)</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(e)</w:t>
      </w:r>
      <w:r w:rsidRPr="0062582F">
        <w:tab/>
        <w:t xml:space="preserve">interest income on impaired financial assets accrued in accordance with paragraph AG 93 of AASB 139 </w:t>
      </w:r>
      <w:r w:rsidRPr="0062582F">
        <w:rPr>
          <w:i/>
        </w:rPr>
        <w:t>Financial Instruments: Recognition and Measurement</w:t>
      </w:r>
      <w:r w:rsidRPr="0062582F">
        <w:t>.</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2"/>
      </w:pPr>
      <w:r w:rsidRPr="0062582F">
        <w:lastRenderedPageBreak/>
        <w:br w:type="column"/>
      </w:r>
      <w:r w:rsidRPr="0062582F">
        <w:lastRenderedPageBreak/>
        <w:t>Additional disclosures for income from contributions</w:t>
      </w:r>
    </w:p>
    <w:p w:rsidR="004843DB" w:rsidRPr="0062582F" w:rsidRDefault="004843DB" w:rsidP="004843DB">
      <w:pPr>
        <w:pStyle w:val="CommentaryText"/>
        <w:pBdr>
          <w:top w:val="none" w:sz="0" w:space="0" w:color="auto"/>
          <w:bottom w:val="none" w:sz="0" w:space="0" w:color="auto"/>
        </w:pBdr>
      </w:pPr>
      <w:r w:rsidRPr="0062582F">
        <w:t>A department must also disclose the following in respect of contributions recognised during the period: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1004.60(b), (d)</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(a)</w:t>
      </w:r>
      <w:r w:rsidRPr="0062582F">
        <w:tab/>
        <w:t>the nature and amount of contributions recognised as income during the period that were provided specifically for the provision of goods or services over a future period;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1004.60(c), (d)</w:t>
      </w:r>
    </w:p>
    <w:p w:rsidR="004843DB" w:rsidRPr="0062582F" w:rsidRDefault="004843DB" w:rsidP="004843DB">
      <w:pPr>
        <w:pStyle w:val="CommentaryTextIndent"/>
        <w:pBdr>
          <w:top w:val="none" w:sz="0" w:space="0" w:color="auto"/>
          <w:bottom w:val="none" w:sz="0" w:space="0" w:color="auto"/>
        </w:pBdr>
      </w:pPr>
      <w:r w:rsidRPr="0062582F">
        <w:br w:type="column"/>
      </w:r>
      <w:r w:rsidRPr="0062582F">
        <w:lastRenderedPageBreak/>
        <w:t>(b)</w:t>
      </w:r>
      <w:r w:rsidRPr="0062582F">
        <w:tab/>
        <w:t>the nature and amount of contributions recognised as income during the period that were obtained in respect of a future rating or taxing period identified by the general government sector or whole of government for the purpose of establishing a rate or tax; and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1004.60(e), (d)</w:t>
      </w:r>
    </w:p>
    <w:p w:rsidR="004843DB" w:rsidRPr="0062582F" w:rsidRDefault="004843DB" w:rsidP="004843DB">
      <w:pPr>
        <w:pStyle w:val="CommentaryTextIndent"/>
        <w:pBdr>
          <w:top w:val="none" w:sz="0" w:space="0" w:color="auto"/>
        </w:pBdr>
      </w:pPr>
      <w:r w:rsidRPr="0062582F">
        <w:br w:type="column"/>
      </w:r>
      <w:r w:rsidRPr="0062582F">
        <w:lastRenderedPageBreak/>
        <w:t>(c)</w:t>
      </w:r>
      <w:r w:rsidRPr="0062582F">
        <w:tab/>
        <w:t>contributions received as income in previous reporting periods that were obtained in respect of the current reporting period.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tabs>
          <w:tab w:val="left" w:pos="284"/>
        </w:tabs>
        <w:ind w:left="284" w:hanging="284"/>
      </w:pPr>
      <w:r w:rsidRPr="0062582F">
        <w:lastRenderedPageBreak/>
        <w:br w:type="page"/>
      </w:r>
      <w:r w:rsidRPr="0062582F">
        <w:lastRenderedPageBreak/>
        <w:br w:type="column"/>
      </w:r>
    </w:p>
    <w:p w:rsidR="004843DB" w:rsidRPr="0062582F" w:rsidRDefault="004843DB" w:rsidP="004843DB">
      <w:pPr>
        <w:pStyle w:val="CommentaryHeading"/>
        <w:rPr>
          <w:i/>
        </w:rPr>
      </w:pPr>
      <w:r w:rsidRPr="0062582F">
        <w:t xml:space="preserve">Commentary – Income from transactions </w:t>
      </w:r>
      <w:r w:rsidRPr="0062582F">
        <w:rPr>
          <w:i/>
        </w:rPr>
        <w:t>(continued)</w:t>
      </w:r>
    </w:p>
    <w:p w:rsidR="004843DB" w:rsidRPr="0062582F" w:rsidRDefault="004843DB" w:rsidP="004843DB">
      <w:pPr>
        <w:pStyle w:val="SmallLineBlue"/>
      </w:pPr>
    </w:p>
    <w:p w:rsidR="004843DB" w:rsidRPr="0062582F" w:rsidRDefault="004843DB" w:rsidP="004843DB">
      <w:pPr>
        <w:pStyle w:val="CommentaryHeading2"/>
      </w:pPr>
      <w:bookmarkStart w:id="357" w:name="_Toc163448728"/>
      <w:r w:rsidRPr="0062582F">
        <w:t>Income from contributions with conditions attached</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1004.60(a)</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Where a department has recognised income contributions for which the contributor has specified the manner in which they are to be expended, and those conditions are undischarged at the end of the reporting period, the department must disclose details of those contributions and the conditions attached to them.</w:t>
      </w:r>
    </w:p>
    <w:p w:rsidR="004843DB" w:rsidRPr="0062582F" w:rsidRDefault="004843DB" w:rsidP="004843DB">
      <w:pPr>
        <w:pStyle w:val="CommentaryText"/>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rPr>
          <w:lang w:val="en-AU"/>
        </w:rPr>
        <w:lastRenderedPageBreak/>
        <w:t>AASB 118.35(b)</w:t>
      </w:r>
    </w:p>
    <w:p w:rsidR="004843DB" w:rsidRPr="0062582F" w:rsidRDefault="004843DB" w:rsidP="004843DB">
      <w:pPr>
        <w:pStyle w:val="CommentaryHeading2"/>
      </w:pPr>
      <w:r w:rsidRPr="0062582F">
        <w:br w:type="column"/>
      </w:r>
      <w:r w:rsidRPr="0062582F">
        <w:lastRenderedPageBreak/>
        <w:t>User charges, fees and fines</w:t>
      </w:r>
    </w:p>
    <w:p w:rsidR="004843DB" w:rsidRPr="0062582F" w:rsidRDefault="004843DB" w:rsidP="004843DB">
      <w:pPr>
        <w:pStyle w:val="CommentaryText"/>
        <w:pBdr>
          <w:top w:val="none" w:sz="0" w:space="0" w:color="auto"/>
          <w:bottom w:val="none" w:sz="0" w:space="0" w:color="auto"/>
        </w:pBdr>
      </w:pPr>
      <w:r w:rsidRPr="0062582F">
        <w:t>Where user charges, fees and fines exist as controlled items, the department is required to disclose these items separately in the income note.</w:t>
      </w:r>
    </w:p>
    <w:p w:rsidR="004843DB" w:rsidRPr="0062582F" w:rsidRDefault="004843DB" w:rsidP="004843DB">
      <w:pPr>
        <w:pStyle w:val="CommentaryHeading1"/>
        <w:pBdr>
          <w:top w:val="none" w:sz="0" w:space="0" w:color="auto"/>
          <w:bottom w:val="none" w:sz="0" w:space="0" w:color="auto"/>
        </w:pBdr>
      </w:pPr>
      <w:r w:rsidRPr="0062582F">
        <w:t>Transfer of assets from customers to be used for ongoing access to a supply of goods or services</w:t>
      </w:r>
    </w:p>
    <w:bookmarkEnd w:id="357"/>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w:t>
      </w:r>
      <w:r w:rsidRPr="0062582F">
        <w:t>Interpretation</w:t>
      </w:r>
      <w:r w:rsidRPr="0062582F">
        <w:rPr>
          <w:lang w:val="en-AU"/>
        </w:rPr>
        <w:t xml:space="preserve"> 18.5 and 6</w:t>
      </w:r>
    </w:p>
    <w:p w:rsidR="004843DB" w:rsidRPr="0062582F" w:rsidRDefault="004843DB" w:rsidP="004843DB">
      <w:pPr>
        <w:pStyle w:val="CommentaryText"/>
        <w:pBdr>
          <w:top w:val="none" w:sz="0" w:space="0" w:color="auto"/>
        </w:pBdr>
      </w:pPr>
      <w:r w:rsidRPr="0062582F">
        <w:br w:type="column"/>
      </w:r>
      <w:r w:rsidRPr="0062582F">
        <w:lastRenderedPageBreak/>
        <w:t xml:space="preserve">AASB Interpretation 18 </w:t>
      </w:r>
      <w:r w:rsidRPr="0062582F">
        <w:rPr>
          <w:i/>
        </w:rPr>
        <w:t xml:space="preserve">Transfer of Assets from Customers </w:t>
      </w:r>
      <w:r w:rsidRPr="0062582F">
        <w:t>provides guidance on the recognition and measurement of:</w:t>
      </w:r>
    </w:p>
    <w:p w:rsidR="004843DB" w:rsidRPr="0062582F" w:rsidRDefault="004843DB" w:rsidP="004843DB">
      <w:pPr>
        <w:pStyle w:val="CommentaryTextIndent"/>
        <w:pBdr>
          <w:top w:val="none" w:sz="0" w:space="0" w:color="auto"/>
        </w:pBdr>
      </w:pPr>
      <w:r w:rsidRPr="0062582F">
        <w:t>(i)</w:t>
      </w:r>
      <w:r w:rsidRPr="0062582F">
        <w:tab/>
        <w:t>property, plant and equipment received from a customer which must be used by the entity to connect the customer to a network or to provide the customer with ongoing access to a supply of goods or services, or to do both; and</w:t>
      </w:r>
    </w:p>
    <w:p w:rsidR="004843DB" w:rsidRPr="0062582F" w:rsidRDefault="004843DB" w:rsidP="004843DB">
      <w:pPr>
        <w:pStyle w:val="CommentaryTextIndent"/>
        <w:pBdr>
          <w:top w:val="none" w:sz="0" w:space="0" w:color="auto"/>
        </w:pBdr>
      </w:pPr>
      <w:r w:rsidRPr="0062582F">
        <w:t>(ii)</w:t>
      </w:r>
      <w:r w:rsidRPr="0062582F">
        <w:tab/>
        <w:t>cash received from a customer that must only be used by the entity to construct or acquire an item of property, plant and equipment, and the entity must then use this property, plant and equipment to connect the customer to a network or to provide the customer with ongoing access to a supply of goods or services, or to do both.</w:t>
      </w:r>
    </w:p>
    <w:p w:rsidR="004843DB" w:rsidRPr="0062582F" w:rsidRDefault="004843DB" w:rsidP="004843DB">
      <w:pPr>
        <w:pStyle w:val="SmallLine"/>
      </w:pPr>
      <w:bookmarkStart w:id="358" w:name="_Toc163448730"/>
    </w:p>
    <w:p w:rsidR="004843DB" w:rsidRPr="0062582F" w:rsidRDefault="004843DB" w:rsidP="004843DB">
      <w:pPr>
        <w:pStyle w:val="SmallLine"/>
      </w:pPr>
      <w:r w:rsidRPr="0062582F">
        <w:br w:type="column"/>
      </w:r>
      <w:bookmarkEnd w:id="358"/>
    </w:p>
    <w:p w:rsidR="004843DB" w:rsidRPr="0062582F" w:rsidRDefault="004843DB" w:rsidP="004843DB">
      <w:pPr>
        <w:pStyle w:val="Reference"/>
        <w:spacing w:before="140"/>
      </w:pPr>
      <w:r w:rsidRPr="0062582F">
        <w:t>AASB 101.97</w:t>
      </w:r>
    </w:p>
    <w:p w:rsidR="004843DB" w:rsidRPr="0062582F" w:rsidRDefault="004843DB" w:rsidP="004843DB">
      <w:pPr>
        <w:pStyle w:val="NoteHeading"/>
      </w:pPr>
      <w:r w:rsidRPr="0062582F">
        <w:br w:type="column"/>
      </w:r>
      <w:bookmarkStart w:id="359" w:name="_Toc332019463"/>
      <w:bookmarkStart w:id="360" w:name="_Toc366843351"/>
      <w:bookmarkStart w:id="361" w:name="_Toc448157184"/>
      <w:r w:rsidRPr="0062582F">
        <w:lastRenderedPageBreak/>
        <w:t>Note 5.</w:t>
      </w:r>
      <w:r w:rsidRPr="0062582F">
        <w:tab/>
        <w:t>Expenses from transactions</w:t>
      </w:r>
      <w:bookmarkEnd w:id="359"/>
      <w:bookmarkEnd w:id="360"/>
      <w:bookmarkEnd w:id="361"/>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pPr>
      <w:r w:rsidRPr="0062582F">
        <w:t>AASB 119.46</w:t>
      </w:r>
      <w:r w:rsidRPr="0062582F">
        <w:br/>
        <w:t>FRD 112D</w:t>
      </w: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r w:rsidRPr="0062582F">
        <w:br/>
      </w:r>
      <w:r w:rsidRPr="0062582F">
        <w:br/>
      </w:r>
    </w:p>
    <w:p w:rsidR="004843DB" w:rsidRPr="0062582F" w:rsidRDefault="004843DB" w:rsidP="004843DB">
      <w:pPr>
        <w:pStyle w:val="Reference"/>
      </w:pPr>
      <w:r w:rsidRPr="0062582F">
        <w:t>AASB 119.142</w:t>
      </w: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20"/>
        <w:rPr>
          <w:lang w:val="en-AU"/>
        </w:rPr>
      </w:pPr>
      <w:r w:rsidRPr="0062582F">
        <w:rPr>
          <w:lang w:val="en-AU"/>
        </w:rPr>
        <w:t>AASB 101.104</w:t>
      </w:r>
    </w:p>
    <w:p w:rsidR="004843DB" w:rsidRPr="0062582F" w:rsidRDefault="004843DB" w:rsidP="004843DB">
      <w:pPr>
        <w:pStyle w:val="Reference"/>
        <w:spacing w:before="100"/>
        <w:rPr>
          <w:color w:val="FF0000"/>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r w:rsidRPr="0062582F">
        <w:rPr>
          <w:lang w:val="en-AU"/>
        </w:rPr>
        <w:t>AASB 7.20(b)</w:t>
      </w: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Red"/>
        <w:spacing w:before="200"/>
        <w:rPr>
          <w:rStyle w:val="ReferenceChar"/>
        </w:rPr>
      </w:pPr>
      <w:r w:rsidRPr="0062582F">
        <w:rPr>
          <w:rStyle w:val="ReferenceChar"/>
        </w:rPr>
        <w:t>AASB 101.97</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pPr>
      <w:r w:rsidRPr="0062582F">
        <w:t>AASB 140.75(f)(ii) and (iii)</w:t>
      </w:r>
    </w:p>
    <w:p w:rsidR="004843DB" w:rsidRPr="0062582F" w:rsidRDefault="004843DB" w:rsidP="004843DB">
      <w:pPr>
        <w:pStyle w:val="million"/>
        <w:rPr>
          <w:rFonts w:ascii="Tahoma" w:hAnsi="Tahoma" w:cs="Tahoma"/>
          <w:sz w:val="20"/>
        </w:rPr>
      </w:pPr>
      <w:r w:rsidRPr="0062582F">
        <w:br w:type="column"/>
      </w:r>
      <w:r w:rsidRPr="0062582F">
        <w:lastRenderedPageBreak/>
        <w:t>($ thousand)</w:t>
      </w:r>
      <w:bookmarkStart w:id="362" w:name="RANGE!D5:G42"/>
    </w:p>
    <w:tbl>
      <w:tblPr>
        <w:tblW w:w="8118" w:type="dxa"/>
        <w:tblInd w:w="25" w:type="dxa"/>
        <w:tblLayout w:type="fixed"/>
        <w:tblCellMar>
          <w:left w:w="43" w:type="dxa"/>
          <w:right w:w="43" w:type="dxa"/>
        </w:tblCellMar>
        <w:tblLook w:val="04A0" w:firstRow="1" w:lastRow="0" w:firstColumn="1" w:lastColumn="0" w:noHBand="0" w:noVBand="1"/>
      </w:tblPr>
      <w:tblGrid>
        <w:gridCol w:w="378"/>
        <w:gridCol w:w="5760"/>
        <w:gridCol w:w="990"/>
        <w:gridCol w:w="990"/>
      </w:tblGrid>
      <w:tr w:rsidR="004843DB" w:rsidRPr="0062582F" w:rsidTr="004843DB">
        <w:trPr>
          <w:trHeight w:val="255"/>
        </w:trPr>
        <w:tc>
          <w:tcPr>
            <w:tcW w:w="374"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 xml:space="preserve"> </w:t>
            </w:r>
          </w:p>
        </w:tc>
        <w:tc>
          <w:tcPr>
            <w:tcW w:w="57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 xml:space="preserve"> </w:t>
            </w:r>
          </w:p>
        </w:tc>
        <w:tc>
          <w:tcPr>
            <w:tcW w:w="99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99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rPr>
                <w:b/>
              </w:rPr>
            </w:pPr>
            <w:r w:rsidRPr="0062582F">
              <w:rPr>
                <w:b/>
              </w:rPr>
              <w:t>(a)</w:t>
            </w:r>
          </w:p>
        </w:tc>
        <w:tc>
          <w:tcPr>
            <w:tcW w:w="5760"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Employee expenses</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pPr>
            <w:r w:rsidRPr="0062582F">
              <w:t>Post employment benefits</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ind w:left="284" w:hanging="86"/>
            </w:pPr>
            <w:r w:rsidRPr="0062582F">
              <w:t>Defined contribution superannuation expense</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451</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325</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ind w:left="284" w:hanging="86"/>
            </w:pPr>
            <w:r w:rsidRPr="0062582F">
              <w:t>Defined benefit superannuation expense</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235</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155</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pPr>
            <w:r w:rsidRPr="0062582F">
              <w:t>Termination benefits</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1 810</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120</w:t>
            </w:r>
          </w:p>
        </w:tc>
      </w:tr>
      <w:tr w:rsidR="004843DB" w:rsidRPr="0062582F" w:rsidTr="004843DB">
        <w:trPr>
          <w:trHeight w:val="255"/>
        </w:trPr>
        <w:tc>
          <w:tcPr>
            <w:tcW w:w="374"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Salaries and wages, annual leave and long service leave</w:t>
            </w:r>
          </w:p>
        </w:tc>
        <w:tc>
          <w:tcPr>
            <w:tcW w:w="9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11 271</w:t>
            </w:r>
          </w:p>
        </w:tc>
        <w:tc>
          <w:tcPr>
            <w:tcW w:w="99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10 370</w:t>
            </w:r>
          </w:p>
        </w:tc>
      </w:tr>
      <w:tr w:rsidR="004843DB" w:rsidRPr="0062582F" w:rsidTr="004843DB">
        <w:trPr>
          <w:trHeight w:val="255"/>
        </w:trPr>
        <w:tc>
          <w:tcPr>
            <w:tcW w:w="37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b/>
              </w:rPr>
            </w:pPr>
            <w:r w:rsidRPr="0062582F">
              <w:rPr>
                <w:b/>
              </w:rPr>
              <w:t xml:space="preserve"> </w:t>
            </w:r>
          </w:p>
        </w:tc>
        <w:tc>
          <w:tcPr>
            <w:tcW w:w="576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employee expenses</w:t>
            </w:r>
          </w:p>
        </w:tc>
        <w:tc>
          <w:tcPr>
            <w:tcW w:w="9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13 767</w:t>
            </w:r>
          </w:p>
        </w:tc>
        <w:tc>
          <w:tcPr>
            <w:tcW w:w="99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10 970</w:t>
            </w:r>
          </w:p>
        </w:tc>
      </w:tr>
      <w:tr w:rsidR="004843DB" w:rsidRPr="0062582F" w:rsidTr="004843DB">
        <w:trPr>
          <w:trHeight w:val="255"/>
        </w:trPr>
        <w:tc>
          <w:tcPr>
            <w:tcW w:w="374" w:type="dxa"/>
            <w:tcBorders>
              <w:top w:val="single" w:sz="12" w:space="0" w:color="auto"/>
              <w:left w:val="nil"/>
              <w:bottom w:val="nil"/>
              <w:right w:val="nil"/>
            </w:tcBorders>
            <w:shd w:val="clear" w:color="auto" w:fill="auto"/>
            <w:noWrap/>
            <w:hideMark/>
          </w:tcPr>
          <w:p w:rsidR="004843DB" w:rsidRPr="0062582F" w:rsidRDefault="004843DB" w:rsidP="004843DB">
            <w:pPr>
              <w:pStyle w:val="Tabletext"/>
              <w:rPr>
                <w:b/>
              </w:rPr>
            </w:pPr>
            <w:r w:rsidRPr="0062582F">
              <w:rPr>
                <w:b/>
              </w:rPr>
              <w:t>(b)</w:t>
            </w:r>
          </w:p>
        </w:tc>
        <w:tc>
          <w:tcPr>
            <w:tcW w:w="5760" w:type="dxa"/>
            <w:tcBorders>
              <w:top w:val="single" w:sz="12"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Depreciation</w:t>
            </w:r>
          </w:p>
        </w:tc>
        <w:tc>
          <w:tcPr>
            <w:tcW w:w="990" w:type="dxa"/>
            <w:tcBorders>
              <w:top w:val="single" w:sz="12" w:space="0" w:color="auto"/>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9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pPr>
            <w:r w:rsidRPr="0062582F">
              <w:t>Buildings</w:t>
            </w:r>
            <w:r w:rsidRPr="0062582F">
              <w:rPr>
                <w:sz w:val="20"/>
                <w:vertAlign w:val="superscript"/>
              </w:rPr>
              <w:t>(i)</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578</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607</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pPr>
            <w:r w:rsidRPr="0062582F">
              <w:t>Plant, equipment and vehicles</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12 118</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9 550</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pPr>
            <w:r w:rsidRPr="0062582F">
              <w:t>Infrastructure</w:t>
            </w:r>
            <w:r w:rsidRPr="0062582F">
              <w:rPr>
                <w:sz w:val="20"/>
                <w:vertAlign w:val="superscript"/>
              </w:rPr>
              <w:t>(ii)</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419</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240</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pPr>
            <w:r w:rsidRPr="0062582F">
              <w:t>Road, infrastructure and earthworks</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514</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207</w:t>
            </w:r>
          </w:p>
        </w:tc>
      </w:tr>
      <w:tr w:rsidR="004843DB" w:rsidRPr="0062582F" w:rsidTr="004843DB">
        <w:trPr>
          <w:trHeight w:val="255"/>
        </w:trPr>
        <w:tc>
          <w:tcPr>
            <w:tcW w:w="374" w:type="dxa"/>
            <w:tcBorders>
              <w:left w:val="nil"/>
              <w:bottom w:val="single" w:sz="4" w:space="0" w:color="auto"/>
              <w:right w:val="nil"/>
            </w:tcBorders>
            <w:shd w:val="clear" w:color="auto" w:fill="auto"/>
            <w:noWrap/>
            <w:hideMark/>
          </w:tcPr>
          <w:p w:rsidR="004843DB" w:rsidRPr="0062582F" w:rsidRDefault="004843DB" w:rsidP="004843DB">
            <w:pPr>
              <w:pStyle w:val="Tabletext"/>
              <w:rPr>
                <w:vertAlign w:val="superscript"/>
              </w:rPr>
            </w:pPr>
          </w:p>
        </w:tc>
        <w:tc>
          <w:tcPr>
            <w:tcW w:w="5760" w:type="dxa"/>
            <w:tcBorders>
              <w:left w:val="nil"/>
              <w:bottom w:val="single" w:sz="4" w:space="0" w:color="auto"/>
              <w:right w:val="nil"/>
            </w:tcBorders>
            <w:shd w:val="clear" w:color="auto" w:fill="auto"/>
            <w:hideMark/>
          </w:tcPr>
          <w:p w:rsidR="004843DB" w:rsidRPr="0062582F" w:rsidRDefault="004843DB" w:rsidP="004843DB">
            <w:pPr>
              <w:pStyle w:val="Tabletext"/>
            </w:pPr>
            <w:r w:rsidRPr="0062582F">
              <w:t>Intangible produced assets</w:t>
            </w:r>
          </w:p>
        </w:tc>
        <w:tc>
          <w:tcPr>
            <w:tcW w:w="990" w:type="dxa"/>
            <w:tcBorders>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1 471</w:t>
            </w:r>
          </w:p>
        </w:tc>
        <w:tc>
          <w:tcPr>
            <w:tcW w:w="990" w:type="dxa"/>
            <w:tcBorders>
              <w:left w:val="nil"/>
              <w:bottom w:val="single" w:sz="4" w:space="0" w:color="auto"/>
              <w:right w:val="nil"/>
            </w:tcBorders>
            <w:shd w:val="clear" w:color="auto" w:fill="auto"/>
            <w:noWrap/>
            <w:hideMark/>
          </w:tcPr>
          <w:p w:rsidR="004843DB" w:rsidRPr="0062582F" w:rsidRDefault="004843DB" w:rsidP="004843DB">
            <w:pPr>
              <w:pStyle w:val="TableofFigures"/>
            </w:pPr>
            <w:r w:rsidRPr="0062582F">
              <w:t>1 554</w:t>
            </w:r>
          </w:p>
        </w:tc>
      </w:tr>
      <w:tr w:rsidR="004843DB" w:rsidRPr="0062582F" w:rsidTr="004843DB">
        <w:trPr>
          <w:trHeight w:val="255"/>
        </w:trPr>
        <w:tc>
          <w:tcPr>
            <w:tcW w:w="37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b/>
              </w:rPr>
            </w:pPr>
            <w:r w:rsidRPr="0062582F">
              <w:rPr>
                <w:b/>
              </w:rPr>
              <w:t xml:space="preserve"> </w:t>
            </w:r>
          </w:p>
        </w:tc>
        <w:tc>
          <w:tcPr>
            <w:tcW w:w="576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depreciation</w:t>
            </w:r>
          </w:p>
        </w:tc>
        <w:tc>
          <w:tcPr>
            <w:tcW w:w="990"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15 099</w:t>
            </w:r>
          </w:p>
        </w:tc>
        <w:tc>
          <w:tcPr>
            <w:tcW w:w="99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12 157</w:t>
            </w:r>
          </w:p>
        </w:tc>
      </w:tr>
      <w:tr w:rsidR="004843DB" w:rsidRPr="0062582F" w:rsidTr="004843DB">
        <w:trPr>
          <w:trHeight w:val="255"/>
        </w:trPr>
        <w:tc>
          <w:tcPr>
            <w:tcW w:w="374" w:type="dxa"/>
            <w:tcBorders>
              <w:top w:val="single" w:sz="12" w:space="0" w:color="auto"/>
              <w:left w:val="nil"/>
              <w:bottom w:val="nil"/>
              <w:right w:val="nil"/>
            </w:tcBorders>
            <w:shd w:val="clear" w:color="auto" w:fill="auto"/>
            <w:noWrap/>
            <w:hideMark/>
          </w:tcPr>
          <w:p w:rsidR="004843DB" w:rsidRPr="0062582F" w:rsidRDefault="004843DB" w:rsidP="004843DB">
            <w:pPr>
              <w:pStyle w:val="Tabletext"/>
              <w:rPr>
                <w:b/>
              </w:rPr>
            </w:pPr>
            <w:r w:rsidRPr="0062582F">
              <w:rPr>
                <w:b/>
              </w:rPr>
              <w:t>(c)</w:t>
            </w:r>
          </w:p>
        </w:tc>
        <w:tc>
          <w:tcPr>
            <w:tcW w:w="5760" w:type="dxa"/>
            <w:tcBorders>
              <w:top w:val="single" w:sz="12"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Interest expense</w:t>
            </w:r>
          </w:p>
        </w:tc>
        <w:tc>
          <w:tcPr>
            <w:tcW w:w="990" w:type="dxa"/>
            <w:tcBorders>
              <w:top w:val="single" w:sz="12" w:space="0" w:color="auto"/>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9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pPr>
            <w:r w:rsidRPr="0062582F">
              <w:t>Interest on government loans</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172</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390</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Interest on finance leases </w:t>
            </w:r>
            <w:r w:rsidRPr="0062582F">
              <w:rPr>
                <w:sz w:val="20"/>
                <w:vertAlign w:val="superscript"/>
              </w:rPr>
              <w:t>(iii)</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1 139</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1 195</w:t>
            </w:r>
          </w:p>
        </w:tc>
      </w:tr>
      <w:tr w:rsidR="004843DB" w:rsidRPr="0062582F" w:rsidTr="004843DB">
        <w:trPr>
          <w:trHeight w:val="255"/>
        </w:trPr>
        <w:tc>
          <w:tcPr>
            <w:tcW w:w="374"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Other interest expense</w:t>
            </w:r>
          </w:p>
        </w:tc>
        <w:tc>
          <w:tcPr>
            <w:tcW w:w="9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1 055</w:t>
            </w:r>
          </w:p>
        </w:tc>
        <w:tc>
          <w:tcPr>
            <w:tcW w:w="99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750</w:t>
            </w:r>
          </w:p>
        </w:tc>
      </w:tr>
      <w:tr w:rsidR="004843DB" w:rsidRPr="0062582F" w:rsidTr="004843DB">
        <w:trPr>
          <w:trHeight w:val="255"/>
        </w:trPr>
        <w:tc>
          <w:tcPr>
            <w:tcW w:w="37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b/>
              </w:rPr>
            </w:pPr>
            <w:r w:rsidRPr="0062582F">
              <w:rPr>
                <w:b/>
              </w:rPr>
              <w:t xml:space="preserve"> </w:t>
            </w:r>
          </w:p>
        </w:tc>
        <w:tc>
          <w:tcPr>
            <w:tcW w:w="576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interest expense</w:t>
            </w:r>
          </w:p>
        </w:tc>
        <w:tc>
          <w:tcPr>
            <w:tcW w:w="9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2 366</w:t>
            </w:r>
          </w:p>
        </w:tc>
        <w:tc>
          <w:tcPr>
            <w:tcW w:w="99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2 336</w:t>
            </w:r>
          </w:p>
        </w:tc>
      </w:tr>
      <w:tr w:rsidR="004843DB" w:rsidRPr="0062582F" w:rsidTr="004843DB">
        <w:trPr>
          <w:trHeight w:val="255"/>
        </w:trPr>
        <w:tc>
          <w:tcPr>
            <w:tcW w:w="374" w:type="dxa"/>
            <w:tcBorders>
              <w:top w:val="single" w:sz="12" w:space="0" w:color="auto"/>
              <w:left w:val="nil"/>
              <w:bottom w:val="nil"/>
              <w:right w:val="nil"/>
            </w:tcBorders>
            <w:shd w:val="clear" w:color="auto" w:fill="auto"/>
            <w:noWrap/>
            <w:hideMark/>
          </w:tcPr>
          <w:p w:rsidR="004843DB" w:rsidRPr="0062582F" w:rsidRDefault="004843DB" w:rsidP="004843DB">
            <w:pPr>
              <w:pStyle w:val="Tabletext"/>
              <w:rPr>
                <w:b/>
              </w:rPr>
            </w:pPr>
            <w:r w:rsidRPr="0062582F">
              <w:rPr>
                <w:b/>
              </w:rPr>
              <w:t>(d)</w:t>
            </w:r>
          </w:p>
        </w:tc>
        <w:tc>
          <w:tcPr>
            <w:tcW w:w="5760" w:type="dxa"/>
            <w:tcBorders>
              <w:top w:val="single" w:sz="12"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Grants and other transfers</w:t>
            </w:r>
          </w:p>
        </w:tc>
        <w:tc>
          <w:tcPr>
            <w:tcW w:w="990" w:type="dxa"/>
            <w:tcBorders>
              <w:top w:val="single" w:sz="12" w:space="0" w:color="auto"/>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9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pPr>
            <w:r w:rsidRPr="0062582F">
              <w:t>General purpose grants</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19 052</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41 445</w:t>
            </w:r>
          </w:p>
        </w:tc>
      </w:tr>
      <w:tr w:rsidR="004843DB" w:rsidRPr="0062582F" w:rsidTr="004843DB">
        <w:trPr>
          <w:trHeight w:val="255"/>
        </w:trPr>
        <w:tc>
          <w:tcPr>
            <w:tcW w:w="374"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pPr>
            <w:r w:rsidRPr="0062582F">
              <w:t>Specific purpose grants for on</w:t>
            </w:r>
            <w:r w:rsidR="005A4BB0">
              <w:noBreakHyphen/>
            </w:r>
            <w:r w:rsidRPr="0062582F">
              <w:t>passing</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11 688</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55"/>
        </w:trPr>
        <w:tc>
          <w:tcPr>
            <w:tcW w:w="374"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Payments for specific purposes</w:t>
            </w:r>
          </w:p>
        </w:tc>
        <w:tc>
          <w:tcPr>
            <w:tcW w:w="9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2 144</w:t>
            </w:r>
          </w:p>
        </w:tc>
        <w:tc>
          <w:tcPr>
            <w:tcW w:w="99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1 595</w:t>
            </w:r>
          </w:p>
        </w:tc>
      </w:tr>
      <w:tr w:rsidR="004843DB" w:rsidRPr="0062582F" w:rsidTr="004843DB">
        <w:trPr>
          <w:trHeight w:val="255"/>
        </w:trPr>
        <w:tc>
          <w:tcPr>
            <w:tcW w:w="37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b/>
              </w:rPr>
            </w:pPr>
            <w:r w:rsidRPr="0062582F">
              <w:rPr>
                <w:b/>
              </w:rPr>
              <w:t xml:space="preserve"> </w:t>
            </w:r>
          </w:p>
        </w:tc>
        <w:tc>
          <w:tcPr>
            <w:tcW w:w="576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grants and other transfers</w:t>
            </w:r>
          </w:p>
        </w:tc>
        <w:tc>
          <w:tcPr>
            <w:tcW w:w="9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32 883</w:t>
            </w:r>
          </w:p>
        </w:tc>
        <w:tc>
          <w:tcPr>
            <w:tcW w:w="99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43 040</w:t>
            </w:r>
          </w:p>
        </w:tc>
      </w:tr>
      <w:bookmarkEnd w:id="362"/>
      <w:tr w:rsidR="004843DB" w:rsidRPr="0062582F" w:rsidTr="004843DB">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4843DB" w:rsidRPr="0062582F" w:rsidRDefault="004843DB" w:rsidP="004843DB">
            <w:pPr>
              <w:pStyle w:val="Tabletext"/>
              <w:rPr>
                <w:b/>
              </w:rPr>
            </w:pPr>
            <w:r w:rsidRPr="0062582F">
              <w:rPr>
                <w:b/>
              </w:rPr>
              <w:t>(e)</w:t>
            </w:r>
          </w:p>
        </w:tc>
        <w:tc>
          <w:tcPr>
            <w:tcW w:w="5760"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 xml:space="preserve">Other operating expenses </w:t>
            </w:r>
            <w:r w:rsidRPr="0062582F">
              <w:rPr>
                <w:b/>
                <w:vertAlign w:val="superscript"/>
              </w:rPr>
              <w:t>(iv)</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4843DB" w:rsidRPr="0062582F" w:rsidRDefault="004843DB" w:rsidP="004843DB">
            <w:pPr>
              <w:pStyle w:val="Tabletext"/>
              <w:rPr>
                <w:vertAlign w:val="superscript"/>
              </w:rPr>
            </w:pPr>
          </w:p>
        </w:tc>
        <w:tc>
          <w:tcPr>
            <w:tcW w:w="5760"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Supplies and services </w:t>
            </w:r>
            <w:r w:rsidRPr="0062582F">
              <w:rPr>
                <w:vertAlign w:val="superscript"/>
              </w:rPr>
              <w:t>(v)</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rPr>
                <w:noProof/>
              </w:rPr>
            </w:pPr>
            <w:r w:rsidRPr="0062582F">
              <w:t xml:space="preserve"> </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rPr>
                <w:noProof/>
              </w:rPr>
            </w:pPr>
            <w:r w:rsidRPr="0062582F">
              <w:t xml:space="preserve"> </w:t>
            </w:r>
          </w:p>
        </w:tc>
      </w:tr>
      <w:tr w:rsidR="004843DB" w:rsidRPr="0062582F" w:rsidTr="004843DB">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ind w:left="284" w:hanging="81"/>
            </w:pPr>
            <w:r w:rsidRPr="0062582F">
              <w:t>Purchase of inventories</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2 005</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1 334</w:t>
            </w:r>
          </w:p>
        </w:tc>
      </w:tr>
      <w:tr w:rsidR="004843DB" w:rsidRPr="0062582F" w:rsidTr="004843DB">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tcPr>
          <w:p w:rsidR="004843DB" w:rsidRPr="0062582F" w:rsidRDefault="004843DB" w:rsidP="004843DB">
            <w:pPr>
              <w:pStyle w:val="Tabletext"/>
              <w:ind w:left="284" w:hanging="81"/>
            </w:pPr>
            <w:r w:rsidRPr="0062582F">
              <w:t>Purchase of services</w:t>
            </w:r>
          </w:p>
        </w:tc>
        <w:tc>
          <w:tcPr>
            <w:tcW w:w="990" w:type="dxa"/>
            <w:tcBorders>
              <w:top w:val="nil"/>
              <w:left w:val="nil"/>
              <w:bottom w:val="nil"/>
              <w:right w:val="nil"/>
            </w:tcBorders>
            <w:shd w:val="clear" w:color="00FFFF" w:fill="CCCCCC"/>
            <w:noWrap/>
          </w:tcPr>
          <w:p w:rsidR="004843DB" w:rsidRPr="0062582F" w:rsidRDefault="004843DB" w:rsidP="004843DB">
            <w:pPr>
              <w:pStyle w:val="TableofFigures"/>
            </w:pPr>
            <w:r w:rsidRPr="0062582F">
              <w:t>3 635</w:t>
            </w:r>
          </w:p>
        </w:tc>
        <w:tc>
          <w:tcPr>
            <w:tcW w:w="990" w:type="dxa"/>
            <w:tcBorders>
              <w:top w:val="nil"/>
              <w:left w:val="nil"/>
              <w:bottom w:val="nil"/>
              <w:right w:val="nil"/>
            </w:tcBorders>
            <w:shd w:val="clear" w:color="auto" w:fill="auto"/>
            <w:noWrap/>
          </w:tcPr>
          <w:p w:rsidR="004843DB" w:rsidRPr="0062582F" w:rsidRDefault="004843DB" w:rsidP="004843DB">
            <w:pPr>
              <w:pStyle w:val="TableofFigures"/>
            </w:pPr>
            <w:r w:rsidRPr="0062582F">
              <w:t>2 151</w:t>
            </w:r>
          </w:p>
        </w:tc>
      </w:tr>
      <w:tr w:rsidR="004843DB" w:rsidRPr="0062582F" w:rsidTr="004843DB">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ind w:left="284" w:hanging="81"/>
            </w:pPr>
            <w:r w:rsidRPr="0062582F">
              <w:t xml:space="preserve">Maintenance </w:t>
            </w:r>
            <w:r w:rsidRPr="0062582F">
              <w:rPr>
                <w:vertAlign w:val="superscript"/>
              </w:rPr>
              <w:t>(vi)</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223</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94</w:t>
            </w:r>
          </w:p>
        </w:tc>
      </w:tr>
      <w:tr w:rsidR="004843DB" w:rsidRPr="0062582F" w:rsidTr="004843DB">
        <w:tblPrEx>
          <w:tblCellMar>
            <w:left w:w="17" w:type="dxa"/>
            <w:right w:w="17" w:type="dxa"/>
          </w:tblCellMar>
        </w:tblPrEx>
        <w:trPr>
          <w:cantSplit/>
        </w:trPr>
        <w:tc>
          <w:tcPr>
            <w:tcW w:w="378"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single" w:sz="4" w:space="0" w:color="auto"/>
              <w:right w:val="nil"/>
            </w:tcBorders>
            <w:shd w:val="clear" w:color="auto" w:fill="auto"/>
          </w:tcPr>
          <w:p w:rsidR="004843DB" w:rsidRPr="0062582F" w:rsidRDefault="004843DB" w:rsidP="004843DB">
            <w:pPr>
              <w:pStyle w:val="Tabletext"/>
              <w:ind w:left="284" w:hanging="81"/>
            </w:pPr>
            <w:r w:rsidRPr="0062582F">
              <w:t>Other borrowing cost (other than interest)</w:t>
            </w:r>
          </w:p>
        </w:tc>
        <w:tc>
          <w:tcPr>
            <w:tcW w:w="990" w:type="dxa"/>
            <w:tcBorders>
              <w:top w:val="nil"/>
              <w:left w:val="nil"/>
              <w:bottom w:val="single" w:sz="4" w:space="0" w:color="auto"/>
              <w:right w:val="nil"/>
            </w:tcBorders>
            <w:shd w:val="clear" w:color="00FFFF" w:fill="CCCCCC"/>
            <w:noWrap/>
          </w:tcPr>
          <w:p w:rsidR="004843DB" w:rsidRPr="0062582F" w:rsidRDefault="004843DB" w:rsidP="004843DB">
            <w:pPr>
              <w:pStyle w:val="TableofFigures"/>
            </w:pPr>
            <w:r w:rsidRPr="0062582F">
              <w:t xml:space="preserve"> 307</w:t>
            </w:r>
          </w:p>
        </w:tc>
        <w:tc>
          <w:tcPr>
            <w:tcW w:w="990" w:type="dxa"/>
            <w:tcBorders>
              <w:top w:val="nil"/>
              <w:left w:val="nil"/>
              <w:bottom w:val="single" w:sz="4" w:space="0" w:color="auto"/>
              <w:right w:val="nil"/>
            </w:tcBorders>
            <w:shd w:val="clear" w:color="auto" w:fill="auto"/>
            <w:noWrap/>
          </w:tcPr>
          <w:p w:rsidR="004843DB" w:rsidRPr="0062582F" w:rsidRDefault="004843DB" w:rsidP="004843DB">
            <w:pPr>
              <w:pStyle w:val="TableofFigures"/>
            </w:pPr>
            <w:r w:rsidRPr="0062582F">
              <w:t xml:space="preserve"> 144</w:t>
            </w:r>
          </w:p>
        </w:tc>
      </w:tr>
      <w:tr w:rsidR="004843DB" w:rsidRPr="0062582F" w:rsidTr="004843DB">
        <w:tblPrEx>
          <w:tblCellMar>
            <w:left w:w="17" w:type="dxa"/>
            <w:right w:w="17" w:type="dxa"/>
          </w:tblCellMar>
        </w:tblPrEx>
        <w:trPr>
          <w:cantSplit/>
        </w:trPr>
        <w:tc>
          <w:tcPr>
            <w:tcW w:w="37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Total supplies and services</w:t>
            </w:r>
          </w:p>
        </w:tc>
        <w:tc>
          <w:tcPr>
            <w:tcW w:w="99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pPr>
            <w:r w:rsidRPr="0062582F">
              <w:t>6 170</w:t>
            </w:r>
          </w:p>
        </w:tc>
        <w:tc>
          <w:tcPr>
            <w:tcW w:w="99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3 723</w:t>
            </w:r>
          </w:p>
        </w:tc>
      </w:tr>
      <w:tr w:rsidR="004843DB" w:rsidRPr="0062582F" w:rsidTr="004843DB">
        <w:tblPrEx>
          <w:tblCellMar>
            <w:left w:w="17" w:type="dxa"/>
            <w:right w:w="17" w:type="dxa"/>
          </w:tblCellMar>
        </w:tblPrEx>
        <w:trPr>
          <w:cantSplit/>
        </w:trPr>
        <w:tc>
          <w:tcPr>
            <w:tcW w:w="378" w:type="dxa"/>
            <w:tcBorders>
              <w:top w:val="single" w:sz="4" w:space="0" w:color="auto"/>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Fair value assets and services provided free of charge or for nominal consideration</w:t>
            </w:r>
          </w:p>
        </w:tc>
        <w:tc>
          <w:tcPr>
            <w:tcW w:w="99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99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ind w:left="284" w:hanging="81"/>
            </w:pPr>
            <w:r w:rsidRPr="0062582F">
              <w:t>Cash donations and gifts</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303</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214</w:t>
            </w:r>
          </w:p>
        </w:tc>
      </w:tr>
      <w:tr w:rsidR="004843DB" w:rsidRPr="0062582F" w:rsidTr="004843DB">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ind w:left="284" w:hanging="81"/>
            </w:pPr>
            <w:r w:rsidRPr="0062582F">
              <w:t>Land at fair value</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142</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123</w:t>
            </w:r>
          </w:p>
        </w:tc>
      </w:tr>
      <w:tr w:rsidR="004843DB" w:rsidRPr="0062582F" w:rsidTr="004843DB">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ind w:left="284" w:hanging="81"/>
            </w:pPr>
            <w:r w:rsidRPr="0062582F">
              <w:t>Plant and equipment at cost</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rPr>
                <w:noProof/>
              </w:rPr>
            </w:pPr>
            <w:r w:rsidRPr="0062582F">
              <w:t xml:space="preserve"> 110</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rPr>
                <w:noProof/>
              </w:rPr>
            </w:pPr>
            <w:r w:rsidRPr="0062582F">
              <w:t xml:space="preserve"> 15</w:t>
            </w:r>
          </w:p>
        </w:tc>
      </w:tr>
      <w:tr w:rsidR="004843DB" w:rsidRPr="0062582F" w:rsidTr="004843DB">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nil"/>
              <w:right w:val="nil"/>
            </w:tcBorders>
            <w:shd w:val="clear" w:color="auto" w:fill="auto"/>
            <w:hideMark/>
          </w:tcPr>
          <w:p w:rsidR="004843DB" w:rsidRPr="0062582F" w:rsidRDefault="004843DB" w:rsidP="004843DB">
            <w:pPr>
              <w:pStyle w:val="Tabletext"/>
              <w:ind w:left="284" w:hanging="81"/>
            </w:pPr>
            <w:r w:rsidRPr="0062582F">
              <w:t>Cultural assets at fair value</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154</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blPrEx>
          <w:tblCellMar>
            <w:left w:w="17" w:type="dxa"/>
            <w:right w:w="17" w:type="dxa"/>
          </w:tblCellMar>
        </w:tblPrEx>
        <w:trPr>
          <w:cantSplit/>
        </w:trPr>
        <w:tc>
          <w:tcPr>
            <w:tcW w:w="378"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single" w:sz="4" w:space="0" w:color="auto"/>
              <w:right w:val="nil"/>
            </w:tcBorders>
            <w:shd w:val="clear" w:color="auto" w:fill="auto"/>
            <w:hideMark/>
          </w:tcPr>
          <w:p w:rsidR="004843DB" w:rsidRPr="0062582F" w:rsidRDefault="004843DB" w:rsidP="004843DB">
            <w:pPr>
              <w:pStyle w:val="Tabletext"/>
              <w:ind w:left="284" w:hanging="81"/>
            </w:pPr>
            <w:r w:rsidRPr="0062582F">
              <w:t>Other assets</w:t>
            </w:r>
          </w:p>
        </w:tc>
        <w:tc>
          <w:tcPr>
            <w:tcW w:w="990"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 xml:space="preserve"> 57</w:t>
            </w:r>
          </w:p>
        </w:tc>
        <w:tc>
          <w:tcPr>
            <w:tcW w:w="99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194</w:t>
            </w:r>
          </w:p>
        </w:tc>
      </w:tr>
      <w:tr w:rsidR="004843DB" w:rsidRPr="0062582F" w:rsidTr="004843DB">
        <w:tblPrEx>
          <w:tblCellMar>
            <w:left w:w="17" w:type="dxa"/>
            <w:right w:w="17" w:type="dxa"/>
          </w:tblCellMar>
        </w:tblPrEx>
        <w:trPr>
          <w:cantSplit/>
        </w:trPr>
        <w:tc>
          <w:tcPr>
            <w:tcW w:w="37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Total fair value of assets and services provided free of charge or for nominal consideration</w:t>
            </w:r>
          </w:p>
        </w:tc>
        <w:tc>
          <w:tcPr>
            <w:tcW w:w="99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766</w:t>
            </w:r>
          </w:p>
        </w:tc>
        <w:tc>
          <w:tcPr>
            <w:tcW w:w="99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546</w:t>
            </w:r>
          </w:p>
        </w:tc>
      </w:tr>
      <w:tr w:rsidR="004843DB" w:rsidRPr="0062582F" w:rsidTr="004843DB">
        <w:tblPrEx>
          <w:tblCellMar>
            <w:left w:w="17" w:type="dxa"/>
            <w:right w:w="17" w:type="dxa"/>
          </w:tblCellMar>
        </w:tblPrEx>
        <w:trPr>
          <w:cantSplit/>
        </w:trPr>
        <w:tc>
          <w:tcPr>
            <w:tcW w:w="378" w:type="dxa"/>
            <w:tcBorders>
              <w:top w:val="single" w:sz="4" w:space="0" w:color="auto"/>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Direct operating expenses of investment properties</w:t>
            </w:r>
          </w:p>
        </w:tc>
        <w:tc>
          <w:tcPr>
            <w:tcW w:w="99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p>
        </w:tc>
        <w:tc>
          <w:tcPr>
            <w:tcW w:w="99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blPrEx>
          <w:tblCellMar>
            <w:left w:w="17" w:type="dxa"/>
            <w:right w:w="17" w:type="dxa"/>
          </w:tblCellMar>
        </w:tblPrEx>
        <w:trPr>
          <w:cantSplit/>
        </w:trPr>
        <w:tc>
          <w:tcPr>
            <w:tcW w:w="378"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nil"/>
              <w:left w:val="nil"/>
              <w:bottom w:val="single" w:sz="4" w:space="0" w:color="auto"/>
              <w:right w:val="nil"/>
            </w:tcBorders>
            <w:shd w:val="clear" w:color="auto" w:fill="auto"/>
            <w:hideMark/>
          </w:tcPr>
          <w:p w:rsidR="004843DB" w:rsidRPr="0062582F" w:rsidRDefault="004843DB" w:rsidP="004843DB">
            <w:pPr>
              <w:pStyle w:val="Tabletext"/>
              <w:ind w:left="284" w:hanging="81"/>
            </w:pPr>
            <w:r w:rsidRPr="0062582F">
              <w:t>Properties generating rental income</w:t>
            </w:r>
          </w:p>
        </w:tc>
        <w:tc>
          <w:tcPr>
            <w:tcW w:w="9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421</w:t>
            </w:r>
          </w:p>
        </w:tc>
        <w:tc>
          <w:tcPr>
            <w:tcW w:w="99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409</w:t>
            </w:r>
          </w:p>
        </w:tc>
      </w:tr>
      <w:tr w:rsidR="004843DB" w:rsidRPr="0062582F" w:rsidTr="004843DB">
        <w:tblPrEx>
          <w:tblCellMar>
            <w:left w:w="17" w:type="dxa"/>
            <w:right w:w="17" w:type="dxa"/>
          </w:tblCellMar>
        </w:tblPrEx>
        <w:trPr>
          <w:cantSplit/>
        </w:trPr>
        <w:tc>
          <w:tcPr>
            <w:tcW w:w="37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57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Total direct operating expenses of investment properties</w:t>
            </w:r>
          </w:p>
        </w:tc>
        <w:tc>
          <w:tcPr>
            <w:tcW w:w="99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421</w:t>
            </w:r>
          </w:p>
        </w:tc>
        <w:tc>
          <w:tcPr>
            <w:tcW w:w="99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409</w:t>
            </w:r>
          </w:p>
        </w:tc>
      </w:tr>
    </w:tbl>
    <w:p w:rsidR="004843DB" w:rsidRPr="0062582F" w:rsidRDefault="004843DB" w:rsidP="004843DB">
      <w:pPr>
        <w:pStyle w:val="NotesBlu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sBlue"/>
      </w:pPr>
      <w:r w:rsidRPr="0062582F">
        <w:lastRenderedPageBreak/>
        <w:br w:type="column"/>
      </w:r>
    </w:p>
    <w:p w:rsidR="004843DB" w:rsidRPr="0062582F" w:rsidRDefault="004843DB" w:rsidP="004843DB">
      <w:pPr>
        <w:pStyle w:val="NotesBlue"/>
      </w:pPr>
      <w:r w:rsidRPr="0062582F">
        <w:br w:type="column"/>
      </w:r>
    </w:p>
    <w:p w:rsidR="004843DB" w:rsidRPr="0062582F" w:rsidRDefault="004843DB" w:rsidP="004843DB">
      <w:pPr>
        <w:pStyle w:val="NoteHeadingcontinued"/>
        <w:rPr>
          <w:rStyle w:val="Heading2Char"/>
          <w:b/>
          <w:bCs/>
          <w:lang w:val="en-AU"/>
        </w:rPr>
      </w:pPr>
      <w:r w:rsidRPr="0062582F">
        <w:rPr>
          <w:rFonts w:ascii="Garamond" w:hAnsi="Garamond"/>
        </w:rPr>
        <w:br w:type="column"/>
      </w:r>
      <w:r w:rsidRPr="0062582F">
        <w:lastRenderedPageBreak/>
        <w:t>Note 5.</w:t>
      </w:r>
      <w:r w:rsidRPr="0062582F">
        <w:tab/>
        <w:t>Expenses from transactions</w:t>
      </w:r>
      <w:r w:rsidRPr="0062582F">
        <w:rPr>
          <w:rFonts w:ascii="Garamond" w:hAnsi="Garamond"/>
          <w:i/>
          <w:iCs/>
        </w:rPr>
        <w:t xml:space="preserve"> </w:t>
      </w:r>
      <w:r w:rsidRPr="0062582F">
        <w:rPr>
          <w:i/>
        </w:rPr>
        <w:t>(continued)</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rPr>
          <w:rStyle w:val="ReferenceChar"/>
        </w:rPr>
      </w:pPr>
    </w:p>
    <w:p w:rsidR="004843DB" w:rsidRPr="0062582F" w:rsidRDefault="004843DB" w:rsidP="004843DB">
      <w:pPr>
        <w:pStyle w:val="SmallLine"/>
        <w:rPr>
          <w:rStyle w:val="ReferenceChar"/>
        </w:rPr>
      </w:pPr>
    </w:p>
    <w:p w:rsidR="004843DB" w:rsidRPr="0062582F" w:rsidRDefault="004843DB" w:rsidP="004843DB">
      <w:pPr>
        <w:pStyle w:val="SmallLine"/>
        <w:rPr>
          <w:rStyle w:val="ReferenceChar"/>
        </w:rPr>
      </w:pPr>
    </w:p>
    <w:p w:rsidR="004843DB" w:rsidRPr="0062582F" w:rsidRDefault="004843DB" w:rsidP="004843DB">
      <w:pPr>
        <w:pStyle w:val="SmallLine"/>
        <w:rPr>
          <w:rStyle w:val="ReferenceChar"/>
        </w:rPr>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400"/>
      </w:pPr>
      <w:r w:rsidRPr="0062582F">
        <w:t>AASB 117.35(c)</w:t>
      </w: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Reference"/>
      </w:pPr>
      <w:r w:rsidRPr="0062582F">
        <w:t>AASB 102.36(d)</w:t>
      </w:r>
    </w:p>
    <w:p w:rsidR="004843DB" w:rsidRPr="0062582F" w:rsidRDefault="004843DB" w:rsidP="004843DB">
      <w:pPr>
        <w:pStyle w:val="Reference"/>
        <w:spacing w:before="120"/>
      </w:pPr>
    </w:p>
    <w:p w:rsidR="004843DB" w:rsidRPr="0062582F" w:rsidRDefault="004843DB" w:rsidP="004843DB">
      <w:pPr>
        <w:pStyle w:val="SmallLine"/>
      </w:pPr>
      <w:r w:rsidRPr="0062582F">
        <w:br/>
      </w:r>
    </w:p>
    <w:p w:rsidR="004843DB" w:rsidRPr="0062582F" w:rsidRDefault="004843DB" w:rsidP="004843DB">
      <w:pPr>
        <w:pStyle w:val="Reference"/>
        <w:spacing w:before="240"/>
      </w:pPr>
      <w:r w:rsidRPr="0062582F">
        <w:t>AASB 101.98(f)</w:t>
      </w:r>
    </w:p>
    <w:p w:rsidR="004843DB" w:rsidRPr="0062582F" w:rsidRDefault="004843DB" w:rsidP="004843DB">
      <w:pPr>
        <w:pStyle w:val="Reference"/>
        <w:spacing w:before="80"/>
      </w:pPr>
      <w:r w:rsidRPr="0062582F">
        <w:t>AASB 138.54 and 126</w:t>
      </w:r>
    </w:p>
    <w:p w:rsidR="004843DB" w:rsidRPr="0062582F" w:rsidRDefault="004843DB" w:rsidP="004843DB">
      <w:pPr>
        <w:pStyle w:val="million"/>
        <w:tabs>
          <w:tab w:val="left" w:pos="0"/>
        </w:tabs>
        <w:spacing w:before="80"/>
        <w:jc w:val="left"/>
        <w:rPr>
          <w:rFonts w:cs="Arial Narrow"/>
          <w:i w:val="0"/>
          <w:iCs w:val="0"/>
          <w:color w:val="0000FF"/>
          <w:sz w:val="16"/>
          <w:szCs w:val="16"/>
          <w:lang w:val="en-GB"/>
        </w:rPr>
      </w:pPr>
      <w:r w:rsidRPr="0062582F">
        <w:rPr>
          <w:rFonts w:cs="Arial Narrow"/>
          <w:i w:val="0"/>
          <w:iCs w:val="0"/>
          <w:color w:val="0000FF"/>
          <w:sz w:val="16"/>
          <w:szCs w:val="16"/>
          <w:lang w:val="en-GB"/>
        </w:rPr>
        <w:t>FRD 11A.3</w:t>
      </w:r>
    </w:p>
    <w:p w:rsidR="004843DB" w:rsidRPr="0062582F" w:rsidRDefault="004843DB" w:rsidP="004843DB">
      <w:pPr>
        <w:pStyle w:val="million"/>
      </w:pPr>
      <w:r w:rsidRPr="0062582F">
        <w:br w:type="column"/>
      </w:r>
      <w:r w:rsidRPr="0062582F">
        <w:lastRenderedPageBreak/>
        <w:t>($ thousand)</w:t>
      </w:r>
      <w:bookmarkStart w:id="363" w:name="RANGE!D48:G82"/>
    </w:p>
    <w:tbl>
      <w:tblPr>
        <w:tblW w:w="8358" w:type="dxa"/>
        <w:tblInd w:w="29" w:type="dxa"/>
        <w:tblLayout w:type="fixed"/>
        <w:tblCellMar>
          <w:left w:w="17" w:type="dxa"/>
          <w:right w:w="17" w:type="dxa"/>
        </w:tblCellMar>
        <w:tblLook w:val="04A0" w:firstRow="1" w:lastRow="0" w:firstColumn="1" w:lastColumn="0" w:noHBand="0" w:noVBand="1"/>
      </w:tblPr>
      <w:tblGrid>
        <w:gridCol w:w="335"/>
        <w:gridCol w:w="6013"/>
        <w:gridCol w:w="967"/>
        <w:gridCol w:w="1043"/>
      </w:tblGrid>
      <w:tr w:rsidR="004843DB" w:rsidRPr="0062582F" w:rsidTr="004843DB">
        <w:trPr>
          <w:cantSplit/>
        </w:trPr>
        <w:tc>
          <w:tcPr>
            <w:tcW w:w="33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 xml:space="preserve"> </w:t>
            </w:r>
          </w:p>
        </w:tc>
        <w:tc>
          <w:tcPr>
            <w:tcW w:w="60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 xml:space="preserve"> </w:t>
            </w:r>
          </w:p>
        </w:tc>
        <w:tc>
          <w:tcPr>
            <w:tcW w:w="967"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043"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335"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6013" w:type="dxa"/>
            <w:tcBorders>
              <w:top w:val="nil"/>
              <w:left w:val="nil"/>
              <w:bottom w:val="nil"/>
              <w:right w:val="nil"/>
            </w:tcBorders>
            <w:shd w:val="clear" w:color="auto" w:fill="auto"/>
            <w:hideMark/>
          </w:tcPr>
          <w:p w:rsidR="004843DB" w:rsidRPr="0062582F" w:rsidRDefault="004843DB" w:rsidP="004843DB">
            <w:pPr>
              <w:pStyle w:val="Tabletext"/>
            </w:pPr>
            <w:r w:rsidRPr="0062582F">
              <w:t>Operating lease rental expenses</w:t>
            </w:r>
          </w:p>
        </w:tc>
        <w:tc>
          <w:tcPr>
            <w:tcW w:w="96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04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335"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6013" w:type="dxa"/>
            <w:tcBorders>
              <w:top w:val="nil"/>
              <w:left w:val="nil"/>
              <w:bottom w:val="nil"/>
              <w:right w:val="nil"/>
            </w:tcBorders>
            <w:shd w:val="clear" w:color="auto" w:fill="auto"/>
            <w:hideMark/>
          </w:tcPr>
          <w:p w:rsidR="004843DB" w:rsidRPr="0062582F" w:rsidRDefault="004843DB" w:rsidP="004843DB">
            <w:pPr>
              <w:pStyle w:val="Tabletext"/>
              <w:ind w:left="284" w:hanging="81"/>
            </w:pPr>
            <w:r w:rsidRPr="0062582F">
              <w:t>Lease payments</w:t>
            </w:r>
          </w:p>
        </w:tc>
        <w:tc>
          <w:tcPr>
            <w:tcW w:w="96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3 295</w:t>
            </w:r>
          </w:p>
        </w:tc>
        <w:tc>
          <w:tcPr>
            <w:tcW w:w="104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1 098</w:t>
            </w:r>
          </w:p>
        </w:tc>
      </w:tr>
      <w:tr w:rsidR="004843DB" w:rsidRPr="0062582F" w:rsidTr="004843DB">
        <w:trPr>
          <w:cantSplit/>
        </w:trPr>
        <w:tc>
          <w:tcPr>
            <w:tcW w:w="335"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6013" w:type="dxa"/>
            <w:tcBorders>
              <w:top w:val="nil"/>
              <w:left w:val="nil"/>
              <w:bottom w:val="nil"/>
              <w:right w:val="nil"/>
            </w:tcBorders>
            <w:shd w:val="clear" w:color="auto" w:fill="auto"/>
            <w:hideMark/>
          </w:tcPr>
          <w:p w:rsidR="004843DB" w:rsidRPr="0062582F" w:rsidRDefault="004843DB" w:rsidP="004843DB">
            <w:pPr>
              <w:pStyle w:val="Tabletext"/>
              <w:ind w:left="284" w:hanging="81"/>
            </w:pPr>
            <w:r w:rsidRPr="0062582F">
              <w:t>Subleases</w:t>
            </w:r>
          </w:p>
        </w:tc>
        <w:tc>
          <w:tcPr>
            <w:tcW w:w="96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422</w:t>
            </w:r>
          </w:p>
        </w:tc>
        <w:tc>
          <w:tcPr>
            <w:tcW w:w="104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3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60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Total operating lease rental expenses</w:t>
            </w:r>
          </w:p>
        </w:tc>
        <w:tc>
          <w:tcPr>
            <w:tcW w:w="967"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pPr>
            <w:r w:rsidRPr="0062582F">
              <w:t>3 717</w:t>
            </w:r>
          </w:p>
        </w:tc>
        <w:tc>
          <w:tcPr>
            <w:tcW w:w="1043"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1 098</w:t>
            </w:r>
          </w:p>
        </w:tc>
      </w:tr>
      <w:tr w:rsidR="004843DB" w:rsidRPr="0062582F" w:rsidTr="004843DB">
        <w:trPr>
          <w:cantSplit/>
        </w:trPr>
        <w:tc>
          <w:tcPr>
            <w:tcW w:w="335" w:type="dxa"/>
            <w:tcBorders>
              <w:top w:val="nil"/>
              <w:left w:val="nil"/>
              <w:bottom w:val="nil"/>
              <w:right w:val="nil"/>
            </w:tcBorders>
            <w:shd w:val="clear" w:color="auto" w:fill="auto"/>
            <w:noWrap/>
            <w:hideMark/>
          </w:tcPr>
          <w:p w:rsidR="004843DB" w:rsidRPr="0062582F" w:rsidRDefault="004843DB" w:rsidP="004843DB">
            <w:pPr>
              <w:pStyle w:val="Tabletext"/>
              <w:rPr>
                <w:b/>
              </w:rPr>
            </w:pPr>
            <w:r w:rsidRPr="0062582F">
              <w:rPr>
                <w:b/>
              </w:rPr>
              <w:t xml:space="preserve"> </w:t>
            </w:r>
          </w:p>
        </w:tc>
        <w:tc>
          <w:tcPr>
            <w:tcW w:w="60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Subtotal</w:t>
            </w:r>
          </w:p>
        </w:tc>
        <w:tc>
          <w:tcPr>
            <w:tcW w:w="967"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11 074</w:t>
            </w:r>
          </w:p>
        </w:tc>
        <w:tc>
          <w:tcPr>
            <w:tcW w:w="1043"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5 776</w:t>
            </w:r>
          </w:p>
        </w:tc>
      </w:tr>
      <w:tr w:rsidR="004843DB" w:rsidRPr="0062582F" w:rsidTr="004843DB">
        <w:trPr>
          <w:cantSplit/>
        </w:trPr>
        <w:tc>
          <w:tcPr>
            <w:tcW w:w="335" w:type="dxa"/>
            <w:tcBorders>
              <w:top w:val="nil"/>
              <w:left w:val="nil"/>
              <w:bottom w:val="nil"/>
              <w:right w:val="nil"/>
            </w:tcBorders>
            <w:shd w:val="clear" w:color="auto" w:fill="auto"/>
            <w:noWrap/>
            <w:hideMark/>
          </w:tcPr>
          <w:p w:rsidR="004843DB" w:rsidRPr="0062582F" w:rsidRDefault="004843DB" w:rsidP="004843DB">
            <w:pPr>
              <w:pStyle w:val="Tabletext"/>
            </w:pPr>
            <w:bookmarkStart w:id="364" w:name="_Hlk367974649"/>
            <w:r w:rsidRPr="0062582F">
              <w:t xml:space="preserve"> </w:t>
            </w:r>
          </w:p>
        </w:tc>
        <w:tc>
          <w:tcPr>
            <w:tcW w:w="6013" w:type="dxa"/>
            <w:tcBorders>
              <w:top w:val="nil"/>
              <w:left w:val="nil"/>
              <w:bottom w:val="nil"/>
              <w:right w:val="nil"/>
            </w:tcBorders>
            <w:shd w:val="clear" w:color="auto" w:fill="auto"/>
            <w:hideMark/>
          </w:tcPr>
          <w:p w:rsidR="004843DB" w:rsidRPr="0062582F" w:rsidRDefault="004843DB" w:rsidP="004843DB">
            <w:pPr>
              <w:pStyle w:val="Tabletext"/>
            </w:pPr>
            <w:r w:rsidRPr="0062582F">
              <w:t>Bad debts from transactions</w:t>
            </w:r>
          </w:p>
        </w:tc>
        <w:tc>
          <w:tcPr>
            <w:tcW w:w="96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75</w:t>
            </w:r>
          </w:p>
        </w:tc>
        <w:tc>
          <w:tcPr>
            <w:tcW w:w="104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50</w:t>
            </w:r>
          </w:p>
        </w:tc>
      </w:tr>
      <w:tr w:rsidR="004843DB" w:rsidRPr="0062582F" w:rsidTr="004843DB">
        <w:trPr>
          <w:cantSplit/>
        </w:trPr>
        <w:tc>
          <w:tcPr>
            <w:tcW w:w="335" w:type="dxa"/>
            <w:tcBorders>
              <w:top w:val="nil"/>
              <w:left w:val="nil"/>
              <w:bottom w:val="nil"/>
              <w:right w:val="nil"/>
            </w:tcBorders>
            <w:shd w:val="clear" w:color="auto" w:fill="auto"/>
            <w:noWrap/>
          </w:tcPr>
          <w:p w:rsidR="004843DB" w:rsidRPr="0062582F" w:rsidRDefault="004843DB" w:rsidP="004843DB">
            <w:pPr>
              <w:pStyle w:val="Tabletext"/>
            </w:pPr>
            <w:r w:rsidRPr="0062582F">
              <w:t xml:space="preserve"> </w:t>
            </w:r>
          </w:p>
        </w:tc>
        <w:tc>
          <w:tcPr>
            <w:tcW w:w="6013" w:type="dxa"/>
            <w:tcBorders>
              <w:top w:val="nil"/>
              <w:left w:val="nil"/>
              <w:bottom w:val="nil"/>
              <w:right w:val="nil"/>
            </w:tcBorders>
            <w:shd w:val="clear" w:color="auto" w:fill="auto"/>
          </w:tcPr>
          <w:p w:rsidR="004843DB" w:rsidRPr="0062582F" w:rsidRDefault="004843DB" w:rsidP="004843DB">
            <w:pPr>
              <w:pStyle w:val="Tabletext"/>
            </w:pPr>
            <w:r w:rsidRPr="0062582F">
              <w:t>Cost of goods sold/distributed</w:t>
            </w:r>
          </w:p>
        </w:tc>
        <w:tc>
          <w:tcPr>
            <w:tcW w:w="967" w:type="dxa"/>
            <w:tcBorders>
              <w:top w:val="nil"/>
              <w:left w:val="nil"/>
              <w:bottom w:val="nil"/>
              <w:right w:val="nil"/>
            </w:tcBorders>
            <w:shd w:val="clear" w:color="00FFFF" w:fill="CCCCCC"/>
            <w:noWrap/>
          </w:tcPr>
          <w:p w:rsidR="004843DB" w:rsidRPr="0062582F" w:rsidRDefault="004843DB" w:rsidP="004843DB">
            <w:pPr>
              <w:pStyle w:val="TableofFigures"/>
            </w:pPr>
            <w:r w:rsidRPr="0062582F">
              <w:t>1 463</w:t>
            </w:r>
          </w:p>
        </w:tc>
        <w:tc>
          <w:tcPr>
            <w:tcW w:w="1043" w:type="dxa"/>
            <w:tcBorders>
              <w:top w:val="nil"/>
              <w:left w:val="nil"/>
              <w:bottom w:val="nil"/>
              <w:right w:val="nil"/>
            </w:tcBorders>
            <w:shd w:val="clear" w:color="auto" w:fill="auto"/>
            <w:noWrap/>
          </w:tcPr>
          <w:p w:rsidR="004843DB" w:rsidRPr="0062582F" w:rsidRDefault="004843DB" w:rsidP="004843DB">
            <w:pPr>
              <w:pStyle w:val="TableofFigures"/>
            </w:pPr>
            <w:r w:rsidRPr="0062582F">
              <w:t>1 077</w:t>
            </w:r>
          </w:p>
        </w:tc>
      </w:tr>
      <w:tr w:rsidR="004843DB" w:rsidRPr="0062582F" w:rsidTr="004843DB">
        <w:trPr>
          <w:cantSplit/>
        </w:trPr>
        <w:tc>
          <w:tcPr>
            <w:tcW w:w="335"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6013" w:type="dxa"/>
            <w:tcBorders>
              <w:top w:val="nil"/>
              <w:left w:val="nil"/>
              <w:bottom w:val="nil"/>
              <w:right w:val="nil"/>
            </w:tcBorders>
            <w:shd w:val="clear" w:color="auto" w:fill="auto"/>
            <w:hideMark/>
          </w:tcPr>
          <w:p w:rsidR="004843DB" w:rsidRPr="0062582F" w:rsidRDefault="004843DB" w:rsidP="004843DB">
            <w:pPr>
              <w:pStyle w:val="Tabletext"/>
            </w:pPr>
            <w:r w:rsidRPr="0062582F">
              <w:t>Cost of biological assets sold – commercial</w:t>
            </w:r>
          </w:p>
        </w:tc>
        <w:tc>
          <w:tcPr>
            <w:tcW w:w="96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1 290</w:t>
            </w:r>
          </w:p>
        </w:tc>
        <w:tc>
          <w:tcPr>
            <w:tcW w:w="104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35"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6013" w:type="dxa"/>
            <w:tcBorders>
              <w:top w:val="nil"/>
              <w:left w:val="nil"/>
              <w:bottom w:val="nil"/>
              <w:right w:val="nil"/>
            </w:tcBorders>
            <w:shd w:val="clear" w:color="auto" w:fill="auto"/>
            <w:hideMark/>
          </w:tcPr>
          <w:p w:rsidR="004843DB" w:rsidRPr="0062582F" w:rsidRDefault="004843DB" w:rsidP="004843DB">
            <w:pPr>
              <w:pStyle w:val="Tabletext"/>
            </w:pPr>
            <w:r w:rsidRPr="0062582F">
              <w:t>Cost of biological assets sold – livestock</w:t>
            </w:r>
          </w:p>
        </w:tc>
        <w:tc>
          <w:tcPr>
            <w:tcW w:w="96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250</w:t>
            </w:r>
          </w:p>
        </w:tc>
        <w:tc>
          <w:tcPr>
            <w:tcW w:w="104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35" w:type="dxa"/>
            <w:tcBorders>
              <w:top w:val="nil"/>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6013" w:type="dxa"/>
            <w:tcBorders>
              <w:top w:val="nil"/>
              <w:left w:val="nil"/>
              <w:bottom w:val="nil"/>
              <w:right w:val="nil"/>
            </w:tcBorders>
            <w:shd w:val="clear" w:color="auto" w:fill="auto"/>
            <w:hideMark/>
          </w:tcPr>
          <w:p w:rsidR="004843DB" w:rsidRPr="0062582F" w:rsidRDefault="004843DB" w:rsidP="004843DB">
            <w:pPr>
              <w:pStyle w:val="Tabletext"/>
            </w:pPr>
            <w:r w:rsidRPr="0062582F">
              <w:t>Settlement of litigation</w:t>
            </w:r>
          </w:p>
        </w:tc>
        <w:tc>
          <w:tcPr>
            <w:tcW w:w="96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869</w:t>
            </w:r>
          </w:p>
        </w:tc>
        <w:tc>
          <w:tcPr>
            <w:tcW w:w="104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783</w:t>
            </w:r>
          </w:p>
        </w:tc>
      </w:tr>
      <w:tr w:rsidR="004843DB" w:rsidRPr="0062582F" w:rsidTr="004843DB">
        <w:trPr>
          <w:cantSplit/>
        </w:trPr>
        <w:tc>
          <w:tcPr>
            <w:tcW w:w="335" w:type="dxa"/>
            <w:tcBorders>
              <w:top w:val="nil"/>
              <w:left w:val="nil"/>
              <w:right w:val="nil"/>
            </w:tcBorders>
            <w:shd w:val="clear" w:color="auto" w:fill="auto"/>
            <w:noWrap/>
            <w:hideMark/>
          </w:tcPr>
          <w:p w:rsidR="004843DB" w:rsidRPr="0062582F" w:rsidRDefault="004843DB" w:rsidP="004843DB">
            <w:pPr>
              <w:pStyle w:val="Tabletext"/>
            </w:pPr>
            <w:r w:rsidRPr="0062582F">
              <w:t xml:space="preserve"> </w:t>
            </w:r>
          </w:p>
        </w:tc>
        <w:tc>
          <w:tcPr>
            <w:tcW w:w="6013" w:type="dxa"/>
            <w:tcBorders>
              <w:top w:val="nil"/>
              <w:left w:val="nil"/>
              <w:right w:val="nil"/>
            </w:tcBorders>
            <w:shd w:val="clear" w:color="auto" w:fill="auto"/>
            <w:hideMark/>
          </w:tcPr>
          <w:p w:rsidR="004843DB" w:rsidRPr="0062582F" w:rsidRDefault="004843DB" w:rsidP="004843DB">
            <w:pPr>
              <w:pStyle w:val="Tabletext"/>
            </w:pPr>
            <w:r w:rsidRPr="0062582F">
              <w:t>Research and development costs immediately expensed</w:t>
            </w:r>
          </w:p>
        </w:tc>
        <w:tc>
          <w:tcPr>
            <w:tcW w:w="967" w:type="dxa"/>
            <w:tcBorders>
              <w:top w:val="nil"/>
              <w:left w:val="nil"/>
              <w:right w:val="nil"/>
            </w:tcBorders>
            <w:shd w:val="clear" w:color="00FFFF" w:fill="CCCCCC"/>
            <w:noWrap/>
            <w:hideMark/>
          </w:tcPr>
          <w:p w:rsidR="004843DB" w:rsidRPr="0062582F" w:rsidRDefault="004843DB" w:rsidP="004843DB">
            <w:pPr>
              <w:pStyle w:val="TableofFigures"/>
            </w:pPr>
            <w:r w:rsidRPr="0062582F">
              <w:t xml:space="preserve"> 651</w:t>
            </w:r>
          </w:p>
        </w:tc>
        <w:tc>
          <w:tcPr>
            <w:tcW w:w="1043" w:type="dxa"/>
            <w:tcBorders>
              <w:top w:val="nil"/>
              <w:left w:val="nil"/>
              <w:right w:val="nil"/>
            </w:tcBorders>
            <w:shd w:val="clear" w:color="auto" w:fill="auto"/>
            <w:noWrap/>
            <w:hideMark/>
          </w:tcPr>
          <w:p w:rsidR="004843DB" w:rsidRPr="0062582F" w:rsidRDefault="004843DB" w:rsidP="004843DB">
            <w:pPr>
              <w:pStyle w:val="TableofFigures"/>
            </w:pPr>
            <w:r w:rsidRPr="0062582F">
              <w:t xml:space="preserve"> 495</w:t>
            </w:r>
          </w:p>
        </w:tc>
      </w:tr>
      <w:tr w:rsidR="004843DB" w:rsidRPr="0062582F" w:rsidTr="004843DB">
        <w:trPr>
          <w:cantSplit/>
        </w:trPr>
        <w:tc>
          <w:tcPr>
            <w:tcW w:w="335" w:type="dxa"/>
            <w:tcBorders>
              <w:top w:val="nil"/>
              <w:left w:val="nil"/>
              <w:bottom w:val="single" w:sz="4" w:space="0" w:color="auto"/>
              <w:right w:val="nil"/>
            </w:tcBorders>
            <w:shd w:val="clear" w:color="auto" w:fill="auto"/>
            <w:noWrap/>
          </w:tcPr>
          <w:p w:rsidR="004843DB" w:rsidRPr="0062582F" w:rsidRDefault="004843DB" w:rsidP="004843DB">
            <w:pPr>
              <w:pStyle w:val="Tabletext"/>
            </w:pPr>
          </w:p>
        </w:tc>
        <w:tc>
          <w:tcPr>
            <w:tcW w:w="6013" w:type="dxa"/>
            <w:tcBorders>
              <w:top w:val="nil"/>
              <w:left w:val="nil"/>
              <w:bottom w:val="single" w:sz="4" w:space="0" w:color="auto"/>
              <w:right w:val="nil"/>
            </w:tcBorders>
            <w:shd w:val="clear" w:color="auto" w:fill="auto"/>
          </w:tcPr>
          <w:p w:rsidR="004843DB" w:rsidRPr="0062582F" w:rsidRDefault="004843DB" w:rsidP="004843DB">
            <w:pPr>
              <w:pStyle w:val="Tabletext"/>
            </w:pPr>
            <w:r w:rsidRPr="0062582F">
              <w:t>Ex gratia expense</w:t>
            </w:r>
          </w:p>
        </w:tc>
        <w:tc>
          <w:tcPr>
            <w:tcW w:w="967" w:type="dxa"/>
            <w:tcBorders>
              <w:top w:val="nil"/>
              <w:left w:val="nil"/>
              <w:bottom w:val="single" w:sz="4" w:space="0" w:color="auto"/>
              <w:right w:val="nil"/>
            </w:tcBorders>
            <w:shd w:val="clear" w:color="00FFFF" w:fill="CCCCCC"/>
            <w:noWrap/>
          </w:tcPr>
          <w:p w:rsidR="004843DB" w:rsidRPr="0062582F" w:rsidRDefault="004843DB" w:rsidP="004843DB">
            <w:pPr>
              <w:pStyle w:val="TableofFigures"/>
            </w:pPr>
            <w:r w:rsidRPr="0062582F">
              <w:t>156</w:t>
            </w:r>
          </w:p>
        </w:tc>
        <w:tc>
          <w:tcPr>
            <w:tcW w:w="1043" w:type="dxa"/>
            <w:tcBorders>
              <w:top w:val="nil"/>
              <w:left w:val="nil"/>
              <w:bottom w:val="single" w:sz="4" w:space="0" w:color="auto"/>
              <w:right w:val="nil"/>
            </w:tcBorders>
            <w:shd w:val="clear" w:color="auto" w:fill="auto"/>
            <w:noWrap/>
          </w:tcPr>
          <w:p w:rsidR="004843DB" w:rsidRPr="0062582F" w:rsidRDefault="004843DB" w:rsidP="004843DB">
            <w:pPr>
              <w:pStyle w:val="TableofFigures"/>
            </w:pPr>
            <w:r w:rsidRPr="0062582F">
              <w:t>16</w:t>
            </w:r>
          </w:p>
        </w:tc>
      </w:tr>
      <w:bookmarkEnd w:id="364"/>
      <w:tr w:rsidR="004843DB" w:rsidRPr="0062582F" w:rsidTr="004843DB">
        <w:trPr>
          <w:cantSplit/>
        </w:trPr>
        <w:tc>
          <w:tcPr>
            <w:tcW w:w="33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b/>
              </w:rPr>
            </w:pPr>
            <w:r w:rsidRPr="0062582F">
              <w:rPr>
                <w:b/>
              </w:rPr>
              <w:t xml:space="preserve"> </w:t>
            </w:r>
          </w:p>
        </w:tc>
        <w:tc>
          <w:tcPr>
            <w:tcW w:w="601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other operating expenses</w:t>
            </w:r>
          </w:p>
        </w:tc>
        <w:tc>
          <w:tcPr>
            <w:tcW w:w="967"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15 828</w:t>
            </w:r>
          </w:p>
        </w:tc>
        <w:tc>
          <w:tcPr>
            <w:tcW w:w="1043"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8 197</w:t>
            </w:r>
          </w:p>
        </w:tc>
      </w:tr>
      <w:bookmarkEnd w:id="363"/>
    </w:tbl>
    <w:p w:rsidR="004843DB" w:rsidRPr="0062582F" w:rsidRDefault="004843DB" w:rsidP="004843DB">
      <w:pPr>
        <w:pStyle w:val="NotesBlu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spacing w:before="0"/>
      </w:pPr>
    </w:p>
    <w:p w:rsidR="004843DB" w:rsidRPr="0062582F" w:rsidRDefault="004843DB" w:rsidP="004843DB">
      <w:pPr>
        <w:pStyle w:val="Reference"/>
        <w:spacing w:before="0"/>
      </w:pPr>
      <w:r w:rsidRPr="0062582F">
        <w:t>Recommendation 13, PAEC Report 115</w:t>
      </w:r>
      <w:r w:rsidRPr="0062582F">
        <w:br w:type="column"/>
      </w:r>
      <w:r w:rsidRPr="00EC6EB8">
        <w:rPr>
          <w:rFonts w:cs="Tahoma"/>
          <w:i/>
          <w:iCs/>
          <w:szCs w:val="18"/>
          <w:lang w:val="en-AU"/>
        </w:rPr>
        <w:lastRenderedPageBreak/>
        <w:t>Notes:</w:t>
      </w:r>
      <w:r w:rsidRPr="00EC6EB8">
        <w:t xml:space="preserve"> </w:t>
      </w:r>
      <w:r w:rsidRPr="00EC6EB8">
        <w:rPr>
          <w:rFonts w:cs="Tahoma"/>
          <w:i/>
          <w:iCs/>
          <w:szCs w:val="18"/>
          <w:lang w:val="en-AU"/>
        </w:rPr>
        <w:t>[in</w:t>
      </w:r>
      <w:r w:rsidRPr="0062582F">
        <w:rPr>
          <w:rFonts w:cs="Tahoma"/>
          <w:i/>
          <w:iCs/>
          <w:szCs w:val="18"/>
          <w:lang w:val="en-AU"/>
        </w:rPr>
        <w:t>sert if applicable]</w:t>
      </w:r>
    </w:p>
    <w:p w:rsidR="004843DB" w:rsidRPr="0062582F" w:rsidRDefault="004843DB" w:rsidP="004843DB">
      <w:pPr>
        <w:pStyle w:val="NotesBlue"/>
      </w:pPr>
      <w:r>
        <w:t>(i)</w:t>
      </w:r>
      <w:r w:rsidRPr="0062582F">
        <w:tab/>
        <w:t xml:space="preserve">Of the balance in </w:t>
      </w:r>
      <w:r w:rsidR="005A4BB0">
        <w:t>‘</w:t>
      </w:r>
      <w:r w:rsidRPr="0062582F">
        <w:t>depreciation</w:t>
      </w:r>
      <w:r w:rsidR="005A4BB0">
        <w:noBreakHyphen/>
      </w:r>
      <w:r w:rsidRPr="0062582F">
        <w:t>buildings</w:t>
      </w:r>
      <w:r w:rsidR="005A4BB0">
        <w:t>’</w:t>
      </w:r>
      <w:r w:rsidRPr="0062582F">
        <w:t xml:space="preserve">, $XXX [$xxx in 2015] related to assets contracted under the public private partnership (PPP) arrangements. </w:t>
      </w:r>
    </w:p>
    <w:p w:rsidR="004843DB" w:rsidRPr="0062582F" w:rsidRDefault="004843DB" w:rsidP="004843DB">
      <w:pPr>
        <w:pStyle w:val="NotesBlue"/>
      </w:pPr>
      <w:r>
        <w:t>(ii)</w:t>
      </w:r>
      <w:r w:rsidRPr="0062582F">
        <w:tab/>
        <w:t xml:space="preserve">Of the balance in </w:t>
      </w:r>
      <w:r w:rsidR="005A4BB0">
        <w:t>‘</w:t>
      </w:r>
      <w:r w:rsidRPr="0062582F">
        <w:t>depreciation</w:t>
      </w:r>
      <w:r w:rsidR="005A4BB0">
        <w:noBreakHyphen/>
      </w:r>
      <w:r w:rsidRPr="0062582F">
        <w:t>infrastructure</w:t>
      </w:r>
      <w:r w:rsidR="005A4BB0">
        <w:t>’</w:t>
      </w:r>
      <w:r w:rsidRPr="0062582F">
        <w:t>, $XXX [$xxx in 2015] related to assets contracted under the PPP arrangements.</w:t>
      </w:r>
    </w:p>
    <w:p w:rsidR="004843DB" w:rsidRPr="0062582F" w:rsidRDefault="004843DB" w:rsidP="004843DB">
      <w:pPr>
        <w:pStyle w:val="NotesBlue"/>
      </w:pPr>
      <w:r w:rsidRPr="0062582F">
        <w:t xml:space="preserve">(iii) </w:t>
      </w:r>
      <w:r w:rsidRPr="0062582F">
        <w:tab/>
        <w:t xml:space="preserve">Of the balance in </w:t>
      </w:r>
      <w:r w:rsidR="005A4BB0">
        <w:t>‘</w:t>
      </w:r>
      <w:r w:rsidRPr="0062582F">
        <w:t>interest on finance leases</w:t>
      </w:r>
      <w:r w:rsidR="005A4BB0">
        <w:t>’</w:t>
      </w:r>
      <w:r w:rsidRPr="0062582F">
        <w:t>, $XXX [$xxx in 2015] related to assets contracted under the PPP arrangements.</w:t>
      </w:r>
    </w:p>
    <w:p w:rsidR="004843DB" w:rsidRPr="003F0D40" w:rsidRDefault="004843DB" w:rsidP="004843DB">
      <w:pPr>
        <w:pStyle w:val="Notes"/>
        <w:rPr>
          <w:color w:val="0000FF"/>
        </w:rPr>
      </w:pPr>
      <w:r w:rsidRPr="003F0D40">
        <w:rPr>
          <w:color w:val="0000FF"/>
        </w:rPr>
        <w:t>(iv)</w:t>
      </w:r>
      <w:r w:rsidRPr="003F0D40">
        <w:rPr>
          <w:color w:val="0000FF"/>
        </w:rPr>
        <w:tab/>
        <w:t xml:space="preserve">[Entities should consider whether </w:t>
      </w:r>
      <w:r w:rsidR="005A4BB0">
        <w:rPr>
          <w:color w:val="0000FF"/>
        </w:rPr>
        <w:t>‘</w:t>
      </w:r>
      <w:r w:rsidRPr="003F0D40">
        <w:rPr>
          <w:color w:val="0000FF"/>
        </w:rPr>
        <w:t>supplies and services</w:t>
      </w:r>
      <w:r w:rsidR="005A4BB0">
        <w:rPr>
          <w:color w:val="0000FF"/>
        </w:rPr>
        <w:t>’</w:t>
      </w:r>
      <w:r w:rsidRPr="003F0D40">
        <w:rPr>
          <w:color w:val="0000FF"/>
        </w:rPr>
        <w:t xml:space="preserve"> is a material item and therefore should be presented as a separate line item on the face of the comprehensive operating statement, instead of being aggregated under </w:t>
      </w:r>
      <w:r w:rsidR="005A4BB0">
        <w:rPr>
          <w:color w:val="0000FF"/>
        </w:rPr>
        <w:t>‘</w:t>
      </w:r>
      <w:r w:rsidRPr="003F0D40">
        <w:rPr>
          <w:color w:val="0000FF"/>
        </w:rPr>
        <w:t>other operating expenses</w:t>
      </w:r>
      <w:r w:rsidR="005A4BB0">
        <w:rPr>
          <w:color w:val="0000FF"/>
        </w:rPr>
        <w:t>’</w:t>
      </w:r>
      <w:r w:rsidRPr="003F0D40">
        <w:rPr>
          <w:color w:val="0000FF"/>
        </w:rPr>
        <w:t>.]</w:t>
      </w:r>
    </w:p>
    <w:p w:rsidR="004843DB" w:rsidRPr="0062582F" w:rsidRDefault="004843DB" w:rsidP="004843DB">
      <w:pPr>
        <w:pStyle w:val="NotesBlue"/>
      </w:pPr>
      <w:r w:rsidRPr="0062582F">
        <w:t xml:space="preserve">(v) </w:t>
      </w:r>
      <w:r w:rsidRPr="0062582F">
        <w:tab/>
        <w:t xml:space="preserve">Of the balance in </w:t>
      </w:r>
      <w:r w:rsidR="005A4BB0">
        <w:t>‘</w:t>
      </w:r>
      <w:r w:rsidRPr="0062582F">
        <w:t>other operating expenses – maintenance</w:t>
      </w:r>
      <w:r w:rsidR="005A4BB0">
        <w:t>’</w:t>
      </w:r>
      <w:r w:rsidRPr="0062582F">
        <w:t>, $XXX [$xxx in 2015] related to operating and maintenance expenses of assets contracted under the PPP arrangements [insert if relevant].</w:t>
      </w:r>
    </w:p>
    <w:p w:rsidR="004843DB" w:rsidRPr="0062582F" w:rsidRDefault="004843DB" w:rsidP="004843DB"/>
    <w:p w:rsidR="004843DB" w:rsidRPr="0062582F" w:rsidRDefault="004843DB" w:rsidP="004843DB">
      <w:pPr>
        <w:pStyle w:val="CommentaryHeading"/>
      </w:pPr>
      <w:r w:rsidRPr="0062582F">
        <w:t>Commentary – Expenses from transactions</w:t>
      </w:r>
    </w:p>
    <w:p w:rsidR="004843DB" w:rsidRPr="0062582F" w:rsidRDefault="004843DB" w:rsidP="004843DB">
      <w:pPr>
        <w:pStyle w:val="SmallLineBlue"/>
        <w:pBdr>
          <w:bottom w:val="none" w:sz="0" w:space="0" w:color="auto"/>
        </w:pBdr>
      </w:pPr>
    </w:p>
    <w:p w:rsidR="004843DB" w:rsidRPr="0062582F" w:rsidRDefault="004843DB" w:rsidP="004843DB">
      <w:pPr>
        <w:pStyle w:val="CommentaryText"/>
        <w:rPr>
          <w:b/>
          <w:bCs/>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1"/>
        <w:pBdr>
          <w:top w:val="none" w:sz="0" w:space="0" w:color="auto"/>
          <w:bottom w:val="none" w:sz="0" w:space="0" w:color="auto"/>
        </w:pBdr>
      </w:pPr>
      <w:r w:rsidRPr="0062582F">
        <w:lastRenderedPageBreak/>
        <w:br w:type="column"/>
      </w:r>
      <w:r w:rsidRPr="0062582F">
        <w:lastRenderedPageBreak/>
        <w:t>Disclosure requirements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20"/>
      </w:pPr>
      <w:r w:rsidRPr="0062582F">
        <w:lastRenderedPageBreak/>
        <w:t>AASB 101.97</w:t>
      </w:r>
      <w:r w:rsidRPr="0062582F">
        <w:rPr>
          <w:rStyle w:val="SmallLineChar"/>
        </w:rPr>
        <w:br/>
      </w:r>
      <w:r w:rsidRPr="0062582F">
        <w:t>AASB 101.99</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380"/>
        <w:rPr>
          <w:color w:val="FF0000"/>
        </w:rPr>
      </w:pPr>
      <w:r w:rsidRPr="0062582F">
        <w:rPr>
          <w:color w:val="FF0000"/>
        </w:rPr>
        <w:t>Revised</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When items of expense are material, an entity shall disclose their nature and amount separately. An entity shall present, either in the comprehensive operating statement or in the notes to the financial statements, an analysis of expenses using a classification based on either their nature or their function in the entity, whichever provides information that is reliable and more relevant.</w:t>
      </w:r>
    </w:p>
    <w:p w:rsidR="004843DB" w:rsidRPr="0062582F" w:rsidRDefault="004843DB" w:rsidP="004843DB">
      <w:pPr>
        <w:pStyle w:val="CommentaryText"/>
        <w:pBdr>
          <w:top w:val="none" w:sz="0" w:space="0" w:color="auto"/>
          <w:bottom w:val="none" w:sz="0" w:space="0" w:color="auto"/>
        </w:pBdr>
      </w:pPr>
      <w:r w:rsidRPr="0062582F">
        <w:t xml:space="preserve">To align with whole of government reporting, which is in compliance with AASB 1049 requirements, </w:t>
      </w:r>
      <w:r w:rsidRPr="0062582F">
        <w:rPr>
          <w:b/>
        </w:rPr>
        <w:t>departments are required</w:t>
      </w:r>
      <w:r w:rsidRPr="0062582F">
        <w:t xml:space="preserve"> to classify items of expense between transactions and other economic flows as appropriate. Departments should refer to Note 44 </w:t>
      </w:r>
      <w:r w:rsidRPr="0062582F">
        <w:rPr>
          <w:i/>
        </w:rPr>
        <w:t xml:space="preserve">Glossary of terms and style conventions </w:t>
      </w:r>
      <w:r w:rsidRPr="0062582F">
        <w:t>in the Model</w:t>
      </w:r>
      <w:r w:rsidRPr="0062582F">
        <w:rPr>
          <w:i/>
        </w:rPr>
        <w:t xml:space="preserve"> </w:t>
      </w:r>
      <w:r w:rsidRPr="0062582F">
        <w:t xml:space="preserve">for definitions on </w:t>
      </w:r>
      <w:r w:rsidR="005A4BB0">
        <w:t>‘</w:t>
      </w:r>
      <w:r w:rsidRPr="0062582F">
        <w:t>transactions</w:t>
      </w:r>
      <w:r w:rsidR="005A4BB0">
        <w:t>’</w:t>
      </w:r>
      <w:r w:rsidRPr="0062582F">
        <w:t xml:space="preserve"> and </w:t>
      </w:r>
      <w:r w:rsidR="005A4BB0">
        <w:t>‘</w:t>
      </w:r>
      <w:r w:rsidRPr="0062582F">
        <w:t>other economic flows</w:t>
      </w:r>
      <w:r w:rsidR="005A4BB0">
        <w:t>’</w:t>
      </w:r>
      <w:r w:rsidRPr="0062582F">
        <w:t xml:space="preserve">, and refer to Appendix 2 for the </w:t>
      </w:r>
      <w:r w:rsidRPr="0062582F">
        <w:rPr>
          <w:i/>
        </w:rPr>
        <w:t>Practical classification guide between transactions and other economic flows</w:t>
      </w:r>
      <w:r w:rsidRPr="0062582F">
        <w:t xml:space="preserve"> for further examples. </w:t>
      </w:r>
    </w:p>
    <w:p w:rsidR="004843DB" w:rsidRPr="0062582F" w:rsidRDefault="004843DB" w:rsidP="004843DB">
      <w:pPr>
        <w:pStyle w:val="CommentaryText"/>
        <w:pBdr>
          <w:top w:val="none" w:sz="0" w:space="0" w:color="auto"/>
        </w:pBdr>
      </w:pPr>
      <w:r w:rsidRPr="0062582F">
        <w:t xml:space="preserve">Some common material items of expenses from transactions required to be disclosed by a few different AASs are illustrated in Note 5 </w:t>
      </w:r>
      <w:r w:rsidRPr="0062582F">
        <w:rPr>
          <w:i/>
        </w:rPr>
        <w:t xml:space="preserve">Expenses from transactions </w:t>
      </w:r>
      <w:r w:rsidRPr="0062582F">
        <w:t>of the Model</w:t>
      </w:r>
      <w:r w:rsidRPr="0062582F">
        <w:rPr>
          <w:i/>
        </w:rPr>
        <w:t>.</w:t>
      </w:r>
    </w:p>
    <w:p w:rsidR="004843DB" w:rsidRPr="0062582F" w:rsidRDefault="004843DB" w:rsidP="004843DB">
      <w:pPr>
        <w:pStyle w:val="CommentaryText"/>
        <w:pBdr>
          <w:top w:val="none" w:sz="0" w:space="0" w:color="auto"/>
        </w:pBdr>
        <w:rPr>
          <w:i/>
        </w:rPr>
      </w:pPr>
      <w:r w:rsidRPr="0062582F">
        <w:t>PAEC Report 102, recommendation 70 requested more detailed disclosure of other operating expenses. This is currently being reviewed by DTF with indicative implementation in departmental annual reports from 2016</w:t>
      </w:r>
      <w:r w:rsidR="005A4BB0">
        <w:noBreakHyphen/>
      </w:r>
      <w:r w:rsidRPr="0062582F">
        <w:t>17 onwards.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r w:rsidRPr="0062582F">
        <w:lastRenderedPageBreak/>
        <w:br w:type="column"/>
      </w:r>
      <w:r w:rsidRPr="0062582F">
        <w:lastRenderedPageBreak/>
        <w:br w:type="column"/>
      </w:r>
    </w:p>
    <w:p w:rsidR="004843DB" w:rsidRPr="0062582F" w:rsidRDefault="004843DB" w:rsidP="004843DB">
      <w:pPr>
        <w:pStyle w:val="CommentaryHeading"/>
        <w:rPr>
          <w:i/>
          <w:iCs/>
        </w:rPr>
      </w:pPr>
      <w:r w:rsidRPr="0062582F">
        <w:lastRenderedPageBreak/>
        <w:t>Commentary – Expenses from transactions</w:t>
      </w:r>
      <w:r w:rsidRPr="0062582F">
        <w:rPr>
          <w:iCs/>
        </w:rPr>
        <w:t xml:space="preserve"> </w:t>
      </w:r>
      <w:r w:rsidRPr="0062582F">
        <w:rPr>
          <w:i/>
          <w:iCs/>
        </w:rPr>
        <w:t>(continued)</w:t>
      </w:r>
    </w:p>
    <w:p w:rsidR="004843DB" w:rsidRPr="0062582F" w:rsidRDefault="004843DB" w:rsidP="004843DB">
      <w:pPr>
        <w:pStyle w:val="SmallLineBlue"/>
        <w:pBdr>
          <w:bottom w:val="none" w:sz="0" w:space="0" w:color="auto"/>
        </w:pBdr>
      </w:pPr>
    </w:p>
    <w:p w:rsidR="004843DB" w:rsidRPr="0062582F" w:rsidRDefault="004843DB" w:rsidP="004843DB">
      <w:pPr>
        <w:pStyle w:val="SmallLineBlu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1"/>
        <w:pBdr>
          <w:top w:val="none" w:sz="0" w:space="0" w:color="auto"/>
          <w:bottom w:val="none" w:sz="0" w:space="0" w:color="auto"/>
        </w:pBdr>
      </w:pPr>
      <w:r w:rsidRPr="0062582F">
        <w:lastRenderedPageBreak/>
        <w:br w:type="column"/>
      </w:r>
      <w:r w:rsidRPr="0062582F">
        <w:lastRenderedPageBreak/>
        <w:t>Cost of sales</w:t>
      </w:r>
    </w:p>
    <w:p w:rsidR="004843DB" w:rsidRPr="0062582F" w:rsidRDefault="004843DB" w:rsidP="004843DB">
      <w:pPr>
        <w:pStyle w:val="CommentaryText"/>
        <w:pBdr>
          <w:top w:val="none" w:sz="0" w:space="0" w:color="auto"/>
          <w:bottom w:val="none" w:sz="0" w:space="0" w:color="auto"/>
        </w:pBdr>
        <w:tabs>
          <w:tab w:val="left" w:pos="0"/>
        </w:tabs>
        <w:rPr>
          <w:i/>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102.34</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When inventories are sold, the carrying amount of those inventories shall be recognised as an expense in the period in which the related income is recognised. The amount of any write</w:t>
      </w:r>
      <w:r w:rsidR="005A4BB0">
        <w:noBreakHyphen/>
      </w:r>
      <w:r w:rsidRPr="0062582F">
        <w:t>down of inventories to net realisable value and all losses of inventories shall be recognised as an expense in the period the write</w:t>
      </w:r>
      <w:r w:rsidR="005A4BB0">
        <w:noBreakHyphen/>
      </w:r>
      <w:r w:rsidRPr="0062582F">
        <w:t>down or loss occurs. The amount of any reversal of any write</w:t>
      </w:r>
      <w:r w:rsidR="005A4BB0">
        <w:noBreakHyphen/>
      </w:r>
      <w:r w:rsidRPr="0062582F">
        <w:t>down of inventories, arising from an increase in net realisable value, shall be recognised as a reduction in the amount of inventories recognised as an expense in the period in which the reversal occurs.</w:t>
      </w:r>
    </w:p>
    <w:p w:rsidR="004843DB" w:rsidRPr="0062582F" w:rsidRDefault="004843DB" w:rsidP="004843DB">
      <w:pPr>
        <w:pStyle w:val="Referenc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lastRenderedPageBreak/>
        <w:t>AASB 102.Aus34.1</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When inventories held for distribution by a not</w:t>
      </w:r>
      <w:r w:rsidR="005A4BB0">
        <w:noBreakHyphen/>
      </w:r>
      <w:r w:rsidRPr="0062582F">
        <w:t>for</w:t>
      </w:r>
      <w:r w:rsidR="005A4BB0">
        <w:noBreakHyphen/>
      </w:r>
      <w:r w:rsidRPr="0062582F">
        <w:t>profit entity are distributed, the carrying amount of those inventories shall be recognised as an expense. The amount of any write</w:t>
      </w:r>
      <w:r w:rsidR="005A4BB0">
        <w:noBreakHyphen/>
      </w:r>
      <w:r w:rsidRPr="0062582F">
        <w:t>down of inventories for loss of service potential and all losses of inventories shall be recognised as an other economic flow in the period the write</w:t>
      </w:r>
      <w:r w:rsidR="005A4BB0">
        <w:noBreakHyphen/>
      </w:r>
      <w:r w:rsidRPr="0062582F">
        <w:t>down or loss occurs. The amount of any reversal of any write</w:t>
      </w:r>
      <w:r w:rsidR="005A4BB0">
        <w:noBreakHyphen/>
      </w:r>
      <w:r w:rsidRPr="0062582F">
        <w:t>down of inventories arising from a reversal of the circumstances that gave rise to the loss of service potential shall be recognised as a reduction in the amount of inventories recognised as an other economic flow in the period in which the reversal occurs.</w:t>
      </w:r>
    </w:p>
    <w:p w:rsidR="004843DB" w:rsidRPr="0062582F" w:rsidRDefault="004843DB" w:rsidP="004843DB">
      <w:pPr>
        <w:pStyle w:val="CommentaryHeading1"/>
        <w:pBdr>
          <w:top w:val="none" w:sz="0" w:space="0" w:color="auto"/>
          <w:bottom w:val="none" w:sz="0" w:space="0" w:color="auto"/>
        </w:pBdr>
      </w:pPr>
      <w:r w:rsidRPr="0062582F">
        <w:t>Borrowing costs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lastRenderedPageBreak/>
        <w:t>AASB </w:t>
      </w:r>
      <w:r w:rsidRPr="0062582F">
        <w:t>123</w:t>
      </w:r>
      <w:r w:rsidRPr="0062582F">
        <w:rPr>
          <w:lang w:val="en-AU"/>
        </w:rPr>
        <w:t>.5 and 6</w:t>
      </w:r>
    </w:p>
    <w:p w:rsidR="004843DB" w:rsidRPr="0062582F" w:rsidRDefault="004843DB" w:rsidP="004843DB">
      <w:pPr>
        <w:pStyle w:val="CommentaryText"/>
        <w:pBdr>
          <w:top w:val="none" w:sz="0" w:space="0" w:color="auto"/>
          <w:bottom w:val="none" w:sz="0" w:space="0" w:color="auto"/>
        </w:pBdr>
      </w:pPr>
      <w:r w:rsidRPr="0062582F">
        <w:br w:type="column"/>
      </w:r>
      <w:r w:rsidRPr="0062582F">
        <w:lastRenderedPageBreak/>
        <w:t>Borrowing costs are interest and other costs incurred by an entity in connection with the borrowing of funds and may include:</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interest expense calculated using the effective interest method as described in AASB 139 </w:t>
      </w:r>
      <w:r w:rsidRPr="0062582F">
        <w:rPr>
          <w:i/>
        </w:rPr>
        <w:t>Financial Instruments: Recognition and Measurement</w:t>
      </w:r>
      <w:r w:rsidRPr="0062582F">
        <w:t>;</w:t>
      </w:r>
    </w:p>
    <w:p w:rsidR="004843DB" w:rsidRPr="0062582F" w:rsidRDefault="004843DB" w:rsidP="004843DB">
      <w:pPr>
        <w:pStyle w:val="CommentaryTextIndent"/>
        <w:pBdr>
          <w:top w:val="none" w:sz="0" w:space="0" w:color="auto"/>
          <w:bottom w:val="none" w:sz="0" w:space="0" w:color="auto"/>
        </w:pBdr>
      </w:pPr>
      <w:r w:rsidRPr="0062582F">
        <w:t>(b)</w:t>
      </w:r>
      <w:r w:rsidRPr="0062582F">
        <w:tab/>
        <w:t xml:space="preserve">finance charges in respect of finance leases recognised in accordance with AASB 117 </w:t>
      </w:r>
      <w:r w:rsidRPr="0062582F">
        <w:rPr>
          <w:i/>
          <w:iCs/>
        </w:rPr>
        <w:t>Leases</w:t>
      </w:r>
      <w:r w:rsidRPr="0062582F">
        <w:t>; and</w:t>
      </w:r>
    </w:p>
    <w:p w:rsidR="004843DB" w:rsidRPr="0062582F" w:rsidRDefault="004843DB" w:rsidP="004843DB">
      <w:pPr>
        <w:pStyle w:val="CommentaryTextIndent"/>
        <w:pBdr>
          <w:top w:val="none" w:sz="0" w:space="0" w:color="auto"/>
          <w:bottom w:val="none" w:sz="0" w:space="0" w:color="auto"/>
        </w:pBdr>
      </w:pPr>
      <w:r w:rsidRPr="0062582F">
        <w:t>(c)</w:t>
      </w:r>
      <w:r w:rsidRPr="0062582F">
        <w:tab/>
        <w:t xml:space="preserve">exchange differences arising from foreign currency borrowings to the extent that they are regarded as an adjustment to interest costs. </w:t>
      </w:r>
    </w:p>
    <w:p w:rsidR="004843DB" w:rsidRPr="0062582F" w:rsidRDefault="004843DB" w:rsidP="004843DB">
      <w:pPr>
        <w:pStyle w:val="CommentaryHeading1"/>
        <w:pBdr>
          <w:top w:val="none" w:sz="0" w:space="0" w:color="auto"/>
          <w:bottom w:val="none" w:sz="0" w:space="0" w:color="auto"/>
        </w:pBdr>
      </w:pPr>
      <w:r w:rsidRPr="0062582F">
        <w:t xml:space="preserve">Depreciation </w:t>
      </w:r>
    </w:p>
    <w:p w:rsidR="004843DB" w:rsidRPr="0062582F" w:rsidRDefault="004843DB" w:rsidP="004843DB">
      <w:pPr>
        <w:pStyle w:val="CommentaryText"/>
        <w:pBdr>
          <w:top w:val="none" w:sz="0" w:space="0" w:color="auto"/>
          <w:bottom w:val="none" w:sz="0" w:space="0" w:color="auto"/>
        </w:pBdr>
      </w:pPr>
      <w:r w:rsidRPr="0062582F">
        <w:t>To align with whole of government reporting under AASB 1049, the consumption of physical or intangible produced assets by wear or overtime is classified as a transaction depreciation expense. The consumption of intangible non</w:t>
      </w:r>
      <w:r w:rsidR="005A4BB0">
        <w:noBreakHyphen/>
      </w:r>
      <w:r w:rsidRPr="0062582F">
        <w:t>produced assets is classified as an amortisation expense in the other economic flows.</w:t>
      </w: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rPr>
          <w:lang w:val="en-AU"/>
        </w:rPr>
        <w:lastRenderedPageBreak/>
        <w:t>AASB 116.76</w:t>
      </w:r>
    </w:p>
    <w:p w:rsidR="004843DB" w:rsidRPr="0062582F" w:rsidRDefault="004843DB" w:rsidP="004843DB">
      <w:pPr>
        <w:pStyle w:val="CommentaryHeading1"/>
        <w:pBdr>
          <w:top w:val="none" w:sz="0" w:space="0" w:color="auto"/>
          <w:bottom w:val="none" w:sz="0" w:space="0" w:color="auto"/>
        </w:pBdr>
      </w:pPr>
      <w:r w:rsidRPr="0062582F">
        <w:br w:type="column"/>
      </w:r>
      <w:r w:rsidRPr="0062582F">
        <w:lastRenderedPageBreak/>
        <w:t>Change in accounting estimates</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t xml:space="preserve">An entity shall disclose the nature and effect of a change in an accounting estimate that has an effect in the current period or is expected to have an effect in subsequent periods. For property, plant and equipment, such disclosure may arise from changes in estimates with respect to: </w:t>
      </w:r>
    </w:p>
    <w:p w:rsidR="004843DB" w:rsidRPr="0062582F" w:rsidRDefault="004843DB" w:rsidP="004843DB">
      <w:pPr>
        <w:pStyle w:val="CommentaryTextIndent"/>
        <w:pBdr>
          <w:top w:val="none" w:sz="0" w:space="0" w:color="auto"/>
          <w:bottom w:val="none" w:sz="0" w:space="0" w:color="auto"/>
        </w:pBdr>
      </w:pPr>
      <w:r w:rsidRPr="0062582F">
        <w:t>(a)</w:t>
      </w:r>
      <w:r w:rsidRPr="0062582F">
        <w:tab/>
        <w:t>residual values;</w:t>
      </w:r>
    </w:p>
    <w:p w:rsidR="004843DB" w:rsidRPr="0062582F" w:rsidRDefault="004843DB" w:rsidP="004843DB">
      <w:pPr>
        <w:pStyle w:val="CommentaryTextIndent"/>
        <w:pBdr>
          <w:top w:val="none" w:sz="0" w:space="0" w:color="auto"/>
          <w:bottom w:val="none" w:sz="0" w:space="0" w:color="auto"/>
        </w:pBdr>
      </w:pPr>
      <w:r w:rsidRPr="0062582F">
        <w:t>(b)</w:t>
      </w:r>
      <w:r w:rsidRPr="0062582F">
        <w:tab/>
        <w:t>the estimated costs of dismantling, removing or restoring items of property, plant and equipment;</w:t>
      </w:r>
    </w:p>
    <w:p w:rsidR="004843DB" w:rsidRPr="0062582F" w:rsidRDefault="004843DB" w:rsidP="004843DB">
      <w:pPr>
        <w:pStyle w:val="CommentaryTextIndent"/>
        <w:pBdr>
          <w:top w:val="none" w:sz="0" w:space="0" w:color="auto"/>
          <w:bottom w:val="none" w:sz="0" w:space="0" w:color="auto"/>
        </w:pBdr>
      </w:pPr>
      <w:r w:rsidRPr="0062582F">
        <w:t>(c)</w:t>
      </w:r>
      <w:r w:rsidRPr="0062582F">
        <w:tab/>
        <w:t xml:space="preserve">useful lives; and </w:t>
      </w:r>
    </w:p>
    <w:p w:rsidR="004843DB" w:rsidRPr="0062582F" w:rsidRDefault="004843DB" w:rsidP="004843DB">
      <w:pPr>
        <w:pStyle w:val="CommentaryTextIndent"/>
        <w:pBdr>
          <w:top w:val="none" w:sz="0" w:space="0" w:color="auto"/>
          <w:bottom w:val="none" w:sz="0" w:space="0" w:color="auto"/>
        </w:pBdr>
      </w:pPr>
      <w:r w:rsidRPr="0062582F">
        <w:t>(d)</w:t>
      </w:r>
      <w:r w:rsidRPr="0062582F">
        <w:tab/>
        <w:t>depreciation methods.</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rPr>
          <w:lang w:val="en-AU"/>
        </w:rPr>
        <w:lastRenderedPageBreak/>
        <w:t>AASB 101.104</w:t>
      </w:r>
    </w:p>
    <w:p w:rsidR="004843DB" w:rsidRPr="0062582F" w:rsidRDefault="004843DB" w:rsidP="004843DB">
      <w:pPr>
        <w:pStyle w:val="CommentaryHeading1"/>
        <w:pBdr>
          <w:top w:val="none" w:sz="0" w:space="0" w:color="auto"/>
        </w:pBdr>
      </w:pPr>
      <w:bookmarkStart w:id="365" w:name="_Toc163448738"/>
      <w:r w:rsidRPr="0062582F">
        <w:br w:type="column"/>
      </w:r>
      <w:r w:rsidRPr="0062582F">
        <w:lastRenderedPageBreak/>
        <w:t>Employee benefits</w:t>
      </w:r>
      <w:bookmarkEnd w:id="365"/>
    </w:p>
    <w:p w:rsidR="004843DB" w:rsidRPr="0062582F" w:rsidRDefault="004843DB" w:rsidP="004843DB">
      <w:pPr>
        <w:pStyle w:val="CommentaryText"/>
        <w:pBdr>
          <w:top w:val="none" w:sz="0" w:space="0" w:color="auto"/>
        </w:pBdr>
        <w:rPr>
          <w:noProof w:val="0"/>
        </w:rPr>
      </w:pPr>
      <w:r w:rsidRPr="0062582F">
        <w:rPr>
          <w:noProof w:val="0"/>
        </w:rPr>
        <w:t>Entities classifying expenses by function shall disclose additional information on the nature of expenses, including depreciation and amortisation expense and employee benefits expense.</w:t>
      </w:r>
    </w:p>
    <w:p w:rsidR="004843DB" w:rsidRPr="0062582F" w:rsidRDefault="004843DB" w:rsidP="004843DB">
      <w:pPr>
        <w:pStyle w:val="Reference"/>
      </w:pPr>
      <w:r w:rsidRPr="0062582F">
        <w:br w:type="column"/>
      </w:r>
    </w:p>
    <w:p w:rsidR="004843DB" w:rsidRPr="0062582F" w:rsidRDefault="004843DB" w:rsidP="004843DB">
      <w:pPr>
        <w:pStyle w:val="NoteHeading"/>
      </w:pPr>
      <w:r w:rsidRPr="0062582F">
        <w:br w:type="column"/>
      </w:r>
      <w:bookmarkStart w:id="366" w:name="_Toc332019464"/>
      <w:bookmarkStart w:id="367" w:name="_Toc366843352"/>
      <w:bookmarkStart w:id="368" w:name="_Toc448157185"/>
      <w:r w:rsidRPr="0062582F">
        <w:t>Note 6.</w:t>
      </w:r>
      <w:r w:rsidRPr="0062582F">
        <w:tab/>
        <w:t>Other economic flows included in net result</w:t>
      </w:r>
      <w:bookmarkEnd w:id="366"/>
      <w:bookmarkEnd w:id="367"/>
      <w:bookmarkEnd w:id="368"/>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p>
    <w:p w:rsidR="004843DB" w:rsidRPr="0062582F" w:rsidRDefault="004843DB" w:rsidP="004843DB">
      <w:pPr>
        <w:pStyle w:val="Reference"/>
        <w:spacing w:before="300"/>
      </w:pPr>
      <w:r w:rsidRPr="0062582F">
        <w:t>AASB 101.97</w:t>
      </w:r>
    </w:p>
    <w:p w:rsidR="004843DB" w:rsidRPr="0062582F" w:rsidRDefault="004843DB" w:rsidP="004843DB">
      <w:pPr>
        <w:pStyle w:val="Reference"/>
        <w:spacing w:before="80"/>
      </w:pPr>
      <w:r w:rsidRPr="0062582F">
        <w:t>AASB 136.126(a)</w:t>
      </w:r>
    </w:p>
    <w:p w:rsidR="004843DB" w:rsidRPr="0062582F" w:rsidRDefault="004843DB" w:rsidP="004843DB">
      <w:pPr>
        <w:pStyle w:val="SmallLine"/>
        <w:rPr>
          <w:rStyle w:val="ReferenceChar"/>
        </w:rPr>
      </w:pPr>
    </w:p>
    <w:p w:rsidR="004843DB" w:rsidRPr="0062582F" w:rsidRDefault="004843DB" w:rsidP="004843DB">
      <w:pPr>
        <w:pStyle w:val="SmallLine"/>
        <w:rPr>
          <w:rStyle w:val="ReferenceChar"/>
        </w:rPr>
      </w:pPr>
      <w:r w:rsidRPr="0062582F">
        <w:rPr>
          <w:rStyle w:val="ReferenceChar"/>
        </w:rPr>
        <w:br/>
      </w:r>
      <w:r w:rsidRPr="0062582F">
        <w:rPr>
          <w:rStyle w:val="ReferenceChar"/>
        </w:rPr>
        <w:br/>
      </w:r>
    </w:p>
    <w:p w:rsidR="004843DB" w:rsidRPr="0062582F" w:rsidRDefault="004843DB" w:rsidP="004843DB">
      <w:pPr>
        <w:pStyle w:val="Reference"/>
        <w:spacing w:before="280"/>
        <w:rPr>
          <w:szCs w:val="6"/>
        </w:rPr>
      </w:pPr>
      <w:r w:rsidRPr="0062582F">
        <w:rPr>
          <w:rStyle w:val="ReferenceChar"/>
        </w:rPr>
        <w:t>AASB 101.104</w:t>
      </w:r>
    </w:p>
    <w:p w:rsidR="004843DB" w:rsidRPr="0062582F" w:rsidRDefault="004843DB" w:rsidP="004843DB">
      <w:pPr>
        <w:pStyle w:val="SmallLine"/>
        <w:rPr>
          <w:rStyle w:val="ReferenceChar"/>
          <w:rFonts w:ascii="Garamond" w:hAnsi="Garamond" w:cs="Tahoma"/>
          <w:color w:val="auto"/>
          <w:sz w:val="4"/>
          <w:szCs w:val="4"/>
          <w:lang w:val="en-AU"/>
        </w:rPr>
      </w:pPr>
    </w:p>
    <w:p w:rsidR="004843DB" w:rsidRPr="0062582F" w:rsidRDefault="004843DB" w:rsidP="004843DB">
      <w:pPr>
        <w:pStyle w:val="SmallLine"/>
        <w:rPr>
          <w:rStyle w:val="ReferenceChar"/>
          <w:rFonts w:ascii="Garamond" w:hAnsi="Garamond" w:cs="Tahoma"/>
          <w:color w:val="auto"/>
          <w:sz w:val="4"/>
          <w:szCs w:val="4"/>
          <w:lang w:val="en-AU"/>
        </w:rPr>
      </w:pPr>
    </w:p>
    <w:p w:rsidR="004843DB" w:rsidRPr="0062582F" w:rsidRDefault="004843DB" w:rsidP="004843DB">
      <w:pPr>
        <w:pStyle w:val="SmallLine"/>
        <w:rPr>
          <w:rStyle w:val="ReferenceChar"/>
          <w:rFonts w:ascii="Garamond" w:hAnsi="Garamond" w:cs="Tahoma"/>
          <w:color w:val="auto"/>
          <w:sz w:val="4"/>
          <w:szCs w:val="4"/>
          <w:lang w:val="en-AU"/>
        </w:rPr>
      </w:pPr>
    </w:p>
    <w:p w:rsidR="004843DB" w:rsidRPr="0062582F" w:rsidRDefault="004843DB" w:rsidP="004843DB">
      <w:pPr>
        <w:pStyle w:val="Reference"/>
        <w:spacing w:before="60"/>
      </w:pPr>
      <w:r w:rsidRPr="0062582F">
        <w:rPr>
          <w:rStyle w:val="ReferenceChar"/>
        </w:rPr>
        <w:t>AASB 101.98(a)</w:t>
      </w:r>
    </w:p>
    <w:p w:rsidR="004843DB" w:rsidRPr="0062582F" w:rsidRDefault="004843DB" w:rsidP="004843DB">
      <w:pPr>
        <w:pStyle w:val="Reference"/>
        <w:spacing w:before="120"/>
      </w:pPr>
      <w:r w:rsidRPr="0062582F">
        <w:t>AASB 141.40</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rPr>
          <w:rStyle w:val="SmallLineChar"/>
          <w:sz w:val="16"/>
          <w:szCs w:val="16"/>
        </w:rPr>
      </w:pPr>
      <w:r w:rsidRPr="0062582F">
        <w:t>AASB 101.98(c)</w:t>
      </w:r>
    </w:p>
    <w:p w:rsidR="004843DB" w:rsidRPr="0062582F" w:rsidRDefault="004843DB" w:rsidP="004843DB">
      <w:pPr>
        <w:pStyle w:val="Reference"/>
        <w:spacing w:before="80"/>
        <w:rPr>
          <w:szCs w:val="6"/>
        </w:rPr>
      </w:pPr>
      <w:r w:rsidRPr="0062582F">
        <w:t>AASB 101.98(d)</w:t>
      </w:r>
    </w:p>
    <w:p w:rsidR="004843DB" w:rsidRPr="0062582F" w:rsidRDefault="004843DB" w:rsidP="004843DB">
      <w:pPr>
        <w:pStyle w:val="SmallLine"/>
      </w:pPr>
      <w:r w:rsidRPr="0062582F">
        <w:br/>
      </w:r>
    </w:p>
    <w:p w:rsidR="004843DB" w:rsidRPr="0062582F" w:rsidRDefault="004843DB" w:rsidP="004843DB">
      <w:pPr>
        <w:pStyle w:val="Reference"/>
        <w:spacing w:before="140"/>
      </w:pPr>
    </w:p>
    <w:p w:rsidR="004843DB" w:rsidRPr="0062582F" w:rsidRDefault="004843DB" w:rsidP="004843DB">
      <w:pPr>
        <w:pStyle w:val="Reference"/>
        <w:spacing w:before="120"/>
      </w:pPr>
      <w:r w:rsidRPr="0062582F">
        <w:t>AASB 7.20(e)</w:t>
      </w:r>
    </w:p>
    <w:p w:rsidR="004843DB" w:rsidRPr="0062582F" w:rsidRDefault="004843DB" w:rsidP="004843DB">
      <w:pPr>
        <w:pStyle w:val="million"/>
        <w:rPr>
          <w:rFonts w:ascii="Tahoma" w:hAnsi="Tahoma" w:cs="Tahoma"/>
          <w:i w:val="0"/>
          <w:iCs w:val="0"/>
          <w:sz w:val="20"/>
          <w:szCs w:val="20"/>
        </w:rPr>
      </w:pPr>
      <w:r w:rsidRPr="0062582F">
        <w:br w:type="column"/>
        <w:t>($ thousand)</w:t>
      </w:r>
    </w:p>
    <w:tbl>
      <w:tblPr>
        <w:tblW w:w="8186" w:type="dxa"/>
        <w:tblInd w:w="29" w:type="dxa"/>
        <w:tblLayout w:type="fixed"/>
        <w:tblCellMar>
          <w:left w:w="17" w:type="dxa"/>
          <w:right w:w="17" w:type="dxa"/>
        </w:tblCellMar>
        <w:tblLook w:val="04A0" w:firstRow="1" w:lastRow="0" w:firstColumn="1" w:lastColumn="0" w:noHBand="0" w:noVBand="1"/>
      </w:tblPr>
      <w:tblGrid>
        <w:gridCol w:w="258"/>
        <w:gridCol w:w="6218"/>
        <w:gridCol w:w="855"/>
        <w:gridCol w:w="855"/>
      </w:tblGrid>
      <w:tr w:rsidR="004843DB" w:rsidRPr="0062582F" w:rsidTr="004843DB">
        <w:trPr>
          <w:cantSplit/>
        </w:trPr>
        <w:tc>
          <w:tcPr>
            <w:tcW w:w="25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spacing w:before="15" w:after="15"/>
            </w:pPr>
            <w:r w:rsidRPr="0062582F">
              <w:t xml:space="preserve"> </w:t>
            </w:r>
          </w:p>
        </w:tc>
        <w:tc>
          <w:tcPr>
            <w:tcW w:w="85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spacing w:before="15" w:after="15"/>
            </w:pPr>
            <w:r w:rsidRPr="0062582F">
              <w:t>2016</w:t>
            </w:r>
          </w:p>
        </w:tc>
        <w:tc>
          <w:tcPr>
            <w:tcW w:w="85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spacing w:before="15" w:after="15"/>
            </w:pPr>
            <w:r w:rsidRPr="0062582F">
              <w:t>2015</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rPr>
                <w:b/>
              </w:rPr>
            </w:pPr>
            <w:r w:rsidRPr="0062582F">
              <w:rPr>
                <w:b/>
              </w:rPr>
              <w:t>(a)</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rPr>
                <w:b/>
              </w:rPr>
            </w:pPr>
            <w:r w:rsidRPr="0062582F">
              <w:rPr>
                <w:b/>
              </w:rPr>
              <w:t>Net gain/(loss) on non</w:t>
            </w:r>
            <w:r w:rsidR="005A4BB0">
              <w:rPr>
                <w:b/>
              </w:rPr>
              <w:noBreakHyphen/>
            </w:r>
            <w:r w:rsidRPr="0062582F">
              <w:rPr>
                <w:b/>
              </w:rPr>
              <w:t>financial assets</w:t>
            </w:r>
          </w:p>
        </w:tc>
        <w:tc>
          <w:tcPr>
            <w:tcW w:w="855" w:type="dxa"/>
            <w:tcBorders>
              <w:top w:val="nil"/>
              <w:left w:val="nil"/>
              <w:bottom w:val="nil"/>
              <w:right w:val="nil"/>
            </w:tcBorders>
            <w:shd w:val="clear" w:color="000000" w:fill="CCCCCC"/>
            <w:noWrap/>
            <w:hideMark/>
          </w:tcPr>
          <w:p w:rsidR="004843DB" w:rsidRPr="0062582F" w:rsidRDefault="004843DB" w:rsidP="004843DB">
            <w:pPr>
              <w:pStyle w:val="TableofFigures"/>
              <w:spacing w:before="15" w:after="15"/>
              <w:rPr>
                <w:b/>
              </w:rPr>
            </w:pPr>
            <w:r w:rsidRPr="0062582F">
              <w:rPr>
                <w:b/>
              </w:rPr>
              <w:t xml:space="preserve"> </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rPr>
                <w:b/>
              </w:rPr>
            </w:pPr>
            <w:r w:rsidRPr="0062582F">
              <w:rPr>
                <w:b/>
              </w:rPr>
              <w:t xml:space="preserve"> </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Impairment of property plant and equipment (including intangible assets)</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(3 025)</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 xml:space="preserve"> 115</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rPr>
                <w:vertAlign w:val="superscript"/>
              </w:rPr>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Impairment of biological assets</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jc w:val="right"/>
            </w:pP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Amortisation of non</w:t>
            </w:r>
            <w:r w:rsidR="005A4BB0">
              <w:noBreakHyphen/>
            </w:r>
            <w:r w:rsidRPr="0062582F">
              <w:t>produced intangible assets</w:t>
            </w:r>
            <w:r w:rsidRPr="0062582F">
              <w:rPr>
                <w:vertAlign w:val="superscript"/>
              </w:rPr>
              <w:t xml:space="preserve"> (i)</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Write down of inventory</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rPr>
                <w:rFonts w:ascii="Arial" w:hAnsi="Arial"/>
              </w:rPr>
            </w:pPr>
            <w:r w:rsidRPr="0062582F">
              <w:t>(178)</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rPr>
                <w:rFonts w:ascii="Arial" w:hAnsi="Arial"/>
              </w:rPr>
            </w:pPr>
            <w:r w:rsidRPr="0062582F">
              <w:t>(19)</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Revaluation of investment property</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(3 485)</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 xml:space="preserve"> 450</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Net gain arising from changes in fair value less estimated point</w:t>
            </w:r>
            <w:r w:rsidR="005A4BB0">
              <w:noBreakHyphen/>
            </w:r>
            <w:r w:rsidRPr="0062582F">
              <w:t>of</w:t>
            </w:r>
            <w:r w:rsidR="005A4BB0">
              <w:noBreakHyphen/>
            </w:r>
            <w:r w:rsidRPr="0062582F">
              <w:t>sale costs of biological assets</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1 476</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Net gain on disposal of property plant and equipment</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 xml:space="preserve"> 171</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1 019</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Net gain on disposal of investment properties</w:t>
            </w:r>
          </w:p>
        </w:tc>
        <w:tc>
          <w:tcPr>
            <w:tcW w:w="85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5" w:after="15"/>
              <w:rPr>
                <w:rFonts w:ascii="Arial" w:hAnsi="Arial"/>
              </w:rPr>
            </w:pPr>
            <w:r w:rsidRPr="0062582F">
              <w:t>(120)</w:t>
            </w:r>
          </w:p>
        </w:tc>
        <w:tc>
          <w:tcPr>
            <w:tcW w:w="85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spacing w:before="15" w:after="15"/>
            </w:pPr>
            <w:r w:rsidRPr="0062582F">
              <w:t xml:space="preserve"> 240</w:t>
            </w:r>
          </w:p>
        </w:tc>
      </w:tr>
      <w:tr w:rsidR="004843DB" w:rsidRPr="0062582F" w:rsidTr="004843DB">
        <w:trPr>
          <w:cantSplit/>
        </w:trPr>
        <w:tc>
          <w:tcPr>
            <w:tcW w:w="258" w:type="dxa"/>
            <w:tcBorders>
              <w:top w:val="single" w:sz="4" w:space="0" w:color="auto"/>
              <w:left w:val="nil"/>
              <w:bottom w:val="single" w:sz="8" w:space="0" w:color="auto"/>
              <w:right w:val="nil"/>
            </w:tcBorders>
            <w:shd w:val="clear" w:color="auto" w:fill="auto"/>
            <w:noWrap/>
            <w:hideMark/>
          </w:tcPr>
          <w:p w:rsidR="004843DB" w:rsidRPr="0062582F" w:rsidRDefault="004843DB" w:rsidP="004843DB">
            <w:pPr>
              <w:pStyle w:val="Tabletext"/>
              <w:spacing w:before="15" w:after="15"/>
              <w:rPr>
                <w:b/>
              </w:rPr>
            </w:pPr>
            <w:r w:rsidRPr="0062582F">
              <w:rPr>
                <w:b/>
              </w:rPr>
              <w:t xml:space="preserve"> </w:t>
            </w:r>
          </w:p>
        </w:tc>
        <w:tc>
          <w:tcPr>
            <w:tcW w:w="6218" w:type="dxa"/>
            <w:tcBorders>
              <w:top w:val="single" w:sz="4" w:space="0" w:color="auto"/>
              <w:left w:val="nil"/>
              <w:bottom w:val="single" w:sz="8" w:space="0" w:color="auto"/>
              <w:right w:val="nil"/>
            </w:tcBorders>
            <w:shd w:val="clear" w:color="auto" w:fill="auto"/>
            <w:hideMark/>
          </w:tcPr>
          <w:p w:rsidR="004843DB" w:rsidRPr="0062582F" w:rsidRDefault="004843DB" w:rsidP="004843DB">
            <w:pPr>
              <w:pStyle w:val="Tabletext"/>
              <w:spacing w:before="15" w:after="15"/>
              <w:rPr>
                <w:b/>
              </w:rPr>
            </w:pPr>
            <w:r w:rsidRPr="0062582F">
              <w:rPr>
                <w:b/>
              </w:rPr>
              <w:t>Total net gain/(loss) on non</w:t>
            </w:r>
            <w:r w:rsidR="005A4BB0">
              <w:rPr>
                <w:b/>
              </w:rPr>
              <w:noBreakHyphen/>
            </w:r>
            <w:r w:rsidRPr="0062582F">
              <w:rPr>
                <w:b/>
              </w:rPr>
              <w:t>financial assets</w:t>
            </w:r>
          </w:p>
        </w:tc>
        <w:tc>
          <w:tcPr>
            <w:tcW w:w="855" w:type="dxa"/>
            <w:tcBorders>
              <w:top w:val="nil"/>
              <w:left w:val="nil"/>
              <w:bottom w:val="single" w:sz="8" w:space="0" w:color="auto"/>
              <w:right w:val="nil"/>
            </w:tcBorders>
            <w:shd w:val="clear" w:color="00FFFF" w:fill="CCCCCC"/>
            <w:noWrap/>
            <w:hideMark/>
          </w:tcPr>
          <w:p w:rsidR="004843DB" w:rsidRPr="0062582F" w:rsidRDefault="004843DB" w:rsidP="004843DB">
            <w:pPr>
              <w:pStyle w:val="TableofFigures"/>
              <w:spacing w:before="15" w:after="15"/>
              <w:rPr>
                <w:b/>
              </w:rPr>
            </w:pPr>
            <w:r w:rsidRPr="0062582F">
              <w:rPr>
                <w:b/>
              </w:rPr>
              <w:t>(5 161)</w:t>
            </w:r>
          </w:p>
        </w:tc>
        <w:tc>
          <w:tcPr>
            <w:tcW w:w="855" w:type="dxa"/>
            <w:tcBorders>
              <w:top w:val="nil"/>
              <w:left w:val="nil"/>
              <w:bottom w:val="single" w:sz="8" w:space="0" w:color="auto"/>
              <w:right w:val="nil"/>
            </w:tcBorders>
            <w:shd w:val="clear" w:color="auto" w:fill="auto"/>
            <w:noWrap/>
            <w:hideMark/>
          </w:tcPr>
          <w:p w:rsidR="004843DB" w:rsidRPr="0062582F" w:rsidRDefault="004843DB" w:rsidP="004843DB">
            <w:pPr>
              <w:pStyle w:val="TableofFigures"/>
              <w:spacing w:before="15" w:after="15"/>
              <w:rPr>
                <w:b/>
              </w:rPr>
            </w:pPr>
            <w:r w:rsidRPr="0062582F">
              <w:rPr>
                <w:b/>
              </w:rPr>
              <w:t>1 805</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rPr>
                <w:b/>
              </w:rPr>
            </w:pPr>
            <w:r w:rsidRPr="0062582F">
              <w:rPr>
                <w:b/>
              </w:rPr>
              <w:t>(b)</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rPr>
                <w:b/>
              </w:rPr>
            </w:pPr>
            <w:r w:rsidRPr="0062582F">
              <w:rPr>
                <w:b/>
              </w:rPr>
              <w:t>Net gain/(loss) on financial instruments</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rPr>
                <w:b/>
              </w:rPr>
            </w:pPr>
            <w:r w:rsidRPr="0062582F">
              <w:rPr>
                <w:b/>
              </w:rPr>
              <w:t xml:space="preserve"> </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rPr>
                <w:b/>
              </w:rPr>
            </w:pPr>
            <w:r w:rsidRPr="0062582F">
              <w:rPr>
                <w:b/>
              </w:rPr>
              <w:t xml:space="preserve"> </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jc w:val="right"/>
            </w:pP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Impairment of:</w:t>
            </w:r>
            <w:r w:rsidRPr="0062582F">
              <w:rPr>
                <w:vertAlign w:val="superscript"/>
              </w:rPr>
              <w:t xml:space="preserve"> (ii)</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 xml:space="preserve"> </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 xml:space="preserve"> </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ind w:left="284"/>
            </w:pPr>
            <w:r w:rsidRPr="0062582F">
              <w:t>Loans and receivables</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rPr>
                <w:rFonts w:ascii="Arial" w:hAnsi="Arial"/>
              </w:rPr>
            </w:pPr>
            <w:r w:rsidRPr="0062582F">
              <w:t>(485)</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rPr>
                <w:rFonts w:ascii="Arial" w:hAnsi="Arial"/>
              </w:rPr>
            </w:pPr>
            <w:r w:rsidRPr="0062582F">
              <w:t>(341)</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ind w:left="284"/>
            </w:pPr>
            <w:r w:rsidRPr="0062582F">
              <w:t>Available</w:t>
            </w:r>
            <w:r w:rsidR="005A4BB0">
              <w:noBreakHyphen/>
            </w:r>
            <w:r w:rsidRPr="0062582F">
              <w:t>for</w:t>
            </w:r>
            <w:r w:rsidR="005A4BB0">
              <w:noBreakHyphen/>
            </w:r>
            <w:r w:rsidRPr="0062582F">
              <w:t>sale financial assets transferred from revaluation surplus</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rPr>
                <w:rFonts w:ascii="Arial" w:hAnsi="Arial"/>
              </w:rPr>
            </w:pPr>
            <w:r w:rsidRPr="0062582F">
              <w:t>(920)</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Net FX gain/(loss) arising from foreign cash held</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rPr>
                <w:rFonts w:ascii="Arial" w:hAnsi="Arial"/>
              </w:rPr>
            </w:pPr>
            <w:r w:rsidRPr="0062582F">
              <w:t>(385)</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 xml:space="preserve"> 105</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Net FX gain/(loss) arising from financial instruments</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rPr>
                <w:rFonts w:ascii="Arial" w:hAnsi="Arial"/>
              </w:rPr>
            </w:pPr>
            <w:r w:rsidRPr="0062582F">
              <w:t>(86)</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 xml:space="preserve"> 55</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Bad debts written off by mutual agreement</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 xml:space="preserve"> 75</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 xml:space="preserve"> 50</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Net gain/(loss) on disposal of financial instruments</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Net gain/(loss) arising from revaluation of financial assets at fair value – market risk</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 xml:space="preserve"> 30</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 xml:space="preserve"> 321</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Net gain/(loss) arising from revaluation of financial assets at fair value – credit risk</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 xml:space="preserve"> 35</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 xml:space="preserve"> 79</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Interest on government advances</w:t>
            </w:r>
          </w:p>
        </w:tc>
        <w:tc>
          <w:tcPr>
            <w:tcW w:w="85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5" w:after="15"/>
            </w:pPr>
            <w:r w:rsidRPr="0062582F">
              <w:t>(4 155)</w:t>
            </w:r>
          </w:p>
        </w:tc>
        <w:tc>
          <w:tcPr>
            <w:tcW w:w="85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spacing w:before="15" w:after="15"/>
            </w:pPr>
            <w:r w:rsidRPr="0062582F">
              <w:t>(4 240)</w:t>
            </w:r>
          </w:p>
        </w:tc>
      </w:tr>
      <w:tr w:rsidR="004843DB" w:rsidRPr="0062582F" w:rsidTr="004843DB">
        <w:trPr>
          <w:cantSplit/>
        </w:trPr>
        <w:tc>
          <w:tcPr>
            <w:tcW w:w="258" w:type="dxa"/>
            <w:tcBorders>
              <w:top w:val="single" w:sz="4" w:space="0" w:color="auto"/>
              <w:left w:val="nil"/>
              <w:bottom w:val="single" w:sz="8" w:space="0" w:color="auto"/>
              <w:right w:val="nil"/>
            </w:tcBorders>
            <w:shd w:val="clear" w:color="auto" w:fill="auto"/>
            <w:noWrap/>
            <w:hideMark/>
          </w:tcPr>
          <w:p w:rsidR="004843DB" w:rsidRPr="0062582F" w:rsidRDefault="004843DB" w:rsidP="004843DB">
            <w:pPr>
              <w:pStyle w:val="Tabletext"/>
              <w:spacing w:before="15" w:after="15"/>
              <w:rPr>
                <w:b/>
              </w:rPr>
            </w:pPr>
            <w:r w:rsidRPr="0062582F">
              <w:rPr>
                <w:b/>
              </w:rPr>
              <w:t xml:space="preserve"> </w:t>
            </w:r>
          </w:p>
        </w:tc>
        <w:tc>
          <w:tcPr>
            <w:tcW w:w="6218" w:type="dxa"/>
            <w:tcBorders>
              <w:top w:val="single" w:sz="4" w:space="0" w:color="auto"/>
              <w:left w:val="nil"/>
              <w:bottom w:val="single" w:sz="8" w:space="0" w:color="auto"/>
              <w:right w:val="nil"/>
            </w:tcBorders>
            <w:shd w:val="clear" w:color="auto" w:fill="auto"/>
            <w:hideMark/>
          </w:tcPr>
          <w:p w:rsidR="004843DB" w:rsidRPr="0062582F" w:rsidRDefault="004843DB" w:rsidP="004843DB">
            <w:pPr>
              <w:pStyle w:val="Tabletext"/>
              <w:spacing w:before="15" w:after="15"/>
              <w:rPr>
                <w:b/>
              </w:rPr>
            </w:pPr>
            <w:r w:rsidRPr="0062582F">
              <w:rPr>
                <w:b/>
              </w:rPr>
              <w:t>Total net gain/(loss) on financial instruments</w:t>
            </w:r>
          </w:p>
        </w:tc>
        <w:tc>
          <w:tcPr>
            <w:tcW w:w="855" w:type="dxa"/>
            <w:tcBorders>
              <w:top w:val="nil"/>
              <w:left w:val="nil"/>
              <w:bottom w:val="single" w:sz="8" w:space="0" w:color="auto"/>
              <w:right w:val="nil"/>
            </w:tcBorders>
            <w:shd w:val="clear" w:color="00FFFF" w:fill="CCCCCC"/>
            <w:noWrap/>
            <w:hideMark/>
          </w:tcPr>
          <w:p w:rsidR="004843DB" w:rsidRPr="0062582F" w:rsidRDefault="004843DB" w:rsidP="004843DB">
            <w:pPr>
              <w:pStyle w:val="TableofFigures"/>
              <w:spacing w:before="15" w:after="15"/>
              <w:rPr>
                <w:b/>
              </w:rPr>
            </w:pPr>
            <w:r w:rsidRPr="0062582F">
              <w:rPr>
                <w:b/>
              </w:rPr>
              <w:t>(5 891)</w:t>
            </w:r>
          </w:p>
        </w:tc>
        <w:tc>
          <w:tcPr>
            <w:tcW w:w="855" w:type="dxa"/>
            <w:tcBorders>
              <w:top w:val="nil"/>
              <w:left w:val="nil"/>
              <w:bottom w:val="single" w:sz="8" w:space="0" w:color="auto"/>
              <w:right w:val="nil"/>
            </w:tcBorders>
            <w:shd w:val="clear" w:color="auto" w:fill="auto"/>
            <w:noWrap/>
            <w:hideMark/>
          </w:tcPr>
          <w:p w:rsidR="004843DB" w:rsidRPr="0062582F" w:rsidRDefault="004843DB" w:rsidP="004843DB">
            <w:pPr>
              <w:pStyle w:val="TableofFigures"/>
              <w:spacing w:before="15" w:after="15"/>
              <w:rPr>
                <w:b/>
              </w:rPr>
            </w:pPr>
            <w:r w:rsidRPr="0062582F">
              <w:rPr>
                <w:b/>
              </w:rPr>
              <w:t>(3 971)</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rPr>
                <w:b/>
              </w:rPr>
            </w:pPr>
            <w:r w:rsidRPr="0062582F">
              <w:rPr>
                <w:b/>
              </w:rPr>
              <w:t>(c)</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rPr>
                <w:b/>
              </w:rPr>
            </w:pPr>
            <w:r w:rsidRPr="0062582F">
              <w:rPr>
                <w:b/>
              </w:rPr>
              <w:t>Share of net profits/(losses) of associates and joint entities, excluding dividends</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rPr>
                <w:b/>
              </w:rPr>
            </w:pPr>
            <w:r w:rsidRPr="0062582F">
              <w:rPr>
                <w:b/>
              </w:rPr>
              <w:t xml:space="preserve"> </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rPr>
                <w:b/>
              </w:rPr>
            </w:pPr>
            <w:r w:rsidRPr="0062582F">
              <w:rPr>
                <w:b/>
              </w:rPr>
              <w:t xml:space="preserve"> </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Share of net profits/(losses) of associates, excluding dividends</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1 055</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 xml:space="preserve"> 652</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Share of net profits/(losses) of joint entities, excluding dividends</w:t>
            </w:r>
          </w:p>
        </w:tc>
        <w:tc>
          <w:tcPr>
            <w:tcW w:w="85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5" w:after="15"/>
            </w:pPr>
            <w:r w:rsidRPr="0062582F">
              <w:t xml:space="preserve"> 231</w:t>
            </w:r>
          </w:p>
        </w:tc>
        <w:tc>
          <w:tcPr>
            <w:tcW w:w="85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spacing w:before="15" w:after="15"/>
            </w:pPr>
            <w:r w:rsidRPr="0062582F">
              <w:t xml:space="preserve"> 745</w:t>
            </w:r>
          </w:p>
        </w:tc>
      </w:tr>
      <w:tr w:rsidR="004843DB" w:rsidRPr="0062582F" w:rsidTr="004843DB">
        <w:trPr>
          <w:cantSplit/>
        </w:trPr>
        <w:tc>
          <w:tcPr>
            <w:tcW w:w="258" w:type="dxa"/>
            <w:tcBorders>
              <w:top w:val="single" w:sz="4" w:space="0" w:color="auto"/>
              <w:left w:val="nil"/>
              <w:bottom w:val="single" w:sz="8" w:space="0" w:color="auto"/>
              <w:right w:val="nil"/>
            </w:tcBorders>
            <w:shd w:val="clear" w:color="auto" w:fill="auto"/>
            <w:noWrap/>
            <w:hideMark/>
          </w:tcPr>
          <w:p w:rsidR="004843DB" w:rsidRPr="0062582F" w:rsidRDefault="004843DB" w:rsidP="004843DB">
            <w:pPr>
              <w:pStyle w:val="Tabletext"/>
              <w:spacing w:before="15" w:after="15"/>
              <w:rPr>
                <w:b/>
              </w:rPr>
            </w:pPr>
            <w:r w:rsidRPr="0062582F">
              <w:rPr>
                <w:b/>
              </w:rPr>
              <w:t xml:space="preserve"> </w:t>
            </w:r>
          </w:p>
        </w:tc>
        <w:tc>
          <w:tcPr>
            <w:tcW w:w="6218" w:type="dxa"/>
            <w:tcBorders>
              <w:top w:val="single" w:sz="4" w:space="0" w:color="auto"/>
              <w:left w:val="nil"/>
              <w:bottom w:val="single" w:sz="8" w:space="0" w:color="auto"/>
              <w:right w:val="nil"/>
            </w:tcBorders>
            <w:shd w:val="clear" w:color="auto" w:fill="auto"/>
            <w:hideMark/>
          </w:tcPr>
          <w:p w:rsidR="004843DB" w:rsidRPr="0062582F" w:rsidRDefault="004843DB" w:rsidP="004843DB">
            <w:pPr>
              <w:pStyle w:val="Tabletext"/>
              <w:spacing w:before="15" w:after="15"/>
              <w:rPr>
                <w:b/>
              </w:rPr>
            </w:pPr>
            <w:r w:rsidRPr="0062582F">
              <w:rPr>
                <w:b/>
              </w:rPr>
              <w:t>Total share of net profits/(losses) of associates and joint entities, excluding dividends</w:t>
            </w:r>
          </w:p>
        </w:tc>
        <w:tc>
          <w:tcPr>
            <w:tcW w:w="855" w:type="dxa"/>
            <w:tcBorders>
              <w:top w:val="nil"/>
              <w:left w:val="nil"/>
              <w:bottom w:val="single" w:sz="8" w:space="0" w:color="auto"/>
              <w:right w:val="nil"/>
            </w:tcBorders>
            <w:shd w:val="clear" w:color="00FFFF" w:fill="CCCCCC"/>
            <w:noWrap/>
            <w:hideMark/>
          </w:tcPr>
          <w:p w:rsidR="004843DB" w:rsidRPr="0062582F" w:rsidRDefault="004843DB" w:rsidP="004843DB">
            <w:pPr>
              <w:pStyle w:val="TableofFigures"/>
              <w:spacing w:before="15" w:after="15"/>
              <w:rPr>
                <w:b/>
              </w:rPr>
            </w:pPr>
            <w:r w:rsidRPr="0062582F">
              <w:rPr>
                <w:b/>
              </w:rPr>
              <w:t>1 286</w:t>
            </w:r>
          </w:p>
        </w:tc>
        <w:tc>
          <w:tcPr>
            <w:tcW w:w="855" w:type="dxa"/>
            <w:tcBorders>
              <w:top w:val="nil"/>
              <w:left w:val="nil"/>
              <w:bottom w:val="single" w:sz="8" w:space="0" w:color="auto"/>
              <w:right w:val="nil"/>
            </w:tcBorders>
            <w:shd w:val="clear" w:color="auto" w:fill="auto"/>
            <w:noWrap/>
            <w:hideMark/>
          </w:tcPr>
          <w:p w:rsidR="004843DB" w:rsidRPr="0062582F" w:rsidRDefault="004843DB" w:rsidP="004843DB">
            <w:pPr>
              <w:pStyle w:val="TableofFigures"/>
              <w:spacing w:before="15" w:after="15"/>
              <w:rPr>
                <w:b/>
              </w:rPr>
            </w:pPr>
            <w:r w:rsidRPr="0062582F">
              <w:rPr>
                <w:b/>
              </w:rPr>
              <w:t>1 397</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rPr>
                <w:b/>
              </w:rPr>
            </w:pPr>
            <w:r w:rsidRPr="0062582F">
              <w:rPr>
                <w:b/>
              </w:rPr>
              <w:t>(d)</w:t>
            </w: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rPr>
                <w:b/>
              </w:rPr>
            </w:pPr>
            <w:r w:rsidRPr="0062582F">
              <w:rPr>
                <w:b/>
              </w:rPr>
              <w:t>Other gains/(losses) from other economic flows</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 xml:space="preserve"> </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 xml:space="preserve"> </w:t>
            </w:r>
          </w:p>
        </w:tc>
      </w:tr>
      <w:tr w:rsidR="004843DB" w:rsidRPr="0062582F" w:rsidTr="004843DB">
        <w:trPr>
          <w:cantSplit/>
        </w:trPr>
        <w:tc>
          <w:tcPr>
            <w:tcW w:w="258" w:type="dxa"/>
            <w:tcBorders>
              <w:top w:val="nil"/>
              <w:left w:val="nil"/>
              <w:bottom w:val="nil"/>
              <w:right w:val="nil"/>
            </w:tcBorders>
            <w:shd w:val="clear" w:color="auto" w:fill="auto"/>
            <w:noWrap/>
            <w:hideMark/>
          </w:tcPr>
          <w:p w:rsidR="004843DB" w:rsidRPr="0062582F" w:rsidRDefault="004843DB" w:rsidP="004843DB">
            <w:pPr>
              <w:pStyle w:val="Tabletext"/>
              <w:spacing w:before="15" w:after="15"/>
              <w:jc w:val="right"/>
            </w:pPr>
          </w:p>
        </w:tc>
        <w:tc>
          <w:tcPr>
            <w:tcW w:w="6218" w:type="dxa"/>
            <w:tcBorders>
              <w:top w:val="nil"/>
              <w:left w:val="nil"/>
              <w:bottom w:val="nil"/>
              <w:right w:val="nil"/>
            </w:tcBorders>
            <w:shd w:val="clear" w:color="auto" w:fill="auto"/>
            <w:hideMark/>
          </w:tcPr>
          <w:p w:rsidR="004843DB" w:rsidRPr="0062582F" w:rsidRDefault="004843DB" w:rsidP="004843DB">
            <w:pPr>
              <w:pStyle w:val="Tabletext"/>
              <w:spacing w:before="15" w:after="15"/>
            </w:pPr>
            <w:r w:rsidRPr="0062582F">
              <w:t>Net gain/(loss) arising from revaluation of long service liability</w:t>
            </w:r>
            <w:r w:rsidRPr="0062582F">
              <w:rPr>
                <w:vertAlign w:val="superscript"/>
              </w:rPr>
              <w:t xml:space="preserve"> (iii)</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spacing w:before="15" w:after="15"/>
            </w:pPr>
            <w:r w:rsidRPr="0062582F">
              <w:t>(2 846)</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spacing w:before="15" w:after="15"/>
            </w:pPr>
            <w:r w:rsidRPr="0062582F">
              <w:t>(2 009)</w:t>
            </w:r>
          </w:p>
        </w:tc>
      </w:tr>
      <w:tr w:rsidR="004843DB" w:rsidRPr="0062582F" w:rsidTr="004843DB">
        <w:trPr>
          <w:cantSplit/>
        </w:trPr>
        <w:tc>
          <w:tcPr>
            <w:tcW w:w="258" w:type="dxa"/>
            <w:tcBorders>
              <w:top w:val="nil"/>
              <w:left w:val="nil"/>
              <w:bottom w:val="single" w:sz="6" w:space="0" w:color="auto"/>
              <w:right w:val="nil"/>
            </w:tcBorders>
            <w:shd w:val="clear" w:color="auto" w:fill="auto"/>
            <w:noWrap/>
            <w:hideMark/>
          </w:tcPr>
          <w:p w:rsidR="004843DB" w:rsidRPr="0062582F" w:rsidRDefault="004843DB" w:rsidP="004843DB">
            <w:pPr>
              <w:pStyle w:val="Tabletext"/>
              <w:spacing w:before="15" w:after="15"/>
            </w:pPr>
            <w:r w:rsidRPr="0062582F">
              <w:t xml:space="preserve"> </w:t>
            </w:r>
          </w:p>
        </w:tc>
        <w:tc>
          <w:tcPr>
            <w:tcW w:w="6218" w:type="dxa"/>
            <w:tcBorders>
              <w:top w:val="nil"/>
              <w:left w:val="nil"/>
              <w:bottom w:val="single" w:sz="6" w:space="0" w:color="auto"/>
              <w:right w:val="nil"/>
            </w:tcBorders>
            <w:shd w:val="clear" w:color="auto" w:fill="auto"/>
            <w:hideMark/>
          </w:tcPr>
          <w:p w:rsidR="004843DB" w:rsidRPr="0062582F" w:rsidRDefault="004843DB" w:rsidP="004843DB">
            <w:pPr>
              <w:pStyle w:val="Tabletext"/>
              <w:spacing w:before="15" w:after="15"/>
            </w:pPr>
            <w:r w:rsidRPr="0062582F">
              <w:t>Unwinding of other provision</w:t>
            </w:r>
          </w:p>
        </w:tc>
        <w:tc>
          <w:tcPr>
            <w:tcW w:w="855"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spacing w:before="15" w:after="15"/>
              <w:rPr>
                <w:rFonts w:ascii="Arial" w:hAnsi="Arial"/>
              </w:rPr>
            </w:pPr>
            <w:r w:rsidRPr="0062582F">
              <w:t>(49)</w:t>
            </w:r>
          </w:p>
        </w:tc>
        <w:tc>
          <w:tcPr>
            <w:tcW w:w="855"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spacing w:before="15" w:after="15"/>
              <w:rPr>
                <w:rFonts w:ascii="Arial" w:hAnsi="Arial"/>
              </w:rPr>
            </w:pPr>
            <w:r w:rsidRPr="0062582F">
              <w:t>(39)</w:t>
            </w:r>
          </w:p>
        </w:tc>
      </w:tr>
      <w:tr w:rsidR="004843DB" w:rsidRPr="0062582F" w:rsidTr="004843DB">
        <w:trPr>
          <w:cantSplit/>
        </w:trPr>
        <w:tc>
          <w:tcPr>
            <w:tcW w:w="258"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text"/>
              <w:spacing w:before="15" w:after="15"/>
              <w:rPr>
                <w:b/>
              </w:rPr>
            </w:pPr>
            <w:r w:rsidRPr="0062582F">
              <w:rPr>
                <w:b/>
              </w:rPr>
              <w:t xml:space="preserve"> </w:t>
            </w:r>
          </w:p>
        </w:tc>
        <w:tc>
          <w:tcPr>
            <w:tcW w:w="6218" w:type="dxa"/>
            <w:tcBorders>
              <w:top w:val="single" w:sz="6" w:space="0" w:color="auto"/>
              <w:left w:val="nil"/>
              <w:bottom w:val="single" w:sz="12" w:space="0" w:color="auto"/>
              <w:right w:val="nil"/>
            </w:tcBorders>
            <w:shd w:val="clear" w:color="auto" w:fill="auto"/>
            <w:hideMark/>
          </w:tcPr>
          <w:p w:rsidR="004843DB" w:rsidRPr="0062582F" w:rsidRDefault="004843DB" w:rsidP="004843DB">
            <w:pPr>
              <w:pStyle w:val="Tabletext"/>
              <w:spacing w:before="15" w:after="15"/>
              <w:rPr>
                <w:b/>
              </w:rPr>
            </w:pPr>
            <w:r w:rsidRPr="0062582F">
              <w:rPr>
                <w:b/>
              </w:rPr>
              <w:t>Total other gains/(losses) from other economic flows</w:t>
            </w:r>
          </w:p>
        </w:tc>
        <w:tc>
          <w:tcPr>
            <w:tcW w:w="855" w:type="dxa"/>
            <w:tcBorders>
              <w:top w:val="single" w:sz="6" w:space="0" w:color="auto"/>
              <w:left w:val="nil"/>
              <w:bottom w:val="single" w:sz="12" w:space="0" w:color="auto"/>
              <w:right w:val="nil"/>
            </w:tcBorders>
            <w:shd w:val="clear" w:color="00FFFF" w:fill="CCCCCC"/>
            <w:noWrap/>
            <w:hideMark/>
          </w:tcPr>
          <w:p w:rsidR="004843DB" w:rsidRPr="0062582F" w:rsidRDefault="004843DB" w:rsidP="004843DB">
            <w:pPr>
              <w:pStyle w:val="TableofFigures"/>
              <w:spacing w:before="15" w:after="15"/>
              <w:rPr>
                <w:b/>
              </w:rPr>
            </w:pPr>
            <w:r w:rsidRPr="0062582F">
              <w:rPr>
                <w:b/>
              </w:rPr>
              <w:t>(2 895)</w:t>
            </w:r>
          </w:p>
        </w:tc>
        <w:tc>
          <w:tcPr>
            <w:tcW w:w="855"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15" w:after="15"/>
              <w:rPr>
                <w:b/>
              </w:rPr>
            </w:pPr>
            <w:r w:rsidRPr="0062582F">
              <w:rPr>
                <w:b/>
              </w:rPr>
              <w:t>(2 047)</w:t>
            </w:r>
          </w:p>
        </w:tc>
      </w:tr>
    </w:tbl>
    <w:p w:rsidR="004843DB" w:rsidRPr="0062582F" w:rsidRDefault="004843DB" w:rsidP="004843DB">
      <w:pPr>
        <w:pStyle w:val="Notes"/>
      </w:pPr>
      <w:r w:rsidRPr="0062582F">
        <w:t>Notes:</w:t>
      </w:r>
    </w:p>
    <w:p w:rsidR="004843DB" w:rsidRPr="0062582F" w:rsidRDefault="004843DB" w:rsidP="004843DB">
      <w:pPr>
        <w:pStyle w:val="Notes"/>
      </w:pPr>
      <w:r w:rsidRPr="0062582F">
        <w:t>(i)</w:t>
      </w:r>
      <w:r w:rsidRPr="0062582F">
        <w:tab/>
        <w:t>This is amortisation of non</w:t>
      </w:r>
      <w:r w:rsidR="005A4BB0">
        <w:noBreakHyphen/>
      </w:r>
      <w:r w:rsidRPr="0062582F">
        <w:t>produced intangible assets with finite useful lives.</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80"/>
      </w:pPr>
      <w:r w:rsidRPr="0062582F">
        <w:t>AASB 137.60</w:t>
      </w:r>
    </w:p>
    <w:p w:rsidR="004843DB" w:rsidRPr="0062582F" w:rsidRDefault="004843DB" w:rsidP="004843DB">
      <w:pPr>
        <w:pStyle w:val="Notes"/>
      </w:pPr>
      <w:r w:rsidRPr="0062582F">
        <w:br w:type="column"/>
        <w:t>(ii)</w:t>
      </w:r>
      <w:r w:rsidRPr="0062582F">
        <w:tab/>
        <w:t>Including increase/(decrease) in provision for doubtful debts and bad debts from other economic flows – refer to Note 1.</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Red"/>
        <w:spacing w:before="0"/>
        <w:rPr>
          <w:rStyle w:val="ReferenceRedChar"/>
        </w:rPr>
      </w:pPr>
    </w:p>
    <w:p w:rsidR="004843DB" w:rsidRPr="0062582F" w:rsidRDefault="004843DB" w:rsidP="004843DB">
      <w:pPr>
        <w:pStyle w:val="Notes"/>
      </w:pPr>
      <w:r w:rsidRPr="0062582F">
        <w:br w:type="column"/>
        <w:t>(iii)</w:t>
      </w:r>
      <w:r w:rsidRPr="0062582F">
        <w:tab/>
        <w:t xml:space="preserve">Revaluation gain/(loss) due to changes in bond rates </w:t>
      </w:r>
    </w:p>
    <w:p w:rsidR="004843DB" w:rsidRPr="0062582F" w:rsidRDefault="004843DB" w:rsidP="004843DB">
      <w:pPr>
        <w:pStyle w:val="NotesBlue"/>
      </w:pPr>
      <w:r w:rsidRPr="0062582F">
        <w:tab/>
        <w:t xml:space="preserve">[Please note that revaluation gain/(loss) on the LSL liability due to the changes in the discount bond rates is included in other economic flows.] </w:t>
      </w:r>
    </w:p>
    <w:p w:rsidR="004843DB" w:rsidRPr="0062582F" w:rsidRDefault="004843DB" w:rsidP="004843DB"/>
    <w:p w:rsidR="004843DB" w:rsidRPr="0062582F" w:rsidRDefault="004843DB" w:rsidP="004843DB">
      <w:pPr>
        <w:pStyle w:val="SmallLine"/>
      </w:pPr>
      <w:bookmarkStart w:id="369" w:name="_Toc192562733"/>
    </w:p>
    <w:p w:rsidR="004843DB" w:rsidRPr="0062582F" w:rsidRDefault="004843DB" w:rsidP="004843DB">
      <w:pPr>
        <w:pStyle w:val="CommentaryHeading"/>
      </w:pPr>
      <w:r w:rsidRPr="0062582F">
        <w:t xml:space="preserve">Commentary – Other economic flows included in net result </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top w:val="none" w:sz="0" w:space="0" w:color="auto"/>
          <w:bottom w:val="none" w:sz="0" w:space="0" w:color="auto"/>
        </w:pBdr>
      </w:pPr>
      <w:r w:rsidRPr="0062582F">
        <w:t>Disclosure requirements</w:t>
      </w:r>
    </w:p>
    <w:p w:rsidR="004843DB" w:rsidRPr="0062582F" w:rsidRDefault="004843DB" w:rsidP="004843DB">
      <w:pPr>
        <w:pStyle w:val="CommentaryText"/>
        <w:pBdr>
          <w:top w:val="none" w:sz="0" w:space="0" w:color="auto"/>
        </w:pBdr>
      </w:pPr>
      <w:r w:rsidRPr="0062582F">
        <w:t xml:space="preserve">To align with whole of government reporting, which complies with AASB 1049 requirements, </w:t>
      </w:r>
      <w:r w:rsidRPr="0062582F">
        <w:rPr>
          <w:b/>
        </w:rPr>
        <w:t>departments are required</w:t>
      </w:r>
      <w:r w:rsidRPr="0062582F">
        <w:t xml:space="preserve"> to classify items of expense between transactions and other economic flows as appropriate. Departments should refer to the </w:t>
      </w:r>
      <w:r w:rsidRPr="0062582F">
        <w:rPr>
          <w:i/>
        </w:rPr>
        <w:t xml:space="preserve">Glossary of terms and style conventions </w:t>
      </w:r>
      <w:r w:rsidRPr="0062582F">
        <w:t>(Note 44) in the Model</w:t>
      </w:r>
      <w:r w:rsidRPr="0062582F">
        <w:rPr>
          <w:i/>
        </w:rPr>
        <w:t xml:space="preserve"> </w:t>
      </w:r>
      <w:r w:rsidRPr="0062582F">
        <w:t xml:space="preserve">for definitions on </w:t>
      </w:r>
      <w:r w:rsidR="005A4BB0">
        <w:t>‘</w:t>
      </w:r>
      <w:r w:rsidRPr="0062582F">
        <w:t>transactions</w:t>
      </w:r>
      <w:r w:rsidR="005A4BB0">
        <w:t>’</w:t>
      </w:r>
      <w:r w:rsidRPr="0062582F">
        <w:t xml:space="preserve"> and </w:t>
      </w:r>
      <w:r w:rsidR="005A4BB0">
        <w:t>‘</w:t>
      </w:r>
      <w:r w:rsidRPr="0062582F">
        <w:t>other economic flows</w:t>
      </w:r>
      <w:r w:rsidR="005A4BB0">
        <w:t>’</w:t>
      </w:r>
      <w:r w:rsidRPr="0062582F">
        <w:t xml:space="preserve">, and refer to Appendix 2 for the </w:t>
      </w:r>
      <w:r w:rsidRPr="0062582F">
        <w:rPr>
          <w:i/>
        </w:rPr>
        <w:t>Practical classification guide between transactions and other economic flows</w:t>
      </w:r>
      <w:r w:rsidRPr="0062582F">
        <w:t xml:space="preserve"> for further examples. </w:t>
      </w:r>
    </w:p>
    <w:p w:rsidR="004843DB" w:rsidRPr="0062582F" w:rsidRDefault="004843DB" w:rsidP="004843DB">
      <w:pPr>
        <w:pStyle w:val="CommentaryText"/>
        <w:pBdr>
          <w:top w:val="none" w:sz="0" w:space="0" w:color="auto"/>
        </w:pBdr>
      </w:pPr>
      <w:r w:rsidRPr="0062582F">
        <w:t>Some common material items of gains or losses from other economic flows required to be disclosed by a few AASs are illustrated in Note 6 of the Model</w:t>
      </w:r>
      <w:r w:rsidRPr="0062582F">
        <w:rPr>
          <w:i/>
        </w:rPr>
        <w:t>.</w:t>
      </w:r>
    </w:p>
    <w:p w:rsidR="004843DB" w:rsidRPr="0062582F" w:rsidRDefault="004843DB" w:rsidP="004843DB">
      <w:pPr>
        <w:pStyle w:val="NoteHeading"/>
      </w:pPr>
      <w:bookmarkStart w:id="370" w:name="_Toc332019465"/>
      <w:bookmarkStart w:id="371" w:name="_Toc366843353"/>
      <w:r w:rsidRPr="0062582F">
        <w:br w:type="column"/>
      </w:r>
      <w:r w:rsidRPr="0062582F">
        <w:br w:type="column"/>
      </w:r>
      <w:bookmarkStart w:id="372" w:name="_Toc448157186"/>
      <w:r w:rsidRPr="0062582F">
        <w:t>Note 7.</w:t>
      </w:r>
      <w:r w:rsidRPr="0062582F">
        <w:tab/>
        <w:t>Revision of accounting estimates</w:t>
      </w:r>
      <w:bookmarkEnd w:id="369"/>
      <w:bookmarkEnd w:id="370"/>
      <w:bookmarkEnd w:id="371"/>
      <w:bookmarkEnd w:id="372"/>
    </w:p>
    <w:p w:rsidR="004843DB" w:rsidRPr="0062582F" w:rsidRDefault="004843DB" w:rsidP="004843DB">
      <w:pPr>
        <w:pStyle w:val="CommentaryHeading"/>
      </w:pPr>
      <w:r w:rsidRPr="0062582F">
        <w:t>Commentary – Revision of accounting estimates</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bottom w:val="none" w:sz="0" w:space="0" w:color="auto"/>
        </w:pBdr>
      </w:pPr>
      <w:r w:rsidRPr="0062582F">
        <w:t>Changes in accounting estimates</w:t>
      </w:r>
    </w:p>
    <w:p w:rsidR="004843DB" w:rsidRPr="0062582F" w:rsidRDefault="004843DB" w:rsidP="004843DB">
      <w:pPr>
        <w:pStyle w:val="CommentaryHeading2"/>
      </w:pPr>
      <w:bookmarkStart w:id="373" w:name="_Toc163448745"/>
      <w:r w:rsidRPr="0062582F">
        <w:t>Recognition</w:t>
      </w:r>
      <w:bookmarkEnd w:id="373"/>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108.36</w:t>
      </w:r>
    </w:p>
    <w:p w:rsidR="004843DB" w:rsidRPr="0062582F" w:rsidRDefault="004843DB" w:rsidP="004843DB">
      <w:pPr>
        <w:pStyle w:val="CommentaryText"/>
        <w:pBdr>
          <w:top w:val="none" w:sz="0" w:space="0" w:color="auto"/>
          <w:bottom w:val="none" w:sz="0" w:space="0" w:color="auto"/>
        </w:pBdr>
      </w:pPr>
      <w:r w:rsidRPr="0062582F">
        <w:br w:type="column"/>
        <w:t>The effect of a change in an accounting estimate, shall be recognised prospectively by including it in the net result in:</w:t>
      </w:r>
    </w:p>
    <w:p w:rsidR="004843DB" w:rsidRPr="0062582F" w:rsidRDefault="004843DB" w:rsidP="004843DB">
      <w:pPr>
        <w:pStyle w:val="CommentaryTextIndent"/>
        <w:pBdr>
          <w:top w:val="none" w:sz="0" w:space="0" w:color="auto"/>
          <w:bottom w:val="none" w:sz="0" w:space="0" w:color="auto"/>
        </w:pBdr>
      </w:pPr>
      <w:r w:rsidRPr="0062582F">
        <w:t>(a)</w:t>
      </w:r>
      <w:r w:rsidRPr="0062582F">
        <w:tab/>
        <w:t>the period of the change, if the change affects that period only; or</w:t>
      </w:r>
    </w:p>
    <w:p w:rsidR="004843DB" w:rsidRPr="0062582F" w:rsidRDefault="004843DB" w:rsidP="004843DB">
      <w:pPr>
        <w:pStyle w:val="CommentaryTextIndent"/>
        <w:pBdr>
          <w:top w:val="none" w:sz="0" w:space="0" w:color="auto"/>
          <w:bottom w:val="none" w:sz="0" w:space="0" w:color="auto"/>
        </w:pBdr>
      </w:pPr>
      <w:r w:rsidRPr="0062582F">
        <w:t>(b)</w:t>
      </w:r>
      <w:r w:rsidRPr="0062582F">
        <w:tab/>
        <w:t>the period of the change and future periods, if the change affects both.</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108.37</w:t>
      </w:r>
    </w:p>
    <w:p w:rsidR="004843DB" w:rsidRPr="0062582F" w:rsidRDefault="004843DB" w:rsidP="004843DB">
      <w:pPr>
        <w:pStyle w:val="CommentaryText"/>
        <w:pBdr>
          <w:top w:val="none" w:sz="0" w:space="0" w:color="auto"/>
          <w:bottom w:val="none" w:sz="0" w:space="0" w:color="auto"/>
        </w:pBdr>
      </w:pPr>
      <w:r w:rsidRPr="0062582F">
        <w:br w:type="column"/>
        <w:t>Except to the extent that a change in an accounting estimate gives rise to changes in assets and liabilities, or relates to an item of equity, it shall be recognised by adjusting the carrying amount of the related asset, liability or equity item in the period of the change.</w:t>
      </w:r>
    </w:p>
    <w:p w:rsidR="004843DB" w:rsidRPr="0062582F" w:rsidRDefault="004843DB" w:rsidP="004843DB">
      <w:pPr>
        <w:pStyle w:val="CommentaryHeading2"/>
      </w:pPr>
      <w:r w:rsidRPr="0062582F">
        <w:t>Disclosure requirements</w:t>
      </w: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108.39</w:t>
      </w:r>
    </w:p>
    <w:p w:rsidR="004843DB" w:rsidRPr="0062582F" w:rsidRDefault="004843DB" w:rsidP="004843DB">
      <w:pPr>
        <w:pStyle w:val="CommentaryText"/>
        <w:pBdr>
          <w:top w:val="none" w:sz="0" w:space="0" w:color="auto"/>
          <w:bottom w:val="none" w:sz="0" w:space="0" w:color="auto"/>
        </w:pBdr>
      </w:pPr>
      <w:r w:rsidRPr="0062582F">
        <w:br w:type="column"/>
        <w:t>An entity shall disclose the nature and amount of a change in an accounting estimate that has an effect in the current period or is expected to have an effect in future periods, except for the disclosure of the effect on future periods when it is impracticable to estimate that effect.</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108.40</w:t>
      </w:r>
    </w:p>
    <w:p w:rsidR="004843DB" w:rsidRPr="0062582F" w:rsidRDefault="004843DB" w:rsidP="004843DB">
      <w:pPr>
        <w:pStyle w:val="CommentaryText"/>
        <w:pBdr>
          <w:top w:val="none" w:sz="0" w:space="0" w:color="auto"/>
          <w:bottom w:val="none" w:sz="0" w:space="0" w:color="auto"/>
        </w:pBdr>
      </w:pPr>
      <w:r w:rsidRPr="0062582F">
        <w:br w:type="column"/>
        <w:t>If the amount of the effect in future periods is not disclosed because estimating it is impracticable, this fact shall be disclosed.</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116.76</w:t>
      </w:r>
    </w:p>
    <w:p w:rsidR="004843DB" w:rsidRPr="0062582F" w:rsidRDefault="004843DB" w:rsidP="004843DB">
      <w:pPr>
        <w:pStyle w:val="CommentaryText"/>
        <w:pBdr>
          <w:top w:val="none" w:sz="0" w:space="0" w:color="auto"/>
          <w:bottom w:val="none" w:sz="0" w:space="0" w:color="auto"/>
        </w:pBdr>
      </w:pPr>
      <w:r w:rsidRPr="0062582F">
        <w:br w:type="column"/>
        <w:t>For property, plant and equipment, disclosure of a change in an accounting estimate may arise from changes in estimates with respect to:</w:t>
      </w:r>
    </w:p>
    <w:p w:rsidR="004843DB" w:rsidRPr="0062582F" w:rsidRDefault="004843DB" w:rsidP="004843DB">
      <w:pPr>
        <w:pStyle w:val="CommentaryTextIndent"/>
        <w:pBdr>
          <w:top w:val="none" w:sz="0" w:space="0" w:color="auto"/>
          <w:bottom w:val="none" w:sz="0" w:space="0" w:color="auto"/>
        </w:pBdr>
      </w:pPr>
      <w:r w:rsidRPr="0062582F">
        <w:t>(a)</w:t>
      </w:r>
      <w:r w:rsidRPr="0062582F">
        <w:tab/>
        <w:t>residual values;</w:t>
      </w:r>
    </w:p>
    <w:p w:rsidR="004843DB" w:rsidRPr="0062582F" w:rsidRDefault="004843DB" w:rsidP="004843DB">
      <w:pPr>
        <w:pStyle w:val="CommentaryTextIndent"/>
        <w:pBdr>
          <w:top w:val="none" w:sz="0" w:space="0" w:color="auto"/>
          <w:bottom w:val="none" w:sz="0" w:space="0" w:color="auto"/>
        </w:pBdr>
      </w:pPr>
      <w:r w:rsidRPr="0062582F">
        <w:t>(b)</w:t>
      </w:r>
      <w:r w:rsidRPr="0062582F">
        <w:tab/>
        <w:t>the estimated costs of dismantling, removing or restoring items of property, plant and equipment;</w:t>
      </w:r>
    </w:p>
    <w:p w:rsidR="004843DB" w:rsidRPr="0062582F" w:rsidRDefault="004843DB" w:rsidP="004843DB">
      <w:pPr>
        <w:pStyle w:val="CommentaryTextIndent"/>
        <w:pBdr>
          <w:top w:val="none" w:sz="0" w:space="0" w:color="auto"/>
          <w:bottom w:val="none" w:sz="0" w:space="0" w:color="auto"/>
        </w:pBdr>
      </w:pPr>
      <w:r w:rsidRPr="0062582F">
        <w:t>(c)</w:t>
      </w:r>
      <w:r w:rsidRPr="0062582F">
        <w:tab/>
        <w:t>useful lives; and</w:t>
      </w:r>
    </w:p>
    <w:p w:rsidR="004843DB" w:rsidRPr="0062582F" w:rsidRDefault="004843DB" w:rsidP="004843DB">
      <w:pPr>
        <w:pStyle w:val="CommentaryTextIndent"/>
        <w:pBdr>
          <w:top w:val="none" w:sz="0" w:space="0" w:color="auto"/>
          <w:bottom w:val="none" w:sz="0" w:space="0" w:color="auto"/>
        </w:pBdr>
      </w:pPr>
      <w:r w:rsidRPr="0062582F">
        <w:t>(d)</w:t>
      </w:r>
      <w:r w:rsidRPr="0062582F">
        <w:tab/>
        <w:t>depreciation methods.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134.26</w:t>
      </w:r>
    </w:p>
    <w:p w:rsidR="004843DB" w:rsidRPr="0062582F" w:rsidRDefault="004843DB" w:rsidP="004843DB">
      <w:pPr>
        <w:pStyle w:val="CommentaryText"/>
        <w:pBdr>
          <w:top w:val="none" w:sz="0" w:space="0" w:color="auto"/>
          <w:bottom w:val="none" w:sz="0" w:space="0" w:color="auto"/>
        </w:pBdr>
      </w:pPr>
      <w:r w:rsidRPr="0062582F">
        <w:br w:type="column"/>
        <w:t>If an estimate of an amount reported in an interim period is changed significantly during the final interim period of the annual reporting period but a separate set of financial statements is not published for that final interim period, the nature and amount of that change in estimate shall be disclosed in a note in the annual financial statements for that annual reporting period.</w:t>
      </w:r>
      <w:bookmarkStart w:id="374" w:name="_Toc163448746"/>
    </w:p>
    <w:bookmarkEnd w:id="374"/>
    <w:p w:rsidR="004843DB" w:rsidRPr="0062582F" w:rsidRDefault="004843DB" w:rsidP="004843DB">
      <w:pPr>
        <w:pStyle w:val="CommentaryHeading2"/>
      </w:pPr>
      <w:r w:rsidRPr="0062582F">
        <w:t>Sample disclosure</w:t>
      </w:r>
    </w:p>
    <w:p w:rsidR="004843DB" w:rsidRPr="0062582F" w:rsidRDefault="004843DB" w:rsidP="004843DB">
      <w:pPr>
        <w:pStyle w:val="CommentaryText"/>
        <w:pBdr>
          <w:top w:val="none" w:sz="0" w:space="0" w:color="auto"/>
          <w:bottom w:val="none" w:sz="0" w:space="0" w:color="auto"/>
        </w:pBdr>
      </w:pPr>
      <w:r w:rsidRPr="0062582F">
        <w:t>This note has been included as an example only and may be omitted if not relevant. Below is an example of how you may disclose a revision of accounting estimates: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116.76</w:t>
      </w:r>
    </w:p>
    <w:p w:rsidR="004843DB" w:rsidRPr="0062582F" w:rsidRDefault="004843DB" w:rsidP="004843DB">
      <w:pPr>
        <w:pStyle w:val="CommentaryHeading2"/>
      </w:pPr>
      <w:r w:rsidRPr="0062582F">
        <w:br w:type="column"/>
        <w:t>Reassessment of estimated useful lives of assets</w:t>
      </w:r>
    </w:p>
    <w:p w:rsidR="004843DB" w:rsidRPr="0062582F" w:rsidRDefault="004843DB" w:rsidP="004843DB">
      <w:pPr>
        <w:pStyle w:val="CommentaryText"/>
        <w:pBdr>
          <w:top w:val="none" w:sz="0" w:space="0" w:color="auto"/>
          <w:bottom w:val="none" w:sz="0" w:space="0" w:color="auto"/>
        </w:pBdr>
        <w:rPr>
          <w:i/>
        </w:rPr>
      </w:pPr>
      <w:r w:rsidRPr="0062582F">
        <w:rPr>
          <w:i/>
        </w:rPr>
        <w:t>During the financial year the Department reassessed the estimated total useful lives of certain items of plant and equipment used in [specify where]. The net financial effect of this reassessment in the current financial year was an increase in depreciation expense of the Department of [$XX].</w:t>
      </w:r>
    </w:p>
    <w:p w:rsidR="004843DB" w:rsidRPr="0062582F" w:rsidRDefault="004843DB" w:rsidP="004843DB">
      <w:pPr>
        <w:pStyle w:val="CommentaryText"/>
        <w:pBdr>
          <w:top w:val="none" w:sz="0" w:space="0" w:color="auto"/>
          <w:bottom w:val="none" w:sz="0" w:space="0" w:color="auto"/>
        </w:pBdr>
        <w:rPr>
          <w:i/>
        </w:rPr>
      </w:pPr>
      <w:r w:rsidRPr="0062582F">
        <w:rPr>
          <w:i/>
        </w:rPr>
        <w:t>Assuming the assets are held until the end of their estimated useful lives, depreciation of the Departmental assets for the next four years in relation to these assets will be increased by the following amounts:</w:t>
      </w:r>
    </w:p>
    <w:p w:rsidR="004843DB" w:rsidRPr="0062582F" w:rsidRDefault="004843DB" w:rsidP="004843DB">
      <w:pPr>
        <w:pStyle w:val="million"/>
        <w:pBdr>
          <w:left w:val="single" w:sz="4" w:space="4" w:color="0000FF"/>
          <w:right w:val="single" w:sz="4" w:space="4" w:color="0000FF"/>
        </w:pBdr>
        <w:rPr>
          <w:color w:val="0000FF"/>
        </w:rPr>
      </w:pPr>
      <w:r w:rsidRPr="0062582F">
        <w:rPr>
          <w:color w:val="0000FF"/>
        </w:rPr>
        <w:t>($ thousand)</w:t>
      </w:r>
    </w:p>
    <w:p w:rsidR="004843DB" w:rsidRPr="0062582F" w:rsidRDefault="004843DB" w:rsidP="004843DB">
      <w:pPr>
        <w:pStyle w:val="Tabletextblue"/>
        <w:pBdr>
          <w:top w:val="single" w:sz="4" w:space="1" w:color="0000FF"/>
          <w:left w:val="single" w:sz="4" w:space="4" w:color="0000FF"/>
          <w:bottom w:val="single" w:sz="4" w:space="1" w:color="0000FF"/>
          <w:right w:val="single" w:sz="4" w:space="4" w:color="0000FF"/>
        </w:pBdr>
        <w:spacing w:before="0" w:after="0"/>
      </w:pPr>
      <w:r w:rsidRPr="0062582F">
        <w:t>Year ending 30 June</w:t>
      </w:r>
    </w:p>
    <w:p w:rsidR="004843DB" w:rsidRPr="0062582F" w:rsidRDefault="004843DB" w:rsidP="004843DB">
      <w:pPr>
        <w:pStyle w:val="Tabletextblue"/>
        <w:pBdr>
          <w:left w:val="single" w:sz="4" w:space="4" w:color="0000FF"/>
          <w:bottom w:val="single" w:sz="4" w:space="1" w:color="0000FF"/>
          <w:right w:val="single" w:sz="4" w:space="4" w:color="0000FF"/>
        </w:pBdr>
      </w:pPr>
      <w:r w:rsidRPr="0062582F">
        <w:t>2016</w:t>
      </w:r>
    </w:p>
    <w:p w:rsidR="004843DB" w:rsidRPr="0062582F" w:rsidRDefault="004843DB" w:rsidP="004843DB">
      <w:pPr>
        <w:pStyle w:val="Tabletextblue"/>
        <w:pBdr>
          <w:left w:val="single" w:sz="4" w:space="4" w:color="0000FF"/>
          <w:bottom w:val="single" w:sz="4" w:space="1" w:color="0000FF"/>
          <w:right w:val="single" w:sz="4" w:space="4" w:color="0000FF"/>
        </w:pBdr>
      </w:pPr>
      <w:r w:rsidRPr="0062582F">
        <w:t>2017</w:t>
      </w:r>
    </w:p>
    <w:p w:rsidR="004843DB" w:rsidRPr="0062582F" w:rsidRDefault="004843DB" w:rsidP="004843DB">
      <w:pPr>
        <w:pStyle w:val="Tabletextblue"/>
        <w:pBdr>
          <w:left w:val="single" w:sz="4" w:space="4" w:color="0000FF"/>
          <w:bottom w:val="single" w:sz="4" w:space="1" w:color="0000FF"/>
          <w:right w:val="single" w:sz="4" w:space="4" w:color="0000FF"/>
        </w:pBdr>
      </w:pPr>
      <w:r w:rsidRPr="0062582F">
        <w:t>2018</w:t>
      </w:r>
    </w:p>
    <w:p w:rsidR="004843DB" w:rsidRPr="0062582F" w:rsidRDefault="004843DB" w:rsidP="004843DB">
      <w:pPr>
        <w:pStyle w:val="Tabletextblue"/>
        <w:pBdr>
          <w:left w:val="single" w:sz="4" w:space="4" w:color="0000FF"/>
          <w:bottom w:val="single" w:sz="4" w:space="1" w:color="0000FF"/>
          <w:right w:val="single" w:sz="4" w:space="4" w:color="0000FF"/>
        </w:pBdr>
      </w:pPr>
      <w:r w:rsidRPr="0062582F">
        <w:t>2019</w:t>
      </w:r>
    </w:p>
    <w:p w:rsidR="004843DB" w:rsidRPr="0062582F" w:rsidRDefault="004843DB" w:rsidP="004843DB">
      <w:bookmarkStart w:id="375" w:name="_Toc192562734"/>
    </w:p>
    <w:p w:rsidR="004843DB" w:rsidRPr="0062582F" w:rsidRDefault="004843DB" w:rsidP="004843DB">
      <w:pPr>
        <w:pStyle w:val="ReferenceRed"/>
      </w:pPr>
      <w:bookmarkStart w:id="376" w:name="_Toc332019466"/>
      <w:bookmarkStart w:id="377" w:name="_Toc366843354"/>
    </w:p>
    <w:p w:rsidR="004843DB" w:rsidRPr="0062582F" w:rsidRDefault="004843DB" w:rsidP="004843DB">
      <w:pPr>
        <w:pStyle w:val="NoteHeading"/>
      </w:pPr>
      <w:r w:rsidRPr="0062582F">
        <w:br w:type="column"/>
      </w:r>
      <w:bookmarkStart w:id="378" w:name="_Toc448157187"/>
      <w:r w:rsidRPr="0062582F">
        <w:t>Note 8.</w:t>
      </w:r>
      <w:r w:rsidRPr="0062582F">
        <w:tab/>
        <w:t>Correction of a prior period error</w:t>
      </w:r>
      <w:bookmarkEnd w:id="375"/>
      <w:bookmarkEnd w:id="376"/>
      <w:bookmarkEnd w:id="377"/>
      <w:bookmarkEnd w:id="378"/>
    </w:p>
    <w:p w:rsidR="004843DB" w:rsidRPr="0062582F" w:rsidRDefault="004843DB" w:rsidP="004843DB">
      <w:pPr>
        <w:pStyle w:val="Heading4"/>
      </w:pPr>
      <w:r w:rsidRPr="0062582F">
        <w:t>Prior period errors correction</w:t>
      </w:r>
    </w:p>
    <w:p w:rsidR="004843DB" w:rsidRPr="0062582F" w:rsidRDefault="004843DB" w:rsidP="004843DB">
      <w:pPr>
        <w:pStyle w:val="NormalBlue"/>
        <w:rPr>
          <w:i/>
        </w:rPr>
      </w:pPr>
      <w:r w:rsidRPr="0062582F">
        <w:rPr>
          <w:i/>
        </w:rPr>
        <w:t xml:space="preserve">[Entities should include this note only if there is a </w:t>
      </w:r>
      <w:r w:rsidRPr="0062582F">
        <w:rPr>
          <w:b/>
          <w:i/>
        </w:rPr>
        <w:t>material</w:t>
      </w:r>
      <w:r w:rsidRPr="0062582F">
        <w:rPr>
          <w:i/>
        </w:rPr>
        <w:t xml:space="preserve"> error. Refer to the commentary below for an illustrative example, including a third balance sheet and the flow through impact on Note 19.] </w:t>
      </w:r>
    </w:p>
    <w:p w:rsidR="004843DB" w:rsidRPr="0062582F" w:rsidRDefault="004843DB" w:rsidP="004843DB">
      <w:pPr>
        <w:pStyle w:val="Notes"/>
      </w:pPr>
    </w:p>
    <w:p w:rsidR="004843DB" w:rsidRPr="0062582F" w:rsidRDefault="004843DB" w:rsidP="004843DB">
      <w:pPr>
        <w:pStyle w:val="SmallLine"/>
      </w:pPr>
    </w:p>
    <w:p w:rsidR="004843DB" w:rsidRPr="0062582F" w:rsidRDefault="004843DB" w:rsidP="004843DB">
      <w:pPr>
        <w:pStyle w:val="CommentaryHeading"/>
      </w:pPr>
      <w:bookmarkStart w:id="379" w:name="_Toc163448749"/>
      <w:bookmarkStart w:id="380" w:name="OLE_LINK4"/>
      <w:bookmarkStart w:id="381" w:name="OLE_LINK5"/>
      <w:r w:rsidRPr="0062582F">
        <w:t>Commentary – Correction of a prior period error</w:t>
      </w:r>
      <w:bookmarkEnd w:id="379"/>
    </w:p>
    <w:p w:rsidR="004843DB" w:rsidRPr="0062582F" w:rsidRDefault="004843DB" w:rsidP="004843DB">
      <w:pPr>
        <w:pStyle w:val="SmallLineBlue"/>
        <w:pBdr>
          <w:bottom w:val="none" w:sz="0" w:space="0" w:color="auto"/>
        </w:pBdr>
      </w:pPr>
    </w:p>
    <w:p w:rsidR="004843DB" w:rsidRPr="0062582F" w:rsidRDefault="004843DB" w:rsidP="004843DB">
      <w:pPr>
        <w:pStyle w:val="CommentaryHeading1"/>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bookmarkStart w:id="382" w:name="_Toc163448750"/>
      <w:bookmarkEnd w:id="380"/>
      <w:bookmarkEnd w:id="381"/>
    </w:p>
    <w:p w:rsidR="004843DB" w:rsidRPr="0062582F" w:rsidRDefault="004843DB" w:rsidP="004843DB">
      <w:pPr>
        <w:pStyle w:val="CommentaryHeading1"/>
        <w:pBdr>
          <w:top w:val="none" w:sz="0" w:space="0" w:color="auto"/>
          <w:bottom w:val="none" w:sz="0" w:space="0" w:color="auto"/>
        </w:pBdr>
      </w:pPr>
      <w:r w:rsidRPr="0062582F">
        <w:rPr>
          <w:b w:val="0"/>
          <w:bCs w:val="0"/>
        </w:rPr>
        <w:br w:type="column"/>
      </w:r>
      <w:bookmarkEnd w:id="382"/>
      <w:r w:rsidRPr="0062582F">
        <w:t>Recognition</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rPr>
          <w:lang w:val="en-AU"/>
        </w:rPr>
        <w:t>AASB 108.42, 43</w:t>
      </w:r>
    </w:p>
    <w:p w:rsidR="004843DB" w:rsidRPr="0062582F" w:rsidRDefault="004843DB" w:rsidP="004843DB">
      <w:pPr>
        <w:pStyle w:val="CommentaryText"/>
        <w:pBdr>
          <w:top w:val="none" w:sz="0" w:space="0" w:color="auto"/>
          <w:bottom w:val="none" w:sz="0" w:space="0" w:color="auto"/>
        </w:pBdr>
      </w:pPr>
      <w:r w:rsidRPr="0062582F">
        <w:br w:type="column"/>
        <w:t xml:space="preserve">An entity shall correct </w:t>
      </w:r>
      <w:r w:rsidRPr="0062582F">
        <w:rPr>
          <w:b/>
        </w:rPr>
        <w:t>material</w:t>
      </w:r>
      <w:r w:rsidRPr="0062582F">
        <w:t xml:space="preserve"> prior period errors retrospectively in the first financial statements authorised for issue after their discovery by:</w:t>
      </w:r>
    </w:p>
    <w:p w:rsidR="004843DB" w:rsidRPr="0062582F" w:rsidRDefault="004843DB" w:rsidP="004843DB">
      <w:pPr>
        <w:pStyle w:val="CommentaryTextIndent"/>
        <w:pBdr>
          <w:top w:val="none" w:sz="0" w:space="0" w:color="auto"/>
          <w:bottom w:val="none" w:sz="0" w:space="0" w:color="auto"/>
        </w:pBdr>
      </w:pPr>
      <w:r w:rsidRPr="0062582F">
        <w:t>(a)</w:t>
      </w:r>
      <w:r w:rsidRPr="0062582F">
        <w:tab/>
        <w:t>restating the comparative amounts for the prior period(s) presented in which the error occurred; or</w:t>
      </w:r>
    </w:p>
    <w:p w:rsidR="004843DB" w:rsidRPr="0062582F" w:rsidRDefault="004843DB" w:rsidP="004843DB">
      <w:pPr>
        <w:pStyle w:val="CommentaryTextIndent"/>
        <w:pBdr>
          <w:top w:val="none" w:sz="0" w:space="0" w:color="auto"/>
          <w:bottom w:val="none" w:sz="0" w:space="0" w:color="auto"/>
        </w:pBdr>
      </w:pPr>
      <w:r w:rsidRPr="0062582F">
        <w:t>(b)</w:t>
      </w:r>
      <w:r w:rsidRPr="0062582F">
        <w:tab/>
        <w:t>if the error occurred before the earliest prior period presented, restating the opening balances of assets, liabilities and equity for the earliest prior period presented.</w:t>
      </w:r>
    </w:p>
    <w:p w:rsidR="004843DB" w:rsidRPr="0062582F" w:rsidRDefault="004843DB" w:rsidP="004843DB">
      <w:pPr>
        <w:pStyle w:val="CommentaryText"/>
        <w:pBdr>
          <w:top w:val="none" w:sz="0" w:space="0" w:color="auto"/>
          <w:bottom w:val="none" w:sz="0" w:space="0" w:color="auto"/>
        </w:pBdr>
      </w:pPr>
      <w:r w:rsidRPr="0062582F">
        <w:t>Except to the extent that it is impracticable to determine either the period specific effects or the cumulative effect of the error.</w:t>
      </w:r>
    </w:p>
    <w:p w:rsidR="004843DB" w:rsidRPr="0062582F" w:rsidRDefault="004843DB" w:rsidP="004843DB">
      <w:pPr>
        <w:pStyle w:val="CommentaryText"/>
        <w:pBdr>
          <w:top w:val="none" w:sz="0" w:space="0" w:color="auto"/>
          <w:bottom w:val="none" w:sz="0" w:space="0" w:color="auto"/>
        </w:pBdr>
      </w:pPr>
      <w:r w:rsidRPr="0062582F">
        <w:t>Retrospective restatement is correcting the recognition, measurement and disclosure of amounts of elements of financial statements as if a prior period error had never occurred.</w:t>
      </w:r>
    </w:p>
    <w:p w:rsidR="004843DB" w:rsidRPr="0062582F" w:rsidRDefault="004843DB" w:rsidP="004843DB">
      <w:pPr>
        <w:pStyle w:val="CommentaryText"/>
        <w:pBdr>
          <w:top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108.44</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t>When it is impracticable to determine the period specific effects of an error on comparative information for one or more prior periods presented, the entity shall restate the opening balances of assets, liabilities and equity for the earliest period for which retrospective restatement is practicable (which may be the current period).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108.45</w:t>
      </w:r>
    </w:p>
    <w:p w:rsidR="004843DB" w:rsidRPr="0062582F" w:rsidRDefault="004843DB" w:rsidP="004843DB">
      <w:pPr>
        <w:pStyle w:val="CommentaryText"/>
        <w:pBdr>
          <w:top w:val="none" w:sz="0" w:space="0" w:color="auto"/>
          <w:bottom w:val="none" w:sz="0" w:space="0" w:color="auto"/>
        </w:pBdr>
      </w:pPr>
      <w:r w:rsidRPr="0062582F">
        <w:br w:type="column"/>
        <w:t>When it is impracticable to determine the cumulative effect, at the beginning of the current period, of an error on all prior periods, the entity shall restate the comparative information to correct the error prospectively from the earliest date practicable.</w:t>
      </w:r>
    </w:p>
    <w:p w:rsidR="004843DB" w:rsidRPr="0062582F" w:rsidRDefault="004843DB" w:rsidP="004843DB">
      <w:pPr>
        <w:pStyle w:val="CommentaryHeading2"/>
      </w:pPr>
      <w:r w:rsidRPr="0062582F">
        <w:t>Disclosure requirements</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108.49</w:t>
      </w:r>
    </w:p>
    <w:p w:rsidR="004843DB" w:rsidRPr="0062582F" w:rsidRDefault="004843DB" w:rsidP="004843DB">
      <w:pPr>
        <w:pStyle w:val="CommentaryText"/>
        <w:pBdr>
          <w:top w:val="none" w:sz="0" w:space="0" w:color="auto"/>
          <w:bottom w:val="none" w:sz="0" w:space="0" w:color="auto"/>
        </w:pBdr>
      </w:pPr>
      <w:r w:rsidRPr="0062582F">
        <w:br w:type="column"/>
        <w:t>In applying the paragraph above, an entity shall disclose the following:</w:t>
      </w:r>
    </w:p>
    <w:p w:rsidR="004843DB" w:rsidRPr="0062582F" w:rsidRDefault="004843DB" w:rsidP="004843DB">
      <w:pPr>
        <w:pStyle w:val="CommentaryTextIndent"/>
        <w:pBdr>
          <w:top w:val="none" w:sz="0" w:space="0" w:color="auto"/>
          <w:bottom w:val="none" w:sz="0" w:space="0" w:color="auto"/>
        </w:pBdr>
      </w:pPr>
      <w:r w:rsidRPr="0062582F">
        <w:t>(a)</w:t>
      </w:r>
      <w:r w:rsidRPr="0062582F">
        <w:tab/>
        <w:t>the nature of the prior period error;</w:t>
      </w:r>
    </w:p>
    <w:p w:rsidR="004843DB" w:rsidRPr="0062582F" w:rsidRDefault="004843DB" w:rsidP="004843DB">
      <w:pPr>
        <w:pStyle w:val="CommentaryTextIndent"/>
        <w:pBdr>
          <w:top w:val="none" w:sz="0" w:space="0" w:color="auto"/>
          <w:bottom w:val="none" w:sz="0" w:space="0" w:color="auto"/>
        </w:pBdr>
      </w:pPr>
      <w:r w:rsidRPr="0062582F">
        <w:t>(b)</w:t>
      </w:r>
      <w:r w:rsidRPr="0062582F">
        <w:tab/>
        <w:t>for each prior period presented, to the extent practicable, the amount of the correction:</w:t>
      </w:r>
    </w:p>
    <w:p w:rsidR="004843DB" w:rsidRPr="0062582F" w:rsidRDefault="004843DB" w:rsidP="004843DB">
      <w:pPr>
        <w:pStyle w:val="CommentaryTextIndent2"/>
        <w:pBdr>
          <w:top w:val="none" w:sz="0" w:space="0" w:color="auto"/>
          <w:bottom w:val="none" w:sz="0" w:space="0" w:color="auto"/>
        </w:pBdr>
      </w:pPr>
      <w:r w:rsidRPr="0062582F">
        <w:tab/>
        <w:t>(i)</w:t>
      </w:r>
      <w:r w:rsidRPr="0062582F">
        <w:tab/>
        <w:t>for each financial statement line item affected; and</w:t>
      </w:r>
    </w:p>
    <w:p w:rsidR="004843DB" w:rsidRPr="0062582F" w:rsidRDefault="004843DB" w:rsidP="004843DB">
      <w:pPr>
        <w:pStyle w:val="CommentaryTextIndent2"/>
        <w:pBdr>
          <w:top w:val="none" w:sz="0" w:space="0" w:color="auto"/>
          <w:bottom w:val="none" w:sz="0" w:space="0" w:color="auto"/>
        </w:pBdr>
      </w:pPr>
      <w:r w:rsidRPr="0062582F">
        <w:tab/>
        <w:t>(ii)</w:t>
      </w:r>
      <w:r w:rsidRPr="0062582F">
        <w:tab/>
        <w:t xml:space="preserve">if AASB 133 </w:t>
      </w:r>
      <w:r w:rsidRPr="0062582F">
        <w:rPr>
          <w:i/>
        </w:rPr>
        <w:t>Earnings per Share</w:t>
      </w:r>
      <w:r w:rsidRPr="0062582F">
        <w:t xml:space="preserve"> applies to the entity, for basic and diluted earnings per share;</w:t>
      </w:r>
    </w:p>
    <w:p w:rsidR="004843DB" w:rsidRPr="0062582F" w:rsidRDefault="004843DB" w:rsidP="004843DB">
      <w:pPr>
        <w:pStyle w:val="CommentaryTextIndent2"/>
        <w:pBdr>
          <w:top w:val="none" w:sz="0" w:space="0" w:color="auto"/>
          <w:bottom w:val="none" w:sz="0" w:space="0" w:color="auto"/>
        </w:pBdr>
        <w:ind w:firstLine="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101.39</w:t>
      </w:r>
    </w:p>
    <w:p w:rsidR="004843DB" w:rsidRPr="0062582F" w:rsidRDefault="004843DB" w:rsidP="004843DB">
      <w:pPr>
        <w:pStyle w:val="CommentaryTextIndent"/>
        <w:pBdr>
          <w:top w:val="none" w:sz="0" w:space="0" w:color="auto"/>
          <w:bottom w:val="none" w:sz="0" w:space="0" w:color="auto"/>
        </w:pBdr>
      </w:pPr>
      <w:r w:rsidRPr="0062582F">
        <w:br w:type="column"/>
        <w:t>(c)</w:t>
      </w:r>
      <w:r w:rsidRPr="0062582F">
        <w:tab/>
        <w:t>the amount of the correction at the beginning of the earliest prior period presented (an additional balance sheet is required to be disclosed). This requirement is consistent with the requirement of AASB 101 paragraph 39, which states that where an error has occurred during the period and has a material effect on the opening comparative balance sheet, a third balance sheet as at the beginning of the comparative period shall be disclosed; and</w:t>
      </w:r>
    </w:p>
    <w:p w:rsidR="004843DB" w:rsidRPr="0062582F" w:rsidRDefault="004843DB" w:rsidP="004843DB">
      <w:pPr>
        <w:pStyle w:val="CommentaryTextIndent"/>
        <w:pBdr>
          <w:top w:val="none" w:sz="0" w:space="0" w:color="auto"/>
          <w:bottom w:val="none" w:sz="0" w:space="0" w:color="auto"/>
        </w:pBdr>
      </w:pPr>
      <w:r w:rsidRPr="0062582F">
        <w:t>(d)</w:t>
      </w:r>
      <w:r w:rsidRPr="0062582F">
        <w:tab/>
        <w:t>if retrospective restatement is impracticable for a particular prior period, the circumstances that led to the existence of that condition and a description of how and from when the error has been corrected.</w:t>
      </w:r>
    </w:p>
    <w:p w:rsidR="004843DB" w:rsidRPr="0062582F" w:rsidRDefault="004843DB" w:rsidP="004843DB">
      <w:pPr>
        <w:pStyle w:val="CommentaryText"/>
        <w:pBdr>
          <w:top w:val="none" w:sz="0" w:space="0" w:color="auto"/>
        </w:pBdr>
      </w:pPr>
      <w:r w:rsidRPr="0062582F">
        <w:t xml:space="preserve">Financial statements of subsequent periods need not repeat these disclosures. </w:t>
      </w: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r w:rsidRPr="0062582F">
        <w:br w:type="column"/>
      </w:r>
    </w:p>
    <w:p w:rsidR="004843DB" w:rsidRPr="0062582F" w:rsidRDefault="004843DB" w:rsidP="004843DB">
      <w:pPr>
        <w:spacing w:before="0" w:line="240" w:lineRule="atLeast"/>
        <w:rPr>
          <w:sz w:val="4"/>
          <w:szCs w:val="4"/>
        </w:rPr>
      </w:pPr>
      <w:r w:rsidRPr="0062582F">
        <w:br w:type="page"/>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NoteHeadingcontinued"/>
      </w:pPr>
      <w:r w:rsidRPr="0062582F">
        <w:br w:type="column"/>
        <w:t>Note 8.</w:t>
      </w:r>
      <w:r w:rsidRPr="0062582F">
        <w:tab/>
        <w:t xml:space="preserve">Correction of error </w:t>
      </w:r>
      <w:r w:rsidRPr="0062582F">
        <w:rPr>
          <w:i/>
        </w:rPr>
        <w:t>(continued)</w:t>
      </w:r>
    </w:p>
    <w:p w:rsidR="004843DB" w:rsidRPr="0062582F" w:rsidRDefault="004843DB" w:rsidP="004843DB">
      <w:pPr>
        <w:pStyle w:val="SmallLine"/>
      </w:pPr>
    </w:p>
    <w:p w:rsidR="004843DB" w:rsidRPr="0062582F" w:rsidRDefault="004843DB" w:rsidP="004843DB">
      <w:pPr>
        <w:pStyle w:val="CommentaryHeading"/>
      </w:pPr>
      <w:r w:rsidRPr="0062582F">
        <w:t xml:space="preserve">Commentary – Correction of prior period error </w:t>
      </w:r>
      <w:r w:rsidRPr="0062582F">
        <w:rPr>
          <w:i/>
          <w:iCs/>
        </w:rPr>
        <w:t>(continued)</w:t>
      </w:r>
    </w:p>
    <w:p w:rsidR="004843DB" w:rsidRPr="0062582F" w:rsidRDefault="004843DB" w:rsidP="004843DB">
      <w:pPr>
        <w:pStyle w:val="SmallLineBlue"/>
        <w:pBdr>
          <w:bottom w:val="none" w:sz="0" w:space="0" w:color="auto"/>
        </w:pBdr>
      </w:pPr>
    </w:p>
    <w:p w:rsidR="004843DB" w:rsidRPr="0062582F" w:rsidRDefault="004843DB" w:rsidP="004843DB">
      <w:pPr>
        <w:pStyle w:val="CommentaryText"/>
        <w:sectPr w:rsidR="004843DB" w:rsidRPr="0062582F" w:rsidSect="004843DB">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0"/>
        <w:rPr>
          <w:color w:val="FF0000"/>
        </w:rPr>
      </w:pPr>
      <w:r w:rsidRPr="0062582F">
        <w:rPr>
          <w:color w:val="FF0000"/>
        </w:rPr>
        <w:t>Revised</w:t>
      </w:r>
    </w:p>
    <w:p w:rsidR="004843DB" w:rsidRPr="0062582F" w:rsidRDefault="004843DB" w:rsidP="004843DB">
      <w:pPr>
        <w:pStyle w:val="Reference"/>
      </w:pPr>
      <w:r w:rsidRPr="0062582F">
        <w:t>AASB 108.49(a)</w:t>
      </w:r>
      <w:r w:rsidR="005A4BB0">
        <w:noBreakHyphen/>
      </w:r>
      <w:r w:rsidRPr="0062582F">
        <w:t>(c)</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140"/>
      </w:pPr>
      <w:r w:rsidRPr="0062582F">
        <w:t>AASB 108.49(a)</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120"/>
      </w:pPr>
      <w:r w:rsidRPr="0062582F">
        <w:t>AASB 108.49(b)(i)</w:t>
      </w:r>
    </w:p>
    <w:p w:rsidR="004843DB" w:rsidRPr="0062582F" w:rsidRDefault="004843DB" w:rsidP="004843DB">
      <w:pPr>
        <w:pStyle w:val="CommentaryHeading2"/>
        <w:pBdr>
          <w:bottom w:val="single" w:sz="4" w:space="1" w:color="0000FF"/>
        </w:pBdr>
      </w:pPr>
      <w:r w:rsidRPr="0062582F">
        <w:br w:type="column"/>
        <w:t>Sample disclosure</w:t>
      </w:r>
    </w:p>
    <w:p w:rsidR="004843DB" w:rsidRPr="0062582F" w:rsidRDefault="004843DB" w:rsidP="004843DB">
      <w:pPr>
        <w:pStyle w:val="CommentaryText"/>
        <w:pBdr>
          <w:top w:val="none" w:sz="0" w:space="0" w:color="auto"/>
        </w:pBdr>
      </w:pPr>
      <w:r w:rsidRPr="0062582F">
        <w:t xml:space="preserve">This note has been included as an example only to illustrate the disclosure of a restatement of prior period figures due to a </w:t>
      </w:r>
      <w:r w:rsidRPr="0062582F">
        <w:rPr>
          <w:b/>
        </w:rPr>
        <w:t xml:space="preserve">material </w:t>
      </w:r>
      <w:r w:rsidRPr="0062582F">
        <w:t xml:space="preserve">error correction. This note may be omitted if not relevant. </w:t>
      </w:r>
    </w:p>
    <w:p w:rsidR="004843DB" w:rsidRPr="0062582F" w:rsidRDefault="004843DB" w:rsidP="004843DB">
      <w:pPr>
        <w:pStyle w:val="CommentaryText"/>
        <w:pBdr>
          <w:top w:val="none" w:sz="0" w:space="0" w:color="auto"/>
        </w:pBdr>
      </w:pPr>
      <w:r w:rsidRPr="0062582F">
        <w:t xml:space="preserve">Please note that if a </w:t>
      </w:r>
      <w:r w:rsidRPr="0062582F">
        <w:rPr>
          <w:b/>
        </w:rPr>
        <w:t>material</w:t>
      </w:r>
      <w:r w:rsidRPr="0062582F">
        <w:t xml:space="preserve"> error occurred before the beginning of the previous financial reporting period, it will impact the opening balances of the comparative balance sheet. If the error has a material impact on the opening comparative balance sheet, an entity is required to restate the opening balances of assets, liabilities and equity for the earliest comparative period by disclosing a third balance sheet and related balance sheet notes.</w:t>
      </w:r>
    </w:p>
    <w:p w:rsidR="004843DB" w:rsidRPr="0062582F" w:rsidRDefault="004843DB" w:rsidP="004843DB">
      <w:pPr>
        <w:pStyle w:val="CommentaryText"/>
        <w:pBdr>
          <w:top w:val="none" w:sz="0" w:space="0" w:color="auto"/>
        </w:pBdr>
      </w:pPr>
      <w:r w:rsidRPr="0062582F">
        <w:t>Below is an example of a correction of error disclosure:</w:t>
      </w:r>
    </w:p>
    <w:p w:rsidR="004843DB" w:rsidRPr="0062582F" w:rsidRDefault="004843DB" w:rsidP="004843DB">
      <w:pPr>
        <w:pStyle w:val="CommentaryText"/>
        <w:pBdr>
          <w:top w:val="none" w:sz="0" w:space="0" w:color="auto"/>
        </w:pBdr>
      </w:pPr>
      <w:r w:rsidRPr="0062582F">
        <w:t>During the 2014</w:t>
      </w:r>
      <w:r w:rsidR="005A4BB0">
        <w:noBreakHyphen/>
      </w:r>
      <w:r w:rsidRPr="0062582F">
        <w:t>15 financial year, the Department did not recognise an investment property which was contributed to it for nil consideration. This error had the effect of understating investment properties and income for the year ended 30 June 20154 by $2 500 000. The error also had the effect of understating investment properties and accumulated surplus as at 30 June 2016 by $2 500 000.</w:t>
      </w:r>
    </w:p>
    <w:p w:rsidR="004843DB" w:rsidRPr="0062582F" w:rsidRDefault="004843DB" w:rsidP="004843DB">
      <w:pPr>
        <w:pStyle w:val="CommentaryText"/>
        <w:pBdr>
          <w:top w:val="none" w:sz="0" w:space="0" w:color="auto"/>
        </w:pBdr>
      </w:pPr>
      <w:r w:rsidRPr="0062582F">
        <w:t>The error has been corrected by restating each of the affected financial statement line items for the year in which the error occurred, as described above.</w:t>
      </w:r>
    </w:p>
    <w:p w:rsidR="004843DB" w:rsidRPr="0062582F" w:rsidRDefault="004843DB" w:rsidP="004843DB">
      <w:pPr>
        <w:pStyle w:val="NormalBlue"/>
        <w:rPr>
          <w:b/>
          <w:i/>
        </w:rPr>
        <w:sectPr w:rsidR="004843DB" w:rsidRPr="0062582F" w:rsidSect="004843DB">
          <w:type w:val="continuous"/>
          <w:pgSz w:w="11906" w:h="16838" w:code="9"/>
          <w:pgMar w:top="1152" w:right="1151" w:bottom="1152" w:left="864" w:header="432" w:footer="432" w:gutter="0"/>
          <w:cols w:num="2" w:space="360" w:equalWidth="0">
            <w:col w:w="1440" w:space="360"/>
            <w:col w:w="8091"/>
          </w:cols>
        </w:sectPr>
      </w:pPr>
    </w:p>
    <w:p w:rsidR="004843DB" w:rsidRPr="0062582F" w:rsidRDefault="004843DB" w:rsidP="004843DB">
      <w:pPr>
        <w:pStyle w:val="SmallLine"/>
        <w:rPr>
          <w:b/>
          <w:i/>
        </w:rPr>
      </w:pPr>
    </w:p>
    <w:p w:rsidR="004843DB" w:rsidRPr="0062582F" w:rsidRDefault="004843DB" w:rsidP="004843DB">
      <w:pPr>
        <w:pStyle w:val="SmallLine"/>
        <w:rPr>
          <w:b/>
          <w:i/>
        </w:rPr>
      </w:pPr>
    </w:p>
    <w:p w:rsidR="004843DB" w:rsidRPr="0062582F" w:rsidRDefault="004843DB" w:rsidP="004843DB">
      <w:pPr>
        <w:pStyle w:val="Notes"/>
        <w:spacing w:before="120"/>
      </w:pPr>
      <w:r w:rsidRPr="0062582F">
        <w:br w:type="column"/>
      </w:r>
    </w:p>
    <w:p w:rsidR="004843DB" w:rsidRPr="0062582F" w:rsidRDefault="004843DB" w:rsidP="004843DB">
      <w:pPr>
        <w:pStyle w:val="NoteHeadingcontinued"/>
      </w:pPr>
      <w:r w:rsidRPr="0062582F">
        <w:t>Note 19.</w:t>
      </w:r>
      <w:r w:rsidRPr="0062582F">
        <w:tab/>
        <w:t>Investment properties</w:t>
      </w:r>
    </w:p>
    <w:p w:rsidR="004843DB" w:rsidRPr="0062582F" w:rsidRDefault="004843DB" w:rsidP="004843DB">
      <w:pPr>
        <w:pStyle w:val="million"/>
        <w:rPr>
          <w:rFonts w:ascii="Tahoma" w:hAnsi="Tahoma" w:cs="Tahoma"/>
          <w:color w:val="0000FF"/>
          <w:sz w:val="20"/>
          <w:szCs w:val="20"/>
        </w:rPr>
      </w:pPr>
      <w:r w:rsidRPr="0062582F">
        <w:rPr>
          <w:color w:val="0000FF"/>
        </w:rPr>
        <w:t>($ thousand)</w:t>
      </w:r>
    </w:p>
    <w:tbl>
      <w:tblPr>
        <w:tblW w:w="8137" w:type="dxa"/>
        <w:tblLayout w:type="fixed"/>
        <w:tblCellMar>
          <w:left w:w="43" w:type="dxa"/>
          <w:right w:w="43" w:type="dxa"/>
        </w:tblCellMar>
        <w:tblLook w:val="04A0" w:firstRow="1" w:lastRow="0" w:firstColumn="1" w:lastColumn="0" w:noHBand="0" w:noVBand="1"/>
      </w:tblPr>
      <w:tblGrid>
        <w:gridCol w:w="5894"/>
        <w:gridCol w:w="1140"/>
        <w:gridCol w:w="1103"/>
      </w:tblGrid>
      <w:tr w:rsidR="004843DB" w:rsidRPr="0062582F" w:rsidTr="004843DB">
        <w:trPr>
          <w:trHeight w:val="270"/>
        </w:trPr>
        <w:tc>
          <w:tcPr>
            <w:tcW w:w="5894"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color w:val="0000FF"/>
              </w:rPr>
            </w:pPr>
            <w:r w:rsidRPr="0062582F">
              <w:rPr>
                <w:color w:val="0000FF"/>
              </w:rPr>
              <w:t xml:space="preserve"> </w:t>
            </w:r>
          </w:p>
        </w:tc>
        <w:tc>
          <w:tcPr>
            <w:tcW w:w="11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rPr>
                <w:color w:val="0000FF"/>
              </w:rPr>
            </w:pPr>
            <w:r w:rsidRPr="0062582F">
              <w:rPr>
                <w:color w:val="0000FF"/>
              </w:rPr>
              <w:br/>
              <w:t>20156</w:t>
            </w:r>
          </w:p>
        </w:tc>
        <w:tc>
          <w:tcPr>
            <w:tcW w:w="1103"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rPr>
                <w:color w:val="0000FF"/>
              </w:rPr>
            </w:pPr>
            <w:r w:rsidRPr="0062582F">
              <w:rPr>
                <w:color w:val="0000FF"/>
              </w:rPr>
              <w:t xml:space="preserve">20154 Restated </w:t>
            </w:r>
            <w:r w:rsidRPr="0062582F">
              <w:rPr>
                <w:color w:val="0000FF"/>
                <w:vertAlign w:val="superscript"/>
              </w:rPr>
              <w:t>(i)</w:t>
            </w:r>
          </w:p>
        </w:tc>
      </w:tr>
      <w:tr w:rsidR="004843DB" w:rsidRPr="0062582F" w:rsidTr="004843DB">
        <w:trPr>
          <w:trHeight w:val="255"/>
        </w:trPr>
        <w:tc>
          <w:tcPr>
            <w:tcW w:w="5894" w:type="dxa"/>
            <w:tcBorders>
              <w:top w:val="nil"/>
              <w:left w:val="nil"/>
              <w:bottom w:val="nil"/>
              <w:right w:val="nil"/>
            </w:tcBorders>
            <w:shd w:val="clear" w:color="auto" w:fill="auto"/>
            <w:hideMark/>
          </w:tcPr>
          <w:p w:rsidR="004843DB" w:rsidRPr="0062582F" w:rsidRDefault="004843DB" w:rsidP="004843DB">
            <w:pPr>
              <w:pStyle w:val="Tabletext"/>
              <w:rPr>
                <w:color w:val="0000FF"/>
              </w:rPr>
            </w:pPr>
            <w:r w:rsidRPr="0062582F">
              <w:rPr>
                <w:color w:val="0000FF"/>
              </w:rPr>
              <w:t>Balance at beginning of financial year</w:t>
            </w:r>
          </w:p>
        </w:tc>
        <w:tc>
          <w:tcPr>
            <w:tcW w:w="1140" w:type="dxa"/>
            <w:tcBorders>
              <w:top w:val="nil"/>
              <w:left w:val="nil"/>
              <w:bottom w:val="nil"/>
              <w:right w:val="nil"/>
            </w:tcBorders>
            <w:shd w:val="clear" w:color="000000" w:fill="CCCCCC"/>
            <w:noWrap/>
            <w:hideMark/>
          </w:tcPr>
          <w:p w:rsidR="004843DB" w:rsidRPr="0062582F" w:rsidRDefault="004843DB" w:rsidP="004843DB">
            <w:pPr>
              <w:pStyle w:val="TableofFigures"/>
              <w:rPr>
                <w:color w:val="0000FF"/>
              </w:rPr>
            </w:pPr>
            <w:r w:rsidRPr="0062582F">
              <w:rPr>
                <w:color w:val="0000FF"/>
              </w:rPr>
              <w:t>5 029</w:t>
            </w:r>
          </w:p>
        </w:tc>
        <w:tc>
          <w:tcPr>
            <w:tcW w:w="1103" w:type="dxa"/>
            <w:tcBorders>
              <w:top w:val="nil"/>
              <w:left w:val="nil"/>
              <w:bottom w:val="nil"/>
              <w:right w:val="nil"/>
            </w:tcBorders>
            <w:shd w:val="clear" w:color="auto" w:fill="auto"/>
            <w:noWrap/>
            <w:hideMark/>
          </w:tcPr>
          <w:p w:rsidR="004843DB" w:rsidRPr="0062582F" w:rsidRDefault="004843DB" w:rsidP="004843DB">
            <w:pPr>
              <w:pStyle w:val="TableofFigures"/>
              <w:rPr>
                <w:color w:val="0000FF"/>
              </w:rPr>
            </w:pPr>
            <w:r w:rsidRPr="0062582F">
              <w:rPr>
                <w:color w:val="0000FF"/>
              </w:rPr>
              <w:t>5 233</w:t>
            </w:r>
          </w:p>
        </w:tc>
      </w:tr>
      <w:tr w:rsidR="004843DB" w:rsidRPr="0062582F" w:rsidTr="004843DB">
        <w:trPr>
          <w:trHeight w:val="255"/>
        </w:trPr>
        <w:tc>
          <w:tcPr>
            <w:tcW w:w="5894" w:type="dxa"/>
            <w:tcBorders>
              <w:top w:val="nil"/>
              <w:left w:val="nil"/>
              <w:bottom w:val="nil"/>
              <w:right w:val="nil"/>
            </w:tcBorders>
            <w:shd w:val="clear" w:color="auto" w:fill="auto"/>
            <w:hideMark/>
          </w:tcPr>
          <w:p w:rsidR="004843DB" w:rsidRPr="0062582F" w:rsidRDefault="004843DB" w:rsidP="004843DB">
            <w:pPr>
              <w:pStyle w:val="Tabletext"/>
              <w:rPr>
                <w:color w:val="0000FF"/>
              </w:rPr>
            </w:pPr>
            <w:r w:rsidRPr="0062582F">
              <w:rPr>
                <w:color w:val="0000FF"/>
              </w:rPr>
              <w:t>Additions from subsequent expenditure</w:t>
            </w:r>
          </w:p>
        </w:tc>
        <w:tc>
          <w:tcPr>
            <w:tcW w:w="1140" w:type="dxa"/>
            <w:tcBorders>
              <w:top w:val="nil"/>
              <w:left w:val="nil"/>
              <w:bottom w:val="nil"/>
              <w:right w:val="nil"/>
            </w:tcBorders>
            <w:shd w:val="clear" w:color="00FFFF" w:fill="CCCCCC"/>
            <w:noWrap/>
            <w:hideMark/>
          </w:tcPr>
          <w:p w:rsidR="004843DB" w:rsidRPr="0062582F" w:rsidRDefault="004843DB" w:rsidP="004843DB">
            <w:pPr>
              <w:pStyle w:val="TableofFigures"/>
              <w:rPr>
                <w:color w:val="0000FF"/>
              </w:rPr>
            </w:pPr>
            <w:r w:rsidRPr="0062582F">
              <w:rPr>
                <w:color w:val="0000FF"/>
              </w:rPr>
              <w:t xml:space="preserve"> 750</w:t>
            </w:r>
          </w:p>
        </w:tc>
        <w:tc>
          <w:tcPr>
            <w:tcW w:w="1103" w:type="dxa"/>
            <w:tcBorders>
              <w:top w:val="nil"/>
              <w:left w:val="nil"/>
              <w:bottom w:val="nil"/>
              <w:right w:val="nil"/>
            </w:tcBorders>
            <w:shd w:val="clear" w:color="auto" w:fill="auto"/>
            <w:noWrap/>
            <w:hideMark/>
          </w:tcPr>
          <w:p w:rsidR="004843DB" w:rsidRPr="0062582F" w:rsidRDefault="004843DB" w:rsidP="004843DB">
            <w:pPr>
              <w:pStyle w:val="TableofFigures"/>
              <w:rPr>
                <w:color w:val="0000FF"/>
              </w:rPr>
            </w:pPr>
            <w:r w:rsidRPr="0062582F">
              <w:rPr>
                <w:color w:val="0000FF"/>
              </w:rPr>
              <w:t>1 490</w:t>
            </w:r>
          </w:p>
        </w:tc>
      </w:tr>
      <w:tr w:rsidR="004843DB" w:rsidRPr="0062582F" w:rsidTr="004843DB">
        <w:trPr>
          <w:trHeight w:val="255"/>
        </w:trPr>
        <w:tc>
          <w:tcPr>
            <w:tcW w:w="5894" w:type="dxa"/>
            <w:tcBorders>
              <w:top w:val="nil"/>
              <w:left w:val="nil"/>
              <w:bottom w:val="nil"/>
              <w:right w:val="nil"/>
            </w:tcBorders>
            <w:shd w:val="clear" w:color="auto" w:fill="auto"/>
            <w:hideMark/>
          </w:tcPr>
          <w:p w:rsidR="004843DB" w:rsidRPr="0062582F" w:rsidRDefault="004843DB" w:rsidP="004843DB">
            <w:pPr>
              <w:pStyle w:val="Tabletext"/>
              <w:rPr>
                <w:color w:val="0000FF"/>
              </w:rPr>
            </w:pPr>
            <w:r w:rsidRPr="0062582F">
              <w:rPr>
                <w:color w:val="0000FF"/>
              </w:rPr>
              <w:t>Acquisitions/transfers in of businesses</w:t>
            </w:r>
          </w:p>
        </w:tc>
        <w:tc>
          <w:tcPr>
            <w:tcW w:w="1140" w:type="dxa"/>
            <w:tcBorders>
              <w:top w:val="nil"/>
              <w:left w:val="nil"/>
              <w:bottom w:val="nil"/>
              <w:right w:val="nil"/>
            </w:tcBorders>
            <w:shd w:val="clear" w:color="00FFFF" w:fill="CCCCCC"/>
            <w:noWrap/>
            <w:hideMark/>
          </w:tcPr>
          <w:p w:rsidR="004843DB" w:rsidRPr="0062582F" w:rsidRDefault="004843DB" w:rsidP="004843DB">
            <w:pPr>
              <w:pStyle w:val="TableofFigures"/>
              <w:rPr>
                <w:color w:val="0000FF"/>
              </w:rPr>
            </w:pPr>
            <w:r w:rsidRPr="0062582F">
              <w:rPr>
                <w:color w:val="0000FF"/>
              </w:rPr>
              <w:t>1 287</w:t>
            </w:r>
          </w:p>
        </w:tc>
        <w:tc>
          <w:tcPr>
            <w:tcW w:w="1103" w:type="dxa"/>
            <w:tcBorders>
              <w:top w:val="nil"/>
              <w:left w:val="nil"/>
              <w:bottom w:val="nil"/>
              <w:right w:val="nil"/>
            </w:tcBorders>
            <w:shd w:val="clear" w:color="auto" w:fill="auto"/>
            <w:noWrap/>
            <w:hideMark/>
          </w:tcPr>
          <w:p w:rsidR="004843DB" w:rsidRPr="0062582F" w:rsidRDefault="004843DB" w:rsidP="004843DB">
            <w:pPr>
              <w:pStyle w:val="TableofFigures"/>
              <w:rPr>
                <w:color w:val="0000FF"/>
              </w:rPr>
            </w:pPr>
            <w:r w:rsidRPr="0062582F">
              <w:rPr>
                <w:color w:val="0000FF"/>
              </w:rPr>
              <w:t>..</w:t>
            </w:r>
          </w:p>
        </w:tc>
      </w:tr>
      <w:tr w:rsidR="004843DB" w:rsidRPr="0062582F" w:rsidTr="004843DB">
        <w:trPr>
          <w:trHeight w:val="255"/>
        </w:trPr>
        <w:tc>
          <w:tcPr>
            <w:tcW w:w="5894" w:type="dxa"/>
            <w:tcBorders>
              <w:top w:val="nil"/>
              <w:left w:val="nil"/>
              <w:bottom w:val="nil"/>
              <w:right w:val="nil"/>
            </w:tcBorders>
            <w:shd w:val="clear" w:color="auto" w:fill="auto"/>
            <w:hideMark/>
          </w:tcPr>
          <w:p w:rsidR="004843DB" w:rsidRPr="0062582F" w:rsidRDefault="004843DB" w:rsidP="004843DB">
            <w:pPr>
              <w:pStyle w:val="Tabletext"/>
              <w:rPr>
                <w:color w:val="0000FF"/>
              </w:rPr>
            </w:pPr>
            <w:r w:rsidRPr="0062582F">
              <w:rPr>
                <w:color w:val="0000FF"/>
              </w:rPr>
              <w:t>Disposals and property held for sale</w:t>
            </w:r>
          </w:p>
        </w:tc>
        <w:tc>
          <w:tcPr>
            <w:tcW w:w="1140" w:type="dxa"/>
            <w:tcBorders>
              <w:top w:val="nil"/>
              <w:left w:val="nil"/>
              <w:bottom w:val="nil"/>
              <w:right w:val="nil"/>
            </w:tcBorders>
            <w:shd w:val="clear" w:color="00FFFF" w:fill="CCCCCC"/>
            <w:noWrap/>
            <w:hideMark/>
          </w:tcPr>
          <w:p w:rsidR="004843DB" w:rsidRPr="0062582F" w:rsidRDefault="004843DB" w:rsidP="004843DB">
            <w:pPr>
              <w:pStyle w:val="TableofFigures"/>
              <w:rPr>
                <w:color w:val="0000FF"/>
              </w:rPr>
            </w:pPr>
            <w:r w:rsidRPr="0062582F">
              <w:rPr>
                <w:color w:val="0000FF"/>
              </w:rPr>
              <w:t>(2 290)</w:t>
            </w:r>
          </w:p>
        </w:tc>
        <w:tc>
          <w:tcPr>
            <w:tcW w:w="1103" w:type="dxa"/>
            <w:tcBorders>
              <w:top w:val="nil"/>
              <w:left w:val="nil"/>
              <w:bottom w:val="nil"/>
              <w:right w:val="nil"/>
            </w:tcBorders>
            <w:shd w:val="clear" w:color="auto" w:fill="auto"/>
            <w:noWrap/>
            <w:hideMark/>
          </w:tcPr>
          <w:p w:rsidR="004843DB" w:rsidRPr="0062582F" w:rsidRDefault="004843DB" w:rsidP="004843DB">
            <w:pPr>
              <w:pStyle w:val="TableofFigures"/>
              <w:rPr>
                <w:color w:val="0000FF"/>
              </w:rPr>
            </w:pPr>
            <w:r w:rsidRPr="0062582F">
              <w:rPr>
                <w:color w:val="0000FF"/>
              </w:rPr>
              <w:t>(650)</w:t>
            </w:r>
          </w:p>
        </w:tc>
      </w:tr>
      <w:tr w:rsidR="004843DB" w:rsidRPr="0062582F" w:rsidTr="004843DB">
        <w:trPr>
          <w:trHeight w:val="255"/>
        </w:trPr>
        <w:tc>
          <w:tcPr>
            <w:tcW w:w="5894" w:type="dxa"/>
            <w:tcBorders>
              <w:top w:val="nil"/>
              <w:left w:val="nil"/>
              <w:bottom w:val="nil"/>
              <w:right w:val="nil"/>
            </w:tcBorders>
            <w:shd w:val="clear" w:color="auto" w:fill="auto"/>
            <w:hideMark/>
          </w:tcPr>
          <w:p w:rsidR="004843DB" w:rsidRPr="0062582F" w:rsidRDefault="004843DB" w:rsidP="004843DB">
            <w:pPr>
              <w:pStyle w:val="Tabletext"/>
              <w:rPr>
                <w:color w:val="0000FF"/>
              </w:rPr>
            </w:pPr>
            <w:r w:rsidRPr="0062582F">
              <w:rPr>
                <w:color w:val="0000FF"/>
              </w:rPr>
              <w:t>Net gain/(loss) from fair value adjustments</w:t>
            </w:r>
          </w:p>
        </w:tc>
        <w:tc>
          <w:tcPr>
            <w:tcW w:w="1140" w:type="dxa"/>
            <w:tcBorders>
              <w:top w:val="nil"/>
              <w:left w:val="nil"/>
              <w:bottom w:val="nil"/>
              <w:right w:val="nil"/>
            </w:tcBorders>
            <w:shd w:val="clear" w:color="00FFFF" w:fill="CCCCCC"/>
            <w:noWrap/>
            <w:hideMark/>
          </w:tcPr>
          <w:p w:rsidR="004843DB" w:rsidRPr="0062582F" w:rsidRDefault="004843DB" w:rsidP="004843DB">
            <w:pPr>
              <w:pStyle w:val="TableofFigures"/>
              <w:rPr>
                <w:color w:val="0000FF"/>
              </w:rPr>
            </w:pPr>
            <w:r w:rsidRPr="0062582F">
              <w:rPr>
                <w:color w:val="0000FF"/>
              </w:rPr>
              <w:t>(3 485)</w:t>
            </w:r>
          </w:p>
        </w:tc>
        <w:tc>
          <w:tcPr>
            <w:tcW w:w="1103" w:type="dxa"/>
            <w:tcBorders>
              <w:top w:val="nil"/>
              <w:left w:val="nil"/>
              <w:bottom w:val="nil"/>
              <w:right w:val="nil"/>
            </w:tcBorders>
            <w:shd w:val="clear" w:color="auto" w:fill="auto"/>
            <w:noWrap/>
            <w:hideMark/>
          </w:tcPr>
          <w:p w:rsidR="004843DB" w:rsidRPr="0062582F" w:rsidRDefault="004843DB" w:rsidP="004843DB">
            <w:pPr>
              <w:pStyle w:val="TableofFigures"/>
              <w:rPr>
                <w:color w:val="0000FF"/>
              </w:rPr>
            </w:pPr>
            <w:r w:rsidRPr="0062582F">
              <w:rPr>
                <w:color w:val="0000FF"/>
              </w:rPr>
              <w:t xml:space="preserve"> 450</w:t>
            </w:r>
          </w:p>
        </w:tc>
      </w:tr>
      <w:tr w:rsidR="004843DB" w:rsidRPr="0062582F" w:rsidTr="004843DB">
        <w:trPr>
          <w:trHeight w:val="255"/>
        </w:trPr>
        <w:tc>
          <w:tcPr>
            <w:tcW w:w="5894" w:type="dxa"/>
            <w:tcBorders>
              <w:top w:val="nil"/>
              <w:left w:val="nil"/>
              <w:bottom w:val="nil"/>
              <w:right w:val="nil"/>
            </w:tcBorders>
            <w:shd w:val="clear" w:color="auto" w:fill="auto"/>
            <w:hideMark/>
          </w:tcPr>
          <w:p w:rsidR="004843DB" w:rsidRPr="0062582F" w:rsidRDefault="004843DB" w:rsidP="004843DB">
            <w:pPr>
              <w:pStyle w:val="Tabletext"/>
              <w:rPr>
                <w:color w:val="0000FF"/>
              </w:rPr>
            </w:pPr>
            <w:r w:rsidRPr="0062582F">
              <w:rPr>
                <w:color w:val="0000FF"/>
              </w:rPr>
              <w:t>Transfers to owner occupied</w:t>
            </w:r>
          </w:p>
        </w:tc>
        <w:tc>
          <w:tcPr>
            <w:tcW w:w="1140" w:type="dxa"/>
            <w:tcBorders>
              <w:top w:val="nil"/>
              <w:left w:val="nil"/>
              <w:bottom w:val="nil"/>
              <w:right w:val="nil"/>
            </w:tcBorders>
            <w:shd w:val="clear" w:color="00FFFF" w:fill="CCCCCC"/>
            <w:noWrap/>
            <w:hideMark/>
          </w:tcPr>
          <w:p w:rsidR="004843DB" w:rsidRPr="0062582F" w:rsidRDefault="004843DB" w:rsidP="004843DB">
            <w:pPr>
              <w:pStyle w:val="TableofFigures"/>
              <w:rPr>
                <w:color w:val="0000FF"/>
              </w:rPr>
            </w:pPr>
            <w:r w:rsidRPr="0062582F">
              <w:rPr>
                <w:color w:val="0000FF"/>
              </w:rPr>
              <w:t>..</w:t>
            </w:r>
          </w:p>
        </w:tc>
        <w:tc>
          <w:tcPr>
            <w:tcW w:w="1103" w:type="dxa"/>
            <w:tcBorders>
              <w:top w:val="nil"/>
              <w:left w:val="nil"/>
              <w:bottom w:val="nil"/>
              <w:right w:val="nil"/>
            </w:tcBorders>
            <w:shd w:val="clear" w:color="auto" w:fill="auto"/>
            <w:noWrap/>
            <w:hideMark/>
          </w:tcPr>
          <w:p w:rsidR="004843DB" w:rsidRPr="0062582F" w:rsidRDefault="004843DB" w:rsidP="004843DB">
            <w:pPr>
              <w:pStyle w:val="TableofFigures"/>
              <w:rPr>
                <w:color w:val="0000FF"/>
              </w:rPr>
            </w:pPr>
            <w:r w:rsidRPr="0062582F">
              <w:rPr>
                <w:color w:val="0000FF"/>
              </w:rPr>
              <w:t>(1 494)</w:t>
            </w:r>
          </w:p>
        </w:tc>
      </w:tr>
      <w:tr w:rsidR="004843DB" w:rsidRPr="0062582F" w:rsidTr="004843DB">
        <w:trPr>
          <w:trHeight w:val="255"/>
        </w:trPr>
        <w:tc>
          <w:tcPr>
            <w:tcW w:w="5894" w:type="dxa"/>
            <w:tcBorders>
              <w:top w:val="nil"/>
              <w:left w:val="nil"/>
              <w:bottom w:val="single" w:sz="4" w:space="0" w:color="auto"/>
              <w:right w:val="nil"/>
            </w:tcBorders>
            <w:shd w:val="clear" w:color="auto" w:fill="auto"/>
            <w:hideMark/>
          </w:tcPr>
          <w:p w:rsidR="004843DB" w:rsidRPr="0062582F" w:rsidRDefault="004843DB" w:rsidP="004843DB">
            <w:pPr>
              <w:pStyle w:val="Tabletext"/>
              <w:rPr>
                <w:color w:val="0000FF"/>
              </w:rPr>
            </w:pPr>
            <w:r w:rsidRPr="0062582F">
              <w:rPr>
                <w:color w:val="0000FF"/>
              </w:rPr>
              <w:t>Transfers to investment property</w:t>
            </w:r>
          </w:p>
        </w:tc>
        <w:tc>
          <w:tcPr>
            <w:tcW w:w="114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color w:val="0000FF"/>
              </w:rPr>
            </w:pPr>
            <w:r w:rsidRPr="0062582F">
              <w:rPr>
                <w:color w:val="0000FF"/>
              </w:rPr>
              <w:t>1 063</w:t>
            </w:r>
          </w:p>
        </w:tc>
        <w:tc>
          <w:tcPr>
            <w:tcW w:w="1103"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color w:val="0000FF"/>
              </w:rPr>
            </w:pPr>
            <w:r w:rsidRPr="0062582F">
              <w:rPr>
                <w:color w:val="0000FF"/>
              </w:rPr>
              <w:t>..</w:t>
            </w:r>
          </w:p>
        </w:tc>
      </w:tr>
      <w:tr w:rsidR="004843DB" w:rsidRPr="0062582F" w:rsidTr="004843DB">
        <w:trPr>
          <w:trHeight w:val="270"/>
        </w:trPr>
        <w:tc>
          <w:tcPr>
            <w:tcW w:w="5894"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color w:val="0000FF"/>
              </w:rPr>
            </w:pPr>
            <w:r w:rsidRPr="0062582F">
              <w:rPr>
                <w:b/>
                <w:color w:val="0000FF"/>
              </w:rPr>
              <w:t>Balance at end of financial year</w:t>
            </w:r>
          </w:p>
        </w:tc>
        <w:tc>
          <w:tcPr>
            <w:tcW w:w="114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color w:val="0000FF"/>
              </w:rPr>
            </w:pPr>
            <w:r w:rsidRPr="0062582F">
              <w:rPr>
                <w:b/>
                <w:color w:val="0000FF"/>
              </w:rPr>
              <w:t>2 354</w:t>
            </w:r>
          </w:p>
        </w:tc>
        <w:tc>
          <w:tcPr>
            <w:tcW w:w="1103"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color w:val="0000FF"/>
              </w:rPr>
            </w:pPr>
            <w:r w:rsidRPr="0062582F">
              <w:rPr>
                <w:b/>
                <w:color w:val="0000FF"/>
              </w:rPr>
              <w:t>5 029</w:t>
            </w:r>
          </w:p>
        </w:tc>
      </w:tr>
    </w:tbl>
    <w:p w:rsidR="004843DB" w:rsidRPr="0062582F" w:rsidRDefault="004843DB" w:rsidP="004843DB">
      <w:pPr>
        <w:pStyle w:val="Notes"/>
        <w:rPr>
          <w:color w:val="0000FF"/>
          <w:sz w:val="20"/>
          <w:szCs w:val="20"/>
        </w:rPr>
      </w:pPr>
      <w:r w:rsidRPr="0062582F">
        <w:rPr>
          <w:color w:val="0000FF"/>
        </w:rPr>
        <w:t>Note:</w:t>
      </w:r>
    </w:p>
    <w:p w:rsidR="004843DB" w:rsidRPr="0062582F" w:rsidRDefault="004843DB" w:rsidP="004843DB">
      <w:pPr>
        <w:pStyle w:val="Notes"/>
        <w:rPr>
          <w:color w:val="0000FF"/>
        </w:rPr>
      </w:pPr>
      <w:r w:rsidRPr="0062582F">
        <w:rPr>
          <w:color w:val="0000FF"/>
        </w:rPr>
        <w:t>(i)</w:t>
      </w:r>
      <w:r w:rsidRPr="0062582F">
        <w:rPr>
          <w:color w:val="0000FF"/>
        </w:rPr>
        <w:tab/>
        <w:t>The Department has had a correction of an error that required a restatement of investment properties as at 30 June 2015.</w:t>
      </w:r>
    </w:p>
    <w:p w:rsidR="004843DB" w:rsidRPr="0062582F" w:rsidRDefault="004843DB" w:rsidP="004843DB">
      <w:pPr>
        <w:pStyle w:val="Notes"/>
        <w:rPr>
          <w:color w:val="0000FF"/>
        </w:rPr>
      </w:pPr>
    </w:p>
    <w:p w:rsidR="004843DB" w:rsidRPr="0062582F" w:rsidRDefault="004843DB" w:rsidP="004843DB">
      <w:pPr>
        <w:pStyle w:val="Notes"/>
        <w:rPr>
          <w:color w:val="0000FF"/>
        </w:rPr>
      </w:pPr>
    </w:p>
    <w:p w:rsidR="004843DB" w:rsidRPr="0062582F" w:rsidRDefault="004843DB" w:rsidP="004843DB">
      <w:pPr>
        <w:pStyle w:val="NormalBlue"/>
      </w:pPr>
      <w:r w:rsidRPr="0062582F">
        <w:t>The fair values of the Department</w:t>
      </w:r>
      <w:r w:rsidR="005A4BB0">
        <w:t>’</w:t>
      </w:r>
      <w:r w:rsidRPr="0062582F">
        <w:t>s investment property at 1 July 20143 and 30 June 20154 have been arrived on the basis of an independent valuation carried out by Norton and Prime Pty Ltd. The valuation, which conforms to Australian Valuation Standards, was arrived at by reference to market evidence of transaction prices for similar properties as at 30 June 20165 and adjusted using indices to arrive at the fair value for that property as at the respective dates.</w:t>
      </w:r>
    </w:p>
    <w:p w:rsidR="004843DB" w:rsidRPr="0062582F" w:rsidRDefault="004843DB" w:rsidP="004843DB">
      <w:pPr>
        <w:pStyle w:val="NormalBlue"/>
      </w:pPr>
      <w:r w:rsidRPr="0062582F">
        <w:t>Norton and Prime has in excess of 20 years</w:t>
      </w:r>
      <w:r w:rsidR="005A4BB0">
        <w:t>’</w:t>
      </w:r>
      <w:r w:rsidRPr="0062582F">
        <w:t xml:space="preserve"> experience valuing similar commercial properties in the Melbourne CBD. </w:t>
      </w:r>
    </w:p>
    <w:p w:rsidR="004843DB" w:rsidRPr="0062582F" w:rsidRDefault="004843DB" w:rsidP="004843DB">
      <w:pPr>
        <w:spacing w:line="240" w:lineRule="atLeast"/>
        <w:rPr>
          <w:color w:val="0000FF"/>
        </w:rPr>
      </w:pPr>
      <w:r w:rsidRPr="0062582F">
        <w:br w:type="page"/>
      </w:r>
    </w:p>
    <w:p w:rsidR="004843DB" w:rsidRPr="0062582F" w:rsidRDefault="004843DB" w:rsidP="004843DB">
      <w:pPr>
        <w:pStyle w:val="ReferenceRed"/>
        <w:spacing w:before="320"/>
      </w:pPr>
      <w:bookmarkStart w:id="383" w:name="_Toc103485978"/>
      <w:bookmarkStart w:id="384" w:name="_Toc103501962"/>
      <w:bookmarkStart w:id="385" w:name="_Toc103586410"/>
      <w:bookmarkStart w:id="386" w:name="_Toc104694434"/>
      <w:bookmarkStart w:id="387" w:name="_Toc132689484"/>
      <w:bookmarkStart w:id="388" w:name="_Toc133138171"/>
      <w:bookmarkStart w:id="389" w:name="_Toc133203891"/>
      <w:bookmarkStart w:id="390" w:name="_Toc154475741"/>
      <w:bookmarkStart w:id="391" w:name="_Toc162327193"/>
      <w:bookmarkStart w:id="392" w:name="_Toc162327921"/>
      <w:bookmarkStart w:id="393" w:name="_Toc192562735"/>
      <w:bookmarkStart w:id="394" w:name="_Toc332019467"/>
      <w:bookmarkStart w:id="395" w:name="_Toc366843355"/>
    </w:p>
    <w:p w:rsidR="004843DB" w:rsidRPr="0062582F" w:rsidRDefault="004843DB" w:rsidP="004843DB">
      <w:pPr>
        <w:pStyle w:val="ReferenceRed"/>
        <w:spacing w:before="480"/>
      </w:pPr>
      <w:r w:rsidRPr="0062582F">
        <w:t>New</w:t>
      </w:r>
    </w:p>
    <w:p w:rsidR="004843DB" w:rsidRPr="0062582F" w:rsidRDefault="004843DB" w:rsidP="004843DB">
      <w:pPr>
        <w:spacing w:before="140"/>
        <w:rPr>
          <w:rFonts w:ascii="Calibri" w:hAnsi="Calibri" w:cs="Arial Narrow"/>
          <w:color w:val="0000FF"/>
          <w:sz w:val="16"/>
          <w:szCs w:val="16"/>
          <w:lang w:val="en-GB"/>
        </w:rPr>
      </w:pPr>
    </w:p>
    <w:p w:rsidR="004843DB" w:rsidRPr="0062582F" w:rsidRDefault="004843DB" w:rsidP="004843DB">
      <w:pPr>
        <w:spacing w:before="140"/>
        <w:rPr>
          <w:rFonts w:ascii="Calibri" w:hAnsi="Calibri" w:cs="Arial Narrow"/>
          <w:color w:val="0000FF"/>
          <w:sz w:val="16"/>
          <w:szCs w:val="16"/>
          <w:lang w:val="en-GB"/>
        </w:rPr>
      </w:pPr>
    </w:p>
    <w:p w:rsidR="004843DB" w:rsidRPr="0062582F" w:rsidRDefault="004843DB" w:rsidP="004843DB">
      <w:pPr>
        <w:spacing w:before="40"/>
        <w:rPr>
          <w:rFonts w:ascii="Calibri" w:hAnsi="Calibri" w:cs="Arial Narrow"/>
          <w:color w:val="0000FF"/>
          <w:sz w:val="16"/>
          <w:szCs w:val="16"/>
          <w:lang w:val="en-GB"/>
        </w:rPr>
      </w:pPr>
      <w:r w:rsidRPr="0062582F">
        <w:rPr>
          <w:rFonts w:ascii="Calibri" w:hAnsi="Calibri" w:cs="Arial Narrow"/>
          <w:color w:val="0000FF"/>
          <w:sz w:val="16"/>
          <w:szCs w:val="16"/>
          <w:lang w:val="en-GB"/>
        </w:rPr>
        <w:t>AASB 108.49(a)</w:t>
      </w:r>
    </w:p>
    <w:p w:rsidR="004843DB" w:rsidRPr="0062582F" w:rsidRDefault="004843DB" w:rsidP="004843DB">
      <w:pPr>
        <w:rPr>
          <w:rFonts w:ascii="Calibri" w:hAnsi="Calibri" w:cs="Arial Narrow"/>
          <w:color w:val="0000FF"/>
          <w:sz w:val="16"/>
          <w:szCs w:val="16"/>
          <w:lang w:val="en-GB"/>
        </w:rPr>
      </w:pPr>
    </w:p>
    <w:p w:rsidR="004843DB" w:rsidRPr="0062582F" w:rsidRDefault="004843DB" w:rsidP="004843DB">
      <w:pPr>
        <w:spacing w:before="0"/>
        <w:rPr>
          <w:rFonts w:ascii="Calibri" w:hAnsi="Calibri" w:cs="Arial Narrow"/>
          <w:color w:val="0000FF"/>
          <w:sz w:val="16"/>
          <w:szCs w:val="16"/>
          <w:lang w:val="en-GB"/>
        </w:rPr>
      </w:pPr>
    </w:p>
    <w:p w:rsidR="004843DB" w:rsidRPr="0062582F" w:rsidRDefault="004843DB" w:rsidP="004843DB">
      <w:pPr>
        <w:spacing w:before="80"/>
        <w:rPr>
          <w:rFonts w:ascii="Calibri" w:hAnsi="Calibri" w:cs="Arial Narrow"/>
          <w:color w:val="0000FF"/>
          <w:sz w:val="16"/>
          <w:szCs w:val="16"/>
          <w:lang w:val="en-GB"/>
        </w:rPr>
      </w:pPr>
      <w:r w:rsidRPr="0062582F">
        <w:rPr>
          <w:rFonts w:ascii="Calibri" w:hAnsi="Calibri" w:cs="Arial Narrow"/>
          <w:color w:val="0000FF"/>
          <w:sz w:val="16"/>
          <w:szCs w:val="16"/>
          <w:lang w:val="en-GB"/>
        </w:rPr>
        <w:t>AASB 108.42(a), 49(a)</w:t>
      </w:r>
      <w:r w:rsidR="005A4BB0">
        <w:rPr>
          <w:rFonts w:ascii="Calibri" w:hAnsi="Calibri" w:cs="Arial Narrow"/>
          <w:color w:val="0000FF"/>
          <w:sz w:val="16"/>
          <w:szCs w:val="16"/>
          <w:lang w:val="en-GB"/>
        </w:rPr>
        <w:noBreakHyphen/>
      </w:r>
      <w:r w:rsidRPr="0062582F">
        <w:rPr>
          <w:rFonts w:ascii="Calibri" w:hAnsi="Calibri" w:cs="Arial Narrow"/>
          <w:color w:val="0000FF"/>
          <w:sz w:val="16"/>
          <w:szCs w:val="16"/>
          <w:lang w:val="en-GB"/>
        </w:rPr>
        <w:t>(c)</w:t>
      </w:r>
    </w:p>
    <w:p w:rsidR="004843DB" w:rsidRPr="0062582F" w:rsidRDefault="004843DB" w:rsidP="004843DB">
      <w:pPr>
        <w:pStyle w:val="NoteHeadingcontinued"/>
      </w:pPr>
      <w:r w:rsidRPr="0062582F">
        <w:br w:type="column"/>
        <w:t>Note 8.</w:t>
      </w:r>
      <w:r w:rsidRPr="0062582F">
        <w:tab/>
        <w:t xml:space="preserve">Correction of error </w:t>
      </w:r>
      <w:r w:rsidRPr="0062582F">
        <w:rPr>
          <w:i/>
        </w:rPr>
        <w:t>(continued)</w:t>
      </w:r>
    </w:p>
    <w:p w:rsidR="004843DB" w:rsidRPr="0062582F" w:rsidRDefault="004843DB" w:rsidP="004843DB">
      <w:pPr>
        <w:pStyle w:val="SmallLine"/>
      </w:pPr>
    </w:p>
    <w:p w:rsidR="004843DB" w:rsidRPr="0062582F" w:rsidRDefault="004843DB" w:rsidP="004843DB">
      <w:pPr>
        <w:pStyle w:val="CommentaryHeading"/>
      </w:pPr>
      <w:r w:rsidRPr="0062582F">
        <w:t>Commentary – Correction of prior period error</w:t>
      </w:r>
    </w:p>
    <w:p w:rsidR="004843DB" w:rsidRPr="0062582F" w:rsidRDefault="004843DB" w:rsidP="004843DB">
      <w:pPr>
        <w:pStyle w:val="SmallLineBlue"/>
      </w:pPr>
    </w:p>
    <w:p w:rsidR="004843DB" w:rsidRPr="0062582F" w:rsidRDefault="004843DB" w:rsidP="004843DB">
      <w:pPr>
        <w:pStyle w:val="Heading4"/>
        <w:pBdr>
          <w:top w:val="single" w:sz="4" w:space="1" w:color="0000FF"/>
          <w:left w:val="single" w:sz="4" w:space="4" w:color="0000FF"/>
          <w:bottom w:val="single" w:sz="4" w:space="1" w:color="0000FF"/>
          <w:right w:val="single" w:sz="4" w:space="4" w:color="0000FF"/>
        </w:pBdr>
        <w:ind w:left="0" w:firstLine="0"/>
        <w:rPr>
          <w:color w:val="0000FF"/>
        </w:rPr>
      </w:pPr>
      <w:r w:rsidRPr="0062582F">
        <w:rPr>
          <w:color w:val="0000FF"/>
        </w:rPr>
        <w:t>Error in not consolidating a controlled entity</w:t>
      </w:r>
    </w:p>
    <w:p w:rsidR="004843DB" w:rsidRPr="0062582F" w:rsidRDefault="004843DB" w:rsidP="004843DB">
      <w:pPr>
        <w:pBdr>
          <w:top w:val="single" w:sz="4" w:space="1" w:color="0000FF"/>
          <w:left w:val="single" w:sz="4" w:space="4" w:color="0000FF"/>
          <w:bottom w:val="single" w:sz="4" w:space="1" w:color="0000FF"/>
          <w:right w:val="single" w:sz="4" w:space="4" w:color="0000FF"/>
        </w:pBdr>
        <w:rPr>
          <w:rFonts w:cs="Arial"/>
          <w:bCs/>
          <w:i/>
          <w:noProof/>
          <w:color w:val="0000FF"/>
        </w:rPr>
      </w:pPr>
      <w:r w:rsidRPr="0062582F">
        <w:rPr>
          <w:rFonts w:cs="Arial"/>
          <w:bCs/>
          <w:i/>
          <w:noProof/>
          <w:color w:val="0000FF"/>
        </w:rPr>
        <w:t xml:space="preserve">This section </w:t>
      </w:r>
      <w:r w:rsidRPr="0062582F">
        <w:rPr>
          <w:rFonts w:cs="Arial"/>
          <w:bCs/>
          <w:i/>
          <w:noProof/>
          <w:color w:val="0000FF"/>
          <w:u w:val="single"/>
        </w:rPr>
        <w:t>only applies</w:t>
      </w:r>
      <w:r w:rsidRPr="0062582F">
        <w:rPr>
          <w:rFonts w:cs="Arial"/>
          <w:bCs/>
          <w:i/>
          <w:noProof/>
          <w:color w:val="0000FF"/>
        </w:rPr>
        <w:t xml:space="preserve"> if a department has made a </w:t>
      </w:r>
      <w:r w:rsidRPr="0062582F">
        <w:rPr>
          <w:rFonts w:cs="Arial"/>
          <w:b/>
          <w:bCs/>
          <w:i/>
          <w:noProof/>
          <w:color w:val="0000FF"/>
        </w:rPr>
        <w:t>material</w:t>
      </w:r>
      <w:r w:rsidRPr="0062582F">
        <w:rPr>
          <w:rFonts w:cs="Arial"/>
          <w:bCs/>
          <w:i/>
          <w:noProof/>
          <w:color w:val="0000FF"/>
        </w:rPr>
        <w:t xml:space="preserve"> error in the control assessment for an entity during a previous financial year and needs to consolidate the entity.</w:t>
      </w:r>
    </w:p>
    <w:p w:rsidR="004843DB" w:rsidRPr="0062582F" w:rsidRDefault="004843DB" w:rsidP="004843DB">
      <w:pPr>
        <w:pBdr>
          <w:top w:val="single" w:sz="4" w:space="1" w:color="0000FF"/>
          <w:left w:val="single" w:sz="4" w:space="4" w:color="0000FF"/>
          <w:bottom w:val="single" w:sz="4" w:space="1" w:color="0000FF"/>
          <w:right w:val="single" w:sz="4" w:space="4" w:color="0000FF"/>
        </w:pBdr>
        <w:rPr>
          <w:rFonts w:cstheme="minorHAnsi"/>
          <w:color w:val="0000FF"/>
        </w:rPr>
      </w:pPr>
      <w:r w:rsidRPr="0062582F">
        <w:rPr>
          <w:rFonts w:cstheme="minorHAnsi"/>
          <w:color w:val="0000FF"/>
        </w:rPr>
        <w:t xml:space="preserve">Innovation Victoria was established on 1 July 2015 as a new entity of the Department of Technology under the </w:t>
      </w:r>
      <w:r w:rsidRPr="0062582F">
        <w:rPr>
          <w:rFonts w:cstheme="minorHAnsi"/>
          <w:i/>
          <w:color w:val="0000FF"/>
        </w:rPr>
        <w:t>Innovation Victoria Act 2015</w:t>
      </w:r>
      <w:r w:rsidRPr="0062582F">
        <w:rPr>
          <w:rFonts w:cstheme="minorHAnsi"/>
          <w:color w:val="0000FF"/>
        </w:rPr>
        <w:t>. The Department determined that it controlled Innovation Victoria based on the control criteria in AASB 10 but due to an inadvertent human error, the Department did not include Innovation Victoria in the consolidation of its group financial statements for the 2014</w:t>
      </w:r>
      <w:r w:rsidR="005A4BB0">
        <w:rPr>
          <w:rFonts w:cstheme="minorHAnsi"/>
          <w:color w:val="0000FF"/>
        </w:rPr>
        <w:noBreakHyphen/>
      </w:r>
      <w:r w:rsidRPr="0062582F">
        <w:rPr>
          <w:rFonts w:cstheme="minorHAnsi"/>
          <w:color w:val="0000FF"/>
        </w:rPr>
        <w:t>15 reporting period.</w:t>
      </w:r>
    </w:p>
    <w:p w:rsidR="004843DB" w:rsidRPr="0062582F" w:rsidRDefault="004843DB" w:rsidP="004843DB">
      <w:pPr>
        <w:pBdr>
          <w:top w:val="single" w:sz="4" w:space="1" w:color="0000FF"/>
          <w:left w:val="single" w:sz="4" w:space="4" w:color="0000FF"/>
          <w:bottom w:val="single" w:sz="4" w:space="1" w:color="0000FF"/>
          <w:right w:val="single" w:sz="4" w:space="4" w:color="0000FF"/>
        </w:pBdr>
        <w:rPr>
          <w:rFonts w:cs="Arial"/>
          <w:bCs/>
          <w:i/>
          <w:noProof/>
          <w:color w:val="0000FF"/>
        </w:rPr>
      </w:pPr>
      <w:r w:rsidRPr="0062582F">
        <w:rPr>
          <w:color w:val="0000FF"/>
        </w:rPr>
        <w:t>The Department has since adjusted for the error and restated each of the affected financial statements for the 2015 financial year, as shown in the following tables</w:t>
      </w:r>
      <w:r w:rsidRPr="0062582F">
        <w:rPr>
          <w:rFonts w:cs="Arial"/>
          <w:bCs/>
          <w:i/>
          <w:noProof/>
          <w:color w:val="0000FF"/>
        </w:rPr>
        <w:t xml:space="preserve">. </w:t>
      </w:r>
    </w:p>
    <w:p w:rsidR="004843DB" w:rsidRPr="0062582F" w:rsidRDefault="004843DB" w:rsidP="004843DB">
      <w:pPr>
        <w:pBdr>
          <w:top w:val="single" w:sz="4" w:space="1" w:color="0000FF"/>
          <w:left w:val="single" w:sz="4" w:space="4" w:color="0000FF"/>
          <w:bottom w:val="single" w:sz="4" w:space="1" w:color="0000FF"/>
          <w:right w:val="single" w:sz="4" w:space="4" w:color="0000FF"/>
        </w:pBdr>
        <w:rPr>
          <w:rFonts w:cstheme="minorHAnsi"/>
          <w:color w:val="0000FF"/>
        </w:rPr>
        <w:sectPr w:rsidR="004843DB" w:rsidRPr="0062582F" w:rsidSect="004843DB">
          <w:headerReference w:type="even" r:id="rId251"/>
          <w:headerReference w:type="default" r:id="rId252"/>
          <w:type w:val="continuous"/>
          <w:pgSz w:w="11906" w:h="16838" w:code="9"/>
          <w:pgMar w:top="1152" w:right="864" w:bottom="1152" w:left="864" w:header="432" w:footer="432" w:gutter="0"/>
          <w:cols w:num="2" w:space="360" w:equalWidth="0">
            <w:col w:w="1440" w:space="360"/>
            <w:col w:w="8378"/>
          </w:cols>
        </w:sectPr>
      </w:pPr>
    </w:p>
    <w:p w:rsidR="004843DB" w:rsidRPr="0062582F" w:rsidRDefault="004843DB" w:rsidP="00E348C3">
      <w:pPr>
        <w:pStyle w:val="Tableheading"/>
        <w:ind w:left="0" w:firstLine="0"/>
        <w:rPr>
          <w:rFonts w:cstheme="minorHAnsi"/>
          <w:szCs w:val="21"/>
        </w:rPr>
      </w:pPr>
      <w:r w:rsidRPr="0062582F">
        <w:t>Impact of change in accounting policies on the consolidated operating statement</w:t>
      </w:r>
    </w:p>
    <w:tbl>
      <w:tblPr>
        <w:tblW w:w="10185" w:type="dxa"/>
        <w:tblLayout w:type="fixed"/>
        <w:tblCellMar>
          <w:left w:w="0" w:type="dxa"/>
          <w:right w:w="0" w:type="dxa"/>
        </w:tblCellMar>
        <w:tblLook w:val="04A0" w:firstRow="1" w:lastRow="0" w:firstColumn="1" w:lastColumn="0" w:noHBand="0" w:noVBand="1"/>
      </w:tblPr>
      <w:tblGrid>
        <w:gridCol w:w="4050"/>
        <w:gridCol w:w="810"/>
        <w:gridCol w:w="1170"/>
        <w:gridCol w:w="1296"/>
        <w:gridCol w:w="1224"/>
        <w:gridCol w:w="1635"/>
      </w:tblGrid>
      <w:tr w:rsidR="004843DB" w:rsidRPr="0062582F" w:rsidTr="00747D28">
        <w:tc>
          <w:tcPr>
            <w:tcW w:w="4050" w:type="dxa"/>
            <w:tcBorders>
              <w:top w:val="single" w:sz="8" w:space="0" w:color="auto"/>
              <w:left w:val="nil"/>
              <w:bottom w:val="single" w:sz="8" w:space="0" w:color="auto"/>
              <w:right w:val="nil"/>
            </w:tcBorders>
            <w:shd w:val="clear" w:color="auto" w:fill="auto"/>
            <w:tcMar>
              <w:top w:w="15" w:type="dxa"/>
              <w:left w:w="15" w:type="dxa"/>
              <w:bottom w:w="0" w:type="dxa"/>
              <w:right w:w="15" w:type="dxa"/>
            </w:tcMar>
            <w:hideMark/>
          </w:tcPr>
          <w:p w:rsidR="004843DB" w:rsidRPr="0062582F" w:rsidRDefault="004843DB" w:rsidP="004843DB">
            <w:pPr>
              <w:spacing w:before="0"/>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 </w:t>
            </w:r>
          </w:p>
        </w:tc>
        <w:tc>
          <w:tcPr>
            <w:tcW w:w="810" w:type="dxa"/>
            <w:tcBorders>
              <w:top w:val="single" w:sz="8" w:space="0" w:color="auto"/>
              <w:left w:val="nil"/>
              <w:bottom w:val="single" w:sz="8" w:space="0" w:color="auto"/>
              <w:right w:val="nil"/>
            </w:tcBorders>
            <w:vAlign w:val="bottom"/>
          </w:tcPr>
          <w:p w:rsidR="004843DB" w:rsidRPr="0062582F" w:rsidRDefault="004843DB" w:rsidP="004843DB">
            <w:pPr>
              <w:spacing w:before="0"/>
              <w:jc w:val="center"/>
              <w:rPr>
                <w:rFonts w:asciiTheme="minorHAnsi" w:hAnsiTheme="minorHAnsi" w:cstheme="minorHAnsi"/>
                <w:i/>
                <w:iCs/>
                <w:color w:val="0000FF"/>
                <w:sz w:val="18"/>
                <w:szCs w:val="18"/>
              </w:rPr>
            </w:pPr>
            <w:r w:rsidRPr="0062582F">
              <w:rPr>
                <w:rFonts w:asciiTheme="minorHAnsi" w:hAnsiTheme="minorHAnsi" w:cstheme="minorHAnsi"/>
                <w:i/>
                <w:iCs/>
                <w:color w:val="0000FF"/>
                <w:sz w:val="18"/>
                <w:szCs w:val="18"/>
              </w:rPr>
              <w:t>Notes</w:t>
            </w:r>
          </w:p>
        </w:tc>
        <w:tc>
          <w:tcPr>
            <w:tcW w:w="1170" w:type="dxa"/>
            <w:tcBorders>
              <w:top w:val="single" w:sz="8" w:space="0" w:color="auto"/>
              <w:left w:val="nil"/>
              <w:bottom w:val="single" w:sz="8" w:space="0" w:color="auto"/>
              <w:right w:val="nil"/>
            </w:tcBorders>
            <w:shd w:val="clear" w:color="auto" w:fill="BFBFBF" w:themeFill="background1" w:themeFillShade="BF"/>
            <w:vAlign w:val="bottom"/>
          </w:tcPr>
          <w:p w:rsidR="004843DB" w:rsidRPr="0062582F" w:rsidRDefault="004843DB" w:rsidP="004843DB">
            <w:pPr>
              <w:spacing w:before="0"/>
              <w:ind w:right="56"/>
              <w:jc w:val="right"/>
              <w:rPr>
                <w:rFonts w:asciiTheme="minorHAnsi" w:hAnsiTheme="minorHAnsi" w:cstheme="minorHAnsi"/>
                <w:i/>
                <w:iCs/>
                <w:color w:val="0000FF"/>
                <w:sz w:val="18"/>
                <w:szCs w:val="18"/>
              </w:rPr>
            </w:pPr>
            <w:r w:rsidRPr="0062582F">
              <w:rPr>
                <w:rFonts w:asciiTheme="minorHAnsi" w:hAnsiTheme="minorHAnsi" w:cstheme="minorHAnsi"/>
                <w:i/>
                <w:iCs/>
                <w:color w:val="0000FF"/>
                <w:sz w:val="18"/>
                <w:szCs w:val="18"/>
              </w:rPr>
              <w:t xml:space="preserve">For the </w:t>
            </w:r>
            <w:r w:rsidRPr="0062582F">
              <w:rPr>
                <w:rFonts w:asciiTheme="minorHAnsi" w:hAnsiTheme="minorHAnsi" w:cstheme="minorHAnsi"/>
                <w:i/>
                <w:iCs/>
                <w:color w:val="0000FF"/>
                <w:sz w:val="18"/>
                <w:szCs w:val="18"/>
              </w:rPr>
              <w:br/>
              <w:t xml:space="preserve">period ended </w:t>
            </w:r>
            <w:r w:rsidRPr="0062582F">
              <w:rPr>
                <w:rFonts w:asciiTheme="minorHAnsi" w:hAnsiTheme="minorHAnsi" w:cstheme="minorHAnsi"/>
                <w:i/>
                <w:iCs/>
                <w:color w:val="0000FF"/>
                <w:sz w:val="18"/>
                <w:szCs w:val="18"/>
              </w:rPr>
              <w:br/>
              <w:t>30 June 2016</w:t>
            </w:r>
          </w:p>
        </w:tc>
        <w:tc>
          <w:tcPr>
            <w:tcW w:w="1296" w:type="dxa"/>
            <w:tcBorders>
              <w:top w:val="single" w:sz="8" w:space="0" w:color="auto"/>
              <w:left w:val="nil"/>
              <w:bottom w:val="single" w:sz="8" w:space="0" w:color="auto"/>
              <w:right w:val="nil"/>
            </w:tcBorders>
            <w:shd w:val="clear" w:color="auto" w:fill="BFBFBF" w:themeFill="background1" w:themeFillShade="BF"/>
            <w:vAlign w:val="bottom"/>
          </w:tcPr>
          <w:p w:rsidR="004843DB" w:rsidRPr="0062582F" w:rsidRDefault="004843DB" w:rsidP="004843DB">
            <w:pPr>
              <w:spacing w:before="0"/>
              <w:ind w:right="56"/>
              <w:jc w:val="right"/>
              <w:rPr>
                <w:rFonts w:asciiTheme="minorHAnsi" w:hAnsiTheme="minorHAnsi" w:cstheme="minorHAnsi"/>
                <w:i/>
                <w:iCs/>
                <w:color w:val="0000FF"/>
                <w:sz w:val="18"/>
                <w:szCs w:val="18"/>
              </w:rPr>
            </w:pPr>
            <w:r w:rsidRPr="0062582F">
              <w:rPr>
                <w:rFonts w:asciiTheme="minorHAnsi" w:hAnsiTheme="minorHAnsi" w:cstheme="minorHAnsi"/>
                <w:i/>
                <w:iCs/>
                <w:color w:val="0000FF"/>
                <w:sz w:val="18"/>
                <w:szCs w:val="18"/>
              </w:rPr>
              <w:t>For the period ended 30 June 2015 (restated)</w:t>
            </w:r>
          </w:p>
        </w:tc>
        <w:tc>
          <w:tcPr>
            <w:tcW w:w="1224" w:type="dxa"/>
            <w:tcBorders>
              <w:top w:val="single" w:sz="8" w:space="0" w:color="auto"/>
              <w:left w:val="nil"/>
              <w:bottom w:val="single" w:sz="8" w:space="0" w:color="auto"/>
              <w:right w:val="nil"/>
            </w:tcBorders>
            <w:vAlign w:val="bottom"/>
          </w:tcPr>
          <w:p w:rsidR="004843DB" w:rsidRPr="0062582F" w:rsidRDefault="004843DB" w:rsidP="004843DB">
            <w:pPr>
              <w:spacing w:before="0"/>
              <w:ind w:right="56"/>
              <w:jc w:val="right"/>
              <w:rPr>
                <w:rFonts w:asciiTheme="minorHAnsi" w:hAnsiTheme="minorHAnsi" w:cstheme="minorHAnsi"/>
                <w:i/>
                <w:iCs/>
                <w:color w:val="0000FF"/>
                <w:sz w:val="18"/>
                <w:szCs w:val="18"/>
              </w:rPr>
            </w:pPr>
            <w:r w:rsidRPr="0062582F">
              <w:rPr>
                <w:rFonts w:asciiTheme="minorHAnsi" w:hAnsiTheme="minorHAnsi" w:cstheme="minorHAnsi"/>
                <w:i/>
                <w:iCs/>
                <w:color w:val="0000FF"/>
                <w:sz w:val="18"/>
                <w:szCs w:val="18"/>
              </w:rPr>
              <w:t>Consolidation of Innovation Victoria (100% owned)</w:t>
            </w:r>
          </w:p>
        </w:tc>
        <w:tc>
          <w:tcPr>
            <w:tcW w:w="1635"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bottom"/>
            <w:hideMark/>
          </w:tcPr>
          <w:p w:rsidR="004843DB" w:rsidRPr="0062582F" w:rsidRDefault="004843DB" w:rsidP="004843DB">
            <w:pPr>
              <w:spacing w:before="0"/>
              <w:ind w:right="56"/>
              <w:jc w:val="right"/>
              <w:rPr>
                <w:rFonts w:asciiTheme="minorHAnsi" w:hAnsiTheme="minorHAnsi" w:cstheme="minorHAnsi"/>
                <w:i/>
                <w:iCs/>
                <w:color w:val="0000FF"/>
                <w:sz w:val="18"/>
                <w:szCs w:val="18"/>
              </w:rPr>
            </w:pPr>
            <w:r w:rsidRPr="0062582F">
              <w:rPr>
                <w:rFonts w:asciiTheme="minorHAnsi" w:hAnsiTheme="minorHAnsi" w:cstheme="minorHAnsi"/>
                <w:i/>
                <w:iCs/>
                <w:color w:val="0000FF"/>
                <w:sz w:val="18"/>
                <w:szCs w:val="18"/>
              </w:rPr>
              <w:t>For the period ended 30 June 2015 as previously presented</w:t>
            </w:r>
          </w:p>
        </w:tc>
      </w:tr>
      <w:tr w:rsidR="004843DB" w:rsidRPr="0062582F" w:rsidTr="00747D28">
        <w:tc>
          <w:tcPr>
            <w:tcW w:w="4050"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color w:val="0000FF"/>
                <w:sz w:val="18"/>
                <w:szCs w:val="18"/>
              </w:rPr>
            </w:pPr>
            <w:r w:rsidRPr="0062582F">
              <w:rPr>
                <w:rFonts w:asciiTheme="minorHAnsi" w:hAnsiTheme="minorHAnsi" w:cstheme="minorHAnsi"/>
                <w:color w:val="0000FF"/>
                <w:sz w:val="18"/>
                <w:szCs w:val="18"/>
              </w:rPr>
              <w:t>Interest</w:t>
            </w:r>
          </w:p>
        </w:tc>
        <w:tc>
          <w:tcPr>
            <w:tcW w:w="810" w:type="dxa"/>
            <w:tcBorders>
              <w:top w:val="nil"/>
              <w:left w:val="nil"/>
              <w:bottom w:val="nil"/>
              <w:right w:val="nil"/>
            </w:tcBorders>
          </w:tcPr>
          <w:p w:rsidR="004843DB" w:rsidRPr="0062582F" w:rsidRDefault="004843DB" w:rsidP="004843DB">
            <w:pPr>
              <w:spacing w:before="0"/>
              <w:jc w:val="center"/>
              <w:rPr>
                <w:rFonts w:asciiTheme="minorHAnsi" w:hAnsiTheme="minorHAnsi" w:cstheme="minorHAnsi"/>
                <w:color w:val="0000FF"/>
                <w:sz w:val="18"/>
                <w:szCs w:val="18"/>
              </w:rPr>
            </w:pPr>
            <w:r w:rsidRPr="0062582F">
              <w:rPr>
                <w:rFonts w:asciiTheme="minorHAnsi" w:hAnsiTheme="minorHAnsi" w:cstheme="minorHAnsi"/>
                <w:color w:val="0000FF"/>
                <w:sz w:val="18"/>
                <w:szCs w:val="18"/>
              </w:rPr>
              <w:t>4(a)</w:t>
            </w:r>
          </w:p>
        </w:tc>
        <w:tc>
          <w:tcPr>
            <w:tcW w:w="1170"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3 864</w:t>
            </w:r>
          </w:p>
        </w:tc>
        <w:tc>
          <w:tcPr>
            <w:tcW w:w="1296"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2 897</w:t>
            </w:r>
          </w:p>
        </w:tc>
        <w:tc>
          <w:tcPr>
            <w:tcW w:w="1224" w:type="dxa"/>
            <w:tcBorders>
              <w:top w:val="nil"/>
              <w:left w:val="nil"/>
              <w:bottom w:val="nil"/>
              <w:right w:val="nil"/>
            </w:tcBorders>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(50)</w:t>
            </w:r>
          </w:p>
        </w:tc>
        <w:tc>
          <w:tcPr>
            <w:tcW w:w="163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2 947</w:t>
            </w:r>
          </w:p>
        </w:tc>
      </w:tr>
      <w:tr w:rsidR="004843DB" w:rsidRPr="0062582F" w:rsidTr="00747D28">
        <w:tc>
          <w:tcPr>
            <w:tcW w:w="4050"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color w:val="0000FF"/>
                <w:sz w:val="18"/>
                <w:szCs w:val="18"/>
              </w:rPr>
            </w:pPr>
            <w:r w:rsidRPr="0062582F">
              <w:rPr>
                <w:rFonts w:asciiTheme="minorHAnsi" w:hAnsiTheme="minorHAnsi" w:cstheme="minorHAnsi"/>
                <w:color w:val="0000FF"/>
                <w:sz w:val="18"/>
                <w:szCs w:val="18"/>
              </w:rPr>
              <w:t>Sale of goods and services</w:t>
            </w:r>
          </w:p>
        </w:tc>
        <w:tc>
          <w:tcPr>
            <w:tcW w:w="810" w:type="dxa"/>
            <w:tcBorders>
              <w:top w:val="nil"/>
              <w:left w:val="nil"/>
              <w:bottom w:val="nil"/>
              <w:right w:val="nil"/>
            </w:tcBorders>
          </w:tcPr>
          <w:p w:rsidR="004843DB" w:rsidRPr="0062582F" w:rsidRDefault="004843DB" w:rsidP="004843DB">
            <w:pPr>
              <w:spacing w:before="0"/>
              <w:jc w:val="center"/>
              <w:rPr>
                <w:rFonts w:asciiTheme="minorHAnsi" w:hAnsiTheme="minorHAnsi" w:cstheme="minorHAnsi"/>
                <w:color w:val="0000FF"/>
                <w:sz w:val="18"/>
                <w:szCs w:val="18"/>
              </w:rPr>
            </w:pPr>
            <w:r w:rsidRPr="0062582F">
              <w:rPr>
                <w:rFonts w:asciiTheme="minorHAnsi" w:hAnsiTheme="minorHAnsi" w:cstheme="minorHAnsi"/>
                <w:color w:val="0000FF"/>
                <w:sz w:val="18"/>
                <w:szCs w:val="18"/>
              </w:rPr>
              <w:t>4(b)</w:t>
            </w:r>
          </w:p>
        </w:tc>
        <w:tc>
          <w:tcPr>
            <w:tcW w:w="1170"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1 839</w:t>
            </w:r>
          </w:p>
        </w:tc>
        <w:tc>
          <w:tcPr>
            <w:tcW w:w="1296"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1 346</w:t>
            </w:r>
          </w:p>
        </w:tc>
        <w:tc>
          <w:tcPr>
            <w:tcW w:w="1224" w:type="dxa"/>
            <w:tcBorders>
              <w:top w:val="nil"/>
              <w:left w:val="nil"/>
              <w:bottom w:val="nil"/>
              <w:right w:val="nil"/>
            </w:tcBorders>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50</w:t>
            </w:r>
          </w:p>
        </w:tc>
        <w:tc>
          <w:tcPr>
            <w:tcW w:w="163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1 296</w:t>
            </w:r>
          </w:p>
        </w:tc>
      </w:tr>
      <w:tr w:rsidR="004843DB" w:rsidRPr="0062582F" w:rsidTr="00747D28">
        <w:tc>
          <w:tcPr>
            <w:tcW w:w="4050"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color w:val="0000FF"/>
                <w:sz w:val="18"/>
                <w:szCs w:val="18"/>
              </w:rPr>
            </w:pPr>
            <w:r w:rsidRPr="0062582F">
              <w:rPr>
                <w:rFonts w:asciiTheme="minorHAnsi" w:hAnsiTheme="minorHAnsi" w:cstheme="minorHAnsi"/>
                <w:color w:val="0000FF"/>
                <w:sz w:val="18"/>
                <w:szCs w:val="18"/>
              </w:rPr>
              <w:t>Other income</w:t>
            </w:r>
          </w:p>
        </w:tc>
        <w:tc>
          <w:tcPr>
            <w:tcW w:w="810" w:type="dxa"/>
            <w:tcBorders>
              <w:top w:val="nil"/>
              <w:left w:val="nil"/>
              <w:bottom w:val="nil"/>
              <w:right w:val="nil"/>
            </w:tcBorders>
          </w:tcPr>
          <w:p w:rsidR="004843DB" w:rsidRPr="0062582F" w:rsidRDefault="004843DB" w:rsidP="004843DB">
            <w:pPr>
              <w:spacing w:before="0"/>
              <w:jc w:val="center"/>
              <w:rPr>
                <w:rFonts w:asciiTheme="minorHAnsi" w:hAnsiTheme="minorHAnsi" w:cstheme="minorHAnsi"/>
                <w:color w:val="0000FF"/>
                <w:sz w:val="18"/>
                <w:szCs w:val="18"/>
              </w:rPr>
            </w:pPr>
          </w:p>
        </w:tc>
        <w:tc>
          <w:tcPr>
            <w:tcW w:w="1170"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101 771</w:t>
            </w:r>
          </w:p>
        </w:tc>
        <w:tc>
          <w:tcPr>
            <w:tcW w:w="1296"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82 017</w:t>
            </w:r>
          </w:p>
        </w:tc>
        <w:tc>
          <w:tcPr>
            <w:tcW w:w="1224" w:type="dxa"/>
            <w:tcBorders>
              <w:top w:val="nil"/>
              <w:left w:val="nil"/>
              <w:bottom w:val="nil"/>
              <w:right w:val="nil"/>
            </w:tcBorders>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0</w:t>
            </w:r>
          </w:p>
        </w:tc>
        <w:tc>
          <w:tcPr>
            <w:tcW w:w="163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82 017</w:t>
            </w:r>
          </w:p>
        </w:tc>
      </w:tr>
      <w:tr w:rsidR="004843DB" w:rsidRPr="0062582F" w:rsidTr="00747D28">
        <w:tc>
          <w:tcPr>
            <w:tcW w:w="405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Total income from transactions</w:t>
            </w:r>
          </w:p>
        </w:tc>
        <w:tc>
          <w:tcPr>
            <w:tcW w:w="810" w:type="dxa"/>
            <w:tcBorders>
              <w:top w:val="single" w:sz="4" w:space="0" w:color="auto"/>
              <w:left w:val="nil"/>
              <w:bottom w:val="single" w:sz="4" w:space="0" w:color="auto"/>
              <w:right w:val="nil"/>
            </w:tcBorders>
          </w:tcPr>
          <w:p w:rsidR="004843DB" w:rsidRPr="0062582F" w:rsidRDefault="004843DB" w:rsidP="004843DB">
            <w:pPr>
              <w:spacing w:before="0"/>
              <w:jc w:val="center"/>
              <w:rPr>
                <w:rFonts w:asciiTheme="minorHAnsi" w:hAnsiTheme="minorHAnsi" w:cstheme="minorHAnsi"/>
                <w:b/>
                <w:bCs/>
                <w:color w:val="0000FF"/>
                <w:sz w:val="18"/>
                <w:szCs w:val="18"/>
              </w:rPr>
            </w:pPr>
          </w:p>
        </w:tc>
        <w:tc>
          <w:tcPr>
            <w:tcW w:w="1170" w:type="dxa"/>
            <w:tcBorders>
              <w:top w:val="single" w:sz="4" w:space="0" w:color="auto"/>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107 474</w:t>
            </w:r>
          </w:p>
        </w:tc>
        <w:tc>
          <w:tcPr>
            <w:tcW w:w="1296" w:type="dxa"/>
            <w:tcBorders>
              <w:top w:val="single" w:sz="4" w:space="0" w:color="auto"/>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86 260</w:t>
            </w:r>
          </w:p>
        </w:tc>
        <w:tc>
          <w:tcPr>
            <w:tcW w:w="1224" w:type="dxa"/>
            <w:tcBorders>
              <w:top w:val="single" w:sz="4" w:space="0" w:color="auto"/>
              <w:left w:val="nil"/>
              <w:bottom w:val="single" w:sz="4" w:space="0" w:color="auto"/>
              <w:right w:val="nil"/>
            </w:tcBorders>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0</w:t>
            </w:r>
          </w:p>
        </w:tc>
        <w:tc>
          <w:tcPr>
            <w:tcW w:w="163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86 260</w:t>
            </w:r>
          </w:p>
        </w:tc>
      </w:tr>
      <w:tr w:rsidR="004843DB" w:rsidRPr="0062582F" w:rsidTr="00747D28">
        <w:tc>
          <w:tcPr>
            <w:tcW w:w="4050"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color w:val="0000FF"/>
                <w:sz w:val="18"/>
                <w:szCs w:val="18"/>
              </w:rPr>
            </w:pPr>
            <w:r w:rsidRPr="0062582F">
              <w:rPr>
                <w:rFonts w:asciiTheme="minorHAnsi" w:hAnsiTheme="minorHAnsi" w:cstheme="minorHAnsi"/>
                <w:color w:val="0000FF"/>
                <w:sz w:val="18"/>
                <w:szCs w:val="18"/>
              </w:rPr>
              <w:t>Employee expenses</w:t>
            </w:r>
          </w:p>
        </w:tc>
        <w:tc>
          <w:tcPr>
            <w:tcW w:w="810" w:type="dxa"/>
            <w:tcBorders>
              <w:top w:val="nil"/>
              <w:left w:val="nil"/>
              <w:bottom w:val="nil"/>
              <w:right w:val="nil"/>
            </w:tcBorders>
          </w:tcPr>
          <w:p w:rsidR="004843DB" w:rsidRPr="0062582F" w:rsidRDefault="004843DB" w:rsidP="004843DB">
            <w:pPr>
              <w:spacing w:before="0"/>
              <w:jc w:val="center"/>
              <w:rPr>
                <w:rFonts w:asciiTheme="minorHAnsi" w:hAnsiTheme="minorHAnsi" w:cstheme="minorHAnsi"/>
                <w:color w:val="0000FF"/>
                <w:sz w:val="18"/>
                <w:szCs w:val="18"/>
              </w:rPr>
            </w:pPr>
            <w:r w:rsidRPr="0062582F">
              <w:rPr>
                <w:rFonts w:asciiTheme="minorHAnsi" w:hAnsiTheme="minorHAnsi" w:cstheme="minorHAnsi"/>
                <w:color w:val="0000FF"/>
                <w:sz w:val="18"/>
                <w:szCs w:val="18"/>
              </w:rPr>
              <w:t>5(a)</w:t>
            </w:r>
          </w:p>
        </w:tc>
        <w:tc>
          <w:tcPr>
            <w:tcW w:w="1170"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(13 767)</w:t>
            </w:r>
          </w:p>
        </w:tc>
        <w:tc>
          <w:tcPr>
            <w:tcW w:w="1296"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(10 970)</w:t>
            </w:r>
          </w:p>
        </w:tc>
        <w:tc>
          <w:tcPr>
            <w:tcW w:w="1224" w:type="dxa"/>
            <w:tcBorders>
              <w:top w:val="nil"/>
              <w:left w:val="nil"/>
              <w:bottom w:val="nil"/>
              <w:right w:val="nil"/>
            </w:tcBorders>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1 950</w:t>
            </w:r>
          </w:p>
        </w:tc>
        <w:tc>
          <w:tcPr>
            <w:tcW w:w="163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(12 920)</w:t>
            </w:r>
          </w:p>
        </w:tc>
      </w:tr>
      <w:tr w:rsidR="004843DB" w:rsidRPr="0062582F" w:rsidTr="00747D28">
        <w:tc>
          <w:tcPr>
            <w:tcW w:w="4050"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color w:val="0000FF"/>
                <w:sz w:val="18"/>
                <w:szCs w:val="18"/>
              </w:rPr>
            </w:pPr>
            <w:r w:rsidRPr="0062582F">
              <w:rPr>
                <w:rFonts w:asciiTheme="minorHAnsi" w:hAnsiTheme="minorHAnsi" w:cstheme="minorHAnsi"/>
                <w:color w:val="0000FF"/>
                <w:sz w:val="18"/>
                <w:szCs w:val="18"/>
              </w:rPr>
              <w:t xml:space="preserve">Depreciation </w:t>
            </w:r>
          </w:p>
        </w:tc>
        <w:tc>
          <w:tcPr>
            <w:tcW w:w="810" w:type="dxa"/>
            <w:tcBorders>
              <w:top w:val="nil"/>
              <w:left w:val="nil"/>
              <w:bottom w:val="nil"/>
              <w:right w:val="nil"/>
            </w:tcBorders>
          </w:tcPr>
          <w:p w:rsidR="004843DB" w:rsidRPr="0062582F" w:rsidRDefault="004843DB" w:rsidP="004843DB">
            <w:pPr>
              <w:spacing w:before="0"/>
              <w:jc w:val="center"/>
              <w:rPr>
                <w:rFonts w:asciiTheme="minorHAnsi" w:hAnsiTheme="minorHAnsi" w:cstheme="minorHAnsi"/>
                <w:color w:val="0000FF"/>
                <w:sz w:val="18"/>
                <w:szCs w:val="18"/>
              </w:rPr>
            </w:pPr>
            <w:r w:rsidRPr="0062582F">
              <w:rPr>
                <w:rFonts w:asciiTheme="minorHAnsi" w:hAnsiTheme="minorHAnsi" w:cstheme="minorHAnsi"/>
                <w:color w:val="0000FF"/>
                <w:sz w:val="18"/>
                <w:szCs w:val="18"/>
              </w:rPr>
              <w:t>5(b)</w:t>
            </w:r>
          </w:p>
        </w:tc>
        <w:tc>
          <w:tcPr>
            <w:tcW w:w="1170"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(15 099)</w:t>
            </w:r>
          </w:p>
        </w:tc>
        <w:tc>
          <w:tcPr>
            <w:tcW w:w="1296"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(12 157)</w:t>
            </w:r>
          </w:p>
        </w:tc>
        <w:tc>
          <w:tcPr>
            <w:tcW w:w="1224" w:type="dxa"/>
            <w:tcBorders>
              <w:top w:val="nil"/>
              <w:left w:val="nil"/>
              <w:bottom w:val="nil"/>
              <w:right w:val="nil"/>
            </w:tcBorders>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900</w:t>
            </w:r>
          </w:p>
        </w:tc>
        <w:tc>
          <w:tcPr>
            <w:tcW w:w="163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(13 057)</w:t>
            </w:r>
          </w:p>
        </w:tc>
      </w:tr>
      <w:tr w:rsidR="004843DB" w:rsidRPr="0062582F" w:rsidTr="00747D28">
        <w:tc>
          <w:tcPr>
            <w:tcW w:w="4050"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color w:val="0000FF"/>
                <w:sz w:val="18"/>
                <w:szCs w:val="18"/>
              </w:rPr>
            </w:pPr>
            <w:r w:rsidRPr="0062582F">
              <w:rPr>
                <w:rFonts w:asciiTheme="minorHAnsi" w:hAnsiTheme="minorHAnsi" w:cstheme="minorHAnsi"/>
                <w:color w:val="0000FF"/>
                <w:sz w:val="18"/>
                <w:szCs w:val="18"/>
              </w:rPr>
              <w:t>Interest expense</w:t>
            </w:r>
          </w:p>
        </w:tc>
        <w:tc>
          <w:tcPr>
            <w:tcW w:w="810" w:type="dxa"/>
            <w:tcBorders>
              <w:top w:val="nil"/>
              <w:left w:val="nil"/>
              <w:bottom w:val="nil"/>
              <w:right w:val="nil"/>
            </w:tcBorders>
          </w:tcPr>
          <w:p w:rsidR="004843DB" w:rsidRPr="0062582F" w:rsidRDefault="004843DB" w:rsidP="004843DB">
            <w:pPr>
              <w:spacing w:before="0"/>
              <w:jc w:val="center"/>
              <w:rPr>
                <w:rFonts w:asciiTheme="minorHAnsi" w:hAnsiTheme="minorHAnsi" w:cstheme="minorHAnsi"/>
                <w:color w:val="0000FF"/>
                <w:sz w:val="18"/>
                <w:szCs w:val="18"/>
              </w:rPr>
            </w:pPr>
            <w:r w:rsidRPr="0062582F">
              <w:rPr>
                <w:rFonts w:asciiTheme="minorHAnsi" w:hAnsiTheme="minorHAnsi" w:cstheme="minorHAnsi"/>
                <w:color w:val="0000FF"/>
                <w:sz w:val="18"/>
                <w:szCs w:val="18"/>
              </w:rPr>
              <w:t>5(c)</w:t>
            </w:r>
          </w:p>
        </w:tc>
        <w:tc>
          <w:tcPr>
            <w:tcW w:w="1170"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(2 366)</w:t>
            </w:r>
          </w:p>
        </w:tc>
        <w:tc>
          <w:tcPr>
            <w:tcW w:w="1296"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(2 336)</w:t>
            </w:r>
          </w:p>
        </w:tc>
        <w:tc>
          <w:tcPr>
            <w:tcW w:w="1224" w:type="dxa"/>
            <w:tcBorders>
              <w:top w:val="nil"/>
              <w:left w:val="nil"/>
              <w:bottom w:val="nil"/>
              <w:right w:val="nil"/>
            </w:tcBorders>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1 050</w:t>
            </w:r>
          </w:p>
        </w:tc>
        <w:tc>
          <w:tcPr>
            <w:tcW w:w="163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(3 386)</w:t>
            </w:r>
          </w:p>
        </w:tc>
      </w:tr>
      <w:tr w:rsidR="004843DB" w:rsidRPr="0062582F" w:rsidTr="00747D28">
        <w:tc>
          <w:tcPr>
            <w:tcW w:w="4050"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color w:val="0000FF"/>
                <w:sz w:val="18"/>
                <w:szCs w:val="18"/>
              </w:rPr>
            </w:pPr>
            <w:r w:rsidRPr="0062582F">
              <w:rPr>
                <w:rFonts w:asciiTheme="minorHAnsi" w:hAnsiTheme="minorHAnsi" w:cstheme="minorHAnsi"/>
                <w:color w:val="0000FF"/>
                <w:sz w:val="18"/>
                <w:szCs w:val="18"/>
              </w:rPr>
              <w:t>Other operating expenses</w:t>
            </w:r>
          </w:p>
        </w:tc>
        <w:tc>
          <w:tcPr>
            <w:tcW w:w="810" w:type="dxa"/>
            <w:tcBorders>
              <w:top w:val="nil"/>
              <w:left w:val="nil"/>
              <w:bottom w:val="nil"/>
              <w:right w:val="nil"/>
            </w:tcBorders>
          </w:tcPr>
          <w:p w:rsidR="004843DB" w:rsidRPr="0062582F" w:rsidRDefault="004843DB" w:rsidP="004843DB">
            <w:pPr>
              <w:spacing w:before="0"/>
              <w:jc w:val="center"/>
              <w:rPr>
                <w:rFonts w:asciiTheme="minorHAnsi" w:hAnsiTheme="minorHAnsi" w:cstheme="minorHAnsi"/>
                <w:color w:val="0000FF"/>
                <w:sz w:val="18"/>
                <w:szCs w:val="18"/>
              </w:rPr>
            </w:pPr>
          </w:p>
        </w:tc>
        <w:tc>
          <w:tcPr>
            <w:tcW w:w="1170"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(50 020)</w:t>
            </w:r>
          </w:p>
        </w:tc>
        <w:tc>
          <w:tcPr>
            <w:tcW w:w="1296"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(51 958)</w:t>
            </w:r>
          </w:p>
        </w:tc>
        <w:tc>
          <w:tcPr>
            <w:tcW w:w="1224" w:type="dxa"/>
            <w:tcBorders>
              <w:top w:val="nil"/>
              <w:left w:val="nil"/>
              <w:bottom w:val="nil"/>
              <w:right w:val="nil"/>
            </w:tcBorders>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0</w:t>
            </w:r>
          </w:p>
        </w:tc>
        <w:tc>
          <w:tcPr>
            <w:tcW w:w="163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(51 958)</w:t>
            </w:r>
          </w:p>
        </w:tc>
      </w:tr>
      <w:tr w:rsidR="004843DB" w:rsidRPr="0062582F" w:rsidTr="00747D28">
        <w:tc>
          <w:tcPr>
            <w:tcW w:w="405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Total expenses from transactions</w:t>
            </w:r>
          </w:p>
        </w:tc>
        <w:tc>
          <w:tcPr>
            <w:tcW w:w="810" w:type="dxa"/>
            <w:tcBorders>
              <w:top w:val="single" w:sz="4" w:space="0" w:color="auto"/>
              <w:left w:val="nil"/>
              <w:bottom w:val="single" w:sz="4" w:space="0" w:color="auto"/>
              <w:right w:val="nil"/>
            </w:tcBorders>
          </w:tcPr>
          <w:p w:rsidR="004843DB" w:rsidRPr="0062582F" w:rsidRDefault="004843DB" w:rsidP="004843DB">
            <w:pPr>
              <w:spacing w:before="0"/>
              <w:jc w:val="center"/>
              <w:rPr>
                <w:rFonts w:asciiTheme="minorHAnsi" w:hAnsiTheme="minorHAnsi" w:cstheme="minorHAnsi"/>
                <w:b/>
                <w:bCs/>
                <w:color w:val="0000FF"/>
                <w:sz w:val="18"/>
                <w:szCs w:val="18"/>
              </w:rPr>
            </w:pPr>
          </w:p>
        </w:tc>
        <w:tc>
          <w:tcPr>
            <w:tcW w:w="1170" w:type="dxa"/>
            <w:tcBorders>
              <w:top w:val="single" w:sz="4" w:space="0" w:color="auto"/>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(81 252)</w:t>
            </w:r>
          </w:p>
        </w:tc>
        <w:tc>
          <w:tcPr>
            <w:tcW w:w="1296" w:type="dxa"/>
            <w:tcBorders>
              <w:top w:val="single" w:sz="4" w:space="0" w:color="auto"/>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(77 421)</w:t>
            </w:r>
          </w:p>
        </w:tc>
        <w:tc>
          <w:tcPr>
            <w:tcW w:w="1224" w:type="dxa"/>
            <w:tcBorders>
              <w:top w:val="single" w:sz="4" w:space="0" w:color="auto"/>
              <w:left w:val="nil"/>
              <w:bottom w:val="single" w:sz="4" w:space="0" w:color="auto"/>
              <w:right w:val="nil"/>
            </w:tcBorders>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3 900</w:t>
            </w:r>
          </w:p>
        </w:tc>
        <w:tc>
          <w:tcPr>
            <w:tcW w:w="163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(81 321)</w:t>
            </w:r>
          </w:p>
        </w:tc>
      </w:tr>
      <w:tr w:rsidR="004843DB" w:rsidRPr="0062582F" w:rsidTr="00747D28">
        <w:tc>
          <w:tcPr>
            <w:tcW w:w="405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Net result from transactions (net operating balance)</w:t>
            </w:r>
          </w:p>
        </w:tc>
        <w:tc>
          <w:tcPr>
            <w:tcW w:w="810" w:type="dxa"/>
            <w:tcBorders>
              <w:top w:val="nil"/>
              <w:left w:val="nil"/>
              <w:bottom w:val="single" w:sz="4" w:space="0" w:color="auto"/>
              <w:right w:val="nil"/>
            </w:tcBorders>
          </w:tcPr>
          <w:p w:rsidR="004843DB" w:rsidRPr="0062582F" w:rsidRDefault="004843DB" w:rsidP="004843DB">
            <w:pPr>
              <w:spacing w:before="0"/>
              <w:jc w:val="center"/>
              <w:rPr>
                <w:rFonts w:asciiTheme="minorHAnsi" w:hAnsiTheme="minorHAnsi" w:cstheme="minorHAnsi"/>
                <w:b/>
                <w:bCs/>
                <w:color w:val="0000FF"/>
                <w:sz w:val="18"/>
                <w:szCs w:val="18"/>
              </w:rPr>
            </w:pPr>
          </w:p>
        </w:tc>
        <w:tc>
          <w:tcPr>
            <w:tcW w:w="1170" w:type="dxa"/>
            <w:tcBorders>
              <w:top w:val="nil"/>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26 223</w:t>
            </w:r>
          </w:p>
        </w:tc>
        <w:tc>
          <w:tcPr>
            <w:tcW w:w="1296" w:type="dxa"/>
            <w:tcBorders>
              <w:top w:val="nil"/>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8 839</w:t>
            </w:r>
          </w:p>
        </w:tc>
        <w:tc>
          <w:tcPr>
            <w:tcW w:w="1224" w:type="dxa"/>
            <w:tcBorders>
              <w:top w:val="nil"/>
              <w:left w:val="nil"/>
              <w:bottom w:val="single" w:sz="4" w:space="0" w:color="auto"/>
              <w:right w:val="nil"/>
            </w:tcBorders>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0</w:t>
            </w:r>
          </w:p>
        </w:tc>
        <w:tc>
          <w:tcPr>
            <w:tcW w:w="163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4 939</w:t>
            </w:r>
          </w:p>
        </w:tc>
      </w:tr>
      <w:tr w:rsidR="004843DB" w:rsidRPr="0062582F" w:rsidTr="00747D28">
        <w:tc>
          <w:tcPr>
            <w:tcW w:w="4050"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color w:val="0000FF"/>
                <w:sz w:val="18"/>
                <w:szCs w:val="18"/>
              </w:rPr>
            </w:pPr>
            <w:r w:rsidRPr="0062582F">
              <w:rPr>
                <w:rFonts w:asciiTheme="minorHAnsi" w:hAnsiTheme="minorHAnsi" w:cstheme="minorHAnsi"/>
                <w:color w:val="0000FF"/>
                <w:sz w:val="18"/>
                <w:szCs w:val="18"/>
              </w:rPr>
              <w:t>Share of net profits/(losses) of associates and joint entities, excluding dividends</w:t>
            </w:r>
          </w:p>
        </w:tc>
        <w:tc>
          <w:tcPr>
            <w:tcW w:w="810" w:type="dxa"/>
            <w:tcBorders>
              <w:top w:val="nil"/>
              <w:left w:val="nil"/>
              <w:bottom w:val="nil"/>
              <w:right w:val="nil"/>
            </w:tcBorders>
          </w:tcPr>
          <w:p w:rsidR="004843DB" w:rsidRPr="0062582F" w:rsidRDefault="004843DB" w:rsidP="004843DB">
            <w:pPr>
              <w:spacing w:before="0"/>
              <w:jc w:val="center"/>
              <w:rPr>
                <w:rFonts w:asciiTheme="minorHAnsi" w:hAnsiTheme="minorHAnsi" w:cstheme="minorHAnsi"/>
                <w:color w:val="0000FF"/>
                <w:sz w:val="18"/>
                <w:szCs w:val="18"/>
              </w:rPr>
            </w:pPr>
            <w:r w:rsidRPr="0062582F">
              <w:rPr>
                <w:rFonts w:asciiTheme="minorHAnsi" w:hAnsiTheme="minorHAnsi" w:cstheme="minorHAnsi"/>
                <w:color w:val="0000FF"/>
                <w:sz w:val="18"/>
                <w:szCs w:val="18"/>
              </w:rPr>
              <w:t>6(c)</w:t>
            </w:r>
          </w:p>
        </w:tc>
        <w:tc>
          <w:tcPr>
            <w:tcW w:w="1170"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1 286</w:t>
            </w:r>
          </w:p>
        </w:tc>
        <w:tc>
          <w:tcPr>
            <w:tcW w:w="1296"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1 397</w:t>
            </w:r>
          </w:p>
        </w:tc>
        <w:tc>
          <w:tcPr>
            <w:tcW w:w="1224" w:type="dxa"/>
            <w:tcBorders>
              <w:top w:val="nil"/>
              <w:left w:val="nil"/>
              <w:bottom w:val="nil"/>
              <w:right w:val="nil"/>
            </w:tcBorders>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(3 900)</w:t>
            </w:r>
          </w:p>
        </w:tc>
        <w:tc>
          <w:tcPr>
            <w:tcW w:w="163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5 297</w:t>
            </w:r>
          </w:p>
        </w:tc>
      </w:tr>
      <w:tr w:rsidR="004843DB" w:rsidRPr="0062582F" w:rsidTr="00747D28">
        <w:tc>
          <w:tcPr>
            <w:tcW w:w="405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color w:val="0000FF"/>
                <w:sz w:val="18"/>
                <w:szCs w:val="18"/>
              </w:rPr>
            </w:pPr>
            <w:r w:rsidRPr="0062582F">
              <w:rPr>
                <w:rFonts w:asciiTheme="minorHAnsi" w:hAnsiTheme="minorHAnsi" w:cstheme="minorHAnsi"/>
                <w:color w:val="0000FF"/>
                <w:sz w:val="18"/>
                <w:szCs w:val="18"/>
              </w:rPr>
              <w:t>Other gains/(losses) from other economic flows</w:t>
            </w:r>
          </w:p>
        </w:tc>
        <w:tc>
          <w:tcPr>
            <w:tcW w:w="810" w:type="dxa"/>
            <w:tcBorders>
              <w:top w:val="nil"/>
              <w:left w:val="nil"/>
              <w:bottom w:val="nil"/>
              <w:right w:val="nil"/>
            </w:tcBorders>
          </w:tcPr>
          <w:p w:rsidR="004843DB" w:rsidRPr="0062582F" w:rsidRDefault="004843DB" w:rsidP="004843DB">
            <w:pPr>
              <w:spacing w:before="0"/>
              <w:jc w:val="center"/>
              <w:rPr>
                <w:rFonts w:asciiTheme="minorHAnsi" w:hAnsiTheme="minorHAnsi" w:cstheme="minorHAnsi"/>
                <w:color w:val="0000FF"/>
                <w:sz w:val="18"/>
                <w:szCs w:val="18"/>
              </w:rPr>
            </w:pPr>
            <w:r w:rsidRPr="0062582F">
              <w:rPr>
                <w:rFonts w:asciiTheme="minorHAnsi" w:hAnsiTheme="minorHAnsi" w:cstheme="minorHAnsi"/>
                <w:color w:val="0000FF"/>
                <w:sz w:val="18"/>
                <w:szCs w:val="18"/>
              </w:rPr>
              <w:t>6(d)</w:t>
            </w:r>
          </w:p>
        </w:tc>
        <w:tc>
          <w:tcPr>
            <w:tcW w:w="1170"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(13 947)</w:t>
            </w:r>
          </w:p>
        </w:tc>
        <w:tc>
          <w:tcPr>
            <w:tcW w:w="1296"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(4 213)</w:t>
            </w:r>
          </w:p>
        </w:tc>
        <w:tc>
          <w:tcPr>
            <w:tcW w:w="1224" w:type="dxa"/>
            <w:tcBorders>
              <w:top w:val="nil"/>
              <w:left w:val="nil"/>
              <w:bottom w:val="nil"/>
              <w:right w:val="nil"/>
            </w:tcBorders>
            <w:vAlign w:val="center"/>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0</w:t>
            </w:r>
          </w:p>
        </w:tc>
        <w:tc>
          <w:tcPr>
            <w:tcW w:w="163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color w:val="0000FF"/>
                <w:sz w:val="18"/>
                <w:szCs w:val="18"/>
              </w:rPr>
            </w:pPr>
            <w:r w:rsidRPr="0062582F">
              <w:rPr>
                <w:rFonts w:asciiTheme="minorHAnsi" w:hAnsiTheme="minorHAnsi" w:cstheme="minorHAnsi"/>
                <w:color w:val="0000FF"/>
                <w:sz w:val="18"/>
                <w:szCs w:val="18"/>
              </w:rPr>
              <w:t>(4 213)</w:t>
            </w:r>
          </w:p>
        </w:tc>
      </w:tr>
      <w:tr w:rsidR="004843DB" w:rsidRPr="0062582F" w:rsidTr="00747D28">
        <w:tc>
          <w:tcPr>
            <w:tcW w:w="405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Total other economic flows included in net result</w:t>
            </w:r>
          </w:p>
        </w:tc>
        <w:tc>
          <w:tcPr>
            <w:tcW w:w="810" w:type="dxa"/>
            <w:tcBorders>
              <w:top w:val="single" w:sz="4" w:space="0" w:color="auto"/>
              <w:left w:val="nil"/>
              <w:bottom w:val="single" w:sz="4" w:space="0" w:color="auto"/>
              <w:right w:val="nil"/>
            </w:tcBorders>
          </w:tcPr>
          <w:p w:rsidR="004843DB" w:rsidRPr="0062582F" w:rsidRDefault="004843DB" w:rsidP="004843DB">
            <w:pPr>
              <w:spacing w:before="0"/>
              <w:jc w:val="center"/>
              <w:rPr>
                <w:rFonts w:asciiTheme="minorHAnsi" w:hAnsiTheme="minorHAnsi" w:cstheme="minorHAnsi"/>
                <w:b/>
                <w:bCs/>
                <w:color w:val="0000FF"/>
                <w:sz w:val="18"/>
                <w:szCs w:val="18"/>
              </w:rPr>
            </w:pPr>
          </w:p>
        </w:tc>
        <w:tc>
          <w:tcPr>
            <w:tcW w:w="1170" w:type="dxa"/>
            <w:tcBorders>
              <w:top w:val="single" w:sz="4" w:space="0" w:color="auto"/>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(12 661)</w:t>
            </w:r>
          </w:p>
        </w:tc>
        <w:tc>
          <w:tcPr>
            <w:tcW w:w="1296" w:type="dxa"/>
            <w:tcBorders>
              <w:top w:val="single" w:sz="4" w:space="0" w:color="auto"/>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(2 816)</w:t>
            </w:r>
          </w:p>
        </w:tc>
        <w:tc>
          <w:tcPr>
            <w:tcW w:w="1224" w:type="dxa"/>
            <w:tcBorders>
              <w:top w:val="single" w:sz="4" w:space="0" w:color="auto"/>
              <w:left w:val="nil"/>
              <w:bottom w:val="single" w:sz="4" w:space="0" w:color="auto"/>
              <w:right w:val="nil"/>
            </w:tcBorders>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(3 900)</w:t>
            </w:r>
          </w:p>
        </w:tc>
        <w:tc>
          <w:tcPr>
            <w:tcW w:w="163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1 084</w:t>
            </w:r>
          </w:p>
        </w:tc>
      </w:tr>
      <w:tr w:rsidR="004843DB" w:rsidRPr="0062582F" w:rsidTr="00747D28">
        <w:tc>
          <w:tcPr>
            <w:tcW w:w="405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Net result from continuing operations</w:t>
            </w:r>
          </w:p>
        </w:tc>
        <w:tc>
          <w:tcPr>
            <w:tcW w:w="810" w:type="dxa"/>
            <w:tcBorders>
              <w:top w:val="nil"/>
              <w:left w:val="nil"/>
              <w:bottom w:val="single" w:sz="4" w:space="0" w:color="auto"/>
              <w:right w:val="nil"/>
            </w:tcBorders>
          </w:tcPr>
          <w:p w:rsidR="004843DB" w:rsidRPr="0062582F" w:rsidRDefault="004843DB" w:rsidP="004843DB">
            <w:pPr>
              <w:spacing w:before="0"/>
              <w:jc w:val="center"/>
              <w:rPr>
                <w:rFonts w:asciiTheme="minorHAnsi" w:hAnsiTheme="minorHAnsi" w:cstheme="minorHAnsi"/>
                <w:b/>
                <w:bCs/>
                <w:color w:val="0000FF"/>
                <w:sz w:val="18"/>
                <w:szCs w:val="18"/>
              </w:rPr>
            </w:pPr>
          </w:p>
        </w:tc>
        <w:tc>
          <w:tcPr>
            <w:tcW w:w="1170" w:type="dxa"/>
            <w:tcBorders>
              <w:top w:val="nil"/>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13 562</w:t>
            </w:r>
          </w:p>
        </w:tc>
        <w:tc>
          <w:tcPr>
            <w:tcW w:w="1296" w:type="dxa"/>
            <w:tcBorders>
              <w:top w:val="nil"/>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6 023</w:t>
            </w:r>
          </w:p>
        </w:tc>
        <w:tc>
          <w:tcPr>
            <w:tcW w:w="1224" w:type="dxa"/>
            <w:tcBorders>
              <w:top w:val="nil"/>
              <w:left w:val="nil"/>
              <w:bottom w:val="single" w:sz="4" w:space="0" w:color="auto"/>
              <w:right w:val="nil"/>
            </w:tcBorders>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0</w:t>
            </w:r>
          </w:p>
        </w:tc>
        <w:tc>
          <w:tcPr>
            <w:tcW w:w="163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6 023</w:t>
            </w:r>
          </w:p>
        </w:tc>
      </w:tr>
      <w:tr w:rsidR="004843DB" w:rsidRPr="0062582F" w:rsidTr="00747D28">
        <w:tc>
          <w:tcPr>
            <w:tcW w:w="4050"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color w:val="0000FF"/>
                <w:sz w:val="18"/>
                <w:szCs w:val="18"/>
              </w:rPr>
            </w:pPr>
            <w:r w:rsidRPr="0062582F">
              <w:rPr>
                <w:rFonts w:asciiTheme="minorHAnsi" w:hAnsiTheme="minorHAnsi" w:cstheme="minorHAnsi"/>
                <w:color w:val="0000FF"/>
                <w:sz w:val="18"/>
                <w:szCs w:val="18"/>
              </w:rPr>
              <w:t>Net result from discontinued operations</w:t>
            </w:r>
          </w:p>
        </w:tc>
        <w:tc>
          <w:tcPr>
            <w:tcW w:w="810" w:type="dxa"/>
            <w:tcBorders>
              <w:top w:val="nil"/>
              <w:left w:val="nil"/>
              <w:bottom w:val="nil"/>
              <w:right w:val="nil"/>
            </w:tcBorders>
          </w:tcPr>
          <w:p w:rsidR="004843DB" w:rsidRPr="0062582F" w:rsidRDefault="004843DB" w:rsidP="004843DB">
            <w:pPr>
              <w:spacing w:before="0"/>
              <w:jc w:val="center"/>
              <w:rPr>
                <w:rFonts w:asciiTheme="minorHAnsi" w:hAnsiTheme="minorHAnsi" w:cstheme="minorHAnsi"/>
                <w:b/>
                <w:bCs/>
                <w:color w:val="0000FF"/>
                <w:sz w:val="18"/>
                <w:szCs w:val="18"/>
              </w:rPr>
            </w:pPr>
            <w:r w:rsidRPr="0062582F">
              <w:rPr>
                <w:rFonts w:asciiTheme="minorHAnsi" w:hAnsiTheme="minorHAnsi" w:cstheme="minorHAnsi"/>
                <w:color w:val="0000FF"/>
                <w:sz w:val="18"/>
                <w:szCs w:val="18"/>
              </w:rPr>
              <w:t>10(c)</w:t>
            </w:r>
          </w:p>
        </w:tc>
        <w:tc>
          <w:tcPr>
            <w:tcW w:w="1170"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1 229</w:t>
            </w:r>
          </w:p>
        </w:tc>
        <w:tc>
          <w:tcPr>
            <w:tcW w:w="1296"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3 856</w:t>
            </w:r>
          </w:p>
        </w:tc>
        <w:tc>
          <w:tcPr>
            <w:tcW w:w="1224" w:type="dxa"/>
            <w:tcBorders>
              <w:top w:val="nil"/>
              <w:left w:val="nil"/>
              <w:bottom w:val="nil"/>
              <w:right w:val="nil"/>
            </w:tcBorders>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0</w:t>
            </w:r>
          </w:p>
        </w:tc>
        <w:tc>
          <w:tcPr>
            <w:tcW w:w="163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3 856</w:t>
            </w:r>
          </w:p>
        </w:tc>
      </w:tr>
      <w:tr w:rsidR="004843DB" w:rsidRPr="0062582F" w:rsidTr="00747D28">
        <w:tc>
          <w:tcPr>
            <w:tcW w:w="405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Net result</w:t>
            </w:r>
          </w:p>
        </w:tc>
        <w:tc>
          <w:tcPr>
            <w:tcW w:w="810" w:type="dxa"/>
            <w:tcBorders>
              <w:top w:val="single" w:sz="4" w:space="0" w:color="auto"/>
              <w:left w:val="nil"/>
              <w:bottom w:val="single" w:sz="4" w:space="0" w:color="auto"/>
              <w:right w:val="nil"/>
            </w:tcBorders>
          </w:tcPr>
          <w:p w:rsidR="004843DB" w:rsidRPr="0062582F" w:rsidRDefault="004843DB" w:rsidP="004843DB">
            <w:pPr>
              <w:spacing w:before="0"/>
              <w:jc w:val="center"/>
              <w:rPr>
                <w:rFonts w:asciiTheme="minorHAnsi" w:hAnsiTheme="minorHAnsi" w:cstheme="minorHAnsi"/>
                <w:b/>
                <w:bCs/>
                <w:color w:val="0000FF"/>
                <w:sz w:val="18"/>
                <w:szCs w:val="18"/>
              </w:rPr>
            </w:pPr>
          </w:p>
        </w:tc>
        <w:tc>
          <w:tcPr>
            <w:tcW w:w="1170" w:type="dxa"/>
            <w:tcBorders>
              <w:top w:val="single" w:sz="4" w:space="0" w:color="auto"/>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14 790</w:t>
            </w:r>
          </w:p>
        </w:tc>
        <w:tc>
          <w:tcPr>
            <w:tcW w:w="1296" w:type="dxa"/>
            <w:tcBorders>
              <w:top w:val="single" w:sz="4" w:space="0" w:color="auto"/>
              <w:left w:val="nil"/>
              <w:bottom w:val="single" w:sz="4" w:space="0" w:color="auto"/>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9 879</w:t>
            </w:r>
          </w:p>
        </w:tc>
        <w:tc>
          <w:tcPr>
            <w:tcW w:w="1224" w:type="dxa"/>
            <w:tcBorders>
              <w:top w:val="single" w:sz="4" w:space="0" w:color="auto"/>
              <w:left w:val="nil"/>
              <w:bottom w:val="single" w:sz="4" w:space="0" w:color="auto"/>
              <w:right w:val="nil"/>
            </w:tcBorders>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0</w:t>
            </w:r>
          </w:p>
        </w:tc>
        <w:tc>
          <w:tcPr>
            <w:tcW w:w="163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9 879</w:t>
            </w:r>
          </w:p>
        </w:tc>
      </w:tr>
      <w:tr w:rsidR="004843DB" w:rsidRPr="0062582F" w:rsidTr="00747D28">
        <w:tc>
          <w:tcPr>
            <w:tcW w:w="4050"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Total other economic flows – other comprehensive income</w:t>
            </w:r>
          </w:p>
        </w:tc>
        <w:tc>
          <w:tcPr>
            <w:tcW w:w="810" w:type="dxa"/>
            <w:tcBorders>
              <w:top w:val="nil"/>
              <w:left w:val="nil"/>
              <w:bottom w:val="nil"/>
              <w:right w:val="nil"/>
            </w:tcBorders>
          </w:tcPr>
          <w:p w:rsidR="004843DB" w:rsidRPr="0062582F" w:rsidRDefault="004843DB" w:rsidP="004843DB">
            <w:pPr>
              <w:spacing w:before="0"/>
              <w:jc w:val="center"/>
              <w:rPr>
                <w:rFonts w:asciiTheme="minorHAnsi" w:hAnsiTheme="minorHAnsi" w:cstheme="minorHAnsi"/>
                <w:b/>
                <w:bCs/>
                <w:color w:val="0000FF"/>
                <w:sz w:val="18"/>
                <w:szCs w:val="18"/>
              </w:rPr>
            </w:pPr>
          </w:p>
        </w:tc>
        <w:tc>
          <w:tcPr>
            <w:tcW w:w="1170"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6 413</w:t>
            </w:r>
          </w:p>
        </w:tc>
        <w:tc>
          <w:tcPr>
            <w:tcW w:w="1296"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4 101</w:t>
            </w:r>
          </w:p>
        </w:tc>
        <w:tc>
          <w:tcPr>
            <w:tcW w:w="1224" w:type="dxa"/>
            <w:tcBorders>
              <w:top w:val="nil"/>
              <w:left w:val="nil"/>
              <w:bottom w:val="nil"/>
              <w:right w:val="nil"/>
            </w:tcBorders>
            <w:vAlign w:val="center"/>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0</w:t>
            </w:r>
          </w:p>
        </w:tc>
        <w:tc>
          <w:tcPr>
            <w:tcW w:w="163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4 101</w:t>
            </w:r>
          </w:p>
        </w:tc>
      </w:tr>
      <w:tr w:rsidR="004843DB" w:rsidRPr="0062582F" w:rsidTr="00747D28">
        <w:tc>
          <w:tcPr>
            <w:tcW w:w="405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Comprehensive result</w:t>
            </w:r>
          </w:p>
        </w:tc>
        <w:tc>
          <w:tcPr>
            <w:tcW w:w="810" w:type="dxa"/>
            <w:tcBorders>
              <w:top w:val="single" w:sz="4" w:space="0" w:color="auto"/>
              <w:left w:val="nil"/>
              <w:bottom w:val="single" w:sz="4" w:space="0" w:color="auto"/>
              <w:right w:val="nil"/>
            </w:tcBorders>
          </w:tcPr>
          <w:p w:rsidR="004843DB" w:rsidRPr="0062582F" w:rsidRDefault="004843DB" w:rsidP="004843DB">
            <w:pPr>
              <w:spacing w:before="0"/>
              <w:jc w:val="center"/>
              <w:rPr>
                <w:rFonts w:asciiTheme="minorHAnsi" w:hAnsiTheme="minorHAnsi" w:cstheme="minorHAnsi"/>
                <w:b/>
                <w:bCs/>
                <w:color w:val="0000FF"/>
                <w:sz w:val="18"/>
                <w:szCs w:val="18"/>
              </w:rPr>
            </w:pPr>
          </w:p>
        </w:tc>
        <w:tc>
          <w:tcPr>
            <w:tcW w:w="1170" w:type="dxa"/>
            <w:tcBorders>
              <w:top w:val="single" w:sz="4" w:space="0" w:color="auto"/>
              <w:left w:val="nil"/>
              <w:bottom w:val="single" w:sz="4" w:space="0" w:color="auto"/>
              <w:right w:val="nil"/>
            </w:tcBorders>
            <w:shd w:val="clear" w:color="auto" w:fill="BFBFBF" w:themeFill="background1" w:themeFillShade="BF"/>
            <w:vAlign w:val="bottom"/>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21 203</w:t>
            </w:r>
          </w:p>
        </w:tc>
        <w:tc>
          <w:tcPr>
            <w:tcW w:w="1296" w:type="dxa"/>
            <w:tcBorders>
              <w:top w:val="single" w:sz="4" w:space="0" w:color="auto"/>
              <w:left w:val="nil"/>
              <w:bottom w:val="single" w:sz="4" w:space="0" w:color="auto"/>
              <w:right w:val="nil"/>
            </w:tcBorders>
            <w:shd w:val="clear" w:color="auto" w:fill="BFBFBF" w:themeFill="background1" w:themeFillShade="BF"/>
            <w:vAlign w:val="bottom"/>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13 980</w:t>
            </w:r>
          </w:p>
        </w:tc>
        <w:tc>
          <w:tcPr>
            <w:tcW w:w="1224" w:type="dxa"/>
            <w:tcBorders>
              <w:top w:val="single" w:sz="4" w:space="0" w:color="auto"/>
              <w:left w:val="nil"/>
              <w:bottom w:val="single" w:sz="4" w:space="0" w:color="auto"/>
              <w:right w:val="nil"/>
            </w:tcBorders>
            <w:vAlign w:val="bottom"/>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0</w:t>
            </w:r>
          </w:p>
        </w:tc>
        <w:tc>
          <w:tcPr>
            <w:tcW w:w="163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4843DB" w:rsidRPr="0062582F" w:rsidRDefault="004843DB" w:rsidP="004843DB">
            <w:pPr>
              <w:spacing w:before="0"/>
              <w:ind w:right="56"/>
              <w:jc w:val="right"/>
              <w:rPr>
                <w:rFonts w:asciiTheme="minorHAnsi" w:hAnsiTheme="minorHAnsi" w:cstheme="minorHAnsi"/>
                <w:b/>
                <w:bCs/>
                <w:color w:val="0000FF"/>
                <w:sz w:val="18"/>
                <w:szCs w:val="18"/>
              </w:rPr>
            </w:pPr>
            <w:r w:rsidRPr="0062582F">
              <w:rPr>
                <w:rFonts w:asciiTheme="minorHAnsi" w:hAnsiTheme="minorHAnsi" w:cstheme="minorHAnsi"/>
                <w:b/>
                <w:bCs/>
                <w:color w:val="0000FF"/>
                <w:sz w:val="18"/>
                <w:szCs w:val="18"/>
              </w:rPr>
              <w:t>13 980</w:t>
            </w:r>
          </w:p>
        </w:tc>
      </w:tr>
    </w:tbl>
    <w:p w:rsidR="004843DB" w:rsidRPr="0062582F" w:rsidRDefault="004843DB" w:rsidP="004843DB">
      <w:pPr>
        <w:spacing w:before="0"/>
        <w:ind w:left="180"/>
      </w:pPr>
    </w:p>
    <w:p w:rsidR="004843DB" w:rsidRPr="0062582F" w:rsidRDefault="004843DB" w:rsidP="004843DB">
      <w:pPr>
        <w:spacing w:before="0"/>
        <w:ind w:left="180"/>
      </w:pPr>
    </w:p>
    <w:p w:rsidR="004843DB" w:rsidRPr="0062582F" w:rsidRDefault="004843DB" w:rsidP="00E348C3">
      <w:pPr>
        <w:pStyle w:val="Tableheading"/>
        <w:ind w:left="0" w:firstLine="0"/>
      </w:pPr>
      <w:r w:rsidRPr="0062582F">
        <w:t xml:space="preserve">Impact of change in accounting policies on the consolidated balance sheet </w:t>
      </w:r>
    </w:p>
    <w:tbl>
      <w:tblPr>
        <w:tblW w:w="10185" w:type="dxa"/>
        <w:tblCellMar>
          <w:left w:w="0" w:type="dxa"/>
          <w:right w:w="0" w:type="dxa"/>
        </w:tblCellMar>
        <w:tblLook w:val="04A0" w:firstRow="1" w:lastRow="0" w:firstColumn="1" w:lastColumn="0" w:noHBand="0" w:noVBand="1"/>
      </w:tblPr>
      <w:tblGrid>
        <w:gridCol w:w="4075"/>
        <w:gridCol w:w="817"/>
        <w:gridCol w:w="1123"/>
        <w:gridCol w:w="1302"/>
        <w:gridCol w:w="1334"/>
        <w:gridCol w:w="1534"/>
      </w:tblGrid>
      <w:tr w:rsidR="004843DB" w:rsidRPr="0062582F" w:rsidTr="00747D28">
        <w:tc>
          <w:tcPr>
            <w:tcW w:w="4075"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bottom"/>
            <w:hideMark/>
          </w:tcPr>
          <w:p w:rsidR="004843DB" w:rsidRPr="0062582F" w:rsidRDefault="004843DB" w:rsidP="004843DB">
            <w:pPr>
              <w:pStyle w:val="TabletextheadingLeft"/>
              <w:rPr>
                <w:color w:val="0000FF"/>
              </w:rPr>
            </w:pPr>
            <w:r w:rsidRPr="0062582F">
              <w:rPr>
                <w:color w:val="0000FF"/>
              </w:rPr>
              <w:t>FOR ILLUSTRATIVE PURPOSES ONLY</w:t>
            </w:r>
          </w:p>
        </w:tc>
        <w:tc>
          <w:tcPr>
            <w:tcW w:w="817" w:type="dxa"/>
            <w:tcBorders>
              <w:top w:val="single" w:sz="8" w:space="0" w:color="auto"/>
              <w:left w:val="nil"/>
              <w:bottom w:val="single" w:sz="8" w:space="0" w:color="auto"/>
              <w:right w:val="nil"/>
            </w:tcBorders>
            <w:vAlign w:val="bottom"/>
          </w:tcPr>
          <w:p w:rsidR="004843DB" w:rsidRPr="0062582F" w:rsidRDefault="004843DB" w:rsidP="004843DB">
            <w:pPr>
              <w:pStyle w:val="TabletextheadingCentred"/>
              <w:rPr>
                <w:color w:val="0000FF"/>
              </w:rPr>
            </w:pPr>
            <w:r w:rsidRPr="0062582F">
              <w:rPr>
                <w:color w:val="0000FF"/>
              </w:rPr>
              <w:t>Notes</w:t>
            </w:r>
          </w:p>
        </w:tc>
        <w:tc>
          <w:tcPr>
            <w:tcW w:w="1123" w:type="dxa"/>
            <w:tcBorders>
              <w:top w:val="single" w:sz="8" w:space="0" w:color="auto"/>
              <w:left w:val="nil"/>
              <w:bottom w:val="single" w:sz="8" w:space="0" w:color="auto"/>
              <w:right w:val="nil"/>
            </w:tcBorders>
            <w:shd w:val="clear" w:color="auto" w:fill="BFBFBF" w:themeFill="background1" w:themeFillShade="BF"/>
            <w:vAlign w:val="bottom"/>
          </w:tcPr>
          <w:p w:rsidR="004843DB" w:rsidRPr="0062582F" w:rsidRDefault="004843DB" w:rsidP="004843DB">
            <w:pPr>
              <w:pStyle w:val="Tabletextheading"/>
              <w:ind w:right="50"/>
              <w:rPr>
                <w:color w:val="0000FF"/>
              </w:rPr>
            </w:pPr>
            <w:r w:rsidRPr="0062582F">
              <w:rPr>
                <w:color w:val="0000FF"/>
              </w:rPr>
              <w:t xml:space="preserve">As at </w:t>
            </w:r>
            <w:r w:rsidRPr="0062582F">
              <w:rPr>
                <w:color w:val="0000FF"/>
              </w:rPr>
              <w:br/>
              <w:t>30 June 2016</w:t>
            </w:r>
          </w:p>
        </w:tc>
        <w:tc>
          <w:tcPr>
            <w:tcW w:w="1302" w:type="dxa"/>
            <w:tcBorders>
              <w:top w:val="single" w:sz="8" w:space="0" w:color="auto"/>
              <w:left w:val="nil"/>
              <w:bottom w:val="single" w:sz="8" w:space="0" w:color="auto"/>
              <w:right w:val="nil"/>
            </w:tcBorders>
            <w:shd w:val="clear" w:color="auto" w:fill="BFBFBF" w:themeFill="background1" w:themeFillShade="BF"/>
            <w:vAlign w:val="bottom"/>
          </w:tcPr>
          <w:p w:rsidR="004843DB" w:rsidRPr="0062582F" w:rsidRDefault="004843DB" w:rsidP="004843DB">
            <w:pPr>
              <w:pStyle w:val="Tabletextheading"/>
              <w:ind w:right="50"/>
              <w:rPr>
                <w:color w:val="0000FF"/>
              </w:rPr>
            </w:pPr>
            <w:r w:rsidRPr="0062582F">
              <w:rPr>
                <w:color w:val="0000FF"/>
              </w:rPr>
              <w:t>As at 30 June 2015 (restated)</w:t>
            </w:r>
          </w:p>
        </w:tc>
        <w:tc>
          <w:tcPr>
            <w:tcW w:w="1334" w:type="dxa"/>
            <w:tcBorders>
              <w:top w:val="single" w:sz="8" w:space="0" w:color="auto"/>
              <w:left w:val="nil"/>
              <w:bottom w:val="single" w:sz="8" w:space="0" w:color="auto"/>
              <w:right w:val="nil"/>
            </w:tcBorders>
            <w:vAlign w:val="bottom"/>
          </w:tcPr>
          <w:p w:rsidR="004843DB" w:rsidRPr="0062582F" w:rsidRDefault="004843DB" w:rsidP="004843DB">
            <w:pPr>
              <w:pStyle w:val="Tabletextheading"/>
              <w:ind w:right="50"/>
              <w:rPr>
                <w:color w:val="0000FF"/>
              </w:rPr>
            </w:pPr>
            <w:r w:rsidRPr="0062582F">
              <w:rPr>
                <w:color w:val="0000FF"/>
              </w:rPr>
              <w:t>Consolidation of Innovation Victoria (100% owned)</w:t>
            </w:r>
          </w:p>
        </w:tc>
        <w:tc>
          <w:tcPr>
            <w:tcW w:w="1534"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bottom"/>
            <w:hideMark/>
          </w:tcPr>
          <w:p w:rsidR="004843DB" w:rsidRPr="0062582F" w:rsidRDefault="004843DB" w:rsidP="004843DB">
            <w:pPr>
              <w:pStyle w:val="Tabletextheading"/>
              <w:ind w:right="50"/>
              <w:rPr>
                <w:color w:val="0000FF"/>
              </w:rPr>
            </w:pPr>
            <w:r w:rsidRPr="0062582F">
              <w:rPr>
                <w:color w:val="0000FF"/>
              </w:rPr>
              <w:t>As at 30 June 2015 (as previously reported)</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b/>
                <w:bCs/>
                <w:color w:val="0000FF"/>
                <w:sz w:val="18"/>
                <w:szCs w:val="18"/>
              </w:rPr>
            </w:pPr>
            <w:r w:rsidRPr="0062582F">
              <w:rPr>
                <w:rFonts w:ascii="Calibri" w:hAnsi="Calibri" w:cs="Calibri"/>
                <w:b/>
                <w:bCs/>
                <w:color w:val="0000FF"/>
                <w:sz w:val="18"/>
                <w:szCs w:val="18"/>
              </w:rPr>
              <w:t>Assets</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
                <w:iCs/>
                <w:color w:val="0000FF"/>
                <w:sz w:val="18"/>
                <w:szCs w:val="18"/>
              </w:rPr>
            </w:pP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
                <w:iCs/>
                <w:color w:val="0000FF"/>
                <w:sz w:val="18"/>
                <w:szCs w:val="18"/>
              </w:rPr>
            </w:pPr>
            <w:r w:rsidRPr="0062582F">
              <w:rPr>
                <w:rFonts w:ascii="Calibri" w:hAnsi="Calibri" w:cs="Calibri"/>
                <w:i/>
                <w:iCs/>
                <w:color w:val="0000FF"/>
                <w:sz w:val="18"/>
                <w:szCs w:val="18"/>
              </w:rPr>
              <w:t xml:space="preserve"> </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0"/>
              <w:rPr>
                <w:color w:val="0000FF"/>
                <w:sz w:val="20"/>
                <w:szCs w:val="20"/>
              </w:rPr>
            </w:pPr>
            <w:r w:rsidRPr="0062582F">
              <w:rPr>
                <w:rFonts w:ascii="Calibri" w:hAnsi="Calibri" w:cs="Calibri"/>
                <w:color w:val="0000FF"/>
                <w:sz w:val="18"/>
                <w:szCs w:val="18"/>
              </w:rPr>
              <w:t xml:space="preserve"> </w:t>
            </w:r>
          </w:p>
        </w:tc>
        <w:tc>
          <w:tcPr>
            <w:tcW w:w="1334" w:type="dxa"/>
            <w:tcBorders>
              <w:top w:val="nil"/>
              <w:left w:val="nil"/>
              <w:bottom w:val="nil"/>
              <w:right w:val="nil"/>
            </w:tcBorders>
            <w:vAlign w:val="center"/>
          </w:tcPr>
          <w:p w:rsidR="004843DB" w:rsidRPr="0062582F" w:rsidRDefault="004843DB" w:rsidP="004843DB">
            <w:pPr>
              <w:spacing w:before="0"/>
              <w:ind w:right="50"/>
              <w:rPr>
                <w:color w:val="0000FF"/>
                <w:sz w:val="20"/>
                <w:szCs w:val="20"/>
              </w:rPr>
            </w:pP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0"/>
              <w:rPr>
                <w:color w:val="0000FF"/>
                <w:sz w:val="20"/>
                <w:szCs w:val="20"/>
              </w:rPr>
            </w:pP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i/>
                <w:iCs/>
                <w:color w:val="0000FF"/>
                <w:sz w:val="18"/>
                <w:szCs w:val="18"/>
              </w:rPr>
            </w:pPr>
            <w:r w:rsidRPr="0062582F">
              <w:rPr>
                <w:rFonts w:ascii="Calibri" w:hAnsi="Calibri" w:cs="Calibri"/>
                <w:i/>
                <w:iCs/>
                <w:color w:val="0000FF"/>
                <w:sz w:val="18"/>
                <w:szCs w:val="18"/>
              </w:rPr>
              <w:t>Financial assets</w:t>
            </w:r>
            <w:r w:rsidRPr="0062582F">
              <w:rPr>
                <w:rFonts w:ascii="Calibri" w:hAnsi="Calibri" w:cs="Calibri"/>
                <w:color w:val="0000FF"/>
                <w:sz w:val="18"/>
                <w:szCs w:val="18"/>
              </w:rPr>
              <w:t xml:space="preserve"> </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
                <w:iCs/>
                <w:color w:val="0000FF"/>
                <w:sz w:val="18"/>
                <w:szCs w:val="18"/>
              </w:rPr>
            </w:pP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
                <w:iCs/>
                <w:color w:val="0000FF"/>
                <w:sz w:val="18"/>
                <w:szCs w:val="18"/>
              </w:rPr>
            </w:pPr>
            <w:r w:rsidRPr="0062582F">
              <w:rPr>
                <w:rFonts w:ascii="Calibri" w:hAnsi="Calibri" w:cs="Calibri"/>
                <w:i/>
                <w:iCs/>
                <w:color w:val="0000FF"/>
                <w:sz w:val="18"/>
                <w:szCs w:val="18"/>
              </w:rPr>
              <w:t xml:space="preserve"> </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0"/>
              <w:rPr>
                <w:rFonts w:ascii="Calibri" w:hAnsi="Calibri" w:cs="Calibri"/>
                <w:i/>
                <w:iCs/>
                <w:color w:val="0000FF"/>
                <w:sz w:val="18"/>
                <w:szCs w:val="18"/>
              </w:rPr>
            </w:pPr>
            <w:r w:rsidRPr="0062582F">
              <w:rPr>
                <w:rFonts w:ascii="Calibri" w:hAnsi="Calibri" w:cs="Calibri"/>
                <w:color w:val="0000FF"/>
                <w:sz w:val="18"/>
                <w:szCs w:val="18"/>
              </w:rPr>
              <w:t> </w:t>
            </w:r>
          </w:p>
        </w:tc>
        <w:tc>
          <w:tcPr>
            <w:tcW w:w="1334" w:type="dxa"/>
            <w:tcBorders>
              <w:top w:val="nil"/>
              <w:left w:val="nil"/>
              <w:bottom w:val="nil"/>
              <w:right w:val="nil"/>
            </w:tcBorders>
            <w:vAlign w:val="center"/>
          </w:tcPr>
          <w:p w:rsidR="004843DB" w:rsidRPr="0062582F" w:rsidRDefault="004843DB" w:rsidP="004843DB">
            <w:pPr>
              <w:spacing w:before="0"/>
              <w:ind w:right="50"/>
              <w:rPr>
                <w:rFonts w:ascii="Calibri" w:hAnsi="Calibri" w:cs="Calibri"/>
                <w:i/>
                <w:iCs/>
                <w:color w:val="0000FF"/>
                <w:sz w:val="18"/>
                <w:szCs w:val="18"/>
              </w:rPr>
            </w:pP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0"/>
              <w:rPr>
                <w:rFonts w:ascii="Calibri" w:hAnsi="Calibri" w:cs="Calibri"/>
                <w:i/>
                <w:iCs/>
                <w:color w:val="0000FF"/>
                <w:sz w:val="18"/>
                <w:szCs w:val="18"/>
              </w:rPr>
            </w:pP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Cash and deposits</w:t>
            </w:r>
          </w:p>
        </w:tc>
        <w:tc>
          <w:tcPr>
            <w:tcW w:w="817" w:type="dxa"/>
            <w:tcBorders>
              <w:top w:val="nil"/>
              <w:left w:val="nil"/>
              <w:bottom w:val="nil"/>
              <w:right w:val="nil"/>
            </w:tcBorders>
          </w:tcPr>
          <w:p w:rsidR="004843DB" w:rsidRPr="0062582F" w:rsidRDefault="004843DB" w:rsidP="004843DB">
            <w:pPr>
              <w:spacing w:before="0" w:after="30"/>
              <w:jc w:val="center"/>
              <w:rPr>
                <w:rFonts w:ascii="Calibri" w:hAnsi="Calibri" w:cs="Calibri"/>
                <w:color w:val="0000FF"/>
                <w:sz w:val="18"/>
                <w:szCs w:val="18"/>
              </w:rPr>
            </w:pPr>
            <w:r w:rsidRPr="0062582F">
              <w:rPr>
                <w:rFonts w:ascii="Calibri" w:hAnsi="Calibri" w:cs="Calibri"/>
                <w:color w:val="0000FF"/>
                <w:sz w:val="18"/>
                <w:szCs w:val="18"/>
              </w:rPr>
              <w:t>34(a)</w:t>
            </w: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59 528</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48 648</w:t>
            </w:r>
          </w:p>
        </w:tc>
        <w:tc>
          <w:tcPr>
            <w:tcW w:w="1334" w:type="dxa"/>
            <w:tcBorders>
              <w:top w:val="nil"/>
              <w:left w:val="nil"/>
              <w:bottom w:val="nil"/>
              <w:right w:val="nil"/>
            </w:tcBorders>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(800)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noProof/>
                <w:color w:val="0000FF"/>
                <w:sz w:val="18"/>
                <w:szCs w:val="18"/>
              </w:rPr>
            </w:pPr>
            <w:r w:rsidRPr="0062582F">
              <w:rPr>
                <w:rFonts w:ascii="Calibri" w:hAnsi="Calibri" w:cs="Calibri"/>
                <w:color w:val="0000FF"/>
                <w:sz w:val="18"/>
                <w:szCs w:val="18"/>
              </w:rPr>
              <w:t>47 848</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Receivables</w:t>
            </w:r>
          </w:p>
        </w:tc>
        <w:tc>
          <w:tcPr>
            <w:tcW w:w="817" w:type="dxa"/>
            <w:tcBorders>
              <w:top w:val="nil"/>
              <w:left w:val="nil"/>
              <w:bottom w:val="nil"/>
              <w:right w:val="nil"/>
            </w:tcBorders>
          </w:tcPr>
          <w:p w:rsidR="004843DB" w:rsidRPr="0062582F" w:rsidRDefault="004843DB" w:rsidP="004843DB">
            <w:pPr>
              <w:spacing w:before="0" w:after="30"/>
              <w:jc w:val="center"/>
              <w:rPr>
                <w:rFonts w:ascii="Calibri" w:hAnsi="Calibri" w:cs="Calibri"/>
                <w:color w:val="0000FF"/>
                <w:sz w:val="18"/>
                <w:szCs w:val="18"/>
              </w:rPr>
            </w:pPr>
            <w:r w:rsidRPr="0062582F">
              <w:rPr>
                <w:rFonts w:ascii="Calibri" w:hAnsi="Calibri" w:cs="Calibri"/>
                <w:color w:val="0000FF"/>
                <w:sz w:val="18"/>
                <w:szCs w:val="18"/>
              </w:rPr>
              <w:t>11</w:t>
            </w: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36 045</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20 544</w:t>
            </w:r>
          </w:p>
        </w:tc>
        <w:tc>
          <w:tcPr>
            <w:tcW w:w="1334" w:type="dxa"/>
            <w:tcBorders>
              <w:top w:val="nil"/>
              <w:left w:val="nil"/>
              <w:bottom w:val="nil"/>
              <w:right w:val="nil"/>
            </w:tcBorders>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(2 000)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noProof/>
                <w:color w:val="0000FF"/>
                <w:sz w:val="18"/>
                <w:szCs w:val="18"/>
              </w:rPr>
            </w:pPr>
            <w:r w:rsidRPr="0062582F">
              <w:rPr>
                <w:rFonts w:ascii="Calibri" w:hAnsi="Calibri" w:cs="Calibri"/>
                <w:color w:val="0000FF"/>
                <w:sz w:val="18"/>
                <w:szCs w:val="18"/>
              </w:rPr>
              <w:t>22 544</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Investments accounted for using equity method</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r w:rsidRPr="0062582F">
              <w:rPr>
                <w:rFonts w:ascii="Calibri" w:hAnsi="Calibri" w:cs="Calibri"/>
                <w:iCs/>
                <w:color w:val="0000FF"/>
                <w:sz w:val="18"/>
                <w:szCs w:val="18"/>
              </w:rPr>
              <w:t>13</w:t>
            </w: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5 187</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6 112</w:t>
            </w:r>
          </w:p>
        </w:tc>
        <w:tc>
          <w:tcPr>
            <w:tcW w:w="1334" w:type="dxa"/>
            <w:tcBorders>
              <w:top w:val="nil"/>
              <w:left w:val="nil"/>
              <w:bottom w:val="nil"/>
              <w:right w:val="nil"/>
            </w:tcBorders>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6 000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noProof/>
                <w:color w:val="0000FF"/>
                <w:sz w:val="18"/>
                <w:szCs w:val="18"/>
              </w:rPr>
            </w:pPr>
            <w:r w:rsidRPr="0062582F">
              <w:rPr>
                <w:rFonts w:ascii="Calibri" w:hAnsi="Calibri" w:cs="Calibri"/>
                <w:color w:val="0000FF"/>
                <w:sz w:val="18"/>
                <w:szCs w:val="18"/>
              </w:rPr>
              <w:t>112</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Other financial assets</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22 548</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28 488</w:t>
            </w:r>
          </w:p>
        </w:tc>
        <w:tc>
          <w:tcPr>
            <w:tcW w:w="1334" w:type="dxa"/>
            <w:tcBorders>
              <w:top w:val="nil"/>
              <w:left w:val="nil"/>
              <w:bottom w:val="nil"/>
              <w:right w:val="nil"/>
            </w:tcBorders>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noProof/>
                <w:color w:val="0000FF"/>
                <w:sz w:val="18"/>
                <w:szCs w:val="18"/>
              </w:rPr>
            </w:pPr>
            <w:r w:rsidRPr="0062582F">
              <w:rPr>
                <w:rFonts w:ascii="Calibri" w:hAnsi="Calibri" w:cs="Calibri"/>
                <w:color w:val="0000FF"/>
                <w:sz w:val="18"/>
                <w:szCs w:val="18"/>
              </w:rPr>
              <w:t>28 488</w:t>
            </w:r>
          </w:p>
        </w:tc>
      </w:tr>
      <w:tr w:rsidR="004843DB" w:rsidRPr="0062582F" w:rsidTr="00747D28">
        <w:tc>
          <w:tcPr>
            <w:tcW w:w="4075"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b/>
                <w:bCs/>
                <w:color w:val="0000FF"/>
                <w:sz w:val="18"/>
                <w:szCs w:val="18"/>
              </w:rPr>
            </w:pPr>
            <w:r w:rsidRPr="0062582F">
              <w:rPr>
                <w:rFonts w:ascii="Calibri" w:hAnsi="Calibri" w:cs="Calibri"/>
                <w:b/>
                <w:bCs/>
                <w:color w:val="0000FF"/>
                <w:sz w:val="18"/>
                <w:szCs w:val="18"/>
              </w:rPr>
              <w:t>Total financial assets</w:t>
            </w:r>
          </w:p>
        </w:tc>
        <w:tc>
          <w:tcPr>
            <w:tcW w:w="817" w:type="dxa"/>
            <w:tcBorders>
              <w:top w:val="single" w:sz="8" w:space="0" w:color="auto"/>
              <w:left w:val="nil"/>
              <w:bottom w:val="single" w:sz="8" w:space="0" w:color="auto"/>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single" w:sz="8"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123 308</w:t>
            </w:r>
          </w:p>
        </w:tc>
        <w:tc>
          <w:tcPr>
            <w:tcW w:w="1302" w:type="dxa"/>
            <w:tcBorders>
              <w:top w:val="single" w:sz="8" w:space="0" w:color="auto"/>
              <w:left w:val="nil"/>
              <w:bottom w:val="single" w:sz="8" w:space="0" w:color="auto"/>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b/>
                <w:bCs/>
                <w:color w:val="0000FF"/>
                <w:sz w:val="18"/>
                <w:szCs w:val="18"/>
              </w:rPr>
            </w:pPr>
            <w:r w:rsidRPr="0062582F">
              <w:rPr>
                <w:rFonts w:ascii="Calibri" w:hAnsi="Calibri" w:cs="Calibri"/>
                <w:b/>
                <w:bCs/>
                <w:color w:val="0000FF"/>
                <w:sz w:val="18"/>
                <w:szCs w:val="18"/>
              </w:rPr>
              <w:t>103 792</w:t>
            </w:r>
          </w:p>
        </w:tc>
        <w:tc>
          <w:tcPr>
            <w:tcW w:w="1334" w:type="dxa"/>
            <w:tcBorders>
              <w:top w:val="single" w:sz="8" w:space="0" w:color="auto"/>
              <w:left w:val="nil"/>
              <w:bottom w:val="single" w:sz="8" w:space="0" w:color="auto"/>
              <w:right w:val="nil"/>
            </w:tcBorders>
            <w:vAlign w:val="center"/>
          </w:tcPr>
          <w:p w:rsidR="004843DB" w:rsidRPr="0062582F" w:rsidRDefault="004843DB" w:rsidP="004843DB">
            <w:pPr>
              <w:spacing w:before="0" w:after="30"/>
              <w:ind w:right="50"/>
              <w:jc w:val="right"/>
              <w:rPr>
                <w:rFonts w:ascii="Calibri" w:hAnsi="Calibri" w:cs="Calibri"/>
                <w:b/>
                <w:bCs/>
                <w:color w:val="0000FF"/>
                <w:sz w:val="18"/>
                <w:szCs w:val="18"/>
              </w:rPr>
            </w:pPr>
            <w:r w:rsidRPr="0062582F">
              <w:rPr>
                <w:rFonts w:ascii="Calibri" w:hAnsi="Calibri" w:cs="Calibri"/>
                <w:b/>
                <w:bCs/>
                <w:color w:val="0000FF"/>
                <w:sz w:val="18"/>
                <w:szCs w:val="18"/>
              </w:rPr>
              <w:t>4 800</w:t>
            </w:r>
          </w:p>
        </w:tc>
        <w:tc>
          <w:tcPr>
            <w:tcW w:w="1534"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b/>
                <w:bCs/>
                <w:noProof/>
                <w:color w:val="0000FF"/>
                <w:sz w:val="18"/>
                <w:szCs w:val="18"/>
              </w:rPr>
            </w:pPr>
            <w:r w:rsidRPr="0062582F">
              <w:rPr>
                <w:rFonts w:ascii="Calibri" w:hAnsi="Calibri" w:cs="Calibri"/>
                <w:b/>
                <w:bCs/>
                <w:color w:val="0000FF"/>
                <w:sz w:val="18"/>
                <w:szCs w:val="18"/>
              </w:rPr>
              <w:t>98 992</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i/>
                <w:iCs/>
                <w:color w:val="0000FF"/>
                <w:sz w:val="18"/>
                <w:szCs w:val="18"/>
              </w:rPr>
            </w:pPr>
            <w:r w:rsidRPr="0062582F">
              <w:rPr>
                <w:rFonts w:ascii="Calibri" w:hAnsi="Calibri" w:cs="Calibri"/>
                <w:i/>
                <w:iCs/>
                <w:color w:val="0000FF"/>
                <w:sz w:val="18"/>
                <w:szCs w:val="18"/>
              </w:rPr>
              <w:t>Non</w:t>
            </w:r>
            <w:r w:rsidR="005A4BB0">
              <w:rPr>
                <w:rFonts w:ascii="Calibri" w:hAnsi="Calibri" w:cs="Calibri"/>
                <w:i/>
                <w:iCs/>
                <w:color w:val="0000FF"/>
                <w:sz w:val="18"/>
                <w:szCs w:val="18"/>
              </w:rPr>
              <w:noBreakHyphen/>
            </w:r>
            <w:r w:rsidRPr="0062582F">
              <w:rPr>
                <w:rFonts w:ascii="Calibri" w:hAnsi="Calibri" w:cs="Calibri"/>
                <w:i/>
                <w:iCs/>
                <w:color w:val="0000FF"/>
                <w:sz w:val="18"/>
                <w:szCs w:val="18"/>
              </w:rPr>
              <w:t xml:space="preserve">financial assets </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 xml:space="preserve"> </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0"/>
              <w:rPr>
                <w:color w:val="0000FF"/>
                <w:sz w:val="20"/>
                <w:szCs w:val="20"/>
              </w:rPr>
            </w:pPr>
            <w:r w:rsidRPr="0062582F">
              <w:rPr>
                <w:rFonts w:ascii="Calibri" w:hAnsi="Calibri" w:cs="Calibri"/>
                <w:color w:val="0000FF"/>
                <w:sz w:val="18"/>
                <w:szCs w:val="18"/>
              </w:rPr>
              <w:t> </w:t>
            </w:r>
          </w:p>
        </w:tc>
        <w:tc>
          <w:tcPr>
            <w:tcW w:w="1334" w:type="dxa"/>
            <w:tcBorders>
              <w:top w:val="nil"/>
              <w:left w:val="nil"/>
              <w:bottom w:val="nil"/>
              <w:right w:val="nil"/>
            </w:tcBorders>
            <w:vAlign w:val="center"/>
          </w:tcPr>
          <w:p w:rsidR="004843DB" w:rsidRPr="0062582F" w:rsidRDefault="004843DB" w:rsidP="004843DB">
            <w:pPr>
              <w:spacing w:before="0"/>
              <w:ind w:right="50"/>
              <w:rPr>
                <w:color w:val="0000FF"/>
                <w:sz w:val="20"/>
                <w:szCs w:val="20"/>
              </w:rPr>
            </w:pP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0"/>
              <w:rPr>
                <w:color w:val="0000FF"/>
                <w:sz w:val="20"/>
                <w:szCs w:val="20"/>
              </w:rPr>
            </w:pP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Inventories</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r w:rsidRPr="0062582F">
              <w:rPr>
                <w:rFonts w:ascii="Calibri" w:hAnsi="Calibri" w:cs="Calibri"/>
                <w:iCs/>
                <w:color w:val="0000FF"/>
                <w:sz w:val="18"/>
                <w:szCs w:val="18"/>
              </w:rPr>
              <w:t>16</w:t>
            </w: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12 056</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19 733</w:t>
            </w:r>
          </w:p>
        </w:tc>
        <w:tc>
          <w:tcPr>
            <w:tcW w:w="1334" w:type="dxa"/>
            <w:tcBorders>
              <w:top w:val="nil"/>
              <w:left w:val="nil"/>
              <w:bottom w:val="nil"/>
              <w:right w:val="nil"/>
            </w:tcBorders>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noProof/>
                <w:color w:val="0000FF"/>
                <w:sz w:val="18"/>
                <w:szCs w:val="18"/>
              </w:rPr>
            </w:pPr>
            <w:r w:rsidRPr="0062582F">
              <w:rPr>
                <w:rFonts w:ascii="Calibri" w:hAnsi="Calibri" w:cs="Calibri"/>
                <w:color w:val="0000FF"/>
                <w:sz w:val="18"/>
                <w:szCs w:val="18"/>
              </w:rPr>
              <w:t>19 733</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Property, plant and equipment</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r w:rsidRPr="0062582F">
              <w:rPr>
                <w:rFonts w:ascii="Calibri" w:hAnsi="Calibri" w:cs="Calibri"/>
                <w:iCs/>
                <w:color w:val="0000FF"/>
                <w:sz w:val="18"/>
                <w:szCs w:val="18"/>
              </w:rPr>
              <w:t>17</w:t>
            </w: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83 044</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76 807</w:t>
            </w:r>
          </w:p>
        </w:tc>
        <w:tc>
          <w:tcPr>
            <w:tcW w:w="1334" w:type="dxa"/>
            <w:tcBorders>
              <w:top w:val="nil"/>
              <w:left w:val="nil"/>
              <w:bottom w:val="nil"/>
              <w:right w:val="nil"/>
            </w:tcBorders>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5 200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noProof/>
                <w:color w:val="0000FF"/>
                <w:sz w:val="18"/>
                <w:szCs w:val="18"/>
              </w:rPr>
            </w:pPr>
            <w:r w:rsidRPr="0062582F">
              <w:rPr>
                <w:rFonts w:ascii="Calibri" w:hAnsi="Calibri" w:cs="Calibri"/>
                <w:color w:val="0000FF"/>
                <w:sz w:val="18"/>
                <w:szCs w:val="18"/>
              </w:rPr>
              <w:t>71 607</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Other non</w:t>
            </w:r>
            <w:r w:rsidR="005A4BB0">
              <w:rPr>
                <w:rFonts w:ascii="Calibri" w:hAnsi="Calibri" w:cs="Calibri"/>
                <w:color w:val="0000FF"/>
                <w:sz w:val="18"/>
                <w:szCs w:val="18"/>
              </w:rPr>
              <w:noBreakHyphen/>
            </w:r>
            <w:r w:rsidRPr="0062582F">
              <w:rPr>
                <w:rFonts w:ascii="Calibri" w:hAnsi="Calibri" w:cs="Calibri"/>
                <w:color w:val="0000FF"/>
                <w:sz w:val="18"/>
                <w:szCs w:val="18"/>
              </w:rPr>
              <w:t>financial assets</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22 826</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27 455</w:t>
            </w:r>
          </w:p>
        </w:tc>
        <w:tc>
          <w:tcPr>
            <w:tcW w:w="1334" w:type="dxa"/>
            <w:tcBorders>
              <w:top w:val="nil"/>
              <w:left w:val="nil"/>
              <w:bottom w:val="nil"/>
              <w:right w:val="nil"/>
            </w:tcBorders>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noProof/>
                <w:color w:val="0000FF"/>
                <w:sz w:val="18"/>
                <w:szCs w:val="18"/>
              </w:rPr>
            </w:pPr>
            <w:r w:rsidRPr="0062582F">
              <w:rPr>
                <w:rFonts w:ascii="Calibri" w:hAnsi="Calibri" w:cs="Calibri"/>
                <w:color w:val="0000FF"/>
                <w:sz w:val="18"/>
                <w:szCs w:val="18"/>
              </w:rPr>
              <w:t>27 455</w:t>
            </w:r>
          </w:p>
        </w:tc>
      </w:tr>
      <w:tr w:rsidR="004843DB" w:rsidRPr="0062582F" w:rsidTr="00747D28">
        <w:tc>
          <w:tcPr>
            <w:tcW w:w="4075"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b/>
                <w:bCs/>
                <w:color w:val="0000FF"/>
                <w:sz w:val="18"/>
                <w:szCs w:val="18"/>
              </w:rPr>
            </w:pPr>
            <w:r w:rsidRPr="0062582F">
              <w:rPr>
                <w:rFonts w:ascii="Calibri" w:hAnsi="Calibri" w:cs="Calibri"/>
                <w:b/>
                <w:bCs/>
                <w:color w:val="0000FF"/>
                <w:sz w:val="18"/>
                <w:szCs w:val="18"/>
              </w:rPr>
              <w:t>Total non</w:t>
            </w:r>
            <w:r w:rsidR="005A4BB0">
              <w:rPr>
                <w:rFonts w:ascii="Calibri" w:hAnsi="Calibri" w:cs="Calibri"/>
                <w:b/>
                <w:bCs/>
                <w:color w:val="0000FF"/>
                <w:sz w:val="18"/>
                <w:szCs w:val="18"/>
              </w:rPr>
              <w:noBreakHyphen/>
            </w:r>
            <w:r w:rsidRPr="0062582F">
              <w:rPr>
                <w:rFonts w:ascii="Calibri" w:hAnsi="Calibri" w:cs="Calibri"/>
                <w:b/>
                <w:bCs/>
                <w:color w:val="0000FF"/>
                <w:sz w:val="18"/>
                <w:szCs w:val="18"/>
              </w:rPr>
              <w:t>financial assets</w:t>
            </w:r>
          </w:p>
        </w:tc>
        <w:tc>
          <w:tcPr>
            <w:tcW w:w="817" w:type="dxa"/>
            <w:tcBorders>
              <w:top w:val="single" w:sz="8" w:space="0" w:color="auto"/>
              <w:left w:val="nil"/>
              <w:bottom w:val="single" w:sz="8" w:space="0" w:color="auto"/>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single" w:sz="8"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117 926</w:t>
            </w:r>
          </w:p>
        </w:tc>
        <w:tc>
          <w:tcPr>
            <w:tcW w:w="1302" w:type="dxa"/>
            <w:tcBorders>
              <w:top w:val="single" w:sz="8" w:space="0" w:color="auto"/>
              <w:left w:val="nil"/>
              <w:bottom w:val="single" w:sz="8" w:space="0" w:color="auto"/>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b/>
                <w:bCs/>
                <w:color w:val="0000FF"/>
                <w:sz w:val="18"/>
                <w:szCs w:val="18"/>
              </w:rPr>
            </w:pPr>
            <w:r w:rsidRPr="0062582F">
              <w:rPr>
                <w:rFonts w:ascii="Calibri" w:hAnsi="Calibri" w:cs="Calibri"/>
                <w:b/>
                <w:bCs/>
                <w:color w:val="0000FF"/>
                <w:sz w:val="18"/>
                <w:szCs w:val="18"/>
              </w:rPr>
              <w:t>123 995</w:t>
            </w:r>
          </w:p>
        </w:tc>
        <w:tc>
          <w:tcPr>
            <w:tcW w:w="1334" w:type="dxa"/>
            <w:tcBorders>
              <w:top w:val="single" w:sz="8" w:space="0" w:color="auto"/>
              <w:left w:val="nil"/>
              <w:bottom w:val="single" w:sz="8" w:space="0" w:color="auto"/>
              <w:right w:val="nil"/>
            </w:tcBorders>
            <w:vAlign w:val="center"/>
          </w:tcPr>
          <w:p w:rsidR="004843DB" w:rsidRPr="0062582F" w:rsidRDefault="004843DB" w:rsidP="004843DB">
            <w:pPr>
              <w:spacing w:before="0" w:after="30"/>
              <w:ind w:right="50"/>
              <w:jc w:val="right"/>
              <w:rPr>
                <w:rFonts w:ascii="Calibri" w:hAnsi="Calibri" w:cs="Calibri"/>
                <w:b/>
                <w:bCs/>
                <w:color w:val="0000FF"/>
                <w:sz w:val="18"/>
                <w:szCs w:val="18"/>
              </w:rPr>
            </w:pPr>
            <w:r w:rsidRPr="0062582F">
              <w:rPr>
                <w:rFonts w:ascii="Calibri" w:hAnsi="Calibri" w:cs="Calibri"/>
                <w:b/>
                <w:bCs/>
                <w:color w:val="0000FF"/>
                <w:sz w:val="18"/>
                <w:szCs w:val="18"/>
              </w:rPr>
              <w:t>5 200</w:t>
            </w:r>
          </w:p>
        </w:tc>
        <w:tc>
          <w:tcPr>
            <w:tcW w:w="1534"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b/>
                <w:bCs/>
                <w:noProof/>
                <w:color w:val="0000FF"/>
                <w:sz w:val="18"/>
                <w:szCs w:val="18"/>
              </w:rPr>
            </w:pPr>
            <w:r w:rsidRPr="0062582F">
              <w:rPr>
                <w:rFonts w:ascii="Calibri" w:hAnsi="Calibri" w:cs="Calibri"/>
                <w:b/>
                <w:bCs/>
                <w:color w:val="0000FF"/>
                <w:sz w:val="18"/>
                <w:szCs w:val="18"/>
              </w:rPr>
              <w:t>118 795</w:t>
            </w:r>
          </w:p>
        </w:tc>
      </w:tr>
      <w:tr w:rsidR="004843DB" w:rsidRPr="0062582F" w:rsidTr="00747D28">
        <w:tc>
          <w:tcPr>
            <w:tcW w:w="407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b/>
                <w:bCs/>
                <w:color w:val="0000FF"/>
                <w:sz w:val="18"/>
                <w:szCs w:val="18"/>
              </w:rPr>
            </w:pPr>
            <w:r w:rsidRPr="0062582F">
              <w:rPr>
                <w:rFonts w:ascii="Calibri" w:hAnsi="Calibri" w:cs="Calibri"/>
                <w:b/>
                <w:bCs/>
                <w:color w:val="0000FF"/>
                <w:sz w:val="18"/>
                <w:szCs w:val="18"/>
              </w:rPr>
              <w:t>Total assets</w:t>
            </w:r>
          </w:p>
        </w:tc>
        <w:tc>
          <w:tcPr>
            <w:tcW w:w="817" w:type="dxa"/>
            <w:tcBorders>
              <w:top w:val="nil"/>
              <w:left w:val="nil"/>
              <w:bottom w:val="single" w:sz="8" w:space="0" w:color="auto"/>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nil"/>
              <w:left w:val="nil"/>
              <w:bottom w:val="single" w:sz="8" w:space="0" w:color="auto"/>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241 234</w:t>
            </w:r>
          </w:p>
        </w:tc>
        <w:tc>
          <w:tcPr>
            <w:tcW w:w="1302" w:type="dxa"/>
            <w:tcBorders>
              <w:top w:val="nil"/>
              <w:left w:val="nil"/>
              <w:bottom w:val="single" w:sz="8" w:space="0" w:color="auto"/>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b/>
                <w:bCs/>
                <w:color w:val="0000FF"/>
                <w:sz w:val="18"/>
                <w:szCs w:val="18"/>
              </w:rPr>
            </w:pPr>
            <w:r w:rsidRPr="0062582F">
              <w:rPr>
                <w:rFonts w:ascii="Calibri" w:hAnsi="Calibri" w:cs="Calibri"/>
                <w:b/>
                <w:bCs/>
                <w:color w:val="0000FF"/>
                <w:sz w:val="18"/>
                <w:szCs w:val="18"/>
              </w:rPr>
              <w:t>227 787</w:t>
            </w:r>
          </w:p>
        </w:tc>
        <w:tc>
          <w:tcPr>
            <w:tcW w:w="1334" w:type="dxa"/>
            <w:tcBorders>
              <w:top w:val="nil"/>
              <w:left w:val="nil"/>
              <w:bottom w:val="single" w:sz="8" w:space="0" w:color="auto"/>
              <w:right w:val="nil"/>
            </w:tcBorders>
            <w:vAlign w:val="center"/>
          </w:tcPr>
          <w:p w:rsidR="004843DB" w:rsidRPr="0062582F" w:rsidRDefault="004843DB" w:rsidP="004843DB">
            <w:pPr>
              <w:spacing w:before="0" w:after="30"/>
              <w:ind w:right="50"/>
              <w:jc w:val="right"/>
              <w:rPr>
                <w:rFonts w:ascii="Calibri" w:hAnsi="Calibri" w:cs="Calibri"/>
                <w:b/>
                <w:bCs/>
                <w:color w:val="0000FF"/>
                <w:sz w:val="18"/>
                <w:szCs w:val="18"/>
              </w:rPr>
            </w:pPr>
            <w:r w:rsidRPr="0062582F">
              <w:rPr>
                <w:rFonts w:ascii="Calibri" w:hAnsi="Calibri" w:cs="Calibri"/>
                <w:b/>
                <w:bCs/>
                <w:color w:val="0000FF"/>
                <w:sz w:val="18"/>
                <w:szCs w:val="18"/>
              </w:rPr>
              <w:t>10 000</w:t>
            </w:r>
          </w:p>
        </w:tc>
        <w:tc>
          <w:tcPr>
            <w:tcW w:w="1534"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b/>
                <w:bCs/>
                <w:noProof/>
                <w:color w:val="0000FF"/>
                <w:sz w:val="18"/>
                <w:szCs w:val="18"/>
              </w:rPr>
            </w:pPr>
            <w:r w:rsidRPr="0062582F">
              <w:rPr>
                <w:rFonts w:ascii="Calibri" w:hAnsi="Calibri" w:cs="Calibri"/>
                <w:b/>
                <w:bCs/>
                <w:color w:val="0000FF"/>
                <w:sz w:val="18"/>
                <w:szCs w:val="18"/>
              </w:rPr>
              <w:t>217 787</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b/>
                <w:bCs/>
                <w:color w:val="0000FF"/>
                <w:sz w:val="18"/>
                <w:szCs w:val="18"/>
              </w:rPr>
            </w:pPr>
            <w:r w:rsidRPr="0062582F">
              <w:rPr>
                <w:rFonts w:ascii="Calibri" w:hAnsi="Calibri" w:cs="Calibri"/>
                <w:b/>
                <w:bCs/>
                <w:color w:val="0000FF"/>
                <w:sz w:val="18"/>
                <w:szCs w:val="18"/>
              </w:rPr>
              <w:t>Liabilities</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 xml:space="preserve"> </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0"/>
              <w:rPr>
                <w:color w:val="0000FF"/>
                <w:sz w:val="20"/>
                <w:szCs w:val="20"/>
              </w:rPr>
            </w:pPr>
            <w:r w:rsidRPr="0062582F">
              <w:rPr>
                <w:rFonts w:ascii="Calibri" w:hAnsi="Calibri" w:cs="Calibri"/>
                <w:color w:val="0000FF"/>
                <w:sz w:val="18"/>
                <w:szCs w:val="18"/>
              </w:rPr>
              <w:t> </w:t>
            </w:r>
          </w:p>
        </w:tc>
        <w:tc>
          <w:tcPr>
            <w:tcW w:w="1334" w:type="dxa"/>
            <w:tcBorders>
              <w:top w:val="nil"/>
              <w:left w:val="nil"/>
              <w:bottom w:val="nil"/>
              <w:right w:val="nil"/>
            </w:tcBorders>
            <w:vAlign w:val="center"/>
          </w:tcPr>
          <w:p w:rsidR="004843DB" w:rsidRPr="0062582F" w:rsidRDefault="004843DB" w:rsidP="004843DB">
            <w:pPr>
              <w:spacing w:before="0"/>
              <w:ind w:right="50"/>
              <w:rPr>
                <w:color w:val="0000FF"/>
                <w:sz w:val="20"/>
                <w:szCs w:val="20"/>
              </w:rPr>
            </w:pP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0"/>
              <w:rPr>
                <w:color w:val="0000FF"/>
                <w:sz w:val="20"/>
                <w:szCs w:val="20"/>
              </w:rPr>
            </w:pP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Payables</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r w:rsidRPr="0062582F">
              <w:rPr>
                <w:rFonts w:ascii="Calibri" w:hAnsi="Calibri" w:cs="Calibri"/>
                <w:iCs/>
                <w:color w:val="0000FF"/>
                <w:sz w:val="18"/>
                <w:szCs w:val="18"/>
              </w:rPr>
              <w:t>22</w:t>
            </w: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17 591</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16 704</w:t>
            </w:r>
          </w:p>
        </w:tc>
        <w:tc>
          <w:tcPr>
            <w:tcW w:w="1334" w:type="dxa"/>
            <w:tcBorders>
              <w:top w:val="nil"/>
              <w:left w:val="nil"/>
              <w:bottom w:val="nil"/>
              <w:right w:val="nil"/>
            </w:tcBorders>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10 000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noProof/>
                <w:color w:val="0000FF"/>
                <w:sz w:val="18"/>
                <w:szCs w:val="18"/>
              </w:rPr>
            </w:pPr>
            <w:r w:rsidRPr="0062582F">
              <w:rPr>
                <w:rFonts w:ascii="Calibri" w:hAnsi="Calibri" w:cs="Calibri"/>
                <w:color w:val="0000FF"/>
                <w:sz w:val="18"/>
                <w:szCs w:val="18"/>
              </w:rPr>
              <w:t>6 704</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Other liabilities</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80 010</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96 122</w:t>
            </w:r>
          </w:p>
        </w:tc>
        <w:tc>
          <w:tcPr>
            <w:tcW w:w="1334" w:type="dxa"/>
            <w:tcBorders>
              <w:top w:val="nil"/>
              <w:left w:val="nil"/>
              <w:bottom w:val="nil"/>
              <w:right w:val="nil"/>
            </w:tcBorders>
            <w:vAlign w:val="center"/>
          </w:tcPr>
          <w:p w:rsidR="004843DB" w:rsidRPr="0062582F" w:rsidRDefault="004843DB" w:rsidP="004843DB">
            <w:pPr>
              <w:spacing w:before="0" w:after="30"/>
              <w:ind w:right="50"/>
              <w:jc w:val="right"/>
              <w:rPr>
                <w:rFonts w:ascii="Calibri" w:hAnsi="Calibri" w:cs="Calibri"/>
                <w:color w:val="0000FF"/>
                <w:sz w:val="18"/>
                <w:szCs w:val="18"/>
              </w:rPr>
            </w:pPr>
            <w:r w:rsidRPr="0062582F">
              <w:rPr>
                <w:rFonts w:ascii="Calibri" w:hAnsi="Calibri" w:cs="Calibri"/>
                <w:color w:val="0000FF"/>
                <w:sz w:val="18"/>
                <w:szCs w:val="18"/>
              </w:rPr>
              <w:t>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noProof/>
                <w:color w:val="0000FF"/>
                <w:sz w:val="18"/>
                <w:szCs w:val="18"/>
              </w:rPr>
            </w:pPr>
            <w:r w:rsidRPr="0062582F">
              <w:rPr>
                <w:rFonts w:ascii="Calibri" w:hAnsi="Calibri" w:cs="Calibri"/>
                <w:color w:val="0000FF"/>
                <w:sz w:val="18"/>
                <w:szCs w:val="18"/>
              </w:rPr>
              <w:t>96 122</w:t>
            </w:r>
          </w:p>
        </w:tc>
      </w:tr>
      <w:tr w:rsidR="004843DB" w:rsidRPr="0062582F" w:rsidTr="00747D28">
        <w:tc>
          <w:tcPr>
            <w:tcW w:w="4075"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b/>
                <w:bCs/>
                <w:color w:val="0000FF"/>
                <w:sz w:val="18"/>
                <w:szCs w:val="18"/>
              </w:rPr>
            </w:pPr>
            <w:r w:rsidRPr="0062582F">
              <w:rPr>
                <w:rFonts w:ascii="Calibri" w:hAnsi="Calibri" w:cs="Calibri"/>
                <w:b/>
                <w:bCs/>
                <w:color w:val="0000FF"/>
                <w:sz w:val="18"/>
                <w:szCs w:val="18"/>
              </w:rPr>
              <w:t>Total liabilities</w:t>
            </w:r>
          </w:p>
        </w:tc>
        <w:tc>
          <w:tcPr>
            <w:tcW w:w="817" w:type="dxa"/>
            <w:tcBorders>
              <w:top w:val="single" w:sz="8" w:space="0" w:color="auto"/>
              <w:left w:val="nil"/>
              <w:bottom w:val="single" w:sz="8" w:space="0" w:color="auto"/>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single" w:sz="8"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97 601</w:t>
            </w:r>
          </w:p>
        </w:tc>
        <w:tc>
          <w:tcPr>
            <w:tcW w:w="1302" w:type="dxa"/>
            <w:tcBorders>
              <w:top w:val="single" w:sz="8" w:space="0" w:color="auto"/>
              <w:left w:val="nil"/>
              <w:bottom w:val="single" w:sz="8" w:space="0" w:color="auto"/>
              <w:right w:val="nil"/>
            </w:tcBorders>
            <w:shd w:val="clear" w:color="auto" w:fill="BFBFBF" w:themeFill="background1" w:themeFillShade="BF"/>
            <w:vAlign w:val="center"/>
          </w:tcPr>
          <w:p w:rsidR="004843DB" w:rsidRPr="0062582F" w:rsidRDefault="004843DB" w:rsidP="004843DB">
            <w:pPr>
              <w:spacing w:before="0" w:after="30"/>
              <w:ind w:right="50"/>
              <w:jc w:val="right"/>
              <w:rPr>
                <w:rFonts w:ascii="Calibri" w:hAnsi="Calibri" w:cs="Calibri"/>
                <w:b/>
                <w:bCs/>
                <w:color w:val="0000FF"/>
                <w:sz w:val="18"/>
                <w:szCs w:val="18"/>
              </w:rPr>
            </w:pPr>
            <w:r w:rsidRPr="0062582F">
              <w:rPr>
                <w:rFonts w:ascii="Calibri" w:hAnsi="Calibri" w:cs="Calibri"/>
                <w:b/>
                <w:bCs/>
                <w:color w:val="0000FF"/>
                <w:sz w:val="18"/>
                <w:szCs w:val="18"/>
              </w:rPr>
              <w:t>112 826</w:t>
            </w:r>
          </w:p>
        </w:tc>
        <w:tc>
          <w:tcPr>
            <w:tcW w:w="1334" w:type="dxa"/>
            <w:tcBorders>
              <w:top w:val="single" w:sz="8" w:space="0" w:color="auto"/>
              <w:left w:val="nil"/>
              <w:bottom w:val="single" w:sz="8" w:space="0" w:color="auto"/>
              <w:right w:val="nil"/>
            </w:tcBorders>
            <w:vAlign w:val="center"/>
          </w:tcPr>
          <w:p w:rsidR="004843DB" w:rsidRPr="0062582F" w:rsidRDefault="004843DB" w:rsidP="004843DB">
            <w:pPr>
              <w:spacing w:before="0" w:after="30"/>
              <w:ind w:right="50"/>
              <w:jc w:val="right"/>
              <w:rPr>
                <w:rFonts w:ascii="Calibri" w:hAnsi="Calibri" w:cs="Calibri"/>
                <w:b/>
                <w:bCs/>
                <w:color w:val="0000FF"/>
                <w:sz w:val="18"/>
                <w:szCs w:val="18"/>
              </w:rPr>
            </w:pPr>
            <w:r w:rsidRPr="0062582F">
              <w:rPr>
                <w:rFonts w:ascii="Calibri" w:hAnsi="Calibri" w:cs="Calibri"/>
                <w:b/>
                <w:bCs/>
                <w:color w:val="0000FF"/>
                <w:sz w:val="18"/>
                <w:szCs w:val="18"/>
              </w:rPr>
              <w:t>10 000</w:t>
            </w:r>
          </w:p>
        </w:tc>
        <w:tc>
          <w:tcPr>
            <w:tcW w:w="1534"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after="30"/>
              <w:ind w:right="50"/>
              <w:jc w:val="right"/>
              <w:rPr>
                <w:rFonts w:ascii="Calibri" w:hAnsi="Calibri" w:cs="Calibri"/>
                <w:b/>
                <w:bCs/>
                <w:noProof/>
                <w:color w:val="0000FF"/>
                <w:sz w:val="18"/>
                <w:szCs w:val="18"/>
              </w:rPr>
            </w:pPr>
            <w:r w:rsidRPr="0062582F">
              <w:rPr>
                <w:rFonts w:ascii="Calibri" w:hAnsi="Calibri" w:cs="Calibri"/>
                <w:b/>
                <w:bCs/>
                <w:color w:val="0000FF"/>
                <w:sz w:val="18"/>
                <w:szCs w:val="18"/>
              </w:rPr>
              <w:t>102 826</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b/>
                <w:bCs/>
                <w:color w:val="0000FF"/>
                <w:sz w:val="18"/>
                <w:szCs w:val="18"/>
              </w:rPr>
            </w:pPr>
            <w:r w:rsidRPr="0062582F">
              <w:rPr>
                <w:rFonts w:ascii="Calibri" w:hAnsi="Calibri" w:cs="Calibri"/>
                <w:b/>
                <w:bCs/>
                <w:color w:val="0000FF"/>
                <w:sz w:val="18"/>
                <w:szCs w:val="18"/>
              </w:rPr>
              <w:t>Equity</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 xml:space="preserve"> </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0"/>
              <w:jc w:val="right"/>
              <w:rPr>
                <w:rFonts w:ascii="Calibri" w:hAnsi="Calibri" w:cs="Calibri"/>
                <w:b/>
                <w:bCs/>
                <w:color w:val="0000FF"/>
                <w:sz w:val="18"/>
                <w:szCs w:val="18"/>
              </w:rPr>
            </w:pPr>
            <w:r w:rsidRPr="0062582F">
              <w:rPr>
                <w:rFonts w:ascii="Calibri" w:hAnsi="Calibri" w:cs="Calibri"/>
                <w:b/>
                <w:bCs/>
                <w:color w:val="0000FF"/>
                <w:sz w:val="18"/>
                <w:szCs w:val="18"/>
              </w:rPr>
              <w:t> </w:t>
            </w:r>
          </w:p>
        </w:tc>
        <w:tc>
          <w:tcPr>
            <w:tcW w:w="1334" w:type="dxa"/>
            <w:tcBorders>
              <w:top w:val="nil"/>
              <w:left w:val="nil"/>
              <w:bottom w:val="nil"/>
              <w:right w:val="nil"/>
            </w:tcBorders>
            <w:vAlign w:val="center"/>
          </w:tcPr>
          <w:p w:rsidR="004843DB" w:rsidRPr="0062582F" w:rsidRDefault="004843DB" w:rsidP="004843DB">
            <w:pPr>
              <w:spacing w:before="0"/>
              <w:ind w:right="50"/>
              <w:jc w:val="right"/>
              <w:rPr>
                <w:rFonts w:ascii="Calibri" w:hAnsi="Calibri" w:cs="Calibri"/>
                <w:b/>
                <w:bCs/>
                <w:color w:val="0000FF"/>
                <w:sz w:val="18"/>
                <w:szCs w:val="18"/>
              </w:rPr>
            </w:pP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0"/>
              <w:jc w:val="right"/>
              <w:rPr>
                <w:rFonts w:ascii="Calibri" w:hAnsi="Calibri" w:cs="Calibri"/>
                <w:b/>
                <w:bCs/>
                <w:color w:val="0000FF"/>
                <w:sz w:val="18"/>
                <w:szCs w:val="18"/>
              </w:rPr>
            </w:pP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Accumulated surplus/(deficit)</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78 633</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0"/>
              <w:jc w:val="right"/>
              <w:rPr>
                <w:rFonts w:ascii="Calibri" w:hAnsi="Calibri" w:cs="Calibri"/>
                <w:color w:val="0000FF"/>
                <w:sz w:val="18"/>
                <w:szCs w:val="18"/>
              </w:rPr>
            </w:pPr>
            <w:r w:rsidRPr="0062582F">
              <w:rPr>
                <w:rFonts w:ascii="Calibri" w:hAnsi="Calibri" w:cs="Calibri"/>
                <w:color w:val="0000FF"/>
                <w:sz w:val="18"/>
                <w:szCs w:val="18"/>
              </w:rPr>
              <w:t>71 133</w:t>
            </w:r>
          </w:p>
        </w:tc>
        <w:tc>
          <w:tcPr>
            <w:tcW w:w="1334" w:type="dxa"/>
            <w:tcBorders>
              <w:top w:val="nil"/>
              <w:left w:val="nil"/>
              <w:bottom w:val="nil"/>
              <w:right w:val="nil"/>
            </w:tcBorders>
            <w:vAlign w:val="center"/>
          </w:tcPr>
          <w:p w:rsidR="004843DB" w:rsidRPr="0062582F" w:rsidRDefault="004843DB" w:rsidP="004843DB">
            <w:pPr>
              <w:spacing w:before="0"/>
              <w:ind w:right="50"/>
              <w:jc w:val="right"/>
              <w:rPr>
                <w:rFonts w:ascii="Calibri" w:hAnsi="Calibri" w:cs="Calibri"/>
                <w:color w:val="0000FF"/>
                <w:sz w:val="18"/>
                <w:szCs w:val="18"/>
              </w:rPr>
            </w:pPr>
            <w:r w:rsidRPr="0062582F">
              <w:rPr>
                <w:rFonts w:ascii="Calibri" w:hAnsi="Calibri" w:cs="Calibri"/>
                <w:color w:val="0000FF"/>
                <w:sz w:val="18"/>
                <w:szCs w:val="18"/>
              </w:rPr>
              <w:t>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0"/>
              <w:jc w:val="right"/>
              <w:rPr>
                <w:rFonts w:ascii="Calibri" w:hAnsi="Calibri" w:cs="Calibri"/>
                <w:noProof/>
                <w:color w:val="0000FF"/>
                <w:sz w:val="18"/>
                <w:szCs w:val="18"/>
              </w:rPr>
            </w:pPr>
            <w:r w:rsidRPr="0062582F">
              <w:rPr>
                <w:rFonts w:ascii="Calibri" w:hAnsi="Calibri" w:cs="Calibri"/>
                <w:color w:val="0000FF"/>
                <w:sz w:val="18"/>
                <w:szCs w:val="18"/>
              </w:rPr>
              <w:t>71 133</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Physical asset revaluation surplus</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r w:rsidRPr="0062582F">
              <w:rPr>
                <w:rFonts w:ascii="Calibri" w:hAnsi="Calibri" w:cs="Calibri"/>
                <w:iCs/>
                <w:color w:val="0000FF"/>
                <w:sz w:val="18"/>
                <w:szCs w:val="18"/>
              </w:rPr>
              <w:t>35</w:t>
            </w: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7 338</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0"/>
              <w:jc w:val="right"/>
              <w:rPr>
                <w:rFonts w:ascii="Calibri" w:hAnsi="Calibri" w:cs="Calibri"/>
                <w:color w:val="0000FF"/>
                <w:sz w:val="18"/>
                <w:szCs w:val="18"/>
              </w:rPr>
            </w:pPr>
            <w:r w:rsidRPr="0062582F">
              <w:rPr>
                <w:rFonts w:ascii="Calibri" w:hAnsi="Calibri" w:cs="Calibri"/>
                <w:color w:val="0000FF"/>
                <w:sz w:val="18"/>
                <w:szCs w:val="18"/>
              </w:rPr>
              <w:t>3 759</w:t>
            </w:r>
          </w:p>
        </w:tc>
        <w:tc>
          <w:tcPr>
            <w:tcW w:w="1334" w:type="dxa"/>
            <w:tcBorders>
              <w:top w:val="nil"/>
              <w:left w:val="nil"/>
              <w:bottom w:val="nil"/>
              <w:right w:val="nil"/>
            </w:tcBorders>
            <w:vAlign w:val="center"/>
          </w:tcPr>
          <w:p w:rsidR="004843DB" w:rsidRPr="0062582F" w:rsidRDefault="004843DB" w:rsidP="004843DB">
            <w:pPr>
              <w:spacing w:before="0"/>
              <w:ind w:right="50"/>
              <w:jc w:val="right"/>
              <w:rPr>
                <w:rFonts w:ascii="Calibri" w:hAnsi="Calibri" w:cs="Calibri"/>
                <w:color w:val="0000FF"/>
                <w:sz w:val="18"/>
                <w:szCs w:val="18"/>
              </w:rPr>
            </w:pPr>
            <w:r w:rsidRPr="0062582F">
              <w:rPr>
                <w:rFonts w:ascii="Calibri" w:hAnsi="Calibri" w:cs="Calibri"/>
                <w:color w:val="0000FF"/>
                <w:sz w:val="18"/>
                <w:szCs w:val="18"/>
              </w:rPr>
              <w:t>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0"/>
              <w:jc w:val="right"/>
              <w:rPr>
                <w:rFonts w:ascii="Calibri" w:hAnsi="Calibri" w:cs="Calibri"/>
                <w:noProof/>
                <w:color w:val="0000FF"/>
                <w:sz w:val="18"/>
                <w:szCs w:val="18"/>
              </w:rPr>
            </w:pPr>
            <w:r w:rsidRPr="0062582F">
              <w:rPr>
                <w:rFonts w:ascii="Calibri" w:hAnsi="Calibri" w:cs="Calibri"/>
                <w:color w:val="0000FF"/>
                <w:sz w:val="18"/>
                <w:szCs w:val="18"/>
              </w:rPr>
              <w:t>3 759</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Financial assets available</w:t>
            </w:r>
            <w:r w:rsidR="005A4BB0">
              <w:rPr>
                <w:rFonts w:ascii="Calibri" w:hAnsi="Calibri" w:cs="Calibri"/>
                <w:color w:val="0000FF"/>
                <w:sz w:val="18"/>
                <w:szCs w:val="18"/>
              </w:rPr>
              <w:noBreakHyphen/>
            </w:r>
            <w:r w:rsidRPr="0062582F">
              <w:rPr>
                <w:rFonts w:ascii="Calibri" w:hAnsi="Calibri" w:cs="Calibri"/>
                <w:color w:val="0000FF"/>
                <w:sz w:val="18"/>
                <w:szCs w:val="18"/>
              </w:rPr>
              <w:t>for</w:t>
            </w:r>
            <w:r w:rsidR="005A4BB0">
              <w:rPr>
                <w:rFonts w:ascii="Calibri" w:hAnsi="Calibri" w:cs="Calibri"/>
                <w:color w:val="0000FF"/>
                <w:sz w:val="18"/>
                <w:szCs w:val="18"/>
              </w:rPr>
              <w:noBreakHyphen/>
            </w:r>
            <w:r w:rsidRPr="0062582F">
              <w:rPr>
                <w:rFonts w:ascii="Calibri" w:hAnsi="Calibri" w:cs="Calibri"/>
                <w:color w:val="0000FF"/>
                <w:sz w:val="18"/>
                <w:szCs w:val="18"/>
              </w:rPr>
              <w:t>sale</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r w:rsidRPr="0062582F">
              <w:rPr>
                <w:rFonts w:ascii="Calibri" w:hAnsi="Calibri" w:cs="Calibri"/>
                <w:iCs/>
                <w:color w:val="0000FF"/>
                <w:sz w:val="18"/>
                <w:szCs w:val="18"/>
              </w:rPr>
              <w:t>35</w:t>
            </w: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200</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0"/>
              <w:jc w:val="right"/>
              <w:rPr>
                <w:rFonts w:ascii="Calibri" w:hAnsi="Calibri" w:cs="Calibri"/>
                <w:color w:val="0000FF"/>
                <w:sz w:val="18"/>
                <w:szCs w:val="18"/>
              </w:rPr>
            </w:pPr>
            <w:r w:rsidRPr="0062582F">
              <w:rPr>
                <w:rFonts w:ascii="Calibri" w:hAnsi="Calibri" w:cs="Calibri"/>
                <w:color w:val="0000FF"/>
                <w:sz w:val="18"/>
                <w:szCs w:val="18"/>
              </w:rPr>
              <w:t>1 723</w:t>
            </w:r>
          </w:p>
        </w:tc>
        <w:tc>
          <w:tcPr>
            <w:tcW w:w="1334" w:type="dxa"/>
            <w:tcBorders>
              <w:top w:val="nil"/>
              <w:left w:val="nil"/>
              <w:bottom w:val="nil"/>
              <w:right w:val="nil"/>
            </w:tcBorders>
            <w:vAlign w:val="center"/>
          </w:tcPr>
          <w:p w:rsidR="004843DB" w:rsidRPr="0062582F" w:rsidRDefault="004843DB" w:rsidP="004843DB">
            <w:pPr>
              <w:spacing w:before="0"/>
              <w:ind w:right="50"/>
              <w:jc w:val="right"/>
              <w:rPr>
                <w:rFonts w:ascii="Calibri" w:hAnsi="Calibri" w:cs="Calibri"/>
                <w:color w:val="0000FF"/>
                <w:sz w:val="18"/>
                <w:szCs w:val="18"/>
              </w:rPr>
            </w:pPr>
            <w:r w:rsidRPr="0062582F">
              <w:rPr>
                <w:rFonts w:ascii="Calibri" w:hAnsi="Calibri" w:cs="Calibri"/>
                <w:color w:val="0000FF"/>
                <w:sz w:val="18"/>
                <w:szCs w:val="18"/>
              </w:rPr>
              <w:t>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0"/>
              <w:jc w:val="right"/>
              <w:rPr>
                <w:rFonts w:ascii="Calibri" w:hAnsi="Calibri" w:cs="Calibri"/>
                <w:noProof/>
                <w:color w:val="0000FF"/>
                <w:sz w:val="18"/>
                <w:szCs w:val="18"/>
              </w:rPr>
            </w:pPr>
            <w:r w:rsidRPr="0062582F">
              <w:rPr>
                <w:rFonts w:ascii="Calibri" w:hAnsi="Calibri" w:cs="Calibri"/>
                <w:color w:val="0000FF"/>
                <w:sz w:val="18"/>
                <w:szCs w:val="18"/>
              </w:rPr>
              <w:t>1 723</w:t>
            </w:r>
          </w:p>
        </w:tc>
      </w:tr>
      <w:tr w:rsidR="004843DB" w:rsidRPr="0062582F" w:rsidTr="00747D28">
        <w:tc>
          <w:tcPr>
            <w:tcW w:w="4075"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color w:val="0000FF"/>
                <w:sz w:val="18"/>
                <w:szCs w:val="18"/>
              </w:rPr>
            </w:pPr>
            <w:r w:rsidRPr="0062582F">
              <w:rPr>
                <w:rFonts w:ascii="Calibri" w:hAnsi="Calibri" w:cs="Calibri"/>
                <w:color w:val="0000FF"/>
                <w:sz w:val="18"/>
                <w:szCs w:val="18"/>
              </w:rPr>
              <w:t>Contributed capital</w:t>
            </w:r>
          </w:p>
        </w:tc>
        <w:tc>
          <w:tcPr>
            <w:tcW w:w="817" w:type="dxa"/>
            <w:tcBorders>
              <w:top w:val="nil"/>
              <w:left w:val="nil"/>
              <w:bottom w:val="nil"/>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nil"/>
              <w:left w:val="nil"/>
              <w:bottom w:val="nil"/>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57 460</w:t>
            </w:r>
          </w:p>
        </w:tc>
        <w:tc>
          <w:tcPr>
            <w:tcW w:w="1302" w:type="dxa"/>
            <w:tcBorders>
              <w:top w:val="nil"/>
              <w:left w:val="nil"/>
              <w:bottom w:val="nil"/>
              <w:right w:val="nil"/>
            </w:tcBorders>
            <w:shd w:val="clear" w:color="auto" w:fill="BFBFBF" w:themeFill="background1" w:themeFillShade="BF"/>
            <w:vAlign w:val="center"/>
          </w:tcPr>
          <w:p w:rsidR="004843DB" w:rsidRPr="0062582F" w:rsidRDefault="004843DB" w:rsidP="004843DB">
            <w:pPr>
              <w:spacing w:before="0"/>
              <w:ind w:right="50"/>
              <w:jc w:val="right"/>
              <w:rPr>
                <w:rFonts w:ascii="Calibri" w:hAnsi="Calibri" w:cs="Calibri"/>
                <w:color w:val="0000FF"/>
                <w:sz w:val="18"/>
                <w:szCs w:val="18"/>
              </w:rPr>
            </w:pPr>
            <w:r w:rsidRPr="0062582F">
              <w:rPr>
                <w:rFonts w:ascii="Calibri" w:hAnsi="Calibri" w:cs="Calibri"/>
                <w:color w:val="0000FF"/>
                <w:sz w:val="18"/>
                <w:szCs w:val="18"/>
              </w:rPr>
              <w:t>38 345</w:t>
            </w:r>
          </w:p>
        </w:tc>
        <w:tc>
          <w:tcPr>
            <w:tcW w:w="1334" w:type="dxa"/>
            <w:tcBorders>
              <w:top w:val="nil"/>
              <w:left w:val="nil"/>
              <w:bottom w:val="nil"/>
              <w:right w:val="nil"/>
            </w:tcBorders>
            <w:vAlign w:val="center"/>
          </w:tcPr>
          <w:p w:rsidR="004843DB" w:rsidRPr="0062582F" w:rsidRDefault="004843DB" w:rsidP="004843DB">
            <w:pPr>
              <w:spacing w:before="0"/>
              <w:ind w:right="50"/>
              <w:jc w:val="right"/>
              <w:rPr>
                <w:rFonts w:ascii="Calibri" w:hAnsi="Calibri" w:cs="Calibri"/>
                <w:color w:val="0000FF"/>
                <w:sz w:val="18"/>
                <w:szCs w:val="18"/>
              </w:rPr>
            </w:pPr>
            <w:r w:rsidRPr="0062582F">
              <w:rPr>
                <w:rFonts w:ascii="Calibri" w:hAnsi="Calibri" w:cs="Calibri"/>
                <w:color w:val="0000FF"/>
                <w:sz w:val="18"/>
                <w:szCs w:val="18"/>
              </w:rPr>
              <w:t>0</w:t>
            </w:r>
          </w:p>
        </w:tc>
        <w:tc>
          <w:tcPr>
            <w:tcW w:w="1534" w:type="dxa"/>
            <w:tcBorders>
              <w:top w:val="nil"/>
              <w:left w:val="nil"/>
              <w:bottom w:val="nil"/>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0"/>
              <w:jc w:val="right"/>
              <w:rPr>
                <w:rFonts w:ascii="Calibri" w:hAnsi="Calibri" w:cs="Calibri"/>
                <w:noProof/>
                <w:color w:val="0000FF"/>
                <w:sz w:val="18"/>
                <w:szCs w:val="18"/>
              </w:rPr>
            </w:pPr>
            <w:r w:rsidRPr="0062582F">
              <w:rPr>
                <w:rFonts w:ascii="Calibri" w:hAnsi="Calibri" w:cs="Calibri"/>
                <w:color w:val="0000FF"/>
                <w:sz w:val="18"/>
                <w:szCs w:val="18"/>
              </w:rPr>
              <w:t>38 345</w:t>
            </w:r>
          </w:p>
        </w:tc>
      </w:tr>
      <w:tr w:rsidR="004843DB" w:rsidRPr="0062582F" w:rsidTr="00747D28">
        <w:tc>
          <w:tcPr>
            <w:tcW w:w="4075"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rPr>
                <w:rFonts w:ascii="Calibri" w:hAnsi="Calibri" w:cs="Calibri"/>
                <w:b/>
                <w:bCs/>
                <w:color w:val="0000FF"/>
                <w:sz w:val="18"/>
                <w:szCs w:val="18"/>
              </w:rPr>
            </w:pPr>
            <w:r w:rsidRPr="0062582F">
              <w:rPr>
                <w:rFonts w:ascii="Calibri" w:hAnsi="Calibri" w:cs="Calibri"/>
                <w:b/>
                <w:bCs/>
                <w:color w:val="0000FF"/>
                <w:sz w:val="18"/>
                <w:szCs w:val="18"/>
              </w:rPr>
              <w:t>Net worth</w:t>
            </w:r>
          </w:p>
        </w:tc>
        <w:tc>
          <w:tcPr>
            <w:tcW w:w="817" w:type="dxa"/>
            <w:tcBorders>
              <w:top w:val="single" w:sz="8" w:space="0" w:color="auto"/>
              <w:left w:val="nil"/>
              <w:bottom w:val="single" w:sz="8" w:space="0" w:color="auto"/>
              <w:right w:val="nil"/>
            </w:tcBorders>
          </w:tcPr>
          <w:p w:rsidR="004843DB" w:rsidRPr="0062582F" w:rsidRDefault="004843DB" w:rsidP="004843DB">
            <w:pPr>
              <w:spacing w:before="0"/>
              <w:jc w:val="center"/>
              <w:rPr>
                <w:rFonts w:ascii="Calibri" w:hAnsi="Calibri" w:cs="Calibri"/>
                <w:iCs/>
                <w:color w:val="0000FF"/>
                <w:sz w:val="18"/>
                <w:szCs w:val="18"/>
              </w:rPr>
            </w:pPr>
          </w:p>
        </w:tc>
        <w:tc>
          <w:tcPr>
            <w:tcW w:w="1123" w:type="dxa"/>
            <w:tcBorders>
              <w:top w:val="single" w:sz="8"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0"/>
              <w:ind w:right="50"/>
              <w:jc w:val="right"/>
              <w:rPr>
                <w:rFonts w:ascii="Calibri" w:hAnsi="Calibri" w:cs="Calibri"/>
                <w:iCs/>
                <w:color w:val="0000FF"/>
                <w:sz w:val="18"/>
                <w:szCs w:val="18"/>
              </w:rPr>
            </w:pPr>
            <w:r w:rsidRPr="0062582F">
              <w:rPr>
                <w:rFonts w:ascii="Calibri" w:hAnsi="Calibri" w:cs="Calibri"/>
                <w:iCs/>
                <w:color w:val="0000FF"/>
                <w:sz w:val="18"/>
                <w:szCs w:val="18"/>
              </w:rPr>
              <w:t>143 632</w:t>
            </w:r>
          </w:p>
        </w:tc>
        <w:tc>
          <w:tcPr>
            <w:tcW w:w="1302" w:type="dxa"/>
            <w:tcBorders>
              <w:top w:val="single" w:sz="8" w:space="0" w:color="auto"/>
              <w:left w:val="nil"/>
              <w:bottom w:val="single" w:sz="8" w:space="0" w:color="auto"/>
              <w:right w:val="nil"/>
            </w:tcBorders>
            <w:shd w:val="clear" w:color="auto" w:fill="BFBFBF" w:themeFill="background1" w:themeFillShade="BF"/>
            <w:vAlign w:val="center"/>
          </w:tcPr>
          <w:p w:rsidR="004843DB" w:rsidRPr="0062582F" w:rsidRDefault="004843DB" w:rsidP="004843DB">
            <w:pPr>
              <w:spacing w:before="0"/>
              <w:ind w:right="50"/>
              <w:jc w:val="right"/>
              <w:rPr>
                <w:rFonts w:ascii="Calibri" w:hAnsi="Calibri" w:cs="Calibri"/>
                <w:b/>
                <w:bCs/>
                <w:color w:val="0000FF"/>
                <w:sz w:val="18"/>
                <w:szCs w:val="18"/>
              </w:rPr>
            </w:pPr>
            <w:r w:rsidRPr="0062582F">
              <w:rPr>
                <w:rFonts w:ascii="Calibri" w:hAnsi="Calibri" w:cs="Calibri"/>
                <w:b/>
                <w:bCs/>
                <w:color w:val="0000FF"/>
                <w:sz w:val="18"/>
                <w:szCs w:val="18"/>
              </w:rPr>
              <w:t>114 960</w:t>
            </w:r>
          </w:p>
        </w:tc>
        <w:tc>
          <w:tcPr>
            <w:tcW w:w="1334" w:type="dxa"/>
            <w:tcBorders>
              <w:top w:val="single" w:sz="8" w:space="0" w:color="auto"/>
              <w:left w:val="nil"/>
              <w:bottom w:val="single" w:sz="8" w:space="0" w:color="auto"/>
              <w:right w:val="nil"/>
            </w:tcBorders>
            <w:vAlign w:val="center"/>
          </w:tcPr>
          <w:p w:rsidR="004843DB" w:rsidRPr="0062582F" w:rsidRDefault="004843DB" w:rsidP="004843DB">
            <w:pPr>
              <w:spacing w:before="0"/>
              <w:ind w:right="50"/>
              <w:jc w:val="right"/>
              <w:rPr>
                <w:rFonts w:ascii="Calibri" w:hAnsi="Calibri" w:cs="Calibri"/>
                <w:b/>
                <w:bCs/>
                <w:color w:val="0000FF"/>
                <w:sz w:val="18"/>
                <w:szCs w:val="18"/>
              </w:rPr>
            </w:pPr>
            <w:r w:rsidRPr="0062582F">
              <w:rPr>
                <w:rFonts w:ascii="Calibri" w:hAnsi="Calibri" w:cs="Calibri"/>
                <w:b/>
                <w:bCs/>
                <w:color w:val="0000FF"/>
                <w:sz w:val="18"/>
                <w:szCs w:val="18"/>
              </w:rPr>
              <w:t>0</w:t>
            </w:r>
          </w:p>
        </w:tc>
        <w:tc>
          <w:tcPr>
            <w:tcW w:w="1534"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4843DB" w:rsidRPr="0062582F" w:rsidRDefault="004843DB" w:rsidP="004843DB">
            <w:pPr>
              <w:spacing w:before="0"/>
              <w:ind w:right="50"/>
              <w:jc w:val="right"/>
              <w:rPr>
                <w:rFonts w:ascii="Calibri" w:hAnsi="Calibri" w:cs="Calibri"/>
                <w:b/>
                <w:bCs/>
                <w:noProof/>
                <w:color w:val="0000FF"/>
                <w:sz w:val="18"/>
                <w:szCs w:val="18"/>
              </w:rPr>
            </w:pPr>
            <w:r w:rsidRPr="0062582F">
              <w:rPr>
                <w:rFonts w:ascii="Calibri" w:hAnsi="Calibri" w:cs="Calibri"/>
                <w:b/>
                <w:bCs/>
                <w:color w:val="0000FF"/>
                <w:sz w:val="18"/>
                <w:szCs w:val="18"/>
              </w:rPr>
              <w:t>114 960</w:t>
            </w:r>
          </w:p>
        </w:tc>
      </w:tr>
    </w:tbl>
    <w:p w:rsidR="004843DB" w:rsidRPr="0062582F" w:rsidRDefault="004843DB" w:rsidP="004843DB">
      <w:pPr>
        <w:sectPr w:rsidR="004843DB" w:rsidRPr="0062582F" w:rsidSect="00746F05">
          <w:headerReference w:type="even" r:id="rId253"/>
          <w:headerReference w:type="default" r:id="rId254"/>
          <w:footerReference w:type="default" r:id="rId255"/>
          <w:pgSz w:w="11906" w:h="16838" w:code="9"/>
          <w:pgMar w:top="1152" w:right="864" w:bottom="1152" w:left="864" w:header="432" w:footer="432" w:gutter="0"/>
          <w:cols w:space="645"/>
          <w:docGrid w:linePitch="360"/>
        </w:sectPr>
      </w:pPr>
    </w:p>
    <w:p w:rsidR="004843DB" w:rsidRPr="0062582F" w:rsidRDefault="004843DB" w:rsidP="00E348C3">
      <w:pPr>
        <w:pStyle w:val="Tableheading"/>
        <w:ind w:left="0" w:firstLine="0"/>
      </w:pPr>
      <w:r w:rsidRPr="0062582F">
        <w:t>Impact of change in accounting policies on the consolidated cash flow statement</w:t>
      </w:r>
    </w:p>
    <w:tbl>
      <w:tblPr>
        <w:tblW w:w="10189" w:type="dxa"/>
        <w:tblLayout w:type="fixed"/>
        <w:tblCellMar>
          <w:left w:w="43" w:type="dxa"/>
          <w:right w:w="43" w:type="dxa"/>
        </w:tblCellMar>
        <w:tblLook w:val="04A0" w:firstRow="1" w:lastRow="0" w:firstColumn="1" w:lastColumn="0" w:noHBand="0" w:noVBand="1"/>
      </w:tblPr>
      <w:tblGrid>
        <w:gridCol w:w="4273"/>
        <w:gridCol w:w="810"/>
        <w:gridCol w:w="1125"/>
        <w:gridCol w:w="1323"/>
        <w:gridCol w:w="1323"/>
        <w:gridCol w:w="1335"/>
      </w:tblGrid>
      <w:tr w:rsidR="004843DB" w:rsidRPr="0062582F" w:rsidTr="00747D28">
        <w:trPr>
          <w:trHeight w:val="585"/>
        </w:trPr>
        <w:tc>
          <w:tcPr>
            <w:tcW w:w="4273" w:type="dxa"/>
            <w:tcBorders>
              <w:top w:val="single" w:sz="8" w:space="0" w:color="auto"/>
              <w:left w:val="nil"/>
              <w:bottom w:val="single" w:sz="4" w:space="0" w:color="262626" w:themeColor="text1" w:themeTint="D9"/>
              <w:right w:val="nil"/>
            </w:tcBorders>
            <w:shd w:val="clear" w:color="auto" w:fill="auto"/>
            <w:vAlign w:val="bottom"/>
            <w:hideMark/>
          </w:tcPr>
          <w:p w:rsidR="004843DB" w:rsidRPr="0062582F" w:rsidRDefault="004843DB" w:rsidP="004843DB">
            <w:pPr>
              <w:pStyle w:val="TabletextheadingLeft"/>
              <w:rPr>
                <w:color w:val="0000FF"/>
              </w:rPr>
            </w:pPr>
            <w:r w:rsidRPr="0062582F">
              <w:rPr>
                <w:color w:val="0000FF"/>
              </w:rPr>
              <w:t>Receipts</w:t>
            </w:r>
          </w:p>
        </w:tc>
        <w:tc>
          <w:tcPr>
            <w:tcW w:w="810" w:type="dxa"/>
            <w:tcBorders>
              <w:top w:val="single" w:sz="8" w:space="0" w:color="auto"/>
              <w:left w:val="nil"/>
              <w:bottom w:val="single" w:sz="4" w:space="0" w:color="262626" w:themeColor="text1" w:themeTint="D9"/>
              <w:right w:val="nil"/>
            </w:tcBorders>
            <w:vAlign w:val="bottom"/>
          </w:tcPr>
          <w:p w:rsidR="004843DB" w:rsidRPr="0062582F" w:rsidRDefault="004843DB" w:rsidP="004843DB">
            <w:pPr>
              <w:pStyle w:val="TabletextheadingCentred"/>
              <w:rPr>
                <w:color w:val="0000FF"/>
              </w:rPr>
            </w:pPr>
            <w:r w:rsidRPr="0062582F">
              <w:rPr>
                <w:color w:val="0000FF"/>
              </w:rPr>
              <w:t>Notes</w:t>
            </w:r>
          </w:p>
        </w:tc>
        <w:tc>
          <w:tcPr>
            <w:tcW w:w="1125" w:type="dxa"/>
            <w:tcBorders>
              <w:top w:val="single" w:sz="8" w:space="0" w:color="auto"/>
              <w:left w:val="nil"/>
              <w:bottom w:val="single" w:sz="4" w:space="0" w:color="262626" w:themeColor="text1" w:themeTint="D9"/>
              <w:right w:val="nil"/>
            </w:tcBorders>
            <w:shd w:val="clear" w:color="auto" w:fill="BFBFBF" w:themeFill="background1" w:themeFillShade="BF"/>
            <w:vAlign w:val="bottom"/>
          </w:tcPr>
          <w:p w:rsidR="004843DB" w:rsidRPr="0062582F" w:rsidRDefault="004843DB" w:rsidP="004843DB">
            <w:pPr>
              <w:pStyle w:val="Tabletextheading"/>
              <w:rPr>
                <w:color w:val="0000FF"/>
              </w:rPr>
            </w:pPr>
            <w:r w:rsidRPr="0062582F">
              <w:rPr>
                <w:color w:val="0000FF"/>
              </w:rPr>
              <w:t>30 June 2016</w:t>
            </w:r>
          </w:p>
        </w:tc>
        <w:tc>
          <w:tcPr>
            <w:tcW w:w="1323" w:type="dxa"/>
            <w:tcBorders>
              <w:top w:val="single" w:sz="8" w:space="0" w:color="auto"/>
              <w:left w:val="nil"/>
              <w:bottom w:val="single" w:sz="4" w:space="0" w:color="262626" w:themeColor="text1" w:themeTint="D9"/>
              <w:right w:val="nil"/>
            </w:tcBorders>
            <w:shd w:val="clear" w:color="auto" w:fill="BFBFBF" w:themeFill="background1" w:themeFillShade="BF"/>
            <w:vAlign w:val="bottom"/>
          </w:tcPr>
          <w:p w:rsidR="004843DB" w:rsidRPr="0062582F" w:rsidRDefault="004843DB" w:rsidP="004843DB">
            <w:pPr>
              <w:pStyle w:val="Tabletextheading"/>
              <w:rPr>
                <w:color w:val="0000FF"/>
              </w:rPr>
            </w:pPr>
            <w:r w:rsidRPr="0062582F">
              <w:rPr>
                <w:color w:val="0000FF"/>
              </w:rPr>
              <w:t>30 June 2015 (restated)</w:t>
            </w:r>
          </w:p>
        </w:tc>
        <w:tc>
          <w:tcPr>
            <w:tcW w:w="1323" w:type="dxa"/>
            <w:tcBorders>
              <w:top w:val="single" w:sz="8" w:space="0" w:color="auto"/>
              <w:left w:val="nil"/>
              <w:bottom w:val="single" w:sz="4" w:space="0" w:color="262626" w:themeColor="text1" w:themeTint="D9"/>
              <w:right w:val="nil"/>
            </w:tcBorders>
            <w:shd w:val="clear" w:color="auto" w:fill="auto"/>
            <w:vAlign w:val="bottom"/>
            <w:hideMark/>
          </w:tcPr>
          <w:p w:rsidR="004843DB" w:rsidRPr="0062582F" w:rsidRDefault="004843DB" w:rsidP="004843DB">
            <w:pPr>
              <w:pStyle w:val="Tabletextheading"/>
              <w:rPr>
                <w:color w:val="0000FF"/>
              </w:rPr>
            </w:pPr>
            <w:r w:rsidRPr="0062582F">
              <w:rPr>
                <w:color w:val="0000FF"/>
              </w:rPr>
              <w:t>30 June 2015 (as previously reported)</w:t>
            </w:r>
          </w:p>
        </w:tc>
        <w:tc>
          <w:tcPr>
            <w:tcW w:w="1335" w:type="dxa"/>
            <w:tcBorders>
              <w:top w:val="single" w:sz="8" w:space="0" w:color="auto"/>
              <w:left w:val="nil"/>
              <w:bottom w:val="single" w:sz="4" w:space="0" w:color="262626" w:themeColor="text1" w:themeTint="D9"/>
              <w:right w:val="nil"/>
            </w:tcBorders>
            <w:shd w:val="clear" w:color="auto" w:fill="auto"/>
            <w:vAlign w:val="bottom"/>
            <w:hideMark/>
          </w:tcPr>
          <w:p w:rsidR="004843DB" w:rsidRPr="0062582F" w:rsidRDefault="004843DB" w:rsidP="004843DB">
            <w:pPr>
              <w:pStyle w:val="Tabletextheading"/>
              <w:rPr>
                <w:rFonts w:asciiTheme="minorHAnsi" w:eastAsia="Times New Roman" w:hAnsiTheme="minorHAnsi" w:cstheme="minorHAnsi"/>
                <w:color w:val="0000FF"/>
              </w:rPr>
            </w:pPr>
            <w:r w:rsidRPr="0062582F">
              <w:rPr>
                <w:color w:val="0000FF"/>
              </w:rPr>
              <w:t>Consolidation of Innovation Victoria (100% owned)</w:t>
            </w:r>
          </w:p>
        </w:tc>
      </w:tr>
      <w:tr w:rsidR="004843DB" w:rsidRPr="0062582F" w:rsidTr="00747D28">
        <w:trPr>
          <w:trHeight w:val="134"/>
        </w:trPr>
        <w:tc>
          <w:tcPr>
            <w:tcW w:w="4273" w:type="dxa"/>
            <w:tcBorders>
              <w:top w:val="single" w:sz="4" w:space="0" w:color="262626" w:themeColor="text1" w:themeTint="D9"/>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Receipts from government</w:t>
            </w:r>
          </w:p>
        </w:tc>
        <w:tc>
          <w:tcPr>
            <w:tcW w:w="810" w:type="dxa"/>
            <w:tcBorders>
              <w:top w:val="single" w:sz="4" w:space="0" w:color="262626" w:themeColor="text1" w:themeTint="D9"/>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single" w:sz="4" w:space="0" w:color="262626" w:themeColor="text1" w:themeTint="D9"/>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78 344</w:t>
            </w:r>
          </w:p>
        </w:tc>
        <w:tc>
          <w:tcPr>
            <w:tcW w:w="1323" w:type="dxa"/>
            <w:tcBorders>
              <w:top w:val="single" w:sz="4" w:space="0" w:color="262626" w:themeColor="text1" w:themeTint="D9"/>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87 135</w:t>
            </w:r>
          </w:p>
        </w:tc>
        <w:tc>
          <w:tcPr>
            <w:tcW w:w="1323" w:type="dxa"/>
            <w:tcBorders>
              <w:top w:val="single" w:sz="4" w:space="0" w:color="262626" w:themeColor="text1" w:themeTint="D9"/>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87 635</w:t>
            </w:r>
          </w:p>
        </w:tc>
        <w:tc>
          <w:tcPr>
            <w:tcW w:w="1335" w:type="dxa"/>
            <w:tcBorders>
              <w:top w:val="single" w:sz="4" w:space="0" w:color="262626" w:themeColor="text1" w:themeTint="D9"/>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(500)</w:t>
            </w:r>
          </w:p>
        </w:tc>
      </w:tr>
      <w:tr w:rsidR="004843DB" w:rsidRPr="0062582F" w:rsidTr="00747D28">
        <w:trPr>
          <w:trHeight w:val="193"/>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Receipts from other entities</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5 536</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4 373</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5 773</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(1 400)</w:t>
            </w:r>
          </w:p>
        </w:tc>
      </w:tr>
      <w:tr w:rsidR="004843DB" w:rsidRPr="0062582F" w:rsidTr="00747D28">
        <w:trPr>
          <w:trHeight w:val="253"/>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Interest received</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1 749</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1 606</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1 606</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0</w:t>
            </w:r>
          </w:p>
        </w:tc>
      </w:tr>
      <w:tr w:rsidR="004843DB" w:rsidRPr="0062582F" w:rsidTr="00747D28">
        <w:trPr>
          <w:trHeight w:val="142"/>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Dividends received</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1 698</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1 611</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1 611</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0</w:t>
            </w:r>
          </w:p>
        </w:tc>
      </w:tr>
      <w:tr w:rsidR="004843DB" w:rsidRPr="0062582F" w:rsidTr="00747D28">
        <w:trPr>
          <w:trHeight w:val="216"/>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Other receipts</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516</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262</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 xml:space="preserve"> 262</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0</w:t>
            </w:r>
          </w:p>
        </w:tc>
      </w:tr>
      <w:tr w:rsidR="004843DB" w:rsidRPr="0062582F" w:rsidTr="00747D28">
        <w:trPr>
          <w:trHeight w:val="257"/>
        </w:trPr>
        <w:tc>
          <w:tcPr>
            <w:tcW w:w="4273" w:type="dxa"/>
            <w:tcBorders>
              <w:top w:val="single" w:sz="8" w:space="0" w:color="auto"/>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Total receipts</w:t>
            </w:r>
          </w:p>
        </w:tc>
        <w:tc>
          <w:tcPr>
            <w:tcW w:w="810" w:type="dxa"/>
            <w:tcBorders>
              <w:top w:val="single" w:sz="8" w:space="0" w:color="auto"/>
              <w:left w:val="nil"/>
              <w:bottom w:val="single" w:sz="8" w:space="0" w:color="auto"/>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b/>
                <w:bCs/>
                <w:color w:val="0000FF"/>
                <w:sz w:val="18"/>
                <w:szCs w:val="18"/>
              </w:rPr>
            </w:pPr>
          </w:p>
        </w:tc>
        <w:tc>
          <w:tcPr>
            <w:tcW w:w="1125" w:type="dxa"/>
            <w:tcBorders>
              <w:top w:val="single" w:sz="8"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87 843</w:t>
            </w:r>
          </w:p>
        </w:tc>
        <w:tc>
          <w:tcPr>
            <w:tcW w:w="1323" w:type="dxa"/>
            <w:tcBorders>
              <w:top w:val="single" w:sz="8"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
                <w:color w:val="0000FF"/>
                <w:sz w:val="18"/>
                <w:szCs w:val="18"/>
              </w:rPr>
            </w:pPr>
            <w:r w:rsidRPr="0062582F">
              <w:rPr>
                <w:rFonts w:asciiTheme="minorHAnsi" w:eastAsia="Times New Roman" w:hAnsiTheme="minorHAnsi" w:cstheme="minorHAnsi"/>
                <w:b/>
                <w:bCs/>
                <w:color w:val="0000FF"/>
                <w:sz w:val="18"/>
                <w:szCs w:val="18"/>
              </w:rPr>
              <w:t>94 987</w:t>
            </w:r>
          </w:p>
        </w:tc>
        <w:tc>
          <w:tcPr>
            <w:tcW w:w="1323" w:type="dxa"/>
            <w:tcBorders>
              <w:top w:val="single" w:sz="8" w:space="0" w:color="auto"/>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
                <w:color w:val="0000FF"/>
                <w:sz w:val="18"/>
                <w:szCs w:val="18"/>
              </w:rPr>
            </w:pPr>
            <w:r w:rsidRPr="0062582F">
              <w:rPr>
                <w:rFonts w:asciiTheme="minorHAnsi" w:eastAsia="Times New Roman" w:hAnsiTheme="minorHAnsi" w:cstheme="minorHAnsi"/>
                <w:b/>
                <w:color w:val="0000FF"/>
                <w:sz w:val="18"/>
                <w:szCs w:val="18"/>
              </w:rPr>
              <w:t>96 887</w:t>
            </w:r>
          </w:p>
        </w:tc>
        <w:tc>
          <w:tcPr>
            <w:tcW w:w="1335" w:type="dxa"/>
            <w:tcBorders>
              <w:top w:val="single" w:sz="8" w:space="0" w:color="auto"/>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(1 900)</w:t>
            </w:r>
          </w:p>
        </w:tc>
      </w:tr>
      <w:tr w:rsidR="004843DB" w:rsidRPr="0062582F" w:rsidTr="00747D28">
        <w:trPr>
          <w:trHeight w:val="118"/>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Payments</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 </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p>
        </w:tc>
      </w:tr>
      <w:tr w:rsidR="004843DB" w:rsidRPr="0062582F" w:rsidTr="00747D28">
        <w:trPr>
          <w:trHeight w:val="171"/>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Payments of grants and other transfers</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(36 227)</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(47 011)</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(47 011)</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Cs/>
                <w:color w:val="0000FF"/>
                <w:sz w:val="18"/>
                <w:szCs w:val="18"/>
              </w:rPr>
            </w:pPr>
            <w:r w:rsidRPr="0062582F">
              <w:rPr>
                <w:rFonts w:asciiTheme="minorHAnsi" w:eastAsia="Times New Roman" w:hAnsiTheme="minorHAnsi" w:cstheme="minorHAnsi"/>
                <w:bCs/>
                <w:color w:val="0000FF"/>
                <w:sz w:val="18"/>
                <w:szCs w:val="18"/>
              </w:rPr>
              <w:t>0</w:t>
            </w:r>
          </w:p>
        </w:tc>
      </w:tr>
      <w:tr w:rsidR="004843DB" w:rsidRPr="0062582F" w:rsidTr="00747D28">
        <w:trPr>
          <w:trHeight w:val="244"/>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Payments to suppliers and employees</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(22 979)</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(19 167)</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(20 667)</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Cs/>
                <w:color w:val="0000FF"/>
                <w:sz w:val="18"/>
                <w:szCs w:val="18"/>
              </w:rPr>
            </w:pPr>
            <w:r w:rsidRPr="0062582F">
              <w:rPr>
                <w:rFonts w:asciiTheme="minorHAnsi" w:eastAsia="Times New Roman" w:hAnsiTheme="minorHAnsi" w:cstheme="minorHAnsi"/>
                <w:bCs/>
                <w:color w:val="0000FF"/>
                <w:sz w:val="18"/>
                <w:szCs w:val="18"/>
              </w:rPr>
              <w:t>(1 500)</w:t>
            </w:r>
          </w:p>
        </w:tc>
      </w:tr>
      <w:tr w:rsidR="004843DB" w:rsidRPr="0062582F" w:rsidTr="00747D28">
        <w:trPr>
          <w:trHeight w:val="149"/>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Goods and Services Tax paid to the ATO</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(3 055)</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(3 497)</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(3 497)</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0</w:t>
            </w:r>
          </w:p>
        </w:tc>
      </w:tr>
      <w:tr w:rsidR="004843DB" w:rsidRPr="0062582F" w:rsidTr="00747D28">
        <w:trPr>
          <w:trHeight w:val="209"/>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Capital asset charge payments</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(1 567)</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(952)</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(952)</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0</w:t>
            </w:r>
          </w:p>
        </w:tc>
      </w:tr>
      <w:tr w:rsidR="004843DB" w:rsidRPr="0062582F" w:rsidTr="00747D28">
        <w:trPr>
          <w:trHeight w:val="268"/>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Interest and other costs of finance paid</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(2 427)</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(2 507)</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(2 507)</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0</w:t>
            </w:r>
          </w:p>
        </w:tc>
      </w:tr>
      <w:tr w:rsidR="004843DB" w:rsidRPr="0062582F" w:rsidTr="00747D28">
        <w:trPr>
          <w:trHeight w:val="145"/>
        </w:trPr>
        <w:tc>
          <w:tcPr>
            <w:tcW w:w="4273" w:type="dxa"/>
            <w:tcBorders>
              <w:top w:val="nil"/>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Other payments</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(6 382)</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(3 200)</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(3 200)</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0</w:t>
            </w:r>
          </w:p>
        </w:tc>
      </w:tr>
      <w:tr w:rsidR="004843DB" w:rsidRPr="0062582F" w:rsidTr="00747D28">
        <w:trPr>
          <w:trHeight w:val="42"/>
        </w:trPr>
        <w:tc>
          <w:tcPr>
            <w:tcW w:w="4273" w:type="dxa"/>
            <w:tcBorders>
              <w:top w:val="nil"/>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Total payments</w:t>
            </w:r>
          </w:p>
        </w:tc>
        <w:tc>
          <w:tcPr>
            <w:tcW w:w="810" w:type="dxa"/>
            <w:tcBorders>
              <w:top w:val="single" w:sz="8" w:space="0" w:color="auto"/>
              <w:left w:val="nil"/>
              <w:bottom w:val="single" w:sz="8" w:space="0" w:color="auto"/>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bCs/>
                <w:color w:val="0000FF"/>
                <w:sz w:val="18"/>
                <w:szCs w:val="18"/>
              </w:rPr>
            </w:pPr>
          </w:p>
        </w:tc>
        <w:tc>
          <w:tcPr>
            <w:tcW w:w="1125" w:type="dxa"/>
            <w:tcBorders>
              <w:top w:val="single" w:sz="8"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Cs/>
                <w:color w:val="0000FF"/>
                <w:sz w:val="18"/>
                <w:szCs w:val="18"/>
              </w:rPr>
            </w:pPr>
            <w:r w:rsidRPr="0062582F">
              <w:rPr>
                <w:rFonts w:asciiTheme="minorHAnsi" w:eastAsia="Times New Roman" w:hAnsiTheme="minorHAnsi" w:cstheme="minorHAnsi"/>
                <w:bCs/>
                <w:color w:val="0000FF"/>
                <w:sz w:val="18"/>
                <w:szCs w:val="18"/>
              </w:rPr>
              <w:t>(72 637)</w:t>
            </w:r>
          </w:p>
        </w:tc>
        <w:tc>
          <w:tcPr>
            <w:tcW w:w="1323" w:type="dxa"/>
            <w:tcBorders>
              <w:top w:val="single" w:sz="8"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bCs/>
                <w:color w:val="0000FF"/>
                <w:sz w:val="18"/>
                <w:szCs w:val="18"/>
              </w:rPr>
              <w:t>(76 334)</w:t>
            </w:r>
          </w:p>
        </w:tc>
        <w:tc>
          <w:tcPr>
            <w:tcW w:w="1323" w:type="dxa"/>
            <w:tcBorders>
              <w:top w:val="single" w:sz="8" w:space="0" w:color="auto"/>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(77 834)</w:t>
            </w:r>
          </w:p>
        </w:tc>
        <w:tc>
          <w:tcPr>
            <w:tcW w:w="1335" w:type="dxa"/>
            <w:tcBorders>
              <w:top w:val="single" w:sz="8" w:space="0" w:color="auto"/>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14 500</w:t>
            </w:r>
          </w:p>
        </w:tc>
      </w:tr>
      <w:tr w:rsidR="004843DB" w:rsidRPr="0062582F" w:rsidTr="00747D28">
        <w:trPr>
          <w:trHeight w:val="231"/>
        </w:trPr>
        <w:tc>
          <w:tcPr>
            <w:tcW w:w="4273" w:type="dxa"/>
            <w:tcBorders>
              <w:top w:val="nil"/>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Net cash flows from operating activities</w:t>
            </w:r>
          </w:p>
        </w:tc>
        <w:tc>
          <w:tcPr>
            <w:tcW w:w="810" w:type="dxa"/>
            <w:tcBorders>
              <w:top w:val="nil"/>
              <w:left w:val="nil"/>
              <w:bottom w:val="single" w:sz="8" w:space="0" w:color="auto"/>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34(g)</w:t>
            </w:r>
          </w:p>
        </w:tc>
        <w:tc>
          <w:tcPr>
            <w:tcW w:w="1125" w:type="dxa"/>
            <w:tcBorders>
              <w:top w:val="nil"/>
              <w:left w:val="nil"/>
              <w:bottom w:val="single" w:sz="8" w:space="0" w:color="auto"/>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15 207</w:t>
            </w:r>
          </w:p>
        </w:tc>
        <w:tc>
          <w:tcPr>
            <w:tcW w:w="1323" w:type="dxa"/>
            <w:tcBorders>
              <w:top w:val="nil"/>
              <w:left w:val="nil"/>
              <w:bottom w:val="single" w:sz="8" w:space="0" w:color="auto"/>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
                <w:color w:val="0000FF"/>
                <w:sz w:val="18"/>
                <w:szCs w:val="18"/>
              </w:rPr>
            </w:pPr>
            <w:r w:rsidRPr="0062582F">
              <w:rPr>
                <w:rFonts w:asciiTheme="minorHAnsi" w:eastAsia="Times New Roman" w:hAnsiTheme="minorHAnsi" w:cstheme="minorHAnsi"/>
                <w:b/>
                <w:bCs/>
                <w:color w:val="0000FF"/>
                <w:sz w:val="18"/>
                <w:szCs w:val="18"/>
              </w:rPr>
              <w:t>18 654</w:t>
            </w:r>
          </w:p>
        </w:tc>
        <w:tc>
          <w:tcPr>
            <w:tcW w:w="1323" w:type="dxa"/>
            <w:tcBorders>
              <w:top w:val="nil"/>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
                <w:color w:val="0000FF"/>
                <w:sz w:val="18"/>
                <w:szCs w:val="18"/>
              </w:rPr>
            </w:pPr>
            <w:r w:rsidRPr="0062582F">
              <w:rPr>
                <w:rFonts w:asciiTheme="minorHAnsi" w:eastAsia="Times New Roman" w:hAnsiTheme="minorHAnsi" w:cstheme="minorHAnsi"/>
                <w:b/>
                <w:color w:val="0000FF"/>
                <w:sz w:val="18"/>
                <w:szCs w:val="18"/>
              </w:rPr>
              <w:t>22 054</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(3 400)</w:t>
            </w:r>
          </w:p>
        </w:tc>
      </w:tr>
      <w:tr w:rsidR="004843DB" w:rsidRPr="0062582F" w:rsidTr="00747D28">
        <w:trPr>
          <w:trHeight w:val="262"/>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Net cash flows from/(used in) investing activities</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b/>
                <w:bCs/>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(25 403)</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b/>
                <w:bCs/>
                <w:color w:val="0000FF"/>
                <w:sz w:val="18"/>
                <w:szCs w:val="18"/>
              </w:rPr>
              <w:t>(23 124)</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(23 124)</w:t>
            </w:r>
          </w:p>
        </w:tc>
        <w:tc>
          <w:tcPr>
            <w:tcW w:w="1335" w:type="dxa"/>
            <w:tcBorders>
              <w:top w:val="single" w:sz="8" w:space="0" w:color="auto"/>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0</w:t>
            </w:r>
          </w:p>
        </w:tc>
      </w:tr>
      <w:tr w:rsidR="004843DB" w:rsidRPr="0062582F" w:rsidTr="00747D28">
        <w:trPr>
          <w:trHeight w:val="145"/>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Net cash flows from/(used in) financing activities</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b/>
                <w:bCs/>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30 607</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b/>
                <w:bCs/>
                <w:color w:val="0000FF"/>
                <w:sz w:val="18"/>
                <w:szCs w:val="18"/>
              </w:rPr>
              <w:t>13 711</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13 711</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0</w:t>
            </w:r>
          </w:p>
        </w:tc>
      </w:tr>
      <w:tr w:rsidR="004843DB" w:rsidRPr="0062582F" w:rsidTr="00747D28">
        <w:trPr>
          <w:trHeight w:val="184"/>
        </w:trPr>
        <w:tc>
          <w:tcPr>
            <w:tcW w:w="4273" w:type="dxa"/>
            <w:tcBorders>
              <w:top w:val="single" w:sz="8" w:space="0" w:color="auto"/>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Net increase/(decrease) in cash and cash equivalents</w:t>
            </w:r>
          </w:p>
        </w:tc>
        <w:tc>
          <w:tcPr>
            <w:tcW w:w="810" w:type="dxa"/>
            <w:tcBorders>
              <w:top w:val="single" w:sz="8" w:space="0" w:color="auto"/>
              <w:left w:val="nil"/>
              <w:bottom w:val="single" w:sz="8" w:space="0" w:color="auto"/>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b/>
                <w:bCs/>
                <w:color w:val="0000FF"/>
                <w:sz w:val="18"/>
                <w:szCs w:val="18"/>
              </w:rPr>
            </w:pPr>
          </w:p>
        </w:tc>
        <w:tc>
          <w:tcPr>
            <w:tcW w:w="1125" w:type="dxa"/>
            <w:tcBorders>
              <w:top w:val="single" w:sz="8"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20 411</w:t>
            </w:r>
          </w:p>
        </w:tc>
        <w:tc>
          <w:tcPr>
            <w:tcW w:w="1323" w:type="dxa"/>
            <w:tcBorders>
              <w:top w:val="single" w:sz="8"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
                <w:color w:val="0000FF"/>
                <w:sz w:val="18"/>
                <w:szCs w:val="18"/>
              </w:rPr>
            </w:pPr>
            <w:r w:rsidRPr="0062582F">
              <w:rPr>
                <w:rFonts w:asciiTheme="minorHAnsi" w:eastAsia="Times New Roman" w:hAnsiTheme="minorHAnsi" w:cstheme="minorHAnsi"/>
                <w:b/>
                <w:bCs/>
                <w:color w:val="0000FF"/>
                <w:sz w:val="18"/>
                <w:szCs w:val="18"/>
              </w:rPr>
              <w:t>9 241</w:t>
            </w:r>
          </w:p>
        </w:tc>
        <w:tc>
          <w:tcPr>
            <w:tcW w:w="1323" w:type="dxa"/>
            <w:tcBorders>
              <w:top w:val="single" w:sz="8" w:space="0" w:color="auto"/>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
                <w:color w:val="0000FF"/>
                <w:sz w:val="18"/>
                <w:szCs w:val="18"/>
              </w:rPr>
            </w:pPr>
            <w:r w:rsidRPr="0062582F">
              <w:rPr>
                <w:rFonts w:asciiTheme="minorHAnsi" w:eastAsia="Times New Roman" w:hAnsiTheme="minorHAnsi" w:cstheme="minorHAnsi"/>
                <w:b/>
                <w:color w:val="0000FF"/>
                <w:sz w:val="18"/>
                <w:szCs w:val="18"/>
              </w:rPr>
              <w:t>12 641</w:t>
            </w:r>
          </w:p>
        </w:tc>
        <w:tc>
          <w:tcPr>
            <w:tcW w:w="1335" w:type="dxa"/>
            <w:tcBorders>
              <w:top w:val="single" w:sz="8" w:space="0" w:color="auto"/>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(3 400)</w:t>
            </w:r>
          </w:p>
        </w:tc>
      </w:tr>
      <w:tr w:rsidR="004843DB" w:rsidRPr="0062582F" w:rsidTr="00747D28">
        <w:trPr>
          <w:trHeight w:val="230"/>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Cash and cash equivalents at beginning of financial year</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bCs/>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Cs/>
                <w:color w:val="0000FF"/>
                <w:sz w:val="18"/>
                <w:szCs w:val="18"/>
              </w:rPr>
            </w:pPr>
            <w:r w:rsidRPr="0062582F">
              <w:rPr>
                <w:rFonts w:asciiTheme="minorHAnsi" w:eastAsia="Times New Roman" w:hAnsiTheme="minorHAnsi" w:cstheme="minorHAnsi"/>
                <w:bCs/>
                <w:color w:val="0000FF"/>
                <w:sz w:val="18"/>
                <w:szCs w:val="18"/>
              </w:rPr>
              <w:t>44 494</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bCs/>
                <w:color w:val="0000FF"/>
                <w:sz w:val="18"/>
                <w:szCs w:val="18"/>
              </w:rPr>
              <w:t>35 094</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22 094</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Cs/>
                <w:color w:val="0000FF"/>
                <w:sz w:val="18"/>
                <w:szCs w:val="18"/>
              </w:rPr>
            </w:pPr>
            <w:r w:rsidRPr="0062582F">
              <w:rPr>
                <w:rFonts w:asciiTheme="minorHAnsi" w:eastAsia="Times New Roman" w:hAnsiTheme="minorHAnsi" w:cstheme="minorHAnsi"/>
                <w:bCs/>
                <w:color w:val="0000FF"/>
                <w:sz w:val="18"/>
                <w:szCs w:val="18"/>
              </w:rPr>
              <w:t>13 000</w:t>
            </w:r>
          </w:p>
        </w:tc>
      </w:tr>
      <w:tr w:rsidR="004843DB" w:rsidRPr="0062582F" w:rsidTr="00747D28">
        <w:trPr>
          <w:trHeight w:val="424"/>
        </w:trPr>
        <w:tc>
          <w:tcPr>
            <w:tcW w:w="427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Effect of exchange rate fluctuations on cash held in foreign currency</w:t>
            </w:r>
          </w:p>
        </w:tc>
        <w:tc>
          <w:tcPr>
            <w:tcW w:w="810" w:type="dxa"/>
            <w:tcBorders>
              <w:top w:val="nil"/>
              <w:left w:val="nil"/>
              <w:bottom w:val="nil"/>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bCs/>
                <w:color w:val="0000FF"/>
                <w:sz w:val="18"/>
                <w:szCs w:val="18"/>
              </w:rPr>
            </w:pPr>
          </w:p>
        </w:tc>
        <w:tc>
          <w:tcPr>
            <w:tcW w:w="1125"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Cs/>
                <w:color w:val="0000FF"/>
                <w:sz w:val="18"/>
                <w:szCs w:val="18"/>
              </w:rPr>
            </w:pPr>
            <w:r w:rsidRPr="0062582F">
              <w:rPr>
                <w:rFonts w:asciiTheme="minorHAnsi" w:eastAsia="Times New Roman" w:hAnsiTheme="minorHAnsi" w:cstheme="minorHAnsi"/>
                <w:bCs/>
                <w:color w:val="0000FF"/>
                <w:sz w:val="18"/>
                <w:szCs w:val="18"/>
              </w:rPr>
              <w:t>(471)</w:t>
            </w:r>
          </w:p>
        </w:tc>
        <w:tc>
          <w:tcPr>
            <w:tcW w:w="1323" w:type="dxa"/>
            <w:tcBorders>
              <w:top w:val="nil"/>
              <w:left w:val="nil"/>
              <w:bottom w:val="nil"/>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bCs/>
                <w:color w:val="0000FF"/>
                <w:sz w:val="18"/>
                <w:szCs w:val="18"/>
              </w:rPr>
              <w:t>160</w:t>
            </w:r>
          </w:p>
        </w:tc>
        <w:tc>
          <w:tcPr>
            <w:tcW w:w="1323"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color w:val="0000FF"/>
                <w:sz w:val="18"/>
                <w:szCs w:val="18"/>
              </w:rPr>
            </w:pPr>
            <w:r w:rsidRPr="0062582F">
              <w:rPr>
                <w:rFonts w:asciiTheme="minorHAnsi" w:eastAsia="Times New Roman" w:hAnsiTheme="minorHAnsi" w:cstheme="minorHAnsi"/>
                <w:color w:val="0000FF"/>
                <w:sz w:val="18"/>
                <w:szCs w:val="18"/>
              </w:rPr>
              <w:t>8 960</w:t>
            </w:r>
          </w:p>
        </w:tc>
        <w:tc>
          <w:tcPr>
            <w:tcW w:w="1335" w:type="dxa"/>
            <w:tcBorders>
              <w:top w:val="nil"/>
              <w:left w:val="nil"/>
              <w:bottom w:val="nil"/>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Cs/>
                <w:color w:val="0000FF"/>
                <w:sz w:val="18"/>
                <w:szCs w:val="18"/>
              </w:rPr>
            </w:pPr>
            <w:r w:rsidRPr="0062582F">
              <w:rPr>
                <w:rFonts w:asciiTheme="minorHAnsi" w:eastAsia="Times New Roman" w:hAnsiTheme="minorHAnsi" w:cstheme="minorHAnsi"/>
                <w:bCs/>
                <w:color w:val="0000FF"/>
                <w:sz w:val="18"/>
                <w:szCs w:val="18"/>
              </w:rPr>
              <w:t>(8 800)</w:t>
            </w:r>
          </w:p>
        </w:tc>
      </w:tr>
      <w:tr w:rsidR="004843DB" w:rsidRPr="0062582F" w:rsidTr="00747D28">
        <w:trPr>
          <w:trHeight w:val="251"/>
        </w:trPr>
        <w:tc>
          <w:tcPr>
            <w:tcW w:w="4273" w:type="dxa"/>
            <w:tcBorders>
              <w:top w:val="single" w:sz="4" w:space="0" w:color="auto"/>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Cash and cash equivalents at end of financial year</w:t>
            </w:r>
          </w:p>
        </w:tc>
        <w:tc>
          <w:tcPr>
            <w:tcW w:w="810" w:type="dxa"/>
            <w:tcBorders>
              <w:top w:val="single" w:sz="4" w:space="0" w:color="auto"/>
              <w:left w:val="nil"/>
              <w:bottom w:val="single" w:sz="8" w:space="0" w:color="auto"/>
              <w:right w:val="nil"/>
            </w:tcBorders>
          </w:tcPr>
          <w:p w:rsidR="004843DB" w:rsidRPr="0062582F" w:rsidRDefault="004843DB" w:rsidP="004843DB">
            <w:pPr>
              <w:spacing w:before="100" w:beforeAutospacing="1" w:after="100" w:afterAutospacing="1"/>
              <w:jc w:val="center"/>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34(a)</w:t>
            </w:r>
          </w:p>
        </w:tc>
        <w:tc>
          <w:tcPr>
            <w:tcW w:w="1125" w:type="dxa"/>
            <w:tcBorders>
              <w:top w:val="single" w:sz="4"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64 434</w:t>
            </w:r>
          </w:p>
        </w:tc>
        <w:tc>
          <w:tcPr>
            <w:tcW w:w="1323" w:type="dxa"/>
            <w:tcBorders>
              <w:top w:val="single" w:sz="4" w:space="0" w:color="auto"/>
              <w:left w:val="nil"/>
              <w:bottom w:val="single" w:sz="8" w:space="0" w:color="auto"/>
              <w:right w:val="nil"/>
            </w:tcBorders>
            <w:shd w:val="clear" w:color="auto" w:fill="BFBFBF" w:themeFill="background1" w:themeFillShade="BF"/>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44 494</w:t>
            </w:r>
          </w:p>
        </w:tc>
        <w:tc>
          <w:tcPr>
            <w:tcW w:w="1323" w:type="dxa"/>
            <w:tcBorders>
              <w:top w:val="single" w:sz="4" w:space="0" w:color="auto"/>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43 694</w:t>
            </w:r>
          </w:p>
        </w:tc>
        <w:tc>
          <w:tcPr>
            <w:tcW w:w="1335" w:type="dxa"/>
            <w:tcBorders>
              <w:top w:val="single" w:sz="4" w:space="0" w:color="auto"/>
              <w:left w:val="nil"/>
              <w:bottom w:val="single" w:sz="8" w:space="0" w:color="auto"/>
              <w:right w:val="nil"/>
            </w:tcBorders>
            <w:shd w:val="clear" w:color="auto" w:fill="auto"/>
            <w:hideMark/>
          </w:tcPr>
          <w:p w:rsidR="004843DB" w:rsidRPr="0062582F" w:rsidRDefault="004843DB" w:rsidP="004843DB">
            <w:pPr>
              <w:spacing w:before="100" w:beforeAutospacing="1" w:after="100" w:afterAutospacing="1"/>
              <w:jc w:val="right"/>
              <w:rPr>
                <w:rFonts w:asciiTheme="minorHAnsi" w:eastAsia="Times New Roman" w:hAnsiTheme="minorHAnsi" w:cstheme="minorHAnsi"/>
                <w:b/>
                <w:bCs/>
                <w:color w:val="0000FF"/>
                <w:sz w:val="18"/>
                <w:szCs w:val="18"/>
              </w:rPr>
            </w:pPr>
            <w:r w:rsidRPr="0062582F">
              <w:rPr>
                <w:rFonts w:asciiTheme="minorHAnsi" w:eastAsia="Times New Roman" w:hAnsiTheme="minorHAnsi" w:cstheme="minorHAnsi"/>
                <w:b/>
                <w:bCs/>
                <w:color w:val="0000FF"/>
                <w:sz w:val="18"/>
                <w:szCs w:val="18"/>
              </w:rPr>
              <w:t>800</w:t>
            </w:r>
          </w:p>
        </w:tc>
      </w:tr>
    </w:tbl>
    <w:p w:rsidR="004843DB" w:rsidRPr="0062582F" w:rsidRDefault="004843DB" w:rsidP="00E348C3"/>
    <w:p w:rsidR="004843DB" w:rsidRPr="0062582F" w:rsidRDefault="004843DB" w:rsidP="00E348C3"/>
    <w:p w:rsidR="004843DB" w:rsidRPr="0062582F" w:rsidRDefault="004843DB" w:rsidP="004843DB">
      <w:pPr>
        <w:pStyle w:val="Heading5"/>
        <w:ind w:left="0" w:firstLine="0"/>
        <w:rPr>
          <w:color w:val="0000FF"/>
        </w:rPr>
      </w:pPr>
      <w:r w:rsidRPr="0062582F">
        <w:rPr>
          <w:color w:val="0000FF"/>
        </w:rPr>
        <w:t xml:space="preserve">Impact of changes in accounting policies on the statement of changes in equity </w:t>
      </w:r>
    </w:p>
    <w:p w:rsidR="004843DB" w:rsidRPr="0062582F" w:rsidRDefault="004843DB" w:rsidP="004843DB">
      <w:pPr>
        <w:pStyle w:val="NormalBlue"/>
        <w:rPr>
          <w:b/>
        </w:rPr>
      </w:pPr>
      <w:r w:rsidRPr="0062582F">
        <w:t>As the Department</w:t>
      </w:r>
      <w:r w:rsidR="005A4BB0">
        <w:t>’</w:t>
      </w:r>
      <w:r w:rsidRPr="0062582F">
        <w:t>s equity has not been affected by the consolidation of Innovation Victoria, no adjustments to the Department</w:t>
      </w:r>
      <w:r w:rsidR="005A4BB0">
        <w:t>’</w:t>
      </w:r>
      <w:r w:rsidRPr="0062582F">
        <w:t>s statement of changes in equity are made.</w:t>
      </w:r>
    </w:p>
    <w:p w:rsidR="004843DB" w:rsidRPr="0062582F" w:rsidRDefault="004843DB" w:rsidP="00E348C3"/>
    <w:p w:rsidR="004843DB" w:rsidRPr="0062582F" w:rsidRDefault="004843DB" w:rsidP="00E348C3"/>
    <w:p w:rsidR="004843DB" w:rsidRPr="0062582F" w:rsidRDefault="004843DB" w:rsidP="004843DB"/>
    <w:p w:rsidR="004843DB" w:rsidRPr="0062582F" w:rsidRDefault="004843DB" w:rsidP="004843DB">
      <w:pPr>
        <w:sectPr w:rsidR="004843DB" w:rsidRPr="0062582F" w:rsidSect="004843DB">
          <w:headerReference w:type="even" r:id="rId256"/>
          <w:headerReference w:type="default" r:id="rId257"/>
          <w:footerReference w:type="even" r:id="rId258"/>
          <w:footerReference w:type="default" r:id="rId259"/>
          <w:headerReference w:type="first" r:id="rId260"/>
          <w:pgSz w:w="11906" w:h="16838" w:code="9"/>
          <w:pgMar w:top="1152" w:right="864" w:bottom="1152" w:left="864" w:header="432" w:footer="432" w:gutter="0"/>
          <w:cols w:space="360"/>
        </w:sectPr>
      </w:pPr>
    </w:p>
    <w:p w:rsidR="004843DB" w:rsidRPr="0062582F" w:rsidRDefault="004843DB" w:rsidP="004843DB"/>
    <w:p w:rsidR="004843DB" w:rsidRPr="0062582F" w:rsidRDefault="004843DB" w:rsidP="004843DB">
      <w:pPr>
        <w:pStyle w:val="NoteHeading"/>
      </w:pPr>
      <w:r w:rsidRPr="0062582F">
        <w:br w:type="column"/>
      </w:r>
      <w:bookmarkStart w:id="396" w:name="_Toc448157188"/>
      <w:r w:rsidRPr="0062582F">
        <w:t>Note 9.</w:t>
      </w:r>
      <w:r w:rsidRPr="0062582F">
        <w:tab/>
        <w:t>Restructuring of administrative arrangements</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4843DB" w:rsidRPr="0062582F" w:rsidRDefault="004843DB" w:rsidP="004843DB">
      <w:pPr>
        <w:sectPr w:rsidR="004843DB" w:rsidRPr="0062582F" w:rsidSect="004843DB">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1052.15(a)</w:t>
      </w:r>
    </w:p>
    <w:p w:rsidR="004843DB" w:rsidRPr="0062582F" w:rsidRDefault="004843DB" w:rsidP="004843DB">
      <w:r w:rsidRPr="0062582F">
        <w:br w:type="column"/>
        <w:t>In August 2015, the Government issued an administrative order restructuring some of its activities via machinery of government changes, taking effect from 1 September 2015. As part of the machinery of government restructure, the Department (as transferor) relinquished its new technology Administration output to the Department of Cabinet Administration (the transferee). The combined income and expenses for the new technology administration output for the reporting period are reported by the Department of Cabinet Administration.</w:t>
      </w:r>
    </w:p>
    <w:p w:rsidR="004843DB" w:rsidRPr="0062582F" w:rsidRDefault="004843DB" w:rsidP="004843DB">
      <w:r w:rsidRPr="0062582F">
        <w:t>In addition, the Department (as transferee) assumed responsibility for the research and development of biological technology output from the Department of Natural Resources (the transferor). The combined income and expenses for the research and development of biological technology output for the reporting period (including those recognised by the Department of Natural Resources) are as follows:</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Reference"/>
        <w:spacing w:before="360"/>
      </w:pPr>
      <w:r w:rsidRPr="0062582F">
        <w:t>AASB 1004.57</w:t>
      </w:r>
    </w:p>
    <w:p w:rsidR="004843DB" w:rsidRPr="0062582F" w:rsidRDefault="004843DB" w:rsidP="004843DB">
      <w:pPr>
        <w:pStyle w:val="million"/>
        <w:rPr>
          <w:sz w:val="20"/>
        </w:rPr>
      </w:pPr>
      <w:r w:rsidRPr="0062582F">
        <w:br w:type="column"/>
        <w:t>($ thousand)</w:t>
      </w:r>
    </w:p>
    <w:tbl>
      <w:tblPr>
        <w:tblW w:w="8009" w:type="dxa"/>
        <w:tblInd w:w="57" w:type="dxa"/>
        <w:tblLayout w:type="fixed"/>
        <w:tblCellMar>
          <w:left w:w="17" w:type="dxa"/>
          <w:right w:w="17" w:type="dxa"/>
        </w:tblCellMar>
        <w:tblLook w:val="04A0" w:firstRow="1" w:lastRow="0" w:firstColumn="1" w:lastColumn="0" w:noHBand="0" w:noVBand="1"/>
      </w:tblPr>
      <w:tblGrid>
        <w:gridCol w:w="3209"/>
        <w:gridCol w:w="1770"/>
        <w:gridCol w:w="1770"/>
        <w:gridCol w:w="1260"/>
      </w:tblGrid>
      <w:tr w:rsidR="004843DB" w:rsidRPr="0062582F" w:rsidTr="004843DB">
        <w:trPr>
          <w:cantSplit/>
          <w:trHeight w:val="255"/>
        </w:trPr>
        <w:tc>
          <w:tcPr>
            <w:tcW w:w="3209" w:type="dxa"/>
            <w:tcBorders>
              <w:top w:val="single" w:sz="4" w:space="0" w:color="auto"/>
              <w:left w:val="nil"/>
              <w:bottom w:val="single" w:sz="4" w:space="0" w:color="auto"/>
              <w:right w:val="nil"/>
            </w:tcBorders>
            <w:shd w:val="clear" w:color="auto" w:fill="auto"/>
            <w:vAlign w:val="bottom"/>
            <w:hideMark/>
          </w:tcPr>
          <w:p w:rsidR="004843DB" w:rsidRPr="0062582F" w:rsidRDefault="004843DB" w:rsidP="004843DB">
            <w:pPr>
              <w:pStyle w:val="TabletextheadingLeft"/>
            </w:pPr>
            <w:r w:rsidRPr="0062582F">
              <w:t>Research and development of biological technology output</w:t>
            </w:r>
          </w:p>
        </w:tc>
        <w:tc>
          <w:tcPr>
            <w:tcW w:w="1770" w:type="dxa"/>
            <w:tcBorders>
              <w:top w:val="single" w:sz="4" w:space="0" w:color="auto"/>
              <w:left w:val="nil"/>
              <w:bottom w:val="single" w:sz="4" w:space="0" w:color="auto"/>
              <w:right w:val="nil"/>
            </w:tcBorders>
            <w:shd w:val="clear" w:color="000000" w:fill="CCCCCC"/>
            <w:hideMark/>
          </w:tcPr>
          <w:p w:rsidR="004843DB" w:rsidRPr="0062582F" w:rsidRDefault="004843DB" w:rsidP="004843DB">
            <w:pPr>
              <w:pStyle w:val="Tabletextheading"/>
            </w:pPr>
            <w:r w:rsidRPr="0062582F">
              <w:t xml:space="preserve">Department of </w:t>
            </w:r>
            <w:r w:rsidRPr="0062582F">
              <w:br/>
              <w:t xml:space="preserve">Natural Resources </w:t>
            </w:r>
            <w:r w:rsidRPr="0062582F">
              <w:br/>
              <w:t>(Jul</w:t>
            </w:r>
            <w:r w:rsidR="005A4BB0">
              <w:noBreakHyphen/>
            </w:r>
            <w:r w:rsidRPr="0062582F">
              <w:t>Aug 2015)</w:t>
            </w:r>
          </w:p>
        </w:tc>
        <w:tc>
          <w:tcPr>
            <w:tcW w:w="177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Department of Technology</w:t>
            </w:r>
            <w:r w:rsidRPr="0062582F">
              <w:br/>
              <w:t>(Sept 2015</w:t>
            </w:r>
            <w:r w:rsidR="005A4BB0">
              <w:noBreakHyphen/>
            </w:r>
            <w:r w:rsidRPr="0062582F">
              <w:t>Jun 2016)</w:t>
            </w:r>
          </w:p>
        </w:tc>
        <w:tc>
          <w:tcPr>
            <w:tcW w:w="1260" w:type="dxa"/>
            <w:tcBorders>
              <w:top w:val="single" w:sz="4" w:space="0" w:color="auto"/>
              <w:left w:val="nil"/>
              <w:bottom w:val="single" w:sz="4" w:space="0" w:color="auto"/>
              <w:right w:val="nil"/>
            </w:tcBorders>
            <w:shd w:val="clear" w:color="00FFFF" w:fill="CCCCCC"/>
            <w:hideMark/>
          </w:tcPr>
          <w:p w:rsidR="004843DB" w:rsidRPr="0062582F" w:rsidRDefault="004843DB" w:rsidP="004843DB">
            <w:pPr>
              <w:pStyle w:val="Tabletextheading"/>
            </w:pPr>
            <w:r w:rsidRPr="0062582F">
              <w:br/>
            </w:r>
            <w:r w:rsidRPr="0062582F">
              <w:br/>
              <w:t>Total</w:t>
            </w:r>
          </w:p>
        </w:tc>
      </w:tr>
      <w:tr w:rsidR="004843DB" w:rsidRPr="0062582F" w:rsidTr="004843DB">
        <w:trPr>
          <w:cantSplit/>
          <w:trHeight w:val="255"/>
        </w:trPr>
        <w:tc>
          <w:tcPr>
            <w:tcW w:w="3209"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Controlled income and expenses</w:t>
            </w:r>
          </w:p>
        </w:tc>
        <w:tc>
          <w:tcPr>
            <w:tcW w:w="1770" w:type="dxa"/>
            <w:tcBorders>
              <w:top w:val="nil"/>
              <w:left w:val="nil"/>
              <w:bottom w:val="single" w:sz="4" w:space="0" w:color="auto"/>
              <w:right w:val="nil"/>
            </w:tcBorders>
            <w:shd w:val="clear" w:color="000000" w:fill="CCCCCC"/>
          </w:tcPr>
          <w:p w:rsidR="004843DB" w:rsidRPr="0062582F" w:rsidRDefault="004843DB" w:rsidP="004843DB">
            <w:pPr>
              <w:pStyle w:val="TableofFigures"/>
              <w:rPr>
                <w:b/>
              </w:rPr>
            </w:pPr>
          </w:p>
        </w:tc>
        <w:tc>
          <w:tcPr>
            <w:tcW w:w="1770" w:type="dxa"/>
            <w:tcBorders>
              <w:top w:val="nil"/>
              <w:left w:val="nil"/>
              <w:bottom w:val="single" w:sz="4" w:space="0" w:color="auto"/>
              <w:right w:val="nil"/>
            </w:tcBorders>
            <w:shd w:val="clear" w:color="auto" w:fill="auto"/>
          </w:tcPr>
          <w:p w:rsidR="004843DB" w:rsidRPr="0062582F" w:rsidRDefault="004843DB" w:rsidP="004843DB">
            <w:pPr>
              <w:pStyle w:val="TableofFigures"/>
              <w:rPr>
                <w:b/>
              </w:rPr>
            </w:pPr>
          </w:p>
        </w:tc>
        <w:tc>
          <w:tcPr>
            <w:tcW w:w="1260" w:type="dxa"/>
            <w:tcBorders>
              <w:top w:val="nil"/>
              <w:left w:val="nil"/>
              <w:bottom w:val="single" w:sz="4" w:space="0" w:color="auto"/>
              <w:right w:val="nil"/>
            </w:tcBorders>
            <w:shd w:val="clear" w:color="00FFFF" w:fill="CCCCCC"/>
          </w:tcPr>
          <w:p w:rsidR="004843DB" w:rsidRPr="0062582F" w:rsidRDefault="004843DB" w:rsidP="004843DB">
            <w:pPr>
              <w:pStyle w:val="TableofFigures"/>
              <w:rPr>
                <w:b/>
              </w:rPr>
            </w:pPr>
          </w:p>
        </w:tc>
      </w:tr>
      <w:tr w:rsidR="004843DB" w:rsidRPr="0062582F" w:rsidTr="004843DB">
        <w:trPr>
          <w:cantSplit/>
          <w:trHeight w:val="255"/>
        </w:trPr>
        <w:tc>
          <w:tcPr>
            <w:tcW w:w="3209" w:type="dxa"/>
            <w:tcBorders>
              <w:top w:val="nil"/>
              <w:left w:val="nil"/>
              <w:bottom w:val="nil"/>
              <w:right w:val="nil"/>
            </w:tcBorders>
            <w:shd w:val="clear" w:color="auto" w:fill="auto"/>
            <w:hideMark/>
          </w:tcPr>
          <w:p w:rsidR="004843DB" w:rsidRPr="0062582F" w:rsidRDefault="004843DB" w:rsidP="004843DB">
            <w:pPr>
              <w:pStyle w:val="Tabletext"/>
            </w:pPr>
            <w:r w:rsidRPr="0062582F">
              <w:t>Income</w:t>
            </w:r>
          </w:p>
        </w:tc>
        <w:tc>
          <w:tcPr>
            <w:tcW w:w="177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4 556</w:t>
            </w:r>
          </w:p>
        </w:tc>
        <w:tc>
          <w:tcPr>
            <w:tcW w:w="177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19 494</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24 050</w:t>
            </w:r>
          </w:p>
        </w:tc>
      </w:tr>
      <w:tr w:rsidR="004843DB" w:rsidRPr="0062582F" w:rsidTr="004843DB">
        <w:trPr>
          <w:cantSplit/>
          <w:trHeight w:val="255"/>
        </w:trPr>
        <w:tc>
          <w:tcPr>
            <w:tcW w:w="3209" w:type="dxa"/>
            <w:tcBorders>
              <w:top w:val="nil"/>
              <w:left w:val="nil"/>
              <w:bottom w:val="nil"/>
              <w:right w:val="nil"/>
            </w:tcBorders>
            <w:shd w:val="clear" w:color="auto" w:fill="auto"/>
            <w:hideMark/>
          </w:tcPr>
          <w:p w:rsidR="004843DB" w:rsidRPr="0062582F" w:rsidRDefault="004843DB" w:rsidP="004843DB">
            <w:pPr>
              <w:pStyle w:val="Tabletext"/>
            </w:pPr>
            <w:r w:rsidRPr="0062582F">
              <w:t>Expenses</w:t>
            </w:r>
          </w:p>
        </w:tc>
        <w:tc>
          <w:tcPr>
            <w:tcW w:w="177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(4 375)</w:t>
            </w:r>
          </w:p>
        </w:tc>
        <w:tc>
          <w:tcPr>
            <w:tcW w:w="177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(18 722)</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(23 098)</w:t>
            </w:r>
          </w:p>
        </w:tc>
      </w:tr>
      <w:tr w:rsidR="004843DB" w:rsidRPr="0062582F" w:rsidTr="004843DB">
        <w:trPr>
          <w:cantSplit/>
          <w:trHeight w:val="255"/>
        </w:trPr>
        <w:tc>
          <w:tcPr>
            <w:tcW w:w="3209"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Administered income and expenses</w:t>
            </w:r>
          </w:p>
        </w:tc>
        <w:tc>
          <w:tcPr>
            <w:tcW w:w="1770" w:type="dxa"/>
            <w:tcBorders>
              <w:top w:val="single" w:sz="4" w:space="0" w:color="auto"/>
              <w:left w:val="nil"/>
              <w:bottom w:val="single" w:sz="4" w:space="0" w:color="auto"/>
              <w:right w:val="nil"/>
            </w:tcBorders>
            <w:shd w:val="clear" w:color="000000" w:fill="CCCCCC"/>
          </w:tcPr>
          <w:p w:rsidR="004843DB" w:rsidRPr="0062582F" w:rsidRDefault="004843DB" w:rsidP="004843DB">
            <w:pPr>
              <w:pStyle w:val="TableofFigures"/>
              <w:rPr>
                <w:b/>
              </w:rPr>
            </w:pPr>
          </w:p>
        </w:tc>
        <w:tc>
          <w:tcPr>
            <w:tcW w:w="1770"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ofFigures"/>
              <w:rPr>
                <w:b/>
              </w:rPr>
            </w:pPr>
          </w:p>
        </w:tc>
        <w:tc>
          <w:tcPr>
            <w:tcW w:w="1260" w:type="dxa"/>
            <w:tcBorders>
              <w:top w:val="single" w:sz="4" w:space="0" w:color="auto"/>
              <w:left w:val="nil"/>
              <w:bottom w:val="single" w:sz="4" w:space="0" w:color="auto"/>
              <w:right w:val="nil"/>
            </w:tcBorders>
            <w:shd w:val="clear" w:color="00FFFF" w:fill="CCCCCC"/>
          </w:tcPr>
          <w:p w:rsidR="004843DB" w:rsidRPr="0062582F" w:rsidRDefault="004843DB" w:rsidP="004843DB">
            <w:pPr>
              <w:pStyle w:val="TableofFigures"/>
              <w:rPr>
                <w:b/>
              </w:rPr>
            </w:pPr>
          </w:p>
        </w:tc>
      </w:tr>
      <w:tr w:rsidR="004843DB" w:rsidRPr="0062582F" w:rsidTr="004843DB">
        <w:trPr>
          <w:cantSplit/>
          <w:trHeight w:val="255"/>
        </w:trPr>
        <w:tc>
          <w:tcPr>
            <w:tcW w:w="3209" w:type="dxa"/>
            <w:tcBorders>
              <w:top w:val="nil"/>
              <w:left w:val="nil"/>
              <w:right w:val="nil"/>
            </w:tcBorders>
            <w:shd w:val="clear" w:color="auto" w:fill="auto"/>
            <w:hideMark/>
          </w:tcPr>
          <w:p w:rsidR="004843DB" w:rsidRPr="0062582F" w:rsidRDefault="004843DB" w:rsidP="004843DB">
            <w:pPr>
              <w:pStyle w:val="Tabletext"/>
            </w:pPr>
            <w:r w:rsidRPr="0062582F">
              <w:t>Income</w:t>
            </w:r>
          </w:p>
        </w:tc>
        <w:tc>
          <w:tcPr>
            <w:tcW w:w="1770" w:type="dxa"/>
            <w:tcBorders>
              <w:top w:val="nil"/>
              <w:left w:val="nil"/>
              <w:right w:val="nil"/>
            </w:tcBorders>
            <w:shd w:val="clear" w:color="000000" w:fill="CCCCCC"/>
            <w:noWrap/>
            <w:hideMark/>
          </w:tcPr>
          <w:p w:rsidR="004843DB" w:rsidRPr="0062582F" w:rsidRDefault="004843DB" w:rsidP="004843DB">
            <w:pPr>
              <w:pStyle w:val="TableofFigures"/>
            </w:pPr>
            <w:r w:rsidRPr="0062582F">
              <w:t xml:space="preserve"> 541</w:t>
            </w:r>
          </w:p>
        </w:tc>
        <w:tc>
          <w:tcPr>
            <w:tcW w:w="1770" w:type="dxa"/>
            <w:tcBorders>
              <w:top w:val="nil"/>
              <w:left w:val="nil"/>
              <w:right w:val="nil"/>
            </w:tcBorders>
            <w:shd w:val="clear" w:color="auto" w:fill="auto"/>
            <w:noWrap/>
            <w:hideMark/>
          </w:tcPr>
          <w:p w:rsidR="004843DB" w:rsidRPr="0062582F" w:rsidRDefault="004843DB" w:rsidP="004843DB">
            <w:pPr>
              <w:pStyle w:val="TableofFigures"/>
            </w:pPr>
            <w:r w:rsidRPr="0062582F">
              <w:t>2 314</w:t>
            </w:r>
          </w:p>
        </w:tc>
        <w:tc>
          <w:tcPr>
            <w:tcW w:w="1260" w:type="dxa"/>
            <w:tcBorders>
              <w:top w:val="nil"/>
              <w:left w:val="nil"/>
              <w:right w:val="nil"/>
            </w:tcBorders>
            <w:shd w:val="clear" w:color="00FFFF" w:fill="CCCCCC"/>
            <w:noWrap/>
            <w:hideMark/>
          </w:tcPr>
          <w:p w:rsidR="004843DB" w:rsidRPr="0062582F" w:rsidRDefault="004843DB" w:rsidP="004843DB">
            <w:pPr>
              <w:pStyle w:val="TableofFigures"/>
            </w:pPr>
            <w:r w:rsidRPr="0062582F">
              <w:t>2 855</w:t>
            </w:r>
          </w:p>
        </w:tc>
      </w:tr>
      <w:tr w:rsidR="004843DB" w:rsidRPr="0062582F" w:rsidTr="004843DB">
        <w:trPr>
          <w:cantSplit/>
          <w:trHeight w:val="255"/>
        </w:trPr>
        <w:tc>
          <w:tcPr>
            <w:tcW w:w="3209" w:type="dxa"/>
            <w:tcBorders>
              <w:top w:val="nil"/>
              <w:left w:val="nil"/>
              <w:bottom w:val="single" w:sz="12" w:space="0" w:color="auto"/>
              <w:right w:val="nil"/>
            </w:tcBorders>
            <w:shd w:val="clear" w:color="auto" w:fill="auto"/>
            <w:hideMark/>
          </w:tcPr>
          <w:p w:rsidR="004843DB" w:rsidRPr="0062582F" w:rsidRDefault="004843DB" w:rsidP="004843DB">
            <w:pPr>
              <w:pStyle w:val="Tabletext"/>
            </w:pPr>
            <w:r w:rsidRPr="0062582F">
              <w:t>Expenses</w:t>
            </w:r>
          </w:p>
        </w:tc>
        <w:tc>
          <w:tcPr>
            <w:tcW w:w="1770" w:type="dxa"/>
            <w:tcBorders>
              <w:top w:val="nil"/>
              <w:left w:val="nil"/>
              <w:bottom w:val="single" w:sz="12" w:space="0" w:color="auto"/>
              <w:right w:val="nil"/>
            </w:tcBorders>
            <w:shd w:val="clear" w:color="000000" w:fill="CCCCCC"/>
            <w:noWrap/>
            <w:hideMark/>
          </w:tcPr>
          <w:p w:rsidR="004843DB" w:rsidRPr="0062582F" w:rsidRDefault="004843DB" w:rsidP="004843DB">
            <w:pPr>
              <w:pStyle w:val="TableofFigures"/>
            </w:pPr>
            <w:r w:rsidRPr="0062582F">
              <w:t>(519)</w:t>
            </w:r>
          </w:p>
        </w:tc>
        <w:tc>
          <w:tcPr>
            <w:tcW w:w="1770" w:type="dxa"/>
            <w:tcBorders>
              <w:top w:val="nil"/>
              <w:left w:val="nil"/>
              <w:bottom w:val="single" w:sz="12" w:space="0" w:color="auto"/>
              <w:right w:val="nil"/>
            </w:tcBorders>
            <w:shd w:val="clear" w:color="auto" w:fill="auto"/>
            <w:noWrap/>
            <w:hideMark/>
          </w:tcPr>
          <w:p w:rsidR="004843DB" w:rsidRPr="0062582F" w:rsidRDefault="004843DB" w:rsidP="004843DB">
            <w:pPr>
              <w:pStyle w:val="TableofFigures"/>
            </w:pPr>
            <w:r w:rsidRPr="0062582F">
              <w:t>(2 222)</w:t>
            </w:r>
          </w:p>
        </w:tc>
        <w:tc>
          <w:tcPr>
            <w:tcW w:w="1260" w:type="dxa"/>
            <w:tcBorders>
              <w:top w:val="nil"/>
              <w:left w:val="nil"/>
              <w:bottom w:val="single" w:sz="12" w:space="0" w:color="auto"/>
              <w:right w:val="nil"/>
            </w:tcBorders>
            <w:shd w:val="clear" w:color="00FFFF" w:fill="CCCCCC"/>
            <w:noWrap/>
            <w:hideMark/>
          </w:tcPr>
          <w:p w:rsidR="004843DB" w:rsidRPr="0062582F" w:rsidRDefault="004843DB" w:rsidP="004843DB">
            <w:pPr>
              <w:pStyle w:val="TableofFigures"/>
            </w:pPr>
            <w:r w:rsidRPr="0062582F">
              <w:t>(2 742)</w:t>
            </w:r>
          </w:p>
        </w:tc>
      </w:tr>
    </w:tbl>
    <w:p w:rsidR="004843DB" w:rsidRPr="0062582F" w:rsidRDefault="004843DB" w:rsidP="004843DB"/>
    <w:p w:rsidR="004843DB" w:rsidRPr="0062582F" w:rsidRDefault="004843DB" w:rsidP="004843DB">
      <w:r w:rsidRPr="0062582F">
        <w:t>The net assets assumed by the Department for the research and development of biological technology output as a result of the administrative restructure is recognised in the balance sheet at the carrying amount of those assets in the transferor</w:t>
      </w:r>
      <w:r w:rsidR="005A4BB0">
        <w:t>’</w:t>
      </w:r>
      <w:r w:rsidRPr="0062582F">
        <w:t>s (Department of Natural Resources) balance sheet immediately before the transfer.</w:t>
      </w:r>
    </w:p>
    <w:p w:rsidR="004843DB" w:rsidRPr="0062582F" w:rsidRDefault="004843DB" w:rsidP="004843DB"/>
    <w:p w:rsidR="004843DB" w:rsidRPr="0062582F" w:rsidRDefault="004843DB" w:rsidP="004843DB">
      <w:pPr>
        <w:rPr>
          <w:lang w:val="en-GB"/>
        </w:rPr>
      </w:pPr>
      <w:r w:rsidRPr="0062582F">
        <w:br w:type="page"/>
      </w:r>
    </w:p>
    <w:p w:rsidR="004843DB" w:rsidRPr="0062582F" w:rsidRDefault="004843DB" w:rsidP="004843DB">
      <w:pPr>
        <w:pStyle w:val="Reference"/>
      </w:pPr>
    </w:p>
    <w:p w:rsidR="004843DB" w:rsidRPr="0062582F" w:rsidRDefault="004843DB" w:rsidP="004843DB">
      <w:pPr>
        <w:pStyle w:val="NoteHeadingcontinued"/>
        <w:rPr>
          <w:i/>
        </w:rPr>
      </w:pPr>
      <w:r w:rsidRPr="0062582F">
        <w:rPr>
          <w:rFonts w:ascii="Garamond" w:hAnsi="Garamond"/>
        </w:rPr>
        <w:br w:type="column"/>
      </w:r>
      <w:r w:rsidRPr="0062582F">
        <w:t>Note 9.</w:t>
      </w:r>
      <w:r w:rsidRPr="0062582F">
        <w:tab/>
        <w:t xml:space="preserve">Restructuring of administrative arrangements </w:t>
      </w:r>
      <w:r w:rsidRPr="0062582F">
        <w:rPr>
          <w:i/>
        </w:rPr>
        <w:t>(continued)</w:t>
      </w:r>
    </w:p>
    <w:p w:rsidR="004843DB" w:rsidRPr="0062582F" w:rsidRDefault="004843DB" w:rsidP="004843DB">
      <w:pPr>
        <w:sectPr w:rsidR="004843DB" w:rsidRPr="0062582F" w:rsidSect="00190A01">
          <w:headerReference w:type="default" r:id="rId261"/>
          <w:footerReference w:type="default" r:id="rId262"/>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t>AASB 1004.54</w:t>
      </w:r>
      <w:r w:rsidR="005A4BB0">
        <w:noBreakHyphen/>
      </w:r>
      <w:r w:rsidRPr="0062582F">
        <w:t>55</w:t>
      </w:r>
      <w:r w:rsidRPr="0062582F">
        <w:br/>
        <w:t>AASB 1004.57</w:t>
      </w:r>
      <w:r w:rsidRPr="0062582F">
        <w:br/>
        <w:t>AASB 1004.56</w:t>
      </w:r>
    </w:p>
    <w:p w:rsidR="004843DB" w:rsidRPr="0062582F" w:rsidRDefault="004843DB" w:rsidP="004843DB">
      <w:r w:rsidRPr="0062582F">
        <w:br w:type="column"/>
        <w:t>The net asset transfers were treated as a contribution of capital by the State. No income has been recognised by the Department in respect of the net asset transferred from the Department of Natural Resources.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Reference"/>
        <w:spacing w:before="320"/>
      </w:pPr>
      <w:r w:rsidRPr="0062582F">
        <w:t>AASB 1004.58</w:t>
      </w:r>
    </w:p>
    <w:p w:rsidR="004843DB" w:rsidRPr="0062582F" w:rsidRDefault="004843DB" w:rsidP="004843DB">
      <w:pPr>
        <w:pStyle w:val="SmallLine"/>
      </w:pPr>
    </w:p>
    <w:p w:rsidR="004843DB" w:rsidRPr="0062582F" w:rsidRDefault="004843DB" w:rsidP="004843DB">
      <w:pPr>
        <w:pStyle w:val="Reference"/>
        <w:spacing w:before="240"/>
      </w:pPr>
      <w:r w:rsidRPr="0062582F">
        <w:t>AASB 1004.58</w:t>
      </w:r>
    </w:p>
    <w:p w:rsidR="004843DB" w:rsidRPr="0062582F" w:rsidRDefault="004843DB" w:rsidP="004843DB">
      <w:pPr>
        <w:pStyle w:val="million"/>
        <w:rPr>
          <w:rFonts w:ascii="Tahoma" w:hAnsi="Tahoma" w:cs="Tahoma"/>
          <w:sz w:val="20"/>
        </w:rPr>
      </w:pPr>
      <w:r w:rsidRPr="0062582F">
        <w:br w:type="column"/>
        <w:t>($ thousand)</w:t>
      </w:r>
      <w:bookmarkStart w:id="397" w:name="_Toc163448753"/>
    </w:p>
    <w:tbl>
      <w:tblPr>
        <w:tblW w:w="8079" w:type="dxa"/>
        <w:tblInd w:w="57" w:type="dxa"/>
        <w:tblLayout w:type="fixed"/>
        <w:tblCellMar>
          <w:left w:w="17" w:type="dxa"/>
          <w:right w:w="17" w:type="dxa"/>
        </w:tblCellMar>
        <w:tblLook w:val="04A0" w:firstRow="1" w:lastRow="0" w:firstColumn="1" w:lastColumn="0" w:noHBand="0" w:noVBand="1"/>
      </w:tblPr>
      <w:tblGrid>
        <w:gridCol w:w="7019"/>
        <w:gridCol w:w="1060"/>
      </w:tblGrid>
      <w:tr w:rsidR="004843DB" w:rsidRPr="0062582F" w:rsidTr="004843DB">
        <w:trPr>
          <w:cantSplit/>
        </w:trPr>
        <w:tc>
          <w:tcPr>
            <w:tcW w:w="7019"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spacing w:before="20" w:after="20"/>
            </w:pPr>
            <w:r w:rsidRPr="0062582F">
              <w:t xml:space="preserve"> </w:t>
            </w:r>
          </w:p>
        </w:tc>
        <w:tc>
          <w:tcPr>
            <w:tcW w:w="1060" w:type="dxa"/>
            <w:tcBorders>
              <w:top w:val="single" w:sz="4" w:space="0" w:color="auto"/>
              <w:left w:val="nil"/>
              <w:bottom w:val="single" w:sz="4" w:space="0" w:color="auto"/>
              <w:right w:val="nil"/>
            </w:tcBorders>
            <w:shd w:val="clear" w:color="00FFFF" w:fill="CCCCCC"/>
            <w:hideMark/>
          </w:tcPr>
          <w:p w:rsidR="004843DB" w:rsidRPr="0062582F" w:rsidRDefault="004843DB" w:rsidP="004843DB">
            <w:pPr>
              <w:pStyle w:val="Tabletextheading"/>
              <w:spacing w:before="20" w:after="20"/>
            </w:pPr>
            <w:r w:rsidRPr="0062582F">
              <w:t>2016</w:t>
            </w:r>
          </w:p>
        </w:tc>
      </w:tr>
      <w:tr w:rsidR="004843DB" w:rsidRPr="0062582F" w:rsidTr="004843DB">
        <w:trPr>
          <w:cantSplit/>
        </w:trPr>
        <w:tc>
          <w:tcPr>
            <w:tcW w:w="7019" w:type="dxa"/>
            <w:tcBorders>
              <w:top w:val="nil"/>
              <w:left w:val="nil"/>
              <w:bottom w:val="nil"/>
              <w:right w:val="nil"/>
            </w:tcBorders>
            <w:shd w:val="clear" w:color="auto" w:fill="auto"/>
          </w:tcPr>
          <w:p w:rsidR="004843DB" w:rsidRPr="0062582F" w:rsidRDefault="004843DB" w:rsidP="004843DB">
            <w:pPr>
              <w:pStyle w:val="Tabletext"/>
              <w:spacing w:before="20" w:after="20"/>
              <w:rPr>
                <w:b/>
              </w:rPr>
            </w:pPr>
            <w:r w:rsidRPr="0062582F">
              <w:rPr>
                <w:b/>
              </w:rPr>
              <w:t>In respect of the activities assumed, the following assets and liabilities were recognised at the date of the transfer:</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rPr>
                <w:b/>
              </w:rPr>
            </w:pPr>
            <w:r w:rsidRPr="0062582F">
              <w:rPr>
                <w:b/>
              </w:rPr>
              <w:t xml:space="preserve"> </w:t>
            </w:r>
          </w:p>
        </w:tc>
      </w:tr>
      <w:tr w:rsidR="004843DB" w:rsidRPr="0062582F" w:rsidTr="004843DB">
        <w:trPr>
          <w:cantSplit/>
        </w:trPr>
        <w:tc>
          <w:tcPr>
            <w:tcW w:w="7019" w:type="dxa"/>
            <w:tcBorders>
              <w:top w:val="nil"/>
              <w:left w:val="nil"/>
              <w:bottom w:val="nil"/>
              <w:right w:val="nil"/>
            </w:tcBorders>
            <w:shd w:val="clear" w:color="auto" w:fill="auto"/>
          </w:tcPr>
          <w:p w:rsidR="004843DB" w:rsidRPr="0062582F" w:rsidRDefault="004843DB" w:rsidP="004843DB">
            <w:pPr>
              <w:pStyle w:val="Tabletext"/>
              <w:spacing w:before="20" w:after="20"/>
              <w:rPr>
                <w:b/>
              </w:rPr>
            </w:pPr>
            <w:r w:rsidRPr="0062582F">
              <w:rPr>
                <w:b/>
              </w:rPr>
              <w:t>Output – R&amp;D biological technology – transfer in</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rPr>
                <w:b/>
              </w:rPr>
            </w:pPr>
            <w:r w:rsidRPr="0062582F">
              <w:rPr>
                <w:b/>
              </w:rPr>
              <w:t xml:space="preserve"> </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pPr>
            <w:r w:rsidRPr="0062582F">
              <w:t>Assets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 xml:space="preserve"> </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Cash and deposits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 xml:space="preserve"> 5</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Receivables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2 767</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Investments and other financial assets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2 401</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Investments accounted for using the equity method</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Inventories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2 972</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Property, plant and equipment</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15 512</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Biological assets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3 080</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Investment properties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1 287</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Intangible assets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Other non</w:t>
            </w:r>
            <w:r w:rsidR="005A4BB0">
              <w:noBreakHyphen/>
            </w:r>
            <w:r w:rsidRPr="0062582F">
              <w:t>financial assets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 xml:space="preserve"> 34</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pPr>
            <w:r w:rsidRPr="0062582F">
              <w:t>Liabilities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 xml:space="preserve"> </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Borrowings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(4 104)</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Payables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(2 094)</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Provisions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(2 075)</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Other liabilities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(168)</w:t>
            </w:r>
          </w:p>
        </w:tc>
      </w:tr>
      <w:tr w:rsidR="004843DB" w:rsidRPr="0062582F" w:rsidTr="004843DB">
        <w:trPr>
          <w:cantSplit/>
        </w:trPr>
        <w:tc>
          <w:tcPr>
            <w:tcW w:w="7019"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spacing w:before="20" w:after="20"/>
              <w:rPr>
                <w:b/>
              </w:rPr>
            </w:pPr>
            <w:r w:rsidRPr="0062582F">
              <w:rPr>
                <w:b/>
              </w:rPr>
              <w:t>Net assets recognised at the date of transfer</w:t>
            </w:r>
          </w:p>
        </w:tc>
        <w:tc>
          <w:tcPr>
            <w:tcW w:w="106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spacing w:before="20" w:after="20"/>
              <w:rPr>
                <w:b/>
              </w:rPr>
            </w:pPr>
            <w:r w:rsidRPr="0062582F">
              <w:rPr>
                <w:b/>
              </w:rPr>
              <w:t>19 616</w:t>
            </w:r>
          </w:p>
        </w:tc>
      </w:tr>
      <w:tr w:rsidR="004843DB" w:rsidRPr="0062582F" w:rsidTr="004843DB">
        <w:trPr>
          <w:cantSplit/>
        </w:trPr>
        <w:tc>
          <w:tcPr>
            <w:tcW w:w="7019" w:type="dxa"/>
            <w:tcBorders>
              <w:top w:val="nil"/>
              <w:left w:val="nil"/>
              <w:bottom w:val="nil"/>
              <w:right w:val="nil"/>
            </w:tcBorders>
            <w:shd w:val="clear" w:color="auto" w:fill="auto"/>
          </w:tcPr>
          <w:p w:rsidR="004843DB" w:rsidRPr="0062582F" w:rsidRDefault="004843DB" w:rsidP="004843DB">
            <w:pPr>
              <w:pStyle w:val="Tabletext"/>
              <w:spacing w:before="20" w:after="20"/>
              <w:rPr>
                <w:b/>
              </w:rPr>
            </w:pPr>
            <w:r w:rsidRPr="0062582F">
              <w:rPr>
                <w:b/>
              </w:rPr>
              <w:t>In respect of the activities relinquished, the following assets and liabilities were recognised at the date of the transfer:</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rPr>
                <w:b/>
              </w:rPr>
            </w:pPr>
            <w:r w:rsidRPr="0062582F">
              <w:rPr>
                <w:b/>
              </w:rPr>
              <w:t xml:space="preserve"> </w:t>
            </w:r>
          </w:p>
        </w:tc>
      </w:tr>
      <w:tr w:rsidR="004843DB" w:rsidRPr="0062582F" w:rsidTr="004843DB">
        <w:trPr>
          <w:cantSplit/>
        </w:trPr>
        <w:tc>
          <w:tcPr>
            <w:tcW w:w="7019" w:type="dxa"/>
            <w:tcBorders>
              <w:top w:val="nil"/>
              <w:left w:val="nil"/>
              <w:bottom w:val="nil"/>
              <w:right w:val="nil"/>
            </w:tcBorders>
            <w:shd w:val="clear" w:color="auto" w:fill="auto"/>
          </w:tcPr>
          <w:p w:rsidR="004843DB" w:rsidRPr="0062582F" w:rsidRDefault="004843DB" w:rsidP="004843DB">
            <w:pPr>
              <w:pStyle w:val="Tabletext"/>
              <w:spacing w:before="20" w:after="20"/>
              <w:rPr>
                <w:b/>
              </w:rPr>
            </w:pPr>
            <w:r w:rsidRPr="0062582F">
              <w:rPr>
                <w:b/>
              </w:rPr>
              <w:t>Output</w:t>
            </w:r>
            <w:r w:rsidRPr="0062582F">
              <w:rPr>
                <w:b/>
                <w:iCs/>
              </w:rPr>
              <w:t xml:space="preserve"> – </w:t>
            </w:r>
            <w:r w:rsidRPr="0062582F">
              <w:rPr>
                <w:b/>
              </w:rPr>
              <w:t>new technology administration</w:t>
            </w:r>
            <w:r w:rsidRPr="0062582F">
              <w:rPr>
                <w:b/>
                <w:iCs/>
              </w:rPr>
              <w:t xml:space="preserve"> – </w:t>
            </w:r>
            <w:r w:rsidRPr="0062582F">
              <w:rPr>
                <w:b/>
              </w:rPr>
              <w:t>transfer out</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rPr>
                <w:b/>
              </w:rPr>
            </w:pPr>
            <w:r w:rsidRPr="0062582F">
              <w:rPr>
                <w:b/>
              </w:rPr>
              <w:t xml:space="preserve"> </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pPr>
            <w:r w:rsidRPr="0062582F">
              <w:t>Assets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 xml:space="preserve"> </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Cash and deposits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3 072</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Receivables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11 926</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Investments and other financial assets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5 266</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Investments accounted for using the equity method</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2 471</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Inventories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11 317</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Property, plant and equipment</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31 012</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Biological assets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Investment properties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Intangible assets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3 630</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Other non</w:t>
            </w:r>
            <w:r w:rsidR="005A4BB0">
              <w:noBreakHyphen/>
            </w:r>
            <w:r w:rsidRPr="0062582F">
              <w:t>financial assets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pPr>
            <w:r w:rsidRPr="0062582F">
              <w:t>Liabilities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 xml:space="preserve"> </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Borrowings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(31 374)</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Payables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(5 675)</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Provisions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(11 149)</w:t>
            </w:r>
          </w:p>
        </w:tc>
      </w:tr>
      <w:tr w:rsidR="004843DB" w:rsidRPr="0062582F" w:rsidTr="004843DB">
        <w:trPr>
          <w:cantSplit/>
        </w:trPr>
        <w:tc>
          <w:tcPr>
            <w:tcW w:w="7019" w:type="dxa"/>
            <w:tcBorders>
              <w:top w:val="nil"/>
              <w:left w:val="nil"/>
              <w:bottom w:val="nil"/>
              <w:right w:val="nil"/>
            </w:tcBorders>
            <w:shd w:val="clear" w:color="auto" w:fill="auto"/>
            <w:hideMark/>
          </w:tcPr>
          <w:p w:rsidR="004843DB" w:rsidRPr="0062582F" w:rsidRDefault="004843DB" w:rsidP="004843DB">
            <w:pPr>
              <w:pStyle w:val="Tabletext"/>
              <w:spacing w:before="20" w:after="20"/>
              <w:ind w:left="284"/>
            </w:pPr>
            <w:r w:rsidRPr="0062582F">
              <w:t>Other liabilities</w:t>
            </w:r>
          </w:p>
        </w:tc>
        <w:tc>
          <w:tcPr>
            <w:tcW w:w="1060" w:type="dxa"/>
            <w:tcBorders>
              <w:top w:val="nil"/>
              <w:left w:val="nil"/>
              <w:bottom w:val="nil"/>
              <w:right w:val="nil"/>
            </w:tcBorders>
            <w:shd w:val="clear" w:color="00FFFF" w:fill="CCCCCC"/>
            <w:noWrap/>
            <w:hideMark/>
          </w:tcPr>
          <w:p w:rsidR="004843DB" w:rsidRPr="0062582F" w:rsidRDefault="004843DB" w:rsidP="004843DB">
            <w:pPr>
              <w:pStyle w:val="TableofFigures"/>
              <w:spacing w:before="20" w:after="20"/>
            </w:pPr>
            <w:r w:rsidRPr="0062582F">
              <w:t>(400)</w:t>
            </w:r>
          </w:p>
        </w:tc>
      </w:tr>
      <w:tr w:rsidR="004843DB" w:rsidRPr="0062582F" w:rsidTr="004843DB">
        <w:trPr>
          <w:cantSplit/>
        </w:trPr>
        <w:tc>
          <w:tcPr>
            <w:tcW w:w="7019"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spacing w:before="20" w:after="20"/>
              <w:rPr>
                <w:b/>
              </w:rPr>
            </w:pPr>
            <w:r w:rsidRPr="0062582F">
              <w:rPr>
                <w:b/>
              </w:rPr>
              <w:t>Net assets transferred</w:t>
            </w:r>
          </w:p>
        </w:tc>
        <w:tc>
          <w:tcPr>
            <w:tcW w:w="106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spacing w:before="20" w:after="20"/>
              <w:rPr>
                <w:b/>
              </w:rPr>
            </w:pPr>
            <w:r w:rsidRPr="0062582F">
              <w:rPr>
                <w:b/>
              </w:rPr>
              <w:t>20 097</w:t>
            </w:r>
          </w:p>
        </w:tc>
      </w:tr>
      <w:tr w:rsidR="004843DB" w:rsidRPr="0062582F" w:rsidTr="004843DB">
        <w:trPr>
          <w:cantSplit/>
        </w:trPr>
        <w:tc>
          <w:tcPr>
            <w:tcW w:w="7019"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spacing w:before="20" w:after="20"/>
              <w:rPr>
                <w:b/>
              </w:rPr>
            </w:pPr>
            <w:r w:rsidRPr="0062582F">
              <w:rPr>
                <w:b/>
              </w:rPr>
              <w:t>Net capital contribution from the Crown</w:t>
            </w:r>
          </w:p>
        </w:tc>
        <w:tc>
          <w:tcPr>
            <w:tcW w:w="1060"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spacing w:before="20" w:after="20"/>
              <w:rPr>
                <w:b/>
              </w:rPr>
            </w:pPr>
            <w:r w:rsidRPr="0062582F">
              <w:rPr>
                <w:b/>
              </w:rPr>
              <w:t>(480)</w:t>
            </w:r>
          </w:p>
        </w:tc>
      </w:tr>
    </w:tbl>
    <w:p w:rsidR="004843DB" w:rsidRPr="0062582F" w:rsidRDefault="004843DB" w:rsidP="004843DB"/>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br w:type="column"/>
      </w: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Commentary – Restructuring of administrative arrangements</w:t>
      </w:r>
    </w:p>
    <w:p w:rsidR="004843DB" w:rsidRPr="0062582F" w:rsidRDefault="004843DB" w:rsidP="004843DB">
      <w:pPr>
        <w:pStyle w:val="SmallLineBlue"/>
      </w:pPr>
    </w:p>
    <w:p w:rsidR="004843DB" w:rsidRPr="0062582F" w:rsidRDefault="004843DB" w:rsidP="004843DB">
      <w:pPr>
        <w:pStyle w:val="CommentaryText"/>
        <w:pBdr>
          <w:top w:val="none" w:sz="0" w:space="0" w:color="auto"/>
          <w:bottom w:val="none" w:sz="0" w:space="0" w:color="auto"/>
        </w:pBdr>
      </w:pPr>
      <w:r w:rsidRPr="0062582F">
        <w:t xml:space="preserve">Requirements regarding restructures of administrative arrangements can be found by reference to AASB 1004 </w:t>
      </w:r>
      <w:r w:rsidRPr="0062582F">
        <w:rPr>
          <w:i/>
        </w:rPr>
        <w:t xml:space="preserve">Contributions </w:t>
      </w:r>
      <w:r w:rsidRPr="0062582F">
        <w:t>and AASB Interpretation 1038</w:t>
      </w:r>
      <w:r w:rsidRPr="0062582F">
        <w:rPr>
          <w:i/>
        </w:rPr>
        <w:t xml:space="preserve"> Contributions by Owners Made to Wholly</w:t>
      </w:r>
      <w:r w:rsidR="005A4BB0">
        <w:rPr>
          <w:i/>
        </w:rPr>
        <w:noBreakHyphen/>
      </w:r>
      <w:r w:rsidRPr="0062582F">
        <w:rPr>
          <w:i/>
        </w:rPr>
        <w:t>Owned Public Sector Entities</w:t>
      </w:r>
      <w:r w:rsidRPr="0062582F">
        <w:t xml:space="preserve">. In relation to the detailed requirements on the evidence and timing when accounting for restructures of administrative arrangements, please refer to FRD 119A </w:t>
      </w:r>
      <w:r w:rsidRPr="0062582F">
        <w:rPr>
          <w:i/>
        </w:rPr>
        <w:t xml:space="preserve">Transfers through contributed capital </w:t>
      </w:r>
      <w:r w:rsidRPr="0062582F">
        <w:t xml:space="preserve">as outlined below. </w:t>
      </w: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20"/>
      </w:pPr>
    </w:p>
    <w:p w:rsidR="004843DB" w:rsidRPr="0062582F" w:rsidRDefault="004843DB" w:rsidP="004843DB">
      <w:pPr>
        <w:pStyle w:val="Reference"/>
        <w:spacing w:before="260"/>
      </w:pPr>
      <w:r w:rsidRPr="0062582F">
        <w:t>FRD 119A, App A</w:t>
      </w:r>
    </w:p>
    <w:p w:rsidR="004843DB" w:rsidRPr="0062582F" w:rsidRDefault="004843DB" w:rsidP="004843DB">
      <w:pPr>
        <w:pStyle w:val="CommentaryHeading2"/>
      </w:pPr>
      <w:r w:rsidRPr="0062582F">
        <w:br w:type="column"/>
        <w:t>Evidence and timing of government decisions</w:t>
      </w:r>
    </w:p>
    <w:p w:rsidR="004843DB" w:rsidRPr="0062582F" w:rsidRDefault="004843DB" w:rsidP="004843DB">
      <w:pPr>
        <w:pStyle w:val="CommentaryHeading2"/>
        <w:spacing w:before="120"/>
        <w:rPr>
          <w:i w:val="0"/>
        </w:rPr>
      </w:pPr>
      <w:r w:rsidRPr="0062582F">
        <w:rPr>
          <w:i w:val="0"/>
        </w:rPr>
        <w:t>Parliamentary appropriations</w:t>
      </w:r>
    </w:p>
    <w:p w:rsidR="004843DB" w:rsidRPr="0062582F" w:rsidRDefault="004843DB" w:rsidP="004843DB">
      <w:pPr>
        <w:pStyle w:val="CommentaryText"/>
        <w:pBdr>
          <w:top w:val="none" w:sz="0" w:space="0" w:color="auto"/>
          <w:bottom w:val="none" w:sz="0" w:space="0" w:color="auto"/>
        </w:pBdr>
      </w:pPr>
      <w:r w:rsidRPr="0062582F">
        <w:t xml:space="preserve">Parliamentary appropriations for additions to net asset base, payments on behalf of the State, and special appropriations for capital expenditure purposes, including those that are directly on passed to another transferee wholly owned and controlled by the State, are deemed by FRD 119A as contributions by owners. </w:t>
      </w:r>
    </w:p>
    <w:p w:rsidR="004843DB" w:rsidRPr="0062582F" w:rsidRDefault="004843DB" w:rsidP="004843DB">
      <w:pPr>
        <w:pStyle w:val="CommentaryText"/>
        <w:pBdr>
          <w:top w:val="none" w:sz="0" w:space="0" w:color="auto"/>
          <w:bottom w:val="none" w:sz="0" w:space="0" w:color="auto"/>
        </w:pBdr>
      </w:pPr>
      <w:r w:rsidRPr="0062582F">
        <w:t xml:space="preserve">In such cases, the evidence of government decision is in the forms of Appropriation Act, or specific sections in other Acts. The timing of government decision is when the Royal assent or the Warrant is signed. </w:t>
      </w:r>
    </w:p>
    <w:p w:rsidR="004843DB" w:rsidRPr="0062582F" w:rsidRDefault="004843DB" w:rsidP="004843DB">
      <w:pPr>
        <w:pStyle w:val="CommentaryText"/>
        <w:pBdr>
          <w:top w:val="none" w:sz="0" w:space="0" w:color="auto"/>
          <w:bottom w:val="none" w:sz="0" w:space="0" w:color="auto"/>
        </w:pBdr>
      </w:pPr>
      <w:r w:rsidRPr="0062582F">
        <w:rPr>
          <w:rFonts w:ascii="Calibri" w:hAnsi="Calibri" w:cs="Arial"/>
          <w:b/>
          <w:bCs/>
        </w:rPr>
        <w:t>Restructures of administrative restructures</w:t>
      </w:r>
    </w:p>
    <w:p w:rsidR="004843DB" w:rsidRPr="0062582F" w:rsidRDefault="004843DB" w:rsidP="004843DB">
      <w:pPr>
        <w:pStyle w:val="CommentaryText"/>
        <w:pBdr>
          <w:top w:val="none" w:sz="0" w:space="0" w:color="auto"/>
          <w:bottom w:val="none" w:sz="0" w:space="0" w:color="auto"/>
        </w:pBdr>
      </w:pPr>
      <w:r w:rsidRPr="0062582F">
        <w:t xml:space="preserve">In the case of restructures of administrative restructures, evidence of government decisions can include an administrative order, a legislative instrument, or any form of evidence documenting government decision in relation to the activities transferred. The decision is made when the Order/Royal assent/evidence is signed, depending on the form of evidence. </w:t>
      </w:r>
    </w:p>
    <w:p w:rsidR="004843DB" w:rsidRPr="0062582F" w:rsidRDefault="004843DB" w:rsidP="004843DB">
      <w:pPr>
        <w:pStyle w:val="CommentaryText"/>
        <w:pBdr>
          <w:top w:val="none" w:sz="0" w:space="0" w:color="auto"/>
          <w:bottom w:val="none" w:sz="0" w:space="0" w:color="auto"/>
        </w:pBdr>
        <w:rPr>
          <w:sz w:val="20"/>
        </w:rPr>
      </w:pPr>
      <w:r w:rsidRPr="0062582F">
        <w:t>Where an administrative order is used to effect the administrative restructure, the transfer is deemed to occur on the date of gazettal or publication unless the order or a subsequent order specificies a separate effective date.</w:t>
      </w:r>
    </w:p>
    <w:p w:rsidR="004843DB" w:rsidRPr="0062582F" w:rsidRDefault="004843DB" w:rsidP="004843DB">
      <w:pPr>
        <w:pStyle w:val="CommentaryText"/>
        <w:pBdr>
          <w:top w:val="none" w:sz="0" w:space="0" w:color="auto"/>
          <w:bottom w:val="none" w:sz="0" w:space="0" w:color="auto"/>
        </w:pBdr>
      </w:pPr>
      <w:r w:rsidRPr="0062582F">
        <w:t>Administrative orders may be issued with different dates specified for:</w:t>
      </w:r>
    </w:p>
    <w:p w:rsidR="004843DB" w:rsidRPr="0062582F" w:rsidRDefault="004843DB" w:rsidP="004843DB">
      <w:pPr>
        <w:pStyle w:val="CommentaryBullet"/>
      </w:pPr>
      <w:r w:rsidRPr="0062582F">
        <w:t>departmental name changes;</w:t>
      </w:r>
    </w:p>
    <w:p w:rsidR="004843DB" w:rsidRPr="0062582F" w:rsidRDefault="004843DB" w:rsidP="004843DB">
      <w:pPr>
        <w:pStyle w:val="CommentaryBullet"/>
      </w:pPr>
      <w:r w:rsidRPr="0062582F">
        <w:t>ministerial appointments; and</w:t>
      </w:r>
    </w:p>
    <w:p w:rsidR="004843DB" w:rsidRPr="0062582F" w:rsidRDefault="004843DB" w:rsidP="004843DB">
      <w:pPr>
        <w:pStyle w:val="CommentaryBullet"/>
      </w:pPr>
      <w:r w:rsidRPr="0062582F">
        <w:t>commencement of keeping accounts and provision of reports for output changes.</w:t>
      </w:r>
    </w:p>
    <w:p w:rsidR="004843DB" w:rsidRPr="0062582F" w:rsidRDefault="004843DB" w:rsidP="004843DB">
      <w:pPr>
        <w:pStyle w:val="CommentaryText"/>
        <w:pBdr>
          <w:top w:val="none" w:sz="0" w:space="0" w:color="auto"/>
        </w:pBdr>
      </w:pPr>
      <w:r w:rsidRPr="0062582F">
        <w:t xml:space="preserve">For example, in the case of the fictitious DoT, the transfer was announced and approved on 2 August 2015, however there is a requirement in the </w:t>
      </w:r>
      <w:r w:rsidRPr="0062582F">
        <w:rPr>
          <w:i/>
          <w:iCs/>
        </w:rPr>
        <w:t>Administrative</w:t>
      </w:r>
      <w:r w:rsidRPr="0062582F">
        <w:t xml:space="preserve"> </w:t>
      </w:r>
      <w:r w:rsidRPr="0062582F">
        <w:rPr>
          <w:i/>
          <w:iCs/>
        </w:rPr>
        <w:t>Arrangements Order (No. xxx) 2015</w:t>
      </w:r>
      <w:r w:rsidRPr="0062582F">
        <w:t xml:space="preserve"> for the Department to keep accounts and to provide reports for the relevant outputs for the purposes of the </w:t>
      </w:r>
      <w:r w:rsidRPr="0062582F">
        <w:rPr>
          <w:i/>
          <w:iCs/>
        </w:rPr>
        <w:t xml:space="preserve">Financial Management Act 1994 </w:t>
      </w:r>
      <w:r w:rsidRPr="0062582F">
        <w:t xml:space="preserve">until 31 August 2015 (see Note 2 </w:t>
      </w:r>
      <w:r w:rsidRPr="0062582F">
        <w:rPr>
          <w:i/>
        </w:rPr>
        <w:t>Departmental (controlled) outputs</w:t>
      </w:r>
      <w:r w:rsidRPr="0062582F">
        <w:t>).</w:t>
      </w:r>
    </w:p>
    <w:p w:rsidR="004843DB" w:rsidRPr="0062582F" w:rsidRDefault="004843DB" w:rsidP="004843DB">
      <w:pPr>
        <w:pStyle w:val="CommentaryText"/>
        <w:pBdr>
          <w:top w:val="none" w:sz="0" w:space="0" w:color="auto"/>
        </w:pBdr>
      </w:pPr>
      <w:r w:rsidRPr="0062582F">
        <w:t xml:space="preserve">Entities should review carefully the relevant designation date, or if different, the effective date of the administrative order from the </w:t>
      </w:r>
      <w:r w:rsidRPr="0062582F">
        <w:rPr>
          <w:i/>
          <w:iCs/>
        </w:rPr>
        <w:t>Special Victorian Government Gazette</w:t>
      </w:r>
      <w:r w:rsidRPr="0062582F">
        <w:t xml:space="preserve">. This publication can be accessed at: </w:t>
      </w:r>
    </w:p>
    <w:p w:rsidR="004843DB" w:rsidRPr="0062582F" w:rsidRDefault="004843DB" w:rsidP="004843DB">
      <w:pPr>
        <w:pStyle w:val="CommentaryText"/>
        <w:pBdr>
          <w:top w:val="none" w:sz="0" w:space="0" w:color="auto"/>
        </w:pBdr>
        <w:rPr>
          <w:rStyle w:val="Hyperlink"/>
        </w:rPr>
      </w:pPr>
      <w:r w:rsidRPr="0062582F">
        <w:rPr>
          <w:rStyle w:val="Hyperlink"/>
        </w:rPr>
        <w:t>http://www.gazette.vic.gov.au/</w:t>
      </w:r>
    </w:p>
    <w:p w:rsidR="004843DB" w:rsidRPr="0062582F" w:rsidRDefault="004843DB" w:rsidP="004843DB">
      <w:pPr>
        <w:pStyle w:val="CommentaryText"/>
        <w:pBdr>
          <w:top w:val="none" w:sz="0" w:space="0" w:color="auto"/>
        </w:pBdr>
      </w:pPr>
      <w:r w:rsidRPr="0062582F">
        <w:t>or can be ordered from BlueStar Print:</w:t>
      </w:r>
    </w:p>
    <w:p w:rsidR="004843DB" w:rsidRPr="0062582F" w:rsidRDefault="004843DB" w:rsidP="004843DB">
      <w:pPr>
        <w:pStyle w:val="CommentaryTextIndent"/>
        <w:pBdr>
          <w:top w:val="none" w:sz="0" w:space="0" w:color="auto"/>
        </w:pBdr>
        <w:tabs>
          <w:tab w:val="left" w:pos="900"/>
        </w:tabs>
        <w:ind w:left="0" w:firstLine="0"/>
      </w:pPr>
      <w:r w:rsidRPr="0062582F">
        <w:rPr>
          <w:noProof w:val="0"/>
        </w:rPr>
        <w:t>Phone</w:t>
      </w:r>
      <w:r w:rsidRPr="0062582F">
        <w:rPr>
          <w:noProof w:val="0"/>
        </w:rPr>
        <w:tab/>
        <w:t>(03) 8523 4601</w:t>
      </w:r>
      <w:r w:rsidRPr="0062582F">
        <w:rPr>
          <w:noProof w:val="0"/>
        </w:rPr>
        <w:br/>
        <w:t xml:space="preserve">Fax </w:t>
      </w:r>
      <w:r w:rsidRPr="0062582F">
        <w:rPr>
          <w:noProof w:val="0"/>
        </w:rPr>
        <w:tab/>
        <w:t>(03) 9600 0478</w:t>
      </w:r>
      <w:r w:rsidRPr="0062582F">
        <w:rPr>
          <w:noProof w:val="0"/>
        </w:rPr>
        <w:br/>
        <w:t>Email</w:t>
      </w:r>
      <w:r w:rsidRPr="0062582F">
        <w:rPr>
          <w:noProof w:val="0"/>
        </w:rPr>
        <w:tab/>
      </w:r>
      <w:hyperlink r:id="rId263" w:history="1">
        <w:r w:rsidRPr="0062582F">
          <w:t>gazette@bluestargroup.com.au</w:t>
        </w:r>
      </w:hyperlink>
    </w:p>
    <w:p w:rsidR="004843DB" w:rsidRPr="0062582F" w:rsidRDefault="004843DB" w:rsidP="004843DB">
      <w:pPr>
        <w:pStyle w:val="CommentaryText"/>
        <w:pBdr>
          <w:top w:val="none" w:sz="0" w:space="0" w:color="auto"/>
        </w:pBdr>
        <w:rPr>
          <w:rFonts w:ascii="Calibri" w:hAnsi="Calibri" w:cs="Arial"/>
          <w:b/>
          <w:bCs/>
        </w:rPr>
      </w:pPr>
      <w:r w:rsidRPr="0062582F">
        <w:rPr>
          <w:rFonts w:ascii="Calibri" w:hAnsi="Calibri" w:cs="Arial"/>
          <w:b/>
          <w:bCs/>
        </w:rPr>
        <w:t xml:space="preserve">Formal designation for </w:t>
      </w:r>
      <w:r w:rsidR="005A4BB0">
        <w:rPr>
          <w:rFonts w:ascii="Calibri" w:hAnsi="Calibri" w:cs="Arial"/>
          <w:b/>
          <w:bCs/>
        </w:rPr>
        <w:t>‘</w:t>
      </w:r>
      <w:r w:rsidRPr="0062582F">
        <w:rPr>
          <w:rFonts w:ascii="Calibri" w:hAnsi="Calibri" w:cs="Arial"/>
          <w:b/>
          <w:bCs/>
        </w:rPr>
        <w:t>other transfers</w:t>
      </w:r>
      <w:r w:rsidR="005A4BB0">
        <w:rPr>
          <w:rFonts w:ascii="Calibri" w:hAnsi="Calibri" w:cs="Arial"/>
          <w:b/>
          <w:bCs/>
        </w:rPr>
        <w:t>’</w:t>
      </w:r>
    </w:p>
    <w:p w:rsidR="004843DB" w:rsidRPr="0062582F" w:rsidRDefault="004843DB" w:rsidP="004843DB">
      <w:pPr>
        <w:pStyle w:val="CommentaryText"/>
        <w:pBdr>
          <w:top w:val="none" w:sz="0" w:space="0" w:color="auto"/>
        </w:pBdr>
      </w:pPr>
      <w:r w:rsidRPr="0062582F">
        <w:t xml:space="preserve">In cases other than administrative restructures covered by administrative orders or legislative instruments, the relevant portfolio minister must formally designate transfers as contributions by or distributions to owners at or before the time of the transfer. Entities should follow paragraph 6.2 of FRD 119A for the minimum details to be included to meet the designation requirements. </w:t>
      </w:r>
    </w:p>
    <w:p w:rsidR="004843DB" w:rsidRPr="0062582F" w:rsidRDefault="004843DB" w:rsidP="004843DB">
      <w:pPr>
        <w:spacing w:before="0" w:line="240" w:lineRule="atLeast"/>
        <w:rPr>
          <w:noProof/>
          <w:color w:val="0000FF"/>
        </w:rPr>
      </w:pPr>
      <w:r w:rsidRPr="0062582F">
        <w:br w:type="page"/>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type="column"/>
      </w:r>
    </w:p>
    <w:p w:rsidR="004843DB" w:rsidRPr="0062582F" w:rsidRDefault="004843DB" w:rsidP="004843DB">
      <w:pPr>
        <w:pStyle w:val="CommentaryHeading"/>
        <w:rPr>
          <w:i/>
        </w:rPr>
      </w:pPr>
      <w:r w:rsidRPr="0062582F">
        <w:t xml:space="preserve">Commentary – Restructuring of administrative arrangements </w:t>
      </w:r>
      <w:r w:rsidRPr="0062582F">
        <w:rPr>
          <w:i/>
        </w:rPr>
        <w:t>(continued)</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pPr>
      <w:r w:rsidRPr="0062582F">
        <w:t>Insufficient contributed capital for distributions to owners (reclassification of equity</w:t>
      </w:r>
      <w:r w:rsidRPr="0062582F">
        <w:rPr>
          <w:i/>
        </w:rPr>
        <w:t xml:space="preserve">) </w:t>
      </w:r>
    </w:p>
    <w:p w:rsidR="004843DB" w:rsidRPr="0062582F" w:rsidRDefault="004843DB" w:rsidP="004843DB">
      <w:pPr>
        <w:pStyle w:val="CommentaryText"/>
        <w:pBdr>
          <w:top w:val="none" w:sz="0" w:space="0" w:color="auto"/>
          <w:bottom w:val="none" w:sz="0" w:space="0" w:color="auto"/>
        </w:pBdr>
        <w:rPr>
          <w:rFonts w:asciiTheme="minorHAnsi" w:hAnsiTheme="minorHAnsi" w:cstheme="minorHAnsi"/>
        </w:rPr>
      </w:pPr>
      <w:r w:rsidRPr="0062582F">
        <w:t>Under FRD 119A, CFAOs can reclassify equity without further ministerial approval to the extent required to effect the following distributions to owners:</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where the transferor has insufficient contributed capital to transfer an asset or net assets; or </w:t>
      </w:r>
    </w:p>
    <w:p w:rsidR="004843DB" w:rsidRPr="0062582F" w:rsidRDefault="004843DB" w:rsidP="004843DB">
      <w:pPr>
        <w:pStyle w:val="CommentaryTextIndent"/>
        <w:pBdr>
          <w:top w:val="none" w:sz="0" w:space="0" w:color="auto"/>
          <w:bottom w:val="none" w:sz="0" w:space="0" w:color="auto"/>
        </w:pBdr>
      </w:pPr>
      <w:r w:rsidRPr="0062582F">
        <w:t>(b)</w:t>
      </w:r>
      <w:r w:rsidRPr="0062582F">
        <w:tab/>
        <w:t>where a transferee has insufficient contributed capital to cover the receipt of a liability or net liabilities.</w:t>
      </w:r>
    </w:p>
    <w:p w:rsidR="004843DB" w:rsidRPr="0062582F" w:rsidRDefault="004843DB" w:rsidP="004843DB">
      <w:pPr>
        <w:pStyle w:val="CommentaryText"/>
        <w:pBdr>
          <w:top w:val="none" w:sz="0" w:space="0" w:color="auto"/>
          <w:bottom w:val="none" w:sz="0" w:space="0" w:color="auto"/>
        </w:pBdr>
      </w:pPr>
      <w:r w:rsidRPr="0062582F">
        <w:t xml:space="preserve">In accordance with the guidance in Appendix C of FRD 103F </w:t>
      </w:r>
      <w:r w:rsidRPr="0062582F">
        <w:rPr>
          <w:i/>
        </w:rPr>
        <w:t>Non</w:t>
      </w:r>
      <w:r w:rsidR="005A4BB0">
        <w:rPr>
          <w:i/>
        </w:rPr>
        <w:noBreakHyphen/>
      </w:r>
      <w:r w:rsidRPr="0062582F">
        <w:rPr>
          <w:i/>
        </w:rPr>
        <w:t>financial physical assets</w:t>
      </w:r>
      <w:r w:rsidRPr="0062582F">
        <w:t>, for distributions of non</w:t>
      </w:r>
      <w:r w:rsidR="005A4BB0">
        <w:noBreakHyphen/>
      </w:r>
      <w:r w:rsidRPr="0062582F">
        <w:t>financial physical assets, entities must first reclassify any related revaluation surplus to the accumulated surplus, irrespective of the sufficiency of contributed capital balance. If the asset revaluation surplus included in equity is unknown, management will need to apply judgement and document the methodology used to determine an appropriate estimation of the related amount.</w:t>
      </w:r>
    </w:p>
    <w:p w:rsidR="004843DB" w:rsidRPr="0062582F" w:rsidRDefault="004843DB" w:rsidP="004843DB">
      <w:pPr>
        <w:pStyle w:val="CommentaryText"/>
        <w:pBdr>
          <w:top w:val="none" w:sz="0" w:space="0" w:color="auto"/>
          <w:bottom w:val="none" w:sz="0" w:space="0" w:color="auto"/>
        </w:pBdr>
      </w:pPr>
      <w:r w:rsidRPr="0062582F">
        <w:t>Subsequent to the reclassification above, where there is insufficient contributed capital for distributions to owners, the entity must reclassify its accumulated surplus to contributed capital to the extent required to effect the distribution.</w:t>
      </w:r>
    </w:p>
    <w:p w:rsidR="004843DB" w:rsidRPr="0062582F" w:rsidRDefault="004843DB" w:rsidP="004843DB">
      <w:pPr>
        <w:pStyle w:val="CommentaryText"/>
        <w:pBdr>
          <w:top w:val="none" w:sz="0" w:space="0" w:color="auto"/>
          <w:bottom w:val="none" w:sz="0" w:space="0" w:color="auto"/>
        </w:pBdr>
      </w:pPr>
      <w:r w:rsidRPr="0062582F">
        <w:t>If there is still insufficient contributed capital after such reclassifications, the balance must be recognised as an expense.</w:t>
      </w:r>
    </w:p>
    <w:p w:rsidR="004843DB" w:rsidRPr="0062582F" w:rsidRDefault="004843DB" w:rsidP="004843DB">
      <w:pPr>
        <w:pStyle w:val="CommentaryHeading1"/>
        <w:pBdr>
          <w:top w:val="none" w:sz="0" w:space="0" w:color="auto"/>
          <w:bottom w:val="none" w:sz="0" w:space="0" w:color="auto"/>
        </w:pBdr>
      </w:pPr>
      <w:r w:rsidRPr="0062582F">
        <w:t>Disclosure requirements in the notes</w:t>
      </w:r>
    </w:p>
    <w:p w:rsidR="004843DB" w:rsidRPr="0062582F" w:rsidRDefault="004843DB" w:rsidP="004843DB">
      <w:pPr>
        <w:pStyle w:val="CommentaryHeading1"/>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2"/>
      </w:pPr>
      <w:r w:rsidRPr="0062582F">
        <w:br w:type="column"/>
        <w:t>Income and expenses</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80"/>
      </w:pPr>
      <w:r w:rsidRPr="0062582F">
        <w:t>AASB 1004.57</w:t>
      </w:r>
    </w:p>
    <w:p w:rsidR="004843DB" w:rsidRPr="0062582F" w:rsidRDefault="004843DB" w:rsidP="004843DB">
      <w:pPr>
        <w:pStyle w:val="Reference"/>
        <w:spacing w:before="200"/>
      </w:pPr>
    </w:p>
    <w:p w:rsidR="004843DB" w:rsidRPr="0062582F" w:rsidRDefault="004843DB" w:rsidP="004843DB">
      <w:pPr>
        <w:pStyle w:val="SmallLine"/>
      </w:pPr>
      <w:r w:rsidRPr="0062582F">
        <w:br/>
      </w:r>
    </w:p>
    <w:p w:rsidR="004843DB" w:rsidRPr="0062582F" w:rsidRDefault="004843DB" w:rsidP="004843DB">
      <w:pPr>
        <w:pStyle w:val="Reference"/>
        <w:spacing w:before="240"/>
      </w:pPr>
      <w:r w:rsidRPr="0062582F">
        <w:t>AASB 1004.58</w:t>
      </w:r>
    </w:p>
    <w:p w:rsidR="004843DB" w:rsidRPr="0062582F" w:rsidRDefault="004843DB" w:rsidP="004843DB">
      <w:pPr>
        <w:pStyle w:val="CommentaryText"/>
        <w:pBdr>
          <w:top w:val="none" w:sz="0" w:space="0" w:color="auto"/>
          <w:bottom w:val="none" w:sz="0" w:space="0" w:color="auto"/>
        </w:pBdr>
        <w:rPr>
          <w:b/>
        </w:rPr>
      </w:pPr>
      <w:r w:rsidRPr="0062582F">
        <w:br w:type="column"/>
        <w:t xml:space="preserve">In relation to a transferred output (activity), income and expenses attributable to that output shall be </w:t>
      </w:r>
      <w:r w:rsidRPr="0062582F">
        <w:rPr>
          <w:b/>
        </w:rPr>
        <w:t>disclosed by the transferee</w:t>
      </w:r>
      <w:r w:rsidRPr="0062582F">
        <w:t xml:space="preserve">, including the income and expenses </w:t>
      </w:r>
      <w:r w:rsidRPr="0062582F">
        <w:rPr>
          <w:b/>
        </w:rPr>
        <w:t>recognised by the transferor.</w:t>
      </w:r>
    </w:p>
    <w:p w:rsidR="004843DB" w:rsidRPr="0062582F" w:rsidRDefault="004843DB" w:rsidP="004843DB">
      <w:pPr>
        <w:pStyle w:val="CommentaryHeading2"/>
      </w:pPr>
      <w:r w:rsidRPr="0062582F">
        <w:t>Assets and liabilities</w:t>
      </w:r>
    </w:p>
    <w:p w:rsidR="004843DB" w:rsidRPr="0062582F" w:rsidRDefault="004843DB" w:rsidP="004843DB">
      <w:pPr>
        <w:pStyle w:val="CommentaryText"/>
        <w:pBdr>
          <w:top w:val="none" w:sz="0" w:space="0" w:color="auto"/>
          <w:bottom w:val="none" w:sz="0" w:space="0" w:color="auto"/>
        </w:pBdr>
      </w:pPr>
      <w:r w:rsidRPr="0062582F">
        <w:t>For immaterial transfers, the assets and liabilities transferred shall be disclosed on an aggregate basis.</w:t>
      </w:r>
    </w:p>
    <w:p w:rsidR="004843DB" w:rsidRPr="0062582F" w:rsidRDefault="004843DB" w:rsidP="004843DB">
      <w:pPr>
        <w:pStyle w:val="CommentaryText"/>
        <w:pBdr>
          <w:top w:val="none" w:sz="0" w:space="0" w:color="auto"/>
        </w:pBdr>
      </w:pPr>
      <w:r w:rsidRPr="0062582F">
        <w:t>For each material transfer, the assets and liabilities transferred shall be disclosed by class, and the counterparty transferor/transferee shall be identified. In addition, both the transferor and transferee shall disclose the following:</w:t>
      </w:r>
    </w:p>
    <w:p w:rsidR="004843DB" w:rsidRPr="0062582F" w:rsidRDefault="004843DB" w:rsidP="004843DB">
      <w:pPr>
        <w:pStyle w:val="CommentaryTextIndent"/>
        <w:pBdr>
          <w:top w:val="none" w:sz="0" w:space="0" w:color="auto"/>
        </w:pBdr>
      </w:pPr>
      <w:r w:rsidRPr="0062582F">
        <w:t>(a)</w:t>
      </w:r>
      <w:r w:rsidRPr="0062582F">
        <w:tab/>
        <w:t>a brief description of the nature of the output transferred;</w:t>
      </w:r>
    </w:p>
    <w:p w:rsidR="004843DB" w:rsidRPr="0062582F" w:rsidRDefault="004843DB" w:rsidP="004843DB">
      <w:pPr>
        <w:pStyle w:val="CommentaryTextIndent"/>
        <w:pBdr>
          <w:top w:val="none" w:sz="0" w:space="0" w:color="auto"/>
        </w:pBdr>
      </w:pPr>
      <w:r w:rsidRPr="0062582F">
        <w:t>(b)</w:t>
      </w:r>
      <w:r w:rsidRPr="0062582F">
        <w:tab/>
        <w:t>the date of transfer of the output;</w:t>
      </w:r>
    </w:p>
    <w:p w:rsidR="004843DB" w:rsidRPr="0062582F" w:rsidRDefault="004843DB" w:rsidP="004843DB">
      <w:pPr>
        <w:pStyle w:val="CommentaryTextIndent"/>
        <w:pBdr>
          <w:top w:val="none" w:sz="0" w:space="0" w:color="auto"/>
        </w:pBdr>
      </w:pPr>
      <w:r w:rsidRPr="0062582F">
        <w:t>(c)</w:t>
      </w:r>
      <w:r w:rsidRPr="0062582F">
        <w:tab/>
        <w:t xml:space="preserve">the identity of the department(s) to whom the output has been transferred/received; and </w:t>
      </w:r>
    </w:p>
    <w:p w:rsidR="004843DB" w:rsidRPr="0062582F" w:rsidRDefault="004843DB" w:rsidP="004843DB">
      <w:pPr>
        <w:pStyle w:val="CommentaryTextIndent"/>
        <w:pBdr>
          <w:top w:val="none" w:sz="0" w:space="0" w:color="auto"/>
        </w:pBdr>
        <w:rPr>
          <w:b/>
        </w:rPr>
      </w:pPr>
      <w:r w:rsidRPr="0062582F">
        <w:t>(d)</w:t>
      </w:r>
      <w:r w:rsidRPr="0062582F">
        <w:tab/>
        <w:t>the details about any related legislation that was enacted to effect the transfer.</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spacing w:before="0" w:line="240" w:lineRule="atLeast"/>
        <w:rPr>
          <w:rFonts w:ascii="Calibri" w:hAnsi="Calibri" w:cs="Arial Narrow"/>
          <w:color w:val="0000FF"/>
          <w:sz w:val="16"/>
          <w:szCs w:val="16"/>
          <w:lang w:val="en-GB"/>
        </w:rPr>
      </w:pPr>
      <w:r w:rsidRPr="0062582F">
        <w:rPr>
          <w:rFonts w:ascii="Calibri" w:hAnsi="Calibri" w:cs="Arial Narrow"/>
          <w:color w:val="0000FF"/>
          <w:sz w:val="16"/>
          <w:szCs w:val="16"/>
          <w:lang w:val="en-GB"/>
        </w:rPr>
        <w:br w:type="column"/>
      </w:r>
      <w:r w:rsidRPr="0062582F">
        <w:rPr>
          <w:rFonts w:ascii="Calibri" w:hAnsi="Calibri" w:cs="Arial Narrow"/>
          <w:color w:val="0000FF"/>
          <w:sz w:val="16"/>
          <w:szCs w:val="16"/>
          <w:lang w:val="en-GB"/>
        </w:rPr>
        <w:br w:type="column"/>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type="column"/>
      </w:r>
    </w:p>
    <w:p w:rsidR="004843DB" w:rsidRPr="0062582F" w:rsidRDefault="004843DB" w:rsidP="004843DB">
      <w:pPr>
        <w:pStyle w:val="CommentaryHeading"/>
        <w:rPr>
          <w:i/>
        </w:rPr>
      </w:pPr>
      <w:r w:rsidRPr="0062582F">
        <w:t xml:space="preserve">Commentary – Restructuring of administrative arrangements </w:t>
      </w:r>
      <w:r w:rsidRPr="0062582F">
        <w:rPr>
          <w:i/>
        </w:rPr>
        <w:t>(continued)</w:t>
      </w:r>
    </w:p>
    <w:p w:rsidR="004843DB" w:rsidRPr="0062582F"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2"/>
      </w:pPr>
      <w:r w:rsidRPr="0062582F">
        <w:br w:type="column"/>
        <w:t xml:space="preserve">Extract of an administrative order </w:t>
      </w:r>
    </w:p>
    <w:p w:rsidR="004843DB" w:rsidRPr="0062582F" w:rsidRDefault="004843DB" w:rsidP="004843DB">
      <w:pPr>
        <w:pStyle w:val="CommentaryText"/>
        <w:pBdr>
          <w:top w:val="none" w:sz="0" w:space="0" w:color="auto"/>
          <w:bottom w:val="none" w:sz="0" w:space="0" w:color="auto"/>
        </w:pBdr>
      </w:pPr>
      <w:r w:rsidRPr="0062582F">
        <w:t>The following is an administrative order effecting a machinery of government change that has resulted in the establishment of a new department through machinery of government restructure. The administrative order took effect as noted in the Gazette.</w:t>
      </w:r>
    </w:p>
    <w:p w:rsidR="004843DB" w:rsidRPr="0062582F" w:rsidRDefault="004843DB" w:rsidP="004843DB">
      <w:pPr>
        <w:pStyle w:val="Notes"/>
        <w:pBdr>
          <w:left w:val="single" w:sz="4" w:space="4" w:color="0000FF"/>
          <w:right w:val="single" w:sz="4" w:space="4" w:color="0000FF"/>
        </w:pBdr>
      </w:pPr>
    </w:p>
    <w:p w:rsidR="004843DB" w:rsidRPr="0062582F" w:rsidRDefault="004843DB" w:rsidP="004843DB">
      <w:pPr>
        <w:pStyle w:val="SmallLine"/>
        <w:pBdr>
          <w:left w:val="single" w:sz="4" w:space="4" w:color="0000FF"/>
          <w:right w:val="single" w:sz="4" w:space="4" w:color="0000FF"/>
        </w:pBdr>
        <w:jc w:val="center"/>
      </w:pPr>
      <w:r w:rsidRPr="0062582F">
        <w:rPr>
          <w:noProof/>
        </w:rPr>
        <w:drawing>
          <wp:inline distT="0" distB="0" distL="0" distR="0" wp14:anchorId="624954D1" wp14:editId="3247B8E8">
            <wp:extent cx="4921316" cy="6753225"/>
            <wp:effectExtent l="19050" t="19050" r="1270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t\Desktop\Gazette 460_Page_01.jpg"/>
                    <pic:cNvPicPr>
                      <a:picLocks noChangeAspect="1" noChangeArrowheads="1"/>
                    </pic:cNvPicPr>
                  </pic:nvPicPr>
                  <pic:blipFill rotWithShape="1">
                    <a:blip r:embed="rId264" cstate="print">
                      <a:extLst>
                        <a:ext uri="{28A0092B-C50C-407E-A947-70E740481C1C}">
                          <a14:useLocalDpi xmlns:a14="http://schemas.microsoft.com/office/drawing/2010/main" val="0"/>
                        </a:ext>
                      </a:extLst>
                    </a:blip>
                    <a:srcRect l="2352" t="2840" r="-441"/>
                    <a:stretch/>
                  </pic:blipFill>
                  <pic:spPr bwMode="auto">
                    <a:xfrm>
                      <a:off x="0" y="0"/>
                      <a:ext cx="4926272" cy="676002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843DB" w:rsidRPr="0062582F" w:rsidRDefault="004843DB" w:rsidP="004843DB">
      <w:pPr>
        <w:pStyle w:val="CommentaryText"/>
        <w:pBdr>
          <w:top w:val="none" w:sz="0" w:space="0" w:color="auto"/>
        </w:pBdr>
        <w:rPr>
          <w:sz w:val="8"/>
          <w:szCs w:val="8"/>
        </w:rPr>
      </w:pPr>
      <w:r w:rsidRPr="0062582F">
        <w:rPr>
          <w:color w:val="FF0000"/>
          <w:sz w:val="8"/>
          <w:szCs w:val="8"/>
        </w:rPr>
        <mc:AlternateContent>
          <mc:Choice Requires="wps">
            <w:drawing>
              <wp:anchor distT="0" distB="0" distL="114300" distR="114300" simplePos="0" relativeHeight="251659264" behindDoc="0" locked="0" layoutInCell="1" allowOverlap="1" wp14:anchorId="048D741A" wp14:editId="41ABB86D">
                <wp:simplePos x="0" y="0"/>
                <wp:positionH relativeFrom="column">
                  <wp:posOffset>1102766</wp:posOffset>
                </wp:positionH>
                <wp:positionV relativeFrom="paragraph">
                  <wp:posOffset>2274442</wp:posOffset>
                </wp:positionV>
                <wp:extent cx="2343023" cy="153619"/>
                <wp:effectExtent l="0" t="0" r="19685" b="18415"/>
                <wp:wrapNone/>
                <wp:docPr id="201"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023" cy="153619"/>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86.85pt;margin-top:179.1pt;width:184.5pt;height:1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8XfQIAAP8EAAAOAAAAZHJzL2Uyb0RvYy54bWysVG1v0zAQ/o7Ef7D8vctL066Nlk5T0yCk&#10;ARODH+DaTmPh2MF2m46J/87ZScvKviBEPiR27nz3PHfP+eb22Ep04MYKrQqcXMUYcUU1E2pX4K9f&#10;qskCI+uIYkRqxQv8xC2+Xb19c9N3OU91oyXjBkEQZfO+K3DjXJdHkaUNb4m90h1XYKy1aYmDrdlF&#10;zJAeorcySuN4HvXasM5oyq2Fv+VgxKsQv645dZ/q2nKHZIEBmwtvE95b/45WNyTfGdI1go4wyD+g&#10;aIlQkPQcqiSOoL0Rr0K1ghptde2uqG4jXdeC8sAB2CTxH2weG9LxwAWKY7tzmez/C0s/Hh4MEqzA&#10;kB8jRVpo0mcoG1E7ydF8tvAl6jubg+dj92A8Sdvda/rNIqXXDfjxO2N033DCAFji/aOLA35j4Sja&#10;9h80g/hk73So1rE2rQ8IdUDH0JSnc1P40SEKP9NpNo3TKUYUbMlsOk+WIQXJT6c7Y907rlvkFwU2&#10;gD5EJ4d76zwakp9cfDKlKyFlaLxUqC/wcpbOwgGrpWDeGEia3XYtDToQkE5VxfCMeS/cWuFAwFK0&#10;BV54n1FSvhobxUIWR4Qc1oBEKh8cyAG2cTUI5XkZLzeLzSKbZOl8M8nispzcVetsMq+S61k5Ldfr&#10;MvnpcSZZ3gjGuPJQT6JNsr8TxTg+g9zOsr2gZC+ZV/C8Zh5dwghVBlanb2AXZOA7Pyhoq9kTqMDo&#10;YQrh1oBFo80PjHqYwALb73tiOEbyvQIlLZMs8yMbNtnsOoWNeWnZvrQQRSFUgR1Gw3LthjHfd0bs&#10;GsiUhB4rfQfqq0UQhlfmgGrULExZYDDeCH6MX+6D1+97a/ULAAD//wMAUEsDBBQABgAIAAAAIQA7&#10;rCMm4QAAAAsBAAAPAAAAZHJzL2Rvd25yZXYueG1sTI/NTsMwEITvSLyDtUhcEHVIWxqFOBVCggr1&#10;gPpz6NGJt7FFbEexm4S3ZzmV48x+mp0p1pNt2YB9MN4JeJolwNDVXhnXCDge3h8zYCFKp2TrHQr4&#10;wQDr8vamkLnyo9vhsI8NoxAXcilAx9jlnIdao5Vh5jt0dDv73spIsm+46uVI4bblaZI8cyuNow9a&#10;dvimsf7eX6yA8PVx2h52n0NjNttRbwyeu+pBiPu76fUFWMQpXmH4q0/VoaROlb84FVhLejVfESpg&#10;vsxSYEQsFyk5FTlZugBeFvz/hvIXAAD//wMAUEsBAi0AFAAGAAgAAAAhALaDOJL+AAAA4QEAABMA&#10;AAAAAAAAAAAAAAAAAAAAAFtDb250ZW50X1R5cGVzXS54bWxQSwECLQAUAAYACAAAACEAOP0h/9YA&#10;AACUAQAACwAAAAAAAAAAAAAAAAAvAQAAX3JlbHMvLnJlbHNQSwECLQAUAAYACAAAACEAnfL/F30C&#10;AAD/BAAADgAAAAAAAAAAAAAAAAAuAgAAZHJzL2Uyb0RvYy54bWxQSwECLQAUAAYACAAAACEAO6wj&#10;JuEAAAALAQAADwAAAAAAAAAAAAAAAADXBAAAZHJzL2Rvd25yZXYueG1sUEsFBgAAAAAEAAQA8wAA&#10;AOUFAAAAAA==&#10;" filled="f" strokecolor="red"/>
            </w:pict>
          </mc:Fallback>
        </mc:AlternateContent>
      </w:r>
    </w:p>
    <w:p w:rsidR="004843DB" w:rsidRPr="0062582F" w:rsidRDefault="004843DB" w:rsidP="004843DB">
      <w:pPr>
        <w:pStyle w:val="SmallLine"/>
      </w:pPr>
      <w:r w:rsidRPr="0062582F">
        <w:br w:type="column"/>
      </w:r>
      <w:bookmarkStart w:id="398" w:name="_Toc132689521"/>
      <w:bookmarkStart w:id="399" w:name="_Toc133138203"/>
      <w:bookmarkStart w:id="400" w:name="_Toc133203921"/>
      <w:bookmarkStart w:id="401" w:name="_Toc154475742"/>
      <w:bookmarkStart w:id="402" w:name="_Toc162327194"/>
      <w:bookmarkStart w:id="403" w:name="_Toc162327922"/>
      <w:bookmarkStart w:id="404" w:name="_Toc192562736"/>
      <w:bookmarkEnd w:id="397"/>
    </w:p>
    <w:p w:rsidR="004843DB" w:rsidRPr="0062582F" w:rsidRDefault="004843DB" w:rsidP="004843DB">
      <w:pPr>
        <w:pStyle w:val="NoteHeading"/>
      </w:pPr>
      <w:r w:rsidRPr="0062582F">
        <w:br w:type="column"/>
      </w:r>
      <w:bookmarkStart w:id="405" w:name="_Toc332019468"/>
      <w:bookmarkStart w:id="406" w:name="_Toc366843356"/>
      <w:bookmarkStart w:id="407" w:name="_Toc448157189"/>
      <w:r w:rsidRPr="0062582F">
        <w:t>Note 10.</w:t>
      </w:r>
      <w:r w:rsidRPr="0062582F">
        <w:tab/>
        <w:t>Discontinued operations</w:t>
      </w:r>
      <w:bookmarkEnd w:id="398"/>
      <w:bookmarkEnd w:id="399"/>
      <w:bookmarkEnd w:id="400"/>
      <w:bookmarkEnd w:id="401"/>
      <w:bookmarkEnd w:id="402"/>
      <w:bookmarkEnd w:id="403"/>
      <w:bookmarkEnd w:id="404"/>
      <w:bookmarkEnd w:id="405"/>
      <w:bookmarkEnd w:id="406"/>
      <w:bookmarkEnd w:id="407"/>
    </w:p>
    <w:p w:rsidR="004843DB" w:rsidRPr="0062582F" w:rsidRDefault="004843DB" w:rsidP="004843DB">
      <w:pPr>
        <w:pStyle w:val="Heading2"/>
      </w:pPr>
      <w:bookmarkStart w:id="408" w:name="_Toc163448755"/>
      <w:r w:rsidRPr="0062582F">
        <w:t>Description</w:t>
      </w:r>
      <w:bookmarkEnd w:id="408"/>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bookmarkStart w:id="409" w:name="_Toc163448756"/>
    </w:p>
    <w:p w:rsidR="004843DB" w:rsidRPr="0062582F" w:rsidRDefault="004843DB" w:rsidP="004843DB">
      <w:pPr>
        <w:pStyle w:val="Reference"/>
        <w:spacing w:before="200"/>
      </w:pPr>
      <w:r w:rsidRPr="0062582F">
        <w:t>AASB 5.41, 101.98(e)</w:t>
      </w:r>
    </w:p>
    <w:p w:rsidR="004843DB" w:rsidRPr="0062582F" w:rsidRDefault="004843DB" w:rsidP="004843DB">
      <w:pPr>
        <w:pStyle w:val="Heading4"/>
      </w:pPr>
      <w:r w:rsidRPr="0062582F">
        <w:br w:type="column"/>
        <w:t>(a)</w:t>
      </w:r>
      <w:r w:rsidRPr="0062582F">
        <w:tab/>
        <w:t xml:space="preserve">Disposal of activities of the Commissioner for </w:t>
      </w:r>
      <w:bookmarkEnd w:id="409"/>
      <w:r w:rsidRPr="0062582F">
        <w:t>Technology</w:t>
      </w:r>
    </w:p>
    <w:p w:rsidR="004843DB" w:rsidRPr="0062582F" w:rsidRDefault="004843DB" w:rsidP="004843DB">
      <w:pPr>
        <w:pStyle w:val="NormalIndent2"/>
      </w:pPr>
      <w:r w:rsidRPr="0062582F">
        <w:t xml:space="preserve">On 28 March 2016, the Minister for the Department, the Hon. John Bristol, MP approved a sale plan to dispose of the activities of the Commissioner for Technology under the strategic policy advice output to the third parties external to Victorian Government. The proceeds on the sale substantially exceeded the book value of the related net assets. </w:t>
      </w:r>
    </w:p>
    <w:p w:rsidR="004843DB" w:rsidRPr="0062582F" w:rsidRDefault="004843DB" w:rsidP="004843DB">
      <w:pPr>
        <w:pStyle w:val="NormalIndent2"/>
      </w:pPr>
      <w:r w:rsidRPr="0062582F">
        <w:t>The disposal of Commissioner for Technology activities is consistent with the Department</w:t>
      </w:r>
      <w:r w:rsidR="005A4BB0">
        <w:t>’</w:t>
      </w:r>
      <w:r w:rsidRPr="0062582F">
        <w:t>s long</w:t>
      </w:r>
      <w:r w:rsidR="005A4BB0">
        <w:noBreakHyphen/>
      </w:r>
      <w:r w:rsidRPr="0062582F">
        <w:t>term policy to promote the adoption of new technology and monitor its appropriate use. The disposal was completed on 30 June 2016, being the date control of the officer passed to the acquirer.</w:t>
      </w:r>
    </w:p>
    <w:p w:rsidR="004843DB" w:rsidRPr="0062582F" w:rsidRDefault="004843DB" w:rsidP="004843DB">
      <w:pPr>
        <w:pStyle w:val="SmallLine"/>
      </w:pPr>
    </w:p>
    <w:p w:rsidR="004843DB" w:rsidRPr="0062582F" w:rsidRDefault="004843DB" w:rsidP="004843DB">
      <w:pPr>
        <w:pStyle w:val="Heading4"/>
      </w:pPr>
      <w:bookmarkStart w:id="410" w:name="_Toc163448757"/>
      <w:r w:rsidRPr="0062582F">
        <w:t>(b)</w:t>
      </w:r>
      <w:r w:rsidRPr="0062582F">
        <w:tab/>
        <w:t>Plan to dispose of Gene Services business to third parties external to Victorian Government</w:t>
      </w:r>
      <w:bookmarkEnd w:id="410"/>
    </w:p>
    <w:p w:rsidR="004843DB" w:rsidRPr="0062582F" w:rsidRDefault="004843DB" w:rsidP="004843DB">
      <w:pPr>
        <w:pStyle w:val="NormalIndent2"/>
      </w:pPr>
      <w:r w:rsidRPr="0062582F">
        <w:t>On 30 November 2015, the Minister for the Department, the Hon. John Bristol, MP announced a plan to dispose of the Department</w:t>
      </w:r>
      <w:r w:rsidR="005A4BB0">
        <w:t>’</w:t>
      </w:r>
      <w:r w:rsidRPr="0062582F">
        <w:t>s Gene Services business, which involves provision of information technology and telecommunication systems for new biological technology. The disposal is consistent with the Department</w:t>
      </w:r>
      <w:r w:rsidR="005A4BB0">
        <w:t>’</w:t>
      </w:r>
      <w:r w:rsidRPr="0062582F">
        <w:t>s long</w:t>
      </w:r>
      <w:r w:rsidR="005A4BB0">
        <w:noBreakHyphen/>
      </w:r>
      <w:r w:rsidRPr="0062582F">
        <w:t xml:space="preserve">term policy to focus its activities in the information technology and telecommunications services industry. The Department is actively seeking a buyer for its Gene Services business and expects to complete the sale by 31 July 2016. </w:t>
      </w:r>
    </w:p>
    <w:p w:rsidR="004843DB" w:rsidRPr="0062582F" w:rsidRDefault="004843DB" w:rsidP="004843DB">
      <w:pPr>
        <w:pStyle w:val="Heading5"/>
      </w:pPr>
      <w:bookmarkStart w:id="411" w:name="_Toc163448758"/>
      <w:r w:rsidRPr="0062582F">
        <w:t xml:space="preserve">Reclassification of these operations as </w:t>
      </w:r>
      <w:bookmarkEnd w:id="411"/>
      <w:r w:rsidRPr="0062582F">
        <w:t>held for sale</w:t>
      </w:r>
    </w:p>
    <w:p w:rsidR="004843DB" w:rsidRPr="0062582F" w:rsidRDefault="004843DB" w:rsidP="004843DB">
      <w:r w:rsidRPr="0062582F">
        <w:t>On initial reclassification of these operations as held for sale, the Department has not recognised any impairment losses.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5.33(b) and 34</w:t>
      </w:r>
    </w:p>
    <w:p w:rsidR="004843DB" w:rsidRPr="0062582F" w:rsidRDefault="004843DB" w:rsidP="004843DB">
      <w:r w:rsidRPr="0062582F">
        <w:br w:type="column"/>
        <w:t>The results of the discontinued operations which have been included in the comprehensive operating statement are as set out in Note 10(c) below. The comparative net result and cash flows from discontinued operations have been re</w:t>
      </w:r>
      <w:r w:rsidR="005A4BB0">
        <w:noBreakHyphen/>
      </w:r>
      <w:r w:rsidRPr="0062582F">
        <w:t>presented to include those operations classified as discontinued in the current period.</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rPr>
          <w:lang w:val="en-AU"/>
        </w:rPr>
        <w:t>AASB 5.38</w:t>
      </w:r>
    </w:p>
    <w:p w:rsidR="004843DB" w:rsidRPr="0062582F" w:rsidRDefault="004843DB" w:rsidP="004843DB">
      <w:r w:rsidRPr="0062582F">
        <w:br w:type="column"/>
        <w:t>Amounts recognised in other comprehensive income relating to discontinued operations reflect cumulative income or expense recognised in other comprehensive income that are attributable to the discontinued operation.</w:t>
      </w:r>
    </w:p>
    <w:p w:rsidR="004843DB" w:rsidRPr="0062582F" w:rsidRDefault="004843DB" w:rsidP="004843DB">
      <w:pPr>
        <w:rPr>
          <w:lang w:val="en-GB"/>
        </w:rPr>
      </w:pPr>
      <w:bookmarkStart w:id="412" w:name="_Toc163448759"/>
      <w:r w:rsidRPr="0062582F">
        <w:br w:type="page"/>
      </w:r>
    </w:p>
    <w:p w:rsidR="004843DB" w:rsidRPr="0062582F" w:rsidRDefault="004843DB" w:rsidP="004843DB">
      <w:pPr>
        <w:pStyle w:val="NoteHeadingcontinued"/>
        <w:rPr>
          <w:rFonts w:ascii="Garamond" w:hAnsi="Garamond"/>
        </w:rPr>
      </w:pPr>
      <w:r w:rsidRPr="0062582F">
        <w:br w:type="column"/>
        <w:t>Note 10.</w:t>
      </w:r>
      <w:r w:rsidRPr="0062582F">
        <w:tab/>
        <w:t xml:space="preserve">Discontinued operations </w:t>
      </w:r>
      <w:r w:rsidRPr="0062582F">
        <w:rPr>
          <w:i/>
        </w:rPr>
        <w:t>(continued)</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5.33(b) and 34</w:t>
      </w:r>
    </w:p>
    <w:p w:rsidR="004843DB" w:rsidRPr="0062582F" w:rsidRDefault="004843DB" w:rsidP="004843DB">
      <w:pPr>
        <w:pStyle w:val="Heading5"/>
      </w:pPr>
      <w:r w:rsidRPr="0062582F">
        <w:br w:type="column"/>
        <w:t>(c)</w:t>
      </w:r>
      <w:r w:rsidRPr="0062582F">
        <w:tab/>
        <w:t>Net result from discontinued operations</w:t>
      </w:r>
      <w:bookmarkEnd w:id="412"/>
    </w:p>
    <w:p w:rsidR="004843DB" w:rsidRPr="0062582F" w:rsidRDefault="004843DB" w:rsidP="004843DB">
      <w:pPr>
        <w:pStyle w:val="million"/>
        <w:rPr>
          <w:rFonts w:ascii="Tahoma" w:hAnsi="Tahoma" w:cs="Tahoma"/>
          <w:sz w:val="20"/>
        </w:rPr>
      </w:pPr>
      <w:r w:rsidRPr="0062582F">
        <w:t>($ thousand)</w:t>
      </w:r>
    </w:p>
    <w:tbl>
      <w:tblPr>
        <w:tblW w:w="7980" w:type="dxa"/>
        <w:tblInd w:w="29" w:type="dxa"/>
        <w:tblLayout w:type="fixed"/>
        <w:tblCellMar>
          <w:left w:w="43" w:type="dxa"/>
          <w:right w:w="43" w:type="dxa"/>
        </w:tblCellMar>
        <w:tblLook w:val="04A0" w:firstRow="1" w:lastRow="0" w:firstColumn="1" w:lastColumn="0" w:noHBand="0" w:noVBand="1"/>
      </w:tblPr>
      <w:tblGrid>
        <w:gridCol w:w="5460"/>
        <w:gridCol w:w="1260"/>
        <w:gridCol w:w="1260"/>
      </w:tblGrid>
      <w:tr w:rsidR="004843DB" w:rsidRPr="0062582F" w:rsidTr="004843DB">
        <w:trPr>
          <w:cantSplit/>
          <w:trHeight w:val="255"/>
        </w:trPr>
        <w:tc>
          <w:tcPr>
            <w:tcW w:w="54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6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2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Income from transactions</w:t>
            </w:r>
          </w:p>
        </w:tc>
        <w:tc>
          <w:tcPr>
            <w:tcW w:w="126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Output appropriations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10 426</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14 242</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Special appropriations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1 781</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2 401</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Interest</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245</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578</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Sale of goods and services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278</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532</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Grants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87</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75</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Fair value of assets and services received free of charge or for nominal consideration</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58</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Other income</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125</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414</w:t>
            </w:r>
          </w:p>
        </w:tc>
      </w:tr>
      <w:tr w:rsidR="004843DB" w:rsidRPr="0062582F" w:rsidTr="004843DB">
        <w:trPr>
          <w:cantSplit/>
          <w:trHeight w:val="255"/>
        </w:trPr>
        <w:tc>
          <w:tcPr>
            <w:tcW w:w="5460" w:type="dxa"/>
            <w:tcBorders>
              <w:top w:val="single" w:sz="4"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Total income from transactions</w:t>
            </w:r>
          </w:p>
        </w:tc>
        <w:tc>
          <w:tcPr>
            <w:tcW w:w="126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12 942</w:t>
            </w:r>
          </w:p>
        </w:tc>
        <w:tc>
          <w:tcPr>
            <w:tcW w:w="126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18 300</w:t>
            </w:r>
          </w:p>
        </w:tc>
      </w:tr>
      <w:tr w:rsidR="004843DB" w:rsidRPr="0062582F" w:rsidTr="004843DB">
        <w:trPr>
          <w:cantSplit/>
          <w:trHeight w:val="255"/>
        </w:trPr>
        <w:tc>
          <w:tcPr>
            <w:tcW w:w="5460"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expenses from transactions</w:t>
            </w:r>
          </w:p>
        </w:tc>
        <w:tc>
          <w:tcPr>
            <w:tcW w:w="126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(10 269)</w:t>
            </w:r>
          </w:p>
        </w:tc>
        <w:tc>
          <w:tcPr>
            <w:tcW w:w="126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(12 970)</w:t>
            </w:r>
          </w:p>
        </w:tc>
      </w:tr>
      <w:tr w:rsidR="004843DB" w:rsidRPr="0062582F" w:rsidTr="004843DB">
        <w:trPr>
          <w:cantSplit/>
          <w:trHeight w:val="255"/>
        </w:trPr>
        <w:tc>
          <w:tcPr>
            <w:tcW w:w="5460"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Net result from transactions (net operating balance)</w:t>
            </w:r>
          </w:p>
        </w:tc>
        <w:tc>
          <w:tcPr>
            <w:tcW w:w="126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2 673</w:t>
            </w:r>
          </w:p>
        </w:tc>
        <w:tc>
          <w:tcPr>
            <w:tcW w:w="126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5 330</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Other economic flows included in net result</w:t>
            </w:r>
          </w:p>
        </w:tc>
        <w:tc>
          <w:tcPr>
            <w:tcW w:w="126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Net gain/(loss) on non</w:t>
            </w:r>
            <w:r w:rsidR="005A4BB0">
              <w:noBreakHyphen/>
            </w:r>
            <w:r w:rsidRPr="0062582F">
              <w:t>financial assets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43</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329</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Net gain/(loss) on financial instruments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(440)</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(863)</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Other gains/(losses) from other economic flows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(1 046)</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(941)</w:t>
            </w:r>
          </w:p>
        </w:tc>
      </w:tr>
      <w:tr w:rsidR="004843DB" w:rsidRPr="0062582F" w:rsidTr="004843DB">
        <w:trPr>
          <w:cantSplit/>
          <w:trHeight w:val="255"/>
        </w:trPr>
        <w:tc>
          <w:tcPr>
            <w:tcW w:w="54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other economic flows included in net result</w:t>
            </w:r>
          </w:p>
        </w:tc>
        <w:tc>
          <w:tcPr>
            <w:tcW w:w="126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(1 444)</w:t>
            </w:r>
          </w:p>
        </w:tc>
        <w:tc>
          <w:tcPr>
            <w:tcW w:w="12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(1 475)</w:t>
            </w:r>
          </w:p>
        </w:tc>
      </w:tr>
      <w:tr w:rsidR="004843DB" w:rsidRPr="0062582F" w:rsidTr="004843DB">
        <w:trPr>
          <w:cantSplit/>
          <w:trHeight w:val="270"/>
        </w:trPr>
        <w:tc>
          <w:tcPr>
            <w:tcW w:w="546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Net result from discontinued operations</w:t>
            </w:r>
          </w:p>
        </w:tc>
        <w:tc>
          <w:tcPr>
            <w:tcW w:w="126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1 229</w:t>
            </w:r>
          </w:p>
        </w:tc>
        <w:tc>
          <w:tcPr>
            <w:tcW w:w="126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3 856</w:t>
            </w:r>
          </w:p>
        </w:tc>
      </w:tr>
    </w:tbl>
    <w:p w:rsidR="004843DB" w:rsidRPr="0062582F" w:rsidRDefault="004843DB" w:rsidP="004843DB"/>
    <w:p w:rsidR="004843DB" w:rsidRPr="0062582F" w:rsidRDefault="004843DB" w:rsidP="004843DB"/>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bookmarkStart w:id="413" w:name="_Toc163448760"/>
    </w:p>
    <w:p w:rsidR="004843DB" w:rsidRPr="0062582F" w:rsidRDefault="004843DB" w:rsidP="004843DB">
      <w:pPr>
        <w:pStyle w:val="Reference"/>
        <w:spacing w:before="180"/>
      </w:pPr>
      <w:r w:rsidRPr="0062582F">
        <w:t>AASB 5.33(c)</w:t>
      </w:r>
    </w:p>
    <w:p w:rsidR="004843DB" w:rsidRPr="0062582F" w:rsidRDefault="004843DB" w:rsidP="004843DB">
      <w:pPr>
        <w:pStyle w:val="Heading5"/>
      </w:pPr>
      <w:r w:rsidRPr="0062582F">
        <w:br w:type="column"/>
        <w:t>(d)</w:t>
      </w:r>
      <w:r w:rsidRPr="0062582F">
        <w:tab/>
        <w:t>Net cash flows from discontinued operations</w:t>
      </w:r>
      <w:bookmarkEnd w:id="413"/>
    </w:p>
    <w:p w:rsidR="004843DB" w:rsidRPr="0062582F" w:rsidRDefault="004843DB" w:rsidP="004843DB">
      <w:pPr>
        <w:pStyle w:val="million"/>
        <w:rPr>
          <w:rFonts w:ascii="Tahoma" w:hAnsi="Tahoma" w:cs="Tahoma"/>
          <w:sz w:val="20"/>
        </w:rPr>
      </w:pPr>
      <w:r w:rsidRPr="0062582F">
        <w:t>($ thousand)</w:t>
      </w:r>
      <w:bookmarkStart w:id="414" w:name="_Toc163448761"/>
      <w:r w:rsidRPr="0062582F">
        <w:t xml:space="preserve"> </w:t>
      </w:r>
    </w:p>
    <w:tbl>
      <w:tblPr>
        <w:tblW w:w="7980" w:type="dxa"/>
        <w:tblInd w:w="30" w:type="dxa"/>
        <w:tblLayout w:type="fixed"/>
        <w:tblCellMar>
          <w:left w:w="43" w:type="dxa"/>
          <w:right w:w="43" w:type="dxa"/>
        </w:tblCellMar>
        <w:tblLook w:val="04A0" w:firstRow="1" w:lastRow="0" w:firstColumn="1" w:lastColumn="0" w:noHBand="0" w:noVBand="1"/>
      </w:tblPr>
      <w:tblGrid>
        <w:gridCol w:w="5460"/>
        <w:gridCol w:w="1260"/>
        <w:gridCol w:w="1260"/>
      </w:tblGrid>
      <w:tr w:rsidR="004843DB" w:rsidRPr="0062582F" w:rsidTr="004843DB">
        <w:trPr>
          <w:cantSplit/>
          <w:trHeight w:val="255"/>
        </w:trPr>
        <w:tc>
          <w:tcPr>
            <w:tcW w:w="54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 xml:space="preserve"> </w:t>
            </w:r>
          </w:p>
        </w:tc>
        <w:tc>
          <w:tcPr>
            <w:tcW w:w="126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2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Net cash flows from operating activities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1 326</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6 655</w:t>
            </w:r>
          </w:p>
        </w:tc>
      </w:tr>
      <w:tr w:rsidR="004843DB" w:rsidRPr="0062582F" w:rsidTr="004843DB">
        <w:trPr>
          <w:cantSplit/>
          <w:trHeight w:val="255"/>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Net cash flows from investing activities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(1 376)</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(2 484)</w:t>
            </w:r>
          </w:p>
        </w:tc>
      </w:tr>
      <w:tr w:rsidR="004843DB" w:rsidRPr="0062582F" w:rsidTr="004843DB">
        <w:trPr>
          <w:cantSplit/>
          <w:trHeight w:val="255"/>
        </w:trPr>
        <w:tc>
          <w:tcPr>
            <w:tcW w:w="5460"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Net cash flows from financing activities</w:t>
            </w:r>
          </w:p>
        </w:tc>
        <w:tc>
          <w:tcPr>
            <w:tcW w:w="126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(325)</w:t>
            </w:r>
          </w:p>
        </w:tc>
        <w:tc>
          <w:tcPr>
            <w:tcW w:w="126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(116)</w:t>
            </w:r>
          </w:p>
        </w:tc>
      </w:tr>
      <w:tr w:rsidR="004843DB" w:rsidRPr="0062582F" w:rsidTr="004843DB">
        <w:trPr>
          <w:cantSplit/>
          <w:trHeight w:val="270"/>
        </w:trPr>
        <w:tc>
          <w:tcPr>
            <w:tcW w:w="546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Net cash flows from discontinued operations</w:t>
            </w:r>
          </w:p>
        </w:tc>
        <w:tc>
          <w:tcPr>
            <w:tcW w:w="126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(376)</w:t>
            </w:r>
          </w:p>
        </w:tc>
        <w:tc>
          <w:tcPr>
            <w:tcW w:w="126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4 055</w:t>
            </w:r>
          </w:p>
        </w:tc>
      </w:tr>
    </w:tbl>
    <w:p w:rsidR="004843DB" w:rsidRPr="0062582F" w:rsidRDefault="004843DB" w:rsidP="004843DB">
      <w:pPr>
        <w:pStyle w:val="million"/>
        <w:rPr>
          <w:rFonts w:ascii="Garamond" w:hAnsi="Garamond" w:cs="Times New Roman"/>
        </w:rPr>
      </w:pPr>
    </w:p>
    <w:p w:rsidR="004843DB" w:rsidRPr="0062582F" w:rsidRDefault="004843DB" w:rsidP="004843DB">
      <w:r w:rsidRPr="0062582F">
        <w:br w:type="column"/>
      </w:r>
    </w:p>
    <w:p w:rsidR="004843DB" w:rsidRPr="0062582F" w:rsidRDefault="004843DB" w:rsidP="004843DB">
      <w:pPr>
        <w:pStyle w:val="NoteHeadingcontinued"/>
        <w:rPr>
          <w:rFonts w:ascii="Garamond" w:hAnsi="Garamond"/>
        </w:rPr>
      </w:pPr>
      <w:r w:rsidRPr="0062582F">
        <w:br w:type="column"/>
        <w:t>Note 10.</w:t>
      </w:r>
      <w:r w:rsidRPr="0062582F">
        <w:tab/>
        <w:t xml:space="preserve">Discontinued operations </w:t>
      </w:r>
      <w:r w:rsidRPr="0062582F">
        <w:rPr>
          <w:i/>
        </w:rPr>
        <w:t>(continued)</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5.38</w:t>
      </w:r>
    </w:p>
    <w:p w:rsidR="004843DB" w:rsidRPr="0062582F" w:rsidRDefault="004843DB" w:rsidP="004843DB">
      <w:pPr>
        <w:pStyle w:val="Heading5"/>
      </w:pPr>
      <w:r w:rsidRPr="0062582F">
        <w:br w:type="column"/>
        <w:t>(e)</w:t>
      </w:r>
      <w:r w:rsidRPr="0062582F">
        <w:tab/>
        <w:t>Carrying amounts of assets and liabilities (major classes) comprising the operations classified as held for sale</w:t>
      </w:r>
      <w:bookmarkEnd w:id="414"/>
      <w:r w:rsidRPr="0062582F">
        <w:t xml:space="preserve"> </w:t>
      </w:r>
    </w:p>
    <w:p w:rsidR="004843DB" w:rsidRPr="0062582F" w:rsidRDefault="004843DB" w:rsidP="004843DB">
      <w:pPr>
        <w:pStyle w:val="million"/>
        <w:rPr>
          <w:rFonts w:ascii="Tahoma" w:hAnsi="Tahoma" w:cs="Tahoma"/>
          <w:sz w:val="20"/>
        </w:rPr>
      </w:pPr>
      <w:r w:rsidRPr="0062582F">
        <w:t>($ thousand)</w:t>
      </w:r>
    </w:p>
    <w:tbl>
      <w:tblPr>
        <w:tblW w:w="8207" w:type="dxa"/>
        <w:tblLayout w:type="fixed"/>
        <w:tblCellMar>
          <w:left w:w="17" w:type="dxa"/>
          <w:right w:w="17" w:type="dxa"/>
        </w:tblCellMar>
        <w:tblLook w:val="04A0" w:firstRow="1" w:lastRow="0" w:firstColumn="1" w:lastColumn="0" w:noHBand="0" w:noVBand="1"/>
      </w:tblPr>
      <w:tblGrid>
        <w:gridCol w:w="5687"/>
        <w:gridCol w:w="1260"/>
        <w:gridCol w:w="1260"/>
      </w:tblGrid>
      <w:tr w:rsidR="004843DB" w:rsidRPr="0062582F" w:rsidTr="004843DB">
        <w:trPr>
          <w:cantSplit/>
          <w:trHeight w:hRule="exact" w:val="255"/>
        </w:trPr>
        <w:tc>
          <w:tcPr>
            <w:tcW w:w="5687"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6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2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Cash and deposits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5 254</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1 283</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Receivables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2 797</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4 736</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Investments and other financial assets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521</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5 737</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Investments accounted for using the equity method</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Inventories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1 324</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2 568</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Property, plant and equipment</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4 991</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11 874</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Biological assets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Investment properties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Intangible assets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Other non</w:t>
            </w:r>
            <w:r w:rsidR="005A4BB0">
              <w:noBreakHyphen/>
            </w:r>
            <w:r w:rsidRPr="0062582F">
              <w:t>financial assets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hRule="exact" w:val="255"/>
        </w:trPr>
        <w:tc>
          <w:tcPr>
            <w:tcW w:w="5687"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assets classified as held for sale</w:t>
            </w:r>
          </w:p>
        </w:tc>
        <w:tc>
          <w:tcPr>
            <w:tcW w:w="126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14 886</w:t>
            </w:r>
          </w:p>
        </w:tc>
        <w:tc>
          <w:tcPr>
            <w:tcW w:w="12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26 199</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Payables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(378)</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(2 713)</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Borrowings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(860)</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(2 567)</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Provisions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(3 149)</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(3 680)</w:t>
            </w:r>
          </w:p>
        </w:tc>
      </w:tr>
      <w:tr w:rsidR="004843DB" w:rsidRPr="0062582F" w:rsidTr="004843DB">
        <w:trPr>
          <w:cantSplit/>
          <w:trHeight w:hRule="exact" w:val="255"/>
        </w:trPr>
        <w:tc>
          <w:tcPr>
            <w:tcW w:w="5687" w:type="dxa"/>
            <w:tcBorders>
              <w:top w:val="nil"/>
              <w:left w:val="nil"/>
              <w:bottom w:val="nil"/>
              <w:right w:val="nil"/>
            </w:tcBorders>
            <w:shd w:val="clear" w:color="auto" w:fill="auto"/>
            <w:hideMark/>
          </w:tcPr>
          <w:p w:rsidR="004843DB" w:rsidRPr="0062582F" w:rsidRDefault="004843DB" w:rsidP="004843DB">
            <w:pPr>
              <w:pStyle w:val="Tabletext"/>
            </w:pPr>
            <w:r w:rsidRPr="0062582F">
              <w:t>Other liabilities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(51)</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(20)</w:t>
            </w:r>
          </w:p>
        </w:tc>
      </w:tr>
      <w:tr w:rsidR="004843DB" w:rsidRPr="0062582F" w:rsidTr="004843DB">
        <w:trPr>
          <w:cantSplit/>
          <w:trHeight w:hRule="exact" w:val="255"/>
        </w:trPr>
        <w:tc>
          <w:tcPr>
            <w:tcW w:w="5687"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 xml:space="preserve">Total liabilities classified as held for sale </w:t>
            </w:r>
          </w:p>
        </w:tc>
        <w:tc>
          <w:tcPr>
            <w:tcW w:w="126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(4 438)</w:t>
            </w:r>
          </w:p>
        </w:tc>
        <w:tc>
          <w:tcPr>
            <w:tcW w:w="12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(8 980)</w:t>
            </w:r>
          </w:p>
        </w:tc>
      </w:tr>
      <w:tr w:rsidR="004843DB" w:rsidRPr="0062582F" w:rsidTr="004843DB">
        <w:trPr>
          <w:cantSplit/>
          <w:trHeight w:hRule="exact" w:val="255"/>
        </w:trPr>
        <w:tc>
          <w:tcPr>
            <w:tcW w:w="5687"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Net assets held for sale</w:t>
            </w:r>
          </w:p>
        </w:tc>
        <w:tc>
          <w:tcPr>
            <w:tcW w:w="126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10 449</w:t>
            </w:r>
          </w:p>
        </w:tc>
        <w:tc>
          <w:tcPr>
            <w:tcW w:w="126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17 218</w:t>
            </w:r>
          </w:p>
        </w:tc>
      </w:tr>
    </w:tbl>
    <w:p w:rsidR="004843DB" w:rsidRPr="0062582F" w:rsidRDefault="004843DB" w:rsidP="004843DB"/>
    <w:p w:rsidR="004843DB" w:rsidRPr="0062582F" w:rsidRDefault="004843DB" w:rsidP="004843DB"/>
    <w:p w:rsidR="004843DB" w:rsidRPr="0062582F" w:rsidRDefault="004843DB" w:rsidP="004843DB">
      <w:pPr>
        <w:pStyle w:val="CommentaryHeading"/>
      </w:pPr>
      <w:bookmarkStart w:id="415" w:name="_Toc163448762"/>
      <w:r w:rsidRPr="0062582F">
        <w:t>Commentary – Discontinued operations</w:t>
      </w:r>
      <w:bookmarkEnd w:id="415"/>
    </w:p>
    <w:p w:rsidR="004843DB" w:rsidRPr="0062582F" w:rsidRDefault="004843DB" w:rsidP="004843DB">
      <w:pPr>
        <w:pStyle w:val="SmallLineBlue"/>
        <w:pBdr>
          <w:bottom w:val="none" w:sz="0" w:space="0" w:color="auto"/>
        </w:pBdr>
      </w:pPr>
      <w:r w:rsidRPr="0062582F">
        <w:t>s</w:t>
      </w: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1"/>
        <w:pBdr>
          <w:top w:val="none" w:sz="0" w:space="0" w:color="auto"/>
          <w:bottom w:val="none" w:sz="0" w:space="0" w:color="auto"/>
        </w:pBdr>
      </w:pPr>
      <w:r w:rsidRPr="0062582F">
        <w:br w:type="column"/>
        <w:t>Scope</w:t>
      </w:r>
    </w:p>
    <w:p w:rsidR="004843DB" w:rsidRPr="0062582F" w:rsidRDefault="004843DB" w:rsidP="004843DB">
      <w:pPr>
        <w:pStyle w:val="CommentaryText"/>
        <w:pBdr>
          <w:top w:val="none" w:sz="0" w:space="0" w:color="auto"/>
          <w:bottom w:val="none" w:sz="0" w:space="0" w:color="auto"/>
        </w:pBdr>
      </w:pPr>
      <w:r w:rsidRPr="0062582F">
        <w:t xml:space="preserve">Accounting standards for held for sale (or disposal groups) and discontinued operations are contained in AASB 5 </w:t>
      </w:r>
      <w:r w:rsidRPr="0062582F">
        <w:rPr>
          <w:i/>
          <w:iCs/>
        </w:rPr>
        <w:t>Non</w:t>
      </w:r>
      <w:r w:rsidR="005A4BB0">
        <w:rPr>
          <w:i/>
          <w:iCs/>
        </w:rPr>
        <w:noBreakHyphen/>
      </w:r>
      <w:r w:rsidRPr="0062582F">
        <w:rPr>
          <w:i/>
          <w:iCs/>
        </w:rPr>
        <w:t>current Assets Held for Sale and Discontinued Operations</w:t>
      </w:r>
      <w:r w:rsidRPr="0062582F">
        <w:t>. The illustrated disclosures are for a discontinued operation which is material to the economic entity and where the operation was classified as held for sale in the previous reporting period and was sold during the current reporting period. The disclosures will need to be amended to cover the specific disclosure requirements of AASB 5 relevant to the circumstances of each discontinued operation.</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 xml:space="preserve">AASB 5.5B </w:t>
      </w:r>
    </w:p>
    <w:p w:rsidR="004843DB" w:rsidRPr="0062582F" w:rsidRDefault="004843DB" w:rsidP="004843DB">
      <w:pPr>
        <w:pStyle w:val="CommentaryText"/>
        <w:pBdr>
          <w:top w:val="none" w:sz="0" w:space="0" w:color="auto"/>
          <w:bottom w:val="none" w:sz="0" w:space="0" w:color="auto"/>
        </w:pBdr>
      </w:pPr>
      <w:r w:rsidRPr="0062582F">
        <w:br w:type="column"/>
        <w:t>Disclosure requirements of other standards do not apply to held for sale (or disposal groups) or discontinued operations unless those standards require:</w:t>
      </w:r>
    </w:p>
    <w:p w:rsidR="004843DB" w:rsidRPr="0062582F" w:rsidRDefault="004843DB" w:rsidP="004843DB">
      <w:pPr>
        <w:pStyle w:val="CommentaryBullet"/>
      </w:pPr>
      <w:r w:rsidRPr="0062582F">
        <w:t>specific disclosures for non</w:t>
      </w:r>
      <w:r w:rsidR="005A4BB0">
        <w:noBreakHyphen/>
      </w:r>
      <w:r w:rsidRPr="0062582F">
        <w:t>current assets (or disposal groups) classified as held for sale or discontinued operations; or</w:t>
      </w:r>
    </w:p>
    <w:p w:rsidR="004843DB" w:rsidRPr="0062582F" w:rsidRDefault="004843DB" w:rsidP="004843DB">
      <w:pPr>
        <w:pStyle w:val="CommentaryBullet"/>
      </w:pPr>
      <w:r w:rsidRPr="0062582F">
        <w:t>disclosures about measurement of assets and liabilities in a disposal group that are not in the scope of the measurement requirement of AASB 5 and such disclosures are not already provided in the other notes to the financial statements.</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5.Aus2.1</w:t>
      </w:r>
    </w:p>
    <w:p w:rsidR="004843DB" w:rsidRPr="0062582F" w:rsidRDefault="004843DB" w:rsidP="004843DB">
      <w:pPr>
        <w:pStyle w:val="CommentaryText"/>
        <w:pBdr>
          <w:top w:val="none" w:sz="0" w:space="0" w:color="auto"/>
        </w:pBdr>
        <w:rPr>
          <w:b/>
        </w:rPr>
      </w:pPr>
      <w:bookmarkStart w:id="416" w:name="_Toc163448764"/>
      <w:r w:rsidRPr="0062582F">
        <w:br w:type="column"/>
      </w:r>
      <w:r w:rsidRPr="0062582F">
        <w:rPr>
          <w:b/>
        </w:rPr>
        <w:t xml:space="preserve">Note that machinery of government changes are not discontinued operations, and should be reported separately. Therefore, AASB 5 requirements do not apply to such administrative changes. </w:t>
      </w:r>
    </w:p>
    <w:p w:rsidR="004843DB" w:rsidRPr="0062582F" w:rsidRDefault="004843DB" w:rsidP="004843DB">
      <w:pPr>
        <w:spacing w:before="0" w:line="240" w:lineRule="atLeast"/>
        <w:rPr>
          <w:rFonts w:ascii="Calibri" w:hAnsi="Calibri" w:cs="Arial Narrow"/>
          <w:color w:val="0000FF"/>
          <w:sz w:val="16"/>
          <w:szCs w:val="16"/>
          <w:lang w:val="en-GB"/>
        </w:rPr>
      </w:pPr>
      <w:r w:rsidRPr="0062582F">
        <w:br w:type="page"/>
      </w:r>
    </w:p>
    <w:p w:rsidR="004843DB" w:rsidRPr="0062582F" w:rsidRDefault="004843DB" w:rsidP="004843DB">
      <w:pPr>
        <w:pStyle w:val="Reference"/>
      </w:pPr>
    </w:p>
    <w:p w:rsidR="004843DB" w:rsidRPr="0062582F" w:rsidRDefault="004843DB" w:rsidP="004843DB">
      <w:pPr>
        <w:pStyle w:val="SmallLine"/>
      </w:pPr>
      <w:r w:rsidRPr="0062582F">
        <w:br w:type="column"/>
      </w:r>
    </w:p>
    <w:p w:rsidR="004843DB" w:rsidRPr="0062582F" w:rsidRDefault="004843DB" w:rsidP="004843DB">
      <w:pPr>
        <w:pStyle w:val="CommentaryHeading"/>
        <w:rPr>
          <w:i/>
        </w:rPr>
      </w:pPr>
      <w:r w:rsidRPr="0062582F">
        <w:t xml:space="preserve">Commentary – Discontinued operations </w:t>
      </w:r>
      <w:r w:rsidRPr="0062582F">
        <w:rPr>
          <w:i/>
        </w:rPr>
        <w:t>(continued)</w:t>
      </w:r>
    </w:p>
    <w:p w:rsidR="004843DB" w:rsidRPr="0062582F" w:rsidRDefault="004843DB" w:rsidP="004843DB">
      <w:pPr>
        <w:pStyle w:val="SmallLineBlue"/>
      </w:pPr>
      <w:r w:rsidRPr="0062582F">
        <w:t>s</w:t>
      </w:r>
    </w:p>
    <w:p w:rsidR="004843DB" w:rsidRPr="0062582F" w:rsidRDefault="004843DB" w:rsidP="004843DB">
      <w:pPr>
        <w:pStyle w:val="CommentaryHeading1"/>
        <w:pBdr>
          <w:top w:val="none" w:sz="0" w:space="0" w:color="auto"/>
          <w:bottom w:val="none" w:sz="0" w:space="0" w:color="auto"/>
        </w:pBdr>
      </w:pPr>
      <w:r w:rsidRPr="0062582F">
        <w:t>Discontinued administered activity</w:t>
      </w:r>
      <w:r w:rsidRPr="0062582F" w:rsidDel="00CB38A5">
        <w:t xml:space="preserve"> </w:t>
      </w:r>
    </w:p>
    <w:p w:rsidR="004843DB" w:rsidRPr="0062582F" w:rsidRDefault="004843DB" w:rsidP="004843DB">
      <w:pPr>
        <w:pStyle w:val="CommentaryText"/>
        <w:pBdr>
          <w:top w:val="none" w:sz="0" w:space="0" w:color="auto"/>
          <w:bottom w:val="none" w:sz="0" w:space="0" w:color="auto"/>
        </w:pBdr>
      </w:pPr>
      <w:r w:rsidRPr="0062582F">
        <w:t>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rsidR="004843DB" w:rsidRPr="0062582F" w:rsidRDefault="004843DB" w:rsidP="004843DB">
      <w:pPr>
        <w:pStyle w:val="CommentaryHeading1"/>
        <w:pBdr>
          <w:top w:val="none" w:sz="0" w:space="0" w:color="auto"/>
          <w:bottom w:val="none" w:sz="0" w:space="0" w:color="auto"/>
        </w:pBdr>
      </w:pPr>
      <w:r w:rsidRPr="0062582F">
        <w:t>Definition</w:t>
      </w:r>
      <w:bookmarkEnd w:id="416"/>
      <w:r w:rsidRPr="0062582F">
        <w:t xml:space="preserve"> </w:t>
      </w:r>
    </w:p>
    <w:p w:rsidR="004843DB" w:rsidRPr="0062582F" w:rsidRDefault="004843DB" w:rsidP="004843DB">
      <w:pPr>
        <w:pStyle w:val="CommentaryHeading1"/>
        <w:rPr>
          <w:rFonts w:ascii="Garamond" w:hAnsi="Garamond" w:cs="Times New Roman"/>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t>AASB </w:t>
      </w:r>
      <w:r w:rsidRPr="0062582F">
        <w:rPr>
          <w:lang w:val="en-AU"/>
        </w:rPr>
        <w:t>5.32</w:t>
      </w:r>
    </w:p>
    <w:p w:rsidR="004843DB" w:rsidRPr="0062582F" w:rsidRDefault="004843DB" w:rsidP="004843DB">
      <w:pPr>
        <w:pStyle w:val="CommentaryText"/>
        <w:pBdr>
          <w:top w:val="none" w:sz="0" w:space="0" w:color="auto"/>
          <w:bottom w:val="none" w:sz="0" w:space="0" w:color="auto"/>
        </w:pBdr>
      </w:pPr>
      <w:bookmarkStart w:id="417" w:name="_Toc163448765"/>
      <w:r w:rsidRPr="0062582F">
        <w:br w:type="column"/>
      </w:r>
      <w:bookmarkEnd w:id="417"/>
      <w:r w:rsidRPr="0062582F">
        <w:t>A discontinued operation is a component of an entity that either has been disposed of or is classified as held for sale and:</w:t>
      </w:r>
    </w:p>
    <w:p w:rsidR="004843DB" w:rsidRPr="0062582F" w:rsidRDefault="004843DB" w:rsidP="004843DB">
      <w:pPr>
        <w:pStyle w:val="CommentaryTextIndent"/>
        <w:pBdr>
          <w:top w:val="none" w:sz="0" w:space="0" w:color="auto"/>
          <w:bottom w:val="none" w:sz="0" w:space="0" w:color="auto"/>
        </w:pBdr>
      </w:pPr>
      <w:r w:rsidRPr="0062582F">
        <w:t>(a)</w:t>
      </w:r>
      <w:r w:rsidRPr="0062582F">
        <w:tab/>
        <w:t>represents a separate major line of business or geographical area of operations; or</w:t>
      </w:r>
    </w:p>
    <w:p w:rsidR="004843DB" w:rsidRPr="0062582F" w:rsidRDefault="004843DB" w:rsidP="004843DB">
      <w:pPr>
        <w:pStyle w:val="CommentaryTextIndent"/>
        <w:pBdr>
          <w:top w:val="none" w:sz="0" w:space="0" w:color="auto"/>
          <w:bottom w:val="none" w:sz="0" w:space="0" w:color="auto"/>
        </w:pBdr>
      </w:pPr>
      <w:r w:rsidRPr="0062582F">
        <w:t>(b)</w:t>
      </w:r>
      <w:r w:rsidRPr="0062582F">
        <w:tab/>
        <w:t>is part of a single coordinated plan to dispose of a separate major line of business or geographical area of operations; or</w:t>
      </w:r>
    </w:p>
    <w:p w:rsidR="004843DB" w:rsidRPr="0062582F" w:rsidRDefault="004843DB" w:rsidP="004843DB">
      <w:pPr>
        <w:pStyle w:val="CommentaryTextIndent"/>
        <w:pBdr>
          <w:top w:val="none" w:sz="0" w:space="0" w:color="auto"/>
          <w:bottom w:val="none" w:sz="0" w:space="0" w:color="auto"/>
        </w:pBdr>
      </w:pPr>
      <w:r w:rsidRPr="0062582F">
        <w:t>(c)</w:t>
      </w:r>
      <w:r w:rsidRPr="0062582F">
        <w:tab/>
        <w:t>is a subsidiary acquired exclusively with a view to resale.</w:t>
      </w:r>
    </w:p>
    <w:p w:rsidR="004843DB" w:rsidRPr="0062582F" w:rsidRDefault="004843DB" w:rsidP="004843DB">
      <w:pPr>
        <w:pStyle w:val="CommentaryText"/>
        <w:pBdr>
          <w:top w:val="none" w:sz="0" w:space="0" w:color="auto"/>
          <w:bottom w:val="none" w:sz="0" w:space="0" w:color="auto"/>
        </w:pBdr>
        <w:sectPr w:rsidR="004843DB" w:rsidRPr="0062582F" w:rsidSect="00190A01">
          <w:headerReference w:type="even" r:id="rId265"/>
          <w:headerReference w:type="default" r:id="rId266"/>
          <w:headerReference w:type="first" r:id="rId267"/>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5 (</w:t>
      </w:r>
      <w:r w:rsidRPr="0062582F">
        <w:t>Appendix</w:t>
      </w:r>
      <w:r w:rsidRPr="0062582F">
        <w:rPr>
          <w:lang w:val="en-AU"/>
        </w:rPr>
        <w:t xml:space="preserve"> A)</w:t>
      </w:r>
    </w:p>
    <w:p w:rsidR="004843DB" w:rsidRPr="0062582F" w:rsidRDefault="004843DB" w:rsidP="004843DB">
      <w:pPr>
        <w:pStyle w:val="CommentaryText"/>
        <w:pBdr>
          <w:top w:val="none" w:sz="0" w:space="0" w:color="auto"/>
          <w:bottom w:val="none" w:sz="0" w:space="0" w:color="auto"/>
        </w:pBdr>
      </w:pPr>
      <w:r w:rsidRPr="0062582F">
        <w:br w:type="column"/>
        <w:t>A component of an entity comprises of operations and cash flows that can be clearly distinguished, operationally and for financial reporting purposes, from the rest of the entity. In other words, a component of an entity will have been a cash</w:t>
      </w:r>
      <w:r w:rsidR="005A4BB0">
        <w:noBreakHyphen/>
      </w:r>
      <w:r w:rsidRPr="0062582F">
        <w:t>generating unit or a group of cash</w:t>
      </w:r>
      <w:r w:rsidR="005A4BB0">
        <w:noBreakHyphen/>
      </w:r>
      <w:r w:rsidRPr="0062582F">
        <w:t>generating units while being held for use.</w:t>
      </w:r>
    </w:p>
    <w:p w:rsidR="004843DB" w:rsidRPr="0062582F" w:rsidRDefault="004843DB" w:rsidP="004843DB">
      <w:pPr>
        <w:pStyle w:val="CommentaryHeading1"/>
        <w:pBdr>
          <w:top w:val="none" w:sz="0" w:space="0" w:color="auto"/>
          <w:bottom w:val="none" w:sz="0" w:space="0" w:color="auto"/>
        </w:pBdr>
      </w:pPr>
      <w:bookmarkStart w:id="418" w:name="_Toc163448767"/>
      <w:r w:rsidRPr="0062582F">
        <w:t>Disclosure requirements</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t>AASB </w:t>
      </w:r>
      <w:r w:rsidRPr="0062582F">
        <w:rPr>
          <w:lang w:val="en-AU"/>
        </w:rPr>
        <w:t>5.35</w:t>
      </w:r>
    </w:p>
    <w:p w:rsidR="004843DB" w:rsidRPr="0062582F" w:rsidRDefault="004843DB" w:rsidP="004843DB">
      <w:pPr>
        <w:pStyle w:val="CommentaryText"/>
        <w:pBdr>
          <w:top w:val="none" w:sz="0" w:space="0" w:color="auto"/>
          <w:bottom w:val="none" w:sz="0" w:space="0" w:color="auto"/>
        </w:pBdr>
      </w:pPr>
      <w:r w:rsidRPr="0062582F">
        <w:br w:type="column"/>
        <w:t xml:space="preserve">Adjustments in the current period to amounts previously presented in discontinued operations that are directly related to the disposal of a discontinued operation in a prior period shall be classified separately in discontinued operations. The nature and amount of such adjustments shall be disclosed. </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5.36</w:t>
      </w:r>
    </w:p>
    <w:p w:rsidR="004843DB" w:rsidRPr="0062582F" w:rsidRDefault="004843DB" w:rsidP="004843DB">
      <w:pPr>
        <w:pStyle w:val="CommentaryText"/>
        <w:pBdr>
          <w:top w:val="none" w:sz="0" w:space="0" w:color="auto"/>
          <w:bottom w:val="none" w:sz="0" w:space="0" w:color="auto"/>
        </w:pBdr>
      </w:pPr>
      <w:r w:rsidRPr="0062582F">
        <w:br w:type="column"/>
        <w:t>If an entity ceases to classify a component of an entity as held for sale, the results of operations of the component previously presented in discontinued operations in accordance with AASB 5 paragraphs 33</w:t>
      </w:r>
      <w:r w:rsidR="005A4BB0">
        <w:noBreakHyphen/>
      </w:r>
      <w:r w:rsidRPr="0062582F">
        <w:t>35 shall be reclassified and included in income from continuing operations for all periods presented. The amounts for prior periods shall be described as having been re</w:t>
      </w:r>
      <w:r w:rsidR="005A4BB0">
        <w:noBreakHyphen/>
      </w:r>
      <w:r w:rsidRPr="0062582F">
        <w:t>presented.</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5.36A</w:t>
      </w:r>
    </w:p>
    <w:p w:rsidR="004843DB" w:rsidRPr="0062582F" w:rsidRDefault="004843DB" w:rsidP="004843DB">
      <w:pPr>
        <w:pStyle w:val="CommentaryText"/>
        <w:pBdr>
          <w:top w:val="none" w:sz="0" w:space="0" w:color="auto"/>
          <w:bottom w:val="none" w:sz="0" w:space="0" w:color="auto"/>
        </w:pBdr>
      </w:pPr>
      <w:r w:rsidRPr="0062582F">
        <w:br w:type="column"/>
        <w:t>Where a commitment to a sale plan involves the loss of control of a subsidiary, disclosure shall be provided for the information required in AASB 5.33</w:t>
      </w:r>
      <w:r w:rsidR="005A4BB0">
        <w:noBreakHyphen/>
      </w:r>
      <w:r w:rsidRPr="0062582F">
        <w:t xml:space="preserve">36 when the subsidiary is a disposal group that meets the definition of a discontinued operation. </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5.40</w:t>
      </w:r>
    </w:p>
    <w:p w:rsidR="004843DB" w:rsidRPr="0062582F" w:rsidRDefault="004843DB" w:rsidP="004843DB">
      <w:pPr>
        <w:pStyle w:val="CommentaryText"/>
        <w:pBdr>
          <w:top w:val="none" w:sz="0" w:space="0" w:color="auto"/>
          <w:bottom w:val="none" w:sz="0" w:space="0" w:color="auto"/>
        </w:pBdr>
      </w:pPr>
      <w:r w:rsidRPr="0062582F">
        <w:br w:type="column"/>
        <w:t>Amounts presented for non</w:t>
      </w:r>
      <w:r w:rsidR="005A4BB0">
        <w:noBreakHyphen/>
      </w:r>
      <w:r w:rsidRPr="0062582F">
        <w:t>current assets or for the assets and liabilities of disposal groups classified as held for sale in the statements of financial position for prior periods shall not be reclassified or re</w:t>
      </w:r>
      <w:r w:rsidR="005A4BB0">
        <w:noBreakHyphen/>
      </w:r>
      <w:r w:rsidRPr="0062582F">
        <w:t>presented to reflect the classification in the statement of financial position for the latest period presented.</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5.42</w:t>
      </w:r>
    </w:p>
    <w:p w:rsidR="004843DB" w:rsidRPr="0062582F" w:rsidRDefault="004843DB" w:rsidP="004843DB">
      <w:pPr>
        <w:pStyle w:val="CommentaryText"/>
        <w:pBdr>
          <w:top w:val="none" w:sz="0" w:space="0" w:color="auto"/>
          <w:bottom w:val="none" w:sz="0" w:space="0" w:color="auto"/>
        </w:pBdr>
      </w:pPr>
      <w:r w:rsidRPr="0062582F">
        <w:br w:type="column"/>
        <w:t>When an entity decides to change the plan to sell such that the non</w:t>
      </w:r>
      <w:r w:rsidR="005A4BB0">
        <w:noBreakHyphen/>
      </w:r>
      <w:r w:rsidRPr="0062582F">
        <w:t>current assets (or disposal group) no longer meet the criteria of held for sale, the non</w:t>
      </w:r>
      <w:r w:rsidR="005A4BB0">
        <w:noBreakHyphen/>
      </w:r>
      <w:r w:rsidRPr="0062582F">
        <w:t>current asset (or disposal group) shall cease to be classified as held for sale. In the period where the non</w:t>
      </w:r>
      <w:r w:rsidR="005A4BB0">
        <w:noBreakHyphen/>
      </w:r>
      <w:r w:rsidRPr="0062582F">
        <w:t>financial physical assets (or disposal group) cease to be classified as held for sale, an entity shall disclose a description of the facts and circumstances leading to the decision and the effect of the decision on the results of operations for the period and any prior periods presented.</w:t>
      </w:r>
    </w:p>
    <w:bookmarkEnd w:id="418"/>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112.81(h)</w:t>
      </w:r>
    </w:p>
    <w:p w:rsidR="004843DB" w:rsidRPr="0062582F" w:rsidRDefault="004843DB" w:rsidP="004843DB">
      <w:pPr>
        <w:pStyle w:val="CommentaryText"/>
        <w:pBdr>
          <w:top w:val="none" w:sz="0" w:space="0" w:color="auto"/>
          <w:bottom w:val="none" w:sz="0" w:space="0" w:color="auto"/>
        </w:pBdr>
      </w:pPr>
      <w:r w:rsidRPr="0062582F">
        <w:br w:type="column"/>
        <w:t>In addition, where there is a tax implication related to a discontinued operation, the entity should disclose the tax expense relating to:</w:t>
      </w:r>
    </w:p>
    <w:p w:rsidR="004843DB" w:rsidRPr="0062582F" w:rsidRDefault="004843DB" w:rsidP="004843DB">
      <w:pPr>
        <w:pStyle w:val="CommentaryBullet"/>
        <w:pBdr>
          <w:bottom w:val="single" w:sz="4" w:space="1" w:color="0000FF"/>
        </w:pBdr>
      </w:pPr>
      <w:r w:rsidRPr="0062582F">
        <w:t>the gain or loss on discontinuance; and</w:t>
      </w:r>
    </w:p>
    <w:p w:rsidR="004843DB" w:rsidRPr="0062582F" w:rsidRDefault="004843DB" w:rsidP="004843DB">
      <w:pPr>
        <w:pStyle w:val="CommentaryBullet"/>
        <w:pBdr>
          <w:bottom w:val="single" w:sz="4" w:space="1" w:color="0000FF"/>
        </w:pBdr>
      </w:pPr>
      <w:r w:rsidRPr="0062582F">
        <w:t>the net result from the ordinary activities of the discontinued operation for the period together with the corresponding amounts for each prior period presented.</w:t>
      </w:r>
    </w:p>
    <w:p w:rsidR="004843DB" w:rsidRPr="0062582F" w:rsidRDefault="004843DB" w:rsidP="004843DB"/>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Reference"/>
      </w:pPr>
      <w:r w:rsidRPr="0062582F">
        <w:t>AASB 101.78(b)</w:t>
      </w:r>
    </w:p>
    <w:p w:rsidR="004843DB" w:rsidRPr="0062582F" w:rsidRDefault="004843DB" w:rsidP="004843DB">
      <w:pPr>
        <w:pStyle w:val="NoteHeading"/>
      </w:pPr>
      <w:r w:rsidRPr="0062582F">
        <w:br w:type="column"/>
      </w:r>
      <w:bookmarkStart w:id="419" w:name="_Toc332019469"/>
      <w:bookmarkStart w:id="420" w:name="_Toc366843357"/>
      <w:bookmarkStart w:id="421" w:name="_Toc448157190"/>
      <w:r w:rsidRPr="0062582F">
        <w:t>Note 11.</w:t>
      </w:r>
      <w:r w:rsidRPr="0062582F">
        <w:tab/>
        <w:t>Receivables</w:t>
      </w:r>
      <w:bookmarkEnd w:id="419"/>
      <w:bookmarkEnd w:id="420"/>
      <w:bookmarkEnd w:id="421"/>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Reference"/>
        <w:spacing w:before="240"/>
      </w:pPr>
      <w:r w:rsidRPr="0062582F">
        <w:t>AASB 101.61</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r w:rsidRPr="0062582F">
        <w:br/>
      </w:r>
    </w:p>
    <w:p w:rsidR="004843DB" w:rsidRPr="0062582F" w:rsidRDefault="004843DB" w:rsidP="004843DB">
      <w:pPr>
        <w:pStyle w:val="Reference"/>
        <w:spacing w:before="240"/>
      </w:pPr>
      <w:r w:rsidRPr="0062582F">
        <w:t>AASB 139.63</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240"/>
      </w:pPr>
      <w:r w:rsidRPr="0062582F">
        <w:t xml:space="preserve">AASB 101.61 </w:t>
      </w:r>
    </w:p>
    <w:p w:rsidR="004843DB" w:rsidRPr="0062582F" w:rsidRDefault="004843DB" w:rsidP="004843DB">
      <w:pPr>
        <w:pStyle w:val="Reference"/>
      </w:pPr>
    </w:p>
    <w:p w:rsidR="004843DB" w:rsidRPr="0062582F" w:rsidRDefault="004843DB" w:rsidP="004843DB">
      <w:pPr>
        <w:pStyle w:val="SmallLine"/>
      </w:pPr>
      <w:r w:rsidRPr="0062582F">
        <w:br/>
      </w:r>
      <w:r w:rsidRPr="0062582F">
        <w:br/>
      </w:r>
    </w:p>
    <w:p w:rsidR="004843DB" w:rsidRPr="0062582F" w:rsidRDefault="004843DB" w:rsidP="004843DB">
      <w:pPr>
        <w:pStyle w:val="Reference"/>
        <w:spacing w:before="240"/>
      </w:pPr>
      <w:r w:rsidRPr="0062582F">
        <w:t>AASB 139.63</w:t>
      </w:r>
    </w:p>
    <w:p w:rsidR="004843DB" w:rsidRPr="0062582F" w:rsidRDefault="004843DB" w:rsidP="004843DB">
      <w:pPr>
        <w:pStyle w:val="million"/>
        <w:rPr>
          <w:rFonts w:ascii="Tahoma" w:hAnsi="Tahoma" w:cs="Tahoma"/>
          <w:sz w:val="20"/>
        </w:rPr>
      </w:pPr>
      <w:r w:rsidRPr="0062582F">
        <w:br w:type="column"/>
        <w:t>($ thousand)</w:t>
      </w:r>
      <w:bookmarkStart w:id="422" w:name="RANGE!E6:H36"/>
    </w:p>
    <w:tbl>
      <w:tblPr>
        <w:tblW w:w="8109" w:type="dxa"/>
        <w:tblLayout w:type="fixed"/>
        <w:tblCellMar>
          <w:left w:w="43" w:type="dxa"/>
          <w:right w:w="43" w:type="dxa"/>
        </w:tblCellMar>
        <w:tblLook w:val="04A0" w:firstRow="1" w:lastRow="0" w:firstColumn="1" w:lastColumn="0" w:noHBand="0" w:noVBand="1"/>
      </w:tblPr>
      <w:tblGrid>
        <w:gridCol w:w="5983"/>
        <w:gridCol w:w="1134"/>
        <w:gridCol w:w="992"/>
      </w:tblGrid>
      <w:tr w:rsidR="004843DB" w:rsidRPr="0062582F" w:rsidTr="004843DB">
        <w:trPr>
          <w:trHeight w:hRule="exact" w:val="255"/>
        </w:trPr>
        <w:tc>
          <w:tcPr>
            <w:tcW w:w="5983" w:type="dxa"/>
            <w:tcBorders>
              <w:top w:val="single" w:sz="4" w:space="0" w:color="auto"/>
              <w:left w:val="nil"/>
              <w:bottom w:val="single" w:sz="4" w:space="0" w:color="auto"/>
              <w:right w:val="nil"/>
            </w:tcBorders>
            <w:shd w:val="clear" w:color="auto" w:fill="auto"/>
            <w:hideMark/>
          </w:tcPr>
          <w:bookmarkEnd w:id="422"/>
          <w:p w:rsidR="004843DB" w:rsidRPr="0062582F" w:rsidRDefault="004843DB" w:rsidP="004843DB">
            <w:pPr>
              <w:pStyle w:val="Tabletext"/>
            </w:pPr>
            <w:r w:rsidRPr="0062582F">
              <w:t xml:space="preserve"> </w:t>
            </w:r>
          </w:p>
        </w:tc>
        <w:tc>
          <w:tcPr>
            <w:tcW w:w="1134"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992"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Current receivables</w:t>
            </w:r>
          </w:p>
        </w:tc>
        <w:tc>
          <w:tcPr>
            <w:tcW w:w="1134"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Contractual</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Finance lease receivables</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223</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38</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Sale of goods and services</w:t>
            </w:r>
            <w:r w:rsidRPr="0062582F">
              <w:rPr>
                <w:vertAlign w:val="superscript"/>
              </w:rPr>
              <w:t xml:space="preserve"> (i)</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1 375</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985</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Loans to third parties</w:t>
            </w:r>
            <w:r w:rsidRPr="0062582F">
              <w:rPr>
                <w:vertAlign w:val="superscript"/>
              </w:rPr>
              <w:t xml:space="preserve"> (ii)</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229</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171</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Provision for doubtful contractual receivables</w:t>
            </w:r>
            <w:r w:rsidRPr="0062582F">
              <w:rPr>
                <w:vertAlign w:val="superscript"/>
              </w:rPr>
              <w:t xml:space="preserve"> (i)</w:t>
            </w:r>
            <w:r w:rsidRPr="0062582F">
              <w:t xml:space="preserve"> (see also Note 11(a) below)</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(122)</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(83)</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Accrued investment income</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1 864</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1 058</w:t>
            </w:r>
          </w:p>
        </w:tc>
      </w:tr>
      <w:tr w:rsidR="004843DB" w:rsidRPr="0062582F" w:rsidTr="004843DB">
        <w:trPr>
          <w:trHeight w:hRule="exact" w:val="255"/>
        </w:trPr>
        <w:tc>
          <w:tcPr>
            <w:tcW w:w="598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Other receivables</w:t>
            </w:r>
            <w:r w:rsidRPr="0062582F">
              <w:rPr>
                <w:vertAlign w:val="superscript"/>
              </w:rPr>
              <w:t xml:space="preserve"> (i)</w:t>
            </w:r>
          </w:p>
        </w:tc>
        <w:tc>
          <w:tcPr>
            <w:tcW w:w="1134"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90</w:t>
            </w:r>
          </w:p>
        </w:tc>
        <w:tc>
          <w:tcPr>
            <w:tcW w:w="99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113</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3 658</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2 281</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Statutory</w:t>
            </w:r>
          </w:p>
        </w:tc>
        <w:tc>
          <w:tcPr>
            <w:tcW w:w="1134"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Amount owing from Victorian Government</w:t>
            </w:r>
            <w:r w:rsidRPr="0062582F">
              <w:rPr>
                <w:vertAlign w:val="superscript"/>
              </w:rPr>
              <w:t xml:space="preserve"> (iii)</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24 760</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15 640</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GST input tax credit recoverable</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34</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50</w:t>
            </w:r>
          </w:p>
        </w:tc>
      </w:tr>
      <w:tr w:rsidR="004843DB" w:rsidRPr="0062582F" w:rsidTr="004843DB">
        <w:trPr>
          <w:trHeight w:hRule="exact" w:val="255"/>
        </w:trPr>
        <w:tc>
          <w:tcPr>
            <w:tcW w:w="5983" w:type="dxa"/>
            <w:tcBorders>
              <w:top w:val="nil"/>
              <w:left w:val="nil"/>
              <w:bottom w:val="nil"/>
              <w:right w:val="nil"/>
            </w:tcBorders>
            <w:shd w:val="clear" w:color="auto" w:fill="auto"/>
          </w:tcPr>
          <w:p w:rsidR="004843DB" w:rsidRPr="0062582F" w:rsidRDefault="004843DB" w:rsidP="004843DB">
            <w:pPr>
              <w:pStyle w:val="Tabletext"/>
            </w:pPr>
            <w:r w:rsidRPr="0062582F">
              <w:t>Fines and regulatory fees</w:t>
            </w:r>
          </w:p>
        </w:tc>
        <w:tc>
          <w:tcPr>
            <w:tcW w:w="1134" w:type="dxa"/>
            <w:tcBorders>
              <w:top w:val="nil"/>
              <w:left w:val="nil"/>
              <w:bottom w:val="nil"/>
              <w:right w:val="nil"/>
            </w:tcBorders>
            <w:shd w:val="clear" w:color="00FFFF" w:fill="CCCCCC"/>
            <w:noWrap/>
          </w:tcPr>
          <w:p w:rsidR="004843DB" w:rsidRPr="0062582F" w:rsidRDefault="004843DB" w:rsidP="004843DB">
            <w:pPr>
              <w:pStyle w:val="TableofFigures"/>
            </w:pPr>
            <w:r w:rsidRPr="0062582F">
              <w:t>100</w:t>
            </w:r>
          </w:p>
        </w:tc>
        <w:tc>
          <w:tcPr>
            <w:tcW w:w="992" w:type="dxa"/>
            <w:tcBorders>
              <w:top w:val="nil"/>
              <w:left w:val="nil"/>
              <w:bottom w:val="nil"/>
              <w:right w:val="nil"/>
            </w:tcBorders>
            <w:shd w:val="clear" w:color="auto" w:fill="auto"/>
            <w:noWrap/>
          </w:tcPr>
          <w:p w:rsidR="004843DB" w:rsidRPr="0062582F" w:rsidRDefault="004843DB" w:rsidP="004843DB">
            <w:pPr>
              <w:pStyle w:val="TableofFigures"/>
            </w:pPr>
            <w:r w:rsidRPr="0062582F">
              <w:t>75</w:t>
            </w:r>
          </w:p>
        </w:tc>
      </w:tr>
      <w:tr w:rsidR="004843DB" w:rsidRPr="0062582F" w:rsidTr="004843DB">
        <w:trPr>
          <w:trHeight w:hRule="exact" w:val="255"/>
        </w:trPr>
        <w:tc>
          <w:tcPr>
            <w:tcW w:w="598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Other receivables</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113</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100</w:t>
            </w:r>
          </w:p>
        </w:tc>
      </w:tr>
      <w:tr w:rsidR="004843DB" w:rsidRPr="0062582F" w:rsidTr="004843DB">
        <w:trPr>
          <w:trHeight w:hRule="exact" w:val="255"/>
        </w:trPr>
        <w:tc>
          <w:tcPr>
            <w:tcW w:w="5983"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 xml:space="preserve"> </w:t>
            </w:r>
          </w:p>
        </w:tc>
        <w:tc>
          <w:tcPr>
            <w:tcW w:w="1134"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25 007</w:t>
            </w:r>
          </w:p>
        </w:tc>
        <w:tc>
          <w:tcPr>
            <w:tcW w:w="992"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15 865</w:t>
            </w:r>
          </w:p>
        </w:tc>
      </w:tr>
      <w:tr w:rsidR="004843DB" w:rsidRPr="0062582F" w:rsidTr="004843DB">
        <w:trPr>
          <w:trHeight w:hRule="exact" w:val="255"/>
        </w:trPr>
        <w:tc>
          <w:tcPr>
            <w:tcW w:w="5983"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current receivables</w:t>
            </w:r>
          </w:p>
        </w:tc>
        <w:tc>
          <w:tcPr>
            <w:tcW w:w="1134"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28 665</w:t>
            </w:r>
          </w:p>
        </w:tc>
        <w:tc>
          <w:tcPr>
            <w:tcW w:w="99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18 146</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134"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Non</w:t>
            </w:r>
            <w:r w:rsidR="005A4BB0">
              <w:rPr>
                <w:b/>
              </w:rPr>
              <w:noBreakHyphen/>
            </w:r>
            <w:r w:rsidRPr="0062582F">
              <w:rPr>
                <w:b/>
              </w:rPr>
              <w:t>current receivables</w:t>
            </w:r>
          </w:p>
        </w:tc>
        <w:tc>
          <w:tcPr>
            <w:tcW w:w="1134"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Contractual</w:t>
            </w:r>
          </w:p>
        </w:tc>
        <w:tc>
          <w:tcPr>
            <w:tcW w:w="1134"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Finance lease receivables</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358</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1 193</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Loans to third parties </w:t>
            </w:r>
            <w:r w:rsidRPr="0062582F">
              <w:rPr>
                <w:vertAlign w:val="superscript"/>
              </w:rPr>
              <w:t>(ii)</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315</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314</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Provision for doubtful contractual receivables</w:t>
            </w:r>
            <w:r w:rsidRPr="0062582F">
              <w:rPr>
                <w:vertAlign w:val="superscript"/>
              </w:rPr>
              <w:t xml:space="preserve"> (i)</w:t>
            </w:r>
            <w:r w:rsidRPr="0062582F">
              <w:t xml:space="preserve"> (see also Note 11(a))</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(398)</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(244)</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Other receivables</w:t>
            </w:r>
            <w:r w:rsidRPr="0062582F">
              <w:rPr>
                <w:vertAlign w:val="superscript"/>
              </w:rPr>
              <w:t xml:space="preserve"> (i)</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244</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325</w:t>
            </w:r>
          </w:p>
        </w:tc>
      </w:tr>
      <w:tr w:rsidR="004843DB" w:rsidRPr="0062582F" w:rsidTr="004843DB">
        <w:trPr>
          <w:trHeight w:hRule="exact" w:val="255"/>
        </w:trPr>
        <w:tc>
          <w:tcPr>
            <w:tcW w:w="5983"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134"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519</w:t>
            </w:r>
          </w:p>
        </w:tc>
        <w:tc>
          <w:tcPr>
            <w:tcW w:w="992"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1 589</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Statutory</w:t>
            </w:r>
          </w:p>
        </w:tc>
        <w:tc>
          <w:tcPr>
            <w:tcW w:w="1134"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Amount owing from Victorian Government</w:t>
            </w:r>
            <w:r w:rsidRPr="0062582F">
              <w:rPr>
                <w:vertAlign w:val="superscript"/>
              </w:rPr>
              <w:t xml:space="preserve"> (iii)</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6 740</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511</w:t>
            </w:r>
          </w:p>
        </w:tc>
      </w:tr>
      <w:tr w:rsidR="004843DB" w:rsidRPr="0062582F" w:rsidTr="004843DB">
        <w:trPr>
          <w:trHeight w:hRule="exact" w:val="255"/>
        </w:trPr>
        <w:tc>
          <w:tcPr>
            <w:tcW w:w="5983" w:type="dxa"/>
            <w:tcBorders>
              <w:top w:val="nil"/>
              <w:left w:val="nil"/>
              <w:bottom w:val="nil"/>
              <w:right w:val="nil"/>
            </w:tcBorders>
            <w:shd w:val="clear" w:color="auto" w:fill="auto"/>
            <w:hideMark/>
          </w:tcPr>
          <w:p w:rsidR="004843DB" w:rsidRPr="0062582F" w:rsidRDefault="004843DB" w:rsidP="004843DB">
            <w:pPr>
              <w:pStyle w:val="Tabletext"/>
            </w:pPr>
            <w:r w:rsidRPr="0062582F">
              <w:t>Other receivables</w:t>
            </w:r>
          </w:p>
        </w:tc>
        <w:tc>
          <w:tcPr>
            <w:tcW w:w="113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121</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299</w:t>
            </w:r>
          </w:p>
        </w:tc>
      </w:tr>
      <w:tr w:rsidR="004843DB" w:rsidRPr="0062582F" w:rsidTr="004843DB">
        <w:trPr>
          <w:trHeight w:hRule="exact" w:val="255"/>
        </w:trPr>
        <w:tc>
          <w:tcPr>
            <w:tcW w:w="5983"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134"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6 861</w:t>
            </w:r>
          </w:p>
        </w:tc>
        <w:tc>
          <w:tcPr>
            <w:tcW w:w="992"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810</w:t>
            </w:r>
          </w:p>
        </w:tc>
      </w:tr>
      <w:tr w:rsidR="004843DB" w:rsidRPr="0062582F" w:rsidTr="004843DB">
        <w:trPr>
          <w:trHeight w:hRule="exact" w:val="255"/>
        </w:trPr>
        <w:tc>
          <w:tcPr>
            <w:tcW w:w="598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non</w:t>
            </w:r>
            <w:r w:rsidR="005A4BB0">
              <w:rPr>
                <w:b/>
              </w:rPr>
              <w:noBreakHyphen/>
            </w:r>
            <w:r w:rsidRPr="0062582F">
              <w:rPr>
                <w:b/>
              </w:rPr>
              <w:t>current receivables</w:t>
            </w:r>
          </w:p>
        </w:tc>
        <w:tc>
          <w:tcPr>
            <w:tcW w:w="1134"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7 380</w:t>
            </w:r>
          </w:p>
        </w:tc>
        <w:tc>
          <w:tcPr>
            <w:tcW w:w="992"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2 398</w:t>
            </w:r>
          </w:p>
        </w:tc>
      </w:tr>
      <w:tr w:rsidR="004843DB" w:rsidRPr="0062582F" w:rsidTr="004843DB">
        <w:trPr>
          <w:trHeight w:hRule="exact" w:val="255"/>
        </w:trPr>
        <w:tc>
          <w:tcPr>
            <w:tcW w:w="598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receivables</w:t>
            </w:r>
          </w:p>
        </w:tc>
        <w:tc>
          <w:tcPr>
            <w:tcW w:w="1134"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36 045</w:t>
            </w:r>
          </w:p>
        </w:tc>
        <w:tc>
          <w:tcPr>
            <w:tcW w:w="992"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20 544</w:t>
            </w:r>
          </w:p>
        </w:tc>
      </w:tr>
    </w:tbl>
    <w:p w:rsidR="004843DB" w:rsidRPr="0062582F" w:rsidRDefault="004843DB" w:rsidP="004843DB">
      <w:pPr>
        <w:pStyle w:val="Notes"/>
      </w:pPr>
      <w:r w:rsidRPr="0062582F">
        <w:t>Notes:</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t>AASB 7.31</w:t>
      </w:r>
    </w:p>
    <w:p w:rsidR="004843DB" w:rsidRPr="0062582F" w:rsidRDefault="004843DB" w:rsidP="004843DB">
      <w:pPr>
        <w:pStyle w:val="Notes"/>
      </w:pPr>
      <w:r w:rsidRPr="0062582F">
        <w:br w:type="column"/>
        <w:t>(i)</w:t>
      </w:r>
      <w:r w:rsidRPr="0062582F">
        <w:tab/>
        <w:t>The average credit period for sales of goods and services and for other receivables is 30 days. No interest is charged for the first 30 days from the date of the invoice. Thereafter, interest is charged at 2 per cent on the outstanding balance. A provision has been made for estimated irrecoverable amounts from the sale of goods when there is objective evidence that an individual receivable is impaired. The increase was recognised in the net result for the current financial year.</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t>(ii)</w:t>
      </w:r>
      <w:r w:rsidRPr="0062582F">
        <w:tab/>
        <w:t>A provision has been made for estimated irrecoverable amounts from the collection of loans from third parties when there is objective evidence that an individual loan is impaired. Loans to third parties are repayable on demand. However, payment is not expected within 12 months after the reporting period.</w:t>
      </w:r>
      <w:r w:rsidRPr="0062582F" w:rsidDel="000C4A20">
        <w:t xml:space="preserve"> </w:t>
      </w:r>
    </w:p>
    <w:p w:rsidR="004843DB" w:rsidRPr="0062582F" w:rsidRDefault="004843DB" w:rsidP="004843DB">
      <w:pPr>
        <w:pStyle w:val="Reference"/>
        <w:spacing w:before="20"/>
        <w:rPr>
          <w:lang w:val="en-AU"/>
        </w:rPr>
      </w:pPr>
      <w:r w:rsidRPr="0062582F">
        <w:rPr>
          <w:lang w:val="en-AU"/>
        </w:rPr>
        <w:t>AASB 7.7, 7.31</w:t>
      </w:r>
    </w:p>
    <w:p w:rsidR="004843DB" w:rsidRPr="0062582F" w:rsidRDefault="004843DB" w:rsidP="004843DB">
      <w:pPr>
        <w:pStyle w:val="Notes"/>
        <w:rPr>
          <w:color w:val="0000FF"/>
        </w:rPr>
      </w:pPr>
      <w:r w:rsidRPr="0062582F">
        <w:br w:type="column"/>
        <w:t>(iii)</w:t>
      </w:r>
      <w:r w:rsidRPr="0062582F">
        <w:tab/>
        <w:t xml:space="preserve">The amounts recognised from the Victorian Government represent funding for all commitments incurred through the appropriations and are drawn from the Consolidated Fund as the commitments fall due. </w:t>
      </w:r>
      <w:r w:rsidRPr="0062582F">
        <w:rPr>
          <w:color w:val="0000FF"/>
        </w:rPr>
        <w:t>[Appropriations are amounts owed by the Victorian Government as legislated in the Appropriations Act. Due to the existence of a legislative instrument, the appropriation receivable to an entity is statutory in nature, and hence not in the scope of the financial instrument standards.]</w:t>
      </w:r>
    </w:p>
    <w:p w:rsidR="004843DB" w:rsidRPr="0062582F" w:rsidRDefault="004843DB" w:rsidP="004843DB">
      <w:pPr>
        <w:pStyle w:val="Notes"/>
      </w:pPr>
    </w:p>
    <w:p w:rsidR="004843DB" w:rsidRPr="0062582F" w:rsidRDefault="004843DB" w:rsidP="004843DB">
      <w:pPr>
        <w:spacing w:before="0" w:line="240" w:lineRule="atLeast"/>
      </w:pPr>
      <w:r w:rsidRPr="0062582F">
        <w:br w:type="page"/>
      </w:r>
    </w:p>
    <w:p w:rsidR="004843DB" w:rsidRPr="0062582F" w:rsidRDefault="004843DB" w:rsidP="004843DB">
      <w:pPr>
        <w:pStyle w:val="NoteHeadingcontinued"/>
      </w:pPr>
      <w:r w:rsidRPr="0062582F">
        <w:br w:type="column"/>
        <w:t>Note 11.</w:t>
      </w:r>
      <w:r w:rsidRPr="0062582F">
        <w:tab/>
        <w:t>Receivables</w:t>
      </w:r>
      <w:r w:rsidRPr="0062582F">
        <w:rPr>
          <w:rFonts w:ascii="Garamond" w:hAnsi="Garamond"/>
        </w:rPr>
        <w:t xml:space="preserve"> </w:t>
      </w:r>
      <w:r w:rsidRPr="0062582F">
        <w:rPr>
          <w:i/>
        </w:rPr>
        <w:t>(continued)</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7.16</w:t>
      </w:r>
    </w:p>
    <w:p w:rsidR="004843DB" w:rsidRPr="0062582F" w:rsidRDefault="004843DB" w:rsidP="004843DB">
      <w:pPr>
        <w:pStyle w:val="Heading5"/>
      </w:pPr>
      <w:r w:rsidRPr="0062582F">
        <w:br w:type="column"/>
        <w:t>(a)</w:t>
      </w:r>
      <w:r w:rsidRPr="0062582F">
        <w:tab/>
        <w:t>Movement in the provision for doubtful contractual receivables</w:t>
      </w:r>
    </w:p>
    <w:p w:rsidR="004843DB" w:rsidRPr="0062582F" w:rsidRDefault="004843DB" w:rsidP="004843DB">
      <w:pPr>
        <w:pStyle w:val="million"/>
        <w:rPr>
          <w:rFonts w:ascii="Tahoma" w:hAnsi="Tahoma" w:cs="Tahoma"/>
          <w:sz w:val="20"/>
        </w:rPr>
      </w:pPr>
      <w:r w:rsidRPr="0062582F">
        <w:t>($ thousand)</w:t>
      </w:r>
    </w:p>
    <w:tbl>
      <w:tblPr>
        <w:tblW w:w="8035" w:type="dxa"/>
        <w:tblInd w:w="29" w:type="dxa"/>
        <w:tblLayout w:type="fixed"/>
        <w:tblCellMar>
          <w:left w:w="43" w:type="dxa"/>
          <w:right w:w="43" w:type="dxa"/>
        </w:tblCellMar>
        <w:tblLook w:val="04A0" w:firstRow="1" w:lastRow="0" w:firstColumn="1" w:lastColumn="0" w:noHBand="0" w:noVBand="1"/>
      </w:tblPr>
      <w:tblGrid>
        <w:gridCol w:w="5965"/>
        <w:gridCol w:w="1080"/>
        <w:gridCol w:w="990"/>
      </w:tblGrid>
      <w:tr w:rsidR="004843DB" w:rsidRPr="0062582F" w:rsidTr="004843DB">
        <w:trPr>
          <w:cantSplit/>
          <w:trHeight w:val="255"/>
        </w:trPr>
        <w:tc>
          <w:tcPr>
            <w:tcW w:w="5965"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08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99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trHeight w:val="255"/>
        </w:trPr>
        <w:tc>
          <w:tcPr>
            <w:tcW w:w="5965"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Balance at beginning of the year</w:t>
            </w:r>
          </w:p>
        </w:tc>
        <w:tc>
          <w:tcPr>
            <w:tcW w:w="1080"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(327)</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(53)</w:t>
            </w:r>
          </w:p>
        </w:tc>
      </w:tr>
      <w:tr w:rsidR="004843DB" w:rsidRPr="0062582F" w:rsidTr="004843DB">
        <w:trPr>
          <w:trHeight w:val="270"/>
        </w:trPr>
        <w:tc>
          <w:tcPr>
            <w:tcW w:w="5965" w:type="dxa"/>
            <w:tcBorders>
              <w:top w:val="nil"/>
              <w:left w:val="nil"/>
              <w:bottom w:val="nil"/>
              <w:right w:val="nil"/>
            </w:tcBorders>
            <w:shd w:val="clear" w:color="auto" w:fill="auto"/>
            <w:hideMark/>
          </w:tcPr>
          <w:p w:rsidR="004843DB" w:rsidRPr="0062582F" w:rsidRDefault="004843DB" w:rsidP="004843DB">
            <w:pPr>
              <w:pStyle w:val="Tabletext"/>
            </w:pPr>
            <w:r w:rsidRPr="0062582F">
              <w:t>Reversal of unused provision recognised in the net result</w:t>
            </w:r>
          </w:p>
        </w:tc>
        <w:tc>
          <w:tcPr>
            <w:tcW w:w="10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30</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15</w:t>
            </w:r>
          </w:p>
        </w:tc>
      </w:tr>
      <w:tr w:rsidR="004843DB" w:rsidRPr="0062582F" w:rsidTr="004843DB">
        <w:trPr>
          <w:trHeight w:val="270"/>
        </w:trPr>
        <w:tc>
          <w:tcPr>
            <w:tcW w:w="5965"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Increase in provision due to transfers in/acquired outputs </w:t>
            </w:r>
          </w:p>
        </w:tc>
        <w:tc>
          <w:tcPr>
            <w:tcW w:w="10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(25)</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70"/>
        </w:trPr>
        <w:tc>
          <w:tcPr>
            <w:tcW w:w="5965" w:type="dxa"/>
            <w:tcBorders>
              <w:top w:val="nil"/>
              <w:left w:val="nil"/>
              <w:bottom w:val="nil"/>
              <w:right w:val="nil"/>
            </w:tcBorders>
            <w:shd w:val="clear" w:color="auto" w:fill="auto"/>
            <w:hideMark/>
          </w:tcPr>
          <w:p w:rsidR="004843DB" w:rsidRPr="0062582F" w:rsidRDefault="004843DB" w:rsidP="004843DB">
            <w:pPr>
              <w:pStyle w:val="Tabletext"/>
            </w:pPr>
            <w:r w:rsidRPr="0062582F">
              <w:t>Decrease in provision due to transfers out/disposed outputs</w:t>
            </w:r>
          </w:p>
        </w:tc>
        <w:tc>
          <w:tcPr>
            <w:tcW w:w="10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137</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70"/>
        </w:trPr>
        <w:tc>
          <w:tcPr>
            <w:tcW w:w="5965" w:type="dxa"/>
            <w:tcBorders>
              <w:top w:val="nil"/>
              <w:left w:val="nil"/>
              <w:bottom w:val="nil"/>
              <w:right w:val="nil"/>
            </w:tcBorders>
            <w:shd w:val="clear" w:color="auto" w:fill="auto"/>
            <w:hideMark/>
          </w:tcPr>
          <w:p w:rsidR="004843DB" w:rsidRPr="0062582F" w:rsidRDefault="004843DB" w:rsidP="004843DB">
            <w:pPr>
              <w:pStyle w:val="Tabletext"/>
            </w:pPr>
            <w:r w:rsidRPr="0062582F">
              <w:t>Increase in provision recognised in the net result</w:t>
            </w:r>
          </w:p>
        </w:tc>
        <w:tc>
          <w:tcPr>
            <w:tcW w:w="10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(485)</w:t>
            </w:r>
          </w:p>
        </w:tc>
        <w:tc>
          <w:tcPr>
            <w:tcW w:w="9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(341)</w:t>
            </w:r>
          </w:p>
        </w:tc>
      </w:tr>
      <w:tr w:rsidR="004843DB" w:rsidRPr="0062582F" w:rsidTr="004843DB">
        <w:trPr>
          <w:trHeight w:val="255"/>
        </w:trPr>
        <w:tc>
          <w:tcPr>
            <w:tcW w:w="5965" w:type="dxa"/>
            <w:tcBorders>
              <w:top w:val="nil"/>
              <w:left w:val="nil"/>
              <w:bottom w:val="single" w:sz="6" w:space="0" w:color="auto"/>
              <w:right w:val="nil"/>
            </w:tcBorders>
            <w:shd w:val="clear" w:color="auto" w:fill="auto"/>
            <w:hideMark/>
          </w:tcPr>
          <w:p w:rsidR="004843DB" w:rsidRPr="0062582F" w:rsidRDefault="004843DB" w:rsidP="004843DB">
            <w:pPr>
              <w:pStyle w:val="Tabletext"/>
            </w:pPr>
            <w:r w:rsidRPr="0062582F">
              <w:t>Reversal of provision of receivables written off during the year as uncollectible</w:t>
            </w:r>
          </w:p>
        </w:tc>
        <w:tc>
          <w:tcPr>
            <w:tcW w:w="1080"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 xml:space="preserve"> 150</w:t>
            </w:r>
          </w:p>
        </w:tc>
        <w:tc>
          <w:tcPr>
            <w:tcW w:w="99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 xml:space="preserve"> 52</w:t>
            </w:r>
          </w:p>
        </w:tc>
      </w:tr>
      <w:tr w:rsidR="004843DB" w:rsidRPr="0062582F" w:rsidTr="004843DB">
        <w:trPr>
          <w:trHeight w:val="270"/>
        </w:trPr>
        <w:tc>
          <w:tcPr>
            <w:tcW w:w="5965" w:type="dxa"/>
            <w:tcBorders>
              <w:top w:val="single" w:sz="6"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Balance at end of the year</w:t>
            </w:r>
          </w:p>
        </w:tc>
        <w:tc>
          <w:tcPr>
            <w:tcW w:w="1080" w:type="dxa"/>
            <w:tcBorders>
              <w:top w:val="single" w:sz="6"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(520)</w:t>
            </w:r>
          </w:p>
        </w:tc>
        <w:tc>
          <w:tcPr>
            <w:tcW w:w="990"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(327)</w:t>
            </w:r>
          </w:p>
        </w:tc>
      </w:tr>
    </w:tbl>
    <w:p w:rsidR="004843DB" w:rsidRPr="0062582F" w:rsidRDefault="004843DB" w:rsidP="004843DB">
      <w:pPr>
        <w:pStyle w:val="Heading5"/>
        <w:spacing w:before="120"/>
        <w:ind w:left="0" w:firstLine="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SmallLine"/>
      </w:pPr>
      <w:r w:rsidRPr="0062582F">
        <w:br w:type="column"/>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80"/>
        <w:rPr>
          <w:lang w:val="en-AU"/>
        </w:rPr>
      </w:pPr>
      <w:r w:rsidRPr="0062582F">
        <w:rPr>
          <w:lang w:val="en-AU"/>
        </w:rPr>
        <w:t>AASB 7.37(a)</w:t>
      </w:r>
    </w:p>
    <w:p w:rsidR="004843DB" w:rsidRPr="0062582F" w:rsidRDefault="004843DB" w:rsidP="004843DB">
      <w:pPr>
        <w:pStyle w:val="Heading5"/>
      </w:pPr>
      <w:r w:rsidRPr="0062582F">
        <w:br w:type="column"/>
        <w:t>(b)</w:t>
      </w:r>
      <w:r w:rsidRPr="0062582F">
        <w:tab/>
        <w:t>Ageing analysis of contractual receivables</w:t>
      </w:r>
    </w:p>
    <w:p w:rsidR="004843DB" w:rsidRPr="0062582F" w:rsidRDefault="004843DB" w:rsidP="004843DB">
      <w:pPr>
        <w:pStyle w:val="NormalIndent2"/>
      </w:pPr>
      <w:r w:rsidRPr="0062582F">
        <w:t>Please refer to Table 33.4 in Note 33 for the ageing analysis of contractual receivables.</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rPr>
          <w:lang w:val="en-AU"/>
        </w:rPr>
        <w:t>AASB 7.31</w:t>
      </w:r>
    </w:p>
    <w:p w:rsidR="004843DB" w:rsidRPr="0062582F" w:rsidRDefault="004843DB" w:rsidP="004843DB">
      <w:pPr>
        <w:pStyle w:val="Heading5"/>
      </w:pPr>
      <w:r w:rsidRPr="0062582F">
        <w:br w:type="column"/>
        <w:t>(c)</w:t>
      </w:r>
      <w:r w:rsidRPr="0062582F">
        <w:tab/>
        <w:t>Nature and extent of risk arising from contractual receivables</w:t>
      </w:r>
    </w:p>
    <w:p w:rsidR="004843DB" w:rsidRPr="0062582F" w:rsidRDefault="004843DB" w:rsidP="004843DB">
      <w:pPr>
        <w:pStyle w:val="NormalIndent2"/>
      </w:pPr>
      <w:r w:rsidRPr="0062582F">
        <w:t>Please refer to Note 33 for the nature and extent of risks arising from contractual receivables.</w:t>
      </w:r>
    </w:p>
    <w:p w:rsidR="004843DB" w:rsidRPr="0062582F" w:rsidRDefault="004843DB" w:rsidP="004843DB"/>
    <w:p w:rsidR="004843DB" w:rsidRPr="0062582F" w:rsidRDefault="004843DB" w:rsidP="004843DB">
      <w:pPr>
        <w:pStyle w:val="SmallLine"/>
      </w:pPr>
    </w:p>
    <w:p w:rsidR="004843DB" w:rsidRPr="0062582F" w:rsidRDefault="004843DB" w:rsidP="004843DB">
      <w:pPr>
        <w:pStyle w:val="CommentaryHeading"/>
      </w:pPr>
      <w:r w:rsidRPr="0062582F">
        <w:t>Commentary – Receivables</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pPr>
      <w:r w:rsidRPr="0062582F">
        <w:t>Statutory receivables</w:t>
      </w:r>
    </w:p>
    <w:p w:rsidR="004843DB" w:rsidRPr="0062582F" w:rsidRDefault="004843DB" w:rsidP="004843DB">
      <w:pPr>
        <w:pStyle w:val="CommentaryText"/>
        <w:pBdr>
          <w:top w:val="none" w:sz="0" w:space="0" w:color="auto"/>
        </w:pBdr>
        <w:sectPr w:rsidR="004843DB" w:rsidRPr="0062582F" w:rsidSect="00190A01">
          <w:headerReference w:type="even" r:id="rId268"/>
          <w:headerReference w:type="default" r:id="rId269"/>
          <w:headerReference w:type="first" r:id="rId270"/>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t>AASB </w:t>
      </w:r>
      <w:r w:rsidRPr="0062582F">
        <w:rPr>
          <w:lang w:val="en-AU"/>
        </w:rPr>
        <w:t>132.AG12</w:t>
      </w:r>
    </w:p>
    <w:p w:rsidR="004843DB" w:rsidRPr="0062582F" w:rsidRDefault="004843DB" w:rsidP="004843DB">
      <w:pPr>
        <w:pStyle w:val="CommentaryText"/>
        <w:pBdr>
          <w:top w:val="none" w:sz="0" w:space="0" w:color="auto"/>
          <w:bottom w:val="none" w:sz="0" w:space="0" w:color="auto"/>
        </w:pBdr>
      </w:pPr>
      <w:r w:rsidRPr="0062582F">
        <w:br w:type="column"/>
        <w:t xml:space="preserve">Assets that are not contractual (such as assets that arise as a result of statutory requirements), are not financial instruments as defined. Therefore, although these assets are similar to financial instruments, they are not in the scope of AASB 7 </w:t>
      </w:r>
      <w:r w:rsidRPr="0062582F">
        <w:rPr>
          <w:i/>
        </w:rPr>
        <w:t>Financial Instruments: Disclosures</w:t>
      </w:r>
      <w:r w:rsidRPr="0062582F">
        <w:t>. However, entities may wish to apply disclosure requirements similar to those from AASB 7 to such assets at their own discretion.</w:t>
      </w:r>
    </w:p>
    <w:p w:rsidR="004843DB" w:rsidRPr="0062582F" w:rsidRDefault="004843DB" w:rsidP="004843DB">
      <w:pPr>
        <w:pStyle w:val="CommentaryText"/>
        <w:pBdr>
          <w:top w:val="none" w:sz="0" w:space="0" w:color="auto"/>
        </w:pBdr>
        <w:rPr>
          <w:b/>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136.18</w:t>
      </w:r>
      <w:r w:rsidR="005A4BB0">
        <w:rPr>
          <w:lang w:val="en-AU"/>
        </w:rPr>
        <w:noBreakHyphen/>
      </w:r>
      <w:r w:rsidRPr="0062582F">
        <w:rPr>
          <w:lang w:val="en-AU"/>
        </w:rPr>
        <w:t>23</w:t>
      </w:r>
    </w:p>
    <w:p w:rsidR="004843DB" w:rsidRPr="0062582F" w:rsidRDefault="004843DB" w:rsidP="004843DB">
      <w:pPr>
        <w:pStyle w:val="CommentaryText"/>
        <w:pBdr>
          <w:top w:val="none" w:sz="0" w:space="0" w:color="auto"/>
        </w:pBdr>
        <w:rPr>
          <w:b/>
        </w:rPr>
      </w:pPr>
      <w:r w:rsidRPr="0062582F">
        <w:rPr>
          <w:b/>
        </w:rPr>
        <w:br w:type="column"/>
        <w:t xml:space="preserve">Note: impairment of statutory receivables is determined under AASB 136 </w:t>
      </w:r>
      <w:r w:rsidRPr="0062582F">
        <w:rPr>
          <w:b/>
          <w:i/>
        </w:rPr>
        <w:t>Impairment</w:t>
      </w:r>
      <w:r w:rsidRPr="0062582F">
        <w:rPr>
          <w:b/>
        </w:rPr>
        <w:t xml:space="preserve"> </w:t>
      </w:r>
      <w:r w:rsidRPr="0062582F">
        <w:rPr>
          <w:b/>
          <w:i/>
        </w:rPr>
        <w:t>of Assets</w:t>
      </w:r>
      <w:r w:rsidRPr="0062582F">
        <w:rPr>
          <w:b/>
        </w:rPr>
        <w:t xml:space="preserve">, and not AASB 139 </w:t>
      </w:r>
      <w:r w:rsidRPr="0062582F">
        <w:rPr>
          <w:b/>
          <w:i/>
        </w:rPr>
        <w:t>Financial Instruments: Recognition and Measurement</w:t>
      </w:r>
      <w:r w:rsidRPr="0062582F">
        <w:rPr>
          <w:b/>
        </w:rPr>
        <w:t>.</w:t>
      </w:r>
    </w:p>
    <w:p w:rsidR="004843DB" w:rsidRPr="0062582F" w:rsidRDefault="004843DB" w:rsidP="004843DB">
      <w:pPr>
        <w:pStyle w:val="CommentaryHeading1"/>
        <w:pBdr>
          <w:top w:val="none" w:sz="0" w:space="0" w:color="auto"/>
        </w:pBdr>
      </w:pPr>
      <w:r w:rsidRPr="0062582F">
        <w:t>Derecognition of financial assets</w:t>
      </w:r>
    </w:p>
    <w:p w:rsidR="004843DB" w:rsidRPr="0062582F" w:rsidRDefault="004843DB" w:rsidP="004843DB">
      <w:pPr>
        <w:pStyle w:val="CommentaryText"/>
        <w:pBdr>
          <w:top w:val="none" w:sz="0" w:space="0" w:color="auto"/>
        </w:pBdr>
      </w:pPr>
      <w:r w:rsidRPr="0062582F">
        <w:t xml:space="preserve">Please refer to guidance provided in the Note 27 </w:t>
      </w:r>
      <w:r w:rsidRPr="0062582F">
        <w:rPr>
          <w:i/>
        </w:rPr>
        <w:t>Commentary</w:t>
      </w:r>
      <w:r w:rsidRPr="0062582F">
        <w:t xml:space="preserve"> – </w:t>
      </w:r>
      <w:r w:rsidRPr="0062582F">
        <w:rPr>
          <w:i/>
        </w:rPr>
        <w:t>Derecognition of financial assets</w:t>
      </w:r>
      <w:r w:rsidRPr="0062582F">
        <w:t>.</w:t>
      </w:r>
    </w:p>
    <w:p w:rsidR="004843DB" w:rsidRPr="0062582F" w:rsidRDefault="004843DB" w:rsidP="004843DB">
      <w:pPr>
        <w:pStyle w:val="CommentaryHeading1"/>
        <w:pBdr>
          <w:top w:val="none" w:sz="0" w:space="0" w:color="auto"/>
        </w:pBdr>
      </w:pPr>
      <w:r w:rsidRPr="0062582F">
        <w:t>Amounts owing from Victorian Government</w:t>
      </w:r>
    </w:p>
    <w:p w:rsidR="004843DB" w:rsidRPr="0062582F" w:rsidRDefault="004843DB" w:rsidP="004843DB">
      <w:pPr>
        <w:pStyle w:val="CommentaryText"/>
        <w:pBdr>
          <w:top w:val="none" w:sz="0" w:space="0" w:color="auto"/>
        </w:pBdr>
      </w:pPr>
      <w:r w:rsidRPr="0062582F">
        <w:t>An amount owing in the Department</w:t>
      </w:r>
      <w:r w:rsidR="005A4BB0">
        <w:t>’</w:t>
      </w:r>
      <w:r w:rsidRPr="0062582F">
        <w:t>s State Administration Unit (SAU) inter</w:t>
      </w:r>
      <w:r w:rsidR="005A4BB0">
        <w:noBreakHyphen/>
      </w:r>
      <w:r w:rsidRPr="0062582F">
        <w:t>entity account balance that relates to appropriations should be reported as a receivable classified as either current or non</w:t>
      </w:r>
      <w:r w:rsidR="005A4BB0">
        <w:noBreakHyphen/>
      </w:r>
      <w:r w:rsidRPr="0062582F">
        <w:t>current as appropriate, with the non</w:t>
      </w:r>
      <w:r w:rsidR="005A4BB0">
        <w:noBreakHyphen/>
      </w:r>
      <w:r w:rsidRPr="0062582F">
        <w:t>current portion (if any) measured on present value basis.</w:t>
      </w:r>
    </w:p>
    <w:p w:rsidR="004843DB" w:rsidRPr="0062582F" w:rsidRDefault="004843DB" w:rsidP="004843DB">
      <w:pPr>
        <w:pStyle w:val="CommentaryText"/>
        <w:pBdr>
          <w:top w:val="none" w:sz="0" w:space="0" w:color="auto"/>
        </w:pBdr>
        <w:rPr>
          <w:noProof w:val="0"/>
        </w:rPr>
      </w:pPr>
      <w:r w:rsidRPr="0062582F">
        <w:t>Components of SAU that relate to depreciation equivalent funding must also be allocated between current and non</w:t>
      </w:r>
      <w:r w:rsidR="005A4BB0">
        <w:noBreakHyphen/>
      </w:r>
      <w:r w:rsidRPr="0062582F">
        <w:t>current, with the non</w:t>
      </w:r>
      <w:r w:rsidR="005A4BB0">
        <w:noBreakHyphen/>
      </w:r>
      <w:r w:rsidRPr="0062582F">
        <w:t>current portion (if any) measured on present value basis.</w:t>
      </w:r>
      <w:r w:rsidRPr="0062582F">
        <w:rPr>
          <w:noProof w:val="0"/>
        </w:rPr>
        <w:t xml:space="preserve"> </w:t>
      </w:r>
    </w:p>
    <w:p w:rsidR="004843DB" w:rsidRPr="0062582F" w:rsidRDefault="004843DB" w:rsidP="004843DB">
      <w:pPr>
        <w:pStyle w:val="CommentaryText"/>
        <w:pBdr>
          <w:top w:val="none" w:sz="0" w:space="0" w:color="auto"/>
        </w:pBdr>
      </w:pPr>
      <w:r w:rsidRPr="0062582F">
        <w:t>Components of the SAU that relate to the balance of surplus earned on the provision of outputs are deemed to be current unless the entity has made a firm decision to defer application of the surplus by more than 12 months from the end of the reporting period. In the latter case, an allocation must be made between current and non</w:t>
      </w:r>
      <w:r w:rsidR="005A4BB0">
        <w:noBreakHyphen/>
      </w:r>
      <w:r w:rsidRPr="0062582F">
        <w:t>current, with the non</w:t>
      </w:r>
      <w:r w:rsidR="005A4BB0">
        <w:noBreakHyphen/>
      </w:r>
      <w:r w:rsidRPr="0062582F">
        <w:t xml:space="preserve">current portion measured on a present value basis, as appropriate. </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 w:rsidR="004843DB" w:rsidRPr="0062582F" w:rsidRDefault="004843DB" w:rsidP="004843DB">
      <w:pPr>
        <w:pStyle w:val="SmallLine"/>
      </w:pPr>
      <w:r w:rsidRPr="0062582F">
        <w:br w:type="column"/>
      </w:r>
      <w:r w:rsidRPr="0062582F">
        <w:br w:type="column"/>
      </w:r>
      <w:r w:rsidRPr="0062582F">
        <w:br w:type="column"/>
      </w:r>
    </w:p>
    <w:p w:rsidR="004843DB" w:rsidRPr="0062582F" w:rsidRDefault="004843DB" w:rsidP="004843DB">
      <w:pPr>
        <w:pStyle w:val="CommentaryHeading"/>
        <w:rPr>
          <w:i/>
          <w:iCs/>
        </w:rPr>
      </w:pPr>
      <w:r w:rsidRPr="0062582F">
        <w:t xml:space="preserve">Commentary – Receivables </w:t>
      </w:r>
      <w:r w:rsidRPr="0062582F">
        <w:rPr>
          <w:i/>
          <w:iCs/>
        </w:rPr>
        <w:t>(continued)</w:t>
      </w:r>
    </w:p>
    <w:p w:rsidR="004843DB" w:rsidRPr="0062582F" w:rsidRDefault="004843DB" w:rsidP="004843DB">
      <w:pPr>
        <w:pStyle w:val="SmallLineBlue"/>
        <w:pBdr>
          <w:bottom w:val="none" w:sz="0" w:space="0" w:color="auto"/>
        </w:pBdr>
      </w:pPr>
    </w:p>
    <w:p w:rsidR="004843DB" w:rsidRPr="0062582F" w:rsidRDefault="004843DB" w:rsidP="004843DB">
      <w:pPr>
        <w:pStyle w:val="CommentaryText"/>
        <w:pBdr>
          <w:top w:val="none" w:sz="0" w:space="0" w:color="auto"/>
        </w:pBdr>
      </w:pPr>
      <w:r w:rsidRPr="0062582F">
        <w:t>Components of the SAU that relate to employee benefits must be allocated between current and non</w:t>
      </w:r>
      <w:r w:rsidR="005A4BB0">
        <w:noBreakHyphen/>
      </w:r>
      <w:r w:rsidRPr="0062582F">
        <w:t>current. Given that the latter is based on employee benefit liabilities that are themselves measured on a present value basis, no further discounting or measurement adjustment is required.</w:t>
      </w:r>
    </w:p>
    <w:p w:rsidR="004843DB" w:rsidRPr="0062582F" w:rsidRDefault="004843DB" w:rsidP="004843DB">
      <w:pPr>
        <w:pStyle w:val="CommentaryText"/>
        <w:pBdr>
          <w:top w:val="none" w:sz="0" w:space="0" w:color="auto"/>
        </w:pBdr>
      </w:pPr>
      <w:r w:rsidRPr="0062582F">
        <w:t>All other balances in the SAU are considered to be current, and so no measurement adjustment is required.</w:t>
      </w:r>
    </w:p>
    <w:p w:rsidR="004843DB" w:rsidRPr="0062582F" w:rsidRDefault="004843DB" w:rsidP="004843DB">
      <w:pPr>
        <w:pStyle w:val="CommentaryHeading1"/>
        <w:pBdr>
          <w:top w:val="none" w:sz="0" w:space="0" w:color="auto"/>
        </w:pBdr>
      </w:pPr>
      <w:r w:rsidRPr="0062582F">
        <w:t>Reversal of amount in provision for receivables written off as uncollectible</w:t>
      </w:r>
    </w:p>
    <w:p w:rsidR="004843DB" w:rsidRPr="0062582F" w:rsidRDefault="004843DB" w:rsidP="004843DB">
      <w:pPr>
        <w:pStyle w:val="CommentaryText"/>
        <w:pBdr>
          <w:top w:val="none" w:sz="0" w:space="0" w:color="auto"/>
        </w:pBdr>
      </w:pPr>
      <w:r w:rsidRPr="0062582F">
        <w:t>Initially, if there is objective evidence for impairment of a receivable, the provision is increased accordingly with the impairment expense recognised in the net result as an other economic flow. However, when it becomes mutually agreed between debtor and creditor that the receivable has become uncollectible, the carrying amount of the receivable needs to be reduced, and a bad debt expense for the write</w:t>
      </w:r>
      <w:r w:rsidR="005A4BB0">
        <w:noBreakHyphen/>
      </w:r>
      <w:r w:rsidRPr="0062582F">
        <w:t xml:space="preserve">off recognised in the net result as a </w:t>
      </w:r>
      <w:r w:rsidRPr="0062582F">
        <w:rPr>
          <w:b/>
          <w:bCs/>
        </w:rPr>
        <w:t>transaction</w:t>
      </w:r>
      <w:r w:rsidRPr="0062582F">
        <w:t xml:space="preserve">. Accordingly at the same time, the amount in the provision together with its related impairment expense initially recognised as an other economic flow will need to be reversed. </w:t>
      </w:r>
    </w:p>
    <w:p w:rsidR="004843DB" w:rsidRPr="0062582F" w:rsidRDefault="004843DB" w:rsidP="004843DB">
      <w:pPr>
        <w:pStyle w:val="CommentaryText"/>
        <w:pBdr>
          <w:top w:val="none" w:sz="0" w:space="0" w:color="auto"/>
        </w:pBdr>
      </w:pPr>
      <w:r w:rsidRPr="0062582F">
        <w:t>Where the bad debt is written off following a unilateral decision (not by mutual agreement between debtor and creditor), the carrying amount of the receivable needs to be reduced, and a bad debt expense for the write</w:t>
      </w:r>
      <w:r w:rsidR="005A4BB0">
        <w:noBreakHyphen/>
      </w:r>
      <w:r w:rsidRPr="0062582F">
        <w:t xml:space="preserve">off recognised in the net result as an </w:t>
      </w:r>
      <w:r w:rsidRPr="0062582F">
        <w:rPr>
          <w:b/>
          <w:bCs/>
        </w:rPr>
        <w:t>other economic flow</w:t>
      </w:r>
      <w:r w:rsidRPr="0062582F">
        <w:t>. Accordingly at the same time, the amount in the provision together with its related impairment expense initially recognised as an other economic flow will need to be reversed.</w:t>
      </w:r>
    </w:p>
    <w:p w:rsidR="004843DB" w:rsidRPr="0062582F" w:rsidRDefault="004843DB" w:rsidP="004843DB"/>
    <w:p w:rsidR="004843DB" w:rsidRPr="0062582F" w:rsidRDefault="004843DB" w:rsidP="004843DB">
      <w:pPr>
        <w:rPr>
          <w:lang w:val="en-GB"/>
        </w:rPr>
      </w:pPr>
      <w:r w:rsidRPr="0062582F">
        <w:br w:type="page"/>
      </w:r>
    </w:p>
    <w:p w:rsidR="004843DB" w:rsidRPr="0062582F" w:rsidRDefault="004843DB" w:rsidP="004843DB">
      <w:pPr>
        <w:pStyle w:val="Reference"/>
        <w:rPr>
          <w:lang w:val="en-AU"/>
        </w:rPr>
      </w:pPr>
    </w:p>
    <w:p w:rsidR="004843DB" w:rsidRPr="0062582F" w:rsidRDefault="004843DB" w:rsidP="004843DB">
      <w:pPr>
        <w:pStyle w:val="NoteHeading"/>
      </w:pPr>
      <w:r w:rsidRPr="0062582F">
        <w:br w:type="column"/>
      </w:r>
      <w:bookmarkStart w:id="423" w:name="_Toc332019470"/>
      <w:bookmarkStart w:id="424" w:name="_Toc366843358"/>
      <w:bookmarkStart w:id="425" w:name="_Toc448157191"/>
      <w:r w:rsidRPr="0062582F">
        <w:t>Note 12.</w:t>
      </w:r>
      <w:r w:rsidRPr="0062582F">
        <w:tab/>
        <w:t>Investments and other financial assets</w:t>
      </w:r>
      <w:bookmarkEnd w:id="423"/>
      <w:bookmarkEnd w:id="424"/>
      <w:bookmarkEnd w:id="425"/>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40"/>
      </w:pPr>
      <w:r w:rsidRPr="0062582F">
        <w:t xml:space="preserve">AASB 101.61 </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80"/>
      </w:pPr>
      <w:r w:rsidRPr="0062582F">
        <w:t xml:space="preserve">AASB 101.61 </w:t>
      </w:r>
    </w:p>
    <w:p w:rsidR="004843DB" w:rsidRPr="0062582F" w:rsidRDefault="004843DB" w:rsidP="004843DB">
      <w:pPr>
        <w:pStyle w:val="million"/>
        <w:rPr>
          <w:rFonts w:ascii="Tahoma" w:hAnsi="Tahoma" w:cs="Tahoma"/>
          <w:sz w:val="20"/>
        </w:rPr>
      </w:pPr>
      <w:r w:rsidRPr="0062582F">
        <w:br w:type="column"/>
        <w:t>($ thousand)</w:t>
      </w:r>
    </w:p>
    <w:tbl>
      <w:tblPr>
        <w:tblW w:w="8103" w:type="dxa"/>
        <w:tblLayout w:type="fixed"/>
        <w:tblCellMar>
          <w:left w:w="43" w:type="dxa"/>
          <w:right w:w="43" w:type="dxa"/>
        </w:tblCellMar>
        <w:tblLook w:val="04A0" w:firstRow="1" w:lastRow="0" w:firstColumn="1" w:lastColumn="0" w:noHBand="0" w:noVBand="1"/>
      </w:tblPr>
      <w:tblGrid>
        <w:gridCol w:w="5623"/>
        <w:gridCol w:w="1240"/>
        <w:gridCol w:w="1240"/>
      </w:tblGrid>
      <w:tr w:rsidR="004843DB" w:rsidRPr="0062582F" w:rsidTr="004843DB">
        <w:trPr>
          <w:cantSplit/>
        </w:trPr>
        <w:tc>
          <w:tcPr>
            <w:tcW w:w="562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Current investments and other financial assets</w:t>
            </w:r>
          </w:p>
        </w:tc>
        <w:tc>
          <w:tcPr>
            <w:tcW w:w="124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Term deposits:</w:t>
            </w:r>
            <w:r w:rsidRPr="0062582F">
              <w:rPr>
                <w:vertAlign w:val="superscript"/>
              </w:rPr>
              <w:t xml:space="preserve"> (i)</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Foreign currency term deposits &gt; three months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1 000</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750</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Australian dollar term deposits &gt; three months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941</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2 443</w:t>
            </w:r>
          </w:p>
        </w:tc>
      </w:tr>
      <w:tr w:rsidR="004843DB" w:rsidRPr="0062582F" w:rsidTr="004843DB">
        <w:trPr>
          <w:cantSplit/>
        </w:trPr>
        <w:tc>
          <w:tcPr>
            <w:tcW w:w="5623"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1 941</w:t>
            </w:r>
          </w:p>
        </w:tc>
        <w:tc>
          <w:tcPr>
            <w:tcW w:w="12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3 193</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Debt securities:</w:t>
            </w:r>
            <w:r w:rsidRPr="0062582F">
              <w:rPr>
                <w:vertAlign w:val="superscript"/>
              </w:rPr>
              <w:t xml:space="preserve"> (ii)</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Five year government bonds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778</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406</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Ten year government bonds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220</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340</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Debentures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565</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62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1 563</w:t>
            </w:r>
          </w:p>
        </w:tc>
        <w:tc>
          <w:tcPr>
            <w:tcW w:w="12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746</w:t>
            </w:r>
          </w:p>
        </w:tc>
      </w:tr>
      <w:tr w:rsidR="004843DB" w:rsidRPr="0062582F" w:rsidTr="004843DB">
        <w:trPr>
          <w:cantSplit/>
        </w:trPr>
        <w:tc>
          <w:tcPr>
            <w:tcW w:w="5623"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current investments and other financial assets</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3 504</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3 939</w:t>
            </w:r>
          </w:p>
        </w:tc>
      </w:tr>
      <w:tr w:rsidR="004843DB" w:rsidRPr="0062582F" w:rsidTr="004843DB">
        <w:trPr>
          <w:cantSplit/>
          <w:trHeight w:hRule="exact" w:val="160"/>
        </w:trPr>
        <w:tc>
          <w:tcPr>
            <w:tcW w:w="5623" w:type="dxa"/>
            <w:tcBorders>
              <w:top w:val="single" w:sz="4" w:space="0" w:color="auto"/>
              <w:left w:val="nil"/>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40" w:type="dxa"/>
            <w:tcBorders>
              <w:top w:val="single" w:sz="4" w:space="0" w:color="auto"/>
              <w:left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623" w:type="dxa"/>
            <w:tcBorders>
              <w:left w:val="nil"/>
              <w:bottom w:val="nil"/>
              <w:right w:val="nil"/>
            </w:tcBorders>
            <w:shd w:val="clear" w:color="auto" w:fill="auto"/>
            <w:hideMark/>
          </w:tcPr>
          <w:p w:rsidR="004843DB" w:rsidRPr="0062582F" w:rsidRDefault="004843DB" w:rsidP="004843DB">
            <w:pPr>
              <w:pStyle w:val="Tabletext"/>
              <w:rPr>
                <w:b/>
              </w:rPr>
            </w:pPr>
            <w:r w:rsidRPr="0062582F">
              <w:rPr>
                <w:b/>
              </w:rPr>
              <w:t>Non</w:t>
            </w:r>
            <w:r w:rsidR="005A4BB0">
              <w:rPr>
                <w:b/>
              </w:rPr>
              <w:noBreakHyphen/>
            </w:r>
            <w:r w:rsidRPr="0062582F">
              <w:rPr>
                <w:b/>
              </w:rPr>
              <w:t>current investments and other financial assets</w:t>
            </w:r>
          </w:p>
        </w:tc>
        <w:tc>
          <w:tcPr>
            <w:tcW w:w="1240" w:type="dxa"/>
            <w:tcBorders>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40" w:type="dxa"/>
            <w:tcBorders>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Equities and managed investment schemes:</w:t>
            </w:r>
          </w:p>
        </w:tc>
        <w:tc>
          <w:tcPr>
            <w:tcW w:w="124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Listed securities </w:t>
            </w:r>
            <w:r w:rsidRPr="0062582F">
              <w:rPr>
                <w:vertAlign w:val="superscript"/>
              </w:rPr>
              <w:t>(iii)</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1 614</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1 492</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Unlisted securities </w:t>
            </w:r>
            <w:r w:rsidRPr="0062582F">
              <w:rPr>
                <w:vertAlign w:val="superscript"/>
              </w:rPr>
              <w:t>(iv)</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222</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538</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Managed investment schemes </w:t>
            </w:r>
            <w:r w:rsidRPr="0062582F">
              <w:rPr>
                <w:vertAlign w:val="superscript"/>
              </w:rPr>
              <w:t>(iii)</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229</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2 149</w:t>
            </w:r>
          </w:p>
        </w:tc>
      </w:tr>
      <w:tr w:rsidR="004843DB" w:rsidRPr="0062582F" w:rsidTr="004843DB">
        <w:trPr>
          <w:cantSplit/>
        </w:trPr>
        <w:tc>
          <w:tcPr>
            <w:tcW w:w="5623"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2 065</w:t>
            </w:r>
          </w:p>
        </w:tc>
        <w:tc>
          <w:tcPr>
            <w:tcW w:w="12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4 179</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Debt securities: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Five year government bonds at fair value through profit or loss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3 823</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2 409</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Five year government bonds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455</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2 195</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Ten year government bonds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1 880</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1 880</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Debentures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1 300</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192</w:t>
            </w:r>
          </w:p>
        </w:tc>
      </w:tr>
      <w:tr w:rsidR="004843DB" w:rsidRPr="0062582F" w:rsidTr="004843DB">
        <w:trPr>
          <w:cantSplit/>
        </w:trPr>
        <w:tc>
          <w:tcPr>
            <w:tcW w:w="5623"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7 458</w:t>
            </w:r>
          </w:p>
        </w:tc>
        <w:tc>
          <w:tcPr>
            <w:tcW w:w="12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6 676</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Term deposits:</w:t>
            </w:r>
            <w:r w:rsidRPr="0062582F">
              <w:rPr>
                <w:vertAlign w:val="superscript"/>
              </w:rPr>
              <w:t xml:space="preserve"> (i)</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Australian dollar term deposits &gt; 12 months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949</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1 937</w:t>
            </w:r>
          </w:p>
        </w:tc>
      </w:tr>
      <w:tr w:rsidR="004843DB" w:rsidRPr="0062582F" w:rsidTr="004843DB">
        <w:trPr>
          <w:cantSplit/>
        </w:trPr>
        <w:tc>
          <w:tcPr>
            <w:tcW w:w="5623"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949</w:t>
            </w:r>
          </w:p>
        </w:tc>
        <w:tc>
          <w:tcPr>
            <w:tcW w:w="12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1 937</w:t>
            </w:r>
          </w:p>
        </w:tc>
      </w:tr>
      <w:tr w:rsidR="004843DB" w:rsidRPr="0062582F" w:rsidTr="004843DB">
        <w:trPr>
          <w:cantSplit/>
        </w:trPr>
        <w:tc>
          <w:tcPr>
            <w:tcW w:w="562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non</w:t>
            </w:r>
            <w:r w:rsidR="005A4BB0">
              <w:rPr>
                <w:b/>
              </w:rPr>
              <w:noBreakHyphen/>
            </w:r>
            <w:r w:rsidRPr="0062582F">
              <w:rPr>
                <w:b/>
              </w:rPr>
              <w:t>current investments and other financial assets</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10 472</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12 792</w:t>
            </w:r>
          </w:p>
        </w:tc>
      </w:tr>
      <w:tr w:rsidR="004843DB" w:rsidRPr="0062582F" w:rsidTr="004843DB">
        <w:trPr>
          <w:cantSplit/>
        </w:trPr>
        <w:tc>
          <w:tcPr>
            <w:tcW w:w="562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investments and other financial assets</w:t>
            </w:r>
          </w:p>
        </w:tc>
        <w:tc>
          <w:tcPr>
            <w:tcW w:w="124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13 976</w:t>
            </w:r>
          </w:p>
        </w:tc>
        <w:tc>
          <w:tcPr>
            <w:tcW w:w="12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16 731</w:t>
            </w:r>
          </w:p>
        </w:tc>
      </w:tr>
    </w:tbl>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s"/>
      </w:pPr>
      <w:r w:rsidRPr="0062582F">
        <w:br w:type="column"/>
        <w:t>Notes:</w:t>
      </w:r>
    </w:p>
    <w:p w:rsidR="004843DB" w:rsidRPr="0062582F" w:rsidRDefault="004843DB" w:rsidP="004843DB">
      <w:pPr>
        <w:pStyle w:val="Notes"/>
      </w:pPr>
      <w:r w:rsidRPr="0062582F">
        <w:t>(i)</w:t>
      </w:r>
      <w:r w:rsidRPr="0062582F">
        <w:tab/>
        <w:t xml:space="preserve">Term deposits under </w:t>
      </w:r>
      <w:r w:rsidR="005A4BB0">
        <w:t>‘</w:t>
      </w:r>
      <w:r w:rsidRPr="0062582F">
        <w:t>investments and other financial assets</w:t>
      </w:r>
      <w:r w:rsidR="005A4BB0">
        <w:t>’</w:t>
      </w:r>
      <w:r w:rsidRPr="0062582F">
        <w:t xml:space="preserve"> class include only term deposits with maturity greater than 90 days.</w:t>
      </w:r>
    </w:p>
    <w:p w:rsidR="004843DB" w:rsidRPr="0062582F" w:rsidRDefault="004843DB" w:rsidP="004843DB">
      <w:pPr>
        <w:pStyle w:val="Notes"/>
      </w:pPr>
      <w:r w:rsidRPr="0062582F">
        <w:t>(ii)</w:t>
      </w:r>
      <w:r w:rsidRPr="0062582F">
        <w:tab/>
        <w:t>These are debt securities that are maturing within the next 12 months.</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s"/>
      </w:pPr>
      <w:r w:rsidRPr="0062582F">
        <w:br w:type="column"/>
        <w:t>(iii)</w:t>
      </w:r>
      <w:r w:rsidRPr="0062582F">
        <w:tab/>
        <w:t>The Department designated all its equities and managed investment schemes at fair value through profit or loss. Unless such assets are part of a disposal group held for sale, all equities and managed investment schemes are classified as non</w:t>
      </w:r>
      <w:r w:rsidR="005A4BB0">
        <w:noBreakHyphen/>
      </w:r>
      <w:r w:rsidRPr="0062582F">
        <w:t xml:space="preserve">current. </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rPr>
          <w:lang w:val="en-AU"/>
        </w:rPr>
      </w:pPr>
    </w:p>
    <w:p w:rsidR="004843DB" w:rsidRPr="0062582F" w:rsidRDefault="004843DB" w:rsidP="004843DB">
      <w:pPr>
        <w:pStyle w:val="Notes"/>
      </w:pPr>
      <w:r w:rsidRPr="0062582F">
        <w:br w:type="column"/>
        <w:t>(iv)</w:t>
      </w:r>
      <w:r w:rsidRPr="0062582F">
        <w:tab/>
        <w:t>Unlisted securities include shares in Entity ABC which were gifted to the Department under the Davey Bequest that can only be sold to fund projects for the development of new technology.</w:t>
      </w:r>
    </w:p>
    <w:p w:rsidR="004843DB" w:rsidRPr="0062582F" w:rsidRDefault="004843DB" w:rsidP="004843DB"/>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80"/>
        <w:rPr>
          <w:lang w:val="en-AU"/>
        </w:rPr>
      </w:pPr>
      <w:r w:rsidRPr="0062582F">
        <w:rPr>
          <w:lang w:val="en-AU"/>
        </w:rPr>
        <w:t>AASB 7.37(a)</w:t>
      </w:r>
    </w:p>
    <w:p w:rsidR="004843DB" w:rsidRPr="0062582F" w:rsidRDefault="004843DB" w:rsidP="004843DB">
      <w:pPr>
        <w:pStyle w:val="Heading5"/>
      </w:pPr>
      <w:r w:rsidRPr="0062582F">
        <w:br w:type="column"/>
        <w:t>(a)</w:t>
      </w:r>
      <w:r w:rsidRPr="0062582F">
        <w:tab/>
        <w:t>Ageing analysis of investments and other financial assets</w:t>
      </w:r>
    </w:p>
    <w:p w:rsidR="004843DB" w:rsidRPr="0062582F" w:rsidRDefault="004843DB" w:rsidP="004843DB">
      <w:pPr>
        <w:pStyle w:val="NormalIndent2"/>
      </w:pPr>
      <w:r w:rsidRPr="0062582F">
        <w:t>Please refer to Table 33.4 in Note 33 for the ageing analysis of investments and other financial assets.</w:t>
      </w:r>
    </w:p>
    <w:p w:rsidR="004843DB" w:rsidRPr="0062582F" w:rsidRDefault="004843DB" w:rsidP="004843DB">
      <w:pPr>
        <w:pStyle w:val="SmallLine"/>
      </w:pP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80"/>
      </w:pPr>
      <w:r w:rsidRPr="0062582F">
        <w:rPr>
          <w:lang w:val="en-AU"/>
        </w:rPr>
        <w:t>AASB 7.31</w:t>
      </w:r>
    </w:p>
    <w:p w:rsidR="004843DB" w:rsidRPr="0062582F" w:rsidRDefault="004843DB" w:rsidP="004843DB">
      <w:pPr>
        <w:pStyle w:val="Heading5"/>
      </w:pPr>
      <w:r w:rsidRPr="0062582F">
        <w:br w:type="column"/>
        <w:t>(b)</w:t>
      </w:r>
      <w:r w:rsidRPr="0062582F">
        <w:tab/>
        <w:t>Nature and extent of risk arising from investments and other financial assets</w:t>
      </w:r>
    </w:p>
    <w:p w:rsidR="004843DB" w:rsidRPr="0062582F" w:rsidRDefault="004843DB" w:rsidP="004843DB">
      <w:pPr>
        <w:pStyle w:val="NormalIndent2"/>
      </w:pPr>
      <w:r w:rsidRPr="0062582F">
        <w:t>Please refer to Note 33 for the nature and extent of risks arising from investments and other financial assets.</w:t>
      </w:r>
    </w:p>
    <w:p w:rsidR="004843DB" w:rsidRPr="0062582F" w:rsidRDefault="004843DB" w:rsidP="004843DB">
      <w:pPr>
        <w:pStyle w:val="NormalIndent2"/>
      </w:pPr>
    </w:p>
    <w:p w:rsidR="004843DB" w:rsidRPr="0062582F" w:rsidRDefault="004843DB" w:rsidP="004843DB">
      <w:pPr>
        <w:pStyle w:val="Referenc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br w:type="column"/>
      </w: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Commentary – Investments and other financial assets</w:t>
      </w:r>
    </w:p>
    <w:p w:rsidR="004843DB" w:rsidRPr="0062582F" w:rsidRDefault="004843DB" w:rsidP="004843DB">
      <w:pPr>
        <w:pStyle w:val="SmallLineBlue"/>
        <w:pBdr>
          <w:bottom w:val="none" w:sz="0" w:space="0" w:color="auto"/>
        </w:pBdr>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CommentaryHeading1"/>
        <w:pBdr>
          <w:top w:val="none" w:sz="0" w:space="0" w:color="auto"/>
          <w:bottom w:val="none" w:sz="0" w:space="0" w:color="auto"/>
        </w:pBdr>
      </w:pPr>
      <w:r w:rsidRPr="0062582F">
        <w:br w:type="column"/>
        <w:t>Restricted assets</w:t>
      </w:r>
    </w:p>
    <w:p w:rsidR="004843DB" w:rsidRPr="0062582F" w:rsidRDefault="004843DB" w:rsidP="004843DB">
      <w:pPr>
        <w:pStyle w:val="CommentaryText"/>
        <w:pBdr>
          <w:top w:val="none" w:sz="0" w:space="0" w:color="auto"/>
          <w:bottom w:val="none" w:sz="0" w:space="0" w:color="auto"/>
        </w:pBdr>
      </w:pPr>
      <w:r w:rsidRPr="0062582F">
        <w:t>Where the use of an asset which is recognised in the balance sheet of a government department is restricted, wholly or in part, by regulations or other externally imposed requirements, and information about those restrictions is relevant to assessing the performance or financial position of the government department, the following must be disclosed:</w:t>
      </w:r>
    </w:p>
    <w:p w:rsidR="004843DB" w:rsidRPr="0062582F" w:rsidRDefault="004843DB" w:rsidP="004843DB">
      <w:pPr>
        <w:pStyle w:val="CommentaryTextIndent"/>
        <w:pBdr>
          <w:top w:val="none" w:sz="0" w:space="0" w:color="auto"/>
          <w:bottom w:val="none" w:sz="0" w:space="0" w:color="auto"/>
        </w:pBdr>
      </w:pPr>
      <w:r w:rsidRPr="0062582F">
        <w:t>(a)</w:t>
      </w:r>
      <w:r w:rsidRPr="0062582F">
        <w:tab/>
        <w:t>the identity and carrying amount of those assets, the use of which is restricted; and</w:t>
      </w:r>
    </w:p>
    <w:p w:rsidR="004843DB" w:rsidRPr="0062582F" w:rsidRDefault="004843DB" w:rsidP="004843DB">
      <w:pPr>
        <w:pStyle w:val="CommentaryTextIndent"/>
        <w:pBdr>
          <w:top w:val="none" w:sz="0" w:space="0" w:color="auto"/>
          <w:bottom w:val="none" w:sz="0" w:space="0" w:color="auto"/>
        </w:pBdr>
      </w:pPr>
      <w:r w:rsidRPr="0062582F">
        <w:t>(b)</w:t>
      </w:r>
      <w:r w:rsidRPr="0062582F">
        <w:tab/>
        <w:t>the nature of those restrictions.</w:t>
      </w:r>
    </w:p>
    <w:p w:rsidR="004843DB" w:rsidRPr="0062582F" w:rsidRDefault="004843DB" w:rsidP="004843DB">
      <w:pPr>
        <w:pStyle w:val="CommentaryHeading1"/>
        <w:pBdr>
          <w:top w:val="none" w:sz="0" w:space="0" w:color="auto"/>
        </w:pBdr>
        <w:rPr>
          <w:i/>
          <w:iCs/>
        </w:rPr>
      </w:pPr>
      <w:r w:rsidRPr="0062582F">
        <w:t>Derecognition of financial assets</w:t>
      </w:r>
    </w:p>
    <w:p w:rsidR="004843DB" w:rsidRPr="0062582F" w:rsidRDefault="004843DB" w:rsidP="004843DB">
      <w:pPr>
        <w:pStyle w:val="CommentaryText"/>
        <w:pBdr>
          <w:top w:val="none" w:sz="0" w:space="0" w:color="auto"/>
        </w:pBdr>
      </w:pPr>
      <w:r w:rsidRPr="0062582F">
        <w:t>Please refer to guidance provided in Note 27 commentary for derecognition of financial assets.</w:t>
      </w:r>
    </w:p>
    <w:p w:rsidR="004843DB" w:rsidRPr="0062582F" w:rsidRDefault="004843DB" w:rsidP="004843DB"/>
    <w:p w:rsidR="004843DB" w:rsidRPr="0062582F" w:rsidRDefault="004843DB" w:rsidP="004843DB">
      <w:pPr>
        <w:pStyle w:val="NoteHeading"/>
      </w:pPr>
      <w:bookmarkStart w:id="426" w:name="_Toc332019471"/>
      <w:bookmarkStart w:id="427" w:name="_Toc366843359"/>
      <w:bookmarkStart w:id="428" w:name="_Toc448157192"/>
      <w:r w:rsidRPr="0062582F">
        <w:t>Note 13.</w:t>
      </w:r>
      <w:r w:rsidRPr="0062582F">
        <w:tab/>
        <w:t xml:space="preserve">Investments </w:t>
      </w:r>
      <w:bookmarkEnd w:id="426"/>
      <w:bookmarkEnd w:id="427"/>
      <w:r w:rsidRPr="0062582F">
        <w:t>accounted for using the equity method</w:t>
      </w:r>
      <w:bookmarkEnd w:id="428"/>
    </w:p>
    <w:p w:rsidR="004843DB" w:rsidRPr="0062582F" w:rsidRDefault="004843DB" w:rsidP="004843DB">
      <w:pPr>
        <w:pStyle w:val="Heading4"/>
        <w:sectPr w:rsidR="004843DB" w:rsidRPr="0062582F" w:rsidSect="00190A01">
          <w:headerReference w:type="even" r:id="rId271"/>
          <w:headerReference w:type="default" r:id="rId272"/>
          <w:headerReference w:type="first" r:id="rId273"/>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80"/>
      </w:pPr>
      <w:r w:rsidRPr="0062582F">
        <w:t>AASB 12.21(a)</w:t>
      </w:r>
    </w:p>
    <w:p w:rsidR="004843DB" w:rsidRPr="0062582F" w:rsidRDefault="004843DB" w:rsidP="004843DB">
      <w:pPr>
        <w:pStyle w:val="Reference"/>
      </w:pPr>
      <w:r w:rsidRPr="0062582F">
        <w:br w:type="column"/>
      </w:r>
      <w:r w:rsidRPr="0062582F">
        <w:rPr>
          <w:rFonts w:ascii="Garamond" w:hAnsi="Garamond" w:cs="Tahoma"/>
          <w:color w:val="auto"/>
          <w:sz w:val="22"/>
          <w:szCs w:val="22"/>
          <w:lang w:val="en-AU"/>
        </w:rPr>
        <w:t>The Department has an investment in an associate entity, New Technology Ltd as at 30 June 2016, which is one of the Department</w:t>
      </w:r>
      <w:r w:rsidR="005A4BB0">
        <w:rPr>
          <w:rFonts w:ascii="Garamond" w:hAnsi="Garamond" w:cs="Tahoma"/>
          <w:color w:val="auto"/>
          <w:sz w:val="22"/>
          <w:szCs w:val="22"/>
          <w:lang w:val="en-AU"/>
        </w:rPr>
        <w:t>’</w:t>
      </w:r>
      <w:r w:rsidRPr="0062582F">
        <w:rPr>
          <w:rFonts w:ascii="Garamond" w:hAnsi="Garamond" w:cs="Tahoma"/>
          <w:color w:val="auto"/>
          <w:sz w:val="22"/>
          <w:szCs w:val="22"/>
          <w:lang w:val="en-AU"/>
        </w:rPr>
        <w:t>s strategic partners who specialises in developing new biological equipment in Melbourne, Victoria. The main business activities include:</w:t>
      </w:r>
      <w:r w:rsidRPr="0062582F">
        <w:rPr>
          <w:rFonts w:ascii="Garamond" w:hAnsi="Garamond" w:cs="Tahoma"/>
          <w:i/>
          <w:iCs/>
          <w:sz w:val="22"/>
          <w:szCs w:val="22"/>
        </w:rPr>
        <w:t xml:space="preserve"> [</w:t>
      </w:r>
      <w:r w:rsidRPr="0062582F">
        <w:rPr>
          <w:rFonts w:ascii="Garamond" w:hAnsi="Garamond" w:cs="Tahoma"/>
          <w:i/>
          <w:sz w:val="22"/>
          <w:szCs w:val="22"/>
        </w:rPr>
        <w:t>Insert as appropriate</w:t>
      </w:r>
      <w:r w:rsidRPr="0062582F">
        <w:rPr>
          <w:rFonts w:ascii="Garamond" w:hAnsi="Garamond" w:cs="Tahoma"/>
          <w:i/>
          <w:iCs/>
          <w:sz w:val="22"/>
          <w:szCs w:val="22"/>
        </w:rPr>
        <w:t xml:space="preserve">]. </w:t>
      </w:r>
      <w:r w:rsidRPr="0062582F">
        <w:rPr>
          <w:rFonts w:ascii="Garamond" w:hAnsi="Garamond" w:cs="Tahoma"/>
          <w:color w:val="auto"/>
          <w:sz w:val="22"/>
          <w:szCs w:val="22"/>
          <w:lang w:val="en-AU"/>
        </w:rPr>
        <w:t xml:space="preserve">New Technology Ltd is an ASX publicly listed company. Please see Table 13.1 below for detailed information relating to New Technology Ltd. </w:t>
      </w:r>
    </w:p>
    <w:p w:rsidR="004843DB" w:rsidRPr="0062582F" w:rsidRDefault="004843DB" w:rsidP="004843DB">
      <w:r w:rsidRPr="0062582F">
        <w:t xml:space="preserve">Up until 30 June 2015, the Department had a joint venture with Technology Supply Pty Ltd to provide expertise in technology supply services to the business units. The main business activities included: </w:t>
      </w:r>
      <w:r w:rsidRPr="0062582F">
        <w:rPr>
          <w:i/>
          <w:color w:val="0000FF"/>
        </w:rPr>
        <w:t>[Insert as appropriate.]</w:t>
      </w:r>
    </w:p>
    <w:p w:rsidR="004843DB" w:rsidRPr="0062582F" w:rsidRDefault="004843DB" w:rsidP="004843DB">
      <w:r w:rsidRPr="0062582F">
        <w:t xml:space="preserve">The joint venture ceased to operate effective from 1 July 2015. </w:t>
      </w:r>
      <w:r w:rsidRPr="0062582F">
        <w:rPr>
          <w:i/>
          <w:color w:val="0000FF"/>
        </w:rPr>
        <w:t>[Please note that all disclosures requirements in relation to joint ventures are applicable for both the current and the comparative periods irrespective of the fictitious discontinuation of joint venture here for 2016.]</w:t>
      </w:r>
      <w:r w:rsidRPr="0062582F">
        <w:t xml:space="preserve"> </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Reference"/>
        <w:spacing w:before="100"/>
        <w:rPr>
          <w:lang w:val="en-AU"/>
        </w:rPr>
      </w:pPr>
      <w:r w:rsidRPr="0062582F">
        <w:rPr>
          <w:lang w:val="en-AU"/>
        </w:rPr>
        <w:t>AASB 12.21(b)(i)</w:t>
      </w:r>
    </w:p>
    <w:p w:rsidR="004843DB" w:rsidRPr="0062582F" w:rsidRDefault="004843DB" w:rsidP="004843DB">
      <w:pPr>
        <w:pStyle w:val="million"/>
        <w:jc w:val="left"/>
        <w:rPr>
          <w:b/>
          <w:bCs/>
          <w:i w:val="0"/>
          <w:iCs w:val="0"/>
          <w:sz w:val="21"/>
          <w:szCs w:val="20"/>
        </w:rPr>
      </w:pPr>
    </w:p>
    <w:tbl>
      <w:tblPr>
        <w:tblpPr w:leftFromText="180" w:rightFromText="180" w:vertAnchor="text" w:horzAnchor="page" w:tblpX="2656" w:tblpY="772"/>
        <w:tblW w:w="8265" w:type="dxa"/>
        <w:tblLayout w:type="fixed"/>
        <w:tblCellMar>
          <w:left w:w="43" w:type="dxa"/>
          <w:right w:w="43" w:type="dxa"/>
        </w:tblCellMar>
        <w:tblLook w:val="04A0" w:firstRow="1" w:lastRow="0" w:firstColumn="1" w:lastColumn="0" w:noHBand="0" w:noVBand="1"/>
      </w:tblPr>
      <w:tblGrid>
        <w:gridCol w:w="2293"/>
        <w:gridCol w:w="1251"/>
        <w:gridCol w:w="9"/>
        <w:gridCol w:w="1243"/>
        <w:gridCol w:w="17"/>
        <w:gridCol w:w="882"/>
        <w:gridCol w:w="808"/>
        <w:gridCol w:w="20"/>
        <w:gridCol w:w="891"/>
        <w:gridCol w:w="851"/>
      </w:tblGrid>
      <w:tr w:rsidR="004843DB" w:rsidRPr="0062582F" w:rsidTr="004843DB">
        <w:trPr>
          <w:cantSplit/>
          <w:trHeight w:val="220"/>
        </w:trPr>
        <w:tc>
          <w:tcPr>
            <w:tcW w:w="2293" w:type="dxa"/>
            <w:tcBorders>
              <w:top w:val="single" w:sz="6" w:space="0" w:color="auto"/>
              <w:left w:val="nil"/>
              <w:right w:val="nil"/>
            </w:tcBorders>
            <w:shd w:val="clear" w:color="auto" w:fill="auto"/>
            <w:hideMark/>
          </w:tcPr>
          <w:p w:rsidR="004843DB" w:rsidRPr="0062582F" w:rsidRDefault="004843DB" w:rsidP="004843DB">
            <w:pPr>
              <w:pStyle w:val="TabletextheadingLeft"/>
              <w:spacing w:before="100" w:beforeAutospacing="1" w:after="0"/>
            </w:pPr>
            <w:r w:rsidRPr="0062582F">
              <w:br/>
              <w:t>Name of entity</w:t>
            </w:r>
          </w:p>
        </w:tc>
        <w:tc>
          <w:tcPr>
            <w:tcW w:w="1251" w:type="dxa"/>
            <w:tcBorders>
              <w:top w:val="single" w:sz="6" w:space="0" w:color="auto"/>
              <w:left w:val="nil"/>
            </w:tcBorders>
            <w:shd w:val="clear" w:color="auto" w:fill="auto"/>
            <w:noWrap/>
            <w:hideMark/>
          </w:tcPr>
          <w:p w:rsidR="004843DB" w:rsidRPr="0062582F" w:rsidRDefault="004843DB" w:rsidP="004843DB">
            <w:pPr>
              <w:pStyle w:val="TabletextheadingLeft"/>
            </w:pPr>
            <w:r w:rsidRPr="0062582F">
              <w:t>Country of incorporation</w:t>
            </w:r>
          </w:p>
        </w:tc>
        <w:tc>
          <w:tcPr>
            <w:tcW w:w="1252" w:type="dxa"/>
            <w:gridSpan w:val="2"/>
            <w:tcBorders>
              <w:top w:val="single" w:sz="6" w:space="0" w:color="auto"/>
            </w:tcBorders>
          </w:tcPr>
          <w:p w:rsidR="004843DB" w:rsidRPr="0062582F" w:rsidRDefault="004843DB" w:rsidP="004843DB">
            <w:pPr>
              <w:pStyle w:val="TabletextheadingLeft"/>
            </w:pPr>
            <w:r w:rsidRPr="0062582F">
              <w:t>Measurement method</w:t>
            </w:r>
          </w:p>
        </w:tc>
        <w:tc>
          <w:tcPr>
            <w:tcW w:w="1707" w:type="dxa"/>
            <w:gridSpan w:val="3"/>
            <w:tcBorders>
              <w:top w:val="single" w:sz="6" w:space="0" w:color="auto"/>
              <w:bottom w:val="single" w:sz="6" w:space="0" w:color="auto"/>
            </w:tcBorders>
            <w:shd w:val="clear" w:color="auto" w:fill="auto"/>
            <w:noWrap/>
            <w:hideMark/>
          </w:tcPr>
          <w:p w:rsidR="004843DB" w:rsidRPr="0062582F" w:rsidRDefault="004843DB" w:rsidP="004843DB">
            <w:pPr>
              <w:pStyle w:val="TabletextheadingCentred"/>
            </w:pPr>
            <w:r w:rsidRPr="0062582F">
              <w:br/>
              <w:t>Ownership interest</w:t>
            </w:r>
          </w:p>
        </w:tc>
        <w:tc>
          <w:tcPr>
            <w:tcW w:w="1762" w:type="dxa"/>
            <w:gridSpan w:val="3"/>
            <w:tcBorders>
              <w:top w:val="single" w:sz="6" w:space="0" w:color="auto"/>
              <w:bottom w:val="single" w:sz="6" w:space="0" w:color="auto"/>
            </w:tcBorders>
            <w:shd w:val="clear" w:color="auto" w:fill="auto"/>
            <w:noWrap/>
            <w:hideMark/>
          </w:tcPr>
          <w:p w:rsidR="004843DB" w:rsidRPr="0062582F" w:rsidRDefault="004843DB" w:rsidP="004843DB">
            <w:pPr>
              <w:pStyle w:val="TabletextheadingCentred"/>
            </w:pPr>
            <w:r w:rsidRPr="0062582F">
              <w:br/>
              <w:t xml:space="preserve">Published fair value </w:t>
            </w:r>
          </w:p>
        </w:tc>
      </w:tr>
      <w:tr w:rsidR="004843DB" w:rsidRPr="0062582F" w:rsidTr="004843DB">
        <w:trPr>
          <w:cantSplit/>
          <w:trHeight w:val="220"/>
        </w:trPr>
        <w:tc>
          <w:tcPr>
            <w:tcW w:w="2293" w:type="dxa"/>
            <w:tcBorders>
              <w:left w:val="nil"/>
              <w:bottom w:val="single" w:sz="6" w:space="0" w:color="auto"/>
              <w:right w:val="nil"/>
            </w:tcBorders>
            <w:shd w:val="clear" w:color="auto" w:fill="auto"/>
            <w:hideMark/>
          </w:tcPr>
          <w:p w:rsidR="004843DB" w:rsidRPr="0062582F" w:rsidRDefault="004843DB" w:rsidP="004843DB">
            <w:pPr>
              <w:pStyle w:val="Tabletext"/>
              <w:spacing w:before="100" w:beforeAutospacing="1" w:after="0"/>
            </w:pPr>
            <w:r w:rsidRPr="0062582F">
              <w:t xml:space="preserve"> </w:t>
            </w:r>
          </w:p>
        </w:tc>
        <w:tc>
          <w:tcPr>
            <w:tcW w:w="1260" w:type="dxa"/>
            <w:gridSpan w:val="2"/>
            <w:tcBorders>
              <w:left w:val="nil"/>
              <w:bottom w:val="single" w:sz="6" w:space="0" w:color="auto"/>
              <w:right w:val="nil"/>
            </w:tcBorders>
            <w:shd w:val="clear" w:color="auto" w:fill="auto"/>
            <w:noWrap/>
            <w:hideMark/>
          </w:tcPr>
          <w:p w:rsidR="004843DB" w:rsidRPr="0062582F" w:rsidRDefault="004843DB" w:rsidP="004843DB">
            <w:pPr>
              <w:pStyle w:val="Tabletext"/>
              <w:spacing w:before="100" w:beforeAutospacing="1" w:after="0"/>
            </w:pPr>
          </w:p>
        </w:tc>
        <w:tc>
          <w:tcPr>
            <w:tcW w:w="1260" w:type="dxa"/>
            <w:gridSpan w:val="2"/>
            <w:tcBorders>
              <w:left w:val="nil"/>
              <w:bottom w:val="single" w:sz="6" w:space="0" w:color="auto"/>
              <w:right w:val="nil"/>
            </w:tcBorders>
          </w:tcPr>
          <w:p w:rsidR="004843DB" w:rsidRPr="0062582F" w:rsidDel="000C6415" w:rsidRDefault="004843DB" w:rsidP="004843DB">
            <w:pPr>
              <w:pStyle w:val="Tabletextheading"/>
              <w:spacing w:before="100" w:beforeAutospacing="1" w:after="0"/>
            </w:pPr>
          </w:p>
        </w:tc>
        <w:tc>
          <w:tcPr>
            <w:tcW w:w="882"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textheading"/>
            </w:pPr>
            <w:r w:rsidRPr="0062582F">
              <w:t>2016 (%)</w:t>
            </w:r>
          </w:p>
        </w:tc>
        <w:tc>
          <w:tcPr>
            <w:tcW w:w="828"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 (%)</w:t>
            </w:r>
          </w:p>
        </w:tc>
        <w:tc>
          <w:tcPr>
            <w:tcW w:w="891"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textheading"/>
            </w:pPr>
            <w:r w:rsidRPr="0062582F">
              <w:t>2016</w:t>
            </w:r>
          </w:p>
        </w:tc>
        <w:tc>
          <w:tcPr>
            <w:tcW w:w="851"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Height w:val="220"/>
        </w:trPr>
        <w:tc>
          <w:tcPr>
            <w:tcW w:w="2293" w:type="dxa"/>
            <w:tcBorders>
              <w:top w:val="single" w:sz="6" w:space="0" w:color="auto"/>
              <w:left w:val="nil"/>
              <w:right w:val="nil"/>
            </w:tcBorders>
            <w:shd w:val="clear" w:color="auto" w:fill="auto"/>
            <w:hideMark/>
          </w:tcPr>
          <w:p w:rsidR="004843DB" w:rsidRPr="0062582F" w:rsidRDefault="004843DB" w:rsidP="004843DB">
            <w:pPr>
              <w:pStyle w:val="Tabletext"/>
              <w:rPr>
                <w:b/>
              </w:rPr>
            </w:pPr>
            <w:r w:rsidRPr="0062582F">
              <w:rPr>
                <w:b/>
              </w:rPr>
              <w:t>Associate</w:t>
            </w:r>
          </w:p>
        </w:tc>
        <w:tc>
          <w:tcPr>
            <w:tcW w:w="1260" w:type="dxa"/>
            <w:gridSpan w:val="2"/>
            <w:tcBorders>
              <w:top w:val="single" w:sz="6" w:space="0" w:color="auto"/>
              <w:left w:val="nil"/>
              <w:right w:val="nil"/>
            </w:tcBorders>
            <w:shd w:val="clear" w:color="auto" w:fill="auto"/>
            <w:noWrap/>
            <w:hideMark/>
          </w:tcPr>
          <w:p w:rsidR="004843DB" w:rsidRPr="0062582F" w:rsidRDefault="004843DB" w:rsidP="004843DB">
            <w:pPr>
              <w:pStyle w:val="Tabletext"/>
            </w:pPr>
            <w:r w:rsidRPr="0062582F">
              <w:t xml:space="preserve"> </w:t>
            </w:r>
          </w:p>
        </w:tc>
        <w:tc>
          <w:tcPr>
            <w:tcW w:w="1260" w:type="dxa"/>
            <w:gridSpan w:val="2"/>
            <w:tcBorders>
              <w:top w:val="single" w:sz="6" w:space="0" w:color="auto"/>
              <w:left w:val="nil"/>
              <w:right w:val="nil"/>
            </w:tcBorders>
          </w:tcPr>
          <w:p w:rsidR="004843DB" w:rsidRPr="0062582F" w:rsidRDefault="004843DB" w:rsidP="004843DB">
            <w:pPr>
              <w:pStyle w:val="Tabletext"/>
            </w:pPr>
          </w:p>
        </w:tc>
        <w:tc>
          <w:tcPr>
            <w:tcW w:w="882"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828" w:type="dxa"/>
            <w:gridSpan w:val="2"/>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891"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85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Height w:val="220"/>
        </w:trPr>
        <w:tc>
          <w:tcPr>
            <w:tcW w:w="2293" w:type="dxa"/>
            <w:shd w:val="clear" w:color="auto" w:fill="auto"/>
            <w:hideMark/>
          </w:tcPr>
          <w:p w:rsidR="004843DB" w:rsidRPr="0062582F" w:rsidRDefault="004843DB" w:rsidP="004843DB">
            <w:pPr>
              <w:pStyle w:val="Tabletext"/>
            </w:pPr>
            <w:r w:rsidRPr="0062582F">
              <w:t xml:space="preserve">New Technology Pty Ltd </w:t>
            </w:r>
            <w:r w:rsidRPr="0062582F">
              <w:rPr>
                <w:vertAlign w:val="superscript"/>
              </w:rPr>
              <w:t>(i)(ii)</w:t>
            </w:r>
          </w:p>
        </w:tc>
        <w:tc>
          <w:tcPr>
            <w:tcW w:w="1260" w:type="dxa"/>
            <w:gridSpan w:val="2"/>
            <w:shd w:val="clear" w:color="auto" w:fill="auto"/>
            <w:noWrap/>
            <w:hideMark/>
          </w:tcPr>
          <w:p w:rsidR="004843DB" w:rsidRPr="0062582F" w:rsidRDefault="004843DB" w:rsidP="004843DB">
            <w:pPr>
              <w:pStyle w:val="Tabletext"/>
            </w:pPr>
            <w:r w:rsidRPr="0062582F">
              <w:t>Australia</w:t>
            </w:r>
          </w:p>
        </w:tc>
        <w:tc>
          <w:tcPr>
            <w:tcW w:w="1260" w:type="dxa"/>
            <w:gridSpan w:val="2"/>
          </w:tcPr>
          <w:p w:rsidR="004843DB" w:rsidRPr="0062582F" w:rsidRDefault="004843DB" w:rsidP="004843DB">
            <w:pPr>
              <w:pStyle w:val="Tabletext"/>
              <w:rPr>
                <w:noProof w:val="0"/>
              </w:rPr>
            </w:pPr>
            <w:r w:rsidRPr="0062582F">
              <w:t>Equity method</w:t>
            </w:r>
          </w:p>
        </w:tc>
        <w:tc>
          <w:tcPr>
            <w:tcW w:w="882"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35</w:t>
            </w:r>
          </w:p>
        </w:tc>
        <w:tc>
          <w:tcPr>
            <w:tcW w:w="828" w:type="dxa"/>
            <w:gridSpan w:val="2"/>
            <w:tcBorders>
              <w:top w:val="nil"/>
              <w:left w:val="nil"/>
              <w:bottom w:val="nil"/>
              <w:right w:val="nil"/>
            </w:tcBorders>
            <w:shd w:val="clear" w:color="auto" w:fill="auto"/>
            <w:noWrap/>
            <w:hideMark/>
          </w:tcPr>
          <w:p w:rsidR="004843DB" w:rsidRPr="0062582F" w:rsidRDefault="004843DB" w:rsidP="004843DB">
            <w:pPr>
              <w:pStyle w:val="TableofFigures"/>
            </w:pPr>
            <w:r w:rsidRPr="0062582F">
              <w:t>35</w:t>
            </w:r>
          </w:p>
        </w:tc>
        <w:tc>
          <w:tcPr>
            <w:tcW w:w="891"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6 566</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5 351</w:t>
            </w:r>
          </w:p>
        </w:tc>
      </w:tr>
      <w:tr w:rsidR="004843DB" w:rsidRPr="0062582F" w:rsidTr="004843DB">
        <w:trPr>
          <w:cantSplit/>
          <w:trHeight w:val="220"/>
        </w:trPr>
        <w:tc>
          <w:tcPr>
            <w:tcW w:w="2293" w:type="dxa"/>
            <w:shd w:val="clear" w:color="auto" w:fill="auto"/>
            <w:hideMark/>
          </w:tcPr>
          <w:p w:rsidR="004843DB" w:rsidRPr="0062582F" w:rsidRDefault="004843DB" w:rsidP="004843DB">
            <w:pPr>
              <w:pStyle w:val="Tabletext"/>
              <w:rPr>
                <w:b/>
              </w:rPr>
            </w:pPr>
            <w:r w:rsidRPr="0062582F">
              <w:rPr>
                <w:b/>
              </w:rPr>
              <w:t>Joint venture</w:t>
            </w:r>
          </w:p>
        </w:tc>
        <w:tc>
          <w:tcPr>
            <w:tcW w:w="1260" w:type="dxa"/>
            <w:gridSpan w:val="2"/>
            <w:shd w:val="clear" w:color="auto" w:fill="auto"/>
            <w:noWrap/>
            <w:vAlign w:val="bottom"/>
            <w:hideMark/>
          </w:tcPr>
          <w:p w:rsidR="004843DB" w:rsidRPr="0062582F" w:rsidRDefault="004843DB" w:rsidP="004843DB">
            <w:pPr>
              <w:pStyle w:val="Tabletext"/>
            </w:pPr>
          </w:p>
        </w:tc>
        <w:tc>
          <w:tcPr>
            <w:tcW w:w="1260" w:type="dxa"/>
            <w:gridSpan w:val="2"/>
          </w:tcPr>
          <w:p w:rsidR="004843DB" w:rsidRPr="0062582F" w:rsidRDefault="004843DB" w:rsidP="004843DB">
            <w:pPr>
              <w:pStyle w:val="Tabletext"/>
            </w:pPr>
          </w:p>
        </w:tc>
        <w:tc>
          <w:tcPr>
            <w:tcW w:w="882" w:type="dxa"/>
            <w:tcBorders>
              <w:top w:val="nil"/>
              <w:left w:val="nil"/>
              <w:right w:val="nil"/>
            </w:tcBorders>
            <w:shd w:val="clear" w:color="000000" w:fill="CCCCCC"/>
            <w:noWrap/>
            <w:hideMark/>
          </w:tcPr>
          <w:p w:rsidR="004843DB" w:rsidRPr="0062582F" w:rsidRDefault="004843DB" w:rsidP="004843DB">
            <w:pPr>
              <w:pStyle w:val="TableofFigures"/>
            </w:pPr>
            <w:r w:rsidRPr="0062582F">
              <w:t xml:space="preserve"> </w:t>
            </w:r>
          </w:p>
        </w:tc>
        <w:tc>
          <w:tcPr>
            <w:tcW w:w="828" w:type="dxa"/>
            <w:gridSpan w:val="2"/>
            <w:tcBorders>
              <w:top w:val="nil"/>
              <w:left w:val="nil"/>
              <w:right w:val="nil"/>
            </w:tcBorders>
            <w:shd w:val="clear" w:color="auto" w:fill="auto"/>
            <w:noWrap/>
            <w:hideMark/>
          </w:tcPr>
          <w:p w:rsidR="004843DB" w:rsidRPr="0062582F" w:rsidRDefault="004843DB" w:rsidP="004843DB">
            <w:pPr>
              <w:pStyle w:val="TableofFigures"/>
            </w:pPr>
            <w:r w:rsidRPr="0062582F">
              <w:t xml:space="preserve"> </w:t>
            </w:r>
          </w:p>
        </w:tc>
        <w:tc>
          <w:tcPr>
            <w:tcW w:w="891" w:type="dxa"/>
            <w:tcBorders>
              <w:top w:val="nil"/>
              <w:left w:val="nil"/>
              <w:right w:val="nil"/>
            </w:tcBorders>
            <w:shd w:val="clear" w:color="000000" w:fill="CCCCCC"/>
            <w:noWrap/>
            <w:hideMark/>
          </w:tcPr>
          <w:p w:rsidR="004843DB" w:rsidRPr="0062582F" w:rsidRDefault="004843DB" w:rsidP="004843DB">
            <w:pPr>
              <w:pStyle w:val="TableofFigures"/>
            </w:pPr>
            <w:r w:rsidRPr="0062582F">
              <w:t xml:space="preserve"> </w:t>
            </w:r>
          </w:p>
        </w:tc>
        <w:tc>
          <w:tcPr>
            <w:tcW w:w="851" w:type="dxa"/>
            <w:tcBorders>
              <w:top w:val="nil"/>
              <w:left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Height w:val="220"/>
        </w:trPr>
        <w:tc>
          <w:tcPr>
            <w:tcW w:w="2293" w:type="dxa"/>
            <w:tcBorders>
              <w:bottom w:val="single" w:sz="12" w:space="0" w:color="auto"/>
            </w:tcBorders>
            <w:shd w:val="clear" w:color="auto" w:fill="auto"/>
            <w:hideMark/>
          </w:tcPr>
          <w:p w:rsidR="004843DB" w:rsidRPr="0062582F" w:rsidRDefault="004843DB" w:rsidP="004843DB">
            <w:pPr>
              <w:pStyle w:val="Tabletext"/>
            </w:pPr>
            <w:r w:rsidRPr="0062582F">
              <w:t>Technology Supply Pty Ltd</w:t>
            </w:r>
          </w:p>
        </w:tc>
        <w:tc>
          <w:tcPr>
            <w:tcW w:w="1260" w:type="dxa"/>
            <w:gridSpan w:val="2"/>
            <w:tcBorders>
              <w:bottom w:val="single" w:sz="12" w:space="0" w:color="auto"/>
            </w:tcBorders>
            <w:shd w:val="clear" w:color="auto" w:fill="auto"/>
            <w:noWrap/>
            <w:hideMark/>
          </w:tcPr>
          <w:p w:rsidR="004843DB" w:rsidRPr="0062582F" w:rsidRDefault="004843DB" w:rsidP="004843DB">
            <w:pPr>
              <w:pStyle w:val="Tabletext"/>
            </w:pPr>
            <w:r w:rsidRPr="0062582F">
              <w:t>Australia</w:t>
            </w:r>
          </w:p>
        </w:tc>
        <w:tc>
          <w:tcPr>
            <w:tcW w:w="1260" w:type="dxa"/>
            <w:gridSpan w:val="2"/>
            <w:tcBorders>
              <w:bottom w:val="single" w:sz="12" w:space="0" w:color="auto"/>
            </w:tcBorders>
          </w:tcPr>
          <w:p w:rsidR="004843DB" w:rsidRPr="0062582F" w:rsidRDefault="004843DB" w:rsidP="004843DB">
            <w:pPr>
              <w:pStyle w:val="Tabletext"/>
              <w:rPr>
                <w:noProof w:val="0"/>
              </w:rPr>
            </w:pPr>
            <w:r w:rsidRPr="0062582F">
              <w:t>Equity method</w:t>
            </w:r>
          </w:p>
        </w:tc>
        <w:tc>
          <w:tcPr>
            <w:tcW w:w="882" w:type="dxa"/>
            <w:tcBorders>
              <w:top w:val="nil"/>
              <w:left w:val="nil"/>
              <w:bottom w:val="single" w:sz="12" w:space="0" w:color="auto"/>
              <w:right w:val="nil"/>
            </w:tcBorders>
            <w:shd w:val="clear" w:color="000000" w:fill="CCCCCC"/>
            <w:noWrap/>
            <w:hideMark/>
          </w:tcPr>
          <w:p w:rsidR="004843DB" w:rsidRPr="0062582F" w:rsidRDefault="004843DB" w:rsidP="004843DB">
            <w:pPr>
              <w:pStyle w:val="TableofFigures"/>
            </w:pPr>
            <w:r w:rsidRPr="0062582F">
              <w:t>..</w:t>
            </w:r>
          </w:p>
        </w:tc>
        <w:tc>
          <w:tcPr>
            <w:tcW w:w="828" w:type="dxa"/>
            <w:gridSpan w:val="2"/>
            <w:tcBorders>
              <w:top w:val="nil"/>
              <w:left w:val="nil"/>
              <w:bottom w:val="single" w:sz="12" w:space="0" w:color="auto"/>
              <w:right w:val="nil"/>
            </w:tcBorders>
            <w:shd w:val="clear" w:color="auto" w:fill="auto"/>
            <w:noWrap/>
            <w:hideMark/>
          </w:tcPr>
          <w:p w:rsidR="004843DB" w:rsidRPr="0062582F" w:rsidRDefault="004843DB" w:rsidP="004843DB">
            <w:pPr>
              <w:pStyle w:val="TableofFigures"/>
            </w:pPr>
            <w:r w:rsidRPr="0062582F">
              <w:t>25</w:t>
            </w:r>
          </w:p>
        </w:tc>
        <w:tc>
          <w:tcPr>
            <w:tcW w:w="891" w:type="dxa"/>
            <w:tcBorders>
              <w:top w:val="nil"/>
              <w:left w:val="nil"/>
              <w:bottom w:val="single" w:sz="12" w:space="0" w:color="auto"/>
              <w:right w:val="nil"/>
            </w:tcBorders>
            <w:shd w:val="clear" w:color="000000" w:fill="CCCCCC"/>
            <w:noWrap/>
            <w:hideMark/>
          </w:tcPr>
          <w:p w:rsidR="004843DB" w:rsidRPr="0062582F" w:rsidRDefault="004843DB" w:rsidP="004843DB">
            <w:pPr>
              <w:pStyle w:val="TableofFigures"/>
            </w:pPr>
            <w:r w:rsidRPr="0062582F">
              <w:t>n/a</w:t>
            </w:r>
          </w:p>
        </w:tc>
        <w:tc>
          <w:tcPr>
            <w:tcW w:w="851" w:type="dxa"/>
            <w:tcBorders>
              <w:top w:val="nil"/>
              <w:left w:val="nil"/>
              <w:bottom w:val="single" w:sz="12" w:space="0" w:color="auto"/>
              <w:right w:val="nil"/>
            </w:tcBorders>
            <w:shd w:val="clear" w:color="auto" w:fill="auto"/>
            <w:noWrap/>
            <w:hideMark/>
          </w:tcPr>
          <w:p w:rsidR="004843DB" w:rsidRPr="0062582F" w:rsidRDefault="004843DB" w:rsidP="004843DB">
            <w:pPr>
              <w:pStyle w:val="TableofFigures"/>
            </w:pPr>
            <w:r w:rsidRPr="0062582F">
              <w:t>n/a</w:t>
            </w:r>
          </w:p>
        </w:tc>
      </w:tr>
    </w:tbl>
    <w:p w:rsidR="004843DB" w:rsidRPr="0062582F" w:rsidRDefault="004843DB" w:rsidP="00E348C3">
      <w:pPr>
        <w:pStyle w:val="Tableheading"/>
      </w:pPr>
      <w:r w:rsidRPr="0062582F">
        <w:t>Table 13.1:</w:t>
      </w:r>
      <w:r w:rsidRPr="0062582F">
        <w:tab/>
        <w:t>Details of material associate and joint venture</w:t>
      </w:r>
    </w:p>
    <w:p w:rsidR="004843DB" w:rsidRPr="0062582F" w:rsidRDefault="004843DB" w:rsidP="004843DB">
      <w:pPr>
        <w:pStyle w:val="million"/>
        <w:spacing w:before="16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t>($ thousand)</w:t>
      </w:r>
    </w:p>
    <w:p w:rsidR="004843DB" w:rsidRPr="0062582F" w:rsidRDefault="004843DB" w:rsidP="004843DB">
      <w:pPr>
        <w:pStyle w:val="SmallLine"/>
      </w:pPr>
    </w:p>
    <w:p w:rsidR="004843DB" w:rsidRPr="0062582F" w:rsidRDefault="004843DB" w:rsidP="004843DB">
      <w:pPr>
        <w:pStyle w:val="SmallLine"/>
        <w:rPr>
          <w:rFonts w:ascii="Tahoma" w:hAnsi="Tahoma"/>
          <w:sz w:val="20"/>
          <w:szCs w:val="20"/>
        </w:rPr>
      </w:pPr>
    </w:p>
    <w:p w:rsidR="004843DB" w:rsidRPr="0062582F" w:rsidRDefault="004843DB" w:rsidP="004843DB">
      <w:pPr>
        <w:pStyle w:val="NotesBlu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NotesBlue"/>
        <w:keepNext/>
        <w:tabs>
          <w:tab w:val="clear" w:pos="454"/>
          <w:tab w:val="left" w:pos="0"/>
        </w:tabs>
        <w:ind w:left="0" w:firstLine="0"/>
      </w:pPr>
      <w:r w:rsidRPr="0062582F">
        <w:rPr>
          <w:rFonts w:cs="Arial Narrow"/>
          <w:i w:val="0"/>
          <w:iCs w:val="0"/>
          <w:szCs w:val="16"/>
        </w:rPr>
        <w:t>AASB 12.21 (b)(iii)</w:t>
      </w:r>
    </w:p>
    <w:p w:rsidR="004843DB" w:rsidRPr="0062582F" w:rsidRDefault="004843DB" w:rsidP="004843DB">
      <w:pPr>
        <w:pStyle w:val="Reference"/>
        <w:spacing w:before="0"/>
        <w:rPr>
          <w:rFonts w:cs="Tahoma"/>
          <w:i/>
          <w:iCs/>
          <w:color w:val="auto"/>
          <w:szCs w:val="18"/>
          <w:lang w:val="en-AU"/>
        </w:rPr>
      </w:pPr>
      <w:r w:rsidRPr="0062582F">
        <w:t>AASB 13.97</w:t>
      </w:r>
      <w:r w:rsidRPr="0062582F">
        <w:rPr>
          <w:rFonts w:cs="Tahoma"/>
          <w:color w:val="auto"/>
          <w:szCs w:val="18"/>
          <w:lang w:val="en-AU"/>
        </w:rPr>
        <w:br w:type="column"/>
      </w:r>
      <w:r w:rsidRPr="0062582F">
        <w:rPr>
          <w:rFonts w:cs="Tahoma"/>
          <w:i/>
          <w:iCs/>
          <w:color w:val="auto"/>
          <w:szCs w:val="18"/>
          <w:lang w:val="en-AU"/>
        </w:rPr>
        <w:t>Notes:</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t>(i)</w:t>
      </w:r>
      <w:r w:rsidRPr="0062582F">
        <w:tab/>
        <w:t>As at 30 June 2016, the fair value of the Department</w:t>
      </w:r>
      <w:r w:rsidR="005A4BB0">
        <w:t>’</w:t>
      </w:r>
      <w:r w:rsidRPr="0062582F">
        <w:t xml:space="preserve">s interest in New Technology Ltd was $6.6 million (30 June 2015: $5.4 million) based on the quoted market price available on the Australian Stock Exchange, which is a level 1 input in terms of AASB 13 Fair Value Measurement </w:t>
      </w:r>
      <w:r w:rsidRPr="0062582F">
        <w:rPr>
          <w:color w:val="0000FF"/>
        </w:rPr>
        <w:t>[An entity is required to disclose the fair value of the investment in associates and joint ventures accounted for using equity method, if there is a quoted market price for the investment].</w:t>
      </w:r>
    </w:p>
    <w:p w:rsidR="004843DB" w:rsidRPr="0062582F" w:rsidRDefault="004843DB" w:rsidP="004843DB">
      <w:pPr>
        <w:pStyle w:val="Reference"/>
        <w:spacing w:before="0"/>
      </w:pPr>
      <w:r w:rsidRPr="0062582F">
        <w:t>AASB12.22(b)</w:t>
      </w:r>
    </w:p>
    <w:p w:rsidR="004843DB" w:rsidRPr="0062582F" w:rsidRDefault="004843DB" w:rsidP="004843DB">
      <w:pPr>
        <w:pStyle w:val="Notes"/>
        <w:ind w:left="450" w:hanging="450"/>
      </w:pPr>
      <w:r w:rsidRPr="0062582F">
        <w:br w:type="column"/>
        <w:t>(ii)</w:t>
      </w:r>
      <w:r w:rsidRPr="0062582F">
        <w:tab/>
        <w:t>The financial year</w:t>
      </w:r>
      <w:r w:rsidR="005A4BB0">
        <w:noBreakHyphen/>
      </w:r>
      <w:r w:rsidRPr="0062582F">
        <w:t xml:space="preserve">end date of New Technology Ltd is 30 April. This was the reporting date established when that company was incorporated. For the purpose of applying the equity method of accounting, the financial statements of New Technology Ltd have been used, and appropriate adjustments have been made for the effects of significant transactions between that date and 30 June 2016. </w:t>
      </w:r>
      <w:r w:rsidRPr="0062582F">
        <w:rPr>
          <w:color w:val="0000FF"/>
        </w:rPr>
        <w:t>[This disclosure is not applicable if the financial statements of an associate or joint venture used in applying the equity method are as of a date or for a period that is different from that of the entity.]</w:t>
      </w:r>
      <w:r w:rsidRPr="0062582F">
        <w:t xml:space="preserve"> </w:t>
      </w:r>
    </w:p>
    <w:p w:rsidR="004843DB" w:rsidRPr="0062582F" w:rsidRDefault="004843DB" w:rsidP="004843DB">
      <w:pPr>
        <w:spacing w:before="0" w:line="240" w:lineRule="atLeast"/>
        <w:rPr>
          <w:rFonts w:ascii="Calibri" w:hAnsi="Calibri"/>
          <w:i/>
          <w:iCs/>
          <w:color w:val="0000FF"/>
          <w:sz w:val="16"/>
          <w:szCs w:val="18"/>
        </w:rPr>
      </w:pPr>
      <w:r w:rsidRPr="0062582F">
        <w:br w:type="page"/>
      </w:r>
    </w:p>
    <w:p w:rsidR="004843DB" w:rsidRPr="0062582F" w:rsidRDefault="004843DB" w:rsidP="004843DB">
      <w:pPr>
        <w:pStyle w:val="NotesBlue"/>
      </w:pPr>
    </w:p>
    <w:p w:rsidR="004843DB" w:rsidRPr="0062582F" w:rsidRDefault="004843DB" w:rsidP="004843DB">
      <w:pPr>
        <w:pStyle w:val="NoteHeadingcontinued"/>
        <w:rPr>
          <w:i/>
        </w:rPr>
      </w:pPr>
      <w:r w:rsidRPr="0062582F">
        <w:rPr>
          <w:rFonts w:ascii="Garamond" w:hAnsi="Garamond"/>
        </w:rPr>
        <w:br w:type="column"/>
      </w:r>
      <w:r w:rsidRPr="0062582F">
        <w:t>Note 13.</w:t>
      </w:r>
      <w:r w:rsidRPr="0062582F">
        <w:tab/>
        <w:t>Investments accounted for using the equity method</w:t>
      </w:r>
      <w:r w:rsidRPr="0062582F">
        <w:rPr>
          <w:rFonts w:ascii="Garamond" w:hAnsi="Garamond"/>
        </w:rPr>
        <w:t xml:space="preserve"> </w:t>
      </w:r>
      <w:r w:rsidRPr="0062582F">
        <w:rPr>
          <w:i/>
        </w:rPr>
        <w:t>(continued)</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ource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million"/>
        <w:spacing w:before="0"/>
        <w:jc w:val="left"/>
        <w:rPr>
          <w:rFonts w:cs="Arial Narrow"/>
          <w:i w:val="0"/>
          <w:iCs w:val="0"/>
          <w:color w:val="0000FF"/>
          <w:sz w:val="16"/>
          <w:szCs w:val="16"/>
        </w:rPr>
      </w:pPr>
    </w:p>
    <w:p w:rsidR="004843DB" w:rsidRPr="0062582F" w:rsidRDefault="004843DB" w:rsidP="004843DB">
      <w:pPr>
        <w:pStyle w:val="Reference"/>
        <w:spacing w:before="720"/>
      </w:pPr>
      <w:r w:rsidRPr="0062582F">
        <w:t>AASB 12. B12(b)(i)</w:t>
      </w:r>
    </w:p>
    <w:p w:rsidR="004843DB" w:rsidRPr="0062582F" w:rsidRDefault="004843DB" w:rsidP="004843DB">
      <w:pPr>
        <w:pStyle w:val="Reference"/>
        <w:spacing w:before="0"/>
        <w:rPr>
          <w:i/>
          <w:iCs/>
        </w:rPr>
      </w:pPr>
      <w:r w:rsidRPr="0062582F">
        <w:t>AASB 12. B12(b)(ii)</w:t>
      </w:r>
    </w:p>
    <w:p w:rsidR="004843DB" w:rsidRPr="0062582F" w:rsidRDefault="004843DB" w:rsidP="004843DB">
      <w:pPr>
        <w:pStyle w:val="Reference"/>
        <w:spacing w:before="360"/>
      </w:pPr>
      <w:r w:rsidRPr="0062582F">
        <w:t>AASB 12. B12(b)(iii)</w:t>
      </w:r>
    </w:p>
    <w:p w:rsidR="004843DB" w:rsidRPr="0062582F" w:rsidRDefault="004843DB" w:rsidP="004843DB">
      <w:pPr>
        <w:pStyle w:val="Reference"/>
        <w:spacing w:before="0"/>
      </w:pPr>
      <w:r w:rsidRPr="0062582F">
        <w:t>AASB 12. B12(b)(iv)</w:t>
      </w:r>
    </w:p>
    <w:p w:rsidR="004843DB" w:rsidRPr="0062582F" w:rsidRDefault="004843DB" w:rsidP="004843DB">
      <w:pPr>
        <w:pStyle w:val="million"/>
        <w:spacing w:before="0"/>
        <w:jc w:val="left"/>
        <w:rPr>
          <w:rFonts w:cs="Arial Narrow"/>
          <w:i w:val="0"/>
          <w:iCs w:val="0"/>
          <w:color w:val="0000FF"/>
          <w:sz w:val="16"/>
          <w:szCs w:val="16"/>
        </w:rPr>
      </w:pPr>
    </w:p>
    <w:p w:rsidR="004843DB" w:rsidRPr="0062582F" w:rsidRDefault="004843DB" w:rsidP="004843DB">
      <w:pPr>
        <w:pStyle w:val="million"/>
        <w:spacing w:before="0"/>
        <w:jc w:val="left"/>
        <w:rPr>
          <w:rFonts w:cs="Arial Narrow"/>
          <w:i w:val="0"/>
          <w:iCs w:val="0"/>
          <w:color w:val="0000FF"/>
          <w:sz w:val="16"/>
          <w:szCs w:val="16"/>
        </w:rPr>
      </w:pPr>
    </w:p>
    <w:p w:rsidR="004843DB" w:rsidRPr="0062582F" w:rsidRDefault="004843DB" w:rsidP="004843DB">
      <w:pPr>
        <w:pStyle w:val="million"/>
        <w:spacing w:before="0"/>
        <w:jc w:val="left"/>
        <w:rPr>
          <w:rFonts w:cs="Arial Narrow"/>
          <w:i w:val="0"/>
          <w:iCs w:val="0"/>
          <w:color w:val="0000FF"/>
          <w:sz w:val="16"/>
          <w:szCs w:val="16"/>
        </w:rPr>
      </w:pPr>
    </w:p>
    <w:p w:rsidR="004843DB" w:rsidRPr="0062582F" w:rsidRDefault="004843DB" w:rsidP="004843DB">
      <w:pPr>
        <w:pStyle w:val="million"/>
        <w:spacing w:before="0"/>
        <w:jc w:val="left"/>
        <w:rPr>
          <w:rFonts w:cs="Arial Narrow"/>
          <w:i w:val="0"/>
          <w:iCs w:val="0"/>
          <w:color w:val="0000FF"/>
          <w:sz w:val="16"/>
          <w:szCs w:val="16"/>
        </w:rPr>
      </w:pPr>
    </w:p>
    <w:p w:rsidR="004843DB" w:rsidRPr="0062582F" w:rsidRDefault="004843DB" w:rsidP="004843DB">
      <w:pPr>
        <w:pStyle w:val="million"/>
        <w:spacing w:before="0"/>
        <w:jc w:val="left"/>
        <w:rPr>
          <w:rFonts w:cs="Arial Narrow"/>
          <w:i w:val="0"/>
          <w:iCs w:val="0"/>
          <w:color w:val="0000FF"/>
          <w:sz w:val="16"/>
          <w:szCs w:val="16"/>
        </w:rPr>
      </w:pPr>
    </w:p>
    <w:p w:rsidR="004843DB" w:rsidRPr="0062582F" w:rsidRDefault="004843DB" w:rsidP="004843DB">
      <w:pPr>
        <w:pStyle w:val="Reference"/>
        <w:spacing w:before="120"/>
      </w:pPr>
      <w:r w:rsidRPr="0062582F">
        <w:t>AASB 12. B12(b)(v)</w:t>
      </w:r>
    </w:p>
    <w:p w:rsidR="004843DB" w:rsidRPr="0062582F" w:rsidRDefault="004843DB" w:rsidP="004843DB">
      <w:pPr>
        <w:pStyle w:val="Reference"/>
        <w:spacing w:before="100"/>
      </w:pPr>
      <w:r w:rsidRPr="0062582F">
        <w:t>AASB 12. B12(b)(vi)</w:t>
      </w:r>
    </w:p>
    <w:p w:rsidR="004843DB" w:rsidRPr="0062582F" w:rsidRDefault="004843DB" w:rsidP="004843DB">
      <w:pPr>
        <w:pStyle w:val="Reference"/>
        <w:spacing w:before="0"/>
      </w:pPr>
      <w:r w:rsidRPr="0062582F">
        <w:t>AASB 12. B12(b)(vii)</w:t>
      </w:r>
    </w:p>
    <w:p w:rsidR="004843DB" w:rsidRPr="0062582F" w:rsidRDefault="004843DB" w:rsidP="004843DB">
      <w:pPr>
        <w:pStyle w:val="Reference"/>
        <w:spacing w:before="320"/>
      </w:pPr>
      <w:r w:rsidRPr="0062582F">
        <w:t>AASB 12. B12(b)(viii)</w:t>
      </w:r>
    </w:p>
    <w:p w:rsidR="004843DB" w:rsidRPr="0062582F" w:rsidRDefault="004843DB" w:rsidP="004843DB">
      <w:pPr>
        <w:pStyle w:val="million"/>
        <w:spacing w:before="0"/>
        <w:jc w:val="left"/>
        <w:rPr>
          <w:rFonts w:ascii="Garamond" w:hAnsi="Garamond" w:cs="Tahoma"/>
          <w:i w:val="0"/>
          <w:iCs w:val="0"/>
          <w:sz w:val="22"/>
          <w:szCs w:val="22"/>
        </w:rPr>
      </w:pPr>
      <w:r w:rsidRPr="0062582F">
        <w:rPr>
          <w:rFonts w:cs="Arial Narrow"/>
          <w:i w:val="0"/>
          <w:iCs w:val="0"/>
          <w:color w:val="0000FF"/>
          <w:sz w:val="16"/>
          <w:szCs w:val="16"/>
          <w:lang w:val="en-GB"/>
        </w:rPr>
        <w:t>AASB 12. B12(b)(ix)</w:t>
      </w:r>
      <w:r w:rsidRPr="0062582F">
        <w:rPr>
          <w:rFonts w:cs="Arial Narrow"/>
          <w:i w:val="0"/>
          <w:iCs w:val="0"/>
          <w:color w:val="0000FF"/>
          <w:sz w:val="16"/>
          <w:szCs w:val="16"/>
          <w:lang w:val="en-GB"/>
        </w:rPr>
        <w:br w:type="column"/>
      </w:r>
      <w:r w:rsidRPr="0062582F">
        <w:rPr>
          <w:rFonts w:ascii="Garamond" w:hAnsi="Garamond" w:cs="Tahoma"/>
          <w:i w:val="0"/>
          <w:iCs w:val="0"/>
          <w:sz w:val="22"/>
          <w:szCs w:val="22"/>
        </w:rPr>
        <w:t>Summarised financial information in respect of the Department</w:t>
      </w:r>
      <w:r w:rsidR="005A4BB0">
        <w:rPr>
          <w:rFonts w:ascii="Garamond" w:hAnsi="Garamond" w:cs="Tahoma"/>
          <w:i w:val="0"/>
          <w:iCs w:val="0"/>
          <w:sz w:val="22"/>
          <w:szCs w:val="22"/>
        </w:rPr>
        <w:t>’</w:t>
      </w:r>
      <w:r w:rsidRPr="0062582F">
        <w:rPr>
          <w:rFonts w:ascii="Garamond" w:hAnsi="Garamond" w:cs="Tahoma"/>
          <w:i w:val="0"/>
          <w:iCs w:val="0"/>
          <w:sz w:val="22"/>
          <w:szCs w:val="22"/>
        </w:rPr>
        <w:t>s material associate and joint venture is set out below. The summarised financial information below represents amounts shown in the associate</w:t>
      </w:r>
      <w:r w:rsidR="005A4BB0">
        <w:rPr>
          <w:rFonts w:ascii="Garamond" w:hAnsi="Garamond" w:cs="Tahoma"/>
          <w:i w:val="0"/>
          <w:iCs w:val="0"/>
          <w:sz w:val="22"/>
          <w:szCs w:val="22"/>
        </w:rPr>
        <w:t>’</w:t>
      </w:r>
      <w:r w:rsidRPr="0062582F">
        <w:rPr>
          <w:rFonts w:ascii="Garamond" w:hAnsi="Garamond" w:cs="Tahoma"/>
          <w:i w:val="0"/>
          <w:iCs w:val="0"/>
          <w:sz w:val="22"/>
          <w:szCs w:val="22"/>
        </w:rPr>
        <w:t>s financial statements prepared in accordance with AASBs, adjusted by the Department for equity accounting purposes.</w:t>
      </w:r>
    </w:p>
    <w:p w:rsidR="004843DB" w:rsidRPr="0062582F" w:rsidRDefault="004843DB" w:rsidP="00E348C3">
      <w:pPr>
        <w:pStyle w:val="Tableheading"/>
      </w:pPr>
      <w:r w:rsidRPr="0062582F">
        <w:t>Table 13.2:</w:t>
      </w:r>
      <w:r w:rsidRPr="0062582F">
        <w:tab/>
        <w:t>Summarised financial information for the associate</w:t>
      </w:r>
    </w:p>
    <w:p w:rsidR="004843DB" w:rsidRPr="0062582F" w:rsidRDefault="004843DB" w:rsidP="004843DB">
      <w:pPr>
        <w:pStyle w:val="million"/>
        <w:rPr>
          <w:rFonts w:ascii="Tahoma" w:hAnsi="Tahoma" w:cs="Tahoma"/>
          <w:sz w:val="20"/>
        </w:rPr>
      </w:pPr>
      <w:r w:rsidRPr="0062582F">
        <w:t>($ thousand)</w:t>
      </w:r>
    </w:p>
    <w:tbl>
      <w:tblPr>
        <w:tblW w:w="8200" w:type="dxa"/>
        <w:tblLayout w:type="fixed"/>
        <w:tblCellMar>
          <w:left w:w="43" w:type="dxa"/>
          <w:right w:w="43" w:type="dxa"/>
        </w:tblCellMar>
        <w:tblLook w:val="04A0" w:firstRow="1" w:lastRow="0" w:firstColumn="1" w:lastColumn="0" w:noHBand="0" w:noVBand="1"/>
      </w:tblPr>
      <w:tblGrid>
        <w:gridCol w:w="5713"/>
        <w:gridCol w:w="1180"/>
        <w:gridCol w:w="7"/>
        <w:gridCol w:w="1293"/>
        <w:gridCol w:w="7"/>
      </w:tblGrid>
      <w:tr w:rsidR="004843DB" w:rsidRPr="0062582F" w:rsidTr="004843DB">
        <w:trPr>
          <w:cantSplit/>
          <w:trHeight w:hRule="exact" w:val="255"/>
        </w:trPr>
        <w:tc>
          <w:tcPr>
            <w:tcW w:w="57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rPr>
                <w:b/>
              </w:rPr>
              <w:t>Summarised balance sheet</w:t>
            </w:r>
          </w:p>
        </w:tc>
        <w:tc>
          <w:tcPr>
            <w:tcW w:w="1187" w:type="dxa"/>
            <w:gridSpan w:val="2"/>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300"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Height w:hRule="exact" w:val="255"/>
        </w:trPr>
        <w:tc>
          <w:tcPr>
            <w:tcW w:w="5713" w:type="dxa"/>
            <w:tcBorders>
              <w:top w:val="nil"/>
              <w:left w:val="nil"/>
              <w:bottom w:val="nil"/>
              <w:right w:val="nil"/>
            </w:tcBorders>
            <w:shd w:val="clear" w:color="auto" w:fill="auto"/>
          </w:tcPr>
          <w:p w:rsidR="004843DB" w:rsidRPr="0062582F" w:rsidRDefault="004843DB" w:rsidP="004843DB">
            <w:pPr>
              <w:pStyle w:val="Tabletext"/>
              <w:rPr>
                <w:b/>
              </w:rPr>
            </w:pPr>
            <w:r w:rsidRPr="0062582F">
              <w:t>Current assets</w:t>
            </w:r>
          </w:p>
        </w:tc>
        <w:tc>
          <w:tcPr>
            <w:tcW w:w="1187" w:type="dxa"/>
            <w:gridSpan w:val="2"/>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t>6 224</w:t>
            </w:r>
          </w:p>
        </w:tc>
        <w:tc>
          <w:tcPr>
            <w:tcW w:w="1300" w:type="dxa"/>
            <w:gridSpan w:val="2"/>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t>4 706</w:t>
            </w:r>
          </w:p>
        </w:tc>
      </w:tr>
      <w:tr w:rsidR="004843DB" w:rsidRPr="0062582F" w:rsidTr="004843DB">
        <w:trPr>
          <w:cantSplit/>
          <w:trHeight w:hRule="exact" w:val="255"/>
        </w:trPr>
        <w:tc>
          <w:tcPr>
            <w:tcW w:w="5713" w:type="dxa"/>
            <w:tcBorders>
              <w:top w:val="nil"/>
              <w:left w:val="nil"/>
              <w:bottom w:val="nil"/>
              <w:right w:val="nil"/>
            </w:tcBorders>
            <w:shd w:val="clear" w:color="auto" w:fill="auto"/>
            <w:hideMark/>
          </w:tcPr>
          <w:p w:rsidR="004843DB" w:rsidRPr="0062582F" w:rsidRDefault="004843DB" w:rsidP="004843DB">
            <w:pPr>
              <w:pStyle w:val="Tabletext"/>
              <w:tabs>
                <w:tab w:val="left" w:pos="3600"/>
              </w:tabs>
            </w:pPr>
            <w:r w:rsidRPr="0062582F">
              <w:t>Non</w:t>
            </w:r>
            <w:r w:rsidR="005A4BB0">
              <w:noBreakHyphen/>
            </w:r>
            <w:r w:rsidRPr="0062582F">
              <w:t>current assets</w:t>
            </w:r>
          </w:p>
        </w:tc>
        <w:tc>
          <w:tcPr>
            <w:tcW w:w="1187" w:type="dxa"/>
            <w:gridSpan w:val="2"/>
            <w:tcBorders>
              <w:top w:val="nil"/>
              <w:left w:val="nil"/>
              <w:bottom w:val="nil"/>
              <w:right w:val="nil"/>
            </w:tcBorders>
            <w:shd w:val="clear" w:color="00FFFF" w:fill="CCCCCC"/>
            <w:noWrap/>
            <w:hideMark/>
          </w:tcPr>
          <w:p w:rsidR="004843DB" w:rsidRPr="0062582F" w:rsidRDefault="004843DB" w:rsidP="004843DB">
            <w:pPr>
              <w:pStyle w:val="TableofFigures"/>
            </w:pPr>
            <w:r w:rsidRPr="0062582F">
              <w:t>14 524</w:t>
            </w:r>
          </w:p>
        </w:tc>
        <w:tc>
          <w:tcPr>
            <w:tcW w:w="1300" w:type="dxa"/>
            <w:gridSpan w:val="2"/>
            <w:tcBorders>
              <w:top w:val="nil"/>
              <w:left w:val="nil"/>
              <w:bottom w:val="nil"/>
              <w:right w:val="nil"/>
            </w:tcBorders>
            <w:shd w:val="clear" w:color="auto" w:fill="auto"/>
            <w:noWrap/>
            <w:hideMark/>
          </w:tcPr>
          <w:p w:rsidR="004843DB" w:rsidRPr="0062582F" w:rsidRDefault="004843DB" w:rsidP="004843DB">
            <w:pPr>
              <w:pStyle w:val="TableofFigures"/>
            </w:pPr>
            <w:r w:rsidRPr="0062582F">
              <w:t>13 043</w:t>
            </w:r>
          </w:p>
        </w:tc>
      </w:tr>
      <w:tr w:rsidR="004843DB" w:rsidRPr="0062582F" w:rsidTr="004843DB">
        <w:trPr>
          <w:cantSplit/>
          <w:trHeight w:hRule="exact" w:val="255"/>
        </w:trPr>
        <w:tc>
          <w:tcPr>
            <w:tcW w:w="57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rPr>
                <w:b/>
              </w:rPr>
              <w:t>Total assets</w:t>
            </w:r>
          </w:p>
        </w:tc>
        <w:tc>
          <w:tcPr>
            <w:tcW w:w="1187" w:type="dxa"/>
            <w:gridSpan w:val="2"/>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pPr>
            <w:r w:rsidRPr="0062582F">
              <w:rPr>
                <w:b/>
              </w:rPr>
              <w:t>20 748</w:t>
            </w:r>
          </w:p>
        </w:tc>
        <w:tc>
          <w:tcPr>
            <w:tcW w:w="1300"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noProof/>
              </w:rPr>
            </w:pPr>
            <w:r w:rsidRPr="0062582F">
              <w:rPr>
                <w:b/>
              </w:rPr>
              <w:t>17 749</w:t>
            </w:r>
          </w:p>
        </w:tc>
      </w:tr>
      <w:tr w:rsidR="004843DB" w:rsidRPr="0062582F" w:rsidTr="004843DB">
        <w:trPr>
          <w:cantSplit/>
          <w:trHeight w:hRule="exact" w:val="255"/>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t>Current liabilities</w:t>
            </w:r>
          </w:p>
        </w:tc>
        <w:tc>
          <w:tcPr>
            <w:tcW w:w="1187" w:type="dxa"/>
            <w:gridSpan w:val="2"/>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t>(1 778)</w:t>
            </w:r>
          </w:p>
        </w:tc>
        <w:tc>
          <w:tcPr>
            <w:tcW w:w="1300" w:type="dxa"/>
            <w:gridSpan w:val="2"/>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t>(1 345)</w:t>
            </w:r>
          </w:p>
        </w:tc>
      </w:tr>
      <w:tr w:rsidR="004843DB" w:rsidRPr="0062582F" w:rsidTr="004843DB">
        <w:trPr>
          <w:cantSplit/>
          <w:trHeight w:hRule="exact" w:val="255"/>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Non</w:t>
            </w:r>
            <w:r w:rsidR="005A4BB0">
              <w:noBreakHyphen/>
            </w:r>
            <w:r w:rsidRPr="0062582F">
              <w:t>current liabilities</w:t>
            </w:r>
          </w:p>
        </w:tc>
        <w:tc>
          <w:tcPr>
            <w:tcW w:w="1187" w:type="dxa"/>
            <w:gridSpan w:val="2"/>
            <w:tcBorders>
              <w:top w:val="nil"/>
              <w:left w:val="nil"/>
              <w:bottom w:val="nil"/>
              <w:right w:val="nil"/>
            </w:tcBorders>
            <w:shd w:val="clear" w:color="00FFFF" w:fill="CCCCCC"/>
            <w:noWrap/>
            <w:hideMark/>
          </w:tcPr>
          <w:p w:rsidR="004843DB" w:rsidRPr="0062582F" w:rsidRDefault="004843DB" w:rsidP="004843DB">
            <w:pPr>
              <w:pStyle w:val="TableofFigures"/>
            </w:pPr>
            <w:r w:rsidRPr="0062582F">
              <w:t>(4 150)</w:t>
            </w:r>
          </w:p>
        </w:tc>
        <w:tc>
          <w:tcPr>
            <w:tcW w:w="1300" w:type="dxa"/>
            <w:gridSpan w:val="2"/>
            <w:tcBorders>
              <w:top w:val="nil"/>
              <w:left w:val="nil"/>
              <w:bottom w:val="nil"/>
              <w:right w:val="nil"/>
            </w:tcBorders>
            <w:shd w:val="clear" w:color="auto" w:fill="auto"/>
            <w:noWrap/>
            <w:hideMark/>
          </w:tcPr>
          <w:p w:rsidR="004843DB" w:rsidRPr="0062582F" w:rsidRDefault="004843DB" w:rsidP="004843DB">
            <w:pPr>
              <w:pStyle w:val="TableofFigures"/>
            </w:pPr>
            <w:r w:rsidRPr="0062582F">
              <w:t>(3 138)</w:t>
            </w:r>
          </w:p>
        </w:tc>
      </w:tr>
      <w:tr w:rsidR="004843DB" w:rsidRPr="0062582F" w:rsidTr="004843DB">
        <w:trPr>
          <w:cantSplit/>
          <w:trHeight w:hRule="exact" w:val="255"/>
        </w:trPr>
        <w:tc>
          <w:tcPr>
            <w:tcW w:w="571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pPr>
            <w:r w:rsidRPr="0062582F">
              <w:rPr>
                <w:b/>
              </w:rPr>
              <w:t>Total liabilities</w:t>
            </w:r>
          </w:p>
        </w:tc>
        <w:tc>
          <w:tcPr>
            <w:tcW w:w="1187" w:type="dxa"/>
            <w:gridSpan w:val="2"/>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pPr>
            <w:r w:rsidRPr="0062582F">
              <w:rPr>
                <w:b/>
              </w:rPr>
              <w:t>(5 928)</w:t>
            </w:r>
          </w:p>
        </w:tc>
        <w:tc>
          <w:tcPr>
            <w:tcW w:w="1300" w:type="dxa"/>
            <w:gridSpan w:val="2"/>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pPr>
            <w:r w:rsidRPr="0062582F">
              <w:rPr>
                <w:b/>
              </w:rPr>
              <w:t>(4 483)</w:t>
            </w:r>
          </w:p>
        </w:tc>
      </w:tr>
      <w:tr w:rsidR="004843DB" w:rsidRPr="0062582F" w:rsidTr="004843DB">
        <w:trPr>
          <w:cantSplit/>
          <w:trHeight w:hRule="exact" w:val="255"/>
        </w:trPr>
        <w:tc>
          <w:tcPr>
            <w:tcW w:w="5713" w:type="dxa"/>
            <w:tcBorders>
              <w:top w:val="single" w:sz="12"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Net assets</w:t>
            </w:r>
          </w:p>
        </w:tc>
        <w:tc>
          <w:tcPr>
            <w:tcW w:w="1187" w:type="dxa"/>
            <w:gridSpan w:val="2"/>
            <w:tcBorders>
              <w:top w:val="single" w:sz="12"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14 820</w:t>
            </w:r>
          </w:p>
        </w:tc>
        <w:tc>
          <w:tcPr>
            <w:tcW w:w="1300" w:type="dxa"/>
            <w:gridSpan w:val="2"/>
            <w:tcBorders>
              <w:top w:val="single" w:sz="12"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13 266</w:t>
            </w:r>
          </w:p>
        </w:tc>
      </w:tr>
      <w:tr w:rsidR="004843DB" w:rsidRPr="0062582F" w:rsidTr="004843DB">
        <w:trPr>
          <w:cantSplit/>
          <w:trHeight w:hRule="exact" w:val="255"/>
        </w:trPr>
        <w:tc>
          <w:tcPr>
            <w:tcW w:w="5713" w:type="dxa"/>
            <w:tcBorders>
              <w:top w:val="single" w:sz="12" w:space="0" w:color="auto"/>
              <w:left w:val="nil"/>
              <w:right w:val="nil"/>
            </w:tcBorders>
            <w:shd w:val="clear" w:color="auto" w:fill="auto"/>
          </w:tcPr>
          <w:p w:rsidR="004843DB" w:rsidRPr="0062582F" w:rsidRDefault="004843DB" w:rsidP="004843DB">
            <w:pPr>
              <w:pStyle w:val="Tabletext"/>
              <w:rPr>
                <w:b/>
              </w:rPr>
            </w:pPr>
          </w:p>
        </w:tc>
        <w:tc>
          <w:tcPr>
            <w:tcW w:w="1187" w:type="dxa"/>
            <w:gridSpan w:val="2"/>
            <w:tcBorders>
              <w:top w:val="single" w:sz="12" w:space="0" w:color="auto"/>
              <w:left w:val="nil"/>
              <w:right w:val="nil"/>
            </w:tcBorders>
            <w:shd w:val="clear" w:color="auto" w:fill="auto"/>
            <w:noWrap/>
          </w:tcPr>
          <w:p w:rsidR="004843DB" w:rsidRPr="0062582F" w:rsidRDefault="004843DB" w:rsidP="004843DB">
            <w:pPr>
              <w:pStyle w:val="TableofFigures"/>
              <w:rPr>
                <w:b/>
              </w:rPr>
            </w:pPr>
          </w:p>
        </w:tc>
        <w:tc>
          <w:tcPr>
            <w:tcW w:w="1300" w:type="dxa"/>
            <w:gridSpan w:val="2"/>
            <w:tcBorders>
              <w:top w:val="single" w:sz="12" w:space="0" w:color="auto"/>
              <w:left w:val="nil"/>
              <w:right w:val="nil"/>
            </w:tcBorders>
            <w:shd w:val="clear" w:color="auto" w:fill="auto"/>
            <w:noWrap/>
          </w:tcPr>
          <w:p w:rsidR="004843DB" w:rsidRPr="0062582F" w:rsidRDefault="004843DB" w:rsidP="004843DB">
            <w:pPr>
              <w:pStyle w:val="TableofFigures"/>
              <w:rPr>
                <w:b/>
              </w:rPr>
            </w:pPr>
          </w:p>
        </w:tc>
      </w:tr>
      <w:tr w:rsidR="004843DB" w:rsidRPr="0062582F" w:rsidTr="004843DB">
        <w:trPr>
          <w:cantSplit/>
          <w:trHeight w:hRule="exact" w:val="255"/>
        </w:trPr>
        <w:tc>
          <w:tcPr>
            <w:tcW w:w="8200" w:type="dxa"/>
            <w:gridSpan w:val="5"/>
            <w:tcBorders>
              <w:left w:val="nil"/>
              <w:bottom w:val="single" w:sz="4" w:space="0" w:color="auto"/>
              <w:right w:val="nil"/>
            </w:tcBorders>
            <w:shd w:val="clear" w:color="auto" w:fill="auto"/>
            <w:hideMark/>
          </w:tcPr>
          <w:p w:rsidR="004843DB" w:rsidRPr="0062582F" w:rsidRDefault="004843DB" w:rsidP="004843DB">
            <w:pPr>
              <w:pStyle w:val="million"/>
              <w:spacing w:before="40"/>
              <w:rPr>
                <w:b/>
              </w:rPr>
            </w:pPr>
            <w:r w:rsidRPr="0062582F">
              <w:t>($ thousand)</w:t>
            </w:r>
          </w:p>
          <w:p w:rsidR="004843DB" w:rsidRPr="0062582F" w:rsidRDefault="004843DB" w:rsidP="004843DB">
            <w:pPr>
              <w:pStyle w:val="TableofFigures"/>
              <w:jc w:val="left"/>
              <w:rPr>
                <w:b/>
              </w:rPr>
            </w:pPr>
          </w:p>
          <w:p w:rsidR="004843DB" w:rsidRPr="0062582F" w:rsidRDefault="004843DB" w:rsidP="004843DB">
            <w:pPr>
              <w:pStyle w:val="TableofFigures"/>
              <w:jc w:val="left"/>
              <w:rPr>
                <w:b/>
              </w:rPr>
            </w:pPr>
          </w:p>
        </w:tc>
      </w:tr>
      <w:tr w:rsidR="004843DB" w:rsidRPr="0062582F" w:rsidTr="004843DB">
        <w:trPr>
          <w:gridAfter w:val="1"/>
          <w:wAfter w:w="7" w:type="dxa"/>
          <w:cantSplit/>
          <w:trHeight w:hRule="exact" w:val="255"/>
        </w:trPr>
        <w:tc>
          <w:tcPr>
            <w:tcW w:w="5713" w:type="dxa"/>
            <w:tcBorders>
              <w:top w:val="single" w:sz="4" w:space="0" w:color="auto"/>
              <w:left w:val="nil"/>
              <w:bottom w:val="single" w:sz="4" w:space="0" w:color="auto"/>
              <w:right w:val="nil"/>
            </w:tcBorders>
            <w:shd w:val="clear" w:color="auto" w:fill="auto"/>
          </w:tcPr>
          <w:p w:rsidR="004843DB" w:rsidRPr="0062582F" w:rsidDel="0032372F" w:rsidRDefault="004843DB" w:rsidP="004843DB">
            <w:pPr>
              <w:pStyle w:val="Tabletext"/>
              <w:rPr>
                <w:b/>
              </w:rPr>
            </w:pPr>
            <w:r w:rsidRPr="0062582F">
              <w:rPr>
                <w:b/>
              </w:rPr>
              <w:t>Summarised operating statement</w:t>
            </w:r>
          </w:p>
        </w:tc>
        <w:tc>
          <w:tcPr>
            <w:tcW w:w="1180" w:type="dxa"/>
            <w:tcBorders>
              <w:top w:val="single" w:sz="4" w:space="0" w:color="auto"/>
              <w:left w:val="nil"/>
              <w:bottom w:val="single" w:sz="4" w:space="0" w:color="auto"/>
              <w:right w:val="nil"/>
            </w:tcBorders>
            <w:shd w:val="clear" w:color="auto" w:fill="BFBFBF" w:themeFill="background1" w:themeFillShade="BF"/>
            <w:noWrap/>
          </w:tcPr>
          <w:p w:rsidR="004843DB" w:rsidRPr="0062582F" w:rsidDel="0032372F" w:rsidRDefault="004843DB" w:rsidP="004843DB">
            <w:pPr>
              <w:pStyle w:val="TableofFigures"/>
              <w:rPr>
                <w:b/>
                <w:i/>
              </w:rPr>
            </w:pPr>
            <w:r w:rsidRPr="0062582F">
              <w:rPr>
                <w:i/>
              </w:rPr>
              <w:t>2016</w:t>
            </w:r>
          </w:p>
        </w:tc>
        <w:tc>
          <w:tcPr>
            <w:tcW w:w="1300" w:type="dxa"/>
            <w:gridSpan w:val="2"/>
            <w:tcBorders>
              <w:top w:val="single" w:sz="4" w:space="0" w:color="auto"/>
              <w:left w:val="nil"/>
              <w:bottom w:val="single" w:sz="4" w:space="0" w:color="auto"/>
              <w:right w:val="nil"/>
            </w:tcBorders>
            <w:shd w:val="clear" w:color="auto" w:fill="auto"/>
            <w:noWrap/>
          </w:tcPr>
          <w:p w:rsidR="004843DB" w:rsidRPr="0062582F" w:rsidDel="0032372F" w:rsidRDefault="004843DB" w:rsidP="004843DB">
            <w:pPr>
              <w:pStyle w:val="TableofFigures"/>
              <w:rPr>
                <w:b/>
                <w:i/>
              </w:rPr>
            </w:pPr>
            <w:r w:rsidRPr="0062582F">
              <w:rPr>
                <w:i/>
              </w:rPr>
              <w:t>2015</w:t>
            </w:r>
          </w:p>
        </w:tc>
      </w:tr>
      <w:tr w:rsidR="004843DB" w:rsidRPr="0062582F" w:rsidTr="004843DB">
        <w:trPr>
          <w:gridAfter w:val="1"/>
          <w:wAfter w:w="7" w:type="dxa"/>
          <w:cantSplit/>
          <w:trHeight w:hRule="exact" w:val="255"/>
        </w:trPr>
        <w:tc>
          <w:tcPr>
            <w:tcW w:w="571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rPr>
                <w:b/>
              </w:rPr>
            </w:pPr>
            <w:r w:rsidRPr="0062582F">
              <w:t>Total income from transaction</w:t>
            </w:r>
          </w:p>
        </w:tc>
        <w:tc>
          <w:tcPr>
            <w:tcW w:w="1180" w:type="dxa"/>
            <w:tcBorders>
              <w:top w:val="single" w:sz="4" w:space="0" w:color="auto"/>
              <w:left w:val="nil"/>
              <w:bottom w:val="single" w:sz="4" w:space="0" w:color="auto"/>
              <w:right w:val="nil"/>
            </w:tcBorders>
            <w:shd w:val="clear" w:color="auto" w:fill="BFBFBF" w:themeFill="background1" w:themeFillShade="BF"/>
            <w:noWrap/>
          </w:tcPr>
          <w:p w:rsidR="004843DB" w:rsidRPr="0062582F" w:rsidRDefault="004843DB" w:rsidP="004843DB">
            <w:pPr>
              <w:pStyle w:val="TableofFigures"/>
              <w:rPr>
                <w:b/>
              </w:rPr>
            </w:pPr>
            <w:r w:rsidRPr="0062582F">
              <w:t>6 154</w:t>
            </w:r>
          </w:p>
        </w:tc>
        <w:tc>
          <w:tcPr>
            <w:tcW w:w="1300" w:type="dxa"/>
            <w:gridSpan w:val="2"/>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rPr>
                <w:b/>
              </w:rPr>
            </w:pPr>
            <w:r w:rsidRPr="0062582F">
              <w:t>3 803</w:t>
            </w:r>
          </w:p>
        </w:tc>
      </w:tr>
      <w:tr w:rsidR="004843DB" w:rsidRPr="0062582F" w:rsidTr="004843DB">
        <w:trPr>
          <w:gridAfter w:val="1"/>
          <w:wAfter w:w="7" w:type="dxa"/>
          <w:cantSplit/>
          <w:trHeight w:hRule="exact" w:val="255"/>
        </w:trPr>
        <w:tc>
          <w:tcPr>
            <w:tcW w:w="5713" w:type="dxa"/>
            <w:tcBorders>
              <w:top w:val="single" w:sz="4" w:space="0" w:color="auto"/>
              <w:left w:val="nil"/>
              <w:right w:val="nil"/>
            </w:tcBorders>
            <w:shd w:val="clear" w:color="auto" w:fill="auto"/>
          </w:tcPr>
          <w:p w:rsidR="004843DB" w:rsidRPr="0062582F" w:rsidRDefault="004843DB" w:rsidP="004843DB">
            <w:pPr>
              <w:pStyle w:val="Tabletext"/>
            </w:pPr>
            <w:r w:rsidRPr="0062582F">
              <w:t>Net result from continuing operation</w:t>
            </w:r>
          </w:p>
        </w:tc>
        <w:tc>
          <w:tcPr>
            <w:tcW w:w="1180" w:type="dxa"/>
            <w:tcBorders>
              <w:top w:val="single" w:sz="4" w:space="0" w:color="auto"/>
              <w:left w:val="nil"/>
              <w:right w:val="nil"/>
            </w:tcBorders>
            <w:shd w:val="clear" w:color="auto" w:fill="BFBFBF" w:themeFill="background1" w:themeFillShade="BF"/>
            <w:noWrap/>
          </w:tcPr>
          <w:p w:rsidR="004843DB" w:rsidRPr="0062582F" w:rsidRDefault="004843DB" w:rsidP="004843DB">
            <w:pPr>
              <w:pStyle w:val="TableofFigures"/>
            </w:pPr>
            <w:r w:rsidRPr="0062582F">
              <w:t>2 620</w:t>
            </w:r>
          </w:p>
        </w:tc>
        <w:tc>
          <w:tcPr>
            <w:tcW w:w="1300" w:type="dxa"/>
            <w:gridSpan w:val="2"/>
            <w:tcBorders>
              <w:top w:val="single" w:sz="4" w:space="0" w:color="auto"/>
              <w:left w:val="nil"/>
              <w:right w:val="nil"/>
            </w:tcBorders>
            <w:shd w:val="clear" w:color="auto" w:fill="auto"/>
            <w:noWrap/>
          </w:tcPr>
          <w:p w:rsidR="004843DB" w:rsidRPr="0062582F" w:rsidRDefault="004843DB" w:rsidP="004843DB">
            <w:pPr>
              <w:pStyle w:val="TableofFigures"/>
            </w:pPr>
            <w:r w:rsidRPr="0062582F">
              <w:t>1 150</w:t>
            </w:r>
          </w:p>
        </w:tc>
      </w:tr>
      <w:tr w:rsidR="004843DB" w:rsidRPr="0062582F" w:rsidTr="004843DB">
        <w:trPr>
          <w:gridAfter w:val="1"/>
          <w:wAfter w:w="7" w:type="dxa"/>
          <w:cantSplit/>
          <w:trHeight w:hRule="exact" w:val="255"/>
        </w:trPr>
        <w:tc>
          <w:tcPr>
            <w:tcW w:w="5713" w:type="dxa"/>
            <w:tcBorders>
              <w:left w:val="nil"/>
              <w:bottom w:val="single" w:sz="4" w:space="0" w:color="auto"/>
              <w:right w:val="nil"/>
            </w:tcBorders>
            <w:shd w:val="clear" w:color="auto" w:fill="auto"/>
          </w:tcPr>
          <w:p w:rsidR="004843DB" w:rsidRPr="0062582F" w:rsidRDefault="004843DB" w:rsidP="004843DB">
            <w:pPr>
              <w:pStyle w:val="Tabletext"/>
            </w:pPr>
            <w:r w:rsidRPr="0062582F">
              <w:t>Net result from discounting operation</w:t>
            </w:r>
          </w:p>
        </w:tc>
        <w:tc>
          <w:tcPr>
            <w:tcW w:w="1180" w:type="dxa"/>
            <w:tcBorders>
              <w:left w:val="nil"/>
              <w:bottom w:val="single" w:sz="4" w:space="0" w:color="auto"/>
              <w:right w:val="nil"/>
            </w:tcBorders>
            <w:shd w:val="clear" w:color="auto" w:fill="BFBFBF" w:themeFill="background1" w:themeFillShade="BF"/>
            <w:noWrap/>
          </w:tcPr>
          <w:p w:rsidR="004843DB" w:rsidRPr="0062582F" w:rsidRDefault="004843DB" w:rsidP="004843DB">
            <w:pPr>
              <w:pStyle w:val="TableofFigures"/>
            </w:pPr>
            <w:r w:rsidRPr="0062582F">
              <w:t>394</w:t>
            </w:r>
          </w:p>
        </w:tc>
        <w:tc>
          <w:tcPr>
            <w:tcW w:w="1300" w:type="dxa"/>
            <w:gridSpan w:val="2"/>
            <w:tcBorders>
              <w:left w:val="nil"/>
              <w:bottom w:val="single" w:sz="4" w:space="0" w:color="auto"/>
              <w:right w:val="nil"/>
            </w:tcBorders>
            <w:shd w:val="clear" w:color="auto" w:fill="auto"/>
            <w:noWrap/>
          </w:tcPr>
          <w:p w:rsidR="004843DB" w:rsidRPr="0062582F" w:rsidRDefault="004843DB" w:rsidP="004843DB">
            <w:pPr>
              <w:pStyle w:val="TableofFigures"/>
            </w:pPr>
            <w:r w:rsidRPr="0062582F">
              <w:t>713</w:t>
            </w:r>
          </w:p>
        </w:tc>
      </w:tr>
      <w:tr w:rsidR="004843DB" w:rsidRPr="0062582F" w:rsidTr="004843DB">
        <w:trPr>
          <w:gridAfter w:val="1"/>
          <w:wAfter w:w="7" w:type="dxa"/>
          <w:cantSplit/>
          <w:trHeight w:hRule="exact" w:val="255"/>
        </w:trPr>
        <w:tc>
          <w:tcPr>
            <w:tcW w:w="571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pPr>
            <w:r w:rsidRPr="0062582F">
              <w:rPr>
                <w:b/>
              </w:rPr>
              <w:t>Net result</w:t>
            </w:r>
          </w:p>
        </w:tc>
        <w:tc>
          <w:tcPr>
            <w:tcW w:w="1180" w:type="dxa"/>
            <w:tcBorders>
              <w:top w:val="single" w:sz="4" w:space="0" w:color="auto"/>
              <w:left w:val="nil"/>
              <w:bottom w:val="single" w:sz="4" w:space="0" w:color="auto"/>
              <w:right w:val="nil"/>
            </w:tcBorders>
            <w:shd w:val="clear" w:color="00FFFF" w:fill="CCCCCC"/>
            <w:noWrap/>
          </w:tcPr>
          <w:p w:rsidR="004843DB" w:rsidRPr="0062582F" w:rsidRDefault="004843DB" w:rsidP="004843DB">
            <w:pPr>
              <w:pStyle w:val="TableofFigures"/>
            </w:pPr>
            <w:r w:rsidRPr="0062582F">
              <w:rPr>
                <w:b/>
              </w:rPr>
              <w:t>3 014</w:t>
            </w:r>
          </w:p>
        </w:tc>
        <w:tc>
          <w:tcPr>
            <w:tcW w:w="1300" w:type="dxa"/>
            <w:gridSpan w:val="2"/>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pPr>
            <w:r w:rsidRPr="0062582F">
              <w:rPr>
                <w:b/>
              </w:rPr>
              <w:t>1 863</w:t>
            </w:r>
          </w:p>
        </w:tc>
      </w:tr>
      <w:tr w:rsidR="004843DB" w:rsidRPr="0062582F" w:rsidTr="004843DB">
        <w:trPr>
          <w:gridAfter w:val="1"/>
          <w:wAfter w:w="7" w:type="dxa"/>
          <w:cantSplit/>
          <w:trHeight w:hRule="exact" w:val="255"/>
        </w:trPr>
        <w:tc>
          <w:tcPr>
            <w:tcW w:w="5713" w:type="dxa"/>
            <w:tcBorders>
              <w:left w:val="nil"/>
              <w:bottom w:val="single" w:sz="12" w:space="0" w:color="auto"/>
              <w:right w:val="nil"/>
            </w:tcBorders>
            <w:shd w:val="clear" w:color="auto" w:fill="auto"/>
            <w:hideMark/>
          </w:tcPr>
          <w:p w:rsidR="004843DB" w:rsidRPr="0062582F" w:rsidRDefault="004843DB" w:rsidP="004843DB">
            <w:pPr>
              <w:pStyle w:val="Tabletext"/>
              <w:rPr>
                <w:b/>
              </w:rPr>
            </w:pPr>
            <w:r w:rsidRPr="0062582F">
              <w:t>Other economic flows – other comprehensive income</w:t>
            </w:r>
          </w:p>
        </w:tc>
        <w:tc>
          <w:tcPr>
            <w:tcW w:w="1180" w:type="dxa"/>
            <w:tcBorders>
              <w:left w:val="nil"/>
              <w:bottom w:val="single" w:sz="12" w:space="0" w:color="auto"/>
              <w:right w:val="nil"/>
            </w:tcBorders>
            <w:shd w:val="clear" w:color="auto" w:fill="BFBFBF" w:themeFill="background1" w:themeFillShade="BF"/>
            <w:noWrap/>
            <w:hideMark/>
          </w:tcPr>
          <w:p w:rsidR="004843DB" w:rsidRPr="0062582F" w:rsidRDefault="004843DB" w:rsidP="004843DB">
            <w:pPr>
              <w:pStyle w:val="TableofFigures"/>
              <w:rPr>
                <w:b/>
              </w:rPr>
            </w:pPr>
            <w:r w:rsidRPr="0062582F">
              <w:rPr>
                <w:b/>
              </w:rPr>
              <w:t>743</w:t>
            </w:r>
          </w:p>
        </w:tc>
        <w:tc>
          <w:tcPr>
            <w:tcW w:w="1300" w:type="dxa"/>
            <w:gridSpan w:val="2"/>
            <w:tcBorders>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t>800</w:t>
            </w:r>
          </w:p>
        </w:tc>
      </w:tr>
      <w:tr w:rsidR="004843DB" w:rsidRPr="0062582F" w:rsidTr="004843DB">
        <w:trPr>
          <w:gridAfter w:val="1"/>
          <w:wAfter w:w="7" w:type="dxa"/>
          <w:cantSplit/>
          <w:trHeight w:hRule="exact" w:val="255"/>
        </w:trPr>
        <w:tc>
          <w:tcPr>
            <w:tcW w:w="5713" w:type="dxa"/>
            <w:tcBorders>
              <w:top w:val="single" w:sz="12" w:space="0" w:color="auto"/>
              <w:left w:val="nil"/>
              <w:bottom w:val="single" w:sz="12" w:space="0" w:color="auto"/>
              <w:right w:val="nil"/>
            </w:tcBorders>
            <w:shd w:val="clear" w:color="auto" w:fill="auto"/>
          </w:tcPr>
          <w:p w:rsidR="004843DB" w:rsidRPr="0062582F" w:rsidRDefault="004843DB" w:rsidP="004843DB">
            <w:pPr>
              <w:pStyle w:val="Tabletext"/>
            </w:pPr>
            <w:r w:rsidRPr="0062582F">
              <w:rPr>
                <w:b/>
              </w:rPr>
              <w:t xml:space="preserve">Total comprehensive income </w:t>
            </w:r>
          </w:p>
        </w:tc>
        <w:tc>
          <w:tcPr>
            <w:tcW w:w="1180" w:type="dxa"/>
            <w:tcBorders>
              <w:top w:val="single" w:sz="12" w:space="0" w:color="auto"/>
              <w:left w:val="nil"/>
              <w:bottom w:val="single" w:sz="12" w:space="0" w:color="auto"/>
              <w:right w:val="nil"/>
            </w:tcBorders>
            <w:shd w:val="clear" w:color="auto" w:fill="BFBFBF" w:themeFill="background1" w:themeFillShade="BF"/>
            <w:noWrap/>
          </w:tcPr>
          <w:p w:rsidR="004843DB" w:rsidRPr="0062582F" w:rsidRDefault="004843DB" w:rsidP="004843DB">
            <w:pPr>
              <w:pStyle w:val="TableofFigures"/>
              <w:rPr>
                <w:b/>
              </w:rPr>
            </w:pPr>
            <w:r w:rsidRPr="0062582F">
              <w:rPr>
                <w:b/>
              </w:rPr>
              <w:t>3 757</w:t>
            </w:r>
          </w:p>
        </w:tc>
        <w:tc>
          <w:tcPr>
            <w:tcW w:w="1300" w:type="dxa"/>
            <w:gridSpan w:val="2"/>
            <w:tcBorders>
              <w:top w:val="single" w:sz="12" w:space="0" w:color="auto"/>
              <w:left w:val="nil"/>
              <w:bottom w:val="single" w:sz="12" w:space="0" w:color="auto"/>
              <w:right w:val="nil"/>
            </w:tcBorders>
            <w:shd w:val="clear" w:color="auto" w:fill="auto"/>
            <w:noWrap/>
          </w:tcPr>
          <w:p w:rsidR="004843DB" w:rsidRPr="0062582F" w:rsidRDefault="004843DB" w:rsidP="004843DB">
            <w:pPr>
              <w:pStyle w:val="TableofFigures"/>
            </w:pPr>
            <w:r w:rsidRPr="0062582F">
              <w:rPr>
                <w:b/>
              </w:rPr>
              <w:t>2 663</w:t>
            </w:r>
          </w:p>
        </w:tc>
      </w:tr>
      <w:tr w:rsidR="004843DB" w:rsidRPr="0062582F" w:rsidTr="004843DB">
        <w:trPr>
          <w:cantSplit/>
          <w:trHeight w:hRule="exact" w:val="120"/>
        </w:trPr>
        <w:tc>
          <w:tcPr>
            <w:tcW w:w="8200" w:type="dxa"/>
            <w:gridSpan w:val="5"/>
            <w:tcBorders>
              <w:top w:val="single" w:sz="12" w:space="0" w:color="auto"/>
              <w:left w:val="nil"/>
              <w:bottom w:val="single" w:sz="2" w:space="0" w:color="auto"/>
              <w:right w:val="nil"/>
            </w:tcBorders>
            <w:shd w:val="clear" w:color="auto" w:fill="auto"/>
          </w:tcPr>
          <w:p w:rsidR="004843DB" w:rsidRPr="0062582F" w:rsidRDefault="004843DB" w:rsidP="004843DB">
            <w:pPr>
              <w:pStyle w:val="million"/>
              <w:spacing w:before="100"/>
              <w:rPr>
                <w:i w:val="0"/>
              </w:rPr>
            </w:pPr>
          </w:p>
        </w:tc>
      </w:tr>
      <w:tr w:rsidR="004843DB" w:rsidRPr="0062582F" w:rsidTr="004843DB">
        <w:trPr>
          <w:gridAfter w:val="1"/>
          <w:wAfter w:w="7" w:type="dxa"/>
          <w:cantSplit/>
          <w:trHeight w:hRule="exact" w:val="288"/>
        </w:trPr>
        <w:tc>
          <w:tcPr>
            <w:tcW w:w="5713" w:type="dxa"/>
            <w:tcBorders>
              <w:top w:val="single" w:sz="2" w:space="0" w:color="auto"/>
              <w:left w:val="nil"/>
              <w:bottom w:val="single" w:sz="2" w:space="0" w:color="auto"/>
              <w:right w:val="nil"/>
            </w:tcBorders>
            <w:shd w:val="clear" w:color="auto" w:fill="auto"/>
          </w:tcPr>
          <w:p w:rsidR="004843DB" w:rsidRPr="0062582F" w:rsidRDefault="004843DB" w:rsidP="004843DB">
            <w:pPr>
              <w:pStyle w:val="Tabletext"/>
              <w:rPr>
                <w:i/>
              </w:rPr>
            </w:pPr>
            <w:r w:rsidRPr="0062582F">
              <w:rPr>
                <w:b/>
              </w:rPr>
              <w:t>Department</w:t>
            </w:r>
            <w:r w:rsidR="005A4BB0">
              <w:rPr>
                <w:b/>
              </w:rPr>
              <w:t>’</w:t>
            </w:r>
            <w:r w:rsidRPr="0062582F">
              <w:rPr>
                <w:b/>
              </w:rPr>
              <w:t>s share of interests in the associate</w:t>
            </w:r>
            <w:r w:rsidR="005A4BB0">
              <w:rPr>
                <w:b/>
              </w:rPr>
              <w:t>’</w:t>
            </w:r>
            <w:r w:rsidRPr="0062582F">
              <w:rPr>
                <w:b/>
              </w:rPr>
              <w:t>s operating statement</w:t>
            </w:r>
          </w:p>
        </w:tc>
        <w:tc>
          <w:tcPr>
            <w:tcW w:w="1180" w:type="dxa"/>
            <w:tcBorders>
              <w:top w:val="single" w:sz="2" w:space="0" w:color="auto"/>
              <w:left w:val="nil"/>
              <w:bottom w:val="single" w:sz="2" w:space="0" w:color="auto"/>
              <w:right w:val="nil"/>
            </w:tcBorders>
            <w:shd w:val="clear" w:color="auto" w:fill="BFBFBF" w:themeFill="background1" w:themeFillShade="BF"/>
            <w:noWrap/>
          </w:tcPr>
          <w:p w:rsidR="004843DB" w:rsidRPr="0062582F" w:rsidRDefault="004843DB" w:rsidP="004843DB">
            <w:pPr>
              <w:pStyle w:val="TableofFigures"/>
              <w:rPr>
                <w:b/>
                <w:i/>
              </w:rPr>
            </w:pPr>
            <w:r w:rsidRPr="0062582F">
              <w:rPr>
                <w:i/>
              </w:rPr>
              <w:t>2016</w:t>
            </w:r>
          </w:p>
        </w:tc>
        <w:tc>
          <w:tcPr>
            <w:tcW w:w="1300" w:type="dxa"/>
            <w:gridSpan w:val="2"/>
            <w:tcBorders>
              <w:top w:val="single" w:sz="2" w:space="0" w:color="auto"/>
              <w:left w:val="nil"/>
              <w:bottom w:val="single" w:sz="2" w:space="0" w:color="auto"/>
              <w:right w:val="nil"/>
            </w:tcBorders>
            <w:shd w:val="clear" w:color="auto" w:fill="auto"/>
            <w:noWrap/>
          </w:tcPr>
          <w:p w:rsidR="004843DB" w:rsidRPr="0062582F" w:rsidRDefault="004843DB" w:rsidP="004843DB">
            <w:pPr>
              <w:pStyle w:val="TableofFigures"/>
              <w:rPr>
                <w:b/>
                <w:i/>
              </w:rPr>
            </w:pPr>
            <w:r w:rsidRPr="0062582F">
              <w:rPr>
                <w:i/>
              </w:rPr>
              <w:t>2015</w:t>
            </w:r>
          </w:p>
        </w:tc>
      </w:tr>
      <w:tr w:rsidR="004843DB" w:rsidRPr="0062582F" w:rsidTr="004843DB">
        <w:trPr>
          <w:gridAfter w:val="1"/>
          <w:wAfter w:w="7" w:type="dxa"/>
          <w:cantSplit/>
          <w:trHeight w:hRule="exact" w:val="255"/>
        </w:trPr>
        <w:tc>
          <w:tcPr>
            <w:tcW w:w="5713" w:type="dxa"/>
            <w:tcBorders>
              <w:top w:val="single" w:sz="2" w:space="0" w:color="auto"/>
              <w:left w:val="nil"/>
              <w:bottom w:val="single" w:sz="2" w:space="0" w:color="auto"/>
              <w:right w:val="nil"/>
            </w:tcBorders>
            <w:shd w:val="clear" w:color="auto" w:fill="auto"/>
          </w:tcPr>
          <w:p w:rsidR="004843DB" w:rsidRPr="0062582F" w:rsidRDefault="004843DB" w:rsidP="004843DB">
            <w:pPr>
              <w:pStyle w:val="Tabletext"/>
            </w:pPr>
            <w:r w:rsidRPr="0062582F">
              <w:t>Share of associate</w:t>
            </w:r>
            <w:r w:rsidR="005A4BB0">
              <w:t>’</w:t>
            </w:r>
            <w:r w:rsidRPr="0062582F">
              <w:t>s net result after tax (35%)</w:t>
            </w:r>
          </w:p>
        </w:tc>
        <w:tc>
          <w:tcPr>
            <w:tcW w:w="1180" w:type="dxa"/>
            <w:tcBorders>
              <w:top w:val="single" w:sz="2" w:space="0" w:color="auto"/>
              <w:left w:val="nil"/>
              <w:bottom w:val="single" w:sz="2" w:space="0" w:color="auto"/>
              <w:right w:val="nil"/>
            </w:tcBorders>
            <w:shd w:val="clear" w:color="auto" w:fill="BFBFBF" w:themeFill="background1" w:themeFillShade="BF"/>
            <w:noWrap/>
          </w:tcPr>
          <w:p w:rsidR="004843DB" w:rsidRPr="0062582F" w:rsidRDefault="004843DB" w:rsidP="004843DB">
            <w:pPr>
              <w:pStyle w:val="TableofFigures"/>
            </w:pPr>
            <w:r w:rsidRPr="0062582F">
              <w:t>739</w:t>
            </w:r>
          </w:p>
        </w:tc>
        <w:tc>
          <w:tcPr>
            <w:tcW w:w="1300" w:type="dxa"/>
            <w:gridSpan w:val="2"/>
            <w:tcBorders>
              <w:top w:val="single" w:sz="2" w:space="0" w:color="auto"/>
              <w:left w:val="nil"/>
              <w:bottom w:val="single" w:sz="2" w:space="0" w:color="auto"/>
              <w:right w:val="nil"/>
            </w:tcBorders>
            <w:shd w:val="clear" w:color="auto" w:fill="auto"/>
            <w:noWrap/>
          </w:tcPr>
          <w:p w:rsidR="004843DB" w:rsidRPr="0062582F" w:rsidRDefault="004843DB" w:rsidP="004843DB">
            <w:pPr>
              <w:pStyle w:val="TableofFigures"/>
            </w:pPr>
            <w:r w:rsidRPr="0062582F">
              <w:t>456</w:t>
            </w:r>
          </w:p>
        </w:tc>
      </w:tr>
      <w:tr w:rsidR="004843DB" w:rsidRPr="0062582F" w:rsidTr="004843DB">
        <w:trPr>
          <w:gridAfter w:val="1"/>
          <w:wAfter w:w="7" w:type="dxa"/>
          <w:cantSplit/>
          <w:trHeight w:hRule="exact" w:val="255"/>
        </w:trPr>
        <w:tc>
          <w:tcPr>
            <w:tcW w:w="5713" w:type="dxa"/>
            <w:tcBorders>
              <w:top w:val="single" w:sz="2" w:space="0" w:color="auto"/>
              <w:left w:val="nil"/>
              <w:bottom w:val="single" w:sz="4" w:space="0" w:color="auto"/>
              <w:right w:val="nil"/>
            </w:tcBorders>
            <w:shd w:val="clear" w:color="auto" w:fill="auto"/>
          </w:tcPr>
          <w:p w:rsidR="004843DB" w:rsidRPr="0062582F" w:rsidRDefault="004843DB" w:rsidP="004843DB">
            <w:pPr>
              <w:pStyle w:val="Tabletext"/>
            </w:pPr>
            <w:r w:rsidRPr="0062582F">
              <w:t>Share of associate</w:t>
            </w:r>
            <w:r w:rsidR="005A4BB0">
              <w:t>’</w:t>
            </w:r>
            <w:r w:rsidRPr="0062582F">
              <w:t>s other comprehensive income (35%)</w:t>
            </w:r>
          </w:p>
        </w:tc>
        <w:tc>
          <w:tcPr>
            <w:tcW w:w="1180" w:type="dxa"/>
            <w:tcBorders>
              <w:top w:val="single" w:sz="2" w:space="0" w:color="auto"/>
              <w:left w:val="nil"/>
              <w:bottom w:val="single" w:sz="4" w:space="0" w:color="auto"/>
              <w:right w:val="nil"/>
            </w:tcBorders>
            <w:shd w:val="clear" w:color="auto" w:fill="BFBFBF" w:themeFill="background1" w:themeFillShade="BF"/>
            <w:noWrap/>
          </w:tcPr>
          <w:p w:rsidR="004843DB" w:rsidRPr="0062582F" w:rsidRDefault="004843DB" w:rsidP="004843DB">
            <w:pPr>
              <w:pStyle w:val="TableofFigures"/>
            </w:pPr>
            <w:r w:rsidRPr="0062582F">
              <w:t>260</w:t>
            </w:r>
          </w:p>
        </w:tc>
        <w:tc>
          <w:tcPr>
            <w:tcW w:w="1300" w:type="dxa"/>
            <w:gridSpan w:val="2"/>
            <w:tcBorders>
              <w:top w:val="single" w:sz="2" w:space="0" w:color="auto"/>
              <w:left w:val="nil"/>
              <w:bottom w:val="single" w:sz="4" w:space="0" w:color="auto"/>
              <w:right w:val="nil"/>
            </w:tcBorders>
            <w:shd w:val="clear" w:color="auto" w:fill="auto"/>
            <w:noWrap/>
          </w:tcPr>
          <w:p w:rsidR="004843DB" w:rsidRPr="0062582F" w:rsidRDefault="004843DB" w:rsidP="004843DB">
            <w:pPr>
              <w:pStyle w:val="TableofFigures"/>
            </w:pPr>
            <w:r w:rsidRPr="0062582F">
              <w:t>280</w:t>
            </w:r>
          </w:p>
        </w:tc>
      </w:tr>
    </w:tbl>
    <w:p w:rsidR="004843DB" w:rsidRPr="0062582F" w:rsidRDefault="004843DB" w:rsidP="004843DB">
      <w:pPr>
        <w:pStyle w:val="Tabletext"/>
        <w:rPr>
          <w:b/>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40"/>
      </w:pPr>
      <w:r w:rsidRPr="0062582F">
        <w:br/>
      </w:r>
    </w:p>
    <w:p w:rsidR="004843DB" w:rsidRPr="0062582F" w:rsidRDefault="004843DB" w:rsidP="004843DB">
      <w:pPr>
        <w:pStyle w:val="ReferenceRed"/>
        <w:spacing w:before="0"/>
        <w:rPr>
          <w:color w:val="0000FF"/>
        </w:rPr>
      </w:pPr>
      <w:r w:rsidRPr="0062582F">
        <w:rPr>
          <w:color w:val="0000FF"/>
        </w:rPr>
        <w:t>AASB 12. B14(b)</w:t>
      </w:r>
    </w:p>
    <w:p w:rsidR="004843DB" w:rsidRPr="0062582F" w:rsidRDefault="004843DB" w:rsidP="004843DB">
      <w:pPr>
        <w:spacing w:before="0"/>
      </w:pPr>
      <w:r w:rsidRPr="0062582F">
        <w:br w:type="column"/>
      </w:r>
    </w:p>
    <w:tbl>
      <w:tblPr>
        <w:tblW w:w="8193" w:type="dxa"/>
        <w:tblLayout w:type="fixed"/>
        <w:tblCellMar>
          <w:left w:w="43" w:type="dxa"/>
          <w:right w:w="43" w:type="dxa"/>
        </w:tblCellMar>
        <w:tblLook w:val="04A0" w:firstRow="1" w:lastRow="0" w:firstColumn="1" w:lastColumn="0" w:noHBand="0" w:noVBand="1"/>
      </w:tblPr>
      <w:tblGrid>
        <w:gridCol w:w="5713"/>
        <w:gridCol w:w="1180"/>
        <w:gridCol w:w="1300"/>
      </w:tblGrid>
      <w:tr w:rsidR="004843DB" w:rsidRPr="0062582F" w:rsidTr="004843DB">
        <w:trPr>
          <w:cantSplit/>
          <w:trHeight w:hRule="exact" w:val="282"/>
        </w:trPr>
        <w:tc>
          <w:tcPr>
            <w:tcW w:w="8193" w:type="dxa"/>
            <w:gridSpan w:val="3"/>
            <w:tcBorders>
              <w:left w:val="nil"/>
              <w:bottom w:val="single" w:sz="4" w:space="0" w:color="auto"/>
              <w:right w:val="nil"/>
            </w:tcBorders>
            <w:shd w:val="clear" w:color="auto" w:fill="auto"/>
          </w:tcPr>
          <w:p w:rsidR="004843DB" w:rsidRPr="0062582F" w:rsidRDefault="004843DB" w:rsidP="004843DB">
            <w:pPr>
              <w:pStyle w:val="million"/>
              <w:spacing w:before="60"/>
            </w:pPr>
            <w:r w:rsidRPr="0062582F">
              <w:t>($ thousand)</w:t>
            </w:r>
          </w:p>
        </w:tc>
      </w:tr>
      <w:tr w:rsidR="004843DB" w:rsidRPr="0062582F" w:rsidTr="004843DB">
        <w:trPr>
          <w:cantSplit/>
          <w:trHeight w:hRule="exact" w:val="282"/>
        </w:trPr>
        <w:tc>
          <w:tcPr>
            <w:tcW w:w="571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rPr>
                <w:b/>
              </w:rPr>
            </w:pPr>
            <w:r w:rsidRPr="0062582F">
              <w:rPr>
                <w:b/>
              </w:rPr>
              <w:t>Movements in carrying amount of interests in the associate</w:t>
            </w:r>
          </w:p>
          <w:p w:rsidR="004843DB" w:rsidRPr="0062582F" w:rsidRDefault="004843DB" w:rsidP="004843DB">
            <w:pPr>
              <w:pStyle w:val="Tabletext"/>
              <w:spacing w:before="100" w:beforeAutospacing="1" w:after="120"/>
            </w:pPr>
          </w:p>
        </w:tc>
        <w:tc>
          <w:tcPr>
            <w:tcW w:w="1180" w:type="dxa"/>
            <w:tcBorders>
              <w:top w:val="single" w:sz="4" w:space="0" w:color="auto"/>
              <w:left w:val="nil"/>
              <w:bottom w:val="single" w:sz="4" w:space="0" w:color="auto"/>
              <w:right w:val="nil"/>
            </w:tcBorders>
            <w:shd w:val="clear" w:color="auto" w:fill="BFBFBF" w:themeFill="background1" w:themeFillShade="BF"/>
            <w:noWrap/>
          </w:tcPr>
          <w:p w:rsidR="004843DB" w:rsidRPr="0062582F" w:rsidRDefault="004843DB" w:rsidP="004843DB">
            <w:pPr>
              <w:pStyle w:val="TableofFigures"/>
              <w:rPr>
                <w:b/>
              </w:rPr>
            </w:pPr>
            <w:r w:rsidRPr="0062582F">
              <w:rPr>
                <w:i/>
              </w:rPr>
              <w:t>2016</w:t>
            </w:r>
          </w:p>
        </w:tc>
        <w:tc>
          <w:tcPr>
            <w:tcW w:w="130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rPr>
                <w:b/>
              </w:rPr>
            </w:pPr>
            <w:r w:rsidRPr="0062582F">
              <w:t>2015</w:t>
            </w:r>
          </w:p>
        </w:tc>
      </w:tr>
      <w:tr w:rsidR="004843DB" w:rsidRPr="0062582F" w:rsidTr="004843DB">
        <w:trPr>
          <w:cantSplit/>
          <w:trHeight w:hRule="exact" w:val="255"/>
        </w:trPr>
        <w:tc>
          <w:tcPr>
            <w:tcW w:w="5713" w:type="dxa"/>
            <w:tcBorders>
              <w:left w:val="nil"/>
              <w:right w:val="nil"/>
            </w:tcBorders>
            <w:shd w:val="clear" w:color="auto" w:fill="auto"/>
          </w:tcPr>
          <w:p w:rsidR="004843DB" w:rsidRPr="0062582F" w:rsidRDefault="004843DB" w:rsidP="004843DB">
            <w:pPr>
              <w:pStyle w:val="Tabletext"/>
              <w:rPr>
                <w:i/>
              </w:rPr>
            </w:pPr>
            <w:r w:rsidRPr="0062582F">
              <w:t>Carrying amount at the beginning of the year</w:t>
            </w:r>
          </w:p>
        </w:tc>
        <w:tc>
          <w:tcPr>
            <w:tcW w:w="1180" w:type="dxa"/>
            <w:tcBorders>
              <w:left w:val="nil"/>
              <w:right w:val="nil"/>
            </w:tcBorders>
            <w:shd w:val="clear" w:color="auto" w:fill="BFBFBF" w:themeFill="background1" w:themeFillShade="BF"/>
            <w:noWrap/>
          </w:tcPr>
          <w:p w:rsidR="004843DB" w:rsidRPr="0062582F" w:rsidRDefault="004843DB" w:rsidP="004843DB">
            <w:pPr>
              <w:pStyle w:val="TableofFigures"/>
              <w:rPr>
                <w:i/>
              </w:rPr>
            </w:pPr>
            <w:r w:rsidRPr="0062582F">
              <w:t>4 643</w:t>
            </w:r>
          </w:p>
        </w:tc>
        <w:tc>
          <w:tcPr>
            <w:tcW w:w="1300" w:type="dxa"/>
            <w:tcBorders>
              <w:left w:val="nil"/>
              <w:right w:val="nil"/>
            </w:tcBorders>
            <w:shd w:val="clear" w:color="auto" w:fill="auto"/>
            <w:noWrap/>
          </w:tcPr>
          <w:p w:rsidR="004843DB" w:rsidRPr="0062582F" w:rsidRDefault="004843DB" w:rsidP="004843DB">
            <w:pPr>
              <w:pStyle w:val="Tabletextheading"/>
            </w:pPr>
            <w:r w:rsidRPr="0062582F">
              <w:rPr>
                <w:i w:val="0"/>
              </w:rPr>
              <w:t>4 262</w:t>
            </w:r>
          </w:p>
        </w:tc>
      </w:tr>
      <w:tr w:rsidR="004843DB" w:rsidRPr="0062582F" w:rsidTr="004843DB">
        <w:trPr>
          <w:cantSplit/>
          <w:trHeight w:hRule="exact" w:val="255"/>
        </w:trPr>
        <w:tc>
          <w:tcPr>
            <w:tcW w:w="5713" w:type="dxa"/>
            <w:tcBorders>
              <w:top w:val="nil"/>
              <w:left w:val="nil"/>
              <w:right w:val="nil"/>
            </w:tcBorders>
            <w:shd w:val="clear" w:color="auto" w:fill="auto"/>
          </w:tcPr>
          <w:p w:rsidR="004843DB" w:rsidRPr="0062582F" w:rsidRDefault="004843DB" w:rsidP="004843DB">
            <w:pPr>
              <w:pStyle w:val="Tabletext"/>
            </w:pPr>
            <w:r w:rsidRPr="0062582F">
              <w:t>Share of associate</w:t>
            </w:r>
            <w:r w:rsidR="005A4BB0">
              <w:t>’</w:t>
            </w:r>
            <w:r w:rsidRPr="0062582F">
              <w:t>s net result after tax</w:t>
            </w:r>
          </w:p>
        </w:tc>
        <w:tc>
          <w:tcPr>
            <w:tcW w:w="1180" w:type="dxa"/>
            <w:tcBorders>
              <w:top w:val="nil"/>
              <w:left w:val="nil"/>
              <w:right w:val="nil"/>
            </w:tcBorders>
            <w:shd w:val="clear" w:color="auto" w:fill="BFBFBF" w:themeFill="background1" w:themeFillShade="BF"/>
            <w:noWrap/>
          </w:tcPr>
          <w:p w:rsidR="004843DB" w:rsidRPr="0062582F" w:rsidRDefault="004843DB" w:rsidP="004843DB">
            <w:pPr>
              <w:pStyle w:val="TableofFigures"/>
            </w:pPr>
            <w:r w:rsidRPr="0062582F">
              <w:t>739</w:t>
            </w:r>
          </w:p>
        </w:tc>
        <w:tc>
          <w:tcPr>
            <w:tcW w:w="1300" w:type="dxa"/>
            <w:tcBorders>
              <w:top w:val="nil"/>
              <w:left w:val="nil"/>
              <w:right w:val="nil"/>
            </w:tcBorders>
            <w:shd w:val="clear" w:color="auto" w:fill="auto"/>
            <w:noWrap/>
          </w:tcPr>
          <w:p w:rsidR="004843DB" w:rsidRPr="0062582F" w:rsidRDefault="004843DB" w:rsidP="004843DB">
            <w:pPr>
              <w:pStyle w:val="Tabletextheading"/>
              <w:rPr>
                <w:i w:val="0"/>
              </w:rPr>
            </w:pPr>
            <w:r w:rsidRPr="0062582F">
              <w:rPr>
                <w:i w:val="0"/>
              </w:rPr>
              <w:t>456</w:t>
            </w:r>
          </w:p>
        </w:tc>
      </w:tr>
      <w:tr w:rsidR="004843DB" w:rsidRPr="0062582F" w:rsidTr="004843DB">
        <w:trPr>
          <w:cantSplit/>
          <w:trHeight w:hRule="exact" w:val="255"/>
        </w:trPr>
        <w:tc>
          <w:tcPr>
            <w:tcW w:w="5713" w:type="dxa"/>
            <w:tcBorders>
              <w:top w:val="nil"/>
              <w:left w:val="nil"/>
              <w:right w:val="nil"/>
            </w:tcBorders>
            <w:shd w:val="clear" w:color="auto" w:fill="auto"/>
          </w:tcPr>
          <w:p w:rsidR="004843DB" w:rsidRPr="0062582F" w:rsidRDefault="004843DB" w:rsidP="004843DB">
            <w:pPr>
              <w:pStyle w:val="Tabletext"/>
            </w:pPr>
            <w:r w:rsidRPr="0062582F">
              <w:t>Share of associate</w:t>
            </w:r>
            <w:r w:rsidR="005A4BB0">
              <w:t>’</w:t>
            </w:r>
            <w:r w:rsidRPr="0062582F">
              <w:t>s other comprehensive income</w:t>
            </w:r>
          </w:p>
        </w:tc>
        <w:tc>
          <w:tcPr>
            <w:tcW w:w="1180" w:type="dxa"/>
            <w:tcBorders>
              <w:top w:val="nil"/>
              <w:left w:val="nil"/>
              <w:right w:val="nil"/>
            </w:tcBorders>
            <w:shd w:val="clear" w:color="auto" w:fill="BFBFBF" w:themeFill="background1" w:themeFillShade="BF"/>
            <w:noWrap/>
          </w:tcPr>
          <w:p w:rsidR="004843DB" w:rsidRPr="0062582F" w:rsidRDefault="004843DB" w:rsidP="004843DB">
            <w:pPr>
              <w:pStyle w:val="TableofFigures"/>
            </w:pPr>
            <w:r w:rsidRPr="0062582F">
              <w:t>260</w:t>
            </w:r>
          </w:p>
        </w:tc>
        <w:tc>
          <w:tcPr>
            <w:tcW w:w="1300" w:type="dxa"/>
            <w:tcBorders>
              <w:top w:val="nil"/>
              <w:left w:val="nil"/>
              <w:right w:val="nil"/>
            </w:tcBorders>
            <w:shd w:val="clear" w:color="auto" w:fill="auto"/>
            <w:noWrap/>
          </w:tcPr>
          <w:p w:rsidR="004843DB" w:rsidRPr="0062582F" w:rsidRDefault="004843DB" w:rsidP="004843DB">
            <w:pPr>
              <w:pStyle w:val="Tabletextheading"/>
              <w:rPr>
                <w:i w:val="0"/>
              </w:rPr>
            </w:pPr>
            <w:r w:rsidRPr="0062582F">
              <w:rPr>
                <w:i w:val="0"/>
              </w:rPr>
              <w:t>280</w:t>
            </w:r>
          </w:p>
        </w:tc>
      </w:tr>
      <w:tr w:rsidR="004843DB" w:rsidRPr="0062582F" w:rsidTr="004843DB">
        <w:trPr>
          <w:cantSplit/>
          <w:trHeight w:hRule="exact" w:val="255"/>
        </w:trPr>
        <w:tc>
          <w:tcPr>
            <w:tcW w:w="5713" w:type="dxa"/>
            <w:tcBorders>
              <w:top w:val="nil"/>
              <w:left w:val="nil"/>
              <w:right w:val="nil"/>
            </w:tcBorders>
            <w:shd w:val="clear" w:color="auto" w:fill="auto"/>
          </w:tcPr>
          <w:p w:rsidR="004843DB" w:rsidRPr="0062582F" w:rsidRDefault="004843DB" w:rsidP="004843DB">
            <w:pPr>
              <w:pStyle w:val="Tabletext"/>
            </w:pPr>
            <w:r w:rsidRPr="0062582F">
              <w:t>Dividends received/receivable from associate</w:t>
            </w:r>
          </w:p>
        </w:tc>
        <w:tc>
          <w:tcPr>
            <w:tcW w:w="1180" w:type="dxa"/>
            <w:tcBorders>
              <w:top w:val="nil"/>
              <w:left w:val="nil"/>
              <w:right w:val="nil"/>
            </w:tcBorders>
            <w:shd w:val="clear" w:color="auto" w:fill="BFBFBF" w:themeFill="background1" w:themeFillShade="BF"/>
            <w:noWrap/>
          </w:tcPr>
          <w:p w:rsidR="004843DB" w:rsidRPr="0062582F" w:rsidRDefault="004843DB" w:rsidP="004843DB">
            <w:pPr>
              <w:pStyle w:val="TableofFigures"/>
            </w:pPr>
            <w:r w:rsidRPr="0062582F">
              <w:t>(455)</w:t>
            </w:r>
          </w:p>
        </w:tc>
        <w:tc>
          <w:tcPr>
            <w:tcW w:w="1300" w:type="dxa"/>
            <w:tcBorders>
              <w:top w:val="nil"/>
              <w:left w:val="nil"/>
              <w:right w:val="nil"/>
            </w:tcBorders>
            <w:shd w:val="clear" w:color="auto" w:fill="auto"/>
            <w:noWrap/>
          </w:tcPr>
          <w:p w:rsidR="004843DB" w:rsidRPr="0062582F" w:rsidRDefault="004843DB" w:rsidP="004843DB">
            <w:pPr>
              <w:pStyle w:val="Tabletextheading"/>
              <w:rPr>
                <w:i w:val="0"/>
              </w:rPr>
            </w:pPr>
            <w:r w:rsidRPr="0062582F">
              <w:rPr>
                <w:i w:val="0"/>
              </w:rPr>
              <w:t>(355)</w:t>
            </w:r>
          </w:p>
        </w:tc>
      </w:tr>
      <w:tr w:rsidR="004843DB" w:rsidRPr="0062582F" w:rsidTr="004843DB">
        <w:trPr>
          <w:cantSplit/>
          <w:trHeight w:hRule="exact" w:val="255"/>
        </w:trPr>
        <w:tc>
          <w:tcPr>
            <w:tcW w:w="5713" w:type="dxa"/>
            <w:tcBorders>
              <w:top w:val="single" w:sz="12" w:space="0" w:color="auto"/>
              <w:left w:val="nil"/>
              <w:bottom w:val="single" w:sz="12" w:space="0" w:color="auto"/>
              <w:right w:val="nil"/>
            </w:tcBorders>
            <w:shd w:val="clear" w:color="auto" w:fill="auto"/>
            <w:hideMark/>
          </w:tcPr>
          <w:p w:rsidR="004843DB" w:rsidRPr="0062582F" w:rsidRDefault="004843DB" w:rsidP="004843DB">
            <w:pPr>
              <w:pStyle w:val="Tabletext"/>
            </w:pPr>
            <w:r w:rsidRPr="0062582F">
              <w:rPr>
                <w:b/>
              </w:rPr>
              <w:t xml:space="preserve">Carrying amount at the end of the year </w:t>
            </w:r>
          </w:p>
        </w:tc>
        <w:tc>
          <w:tcPr>
            <w:tcW w:w="1180" w:type="dxa"/>
            <w:tcBorders>
              <w:top w:val="single" w:sz="12" w:space="0" w:color="auto"/>
              <w:left w:val="nil"/>
              <w:bottom w:val="single" w:sz="12" w:space="0" w:color="auto"/>
              <w:right w:val="nil"/>
            </w:tcBorders>
            <w:shd w:val="clear" w:color="auto" w:fill="BFBFBF" w:themeFill="background1" w:themeFillShade="BF"/>
            <w:noWrap/>
            <w:hideMark/>
          </w:tcPr>
          <w:p w:rsidR="004843DB" w:rsidRPr="0062582F" w:rsidRDefault="004843DB" w:rsidP="004843DB">
            <w:pPr>
              <w:pStyle w:val="TableofFigures"/>
            </w:pPr>
            <w:r w:rsidRPr="0062582F">
              <w:rPr>
                <w:b/>
              </w:rPr>
              <w:t>5 187</w:t>
            </w:r>
          </w:p>
        </w:tc>
        <w:tc>
          <w:tcPr>
            <w:tcW w:w="1300" w:type="dxa"/>
            <w:tcBorders>
              <w:top w:val="single" w:sz="12" w:space="0" w:color="auto"/>
              <w:left w:val="nil"/>
              <w:bottom w:val="single" w:sz="12" w:space="0" w:color="auto"/>
              <w:right w:val="nil"/>
            </w:tcBorders>
            <w:shd w:val="clear" w:color="auto" w:fill="auto"/>
            <w:noWrap/>
            <w:hideMark/>
          </w:tcPr>
          <w:p w:rsidR="004843DB" w:rsidRPr="0062582F" w:rsidRDefault="004843DB" w:rsidP="004843DB">
            <w:pPr>
              <w:pStyle w:val="TableofFigures"/>
            </w:pPr>
            <w:r w:rsidRPr="0062582F">
              <w:rPr>
                <w:b/>
              </w:rPr>
              <w:t>4 643</w:t>
            </w:r>
          </w:p>
        </w:tc>
      </w:tr>
    </w:tbl>
    <w:p w:rsidR="004843DB" w:rsidRPr="0062582F" w:rsidRDefault="004843DB" w:rsidP="004843DB"/>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40"/>
      </w:pPr>
    </w:p>
    <w:p w:rsidR="004843DB" w:rsidRPr="0062582F" w:rsidRDefault="004843DB" w:rsidP="004843DB">
      <w:pPr>
        <w:pStyle w:val="Reference"/>
        <w:spacing w:before="0"/>
      </w:pPr>
    </w:p>
    <w:p w:rsidR="004843DB" w:rsidRPr="0062582F" w:rsidRDefault="004843DB" w:rsidP="004843DB">
      <w:pPr>
        <w:pStyle w:val="Reference"/>
        <w:spacing w:before="0"/>
      </w:pPr>
    </w:p>
    <w:p w:rsidR="004843DB" w:rsidRPr="0062582F" w:rsidRDefault="004843DB" w:rsidP="004843DB">
      <w:pPr>
        <w:pStyle w:val="Reference"/>
        <w:spacing w:before="0" w:after="120"/>
      </w:pPr>
    </w:p>
    <w:p w:rsidR="004843DB" w:rsidRPr="0062582F" w:rsidRDefault="004843DB" w:rsidP="004843DB">
      <w:pPr>
        <w:pStyle w:val="Reference"/>
        <w:spacing w:before="0" w:after="120"/>
      </w:pPr>
    </w:p>
    <w:p w:rsidR="004843DB" w:rsidRPr="0062582F" w:rsidRDefault="004843DB" w:rsidP="004843DB">
      <w:pPr>
        <w:pStyle w:val="Reference"/>
        <w:spacing w:before="400"/>
      </w:pPr>
      <w:r w:rsidRPr="0062582F">
        <w:t>AASB 12. B12(b)(i)</w:t>
      </w:r>
    </w:p>
    <w:p w:rsidR="004843DB" w:rsidRPr="0062582F" w:rsidRDefault="004843DB" w:rsidP="004843DB">
      <w:pPr>
        <w:pStyle w:val="Reference"/>
        <w:spacing w:before="0"/>
      </w:pPr>
      <w:r w:rsidRPr="0062582F">
        <w:t>AASB 12. B13(a)</w:t>
      </w:r>
    </w:p>
    <w:p w:rsidR="004843DB" w:rsidRPr="0062582F" w:rsidRDefault="004843DB" w:rsidP="004843DB">
      <w:pPr>
        <w:pStyle w:val="Reference"/>
        <w:spacing w:before="0"/>
      </w:pPr>
    </w:p>
    <w:p w:rsidR="004843DB" w:rsidRPr="0062582F" w:rsidRDefault="004843DB" w:rsidP="004843DB">
      <w:pPr>
        <w:pStyle w:val="Reference"/>
        <w:spacing w:before="0"/>
      </w:pPr>
    </w:p>
    <w:p w:rsidR="004843DB" w:rsidRPr="0062582F" w:rsidRDefault="004843DB" w:rsidP="004843DB">
      <w:pPr>
        <w:pStyle w:val="Reference"/>
        <w:spacing w:before="0"/>
      </w:pPr>
    </w:p>
    <w:p w:rsidR="004843DB" w:rsidRPr="0062582F" w:rsidRDefault="004843DB" w:rsidP="004843DB">
      <w:pPr>
        <w:pStyle w:val="Reference"/>
        <w:spacing w:before="0"/>
      </w:pPr>
      <w:r w:rsidRPr="0062582F">
        <w:t>AASB 12. B12(b)(ii)</w:t>
      </w:r>
    </w:p>
    <w:p w:rsidR="004843DB" w:rsidRPr="0062582F" w:rsidRDefault="004843DB" w:rsidP="004843DB">
      <w:pPr>
        <w:pStyle w:val="Reference"/>
        <w:spacing w:before="0"/>
      </w:pPr>
    </w:p>
    <w:p w:rsidR="004843DB" w:rsidRPr="0062582F" w:rsidRDefault="004843DB" w:rsidP="004843DB">
      <w:pPr>
        <w:pStyle w:val="Reference"/>
        <w:spacing w:before="0"/>
      </w:pPr>
    </w:p>
    <w:p w:rsidR="004843DB" w:rsidRPr="0062582F" w:rsidRDefault="004843DB" w:rsidP="004843DB">
      <w:pPr>
        <w:pStyle w:val="Reference"/>
        <w:spacing w:before="0"/>
      </w:pPr>
      <w:r w:rsidRPr="0062582F">
        <w:t>AASB 12. B12(b)(iii)</w:t>
      </w:r>
    </w:p>
    <w:p w:rsidR="004843DB" w:rsidRPr="0062582F" w:rsidRDefault="004843DB" w:rsidP="004843DB">
      <w:pPr>
        <w:pStyle w:val="Reference"/>
        <w:spacing w:before="0"/>
      </w:pPr>
      <w:r w:rsidRPr="0062582F">
        <w:t>AASB 12. B13(b)</w:t>
      </w:r>
    </w:p>
    <w:p w:rsidR="004843DB" w:rsidRPr="0062582F" w:rsidRDefault="004843DB" w:rsidP="004843DB">
      <w:pPr>
        <w:pStyle w:val="Reference"/>
        <w:spacing w:before="0"/>
      </w:pPr>
    </w:p>
    <w:p w:rsidR="004843DB" w:rsidRPr="0062582F" w:rsidRDefault="004843DB" w:rsidP="004843DB">
      <w:pPr>
        <w:pStyle w:val="Reference"/>
        <w:spacing w:before="0"/>
      </w:pPr>
    </w:p>
    <w:p w:rsidR="004843DB" w:rsidRPr="0062582F" w:rsidRDefault="004843DB" w:rsidP="004843DB">
      <w:pPr>
        <w:pStyle w:val="Reference"/>
        <w:spacing w:before="0"/>
      </w:pPr>
    </w:p>
    <w:p w:rsidR="004843DB" w:rsidRPr="0062582F" w:rsidRDefault="004843DB" w:rsidP="004843DB">
      <w:pPr>
        <w:pStyle w:val="Reference"/>
        <w:spacing w:before="120"/>
      </w:pPr>
      <w:r w:rsidRPr="0062582F">
        <w:t>AASB 12. B12(b)(iv)</w:t>
      </w:r>
    </w:p>
    <w:p w:rsidR="004843DB" w:rsidRPr="0062582F" w:rsidRDefault="004843DB" w:rsidP="004843DB">
      <w:pPr>
        <w:pStyle w:val="Reference"/>
        <w:spacing w:before="0"/>
      </w:pPr>
      <w:r w:rsidRPr="0062582F">
        <w:t>AASB 12. B13(c)</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300" w:after="60"/>
      </w:pPr>
      <w:r w:rsidRPr="0062582F">
        <w:t>AASB 12. B12(b)(v)</w:t>
      </w:r>
    </w:p>
    <w:p w:rsidR="004843DB" w:rsidRPr="0062582F" w:rsidRDefault="004843DB" w:rsidP="004843DB">
      <w:pPr>
        <w:pStyle w:val="Reference"/>
        <w:spacing w:before="0" w:after="60"/>
      </w:pPr>
      <w:r w:rsidRPr="0062582F">
        <w:t>AASB 12. B13(e)</w:t>
      </w:r>
    </w:p>
    <w:p w:rsidR="004843DB" w:rsidRPr="0062582F" w:rsidRDefault="004843DB" w:rsidP="004843DB">
      <w:pPr>
        <w:pStyle w:val="Reference"/>
        <w:spacing w:before="0" w:after="60"/>
      </w:pPr>
      <w:r w:rsidRPr="0062582F">
        <w:t>AASB 12. B13(d)</w:t>
      </w:r>
    </w:p>
    <w:p w:rsidR="004843DB" w:rsidRPr="0062582F" w:rsidRDefault="004843DB" w:rsidP="004843DB">
      <w:pPr>
        <w:pStyle w:val="Reference"/>
        <w:spacing w:before="0" w:after="60"/>
      </w:pPr>
      <w:r w:rsidRPr="0062582F">
        <w:t>AASB 12. B13(f)</w:t>
      </w:r>
    </w:p>
    <w:p w:rsidR="004843DB" w:rsidRPr="0062582F" w:rsidRDefault="004843DB" w:rsidP="004843DB">
      <w:pPr>
        <w:pStyle w:val="Reference"/>
        <w:spacing w:before="0"/>
      </w:pPr>
    </w:p>
    <w:p w:rsidR="004843DB" w:rsidRPr="0062582F" w:rsidRDefault="004843DB" w:rsidP="004843DB">
      <w:pPr>
        <w:pStyle w:val="Reference"/>
        <w:spacing w:before="40"/>
      </w:pPr>
      <w:r w:rsidRPr="0062582F">
        <w:t>AASB 12. B12(b)(vi)</w:t>
      </w:r>
    </w:p>
    <w:p w:rsidR="004843DB" w:rsidRPr="0062582F" w:rsidRDefault="004843DB" w:rsidP="004843DB">
      <w:pPr>
        <w:pStyle w:val="Reference"/>
        <w:spacing w:before="0"/>
      </w:pPr>
      <w:r w:rsidRPr="0062582F">
        <w:t>AASB 12. B12(b)(vii)</w:t>
      </w:r>
    </w:p>
    <w:p w:rsidR="004843DB" w:rsidRPr="0062582F" w:rsidRDefault="004843DB" w:rsidP="004843DB">
      <w:pPr>
        <w:pStyle w:val="Reference"/>
        <w:spacing w:before="380"/>
      </w:pPr>
      <w:r w:rsidRPr="0062582F">
        <w:t>AASB 12. B12(b)(viii)</w:t>
      </w:r>
    </w:p>
    <w:p w:rsidR="004843DB" w:rsidRPr="0062582F" w:rsidRDefault="004843DB" w:rsidP="004843DB">
      <w:pPr>
        <w:pStyle w:val="Reference"/>
        <w:spacing w:before="80"/>
      </w:pPr>
      <w:r w:rsidRPr="0062582F">
        <w:t>AASB 12. B12(b)(ix)</w:t>
      </w:r>
    </w:p>
    <w:p w:rsidR="004843DB" w:rsidRPr="0062582F" w:rsidRDefault="004843DB" w:rsidP="004843DB">
      <w:pPr>
        <w:pStyle w:val="Reference"/>
        <w:spacing w:before="0"/>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60"/>
      </w:pPr>
      <w:r w:rsidRPr="0062582F">
        <w:t>AASB 12. B14(b)</w:t>
      </w:r>
    </w:p>
    <w:p w:rsidR="004843DB" w:rsidRPr="0062582F" w:rsidRDefault="004843DB" w:rsidP="004843DB">
      <w:pPr>
        <w:pStyle w:val="NoteHeadingcontinued"/>
        <w:rPr>
          <w:i/>
        </w:rPr>
      </w:pPr>
      <w:r w:rsidRPr="0062582F">
        <w:br w:type="column"/>
        <w:t>Note 13.</w:t>
      </w:r>
      <w:r w:rsidRPr="0062582F">
        <w:tab/>
        <w:t>Investments accounted for using the equity method</w:t>
      </w:r>
      <w:r w:rsidRPr="0062582F">
        <w:rPr>
          <w:rFonts w:ascii="Garamond" w:hAnsi="Garamond"/>
        </w:rPr>
        <w:t xml:space="preserve"> </w:t>
      </w:r>
      <w:r w:rsidRPr="0062582F">
        <w:rPr>
          <w:i/>
        </w:rPr>
        <w:t>(continued)</w:t>
      </w:r>
    </w:p>
    <w:p w:rsidR="004843DB" w:rsidRPr="0062582F" w:rsidRDefault="004843DB" w:rsidP="00E348C3">
      <w:pPr>
        <w:pStyle w:val="Tableheading"/>
      </w:pPr>
      <w:r w:rsidRPr="0062582F">
        <w:t>Table 13.3:</w:t>
      </w:r>
      <w:r w:rsidRPr="0062582F">
        <w:tab/>
        <w:t>Summarised financial information for the joint venture</w:t>
      </w:r>
    </w:p>
    <w:p w:rsidR="004843DB" w:rsidRPr="0062582F" w:rsidRDefault="004843DB" w:rsidP="004843DB">
      <w:pPr>
        <w:pStyle w:val="million"/>
      </w:pPr>
      <w:r w:rsidRPr="0062582F">
        <w:t>($ thousand)</w:t>
      </w:r>
    </w:p>
    <w:tbl>
      <w:tblPr>
        <w:tblW w:w="8004" w:type="dxa"/>
        <w:tblLayout w:type="fixed"/>
        <w:tblCellMar>
          <w:left w:w="43" w:type="dxa"/>
          <w:right w:w="43" w:type="dxa"/>
        </w:tblCellMar>
        <w:tblLook w:val="04A0" w:firstRow="1" w:lastRow="0" w:firstColumn="1" w:lastColumn="0" w:noHBand="0" w:noVBand="1"/>
      </w:tblPr>
      <w:tblGrid>
        <w:gridCol w:w="5777"/>
        <w:gridCol w:w="1080"/>
        <w:gridCol w:w="1147"/>
      </w:tblGrid>
      <w:tr w:rsidR="004843DB" w:rsidRPr="0062582F" w:rsidTr="004843DB">
        <w:trPr>
          <w:cantSplit/>
          <w:trHeight w:hRule="exact" w:val="255"/>
        </w:trPr>
        <w:tc>
          <w:tcPr>
            <w:tcW w:w="5777"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rPr>
                <w:b/>
              </w:rPr>
              <w:t>Summarised balance sheet</w:t>
            </w:r>
          </w:p>
        </w:tc>
        <w:tc>
          <w:tcPr>
            <w:tcW w:w="108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147"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Height w:hRule="exact" w:val="255"/>
        </w:trPr>
        <w:tc>
          <w:tcPr>
            <w:tcW w:w="5777"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Current assets</w:t>
            </w:r>
          </w:p>
        </w:tc>
        <w:tc>
          <w:tcPr>
            <w:tcW w:w="1080" w:type="dxa"/>
            <w:tcBorders>
              <w:top w:val="single" w:sz="4" w:space="0" w:color="auto"/>
              <w:left w:val="nil"/>
              <w:bottom w:val="nil"/>
              <w:right w:val="nil"/>
            </w:tcBorders>
            <w:shd w:val="clear" w:color="00FFFF" w:fill="CCCCCC"/>
            <w:noWrap/>
          </w:tcPr>
          <w:p w:rsidR="004843DB" w:rsidRPr="0062582F" w:rsidRDefault="004843DB" w:rsidP="004843DB">
            <w:pPr>
              <w:pStyle w:val="TableofFigures"/>
            </w:pPr>
          </w:p>
        </w:tc>
        <w:tc>
          <w:tcPr>
            <w:tcW w:w="1147" w:type="dxa"/>
            <w:tcBorders>
              <w:top w:val="single" w:sz="4" w:space="0" w:color="auto"/>
              <w:left w:val="nil"/>
              <w:bottom w:val="nil"/>
              <w:right w:val="nil"/>
            </w:tcBorders>
            <w:shd w:val="clear" w:color="auto" w:fill="auto"/>
            <w:noWrap/>
          </w:tcPr>
          <w:p w:rsidR="004843DB" w:rsidRPr="0062582F" w:rsidRDefault="004843DB" w:rsidP="004843DB">
            <w:pPr>
              <w:pStyle w:val="TableofFigures"/>
            </w:pPr>
          </w:p>
        </w:tc>
      </w:tr>
      <w:tr w:rsidR="004843DB" w:rsidRPr="0062582F" w:rsidTr="004843DB">
        <w:trPr>
          <w:cantSplit/>
          <w:trHeight w:hRule="exact" w:val="255"/>
        </w:trPr>
        <w:tc>
          <w:tcPr>
            <w:tcW w:w="5777" w:type="dxa"/>
            <w:tcBorders>
              <w:top w:val="nil"/>
              <w:left w:val="nil"/>
              <w:right w:val="nil"/>
            </w:tcBorders>
            <w:shd w:val="clear" w:color="auto" w:fill="auto"/>
          </w:tcPr>
          <w:p w:rsidR="004843DB" w:rsidRPr="0062582F" w:rsidRDefault="004843DB" w:rsidP="004843DB">
            <w:pPr>
              <w:pStyle w:val="Tabletext"/>
              <w:ind w:left="720" w:hanging="436"/>
            </w:pPr>
            <w:r w:rsidRPr="0062582F">
              <w:t>Cash and cash equivalent</w:t>
            </w:r>
          </w:p>
        </w:tc>
        <w:tc>
          <w:tcPr>
            <w:tcW w:w="1080" w:type="dxa"/>
            <w:tcBorders>
              <w:top w:val="nil"/>
              <w:left w:val="nil"/>
              <w:right w:val="nil"/>
            </w:tcBorders>
            <w:shd w:val="clear" w:color="00FFFF" w:fill="CCCCCC"/>
            <w:noWrap/>
          </w:tcPr>
          <w:p w:rsidR="004843DB" w:rsidRPr="0062582F" w:rsidRDefault="004843DB" w:rsidP="004843DB">
            <w:pPr>
              <w:pStyle w:val="TableofFigures"/>
            </w:pPr>
            <w:r w:rsidRPr="0062582F">
              <w:t>..</w:t>
            </w:r>
          </w:p>
        </w:tc>
        <w:tc>
          <w:tcPr>
            <w:tcW w:w="1147" w:type="dxa"/>
            <w:tcBorders>
              <w:top w:val="nil"/>
              <w:left w:val="nil"/>
              <w:right w:val="nil"/>
            </w:tcBorders>
            <w:shd w:val="clear" w:color="auto" w:fill="auto"/>
            <w:noWrap/>
          </w:tcPr>
          <w:p w:rsidR="004843DB" w:rsidRPr="0062582F" w:rsidRDefault="004843DB" w:rsidP="004843DB">
            <w:pPr>
              <w:pStyle w:val="TableofFigures"/>
            </w:pPr>
            <w:r w:rsidRPr="0062582F">
              <w:t>1 212</w:t>
            </w:r>
          </w:p>
        </w:tc>
      </w:tr>
      <w:tr w:rsidR="004843DB" w:rsidRPr="0062582F" w:rsidTr="004843DB">
        <w:trPr>
          <w:cantSplit/>
          <w:trHeight w:hRule="exact" w:val="255"/>
        </w:trPr>
        <w:tc>
          <w:tcPr>
            <w:tcW w:w="5777" w:type="dxa"/>
            <w:tcBorders>
              <w:top w:val="nil"/>
              <w:left w:val="nil"/>
              <w:bottom w:val="single" w:sz="4" w:space="0" w:color="auto"/>
              <w:right w:val="nil"/>
            </w:tcBorders>
            <w:shd w:val="clear" w:color="auto" w:fill="auto"/>
          </w:tcPr>
          <w:p w:rsidR="004843DB" w:rsidRPr="0062582F" w:rsidRDefault="004843DB" w:rsidP="004843DB">
            <w:pPr>
              <w:pStyle w:val="Tabletext"/>
              <w:ind w:left="720" w:hanging="436"/>
            </w:pPr>
            <w:r w:rsidRPr="0062582F">
              <w:t>Other current assets (excluding cash)</w:t>
            </w:r>
          </w:p>
        </w:tc>
        <w:tc>
          <w:tcPr>
            <w:tcW w:w="1080" w:type="dxa"/>
            <w:tcBorders>
              <w:top w:val="nil"/>
              <w:left w:val="nil"/>
              <w:bottom w:val="single" w:sz="4" w:space="0" w:color="auto"/>
              <w:right w:val="nil"/>
            </w:tcBorders>
            <w:shd w:val="clear" w:color="00FFFF" w:fill="CCCCCC"/>
            <w:noWrap/>
          </w:tcPr>
          <w:p w:rsidR="004843DB" w:rsidRPr="0062582F" w:rsidRDefault="004843DB" w:rsidP="004843DB">
            <w:pPr>
              <w:pStyle w:val="TableofFigures"/>
            </w:pPr>
            <w:r w:rsidRPr="0062582F">
              <w:t>..</w:t>
            </w:r>
          </w:p>
        </w:tc>
        <w:tc>
          <w:tcPr>
            <w:tcW w:w="1147" w:type="dxa"/>
            <w:tcBorders>
              <w:top w:val="nil"/>
              <w:left w:val="nil"/>
              <w:bottom w:val="single" w:sz="4" w:space="0" w:color="auto"/>
              <w:right w:val="nil"/>
            </w:tcBorders>
            <w:shd w:val="clear" w:color="auto" w:fill="auto"/>
            <w:noWrap/>
          </w:tcPr>
          <w:p w:rsidR="004843DB" w:rsidRPr="0062582F" w:rsidRDefault="004843DB" w:rsidP="004843DB">
            <w:pPr>
              <w:pStyle w:val="TableofFigures"/>
            </w:pPr>
            <w:r w:rsidRPr="0062582F">
              <w:t>2 467</w:t>
            </w:r>
          </w:p>
        </w:tc>
      </w:tr>
      <w:tr w:rsidR="004843DB" w:rsidRPr="0062582F" w:rsidTr="004843DB">
        <w:trPr>
          <w:cantSplit/>
          <w:trHeight w:hRule="exact" w:val="313"/>
        </w:trPr>
        <w:tc>
          <w:tcPr>
            <w:tcW w:w="5777" w:type="dxa"/>
            <w:tcBorders>
              <w:top w:val="single" w:sz="4" w:space="0" w:color="auto"/>
              <w:left w:val="nil"/>
              <w:bottom w:val="nil"/>
              <w:right w:val="nil"/>
            </w:tcBorders>
            <w:shd w:val="clear" w:color="auto" w:fill="auto"/>
          </w:tcPr>
          <w:p w:rsidR="004843DB" w:rsidRPr="0062582F" w:rsidRDefault="004843DB" w:rsidP="004843DB">
            <w:pPr>
              <w:pStyle w:val="Tabletext"/>
              <w:ind w:left="436" w:hanging="436"/>
            </w:pPr>
            <w:r w:rsidRPr="0062582F">
              <w:t>Total current assets</w:t>
            </w:r>
          </w:p>
        </w:tc>
        <w:tc>
          <w:tcPr>
            <w:tcW w:w="1080" w:type="dxa"/>
            <w:tcBorders>
              <w:top w:val="single" w:sz="4" w:space="0" w:color="auto"/>
              <w:left w:val="nil"/>
              <w:bottom w:val="nil"/>
              <w:right w:val="nil"/>
            </w:tcBorders>
            <w:shd w:val="clear" w:color="00FFFF" w:fill="CCCCCC"/>
            <w:noWrap/>
          </w:tcPr>
          <w:p w:rsidR="004843DB" w:rsidRPr="0062582F" w:rsidRDefault="004843DB" w:rsidP="004843DB">
            <w:pPr>
              <w:pStyle w:val="TableofFigures"/>
            </w:pPr>
            <w:r w:rsidRPr="0062582F">
              <w:t>..</w:t>
            </w:r>
          </w:p>
        </w:tc>
        <w:tc>
          <w:tcPr>
            <w:tcW w:w="1147" w:type="dxa"/>
            <w:tcBorders>
              <w:top w:val="single" w:sz="4" w:space="0" w:color="auto"/>
              <w:left w:val="nil"/>
              <w:bottom w:val="nil"/>
              <w:right w:val="nil"/>
            </w:tcBorders>
            <w:shd w:val="clear" w:color="auto" w:fill="auto"/>
            <w:noWrap/>
          </w:tcPr>
          <w:p w:rsidR="004843DB" w:rsidRPr="0062582F" w:rsidRDefault="004843DB" w:rsidP="004843DB">
            <w:pPr>
              <w:pStyle w:val="TableofFigures"/>
            </w:pPr>
            <w:r w:rsidRPr="0062582F">
              <w:t>3 679</w:t>
            </w:r>
          </w:p>
        </w:tc>
      </w:tr>
      <w:tr w:rsidR="004843DB" w:rsidRPr="0062582F" w:rsidTr="004843DB">
        <w:trPr>
          <w:cantSplit/>
          <w:trHeight w:hRule="exact" w:val="255"/>
        </w:trPr>
        <w:tc>
          <w:tcPr>
            <w:tcW w:w="5777" w:type="dxa"/>
            <w:tcBorders>
              <w:top w:val="nil"/>
              <w:left w:val="nil"/>
              <w:bottom w:val="nil"/>
              <w:right w:val="nil"/>
            </w:tcBorders>
            <w:shd w:val="clear" w:color="auto" w:fill="auto"/>
            <w:hideMark/>
          </w:tcPr>
          <w:p w:rsidR="004843DB" w:rsidRPr="0062582F" w:rsidRDefault="004843DB" w:rsidP="004843DB">
            <w:pPr>
              <w:pStyle w:val="Tabletext"/>
            </w:pPr>
            <w:r w:rsidRPr="0062582F">
              <w:t>Total non</w:t>
            </w:r>
            <w:r w:rsidR="005A4BB0">
              <w:noBreakHyphen/>
            </w:r>
            <w:r w:rsidRPr="0062582F">
              <w:t>current assets</w:t>
            </w:r>
          </w:p>
        </w:tc>
        <w:tc>
          <w:tcPr>
            <w:tcW w:w="10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14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5 701</w:t>
            </w:r>
          </w:p>
        </w:tc>
      </w:tr>
      <w:tr w:rsidR="004843DB" w:rsidRPr="0062582F" w:rsidTr="004843DB">
        <w:trPr>
          <w:cantSplit/>
          <w:trHeight w:hRule="exact" w:val="255"/>
        </w:trPr>
        <w:tc>
          <w:tcPr>
            <w:tcW w:w="5777"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assets</w:t>
            </w:r>
          </w:p>
        </w:tc>
        <w:tc>
          <w:tcPr>
            <w:tcW w:w="108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1147"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9 380</w:t>
            </w:r>
          </w:p>
        </w:tc>
      </w:tr>
      <w:tr w:rsidR="004843DB" w:rsidRPr="0062582F" w:rsidTr="004843DB">
        <w:trPr>
          <w:cantSplit/>
          <w:trHeight w:hRule="exact" w:val="255"/>
        </w:trPr>
        <w:tc>
          <w:tcPr>
            <w:tcW w:w="5777" w:type="dxa"/>
            <w:tcBorders>
              <w:top w:val="nil"/>
              <w:left w:val="nil"/>
              <w:bottom w:val="nil"/>
              <w:right w:val="nil"/>
            </w:tcBorders>
            <w:shd w:val="clear" w:color="auto" w:fill="auto"/>
            <w:hideMark/>
          </w:tcPr>
          <w:p w:rsidR="004843DB" w:rsidRPr="0062582F" w:rsidRDefault="004843DB" w:rsidP="004843DB">
            <w:pPr>
              <w:pStyle w:val="Tabletext"/>
            </w:pPr>
            <w:r w:rsidRPr="0062582F">
              <w:t>Current liabilities</w:t>
            </w:r>
          </w:p>
        </w:tc>
        <w:tc>
          <w:tcPr>
            <w:tcW w:w="1080" w:type="dxa"/>
            <w:tcBorders>
              <w:top w:val="nil"/>
              <w:left w:val="nil"/>
              <w:bottom w:val="nil"/>
              <w:right w:val="nil"/>
            </w:tcBorders>
            <w:shd w:val="clear" w:color="00FFFF" w:fill="CCCCCC"/>
            <w:noWrap/>
          </w:tcPr>
          <w:p w:rsidR="004843DB" w:rsidRPr="0062582F" w:rsidRDefault="004843DB" w:rsidP="004843DB">
            <w:pPr>
              <w:pStyle w:val="TableofFigures"/>
            </w:pPr>
          </w:p>
        </w:tc>
        <w:tc>
          <w:tcPr>
            <w:tcW w:w="1147" w:type="dxa"/>
            <w:tcBorders>
              <w:top w:val="nil"/>
              <w:left w:val="nil"/>
              <w:bottom w:val="nil"/>
              <w:right w:val="nil"/>
            </w:tcBorders>
            <w:shd w:val="clear" w:color="auto" w:fill="auto"/>
            <w:noWrap/>
          </w:tcPr>
          <w:p w:rsidR="004843DB" w:rsidRPr="0062582F" w:rsidRDefault="004843DB" w:rsidP="004843DB">
            <w:pPr>
              <w:pStyle w:val="TableofFigures"/>
            </w:pPr>
          </w:p>
        </w:tc>
      </w:tr>
      <w:tr w:rsidR="004843DB" w:rsidRPr="0062582F" w:rsidTr="004843DB">
        <w:trPr>
          <w:cantSplit/>
          <w:trHeight w:hRule="exact" w:val="255"/>
        </w:trPr>
        <w:tc>
          <w:tcPr>
            <w:tcW w:w="5777" w:type="dxa"/>
            <w:tcBorders>
              <w:top w:val="nil"/>
              <w:left w:val="nil"/>
              <w:right w:val="nil"/>
            </w:tcBorders>
            <w:shd w:val="clear" w:color="auto" w:fill="auto"/>
          </w:tcPr>
          <w:p w:rsidR="004843DB" w:rsidRPr="0062582F" w:rsidRDefault="004843DB" w:rsidP="004843DB">
            <w:pPr>
              <w:pStyle w:val="Tabletext"/>
              <w:ind w:left="720" w:hanging="436"/>
            </w:pPr>
            <w:r w:rsidRPr="0062582F">
              <w:t>Financial liabilities (excluding payables, provisions)</w:t>
            </w:r>
          </w:p>
        </w:tc>
        <w:tc>
          <w:tcPr>
            <w:tcW w:w="1080" w:type="dxa"/>
            <w:tcBorders>
              <w:top w:val="nil"/>
              <w:left w:val="nil"/>
              <w:right w:val="nil"/>
            </w:tcBorders>
            <w:shd w:val="clear" w:color="00FFFF" w:fill="CCCCCC"/>
            <w:noWrap/>
          </w:tcPr>
          <w:p w:rsidR="004843DB" w:rsidRPr="0062582F" w:rsidRDefault="004843DB" w:rsidP="004843DB">
            <w:pPr>
              <w:pStyle w:val="TableofFigures"/>
            </w:pPr>
            <w:r w:rsidRPr="0062582F">
              <w:t>..</w:t>
            </w:r>
          </w:p>
        </w:tc>
        <w:tc>
          <w:tcPr>
            <w:tcW w:w="1147" w:type="dxa"/>
            <w:tcBorders>
              <w:top w:val="nil"/>
              <w:left w:val="nil"/>
              <w:right w:val="nil"/>
            </w:tcBorders>
            <w:shd w:val="clear" w:color="auto" w:fill="auto"/>
            <w:noWrap/>
          </w:tcPr>
          <w:p w:rsidR="004843DB" w:rsidRPr="0062582F" w:rsidRDefault="004843DB" w:rsidP="004843DB">
            <w:pPr>
              <w:pStyle w:val="TableofFigures"/>
            </w:pPr>
            <w:r w:rsidRPr="0062582F">
              <w:t>(300)</w:t>
            </w:r>
          </w:p>
        </w:tc>
      </w:tr>
      <w:tr w:rsidR="004843DB" w:rsidRPr="0062582F" w:rsidTr="004843DB">
        <w:trPr>
          <w:cantSplit/>
          <w:trHeight w:hRule="exact" w:val="255"/>
        </w:trPr>
        <w:tc>
          <w:tcPr>
            <w:tcW w:w="5777" w:type="dxa"/>
            <w:tcBorders>
              <w:top w:val="nil"/>
              <w:left w:val="nil"/>
              <w:bottom w:val="single" w:sz="4" w:space="0" w:color="auto"/>
              <w:right w:val="nil"/>
            </w:tcBorders>
            <w:shd w:val="clear" w:color="auto" w:fill="auto"/>
          </w:tcPr>
          <w:p w:rsidR="004843DB" w:rsidRPr="0062582F" w:rsidRDefault="004843DB" w:rsidP="004843DB">
            <w:pPr>
              <w:pStyle w:val="Tabletext"/>
              <w:ind w:left="720" w:hanging="436"/>
            </w:pPr>
            <w:r w:rsidRPr="0062582F">
              <w:t>Other non</w:t>
            </w:r>
            <w:r w:rsidR="005A4BB0">
              <w:noBreakHyphen/>
            </w:r>
            <w:r w:rsidRPr="0062582F">
              <w:t>financial liabilities (including payables, provisions)</w:t>
            </w:r>
          </w:p>
        </w:tc>
        <w:tc>
          <w:tcPr>
            <w:tcW w:w="1080" w:type="dxa"/>
            <w:tcBorders>
              <w:top w:val="nil"/>
              <w:left w:val="nil"/>
              <w:bottom w:val="single" w:sz="4" w:space="0" w:color="auto"/>
              <w:right w:val="nil"/>
            </w:tcBorders>
            <w:shd w:val="clear" w:color="00FFFF" w:fill="CCCCCC"/>
            <w:noWrap/>
          </w:tcPr>
          <w:p w:rsidR="004843DB" w:rsidRPr="0062582F" w:rsidRDefault="004843DB" w:rsidP="004843DB">
            <w:pPr>
              <w:pStyle w:val="TableofFigures"/>
            </w:pPr>
            <w:r w:rsidRPr="0062582F">
              <w:t>..</w:t>
            </w:r>
          </w:p>
        </w:tc>
        <w:tc>
          <w:tcPr>
            <w:tcW w:w="1147" w:type="dxa"/>
            <w:tcBorders>
              <w:top w:val="nil"/>
              <w:left w:val="nil"/>
              <w:bottom w:val="single" w:sz="4" w:space="0" w:color="auto"/>
              <w:right w:val="nil"/>
            </w:tcBorders>
            <w:shd w:val="clear" w:color="auto" w:fill="auto"/>
            <w:noWrap/>
          </w:tcPr>
          <w:p w:rsidR="004843DB" w:rsidRPr="0062582F" w:rsidRDefault="004843DB" w:rsidP="004843DB">
            <w:pPr>
              <w:pStyle w:val="TableofFigures"/>
            </w:pPr>
            <w:r w:rsidRPr="0062582F">
              <w:t>(751)</w:t>
            </w:r>
          </w:p>
        </w:tc>
      </w:tr>
      <w:tr w:rsidR="004843DB" w:rsidRPr="0062582F" w:rsidTr="004843DB">
        <w:trPr>
          <w:cantSplit/>
          <w:trHeight w:hRule="exact" w:val="349"/>
        </w:trPr>
        <w:tc>
          <w:tcPr>
            <w:tcW w:w="5777"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Total current liabilities</w:t>
            </w:r>
          </w:p>
        </w:tc>
        <w:tc>
          <w:tcPr>
            <w:tcW w:w="108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147"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(1 051)</w:t>
            </w:r>
          </w:p>
        </w:tc>
      </w:tr>
      <w:tr w:rsidR="004843DB" w:rsidRPr="0062582F" w:rsidTr="004843DB">
        <w:trPr>
          <w:cantSplit/>
          <w:trHeight w:hRule="exact" w:val="255"/>
        </w:trPr>
        <w:tc>
          <w:tcPr>
            <w:tcW w:w="5777" w:type="dxa"/>
            <w:tcBorders>
              <w:top w:val="nil"/>
              <w:left w:val="nil"/>
              <w:bottom w:val="nil"/>
              <w:right w:val="nil"/>
            </w:tcBorders>
            <w:shd w:val="clear" w:color="auto" w:fill="auto"/>
            <w:hideMark/>
          </w:tcPr>
          <w:p w:rsidR="004843DB" w:rsidRPr="0062582F" w:rsidRDefault="004843DB" w:rsidP="004843DB">
            <w:pPr>
              <w:pStyle w:val="Tabletext"/>
            </w:pPr>
            <w:r w:rsidRPr="0062582F">
              <w:t>Non</w:t>
            </w:r>
            <w:r w:rsidR="005A4BB0">
              <w:noBreakHyphen/>
            </w:r>
            <w:r w:rsidRPr="0062582F">
              <w:t>current liabilities</w:t>
            </w:r>
          </w:p>
        </w:tc>
        <w:tc>
          <w:tcPr>
            <w:tcW w:w="10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147"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cantSplit/>
          <w:trHeight w:hRule="exact" w:val="255"/>
        </w:trPr>
        <w:tc>
          <w:tcPr>
            <w:tcW w:w="5777" w:type="dxa"/>
            <w:tcBorders>
              <w:top w:val="nil"/>
              <w:left w:val="nil"/>
              <w:bottom w:val="nil"/>
              <w:right w:val="nil"/>
            </w:tcBorders>
            <w:shd w:val="clear" w:color="auto" w:fill="auto"/>
          </w:tcPr>
          <w:p w:rsidR="004843DB" w:rsidRPr="0062582F" w:rsidRDefault="004843DB" w:rsidP="004843DB">
            <w:pPr>
              <w:pStyle w:val="Tabletext"/>
              <w:ind w:left="720" w:hanging="436"/>
            </w:pPr>
            <w:r w:rsidRPr="0062582F">
              <w:t>Financial liabilities (excluding payables, provisions)</w:t>
            </w:r>
          </w:p>
        </w:tc>
        <w:tc>
          <w:tcPr>
            <w:tcW w:w="1080" w:type="dxa"/>
            <w:tcBorders>
              <w:top w:val="nil"/>
              <w:left w:val="nil"/>
              <w:bottom w:val="nil"/>
              <w:right w:val="nil"/>
            </w:tcBorders>
            <w:shd w:val="clear" w:color="00FFFF" w:fill="CCCCCC"/>
            <w:noWrap/>
          </w:tcPr>
          <w:p w:rsidR="004843DB" w:rsidRPr="0062582F" w:rsidRDefault="004843DB" w:rsidP="004843DB">
            <w:pPr>
              <w:pStyle w:val="TableofFigures"/>
            </w:pPr>
            <w:r w:rsidRPr="0062582F">
              <w:t>..</w:t>
            </w:r>
          </w:p>
        </w:tc>
        <w:tc>
          <w:tcPr>
            <w:tcW w:w="1147" w:type="dxa"/>
            <w:tcBorders>
              <w:top w:val="nil"/>
              <w:left w:val="nil"/>
              <w:bottom w:val="nil"/>
              <w:right w:val="nil"/>
            </w:tcBorders>
            <w:shd w:val="clear" w:color="auto" w:fill="auto"/>
            <w:noWrap/>
          </w:tcPr>
          <w:p w:rsidR="004843DB" w:rsidRPr="0062582F" w:rsidRDefault="004843DB" w:rsidP="004843DB">
            <w:pPr>
              <w:pStyle w:val="TableofFigures"/>
            </w:pPr>
            <w:r w:rsidRPr="0062582F">
              <w:t>(1 150)</w:t>
            </w:r>
          </w:p>
        </w:tc>
      </w:tr>
      <w:tr w:rsidR="004843DB" w:rsidRPr="0062582F" w:rsidTr="004843DB">
        <w:trPr>
          <w:cantSplit/>
          <w:trHeight w:hRule="exact" w:val="255"/>
        </w:trPr>
        <w:tc>
          <w:tcPr>
            <w:tcW w:w="5777" w:type="dxa"/>
            <w:tcBorders>
              <w:top w:val="nil"/>
              <w:left w:val="nil"/>
              <w:bottom w:val="single" w:sz="4" w:space="0" w:color="auto"/>
              <w:right w:val="nil"/>
            </w:tcBorders>
            <w:shd w:val="clear" w:color="auto" w:fill="auto"/>
          </w:tcPr>
          <w:p w:rsidR="004843DB" w:rsidRPr="0062582F" w:rsidRDefault="004843DB" w:rsidP="004843DB">
            <w:pPr>
              <w:pStyle w:val="Tabletext"/>
              <w:ind w:left="720" w:hanging="436"/>
            </w:pPr>
            <w:r w:rsidRPr="0062582F">
              <w:t>Other non</w:t>
            </w:r>
            <w:r w:rsidR="005A4BB0">
              <w:noBreakHyphen/>
            </w:r>
            <w:r w:rsidRPr="0062582F">
              <w:t>financial liabilities (including payables, provisions)</w:t>
            </w:r>
          </w:p>
        </w:tc>
        <w:tc>
          <w:tcPr>
            <w:tcW w:w="1080" w:type="dxa"/>
            <w:tcBorders>
              <w:top w:val="nil"/>
              <w:left w:val="nil"/>
              <w:bottom w:val="single" w:sz="4" w:space="0" w:color="auto"/>
              <w:right w:val="nil"/>
            </w:tcBorders>
            <w:shd w:val="clear" w:color="00FFFF" w:fill="CCCCCC"/>
            <w:noWrap/>
          </w:tcPr>
          <w:p w:rsidR="004843DB" w:rsidRPr="0062582F" w:rsidRDefault="004843DB" w:rsidP="004843DB">
            <w:pPr>
              <w:pStyle w:val="TableofFigures"/>
            </w:pPr>
            <w:r w:rsidRPr="0062582F">
              <w:t>..</w:t>
            </w:r>
          </w:p>
        </w:tc>
        <w:tc>
          <w:tcPr>
            <w:tcW w:w="1147" w:type="dxa"/>
            <w:tcBorders>
              <w:top w:val="nil"/>
              <w:left w:val="nil"/>
              <w:bottom w:val="single" w:sz="4" w:space="0" w:color="auto"/>
              <w:right w:val="nil"/>
            </w:tcBorders>
            <w:shd w:val="clear" w:color="auto" w:fill="auto"/>
            <w:noWrap/>
          </w:tcPr>
          <w:p w:rsidR="004843DB" w:rsidRPr="0062582F" w:rsidRDefault="004843DB" w:rsidP="004843DB">
            <w:pPr>
              <w:pStyle w:val="TableofFigures"/>
            </w:pPr>
            <w:r w:rsidRPr="0062582F">
              <w:t>(1 303)</w:t>
            </w:r>
          </w:p>
        </w:tc>
      </w:tr>
      <w:tr w:rsidR="004843DB" w:rsidRPr="0062582F" w:rsidTr="004843DB">
        <w:trPr>
          <w:cantSplit/>
          <w:trHeight w:hRule="exact" w:val="255"/>
        </w:trPr>
        <w:tc>
          <w:tcPr>
            <w:tcW w:w="5777" w:type="dxa"/>
            <w:tcBorders>
              <w:top w:val="nil"/>
              <w:left w:val="nil"/>
              <w:bottom w:val="nil"/>
              <w:right w:val="nil"/>
            </w:tcBorders>
            <w:shd w:val="clear" w:color="auto" w:fill="auto"/>
            <w:hideMark/>
          </w:tcPr>
          <w:p w:rsidR="004843DB" w:rsidRPr="0062582F" w:rsidRDefault="004843DB" w:rsidP="004843DB">
            <w:pPr>
              <w:pStyle w:val="Tabletext"/>
            </w:pPr>
            <w:r w:rsidRPr="0062582F">
              <w:t>Total non</w:t>
            </w:r>
            <w:r w:rsidR="005A4BB0">
              <w:noBreakHyphen/>
            </w:r>
            <w:r w:rsidRPr="0062582F">
              <w:t>current liabilities</w:t>
            </w:r>
          </w:p>
        </w:tc>
        <w:tc>
          <w:tcPr>
            <w:tcW w:w="10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14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(2 453)</w:t>
            </w:r>
          </w:p>
        </w:tc>
      </w:tr>
      <w:tr w:rsidR="004843DB" w:rsidRPr="0062582F" w:rsidTr="004843DB">
        <w:trPr>
          <w:cantSplit/>
          <w:trHeight w:hRule="exact" w:val="255"/>
        </w:trPr>
        <w:tc>
          <w:tcPr>
            <w:tcW w:w="5777"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liabilities</w:t>
            </w:r>
          </w:p>
        </w:tc>
        <w:tc>
          <w:tcPr>
            <w:tcW w:w="10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1147"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(3 504)</w:t>
            </w:r>
          </w:p>
        </w:tc>
      </w:tr>
      <w:tr w:rsidR="004843DB" w:rsidRPr="0062582F" w:rsidTr="004843DB">
        <w:trPr>
          <w:cantSplit/>
          <w:trHeight w:hRule="exact" w:val="255"/>
        </w:trPr>
        <w:tc>
          <w:tcPr>
            <w:tcW w:w="5777" w:type="dxa"/>
            <w:tcBorders>
              <w:top w:val="single" w:sz="12"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Net assets</w:t>
            </w:r>
          </w:p>
        </w:tc>
        <w:tc>
          <w:tcPr>
            <w:tcW w:w="1080" w:type="dxa"/>
            <w:tcBorders>
              <w:top w:val="single" w:sz="12"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1147" w:type="dxa"/>
            <w:tcBorders>
              <w:top w:val="single" w:sz="12"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5 876</w:t>
            </w:r>
          </w:p>
        </w:tc>
      </w:tr>
      <w:tr w:rsidR="004843DB" w:rsidRPr="0062582F" w:rsidTr="004843DB">
        <w:trPr>
          <w:cantSplit/>
          <w:trHeight w:hRule="exact" w:val="255"/>
        </w:trPr>
        <w:tc>
          <w:tcPr>
            <w:tcW w:w="5777" w:type="dxa"/>
            <w:tcBorders>
              <w:top w:val="single" w:sz="12" w:space="0" w:color="auto"/>
              <w:left w:val="nil"/>
              <w:right w:val="nil"/>
            </w:tcBorders>
            <w:shd w:val="clear" w:color="auto" w:fill="auto"/>
          </w:tcPr>
          <w:p w:rsidR="004843DB" w:rsidRPr="0062582F" w:rsidRDefault="004843DB" w:rsidP="004843DB">
            <w:pPr>
              <w:pStyle w:val="Tabletext"/>
              <w:rPr>
                <w:b/>
              </w:rPr>
            </w:pPr>
          </w:p>
        </w:tc>
        <w:tc>
          <w:tcPr>
            <w:tcW w:w="1080" w:type="dxa"/>
            <w:tcBorders>
              <w:top w:val="single" w:sz="12" w:space="0" w:color="auto"/>
              <w:left w:val="nil"/>
              <w:right w:val="nil"/>
            </w:tcBorders>
            <w:shd w:val="clear" w:color="auto" w:fill="auto"/>
            <w:noWrap/>
          </w:tcPr>
          <w:p w:rsidR="004843DB" w:rsidRPr="0062582F" w:rsidRDefault="004843DB" w:rsidP="004843DB">
            <w:pPr>
              <w:pStyle w:val="TableofFigures"/>
              <w:rPr>
                <w:b/>
              </w:rPr>
            </w:pPr>
          </w:p>
        </w:tc>
        <w:tc>
          <w:tcPr>
            <w:tcW w:w="1147" w:type="dxa"/>
            <w:tcBorders>
              <w:top w:val="single" w:sz="12" w:space="0" w:color="auto"/>
              <w:left w:val="nil"/>
              <w:right w:val="nil"/>
            </w:tcBorders>
            <w:shd w:val="clear" w:color="auto" w:fill="auto"/>
            <w:noWrap/>
          </w:tcPr>
          <w:p w:rsidR="004843DB" w:rsidRPr="0062582F" w:rsidDel="00730A6B" w:rsidRDefault="004843DB" w:rsidP="004843DB">
            <w:pPr>
              <w:pStyle w:val="TableofFigures"/>
              <w:rPr>
                <w:b/>
              </w:rPr>
            </w:pPr>
          </w:p>
        </w:tc>
      </w:tr>
      <w:tr w:rsidR="004843DB" w:rsidRPr="0062582F" w:rsidTr="004843DB">
        <w:trPr>
          <w:cantSplit/>
          <w:trHeight w:hRule="exact" w:val="255"/>
        </w:trPr>
        <w:tc>
          <w:tcPr>
            <w:tcW w:w="8004" w:type="dxa"/>
            <w:gridSpan w:val="3"/>
            <w:tcBorders>
              <w:left w:val="nil"/>
              <w:bottom w:val="single" w:sz="4" w:space="0" w:color="auto"/>
              <w:right w:val="nil"/>
            </w:tcBorders>
            <w:shd w:val="clear" w:color="auto" w:fill="auto"/>
          </w:tcPr>
          <w:p w:rsidR="004843DB" w:rsidRPr="0062582F" w:rsidDel="0032372F" w:rsidRDefault="004843DB" w:rsidP="004843DB">
            <w:pPr>
              <w:pStyle w:val="million"/>
              <w:spacing w:before="20"/>
              <w:rPr>
                <w:b/>
              </w:rPr>
            </w:pPr>
            <w:r w:rsidRPr="0062582F">
              <w:t>($ thousand)</w:t>
            </w:r>
          </w:p>
        </w:tc>
      </w:tr>
      <w:tr w:rsidR="004843DB" w:rsidRPr="0062582F" w:rsidTr="004843DB">
        <w:trPr>
          <w:cantSplit/>
          <w:trHeight w:hRule="exact" w:val="255"/>
        </w:trPr>
        <w:tc>
          <w:tcPr>
            <w:tcW w:w="5777" w:type="dxa"/>
            <w:tcBorders>
              <w:top w:val="nil"/>
              <w:left w:val="nil"/>
              <w:bottom w:val="single" w:sz="4" w:space="0" w:color="auto"/>
              <w:right w:val="nil"/>
            </w:tcBorders>
            <w:shd w:val="clear" w:color="auto" w:fill="auto"/>
          </w:tcPr>
          <w:p w:rsidR="004843DB" w:rsidRPr="0062582F" w:rsidRDefault="004843DB" w:rsidP="004843DB">
            <w:pPr>
              <w:pStyle w:val="Tabletext"/>
              <w:rPr>
                <w:b/>
              </w:rPr>
            </w:pPr>
            <w:r w:rsidRPr="0062582F">
              <w:rPr>
                <w:b/>
              </w:rPr>
              <w:t>Summarised operating statement</w:t>
            </w:r>
          </w:p>
        </w:tc>
        <w:tc>
          <w:tcPr>
            <w:tcW w:w="1080" w:type="dxa"/>
            <w:tcBorders>
              <w:top w:val="nil"/>
              <w:left w:val="nil"/>
              <w:bottom w:val="single" w:sz="4" w:space="0" w:color="auto"/>
              <w:right w:val="nil"/>
            </w:tcBorders>
            <w:shd w:val="clear" w:color="00FFFF" w:fill="CCCCCC"/>
            <w:noWrap/>
          </w:tcPr>
          <w:p w:rsidR="004843DB" w:rsidRPr="0062582F" w:rsidRDefault="004843DB" w:rsidP="004843DB">
            <w:pPr>
              <w:pStyle w:val="TableofFigures"/>
              <w:rPr>
                <w:b/>
              </w:rPr>
            </w:pPr>
            <w:r w:rsidRPr="0062582F">
              <w:rPr>
                <w:i/>
              </w:rPr>
              <w:t>2016</w:t>
            </w:r>
          </w:p>
        </w:tc>
        <w:tc>
          <w:tcPr>
            <w:tcW w:w="1147" w:type="dxa"/>
            <w:tcBorders>
              <w:top w:val="nil"/>
              <w:left w:val="nil"/>
              <w:bottom w:val="single" w:sz="4" w:space="0" w:color="auto"/>
              <w:right w:val="nil"/>
            </w:tcBorders>
            <w:shd w:val="clear" w:color="auto" w:fill="auto"/>
            <w:noWrap/>
          </w:tcPr>
          <w:p w:rsidR="004843DB" w:rsidRPr="0062582F" w:rsidRDefault="004843DB" w:rsidP="004843DB">
            <w:pPr>
              <w:pStyle w:val="TableofFigures"/>
              <w:rPr>
                <w:b/>
              </w:rPr>
            </w:pPr>
            <w:r w:rsidRPr="0062582F">
              <w:rPr>
                <w:i/>
              </w:rPr>
              <w:t>2015</w:t>
            </w:r>
          </w:p>
        </w:tc>
      </w:tr>
      <w:tr w:rsidR="004843DB" w:rsidRPr="0062582F" w:rsidTr="004843DB">
        <w:trPr>
          <w:cantSplit/>
          <w:trHeight w:hRule="exact" w:val="255"/>
        </w:trPr>
        <w:tc>
          <w:tcPr>
            <w:tcW w:w="5777" w:type="dxa"/>
            <w:tcBorders>
              <w:top w:val="single" w:sz="4" w:space="0" w:color="auto"/>
              <w:left w:val="nil"/>
              <w:right w:val="nil"/>
            </w:tcBorders>
            <w:shd w:val="clear" w:color="auto" w:fill="auto"/>
          </w:tcPr>
          <w:p w:rsidR="004843DB" w:rsidRPr="0062582F" w:rsidRDefault="004843DB" w:rsidP="004843DB">
            <w:pPr>
              <w:pStyle w:val="Tabletext"/>
              <w:ind w:left="436" w:hanging="436"/>
            </w:pPr>
            <w:r w:rsidRPr="0062582F">
              <w:t>Revenue</w:t>
            </w:r>
          </w:p>
        </w:tc>
        <w:tc>
          <w:tcPr>
            <w:tcW w:w="1080" w:type="dxa"/>
            <w:tcBorders>
              <w:top w:val="single" w:sz="4" w:space="0" w:color="auto"/>
              <w:left w:val="nil"/>
              <w:right w:val="nil"/>
            </w:tcBorders>
            <w:shd w:val="clear" w:color="00FFFF" w:fill="CCCCCC"/>
            <w:noWrap/>
          </w:tcPr>
          <w:p w:rsidR="004843DB" w:rsidRPr="0062582F" w:rsidRDefault="004843DB" w:rsidP="004843DB">
            <w:pPr>
              <w:pStyle w:val="TableofFigures"/>
              <w:rPr>
                <w:b/>
              </w:rPr>
            </w:pPr>
            <w:r w:rsidRPr="0062582F">
              <w:t>..</w:t>
            </w:r>
          </w:p>
        </w:tc>
        <w:tc>
          <w:tcPr>
            <w:tcW w:w="1147" w:type="dxa"/>
            <w:tcBorders>
              <w:top w:val="single" w:sz="4" w:space="0" w:color="auto"/>
              <w:left w:val="nil"/>
              <w:right w:val="nil"/>
            </w:tcBorders>
            <w:shd w:val="clear" w:color="auto" w:fill="auto"/>
            <w:noWrap/>
          </w:tcPr>
          <w:p w:rsidR="004843DB" w:rsidRPr="0062582F" w:rsidRDefault="004843DB" w:rsidP="004843DB">
            <w:pPr>
              <w:pStyle w:val="TableofFigures"/>
            </w:pPr>
            <w:r w:rsidRPr="0062582F">
              <w:t>9 055</w:t>
            </w:r>
          </w:p>
        </w:tc>
      </w:tr>
      <w:tr w:rsidR="004843DB" w:rsidRPr="0062582F" w:rsidTr="004843DB">
        <w:trPr>
          <w:cantSplit/>
          <w:trHeight w:hRule="exact" w:val="255"/>
        </w:trPr>
        <w:tc>
          <w:tcPr>
            <w:tcW w:w="5777" w:type="dxa"/>
            <w:tcBorders>
              <w:left w:val="nil"/>
              <w:right w:val="nil"/>
            </w:tcBorders>
            <w:shd w:val="clear" w:color="auto" w:fill="auto"/>
          </w:tcPr>
          <w:p w:rsidR="004843DB" w:rsidRPr="0062582F" w:rsidRDefault="004843DB" w:rsidP="004843DB">
            <w:pPr>
              <w:pStyle w:val="Tabletext"/>
              <w:ind w:left="436" w:hanging="436"/>
            </w:pPr>
            <w:r w:rsidRPr="0062582F">
              <w:t>Interest income</w:t>
            </w:r>
          </w:p>
        </w:tc>
        <w:tc>
          <w:tcPr>
            <w:tcW w:w="1080" w:type="dxa"/>
            <w:tcBorders>
              <w:left w:val="nil"/>
              <w:right w:val="nil"/>
            </w:tcBorders>
            <w:shd w:val="clear" w:color="00FFFF" w:fill="CCCCCC"/>
            <w:noWrap/>
          </w:tcPr>
          <w:p w:rsidR="004843DB" w:rsidRPr="0062582F" w:rsidRDefault="004843DB" w:rsidP="004843DB">
            <w:pPr>
              <w:pStyle w:val="TableofFigures"/>
              <w:rPr>
                <w:b/>
              </w:rPr>
            </w:pPr>
            <w:r w:rsidRPr="0062582F">
              <w:t>..</w:t>
            </w:r>
          </w:p>
        </w:tc>
        <w:tc>
          <w:tcPr>
            <w:tcW w:w="1147" w:type="dxa"/>
            <w:tcBorders>
              <w:left w:val="nil"/>
              <w:right w:val="nil"/>
            </w:tcBorders>
            <w:shd w:val="clear" w:color="auto" w:fill="auto"/>
            <w:noWrap/>
          </w:tcPr>
          <w:p w:rsidR="004843DB" w:rsidRPr="0062582F" w:rsidRDefault="004843DB" w:rsidP="004843DB">
            <w:pPr>
              <w:pStyle w:val="TableofFigures"/>
            </w:pPr>
            <w:r w:rsidRPr="0062582F">
              <w:t>350</w:t>
            </w:r>
          </w:p>
        </w:tc>
      </w:tr>
      <w:tr w:rsidR="004843DB" w:rsidRPr="0062582F" w:rsidTr="004843DB">
        <w:trPr>
          <w:cantSplit/>
          <w:trHeight w:hRule="exact" w:val="255"/>
        </w:trPr>
        <w:tc>
          <w:tcPr>
            <w:tcW w:w="5777" w:type="dxa"/>
            <w:tcBorders>
              <w:left w:val="nil"/>
              <w:right w:val="nil"/>
            </w:tcBorders>
            <w:shd w:val="clear" w:color="auto" w:fill="auto"/>
          </w:tcPr>
          <w:p w:rsidR="004843DB" w:rsidRPr="0062582F" w:rsidRDefault="004843DB" w:rsidP="004843DB">
            <w:pPr>
              <w:pStyle w:val="Tabletext"/>
            </w:pPr>
            <w:r w:rsidRPr="0062582F">
              <w:t>Depreciation</w:t>
            </w:r>
          </w:p>
        </w:tc>
        <w:tc>
          <w:tcPr>
            <w:tcW w:w="1080" w:type="dxa"/>
            <w:tcBorders>
              <w:left w:val="nil"/>
              <w:right w:val="nil"/>
            </w:tcBorders>
            <w:shd w:val="clear" w:color="00FFFF" w:fill="CCCCCC"/>
            <w:noWrap/>
          </w:tcPr>
          <w:p w:rsidR="004843DB" w:rsidRPr="0062582F" w:rsidRDefault="004843DB" w:rsidP="004843DB">
            <w:pPr>
              <w:pStyle w:val="TableofFigures"/>
              <w:rPr>
                <w:b/>
              </w:rPr>
            </w:pPr>
            <w:r w:rsidRPr="0062582F">
              <w:t>..</w:t>
            </w:r>
          </w:p>
        </w:tc>
        <w:tc>
          <w:tcPr>
            <w:tcW w:w="1147" w:type="dxa"/>
            <w:tcBorders>
              <w:left w:val="nil"/>
              <w:right w:val="nil"/>
            </w:tcBorders>
            <w:shd w:val="clear" w:color="auto" w:fill="auto"/>
            <w:noWrap/>
          </w:tcPr>
          <w:p w:rsidR="004843DB" w:rsidRPr="0062582F" w:rsidRDefault="004843DB" w:rsidP="004843DB">
            <w:pPr>
              <w:pStyle w:val="TableofFigures"/>
            </w:pPr>
            <w:r w:rsidRPr="0062582F">
              <w:t>(265)</w:t>
            </w:r>
          </w:p>
        </w:tc>
      </w:tr>
      <w:tr w:rsidR="004843DB" w:rsidRPr="0062582F" w:rsidTr="004843DB">
        <w:trPr>
          <w:cantSplit/>
          <w:trHeight w:hRule="exact" w:val="255"/>
        </w:trPr>
        <w:tc>
          <w:tcPr>
            <w:tcW w:w="5777" w:type="dxa"/>
            <w:tcBorders>
              <w:left w:val="nil"/>
              <w:bottom w:val="single" w:sz="4" w:space="0" w:color="auto"/>
              <w:right w:val="nil"/>
            </w:tcBorders>
            <w:shd w:val="clear" w:color="auto" w:fill="auto"/>
          </w:tcPr>
          <w:p w:rsidR="004843DB" w:rsidRPr="0062582F" w:rsidRDefault="004843DB" w:rsidP="004843DB">
            <w:pPr>
              <w:pStyle w:val="Tabletext"/>
            </w:pPr>
            <w:r w:rsidRPr="0062582F">
              <w:t>Interest expense</w:t>
            </w:r>
          </w:p>
        </w:tc>
        <w:tc>
          <w:tcPr>
            <w:tcW w:w="1080" w:type="dxa"/>
            <w:tcBorders>
              <w:left w:val="nil"/>
              <w:bottom w:val="single" w:sz="4" w:space="0" w:color="auto"/>
              <w:right w:val="nil"/>
            </w:tcBorders>
            <w:shd w:val="clear" w:color="00FFFF" w:fill="CCCCCC"/>
            <w:noWrap/>
          </w:tcPr>
          <w:p w:rsidR="004843DB" w:rsidRPr="0062582F" w:rsidRDefault="004843DB" w:rsidP="004843DB">
            <w:pPr>
              <w:pStyle w:val="TableofFigures"/>
              <w:rPr>
                <w:b/>
              </w:rPr>
            </w:pPr>
            <w:r w:rsidRPr="0062582F">
              <w:t>..</w:t>
            </w:r>
          </w:p>
        </w:tc>
        <w:tc>
          <w:tcPr>
            <w:tcW w:w="1147" w:type="dxa"/>
            <w:tcBorders>
              <w:left w:val="nil"/>
              <w:bottom w:val="single" w:sz="4" w:space="0" w:color="auto"/>
              <w:right w:val="nil"/>
            </w:tcBorders>
            <w:shd w:val="clear" w:color="auto" w:fill="auto"/>
            <w:noWrap/>
          </w:tcPr>
          <w:p w:rsidR="004843DB" w:rsidRPr="0062582F" w:rsidRDefault="004843DB" w:rsidP="004843DB">
            <w:pPr>
              <w:pStyle w:val="TableofFigures"/>
            </w:pPr>
            <w:r w:rsidRPr="0062582F">
              <w:t>(1 250)</w:t>
            </w:r>
          </w:p>
        </w:tc>
      </w:tr>
      <w:tr w:rsidR="004843DB" w:rsidRPr="0062582F" w:rsidTr="004843DB">
        <w:trPr>
          <w:cantSplit/>
          <w:trHeight w:hRule="exact" w:val="255"/>
        </w:trPr>
        <w:tc>
          <w:tcPr>
            <w:tcW w:w="5777" w:type="dxa"/>
            <w:tcBorders>
              <w:left w:val="nil"/>
              <w:bottom w:val="single" w:sz="4" w:space="0" w:color="auto"/>
              <w:right w:val="nil"/>
            </w:tcBorders>
            <w:shd w:val="clear" w:color="auto" w:fill="auto"/>
          </w:tcPr>
          <w:p w:rsidR="004843DB" w:rsidRPr="0062582F" w:rsidRDefault="004843DB" w:rsidP="004843DB">
            <w:pPr>
              <w:pStyle w:val="Tabletext"/>
            </w:pPr>
            <w:r w:rsidRPr="0062582F">
              <w:t>Total income from transaction</w:t>
            </w:r>
          </w:p>
        </w:tc>
        <w:tc>
          <w:tcPr>
            <w:tcW w:w="1080" w:type="dxa"/>
            <w:tcBorders>
              <w:left w:val="nil"/>
              <w:bottom w:val="single" w:sz="4" w:space="0" w:color="auto"/>
              <w:right w:val="nil"/>
            </w:tcBorders>
            <w:shd w:val="clear" w:color="00FFFF" w:fill="CCCCCC"/>
            <w:noWrap/>
          </w:tcPr>
          <w:p w:rsidR="004843DB" w:rsidRPr="0062582F" w:rsidRDefault="004843DB" w:rsidP="004843DB">
            <w:pPr>
              <w:pStyle w:val="TableofFigures"/>
            </w:pPr>
          </w:p>
        </w:tc>
        <w:tc>
          <w:tcPr>
            <w:tcW w:w="1147" w:type="dxa"/>
            <w:tcBorders>
              <w:left w:val="nil"/>
              <w:bottom w:val="single" w:sz="4" w:space="0" w:color="auto"/>
              <w:right w:val="nil"/>
            </w:tcBorders>
            <w:shd w:val="clear" w:color="auto" w:fill="auto"/>
            <w:noWrap/>
          </w:tcPr>
          <w:p w:rsidR="004843DB" w:rsidRPr="0062582F" w:rsidRDefault="004843DB" w:rsidP="004843DB">
            <w:pPr>
              <w:pStyle w:val="TableofFigures"/>
            </w:pPr>
            <w:r w:rsidRPr="0062582F">
              <w:t>7 890</w:t>
            </w:r>
          </w:p>
        </w:tc>
      </w:tr>
      <w:tr w:rsidR="004843DB" w:rsidRPr="0062582F" w:rsidTr="004843DB">
        <w:trPr>
          <w:cantSplit/>
          <w:trHeight w:hRule="exact" w:val="255"/>
        </w:trPr>
        <w:tc>
          <w:tcPr>
            <w:tcW w:w="5777" w:type="dxa"/>
            <w:tcBorders>
              <w:top w:val="single" w:sz="4" w:space="0" w:color="auto"/>
              <w:left w:val="nil"/>
              <w:right w:val="nil"/>
            </w:tcBorders>
            <w:shd w:val="clear" w:color="auto" w:fill="auto"/>
          </w:tcPr>
          <w:p w:rsidR="004843DB" w:rsidRPr="0062582F" w:rsidRDefault="004843DB" w:rsidP="004843DB">
            <w:pPr>
              <w:pStyle w:val="Tabletext"/>
              <w:rPr>
                <w:b/>
              </w:rPr>
            </w:pPr>
            <w:r w:rsidRPr="0062582F">
              <w:t>Net result from continuing operation</w:t>
            </w:r>
          </w:p>
        </w:tc>
        <w:tc>
          <w:tcPr>
            <w:tcW w:w="1080" w:type="dxa"/>
            <w:tcBorders>
              <w:top w:val="single" w:sz="4" w:space="0" w:color="auto"/>
              <w:left w:val="nil"/>
              <w:right w:val="nil"/>
            </w:tcBorders>
            <w:shd w:val="clear" w:color="00FFFF" w:fill="CCCCCC"/>
            <w:noWrap/>
          </w:tcPr>
          <w:p w:rsidR="004843DB" w:rsidRPr="0062582F" w:rsidRDefault="004843DB" w:rsidP="004843DB">
            <w:pPr>
              <w:pStyle w:val="TableofFigures"/>
              <w:rPr>
                <w:b/>
              </w:rPr>
            </w:pPr>
            <w:r w:rsidRPr="0062582F">
              <w:t>..</w:t>
            </w:r>
          </w:p>
        </w:tc>
        <w:tc>
          <w:tcPr>
            <w:tcW w:w="1147" w:type="dxa"/>
            <w:tcBorders>
              <w:top w:val="single" w:sz="4" w:space="0" w:color="auto"/>
              <w:left w:val="nil"/>
              <w:right w:val="nil"/>
            </w:tcBorders>
            <w:shd w:val="clear" w:color="auto" w:fill="auto"/>
            <w:noWrap/>
          </w:tcPr>
          <w:p w:rsidR="004843DB" w:rsidRPr="0062582F" w:rsidRDefault="004843DB" w:rsidP="004843DB">
            <w:pPr>
              <w:pStyle w:val="TableofFigures"/>
            </w:pPr>
            <w:r w:rsidRPr="0062582F">
              <w:t>2 536</w:t>
            </w:r>
          </w:p>
        </w:tc>
      </w:tr>
      <w:tr w:rsidR="004843DB" w:rsidRPr="0062582F" w:rsidTr="004843DB">
        <w:trPr>
          <w:cantSplit/>
          <w:trHeight w:hRule="exact" w:val="255"/>
        </w:trPr>
        <w:tc>
          <w:tcPr>
            <w:tcW w:w="5777" w:type="dxa"/>
            <w:tcBorders>
              <w:top w:val="nil"/>
              <w:left w:val="nil"/>
              <w:bottom w:val="single" w:sz="4" w:space="0" w:color="auto"/>
              <w:right w:val="nil"/>
            </w:tcBorders>
            <w:shd w:val="clear" w:color="auto" w:fill="auto"/>
          </w:tcPr>
          <w:p w:rsidR="004843DB" w:rsidRPr="0062582F" w:rsidRDefault="004843DB" w:rsidP="004843DB">
            <w:pPr>
              <w:pStyle w:val="Tabletext"/>
              <w:rPr>
                <w:b/>
              </w:rPr>
            </w:pPr>
            <w:r w:rsidRPr="0062582F">
              <w:t>Net result from discounting operation</w:t>
            </w:r>
          </w:p>
        </w:tc>
        <w:tc>
          <w:tcPr>
            <w:tcW w:w="1080" w:type="dxa"/>
            <w:tcBorders>
              <w:top w:val="nil"/>
              <w:left w:val="nil"/>
              <w:bottom w:val="single" w:sz="4" w:space="0" w:color="auto"/>
              <w:right w:val="nil"/>
            </w:tcBorders>
            <w:shd w:val="clear" w:color="00FFFF" w:fill="CCCCCC"/>
            <w:noWrap/>
          </w:tcPr>
          <w:p w:rsidR="004843DB" w:rsidRPr="0062582F" w:rsidRDefault="004843DB" w:rsidP="004843DB">
            <w:pPr>
              <w:pStyle w:val="TableofFigures"/>
              <w:rPr>
                <w:b/>
              </w:rPr>
            </w:pPr>
            <w:r w:rsidRPr="0062582F">
              <w:t>..</w:t>
            </w:r>
          </w:p>
        </w:tc>
        <w:tc>
          <w:tcPr>
            <w:tcW w:w="1147" w:type="dxa"/>
            <w:tcBorders>
              <w:top w:val="nil"/>
              <w:left w:val="nil"/>
              <w:bottom w:val="single" w:sz="4" w:space="0" w:color="auto"/>
              <w:right w:val="nil"/>
            </w:tcBorders>
            <w:shd w:val="clear" w:color="auto" w:fill="auto"/>
            <w:noWrap/>
          </w:tcPr>
          <w:p w:rsidR="004843DB" w:rsidRPr="0062582F" w:rsidRDefault="004843DB" w:rsidP="004843DB">
            <w:pPr>
              <w:pStyle w:val="TableofFigures"/>
            </w:pPr>
            <w:r w:rsidRPr="0062582F">
              <w:t>447</w:t>
            </w:r>
          </w:p>
        </w:tc>
      </w:tr>
      <w:tr w:rsidR="004843DB" w:rsidRPr="0062582F" w:rsidTr="004843DB">
        <w:trPr>
          <w:cantSplit/>
          <w:trHeight w:hRule="exact" w:val="255"/>
        </w:trPr>
        <w:tc>
          <w:tcPr>
            <w:tcW w:w="5777" w:type="dxa"/>
            <w:tcBorders>
              <w:top w:val="nil"/>
              <w:left w:val="nil"/>
              <w:bottom w:val="single" w:sz="4" w:space="0" w:color="auto"/>
              <w:right w:val="nil"/>
            </w:tcBorders>
            <w:shd w:val="clear" w:color="auto" w:fill="auto"/>
          </w:tcPr>
          <w:p w:rsidR="004843DB" w:rsidRPr="0062582F" w:rsidRDefault="004843DB" w:rsidP="004843DB">
            <w:pPr>
              <w:pStyle w:val="Tabletext"/>
              <w:rPr>
                <w:b/>
              </w:rPr>
            </w:pPr>
            <w:r w:rsidRPr="0062582F">
              <w:rPr>
                <w:b/>
              </w:rPr>
              <w:t>Net result</w:t>
            </w:r>
          </w:p>
        </w:tc>
        <w:tc>
          <w:tcPr>
            <w:tcW w:w="1080" w:type="dxa"/>
            <w:tcBorders>
              <w:top w:val="nil"/>
              <w:left w:val="nil"/>
              <w:bottom w:val="single" w:sz="4" w:space="0" w:color="auto"/>
              <w:right w:val="nil"/>
            </w:tcBorders>
            <w:shd w:val="clear" w:color="00FFFF" w:fill="CCCCCC"/>
            <w:noWrap/>
          </w:tcPr>
          <w:p w:rsidR="004843DB" w:rsidRPr="0062582F" w:rsidRDefault="004843DB" w:rsidP="004843DB">
            <w:pPr>
              <w:pStyle w:val="TableofFigures"/>
              <w:rPr>
                <w:b/>
              </w:rPr>
            </w:pPr>
            <w:r w:rsidRPr="0062582F">
              <w:t>..</w:t>
            </w:r>
          </w:p>
        </w:tc>
        <w:tc>
          <w:tcPr>
            <w:tcW w:w="1147" w:type="dxa"/>
            <w:tcBorders>
              <w:top w:val="nil"/>
              <w:left w:val="nil"/>
              <w:bottom w:val="single" w:sz="4" w:space="0" w:color="auto"/>
              <w:right w:val="nil"/>
            </w:tcBorders>
            <w:shd w:val="clear" w:color="auto" w:fill="auto"/>
            <w:noWrap/>
          </w:tcPr>
          <w:p w:rsidR="004843DB" w:rsidRPr="0062582F" w:rsidRDefault="004843DB" w:rsidP="004843DB">
            <w:pPr>
              <w:pStyle w:val="TableofFigures"/>
              <w:rPr>
                <w:b/>
              </w:rPr>
            </w:pPr>
            <w:r w:rsidRPr="0062582F">
              <w:rPr>
                <w:b/>
              </w:rPr>
              <w:t>2 983</w:t>
            </w:r>
          </w:p>
        </w:tc>
      </w:tr>
      <w:tr w:rsidR="004843DB" w:rsidRPr="0062582F" w:rsidTr="004843DB">
        <w:trPr>
          <w:cantSplit/>
          <w:trHeight w:hRule="exact" w:val="255"/>
        </w:trPr>
        <w:tc>
          <w:tcPr>
            <w:tcW w:w="5777" w:type="dxa"/>
            <w:tcBorders>
              <w:top w:val="nil"/>
              <w:left w:val="nil"/>
              <w:bottom w:val="single" w:sz="12" w:space="0" w:color="auto"/>
              <w:right w:val="nil"/>
            </w:tcBorders>
            <w:shd w:val="clear" w:color="auto" w:fill="auto"/>
            <w:hideMark/>
          </w:tcPr>
          <w:p w:rsidR="004843DB" w:rsidRPr="0062582F" w:rsidRDefault="004843DB" w:rsidP="004843DB">
            <w:pPr>
              <w:pStyle w:val="Tabletext"/>
              <w:rPr>
                <w:b/>
              </w:rPr>
            </w:pPr>
            <w:r w:rsidRPr="0062582F">
              <w:t>Other economic flows – other comprehensive income</w:t>
            </w:r>
          </w:p>
        </w:tc>
        <w:tc>
          <w:tcPr>
            <w:tcW w:w="1080" w:type="dxa"/>
            <w:tcBorders>
              <w:top w:val="nil"/>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147" w:type="dxa"/>
            <w:tcBorders>
              <w:top w:val="nil"/>
              <w:left w:val="nil"/>
              <w:bottom w:val="single" w:sz="12" w:space="0" w:color="auto"/>
              <w:right w:val="nil"/>
            </w:tcBorders>
            <w:shd w:val="clear" w:color="auto" w:fill="auto"/>
            <w:noWrap/>
          </w:tcPr>
          <w:p w:rsidR="004843DB" w:rsidRPr="0062582F" w:rsidRDefault="004843DB" w:rsidP="004843DB">
            <w:pPr>
              <w:pStyle w:val="TableofFigures"/>
              <w:rPr>
                <w:b/>
              </w:rPr>
            </w:pPr>
            <w:r w:rsidRPr="0062582F">
              <w:rPr>
                <w:b/>
              </w:rPr>
              <w:t>..</w:t>
            </w:r>
          </w:p>
        </w:tc>
      </w:tr>
      <w:tr w:rsidR="004843DB" w:rsidRPr="0062582F" w:rsidTr="004843DB">
        <w:trPr>
          <w:cantSplit/>
          <w:trHeight w:hRule="exact" w:val="255"/>
        </w:trPr>
        <w:tc>
          <w:tcPr>
            <w:tcW w:w="5777" w:type="dxa"/>
            <w:tcBorders>
              <w:top w:val="single" w:sz="12"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 xml:space="preserve">Total comprehensive income </w:t>
            </w:r>
          </w:p>
        </w:tc>
        <w:tc>
          <w:tcPr>
            <w:tcW w:w="1080" w:type="dxa"/>
            <w:tcBorders>
              <w:top w:val="single" w:sz="12"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1147" w:type="dxa"/>
            <w:tcBorders>
              <w:top w:val="single" w:sz="12" w:space="0" w:color="auto"/>
              <w:left w:val="nil"/>
              <w:bottom w:val="single" w:sz="12" w:space="0" w:color="auto"/>
              <w:right w:val="nil"/>
            </w:tcBorders>
            <w:shd w:val="clear" w:color="auto" w:fill="auto"/>
            <w:noWrap/>
          </w:tcPr>
          <w:p w:rsidR="004843DB" w:rsidRPr="0062582F" w:rsidRDefault="004843DB" w:rsidP="004843DB">
            <w:pPr>
              <w:pStyle w:val="TableofFigures"/>
              <w:rPr>
                <w:b/>
              </w:rPr>
            </w:pPr>
            <w:r w:rsidRPr="0062582F">
              <w:rPr>
                <w:b/>
              </w:rPr>
              <w:t>2 983</w:t>
            </w:r>
          </w:p>
        </w:tc>
      </w:tr>
      <w:tr w:rsidR="004843DB" w:rsidRPr="0062582F" w:rsidTr="004843DB">
        <w:trPr>
          <w:cantSplit/>
          <w:trHeight w:hRule="exact" w:val="120"/>
        </w:trPr>
        <w:tc>
          <w:tcPr>
            <w:tcW w:w="5777" w:type="dxa"/>
            <w:tcBorders>
              <w:top w:val="single" w:sz="12" w:space="0" w:color="auto"/>
              <w:left w:val="nil"/>
              <w:bottom w:val="single" w:sz="4" w:space="0" w:color="auto"/>
              <w:right w:val="nil"/>
            </w:tcBorders>
            <w:shd w:val="clear" w:color="auto" w:fill="auto"/>
          </w:tcPr>
          <w:p w:rsidR="004843DB" w:rsidRPr="0062582F" w:rsidRDefault="004843DB" w:rsidP="004843DB">
            <w:pPr>
              <w:pStyle w:val="Tabletext"/>
              <w:rPr>
                <w:b/>
              </w:rPr>
            </w:pPr>
          </w:p>
        </w:tc>
        <w:tc>
          <w:tcPr>
            <w:tcW w:w="1080" w:type="dxa"/>
            <w:tcBorders>
              <w:top w:val="single" w:sz="12" w:space="0" w:color="auto"/>
              <w:left w:val="nil"/>
              <w:bottom w:val="single" w:sz="4" w:space="0" w:color="auto"/>
              <w:right w:val="nil"/>
            </w:tcBorders>
            <w:shd w:val="clear" w:color="auto" w:fill="auto"/>
            <w:noWrap/>
          </w:tcPr>
          <w:p w:rsidR="004843DB" w:rsidRPr="0062582F" w:rsidRDefault="004843DB" w:rsidP="004843DB">
            <w:pPr>
              <w:pStyle w:val="TableofFigures"/>
              <w:rPr>
                <w:b/>
              </w:rPr>
            </w:pPr>
          </w:p>
        </w:tc>
        <w:tc>
          <w:tcPr>
            <w:tcW w:w="1147" w:type="dxa"/>
            <w:tcBorders>
              <w:top w:val="single" w:sz="12" w:space="0" w:color="auto"/>
              <w:left w:val="nil"/>
              <w:bottom w:val="single" w:sz="4" w:space="0" w:color="auto"/>
              <w:right w:val="nil"/>
            </w:tcBorders>
            <w:shd w:val="clear" w:color="auto" w:fill="auto"/>
            <w:noWrap/>
          </w:tcPr>
          <w:p w:rsidR="004843DB" w:rsidRPr="0062582F" w:rsidDel="00730A6B" w:rsidRDefault="004843DB" w:rsidP="004843DB">
            <w:pPr>
              <w:pStyle w:val="TableofFigures"/>
              <w:rPr>
                <w:b/>
              </w:rPr>
            </w:pPr>
          </w:p>
        </w:tc>
      </w:tr>
      <w:tr w:rsidR="004843DB" w:rsidRPr="0062582F" w:rsidTr="004843DB">
        <w:trPr>
          <w:cantSplit/>
          <w:trHeight w:hRule="exact" w:val="220"/>
        </w:trPr>
        <w:tc>
          <w:tcPr>
            <w:tcW w:w="5777"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rPr>
                <w:b/>
              </w:rPr>
            </w:pPr>
            <w:r w:rsidRPr="0062582F">
              <w:rPr>
                <w:b/>
              </w:rPr>
              <w:t>Department</w:t>
            </w:r>
            <w:r w:rsidR="005A4BB0">
              <w:rPr>
                <w:b/>
              </w:rPr>
              <w:t>’</w:t>
            </w:r>
            <w:r w:rsidRPr="0062582F">
              <w:rPr>
                <w:b/>
              </w:rPr>
              <w:t>s share of interests in the joint venture</w:t>
            </w:r>
            <w:r w:rsidR="005A4BB0">
              <w:rPr>
                <w:b/>
              </w:rPr>
              <w:t>’</w:t>
            </w:r>
            <w:r w:rsidRPr="0062582F">
              <w:rPr>
                <w:b/>
              </w:rPr>
              <w:t>s operating statement</w:t>
            </w:r>
          </w:p>
        </w:tc>
        <w:tc>
          <w:tcPr>
            <w:tcW w:w="1080" w:type="dxa"/>
            <w:tcBorders>
              <w:top w:val="single" w:sz="4" w:space="0" w:color="auto"/>
              <w:left w:val="nil"/>
              <w:bottom w:val="single" w:sz="4" w:space="0" w:color="auto"/>
              <w:right w:val="nil"/>
            </w:tcBorders>
            <w:shd w:val="clear" w:color="00FFFF" w:fill="CCCCCC"/>
            <w:noWrap/>
          </w:tcPr>
          <w:p w:rsidR="004843DB" w:rsidRPr="0062582F" w:rsidRDefault="004843DB" w:rsidP="004843DB">
            <w:pPr>
              <w:pStyle w:val="TableofFigures"/>
              <w:rPr>
                <w:b/>
              </w:rPr>
            </w:pPr>
            <w:r w:rsidRPr="0062582F">
              <w:rPr>
                <w:i/>
              </w:rPr>
              <w:t>2016</w:t>
            </w:r>
          </w:p>
        </w:tc>
        <w:tc>
          <w:tcPr>
            <w:tcW w:w="1147" w:type="dxa"/>
            <w:tcBorders>
              <w:top w:val="single" w:sz="4" w:space="0" w:color="auto"/>
              <w:left w:val="nil"/>
              <w:bottom w:val="single" w:sz="4" w:space="0" w:color="auto"/>
              <w:right w:val="nil"/>
            </w:tcBorders>
            <w:shd w:val="clear" w:color="auto" w:fill="auto"/>
            <w:noWrap/>
          </w:tcPr>
          <w:p w:rsidR="004843DB" w:rsidRPr="0062582F" w:rsidDel="00730A6B" w:rsidRDefault="004843DB" w:rsidP="004843DB">
            <w:pPr>
              <w:pStyle w:val="TableofFigures"/>
              <w:rPr>
                <w:b/>
              </w:rPr>
            </w:pPr>
            <w:r w:rsidRPr="0062582F">
              <w:rPr>
                <w:i/>
              </w:rPr>
              <w:t>2015</w:t>
            </w:r>
          </w:p>
        </w:tc>
      </w:tr>
      <w:tr w:rsidR="004843DB" w:rsidRPr="0062582F" w:rsidTr="004843DB">
        <w:trPr>
          <w:cantSplit/>
          <w:trHeight w:hRule="exact" w:val="255"/>
        </w:trPr>
        <w:tc>
          <w:tcPr>
            <w:tcW w:w="5777" w:type="dxa"/>
            <w:tcBorders>
              <w:top w:val="nil"/>
              <w:left w:val="nil"/>
              <w:bottom w:val="single" w:sz="4" w:space="0" w:color="auto"/>
              <w:right w:val="nil"/>
            </w:tcBorders>
            <w:shd w:val="clear" w:color="auto" w:fill="auto"/>
          </w:tcPr>
          <w:p w:rsidR="004843DB" w:rsidRPr="0062582F" w:rsidRDefault="004843DB" w:rsidP="004843DB">
            <w:pPr>
              <w:pStyle w:val="Tabletext"/>
              <w:rPr>
                <w:b/>
              </w:rPr>
            </w:pPr>
            <w:r w:rsidRPr="0062582F">
              <w:t>Share of JV</w:t>
            </w:r>
            <w:r w:rsidR="005A4BB0">
              <w:t>’</w:t>
            </w:r>
            <w:r w:rsidRPr="0062582F">
              <w:t>s net result after tax (0% in 2015; 25% in 2014)</w:t>
            </w:r>
          </w:p>
        </w:tc>
        <w:tc>
          <w:tcPr>
            <w:tcW w:w="1080" w:type="dxa"/>
            <w:tcBorders>
              <w:top w:val="nil"/>
              <w:left w:val="nil"/>
              <w:bottom w:val="single" w:sz="4" w:space="0" w:color="auto"/>
              <w:right w:val="nil"/>
            </w:tcBorders>
            <w:shd w:val="clear" w:color="00FFFF" w:fill="CCCCCC"/>
            <w:noWrap/>
          </w:tcPr>
          <w:p w:rsidR="004843DB" w:rsidRPr="0062582F" w:rsidRDefault="004843DB" w:rsidP="004843DB">
            <w:pPr>
              <w:pStyle w:val="TableofFigures"/>
              <w:rPr>
                <w:b/>
              </w:rPr>
            </w:pPr>
            <w:r w:rsidRPr="0062582F">
              <w:rPr>
                <w:b/>
              </w:rPr>
              <w:t>..</w:t>
            </w:r>
          </w:p>
        </w:tc>
        <w:tc>
          <w:tcPr>
            <w:tcW w:w="1147" w:type="dxa"/>
            <w:tcBorders>
              <w:top w:val="nil"/>
              <w:left w:val="nil"/>
              <w:bottom w:val="single" w:sz="4" w:space="0" w:color="auto"/>
              <w:right w:val="nil"/>
            </w:tcBorders>
            <w:shd w:val="clear" w:color="auto" w:fill="auto"/>
            <w:noWrap/>
          </w:tcPr>
          <w:p w:rsidR="004843DB" w:rsidRPr="0062582F" w:rsidDel="00730A6B" w:rsidRDefault="004843DB" w:rsidP="004843DB">
            <w:pPr>
              <w:pStyle w:val="TableofFigures"/>
            </w:pPr>
            <w:r w:rsidRPr="0062582F">
              <w:t>522</w:t>
            </w:r>
          </w:p>
        </w:tc>
      </w:tr>
      <w:tr w:rsidR="004843DB" w:rsidRPr="0062582F" w:rsidTr="004843DB">
        <w:trPr>
          <w:cantSplit/>
          <w:trHeight w:hRule="exact" w:val="255"/>
        </w:trPr>
        <w:tc>
          <w:tcPr>
            <w:tcW w:w="5777" w:type="dxa"/>
            <w:tcBorders>
              <w:top w:val="nil"/>
              <w:left w:val="nil"/>
              <w:bottom w:val="single" w:sz="4" w:space="0" w:color="auto"/>
              <w:right w:val="nil"/>
            </w:tcBorders>
            <w:shd w:val="clear" w:color="auto" w:fill="auto"/>
          </w:tcPr>
          <w:p w:rsidR="004843DB" w:rsidRPr="0062582F" w:rsidRDefault="004843DB" w:rsidP="004843DB">
            <w:pPr>
              <w:pStyle w:val="Tabletext"/>
              <w:rPr>
                <w:b/>
              </w:rPr>
            </w:pPr>
            <w:r w:rsidRPr="0062582F">
              <w:t>Share of JV</w:t>
            </w:r>
            <w:r w:rsidR="005A4BB0">
              <w:t>’</w:t>
            </w:r>
            <w:r w:rsidRPr="0062582F">
              <w:t>s other comprehensive income (0% in 2015; 25% in 2014)</w:t>
            </w:r>
          </w:p>
        </w:tc>
        <w:tc>
          <w:tcPr>
            <w:tcW w:w="1080" w:type="dxa"/>
            <w:tcBorders>
              <w:top w:val="nil"/>
              <w:left w:val="nil"/>
              <w:bottom w:val="single" w:sz="4" w:space="0" w:color="auto"/>
              <w:right w:val="nil"/>
            </w:tcBorders>
            <w:shd w:val="clear" w:color="00FFFF" w:fill="CCCCCC"/>
            <w:noWrap/>
          </w:tcPr>
          <w:p w:rsidR="004843DB" w:rsidRPr="0062582F" w:rsidRDefault="004843DB" w:rsidP="004843DB">
            <w:pPr>
              <w:pStyle w:val="TableofFigures"/>
              <w:rPr>
                <w:b/>
              </w:rPr>
            </w:pPr>
            <w:r w:rsidRPr="0062582F">
              <w:rPr>
                <w:b/>
              </w:rPr>
              <w:t>..</w:t>
            </w:r>
          </w:p>
        </w:tc>
        <w:tc>
          <w:tcPr>
            <w:tcW w:w="1147" w:type="dxa"/>
            <w:tcBorders>
              <w:top w:val="nil"/>
              <w:left w:val="nil"/>
              <w:bottom w:val="single" w:sz="4" w:space="0" w:color="auto"/>
              <w:right w:val="nil"/>
            </w:tcBorders>
            <w:shd w:val="clear" w:color="auto" w:fill="auto"/>
            <w:noWrap/>
          </w:tcPr>
          <w:p w:rsidR="004843DB" w:rsidRPr="0062582F" w:rsidDel="00730A6B" w:rsidRDefault="004843DB" w:rsidP="004843DB">
            <w:pPr>
              <w:pStyle w:val="TableofFigures"/>
              <w:rPr>
                <w:b/>
              </w:rPr>
            </w:pPr>
            <w:r w:rsidRPr="0062582F">
              <w:rPr>
                <w:b/>
              </w:rPr>
              <w:t>..</w:t>
            </w:r>
          </w:p>
        </w:tc>
      </w:tr>
      <w:tr w:rsidR="004843DB" w:rsidRPr="0062582F" w:rsidTr="004843DB">
        <w:trPr>
          <w:cantSplit/>
          <w:trHeight w:hRule="exact" w:val="255"/>
        </w:trPr>
        <w:tc>
          <w:tcPr>
            <w:tcW w:w="5777" w:type="dxa"/>
            <w:tcBorders>
              <w:top w:val="nil"/>
              <w:left w:val="nil"/>
              <w:right w:val="nil"/>
            </w:tcBorders>
            <w:shd w:val="clear" w:color="auto" w:fill="auto"/>
          </w:tcPr>
          <w:p w:rsidR="004843DB" w:rsidRPr="0062582F" w:rsidRDefault="004843DB" w:rsidP="004843DB">
            <w:pPr>
              <w:pStyle w:val="Tabletext"/>
              <w:rPr>
                <w:b/>
              </w:rPr>
            </w:pPr>
          </w:p>
        </w:tc>
        <w:tc>
          <w:tcPr>
            <w:tcW w:w="1080" w:type="dxa"/>
            <w:tcBorders>
              <w:top w:val="nil"/>
              <w:left w:val="nil"/>
              <w:right w:val="nil"/>
            </w:tcBorders>
            <w:shd w:val="clear" w:color="auto" w:fill="auto"/>
            <w:noWrap/>
          </w:tcPr>
          <w:p w:rsidR="004843DB" w:rsidRPr="0062582F" w:rsidDel="00730A6B" w:rsidRDefault="004843DB" w:rsidP="004843DB">
            <w:pPr>
              <w:pStyle w:val="TableofFigures"/>
              <w:rPr>
                <w:b/>
              </w:rPr>
            </w:pPr>
          </w:p>
        </w:tc>
        <w:tc>
          <w:tcPr>
            <w:tcW w:w="1147" w:type="dxa"/>
            <w:tcBorders>
              <w:top w:val="nil"/>
              <w:left w:val="nil"/>
              <w:right w:val="nil"/>
            </w:tcBorders>
            <w:shd w:val="clear" w:color="auto" w:fill="auto"/>
            <w:noWrap/>
          </w:tcPr>
          <w:p w:rsidR="004843DB" w:rsidRPr="0062582F" w:rsidDel="00730A6B" w:rsidRDefault="004843DB" w:rsidP="004843DB">
            <w:pPr>
              <w:pStyle w:val="TableofFigures"/>
              <w:rPr>
                <w:b/>
              </w:rPr>
            </w:pPr>
          </w:p>
        </w:tc>
      </w:tr>
      <w:tr w:rsidR="004843DB" w:rsidRPr="0062582F" w:rsidTr="004843DB">
        <w:trPr>
          <w:cantSplit/>
          <w:trHeight w:hRule="exact" w:val="255"/>
        </w:trPr>
        <w:tc>
          <w:tcPr>
            <w:tcW w:w="8004" w:type="dxa"/>
            <w:gridSpan w:val="3"/>
            <w:tcBorders>
              <w:left w:val="nil"/>
              <w:bottom w:val="single" w:sz="4" w:space="0" w:color="auto"/>
              <w:right w:val="nil"/>
            </w:tcBorders>
            <w:shd w:val="clear" w:color="auto" w:fill="auto"/>
          </w:tcPr>
          <w:p w:rsidR="004843DB" w:rsidRPr="0062582F" w:rsidRDefault="004843DB" w:rsidP="004843DB">
            <w:pPr>
              <w:pStyle w:val="million"/>
              <w:spacing w:before="40"/>
            </w:pPr>
            <w:r w:rsidRPr="0062582F">
              <w:t>($ thousand)</w:t>
            </w:r>
          </w:p>
          <w:p w:rsidR="004843DB" w:rsidRPr="0062582F" w:rsidDel="00730A6B" w:rsidRDefault="004843DB" w:rsidP="004843DB">
            <w:pPr>
              <w:pStyle w:val="TableofFigures"/>
              <w:jc w:val="center"/>
              <w:rPr>
                <w:b/>
              </w:rPr>
            </w:pPr>
          </w:p>
        </w:tc>
      </w:tr>
      <w:tr w:rsidR="004843DB" w:rsidRPr="0062582F" w:rsidTr="004843DB">
        <w:trPr>
          <w:cantSplit/>
          <w:trHeight w:hRule="exact" w:val="255"/>
        </w:trPr>
        <w:tc>
          <w:tcPr>
            <w:tcW w:w="5777" w:type="dxa"/>
            <w:tcBorders>
              <w:top w:val="nil"/>
              <w:left w:val="nil"/>
              <w:bottom w:val="single" w:sz="4" w:space="0" w:color="auto"/>
              <w:right w:val="nil"/>
            </w:tcBorders>
            <w:shd w:val="clear" w:color="auto" w:fill="auto"/>
          </w:tcPr>
          <w:p w:rsidR="004843DB" w:rsidRPr="0062582F" w:rsidRDefault="004843DB" w:rsidP="004843DB">
            <w:pPr>
              <w:pStyle w:val="Tabletext"/>
              <w:spacing w:before="100" w:beforeAutospacing="1" w:after="120"/>
              <w:rPr>
                <w:b/>
              </w:rPr>
            </w:pPr>
            <w:r w:rsidRPr="0062582F">
              <w:rPr>
                <w:b/>
              </w:rPr>
              <w:t>Movements in carrying amount of interest in joint venture</w:t>
            </w:r>
          </w:p>
        </w:tc>
        <w:tc>
          <w:tcPr>
            <w:tcW w:w="1080" w:type="dxa"/>
            <w:tcBorders>
              <w:top w:val="nil"/>
              <w:left w:val="nil"/>
              <w:bottom w:val="single" w:sz="4" w:space="0" w:color="auto"/>
              <w:right w:val="nil"/>
            </w:tcBorders>
            <w:shd w:val="clear" w:color="00FFFF" w:fill="CCCCCC"/>
            <w:noWrap/>
            <w:hideMark/>
          </w:tcPr>
          <w:p w:rsidR="004843DB" w:rsidRPr="0062582F" w:rsidRDefault="004843DB" w:rsidP="004843DB">
            <w:pPr>
              <w:pStyle w:val="Tabletext"/>
              <w:spacing w:before="100" w:beforeAutospacing="1" w:after="120"/>
              <w:jc w:val="right"/>
              <w:rPr>
                <w:i/>
              </w:rPr>
            </w:pPr>
            <w:r w:rsidRPr="0062582F">
              <w:rPr>
                <w:i/>
              </w:rPr>
              <w:t>2016</w:t>
            </w:r>
          </w:p>
        </w:tc>
        <w:tc>
          <w:tcPr>
            <w:tcW w:w="1147" w:type="dxa"/>
            <w:tcBorders>
              <w:top w:val="nil"/>
              <w:left w:val="nil"/>
              <w:bottom w:val="single" w:sz="4" w:space="0" w:color="auto"/>
              <w:right w:val="nil"/>
            </w:tcBorders>
            <w:shd w:val="clear" w:color="auto" w:fill="auto"/>
            <w:noWrap/>
            <w:hideMark/>
          </w:tcPr>
          <w:p w:rsidR="004843DB" w:rsidRPr="0062582F" w:rsidRDefault="004843DB" w:rsidP="004843DB">
            <w:pPr>
              <w:pStyle w:val="Tabletext"/>
              <w:spacing w:before="100" w:beforeAutospacing="1" w:after="120"/>
              <w:jc w:val="right"/>
              <w:rPr>
                <w:i/>
              </w:rPr>
            </w:pPr>
            <w:r w:rsidRPr="0062582F">
              <w:rPr>
                <w:i/>
              </w:rPr>
              <w:t>2015</w:t>
            </w:r>
          </w:p>
        </w:tc>
      </w:tr>
      <w:tr w:rsidR="004843DB" w:rsidRPr="0062582F" w:rsidTr="004843DB">
        <w:trPr>
          <w:cantSplit/>
          <w:trHeight w:hRule="exact" w:val="255"/>
        </w:trPr>
        <w:tc>
          <w:tcPr>
            <w:tcW w:w="5777" w:type="dxa"/>
            <w:tcBorders>
              <w:top w:val="single" w:sz="4" w:space="0" w:color="auto"/>
              <w:left w:val="nil"/>
              <w:right w:val="nil"/>
            </w:tcBorders>
            <w:shd w:val="clear" w:color="auto" w:fill="auto"/>
            <w:hideMark/>
          </w:tcPr>
          <w:p w:rsidR="004843DB" w:rsidRPr="0062582F" w:rsidRDefault="004843DB" w:rsidP="004843DB">
            <w:pPr>
              <w:pStyle w:val="Tabletext"/>
              <w:spacing w:before="100" w:beforeAutospacing="1" w:after="120"/>
            </w:pPr>
            <w:r w:rsidRPr="0062582F">
              <w:t>Carrying amount at the beginning of the year</w:t>
            </w:r>
          </w:p>
        </w:tc>
        <w:tc>
          <w:tcPr>
            <w:tcW w:w="1080" w:type="dxa"/>
            <w:tcBorders>
              <w:top w:val="single" w:sz="4" w:space="0" w:color="auto"/>
              <w:left w:val="nil"/>
              <w:right w:val="nil"/>
            </w:tcBorders>
            <w:shd w:val="clear" w:color="00FFFF" w:fill="CCCCCC"/>
            <w:noWrap/>
            <w:hideMark/>
          </w:tcPr>
          <w:p w:rsidR="004843DB" w:rsidRPr="0062582F" w:rsidRDefault="004843DB" w:rsidP="004843DB">
            <w:pPr>
              <w:pStyle w:val="Tabletext"/>
              <w:spacing w:before="100" w:beforeAutospacing="1" w:after="120"/>
              <w:jc w:val="right"/>
            </w:pPr>
            <w:r w:rsidRPr="0062582F">
              <w:t>..</w:t>
            </w:r>
          </w:p>
        </w:tc>
        <w:tc>
          <w:tcPr>
            <w:tcW w:w="1147" w:type="dxa"/>
            <w:tcBorders>
              <w:top w:val="single" w:sz="4" w:space="0" w:color="auto"/>
              <w:left w:val="nil"/>
              <w:right w:val="nil"/>
            </w:tcBorders>
            <w:shd w:val="clear" w:color="auto" w:fill="auto"/>
            <w:noWrap/>
            <w:hideMark/>
          </w:tcPr>
          <w:p w:rsidR="004843DB" w:rsidRPr="0062582F" w:rsidRDefault="004843DB" w:rsidP="004843DB">
            <w:pPr>
              <w:pStyle w:val="TableofFigures"/>
            </w:pPr>
            <w:r w:rsidRPr="0062582F">
              <w:t>1 104</w:t>
            </w:r>
          </w:p>
        </w:tc>
      </w:tr>
      <w:tr w:rsidR="004843DB" w:rsidRPr="0062582F" w:rsidTr="004843DB">
        <w:trPr>
          <w:cantSplit/>
          <w:trHeight w:hRule="exact" w:val="255"/>
        </w:trPr>
        <w:tc>
          <w:tcPr>
            <w:tcW w:w="5777" w:type="dxa"/>
            <w:tcBorders>
              <w:top w:val="nil"/>
              <w:left w:val="nil"/>
              <w:right w:val="nil"/>
            </w:tcBorders>
            <w:shd w:val="clear" w:color="auto" w:fill="auto"/>
            <w:hideMark/>
          </w:tcPr>
          <w:p w:rsidR="004843DB" w:rsidRPr="0062582F" w:rsidRDefault="004843DB" w:rsidP="004843DB">
            <w:pPr>
              <w:pStyle w:val="Tabletext"/>
              <w:spacing w:before="100" w:beforeAutospacing="1" w:after="120"/>
            </w:pPr>
            <w:r w:rsidRPr="0062582F">
              <w:t>Share of joint venture</w:t>
            </w:r>
            <w:r w:rsidR="005A4BB0">
              <w:t>’</w:t>
            </w:r>
            <w:r w:rsidRPr="0062582F">
              <w:t>s net result after tax</w:t>
            </w:r>
          </w:p>
        </w:tc>
        <w:tc>
          <w:tcPr>
            <w:tcW w:w="1080" w:type="dxa"/>
            <w:tcBorders>
              <w:top w:val="nil"/>
              <w:left w:val="nil"/>
              <w:right w:val="nil"/>
            </w:tcBorders>
            <w:shd w:val="clear" w:color="00FFFF" w:fill="CCCCCC"/>
            <w:noWrap/>
            <w:hideMark/>
          </w:tcPr>
          <w:p w:rsidR="004843DB" w:rsidRPr="0062582F" w:rsidRDefault="004843DB" w:rsidP="004843DB">
            <w:pPr>
              <w:pStyle w:val="Tabletext"/>
              <w:spacing w:before="100" w:beforeAutospacing="1" w:after="120"/>
              <w:jc w:val="right"/>
            </w:pPr>
            <w:r w:rsidRPr="0062582F">
              <w:t>..</w:t>
            </w:r>
          </w:p>
        </w:tc>
        <w:tc>
          <w:tcPr>
            <w:tcW w:w="1147" w:type="dxa"/>
            <w:tcBorders>
              <w:top w:val="nil"/>
              <w:left w:val="nil"/>
              <w:right w:val="nil"/>
            </w:tcBorders>
            <w:shd w:val="clear" w:color="auto" w:fill="auto"/>
            <w:noWrap/>
            <w:hideMark/>
          </w:tcPr>
          <w:p w:rsidR="004843DB" w:rsidRPr="0062582F" w:rsidRDefault="004843DB" w:rsidP="004843DB">
            <w:pPr>
              <w:pStyle w:val="TableofFigures"/>
            </w:pPr>
            <w:r w:rsidRPr="0062582F">
              <w:t>522</w:t>
            </w:r>
          </w:p>
        </w:tc>
      </w:tr>
      <w:tr w:rsidR="004843DB" w:rsidRPr="0062582F" w:rsidTr="004843DB">
        <w:trPr>
          <w:cantSplit/>
          <w:trHeight w:hRule="exact" w:val="255"/>
        </w:trPr>
        <w:tc>
          <w:tcPr>
            <w:tcW w:w="5777" w:type="dxa"/>
            <w:tcBorders>
              <w:top w:val="nil"/>
              <w:left w:val="nil"/>
              <w:right w:val="nil"/>
            </w:tcBorders>
            <w:shd w:val="clear" w:color="auto" w:fill="auto"/>
            <w:hideMark/>
          </w:tcPr>
          <w:p w:rsidR="004843DB" w:rsidRPr="0062582F" w:rsidRDefault="004843DB" w:rsidP="004843DB">
            <w:pPr>
              <w:pStyle w:val="Tabletext"/>
              <w:spacing w:before="100" w:beforeAutospacing="1" w:after="120"/>
            </w:pPr>
            <w:r w:rsidRPr="0062582F">
              <w:t>Share of joint venture</w:t>
            </w:r>
            <w:r w:rsidR="005A4BB0">
              <w:t>’</w:t>
            </w:r>
            <w:r w:rsidRPr="0062582F">
              <w:t>s other comprehensive income</w:t>
            </w:r>
          </w:p>
        </w:tc>
        <w:tc>
          <w:tcPr>
            <w:tcW w:w="1080" w:type="dxa"/>
            <w:tcBorders>
              <w:top w:val="nil"/>
              <w:left w:val="nil"/>
              <w:right w:val="nil"/>
            </w:tcBorders>
            <w:shd w:val="clear" w:color="00FFFF" w:fill="CCCCCC"/>
            <w:noWrap/>
            <w:hideMark/>
          </w:tcPr>
          <w:p w:rsidR="004843DB" w:rsidRPr="0062582F" w:rsidRDefault="004843DB" w:rsidP="004843DB">
            <w:pPr>
              <w:pStyle w:val="Tabletext"/>
              <w:spacing w:before="100" w:beforeAutospacing="1" w:after="120"/>
              <w:jc w:val="right"/>
            </w:pPr>
            <w:r w:rsidRPr="0062582F">
              <w:t>..</w:t>
            </w:r>
          </w:p>
        </w:tc>
        <w:tc>
          <w:tcPr>
            <w:tcW w:w="1147" w:type="dxa"/>
            <w:tcBorders>
              <w:top w:val="nil"/>
              <w:left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hRule="exact" w:val="255"/>
        </w:trPr>
        <w:tc>
          <w:tcPr>
            <w:tcW w:w="5777" w:type="dxa"/>
            <w:tcBorders>
              <w:top w:val="nil"/>
              <w:left w:val="nil"/>
              <w:bottom w:val="single" w:sz="12" w:space="0" w:color="auto"/>
              <w:right w:val="nil"/>
            </w:tcBorders>
            <w:shd w:val="clear" w:color="auto" w:fill="auto"/>
            <w:hideMark/>
          </w:tcPr>
          <w:p w:rsidR="004843DB" w:rsidRPr="0062582F" w:rsidRDefault="004843DB" w:rsidP="004843DB">
            <w:pPr>
              <w:pStyle w:val="Tabletext"/>
              <w:spacing w:before="100" w:beforeAutospacing="1" w:after="120"/>
            </w:pPr>
            <w:r w:rsidRPr="0062582F">
              <w:t>Dividends received/receivable from joint venture</w:t>
            </w:r>
          </w:p>
        </w:tc>
        <w:tc>
          <w:tcPr>
            <w:tcW w:w="1080" w:type="dxa"/>
            <w:tcBorders>
              <w:top w:val="nil"/>
              <w:left w:val="nil"/>
              <w:bottom w:val="single" w:sz="12" w:space="0" w:color="auto"/>
              <w:right w:val="nil"/>
            </w:tcBorders>
            <w:shd w:val="clear" w:color="00FFFF" w:fill="CCCCCC"/>
            <w:noWrap/>
            <w:hideMark/>
          </w:tcPr>
          <w:p w:rsidR="004843DB" w:rsidRPr="0062582F" w:rsidRDefault="004843DB" w:rsidP="004843DB">
            <w:pPr>
              <w:pStyle w:val="Tabletext"/>
              <w:spacing w:before="100" w:beforeAutospacing="1" w:after="120"/>
              <w:jc w:val="right"/>
            </w:pPr>
            <w:r w:rsidRPr="0062582F">
              <w:t>..</w:t>
            </w:r>
          </w:p>
        </w:tc>
        <w:tc>
          <w:tcPr>
            <w:tcW w:w="1147" w:type="dxa"/>
            <w:tcBorders>
              <w:top w:val="nil"/>
              <w:left w:val="nil"/>
              <w:bottom w:val="single" w:sz="12" w:space="0" w:color="auto"/>
              <w:right w:val="nil"/>
            </w:tcBorders>
            <w:shd w:val="clear" w:color="auto" w:fill="auto"/>
            <w:noWrap/>
            <w:hideMark/>
          </w:tcPr>
          <w:p w:rsidR="004843DB" w:rsidRPr="0062582F" w:rsidRDefault="004843DB" w:rsidP="004843DB">
            <w:pPr>
              <w:pStyle w:val="TableofFigures"/>
            </w:pPr>
            <w:r w:rsidRPr="0062582F">
              <w:t>(157)</w:t>
            </w:r>
          </w:p>
        </w:tc>
      </w:tr>
      <w:tr w:rsidR="004843DB" w:rsidRPr="0062582F" w:rsidTr="004843DB">
        <w:trPr>
          <w:cantSplit/>
          <w:trHeight w:hRule="exact" w:val="255"/>
        </w:trPr>
        <w:tc>
          <w:tcPr>
            <w:tcW w:w="5777" w:type="dxa"/>
            <w:tcBorders>
              <w:top w:val="single" w:sz="12" w:space="0" w:color="auto"/>
              <w:left w:val="nil"/>
              <w:bottom w:val="single" w:sz="12" w:space="0" w:color="auto"/>
              <w:right w:val="nil"/>
            </w:tcBorders>
            <w:shd w:val="clear" w:color="auto" w:fill="auto"/>
            <w:hideMark/>
          </w:tcPr>
          <w:p w:rsidR="004843DB" w:rsidRPr="0062582F" w:rsidRDefault="004843DB" w:rsidP="004843DB">
            <w:pPr>
              <w:pStyle w:val="Tabletext"/>
              <w:spacing w:before="100" w:beforeAutospacing="1" w:after="120"/>
              <w:rPr>
                <w:b/>
              </w:rPr>
            </w:pPr>
            <w:r w:rsidRPr="0062582F">
              <w:rPr>
                <w:b/>
              </w:rPr>
              <w:t xml:space="preserve">Carrying amount at the end of the year </w:t>
            </w:r>
          </w:p>
        </w:tc>
        <w:tc>
          <w:tcPr>
            <w:tcW w:w="1080" w:type="dxa"/>
            <w:tcBorders>
              <w:top w:val="single" w:sz="12" w:space="0" w:color="auto"/>
              <w:left w:val="nil"/>
              <w:bottom w:val="single" w:sz="12" w:space="0" w:color="auto"/>
              <w:right w:val="nil"/>
            </w:tcBorders>
            <w:shd w:val="clear" w:color="00FFFF" w:fill="CCCCCC"/>
            <w:noWrap/>
            <w:hideMark/>
          </w:tcPr>
          <w:p w:rsidR="004843DB" w:rsidRPr="0062582F" w:rsidRDefault="004843DB" w:rsidP="004843DB">
            <w:pPr>
              <w:pStyle w:val="Tabletext"/>
              <w:spacing w:before="100" w:beforeAutospacing="1" w:after="120"/>
              <w:jc w:val="right"/>
              <w:rPr>
                <w:b/>
              </w:rPr>
            </w:pPr>
            <w:r w:rsidRPr="0062582F">
              <w:rPr>
                <w:b/>
              </w:rPr>
              <w:t>..</w:t>
            </w:r>
          </w:p>
        </w:tc>
        <w:tc>
          <w:tcPr>
            <w:tcW w:w="1147" w:type="dxa"/>
            <w:tcBorders>
              <w:top w:val="single" w:sz="12"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1 469</w:t>
            </w:r>
          </w:p>
        </w:tc>
      </w:tr>
    </w:tbl>
    <w:p w:rsidR="004843DB" w:rsidRPr="0062582F" w:rsidRDefault="004843DB" w:rsidP="004843DB"/>
    <w:p w:rsidR="004843DB" w:rsidRPr="0062582F" w:rsidRDefault="004843DB" w:rsidP="004843DB">
      <w:pPr>
        <w:pStyle w:val="SmallLine"/>
      </w:pPr>
    </w:p>
    <w:p w:rsidR="004843DB" w:rsidRPr="0062582F" w:rsidRDefault="004843DB" w:rsidP="004843DB">
      <w:pPr>
        <w:pStyle w:val="SmallLine"/>
      </w:pPr>
      <w:r w:rsidRPr="0062582F">
        <w:br w:type="column"/>
      </w:r>
    </w:p>
    <w:p w:rsidR="004843DB" w:rsidRPr="0062582F" w:rsidRDefault="004843DB" w:rsidP="004843DB">
      <w:pPr>
        <w:pStyle w:val="SmallLine"/>
      </w:pPr>
      <w:r w:rsidRPr="0062582F">
        <w:br w:type="column"/>
      </w:r>
    </w:p>
    <w:p w:rsidR="004843DB" w:rsidRPr="0062582F" w:rsidRDefault="004843DB" w:rsidP="004843DB">
      <w:pPr>
        <w:pStyle w:val="NoteHeadingcontinued"/>
        <w:rPr>
          <w:i/>
        </w:rPr>
      </w:pPr>
      <w:r w:rsidRPr="0062582F">
        <w:t>Note 13.</w:t>
      </w:r>
      <w:r w:rsidRPr="0062582F">
        <w:tab/>
        <w:t>Investments accounted for using the equity method</w:t>
      </w:r>
      <w:r w:rsidRPr="0062582F">
        <w:rPr>
          <w:rFonts w:ascii="Garamond" w:hAnsi="Garamond"/>
        </w:rPr>
        <w:t xml:space="preserve"> </w:t>
      </w:r>
      <w:r w:rsidRPr="0062582F">
        <w:rPr>
          <w:i/>
        </w:rPr>
        <w:t>(continued)</w:t>
      </w:r>
    </w:p>
    <w:p w:rsidR="004843DB" w:rsidRPr="0062582F" w:rsidRDefault="004843DB" w:rsidP="004843DB">
      <w:pPr>
        <w:pStyle w:val="Heading4"/>
      </w:pPr>
      <w:r w:rsidRPr="0062582F">
        <w:t>Contingent liabilities and capital commitments</w:t>
      </w: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12. 23(a)(b)</w:t>
      </w:r>
    </w:p>
    <w:p w:rsidR="004843DB" w:rsidRPr="0062582F" w:rsidRDefault="004843DB" w:rsidP="004843DB">
      <w:pPr>
        <w:pStyle w:val="Reference"/>
        <w:spacing w:before="0"/>
        <w:rPr>
          <w:sz w:val="15"/>
          <w:szCs w:val="15"/>
          <w:lang w:val="en-AU"/>
        </w:rPr>
      </w:pPr>
      <w:r w:rsidRPr="0062582F">
        <w:rPr>
          <w:lang w:val="en-AU"/>
        </w:rPr>
        <w:t xml:space="preserve">AASB 12.B18, B19 </w:t>
      </w:r>
    </w:p>
    <w:p w:rsidR="004843DB" w:rsidRPr="0062582F" w:rsidRDefault="004843DB" w:rsidP="004843DB">
      <w:r w:rsidRPr="0062582F">
        <w:br w:type="column"/>
        <w:t>The Department</w:t>
      </w:r>
      <w:r w:rsidR="005A4BB0">
        <w:t>’</w:t>
      </w:r>
      <w:r w:rsidRPr="0062582F">
        <w:t>s share of the contingent liabilities, and commitments of its associates and joint ventures are disclosed in Note 32 and Note 31, respectively.</w:t>
      </w:r>
    </w:p>
    <w:p w:rsidR="004843DB" w:rsidRPr="0062582F" w:rsidRDefault="004843DB" w:rsidP="004843DB"/>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
      </w:pPr>
      <w:r w:rsidRPr="0062582F">
        <w:t xml:space="preserve">Commentary – Investments accounted for using the equity method </w:t>
      </w:r>
    </w:p>
    <w:p w:rsidR="004843DB" w:rsidRPr="0062582F" w:rsidRDefault="004843DB" w:rsidP="004843DB">
      <w:pPr>
        <w:pStyle w:val="SmallLineBlue"/>
      </w:pPr>
    </w:p>
    <w:p w:rsidR="004843DB" w:rsidRPr="0062582F" w:rsidRDefault="004843DB" w:rsidP="004843DB">
      <w:pPr>
        <w:pStyle w:val="SmallLineBlu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Text"/>
        <w:pBdr>
          <w:top w:val="none" w:sz="0" w:space="0" w:color="auto"/>
          <w:bottom w:val="none" w:sz="0" w:space="0" w:color="auto"/>
        </w:pBdr>
      </w:pPr>
      <w:r w:rsidRPr="0062582F">
        <w:rPr>
          <w:b/>
          <w:bCs/>
        </w:rPr>
        <w:br w:type="column"/>
      </w:r>
      <w:r w:rsidRPr="0062582F">
        <w:rPr>
          <w:bCs/>
        </w:rPr>
        <w:t xml:space="preserve">AASB 11 </w:t>
      </w:r>
      <w:r w:rsidRPr="0062582F">
        <w:rPr>
          <w:i/>
        </w:rPr>
        <w:t>Joint Arrangement</w:t>
      </w:r>
      <w:r w:rsidRPr="0062582F">
        <w:rPr>
          <w:bCs/>
          <w:i/>
        </w:rPr>
        <w:t>s</w:t>
      </w:r>
      <w:r w:rsidRPr="0062582F">
        <w:rPr>
          <w:bCs/>
        </w:rPr>
        <w:t xml:space="preserve"> defines a</w:t>
      </w:r>
      <w:r w:rsidRPr="0062582F">
        <w:t xml:space="preserve"> joint arrangement </w:t>
      </w:r>
      <w:r w:rsidRPr="0062582F">
        <w:rPr>
          <w:bCs/>
        </w:rPr>
        <w:t xml:space="preserve">as </w:t>
      </w:r>
      <w:r w:rsidRPr="0062582F">
        <w:t xml:space="preserve">an arrangement of which two or more parties have joint control. A joint arrangement </w:t>
      </w:r>
      <w:r w:rsidRPr="0062582F">
        <w:rPr>
          <w:bCs/>
        </w:rPr>
        <w:t>is either a joint operation or a joint venture,</w:t>
      </w:r>
      <w:r w:rsidRPr="0062582F">
        <w:t xml:space="preserve"> depending upon the rights and obligations of the parties to the arrangement</w:t>
      </w:r>
      <w:r w:rsidRPr="0062582F">
        <w:rPr>
          <w:b/>
          <w:bCs/>
        </w:rPr>
        <w:t xml:space="preserve">. </w:t>
      </w:r>
    </w:p>
    <w:p w:rsidR="004843DB" w:rsidRPr="0062582F" w:rsidRDefault="004843DB" w:rsidP="004843DB">
      <w:pPr>
        <w:pStyle w:val="CommentaryHeading1"/>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1"/>
        <w:pBdr>
          <w:top w:val="none" w:sz="0" w:space="0" w:color="auto"/>
          <w:bottom w:val="none" w:sz="0" w:space="0" w:color="auto"/>
        </w:pBdr>
      </w:pPr>
      <w:r w:rsidRPr="0062582F">
        <w:br w:type="column"/>
        <w:t>Accounting for joint ventures using the equity method</w:t>
      </w:r>
    </w:p>
    <w:p w:rsidR="004843DB" w:rsidRPr="0062582F" w:rsidRDefault="004843DB" w:rsidP="004843DB">
      <w:pPr>
        <w:pStyle w:val="CommentaryHeading1"/>
        <w:pBdr>
          <w:top w:val="none" w:sz="0" w:space="0" w:color="auto"/>
          <w:bottom w:val="none" w:sz="0" w:space="0" w:color="auto"/>
        </w:pBdr>
        <w:rPr>
          <w:rFonts w:ascii="Garamond" w:hAnsi="Garamond" w:cs="Tahoma"/>
          <w:b w:val="0"/>
          <w:bCs w:val="0"/>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11.16</w:t>
      </w:r>
    </w:p>
    <w:p w:rsidR="004843DB" w:rsidRPr="0062582F" w:rsidRDefault="004843DB" w:rsidP="004843DB">
      <w:pPr>
        <w:pStyle w:val="CommentaryText"/>
        <w:pBdr>
          <w:top w:val="none" w:sz="0" w:space="0" w:color="auto"/>
          <w:bottom w:val="none" w:sz="0" w:space="0" w:color="auto"/>
        </w:pBdr>
      </w:pPr>
      <w:r w:rsidRPr="0062582F">
        <w:rPr>
          <w:b/>
          <w:bCs/>
        </w:rPr>
        <w:br w:type="column"/>
      </w:r>
      <w:r w:rsidRPr="0062582F">
        <w:t>A joint venture is a joint arrangement whereby the parties that have joint control of the arrangement have rights to the net assets of the arrangement.</w:t>
      </w:r>
    </w:p>
    <w:p w:rsidR="004843DB" w:rsidRPr="0062582F" w:rsidRDefault="004843DB" w:rsidP="004843DB">
      <w:pPr>
        <w:pStyle w:val="CommentaryHeading1"/>
        <w:pBdr>
          <w:top w:val="none" w:sz="0" w:space="0" w:color="auto"/>
          <w:bottom w:val="none" w:sz="0" w:space="0" w:color="auto"/>
        </w:pBdr>
        <w:rPr>
          <w:rFonts w:ascii="Garamond" w:hAnsi="Garamond" w:cs="Tahoma"/>
          <w:b w:val="0"/>
          <w:bCs w:val="0"/>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b/>
          <w:bCs/>
        </w:rPr>
      </w:pPr>
      <w:r w:rsidRPr="0062582F">
        <w:t>AASB 11. 24</w:t>
      </w:r>
    </w:p>
    <w:p w:rsidR="004843DB" w:rsidRPr="0062582F" w:rsidRDefault="004843DB" w:rsidP="004843DB">
      <w:pPr>
        <w:pStyle w:val="CommentaryText"/>
        <w:pBdr>
          <w:top w:val="none" w:sz="0" w:space="0" w:color="auto"/>
          <w:bottom w:val="none" w:sz="0" w:space="0" w:color="auto"/>
        </w:pBdr>
      </w:pPr>
      <w:r w:rsidRPr="0062582F">
        <w:rPr>
          <w:b/>
          <w:bCs/>
        </w:rPr>
        <w:br w:type="column"/>
      </w:r>
      <w:r w:rsidRPr="0062582F">
        <w:t xml:space="preserve">A joint venturer shall recognise its interest in a joint venture as an investment and shall account for that investment using the equity method in accordance with AASB 128 </w:t>
      </w:r>
      <w:r w:rsidRPr="0062582F">
        <w:rPr>
          <w:i/>
        </w:rPr>
        <w:t>Investments in Associates and Joint Ventures</w:t>
      </w:r>
      <w:r w:rsidRPr="0062582F">
        <w:t xml:space="preserve"> unless the entity is exempted from applying the equity method as specified in that standard.</w:t>
      </w:r>
      <w:r w:rsidRPr="0062582F">
        <w:rPr>
          <w:b/>
          <w:bCs/>
        </w:rPr>
        <w:t xml:space="preserve"> </w:t>
      </w:r>
    </w:p>
    <w:p w:rsidR="004843DB" w:rsidRPr="0062582F" w:rsidRDefault="004843DB" w:rsidP="004843DB">
      <w:pPr>
        <w:pStyle w:val="CommentaryHeading2"/>
      </w:pPr>
      <w:r w:rsidRPr="0062582F">
        <w:rPr>
          <w:i w:val="0"/>
        </w:rPr>
        <w:t>Application of equity method</w:t>
      </w:r>
    </w:p>
    <w:p w:rsidR="004843DB" w:rsidRPr="0062582F" w:rsidRDefault="004843DB" w:rsidP="004843DB">
      <w:pPr>
        <w:pStyle w:val="CommentaryHeading2"/>
        <w:rPr>
          <w:rFonts w:ascii="Garamond" w:hAnsi="Garamond" w:cs="Tahoma"/>
          <w:b w:val="0"/>
          <w:bCs w:val="0"/>
          <w:i w:val="0"/>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128.10</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rPr>
          <w:b/>
          <w:bCs/>
          <w:i/>
        </w:rPr>
        <w:br w:type="column"/>
      </w:r>
      <w:r w:rsidRPr="0062582F">
        <w:t>Under the equity method, on initial recognition the investment in an associate or a joint venture is recognised at cost, and the carrying amount is increased or decreased to recognise the investor</w:t>
      </w:r>
      <w:r w:rsidR="005A4BB0">
        <w:t>’</w:t>
      </w:r>
      <w:r w:rsidRPr="0062582F">
        <w:t>s share of the profit or loss of the investee after the date of acquisition. The investor</w:t>
      </w:r>
      <w:r w:rsidR="005A4BB0">
        <w:t>’</w:t>
      </w:r>
      <w:r w:rsidRPr="0062582F">
        <w:t>s share of the investee</w:t>
      </w:r>
      <w:r w:rsidR="005A4BB0">
        <w:t>’</w:t>
      </w:r>
      <w:r w:rsidRPr="0062582F">
        <w:t>s profit or loss is recognised in the investor</w:t>
      </w:r>
      <w:r w:rsidR="005A4BB0">
        <w:t>’</w:t>
      </w:r>
      <w:r w:rsidRPr="0062582F">
        <w:t>s profit or loss. Distributions received from an investee reduce the carrying amount of the investment. Adjustments to the carrying amount may also be necessary for changes in the investor</w:t>
      </w:r>
      <w:r w:rsidR="005A4BB0">
        <w:t>’</w:t>
      </w:r>
      <w:r w:rsidRPr="0062582F">
        <w:t>s proportionate interest in the investee arising from changes in the investee</w:t>
      </w:r>
      <w:r w:rsidR="005A4BB0">
        <w:t>’</w:t>
      </w:r>
      <w:r w:rsidRPr="0062582F">
        <w:t>s other comprehensive income. Such changes include those arising from the revaluation of property, plant and equipment and from foreign exchange translation differences. The investor</w:t>
      </w:r>
      <w:r w:rsidR="005A4BB0">
        <w:t>’</w:t>
      </w:r>
      <w:r w:rsidRPr="0062582F">
        <w:t>s share of those changes is recognised in the investor</w:t>
      </w:r>
      <w:r w:rsidR="005A4BB0">
        <w:t>’</w:t>
      </w:r>
      <w:r w:rsidRPr="0062582F">
        <w:t>s other comprehensive income.</w:t>
      </w:r>
    </w:p>
    <w:p w:rsidR="004843DB" w:rsidRPr="0062582F" w:rsidRDefault="004843DB" w:rsidP="004843DB">
      <w:pPr>
        <w:pStyle w:val="Reference"/>
        <w:spacing w:before="200"/>
        <w:rPr>
          <w:rStyle w:val="ReferenceChar"/>
        </w:rPr>
      </w:pPr>
      <w:r w:rsidRPr="0062582F">
        <w:t>AAS</w:t>
      </w:r>
      <w:r w:rsidRPr="0062582F">
        <w:rPr>
          <w:rStyle w:val="ReferenceChar"/>
        </w:rPr>
        <w:t>B 12.21</w:t>
      </w:r>
    </w:p>
    <w:p w:rsidR="004843DB" w:rsidRPr="0062582F" w:rsidRDefault="004843DB" w:rsidP="004843DB">
      <w:pPr>
        <w:pStyle w:val="CommentaryHeading2"/>
        <w:pBdr>
          <w:bottom w:val="single" w:sz="4" w:space="1" w:color="0000FF"/>
        </w:pBdr>
        <w:rPr>
          <w:sz w:val="20"/>
          <w:szCs w:val="20"/>
        </w:rPr>
      </w:pPr>
      <w:r w:rsidRPr="0062582F">
        <w:br w:type="column"/>
        <w:t>Disclosure requirements</w:t>
      </w:r>
    </w:p>
    <w:p w:rsidR="004843DB" w:rsidRPr="0062582F" w:rsidRDefault="004843DB" w:rsidP="004843DB">
      <w:pPr>
        <w:pStyle w:val="CommentaryHeading3"/>
        <w:pBdr>
          <w:top w:val="none" w:sz="0" w:space="0" w:color="auto"/>
        </w:pBdr>
      </w:pPr>
      <w:r w:rsidRPr="0062582F">
        <w:t xml:space="preserve">Significant judgements and assumptions </w:t>
      </w:r>
    </w:p>
    <w:p w:rsidR="004843DB" w:rsidRPr="0062582F" w:rsidRDefault="004843DB" w:rsidP="004843DB">
      <w:pPr>
        <w:pStyle w:val="CommentaryText"/>
        <w:pBdr>
          <w:top w:val="none" w:sz="0" w:space="0" w:color="auto"/>
        </w:pBdr>
      </w:pPr>
      <w:r w:rsidRPr="0062582F">
        <w:t xml:space="preserve">An entity shall disclose information about significant judgements and assumptions it has made (and changes to those judgements and assumptions) in determining: </w:t>
      </w:r>
    </w:p>
    <w:p w:rsidR="004843DB" w:rsidRPr="0062582F" w:rsidRDefault="004843DB" w:rsidP="004843DB">
      <w:pPr>
        <w:pStyle w:val="CommentaryBullet"/>
        <w:pBdr>
          <w:bottom w:val="single" w:sz="4" w:space="1" w:color="0000FF"/>
        </w:pBdr>
      </w:pPr>
      <w:r w:rsidRPr="0062582F">
        <w:t>that it has joint control of an arrangement or significant influence over another entity; and</w:t>
      </w:r>
    </w:p>
    <w:p w:rsidR="004843DB" w:rsidRPr="0062582F" w:rsidRDefault="004843DB" w:rsidP="004843DB">
      <w:pPr>
        <w:pStyle w:val="CommentaryBullet"/>
        <w:pBdr>
          <w:bottom w:val="single" w:sz="4" w:space="1" w:color="0000FF"/>
        </w:pBdr>
      </w:pPr>
      <w:r w:rsidRPr="0062582F">
        <w:t>the type of joint arrangement (i.e. joint operation or joint venture) when the arrangement has been structured through a separate vehicle.</w:t>
      </w:r>
    </w:p>
    <w:p w:rsidR="004843DB" w:rsidRPr="0062582F" w:rsidRDefault="004843DB" w:rsidP="004843DB">
      <w:pPr>
        <w:pStyle w:val="CommentaryText"/>
        <w:pBdr>
          <w:top w:val="none" w:sz="0" w:space="0" w:color="auto"/>
        </w:pBdr>
      </w:pPr>
      <w:r w:rsidRPr="0062582F">
        <w:t xml:space="preserve">Specifically, an entity shall disclose, for example, significant judgements and assumptions made in determining that: </w:t>
      </w:r>
    </w:p>
    <w:p w:rsidR="004843DB" w:rsidRPr="0062582F" w:rsidRDefault="004843DB" w:rsidP="004843DB">
      <w:pPr>
        <w:pStyle w:val="CommentaryBullet"/>
        <w:pBdr>
          <w:bottom w:val="single" w:sz="4" w:space="1" w:color="0000FF"/>
        </w:pBdr>
      </w:pPr>
      <w:r w:rsidRPr="0062582F">
        <w:t>it does not have significant influence even though it holds 20 per cent or more of the voting rights of another entity; or</w:t>
      </w:r>
    </w:p>
    <w:p w:rsidR="004843DB" w:rsidRPr="0062582F" w:rsidRDefault="004843DB" w:rsidP="004843DB">
      <w:pPr>
        <w:pStyle w:val="CommentaryBullet"/>
        <w:pBdr>
          <w:bottom w:val="single" w:sz="4" w:space="1" w:color="0000FF"/>
        </w:pBdr>
      </w:pPr>
      <w:r w:rsidRPr="0062582F">
        <w:t xml:space="preserve">it has significant influence even though it holds less than 20 per cent of the voting rights of another entity. </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SmallLine"/>
      </w:pPr>
      <w:r w:rsidRPr="0062582F">
        <w:br w:type="column"/>
      </w:r>
    </w:p>
    <w:p w:rsidR="004843DB" w:rsidRPr="0062582F" w:rsidRDefault="004843DB" w:rsidP="004843DB">
      <w:pPr>
        <w:pStyle w:val="CommentaryHeading"/>
        <w:rPr>
          <w:i/>
        </w:rPr>
      </w:pPr>
      <w:r w:rsidRPr="0062582F">
        <w:t xml:space="preserve">Commentary – Investments accounted for using the equity method </w:t>
      </w:r>
      <w:r w:rsidRPr="0062582F">
        <w:rPr>
          <w:i/>
        </w:rPr>
        <w:t>(continued)</w:t>
      </w:r>
    </w:p>
    <w:p w:rsidR="004843DB" w:rsidRPr="0062582F" w:rsidRDefault="004843DB" w:rsidP="004843DB">
      <w:pPr>
        <w:pStyle w:val="SmallLineBlue"/>
      </w:pPr>
    </w:p>
    <w:p w:rsidR="004843DB" w:rsidRPr="0062582F" w:rsidRDefault="004843DB" w:rsidP="004843DB">
      <w:pPr>
        <w:pStyle w:val="SmallLineBlue"/>
      </w:pPr>
    </w:p>
    <w:p w:rsidR="004843DB" w:rsidRPr="0062582F" w:rsidRDefault="004843DB" w:rsidP="004843DB">
      <w:pPr>
        <w:pStyle w:val="SmallLineBlue"/>
        <w:sectPr w:rsidR="004843DB" w:rsidRPr="0062582F" w:rsidSect="00190A01">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200"/>
      </w:pPr>
      <w:r w:rsidRPr="0062582F">
        <w:t>AASB 12.</w:t>
      </w:r>
      <w:r w:rsidRPr="0062582F">
        <w:rPr>
          <w:sz w:val="20"/>
          <w:szCs w:val="20"/>
        </w:rPr>
        <w:t xml:space="preserve"> </w:t>
      </w:r>
      <w:r w:rsidRPr="0062582F">
        <w:t>23</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CommentaryHeading3"/>
        <w:pBdr>
          <w:top w:val="none" w:sz="0" w:space="0" w:color="auto"/>
        </w:pBdr>
      </w:pPr>
      <w:r w:rsidRPr="0062582F">
        <w:br w:type="column"/>
        <w:t>Nature, extent and financial effects of an entity</w:t>
      </w:r>
      <w:r w:rsidR="005A4BB0">
        <w:t>’</w:t>
      </w:r>
      <w:r w:rsidRPr="0062582F">
        <w:t xml:space="preserve">s interests in joint arrangements and associates </w:t>
      </w:r>
    </w:p>
    <w:p w:rsidR="004843DB" w:rsidRPr="0062582F" w:rsidRDefault="004843DB" w:rsidP="004843DB">
      <w:pPr>
        <w:pStyle w:val="CommentaryText"/>
        <w:pBdr>
          <w:top w:val="none" w:sz="0" w:space="0" w:color="auto"/>
        </w:pBdr>
      </w:pPr>
      <w:r w:rsidRPr="0062582F">
        <w:t xml:space="preserve">An entity shall disclose: </w:t>
      </w:r>
    </w:p>
    <w:p w:rsidR="004843DB" w:rsidRPr="0062582F" w:rsidRDefault="004843DB" w:rsidP="004843DB">
      <w:pPr>
        <w:pStyle w:val="CommentaryTextIndent"/>
        <w:pBdr>
          <w:top w:val="none" w:sz="0" w:space="0" w:color="auto"/>
        </w:pBdr>
        <w:spacing w:before="100"/>
      </w:pPr>
      <w:r w:rsidRPr="0062582F">
        <w:t>(a)</w:t>
      </w:r>
      <w:r w:rsidRPr="0062582F">
        <w:tab/>
        <w:t xml:space="preserve">for each joint arrangement and associate that is material to the reporting entity: </w:t>
      </w:r>
    </w:p>
    <w:p w:rsidR="004843DB" w:rsidRPr="0062582F" w:rsidRDefault="004843DB" w:rsidP="004843DB">
      <w:pPr>
        <w:pStyle w:val="CommentaryTextIndent2"/>
        <w:pBdr>
          <w:top w:val="none" w:sz="0" w:space="0" w:color="auto"/>
        </w:pBdr>
        <w:spacing w:before="80"/>
      </w:pPr>
      <w:r w:rsidRPr="0062582F">
        <w:tab/>
        <w:t>(i)</w:t>
      </w:r>
      <w:r w:rsidRPr="0062582F">
        <w:tab/>
        <w:t>the name of the joint arrangement or associate;</w:t>
      </w:r>
    </w:p>
    <w:p w:rsidR="004843DB" w:rsidRPr="0062582F" w:rsidRDefault="004843DB" w:rsidP="004843DB">
      <w:pPr>
        <w:pStyle w:val="CommentaryTextIndent2"/>
        <w:pBdr>
          <w:top w:val="none" w:sz="0" w:space="0" w:color="auto"/>
        </w:pBdr>
        <w:spacing w:before="80"/>
      </w:pPr>
      <w:r w:rsidRPr="0062582F">
        <w:tab/>
        <w:t>(ii)</w:t>
      </w:r>
      <w:r w:rsidRPr="0062582F">
        <w:tab/>
        <w:t>the nature of the entity</w:t>
      </w:r>
      <w:r w:rsidR="005A4BB0">
        <w:t>’</w:t>
      </w:r>
      <w:r w:rsidRPr="0062582F">
        <w:t>s relationship with the joint arrangement or associate (by, for example, describing the nature of the activities of the joint arrangement or associate and whether they are strategic to the entity</w:t>
      </w:r>
      <w:r w:rsidR="005A4BB0">
        <w:t>’</w:t>
      </w:r>
      <w:r w:rsidRPr="0062582F">
        <w:t>s activities);</w:t>
      </w:r>
    </w:p>
    <w:p w:rsidR="004843DB" w:rsidRPr="0062582F" w:rsidRDefault="004843DB" w:rsidP="004843DB">
      <w:pPr>
        <w:pStyle w:val="CommentaryTextIndent2"/>
        <w:pBdr>
          <w:top w:val="none" w:sz="0" w:space="0" w:color="auto"/>
        </w:pBdr>
        <w:spacing w:before="80"/>
      </w:pPr>
      <w:r w:rsidRPr="0062582F">
        <w:tab/>
        <w:t>(iii)</w:t>
      </w:r>
      <w:r w:rsidRPr="0062582F">
        <w:tab/>
        <w:t>the principal place of business (and country of incorporation, if applicable and different from the principal place of business) of the joint arrangement or associate; and</w:t>
      </w:r>
    </w:p>
    <w:p w:rsidR="004843DB" w:rsidRPr="0062582F" w:rsidRDefault="004843DB" w:rsidP="004843DB">
      <w:pPr>
        <w:pStyle w:val="CommentaryTextIndent2"/>
        <w:pBdr>
          <w:top w:val="none" w:sz="0" w:space="0" w:color="auto"/>
        </w:pBdr>
        <w:spacing w:before="80"/>
      </w:pPr>
      <w:r w:rsidRPr="0062582F">
        <w:tab/>
        <w:t>(iv)</w:t>
      </w:r>
      <w:r w:rsidRPr="0062582F">
        <w:tab/>
        <w:t>the proportion of ownership interest or participating share held by the entity and, if different, the proportion of voting rights held (if applicable);</w:t>
      </w:r>
    </w:p>
    <w:p w:rsidR="004843DB" w:rsidRPr="0062582F" w:rsidRDefault="004843DB" w:rsidP="004843DB">
      <w:pPr>
        <w:pStyle w:val="CommentaryTextIndent"/>
        <w:pBdr>
          <w:top w:val="none" w:sz="0" w:space="0" w:color="auto"/>
        </w:pBdr>
        <w:spacing w:before="100"/>
      </w:pPr>
      <w:r w:rsidRPr="0062582F">
        <w:t>(b)</w:t>
      </w:r>
      <w:r w:rsidRPr="0062582F">
        <w:tab/>
        <w:t>for each joint venture and associate that is material to the reporting entity;</w:t>
      </w:r>
    </w:p>
    <w:p w:rsidR="004843DB" w:rsidRPr="0062582F" w:rsidRDefault="004843DB" w:rsidP="004843DB">
      <w:pPr>
        <w:pStyle w:val="CommentaryTextIndent2"/>
        <w:pBdr>
          <w:top w:val="none" w:sz="0" w:space="0" w:color="auto"/>
        </w:pBdr>
        <w:spacing w:before="80"/>
      </w:pPr>
      <w:r w:rsidRPr="0062582F">
        <w:tab/>
        <w:t>(i)</w:t>
      </w:r>
      <w:r w:rsidRPr="0062582F">
        <w:tab/>
        <w:t>whether the investment in the joint venture or associate is measured using the equity method or at fair value;</w:t>
      </w:r>
    </w:p>
    <w:p w:rsidR="004843DB" w:rsidRPr="0062582F" w:rsidRDefault="004843DB" w:rsidP="004843DB">
      <w:pPr>
        <w:pStyle w:val="CommentaryTextIndent2"/>
        <w:pBdr>
          <w:top w:val="none" w:sz="0" w:space="0" w:color="auto"/>
        </w:pBdr>
        <w:spacing w:before="80"/>
      </w:pPr>
      <w:r w:rsidRPr="0062582F">
        <w:tab/>
        <w:t>(ii)</w:t>
      </w:r>
      <w:r w:rsidRPr="0062582F">
        <w:tab/>
        <w:t>summarised financial information about the joint venture or associate as specified in paragraphs B12 and B13 of AASB 12; and</w:t>
      </w:r>
    </w:p>
    <w:p w:rsidR="004843DB" w:rsidRPr="0062582F" w:rsidRDefault="004843DB" w:rsidP="004843DB">
      <w:pPr>
        <w:pStyle w:val="CommentaryTextIndent2"/>
        <w:pBdr>
          <w:top w:val="none" w:sz="0" w:space="0" w:color="auto"/>
        </w:pBdr>
        <w:spacing w:before="80"/>
      </w:pPr>
      <w:r w:rsidRPr="0062582F">
        <w:tab/>
        <w:t>(iii)</w:t>
      </w:r>
      <w:r w:rsidRPr="0062582F">
        <w:tab/>
        <w:t>if the joint venture or associate is accounted for using the equity method, the fair value of its investment in the joint venture or associate, if there is a quoted market price for the investment;</w:t>
      </w:r>
    </w:p>
    <w:p w:rsidR="004843DB" w:rsidRPr="0062582F" w:rsidRDefault="004843DB" w:rsidP="004843DB">
      <w:pPr>
        <w:pStyle w:val="CommentaryTextIndent"/>
        <w:pBdr>
          <w:top w:val="none" w:sz="0" w:space="0" w:color="auto"/>
        </w:pBdr>
      </w:pPr>
      <w:r w:rsidRPr="0062582F">
        <w:t>(c)</w:t>
      </w:r>
      <w:r w:rsidRPr="0062582F">
        <w:tab/>
        <w:t>financial information as specified in paragraph B16 about the entity</w:t>
      </w:r>
      <w:r w:rsidR="005A4BB0">
        <w:t>’</w:t>
      </w:r>
      <w:r w:rsidRPr="0062582F">
        <w:t xml:space="preserve">s investments in joint ventures and associates that are not individually material: </w:t>
      </w:r>
    </w:p>
    <w:p w:rsidR="004843DB" w:rsidRPr="0062582F" w:rsidRDefault="004843DB" w:rsidP="004843DB">
      <w:pPr>
        <w:pStyle w:val="CommentaryTextIndent2"/>
        <w:pBdr>
          <w:top w:val="none" w:sz="0" w:space="0" w:color="auto"/>
        </w:pBdr>
        <w:spacing w:before="80"/>
      </w:pPr>
      <w:r w:rsidRPr="0062582F">
        <w:tab/>
        <w:t>(i)</w:t>
      </w:r>
      <w:r w:rsidRPr="0062582F">
        <w:tab/>
        <w:t xml:space="preserve">in aggregate for all individually immaterial joint ventures; and, separately, </w:t>
      </w:r>
    </w:p>
    <w:p w:rsidR="004843DB" w:rsidRPr="0062582F" w:rsidRDefault="004843DB" w:rsidP="004843DB">
      <w:pPr>
        <w:pStyle w:val="CommentaryTextIndent2"/>
        <w:pBdr>
          <w:top w:val="none" w:sz="0" w:space="0" w:color="auto"/>
        </w:pBdr>
        <w:spacing w:before="80"/>
      </w:pPr>
      <w:r w:rsidRPr="0062582F">
        <w:tab/>
        <w:t>(ii)</w:t>
      </w:r>
      <w:r w:rsidRPr="0062582F">
        <w:tab/>
        <w:t>in aggregate for all individually immaterial associates.</w:t>
      </w:r>
    </w:p>
    <w:p w:rsidR="004843DB" w:rsidRPr="0062582F" w:rsidRDefault="004843DB" w:rsidP="004843DB">
      <w:pPr>
        <w:pStyle w:val="CommentaryHeading3"/>
        <w:pBdr>
          <w:top w:val="none" w:sz="0" w:space="0" w:color="auto"/>
        </w:pBdr>
        <w:rPr>
          <w:i/>
        </w:rPr>
      </w:pPr>
      <w:r w:rsidRPr="0062582F">
        <w:t>Risks associated with an entity</w:t>
      </w:r>
      <w:r w:rsidR="005A4BB0">
        <w:t>’</w:t>
      </w:r>
      <w:r w:rsidRPr="0062582F">
        <w:t>s interests in joint ventures and associates</w:t>
      </w:r>
    </w:p>
    <w:p w:rsidR="004843DB" w:rsidRPr="0062582F" w:rsidRDefault="004843DB" w:rsidP="004843DB">
      <w:pPr>
        <w:pStyle w:val="CommentaryText"/>
        <w:pBdr>
          <w:top w:val="none" w:sz="0" w:space="0" w:color="auto"/>
        </w:pBdr>
      </w:pPr>
      <w:r w:rsidRPr="0062582F">
        <w:t>An entity shall disclose:</w:t>
      </w:r>
    </w:p>
    <w:p w:rsidR="004843DB" w:rsidRPr="0062582F" w:rsidRDefault="004843DB" w:rsidP="004843DB">
      <w:pPr>
        <w:pStyle w:val="CommentaryTextIndent"/>
        <w:pBdr>
          <w:top w:val="none" w:sz="0" w:space="0" w:color="auto"/>
        </w:pBdr>
        <w:spacing w:before="100"/>
      </w:pPr>
      <w:r w:rsidRPr="0062582F">
        <w:t>(a)</w:t>
      </w:r>
      <w:r w:rsidRPr="0062582F">
        <w:tab/>
        <w:t>commitments that it has relating to its joint ventures separately from the amount of other commitments</w:t>
      </w:r>
      <w:r w:rsidRPr="0062582F">
        <w:rPr>
          <w:rStyle w:val="CommentaryTextIndentChar"/>
        </w:rPr>
        <w:t xml:space="preserve"> </w:t>
      </w:r>
      <w:r w:rsidRPr="0062582F">
        <w:t>as specified in paragraphs B18–B20; and</w:t>
      </w:r>
    </w:p>
    <w:p w:rsidR="004843DB" w:rsidRPr="0062582F" w:rsidRDefault="004843DB" w:rsidP="004843DB">
      <w:pPr>
        <w:pStyle w:val="CommentaryTextIndent"/>
        <w:pBdr>
          <w:top w:val="none" w:sz="0" w:space="0" w:color="auto"/>
        </w:pBdr>
        <w:spacing w:before="100"/>
      </w:pPr>
      <w:r w:rsidRPr="0062582F">
        <w:t>(b)</w:t>
      </w:r>
      <w:r w:rsidRPr="0062582F">
        <w:tab/>
        <w:t xml:space="preserve">in accordance with AASB 137 </w:t>
      </w:r>
      <w:r w:rsidRPr="0062582F">
        <w:rPr>
          <w:i/>
        </w:rPr>
        <w:t>Provisions, Contingent Liabilities and Contingent Assets</w:t>
      </w:r>
      <w:r w:rsidRPr="0062582F">
        <w:t>, unless the probability of loss is remote, contingent liabilities incurred relating to its interests in joint ventures or associates (including its share of contingent liabilities incurred jointly with other investors with joint control of, or significant influence over, the joint ventures or associates), separately from the amount of other contingent liabilities.</w:t>
      </w:r>
      <w:r w:rsidRPr="0062582F">
        <w:rPr>
          <w:rFonts w:ascii="Calibri" w:hAnsi="Calibri" w:cs="Arial Narrow"/>
          <w:sz w:val="16"/>
          <w:szCs w:val="16"/>
          <w:lang w:val="en-GB"/>
        </w:rPr>
        <w:t xml:space="preserve"> </w:t>
      </w:r>
    </w:p>
    <w:p w:rsidR="004843DB" w:rsidRPr="0062582F" w:rsidRDefault="004843DB" w:rsidP="004843DB">
      <w:pPr>
        <w:pStyle w:val="CommentaryHeading3"/>
        <w:pBdr>
          <w:top w:val="none" w:sz="0" w:space="0" w:color="auto"/>
        </w:pBdr>
        <w:rPr>
          <w:b w:val="0"/>
          <w:bCs w:val="0"/>
        </w:rPr>
      </w:pPr>
      <w:r w:rsidRPr="0062582F">
        <w:t>Disclosure in aggregate for individually immaterial associates and joint ventures</w:t>
      </w:r>
    </w:p>
    <w:p w:rsidR="004843DB" w:rsidRPr="0062582F" w:rsidRDefault="004843DB" w:rsidP="004843DB">
      <w:pPr>
        <w:pStyle w:val="CommentaryText"/>
        <w:pBdr>
          <w:top w:val="none" w:sz="0" w:space="0" w:color="auto"/>
        </w:pBdr>
      </w:pPr>
      <w:r w:rsidRPr="0062582F">
        <w:t xml:space="preserve">An entity shall disclose, in aggregate, the carrying amount of its interests in all individually immaterial joint ventures or associates that are accounted for using the equity method. </w:t>
      </w:r>
    </w:p>
    <w:p w:rsidR="004843DB" w:rsidRPr="0062582F" w:rsidRDefault="004843DB" w:rsidP="004843DB">
      <w:pPr>
        <w:pStyle w:val="CommentaryText"/>
        <w:pBdr>
          <w:top w:val="none" w:sz="0" w:space="0" w:color="auto"/>
        </w:pBdr>
      </w:pPr>
      <w:r w:rsidRPr="0062582F">
        <w:t>An entity shall also disclose separately the aggregate amount of its share of those joint ventures</w:t>
      </w:r>
      <w:r w:rsidR="005A4BB0">
        <w:t>’</w:t>
      </w:r>
      <w:r w:rsidRPr="0062582F">
        <w:t xml:space="preserve"> or associates</w:t>
      </w:r>
      <w:r w:rsidR="005A4BB0">
        <w:t>’</w:t>
      </w:r>
      <w:r w:rsidRPr="0062582F">
        <w:t xml:space="preserve">: </w:t>
      </w:r>
    </w:p>
    <w:p w:rsidR="004843DB" w:rsidRPr="0062582F" w:rsidRDefault="004843DB" w:rsidP="004843DB">
      <w:pPr>
        <w:pStyle w:val="CommentaryTextIndent"/>
        <w:pBdr>
          <w:top w:val="none" w:sz="0" w:space="0" w:color="auto"/>
        </w:pBdr>
      </w:pPr>
      <w:r w:rsidRPr="0062582F">
        <w:t>(a)</w:t>
      </w:r>
      <w:r w:rsidRPr="0062582F">
        <w:tab/>
        <w:t>profit or loss from continuing operations;</w:t>
      </w:r>
    </w:p>
    <w:p w:rsidR="004843DB" w:rsidRPr="0062582F" w:rsidRDefault="004843DB" w:rsidP="004843DB">
      <w:pPr>
        <w:pStyle w:val="CommentaryTextIndent"/>
        <w:pBdr>
          <w:top w:val="none" w:sz="0" w:space="0" w:color="auto"/>
        </w:pBdr>
      </w:pPr>
      <w:r w:rsidRPr="0062582F">
        <w:t>(b)</w:t>
      </w:r>
      <w:r w:rsidRPr="0062582F">
        <w:tab/>
        <w:t>post</w:t>
      </w:r>
      <w:r w:rsidR="005A4BB0">
        <w:noBreakHyphen/>
      </w:r>
      <w:r w:rsidRPr="0062582F">
        <w:t>tax profit or loss from discontinued operations;</w:t>
      </w:r>
    </w:p>
    <w:p w:rsidR="004843DB" w:rsidRPr="0062582F" w:rsidRDefault="004843DB" w:rsidP="004843DB">
      <w:pPr>
        <w:pStyle w:val="CommentaryTextIndent"/>
        <w:pBdr>
          <w:top w:val="none" w:sz="0" w:space="0" w:color="auto"/>
        </w:pBdr>
      </w:pPr>
      <w:r w:rsidRPr="0062582F">
        <w:t>(c)</w:t>
      </w:r>
      <w:r w:rsidRPr="0062582F">
        <w:tab/>
        <w:t>other comprehensive income; and</w:t>
      </w:r>
    </w:p>
    <w:p w:rsidR="004843DB" w:rsidRPr="0062582F" w:rsidRDefault="004843DB" w:rsidP="004843DB">
      <w:pPr>
        <w:pStyle w:val="CommentaryTextIndent"/>
        <w:pBdr>
          <w:top w:val="none" w:sz="0" w:space="0" w:color="auto"/>
        </w:pBdr>
      </w:pPr>
      <w:r w:rsidRPr="0062582F">
        <w:t>(d)</w:t>
      </w:r>
      <w:r w:rsidRPr="0062582F">
        <w:tab/>
        <w:t xml:space="preserve">total comprehensive income. </w:t>
      </w:r>
    </w:p>
    <w:p w:rsidR="004843DB" w:rsidRPr="0062582F" w:rsidRDefault="004843DB" w:rsidP="004843DB">
      <w:pPr>
        <w:pStyle w:val="CommentaryText"/>
        <w:pBdr>
          <w:top w:val="none" w:sz="0" w:space="0" w:color="auto"/>
        </w:pBdr>
      </w:pPr>
      <w:r w:rsidRPr="0062582F">
        <w:t xml:space="preserve">An entity provides the disclosures separately for joint ventures and associates. </w:t>
      </w:r>
      <w:r w:rsidRPr="0062582F">
        <w:br w:type="page"/>
      </w:r>
    </w:p>
    <w:p w:rsidR="004843DB" w:rsidRPr="0062582F" w:rsidRDefault="004843DB" w:rsidP="004843DB">
      <w:pPr>
        <w:pStyle w:val="Reference"/>
      </w:pPr>
    </w:p>
    <w:p w:rsidR="004843DB" w:rsidRPr="0062582F" w:rsidRDefault="004843DB" w:rsidP="004843DB">
      <w:pPr>
        <w:pStyle w:val="Reference"/>
        <w:spacing w:before="0"/>
        <w:rPr>
          <w:rStyle w:val="ReferenceChar"/>
        </w:rPr>
      </w:pPr>
    </w:p>
    <w:p w:rsidR="004843DB" w:rsidRPr="0062582F" w:rsidRDefault="004843DB" w:rsidP="004843DB">
      <w:pPr>
        <w:pStyle w:val="Reference"/>
        <w:spacing w:before="0"/>
        <w:rPr>
          <w:sz w:val="20"/>
          <w:szCs w:val="20"/>
        </w:rPr>
      </w:pPr>
      <w:r w:rsidRPr="0062582F">
        <w:rPr>
          <w:rStyle w:val="ReferenceChar"/>
        </w:rPr>
        <w:t>AASB 12.21(c), B16</w:t>
      </w:r>
    </w:p>
    <w:p w:rsidR="004843DB" w:rsidRPr="0062582F" w:rsidRDefault="004843DB" w:rsidP="004843DB">
      <w:pPr>
        <w:pStyle w:val="SmallLine"/>
      </w:pPr>
      <w:r w:rsidRPr="0062582F">
        <w:br w:type="column"/>
      </w:r>
    </w:p>
    <w:p w:rsidR="004843DB" w:rsidRPr="0062582F" w:rsidRDefault="004843DB" w:rsidP="004843DB">
      <w:pPr>
        <w:pStyle w:val="CommentaryHeading"/>
        <w:pBdr>
          <w:bottom w:val="none" w:sz="0" w:space="0" w:color="auto"/>
        </w:pBdr>
        <w:rPr>
          <w:i/>
        </w:rPr>
      </w:pPr>
      <w:r w:rsidRPr="0062582F">
        <w:t xml:space="preserve">Commentary – Investments accounted for using the equity method </w:t>
      </w:r>
      <w:r w:rsidRPr="0062582F">
        <w:rPr>
          <w:i/>
        </w:rPr>
        <w:t>(continued)</w:t>
      </w:r>
    </w:p>
    <w:p w:rsidR="004843DB" w:rsidRPr="0062582F" w:rsidRDefault="004843DB" w:rsidP="004843DB">
      <w:pPr>
        <w:pStyle w:val="SmallLineBlue"/>
        <w:pBdr>
          <w:bottom w:val="none" w:sz="0" w:space="0" w:color="auto"/>
        </w:pBdr>
      </w:pPr>
    </w:p>
    <w:p w:rsidR="004843DB" w:rsidRPr="0062582F" w:rsidRDefault="004843DB" w:rsidP="004843DB">
      <w:pPr>
        <w:pStyle w:val="CommentaryHeading3"/>
        <w:pBdr>
          <w:bottom w:val="none" w:sz="0" w:space="0" w:color="auto"/>
        </w:pBdr>
      </w:pPr>
      <w:r w:rsidRPr="0062582F">
        <w:t>Restrictions on fund transfers</w:t>
      </w:r>
    </w:p>
    <w:p w:rsidR="004843DB" w:rsidRPr="0062582F" w:rsidRDefault="004843DB" w:rsidP="004843DB">
      <w:pPr>
        <w:pStyle w:val="CommentaryText"/>
        <w:sectPr w:rsidR="004843DB" w:rsidRPr="0062582F" w:rsidSect="004843DB">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0"/>
      </w:pPr>
      <w:r w:rsidRPr="0062582F">
        <w:t>AASB 12.22(a)</w:t>
      </w:r>
    </w:p>
    <w:p w:rsidR="004843DB" w:rsidRPr="0062582F" w:rsidRDefault="004843DB" w:rsidP="004843DB">
      <w:pPr>
        <w:pStyle w:val="CommentaryText"/>
        <w:pBdr>
          <w:top w:val="none" w:sz="0" w:space="0" w:color="auto"/>
          <w:bottom w:val="none" w:sz="0" w:space="0" w:color="auto"/>
        </w:pBdr>
      </w:pPr>
      <w:r w:rsidRPr="0062582F">
        <w:br w:type="column"/>
        <w:t>The entity shall disclose the nature and extent of any significant restrictions (e.g. resulting from borrowing arrangements; regulatory requirements or contractual arrangements between investors with joint control of or significant influence over a joint venture or an associate) on the ability of joint ventures or associates to transfer funds to the entity in the form of cash dividends, or to repay loans or advances made by the entity.</w:t>
      </w:r>
    </w:p>
    <w:p w:rsidR="004843DB" w:rsidRPr="0062582F" w:rsidRDefault="004843DB" w:rsidP="004843DB">
      <w:pPr>
        <w:pStyle w:val="CommentaryHeading3"/>
        <w:pBdr>
          <w:top w:val="none" w:sz="0" w:space="0" w:color="auto"/>
          <w:bottom w:val="none" w:sz="0" w:space="0" w:color="auto"/>
        </w:pBdr>
      </w:pPr>
      <w:r w:rsidRPr="0062582F">
        <w:t>Unrecognised share of losses</w:t>
      </w:r>
    </w:p>
    <w:p w:rsidR="004843DB" w:rsidRPr="0062582F" w:rsidRDefault="004843DB" w:rsidP="004843DB">
      <w:pPr>
        <w:pStyle w:val="CommentaryText"/>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12.22(c)</w:t>
      </w:r>
    </w:p>
    <w:p w:rsidR="004843DB" w:rsidRPr="0062582F" w:rsidRDefault="004843DB" w:rsidP="004843DB">
      <w:pPr>
        <w:pStyle w:val="CommentaryText"/>
        <w:pBdr>
          <w:top w:val="none" w:sz="0" w:space="0" w:color="auto"/>
          <w:bottom w:val="none" w:sz="0" w:space="0" w:color="auto"/>
        </w:pBdr>
      </w:pPr>
      <w:r w:rsidRPr="0062582F">
        <w:br w:type="column"/>
        <w:t>The entity shall disclose the unrecognised share of losses of an associate or joint venture, both for the period and cumulatively, if recognition of the associate</w:t>
      </w:r>
      <w:r w:rsidR="005A4BB0">
        <w:t>’</w:t>
      </w:r>
      <w:r w:rsidRPr="0062582F">
        <w:t>s or joint venture</w:t>
      </w:r>
      <w:r w:rsidR="005A4BB0">
        <w:t>’</w:t>
      </w:r>
      <w:r w:rsidRPr="0062582F">
        <w:t>s share of losses has been discontinued.</w:t>
      </w:r>
    </w:p>
    <w:p w:rsidR="004843DB" w:rsidRPr="0062582F" w:rsidRDefault="004843DB" w:rsidP="004843DB">
      <w:pPr>
        <w:pStyle w:val="CommentaryHeading3"/>
        <w:pBdr>
          <w:top w:val="none" w:sz="0" w:space="0" w:color="auto"/>
          <w:bottom w:val="none" w:sz="0" w:space="0" w:color="auto"/>
        </w:pBdr>
      </w:pPr>
      <w:r w:rsidRPr="0062582F">
        <w:t xml:space="preserve">Different reporting periods </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12.22(b)</w:t>
      </w:r>
    </w:p>
    <w:p w:rsidR="004843DB" w:rsidRPr="0062582F" w:rsidRDefault="004843DB" w:rsidP="004843DB">
      <w:pPr>
        <w:pStyle w:val="CommentaryText"/>
        <w:pBdr>
          <w:top w:val="none" w:sz="0" w:space="0" w:color="auto"/>
          <w:bottom w:val="none" w:sz="0" w:space="0" w:color="auto"/>
        </w:pBdr>
      </w:pPr>
      <w:r w:rsidRPr="0062582F">
        <w:br w:type="column"/>
        <w:t>When the financial statements of a joint venture or associate used in applying the equity method are as of a date or for a period that is different from that of the entity, the entity should disclose:</w:t>
      </w:r>
    </w:p>
    <w:p w:rsidR="004843DB" w:rsidRPr="0062582F" w:rsidRDefault="004843DB" w:rsidP="004843DB">
      <w:pPr>
        <w:pStyle w:val="CommentaryTextIndent"/>
        <w:pBdr>
          <w:top w:val="none" w:sz="0" w:space="0" w:color="auto"/>
          <w:bottom w:val="none" w:sz="0" w:space="0" w:color="auto"/>
        </w:pBdr>
      </w:pPr>
      <w:r w:rsidRPr="0062582F">
        <w:t>(i)</w:t>
      </w:r>
      <w:r w:rsidRPr="0062582F">
        <w:tab/>
        <w:t xml:space="preserve">the date of the end of the reporting period of the financial statements of that joint venture or associate; and </w:t>
      </w:r>
    </w:p>
    <w:p w:rsidR="004843DB" w:rsidRPr="0062582F" w:rsidRDefault="004843DB" w:rsidP="004843DB">
      <w:pPr>
        <w:pStyle w:val="CommentaryTextIndent"/>
        <w:pBdr>
          <w:top w:val="none" w:sz="0" w:space="0" w:color="auto"/>
          <w:bottom w:val="none" w:sz="0" w:space="0" w:color="auto"/>
        </w:pBdr>
      </w:pPr>
      <w:r w:rsidRPr="0062582F">
        <w:t>(ii)</w:t>
      </w:r>
      <w:r w:rsidRPr="0062582F">
        <w:tab/>
        <w:t>the reason for using a different date or period.</w:t>
      </w:r>
    </w:p>
    <w:p w:rsidR="004843DB" w:rsidRPr="0062582F" w:rsidRDefault="004843DB" w:rsidP="004843DB">
      <w:pPr>
        <w:pStyle w:val="CommentaryHeading3"/>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sectPr>
      </w:pPr>
      <w:r w:rsidRPr="0062582F">
        <w:t>Equity accounted investment reduced to zero</w:t>
      </w:r>
    </w:p>
    <w:p w:rsidR="004843DB" w:rsidRPr="0062582F" w:rsidRDefault="004843DB" w:rsidP="004843DB">
      <w:pPr>
        <w:pStyle w:val="Reference"/>
        <w:spacing w:before="120"/>
        <w:rPr>
          <w:lang w:val="en-AU"/>
        </w:rPr>
      </w:pPr>
      <w:r w:rsidRPr="0062582F">
        <w:t>AASB </w:t>
      </w:r>
      <w:r w:rsidRPr="0062582F">
        <w:rPr>
          <w:lang w:val="en-AU"/>
        </w:rPr>
        <w:t>128.38</w:t>
      </w:r>
    </w:p>
    <w:p w:rsidR="004843DB" w:rsidRPr="0062582F" w:rsidRDefault="004843DB" w:rsidP="004843DB">
      <w:pPr>
        <w:pStyle w:val="CommentaryText"/>
        <w:pBdr>
          <w:top w:val="none" w:sz="0" w:space="0" w:color="auto"/>
          <w:bottom w:val="none" w:sz="0" w:space="0" w:color="auto"/>
        </w:pBdr>
      </w:pPr>
      <w:r w:rsidRPr="0062582F">
        <w:br w:type="column"/>
        <w:t>If an investor</w:t>
      </w:r>
      <w:r w:rsidR="005A4BB0">
        <w:t>’</w:t>
      </w:r>
      <w:r w:rsidRPr="0062582F">
        <w:t>s share of losses of an associate equals or exceeds its interest in the associate, the investor discontinues recognising its share of further losses. The interest in an associate is the carrying amount of the investment in the associate under the equity method together with any long</w:t>
      </w:r>
      <w:r w:rsidR="005A4BB0">
        <w:noBreakHyphen/>
      </w:r>
      <w:r w:rsidRPr="0062582F">
        <w:t>term interests that, in substance, form part of the investor</w:t>
      </w:r>
      <w:r w:rsidR="005A4BB0">
        <w:t>’</w:t>
      </w:r>
      <w:r w:rsidRPr="0062582F">
        <w:t>s net investment in the associate. For example, an item for which settlement is neither planned nor likely to occur in the foreseeable future is, in substance, an extension of the entity</w:t>
      </w:r>
      <w:r w:rsidR="005A4BB0">
        <w:t>’</w:t>
      </w:r>
      <w:r w:rsidRPr="0062582F">
        <w:t>s investment in that associate.</w:t>
      </w:r>
    </w:p>
    <w:p w:rsidR="004843DB" w:rsidRPr="0062582F" w:rsidRDefault="004843DB" w:rsidP="004843DB">
      <w:pPr>
        <w:pStyle w:val="CommentaryText"/>
        <w:pBdr>
          <w:top w:val="none" w:sz="0" w:space="0" w:color="auto"/>
          <w:bottom w:val="none" w:sz="0" w:space="0" w:color="auto"/>
        </w:pBdr>
      </w:pPr>
      <w:r w:rsidRPr="0062582F">
        <w:t>Such items may include preference shares and long</w:t>
      </w:r>
      <w:r w:rsidR="005A4BB0">
        <w:noBreakHyphen/>
      </w:r>
      <w:r w:rsidRPr="0062582F">
        <w:t>term receivables or loans but do not include trade receivables, trade payables or any long</w:t>
      </w:r>
      <w:r w:rsidR="005A4BB0">
        <w:noBreakHyphen/>
      </w:r>
      <w:r w:rsidRPr="0062582F">
        <w:t>term receivables for which adequate collateral exists, such as secured loans. Losses recognised under the equity method in excess of the investor</w:t>
      </w:r>
      <w:r w:rsidR="005A4BB0">
        <w:t>’</w:t>
      </w:r>
      <w:r w:rsidRPr="0062582F">
        <w:t>s investment in ordinary shares are applied to the other components of the investor</w:t>
      </w:r>
      <w:r w:rsidR="005A4BB0">
        <w:t>’</w:t>
      </w:r>
      <w:r w:rsidRPr="0062582F">
        <w:t>s interest in an associate in the reverse order of their seniority (i.e. priority in liquidation).</w:t>
      </w:r>
    </w:p>
    <w:p w:rsidR="004843DB" w:rsidRPr="0062582F" w:rsidRDefault="004843DB" w:rsidP="004843DB">
      <w:pPr>
        <w:pStyle w:val="Reference"/>
        <w:rPr>
          <w:lang w:val="en-AU"/>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128.39</w:t>
      </w:r>
    </w:p>
    <w:p w:rsidR="004843DB" w:rsidRPr="0062582F" w:rsidRDefault="004843DB" w:rsidP="004843DB">
      <w:pPr>
        <w:pStyle w:val="CommentaryText"/>
        <w:pBdr>
          <w:top w:val="none" w:sz="0" w:space="0" w:color="auto"/>
          <w:bottom w:val="none" w:sz="0" w:space="0" w:color="auto"/>
        </w:pBdr>
      </w:pPr>
      <w:r w:rsidRPr="0062582F">
        <w:br w:type="column"/>
        <w:t>After the investor</w:t>
      </w:r>
      <w:r w:rsidR="005A4BB0">
        <w:t>’</w:t>
      </w:r>
      <w:r w:rsidRPr="0062582F">
        <w:t>s interest is reduced to zero, additional losses are provided for, and a liability is recognised, only to the extent that the investor has incurred legal or constructive obligations or made payments on behalf of the associate. If the associate subsequently reports profits, the investor resumes recognising its share of those profits only after its share of the profits equals the share of losses not recognised.</w:t>
      </w:r>
    </w:p>
    <w:p w:rsidR="004843DB" w:rsidRPr="0062582F" w:rsidRDefault="004843DB" w:rsidP="004843DB">
      <w:pPr>
        <w:pStyle w:val="CommentaryHeading1"/>
        <w:pBdr>
          <w:top w:val="none" w:sz="0" w:space="0" w:color="auto"/>
          <w:bottom w:val="none" w:sz="0" w:space="0" w:color="auto"/>
        </w:pBdr>
      </w:pPr>
      <w:r w:rsidRPr="0062582F">
        <w:t>Discontinuing the use of the equity method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rStyle w:val="ReferenceChar"/>
        </w:rPr>
      </w:pPr>
      <w:r w:rsidRPr="0062582F">
        <w:rPr>
          <w:rStyle w:val="ReferenceChar"/>
        </w:rPr>
        <w:t>AASB 128.22</w:t>
      </w:r>
      <w:r w:rsidRPr="0062582F">
        <w:rPr>
          <w:rStyle w:val="ReferenceChar"/>
        </w:rPr>
        <w:br/>
      </w:r>
    </w:p>
    <w:p w:rsidR="004843DB" w:rsidRPr="0062582F" w:rsidRDefault="004843DB" w:rsidP="004843DB">
      <w:pPr>
        <w:pStyle w:val="CommentaryText"/>
        <w:pBdr>
          <w:top w:val="none" w:sz="0" w:space="0" w:color="auto"/>
        </w:pBdr>
      </w:pPr>
      <w:r w:rsidRPr="0062582F">
        <w:br w:type="column"/>
        <w:t xml:space="preserve">An entity shall discontinue the use of the equity method from the date that its investment ceases to be an associate or a joint venture as follows: </w:t>
      </w:r>
    </w:p>
    <w:p w:rsidR="004843DB" w:rsidRPr="0062582F" w:rsidRDefault="004843DB" w:rsidP="004843DB">
      <w:pPr>
        <w:pStyle w:val="CommentaryTextIndent"/>
        <w:pBdr>
          <w:top w:val="none" w:sz="0" w:space="0" w:color="auto"/>
        </w:pBdr>
      </w:pPr>
      <w:r w:rsidRPr="0062582F">
        <w:t>(a)</w:t>
      </w:r>
      <w:r w:rsidRPr="0062582F">
        <w:tab/>
        <w:t xml:space="preserve">If the investment becomes a subsidiary, the entity shall account for its investment in accordance with AASB 3 </w:t>
      </w:r>
      <w:r w:rsidRPr="0062582F">
        <w:rPr>
          <w:i/>
        </w:rPr>
        <w:t>Business Combinations</w:t>
      </w:r>
      <w:r w:rsidRPr="0062582F">
        <w:t xml:space="preserve"> and AASB 10 </w:t>
      </w:r>
      <w:r w:rsidRPr="0062582F">
        <w:rPr>
          <w:i/>
        </w:rPr>
        <w:t>Consolidated Financial Statements</w:t>
      </w:r>
      <w:r w:rsidRPr="0062582F">
        <w:t xml:space="preserve">. </w:t>
      </w:r>
    </w:p>
    <w:p w:rsidR="004843DB" w:rsidRPr="0062582F" w:rsidRDefault="004843DB" w:rsidP="004843DB">
      <w:pPr>
        <w:pStyle w:val="CommentaryTextIndent"/>
        <w:pBdr>
          <w:top w:val="none" w:sz="0" w:space="0" w:color="auto"/>
        </w:pBdr>
      </w:pPr>
      <w:r w:rsidRPr="0062582F">
        <w:t>(b)</w:t>
      </w:r>
      <w:r w:rsidRPr="0062582F">
        <w:tab/>
        <w:t xml:space="preserve">If the retained interest in the former associate or joint venture is a financial asset, the entity shall measure the retained interest at fair value. The fair value of the retained interest shall be regarded as its fair value on initial recognition as a financial asset. The entity shall recognise in profit or loss any difference between: </w:t>
      </w:r>
    </w:p>
    <w:p w:rsidR="004843DB" w:rsidRPr="0062582F" w:rsidRDefault="004843DB" w:rsidP="004843DB">
      <w:pPr>
        <w:pStyle w:val="SmallLine"/>
      </w:pPr>
    </w:p>
    <w:p w:rsidR="004843DB" w:rsidRPr="0062582F" w:rsidRDefault="004843DB" w:rsidP="004843DB"/>
    <w:p w:rsidR="004843DB" w:rsidRPr="0062582F" w:rsidRDefault="004843DB" w:rsidP="004843DB"/>
    <w:p w:rsidR="004843DB" w:rsidRPr="0062582F" w:rsidRDefault="004843DB" w:rsidP="004843DB">
      <w:pPr>
        <w:pStyle w:val="SmallLine"/>
      </w:pPr>
      <w:r w:rsidRPr="0062582F">
        <w:br w:type="column"/>
      </w:r>
    </w:p>
    <w:p w:rsidR="004843DB" w:rsidRPr="0062582F" w:rsidRDefault="004843DB" w:rsidP="004843DB">
      <w:pPr>
        <w:pStyle w:val="CommentaryHeading"/>
        <w:rPr>
          <w:i/>
        </w:rPr>
      </w:pPr>
      <w:r w:rsidRPr="0062582F">
        <w:t xml:space="preserve">Commentary – Investments accounted for using the equity method </w:t>
      </w:r>
      <w:r w:rsidRPr="0062582F">
        <w:rPr>
          <w:i/>
        </w:rPr>
        <w:t>(continued)</w:t>
      </w:r>
    </w:p>
    <w:p w:rsidR="004843DB" w:rsidRPr="0062582F" w:rsidRDefault="004843DB" w:rsidP="004843DB">
      <w:pPr>
        <w:pStyle w:val="SmallLineBlue"/>
      </w:pPr>
    </w:p>
    <w:p w:rsidR="004843DB" w:rsidRPr="0062582F" w:rsidRDefault="004843DB" w:rsidP="004843DB">
      <w:pPr>
        <w:pStyle w:val="CommentaryTextIndent2"/>
        <w:pBdr>
          <w:top w:val="none" w:sz="0" w:space="0" w:color="auto"/>
          <w:bottom w:val="none" w:sz="0" w:space="0" w:color="auto"/>
        </w:pBdr>
      </w:pPr>
      <w:r w:rsidRPr="0062582F">
        <w:tab/>
        <w:t>(i)</w:t>
      </w:r>
      <w:r w:rsidRPr="0062582F">
        <w:tab/>
        <w:t xml:space="preserve">the fair value of any retained interest and any proceeds from disposing of a part interest in the associate or joint venture; and </w:t>
      </w:r>
    </w:p>
    <w:p w:rsidR="004843DB" w:rsidRPr="0062582F" w:rsidRDefault="004843DB" w:rsidP="004843DB">
      <w:pPr>
        <w:pStyle w:val="CommentaryTextIndent2"/>
        <w:pBdr>
          <w:top w:val="none" w:sz="0" w:space="0" w:color="auto"/>
          <w:bottom w:val="none" w:sz="0" w:space="0" w:color="auto"/>
        </w:pBdr>
      </w:pPr>
      <w:r w:rsidRPr="0062582F">
        <w:tab/>
        <w:t>(ii)</w:t>
      </w:r>
      <w:r w:rsidRPr="0062582F">
        <w:tab/>
        <w:t>the carrying amount of the investment at the date the equity method was discontinued.</w:t>
      </w:r>
    </w:p>
    <w:p w:rsidR="004843DB" w:rsidRPr="0062582F" w:rsidRDefault="004843DB" w:rsidP="004843DB">
      <w:pPr>
        <w:pStyle w:val="CommentaryTextIndent"/>
        <w:pBdr>
          <w:top w:val="none" w:sz="0" w:space="0" w:color="auto"/>
          <w:bottom w:val="none" w:sz="0" w:space="0" w:color="auto"/>
        </w:pBdr>
      </w:pPr>
      <w:r w:rsidRPr="0062582F">
        <w:t>(c)</w:t>
      </w:r>
      <w:r w:rsidRPr="0062582F">
        <w:tab/>
        <w:t>When an entity discontinues the use of the equity method, the entity shall account for all amounts previously recognised in other comprehensive income in relation to that investment on the same basis as would have been required if the investee had directly disposed of the related assets or liabilities.</w:t>
      </w:r>
      <w:r w:rsidRPr="0062582F" w:rsidDel="009B371E">
        <w:t xml:space="preserve"> </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128.23</w:t>
      </w:r>
      <w:r w:rsidRPr="0062582F">
        <w:br/>
      </w:r>
    </w:p>
    <w:p w:rsidR="004843DB" w:rsidRPr="0062582F" w:rsidRDefault="004843DB" w:rsidP="004843DB">
      <w:pPr>
        <w:pStyle w:val="CommentaryText"/>
        <w:pBdr>
          <w:top w:val="none" w:sz="0" w:space="0" w:color="auto"/>
        </w:pBdr>
      </w:pPr>
      <w:r w:rsidRPr="0062582F">
        <w:br w:type="column"/>
        <w:t>Therefore, if a gain or loss previously recognised in other comprehensive income by the investee would be reclassified to profit or loss on the disposal of the related assets or liabilities, the entity reclassifies the gain or loss from equity to profit or loss (as a reclassification adjustment) when the equity method is discontinued. For example, if an associate or a joint venture has cumulative exchange differences relating to a foreign operation and the entity discontinues the use of the equity method, the entity shall reclassify to profit or loss the gain or loss that had previously been recognised in other comprehensive income in relation to the foreign operation.</w:t>
      </w:r>
    </w:p>
    <w:p w:rsidR="004843DB" w:rsidRPr="0062582F" w:rsidRDefault="004843DB" w:rsidP="004843DB">
      <w:pPr>
        <w:spacing w:before="0"/>
      </w:pPr>
    </w:p>
    <w:p w:rsidR="004843DB" w:rsidRPr="0062582F" w:rsidRDefault="004843DB" w:rsidP="004843DB">
      <w:pPr>
        <w:pStyle w:val="NoteHeading"/>
      </w:pPr>
      <w:bookmarkStart w:id="429" w:name="_Toc448157193"/>
      <w:r w:rsidRPr="0062582F">
        <w:t>Note 14.</w:t>
      </w:r>
      <w:r w:rsidRPr="0062582F">
        <w:tab/>
        <w:t>Interests in subsidiary and unconsolidated structured entities</w:t>
      </w:r>
      <w:bookmarkEnd w:id="429"/>
    </w:p>
    <w:p w:rsidR="004843DB" w:rsidRPr="0062582F" w:rsidRDefault="004843DB" w:rsidP="004843DB">
      <w:pPr>
        <w:pStyle w:val="BulletBlue"/>
        <w:numPr>
          <w:ilvl w:val="0"/>
          <w:numId w:val="0"/>
        </w:numPr>
        <w:rPr>
          <w:b/>
        </w:rPr>
      </w:pPr>
      <w:r w:rsidRPr="0062582F">
        <w:rPr>
          <w:b/>
        </w:rPr>
        <w:t xml:space="preserve">[This disclosure note is </w:t>
      </w:r>
      <w:r w:rsidRPr="0062582F">
        <w:rPr>
          <w:b/>
          <w:u w:val="single"/>
        </w:rPr>
        <w:t>not</w:t>
      </w:r>
      <w:r w:rsidRPr="0062582F">
        <w:rPr>
          <w:b/>
        </w:rPr>
        <w:t xml:space="preserve"> applicable if the department does not have control over another entity (i.e. no interests in subsidiaries), or has </w:t>
      </w:r>
      <w:r w:rsidRPr="0062582F">
        <w:rPr>
          <w:b/>
          <w:u w:val="single"/>
        </w:rPr>
        <w:t>not</w:t>
      </w:r>
      <w:r w:rsidRPr="0062582F">
        <w:rPr>
          <w:b/>
        </w:rPr>
        <w:t xml:space="preserve"> identified any structure entity as defined by AASB 12 </w:t>
      </w:r>
      <w:r w:rsidRPr="0062582F">
        <w:rPr>
          <w:b/>
          <w:i/>
        </w:rPr>
        <w:t>Disclosures of Interests in Other Entities</w:t>
      </w:r>
      <w:r w:rsidRPr="0062582F">
        <w:rPr>
          <w:b/>
        </w:rPr>
        <w:t xml:space="preserve">. In relation to disclosures required for subsidiaries, entities should complete the assessment of the control test in accordance with AASB 10 </w:t>
      </w:r>
      <w:r w:rsidRPr="0062582F">
        <w:rPr>
          <w:b/>
          <w:i/>
        </w:rPr>
        <w:t>Consolidated Financial Statements</w:t>
      </w:r>
      <w:r w:rsidRPr="0062582F">
        <w:rPr>
          <w:b/>
        </w:rPr>
        <w:t xml:space="preserve"> to determine whether there are any entities that meet the control criteria set out in AASB 10, and whether the following disclosures will be applicable based on the relevant facts and circumstances. Please refer to Appendix 7 on the control checklist for the assessment.</w:t>
      </w:r>
    </w:p>
    <w:p w:rsidR="004843DB" w:rsidRPr="0062582F" w:rsidRDefault="004843DB" w:rsidP="004843DB">
      <w:pPr>
        <w:pStyle w:val="BulletBlue"/>
        <w:numPr>
          <w:ilvl w:val="0"/>
          <w:numId w:val="0"/>
        </w:numPr>
        <w:rPr>
          <w:b/>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rPr>
          <w:b/>
        </w:rPr>
        <w:t xml:space="preserve">Where a department has identified that it has control over another entity and is required to consolidate its interests in the entity, please note that the department will be required to present its financial statement for the department as a consolidated entity and as a parent for the current and comparative periods as required by AASB 10.4 and AASB 101.Aus 7.2] </w:t>
      </w:r>
    </w:p>
    <w:p w:rsidR="004843DB" w:rsidRPr="0062582F" w:rsidRDefault="004843DB" w:rsidP="004843DB">
      <w:pPr>
        <w:pStyle w:val="Reference"/>
      </w:pPr>
    </w:p>
    <w:p w:rsidR="004843DB" w:rsidRPr="0062582F" w:rsidRDefault="004843DB" w:rsidP="004843DB">
      <w:pPr>
        <w:pStyle w:val="Reference"/>
        <w:spacing w:before="120"/>
      </w:pPr>
      <w:r w:rsidRPr="0062582F">
        <w:t>AASB 12.10</w:t>
      </w:r>
    </w:p>
    <w:p w:rsidR="004843DB" w:rsidRPr="0062582F" w:rsidRDefault="004843DB" w:rsidP="004843DB">
      <w:pPr>
        <w:pStyle w:val="Reference"/>
      </w:pPr>
    </w:p>
    <w:p w:rsidR="004843DB" w:rsidRPr="0062582F" w:rsidRDefault="004843DB" w:rsidP="004843DB">
      <w:pPr>
        <w:spacing w:before="0"/>
      </w:pPr>
      <w:r w:rsidRPr="0062582F">
        <w:br w:type="column"/>
      </w:r>
    </w:p>
    <w:p w:rsidR="004843DB" w:rsidRPr="0062582F" w:rsidRDefault="004843DB" w:rsidP="004843DB">
      <w:pPr>
        <w:pStyle w:val="SmallLine"/>
      </w:pPr>
    </w:p>
    <w:p w:rsidR="004843DB" w:rsidRPr="0062582F" w:rsidRDefault="004843DB" w:rsidP="004843DB">
      <w:pPr>
        <w:pStyle w:val="CommentaryHeading"/>
      </w:pPr>
      <w:r w:rsidRPr="0062582F">
        <w:t>Commentary – Interests in subsidiary and unconsolidated structured entities</w:t>
      </w:r>
    </w:p>
    <w:p w:rsidR="004843DB" w:rsidRPr="0062582F" w:rsidRDefault="004843DB" w:rsidP="004843DB">
      <w:pPr>
        <w:pStyle w:val="SmallLineBlue"/>
      </w:pPr>
    </w:p>
    <w:p w:rsidR="004843DB" w:rsidRPr="0062582F" w:rsidRDefault="004843DB" w:rsidP="004843DB">
      <w:pPr>
        <w:pStyle w:val="CommentaryHeading4"/>
      </w:pPr>
      <w:r w:rsidRPr="0062582F">
        <w:t>Disclosure for interests in subsidiaries</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CommentaryText"/>
        <w:pBdr>
          <w:top w:val="none" w:sz="0" w:space="0" w:color="auto"/>
        </w:pBdr>
      </w:pPr>
      <w:r w:rsidRPr="0062582F">
        <w:br w:type="column"/>
        <w:t xml:space="preserve">An entity shall disclose information that enables users of its consolidated financial statements: </w:t>
      </w:r>
    </w:p>
    <w:p w:rsidR="004843DB" w:rsidRPr="0062582F" w:rsidRDefault="004843DB" w:rsidP="004843DB">
      <w:pPr>
        <w:pStyle w:val="CommentaryTextIndent"/>
        <w:pBdr>
          <w:top w:val="none" w:sz="0" w:space="0" w:color="auto"/>
        </w:pBdr>
        <w:spacing w:before="100"/>
      </w:pPr>
      <w:r w:rsidRPr="0062582F">
        <w:t>(a)</w:t>
      </w:r>
      <w:r w:rsidRPr="0062582F">
        <w:tab/>
        <w:t xml:space="preserve">to understand: </w:t>
      </w:r>
    </w:p>
    <w:p w:rsidR="004843DB" w:rsidRPr="0062582F" w:rsidRDefault="004843DB" w:rsidP="004843DB">
      <w:pPr>
        <w:pStyle w:val="CommentaryDashBlue"/>
        <w:pBdr>
          <w:bottom w:val="single" w:sz="4" w:space="1" w:color="0000FF"/>
        </w:pBdr>
        <w:spacing w:before="70"/>
      </w:pPr>
      <w:r w:rsidRPr="0062582F">
        <w:tab/>
        <w:t>–</w:t>
      </w:r>
      <w:r w:rsidRPr="0062582F">
        <w:tab/>
        <w:t xml:space="preserve">the composition of the group; and </w:t>
      </w:r>
    </w:p>
    <w:p w:rsidR="004843DB" w:rsidRPr="0062582F" w:rsidRDefault="004843DB" w:rsidP="004843DB">
      <w:pPr>
        <w:pStyle w:val="CommentaryDashBlue"/>
        <w:pBdr>
          <w:bottom w:val="single" w:sz="4" w:space="1" w:color="0000FF"/>
        </w:pBdr>
        <w:spacing w:before="70"/>
      </w:pPr>
      <w:r w:rsidRPr="0062582F">
        <w:tab/>
        <w:t>–</w:t>
      </w:r>
      <w:r w:rsidRPr="0062582F">
        <w:tab/>
        <w:t>the interest that non</w:t>
      </w:r>
      <w:r w:rsidR="005A4BB0">
        <w:noBreakHyphen/>
      </w:r>
      <w:r w:rsidRPr="0062582F">
        <w:t>controlling interests have in the group</w:t>
      </w:r>
      <w:r w:rsidR="005A4BB0">
        <w:t>’</w:t>
      </w:r>
      <w:r w:rsidRPr="0062582F">
        <w:t xml:space="preserve">s activities and cash flows; </w:t>
      </w:r>
    </w:p>
    <w:p w:rsidR="004843DB" w:rsidRPr="0062582F" w:rsidRDefault="004843DB" w:rsidP="004843DB">
      <w:pPr>
        <w:pStyle w:val="CommentaryTextIndent"/>
        <w:pBdr>
          <w:top w:val="none" w:sz="0" w:space="0" w:color="auto"/>
        </w:pBdr>
        <w:spacing w:before="100"/>
      </w:pPr>
      <w:r w:rsidRPr="0062582F">
        <w:t>(b)</w:t>
      </w:r>
      <w:r w:rsidRPr="0062582F">
        <w:tab/>
        <w:t>to evaluate:</w:t>
      </w:r>
    </w:p>
    <w:p w:rsidR="004843DB" w:rsidRPr="0062582F" w:rsidRDefault="004843DB" w:rsidP="004843DB">
      <w:pPr>
        <w:pStyle w:val="CommentaryDashBlue"/>
        <w:pBdr>
          <w:bottom w:val="single" w:sz="4" w:space="1" w:color="0000FF"/>
        </w:pBdr>
        <w:spacing w:before="70"/>
      </w:pPr>
      <w:r w:rsidRPr="0062582F">
        <w:tab/>
        <w:t>–</w:t>
      </w:r>
      <w:r w:rsidRPr="0062582F">
        <w:tab/>
        <w:t xml:space="preserve">the nature and extent of significant restrictions on its ability to access or use assets, and settle liabilities, of the group; </w:t>
      </w:r>
    </w:p>
    <w:p w:rsidR="004843DB" w:rsidRPr="0062582F" w:rsidRDefault="004843DB" w:rsidP="004843DB">
      <w:pPr>
        <w:pStyle w:val="CommentaryDashBlue"/>
        <w:pBdr>
          <w:bottom w:val="single" w:sz="4" w:space="1" w:color="0000FF"/>
        </w:pBdr>
        <w:spacing w:before="70"/>
      </w:pPr>
      <w:r w:rsidRPr="0062582F">
        <w:tab/>
        <w:t>–</w:t>
      </w:r>
      <w:r w:rsidRPr="0062582F">
        <w:tab/>
        <w:t xml:space="preserve">the nature of, and changes in, the risks associated with its interests in consolidated structured entities; </w:t>
      </w:r>
    </w:p>
    <w:p w:rsidR="004843DB" w:rsidRPr="0062582F" w:rsidRDefault="004843DB" w:rsidP="004843DB">
      <w:pPr>
        <w:pStyle w:val="CommentaryDashBlue"/>
        <w:pBdr>
          <w:bottom w:val="single" w:sz="4" w:space="1" w:color="0000FF"/>
        </w:pBdr>
        <w:spacing w:before="70"/>
      </w:pPr>
      <w:r w:rsidRPr="0062582F">
        <w:tab/>
        <w:t>–</w:t>
      </w:r>
      <w:r w:rsidRPr="0062582F">
        <w:tab/>
        <w:t xml:space="preserve">the consequences of changes in its ownership interest in a subsidiary that do not result in a loss of control; and </w:t>
      </w:r>
    </w:p>
    <w:p w:rsidR="004843DB" w:rsidRPr="0062582F" w:rsidRDefault="004843DB" w:rsidP="004843DB">
      <w:pPr>
        <w:pStyle w:val="CommentaryDashBlue"/>
        <w:pBdr>
          <w:bottom w:val="single" w:sz="4" w:space="1" w:color="0000FF"/>
        </w:pBdr>
        <w:spacing w:before="70"/>
        <w:rPr>
          <w:lang w:val="en-GB"/>
        </w:rPr>
      </w:pPr>
      <w:r w:rsidRPr="0062582F">
        <w:tab/>
        <w:t>–</w:t>
      </w:r>
      <w:r w:rsidRPr="0062582F">
        <w:tab/>
        <w:t xml:space="preserve">the consequences of losing control of a subsidiary during the reporting period. </w:t>
      </w:r>
      <w:r w:rsidRPr="0062582F">
        <w:br w:type="page"/>
      </w:r>
    </w:p>
    <w:p w:rsidR="004843DB" w:rsidRPr="0062582F" w:rsidRDefault="004843DB" w:rsidP="004843DB">
      <w:pPr>
        <w:pStyle w:val="a"/>
      </w:pPr>
      <w:r w:rsidRPr="0062582F">
        <w:br/>
      </w:r>
    </w:p>
    <w:p w:rsidR="004843DB" w:rsidRPr="0062582F" w:rsidRDefault="004843DB" w:rsidP="004843DB">
      <w:pPr>
        <w:pStyle w:val="SmallLine"/>
      </w:pPr>
      <w:bookmarkStart w:id="430" w:name="_Toc332019472"/>
      <w:r w:rsidRPr="0062582F">
        <w:br w:type="column"/>
      </w:r>
      <w:bookmarkEnd w:id="430"/>
    </w:p>
    <w:p w:rsidR="004843DB" w:rsidRPr="0062582F" w:rsidRDefault="004843DB" w:rsidP="004843DB">
      <w:pPr>
        <w:pStyle w:val="CommentaryHeading"/>
      </w:pPr>
      <w:r w:rsidRPr="0062582F">
        <w:t xml:space="preserve">Commentary – Interests in subsidiary and unconsolidated structured entities </w:t>
      </w:r>
      <w:r w:rsidRPr="0062582F">
        <w:rPr>
          <w:i/>
        </w:rPr>
        <w:t>(continued)</w:t>
      </w:r>
    </w:p>
    <w:p w:rsidR="004843DB" w:rsidRPr="0062582F" w:rsidRDefault="004843DB" w:rsidP="004843DB">
      <w:pPr>
        <w:pStyle w:val="SmallLineBlue"/>
      </w:pPr>
    </w:p>
    <w:p w:rsidR="004843DB" w:rsidRPr="0062582F" w:rsidRDefault="004843DB" w:rsidP="004843DB">
      <w:pPr>
        <w:pStyle w:val="CommentaryHeading2"/>
      </w:pPr>
      <w:r w:rsidRPr="0062582F">
        <w:rPr>
          <w:i w:val="0"/>
        </w:rPr>
        <w:t>The interest that non</w:t>
      </w:r>
      <w:r w:rsidR="005A4BB0">
        <w:rPr>
          <w:i w:val="0"/>
        </w:rPr>
        <w:noBreakHyphen/>
      </w:r>
      <w:r w:rsidRPr="0062582F">
        <w:rPr>
          <w:i w:val="0"/>
        </w:rPr>
        <w:t>controlling interests have in the group</w:t>
      </w:r>
      <w:r w:rsidR="005A4BB0">
        <w:rPr>
          <w:i w:val="0"/>
        </w:rPr>
        <w:t>’</w:t>
      </w:r>
      <w:r w:rsidRPr="0062582F">
        <w:rPr>
          <w:i w:val="0"/>
        </w:rPr>
        <w:t>s activities and cash flows</w:t>
      </w:r>
    </w:p>
    <w:p w:rsidR="004843DB" w:rsidRPr="0062582F" w:rsidRDefault="004843DB" w:rsidP="004843DB">
      <w:pPr>
        <w:pStyle w:val="CommentaryText"/>
        <w:pBdr>
          <w:top w:val="none" w:sz="0" w:space="0" w:color="auto"/>
          <w:bottom w:val="none" w:sz="0" w:space="0" w:color="auto"/>
        </w:pBdr>
      </w:pPr>
      <w:r w:rsidRPr="0062582F">
        <w:t>An entity shall disclose for each of its subsidiaries that have non</w:t>
      </w:r>
      <w:r w:rsidR="005A4BB0">
        <w:noBreakHyphen/>
      </w:r>
      <w:r w:rsidRPr="0062582F">
        <w:t xml:space="preserve">controlling interests that are material to the reporting entity: </w:t>
      </w:r>
    </w:p>
    <w:p w:rsidR="004843DB" w:rsidRPr="0062582F" w:rsidRDefault="004843DB" w:rsidP="004843DB">
      <w:pPr>
        <w:pStyle w:val="CommentaryTextIndent"/>
        <w:pBdr>
          <w:top w:val="none" w:sz="0" w:space="0" w:color="auto"/>
          <w:bottom w:val="none" w:sz="0" w:space="0" w:color="auto"/>
        </w:pBdr>
      </w:pPr>
      <w:r w:rsidRPr="0062582F">
        <w:t>(a)</w:t>
      </w:r>
      <w:r w:rsidRPr="0062582F">
        <w:tab/>
        <w:t>the name of the subsidiary;</w:t>
      </w:r>
    </w:p>
    <w:p w:rsidR="004843DB" w:rsidRPr="0062582F" w:rsidRDefault="004843DB" w:rsidP="004843DB">
      <w:pPr>
        <w:pStyle w:val="CommentaryTextIndent"/>
        <w:pBdr>
          <w:top w:val="none" w:sz="0" w:space="0" w:color="auto"/>
          <w:bottom w:val="none" w:sz="0" w:space="0" w:color="auto"/>
        </w:pBdr>
      </w:pPr>
      <w:r w:rsidRPr="0062582F">
        <w:t>(b)</w:t>
      </w:r>
      <w:r w:rsidRPr="0062582F">
        <w:tab/>
        <w:t>the principal place of business (and country of incorporation if different from the principal place of business) of the subsidiary;</w:t>
      </w:r>
    </w:p>
    <w:p w:rsidR="004843DB" w:rsidRPr="0062582F" w:rsidRDefault="004843DB" w:rsidP="004843DB">
      <w:pPr>
        <w:pStyle w:val="CommentaryTextIndent"/>
        <w:pBdr>
          <w:top w:val="none" w:sz="0" w:space="0" w:color="auto"/>
          <w:bottom w:val="none" w:sz="0" w:space="0" w:color="auto"/>
        </w:pBdr>
      </w:pPr>
      <w:r w:rsidRPr="0062582F">
        <w:t>(c)</w:t>
      </w:r>
      <w:r w:rsidRPr="0062582F">
        <w:tab/>
        <w:t>the proportion of ownership interests held by non</w:t>
      </w:r>
      <w:r w:rsidR="005A4BB0">
        <w:noBreakHyphen/>
      </w:r>
      <w:r w:rsidRPr="0062582F">
        <w:t>controlling interests;</w:t>
      </w:r>
    </w:p>
    <w:p w:rsidR="004843DB" w:rsidRPr="0062582F" w:rsidRDefault="004843DB" w:rsidP="004843DB">
      <w:pPr>
        <w:pStyle w:val="CommentaryTextIndent"/>
        <w:pBdr>
          <w:top w:val="none" w:sz="0" w:space="0" w:color="auto"/>
          <w:bottom w:val="none" w:sz="0" w:space="0" w:color="auto"/>
        </w:pBdr>
      </w:pPr>
      <w:r w:rsidRPr="0062582F">
        <w:t>(d)</w:t>
      </w:r>
      <w:r w:rsidRPr="0062582F">
        <w:tab/>
        <w:t>the proportion of voting rights held by non</w:t>
      </w:r>
      <w:r w:rsidR="005A4BB0">
        <w:noBreakHyphen/>
      </w:r>
      <w:r w:rsidRPr="0062582F">
        <w:t>controlling interests, if different from the proportion of ownership interests held;</w:t>
      </w:r>
    </w:p>
    <w:p w:rsidR="004843DB" w:rsidRPr="0062582F" w:rsidRDefault="004843DB" w:rsidP="004843DB">
      <w:pPr>
        <w:pStyle w:val="CommentaryTextIndent"/>
        <w:pBdr>
          <w:top w:val="none" w:sz="0" w:space="0" w:color="auto"/>
          <w:bottom w:val="none" w:sz="0" w:space="0" w:color="auto"/>
        </w:pBdr>
        <w:spacing w:before="80"/>
        <w:ind w:left="446" w:hanging="446"/>
      </w:pPr>
      <w:r w:rsidRPr="0062582F">
        <w:t>(e)</w:t>
      </w:r>
      <w:r w:rsidRPr="0062582F">
        <w:tab/>
        <w:t>the profit or loss allocated to non</w:t>
      </w:r>
      <w:r w:rsidR="005A4BB0">
        <w:noBreakHyphen/>
      </w:r>
      <w:r w:rsidRPr="0062582F">
        <w:t>controlling interests of the subsidiary during the reporting period;</w:t>
      </w:r>
    </w:p>
    <w:p w:rsidR="004843DB" w:rsidRPr="0062582F" w:rsidRDefault="004843DB" w:rsidP="004843DB">
      <w:pPr>
        <w:pStyle w:val="CommentaryTextIndent"/>
        <w:pBdr>
          <w:top w:val="none" w:sz="0" w:space="0" w:color="auto"/>
          <w:bottom w:val="none" w:sz="0" w:space="0" w:color="auto"/>
        </w:pBdr>
        <w:spacing w:before="80"/>
        <w:ind w:left="446" w:hanging="446"/>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t>(f)</w:t>
      </w:r>
      <w:r w:rsidRPr="0062582F">
        <w:tab/>
        <w:t>accumulated non</w:t>
      </w:r>
      <w:r w:rsidR="005A4BB0">
        <w:noBreakHyphen/>
      </w:r>
      <w:r w:rsidRPr="0062582F">
        <w:t>controlling interests of the subsidiary at the end of the reporting period; and</w:t>
      </w:r>
    </w:p>
    <w:p w:rsidR="004843DB" w:rsidRPr="0062582F" w:rsidRDefault="004843DB" w:rsidP="004843DB">
      <w:pPr>
        <w:pStyle w:val="Reference"/>
      </w:pPr>
    </w:p>
    <w:p w:rsidR="004843DB" w:rsidRPr="0062582F" w:rsidRDefault="004843DB" w:rsidP="004843DB">
      <w:pPr>
        <w:pStyle w:val="SourceReference"/>
        <w:spacing w:before="180"/>
      </w:pPr>
      <w:r w:rsidRPr="0062582F">
        <w:t>AASB 12.13</w:t>
      </w:r>
    </w:p>
    <w:p w:rsidR="004843DB" w:rsidRPr="0062582F" w:rsidRDefault="004843DB" w:rsidP="004843DB">
      <w:pPr>
        <w:pStyle w:val="Reference"/>
      </w:pPr>
    </w:p>
    <w:p w:rsidR="004843DB" w:rsidRPr="0062582F" w:rsidRDefault="004843DB" w:rsidP="004843DB">
      <w:pPr>
        <w:pStyle w:val="CommentaryTextIndent"/>
        <w:pBdr>
          <w:top w:val="none" w:sz="0" w:space="0" w:color="auto"/>
          <w:bottom w:val="none" w:sz="0" w:space="0" w:color="auto"/>
        </w:pBdr>
        <w:spacing w:before="80"/>
        <w:ind w:left="446" w:hanging="446"/>
      </w:pPr>
      <w:r w:rsidRPr="0062582F">
        <w:br w:type="column"/>
        <w:t>(g)</w:t>
      </w:r>
      <w:r w:rsidRPr="0062582F">
        <w:tab/>
        <w:t>summarised financial information about the subsidiary.</w:t>
      </w:r>
    </w:p>
    <w:p w:rsidR="004843DB" w:rsidRPr="0062582F" w:rsidRDefault="004843DB" w:rsidP="004843DB">
      <w:pPr>
        <w:pStyle w:val="CommentaryHeading1"/>
        <w:pBdr>
          <w:top w:val="none" w:sz="0" w:space="0" w:color="auto"/>
          <w:bottom w:val="none" w:sz="0" w:space="0" w:color="auto"/>
        </w:pBdr>
      </w:pPr>
      <w:r w:rsidRPr="0062582F">
        <w:t>The nature and extent of significant restrictions</w:t>
      </w:r>
    </w:p>
    <w:p w:rsidR="004843DB" w:rsidRPr="0062582F" w:rsidRDefault="004843DB" w:rsidP="004843DB">
      <w:pPr>
        <w:pStyle w:val="CommentaryText"/>
        <w:pBdr>
          <w:top w:val="none" w:sz="0" w:space="0" w:color="auto"/>
          <w:bottom w:val="none" w:sz="0" w:space="0" w:color="auto"/>
        </w:pBdr>
      </w:pPr>
      <w:r w:rsidRPr="0062582F">
        <w:t xml:space="preserve">An entity shall disclose: </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significant restrictions (eg statutory, contractual and regulatory restrictions) on its ability to access or use the assets and settle the liabilities of the group, such as: </w:t>
      </w:r>
    </w:p>
    <w:p w:rsidR="004843DB" w:rsidRPr="0062582F" w:rsidRDefault="004843DB" w:rsidP="004843DB">
      <w:pPr>
        <w:pStyle w:val="CommentaryDashBlue"/>
      </w:pPr>
      <w:r w:rsidRPr="0062582F">
        <w:tab/>
        <w:t>–</w:t>
      </w:r>
      <w:r w:rsidRPr="0062582F">
        <w:tab/>
        <w:t>those that restrict the ability of a parent or its subsidiaries to transfer cash or other assets to (or from) other entities within the group;</w:t>
      </w:r>
    </w:p>
    <w:p w:rsidR="004843DB" w:rsidRPr="0062582F" w:rsidRDefault="004843DB" w:rsidP="004843DB">
      <w:pPr>
        <w:pStyle w:val="CommentaryDashBlue"/>
      </w:pPr>
      <w:r w:rsidRPr="0062582F">
        <w:tab/>
        <w:t>–</w:t>
      </w:r>
      <w:r w:rsidRPr="0062582F">
        <w:tab/>
        <w:t>guarantees or other requirements that may restrict dividends and other capital distributions being paid, or loans and advances being made or repaid, to (or from) other entities within the group;</w:t>
      </w:r>
    </w:p>
    <w:p w:rsidR="004843DB" w:rsidRPr="0062582F" w:rsidRDefault="004843DB" w:rsidP="004843DB">
      <w:pPr>
        <w:pStyle w:val="CommentaryTextIndent"/>
        <w:pBdr>
          <w:top w:val="none" w:sz="0" w:space="0" w:color="auto"/>
          <w:bottom w:val="none" w:sz="0" w:space="0" w:color="auto"/>
        </w:pBdr>
      </w:pPr>
      <w:r w:rsidRPr="0062582F">
        <w:t>(b)</w:t>
      </w:r>
      <w:r w:rsidRPr="0062582F">
        <w:tab/>
        <w:t>the nature and extent to which protective rights of noncontrolling interests can significantly restrict the entity</w:t>
      </w:r>
      <w:r w:rsidR="005A4BB0">
        <w:t>’</w:t>
      </w:r>
      <w:r w:rsidRPr="0062582F">
        <w:t>s ability to access or use the assets and settle the liabilities of the group (such as when a parent is obliged to settle liabilities of a subsidiary before settling its own liabilities, or approval of non</w:t>
      </w:r>
      <w:r w:rsidR="005A4BB0">
        <w:noBreakHyphen/>
      </w:r>
      <w:r w:rsidRPr="0062582F">
        <w:t>controlling interests is required either to access the assets or to settle the liabilities of a subsidiary); and</w:t>
      </w:r>
    </w:p>
    <w:p w:rsidR="004843DB" w:rsidRPr="0062582F" w:rsidRDefault="004843DB" w:rsidP="004843DB">
      <w:pPr>
        <w:pStyle w:val="CommentaryTextInden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t>(c)</w:t>
      </w:r>
      <w:r w:rsidRPr="0062582F">
        <w:tab/>
        <w:t>the carrying amounts in the consolidated financial statements of the assets and liabilities to which those restrictions apply.</w:t>
      </w:r>
    </w:p>
    <w:p w:rsidR="004843DB" w:rsidRPr="0062582F" w:rsidRDefault="004843DB" w:rsidP="004843DB">
      <w:pPr>
        <w:pStyle w:val="Reference"/>
        <w:spacing w:before="200"/>
      </w:pPr>
      <w:r w:rsidRPr="0062582F">
        <w:t>AASB 12.14</w:t>
      </w:r>
    </w:p>
    <w:p w:rsidR="004843DB" w:rsidRPr="0062582F" w:rsidRDefault="004843DB" w:rsidP="004843DB">
      <w:pPr>
        <w:pStyle w:val="Reference"/>
        <w:spacing w:before="240"/>
      </w:pPr>
    </w:p>
    <w:p w:rsidR="004843DB" w:rsidRPr="0062582F" w:rsidRDefault="004843DB" w:rsidP="004843DB">
      <w:pPr>
        <w:pStyle w:val="Reference"/>
        <w:spacing w:before="240"/>
      </w:pPr>
    </w:p>
    <w:p w:rsidR="004843DB" w:rsidRPr="0062582F" w:rsidRDefault="004843DB" w:rsidP="004843DB">
      <w:pPr>
        <w:pStyle w:val="Reference"/>
        <w:spacing w:before="240"/>
      </w:pPr>
    </w:p>
    <w:p w:rsidR="004843DB" w:rsidRPr="0062582F" w:rsidRDefault="004843DB" w:rsidP="004843DB">
      <w:pPr>
        <w:pStyle w:val="Reference"/>
        <w:spacing w:before="240"/>
      </w:pPr>
    </w:p>
    <w:p w:rsidR="004843DB" w:rsidRPr="0062582F" w:rsidRDefault="004843DB" w:rsidP="004843DB">
      <w:pPr>
        <w:pStyle w:val="Reference"/>
        <w:spacing w:before="80"/>
      </w:pPr>
      <w:r w:rsidRPr="0062582F">
        <w:t>AASB 12. 15</w:t>
      </w:r>
    </w:p>
    <w:p w:rsidR="004843DB" w:rsidRPr="0062582F" w:rsidRDefault="004843DB" w:rsidP="004843DB">
      <w:pPr>
        <w:pStyle w:val="CommentaryHeading1"/>
        <w:pBdr>
          <w:top w:val="none" w:sz="0" w:space="0" w:color="auto"/>
        </w:pBdr>
      </w:pPr>
      <w:r w:rsidRPr="0062582F">
        <w:br w:type="column"/>
        <w:t>Nature of the risks associated with an entity</w:t>
      </w:r>
      <w:r w:rsidR="005A4BB0">
        <w:t>’</w:t>
      </w:r>
      <w:r w:rsidRPr="0062582F">
        <w:t xml:space="preserve">s interests in consolidated structured entities </w:t>
      </w:r>
    </w:p>
    <w:p w:rsidR="004843DB" w:rsidRPr="0062582F" w:rsidRDefault="004843DB" w:rsidP="004843DB">
      <w:pPr>
        <w:pStyle w:val="CommentaryText"/>
        <w:pBdr>
          <w:top w:val="none" w:sz="0" w:space="0" w:color="auto"/>
        </w:pBdr>
      </w:pPr>
      <w:r w:rsidRPr="0062582F">
        <w:t>An entity shall disclose the terms of any contractual arrangements that could require the parent or its subsidiaries to provide financial support to a consolidated structured entity, including events or circumstances that could expose the reporting entity to a loss (e.g. liquidity arrangements or credit rating triggers associated with obligations to purchase assets of the structured entity or provide financial support).</w:t>
      </w:r>
    </w:p>
    <w:p w:rsidR="004843DB" w:rsidRPr="0062582F" w:rsidRDefault="004843DB" w:rsidP="004843DB">
      <w:pPr>
        <w:pStyle w:val="CommentaryText"/>
        <w:pBdr>
          <w:top w:val="none" w:sz="0" w:space="0" w:color="auto"/>
        </w:pBdr>
      </w:pPr>
      <w:r w:rsidRPr="0062582F">
        <w:t xml:space="preserve">If during the reporting period a parent or any of its subsidiaries has, without having a contractual obligation to do so, provided financial or other support to a consolidated structured entity (eg purchasing assets of or instruments issued by the structured entity), the entity shall disclose: </w:t>
      </w:r>
    </w:p>
    <w:p w:rsidR="004843DB" w:rsidRPr="0062582F" w:rsidRDefault="004843DB" w:rsidP="004843DB">
      <w:pPr>
        <w:pStyle w:val="CommentaryTextIndent"/>
        <w:pBdr>
          <w:top w:val="none" w:sz="0" w:space="0" w:color="auto"/>
        </w:pBdr>
      </w:pPr>
      <w:r w:rsidRPr="0062582F">
        <w:t>(a)</w:t>
      </w:r>
      <w:r w:rsidRPr="0062582F">
        <w:tab/>
        <w:t xml:space="preserve">the type and amount of support provided, including situations in which the parent or its subsidiaries assisted the structured entity in obtaining financial support; and </w:t>
      </w:r>
    </w:p>
    <w:p w:rsidR="004843DB" w:rsidRPr="0062582F" w:rsidRDefault="004843DB" w:rsidP="004843DB">
      <w:pPr>
        <w:pStyle w:val="CommentaryTextIndent"/>
        <w:pBdr>
          <w:top w:val="none" w:sz="0" w:space="0" w:color="auto"/>
        </w:pBdr>
      </w:pPr>
      <w:r w:rsidRPr="0062582F">
        <w:t>(b)</w:t>
      </w:r>
      <w:r w:rsidRPr="0062582F">
        <w:tab/>
        <w:t>the reasons for providing the support.</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ourceReference"/>
        <w:spacing w:before="160"/>
      </w:pPr>
    </w:p>
    <w:p w:rsidR="004843DB" w:rsidRPr="0062582F" w:rsidRDefault="004843DB" w:rsidP="004843DB">
      <w:pPr>
        <w:pStyle w:val="SourceReference"/>
        <w:spacing w:before="160"/>
      </w:pPr>
    </w:p>
    <w:p w:rsidR="004843DB" w:rsidRPr="0062582F" w:rsidRDefault="004843DB" w:rsidP="004843DB">
      <w:pPr>
        <w:pStyle w:val="SourceReference"/>
        <w:spacing w:before="220"/>
      </w:pPr>
      <w:r w:rsidRPr="0062582F">
        <w:t>AASB 12. 16</w:t>
      </w: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 xml:space="preserve">Commentary – Interests in subsidiary and unconsolidated structured entities </w:t>
      </w:r>
      <w:r w:rsidRPr="0062582F">
        <w:rPr>
          <w:i/>
        </w:rPr>
        <w:t>(continued)</w:t>
      </w:r>
    </w:p>
    <w:p w:rsidR="004843DB" w:rsidRPr="0062582F" w:rsidRDefault="004843DB" w:rsidP="004843DB">
      <w:pPr>
        <w:pStyle w:val="SmallLineBlue"/>
      </w:pP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t xml:space="preserve">If during the reporting period a parent or any of its subsidiaries has, without having a contractual obligation to do so, provided financial or other support to a previously unconsolidated structured entity and that provision of support resulted in the entity controlling the structured entity, the entity shall disclose an explanation of the relevant factors in reaching that decision. </w:t>
      </w:r>
    </w:p>
    <w:p w:rsidR="004843DB" w:rsidRPr="0062582F" w:rsidRDefault="004843DB" w:rsidP="004843DB">
      <w:pPr>
        <w:pStyle w:val="SourceReference"/>
        <w:spacing w:before="180"/>
      </w:pPr>
      <w:r w:rsidRPr="0062582F">
        <w:t>AASB 12. 17</w:t>
      </w:r>
    </w:p>
    <w:p w:rsidR="004843DB" w:rsidRPr="0062582F" w:rsidRDefault="004843DB" w:rsidP="004843DB">
      <w:pPr>
        <w:pStyle w:val="CommentaryText"/>
        <w:pBdr>
          <w:top w:val="none" w:sz="0" w:space="0" w:color="auto"/>
          <w:bottom w:val="none" w:sz="0" w:space="0" w:color="auto"/>
        </w:pBdr>
      </w:pPr>
      <w:r w:rsidRPr="0062582F">
        <w:br w:type="column"/>
        <w:t>An entity shall disclose any current intentions to provide financial or other support to a consolidated structured entity, including intentions to assist the structured entity in obtaining financial support.</w:t>
      </w:r>
    </w:p>
    <w:p w:rsidR="004843DB" w:rsidRPr="0062582F" w:rsidRDefault="004843DB" w:rsidP="004843DB">
      <w:pPr>
        <w:pStyle w:val="CommentaryHeading1"/>
        <w:pBdr>
          <w:top w:val="none" w:sz="0" w:space="0" w:color="auto"/>
          <w:bottom w:val="none" w:sz="0" w:space="0" w:color="auto"/>
        </w:pBdr>
      </w:pPr>
      <w:r w:rsidRPr="0062582F">
        <w:t>Consequences of changes in a parent</w:t>
      </w:r>
      <w:r w:rsidR="005A4BB0">
        <w:t>’</w:t>
      </w:r>
      <w:r w:rsidRPr="0062582F">
        <w:t xml:space="preserve">s ownership interest in a subsidiary that do not result in a loss of control </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12.18</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Reference"/>
        <w:spacing w:before="240"/>
      </w:pPr>
      <w:r w:rsidRPr="0062582F">
        <w:t>AASB 12. 19</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260"/>
      </w:pPr>
      <w:r w:rsidRPr="0062582F">
        <w:t>AASB 12. B21</w:t>
      </w:r>
    </w:p>
    <w:p w:rsidR="004843DB" w:rsidRPr="0062582F" w:rsidRDefault="004843DB" w:rsidP="004843DB">
      <w:pPr>
        <w:pStyle w:val="Reference"/>
      </w:pPr>
    </w:p>
    <w:p w:rsidR="004843DB" w:rsidRPr="0062582F" w:rsidRDefault="004843DB" w:rsidP="004843DB">
      <w:pPr>
        <w:pStyle w:val="Reference"/>
        <w:spacing w:before="260"/>
      </w:pPr>
      <w:r w:rsidRPr="0062582F">
        <w:t xml:space="preserve">AASB 12. IG7 </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180"/>
      </w:pPr>
      <w:r w:rsidRPr="0062582F">
        <w:t xml:space="preserve">AASB 12. IG9 </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CommentaryText"/>
        <w:pBdr>
          <w:top w:val="none" w:sz="0" w:space="0" w:color="auto"/>
          <w:bottom w:val="none" w:sz="0" w:space="0" w:color="auto"/>
        </w:pBdr>
      </w:pPr>
      <w:r w:rsidRPr="0062582F">
        <w:br w:type="column"/>
        <w:t>An entity shall present a schedule that shows the effects on the equity attributable to owners of the parent of any changes in its ownership interest in a subsidiary that do not result in a loss of control.</w:t>
      </w:r>
    </w:p>
    <w:p w:rsidR="004843DB" w:rsidRPr="0062582F" w:rsidRDefault="004843DB" w:rsidP="004843DB">
      <w:pPr>
        <w:pStyle w:val="CommentaryHeading1"/>
        <w:pBdr>
          <w:top w:val="none" w:sz="0" w:space="0" w:color="auto"/>
          <w:bottom w:val="none" w:sz="0" w:space="0" w:color="auto"/>
        </w:pBdr>
        <w:spacing w:before="120"/>
      </w:pPr>
      <w:r w:rsidRPr="0062582F">
        <w:t xml:space="preserve">Consequences of losing control of a subsidiary during the reporting period </w:t>
      </w:r>
    </w:p>
    <w:p w:rsidR="004843DB" w:rsidRPr="0062582F" w:rsidRDefault="004843DB" w:rsidP="004843DB">
      <w:pPr>
        <w:pStyle w:val="CommentaryText"/>
        <w:pBdr>
          <w:top w:val="none" w:sz="0" w:space="0" w:color="auto"/>
          <w:bottom w:val="none" w:sz="0" w:space="0" w:color="auto"/>
        </w:pBdr>
      </w:pPr>
      <w:r w:rsidRPr="0062582F">
        <w:t xml:space="preserve">An entity shall disclose the gain or loss, if any, calculated in accordance with paragraph 25 of AASB 10, and: </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the portion of that gain or loss attributable to measuring any investment retained in the former subsidiary at its fair value at the date when control is lost; and </w:t>
      </w:r>
    </w:p>
    <w:p w:rsidR="004843DB" w:rsidRPr="0062582F" w:rsidRDefault="004843DB" w:rsidP="004843DB">
      <w:pPr>
        <w:pStyle w:val="CommentaryTextIndent"/>
        <w:pBdr>
          <w:top w:val="none" w:sz="0" w:space="0" w:color="auto"/>
          <w:bottom w:val="none" w:sz="0" w:space="0" w:color="auto"/>
        </w:pBdr>
      </w:pPr>
      <w:r w:rsidRPr="0062582F">
        <w:t>(b)</w:t>
      </w:r>
      <w:r w:rsidRPr="0062582F">
        <w:tab/>
        <w:t>the line item(s) in profit or loss in which the gain or loss is recognised (if not presented separately).</w:t>
      </w:r>
    </w:p>
    <w:p w:rsidR="004843DB" w:rsidRPr="0062582F" w:rsidRDefault="004843DB" w:rsidP="004843DB">
      <w:pPr>
        <w:pStyle w:val="CommentaryHeading4"/>
        <w:rPr>
          <w:b w:val="0"/>
          <w:bCs w:val="0"/>
        </w:rPr>
      </w:pPr>
      <w:r w:rsidRPr="0062582F">
        <w:t>Disclosure for interests in unconsolidated structured entities</w:t>
      </w:r>
    </w:p>
    <w:p w:rsidR="004843DB" w:rsidRPr="0062582F" w:rsidRDefault="004843DB" w:rsidP="004843DB">
      <w:pPr>
        <w:pStyle w:val="CommentaryHeading1"/>
        <w:pBdr>
          <w:top w:val="none" w:sz="0" w:space="0" w:color="auto"/>
        </w:pBdr>
      </w:pPr>
      <w:r w:rsidRPr="0062582F">
        <w:t>Definition of structured entity</w:t>
      </w:r>
    </w:p>
    <w:p w:rsidR="004843DB" w:rsidRPr="0062582F" w:rsidRDefault="004843DB" w:rsidP="004843DB">
      <w:pPr>
        <w:pStyle w:val="CommentaryText"/>
        <w:pBdr>
          <w:top w:val="none" w:sz="0" w:space="0" w:color="auto"/>
        </w:pBdr>
      </w:pPr>
      <w:r w:rsidRPr="0062582F">
        <w:t xml:space="preserve">A structured entity is an entity that has been designed so that voting or similar rights are not the dominant factor in deciding who controls the entity, such as when any voting rights relate to administrative tasks only and the relevant activities are directed by means of contractual arrangements. </w:t>
      </w:r>
    </w:p>
    <w:p w:rsidR="004843DB" w:rsidRPr="0062582F" w:rsidRDefault="004843DB" w:rsidP="004843DB">
      <w:pPr>
        <w:pStyle w:val="CommentaryText"/>
        <w:pBdr>
          <w:top w:val="none" w:sz="0" w:space="0" w:color="auto"/>
        </w:pBdr>
      </w:pPr>
      <w:r w:rsidRPr="0062582F">
        <w:t>Applying the principle underlying the definition of a structured entity means that structured entities have been designed so that less conventional means – in the context of not</w:t>
      </w:r>
      <w:r w:rsidR="005A4BB0">
        <w:noBreakHyphen/>
      </w:r>
      <w:r w:rsidRPr="0062582F">
        <w:t>for</w:t>
      </w:r>
      <w:r w:rsidR="005A4BB0">
        <w:noBreakHyphen/>
      </w:r>
      <w:r w:rsidRPr="0062582F">
        <w:t>profit entities – are the dominant factor in determining who controls the entity. This approach limits, for not</w:t>
      </w:r>
      <w:r w:rsidR="005A4BB0">
        <w:noBreakHyphen/>
      </w:r>
      <w:r w:rsidRPr="0062582F">
        <w:t>for</w:t>
      </w:r>
      <w:r w:rsidR="005A4BB0">
        <w:noBreakHyphen/>
      </w:r>
      <w:r w:rsidRPr="0062582F">
        <w:t>profit entities, the scope of structured entities to entities that have been designed so that voting or similar rights, including administrative arrangements or statutory provisions, are not the dominant factor in determining control of the entity.</w:t>
      </w:r>
    </w:p>
    <w:p w:rsidR="004843DB" w:rsidRPr="0062582F" w:rsidRDefault="004843DB" w:rsidP="004843DB">
      <w:pPr>
        <w:pStyle w:val="CommentaryText"/>
        <w:pBdr>
          <w:top w:val="none" w:sz="0" w:space="0" w:color="auto"/>
        </w:pBdr>
      </w:pPr>
      <w:r w:rsidRPr="0062582F">
        <w:t>Not</w:t>
      </w:r>
      <w:r w:rsidR="005A4BB0">
        <w:noBreakHyphen/>
      </w:r>
      <w:r w:rsidRPr="0062582F">
        <w:t>for</w:t>
      </w:r>
      <w:r w:rsidR="005A4BB0">
        <w:noBreakHyphen/>
      </w:r>
      <w:r w:rsidRPr="0062582F">
        <w:t>profit private sector entities will also need to identify any structured entities with which they are associated. For example, a not</w:t>
      </w:r>
      <w:r w:rsidR="005A4BB0">
        <w:noBreakHyphen/>
      </w:r>
      <w:r w:rsidRPr="0062582F">
        <w:t>for</w:t>
      </w:r>
      <w:r w:rsidR="005A4BB0">
        <w:noBreakHyphen/>
      </w:r>
      <w:r w:rsidRPr="0062582F">
        <w:t>profit private sector entity may have established or sponsored a community service organisation whose relevant activities are directed by means of contractual arrangements. Those arrangements might require the not</w:t>
      </w:r>
      <w:r w:rsidR="005A4BB0">
        <w:noBreakHyphen/>
      </w:r>
      <w:r w:rsidRPr="0062582F">
        <w:t>for</w:t>
      </w:r>
      <w:r w:rsidR="005A4BB0">
        <w:noBreakHyphen/>
      </w:r>
      <w:r w:rsidRPr="0062582F">
        <w:t xml:space="preserve">profit private sector entity to provide financial support in specified circumstances to the community service organisation, or alternatively the entity might choose to provide financial or other support to the organisation without the contractual obligation to do so (e.g. due to the economic dependency of the organisation upon the entity). The AASB 12 disclosure requirements would be relevant in both circumstances as the community service organisation is a structured entity. </w:t>
      </w:r>
    </w:p>
    <w:p w:rsidR="004843DB" w:rsidRPr="0062582F" w:rsidRDefault="004843DB" w:rsidP="004843DB">
      <w:pPr>
        <w:spacing w:before="0" w:line="240" w:lineRule="atLeast"/>
        <w:rPr>
          <w:sz w:val="4"/>
          <w:szCs w:val="4"/>
        </w:rPr>
      </w:pPr>
      <w:r w:rsidRPr="0062582F">
        <w:br w:type="page"/>
      </w:r>
    </w:p>
    <w:p w:rsidR="004843DB" w:rsidRPr="0062582F" w:rsidRDefault="004843DB" w:rsidP="004843DB">
      <w:pPr>
        <w:pStyle w:val="SmallLine"/>
      </w:pPr>
    </w:p>
    <w:p w:rsidR="004843DB" w:rsidRPr="0062582F" w:rsidRDefault="004843DB" w:rsidP="004843DB">
      <w:pPr>
        <w:pStyle w:val="SmallLine"/>
        <w:rPr>
          <w:noProof/>
        </w:rPr>
      </w:pPr>
    </w:p>
    <w:p w:rsidR="004843DB" w:rsidRPr="0062582F" w:rsidRDefault="004843DB" w:rsidP="004843DB">
      <w:pPr>
        <w:pStyle w:val="SmallLine"/>
        <w:rPr>
          <w:noProof/>
        </w:rPr>
      </w:pPr>
    </w:p>
    <w:p w:rsidR="004843DB" w:rsidRPr="0062582F" w:rsidRDefault="004843DB" w:rsidP="004843DB">
      <w:pPr>
        <w:pStyle w:val="SmallLine"/>
        <w:rPr>
          <w:noProof/>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120"/>
      </w:pPr>
      <w:r w:rsidRPr="0062582F">
        <w:t>AASB 12. B22</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80"/>
      </w:pPr>
      <w:r w:rsidRPr="0062582F">
        <w:t>AASB 12. B23</w:t>
      </w:r>
    </w:p>
    <w:p w:rsidR="004843DB" w:rsidRPr="0062582F" w:rsidRDefault="004843DB" w:rsidP="004843DB">
      <w:pPr>
        <w:pStyle w:val="Reference"/>
        <w:spacing w:before="80"/>
      </w:pPr>
    </w:p>
    <w:p w:rsidR="004843DB" w:rsidRPr="0062582F" w:rsidRDefault="004843DB" w:rsidP="004843DB">
      <w:pPr>
        <w:pStyle w:val="Reference"/>
        <w:spacing w:before="80"/>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rPr>
          <w:noProof/>
        </w:rPr>
      </w:pPr>
      <w:r w:rsidRPr="0062582F">
        <w:rPr>
          <w:noProof/>
        </w:rPr>
        <w:br w:type="column"/>
      </w:r>
    </w:p>
    <w:p w:rsidR="004843DB" w:rsidRPr="0062582F" w:rsidRDefault="004843DB" w:rsidP="004843DB">
      <w:pPr>
        <w:pStyle w:val="CommentaryHeading"/>
        <w:rPr>
          <w:i/>
        </w:rPr>
      </w:pPr>
      <w:r w:rsidRPr="0062582F">
        <w:t xml:space="preserve">Commentary – Interests in subsidiary and unconsolidated structured entities </w:t>
      </w:r>
      <w:r w:rsidRPr="0062582F">
        <w:rPr>
          <w:i/>
        </w:rPr>
        <w:t>(continued)</w:t>
      </w:r>
    </w:p>
    <w:p w:rsidR="004843DB" w:rsidRPr="0062582F" w:rsidRDefault="004843DB" w:rsidP="004843DB">
      <w:pPr>
        <w:pStyle w:val="CommentaryText"/>
        <w:pBdr>
          <w:top w:val="none" w:sz="0" w:space="0" w:color="auto"/>
          <w:bottom w:val="none" w:sz="0" w:space="0" w:color="auto"/>
        </w:pBdr>
        <w:rPr>
          <w:rFonts w:ascii="Calibri" w:hAnsi="Calibri" w:cs="Arial"/>
          <w:b/>
          <w:bCs/>
        </w:rPr>
      </w:pPr>
      <w:r w:rsidRPr="0062582F">
        <w:rPr>
          <w:rFonts w:ascii="Calibri" w:hAnsi="Calibri" w:cs="Arial"/>
          <w:b/>
          <w:bCs/>
        </w:rPr>
        <w:t>Features of structured entities</w:t>
      </w:r>
    </w:p>
    <w:p w:rsidR="004843DB" w:rsidRPr="0062582F" w:rsidRDefault="004843DB" w:rsidP="004843DB">
      <w:pPr>
        <w:pStyle w:val="CommentaryText"/>
        <w:pBdr>
          <w:top w:val="none" w:sz="0" w:space="0" w:color="auto"/>
          <w:bottom w:val="none" w:sz="0" w:space="0" w:color="auto"/>
        </w:pBdr>
      </w:pPr>
      <w:r w:rsidRPr="0062582F">
        <w:t xml:space="preserve">A structured entity often has some or all of the following features or attributes: </w:t>
      </w:r>
    </w:p>
    <w:p w:rsidR="004843DB" w:rsidRPr="0062582F" w:rsidRDefault="004843DB" w:rsidP="004843DB">
      <w:pPr>
        <w:pStyle w:val="CommentaryTextIndent"/>
        <w:pBdr>
          <w:top w:val="none" w:sz="0" w:space="0" w:color="auto"/>
          <w:bottom w:val="none" w:sz="0" w:space="0" w:color="auto"/>
        </w:pBdr>
      </w:pPr>
      <w:r w:rsidRPr="0062582F">
        <w:t>(a)</w:t>
      </w:r>
      <w:r w:rsidRPr="0062582F">
        <w:tab/>
        <w:t>restricted activities;</w:t>
      </w:r>
    </w:p>
    <w:p w:rsidR="004843DB" w:rsidRPr="0062582F" w:rsidRDefault="004843DB" w:rsidP="004843DB">
      <w:pPr>
        <w:pStyle w:val="CommentaryTextIndent"/>
        <w:pBdr>
          <w:top w:val="none" w:sz="0" w:space="0" w:color="auto"/>
          <w:bottom w:val="none" w:sz="0" w:space="0" w:color="auto"/>
        </w:pBdr>
      </w:pPr>
      <w:r w:rsidRPr="0062582F">
        <w:t>(b)</w:t>
      </w:r>
      <w:r w:rsidRPr="0062582F">
        <w:tab/>
        <w:t>a narrow and well</w:t>
      </w:r>
      <w:r w:rsidR="005A4BB0">
        <w:noBreakHyphen/>
      </w:r>
      <w:r w:rsidRPr="0062582F">
        <w:t>defined objective, such as to effect a tax efficient lease, carry out research and development activities, provide a source of capital or funding to an entity or provide investment opportunities for investors by passing on risks and rewards associated with the assets of the structured entity to investors;</w:t>
      </w:r>
    </w:p>
    <w:p w:rsidR="004843DB" w:rsidRPr="0062582F" w:rsidRDefault="004843DB" w:rsidP="004843DB">
      <w:pPr>
        <w:pStyle w:val="CommentaryTextIndent"/>
        <w:pBdr>
          <w:top w:val="none" w:sz="0" w:space="0" w:color="auto"/>
          <w:bottom w:val="none" w:sz="0" w:space="0" w:color="auto"/>
        </w:pBdr>
      </w:pPr>
      <w:r w:rsidRPr="0062582F">
        <w:t>(c)</w:t>
      </w:r>
      <w:r w:rsidRPr="0062582F">
        <w:tab/>
        <w:t>insufficient equity to permit the structured entity to finance its activities without subordinated financial support; and</w:t>
      </w:r>
    </w:p>
    <w:p w:rsidR="004843DB" w:rsidRPr="0062582F" w:rsidRDefault="004843DB" w:rsidP="004843DB">
      <w:pPr>
        <w:pStyle w:val="CommentaryTextIndent"/>
        <w:pBdr>
          <w:top w:val="none" w:sz="0" w:space="0" w:color="auto"/>
          <w:bottom w:val="none" w:sz="0" w:space="0" w:color="auto"/>
        </w:pBdr>
      </w:pPr>
      <w:r w:rsidRPr="0062582F">
        <w:t>(d)</w:t>
      </w:r>
      <w:r w:rsidRPr="0062582F">
        <w:tab/>
        <w:t xml:space="preserve">financing in the form of multiple contractually linked instruments to investors that create concentrations of credit or other risks (tranches). </w:t>
      </w:r>
    </w:p>
    <w:p w:rsidR="004843DB" w:rsidRPr="0062582F" w:rsidRDefault="004843DB" w:rsidP="004843DB">
      <w:pPr>
        <w:pStyle w:val="CommentaryText"/>
        <w:pBdr>
          <w:top w:val="none" w:sz="0" w:space="0" w:color="auto"/>
          <w:bottom w:val="none" w:sz="0" w:space="0" w:color="auto"/>
        </w:pBdr>
      </w:pPr>
      <w:r w:rsidRPr="0062582F">
        <w:t xml:space="preserve">Examples of entities that are regarded as structured entities include, but are not limited to: </w:t>
      </w:r>
    </w:p>
    <w:p w:rsidR="004843DB" w:rsidRPr="0062582F" w:rsidRDefault="004843DB" w:rsidP="004843DB">
      <w:pPr>
        <w:pStyle w:val="CommentaryTextIndent"/>
        <w:pBdr>
          <w:top w:val="none" w:sz="0" w:space="0" w:color="auto"/>
          <w:bottom w:val="none" w:sz="0" w:space="0" w:color="auto"/>
        </w:pBdr>
      </w:pPr>
      <w:r w:rsidRPr="0062582F">
        <w:t>(a)</w:t>
      </w:r>
      <w:r w:rsidRPr="0062582F">
        <w:tab/>
        <w:t>securitisation vehicles;</w:t>
      </w:r>
    </w:p>
    <w:p w:rsidR="004843DB" w:rsidRPr="0062582F" w:rsidRDefault="004843DB" w:rsidP="004843DB">
      <w:pPr>
        <w:pStyle w:val="CommentaryTextIndent"/>
        <w:pBdr>
          <w:top w:val="none" w:sz="0" w:space="0" w:color="auto"/>
          <w:bottom w:val="none" w:sz="0" w:space="0" w:color="auto"/>
        </w:pBdr>
      </w:pPr>
      <w:r w:rsidRPr="0062582F">
        <w:t>(b)</w:t>
      </w:r>
      <w:r w:rsidRPr="0062582F">
        <w:tab/>
        <w:t>asset</w:t>
      </w:r>
      <w:r w:rsidR="005A4BB0">
        <w:noBreakHyphen/>
      </w:r>
      <w:r w:rsidRPr="0062582F">
        <w:t>backed financings; and</w:t>
      </w:r>
    </w:p>
    <w:p w:rsidR="004843DB" w:rsidRPr="0062582F" w:rsidRDefault="004843DB" w:rsidP="004843DB">
      <w:pPr>
        <w:pStyle w:val="CommentaryTextIndent"/>
        <w:pBdr>
          <w:top w:val="none" w:sz="0" w:space="0" w:color="auto"/>
          <w:bottom w:val="none" w:sz="0" w:space="0" w:color="auto"/>
        </w:pBdr>
      </w:pPr>
      <w:r w:rsidRPr="0062582F">
        <w:t>(c)</w:t>
      </w:r>
      <w:r w:rsidRPr="0062582F">
        <w:tab/>
        <w:t>some investment funds.</w:t>
      </w:r>
    </w:p>
    <w:p w:rsidR="004843DB" w:rsidRPr="0062582F" w:rsidRDefault="004843DB" w:rsidP="004843DB">
      <w:pPr>
        <w:pStyle w:val="CommentaryHeading1"/>
        <w:pBdr>
          <w:top w:val="none" w:sz="0" w:space="0" w:color="auto"/>
          <w:bottom w:val="none" w:sz="0" w:space="0" w:color="auto"/>
        </w:pBdr>
        <w:rPr>
          <w:i/>
        </w:rPr>
      </w:pPr>
      <w:r w:rsidRPr="0062582F">
        <w:t>Nature of interests</w:t>
      </w:r>
    </w:p>
    <w:p w:rsidR="004843DB" w:rsidRPr="0062582F" w:rsidRDefault="004843DB" w:rsidP="004843DB">
      <w:pPr>
        <w:pStyle w:val="CommentaryText"/>
        <w:pBdr>
          <w:top w:val="none" w:sz="0" w:space="0" w:color="auto"/>
          <w:bottom w:val="none" w:sz="0" w:space="0" w:color="auto"/>
        </w:pBdr>
      </w:pPr>
      <w:r w:rsidRPr="0062582F">
        <w:t>An entity shall disclose qualitative and quantitative information about its interests in unco</w:t>
      </w:r>
      <w:r w:rsidRPr="0062582F">
        <w:rPr>
          <w:rStyle w:val="CommentaryTextChar"/>
        </w:rPr>
        <w:t>n</w:t>
      </w:r>
      <w:r w:rsidRPr="0062582F">
        <w:t>solidated structured entities, including, but not limited to, the nature, purpose, size and activities of the structured entity and how the structured entity is financed</w:t>
      </w:r>
    </w:p>
    <w:p w:rsidR="004843DB" w:rsidRPr="0062582F" w:rsidRDefault="004843DB" w:rsidP="004843DB">
      <w:pPr>
        <w:pStyle w:val="CommentaryText"/>
        <w:pBdr>
          <w:top w:val="none" w:sz="0" w:space="0" w:color="auto"/>
          <w:bottom w:val="none" w:sz="0" w:space="0" w:color="auto"/>
        </w:pBdr>
      </w:pPr>
      <w:r w:rsidRPr="0062582F">
        <w:t xml:space="preserve">If an entity has sponsored an unconsolidated structured entity but does not have an interest in the entity at the reporting date, the entity shall disclose: </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how it has determined which structured entities it has sponsored; </w:t>
      </w:r>
    </w:p>
    <w:p w:rsidR="004843DB" w:rsidRPr="0062582F" w:rsidRDefault="004843DB" w:rsidP="004843DB">
      <w:pPr>
        <w:pStyle w:val="CommentaryTextIndent"/>
        <w:pBdr>
          <w:top w:val="none" w:sz="0" w:space="0" w:color="auto"/>
          <w:bottom w:val="none" w:sz="0" w:space="0" w:color="auto"/>
        </w:pBdr>
      </w:pPr>
      <w:r w:rsidRPr="0062582F">
        <w:t>(b)</w:t>
      </w:r>
      <w:r w:rsidRPr="0062582F">
        <w:tab/>
        <w:t xml:space="preserve">income from those structured entities during the reporting period, including a description of the types of income presented; and </w:t>
      </w:r>
    </w:p>
    <w:p w:rsidR="004843DB" w:rsidRPr="0062582F" w:rsidRDefault="004843DB" w:rsidP="004843DB">
      <w:pPr>
        <w:pStyle w:val="CommentaryTextIndent"/>
        <w:pBdr>
          <w:top w:val="none" w:sz="0" w:space="0" w:color="auto"/>
          <w:bottom w:val="none" w:sz="0" w:space="0" w:color="auto"/>
        </w:pBdr>
      </w:pPr>
      <w:r w:rsidRPr="0062582F">
        <w:t>(c)</w:t>
      </w:r>
      <w:r w:rsidRPr="0062582F">
        <w:tab/>
        <w:t>the carrying amount (at the time of transfer) of all assets transferred to those structured entities during the reporting period.</w:t>
      </w:r>
    </w:p>
    <w:p w:rsidR="004843DB" w:rsidRPr="0062582F" w:rsidRDefault="004843DB" w:rsidP="004843DB">
      <w:pPr>
        <w:pStyle w:val="CommentaryHeading1"/>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t>Nature of risks</w:t>
      </w:r>
    </w:p>
    <w:p w:rsidR="004843DB" w:rsidRPr="0062582F" w:rsidRDefault="004843DB" w:rsidP="004843DB">
      <w:pPr>
        <w:pStyle w:val="Reference"/>
      </w:pPr>
      <w:r w:rsidRPr="0062582F">
        <w:t>AASB 12. 26</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360" w:after="120"/>
      </w:pPr>
      <w:r w:rsidRPr="0062582F">
        <w:t xml:space="preserve">AASB 12. 27 </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0"/>
      </w:pPr>
      <w:r w:rsidRPr="0062582F">
        <w:t>AASB 12. 29</w:t>
      </w:r>
    </w:p>
    <w:p w:rsidR="004843DB" w:rsidRPr="0062582F" w:rsidRDefault="004843DB" w:rsidP="004843DB">
      <w:pPr>
        <w:pStyle w:val="Reference"/>
        <w:spacing w:before="80"/>
      </w:pPr>
    </w:p>
    <w:p w:rsidR="004843DB" w:rsidRPr="0062582F" w:rsidRDefault="004843DB" w:rsidP="004843DB">
      <w:pPr>
        <w:pStyle w:val="CommentaryText"/>
        <w:pBdr>
          <w:top w:val="none" w:sz="0" w:space="0" w:color="auto"/>
          <w:bottom w:val="none" w:sz="0" w:space="0" w:color="auto"/>
        </w:pBdr>
      </w:pPr>
      <w:r w:rsidRPr="0062582F">
        <w:br w:type="column"/>
        <w:t xml:space="preserve">An entity shall disclose in tabular format, unless another format is more appropriate, a summary of: </w:t>
      </w:r>
    </w:p>
    <w:p w:rsidR="004843DB" w:rsidRPr="0062582F" w:rsidRDefault="004843DB" w:rsidP="004843DB">
      <w:pPr>
        <w:pStyle w:val="CommentaryTextIndent"/>
        <w:pBdr>
          <w:top w:val="none" w:sz="0" w:space="0" w:color="auto"/>
        </w:pBdr>
      </w:pPr>
      <w:r w:rsidRPr="0062582F">
        <w:t>(a)</w:t>
      </w:r>
      <w:r w:rsidRPr="0062582F">
        <w:tab/>
        <w:t>the carrying amounts of the assets and liabilities recognised in its financial statements relating to its interests in unconsolidated structured entities;</w:t>
      </w:r>
    </w:p>
    <w:p w:rsidR="004843DB" w:rsidRPr="0062582F" w:rsidRDefault="004843DB" w:rsidP="004843DB">
      <w:pPr>
        <w:pStyle w:val="CommentaryTextIndent"/>
        <w:pBdr>
          <w:top w:val="none" w:sz="0" w:space="0" w:color="auto"/>
        </w:pBdr>
      </w:pPr>
      <w:r w:rsidRPr="0062582F">
        <w:t>(b)</w:t>
      </w:r>
      <w:r w:rsidRPr="0062582F">
        <w:tab/>
        <w:t>the line items in the statement of financial position in which those assets and liabilities are recognised;</w:t>
      </w:r>
    </w:p>
    <w:p w:rsidR="004843DB" w:rsidRPr="0062582F" w:rsidRDefault="004843DB" w:rsidP="004843DB">
      <w:pPr>
        <w:pStyle w:val="CommentaryTextIndent"/>
        <w:pBdr>
          <w:top w:val="none" w:sz="0" w:space="0" w:color="auto"/>
        </w:pBdr>
      </w:pPr>
      <w:r w:rsidRPr="0062582F">
        <w:t>(c)</w:t>
      </w:r>
      <w:r w:rsidRPr="0062582F">
        <w:tab/>
        <w:t>the amount that best represents the entity</w:t>
      </w:r>
      <w:r w:rsidR="005A4BB0">
        <w:t>’</w:t>
      </w:r>
      <w:r w:rsidRPr="0062582F">
        <w:t xml:space="preserve">s maximum exposure to loss from its interests in unconsolidated structured entities, including how the maximum exposure to loss is determined. If an entity cannot quantify its maximum exposure to loss from its interests in unconsolidated structured entities it shall disclose that fact and the reasons; and </w:t>
      </w:r>
    </w:p>
    <w:p w:rsidR="004843DB" w:rsidRPr="0062582F" w:rsidRDefault="004843DB" w:rsidP="004843DB">
      <w:pPr>
        <w:pStyle w:val="CommentaryTextIndent"/>
        <w:pBdr>
          <w:top w:val="none" w:sz="0" w:space="0" w:color="auto"/>
        </w:pBdr>
      </w:pPr>
      <w:r w:rsidRPr="0062582F">
        <w:t>(d)</w:t>
      </w:r>
      <w:r w:rsidRPr="0062582F">
        <w:tab/>
        <w:t>a comparison of the carrying amounts of the assets and liabilities of the entity that relate to its interests in unconsolidated structured entities and the entity</w:t>
      </w:r>
      <w:r w:rsidR="005A4BB0">
        <w:t>’</w:t>
      </w:r>
      <w:r w:rsidRPr="0062582F">
        <w:t xml:space="preserve">s maximum exposure to loss from those entities.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t xml:space="preserve"> </w:t>
      </w:r>
    </w:p>
    <w:p w:rsidR="004843DB" w:rsidRPr="0062582F" w:rsidRDefault="004843DB" w:rsidP="004843DB">
      <w:pPr>
        <w:pStyle w:val="NoteHeading"/>
      </w:pPr>
      <w:bookmarkStart w:id="431" w:name="_Toc332019473"/>
      <w:bookmarkStart w:id="432" w:name="_Toc366843360"/>
      <w:r w:rsidRPr="0062582F">
        <w:br w:type="column"/>
      </w:r>
      <w:bookmarkStart w:id="433" w:name="_Toc448157194"/>
      <w:r w:rsidRPr="0062582F">
        <w:t>Note 15.</w:t>
      </w:r>
      <w:r w:rsidRPr="0062582F">
        <w:tab/>
        <w:t>Non</w:t>
      </w:r>
      <w:r w:rsidR="005A4BB0">
        <w:noBreakHyphen/>
      </w:r>
      <w:r w:rsidRPr="0062582F">
        <w:t>financial physical assets classified as held for sale including disposal group and directly associated liabilities</w:t>
      </w:r>
      <w:bookmarkEnd w:id="431"/>
      <w:bookmarkEnd w:id="432"/>
      <w:bookmarkEnd w:id="433"/>
    </w:p>
    <w:p w:rsidR="004843DB" w:rsidRPr="0062582F" w:rsidRDefault="004843DB" w:rsidP="004843DB">
      <w:pPr>
        <w:pStyle w:val="Heading5"/>
        <w:sectPr w:rsidR="004843DB" w:rsidRPr="0062582F" w:rsidSect="00190A01">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5.38</w:t>
      </w:r>
    </w:p>
    <w:p w:rsidR="004843DB" w:rsidRPr="0062582F" w:rsidRDefault="004843DB" w:rsidP="004843DB">
      <w:pPr>
        <w:pStyle w:val="Reference"/>
      </w:pPr>
    </w:p>
    <w:p w:rsidR="004843DB" w:rsidRPr="0062582F" w:rsidRDefault="004843DB" w:rsidP="004843DB">
      <w:pPr>
        <w:pStyle w:val="Heading5"/>
      </w:pPr>
      <w:r w:rsidRPr="0062582F">
        <w:br w:type="column"/>
        <w:t>(a)</w:t>
      </w:r>
      <w:r w:rsidRPr="0062582F">
        <w:tab/>
        <w:t>Non</w:t>
      </w:r>
      <w:r w:rsidR="005A4BB0">
        <w:noBreakHyphen/>
      </w:r>
      <w:r w:rsidRPr="0062582F">
        <w:t>financial physical assets including disposal group assets classified as held for sale</w:t>
      </w:r>
      <w:r w:rsidRPr="0062582F">
        <w:rPr>
          <w:vertAlign w:val="superscript"/>
        </w:rPr>
        <w:t>(i)</w:t>
      </w:r>
    </w:p>
    <w:p w:rsidR="004843DB" w:rsidRPr="0062582F" w:rsidRDefault="004843DB" w:rsidP="004843DB">
      <w:pPr>
        <w:pStyle w:val="million"/>
        <w:spacing w:before="40"/>
        <w:rPr>
          <w:rFonts w:ascii="Tahoma" w:hAnsi="Tahoma" w:cs="Tahoma"/>
          <w:sz w:val="20"/>
        </w:rPr>
      </w:pPr>
      <w:r w:rsidRPr="0062582F">
        <w:t>($ thousand)</w:t>
      </w:r>
    </w:p>
    <w:tbl>
      <w:tblPr>
        <w:tblW w:w="7963" w:type="dxa"/>
        <w:tblLayout w:type="fixed"/>
        <w:tblCellMar>
          <w:left w:w="43" w:type="dxa"/>
          <w:right w:w="43" w:type="dxa"/>
        </w:tblCellMar>
        <w:tblLook w:val="04A0" w:firstRow="1" w:lastRow="0" w:firstColumn="1" w:lastColumn="0" w:noHBand="0" w:noVBand="1"/>
      </w:tblPr>
      <w:tblGrid>
        <w:gridCol w:w="5443"/>
        <w:gridCol w:w="1260"/>
        <w:gridCol w:w="1260"/>
      </w:tblGrid>
      <w:tr w:rsidR="004843DB" w:rsidRPr="0062582F" w:rsidTr="004843DB">
        <w:trPr>
          <w:cantSplit/>
        </w:trPr>
        <w:tc>
          <w:tcPr>
            <w:tcW w:w="544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60" w:type="dxa"/>
            <w:tcBorders>
              <w:top w:val="single" w:sz="4" w:space="0" w:color="auto"/>
              <w:left w:val="nil"/>
              <w:bottom w:val="single" w:sz="4" w:space="0" w:color="auto"/>
              <w:right w:val="nil"/>
            </w:tcBorders>
            <w:shd w:val="clear" w:color="00FFFF" w:fill="CCCCCC"/>
            <w:hideMark/>
          </w:tcPr>
          <w:p w:rsidR="004843DB" w:rsidRPr="0062582F" w:rsidRDefault="004843DB" w:rsidP="004843DB">
            <w:pPr>
              <w:pStyle w:val="Tabletextheading"/>
            </w:pPr>
            <w:r w:rsidRPr="0062582F">
              <w:t>2016</w:t>
            </w:r>
          </w:p>
        </w:tc>
        <w:tc>
          <w:tcPr>
            <w:tcW w:w="12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2015</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Non</w:t>
            </w:r>
            <w:r w:rsidR="005A4BB0">
              <w:rPr>
                <w:b/>
              </w:rPr>
              <w:noBreakHyphen/>
            </w:r>
            <w:r w:rsidRPr="0062582F">
              <w:rPr>
                <w:b/>
              </w:rPr>
              <w:t>current assets: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Freehold land held for sale </w:t>
            </w:r>
            <w:r w:rsidRPr="0062582F">
              <w:rPr>
                <w:vertAlign w:val="superscript"/>
              </w:rPr>
              <w:t>(ii)</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467</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157</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Disposal group assets: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443" w:type="dxa"/>
            <w:tcBorders>
              <w:top w:val="nil"/>
              <w:left w:val="nil"/>
              <w:bottom w:val="single" w:sz="6" w:space="0" w:color="auto"/>
              <w:right w:val="nil"/>
            </w:tcBorders>
            <w:shd w:val="clear" w:color="auto" w:fill="auto"/>
            <w:hideMark/>
          </w:tcPr>
          <w:p w:rsidR="004843DB" w:rsidRPr="0062582F" w:rsidRDefault="004843DB" w:rsidP="004843DB">
            <w:pPr>
              <w:pStyle w:val="Tabletext"/>
            </w:pPr>
            <w:r w:rsidRPr="0062582F">
              <w:t>Assets of discontinued operations (Note 10)</w:t>
            </w:r>
          </w:p>
        </w:tc>
        <w:tc>
          <w:tcPr>
            <w:tcW w:w="1260"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14 886</w:t>
            </w:r>
          </w:p>
        </w:tc>
        <w:tc>
          <w:tcPr>
            <w:tcW w:w="126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26 199</w:t>
            </w:r>
          </w:p>
        </w:tc>
      </w:tr>
      <w:tr w:rsidR="004843DB" w:rsidRPr="0062582F" w:rsidTr="004843DB">
        <w:trPr>
          <w:cantSplit/>
        </w:trPr>
        <w:tc>
          <w:tcPr>
            <w:tcW w:w="5443" w:type="dxa"/>
            <w:tcBorders>
              <w:top w:val="single" w:sz="6"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non</w:t>
            </w:r>
            <w:r w:rsidR="005A4BB0">
              <w:rPr>
                <w:b/>
              </w:rPr>
              <w:noBreakHyphen/>
            </w:r>
            <w:r w:rsidRPr="0062582F">
              <w:rPr>
                <w:b/>
              </w:rPr>
              <w:t>financial physical assets and disposal group assets classified as held for sale</w:t>
            </w:r>
          </w:p>
        </w:tc>
        <w:tc>
          <w:tcPr>
            <w:tcW w:w="1260" w:type="dxa"/>
            <w:tcBorders>
              <w:top w:val="single" w:sz="6"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15 353</w:t>
            </w:r>
          </w:p>
        </w:tc>
        <w:tc>
          <w:tcPr>
            <w:tcW w:w="1260"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26 356</w:t>
            </w:r>
          </w:p>
        </w:tc>
      </w:tr>
    </w:tbl>
    <w:p w:rsidR="004843DB" w:rsidRPr="0062582F" w:rsidRDefault="004843DB" w:rsidP="004843DB">
      <w:pPr>
        <w:pStyle w:val="Notes"/>
      </w:pPr>
      <w:r w:rsidRPr="0062582F">
        <w:t>Notes:</w:t>
      </w:r>
    </w:p>
    <w:p w:rsidR="004843DB" w:rsidRPr="0062582F" w:rsidRDefault="004843DB" w:rsidP="004843DB">
      <w:pPr>
        <w:pStyle w:val="Notes"/>
      </w:pPr>
      <w:r w:rsidRPr="0062582F">
        <w:t>(i)</w:t>
      </w:r>
      <w:r w:rsidRPr="0062582F">
        <w:rPr>
          <w:color w:val="0000FF"/>
        </w:rPr>
        <w:tab/>
        <w:t>[If non</w:t>
      </w:r>
      <w:r w:rsidR="005A4BB0">
        <w:rPr>
          <w:color w:val="0000FF"/>
        </w:rPr>
        <w:noBreakHyphen/>
      </w:r>
      <w:r w:rsidRPr="0062582F">
        <w:rPr>
          <w:color w:val="0000FF"/>
        </w:rPr>
        <w:t>financial physical assets of disposal group are material, consider separate disclosure in the balance sheet.]</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5.41</w:t>
      </w:r>
    </w:p>
    <w:p w:rsidR="004843DB" w:rsidRPr="0062582F" w:rsidRDefault="004843DB" w:rsidP="004843DB">
      <w:pPr>
        <w:pStyle w:val="Notes"/>
      </w:pPr>
      <w:r w:rsidRPr="0062582F">
        <w:br w:type="column"/>
        <w:t>(ii)</w:t>
      </w:r>
      <w:r w:rsidRPr="0062582F">
        <w:tab/>
        <w:t xml:space="preserve">The Department intends to dispose of freehold land it no longer utilises in the next 10 months. The land was previously vacant land used as a storage site. A search is under way for a buyer. No impairment loss was recognised on reclassification of the freehold land as held for sale or at the end of the reporting period. </w:t>
      </w:r>
    </w:p>
    <w:p w:rsidR="004843DB" w:rsidRPr="0062582F" w:rsidRDefault="004843DB" w:rsidP="004843DB"/>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5.38</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0"/>
      </w:pPr>
      <w:r w:rsidRPr="0062582F">
        <w:t>AASB 13.93</w:t>
      </w:r>
    </w:p>
    <w:p w:rsidR="004843DB" w:rsidRPr="0062582F" w:rsidRDefault="004843DB" w:rsidP="004843DB">
      <w:pPr>
        <w:pStyle w:val="SmallLine"/>
      </w:pPr>
    </w:p>
    <w:p w:rsidR="004843DB" w:rsidRPr="0062582F" w:rsidRDefault="004843DB" w:rsidP="004843DB">
      <w:pPr>
        <w:pStyle w:val="Heading5"/>
        <w:spacing w:before="120" w:after="0"/>
      </w:pPr>
      <w:r w:rsidRPr="0062582F">
        <w:br w:type="column"/>
        <w:t>(b)</w:t>
      </w:r>
      <w:r w:rsidRPr="0062582F">
        <w:tab/>
        <w:t xml:space="preserve">Liabilities directly associated with assets classified as held for sale including disposal groups </w:t>
      </w:r>
    </w:p>
    <w:p w:rsidR="004843DB" w:rsidRPr="0062582F" w:rsidRDefault="004843DB" w:rsidP="004843DB">
      <w:pPr>
        <w:pStyle w:val="million"/>
        <w:spacing w:before="0"/>
        <w:rPr>
          <w:rFonts w:ascii="Tahoma" w:hAnsi="Tahoma" w:cs="Tahoma"/>
          <w:sz w:val="20"/>
        </w:rPr>
      </w:pPr>
      <w:r w:rsidRPr="0062582F">
        <w:t>($ thousand)</w:t>
      </w:r>
    </w:p>
    <w:tbl>
      <w:tblPr>
        <w:tblW w:w="7963" w:type="dxa"/>
        <w:tblLayout w:type="fixed"/>
        <w:tblCellMar>
          <w:left w:w="43" w:type="dxa"/>
          <w:right w:w="43" w:type="dxa"/>
        </w:tblCellMar>
        <w:tblLook w:val="04A0" w:firstRow="1" w:lastRow="0" w:firstColumn="1" w:lastColumn="0" w:noHBand="0" w:noVBand="1"/>
      </w:tblPr>
      <w:tblGrid>
        <w:gridCol w:w="5443"/>
        <w:gridCol w:w="1260"/>
        <w:gridCol w:w="1260"/>
      </w:tblGrid>
      <w:tr w:rsidR="004843DB" w:rsidRPr="0062582F" w:rsidTr="004843DB">
        <w:trPr>
          <w:cantSplit/>
        </w:trPr>
        <w:tc>
          <w:tcPr>
            <w:tcW w:w="544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60" w:type="dxa"/>
            <w:tcBorders>
              <w:top w:val="single" w:sz="4" w:space="0" w:color="auto"/>
              <w:left w:val="nil"/>
              <w:bottom w:val="single" w:sz="4" w:space="0" w:color="auto"/>
              <w:right w:val="nil"/>
            </w:tcBorders>
            <w:shd w:val="clear" w:color="00FFFF" w:fill="CCCCCC"/>
            <w:hideMark/>
          </w:tcPr>
          <w:p w:rsidR="004843DB" w:rsidRPr="0062582F" w:rsidRDefault="004843DB" w:rsidP="004843DB">
            <w:pPr>
              <w:pStyle w:val="Tabletextheading"/>
            </w:pPr>
            <w:r w:rsidRPr="0062582F">
              <w:t>2016</w:t>
            </w:r>
          </w:p>
        </w:tc>
        <w:tc>
          <w:tcPr>
            <w:tcW w:w="12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2015</w:t>
            </w:r>
          </w:p>
        </w:tc>
      </w:tr>
      <w:tr w:rsidR="004843DB" w:rsidRPr="0062582F" w:rsidTr="004843DB">
        <w:trPr>
          <w:cantSplit/>
        </w:trPr>
        <w:tc>
          <w:tcPr>
            <w:tcW w:w="5443" w:type="dxa"/>
            <w:tcBorders>
              <w:top w:val="nil"/>
              <w:left w:val="nil"/>
              <w:bottom w:val="single" w:sz="6" w:space="0" w:color="auto"/>
              <w:right w:val="nil"/>
            </w:tcBorders>
            <w:shd w:val="clear" w:color="auto" w:fill="auto"/>
            <w:hideMark/>
          </w:tcPr>
          <w:p w:rsidR="004843DB" w:rsidRPr="0062582F" w:rsidRDefault="004843DB" w:rsidP="004843DB">
            <w:pPr>
              <w:pStyle w:val="Tabletext"/>
            </w:pPr>
            <w:r w:rsidRPr="0062582F">
              <w:t>Liabilities of discontinued operations (Note 10)</w:t>
            </w:r>
          </w:p>
        </w:tc>
        <w:tc>
          <w:tcPr>
            <w:tcW w:w="1260"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4 438</w:t>
            </w:r>
          </w:p>
        </w:tc>
        <w:tc>
          <w:tcPr>
            <w:tcW w:w="126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8 980</w:t>
            </w:r>
          </w:p>
        </w:tc>
      </w:tr>
      <w:tr w:rsidR="004843DB" w:rsidRPr="0062582F" w:rsidTr="004843DB">
        <w:trPr>
          <w:cantSplit/>
        </w:trPr>
        <w:tc>
          <w:tcPr>
            <w:tcW w:w="5443" w:type="dxa"/>
            <w:tcBorders>
              <w:top w:val="single" w:sz="6"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liabilities directly associated with assets classified as held for sale including disposal groups</w:t>
            </w:r>
          </w:p>
        </w:tc>
        <w:tc>
          <w:tcPr>
            <w:tcW w:w="1260" w:type="dxa"/>
            <w:tcBorders>
              <w:top w:val="single" w:sz="6"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4 438</w:t>
            </w:r>
          </w:p>
        </w:tc>
        <w:tc>
          <w:tcPr>
            <w:tcW w:w="1260" w:type="dxa"/>
            <w:tcBorders>
              <w:top w:val="single" w:sz="6"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8 980</w:t>
            </w:r>
          </w:p>
        </w:tc>
      </w:tr>
    </w:tbl>
    <w:p w:rsidR="004843DB" w:rsidRPr="0062582F" w:rsidRDefault="004843DB" w:rsidP="004843DB"/>
    <w:p w:rsidR="004843DB" w:rsidRPr="0062582F" w:rsidRDefault="004843DB" w:rsidP="004843DB">
      <w:pPr>
        <w:pStyle w:val="Heading5"/>
      </w:pPr>
      <w:r w:rsidRPr="0062582F">
        <w:t>(c)</w:t>
      </w:r>
      <w:r w:rsidRPr="0062582F">
        <w:tab/>
        <w:t>Fair value measurement of non</w:t>
      </w:r>
      <w:r w:rsidR="005A4BB0">
        <w:noBreakHyphen/>
      </w:r>
      <w:r w:rsidRPr="0062582F">
        <w:t>financial physical assets held for sale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B35985">
      <w:pPr>
        <w:pStyle w:val="Tableheading"/>
        <w:ind w:left="0" w:firstLine="0"/>
      </w:pPr>
      <w:r w:rsidRPr="0062582F">
        <w:br w:type="column"/>
        <w:t>[Note: The fair value information below should also be disclosed for the comparative period of 2014</w:t>
      </w:r>
      <w:r w:rsidR="005A4BB0">
        <w:noBreakHyphen/>
      </w:r>
      <w:r w:rsidRPr="0062582F">
        <w:t>15.]</w:t>
      </w:r>
    </w:p>
    <w:p w:rsidR="004843DB" w:rsidRPr="0062582F" w:rsidRDefault="004843DB" w:rsidP="004843DB">
      <w:pPr>
        <w:spacing w:before="0"/>
      </w:pPr>
      <w:r w:rsidRPr="0062582F">
        <w:t>The following table provides the fair value measurement hierarchy of the Department</w:t>
      </w:r>
      <w:r w:rsidR="005A4BB0">
        <w:t>’</w:t>
      </w:r>
      <w:r w:rsidRPr="0062582F">
        <w:t>s non</w:t>
      </w:r>
      <w:r w:rsidR="005A4BB0">
        <w:noBreakHyphen/>
      </w:r>
      <w:r w:rsidRPr="0062582F">
        <w:t>financial physical assets held for sale.</w:t>
      </w:r>
    </w:p>
    <w:p w:rsidR="004843DB" w:rsidRPr="0062582F" w:rsidRDefault="004843DB" w:rsidP="004843DB">
      <w:pPr>
        <w:pStyle w:val="million"/>
        <w:spacing w:before="40"/>
        <w:rPr>
          <w:rFonts w:eastAsia="Times New Roman"/>
          <w:lang w:eastAsia="en-US"/>
        </w:rPr>
      </w:pPr>
      <w:r w:rsidRPr="0062582F">
        <w:rPr>
          <w:rFonts w:eastAsia="Times New Roman"/>
          <w:lang w:eastAsia="en-US"/>
        </w:rPr>
        <w:t>($ thousand)</w:t>
      </w:r>
    </w:p>
    <w:tbl>
      <w:tblPr>
        <w:tblW w:w="8143" w:type="dxa"/>
        <w:tblLayout w:type="fixed"/>
        <w:tblCellMar>
          <w:left w:w="43" w:type="dxa"/>
          <w:right w:w="43" w:type="dxa"/>
        </w:tblCellMar>
        <w:tblLook w:val="04A0" w:firstRow="1" w:lastRow="0" w:firstColumn="1" w:lastColumn="0" w:noHBand="0" w:noVBand="1"/>
      </w:tblPr>
      <w:tblGrid>
        <w:gridCol w:w="3193"/>
        <w:gridCol w:w="1260"/>
        <w:gridCol w:w="1215"/>
        <w:gridCol w:w="1237"/>
        <w:gridCol w:w="1238"/>
      </w:tblGrid>
      <w:tr w:rsidR="004843DB" w:rsidRPr="0062582F" w:rsidTr="004843DB">
        <w:trPr>
          <w:cantSplit/>
        </w:trPr>
        <w:tc>
          <w:tcPr>
            <w:tcW w:w="3193" w:type="dxa"/>
            <w:vMerge w:val="restart"/>
            <w:tcBorders>
              <w:top w:val="single" w:sz="4" w:space="0" w:color="auto"/>
              <w:left w:val="nil"/>
              <w:bottom w:val="single" w:sz="4" w:space="0" w:color="000000"/>
              <w:right w:val="nil"/>
            </w:tcBorders>
            <w:shd w:val="clear" w:color="auto" w:fill="auto"/>
            <w:hideMark/>
          </w:tcPr>
          <w:p w:rsidR="004843DB" w:rsidRPr="0062582F" w:rsidRDefault="004843DB" w:rsidP="004843DB">
            <w:pPr>
              <w:pStyle w:val="Tabletext"/>
              <w:rPr>
                <w:i/>
              </w:rPr>
            </w:pPr>
            <w:r w:rsidRPr="0062582F">
              <w:rPr>
                <w:i/>
              </w:rPr>
              <w:t>2016</w:t>
            </w:r>
          </w:p>
        </w:tc>
        <w:tc>
          <w:tcPr>
            <w:tcW w:w="1260" w:type="dxa"/>
            <w:vMerge w:val="restart"/>
            <w:tcBorders>
              <w:top w:val="single" w:sz="4" w:space="0" w:color="auto"/>
              <w:left w:val="nil"/>
              <w:right w:val="nil"/>
            </w:tcBorders>
            <w:shd w:val="clear" w:color="000000" w:fill="CCCCCC"/>
            <w:noWrap/>
            <w:hideMark/>
          </w:tcPr>
          <w:p w:rsidR="004843DB" w:rsidRPr="0062582F" w:rsidRDefault="004843DB" w:rsidP="004843DB">
            <w:pPr>
              <w:pStyle w:val="TabletextheadingCentred"/>
            </w:pPr>
            <w:r w:rsidRPr="0062582F">
              <w:t>Carrying amount as at</w:t>
            </w:r>
            <w:r w:rsidRPr="0062582F">
              <w:br/>
              <w:t>30 June 2016</w:t>
            </w:r>
          </w:p>
        </w:tc>
        <w:tc>
          <w:tcPr>
            <w:tcW w:w="3690" w:type="dxa"/>
            <w:gridSpan w:val="3"/>
            <w:tcBorders>
              <w:top w:val="single" w:sz="4" w:space="0" w:color="auto"/>
              <w:left w:val="nil"/>
              <w:bottom w:val="nil"/>
              <w:right w:val="nil"/>
            </w:tcBorders>
            <w:shd w:val="clear" w:color="auto" w:fill="auto"/>
            <w:hideMark/>
          </w:tcPr>
          <w:p w:rsidR="004843DB" w:rsidRPr="0062582F" w:rsidRDefault="004843DB" w:rsidP="004843DB">
            <w:pPr>
              <w:pStyle w:val="TabletextheadingCentred"/>
            </w:pPr>
            <w:r w:rsidRPr="0062582F">
              <w:t>Fair value measurement at end of reporting period using:</w:t>
            </w:r>
          </w:p>
        </w:tc>
      </w:tr>
      <w:tr w:rsidR="004843DB" w:rsidRPr="0062582F" w:rsidTr="004843DB">
        <w:trPr>
          <w:cantSplit/>
        </w:trPr>
        <w:tc>
          <w:tcPr>
            <w:tcW w:w="3193" w:type="dxa"/>
            <w:vMerge/>
            <w:tcBorders>
              <w:top w:val="single" w:sz="4" w:space="0" w:color="auto"/>
              <w:left w:val="nil"/>
              <w:bottom w:val="single" w:sz="4" w:space="0" w:color="000000"/>
              <w:right w:val="nil"/>
            </w:tcBorders>
            <w:vAlign w:val="center"/>
            <w:hideMark/>
          </w:tcPr>
          <w:p w:rsidR="004843DB" w:rsidRPr="0062582F" w:rsidRDefault="004843DB" w:rsidP="004843DB">
            <w:pPr>
              <w:pStyle w:val="Tabletext"/>
              <w:rPr>
                <w:rFonts w:ascii="Arial" w:hAnsi="Arial"/>
                <w:i/>
                <w:iCs/>
              </w:rPr>
            </w:pPr>
          </w:p>
        </w:tc>
        <w:tc>
          <w:tcPr>
            <w:tcW w:w="1260" w:type="dxa"/>
            <w:vMerge/>
            <w:tcBorders>
              <w:left w:val="nil"/>
              <w:bottom w:val="single" w:sz="4" w:space="0" w:color="auto"/>
              <w:right w:val="nil"/>
            </w:tcBorders>
            <w:shd w:val="clear" w:color="000000" w:fill="CCCCCC"/>
            <w:noWrap/>
            <w:hideMark/>
          </w:tcPr>
          <w:p w:rsidR="004843DB" w:rsidRPr="0062582F" w:rsidRDefault="004843DB" w:rsidP="004843DB">
            <w:pPr>
              <w:pStyle w:val="TabletextheadingCentred"/>
            </w:pPr>
          </w:p>
        </w:tc>
        <w:tc>
          <w:tcPr>
            <w:tcW w:w="121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Level 1</w:t>
            </w:r>
            <w:r w:rsidRPr="0062582F">
              <w:rPr>
                <w:vertAlign w:val="superscript"/>
              </w:rPr>
              <w:t xml:space="preserve"> (i)</w:t>
            </w:r>
          </w:p>
        </w:tc>
        <w:tc>
          <w:tcPr>
            <w:tcW w:w="1237"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textheadingCentred"/>
            </w:pPr>
            <w:r w:rsidRPr="0062582F">
              <w:t>Level 2</w:t>
            </w:r>
            <w:r w:rsidRPr="0062582F">
              <w:rPr>
                <w:vertAlign w:val="superscript"/>
              </w:rPr>
              <w:t xml:space="preserve"> (i)</w:t>
            </w:r>
          </w:p>
        </w:tc>
        <w:tc>
          <w:tcPr>
            <w:tcW w:w="123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Level 3</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
            </w:pPr>
            <w:r w:rsidRPr="0062582F">
              <w:t>Freehold land held for sale</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rPr>
                <w:rFonts w:asciiTheme="minorHAnsi" w:hAnsiTheme="minorHAnsi" w:cstheme="minorHAnsi"/>
                <w:sz w:val="16"/>
                <w:szCs w:val="16"/>
              </w:rPr>
              <w:t>467</w:t>
            </w:r>
            <w:r w:rsidRPr="0062582F">
              <w:t xml:space="preserve"> </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N/A </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rPr>
                <w:rFonts w:asciiTheme="minorHAnsi" w:hAnsiTheme="minorHAnsi" w:cstheme="minorHAnsi"/>
                <w:sz w:val="16"/>
                <w:szCs w:val="16"/>
              </w:rPr>
              <w:t>467</w:t>
            </w:r>
            <w:r w:rsidRPr="0062582F">
              <w:t xml:space="preserve"> </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
            </w:pPr>
            <w:r w:rsidRPr="0062582F">
              <w:t>Investments and other financial assets (Note 10)</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rPr>
                <w:rFonts w:asciiTheme="minorHAnsi" w:hAnsiTheme="minorHAnsi" w:cstheme="minorHAnsi"/>
                <w:sz w:val="16"/>
                <w:szCs w:val="16"/>
              </w:rPr>
              <w:t>521</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N/A</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rPr>
                <w:rFonts w:asciiTheme="minorHAnsi" w:hAnsiTheme="minorHAnsi" w:cstheme="minorHAnsi"/>
                <w:sz w:val="16"/>
                <w:szCs w:val="16"/>
              </w:rPr>
              <w:t>521</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w:t>
            </w:r>
          </w:p>
        </w:tc>
      </w:tr>
      <w:tr w:rsidR="004843DB" w:rsidRPr="0062582F" w:rsidTr="004843DB">
        <w:trPr>
          <w:cantSplit/>
        </w:trPr>
        <w:tc>
          <w:tcPr>
            <w:tcW w:w="319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w:t>
            </w:r>
          </w:p>
        </w:tc>
        <w:tc>
          <w:tcPr>
            <w:tcW w:w="1260" w:type="dxa"/>
            <w:tcBorders>
              <w:top w:val="single" w:sz="4" w:space="0" w:color="auto"/>
              <w:left w:val="nil"/>
              <w:bottom w:val="single" w:sz="12" w:space="0" w:color="auto"/>
              <w:right w:val="nil"/>
            </w:tcBorders>
            <w:shd w:val="clear" w:color="000000" w:fill="CCCCCC"/>
            <w:noWrap/>
            <w:vAlign w:val="bottom"/>
            <w:hideMark/>
          </w:tcPr>
          <w:p w:rsidR="004843DB" w:rsidRPr="0062582F" w:rsidRDefault="004843DB" w:rsidP="004843DB">
            <w:pPr>
              <w:pStyle w:val="TableofFigures"/>
              <w:rPr>
                <w:b/>
                <w:bCs/>
              </w:rPr>
            </w:pPr>
            <w:r w:rsidRPr="0062582F">
              <w:rPr>
                <w:b/>
                <w:bCs/>
              </w:rPr>
              <w:t>988</w:t>
            </w:r>
          </w:p>
        </w:tc>
        <w:tc>
          <w:tcPr>
            <w:tcW w:w="1215"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bCs/>
              </w:rPr>
            </w:pPr>
            <w:r w:rsidRPr="0062582F">
              <w:rPr>
                <w:b/>
                <w:bCs/>
              </w:rPr>
              <w:t>N/A</w:t>
            </w:r>
          </w:p>
        </w:tc>
        <w:tc>
          <w:tcPr>
            <w:tcW w:w="1237" w:type="dxa"/>
            <w:tcBorders>
              <w:top w:val="single" w:sz="4" w:space="0" w:color="auto"/>
              <w:left w:val="nil"/>
              <w:bottom w:val="single" w:sz="12" w:space="0" w:color="auto"/>
              <w:right w:val="nil"/>
            </w:tcBorders>
            <w:shd w:val="clear" w:color="000000" w:fill="CCCCCC"/>
            <w:noWrap/>
            <w:vAlign w:val="bottom"/>
            <w:hideMark/>
          </w:tcPr>
          <w:p w:rsidR="004843DB" w:rsidRPr="0062582F" w:rsidRDefault="004843DB" w:rsidP="004843DB">
            <w:pPr>
              <w:pStyle w:val="TableofFigures"/>
              <w:rPr>
                <w:b/>
                <w:bCs/>
              </w:rPr>
            </w:pPr>
            <w:r w:rsidRPr="0062582F">
              <w:rPr>
                <w:b/>
                <w:bCs/>
              </w:rPr>
              <w:t>988</w:t>
            </w:r>
          </w:p>
        </w:tc>
        <w:tc>
          <w:tcPr>
            <w:tcW w:w="1238"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bCs/>
              </w:rPr>
            </w:pPr>
          </w:p>
        </w:tc>
      </w:tr>
    </w:tbl>
    <w:p w:rsidR="004843DB" w:rsidRPr="0062582F" w:rsidRDefault="004843DB" w:rsidP="004843DB">
      <w:pPr>
        <w:pStyle w:val="Notes"/>
      </w:pPr>
      <w:r w:rsidRPr="0062582F">
        <w:t>Note:</w:t>
      </w:r>
    </w:p>
    <w:p w:rsidR="004843DB" w:rsidRPr="0062582F" w:rsidRDefault="004843DB" w:rsidP="004843DB">
      <w:pPr>
        <w:pStyle w:val="Notes"/>
        <w:rPr>
          <w:lang w:val="en-GB"/>
        </w:rPr>
      </w:pPr>
      <w:r w:rsidRPr="0062582F">
        <w:rPr>
          <w:lang w:val="en-GB"/>
        </w:rPr>
        <w:t>(i)</w:t>
      </w:r>
      <w:r w:rsidRPr="0062582F">
        <w:rPr>
          <w:lang w:val="en-GB"/>
        </w:rPr>
        <w:tab/>
        <w:t>Classified in accordance with the fair value hierarchy, see Note 1(B).</w:t>
      </w:r>
    </w:p>
    <w:p w:rsidR="004843DB" w:rsidRPr="0062582F" w:rsidRDefault="004843DB" w:rsidP="004843DB">
      <w:pPr>
        <w:pStyle w:val="Notes"/>
        <w:rPr>
          <w:lang w:val="en-GB"/>
        </w:rPr>
      </w:pPr>
    </w:p>
    <w:p w:rsidR="004843DB" w:rsidRPr="0062582F" w:rsidRDefault="004843DB" w:rsidP="004843DB">
      <w:pPr>
        <w:spacing w:before="0"/>
        <w:rPr>
          <w:color w:val="FF0000"/>
          <w:lang w:val="en-GB"/>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million"/>
        <w:spacing w:before="40"/>
        <w:rPr>
          <w:lang w:val="en-GB"/>
        </w:rPr>
      </w:pPr>
      <w:r w:rsidRPr="0062582F">
        <w:rPr>
          <w:lang w:val="en-GB"/>
        </w:rPr>
        <w:br w:type="column"/>
      </w:r>
      <w:r w:rsidRPr="0062582F">
        <w:rPr>
          <w:rFonts w:eastAsia="Times New Roman"/>
          <w:lang w:eastAsia="en-US"/>
        </w:rPr>
        <w:t>($ thousand)</w:t>
      </w:r>
      <w:r w:rsidRPr="0062582F" w:rsidDel="00B94440">
        <w:rPr>
          <w:rFonts w:eastAsia="Times New Roman"/>
          <w:lang w:eastAsia="en-US"/>
        </w:rPr>
        <w:t xml:space="preserve"> </w:t>
      </w:r>
    </w:p>
    <w:tbl>
      <w:tblPr>
        <w:tblW w:w="8143" w:type="dxa"/>
        <w:tblLayout w:type="fixed"/>
        <w:tblCellMar>
          <w:left w:w="43" w:type="dxa"/>
          <w:right w:w="43" w:type="dxa"/>
        </w:tblCellMar>
        <w:tblLook w:val="04A0" w:firstRow="1" w:lastRow="0" w:firstColumn="1" w:lastColumn="0" w:noHBand="0" w:noVBand="1"/>
      </w:tblPr>
      <w:tblGrid>
        <w:gridCol w:w="3193"/>
        <w:gridCol w:w="1260"/>
        <w:gridCol w:w="1215"/>
        <w:gridCol w:w="1237"/>
        <w:gridCol w:w="1238"/>
      </w:tblGrid>
      <w:tr w:rsidR="004843DB" w:rsidRPr="0062582F" w:rsidTr="004843DB">
        <w:trPr>
          <w:cantSplit/>
        </w:trPr>
        <w:tc>
          <w:tcPr>
            <w:tcW w:w="3193" w:type="dxa"/>
            <w:vMerge w:val="restart"/>
            <w:tcBorders>
              <w:top w:val="single" w:sz="4" w:space="0" w:color="auto"/>
              <w:left w:val="nil"/>
              <w:bottom w:val="single" w:sz="4" w:space="0" w:color="000000"/>
              <w:right w:val="nil"/>
            </w:tcBorders>
            <w:shd w:val="clear" w:color="auto" w:fill="auto"/>
            <w:hideMark/>
          </w:tcPr>
          <w:p w:rsidR="004843DB" w:rsidRPr="0062582F" w:rsidRDefault="004843DB" w:rsidP="004843DB">
            <w:pPr>
              <w:pStyle w:val="Tabletext"/>
              <w:rPr>
                <w:i/>
              </w:rPr>
            </w:pPr>
            <w:r w:rsidRPr="0062582F">
              <w:rPr>
                <w:i/>
              </w:rPr>
              <w:t>2015</w:t>
            </w:r>
          </w:p>
        </w:tc>
        <w:tc>
          <w:tcPr>
            <w:tcW w:w="1260" w:type="dxa"/>
            <w:vMerge w:val="restart"/>
            <w:tcBorders>
              <w:top w:val="single" w:sz="4" w:space="0" w:color="auto"/>
              <w:left w:val="nil"/>
              <w:right w:val="nil"/>
            </w:tcBorders>
            <w:shd w:val="clear" w:color="000000" w:fill="CCCCCC"/>
            <w:noWrap/>
            <w:hideMark/>
          </w:tcPr>
          <w:p w:rsidR="004843DB" w:rsidRPr="0062582F" w:rsidRDefault="004843DB" w:rsidP="004843DB">
            <w:pPr>
              <w:pStyle w:val="TabletextheadingCentred"/>
            </w:pPr>
            <w:r w:rsidRPr="0062582F">
              <w:t>Carrying amount as at</w:t>
            </w:r>
            <w:r w:rsidRPr="0062582F">
              <w:br/>
              <w:t>30 June 2015</w:t>
            </w:r>
          </w:p>
        </w:tc>
        <w:tc>
          <w:tcPr>
            <w:tcW w:w="3690" w:type="dxa"/>
            <w:gridSpan w:val="3"/>
            <w:tcBorders>
              <w:top w:val="single" w:sz="4" w:space="0" w:color="auto"/>
              <w:left w:val="nil"/>
              <w:bottom w:val="nil"/>
              <w:right w:val="nil"/>
            </w:tcBorders>
            <w:shd w:val="clear" w:color="auto" w:fill="auto"/>
            <w:hideMark/>
          </w:tcPr>
          <w:p w:rsidR="004843DB" w:rsidRPr="0062582F" w:rsidRDefault="004843DB" w:rsidP="004843DB">
            <w:pPr>
              <w:pStyle w:val="TabletextheadingCentred"/>
            </w:pPr>
            <w:r w:rsidRPr="0062582F">
              <w:t>Fair value measurement at end of reporting period using:</w:t>
            </w:r>
          </w:p>
        </w:tc>
      </w:tr>
      <w:tr w:rsidR="004843DB" w:rsidRPr="0062582F" w:rsidTr="004843DB">
        <w:trPr>
          <w:cantSplit/>
        </w:trPr>
        <w:tc>
          <w:tcPr>
            <w:tcW w:w="3193" w:type="dxa"/>
            <w:vMerge/>
            <w:tcBorders>
              <w:top w:val="single" w:sz="4" w:space="0" w:color="auto"/>
              <w:left w:val="nil"/>
              <w:bottom w:val="single" w:sz="4" w:space="0" w:color="000000"/>
              <w:right w:val="nil"/>
            </w:tcBorders>
            <w:vAlign w:val="center"/>
            <w:hideMark/>
          </w:tcPr>
          <w:p w:rsidR="004843DB" w:rsidRPr="0062582F" w:rsidRDefault="004843DB" w:rsidP="004843DB">
            <w:pPr>
              <w:pStyle w:val="Tabletext"/>
              <w:rPr>
                <w:rFonts w:ascii="Arial" w:hAnsi="Arial"/>
                <w:i/>
                <w:iCs/>
              </w:rPr>
            </w:pPr>
          </w:p>
        </w:tc>
        <w:tc>
          <w:tcPr>
            <w:tcW w:w="1260" w:type="dxa"/>
            <w:vMerge/>
            <w:tcBorders>
              <w:left w:val="nil"/>
              <w:bottom w:val="single" w:sz="4" w:space="0" w:color="auto"/>
              <w:right w:val="nil"/>
            </w:tcBorders>
            <w:shd w:val="clear" w:color="000000" w:fill="CCCCCC"/>
            <w:noWrap/>
            <w:hideMark/>
          </w:tcPr>
          <w:p w:rsidR="004843DB" w:rsidRPr="0062582F" w:rsidRDefault="004843DB" w:rsidP="004843DB">
            <w:pPr>
              <w:pStyle w:val="TabletextheadingCentred"/>
            </w:pPr>
          </w:p>
        </w:tc>
        <w:tc>
          <w:tcPr>
            <w:tcW w:w="121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Level 1</w:t>
            </w:r>
            <w:r w:rsidRPr="0062582F">
              <w:rPr>
                <w:vertAlign w:val="superscript"/>
              </w:rPr>
              <w:t xml:space="preserve"> (i)</w:t>
            </w:r>
          </w:p>
        </w:tc>
        <w:tc>
          <w:tcPr>
            <w:tcW w:w="1237"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textheadingCentred"/>
            </w:pPr>
            <w:r w:rsidRPr="0062582F">
              <w:t>Level 2</w:t>
            </w:r>
            <w:r w:rsidRPr="0062582F">
              <w:rPr>
                <w:vertAlign w:val="superscript"/>
              </w:rPr>
              <w:t xml:space="preserve"> (i)</w:t>
            </w:r>
          </w:p>
        </w:tc>
        <w:tc>
          <w:tcPr>
            <w:tcW w:w="123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Level 3</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
            </w:pPr>
            <w:r w:rsidRPr="0062582F">
              <w:t>Freehold land held for sale</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rPr>
                <w:rFonts w:asciiTheme="minorHAnsi" w:hAnsiTheme="minorHAnsi" w:cstheme="minorHAnsi"/>
                <w:sz w:val="16"/>
                <w:szCs w:val="16"/>
              </w:rPr>
              <w:t>157</w:t>
            </w:r>
            <w:r w:rsidRPr="0062582F">
              <w:t xml:space="preserve"> </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N/A </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rPr>
                <w:rFonts w:asciiTheme="minorHAnsi" w:hAnsiTheme="minorHAnsi" w:cstheme="minorHAnsi"/>
                <w:sz w:val="16"/>
                <w:szCs w:val="16"/>
              </w:rPr>
              <w:t>157</w:t>
            </w:r>
            <w:r w:rsidRPr="0062582F">
              <w:t xml:space="preserve"> </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
            </w:pPr>
            <w:r w:rsidRPr="0062582F">
              <w:t>Investments and other financial assets (Note 10)</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5 737</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N/A</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5 737</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w:t>
            </w:r>
          </w:p>
        </w:tc>
      </w:tr>
      <w:tr w:rsidR="004843DB" w:rsidRPr="0062582F" w:rsidTr="004843DB">
        <w:trPr>
          <w:cantSplit/>
        </w:trPr>
        <w:tc>
          <w:tcPr>
            <w:tcW w:w="319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w:t>
            </w:r>
          </w:p>
        </w:tc>
        <w:tc>
          <w:tcPr>
            <w:tcW w:w="1260" w:type="dxa"/>
            <w:tcBorders>
              <w:top w:val="single" w:sz="4" w:space="0" w:color="auto"/>
              <w:left w:val="nil"/>
              <w:bottom w:val="single" w:sz="12" w:space="0" w:color="auto"/>
              <w:right w:val="nil"/>
            </w:tcBorders>
            <w:shd w:val="clear" w:color="000000" w:fill="CCCCCC"/>
            <w:noWrap/>
            <w:vAlign w:val="bottom"/>
            <w:hideMark/>
          </w:tcPr>
          <w:p w:rsidR="004843DB" w:rsidRPr="0062582F" w:rsidRDefault="004843DB" w:rsidP="004843DB">
            <w:pPr>
              <w:pStyle w:val="TableofFigures"/>
              <w:rPr>
                <w:b/>
                <w:bCs/>
              </w:rPr>
            </w:pPr>
            <w:r w:rsidRPr="0062582F">
              <w:rPr>
                <w:b/>
                <w:bCs/>
              </w:rPr>
              <w:t>5 894</w:t>
            </w:r>
          </w:p>
        </w:tc>
        <w:tc>
          <w:tcPr>
            <w:tcW w:w="1215"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bCs/>
              </w:rPr>
            </w:pPr>
            <w:r w:rsidRPr="0062582F">
              <w:rPr>
                <w:b/>
                <w:bCs/>
              </w:rPr>
              <w:t>N/A</w:t>
            </w:r>
          </w:p>
        </w:tc>
        <w:tc>
          <w:tcPr>
            <w:tcW w:w="1237" w:type="dxa"/>
            <w:tcBorders>
              <w:top w:val="single" w:sz="4" w:space="0" w:color="auto"/>
              <w:left w:val="nil"/>
              <w:bottom w:val="single" w:sz="12" w:space="0" w:color="auto"/>
              <w:right w:val="nil"/>
            </w:tcBorders>
            <w:shd w:val="clear" w:color="000000" w:fill="CCCCCC"/>
            <w:noWrap/>
            <w:vAlign w:val="bottom"/>
            <w:hideMark/>
          </w:tcPr>
          <w:p w:rsidR="004843DB" w:rsidRPr="0062582F" w:rsidRDefault="004843DB" w:rsidP="004843DB">
            <w:pPr>
              <w:pStyle w:val="TableofFigures"/>
              <w:rPr>
                <w:b/>
                <w:bCs/>
              </w:rPr>
            </w:pPr>
            <w:r w:rsidRPr="0062582F">
              <w:rPr>
                <w:b/>
                <w:bCs/>
              </w:rPr>
              <w:t>5 894</w:t>
            </w:r>
          </w:p>
        </w:tc>
        <w:tc>
          <w:tcPr>
            <w:tcW w:w="1238"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bCs/>
              </w:rPr>
            </w:pPr>
          </w:p>
        </w:tc>
      </w:tr>
    </w:tbl>
    <w:p w:rsidR="004843DB" w:rsidRPr="0062582F" w:rsidRDefault="004843DB" w:rsidP="004843DB">
      <w:pPr>
        <w:pStyle w:val="Notes"/>
      </w:pPr>
      <w:r w:rsidRPr="0062582F">
        <w:t>Note:</w:t>
      </w:r>
    </w:p>
    <w:p w:rsidR="004843DB" w:rsidRPr="0062582F" w:rsidRDefault="004843DB" w:rsidP="004843DB">
      <w:pPr>
        <w:pStyle w:val="Notes"/>
        <w:rPr>
          <w:lang w:val="en-GB"/>
        </w:rPr>
      </w:pPr>
      <w:r w:rsidRPr="0062582F">
        <w:rPr>
          <w:lang w:val="en-GB"/>
        </w:rPr>
        <w:t>(i)</w:t>
      </w:r>
      <w:r w:rsidRPr="0062582F">
        <w:rPr>
          <w:lang w:val="en-GB"/>
        </w:rPr>
        <w:tab/>
        <w:t>Classified in accordance with the fair value hierarchy, see Note 1(B).</w:t>
      </w:r>
    </w:p>
    <w:p w:rsidR="00CD5413" w:rsidRDefault="00CD5413">
      <w:pPr>
        <w:spacing w:line="240" w:lineRule="atLeast"/>
      </w:pPr>
      <w:r>
        <w:br w:type="page"/>
      </w:r>
    </w:p>
    <w:p w:rsidR="004843DB" w:rsidRPr="0062582F" w:rsidRDefault="00CD5413" w:rsidP="004843DB">
      <w:r>
        <w:br w:type="column"/>
      </w:r>
      <w:r w:rsidR="004843DB" w:rsidRPr="0062582F">
        <w:t>Freehold land held for sale is carried at fair value less costs to disposal. Refer to Note 17 for the valuation technique applied to non</w:t>
      </w:r>
      <w:r w:rsidR="005A4BB0">
        <w:noBreakHyphen/>
      </w:r>
      <w:r w:rsidR="004843DB" w:rsidRPr="0062582F">
        <w:t>specialised land.</w:t>
      </w:r>
    </w:p>
    <w:p w:rsidR="004843DB" w:rsidRPr="0062582F" w:rsidRDefault="004843DB" w:rsidP="004843DB">
      <w:r w:rsidRPr="0062582F">
        <w:t>The discontinued operation includes an investment in unlisted securities with a carrying amount of $521 000 in 2016. These are classified as available</w:t>
      </w:r>
      <w:r w:rsidR="005A4BB0">
        <w:noBreakHyphen/>
      </w:r>
      <w:r w:rsidRPr="0062582F">
        <w:t>for</w:t>
      </w:r>
      <w:r w:rsidR="005A4BB0">
        <w:noBreakHyphen/>
      </w:r>
      <w:r w:rsidRPr="0062582F">
        <w:t>sale and carried at fair value through other economic flows – other comprehensive income. The Department did not pledge the financial assets nor receive any collateral for it. For details on the recognition, measurement valuation techniques and inputs used for these assets, refer to Note 33(e).</w:t>
      </w:r>
    </w:p>
    <w:p w:rsidR="004843DB" w:rsidRPr="0062582F" w:rsidRDefault="004843DB" w:rsidP="004843DB">
      <w:r w:rsidRPr="0062582F">
        <w:t>Refer to Note 33(b)</w:t>
      </w:r>
      <w:r w:rsidR="005A4BB0">
        <w:noBreakHyphen/>
      </w:r>
      <w:r w:rsidRPr="0062582F">
        <w:t>(d) for details on the nature and extent of risks arising from financial instruments.</w:t>
      </w:r>
    </w:p>
    <w:p w:rsidR="004843DB" w:rsidRPr="0062582F" w:rsidRDefault="004843DB" w:rsidP="004843DB"/>
    <w:p w:rsidR="004843DB" w:rsidRPr="0062582F" w:rsidRDefault="004843DB" w:rsidP="004843DB">
      <w:pPr>
        <w:pStyle w:val="CommentaryHeading"/>
      </w:pPr>
      <w:r w:rsidRPr="0062582F">
        <w:t>Commentary – Non</w:t>
      </w:r>
      <w:r w:rsidR="005A4BB0">
        <w:noBreakHyphen/>
      </w:r>
      <w:r w:rsidRPr="0062582F">
        <w:t>financial physical assets and disposal group assets classified as held for sale</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top w:val="none" w:sz="0" w:space="0" w:color="auto"/>
          <w:bottom w:val="none" w:sz="0" w:space="0" w:color="auto"/>
        </w:pBdr>
      </w:pPr>
      <w:r w:rsidRPr="0062582F">
        <w:t>Administered activity classified as held for sale</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5.3</w:t>
      </w:r>
    </w:p>
    <w:p w:rsidR="004843DB" w:rsidRPr="0062582F" w:rsidRDefault="004843DB" w:rsidP="004843DB">
      <w:pPr>
        <w:pStyle w:val="CommentaryText"/>
        <w:pBdr>
          <w:top w:val="none" w:sz="0" w:space="0" w:color="auto"/>
          <w:bottom w:val="none" w:sz="0" w:space="0" w:color="auto"/>
        </w:pBdr>
      </w:pPr>
      <w:r w:rsidRPr="0062582F">
        <w:br w:type="column"/>
        <w:t>Assets classified as non</w:t>
      </w:r>
      <w:r w:rsidR="005A4BB0">
        <w:noBreakHyphen/>
      </w:r>
      <w:r w:rsidRPr="0062582F">
        <w:t>current in accordance with AASB 101 shall not be reclassified as current assets until they meet the criteria to be classified as held for sale in accordance with this standard. Assets of a class that an entity would normally regard as non</w:t>
      </w:r>
      <w:r w:rsidR="005A4BB0">
        <w:noBreakHyphen/>
      </w:r>
      <w:r w:rsidRPr="0062582F">
        <w:t>current that are acquired exclusively with a view to resell shall not be classified as current unless they meet the criteria to be classified as held for sale in accordance with this standard.</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5.Aus.2.1</w:t>
      </w:r>
    </w:p>
    <w:p w:rsidR="004843DB" w:rsidRPr="0062582F" w:rsidRDefault="004843DB" w:rsidP="004843DB">
      <w:pPr>
        <w:pStyle w:val="CommentaryText"/>
        <w:pBdr>
          <w:top w:val="none" w:sz="0" w:space="0" w:color="auto"/>
          <w:bottom w:val="none" w:sz="0" w:space="0" w:color="auto"/>
        </w:pBdr>
      </w:pPr>
      <w:r w:rsidRPr="0062582F">
        <w:br w:type="column"/>
        <w:t>As with discontinued operations, machinery of government changes do not meet the definition of non</w:t>
      </w:r>
      <w:r w:rsidR="005A4BB0">
        <w:noBreakHyphen/>
      </w:r>
      <w:r w:rsidRPr="0062582F">
        <w:t xml:space="preserve">current assets and disposal group assets held for sale. Therefore, AASB 5 </w:t>
      </w:r>
      <w:r w:rsidRPr="0062582F">
        <w:rPr>
          <w:i/>
        </w:rPr>
        <w:t>Non</w:t>
      </w:r>
      <w:r w:rsidR="005A4BB0">
        <w:rPr>
          <w:i/>
        </w:rPr>
        <w:noBreakHyphen/>
      </w:r>
      <w:r w:rsidRPr="0062582F">
        <w:rPr>
          <w:i/>
        </w:rPr>
        <w:t>current Assets Held for Sale and Discontinued Operations</w:t>
      </w:r>
      <w:r w:rsidRPr="0062582F">
        <w:t xml:space="preserve"> requirements do not apply to such administrative changes.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5.Aus2.3</w:t>
      </w:r>
    </w:p>
    <w:p w:rsidR="004843DB" w:rsidRPr="0062582F" w:rsidRDefault="004843DB" w:rsidP="004843DB">
      <w:pPr>
        <w:pStyle w:val="CommentaryText"/>
        <w:pBdr>
          <w:top w:val="none" w:sz="0" w:space="0" w:color="auto"/>
          <w:bottom w:val="none" w:sz="0" w:space="0" w:color="auto"/>
        </w:pBdr>
      </w:pPr>
      <w:r w:rsidRPr="0062582F">
        <w:br w:type="column"/>
        <w:t>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rsidR="004843DB" w:rsidRPr="0062582F" w:rsidRDefault="004843DB" w:rsidP="004843DB">
      <w:pPr>
        <w:pStyle w:val="CommentaryHeading1"/>
        <w:pBdr>
          <w:top w:val="none" w:sz="0" w:space="0" w:color="auto"/>
          <w:bottom w:val="none" w:sz="0" w:space="0" w:color="auto"/>
        </w:pBdr>
      </w:pPr>
      <w:r w:rsidRPr="0062582F">
        <w:t>Discontinued operations and restructures</w:t>
      </w:r>
    </w:p>
    <w:p w:rsidR="004843DB" w:rsidRPr="0062582F" w:rsidRDefault="004843DB" w:rsidP="004843DB">
      <w:pPr>
        <w:pStyle w:val="CommentaryText"/>
        <w:pBdr>
          <w:top w:val="none" w:sz="0" w:space="0" w:color="auto"/>
          <w:bottom w:val="none" w:sz="0" w:space="0" w:color="auto"/>
        </w:pBdr>
      </w:pPr>
      <w:r w:rsidRPr="0062582F">
        <w:t>This note covers non</w:t>
      </w:r>
      <w:r w:rsidR="005A4BB0">
        <w:noBreakHyphen/>
      </w:r>
      <w:r w:rsidRPr="0062582F">
        <w:t>current assets held for sale other than those relating to discontinued operations. Disclosures relating to discontinued operations are illustrated in Note 10.</w:t>
      </w:r>
    </w:p>
    <w:p w:rsidR="004843DB" w:rsidRPr="0062582F" w:rsidRDefault="004843DB" w:rsidP="004843DB">
      <w:pPr>
        <w:pStyle w:val="CommentaryHeading1"/>
        <w:pBdr>
          <w:top w:val="none" w:sz="0" w:space="0" w:color="auto"/>
          <w:bottom w:val="none" w:sz="0" w:space="0" w:color="auto"/>
        </w:pBdr>
      </w:pPr>
      <w:r w:rsidRPr="0062582F">
        <w:t>Classification of non</w:t>
      </w:r>
      <w:r w:rsidR="005A4BB0">
        <w:noBreakHyphen/>
      </w:r>
      <w:r w:rsidRPr="0062582F">
        <w:t>financial physical asset as held for sale</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5.6 and 7</w:t>
      </w:r>
    </w:p>
    <w:p w:rsidR="004843DB" w:rsidRPr="0062582F" w:rsidRDefault="004843DB" w:rsidP="004843DB">
      <w:pPr>
        <w:pStyle w:val="CommentaryText"/>
        <w:pBdr>
          <w:top w:val="none" w:sz="0" w:space="0" w:color="auto"/>
          <w:bottom w:val="none" w:sz="0" w:space="0" w:color="auto"/>
        </w:pBdr>
      </w:pPr>
      <w:r w:rsidRPr="0062582F">
        <w:br w:type="column"/>
        <w:t>An entity shall classify a non</w:t>
      </w:r>
      <w:r w:rsidR="005A4BB0">
        <w:noBreakHyphen/>
      </w:r>
      <w:r w:rsidRPr="0062582F">
        <w:t>financial physical asset (or disposal group) as held for sale if its carrying amount will be recovered principally through a sale transaction rather than through continuing use. For this to be the case, the asset (or disposal group) must be available for immediate sale in its present condition subject only to terms that are usual and customary for sales of such assets (or disposal groups) and its sale must be highly probable.</w:t>
      </w:r>
    </w:p>
    <w:p w:rsidR="004843DB" w:rsidRPr="0062582F" w:rsidRDefault="004843DB" w:rsidP="004843DB">
      <w:pPr>
        <w:pStyle w:val="CommentaryText"/>
        <w:pBdr>
          <w:top w:val="none" w:sz="0" w:space="0" w:color="auto"/>
          <w:bottom w:val="none" w:sz="0" w:space="0" w:color="auto"/>
        </w:pBdr>
        <w:rPr>
          <w:rFonts w:ascii="Calibri" w:hAnsi="Calibri" w:cs="Arial"/>
          <w:b/>
          <w:bCs/>
        </w:rPr>
      </w:pPr>
      <w:r w:rsidRPr="0062582F">
        <w:rPr>
          <w:rFonts w:ascii="Calibri" w:hAnsi="Calibri" w:cs="Arial"/>
          <w:b/>
          <w:bCs/>
        </w:rPr>
        <w:t>Fair value measurement for non</w:t>
      </w:r>
      <w:r w:rsidR="005A4BB0">
        <w:rPr>
          <w:rFonts w:ascii="Calibri" w:hAnsi="Calibri" w:cs="Arial"/>
          <w:b/>
          <w:bCs/>
        </w:rPr>
        <w:noBreakHyphen/>
      </w:r>
      <w:r w:rsidRPr="0062582F">
        <w:rPr>
          <w:rFonts w:ascii="Calibri" w:hAnsi="Calibri" w:cs="Arial"/>
          <w:b/>
          <w:bCs/>
        </w:rPr>
        <w:t>financial physical assets classified as held for sale</w:t>
      </w:r>
    </w:p>
    <w:p w:rsidR="004843DB" w:rsidRPr="0062582F" w:rsidRDefault="004843DB" w:rsidP="004843DB">
      <w:pPr>
        <w:pStyle w:val="CommentaryText"/>
        <w:pBdr>
          <w:top w:val="none" w:sz="0" w:space="0" w:color="auto"/>
        </w:pBdr>
        <w:sectPr w:rsidR="004843DB" w:rsidRPr="0062582F" w:rsidSect="00190A01">
          <w:headerReference w:type="even" r:id="rId274"/>
          <w:headerReference w:type="default" r:id="rId275"/>
          <w:headerReference w:type="first" r:id="rId276"/>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5.5B</w:t>
      </w:r>
    </w:p>
    <w:p w:rsidR="004843DB" w:rsidRPr="0062582F" w:rsidRDefault="004843DB" w:rsidP="004843DB">
      <w:pPr>
        <w:pStyle w:val="CommentaryText"/>
        <w:pBdr>
          <w:top w:val="none" w:sz="0" w:space="0" w:color="auto"/>
          <w:bottom w:val="none" w:sz="0" w:space="0" w:color="auto"/>
        </w:pBdr>
      </w:pPr>
      <w:r w:rsidRPr="0062582F">
        <w:br w:type="column"/>
        <w:t>AASB 5 clarifies that disclosure requirements in other standards do not apply to non</w:t>
      </w:r>
      <w:r w:rsidR="005A4BB0">
        <w:noBreakHyphen/>
      </w:r>
      <w:r w:rsidRPr="0062582F">
        <w:t>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unquoted available</w:t>
      </w:r>
      <w:r w:rsidR="005A4BB0">
        <w:noBreakHyphen/>
      </w:r>
      <w:r w:rsidRPr="0062582F">
        <w:t>for</w:t>
      </w:r>
      <w:r w:rsidR="005A4BB0">
        <w:noBreakHyphen/>
      </w:r>
      <w:r w:rsidRPr="0062582F">
        <w:t>sale equity instrument is a financial instrument as defined in AASB 139 and is, therefore, scoped out of the measurement requirements of AASB 5.</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13.93</w:t>
      </w:r>
    </w:p>
    <w:p w:rsidR="004843DB" w:rsidRDefault="004843DB" w:rsidP="004843DB">
      <w:pPr>
        <w:pStyle w:val="CommentaryText"/>
        <w:pBdr>
          <w:top w:val="none" w:sz="0" w:space="0" w:color="auto"/>
        </w:pBdr>
        <w:sectPr w:rsidR="004843DB" w:rsidSect="00190A01">
          <w:headerReference w:type="even" r:id="rId277"/>
          <w:headerReference w:type="default" r:id="rId278"/>
          <w:headerReference w:type="first" r:id="rId279"/>
          <w:type w:val="continuous"/>
          <w:pgSz w:w="11906" w:h="16838" w:code="9"/>
          <w:pgMar w:top="1152" w:right="864" w:bottom="1152" w:left="864" w:header="432" w:footer="432" w:gutter="0"/>
          <w:cols w:num="2" w:space="360" w:equalWidth="0">
            <w:col w:w="1440" w:space="360"/>
            <w:col w:w="8090"/>
          </w:cols>
          <w:rtlGutter/>
        </w:sectPr>
      </w:pPr>
      <w:r w:rsidRPr="0062582F">
        <w:br w:type="column"/>
        <w:t>While the assets of discontinuing operations are fair valued on a non</w:t>
      </w:r>
      <w:r w:rsidR="005A4BB0">
        <w:noBreakHyphen/>
      </w:r>
      <w:r w:rsidRPr="0062582F">
        <w:t>recurring basis under AASB 13.93(a), fair value measurements of available</w:t>
      </w:r>
      <w:r w:rsidR="005A4BB0">
        <w:noBreakHyphen/>
      </w:r>
      <w:r w:rsidRPr="0062582F">
        <w:t>for</w:t>
      </w:r>
      <w:r w:rsidR="005A4BB0">
        <w:noBreakHyphen/>
      </w:r>
      <w:r w:rsidRPr="0062582F">
        <w:t xml:space="preserve">sale investments of the discontinuing operations are recurring since valuations are required at the end of each reporting period. As </w:t>
      </w:r>
    </w:p>
    <w:p w:rsidR="004843DB" w:rsidRDefault="004843DB" w:rsidP="004843DB">
      <w:pPr>
        <w:pStyle w:val="Reference"/>
      </w:pPr>
    </w:p>
    <w:p w:rsidR="004843DB" w:rsidRDefault="004843DB" w:rsidP="004843DB">
      <w:pPr>
        <w:pStyle w:val="Reference"/>
      </w:pPr>
    </w:p>
    <w:p w:rsidR="004843DB" w:rsidRDefault="004843DB" w:rsidP="004843DB">
      <w:pPr>
        <w:pStyle w:val="SmallLine"/>
      </w:pPr>
      <w:r>
        <w:t>Ss</w:t>
      </w:r>
      <w:r w:rsidRPr="0062582F">
        <w:br w:type="column"/>
      </w:r>
    </w:p>
    <w:p w:rsidR="004843DB" w:rsidRPr="0062582F" w:rsidRDefault="004843DB" w:rsidP="004843DB">
      <w:pPr>
        <w:pStyle w:val="CommentaryHeading"/>
      </w:pPr>
      <w:r w:rsidRPr="0062582F">
        <w:t>Commentary – Non</w:t>
      </w:r>
      <w:r w:rsidR="005A4BB0">
        <w:noBreakHyphen/>
      </w:r>
      <w:r w:rsidRPr="0062582F">
        <w:t>financial physical assets and disposal group assets classified as held for sale</w:t>
      </w:r>
      <w:r>
        <w:t xml:space="preserve"> </w:t>
      </w:r>
      <w:r w:rsidRPr="009F6B8E">
        <w:rPr>
          <w:i/>
        </w:rPr>
        <w:t>(continued)</w:t>
      </w:r>
    </w:p>
    <w:p w:rsidR="004843DB" w:rsidRPr="0062582F" w:rsidRDefault="004843DB" w:rsidP="004843DB">
      <w:pPr>
        <w:pStyle w:val="CommentaryText"/>
        <w:pBdr>
          <w:top w:val="none" w:sz="0" w:space="0" w:color="auto"/>
        </w:pBdr>
      </w:pPr>
      <w:r w:rsidRPr="0062582F">
        <w:t xml:space="preserve">the illustrative example in Note 15(c) categories </w:t>
      </w:r>
      <w:r w:rsidR="005A4BB0">
        <w:t>‘</w:t>
      </w:r>
      <w:r w:rsidRPr="0062582F">
        <w:t>investments and other financial assets</w:t>
      </w:r>
      <w:r w:rsidR="005A4BB0">
        <w:t>’</w:t>
      </w:r>
      <w:r w:rsidRPr="0062582F">
        <w:t xml:space="preserve"> as Level 2 assets, reconciliation required for recurring Level 3 assets or liabilities is not illustrated in the Model. Refer to Note 17 and Note 33 for illustration on reconciliation of recurring Level 3 assets. </w:t>
      </w:r>
    </w:p>
    <w:p w:rsidR="004843DB" w:rsidRPr="0062582F" w:rsidRDefault="004843DB" w:rsidP="004843DB">
      <w:pPr>
        <w:pStyle w:val="CommentaryText"/>
        <w:pBdr>
          <w:top w:val="none" w:sz="0" w:space="0" w:color="auto"/>
        </w:pBdr>
        <w:rPr>
          <w:rFonts w:ascii="Calibri" w:hAnsi="Calibri" w:cs="Arial"/>
          <w:b/>
          <w:bCs/>
        </w:rPr>
      </w:pPr>
      <w:r w:rsidRPr="0062582F">
        <w:rPr>
          <w:rFonts w:ascii="Calibri" w:hAnsi="Calibri" w:cs="Arial"/>
          <w:b/>
          <w:bCs/>
        </w:rPr>
        <w:t>Tabular format for disclosures</w:t>
      </w:r>
    </w:p>
    <w:p w:rsidR="004843DB" w:rsidRPr="0062582F" w:rsidRDefault="004843DB" w:rsidP="004843DB">
      <w:pPr>
        <w:pStyle w:val="CommentaryText"/>
        <w:pBdr>
          <w:top w:val="none" w:sz="0" w:space="0" w:color="auto"/>
        </w:pBdr>
        <w:rPr>
          <w:rFonts w:ascii="Calibri" w:hAnsi="Calibri" w:cs="Arial"/>
          <w:b/>
          <w:bCs/>
        </w:rPr>
      </w:pPr>
      <w:r w:rsidRPr="0062582F">
        <w:t>An entity is required to present the quantitative disclosures of AASB 13 in a tabular format, unless another format is more appropriate.</w:t>
      </w: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NoteHeading"/>
        <w:ind w:left="0" w:firstLine="0"/>
      </w:pPr>
      <w:bookmarkStart w:id="434" w:name="_Toc132689488"/>
      <w:bookmarkStart w:id="435" w:name="_Toc133138175"/>
      <w:bookmarkStart w:id="436" w:name="_Toc133203895"/>
      <w:bookmarkStart w:id="437" w:name="_Toc154475745"/>
      <w:bookmarkStart w:id="438" w:name="_Toc162327199"/>
      <w:bookmarkStart w:id="439" w:name="_Toc162327926"/>
      <w:bookmarkStart w:id="440" w:name="_Toc192562740"/>
      <w:bookmarkStart w:id="441" w:name="_Toc332019474"/>
      <w:bookmarkStart w:id="442" w:name="_Toc366843361"/>
      <w:bookmarkStart w:id="443" w:name="_Toc448157195"/>
      <w:r w:rsidRPr="0062582F">
        <w:t>Note 16.</w:t>
      </w:r>
      <w:r w:rsidRPr="0062582F">
        <w:tab/>
        <w:t>Inventories</w:t>
      </w:r>
      <w:bookmarkEnd w:id="434"/>
      <w:bookmarkEnd w:id="435"/>
      <w:bookmarkEnd w:id="436"/>
      <w:bookmarkEnd w:id="437"/>
      <w:bookmarkEnd w:id="438"/>
      <w:bookmarkEnd w:id="439"/>
      <w:bookmarkEnd w:id="440"/>
      <w:bookmarkEnd w:id="441"/>
      <w:bookmarkEnd w:id="442"/>
      <w:bookmarkEnd w:id="443"/>
    </w:p>
    <w:p w:rsidR="004843DB" w:rsidRPr="0062582F" w:rsidRDefault="004843DB" w:rsidP="004843DB">
      <w:pPr>
        <w:pStyle w:val="million"/>
        <w:sectPr w:rsidR="004843DB" w:rsidRPr="0062582F" w:rsidSect="004843DB">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Reference"/>
        <w:rPr>
          <w:rStyle w:val="SmallLineChar"/>
          <w:sz w:val="16"/>
          <w:szCs w:val="16"/>
        </w:rPr>
      </w:pPr>
      <w:r w:rsidRPr="0062582F">
        <w:t>AASB 102.36(b)</w:t>
      </w:r>
    </w:p>
    <w:p w:rsidR="004843DB" w:rsidRPr="0062582F" w:rsidRDefault="004843DB" w:rsidP="004843DB">
      <w:pPr>
        <w:pStyle w:val="SmallLine"/>
      </w:pPr>
      <w:r w:rsidRPr="0062582F">
        <w:br/>
      </w:r>
    </w:p>
    <w:p w:rsidR="004843DB" w:rsidRPr="0062582F" w:rsidRDefault="004843DB" w:rsidP="004843DB">
      <w:pPr>
        <w:pStyle w:val="Reference"/>
        <w:spacing w:before="240"/>
      </w:pPr>
      <w:r w:rsidRPr="0062582F">
        <w:t>AASB 102.36(b)</w:t>
      </w:r>
    </w:p>
    <w:p w:rsidR="004843DB" w:rsidRPr="0062582F" w:rsidRDefault="004843DB" w:rsidP="004843DB">
      <w:pPr>
        <w:pStyle w:val="SmallLine"/>
      </w:pPr>
      <w:r w:rsidRPr="0062582F">
        <w:br/>
      </w:r>
    </w:p>
    <w:p w:rsidR="004843DB" w:rsidRPr="0062582F" w:rsidRDefault="004843DB" w:rsidP="004843DB">
      <w:pPr>
        <w:pStyle w:val="Reference"/>
        <w:spacing w:before="280"/>
      </w:pPr>
      <w:r w:rsidRPr="0062582F">
        <w:t>AASB 102.36(b)</w:t>
      </w:r>
    </w:p>
    <w:p w:rsidR="004843DB" w:rsidRPr="0062582F" w:rsidRDefault="004843DB" w:rsidP="004843DB">
      <w:pPr>
        <w:pStyle w:val="Reference"/>
      </w:pPr>
    </w:p>
    <w:p w:rsidR="004843DB" w:rsidRPr="0062582F" w:rsidRDefault="004843DB" w:rsidP="004843DB">
      <w:pPr>
        <w:pStyle w:val="SmallLine"/>
      </w:pPr>
      <w:r w:rsidRPr="0062582F">
        <w:br/>
      </w:r>
      <w:r w:rsidRPr="0062582F">
        <w:br/>
      </w:r>
    </w:p>
    <w:p w:rsidR="004843DB" w:rsidRPr="0062582F" w:rsidRDefault="004843DB" w:rsidP="004843DB">
      <w:pPr>
        <w:pStyle w:val="SmallLine"/>
      </w:pPr>
      <w:r w:rsidRPr="0062582F">
        <w:br/>
      </w:r>
      <w:r w:rsidRPr="0062582F">
        <w:br/>
      </w:r>
      <w:r w:rsidRPr="0062582F">
        <w:br/>
      </w:r>
    </w:p>
    <w:p w:rsidR="004843DB" w:rsidRPr="0062582F" w:rsidRDefault="004843DB" w:rsidP="004843DB">
      <w:pPr>
        <w:pStyle w:val="Reference"/>
        <w:spacing w:before="280"/>
      </w:pPr>
      <w:r w:rsidRPr="0062582F">
        <w:t>AASB 102.Aus 36.1(b)</w:t>
      </w:r>
    </w:p>
    <w:p w:rsidR="004843DB" w:rsidRPr="0062582F" w:rsidRDefault="004843DB" w:rsidP="004843DB">
      <w:pPr>
        <w:pStyle w:val="million"/>
        <w:rPr>
          <w:rFonts w:ascii="Tahoma" w:hAnsi="Tahoma" w:cs="Tahoma"/>
          <w:sz w:val="20"/>
        </w:rPr>
      </w:pPr>
      <w:r w:rsidRPr="0062582F">
        <w:br w:type="column"/>
        <w:t>($ thousand)</w:t>
      </w:r>
    </w:p>
    <w:tbl>
      <w:tblPr>
        <w:tblW w:w="7940" w:type="dxa"/>
        <w:tblLayout w:type="fixed"/>
        <w:tblCellMar>
          <w:left w:w="43" w:type="dxa"/>
          <w:right w:w="43" w:type="dxa"/>
        </w:tblCellMar>
        <w:tblLook w:val="04A0" w:firstRow="1" w:lastRow="0" w:firstColumn="1" w:lastColumn="0" w:noHBand="0" w:noVBand="1"/>
      </w:tblPr>
      <w:tblGrid>
        <w:gridCol w:w="5460"/>
        <w:gridCol w:w="1240"/>
        <w:gridCol w:w="1240"/>
      </w:tblGrid>
      <w:tr w:rsidR="004843DB" w:rsidRPr="0062582F" w:rsidTr="004843DB">
        <w:trPr>
          <w:cantSplit/>
        </w:trPr>
        <w:tc>
          <w:tcPr>
            <w:tcW w:w="54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Current inventories</w:t>
            </w:r>
          </w:p>
        </w:tc>
        <w:tc>
          <w:tcPr>
            <w:tcW w:w="124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Supplies and consumables: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headingLeft"/>
            </w:pPr>
            <w:r w:rsidRPr="0062582F">
              <w:t>At cost</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7 299</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9 404</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Work in progress: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headingLeft"/>
            </w:pPr>
            <w:r w:rsidRPr="0062582F">
              <w:t>At cost</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1 931</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1 515</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Inventories held for sale:</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headingLeft"/>
            </w:pPr>
            <w:r w:rsidRPr="0062582F">
              <w:t>At cost</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2 523</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8 594</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headingLeft"/>
            </w:pPr>
            <w:r w:rsidRPr="0062582F">
              <w:t>At net realisable value</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91</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99</w:t>
            </w:r>
          </w:p>
        </w:tc>
      </w:tr>
      <w:tr w:rsidR="004843DB" w:rsidRPr="0062582F" w:rsidTr="004843DB">
        <w:trPr>
          <w:cantSplit/>
        </w:trPr>
        <w:tc>
          <w:tcPr>
            <w:tcW w:w="5460"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11 845</w:t>
            </w:r>
          </w:p>
        </w:tc>
        <w:tc>
          <w:tcPr>
            <w:tcW w:w="12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19 612</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Inventories held for distribution:</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headingLeft"/>
            </w:pPr>
            <w:r w:rsidRPr="0062582F">
              <w:t>At cost</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308</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144</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headingLeft"/>
            </w:pPr>
            <w:r w:rsidRPr="0062582F">
              <w:t>Loss of service potential</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(97)</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(24)</w:t>
            </w:r>
          </w:p>
        </w:tc>
      </w:tr>
      <w:tr w:rsidR="004843DB" w:rsidRPr="0062582F" w:rsidTr="004843DB">
        <w:trPr>
          <w:cantSplit/>
        </w:trPr>
        <w:tc>
          <w:tcPr>
            <w:tcW w:w="54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211</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121</w:t>
            </w:r>
          </w:p>
        </w:tc>
      </w:tr>
      <w:tr w:rsidR="004843DB" w:rsidRPr="0062582F" w:rsidTr="004843DB">
        <w:trPr>
          <w:cantSplit/>
        </w:trPr>
        <w:tc>
          <w:tcPr>
            <w:tcW w:w="546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inventories</w:t>
            </w:r>
          </w:p>
        </w:tc>
        <w:tc>
          <w:tcPr>
            <w:tcW w:w="124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12 056</w:t>
            </w:r>
          </w:p>
        </w:tc>
        <w:tc>
          <w:tcPr>
            <w:tcW w:w="12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19 733</w:t>
            </w:r>
          </w:p>
        </w:tc>
      </w:tr>
    </w:tbl>
    <w:p w:rsidR="004843DB" w:rsidRPr="0062582F" w:rsidRDefault="004843DB" w:rsidP="004843DB">
      <w:pPr>
        <w:pStyle w:val="million"/>
        <w:jc w:val="left"/>
        <w:rPr>
          <w:rFonts w:ascii="Garamond" w:hAnsi="Garamond" w:cs="Times New Roman"/>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r w:rsidRPr="0062582F">
        <w:br w:type="column"/>
      </w:r>
    </w:p>
    <w:p w:rsidR="004843DB" w:rsidRPr="0062582F" w:rsidRDefault="004843DB" w:rsidP="004843DB">
      <w:pPr>
        <w:pStyle w:val="SmallLine"/>
      </w:pPr>
    </w:p>
    <w:p w:rsidR="004843DB" w:rsidRPr="0062582F" w:rsidRDefault="004843DB" w:rsidP="004843DB">
      <w:pPr>
        <w:pStyle w:val="CommentaryHeading"/>
      </w:pPr>
      <w:r w:rsidRPr="0062582F">
        <w:t>Commentary – Inventories</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top w:val="none" w:sz="0" w:space="0" w:color="auto"/>
          <w:bottom w:val="none" w:sz="0" w:space="0" w:color="auto"/>
        </w:pBdr>
        <w:spacing w:before="120"/>
      </w:pPr>
      <w:r w:rsidRPr="0062582F">
        <w:t>The financial statements shall disclose:</w:t>
      </w:r>
    </w:p>
    <w:p w:rsidR="004843DB" w:rsidRPr="0062582F" w:rsidRDefault="004843DB" w:rsidP="004843DB">
      <w:pPr>
        <w:pStyle w:val="CommentaryHeading1"/>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20"/>
      </w:pPr>
      <w:r w:rsidRPr="0062582F">
        <w:t>AASB 102.36</w:t>
      </w:r>
    </w:p>
    <w:p w:rsidR="004843DB" w:rsidRPr="0062582F" w:rsidRDefault="004843DB" w:rsidP="004843DB">
      <w:pPr>
        <w:pStyle w:val="CommentaryTextIndent"/>
        <w:pBdr>
          <w:top w:val="none" w:sz="0" w:space="0" w:color="auto"/>
        </w:pBdr>
        <w:spacing w:before="60"/>
      </w:pPr>
      <w:r w:rsidRPr="0062582F">
        <w:br w:type="column"/>
        <w:t>(a)</w:t>
      </w:r>
      <w:r w:rsidRPr="0062582F">
        <w:tab/>
        <w:t>the accounting policies adopted in measuring inventories, including the cost formula used;</w:t>
      </w:r>
    </w:p>
    <w:p w:rsidR="004843DB" w:rsidRPr="0062582F" w:rsidRDefault="004843DB" w:rsidP="004843DB">
      <w:pPr>
        <w:pStyle w:val="CommentaryTextIndent"/>
        <w:pBdr>
          <w:top w:val="none" w:sz="0" w:space="0" w:color="auto"/>
        </w:pBdr>
        <w:spacing w:before="60"/>
      </w:pPr>
      <w:r w:rsidRPr="0062582F">
        <w:t>(b)</w:t>
      </w:r>
      <w:r w:rsidRPr="0062582F">
        <w:tab/>
        <w:t>the total carrying amount of inventories and the carrying amount in classifications appropriate to the entity;</w:t>
      </w:r>
    </w:p>
    <w:p w:rsidR="004843DB" w:rsidRPr="0062582F" w:rsidRDefault="004843DB" w:rsidP="004843DB">
      <w:pPr>
        <w:pStyle w:val="CommentaryTextIndent"/>
        <w:pBdr>
          <w:top w:val="none" w:sz="0" w:space="0" w:color="auto"/>
        </w:pBdr>
        <w:spacing w:before="60"/>
      </w:pPr>
      <w:r w:rsidRPr="0062582F">
        <w:t>(c)</w:t>
      </w:r>
      <w:r w:rsidRPr="0062582F">
        <w:tab/>
        <w:t>the carrying amount of inventories carried at fair value less costs to sell;</w:t>
      </w:r>
    </w:p>
    <w:p w:rsidR="004843DB" w:rsidRPr="0062582F" w:rsidRDefault="004843DB" w:rsidP="004843DB">
      <w:pPr>
        <w:pStyle w:val="CommentaryTextIndent"/>
        <w:pBdr>
          <w:top w:val="none" w:sz="0" w:space="0" w:color="auto"/>
        </w:pBdr>
        <w:spacing w:before="60"/>
      </w:pPr>
      <w:r w:rsidRPr="0062582F">
        <w:t>(d)</w:t>
      </w:r>
      <w:r w:rsidRPr="0062582F">
        <w:tab/>
        <w:t>the amount of inventories recognised as an expense during the period;</w:t>
      </w:r>
    </w:p>
    <w:p w:rsidR="004843DB" w:rsidRPr="0062582F" w:rsidRDefault="004843DB" w:rsidP="004843DB">
      <w:pPr>
        <w:pStyle w:val="CommentaryTextIndent"/>
        <w:pBdr>
          <w:top w:val="none" w:sz="0" w:space="0" w:color="auto"/>
        </w:pBdr>
        <w:spacing w:before="60"/>
      </w:pPr>
      <w:r w:rsidRPr="0062582F">
        <w:t>(e)</w:t>
      </w:r>
      <w:r w:rsidRPr="0062582F">
        <w:tab/>
        <w:t>the amount of any write</w:t>
      </w:r>
      <w:r w:rsidR="005A4BB0">
        <w:noBreakHyphen/>
      </w:r>
      <w:r w:rsidRPr="0062582F">
        <w:t xml:space="preserve">down of inventories recognised as an expense in the period in accordance with paragraph 34 of AASB 102 </w:t>
      </w:r>
      <w:r w:rsidRPr="0062582F">
        <w:rPr>
          <w:i/>
        </w:rPr>
        <w:t>Inventories</w:t>
      </w:r>
      <w:r w:rsidRPr="0062582F">
        <w:t>;</w:t>
      </w:r>
    </w:p>
    <w:p w:rsidR="004843DB" w:rsidRPr="0062582F" w:rsidRDefault="004843DB" w:rsidP="004843DB">
      <w:pPr>
        <w:pStyle w:val="CommentaryTextIndent"/>
        <w:pBdr>
          <w:top w:val="none" w:sz="0" w:space="0" w:color="auto"/>
        </w:pBdr>
        <w:spacing w:before="60"/>
      </w:pPr>
      <w:r w:rsidRPr="0062582F">
        <w:t>(f)</w:t>
      </w:r>
      <w:r w:rsidRPr="0062582F">
        <w:tab/>
        <w:t>the amount of any reversal of any write</w:t>
      </w:r>
      <w:r w:rsidR="005A4BB0">
        <w:noBreakHyphen/>
      </w:r>
      <w:r w:rsidRPr="0062582F">
        <w:t>down that is recognised as a reduction in the amount of inventories recognised as expense in the period in accordance with AASB 102.34;</w:t>
      </w:r>
    </w:p>
    <w:p w:rsidR="004843DB" w:rsidRPr="0062582F" w:rsidRDefault="004843DB" w:rsidP="004843DB">
      <w:pPr>
        <w:pStyle w:val="CommentaryTextIndent"/>
        <w:pBdr>
          <w:top w:val="none" w:sz="0" w:space="0" w:color="auto"/>
        </w:pBdr>
        <w:spacing w:before="60"/>
      </w:pPr>
      <w:r w:rsidRPr="0062582F">
        <w:t>(g)</w:t>
      </w:r>
      <w:r w:rsidRPr="0062582F">
        <w:tab/>
        <w:t>the circumstances or events that led to the reversal of a write</w:t>
      </w:r>
      <w:r w:rsidR="005A4BB0">
        <w:noBreakHyphen/>
      </w:r>
      <w:r w:rsidRPr="0062582F">
        <w:t>down of inventories held in accordance with AASB 102.34; and</w:t>
      </w:r>
    </w:p>
    <w:p w:rsidR="004843DB" w:rsidRPr="0062582F" w:rsidRDefault="004843DB" w:rsidP="004843DB">
      <w:pPr>
        <w:pStyle w:val="CommentaryTextIndent"/>
        <w:pBdr>
          <w:top w:val="none" w:sz="0" w:space="0" w:color="auto"/>
        </w:pBdr>
        <w:spacing w:before="60"/>
      </w:pPr>
      <w:r w:rsidRPr="0062582F">
        <w:t>(h)</w:t>
      </w:r>
      <w:r w:rsidRPr="0062582F">
        <w:tab/>
        <w:t>the carrying amount of inventories pledged as security for liabilities.</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Default="004843DB" w:rsidP="004843DB">
      <w:pPr>
        <w:pStyle w:val="Reference"/>
        <w:spacing w:before="200"/>
      </w:pPr>
    </w:p>
    <w:p w:rsidR="004843DB" w:rsidRPr="0062582F" w:rsidRDefault="004843DB" w:rsidP="004843DB">
      <w:pPr>
        <w:pStyle w:val="Reference"/>
        <w:spacing w:before="200"/>
      </w:pPr>
      <w:r w:rsidRPr="0062582F">
        <w:t>AASB 102.Aus36.1</w:t>
      </w:r>
    </w:p>
    <w:p w:rsidR="004843DB" w:rsidRDefault="004843DB" w:rsidP="004843DB">
      <w:pPr>
        <w:pStyle w:val="SmallLine"/>
      </w:pPr>
      <w:r w:rsidRPr="0062582F">
        <w:br w:type="column"/>
      </w:r>
    </w:p>
    <w:p w:rsidR="004843DB" w:rsidRPr="0062582F" w:rsidRDefault="004843DB" w:rsidP="004843DB">
      <w:pPr>
        <w:pStyle w:val="CommentaryHeading"/>
      </w:pPr>
      <w:r w:rsidRPr="0062582F">
        <w:t>Commentary – Inventories</w:t>
      </w:r>
      <w:r w:rsidRPr="00B34A53">
        <w:rPr>
          <w:i/>
        </w:rPr>
        <w:t xml:space="preserve"> (continued)</w:t>
      </w:r>
    </w:p>
    <w:p w:rsidR="004843DB" w:rsidRPr="0062582F" w:rsidRDefault="004843DB" w:rsidP="004843DB">
      <w:pPr>
        <w:pStyle w:val="CommentaryHeading1"/>
        <w:pBdr>
          <w:top w:val="none" w:sz="0" w:space="0" w:color="auto"/>
          <w:bottom w:val="none" w:sz="0" w:space="0" w:color="auto"/>
        </w:pBdr>
        <w:spacing w:before="100"/>
      </w:pPr>
      <w:r w:rsidRPr="0062582F">
        <w:t>Not</w:t>
      </w:r>
      <w:r w:rsidR="005A4BB0">
        <w:noBreakHyphen/>
      </w:r>
      <w:r w:rsidRPr="0062582F">
        <w:t>for</w:t>
      </w:r>
      <w:r w:rsidR="005A4BB0">
        <w:noBreakHyphen/>
      </w:r>
      <w:r w:rsidRPr="0062582F">
        <w:t>profit entities shall disclose:</w:t>
      </w:r>
    </w:p>
    <w:p w:rsidR="004843DB" w:rsidRPr="0062582F" w:rsidRDefault="004843DB" w:rsidP="004843DB">
      <w:pPr>
        <w:pStyle w:val="CommentaryTextIndent"/>
        <w:pBdr>
          <w:top w:val="none" w:sz="0" w:space="0" w:color="auto"/>
          <w:bottom w:val="none" w:sz="0" w:space="0" w:color="auto"/>
        </w:pBdr>
        <w:spacing w:before="60"/>
      </w:pPr>
      <w:r w:rsidRPr="0062582F">
        <w:t>(a)</w:t>
      </w:r>
      <w:r w:rsidRPr="0062582F">
        <w:tab/>
        <w:t>the accounting policies adopted in measuring inventories held for distribution, including the cost formula used;</w:t>
      </w:r>
    </w:p>
    <w:p w:rsidR="004843DB" w:rsidRPr="0062582F" w:rsidRDefault="004843DB" w:rsidP="004843DB">
      <w:pPr>
        <w:pStyle w:val="CommentaryTextIndent"/>
        <w:pBdr>
          <w:top w:val="none" w:sz="0" w:space="0" w:color="auto"/>
        </w:pBdr>
      </w:pPr>
      <w:r w:rsidRPr="0062582F">
        <w:t>(b)</w:t>
      </w:r>
      <w:r w:rsidRPr="0062582F">
        <w:tab/>
        <w:t>the total carrying amount of inventories held for distribution and the carrying amount in classifications appropriate to the entity;</w:t>
      </w:r>
    </w:p>
    <w:p w:rsidR="004843DB" w:rsidRPr="0062582F" w:rsidRDefault="004843DB" w:rsidP="004843DB">
      <w:pPr>
        <w:pStyle w:val="CommentaryTextIndent"/>
        <w:pBdr>
          <w:top w:val="none" w:sz="0" w:space="0" w:color="auto"/>
        </w:pBdr>
      </w:pPr>
      <w:r w:rsidRPr="0062582F">
        <w:t>(c)</w:t>
      </w:r>
      <w:r w:rsidRPr="0062582F">
        <w:tab/>
        <w:t>the amount of inventories held for distribution recognised as an expense during the period in accordance with AASB 102.Aus34.1;</w:t>
      </w:r>
    </w:p>
    <w:p w:rsidR="004843DB" w:rsidRPr="0062582F" w:rsidRDefault="004843DB" w:rsidP="004843DB">
      <w:pPr>
        <w:pStyle w:val="CommentaryTextIndent"/>
        <w:pBdr>
          <w:top w:val="none" w:sz="0" w:space="0" w:color="auto"/>
        </w:pBdr>
      </w:pPr>
      <w:r w:rsidRPr="0062582F">
        <w:t>(d)</w:t>
      </w:r>
      <w:r w:rsidRPr="0062582F">
        <w:tab/>
        <w:t>the amount of any write</w:t>
      </w:r>
      <w:r w:rsidR="005A4BB0">
        <w:noBreakHyphen/>
      </w:r>
      <w:r w:rsidRPr="0062582F">
        <w:t>down of inventories held for distribution recognised as an expense during the period in accordance with AASB 102.Aus34.1;</w:t>
      </w:r>
    </w:p>
    <w:p w:rsidR="004843DB" w:rsidRPr="0062582F" w:rsidRDefault="004843DB" w:rsidP="004843DB">
      <w:pPr>
        <w:pStyle w:val="CommentaryTextIndent"/>
        <w:pBdr>
          <w:top w:val="none" w:sz="0" w:space="0" w:color="auto"/>
        </w:pBdr>
      </w:pPr>
      <w:r w:rsidRPr="0062582F">
        <w:t>(e)</w:t>
      </w:r>
      <w:r w:rsidRPr="0062582F">
        <w:tab/>
        <w:t>the amount of any reversal of any write</w:t>
      </w:r>
      <w:r w:rsidR="005A4BB0">
        <w:noBreakHyphen/>
      </w:r>
      <w:r w:rsidRPr="0062582F">
        <w:t>down that is recognised as a reduction in the amount of inventories held for distribution recognised as an expense in the period in accordance with AASB 102.Aus34.1;</w:t>
      </w:r>
    </w:p>
    <w:p w:rsidR="004843DB" w:rsidRPr="0062582F" w:rsidRDefault="004843DB" w:rsidP="004843DB">
      <w:pPr>
        <w:pStyle w:val="CommentaryTextIndent"/>
        <w:pBdr>
          <w:top w:val="none" w:sz="0" w:space="0" w:color="auto"/>
        </w:pBdr>
      </w:pPr>
      <w:r w:rsidRPr="0062582F">
        <w:t>(f)</w:t>
      </w:r>
      <w:r w:rsidRPr="0062582F">
        <w:tab/>
        <w:t>the circumstances or event that led to the reversal of a write</w:t>
      </w:r>
      <w:r w:rsidR="005A4BB0">
        <w:noBreakHyphen/>
      </w:r>
      <w:r w:rsidRPr="0062582F">
        <w:t>down of inventories held for distribution in accordance with AASB 102.Aus34.1;</w:t>
      </w:r>
    </w:p>
    <w:p w:rsidR="004843DB" w:rsidRPr="0062582F" w:rsidRDefault="004843DB" w:rsidP="004843DB">
      <w:pPr>
        <w:pStyle w:val="CommentaryTextIndent"/>
        <w:pBdr>
          <w:top w:val="none" w:sz="0" w:space="0" w:color="auto"/>
        </w:pBdr>
      </w:pPr>
      <w:r w:rsidRPr="0062582F">
        <w:t>(g)</w:t>
      </w:r>
      <w:r w:rsidRPr="0062582F">
        <w:tab/>
        <w:t>the carrying amount of inventories held for distribution pledged as security for liabilities; and</w:t>
      </w:r>
    </w:p>
    <w:p w:rsidR="004843DB" w:rsidRPr="0062582F" w:rsidRDefault="004843DB" w:rsidP="004843DB">
      <w:pPr>
        <w:pStyle w:val="CommentaryTextIndent"/>
        <w:pBdr>
          <w:top w:val="none" w:sz="0" w:space="0" w:color="auto"/>
        </w:pBdr>
      </w:pPr>
      <w:r w:rsidRPr="0062582F">
        <w:t>(h)</w:t>
      </w:r>
      <w:r w:rsidRPr="0062582F">
        <w:tab/>
        <w:t>the basis on which any loss of service potential of inventories held for distribution is assessed, or the bases when more than one basis is used.</w:t>
      </w:r>
    </w:p>
    <w:p w:rsidR="004843DB" w:rsidRPr="0062582F" w:rsidRDefault="004843DB" w:rsidP="004843DB">
      <w:pPr>
        <w:pStyle w:val="Notes"/>
      </w:pPr>
    </w:p>
    <w:p w:rsidR="004843DB" w:rsidRPr="0062582F" w:rsidRDefault="004843DB" w:rsidP="004843DB"/>
    <w:p w:rsidR="004843DB" w:rsidRPr="0062582F" w:rsidRDefault="004843DB" w:rsidP="004843DB">
      <w:pPr>
        <w:pStyle w:val="NoteHeading"/>
      </w:pPr>
      <w:bookmarkStart w:id="444" w:name="_Toc162327201"/>
      <w:bookmarkStart w:id="445" w:name="_Toc162327928"/>
      <w:bookmarkStart w:id="446" w:name="_Toc192562742"/>
      <w:bookmarkStart w:id="447" w:name="_Toc332019475"/>
      <w:bookmarkStart w:id="448" w:name="_Toc366843362"/>
      <w:bookmarkStart w:id="449" w:name="_Toc448157196"/>
      <w:r w:rsidRPr="0062582F">
        <w:t>Note 17.</w:t>
      </w:r>
      <w:r w:rsidRPr="0062582F">
        <w:tab/>
        <w:t>Property, plant and equipment</w:t>
      </w:r>
      <w:bookmarkEnd w:id="444"/>
      <w:bookmarkEnd w:id="445"/>
      <w:bookmarkEnd w:id="446"/>
      <w:bookmarkEnd w:id="447"/>
      <w:bookmarkEnd w:id="448"/>
      <w:bookmarkEnd w:id="449"/>
      <w:r w:rsidRPr="0062582F">
        <w:t xml:space="preserve"> </w:t>
      </w:r>
    </w:p>
    <w:p w:rsidR="004843DB" w:rsidRPr="0062582F" w:rsidRDefault="004843DB" w:rsidP="00E348C3">
      <w:pPr>
        <w:pStyle w:val="Tableheading"/>
      </w:pPr>
      <w:r w:rsidRPr="0062582F">
        <w:t>Table 17.1:</w:t>
      </w:r>
      <w:r w:rsidRPr="0062582F">
        <w:tab/>
        <w:t xml:space="preserve">Classification by </w:t>
      </w:r>
      <w:r w:rsidR="005A4BB0">
        <w:t>‘</w:t>
      </w:r>
      <w:r w:rsidRPr="0062582F">
        <w:t>purpose groups</w:t>
      </w:r>
      <w:r w:rsidR="005A4BB0">
        <w:t>’</w:t>
      </w:r>
      <w:r w:rsidRPr="0062582F">
        <w:t xml:space="preserve"> – carrying amounts</w:t>
      </w:r>
      <w:r w:rsidRPr="0062582F">
        <w:rPr>
          <w:vertAlign w:val="superscript"/>
        </w:rPr>
        <w:t>(i)</w:t>
      </w:r>
    </w:p>
    <w:p w:rsidR="004843DB" w:rsidRPr="0062582F" w:rsidRDefault="004843DB" w:rsidP="004843DB">
      <w:pPr>
        <w:pStyle w:val="million"/>
        <w:sectPr w:rsidR="004843DB" w:rsidRPr="0062582F" w:rsidSect="004843DB">
          <w:headerReference w:type="even" r:id="rId280"/>
          <w:headerReference w:type="first" r:id="rId281"/>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pPr>
      <w:r w:rsidRPr="0062582F">
        <w:t>FRD 103F</w:t>
      </w:r>
    </w:p>
    <w:p w:rsidR="004843DB" w:rsidRPr="0062582F" w:rsidRDefault="004843DB" w:rsidP="004843DB">
      <w:pPr>
        <w:pStyle w:val="million"/>
        <w:rPr>
          <w:rFonts w:ascii="Tahoma" w:hAnsi="Tahoma" w:cs="Tahoma"/>
          <w:sz w:val="20"/>
        </w:rPr>
      </w:pPr>
      <w:r w:rsidRPr="0062582F">
        <w:br w:type="column"/>
        <w:t>($ thousand)</w:t>
      </w:r>
    </w:p>
    <w:tbl>
      <w:tblPr>
        <w:tblW w:w="8168" w:type="dxa"/>
        <w:tblLayout w:type="fixed"/>
        <w:tblCellMar>
          <w:left w:w="43" w:type="dxa"/>
          <w:right w:w="43" w:type="dxa"/>
        </w:tblCellMar>
        <w:tblLook w:val="04A0" w:firstRow="1" w:lastRow="0" w:firstColumn="1" w:lastColumn="0" w:noHBand="0" w:noVBand="1"/>
      </w:tblPr>
      <w:tblGrid>
        <w:gridCol w:w="2923"/>
        <w:gridCol w:w="992"/>
        <w:gridCol w:w="993"/>
        <w:gridCol w:w="708"/>
        <w:gridCol w:w="709"/>
        <w:gridCol w:w="851"/>
        <w:gridCol w:w="992"/>
      </w:tblGrid>
      <w:tr w:rsidR="004843DB" w:rsidRPr="0062582F" w:rsidTr="004843DB">
        <w:trPr>
          <w:cantSplit/>
        </w:trPr>
        <w:tc>
          <w:tcPr>
            <w:tcW w:w="2923" w:type="dxa"/>
            <w:tcBorders>
              <w:top w:val="single" w:sz="6" w:space="0" w:color="auto"/>
              <w:left w:val="nil"/>
            </w:tcBorders>
            <w:shd w:val="clear" w:color="auto" w:fill="auto"/>
            <w:hideMark/>
          </w:tcPr>
          <w:p w:rsidR="004843DB" w:rsidRPr="0062582F" w:rsidRDefault="004843DB" w:rsidP="004843DB">
            <w:pPr>
              <w:pStyle w:val="TabletextheadingCentred"/>
            </w:pPr>
            <w:r w:rsidRPr="0062582F">
              <w:t xml:space="preserve"> </w:t>
            </w:r>
          </w:p>
        </w:tc>
        <w:tc>
          <w:tcPr>
            <w:tcW w:w="1985" w:type="dxa"/>
            <w:gridSpan w:val="2"/>
            <w:tcBorders>
              <w:top w:val="single" w:sz="6" w:space="0" w:color="auto"/>
              <w:bottom w:val="single" w:sz="6" w:space="0" w:color="auto"/>
            </w:tcBorders>
            <w:shd w:val="clear" w:color="auto" w:fill="auto"/>
            <w:noWrap/>
            <w:hideMark/>
          </w:tcPr>
          <w:p w:rsidR="004843DB" w:rsidRPr="0062582F" w:rsidRDefault="004843DB" w:rsidP="004843DB">
            <w:pPr>
              <w:pStyle w:val="TabletextheadingCentred"/>
            </w:pPr>
            <w:r w:rsidRPr="0062582F">
              <w:br/>
              <w:t>Public Administration</w:t>
            </w:r>
          </w:p>
        </w:tc>
        <w:tc>
          <w:tcPr>
            <w:tcW w:w="1417" w:type="dxa"/>
            <w:gridSpan w:val="2"/>
            <w:tcBorders>
              <w:top w:val="single" w:sz="6" w:space="0" w:color="auto"/>
              <w:bottom w:val="single" w:sz="6" w:space="0" w:color="auto"/>
            </w:tcBorders>
            <w:shd w:val="clear" w:color="auto" w:fill="auto"/>
            <w:noWrap/>
            <w:hideMark/>
          </w:tcPr>
          <w:p w:rsidR="004843DB" w:rsidRPr="0062582F" w:rsidRDefault="004843DB" w:rsidP="004843DB">
            <w:pPr>
              <w:pStyle w:val="TabletextheadingCentred"/>
            </w:pPr>
            <w:r w:rsidRPr="0062582F">
              <w:t>Public safety and environment</w:t>
            </w:r>
          </w:p>
        </w:tc>
        <w:tc>
          <w:tcPr>
            <w:tcW w:w="1843" w:type="dxa"/>
            <w:gridSpan w:val="2"/>
            <w:tcBorders>
              <w:top w:val="single" w:sz="6" w:space="0" w:color="auto"/>
              <w:bottom w:val="single" w:sz="6" w:space="0" w:color="auto"/>
            </w:tcBorders>
            <w:shd w:val="clear" w:color="auto" w:fill="auto"/>
            <w:noWrap/>
            <w:hideMark/>
          </w:tcPr>
          <w:p w:rsidR="004843DB" w:rsidRPr="0062582F" w:rsidRDefault="004843DB" w:rsidP="004843DB">
            <w:pPr>
              <w:pStyle w:val="TabletextheadingCentred"/>
            </w:pPr>
            <w:r w:rsidRPr="0062582F">
              <w:br/>
              <w:t>Total</w:t>
            </w:r>
          </w:p>
        </w:tc>
      </w:tr>
      <w:tr w:rsidR="004843DB" w:rsidRPr="0062582F" w:rsidTr="004843DB">
        <w:trPr>
          <w:cantSplit/>
        </w:trPr>
        <w:tc>
          <w:tcPr>
            <w:tcW w:w="2923" w:type="dxa"/>
            <w:tcBorders>
              <w:left w:val="nil"/>
              <w:bottom w:val="single" w:sz="6" w:space="0" w:color="auto"/>
              <w:right w:val="nil"/>
            </w:tcBorders>
            <w:shd w:val="clear" w:color="auto" w:fill="auto"/>
            <w:vAlign w:val="bottom"/>
            <w:hideMark/>
          </w:tcPr>
          <w:p w:rsidR="004843DB" w:rsidRPr="0062582F" w:rsidRDefault="004843DB" w:rsidP="004843DB">
            <w:pPr>
              <w:pStyle w:val="TabletextheadingLeft"/>
            </w:pPr>
            <w:r w:rsidRPr="0062582F">
              <w:t>Table disclosure reference</w:t>
            </w:r>
          </w:p>
        </w:tc>
        <w:tc>
          <w:tcPr>
            <w:tcW w:w="1985" w:type="dxa"/>
            <w:gridSpan w:val="2"/>
            <w:tcBorders>
              <w:top w:val="single" w:sz="6" w:space="0" w:color="auto"/>
              <w:left w:val="nil"/>
              <w:bottom w:val="single" w:sz="6" w:space="0" w:color="auto"/>
              <w:right w:val="nil"/>
            </w:tcBorders>
            <w:shd w:val="clear" w:color="auto" w:fill="auto"/>
            <w:noWrap/>
            <w:vAlign w:val="bottom"/>
            <w:hideMark/>
          </w:tcPr>
          <w:p w:rsidR="004843DB" w:rsidRPr="0062582F" w:rsidRDefault="004843DB" w:rsidP="004843DB">
            <w:pPr>
              <w:pStyle w:val="TabletextheadingCentred"/>
            </w:pPr>
            <w:r w:rsidRPr="0062582F">
              <w:t>Table 17.3</w:t>
            </w:r>
          </w:p>
        </w:tc>
        <w:tc>
          <w:tcPr>
            <w:tcW w:w="1417" w:type="dxa"/>
            <w:gridSpan w:val="2"/>
            <w:tcBorders>
              <w:top w:val="single" w:sz="6" w:space="0" w:color="auto"/>
              <w:left w:val="nil"/>
              <w:bottom w:val="single" w:sz="6" w:space="0" w:color="auto"/>
              <w:right w:val="nil"/>
            </w:tcBorders>
            <w:shd w:val="clear" w:color="auto" w:fill="auto"/>
            <w:noWrap/>
            <w:vAlign w:val="bottom"/>
            <w:hideMark/>
          </w:tcPr>
          <w:p w:rsidR="004843DB" w:rsidRPr="0062582F" w:rsidRDefault="004843DB" w:rsidP="004843DB">
            <w:pPr>
              <w:pStyle w:val="TabletextheadingCentred"/>
            </w:pPr>
            <w:r w:rsidRPr="0062582F">
              <w:t>Table 17.4</w:t>
            </w:r>
          </w:p>
        </w:tc>
        <w:tc>
          <w:tcPr>
            <w:tcW w:w="851"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Centred"/>
            </w:pPr>
            <w:r w:rsidRPr="0062582F">
              <w:t xml:space="preserve"> </w:t>
            </w:r>
          </w:p>
        </w:tc>
        <w:tc>
          <w:tcPr>
            <w:tcW w:w="992"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Centred"/>
            </w:pPr>
            <w:r w:rsidRPr="0062582F">
              <w:t xml:space="preserve"> </w:t>
            </w:r>
          </w:p>
        </w:tc>
      </w:tr>
      <w:tr w:rsidR="004843DB" w:rsidRPr="0062582F" w:rsidTr="004843DB">
        <w:trPr>
          <w:cantSplit/>
        </w:trPr>
        <w:tc>
          <w:tcPr>
            <w:tcW w:w="2923"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
            </w:pPr>
            <w:r w:rsidRPr="0062582F">
              <w:t xml:space="preserve"> </w:t>
            </w:r>
          </w:p>
        </w:tc>
        <w:tc>
          <w:tcPr>
            <w:tcW w:w="992"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993"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708"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709"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992"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2923" w:type="dxa"/>
            <w:tcBorders>
              <w:top w:val="single" w:sz="6" w:space="0" w:color="auto"/>
              <w:left w:val="nil"/>
              <w:bottom w:val="nil"/>
              <w:right w:val="nil"/>
            </w:tcBorders>
            <w:shd w:val="clear" w:color="auto" w:fill="auto"/>
            <w:hideMark/>
          </w:tcPr>
          <w:p w:rsidR="004843DB" w:rsidRPr="0062582F" w:rsidRDefault="004843DB" w:rsidP="004843DB">
            <w:pPr>
              <w:pStyle w:val="Tabletext"/>
            </w:pPr>
            <w:r w:rsidRPr="0062582F">
              <w:t>Nature based classification</w:t>
            </w:r>
          </w:p>
        </w:tc>
        <w:tc>
          <w:tcPr>
            <w:tcW w:w="992"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993"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708"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709"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851"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992"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Land at fair value </w:t>
            </w:r>
            <w:r w:rsidRPr="0062582F">
              <w:rPr>
                <w:vertAlign w:val="superscript"/>
              </w:rPr>
              <w:t>(ii)</w:t>
            </w:r>
          </w:p>
        </w:tc>
        <w:tc>
          <w:tcPr>
            <w:tcW w:w="99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2 014</w:t>
            </w:r>
          </w:p>
        </w:tc>
        <w:tc>
          <w:tcPr>
            <w:tcW w:w="99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1 830</w:t>
            </w:r>
          </w:p>
        </w:tc>
        <w:tc>
          <w:tcPr>
            <w:tcW w:w="70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2 548</w:t>
            </w:r>
          </w:p>
        </w:tc>
        <w:tc>
          <w:tcPr>
            <w:tcW w:w="70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1 691</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4 562</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3 521</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Buildings at fair value</w:t>
            </w:r>
          </w:p>
        </w:tc>
        <w:tc>
          <w:tcPr>
            <w:tcW w:w="99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19 124</w:t>
            </w:r>
          </w:p>
        </w:tc>
        <w:tc>
          <w:tcPr>
            <w:tcW w:w="99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14 841</w:t>
            </w:r>
          </w:p>
        </w:tc>
        <w:tc>
          <w:tcPr>
            <w:tcW w:w="70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4 064</w:t>
            </w:r>
          </w:p>
        </w:tc>
        <w:tc>
          <w:tcPr>
            <w:tcW w:w="70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4 389</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23 188</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19 230</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Plant, equipment and vehicles at fair value</w:t>
            </w:r>
          </w:p>
        </w:tc>
        <w:tc>
          <w:tcPr>
            <w:tcW w:w="99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26 793</w:t>
            </w:r>
          </w:p>
        </w:tc>
        <w:tc>
          <w:tcPr>
            <w:tcW w:w="99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24 678</w:t>
            </w:r>
          </w:p>
        </w:tc>
        <w:tc>
          <w:tcPr>
            <w:tcW w:w="70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21 082</w:t>
            </w:r>
          </w:p>
        </w:tc>
        <w:tc>
          <w:tcPr>
            <w:tcW w:w="70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18 431</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47 876</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43 109</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Assets under construction at cost</w:t>
            </w:r>
          </w:p>
        </w:tc>
        <w:tc>
          <w:tcPr>
            <w:tcW w:w="99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667</w:t>
            </w:r>
          </w:p>
        </w:tc>
        <w:tc>
          <w:tcPr>
            <w:tcW w:w="99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627</w:t>
            </w:r>
          </w:p>
        </w:tc>
        <w:tc>
          <w:tcPr>
            <w:tcW w:w="70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46</w:t>
            </w:r>
          </w:p>
        </w:tc>
        <w:tc>
          <w:tcPr>
            <w:tcW w:w="70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397</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713</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1 023</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Infrastructure at fair value </w:t>
            </w:r>
            <w:r w:rsidRPr="0062582F">
              <w:rPr>
                <w:vertAlign w:val="superscript"/>
              </w:rPr>
              <w:t>(iii)</w:t>
            </w:r>
          </w:p>
        </w:tc>
        <w:tc>
          <w:tcPr>
            <w:tcW w:w="99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170</w:t>
            </w:r>
          </w:p>
        </w:tc>
        <w:tc>
          <w:tcPr>
            <w:tcW w:w="99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2 223</w:t>
            </w:r>
          </w:p>
        </w:tc>
        <w:tc>
          <w:tcPr>
            <w:tcW w:w="70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1 514</w:t>
            </w:r>
          </w:p>
        </w:tc>
        <w:tc>
          <w:tcPr>
            <w:tcW w:w="70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2 708</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1 685</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4 931</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Road, infrastructure and earthworks at fair value</w:t>
            </w:r>
          </w:p>
        </w:tc>
        <w:tc>
          <w:tcPr>
            <w:tcW w:w="99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608</w:t>
            </w:r>
          </w:p>
        </w:tc>
        <w:tc>
          <w:tcPr>
            <w:tcW w:w="99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2 454</w:t>
            </w:r>
          </w:p>
        </w:tc>
        <w:tc>
          <w:tcPr>
            <w:tcW w:w="70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1 649</w:t>
            </w:r>
          </w:p>
        </w:tc>
        <w:tc>
          <w:tcPr>
            <w:tcW w:w="70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2 539</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2 257</w:t>
            </w:r>
          </w:p>
        </w:tc>
        <w:tc>
          <w:tcPr>
            <w:tcW w:w="99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4 993</w:t>
            </w:r>
          </w:p>
        </w:tc>
      </w:tr>
      <w:tr w:rsidR="004843DB" w:rsidRPr="0062582F" w:rsidTr="004843DB">
        <w:trPr>
          <w:cantSplit/>
        </w:trPr>
        <w:tc>
          <w:tcPr>
            <w:tcW w:w="292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Cultural assets at fair value</w:t>
            </w:r>
          </w:p>
        </w:tc>
        <w:tc>
          <w:tcPr>
            <w:tcW w:w="992"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2 764</w:t>
            </w:r>
          </w:p>
        </w:tc>
        <w:tc>
          <w:tcPr>
            <w:tcW w:w="993"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708"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70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2 764</w:t>
            </w:r>
          </w:p>
        </w:tc>
        <w:tc>
          <w:tcPr>
            <w:tcW w:w="99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292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Net carrying amount of property, plant and equipment (PPE)</w:t>
            </w:r>
          </w:p>
        </w:tc>
        <w:tc>
          <w:tcPr>
            <w:tcW w:w="992"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52 141</w:t>
            </w:r>
          </w:p>
        </w:tc>
        <w:tc>
          <w:tcPr>
            <w:tcW w:w="993"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46 652</w:t>
            </w:r>
          </w:p>
        </w:tc>
        <w:tc>
          <w:tcPr>
            <w:tcW w:w="708"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30 903</w:t>
            </w:r>
          </w:p>
        </w:tc>
        <w:tc>
          <w:tcPr>
            <w:tcW w:w="709"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30 155</w:t>
            </w:r>
          </w:p>
        </w:tc>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83 044</w:t>
            </w:r>
          </w:p>
        </w:tc>
        <w:tc>
          <w:tcPr>
            <w:tcW w:w="992"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76 807</w:t>
            </w:r>
          </w:p>
        </w:tc>
      </w:tr>
    </w:tbl>
    <w:p w:rsidR="004843DB" w:rsidRPr="0062582F" w:rsidRDefault="004843DB" w:rsidP="004843DB">
      <w:pPr>
        <w:pStyle w:val="Notes"/>
      </w:pPr>
      <w:r w:rsidRPr="0062582F">
        <w:t>Notes:</w:t>
      </w:r>
    </w:p>
    <w:p w:rsidR="004843DB" w:rsidRPr="0062582F" w:rsidRDefault="004843DB" w:rsidP="004843DB">
      <w:pPr>
        <w:pStyle w:val="Notes"/>
      </w:pPr>
      <w:r w:rsidRPr="0062582F">
        <w:t>(i)</w:t>
      </w:r>
      <w:r w:rsidRPr="0062582F">
        <w:tab/>
        <w:t xml:space="preserve">Property, plant and equipment are classified primarily by the </w:t>
      </w:r>
      <w:r w:rsidR="005A4BB0">
        <w:t>‘</w:t>
      </w:r>
      <w:r w:rsidRPr="0062582F">
        <w:t>purpose</w:t>
      </w:r>
      <w:r w:rsidR="005A4BB0">
        <w:t>’</w:t>
      </w:r>
      <w:r w:rsidRPr="0062582F">
        <w:t xml:space="preserve"> for which the assets are used, according to one of six purpose groups based upon government purpose classifications. All assets in a purpose group are further sub categorised according to the asset</w:t>
      </w:r>
      <w:r w:rsidR="005A4BB0">
        <w:t>’</w:t>
      </w:r>
      <w:r w:rsidRPr="0062582F">
        <w:t xml:space="preserve">s </w:t>
      </w:r>
      <w:r w:rsidR="005A4BB0">
        <w:t>‘</w:t>
      </w:r>
      <w:r w:rsidRPr="0062582F">
        <w:t>nature</w:t>
      </w:r>
      <w:r w:rsidR="005A4BB0">
        <w:t>’</w:t>
      </w:r>
      <w:r w:rsidRPr="0062582F">
        <w:t xml:space="preserve"> (i.e. buildings, plant etc.), with each sub category being classified as a separate class of asset for financial reporting purposes.</w:t>
      </w:r>
    </w:p>
    <w:p w:rsidR="004843DB" w:rsidRPr="0062582F" w:rsidRDefault="004843DB" w:rsidP="004843DB">
      <w:pPr>
        <w:pStyle w:val="Notes"/>
        <w:rPr>
          <w:color w:val="0000FF"/>
        </w:rPr>
      </w:pPr>
      <w:r w:rsidRPr="00B35985">
        <w:rPr>
          <w:color w:val="0000FF"/>
        </w:rPr>
        <w:t>(ii)</w:t>
      </w:r>
      <w:r w:rsidRPr="0062582F">
        <w:tab/>
      </w:r>
      <w:r w:rsidRPr="0062582F">
        <w:rPr>
          <w:color w:val="0000FF"/>
        </w:rPr>
        <w:t xml:space="preserve">[If any entity has significant Crown land holdings, these holdings are to be disclosed separately in the Property, plant and equipment table </w:t>
      </w:r>
      <w:r w:rsidR="005A4BB0">
        <w:rPr>
          <w:color w:val="0000FF"/>
        </w:rPr>
        <w:t>‘</w:t>
      </w:r>
      <w:r w:rsidRPr="0062582F">
        <w:rPr>
          <w:color w:val="0000FF"/>
        </w:rPr>
        <w:t>Land at fair value</w:t>
      </w:r>
      <w:r w:rsidR="005A4BB0">
        <w:rPr>
          <w:color w:val="0000FF"/>
        </w:rPr>
        <w:t>’</w:t>
      </w:r>
      <w:r w:rsidRPr="0062582F">
        <w:rPr>
          <w:color w:val="0000FF"/>
        </w:rPr>
        <w:t xml:space="preserve"> as </w:t>
      </w:r>
      <w:r w:rsidR="005A4BB0">
        <w:rPr>
          <w:color w:val="0000FF"/>
        </w:rPr>
        <w:t>‘</w:t>
      </w:r>
      <w:r w:rsidRPr="0062582F">
        <w:rPr>
          <w:color w:val="0000FF"/>
        </w:rPr>
        <w:t>Crown land – National and State parks at fair value</w:t>
      </w:r>
      <w:r w:rsidR="005A4BB0">
        <w:rPr>
          <w:color w:val="0000FF"/>
        </w:rPr>
        <w:t>’</w:t>
      </w:r>
      <w:r w:rsidRPr="0062582F">
        <w:rPr>
          <w:color w:val="0000FF"/>
        </w:rPr>
        <w:t xml:space="preserve">, </w:t>
      </w:r>
      <w:r w:rsidR="005A4BB0">
        <w:rPr>
          <w:color w:val="0000FF"/>
        </w:rPr>
        <w:t>‘</w:t>
      </w:r>
      <w:r w:rsidRPr="0062582F">
        <w:rPr>
          <w:color w:val="0000FF"/>
        </w:rPr>
        <w:t>Crown land – other at fair value</w:t>
      </w:r>
      <w:r w:rsidR="005A4BB0">
        <w:rPr>
          <w:color w:val="0000FF"/>
        </w:rPr>
        <w:t>’</w:t>
      </w:r>
      <w:r w:rsidRPr="0062582F">
        <w:rPr>
          <w:color w:val="0000FF"/>
        </w:rPr>
        <w:t xml:space="preserve">, and </w:t>
      </w:r>
      <w:r w:rsidR="005A4BB0">
        <w:rPr>
          <w:color w:val="0000FF"/>
        </w:rPr>
        <w:t>‘</w:t>
      </w:r>
      <w:r w:rsidRPr="0062582F">
        <w:rPr>
          <w:color w:val="0000FF"/>
        </w:rPr>
        <w:t>Freehold land at fair value</w:t>
      </w:r>
      <w:r w:rsidR="005A4BB0">
        <w:rPr>
          <w:color w:val="0000FF"/>
        </w:rPr>
        <w:t>’</w:t>
      </w:r>
      <w:r w:rsidRPr="0062582F">
        <w:rPr>
          <w:color w:val="0000FF"/>
        </w:rPr>
        <w:t>. In addition, if any entity has significant land under roads, i.e. significant in value and/or difference of methodology applied, it should be disclosed separately from land].</w:t>
      </w:r>
    </w:p>
    <w:p w:rsidR="004843DB" w:rsidRPr="0062582F" w:rsidRDefault="004843DB" w:rsidP="004843DB">
      <w:pPr>
        <w:pStyle w:val="Notes"/>
        <w:rPr>
          <w:color w:val="0000FF"/>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t>Recommendation 12, PAEC Report 115</w:t>
      </w:r>
    </w:p>
    <w:p w:rsidR="004843DB" w:rsidRPr="0062582F" w:rsidRDefault="004843DB" w:rsidP="004843DB">
      <w:pPr>
        <w:pStyle w:val="Notes"/>
        <w:rPr>
          <w:i w:val="0"/>
          <w:iCs w:val="0"/>
          <w:sz w:val="22"/>
          <w:szCs w:val="22"/>
        </w:rPr>
      </w:pPr>
      <w:r w:rsidRPr="0062582F">
        <w:rPr>
          <w:color w:val="0000FF"/>
        </w:rPr>
        <w:br w:type="column"/>
      </w:r>
      <w:r w:rsidRPr="0062582F">
        <w:t xml:space="preserve">(iii) </w:t>
      </w:r>
      <w:r w:rsidRPr="0062582F">
        <w:tab/>
        <w:t xml:space="preserve">Of the balance in </w:t>
      </w:r>
      <w:r w:rsidR="005A4BB0">
        <w:t>‘</w:t>
      </w:r>
      <w:r w:rsidRPr="0062582F">
        <w:t>infrastructure at fair value</w:t>
      </w:r>
      <w:r w:rsidR="005A4BB0">
        <w:t>’</w:t>
      </w:r>
      <w:r w:rsidRPr="0062582F">
        <w:t>, $XXX [$xxx in 2015] is attributable to assets contracted under PPP arrangements.</w:t>
      </w:r>
      <w:r>
        <w:t xml:space="preserve"> </w:t>
      </w:r>
    </w:p>
    <w:p w:rsidR="004843DB" w:rsidRPr="0062582F" w:rsidRDefault="004843DB" w:rsidP="004843DB">
      <w:pPr>
        <w:pStyle w:val="Notes"/>
        <w:rPr>
          <w:i w:val="0"/>
          <w:iCs w:val="0"/>
          <w:sz w:val="22"/>
          <w:szCs w:val="22"/>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p>
    <w:p w:rsidR="004843DB" w:rsidRPr="0062582F" w:rsidRDefault="004843DB" w:rsidP="004843DB">
      <w:pPr>
        <w:pStyle w:val="Reference"/>
        <w:spacing w:before="240"/>
        <w:rPr>
          <w:lang w:val="en-AU"/>
        </w:rPr>
      </w:pPr>
      <w:r w:rsidRPr="0062582F">
        <w:t>AASB </w:t>
      </w:r>
      <w:r w:rsidRPr="0062582F">
        <w:rPr>
          <w:lang w:val="en-AU"/>
        </w:rPr>
        <w:t>116.73(d)</w:t>
      </w:r>
    </w:p>
    <w:p w:rsidR="004843DB" w:rsidRPr="0062582F" w:rsidRDefault="004843DB" w:rsidP="004843DB">
      <w:pPr>
        <w:pStyle w:val="NoteHeadingcontinued"/>
      </w:pPr>
      <w:r>
        <w:br w:type="column"/>
        <w:t>Note 17.</w:t>
      </w:r>
      <w:r>
        <w:tab/>
      </w:r>
      <w:r w:rsidRPr="0062582F">
        <w:t xml:space="preserve">Property, plant and equipment </w:t>
      </w:r>
      <w:r w:rsidRPr="0062582F">
        <w:rPr>
          <w:i/>
        </w:rPr>
        <w:t>(continued)</w:t>
      </w:r>
    </w:p>
    <w:p w:rsidR="004843DB" w:rsidRPr="0062582F" w:rsidRDefault="004843DB" w:rsidP="00E348C3">
      <w:pPr>
        <w:pStyle w:val="Tableheading"/>
      </w:pPr>
      <w:r w:rsidRPr="0062582F">
        <w:t>Table 17.2:</w:t>
      </w:r>
      <w:r w:rsidRPr="0062582F">
        <w:tab/>
        <w:t>Gross carrying amount and accumulated depreciation</w:t>
      </w:r>
    </w:p>
    <w:p w:rsidR="004843DB" w:rsidRPr="0062582F" w:rsidRDefault="004843DB" w:rsidP="004843DB">
      <w:pPr>
        <w:pStyle w:val="million"/>
        <w:rPr>
          <w:rFonts w:ascii="Tahoma" w:hAnsi="Tahoma" w:cs="Tahoma"/>
          <w:sz w:val="20"/>
        </w:rPr>
      </w:pPr>
      <w:r w:rsidRPr="0062582F">
        <w:t>($ thousand)</w:t>
      </w:r>
    </w:p>
    <w:tbl>
      <w:tblPr>
        <w:tblW w:w="8203" w:type="dxa"/>
        <w:tblLayout w:type="fixed"/>
        <w:tblCellMar>
          <w:left w:w="43" w:type="dxa"/>
          <w:right w:w="43" w:type="dxa"/>
        </w:tblCellMar>
        <w:tblLook w:val="04A0" w:firstRow="1" w:lastRow="0" w:firstColumn="1" w:lastColumn="0" w:noHBand="0" w:noVBand="1"/>
      </w:tblPr>
      <w:tblGrid>
        <w:gridCol w:w="2923"/>
        <w:gridCol w:w="880"/>
        <w:gridCol w:w="880"/>
        <w:gridCol w:w="880"/>
        <w:gridCol w:w="880"/>
        <w:gridCol w:w="880"/>
        <w:gridCol w:w="880"/>
      </w:tblGrid>
      <w:tr w:rsidR="004843DB" w:rsidRPr="0062582F" w:rsidTr="004843DB">
        <w:trPr>
          <w:cantSplit/>
        </w:trPr>
        <w:tc>
          <w:tcPr>
            <w:tcW w:w="2923" w:type="dxa"/>
            <w:tcBorders>
              <w:top w:val="single" w:sz="4" w:space="0" w:color="auto"/>
              <w:left w:val="nil"/>
              <w:bottom w:val="nil"/>
              <w:right w:val="nil"/>
            </w:tcBorders>
            <w:shd w:val="clear" w:color="auto" w:fill="auto"/>
            <w:noWrap/>
            <w:hideMark/>
          </w:tcPr>
          <w:p w:rsidR="004843DB" w:rsidRPr="0062582F" w:rsidRDefault="004843DB" w:rsidP="004843DB">
            <w:pPr>
              <w:pStyle w:val="Tabletext"/>
            </w:pPr>
            <w:r w:rsidRPr="0062582F">
              <w:t xml:space="preserve"> </w:t>
            </w:r>
          </w:p>
        </w:tc>
        <w:tc>
          <w:tcPr>
            <w:tcW w:w="1760"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 xml:space="preserve">Gross carrying </w:t>
            </w:r>
            <w:r w:rsidRPr="0062582F">
              <w:br/>
              <w:t>amount</w:t>
            </w:r>
          </w:p>
        </w:tc>
        <w:tc>
          <w:tcPr>
            <w:tcW w:w="1760"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Accumulated depreciation</w:t>
            </w:r>
          </w:p>
        </w:tc>
        <w:tc>
          <w:tcPr>
            <w:tcW w:w="1760"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Net carrying</w:t>
            </w:r>
            <w:r w:rsidRPr="0062582F">
              <w:br/>
              <w:t>amount</w:t>
            </w:r>
          </w:p>
        </w:tc>
      </w:tr>
      <w:tr w:rsidR="004843DB" w:rsidRPr="0062582F" w:rsidTr="004843DB">
        <w:trPr>
          <w:cantSplit/>
        </w:trPr>
        <w:tc>
          <w:tcPr>
            <w:tcW w:w="2923"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880" w:type="dxa"/>
            <w:tcBorders>
              <w:top w:val="nil"/>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880"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880" w:type="dxa"/>
            <w:tcBorders>
              <w:top w:val="nil"/>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880"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880" w:type="dxa"/>
            <w:tcBorders>
              <w:top w:val="nil"/>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880"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Land at fair value</w:t>
            </w:r>
            <w:r w:rsidRPr="0062582F">
              <w:rPr>
                <w:vertAlign w:val="superscript"/>
              </w:rPr>
              <w:t xml:space="preserve"> (i)</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4 562</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3 521</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4 562</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3 521</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Buildings at fair value</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23 188</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19 446</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( 217)</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23 188</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19 230</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Plant, equipment and vehicles at fair value</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47 876</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59 793</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(16 684)</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47 876</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43 109</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Assets under construction at cost</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713</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1 023</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713</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1 023</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Infrastructure at fair value</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6 564</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5 099</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(4 879)</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(168)</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1 685</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4 931</w:t>
            </w:r>
          </w:p>
        </w:tc>
      </w:tr>
      <w:tr w:rsidR="004843DB" w:rsidRPr="0062582F" w:rsidTr="004843DB">
        <w:trPr>
          <w:cantSplit/>
        </w:trPr>
        <w:tc>
          <w:tcPr>
            <w:tcW w:w="2923" w:type="dxa"/>
            <w:tcBorders>
              <w:top w:val="nil"/>
              <w:left w:val="nil"/>
              <w:bottom w:val="nil"/>
              <w:right w:val="nil"/>
            </w:tcBorders>
            <w:shd w:val="clear" w:color="auto" w:fill="auto"/>
            <w:hideMark/>
          </w:tcPr>
          <w:p w:rsidR="004843DB" w:rsidRPr="0062582F" w:rsidRDefault="004843DB" w:rsidP="004843DB">
            <w:pPr>
              <w:pStyle w:val="Tabletext"/>
            </w:pPr>
            <w:r w:rsidRPr="0062582F">
              <w:t>Road, infrastructure and earthworks at fair value</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2 897</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5 005</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(640)</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(12)</w:t>
            </w:r>
          </w:p>
        </w:tc>
        <w:tc>
          <w:tcPr>
            <w:tcW w:w="8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2 257</w:t>
            </w:r>
          </w:p>
        </w:tc>
        <w:tc>
          <w:tcPr>
            <w:tcW w:w="8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4 993</w:t>
            </w:r>
          </w:p>
        </w:tc>
      </w:tr>
      <w:tr w:rsidR="004843DB" w:rsidRPr="0062582F" w:rsidTr="004843DB">
        <w:trPr>
          <w:cantSplit/>
        </w:trPr>
        <w:tc>
          <w:tcPr>
            <w:tcW w:w="292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Cultural assets at fair value</w:t>
            </w:r>
          </w:p>
        </w:tc>
        <w:tc>
          <w:tcPr>
            <w:tcW w:w="8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2 764</w:t>
            </w:r>
          </w:p>
        </w:tc>
        <w:tc>
          <w:tcPr>
            <w:tcW w:w="88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8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88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8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2 764</w:t>
            </w:r>
          </w:p>
        </w:tc>
        <w:tc>
          <w:tcPr>
            <w:tcW w:w="88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2923"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b/>
              </w:rPr>
            </w:pPr>
            <w:r w:rsidRPr="0062582F">
              <w:rPr>
                <w:b/>
              </w:rPr>
              <w:t xml:space="preserve"> </w:t>
            </w:r>
          </w:p>
        </w:tc>
        <w:tc>
          <w:tcPr>
            <w:tcW w:w="8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88 563</w:t>
            </w:r>
          </w:p>
        </w:tc>
        <w:tc>
          <w:tcPr>
            <w:tcW w:w="88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93 888</w:t>
            </w:r>
          </w:p>
        </w:tc>
        <w:tc>
          <w:tcPr>
            <w:tcW w:w="8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(5 519)</w:t>
            </w:r>
          </w:p>
        </w:tc>
        <w:tc>
          <w:tcPr>
            <w:tcW w:w="88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(17 081)</w:t>
            </w:r>
          </w:p>
        </w:tc>
        <w:tc>
          <w:tcPr>
            <w:tcW w:w="8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83 044</w:t>
            </w:r>
          </w:p>
        </w:tc>
        <w:tc>
          <w:tcPr>
            <w:tcW w:w="88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76 807</w:t>
            </w:r>
          </w:p>
        </w:tc>
      </w:tr>
    </w:tbl>
    <w:p w:rsidR="004843DB" w:rsidRPr="0062582F" w:rsidRDefault="004843DB" w:rsidP="004843DB">
      <w:pPr>
        <w:pStyle w:val="Notes"/>
      </w:pPr>
      <w:r w:rsidRPr="0062582F">
        <w:t>Note:</w:t>
      </w:r>
    </w:p>
    <w:p w:rsidR="004843DB" w:rsidRPr="0062582F" w:rsidRDefault="004843DB" w:rsidP="004843DB">
      <w:pPr>
        <w:pStyle w:val="Notes"/>
        <w:rPr>
          <w:color w:val="0000FF"/>
        </w:rPr>
      </w:pPr>
      <w:r w:rsidRPr="0062582F">
        <w:t>(i)</w:t>
      </w:r>
      <w:r w:rsidRPr="0062582F">
        <w:rPr>
          <w:color w:val="0000FF"/>
        </w:rPr>
        <w:tab/>
        <w:t>[If any entity has significant land under roads, i.e. significant in value and/or difference of methodology applied, it should be disclosed separately from land].</w:t>
      </w:r>
    </w:p>
    <w:p w:rsidR="004843DB" w:rsidRPr="0062582F" w:rsidRDefault="004843DB" w:rsidP="004843DB"/>
    <w:p w:rsidR="004843DB" w:rsidRPr="0062582F" w:rsidRDefault="004843DB" w:rsidP="004843DB">
      <w:pPr>
        <w:pStyle w:val="Notes"/>
        <w:sectPr w:rsidR="004843DB" w:rsidRPr="0062582F" w:rsidSect="00190A01">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million"/>
        <w:ind w:left="3969"/>
        <w:jc w:val="left"/>
        <w:rPr>
          <w:rFonts w:ascii="Garamond" w:hAnsi="Garamond" w:cs="Times New Roman"/>
        </w:rPr>
      </w:pPr>
      <w:r w:rsidRPr="0062582F">
        <w:rPr>
          <w:rFonts w:ascii="Garamond" w:hAnsi="Garamond" w:cs="Times New Roman"/>
        </w:rPr>
        <w:t xml:space="preserve"> </w:t>
      </w:r>
    </w:p>
    <w:p w:rsidR="004843DB" w:rsidRPr="0062582F" w:rsidRDefault="004843DB" w:rsidP="004843DB">
      <w:pPr>
        <w:pStyle w:val="NoteHeadingcontinued"/>
      </w:pPr>
      <w:r w:rsidRPr="0062582F">
        <w:br w:type="column"/>
      </w:r>
      <w:r>
        <w:t>Note 17.</w:t>
      </w:r>
      <w:r>
        <w:tab/>
      </w:r>
      <w:r w:rsidRPr="0062582F">
        <w:t xml:space="preserve">Property, plant and equipment </w:t>
      </w:r>
      <w:r w:rsidRPr="0062582F">
        <w:rPr>
          <w:i/>
        </w:rPr>
        <w:t>(continued)</w:t>
      </w:r>
    </w:p>
    <w:p w:rsidR="004843DB" w:rsidRPr="0062582F" w:rsidRDefault="004843DB" w:rsidP="00E348C3">
      <w:pPr>
        <w:pStyle w:val="Tableheading"/>
      </w:pPr>
      <w:r w:rsidRPr="0062582F">
        <w:t>Table 17.3:</w:t>
      </w:r>
      <w:r w:rsidRPr="0062582F">
        <w:tab/>
        <w:t xml:space="preserve">Classification by </w:t>
      </w:r>
      <w:r w:rsidR="005A4BB0">
        <w:t>‘</w:t>
      </w:r>
      <w:r w:rsidRPr="0062582F">
        <w:t>public administration</w:t>
      </w:r>
      <w:r w:rsidR="005A4BB0">
        <w:t>’</w:t>
      </w:r>
      <w:r w:rsidRPr="0062582F">
        <w:t xml:space="preserve"> purpose group – movements in carrying amounts</w:t>
      </w:r>
      <w:r w:rsidRPr="0062582F">
        <w:rPr>
          <w:vertAlign w:val="superscript"/>
        </w:rPr>
        <w:t>(i)</w:t>
      </w:r>
    </w:p>
    <w:p w:rsidR="004843DB" w:rsidRPr="0062582F" w:rsidRDefault="004843DB" w:rsidP="004843DB">
      <w:pPr>
        <w:pStyle w:val="million"/>
        <w:sectPr w:rsidR="004843DB" w:rsidRPr="0062582F" w:rsidSect="004843DB">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SmallLine"/>
      </w:pPr>
      <w:r w:rsidRPr="0062582F">
        <w:br/>
      </w:r>
    </w:p>
    <w:p w:rsidR="004843DB" w:rsidRPr="0062582F" w:rsidRDefault="004843DB" w:rsidP="004843DB">
      <w:pPr>
        <w:pStyle w:val="Reference"/>
        <w:spacing w:before="280"/>
      </w:pPr>
      <w:r w:rsidRPr="0062582F">
        <w:t>FRD 103F</w:t>
      </w:r>
    </w:p>
    <w:p w:rsidR="004843DB" w:rsidRPr="0062582F" w:rsidDel="0067129E" w:rsidRDefault="004843DB" w:rsidP="004843DB">
      <w:pPr>
        <w:pStyle w:val="Reference"/>
        <w:spacing w:before="0"/>
      </w:pPr>
      <w:r w:rsidRPr="0062582F">
        <w:t xml:space="preserve"> </w:t>
      </w: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80"/>
      </w:pPr>
      <w:r w:rsidRPr="0062582F">
        <w:t>AASB 116.73(d)</w:t>
      </w:r>
    </w:p>
    <w:p w:rsidR="004843DB" w:rsidRPr="0062582F" w:rsidRDefault="004843DB" w:rsidP="004843DB">
      <w:pPr>
        <w:pStyle w:val="Reference"/>
        <w:spacing w:before="100"/>
      </w:pPr>
      <w:r w:rsidRPr="0062582F">
        <w:t>AASB 116.73(e)(ix)</w:t>
      </w:r>
    </w:p>
    <w:p w:rsidR="004843DB" w:rsidRPr="0062582F" w:rsidRDefault="004843DB" w:rsidP="004843DB">
      <w:pPr>
        <w:pStyle w:val="SmallLine"/>
      </w:pPr>
      <w:r w:rsidRPr="0062582F">
        <w:br/>
      </w:r>
    </w:p>
    <w:p w:rsidR="004843DB" w:rsidRPr="0062582F" w:rsidRDefault="004843DB" w:rsidP="004843DB">
      <w:pPr>
        <w:pStyle w:val="Reference"/>
        <w:spacing w:before="240"/>
        <w:rPr>
          <w:szCs w:val="6"/>
        </w:rPr>
      </w:pPr>
      <w:r w:rsidRPr="0062582F">
        <w:t>AASB 116.73(e)(ix)</w:t>
      </w:r>
    </w:p>
    <w:p w:rsidR="004843DB" w:rsidRPr="0062582F" w:rsidRDefault="004843DB" w:rsidP="004843DB">
      <w:pPr>
        <w:pStyle w:val="Reference"/>
        <w:spacing w:before="260"/>
      </w:pPr>
      <w:r w:rsidRPr="0062582F">
        <w:t>AASB 116.73(e)(i)</w:t>
      </w:r>
    </w:p>
    <w:p w:rsidR="004843DB" w:rsidRPr="0062582F" w:rsidRDefault="004843DB" w:rsidP="004843DB">
      <w:pPr>
        <w:pStyle w:val="Reference"/>
        <w:spacing w:before="100"/>
      </w:pPr>
      <w:r w:rsidRPr="0062582F">
        <w:t>AASB 116.73(e)(ii)</w:t>
      </w:r>
    </w:p>
    <w:p w:rsidR="004843DB" w:rsidRPr="0062582F" w:rsidRDefault="004843DB" w:rsidP="004843DB">
      <w:pPr>
        <w:pStyle w:val="Reference"/>
        <w:spacing w:before="100"/>
      </w:pPr>
      <w:r w:rsidRPr="0062582F">
        <w:t>AASB 116.74(b)</w:t>
      </w:r>
    </w:p>
    <w:p w:rsidR="004843DB" w:rsidRPr="0062582F" w:rsidRDefault="004843DB" w:rsidP="004843DB">
      <w:pPr>
        <w:pStyle w:val="Reference"/>
        <w:spacing w:before="80"/>
      </w:pPr>
      <w:r w:rsidRPr="0062582F">
        <w:t>AASB 116.73(e)(iv)</w:t>
      </w:r>
    </w:p>
    <w:p w:rsidR="004843DB" w:rsidRPr="0062582F" w:rsidRDefault="004843DB" w:rsidP="004843DB">
      <w:pPr>
        <w:pStyle w:val="Reference"/>
        <w:spacing w:before="80"/>
      </w:pPr>
      <w:r w:rsidRPr="0062582F">
        <w:t>AASB 116.73(e)(v)</w:t>
      </w:r>
    </w:p>
    <w:p w:rsidR="004843DB" w:rsidRPr="0062582F" w:rsidRDefault="004843DB" w:rsidP="004843DB">
      <w:pPr>
        <w:pStyle w:val="Reference"/>
        <w:spacing w:before="80"/>
      </w:pPr>
      <w:r w:rsidRPr="0062582F">
        <w:t>AASB 116.73(e)(ix)</w:t>
      </w:r>
    </w:p>
    <w:p w:rsidR="004843DB" w:rsidRPr="0062582F" w:rsidRDefault="004843DB" w:rsidP="004843DB">
      <w:pPr>
        <w:pStyle w:val="Reference"/>
        <w:spacing w:before="80"/>
      </w:pPr>
      <w:r w:rsidRPr="0062582F">
        <w:t>AASB 116.73(e)(ix)</w:t>
      </w:r>
    </w:p>
    <w:p w:rsidR="004843DB" w:rsidRPr="0062582F" w:rsidRDefault="004843DB" w:rsidP="004843DB">
      <w:pPr>
        <w:pStyle w:val="Reference"/>
        <w:spacing w:before="80"/>
      </w:pPr>
      <w:r w:rsidRPr="0062582F">
        <w:t>AASB 116.73(e)(iii)</w:t>
      </w:r>
    </w:p>
    <w:p w:rsidR="004843DB" w:rsidRPr="0062582F" w:rsidRDefault="004843DB" w:rsidP="004843DB">
      <w:pPr>
        <w:pStyle w:val="Reference"/>
        <w:spacing w:before="80"/>
      </w:pPr>
      <w:r w:rsidRPr="0062582F">
        <w:t>AASB 116.73(e)(iii)</w:t>
      </w:r>
    </w:p>
    <w:p w:rsidR="004843DB" w:rsidRPr="0062582F" w:rsidRDefault="004843DB" w:rsidP="004843DB">
      <w:pPr>
        <w:pStyle w:val="Reference"/>
        <w:spacing w:before="80"/>
      </w:pPr>
      <w:r w:rsidRPr="0062582F">
        <w:t>AASB 116.73(e)(ii)</w:t>
      </w:r>
    </w:p>
    <w:p w:rsidR="004843DB" w:rsidRPr="0062582F" w:rsidRDefault="004843DB" w:rsidP="004843DB">
      <w:pPr>
        <w:pStyle w:val="Reference"/>
        <w:spacing w:before="80"/>
      </w:pPr>
      <w:r w:rsidRPr="0062582F">
        <w:t>AASB 116.73(e)(vii)</w:t>
      </w:r>
    </w:p>
    <w:p w:rsidR="004843DB" w:rsidRPr="0062582F" w:rsidRDefault="004843DB" w:rsidP="004843DB">
      <w:pPr>
        <w:pStyle w:val="Reference"/>
        <w:spacing w:before="80"/>
      </w:pPr>
      <w:r w:rsidRPr="0062582F">
        <w:t>AASB 116.73(e)(ii)</w:t>
      </w:r>
    </w:p>
    <w:p w:rsidR="004843DB" w:rsidRPr="0062582F" w:rsidRDefault="004843DB" w:rsidP="004843DB">
      <w:pPr>
        <w:pStyle w:val="Reference"/>
        <w:spacing w:before="100"/>
      </w:pPr>
      <w:r w:rsidRPr="0062582F">
        <w:t>AASB 116.73(d)</w:t>
      </w:r>
    </w:p>
    <w:p w:rsidR="004843DB" w:rsidRPr="0062582F" w:rsidRDefault="004843DB" w:rsidP="004843DB">
      <w:pPr>
        <w:pStyle w:val="SmallLine"/>
      </w:pPr>
      <w:r w:rsidRPr="0062582F">
        <w:br/>
      </w:r>
    </w:p>
    <w:p w:rsidR="004843DB" w:rsidRPr="0062582F" w:rsidRDefault="004843DB" w:rsidP="004843DB">
      <w:pPr>
        <w:pStyle w:val="million"/>
        <w:rPr>
          <w:rFonts w:ascii="Tahoma" w:hAnsi="Tahoma" w:cs="Tahoma"/>
          <w:sz w:val="20"/>
        </w:rPr>
      </w:pPr>
      <w:r w:rsidRPr="0062582F">
        <w:br w:type="column"/>
        <w:t>($ thousand)</w:t>
      </w:r>
    </w:p>
    <w:tbl>
      <w:tblPr>
        <w:tblW w:w="8170" w:type="dxa"/>
        <w:tblLayout w:type="fixed"/>
        <w:tblCellMar>
          <w:left w:w="43" w:type="dxa"/>
          <w:right w:w="43" w:type="dxa"/>
        </w:tblCellMar>
        <w:tblLook w:val="04A0" w:firstRow="1" w:lastRow="0" w:firstColumn="1" w:lastColumn="0" w:noHBand="0" w:noVBand="1"/>
      </w:tblPr>
      <w:tblGrid>
        <w:gridCol w:w="4903"/>
        <w:gridCol w:w="816"/>
        <w:gridCol w:w="817"/>
        <w:gridCol w:w="817"/>
        <w:gridCol w:w="817"/>
      </w:tblGrid>
      <w:tr w:rsidR="004843DB" w:rsidRPr="0062582F" w:rsidTr="004843DB">
        <w:trPr>
          <w:cantSplit/>
        </w:trPr>
        <w:tc>
          <w:tcPr>
            <w:tcW w:w="4903" w:type="dxa"/>
            <w:tcBorders>
              <w:top w:val="single" w:sz="6" w:space="0" w:color="auto"/>
              <w:left w:val="nil"/>
              <w:right w:val="nil"/>
            </w:tcBorders>
            <w:shd w:val="clear" w:color="auto" w:fill="auto"/>
            <w:hideMark/>
          </w:tcPr>
          <w:p w:rsidR="004843DB" w:rsidRPr="0062582F" w:rsidRDefault="004843DB" w:rsidP="004843DB">
            <w:pPr>
              <w:pStyle w:val="Tabletext"/>
            </w:pPr>
            <w:r w:rsidRPr="0062582F">
              <w:t xml:space="preserve"> </w:t>
            </w:r>
          </w:p>
        </w:tc>
        <w:tc>
          <w:tcPr>
            <w:tcW w:w="1633" w:type="dxa"/>
            <w:gridSpan w:val="2"/>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
              <w:jc w:val="center"/>
            </w:pPr>
            <w:r w:rsidRPr="0062582F">
              <w:br/>
              <w:t xml:space="preserve">Land at fair </w:t>
            </w:r>
            <w:r w:rsidRPr="0062582F">
              <w:br/>
              <w:t xml:space="preserve">value </w:t>
            </w:r>
            <w:r w:rsidRPr="0062582F">
              <w:rPr>
                <w:vertAlign w:val="superscript"/>
              </w:rPr>
              <w:t>(ii)</w:t>
            </w:r>
          </w:p>
        </w:tc>
        <w:tc>
          <w:tcPr>
            <w:tcW w:w="1634" w:type="dxa"/>
            <w:gridSpan w:val="2"/>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
              <w:jc w:val="center"/>
            </w:pPr>
            <w:r w:rsidRPr="0062582F">
              <w:br/>
              <w:t>Buildings at fair value</w:t>
            </w:r>
          </w:p>
        </w:tc>
      </w:tr>
      <w:tr w:rsidR="004843DB" w:rsidRPr="0062582F" w:rsidTr="004843DB">
        <w:trPr>
          <w:cantSplit/>
        </w:trPr>
        <w:tc>
          <w:tcPr>
            <w:tcW w:w="4903" w:type="dxa"/>
            <w:tcBorders>
              <w:left w:val="nil"/>
              <w:bottom w:val="single" w:sz="6" w:space="0" w:color="auto"/>
              <w:right w:val="nil"/>
            </w:tcBorders>
            <w:shd w:val="clear" w:color="auto" w:fill="auto"/>
            <w:hideMark/>
          </w:tcPr>
          <w:p w:rsidR="004843DB" w:rsidRPr="0062582F" w:rsidRDefault="004843DB" w:rsidP="004843DB">
            <w:pPr>
              <w:pStyle w:val="Tabletext"/>
            </w:pPr>
            <w:r w:rsidRPr="0062582F">
              <w:t xml:space="preserve"> </w:t>
            </w:r>
          </w:p>
        </w:tc>
        <w:tc>
          <w:tcPr>
            <w:tcW w:w="816"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17"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17"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17"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4903" w:type="dxa"/>
            <w:tcBorders>
              <w:top w:val="single" w:sz="6"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Opening balance</w:t>
            </w:r>
          </w:p>
        </w:tc>
        <w:tc>
          <w:tcPr>
            <w:tcW w:w="816"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1 830</w:t>
            </w:r>
          </w:p>
        </w:tc>
        <w:tc>
          <w:tcPr>
            <w:tcW w:w="817"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1 695</w:t>
            </w:r>
          </w:p>
        </w:tc>
        <w:tc>
          <w:tcPr>
            <w:tcW w:w="817"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14 841</w:t>
            </w:r>
          </w:p>
        </w:tc>
        <w:tc>
          <w:tcPr>
            <w:tcW w:w="817"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15 535</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Fair value of assets received free of charge or for nominal considerations</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233</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400</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200</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Fair value of assets provided free of charge or for nominal considerations</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Additions</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670</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237</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755</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2 345</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Disposals</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(440)</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(1 125)</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Transfer in/out of assets under construction</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900</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Revaluation of PPE</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561</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505</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6 077</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509</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Impairment of assets</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Transfer from investment property</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405</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Transfer to investment property</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(1 063)</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Purchased</w:t>
            </w:r>
            <w:r w:rsidRPr="0062582F">
              <w:rPr>
                <w:color w:val="0000FF"/>
              </w:rPr>
              <w:t xml:space="preserve"> – </w:t>
            </w:r>
            <w:r w:rsidRPr="0062582F">
              <w:t>business combination</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125</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4 079</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Machinery of government transfer in</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350</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3 243</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Machinery of government transfer out</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(1 440)</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(6 536)</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4903" w:type="dxa"/>
            <w:tcBorders>
              <w:top w:val="nil"/>
              <w:left w:val="nil"/>
              <w:bottom w:val="nil"/>
              <w:right w:val="nil"/>
            </w:tcBorders>
            <w:shd w:val="clear" w:color="auto" w:fill="auto"/>
            <w:hideMark/>
          </w:tcPr>
          <w:p w:rsidR="004843DB" w:rsidRPr="0062582F" w:rsidRDefault="004843DB" w:rsidP="004843DB">
            <w:pPr>
              <w:pStyle w:val="Tabletext"/>
            </w:pPr>
            <w:r w:rsidRPr="0062582F">
              <w:t>Depreciation</w:t>
            </w:r>
          </w:p>
        </w:tc>
        <w:tc>
          <w:tcPr>
            <w:tcW w:w="81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17"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( 516)</w:t>
            </w:r>
          </w:p>
        </w:tc>
        <w:tc>
          <w:tcPr>
            <w:tcW w:w="81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(395)</w:t>
            </w:r>
          </w:p>
        </w:tc>
      </w:tr>
      <w:tr w:rsidR="004843DB" w:rsidRPr="0062582F" w:rsidTr="004843DB">
        <w:trPr>
          <w:cantSplit/>
        </w:trPr>
        <w:tc>
          <w:tcPr>
            <w:tcW w:w="490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Transfer to disposal group held for sale</w:t>
            </w:r>
          </w:p>
        </w:tc>
        <w:tc>
          <w:tcPr>
            <w:tcW w:w="816"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(315)</w:t>
            </w:r>
          </w:p>
        </w:tc>
        <w:tc>
          <w:tcPr>
            <w:tcW w:w="817"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(567)</w:t>
            </w:r>
          </w:p>
        </w:tc>
        <w:tc>
          <w:tcPr>
            <w:tcW w:w="817"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(1 755)</w:t>
            </w:r>
          </w:p>
        </w:tc>
        <w:tc>
          <w:tcPr>
            <w:tcW w:w="817"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(3 533)</w:t>
            </w:r>
          </w:p>
        </w:tc>
      </w:tr>
      <w:tr w:rsidR="004843DB" w:rsidRPr="0062582F" w:rsidTr="004843DB">
        <w:trPr>
          <w:cantSplit/>
        </w:trPr>
        <w:tc>
          <w:tcPr>
            <w:tcW w:w="490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Closing balance</w:t>
            </w:r>
          </w:p>
        </w:tc>
        <w:tc>
          <w:tcPr>
            <w:tcW w:w="816"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2 014</w:t>
            </w:r>
          </w:p>
        </w:tc>
        <w:tc>
          <w:tcPr>
            <w:tcW w:w="817"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1 830</w:t>
            </w:r>
          </w:p>
        </w:tc>
        <w:tc>
          <w:tcPr>
            <w:tcW w:w="817"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19 124</w:t>
            </w:r>
          </w:p>
        </w:tc>
        <w:tc>
          <w:tcPr>
            <w:tcW w:w="817"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14 841</w:t>
            </w:r>
          </w:p>
        </w:tc>
      </w:tr>
    </w:tbl>
    <w:p w:rsidR="004843DB" w:rsidRPr="0062582F" w:rsidRDefault="004843DB" w:rsidP="004843DB">
      <w:pPr>
        <w:pStyle w:val="Notes"/>
      </w:pPr>
      <w:r w:rsidRPr="0062582F">
        <w:t>Notes:</w:t>
      </w:r>
    </w:p>
    <w:p w:rsidR="004843DB" w:rsidRPr="0062582F" w:rsidRDefault="004843DB" w:rsidP="004843DB">
      <w:pPr>
        <w:pStyle w:val="Notes"/>
      </w:pPr>
      <w:r>
        <w:t>(i)</w:t>
      </w:r>
      <w:r>
        <w:tab/>
      </w:r>
      <w:r w:rsidRPr="0062582F">
        <w:t>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2016.</w:t>
      </w:r>
    </w:p>
    <w:p w:rsidR="004843DB" w:rsidRPr="00D4045B" w:rsidRDefault="004843DB" w:rsidP="004843DB">
      <w:pPr>
        <w:pStyle w:val="Notes"/>
      </w:pPr>
      <w:r w:rsidRPr="00D4045B">
        <w:rPr>
          <w:color w:val="0000FF"/>
        </w:rPr>
        <w:t>(ii)</w:t>
      </w:r>
      <w:r w:rsidRPr="00D4045B">
        <w:rPr>
          <w:color w:val="0000FF"/>
        </w:rPr>
        <w:tab/>
        <w:t>[If any entity has significant land under roads, i.e. significant in value and/or difference of methodology applied, it should be disclosed separately from land.]</w:t>
      </w:r>
    </w:p>
    <w:p w:rsidR="004843DB" w:rsidRPr="0062582F" w:rsidRDefault="004843DB" w:rsidP="004843DB">
      <w:pPr>
        <w:pStyle w:val="Notes"/>
        <w:rPr>
          <w:rStyle w:val="NotesChar"/>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Headingcontinued"/>
      </w:pPr>
    </w:p>
    <w:p w:rsidR="004843DB" w:rsidRPr="0062582F" w:rsidRDefault="004843DB" w:rsidP="00E348C3">
      <w:pPr>
        <w:pStyle w:val="Tableheading"/>
      </w:pPr>
    </w:p>
    <w:p w:rsidR="004843DB" w:rsidRPr="0062582F" w:rsidRDefault="004843DB" w:rsidP="00E348C3">
      <w:pPr>
        <w:pStyle w:val="Tableheading"/>
      </w:pPr>
      <w:r w:rsidRPr="0062582F">
        <w:br/>
      </w:r>
    </w:p>
    <w:tbl>
      <w:tblPr>
        <w:tblW w:w="10206" w:type="dxa"/>
        <w:tblCellMar>
          <w:left w:w="43" w:type="dxa"/>
          <w:right w:w="43" w:type="dxa"/>
        </w:tblCellMar>
        <w:tblLook w:val="04A0" w:firstRow="1" w:lastRow="0" w:firstColumn="1" w:lastColumn="0" w:noHBand="0" w:noVBand="1"/>
      </w:tblPr>
      <w:tblGrid>
        <w:gridCol w:w="850"/>
        <w:gridCol w:w="850"/>
        <w:gridCol w:w="850"/>
        <w:gridCol w:w="850"/>
        <w:gridCol w:w="850"/>
        <w:gridCol w:w="850"/>
        <w:gridCol w:w="851"/>
        <w:gridCol w:w="851"/>
        <w:gridCol w:w="851"/>
        <w:gridCol w:w="851"/>
        <w:gridCol w:w="851"/>
        <w:gridCol w:w="851"/>
      </w:tblGrid>
      <w:tr w:rsidR="004843DB" w:rsidRPr="0062582F" w:rsidTr="004843DB">
        <w:trPr>
          <w:cantSplit/>
        </w:trPr>
        <w:tc>
          <w:tcPr>
            <w:tcW w:w="1700" w:type="dxa"/>
            <w:gridSpan w:val="2"/>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Centred"/>
            </w:pPr>
            <w:r w:rsidRPr="0062582F">
              <w:br/>
              <w:t>Plant, equipment and vehicles at fair value</w:t>
            </w:r>
          </w:p>
        </w:tc>
        <w:tc>
          <w:tcPr>
            <w:tcW w:w="1700" w:type="dxa"/>
            <w:gridSpan w:val="2"/>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Centred"/>
            </w:pPr>
            <w:r w:rsidRPr="0062582F">
              <w:br/>
              <w:t>Assets under construction at cost</w:t>
            </w:r>
          </w:p>
        </w:tc>
        <w:tc>
          <w:tcPr>
            <w:tcW w:w="1700" w:type="dxa"/>
            <w:gridSpan w:val="2"/>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Centred"/>
            </w:pPr>
            <w:r w:rsidRPr="0062582F">
              <w:br/>
              <w:t>Infrastructure at fair value</w:t>
            </w:r>
          </w:p>
        </w:tc>
        <w:tc>
          <w:tcPr>
            <w:tcW w:w="1702" w:type="dxa"/>
            <w:gridSpan w:val="2"/>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Centred"/>
            </w:pPr>
            <w:r w:rsidRPr="0062582F">
              <w:t>Road, infrastructure and earthworks at fair value</w:t>
            </w:r>
          </w:p>
        </w:tc>
        <w:tc>
          <w:tcPr>
            <w:tcW w:w="1702" w:type="dxa"/>
            <w:gridSpan w:val="2"/>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Centred"/>
            </w:pPr>
            <w:r w:rsidRPr="0062582F">
              <w:br/>
              <w:t>Cultural assets at fair value</w:t>
            </w:r>
          </w:p>
        </w:tc>
        <w:tc>
          <w:tcPr>
            <w:tcW w:w="1702" w:type="dxa"/>
            <w:gridSpan w:val="2"/>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Centred"/>
            </w:pPr>
            <w:r w:rsidRPr="0062582F">
              <w:br/>
            </w:r>
            <w:r w:rsidRPr="0062582F">
              <w:br/>
              <w:t>Total</w:t>
            </w:r>
          </w:p>
        </w:tc>
      </w:tr>
      <w:tr w:rsidR="004843DB" w:rsidRPr="0062582F" w:rsidTr="004843DB">
        <w:trPr>
          <w:cantSplit/>
        </w:trPr>
        <w:tc>
          <w:tcPr>
            <w:tcW w:w="850"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0"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0"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1"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1"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1"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850"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24 678</w:t>
            </w:r>
          </w:p>
        </w:tc>
        <w:tc>
          <w:tcPr>
            <w:tcW w:w="85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31 980</w:t>
            </w:r>
          </w:p>
        </w:tc>
        <w:tc>
          <w:tcPr>
            <w:tcW w:w="850"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627</w:t>
            </w:r>
          </w:p>
        </w:tc>
        <w:tc>
          <w:tcPr>
            <w:tcW w:w="85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190</w:t>
            </w:r>
          </w:p>
        </w:tc>
        <w:tc>
          <w:tcPr>
            <w:tcW w:w="850"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2 223</w:t>
            </w:r>
          </w:p>
        </w:tc>
        <w:tc>
          <w:tcPr>
            <w:tcW w:w="85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1 365</w:t>
            </w:r>
          </w:p>
        </w:tc>
        <w:tc>
          <w:tcPr>
            <w:tcW w:w="851"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2 454</w:t>
            </w:r>
          </w:p>
        </w:tc>
        <w:tc>
          <w:tcPr>
            <w:tcW w:w="85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462</w:t>
            </w:r>
          </w:p>
        </w:tc>
        <w:tc>
          <w:tcPr>
            <w:tcW w:w="851"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w:t>
            </w:r>
          </w:p>
        </w:tc>
        <w:tc>
          <w:tcPr>
            <w:tcW w:w="85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w:t>
            </w:r>
          </w:p>
        </w:tc>
        <w:tc>
          <w:tcPr>
            <w:tcW w:w="851"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46 652</w:t>
            </w:r>
          </w:p>
        </w:tc>
        <w:tc>
          <w:tcPr>
            <w:tcW w:w="85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51 226</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r w:rsidRPr="0062582F">
              <w:br/>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16</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109</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342</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616</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r w:rsidRPr="0062582F">
              <w:br/>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rPr>
            </w:pPr>
            <w:r w:rsidRPr="0062582F">
              <w:t>( 15)</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rPr>
                <w:rFonts w:ascii="Arial" w:hAnsi="Arial"/>
              </w:rPr>
            </w:pPr>
            <w:r w:rsidRPr="0062582F">
              <w:t>( 154)</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rPr>
                <w:rFonts w:ascii="Arial" w:hAnsi="Arial"/>
              </w:rPr>
            </w:pPr>
            <w:r w:rsidRPr="0062582F">
              <w:t>( 154)</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rPr>
            </w:pPr>
            <w:r w:rsidRPr="0062582F">
              <w:t>( 15)</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5 562</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3 930</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99</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1 455</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782</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953</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1 343</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2 055</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675</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540</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9 886</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11 515</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rPr>
                <w:rFonts w:ascii="Arial" w:hAnsi="Arial"/>
              </w:rPr>
            </w:pPr>
            <w:r w:rsidRPr="0062582F">
              <w:t>( 409)</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rPr>
            </w:pPr>
            <w:r w:rsidRPr="0062582F">
              <w:t>( 770)</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rPr>
            </w:pPr>
            <w:r w:rsidRPr="0062582F">
              <w:t>( 158)</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rPr>
                <w:rFonts w:ascii="Arial" w:hAnsi="Arial"/>
              </w:rPr>
            </w:pPr>
            <w:r w:rsidRPr="0062582F">
              <w:t>( 409)</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(2 492)</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rPr>
                <w:rFonts w:ascii="Arial" w:hAnsi="Arial"/>
              </w:rPr>
            </w:pPr>
            <w:r w:rsidRPr="0062582F">
              <w:t>( 69)</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(1 019)</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69</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119</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rPr>
                <w:rFonts w:ascii="Arial" w:hAnsi="Arial"/>
              </w:rPr>
            </w:pPr>
            <w:r w:rsidRPr="0062582F">
              <w:t>( 39)</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(2 888)</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rPr>
                <w:rFonts w:ascii="Arial" w:hAnsi="Arial"/>
              </w:rPr>
            </w:pPr>
            <w:r w:rsidRPr="0062582F">
              <w:t>( 374)</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293</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3 631</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1 014</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(1 225)</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rPr>
            </w:pPr>
            <w:r w:rsidRPr="0062582F">
              <w:t>( 469)</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(1 225)</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rPr>
            </w:pPr>
            <w:r w:rsidRPr="0062582F">
              <w:t>( 469)</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405</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(1 063)</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8 327</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62</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12 593</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2 247</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10</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520</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568</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1 950</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8 888</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(7 361)</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rPr>
                <w:rFonts w:ascii="Arial" w:hAnsi="Arial"/>
              </w:rPr>
            </w:pPr>
            <w:r w:rsidRPr="0062582F">
              <w:t>( 137)</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(3 154)</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(18 627)</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(7 126)</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(7 572)</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00FFFF" w:fill="CCCCCC"/>
            <w:noWrap/>
            <w:hideMark/>
          </w:tcPr>
          <w:p w:rsidR="004843DB" w:rsidRPr="0062582F" w:rsidRDefault="004843DB" w:rsidP="004843DB">
            <w:pPr>
              <w:pStyle w:val="TableofFigures"/>
              <w:rPr>
                <w:rFonts w:ascii="Arial" w:hAnsi="Arial"/>
              </w:rPr>
            </w:pPr>
            <w:r w:rsidRPr="0062582F">
              <w:t>( 104)</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rPr>
            </w:pPr>
            <w:r w:rsidRPr="0062582F">
              <w:t>( 56)</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rPr>
                <w:rFonts w:ascii="Arial" w:hAnsi="Arial"/>
              </w:rPr>
            </w:pPr>
            <w:r w:rsidRPr="0062582F">
              <w:t>( 306)</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rPr>
            </w:pPr>
            <w:r w:rsidRPr="0062582F">
              <w:t>( 63)</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(8 053)</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(8 086)</w:t>
            </w:r>
          </w:p>
        </w:tc>
      </w:tr>
      <w:tr w:rsidR="004843DB" w:rsidRPr="0062582F" w:rsidTr="004843DB">
        <w:trPr>
          <w:cantSplit/>
        </w:trPr>
        <w:tc>
          <w:tcPr>
            <w:tcW w:w="85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2 140</w:t>
            </w:r>
          </w:p>
        </w:tc>
        <w:tc>
          <w:tcPr>
            <w:tcW w:w="8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(2 423)</w:t>
            </w:r>
          </w:p>
        </w:tc>
        <w:tc>
          <w:tcPr>
            <w:tcW w:w="85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85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rFonts w:ascii="Arial" w:hAnsi="Arial"/>
              </w:rPr>
            </w:pPr>
            <w:r w:rsidRPr="0062582F">
              <w:t>( 356)</w:t>
            </w:r>
          </w:p>
        </w:tc>
        <w:tc>
          <w:tcPr>
            <w:tcW w:w="8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rFonts w:ascii="Arial" w:hAnsi="Arial"/>
              </w:rPr>
            </w:pPr>
            <w:r w:rsidRPr="0062582F">
              <w:t>( 32)</w:t>
            </w:r>
          </w:p>
        </w:tc>
        <w:tc>
          <w:tcPr>
            <w:tcW w:w="85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rFonts w:ascii="Arial" w:hAnsi="Arial"/>
              </w:rPr>
            </w:pPr>
            <w:r w:rsidRPr="0062582F">
              <w:t>( 540)</w:t>
            </w:r>
          </w:p>
        </w:tc>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rFonts w:ascii="Arial" w:hAnsi="Arial"/>
              </w:rPr>
            </w:pPr>
            <w:r w:rsidRPr="0062582F">
              <w:t>( 320)</w:t>
            </w:r>
          </w:p>
        </w:tc>
        <w:tc>
          <w:tcPr>
            <w:tcW w:w="85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(7 062)</w:t>
            </w:r>
          </w:p>
        </w:tc>
      </w:tr>
      <w:tr w:rsidR="004843DB" w:rsidRPr="0062582F" w:rsidTr="004843DB">
        <w:trPr>
          <w:cantSplit/>
        </w:trPr>
        <w:tc>
          <w:tcPr>
            <w:tcW w:w="85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26 793</w:t>
            </w:r>
          </w:p>
        </w:tc>
        <w:tc>
          <w:tcPr>
            <w:tcW w:w="85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24 678</w:t>
            </w:r>
          </w:p>
        </w:tc>
        <w:tc>
          <w:tcPr>
            <w:tcW w:w="85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667</w:t>
            </w:r>
          </w:p>
        </w:tc>
        <w:tc>
          <w:tcPr>
            <w:tcW w:w="85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627</w:t>
            </w:r>
          </w:p>
        </w:tc>
        <w:tc>
          <w:tcPr>
            <w:tcW w:w="85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170</w:t>
            </w:r>
          </w:p>
        </w:tc>
        <w:tc>
          <w:tcPr>
            <w:tcW w:w="85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2 223</w:t>
            </w:r>
          </w:p>
        </w:tc>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608</w:t>
            </w:r>
          </w:p>
        </w:tc>
        <w:tc>
          <w:tcPr>
            <w:tcW w:w="85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2 454</w:t>
            </w:r>
          </w:p>
        </w:tc>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2 764</w:t>
            </w:r>
          </w:p>
        </w:tc>
        <w:tc>
          <w:tcPr>
            <w:tcW w:w="85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52 141</w:t>
            </w:r>
          </w:p>
        </w:tc>
        <w:tc>
          <w:tcPr>
            <w:tcW w:w="85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46 652</w:t>
            </w:r>
          </w:p>
        </w:tc>
      </w:tr>
    </w:tbl>
    <w:p w:rsidR="004843DB" w:rsidRPr="0062582F" w:rsidRDefault="004843DB" w:rsidP="004843DB">
      <w:pPr>
        <w:pStyle w:val="Notes"/>
      </w:pPr>
    </w:p>
    <w:p w:rsidR="004843DB" w:rsidRPr="0062582F" w:rsidRDefault="004843DB" w:rsidP="004843DB">
      <w:pPr>
        <w:pStyle w:val="Notes"/>
      </w:pPr>
    </w:p>
    <w:p w:rsidR="004843DB" w:rsidRPr="0062582F" w:rsidRDefault="004843DB" w:rsidP="004843DB"/>
    <w:p w:rsidR="004843DB" w:rsidRPr="0062582F" w:rsidRDefault="004843DB" w:rsidP="004843DB">
      <w:pPr>
        <w:sectPr w:rsidR="004843DB" w:rsidRPr="0062582F" w:rsidSect="00190A01">
          <w:headerReference w:type="even" r:id="rId282"/>
          <w:headerReference w:type="default" r:id="rId283"/>
          <w:headerReference w:type="first" r:id="rId284"/>
          <w:pgSz w:w="11906" w:h="16838" w:code="9"/>
          <w:pgMar w:top="1152" w:right="864" w:bottom="1152" w:left="864" w:header="432" w:footer="432" w:gutter="0"/>
          <w:cols w:space="360"/>
        </w:sectPr>
      </w:pPr>
    </w:p>
    <w:p w:rsidR="004843DB" w:rsidRPr="0062582F" w:rsidRDefault="004843DB" w:rsidP="004843DB">
      <w:pPr>
        <w:pStyle w:val="Reference"/>
        <w:spacing w:before="0"/>
        <w:rPr>
          <w:rFonts w:ascii="Garamond" w:hAnsi="Garamond" w:cs="Times New Roman"/>
        </w:rPr>
      </w:pPr>
    </w:p>
    <w:p w:rsidR="004843DB" w:rsidRPr="0062582F" w:rsidRDefault="004843DB" w:rsidP="004843DB">
      <w:pPr>
        <w:pStyle w:val="NoteHeadingcontinued"/>
        <w:rPr>
          <w:i/>
        </w:rPr>
      </w:pPr>
      <w:r>
        <w:br w:type="column"/>
        <w:t>Note 17.</w:t>
      </w:r>
      <w:r>
        <w:tab/>
      </w:r>
      <w:r w:rsidRPr="0062582F">
        <w:t xml:space="preserve">Property, plant and equipment </w:t>
      </w:r>
      <w:r w:rsidRPr="0062582F">
        <w:rPr>
          <w:i/>
        </w:rPr>
        <w:t>(continued)</w:t>
      </w:r>
    </w:p>
    <w:p w:rsidR="004843DB" w:rsidRPr="0062582F" w:rsidRDefault="004843DB" w:rsidP="00E348C3">
      <w:pPr>
        <w:pStyle w:val="Tableheading"/>
      </w:pPr>
      <w:r w:rsidRPr="0062582F">
        <w:t>Table 17.4:</w:t>
      </w:r>
      <w:r w:rsidRPr="0062582F">
        <w:tab/>
        <w:t xml:space="preserve">Classification by </w:t>
      </w:r>
      <w:r w:rsidR="005A4BB0">
        <w:t>‘</w:t>
      </w:r>
      <w:r w:rsidRPr="0062582F">
        <w:t>public safety and environment</w:t>
      </w:r>
      <w:r w:rsidR="005A4BB0">
        <w:t>’</w:t>
      </w:r>
      <w:r w:rsidRPr="0062582F">
        <w:t xml:space="preserve"> purpose group – movements in carrying amounts</w:t>
      </w:r>
      <w:r w:rsidRPr="0062582F">
        <w:rPr>
          <w:vertAlign w:val="superscript"/>
        </w:rPr>
        <w:t>(i)</w:t>
      </w:r>
    </w:p>
    <w:p w:rsidR="004843DB" w:rsidRPr="0062582F" w:rsidRDefault="004843DB" w:rsidP="004843DB">
      <w:pPr>
        <w:pStyle w:val="million"/>
        <w:sectPr w:rsidR="004843DB" w:rsidRPr="0062582F" w:rsidSect="00190A01">
          <w:headerReference w:type="even" r:id="rId285"/>
          <w:headerReference w:type="default" r:id="rId286"/>
          <w:headerReference w:type="first" r:id="rId287"/>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p>
    <w:p w:rsidR="004843DB" w:rsidRPr="0062582F" w:rsidRDefault="004843DB" w:rsidP="004843DB">
      <w:pPr>
        <w:pStyle w:val="Reference"/>
      </w:pPr>
      <w:r w:rsidRPr="0062582F">
        <w:t>FRD 103F</w:t>
      </w:r>
    </w:p>
    <w:p w:rsidR="004843DB" w:rsidRPr="0062582F" w:rsidRDefault="004843DB" w:rsidP="004843DB">
      <w:pPr>
        <w:pStyle w:val="Reference"/>
        <w:spacing w:before="0"/>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260"/>
      </w:pPr>
      <w:r w:rsidRPr="0062582F">
        <w:t>AASB 116.73(d)</w:t>
      </w:r>
    </w:p>
    <w:p w:rsidR="004843DB" w:rsidRPr="0062582F" w:rsidRDefault="004843DB" w:rsidP="004843DB">
      <w:pPr>
        <w:pStyle w:val="Reference"/>
        <w:spacing w:before="80"/>
        <w:rPr>
          <w:szCs w:val="6"/>
        </w:rPr>
      </w:pPr>
      <w:r w:rsidRPr="0062582F">
        <w:t>AASB 116.73(e)(ix)</w:t>
      </w:r>
    </w:p>
    <w:p w:rsidR="004843DB" w:rsidRPr="0062582F" w:rsidRDefault="004843DB" w:rsidP="004843DB">
      <w:pPr>
        <w:pStyle w:val="Reference"/>
        <w:spacing w:before="300"/>
      </w:pPr>
      <w:r w:rsidRPr="0062582F">
        <w:t>AASB 116.73(e)(ix)</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200"/>
      </w:pPr>
      <w:r w:rsidRPr="0062582F">
        <w:t>AASB 116.73(e)(i)</w:t>
      </w:r>
    </w:p>
    <w:p w:rsidR="004843DB" w:rsidRPr="0062582F" w:rsidRDefault="004843DB" w:rsidP="004843DB">
      <w:pPr>
        <w:pStyle w:val="Reference"/>
        <w:spacing w:before="100"/>
      </w:pPr>
      <w:r w:rsidRPr="0062582F">
        <w:t>AASB 116.73(e)(ii)</w:t>
      </w:r>
    </w:p>
    <w:p w:rsidR="004843DB" w:rsidRPr="0062582F" w:rsidRDefault="004843DB" w:rsidP="004843DB">
      <w:pPr>
        <w:pStyle w:val="Reference"/>
        <w:spacing w:before="80"/>
      </w:pPr>
      <w:r w:rsidRPr="0062582F">
        <w:t>AASB 116.73(e)(ix)</w:t>
      </w:r>
    </w:p>
    <w:p w:rsidR="004843DB" w:rsidRPr="0062582F" w:rsidRDefault="004843DB" w:rsidP="004843DB">
      <w:pPr>
        <w:pStyle w:val="Reference"/>
        <w:spacing w:before="80"/>
      </w:pPr>
      <w:r w:rsidRPr="0062582F">
        <w:t>AASB 116.73(e)(iv)</w:t>
      </w:r>
    </w:p>
    <w:p w:rsidR="004843DB" w:rsidRPr="0062582F" w:rsidRDefault="004843DB" w:rsidP="004843DB">
      <w:pPr>
        <w:pStyle w:val="Reference"/>
        <w:spacing w:before="80"/>
      </w:pPr>
      <w:r w:rsidRPr="0062582F">
        <w:t>AASB 116.73(e)(v)</w:t>
      </w:r>
    </w:p>
    <w:p w:rsidR="004843DB" w:rsidRPr="0062582F" w:rsidRDefault="004843DB" w:rsidP="004843DB">
      <w:pPr>
        <w:pStyle w:val="Reference"/>
        <w:spacing w:before="80"/>
        <w:rPr>
          <w:rStyle w:val="ReferenceChar"/>
          <w:szCs w:val="4"/>
        </w:rPr>
      </w:pPr>
      <w:r w:rsidRPr="0062582F">
        <w:rPr>
          <w:rStyle w:val="ReferenceChar"/>
        </w:rPr>
        <w:t>AASB 116.73(e)(ix)</w:t>
      </w:r>
    </w:p>
    <w:p w:rsidR="004843DB" w:rsidRPr="0062582F" w:rsidRDefault="004843DB" w:rsidP="004843DB">
      <w:pPr>
        <w:pStyle w:val="Reference"/>
        <w:spacing w:before="100"/>
      </w:pPr>
      <w:r w:rsidRPr="0062582F">
        <w:t>AASB 116.73(e)(ix)</w:t>
      </w:r>
    </w:p>
    <w:p w:rsidR="004843DB" w:rsidRPr="0062582F" w:rsidRDefault="004843DB" w:rsidP="004843DB">
      <w:pPr>
        <w:pStyle w:val="Reference"/>
        <w:spacing w:before="100"/>
      </w:pPr>
      <w:r w:rsidRPr="0062582F">
        <w:t>AASB 116.73(e)(iii)</w:t>
      </w:r>
    </w:p>
    <w:p w:rsidR="004843DB" w:rsidRPr="0062582F" w:rsidRDefault="004843DB" w:rsidP="004843DB">
      <w:pPr>
        <w:pStyle w:val="Reference"/>
        <w:spacing w:before="80"/>
      </w:pPr>
      <w:r w:rsidRPr="0062582F">
        <w:t>AASB 116.73(e)(iii)</w:t>
      </w:r>
    </w:p>
    <w:p w:rsidR="004843DB" w:rsidRPr="0062582F" w:rsidRDefault="004843DB" w:rsidP="004843DB">
      <w:pPr>
        <w:pStyle w:val="Reference"/>
        <w:spacing w:before="80"/>
        <w:rPr>
          <w:rStyle w:val="SmallLineChar"/>
        </w:rPr>
      </w:pPr>
      <w:r w:rsidRPr="0062582F">
        <w:t>AASB 116.73(e)(ii)</w:t>
      </w:r>
    </w:p>
    <w:p w:rsidR="004843DB" w:rsidRPr="0062582F" w:rsidRDefault="004843DB" w:rsidP="004843DB">
      <w:pPr>
        <w:pStyle w:val="Reference"/>
        <w:spacing w:before="80"/>
        <w:rPr>
          <w:rStyle w:val="ReferenceChar"/>
        </w:rPr>
      </w:pPr>
      <w:r w:rsidRPr="0062582F">
        <w:rPr>
          <w:rStyle w:val="ReferenceChar"/>
        </w:rPr>
        <w:t>AASB 116.73(e)(vii)</w:t>
      </w:r>
    </w:p>
    <w:p w:rsidR="004843DB" w:rsidRPr="0062582F" w:rsidRDefault="004843DB" w:rsidP="004843DB">
      <w:pPr>
        <w:pStyle w:val="Reference"/>
        <w:spacing w:before="80"/>
      </w:pPr>
      <w:r w:rsidRPr="0062582F">
        <w:t>AASB 116.73(e)(ii)</w:t>
      </w:r>
    </w:p>
    <w:p w:rsidR="004843DB" w:rsidRPr="0062582F" w:rsidRDefault="004843DB" w:rsidP="004843DB">
      <w:pPr>
        <w:pStyle w:val="Reference"/>
        <w:spacing w:before="80"/>
      </w:pPr>
      <w:r w:rsidRPr="0062582F">
        <w:t>AASB 116.73(d)</w:t>
      </w:r>
    </w:p>
    <w:p w:rsidR="004843DB" w:rsidRPr="0062582F" w:rsidRDefault="004843DB" w:rsidP="004843DB">
      <w:pPr>
        <w:pStyle w:val="million"/>
      </w:pPr>
      <w:r w:rsidRPr="0062582F">
        <w:br w:type="column"/>
        <w:t>($ thousand)</w:t>
      </w:r>
    </w:p>
    <w:tbl>
      <w:tblPr>
        <w:tblW w:w="8177" w:type="dxa"/>
        <w:tblLayout w:type="fixed"/>
        <w:tblCellMar>
          <w:left w:w="43" w:type="dxa"/>
          <w:right w:w="43" w:type="dxa"/>
        </w:tblCellMar>
        <w:tblLook w:val="04A0" w:firstRow="1" w:lastRow="0" w:firstColumn="1" w:lastColumn="0" w:noHBand="0" w:noVBand="1"/>
      </w:tblPr>
      <w:tblGrid>
        <w:gridCol w:w="4633"/>
        <w:gridCol w:w="886"/>
        <w:gridCol w:w="886"/>
        <w:gridCol w:w="886"/>
        <w:gridCol w:w="886"/>
      </w:tblGrid>
      <w:tr w:rsidR="004843DB" w:rsidRPr="0062582F" w:rsidTr="004843DB">
        <w:trPr>
          <w:cantSplit/>
          <w:trHeight w:val="255"/>
        </w:trPr>
        <w:tc>
          <w:tcPr>
            <w:tcW w:w="4633" w:type="dxa"/>
            <w:tcBorders>
              <w:top w:val="single" w:sz="6" w:space="0" w:color="auto"/>
              <w:left w:val="nil"/>
              <w:bottom w:val="nil"/>
              <w:right w:val="nil"/>
            </w:tcBorders>
            <w:shd w:val="clear" w:color="auto" w:fill="auto"/>
            <w:hideMark/>
          </w:tcPr>
          <w:p w:rsidR="004843DB" w:rsidRPr="0062582F" w:rsidRDefault="004843DB" w:rsidP="004843DB">
            <w:pPr>
              <w:pStyle w:val="TabletextheadingCentred"/>
            </w:pPr>
          </w:p>
        </w:tc>
        <w:tc>
          <w:tcPr>
            <w:tcW w:w="1772"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br/>
              <w:t xml:space="preserve">Land at fair </w:t>
            </w:r>
            <w:r w:rsidRPr="0062582F">
              <w:br/>
              <w:t xml:space="preserve">value </w:t>
            </w:r>
            <w:r w:rsidRPr="0062582F">
              <w:rPr>
                <w:vertAlign w:val="superscript"/>
              </w:rPr>
              <w:t>(ii)</w:t>
            </w:r>
          </w:p>
        </w:tc>
        <w:tc>
          <w:tcPr>
            <w:tcW w:w="1772"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br/>
              <w:t xml:space="preserve">Buildings at fair </w:t>
            </w:r>
            <w:r w:rsidRPr="0062582F">
              <w:br/>
              <w:t>value</w:t>
            </w:r>
          </w:p>
        </w:tc>
      </w:tr>
      <w:tr w:rsidR="004843DB" w:rsidRPr="0062582F" w:rsidTr="004843DB">
        <w:trPr>
          <w:cantSplit/>
          <w:trHeight w:val="255"/>
        </w:trPr>
        <w:tc>
          <w:tcPr>
            <w:tcW w:w="4633" w:type="dxa"/>
            <w:tcBorders>
              <w:top w:val="nil"/>
              <w:left w:val="nil"/>
              <w:bottom w:val="single" w:sz="6" w:space="0" w:color="auto"/>
              <w:right w:val="nil"/>
            </w:tcBorders>
            <w:shd w:val="clear" w:color="auto" w:fill="auto"/>
            <w:hideMark/>
          </w:tcPr>
          <w:p w:rsidR="004843DB" w:rsidRPr="0062582F" w:rsidRDefault="004843DB" w:rsidP="004843DB">
            <w:pPr>
              <w:pStyle w:val="Tabletext"/>
            </w:pPr>
            <w:r w:rsidRPr="0062582F">
              <w:t xml:space="preserve"> </w:t>
            </w:r>
          </w:p>
        </w:tc>
        <w:tc>
          <w:tcPr>
            <w:tcW w:w="886"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86"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86"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86"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Height w:val="255"/>
        </w:trPr>
        <w:tc>
          <w:tcPr>
            <w:tcW w:w="4633" w:type="dxa"/>
            <w:tcBorders>
              <w:top w:val="single" w:sz="6"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Opening balance</w:t>
            </w:r>
          </w:p>
        </w:tc>
        <w:tc>
          <w:tcPr>
            <w:tcW w:w="886"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1 691</w:t>
            </w:r>
          </w:p>
        </w:tc>
        <w:tc>
          <w:tcPr>
            <w:tcW w:w="886"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1 425</w:t>
            </w:r>
          </w:p>
        </w:tc>
        <w:tc>
          <w:tcPr>
            <w:tcW w:w="886"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4 389</w:t>
            </w:r>
          </w:p>
        </w:tc>
        <w:tc>
          <w:tcPr>
            <w:tcW w:w="886"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2 247</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Fair value of assets received free of charge or for nominal considerations</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115</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125</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125</w:t>
            </w:r>
          </w:p>
        </w:tc>
      </w:tr>
      <w:tr w:rsidR="004843DB" w:rsidRPr="0062582F" w:rsidTr="004843DB">
        <w:trPr>
          <w:cantSplit/>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Fair value of assets provided free of charge or for nominal considerations</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(142)</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(123)</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Additions</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1 185</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531</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1 129</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2 165</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Disposals</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(423)</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(1 741)</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Transfer in/out of assets under construction</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Revaluation of PPE</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281</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1 059</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1 310</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916</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Impairment of assets</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Transfer from investment property</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1 089</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Transfer to investment property</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Purchased – business combination</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118</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Machinery of government transfer in</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439</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614</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Machinery of government transfer out</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(584)</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(2 863)</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val="255"/>
        </w:trPr>
        <w:tc>
          <w:tcPr>
            <w:tcW w:w="4633" w:type="dxa"/>
            <w:tcBorders>
              <w:top w:val="nil"/>
              <w:left w:val="nil"/>
              <w:bottom w:val="nil"/>
              <w:right w:val="nil"/>
            </w:tcBorders>
            <w:shd w:val="clear" w:color="auto" w:fill="auto"/>
            <w:hideMark/>
          </w:tcPr>
          <w:p w:rsidR="004843DB" w:rsidRPr="0062582F" w:rsidRDefault="004843DB" w:rsidP="004843DB">
            <w:pPr>
              <w:pStyle w:val="Tabletext"/>
            </w:pPr>
            <w:r w:rsidRPr="0062582F">
              <w:t>Depreciation</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86"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(70)</w:t>
            </w:r>
          </w:p>
        </w:tc>
        <w:tc>
          <w:tcPr>
            <w:tcW w:w="886"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(343)</w:t>
            </w:r>
          </w:p>
        </w:tc>
      </w:tr>
      <w:tr w:rsidR="004843DB" w:rsidRPr="0062582F" w:rsidTr="004843DB">
        <w:trPr>
          <w:cantSplit/>
          <w:trHeight w:val="255"/>
        </w:trPr>
        <w:tc>
          <w:tcPr>
            <w:tcW w:w="463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Transfer to disposal group held for sale</w:t>
            </w:r>
          </w:p>
        </w:tc>
        <w:tc>
          <w:tcPr>
            <w:tcW w:w="886"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(438)</w:t>
            </w:r>
          </w:p>
        </w:tc>
        <w:tc>
          <w:tcPr>
            <w:tcW w:w="886"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(902)</w:t>
            </w:r>
          </w:p>
        </w:tc>
        <w:tc>
          <w:tcPr>
            <w:tcW w:w="886"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(562)</w:t>
            </w:r>
          </w:p>
        </w:tc>
        <w:tc>
          <w:tcPr>
            <w:tcW w:w="886"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(69)</w:t>
            </w:r>
          </w:p>
        </w:tc>
      </w:tr>
      <w:tr w:rsidR="004843DB" w:rsidRPr="0062582F" w:rsidTr="004843DB">
        <w:trPr>
          <w:cantSplit/>
          <w:trHeight w:val="255"/>
        </w:trPr>
        <w:tc>
          <w:tcPr>
            <w:tcW w:w="463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Closing balance</w:t>
            </w:r>
          </w:p>
        </w:tc>
        <w:tc>
          <w:tcPr>
            <w:tcW w:w="886"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2 548</w:t>
            </w:r>
          </w:p>
        </w:tc>
        <w:tc>
          <w:tcPr>
            <w:tcW w:w="886"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1 691</w:t>
            </w:r>
          </w:p>
        </w:tc>
        <w:tc>
          <w:tcPr>
            <w:tcW w:w="886"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4 064</w:t>
            </w:r>
          </w:p>
        </w:tc>
        <w:tc>
          <w:tcPr>
            <w:tcW w:w="886"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4 389</w:t>
            </w:r>
          </w:p>
        </w:tc>
      </w:tr>
    </w:tbl>
    <w:p w:rsidR="004843DB" w:rsidRPr="0062582F" w:rsidRDefault="004843DB" w:rsidP="004843DB">
      <w:pPr>
        <w:pStyle w:val="Notes"/>
        <w:ind w:left="0" w:firstLine="0"/>
      </w:pPr>
      <w:r w:rsidRPr="0062582F">
        <w:t>Notes:</w:t>
      </w:r>
    </w:p>
    <w:p w:rsidR="004843DB" w:rsidRPr="00D4045B" w:rsidRDefault="004843DB" w:rsidP="004843DB">
      <w:pPr>
        <w:pStyle w:val="Notes"/>
      </w:pPr>
      <w:r w:rsidRPr="0062582F">
        <w:t>(i)</w:t>
      </w:r>
      <w:r w:rsidRPr="0062582F">
        <w:tab/>
        <w:t>Fair value assessments have been performed for all classes of assets in this purpose group and the decision was made that changes were not material (less than or equal to 10 per cent) for a full revaluation. The next scheduled full revaluation for this purpose group will be conducted in 2016.</w:t>
      </w:r>
    </w:p>
    <w:p w:rsidR="004843DB" w:rsidRPr="0062582F" w:rsidRDefault="004843DB" w:rsidP="004843DB">
      <w:pPr>
        <w:pStyle w:val="Notes"/>
        <w:rPr>
          <w:sz w:val="22"/>
          <w:szCs w:val="22"/>
        </w:rPr>
      </w:pPr>
      <w:r w:rsidRPr="00D4045B">
        <w:rPr>
          <w:color w:val="0000FF"/>
        </w:rPr>
        <w:t>(ii)</w:t>
      </w:r>
      <w:r w:rsidRPr="0062582F">
        <w:tab/>
      </w:r>
      <w:r w:rsidRPr="0062582F">
        <w:rPr>
          <w:color w:val="0000FF"/>
        </w:rPr>
        <w:t>[If any entity has significant land under roads, i.e. significant in value and/or difference of methodology applied, it should be disclosed separately from land.]</w:t>
      </w:r>
    </w:p>
    <w:p w:rsidR="004843DB" w:rsidRPr="0062582F" w:rsidRDefault="004843DB" w:rsidP="004843DB">
      <w:pPr>
        <w:pStyle w:val="Notes"/>
        <w:tabs>
          <w:tab w:val="clear" w:pos="454"/>
        </w:tabs>
        <w:ind w:left="72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s"/>
        <w:ind w:left="0" w:firstLine="0"/>
        <w:rPr>
          <w:sz w:val="22"/>
          <w:szCs w:val="22"/>
        </w:rPr>
      </w:pPr>
      <w:r w:rsidRPr="0062582F">
        <w:br w:type="column"/>
      </w:r>
    </w:p>
    <w:p w:rsidR="004843DB" w:rsidRPr="0062582F" w:rsidRDefault="004843DB" w:rsidP="004843DB">
      <w:pPr>
        <w:pStyle w:val="Notes"/>
      </w:pPr>
    </w:p>
    <w:p w:rsidR="004843DB" w:rsidRPr="0062582F" w:rsidRDefault="004843DB" w:rsidP="004843DB">
      <w:pPr>
        <w:pStyle w:val="Notes"/>
      </w:pP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Headingcontinued"/>
      </w:pPr>
      <w:r w:rsidRPr="0062582F">
        <w:br/>
      </w:r>
    </w:p>
    <w:p w:rsidR="004843DB" w:rsidRPr="0062582F" w:rsidRDefault="004843DB" w:rsidP="00E348C3">
      <w:pPr>
        <w:pStyle w:val="Tableheading"/>
      </w:pPr>
    </w:p>
    <w:p w:rsidR="004843DB" w:rsidRPr="0062582F" w:rsidRDefault="004843DB" w:rsidP="004843DB">
      <w:pPr>
        <w:pStyle w:val="million"/>
        <w:spacing w:before="60"/>
      </w:pPr>
    </w:p>
    <w:tbl>
      <w:tblPr>
        <w:tblW w:w="10213" w:type="dxa"/>
        <w:tblLayout w:type="fixed"/>
        <w:tblCellMar>
          <w:left w:w="43" w:type="dxa"/>
          <w:right w:w="43" w:type="dxa"/>
        </w:tblCellMar>
        <w:tblLook w:val="04A0" w:firstRow="1" w:lastRow="0" w:firstColumn="1" w:lastColumn="0" w:noHBand="0" w:noVBand="1"/>
      </w:tblPr>
      <w:tblGrid>
        <w:gridCol w:w="851"/>
        <w:gridCol w:w="851"/>
        <w:gridCol w:w="851"/>
        <w:gridCol w:w="851"/>
        <w:gridCol w:w="851"/>
        <w:gridCol w:w="851"/>
        <w:gridCol w:w="851"/>
        <w:gridCol w:w="851"/>
        <w:gridCol w:w="851"/>
        <w:gridCol w:w="851"/>
        <w:gridCol w:w="851"/>
        <w:gridCol w:w="852"/>
      </w:tblGrid>
      <w:tr w:rsidR="004843DB" w:rsidRPr="0062582F" w:rsidTr="004843DB">
        <w:trPr>
          <w:cantSplit/>
        </w:trPr>
        <w:tc>
          <w:tcPr>
            <w:tcW w:w="1702"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br/>
              <w:t>Plant, equipment and vehicles at fair value</w:t>
            </w:r>
          </w:p>
        </w:tc>
        <w:tc>
          <w:tcPr>
            <w:tcW w:w="1702"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br/>
              <w:t>Assets under construction at cost</w:t>
            </w:r>
          </w:p>
        </w:tc>
        <w:tc>
          <w:tcPr>
            <w:tcW w:w="1702"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br/>
              <w:t>Infrastructure at fair value</w:t>
            </w:r>
          </w:p>
        </w:tc>
        <w:tc>
          <w:tcPr>
            <w:tcW w:w="1702"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t>Road, infrastructure and earthworks at fair value</w:t>
            </w:r>
          </w:p>
        </w:tc>
        <w:tc>
          <w:tcPr>
            <w:tcW w:w="1702"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br/>
              <w:t>Cultural assets at fair value</w:t>
            </w:r>
          </w:p>
        </w:tc>
        <w:tc>
          <w:tcPr>
            <w:tcW w:w="1703"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br/>
            </w:r>
            <w:r w:rsidRPr="0062582F">
              <w:br/>
              <w:t>Total</w:t>
            </w:r>
          </w:p>
        </w:tc>
      </w:tr>
      <w:tr w:rsidR="004843DB" w:rsidRPr="0062582F" w:rsidTr="004843DB">
        <w:trPr>
          <w:cantSplit/>
        </w:trPr>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1"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1"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1"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1"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1"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2"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851"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18 431</w:t>
            </w:r>
          </w:p>
        </w:tc>
        <w:tc>
          <w:tcPr>
            <w:tcW w:w="85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25 781</w:t>
            </w:r>
          </w:p>
        </w:tc>
        <w:tc>
          <w:tcPr>
            <w:tcW w:w="851"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397</w:t>
            </w:r>
          </w:p>
        </w:tc>
        <w:tc>
          <w:tcPr>
            <w:tcW w:w="85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299</w:t>
            </w:r>
          </w:p>
        </w:tc>
        <w:tc>
          <w:tcPr>
            <w:tcW w:w="851"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2 708</w:t>
            </w:r>
          </w:p>
        </w:tc>
        <w:tc>
          <w:tcPr>
            <w:tcW w:w="85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1 999</w:t>
            </w:r>
          </w:p>
        </w:tc>
        <w:tc>
          <w:tcPr>
            <w:tcW w:w="851"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2 539</w:t>
            </w:r>
          </w:p>
        </w:tc>
        <w:tc>
          <w:tcPr>
            <w:tcW w:w="85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2 037</w:t>
            </w:r>
          </w:p>
        </w:tc>
        <w:tc>
          <w:tcPr>
            <w:tcW w:w="851"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w:t>
            </w:r>
          </w:p>
        </w:tc>
        <w:tc>
          <w:tcPr>
            <w:tcW w:w="85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w:t>
            </w:r>
          </w:p>
        </w:tc>
        <w:tc>
          <w:tcPr>
            <w:tcW w:w="851"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30 155</w:t>
            </w:r>
          </w:p>
        </w:tc>
        <w:tc>
          <w:tcPr>
            <w:tcW w:w="852"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33 788</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33</w:t>
            </w:r>
            <w:r w:rsidRPr="0062582F">
              <w:br/>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148</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250</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(110)</w:t>
            </w:r>
            <w:r w:rsidRPr="0062582F">
              <w:br/>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(120)</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(252)</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(243)</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2 121</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794</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54</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325</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1 325</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905</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764</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1 174</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6 578</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5 894</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( 33)</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(179)</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(220)</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(95)</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(33)</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(2 658)</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(38)</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(228)</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38</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228</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3 214</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(1 688)</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262</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3 378</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1 975</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(290)</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(165)</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(290)</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(165)</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1 089</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7 619</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62</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7 799</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5 052</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520</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6 624</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(6 341)</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(343)</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(963)</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(1 291)</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(12 385)</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(5 221)</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(4 050)</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(323)</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(203)</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(224)</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(209)</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(5 838)</w:t>
            </w:r>
          </w:p>
        </w:tc>
        <w:tc>
          <w:tcPr>
            <w:tcW w:w="85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(4 805)</w:t>
            </w:r>
          </w:p>
        </w:tc>
      </w:tr>
      <w:tr w:rsidR="004843DB" w:rsidRPr="0062582F" w:rsidTr="004843DB">
        <w:trPr>
          <w:cantSplit/>
        </w:trPr>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(3 392)</w:t>
            </w:r>
          </w:p>
        </w:tc>
        <w:tc>
          <w:tcPr>
            <w:tcW w:w="85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(3 630)</w:t>
            </w:r>
          </w:p>
        </w:tc>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(24)</w:t>
            </w:r>
          </w:p>
        </w:tc>
        <w:tc>
          <w:tcPr>
            <w:tcW w:w="85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(164)</w:t>
            </w:r>
          </w:p>
        </w:tc>
        <w:tc>
          <w:tcPr>
            <w:tcW w:w="85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(401)</w:t>
            </w:r>
          </w:p>
        </w:tc>
        <w:tc>
          <w:tcPr>
            <w:tcW w:w="85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(368)</w:t>
            </w:r>
          </w:p>
        </w:tc>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85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(4 981)</w:t>
            </w:r>
          </w:p>
        </w:tc>
        <w:tc>
          <w:tcPr>
            <w:tcW w:w="85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(4 968)</w:t>
            </w:r>
          </w:p>
        </w:tc>
      </w:tr>
      <w:tr w:rsidR="004843DB" w:rsidRPr="0062582F" w:rsidTr="004843DB">
        <w:trPr>
          <w:cantSplit/>
        </w:trPr>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21 082</w:t>
            </w:r>
          </w:p>
        </w:tc>
        <w:tc>
          <w:tcPr>
            <w:tcW w:w="85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18 431</w:t>
            </w:r>
          </w:p>
        </w:tc>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46</w:t>
            </w:r>
          </w:p>
        </w:tc>
        <w:tc>
          <w:tcPr>
            <w:tcW w:w="85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397</w:t>
            </w:r>
          </w:p>
        </w:tc>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1 514</w:t>
            </w:r>
          </w:p>
        </w:tc>
        <w:tc>
          <w:tcPr>
            <w:tcW w:w="85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2 708</w:t>
            </w:r>
          </w:p>
        </w:tc>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1 649</w:t>
            </w:r>
          </w:p>
        </w:tc>
        <w:tc>
          <w:tcPr>
            <w:tcW w:w="85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2 539</w:t>
            </w:r>
          </w:p>
        </w:tc>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85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30 903</w:t>
            </w:r>
          </w:p>
        </w:tc>
        <w:tc>
          <w:tcPr>
            <w:tcW w:w="852"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30 155</w:t>
            </w:r>
          </w:p>
        </w:tc>
      </w:tr>
    </w:tbl>
    <w:p w:rsidR="004843DB" w:rsidRPr="0062582F" w:rsidRDefault="004843DB" w:rsidP="004843DB">
      <w:pPr>
        <w:pStyle w:val="Notes"/>
      </w:pPr>
    </w:p>
    <w:p w:rsidR="004843DB" w:rsidRPr="0062582F" w:rsidRDefault="004843DB" w:rsidP="004843DB">
      <w:pPr>
        <w:pStyle w:val="Notes"/>
      </w:pPr>
    </w:p>
    <w:p w:rsidR="004843DB" w:rsidRPr="0062582F" w:rsidRDefault="004843DB" w:rsidP="004843DB">
      <w:pPr>
        <w:sectPr w:rsidR="004843DB" w:rsidRPr="0062582F" w:rsidSect="00190A01">
          <w:headerReference w:type="default" r:id="rId288"/>
          <w:headerReference w:type="first" r:id="rId289"/>
          <w:pgSz w:w="11906" w:h="16838" w:code="9"/>
          <w:pgMar w:top="1152" w:right="864" w:bottom="1152" w:left="864" w:header="432" w:footer="432" w:gutter="0"/>
          <w:cols w:space="360"/>
          <w:rtlGutter/>
        </w:sectPr>
      </w:pPr>
    </w:p>
    <w:p w:rsidR="004843DB" w:rsidRPr="0062582F" w:rsidRDefault="004843DB" w:rsidP="004843DB">
      <w:pPr>
        <w:pStyle w:val="Reference"/>
        <w:rPr>
          <w:rFonts w:ascii="Garamond" w:hAnsi="Garamond" w:cs="Times New Roman"/>
          <w:lang w:val="en-AU"/>
        </w:rPr>
      </w:pPr>
    </w:p>
    <w:p w:rsidR="004843DB" w:rsidRPr="0062582F" w:rsidRDefault="004843DB" w:rsidP="004843DB">
      <w:pPr>
        <w:pStyle w:val="NoteHeadingcontinued"/>
        <w:rPr>
          <w:i/>
        </w:rPr>
      </w:pPr>
      <w:r w:rsidRPr="0062582F">
        <w:rPr>
          <w:rFonts w:ascii="Garamond" w:hAnsi="Garamond"/>
        </w:rPr>
        <w:br w:type="column"/>
      </w:r>
      <w:r w:rsidRPr="0062582F">
        <w:t>Note 17.</w:t>
      </w:r>
      <w:r w:rsidRPr="0062582F">
        <w:tab/>
        <w:t xml:space="preserve">Property, plant and equipment </w:t>
      </w:r>
      <w:r w:rsidRPr="0062582F">
        <w:rPr>
          <w:i/>
        </w:rPr>
        <w:t>(continued)</w:t>
      </w:r>
    </w:p>
    <w:p w:rsidR="004843DB" w:rsidRPr="0062582F" w:rsidRDefault="004843DB" w:rsidP="00E348C3">
      <w:pPr>
        <w:pStyle w:val="Tableheading"/>
      </w:pPr>
      <w:r w:rsidRPr="0062582F">
        <w:t>Table 17.5:</w:t>
      </w:r>
      <w:r w:rsidRPr="0062582F">
        <w:tab/>
        <w:t>Movements in carrying amounts for all purpose groups</w:t>
      </w:r>
    </w:p>
    <w:p w:rsidR="004843DB" w:rsidRPr="0062582F" w:rsidRDefault="004843DB" w:rsidP="004843DB">
      <w:pPr>
        <w:pStyle w:val="million"/>
        <w:sectPr w:rsidR="004843DB" w:rsidRPr="0062582F" w:rsidSect="00190A01">
          <w:headerReference w:type="even" r:id="rId290"/>
          <w:headerReference w:type="default" r:id="rId291"/>
          <w:footerReference w:type="default" r:id="rId292"/>
          <w:headerReference w:type="first" r:id="rId293"/>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pPr>
      <w:r w:rsidRPr="0062582F">
        <w:t>FRD 103F</w:t>
      </w:r>
    </w:p>
    <w:p w:rsidR="004843DB" w:rsidRPr="0062582F" w:rsidRDefault="004843DB" w:rsidP="004843DB">
      <w:pPr>
        <w:pStyle w:val="Reference"/>
        <w:spacing w:before="0"/>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360"/>
      </w:pPr>
      <w:r w:rsidRPr="0062582F">
        <w:t>AASB 116.73(d)</w:t>
      </w:r>
    </w:p>
    <w:p w:rsidR="004843DB" w:rsidRPr="0062582F" w:rsidRDefault="004843DB" w:rsidP="004843DB">
      <w:pPr>
        <w:pStyle w:val="Reference"/>
        <w:spacing w:before="80"/>
      </w:pPr>
      <w:r w:rsidRPr="0062582F">
        <w:rPr>
          <w:rStyle w:val="ReferenceChar"/>
        </w:rPr>
        <w:t>AASB 116.73(e)(ix</w:t>
      </w:r>
      <w:r w:rsidRPr="0062582F">
        <w:t>)</w:t>
      </w:r>
    </w:p>
    <w:p w:rsidR="004843DB" w:rsidRPr="0062582F" w:rsidRDefault="004843DB" w:rsidP="004843DB">
      <w:pPr>
        <w:pStyle w:val="SmallLine"/>
      </w:pPr>
    </w:p>
    <w:p w:rsidR="004843DB" w:rsidRPr="0062582F" w:rsidRDefault="004843DB" w:rsidP="004843DB">
      <w:pPr>
        <w:pStyle w:val="Reference"/>
        <w:spacing w:before="240"/>
      </w:pPr>
      <w:r w:rsidRPr="0062582F">
        <w:t>AASB 116.73(e)(ix)</w:t>
      </w:r>
    </w:p>
    <w:p w:rsidR="004843DB" w:rsidRPr="0062582F" w:rsidRDefault="004843DB" w:rsidP="004843DB">
      <w:pPr>
        <w:pStyle w:val="Reference"/>
        <w:spacing w:before="320"/>
      </w:pPr>
      <w:r w:rsidRPr="0062582F">
        <w:t>AASB 116.73(e)(i)</w:t>
      </w:r>
    </w:p>
    <w:p w:rsidR="004843DB" w:rsidRPr="0062582F" w:rsidRDefault="004843DB" w:rsidP="004843DB">
      <w:pPr>
        <w:pStyle w:val="Reference"/>
        <w:spacing w:before="60"/>
      </w:pPr>
      <w:r w:rsidRPr="0062582F">
        <w:t>AASB 116.73(e)(ii)</w:t>
      </w:r>
    </w:p>
    <w:p w:rsidR="004843DB" w:rsidRPr="0062582F" w:rsidRDefault="004843DB" w:rsidP="004843DB">
      <w:pPr>
        <w:pStyle w:val="Reference"/>
        <w:spacing w:before="80"/>
      </w:pPr>
      <w:r w:rsidRPr="0062582F">
        <w:t>AASB 116.74(b)</w:t>
      </w:r>
    </w:p>
    <w:p w:rsidR="004843DB" w:rsidRPr="0062582F" w:rsidRDefault="004843DB" w:rsidP="004843DB">
      <w:pPr>
        <w:pStyle w:val="Reference"/>
        <w:spacing w:before="80"/>
        <w:rPr>
          <w:szCs w:val="6"/>
        </w:rPr>
      </w:pPr>
      <w:r w:rsidRPr="0062582F">
        <w:t>AASB 116.73(e)(iv)</w:t>
      </w:r>
    </w:p>
    <w:p w:rsidR="004843DB" w:rsidRPr="0062582F" w:rsidRDefault="004843DB" w:rsidP="004843DB">
      <w:pPr>
        <w:pStyle w:val="Reference"/>
        <w:spacing w:before="80"/>
      </w:pPr>
      <w:r w:rsidRPr="0062582F">
        <w:t xml:space="preserve">AASB 116.73(e)(v) </w:t>
      </w:r>
    </w:p>
    <w:p w:rsidR="004843DB" w:rsidRPr="0062582F" w:rsidRDefault="004843DB" w:rsidP="004843DB">
      <w:pPr>
        <w:pStyle w:val="Reference"/>
        <w:spacing w:before="100"/>
        <w:rPr>
          <w:rStyle w:val="ReferenceChar"/>
        </w:rPr>
      </w:pPr>
      <w:r w:rsidRPr="0062582F">
        <w:rPr>
          <w:rStyle w:val="ReferenceChar"/>
        </w:rPr>
        <w:t>AASB 116.73(e)(ix)</w:t>
      </w:r>
    </w:p>
    <w:p w:rsidR="004843DB" w:rsidRPr="0062582F" w:rsidRDefault="004843DB" w:rsidP="004843DB">
      <w:pPr>
        <w:pStyle w:val="Reference"/>
        <w:spacing w:before="80"/>
      </w:pPr>
      <w:r w:rsidRPr="0062582F">
        <w:t>AASB 116.73(e)(ix)</w:t>
      </w:r>
    </w:p>
    <w:p w:rsidR="004843DB" w:rsidRPr="0062582F" w:rsidRDefault="004843DB" w:rsidP="004843DB">
      <w:pPr>
        <w:pStyle w:val="Reference"/>
        <w:spacing w:before="80"/>
      </w:pPr>
      <w:r w:rsidRPr="0062582F">
        <w:t xml:space="preserve">AASB 116.73(e)(iii) </w:t>
      </w:r>
    </w:p>
    <w:p w:rsidR="004843DB" w:rsidRPr="0062582F" w:rsidRDefault="004843DB" w:rsidP="004843DB">
      <w:pPr>
        <w:pStyle w:val="Reference"/>
        <w:spacing w:before="100"/>
      </w:pPr>
      <w:r w:rsidRPr="0062582F">
        <w:t xml:space="preserve">AASB 116.73(e)(iii) </w:t>
      </w:r>
    </w:p>
    <w:p w:rsidR="004843DB" w:rsidRPr="0062582F" w:rsidRDefault="004843DB" w:rsidP="004843DB">
      <w:pPr>
        <w:pStyle w:val="Reference"/>
        <w:spacing w:before="80"/>
      </w:pPr>
      <w:r w:rsidRPr="0062582F">
        <w:t>AASB 116.73(e)(ii)</w:t>
      </w:r>
    </w:p>
    <w:p w:rsidR="004843DB" w:rsidRPr="0062582F" w:rsidRDefault="004843DB" w:rsidP="004843DB">
      <w:pPr>
        <w:pStyle w:val="Reference"/>
        <w:spacing w:before="80"/>
        <w:rPr>
          <w:rStyle w:val="ReferenceChar"/>
        </w:rPr>
      </w:pPr>
      <w:r w:rsidRPr="0062582F">
        <w:rPr>
          <w:rStyle w:val="ReferenceChar"/>
        </w:rPr>
        <w:t>AASB 116.73(e)(vii)</w:t>
      </w:r>
    </w:p>
    <w:p w:rsidR="004843DB" w:rsidRPr="0062582F" w:rsidRDefault="004843DB" w:rsidP="004843DB">
      <w:pPr>
        <w:pStyle w:val="Reference"/>
        <w:spacing w:before="80"/>
      </w:pPr>
      <w:r w:rsidRPr="0062582F">
        <w:t>AASB 116.73(e)(ii)</w:t>
      </w:r>
    </w:p>
    <w:p w:rsidR="004843DB" w:rsidRPr="0062582F" w:rsidRDefault="004843DB" w:rsidP="004843DB">
      <w:pPr>
        <w:pStyle w:val="Reference"/>
        <w:spacing w:before="80"/>
      </w:pPr>
      <w:r w:rsidRPr="0062582F">
        <w:t>AASB 116.73(d)</w:t>
      </w:r>
    </w:p>
    <w:p w:rsidR="004843DB" w:rsidRPr="0062582F" w:rsidRDefault="004843DB" w:rsidP="004843DB">
      <w:pPr>
        <w:pStyle w:val="million"/>
      </w:pPr>
      <w:r w:rsidRPr="0062582F">
        <w:br w:type="column"/>
        <w:t>($ thousand)</w:t>
      </w:r>
    </w:p>
    <w:tbl>
      <w:tblPr>
        <w:tblW w:w="8453" w:type="dxa"/>
        <w:tblLayout w:type="fixed"/>
        <w:tblCellMar>
          <w:left w:w="43" w:type="dxa"/>
          <w:right w:w="43" w:type="dxa"/>
        </w:tblCellMar>
        <w:tblLook w:val="04A0" w:firstRow="1" w:lastRow="0" w:firstColumn="1" w:lastColumn="0" w:noHBand="0" w:noVBand="1"/>
      </w:tblPr>
      <w:tblGrid>
        <w:gridCol w:w="3634"/>
        <w:gridCol w:w="709"/>
        <w:gridCol w:w="850"/>
        <w:gridCol w:w="851"/>
        <w:gridCol w:w="850"/>
        <w:gridCol w:w="851"/>
        <w:gridCol w:w="708"/>
      </w:tblGrid>
      <w:tr w:rsidR="004843DB" w:rsidRPr="0062582F" w:rsidTr="004843DB">
        <w:trPr>
          <w:trHeight w:val="475"/>
        </w:trPr>
        <w:tc>
          <w:tcPr>
            <w:tcW w:w="3634" w:type="dxa"/>
            <w:tcBorders>
              <w:top w:val="single" w:sz="6" w:space="0" w:color="auto"/>
              <w:left w:val="nil"/>
              <w:bottom w:val="nil"/>
              <w:right w:val="nil"/>
            </w:tcBorders>
            <w:shd w:val="clear" w:color="auto" w:fill="auto"/>
            <w:hideMark/>
          </w:tcPr>
          <w:p w:rsidR="004843DB" w:rsidRPr="0062582F" w:rsidRDefault="004843DB" w:rsidP="004843DB">
            <w:pPr>
              <w:pStyle w:val="Tabletext"/>
            </w:pPr>
          </w:p>
        </w:tc>
        <w:tc>
          <w:tcPr>
            <w:tcW w:w="1559"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rPr>
                <w:rFonts w:ascii="Arial" w:hAnsi="Arial"/>
                <w:sz w:val="20"/>
              </w:rPr>
            </w:pPr>
            <w:r w:rsidRPr="0062582F">
              <w:t>Public Administration</w:t>
            </w:r>
          </w:p>
        </w:tc>
        <w:tc>
          <w:tcPr>
            <w:tcW w:w="1701"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rPr>
                <w:sz w:val="20"/>
              </w:rPr>
            </w:pPr>
            <w:r w:rsidRPr="0062582F">
              <w:t>Public safety and environment</w:t>
            </w:r>
          </w:p>
        </w:tc>
        <w:tc>
          <w:tcPr>
            <w:tcW w:w="1559"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rPr>
                <w:sz w:val="20"/>
              </w:rPr>
            </w:pPr>
            <w:r w:rsidRPr="0062582F">
              <w:br/>
              <w:t>Total</w:t>
            </w:r>
          </w:p>
        </w:tc>
      </w:tr>
      <w:tr w:rsidR="004843DB" w:rsidRPr="0062582F" w:rsidTr="004843DB">
        <w:trPr>
          <w:trHeight w:val="255"/>
        </w:trPr>
        <w:tc>
          <w:tcPr>
            <w:tcW w:w="3634" w:type="dxa"/>
            <w:tcBorders>
              <w:top w:val="nil"/>
              <w:left w:val="nil"/>
              <w:bottom w:val="single" w:sz="6" w:space="0" w:color="auto"/>
              <w:right w:val="nil"/>
            </w:tcBorders>
            <w:shd w:val="clear" w:color="auto" w:fill="auto"/>
            <w:hideMark/>
          </w:tcPr>
          <w:p w:rsidR="004843DB" w:rsidRPr="0062582F" w:rsidRDefault="004843DB" w:rsidP="004843DB">
            <w:pPr>
              <w:pStyle w:val="Tabletext"/>
            </w:pPr>
            <w:r w:rsidRPr="0062582F">
              <w:t xml:space="preserve"> </w:t>
            </w:r>
          </w:p>
        </w:tc>
        <w:tc>
          <w:tcPr>
            <w:tcW w:w="709"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85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1"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textheading"/>
            </w:pPr>
            <w:r w:rsidRPr="0062582F">
              <w:t>2016</w:t>
            </w:r>
          </w:p>
        </w:tc>
        <w:tc>
          <w:tcPr>
            <w:tcW w:w="708"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trHeight w:val="255"/>
        </w:trPr>
        <w:tc>
          <w:tcPr>
            <w:tcW w:w="3634" w:type="dxa"/>
            <w:tcBorders>
              <w:top w:val="single" w:sz="6"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Opening balance</w:t>
            </w:r>
          </w:p>
        </w:tc>
        <w:tc>
          <w:tcPr>
            <w:tcW w:w="709"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46 652</w:t>
            </w:r>
          </w:p>
        </w:tc>
        <w:tc>
          <w:tcPr>
            <w:tcW w:w="85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51 226</w:t>
            </w:r>
          </w:p>
        </w:tc>
        <w:tc>
          <w:tcPr>
            <w:tcW w:w="851"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30 155</w:t>
            </w:r>
          </w:p>
        </w:tc>
        <w:tc>
          <w:tcPr>
            <w:tcW w:w="85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33 788</w:t>
            </w:r>
          </w:p>
        </w:tc>
        <w:tc>
          <w:tcPr>
            <w:tcW w:w="851"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76 807</w:t>
            </w:r>
          </w:p>
        </w:tc>
        <w:tc>
          <w:tcPr>
            <w:tcW w:w="708"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85 014</w:t>
            </w:r>
          </w:p>
        </w:tc>
      </w:tr>
      <w:tr w:rsidR="004843DB" w:rsidRPr="0062582F" w:rsidTr="004843DB">
        <w:trPr>
          <w:cantSplit/>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Fair value of assets received free of charge or for nominal considerations</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342</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616</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148</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250</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490</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866</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Fair value of assets provided free of charge or for nominal considerations</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(154)</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(15)</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(252)</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(243)</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(406)</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(258)</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Additions</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9 886</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11 515</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6 578</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5 894</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16 464</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17 408</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Disposals</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(409)</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(2 492)</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(33)</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(2 658)</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(442)</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(5 150)</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Transfer in/out of assets under construction</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Revaluation of PPE</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3 631</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1 014</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3 378</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1 975</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7 009</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2 989</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Impairment of assets</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(1 225)</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(469)</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(290)</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(165)</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(1 515)</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(634)</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Transfer from investment property</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405</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1 089</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1 494</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Transfer to investment property</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(1 063)</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(1 063)</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Purchased – business combination</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12 593</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7 799</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20 392</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Machinery of government transfer in</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8 888</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6 624</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15 512</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Machinery of government transfer out</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(18 627)</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(12 385)</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(31 012)</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trHeight w:val="255"/>
        </w:trPr>
        <w:tc>
          <w:tcPr>
            <w:tcW w:w="3634" w:type="dxa"/>
            <w:tcBorders>
              <w:top w:val="nil"/>
              <w:left w:val="nil"/>
              <w:bottom w:val="nil"/>
              <w:right w:val="nil"/>
            </w:tcBorders>
            <w:shd w:val="clear" w:color="auto" w:fill="auto"/>
            <w:hideMark/>
          </w:tcPr>
          <w:p w:rsidR="004843DB" w:rsidRPr="0062582F" w:rsidRDefault="004843DB" w:rsidP="004843DB">
            <w:pPr>
              <w:pStyle w:val="Tabletext"/>
            </w:pPr>
            <w:r w:rsidRPr="0062582F">
              <w:t>Depreciation</w:t>
            </w:r>
          </w:p>
        </w:tc>
        <w:tc>
          <w:tcPr>
            <w:tcW w:w="70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(8 053)</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(8 086)</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(5 838)</w:t>
            </w:r>
          </w:p>
        </w:tc>
        <w:tc>
          <w:tcPr>
            <w:tcW w:w="85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(4 805)</w:t>
            </w:r>
          </w:p>
        </w:tc>
        <w:tc>
          <w:tcPr>
            <w:tcW w:w="85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(13 891)</w:t>
            </w:r>
          </w:p>
        </w:tc>
        <w:tc>
          <w:tcPr>
            <w:tcW w:w="70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(12 892)</w:t>
            </w:r>
          </w:p>
        </w:tc>
      </w:tr>
      <w:tr w:rsidR="004843DB" w:rsidRPr="0062582F" w:rsidTr="004843DB">
        <w:trPr>
          <w:trHeight w:val="255"/>
        </w:trPr>
        <w:tc>
          <w:tcPr>
            <w:tcW w:w="3634"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Transfer to disposal group held for sale</w:t>
            </w:r>
          </w:p>
        </w:tc>
        <w:tc>
          <w:tcPr>
            <w:tcW w:w="70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(320)</w:t>
            </w:r>
          </w:p>
        </w:tc>
        <w:tc>
          <w:tcPr>
            <w:tcW w:w="8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(7 062)</w:t>
            </w:r>
          </w:p>
        </w:tc>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(4 981)</w:t>
            </w:r>
          </w:p>
        </w:tc>
        <w:tc>
          <w:tcPr>
            <w:tcW w:w="85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(4 968)</w:t>
            </w:r>
          </w:p>
        </w:tc>
        <w:tc>
          <w:tcPr>
            <w:tcW w:w="85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(5 301)</w:t>
            </w:r>
          </w:p>
        </w:tc>
        <w:tc>
          <w:tcPr>
            <w:tcW w:w="708"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(12 031)</w:t>
            </w:r>
          </w:p>
        </w:tc>
      </w:tr>
      <w:tr w:rsidR="004843DB" w:rsidRPr="0062582F" w:rsidTr="004843DB">
        <w:trPr>
          <w:trHeight w:val="270"/>
        </w:trPr>
        <w:tc>
          <w:tcPr>
            <w:tcW w:w="3634"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Closing balance</w:t>
            </w:r>
          </w:p>
        </w:tc>
        <w:tc>
          <w:tcPr>
            <w:tcW w:w="709"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52 141</w:t>
            </w:r>
          </w:p>
        </w:tc>
        <w:tc>
          <w:tcPr>
            <w:tcW w:w="85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46 652</w:t>
            </w:r>
          </w:p>
        </w:tc>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30 903</w:t>
            </w:r>
          </w:p>
        </w:tc>
        <w:tc>
          <w:tcPr>
            <w:tcW w:w="85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30 155</w:t>
            </w:r>
          </w:p>
        </w:tc>
        <w:tc>
          <w:tcPr>
            <w:tcW w:w="85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83 044</w:t>
            </w:r>
          </w:p>
        </w:tc>
        <w:tc>
          <w:tcPr>
            <w:tcW w:w="708"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76 807</w:t>
            </w:r>
          </w:p>
        </w:tc>
      </w:tr>
    </w:tbl>
    <w:p w:rsidR="004843DB" w:rsidRPr="0062582F" w:rsidRDefault="004843DB" w:rsidP="004843DB">
      <w:pPr>
        <w:pStyle w:val="million"/>
        <w:ind w:left="4536"/>
        <w:jc w:val="left"/>
        <w:rPr>
          <w:rFonts w:ascii="Garamond" w:hAnsi="Garamond" w:cs="Times New Roman"/>
        </w:rPr>
      </w:pPr>
    </w:p>
    <w:p w:rsidR="004843DB" w:rsidRPr="0062582F" w:rsidRDefault="004843DB" w:rsidP="00E348C3">
      <w:pPr>
        <w:pStyle w:val="Tableheading"/>
      </w:pPr>
    </w:p>
    <w:p w:rsidR="004843DB" w:rsidRPr="0062582F" w:rsidRDefault="004843DB" w:rsidP="004843DB"/>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t>AASB </w:t>
      </w:r>
      <w:r w:rsidRPr="0062582F">
        <w:rPr>
          <w:lang w:val="en-AU"/>
        </w:rPr>
        <w:t>116.75(a)</w:t>
      </w:r>
    </w:p>
    <w:p w:rsidR="004843DB" w:rsidRPr="0062582F" w:rsidRDefault="004843DB" w:rsidP="00E348C3">
      <w:pPr>
        <w:pStyle w:val="Tableheading"/>
      </w:pPr>
      <w:r w:rsidRPr="0062582F">
        <w:br w:type="column"/>
        <w:t>Table 17.6:</w:t>
      </w:r>
      <w:r w:rsidRPr="0062582F">
        <w:tab/>
        <w:t>Aggregate depreciation recognised as an expense during the year</w:t>
      </w:r>
      <w:r w:rsidRPr="0062582F">
        <w:rPr>
          <w:vertAlign w:val="superscript"/>
        </w:rPr>
        <w:t>(i)(ii)</w:t>
      </w:r>
    </w:p>
    <w:p w:rsidR="004843DB" w:rsidRPr="0062582F" w:rsidRDefault="004843DB" w:rsidP="004843DB">
      <w:pPr>
        <w:pStyle w:val="million"/>
        <w:ind w:left="-1134"/>
        <w:rPr>
          <w:rFonts w:ascii="Tahoma" w:hAnsi="Tahoma" w:cs="Tahoma"/>
          <w:sz w:val="20"/>
        </w:rPr>
      </w:pPr>
      <w:r w:rsidRPr="0062582F">
        <w:t>($ thousand)</w:t>
      </w:r>
      <w:bookmarkStart w:id="450" w:name="_Toc163448778"/>
    </w:p>
    <w:tbl>
      <w:tblPr>
        <w:tblW w:w="8046" w:type="dxa"/>
        <w:tblLayout w:type="fixed"/>
        <w:tblCellMar>
          <w:left w:w="43" w:type="dxa"/>
          <w:right w:w="43" w:type="dxa"/>
        </w:tblCellMar>
        <w:tblLook w:val="04A0" w:firstRow="1" w:lastRow="0" w:firstColumn="1" w:lastColumn="0" w:noHBand="0" w:noVBand="1"/>
      </w:tblPr>
      <w:tblGrid>
        <w:gridCol w:w="5581"/>
        <w:gridCol w:w="1323"/>
        <w:gridCol w:w="1142"/>
      </w:tblGrid>
      <w:tr w:rsidR="004843DB" w:rsidRPr="0062582F" w:rsidTr="004843DB">
        <w:trPr>
          <w:cantSplit/>
        </w:trPr>
        <w:tc>
          <w:tcPr>
            <w:tcW w:w="5581"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323"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142"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581" w:type="dxa"/>
            <w:tcBorders>
              <w:top w:val="nil"/>
              <w:left w:val="nil"/>
              <w:bottom w:val="nil"/>
              <w:right w:val="nil"/>
            </w:tcBorders>
            <w:shd w:val="clear" w:color="auto" w:fill="auto"/>
            <w:hideMark/>
          </w:tcPr>
          <w:p w:rsidR="004843DB" w:rsidRPr="0062582F" w:rsidRDefault="004843DB" w:rsidP="004843DB">
            <w:pPr>
              <w:pStyle w:val="Tabletext"/>
            </w:pPr>
            <w:r w:rsidRPr="0062582F">
              <w:t>Buildings at fair value</w:t>
            </w:r>
          </w:p>
        </w:tc>
        <w:tc>
          <w:tcPr>
            <w:tcW w:w="1323"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587</w:t>
            </w:r>
          </w:p>
        </w:tc>
        <w:tc>
          <w:tcPr>
            <w:tcW w:w="114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738</w:t>
            </w:r>
          </w:p>
        </w:tc>
      </w:tr>
      <w:tr w:rsidR="004843DB" w:rsidRPr="0062582F" w:rsidTr="004843DB">
        <w:trPr>
          <w:cantSplit/>
        </w:trPr>
        <w:tc>
          <w:tcPr>
            <w:tcW w:w="5581" w:type="dxa"/>
            <w:tcBorders>
              <w:top w:val="nil"/>
              <w:left w:val="nil"/>
              <w:bottom w:val="nil"/>
              <w:right w:val="nil"/>
            </w:tcBorders>
            <w:shd w:val="clear" w:color="auto" w:fill="auto"/>
            <w:hideMark/>
          </w:tcPr>
          <w:p w:rsidR="004843DB" w:rsidRPr="0062582F" w:rsidRDefault="004843DB" w:rsidP="004843DB">
            <w:pPr>
              <w:pStyle w:val="Tabletext"/>
            </w:pPr>
            <w:r w:rsidRPr="0062582F">
              <w:t>Plant, equipment and vehicles at fair value</w:t>
            </w:r>
          </w:p>
        </w:tc>
        <w:tc>
          <w:tcPr>
            <w:tcW w:w="1323"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12 347</w:t>
            </w:r>
          </w:p>
        </w:tc>
        <w:tc>
          <w:tcPr>
            <w:tcW w:w="114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11 622</w:t>
            </w:r>
          </w:p>
        </w:tc>
      </w:tr>
      <w:tr w:rsidR="004843DB" w:rsidRPr="0062582F" w:rsidTr="004843DB">
        <w:trPr>
          <w:cantSplit/>
        </w:trPr>
        <w:tc>
          <w:tcPr>
            <w:tcW w:w="5581" w:type="dxa"/>
            <w:tcBorders>
              <w:top w:val="nil"/>
              <w:left w:val="nil"/>
              <w:bottom w:val="nil"/>
              <w:right w:val="nil"/>
            </w:tcBorders>
            <w:shd w:val="clear" w:color="auto" w:fill="auto"/>
            <w:hideMark/>
          </w:tcPr>
          <w:p w:rsidR="004843DB" w:rsidRPr="0062582F" w:rsidRDefault="004843DB" w:rsidP="004843DB">
            <w:pPr>
              <w:pStyle w:val="Tabletext"/>
            </w:pPr>
            <w:r w:rsidRPr="0062582F">
              <w:t>Infrastructure at fair value</w:t>
            </w:r>
          </w:p>
        </w:tc>
        <w:tc>
          <w:tcPr>
            <w:tcW w:w="1323"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427</w:t>
            </w:r>
          </w:p>
        </w:tc>
        <w:tc>
          <w:tcPr>
            <w:tcW w:w="114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260</w:t>
            </w:r>
          </w:p>
        </w:tc>
      </w:tr>
      <w:tr w:rsidR="004843DB" w:rsidRPr="0062582F" w:rsidTr="004843DB">
        <w:trPr>
          <w:cantSplit/>
        </w:trPr>
        <w:tc>
          <w:tcPr>
            <w:tcW w:w="5581" w:type="dxa"/>
            <w:tcBorders>
              <w:top w:val="nil"/>
              <w:left w:val="nil"/>
              <w:bottom w:val="nil"/>
              <w:right w:val="nil"/>
            </w:tcBorders>
            <w:shd w:val="clear" w:color="auto" w:fill="auto"/>
            <w:hideMark/>
          </w:tcPr>
          <w:p w:rsidR="004843DB" w:rsidRPr="0062582F" w:rsidRDefault="004843DB" w:rsidP="004843DB">
            <w:pPr>
              <w:pStyle w:val="Tabletext"/>
            </w:pPr>
            <w:r w:rsidRPr="0062582F">
              <w:t>Road, infrastructure and earthworks at fair value</w:t>
            </w:r>
          </w:p>
        </w:tc>
        <w:tc>
          <w:tcPr>
            <w:tcW w:w="1323"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530</w:t>
            </w:r>
          </w:p>
        </w:tc>
        <w:tc>
          <w:tcPr>
            <w:tcW w:w="1142"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272</w:t>
            </w:r>
          </w:p>
        </w:tc>
      </w:tr>
      <w:tr w:rsidR="004843DB" w:rsidRPr="0062582F" w:rsidTr="004843DB">
        <w:trPr>
          <w:cantSplit/>
        </w:trPr>
        <w:tc>
          <w:tcPr>
            <w:tcW w:w="5581"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Cultural assets at fair value</w:t>
            </w:r>
          </w:p>
        </w:tc>
        <w:tc>
          <w:tcPr>
            <w:tcW w:w="1323"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142"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58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1323" w:type="dxa"/>
            <w:tcBorders>
              <w:top w:val="single" w:sz="4" w:space="0" w:color="auto"/>
              <w:left w:val="nil"/>
              <w:bottom w:val="single" w:sz="12" w:space="0" w:color="auto"/>
              <w:right w:val="nil"/>
            </w:tcBorders>
            <w:shd w:val="clear" w:color="00FFFF" w:fill="C0C0C0"/>
            <w:noWrap/>
            <w:hideMark/>
          </w:tcPr>
          <w:p w:rsidR="004843DB" w:rsidRPr="0062582F" w:rsidRDefault="004843DB" w:rsidP="004843DB">
            <w:pPr>
              <w:pStyle w:val="TableofFigures"/>
              <w:rPr>
                <w:b/>
              </w:rPr>
            </w:pPr>
            <w:r w:rsidRPr="0062582F">
              <w:rPr>
                <w:b/>
              </w:rPr>
              <w:t>13 891</w:t>
            </w:r>
          </w:p>
        </w:tc>
        <w:tc>
          <w:tcPr>
            <w:tcW w:w="1142"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12 892</w:t>
            </w:r>
          </w:p>
        </w:tc>
      </w:tr>
    </w:tbl>
    <w:p w:rsidR="004843DB" w:rsidRPr="0062582F" w:rsidRDefault="004843DB" w:rsidP="004843DB">
      <w:pPr>
        <w:pStyle w:val="Notes"/>
        <w:tabs>
          <w:tab w:val="clear" w:pos="454"/>
        </w:tabs>
        <w:ind w:left="0" w:firstLine="0"/>
      </w:pPr>
      <w:r w:rsidRPr="0062582F">
        <w:t>Notes:</w:t>
      </w:r>
    </w:p>
    <w:p w:rsidR="004843DB" w:rsidRPr="0062582F" w:rsidRDefault="004843DB" w:rsidP="004843DB">
      <w:pPr>
        <w:pStyle w:val="Notes"/>
        <w:tabs>
          <w:tab w:val="clear" w:pos="454"/>
          <w:tab w:val="left" w:pos="462"/>
        </w:tabs>
        <w:ind w:left="462" w:hanging="46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rPr>
          <w:lang w:val="en-AU"/>
        </w:rPr>
        <w:t>AASB 116.73(c)</w:t>
      </w:r>
    </w:p>
    <w:p w:rsidR="004843DB" w:rsidRPr="0062582F" w:rsidRDefault="004843DB" w:rsidP="004843DB">
      <w:pPr>
        <w:pStyle w:val="Notes"/>
      </w:pPr>
      <w:r w:rsidRPr="0062582F">
        <w:br w:type="column"/>
        <w:t>(i)</w:t>
      </w:r>
      <w:r w:rsidRPr="0062582F">
        <w:tab/>
        <w:t>The useful lives of assets as stated in Note 1 are used in the calculation of depreciation.</w:t>
      </w:r>
    </w:p>
    <w:p w:rsidR="004843DB" w:rsidRPr="0062582F" w:rsidRDefault="004843DB" w:rsidP="004843DB">
      <w:pPr>
        <w:pStyle w:val="Notes"/>
      </w:pPr>
      <w:r w:rsidRPr="00D4045B">
        <w:rPr>
          <w:color w:val="0000FF"/>
        </w:rPr>
        <w:t>(ii)</w:t>
      </w:r>
      <w:r w:rsidRPr="00D4045B">
        <w:rPr>
          <w:color w:val="0000FF"/>
        </w:rPr>
        <w:tab/>
        <w:t>[Entities may choose to disclose these amounts for accumulated depreciation expenses either as part of their expenses note or the property, plant and equipment note as per the Model.]</w:t>
      </w:r>
    </w:p>
    <w:bookmarkEnd w:id="450"/>
    <w:p w:rsidR="004843DB" w:rsidRPr="0062582F" w:rsidRDefault="004843DB" w:rsidP="004843DB"/>
    <w:p w:rsidR="004843DB" w:rsidRPr="0062582F" w:rsidRDefault="004843DB" w:rsidP="004843DB">
      <w:pPr>
        <w:spacing w:before="0" w:line="240" w:lineRule="atLeast"/>
        <w:rPr>
          <w:rFonts w:ascii="Calibri" w:hAnsi="Calibri" w:cs="Arial Narrow"/>
          <w:color w:val="0000FF"/>
          <w:sz w:val="16"/>
          <w:szCs w:val="16"/>
          <w:lang w:val="en-GB"/>
        </w:rPr>
      </w:pPr>
      <w:bookmarkStart w:id="451" w:name="_Toc163448779"/>
      <w:r w:rsidRPr="0062582F">
        <w:br w:type="page"/>
      </w:r>
    </w:p>
    <w:p w:rsidR="004843DB" w:rsidRPr="0062582F" w:rsidRDefault="004843DB" w:rsidP="004843DB">
      <w:pPr>
        <w:pStyle w:val="Reference"/>
      </w:pPr>
    </w:p>
    <w:p w:rsidR="004843DB" w:rsidRPr="0062582F" w:rsidRDefault="004843DB" w:rsidP="004843DB">
      <w:pPr>
        <w:pStyle w:val="ReferenceRed"/>
        <w:spacing w:before="400"/>
      </w:pPr>
      <w:r w:rsidRPr="0062582F">
        <w:t>Revised</w:t>
      </w:r>
    </w:p>
    <w:p w:rsidR="004843DB" w:rsidRPr="0062582F" w:rsidRDefault="004843DB" w:rsidP="004843DB">
      <w:pPr>
        <w:pStyle w:val="NoteHeadingcontinued"/>
        <w:rPr>
          <w:i/>
        </w:rPr>
      </w:pPr>
      <w:r w:rsidRPr="0062582F">
        <w:rPr>
          <w:rFonts w:eastAsia="Times New Roman"/>
          <w:i/>
          <w:iCs/>
          <w:sz w:val="18"/>
          <w:szCs w:val="18"/>
          <w:lang w:eastAsia="en-US"/>
        </w:rPr>
        <w:br w:type="column"/>
      </w:r>
      <w:r w:rsidRPr="0062582F">
        <w:t>Note 17.</w:t>
      </w:r>
      <w:r w:rsidRPr="0062582F">
        <w:tab/>
        <w:t xml:space="preserve">Property, plant and equipment </w:t>
      </w:r>
      <w:r w:rsidRPr="0062582F">
        <w:rPr>
          <w:i/>
        </w:rPr>
        <w:t>(continued)</w:t>
      </w:r>
    </w:p>
    <w:p w:rsidR="004843DB" w:rsidRPr="0062582F" w:rsidRDefault="004843DB" w:rsidP="00B35985">
      <w:pPr>
        <w:pStyle w:val="Tableheading"/>
        <w:ind w:left="0" w:firstLine="0"/>
      </w:pPr>
      <w:r w:rsidRPr="0062582F">
        <w:t>[</w:t>
      </w:r>
      <w:r w:rsidRPr="0062582F">
        <w:rPr>
          <w:lang w:val="en-GB"/>
        </w:rPr>
        <w:t>Note: Fair value information should also be disclosed for the comparative period of 2014</w:t>
      </w:r>
      <w:r w:rsidR="005A4BB0">
        <w:rPr>
          <w:lang w:val="en-GB"/>
        </w:rPr>
        <w:noBreakHyphen/>
      </w:r>
      <w:r w:rsidRPr="0062582F">
        <w:rPr>
          <w:lang w:val="en-GB"/>
        </w:rPr>
        <w:t>15 – please refer to Tables 17.8,</w:t>
      </w:r>
      <w:r w:rsidR="005A4BB0">
        <w:rPr>
          <w:lang w:val="en-GB"/>
        </w:rPr>
        <w:t xml:space="preserve"> </w:t>
      </w:r>
      <w:r w:rsidRPr="0062582F">
        <w:rPr>
          <w:lang w:val="en-GB"/>
        </w:rPr>
        <w:t>17.10 and 17.11.</w:t>
      </w:r>
      <w:r w:rsidRPr="0062582F">
        <w:t>]</w:t>
      </w:r>
    </w:p>
    <w:p w:rsidR="004843DB" w:rsidRPr="0062582F" w:rsidRDefault="004843DB" w:rsidP="00E348C3">
      <w:pPr>
        <w:pStyle w:val="Tableheading"/>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t>Table 17.7:</w:t>
      </w:r>
      <w:r w:rsidRPr="0062582F">
        <w:tab/>
        <w:t>Fair value measurement hierarchy for assets as at 30 June</w:t>
      </w:r>
      <w:r w:rsidRPr="0062582F">
        <w:rPr>
          <w:rFonts w:cstheme="minorHAnsi"/>
          <w:color w:val="000000"/>
          <w:lang w:val="en-GB"/>
        </w:rPr>
        <w:t xml:space="preserve"> </w:t>
      </w:r>
      <w:r w:rsidRPr="0062582F">
        <w:t>2016</w:t>
      </w:r>
    </w:p>
    <w:p w:rsidR="004843DB" w:rsidRPr="0062582F" w:rsidRDefault="004843DB" w:rsidP="004843DB">
      <w:pPr>
        <w:pStyle w:val="Reference"/>
      </w:pPr>
      <w:r w:rsidRPr="0062582F">
        <w:t>AASB 13. 93 (a)(b)</w:t>
      </w:r>
    </w:p>
    <w:p w:rsidR="004843DB" w:rsidRPr="0062582F" w:rsidRDefault="004843DB" w:rsidP="004843DB">
      <w:pPr>
        <w:pStyle w:val="ReferenceRed"/>
      </w:pPr>
    </w:p>
    <w:p w:rsidR="004843DB" w:rsidRPr="0062582F" w:rsidRDefault="004843DB" w:rsidP="004843DB">
      <w:pPr>
        <w:pStyle w:val="million"/>
        <w:rPr>
          <w:lang w:eastAsia="en-US"/>
        </w:rPr>
      </w:pPr>
      <w:r w:rsidRPr="0062582F">
        <w:rPr>
          <w:color w:val="FF0000"/>
        </w:rPr>
        <w:br w:type="column"/>
      </w:r>
      <w:r w:rsidRPr="0062582F">
        <w:rPr>
          <w:lang w:eastAsia="en-US"/>
        </w:rPr>
        <w:t>($ thousand)</w:t>
      </w:r>
    </w:p>
    <w:tbl>
      <w:tblPr>
        <w:tblW w:w="7938" w:type="dxa"/>
        <w:tblLayout w:type="fixed"/>
        <w:tblCellMar>
          <w:left w:w="43" w:type="dxa"/>
          <w:right w:w="43" w:type="dxa"/>
        </w:tblCellMar>
        <w:tblLook w:val="04A0" w:firstRow="1" w:lastRow="0" w:firstColumn="1" w:lastColumn="0" w:noHBand="0" w:noVBand="1"/>
      </w:tblPr>
      <w:tblGrid>
        <w:gridCol w:w="3823"/>
        <w:gridCol w:w="1350"/>
        <w:gridCol w:w="1080"/>
        <w:gridCol w:w="850"/>
        <w:gridCol w:w="835"/>
      </w:tblGrid>
      <w:tr w:rsidR="004843DB" w:rsidRPr="0062582F" w:rsidTr="004843DB">
        <w:trPr>
          <w:cantSplit/>
        </w:trPr>
        <w:tc>
          <w:tcPr>
            <w:tcW w:w="3823" w:type="dxa"/>
            <w:vMerge w:val="restart"/>
            <w:tcBorders>
              <w:top w:val="single" w:sz="4" w:space="0" w:color="auto"/>
              <w:left w:val="nil"/>
              <w:bottom w:val="single" w:sz="4" w:space="0" w:color="000000"/>
              <w:right w:val="nil"/>
            </w:tcBorders>
            <w:shd w:val="clear" w:color="auto" w:fill="auto"/>
            <w:hideMark/>
          </w:tcPr>
          <w:p w:rsidR="004843DB" w:rsidRPr="0062582F" w:rsidRDefault="004843DB" w:rsidP="004843DB">
            <w:pPr>
              <w:spacing w:before="10" w:after="10"/>
              <w:ind w:left="-284"/>
              <w:rPr>
                <w:rFonts w:ascii="Calibri" w:hAnsi="Calibri" w:cs="Arial"/>
                <w:i/>
                <w:iCs/>
                <w:noProof/>
                <w:sz w:val="18"/>
                <w:szCs w:val="18"/>
              </w:rPr>
            </w:pPr>
            <w:bookmarkStart w:id="452" w:name="OLE_LINK9"/>
            <w:bookmarkStart w:id="453" w:name="OLE_LINK10"/>
          </w:p>
        </w:tc>
        <w:tc>
          <w:tcPr>
            <w:tcW w:w="1350" w:type="dxa"/>
            <w:vMerge w:val="restart"/>
            <w:tcBorders>
              <w:top w:val="single" w:sz="4" w:space="0" w:color="auto"/>
              <w:left w:val="nil"/>
              <w:right w:val="nil"/>
            </w:tcBorders>
            <w:shd w:val="clear" w:color="000000" w:fill="CCCCCC"/>
            <w:noWrap/>
            <w:hideMark/>
          </w:tcPr>
          <w:p w:rsidR="004843DB" w:rsidRPr="0062582F" w:rsidRDefault="004843DB" w:rsidP="004843DB">
            <w:pPr>
              <w:spacing w:before="0"/>
              <w:jc w:val="center"/>
              <w:rPr>
                <w:rFonts w:ascii="Calibri" w:hAnsi="Calibri" w:cs="Arial"/>
                <w:i/>
                <w:iCs/>
                <w:sz w:val="18"/>
                <w:szCs w:val="20"/>
              </w:rPr>
            </w:pPr>
            <w:r w:rsidRPr="0062582F">
              <w:rPr>
                <w:rFonts w:ascii="Calibri" w:hAnsi="Calibri" w:cs="Arial"/>
                <w:i/>
                <w:iCs/>
                <w:sz w:val="18"/>
                <w:szCs w:val="20"/>
              </w:rPr>
              <w:t>Carrying amount as at</w:t>
            </w:r>
            <w:r w:rsidRPr="0062582F">
              <w:rPr>
                <w:rFonts w:ascii="Calibri" w:hAnsi="Calibri" w:cs="Arial"/>
                <w:i/>
                <w:iCs/>
                <w:sz w:val="18"/>
                <w:szCs w:val="20"/>
              </w:rPr>
              <w:br/>
              <w:t>30 June 2016</w:t>
            </w:r>
          </w:p>
        </w:tc>
        <w:tc>
          <w:tcPr>
            <w:tcW w:w="2765" w:type="dxa"/>
            <w:gridSpan w:val="3"/>
            <w:tcBorders>
              <w:top w:val="single" w:sz="4" w:space="0" w:color="auto"/>
              <w:left w:val="nil"/>
              <w:bottom w:val="nil"/>
              <w:right w:val="nil"/>
            </w:tcBorders>
            <w:shd w:val="clear" w:color="auto" w:fill="auto"/>
            <w:hideMark/>
          </w:tcPr>
          <w:p w:rsidR="004843DB" w:rsidRPr="0062582F" w:rsidRDefault="004843DB" w:rsidP="004843DB">
            <w:pPr>
              <w:spacing w:before="0"/>
              <w:jc w:val="center"/>
              <w:rPr>
                <w:rFonts w:ascii="Calibri" w:hAnsi="Calibri" w:cs="Arial"/>
                <w:i/>
                <w:iCs/>
                <w:sz w:val="18"/>
                <w:szCs w:val="20"/>
              </w:rPr>
            </w:pPr>
            <w:r w:rsidRPr="0062582F">
              <w:rPr>
                <w:rFonts w:ascii="Calibri" w:hAnsi="Calibri" w:cs="Arial"/>
                <w:i/>
                <w:iCs/>
                <w:sz w:val="18"/>
                <w:szCs w:val="20"/>
              </w:rPr>
              <w:t>Fair value measurement at end of reporting period using:</w:t>
            </w:r>
          </w:p>
        </w:tc>
      </w:tr>
      <w:tr w:rsidR="004843DB" w:rsidRPr="0062582F" w:rsidTr="004843DB">
        <w:trPr>
          <w:cantSplit/>
        </w:trPr>
        <w:tc>
          <w:tcPr>
            <w:tcW w:w="3823" w:type="dxa"/>
            <w:vMerge/>
            <w:tcBorders>
              <w:top w:val="single" w:sz="4" w:space="0" w:color="auto"/>
              <w:left w:val="nil"/>
              <w:bottom w:val="single" w:sz="4" w:space="0" w:color="000000"/>
              <w:right w:val="nil"/>
            </w:tcBorders>
            <w:vAlign w:val="center"/>
            <w:hideMark/>
          </w:tcPr>
          <w:p w:rsidR="004843DB" w:rsidRPr="0062582F" w:rsidRDefault="004843DB" w:rsidP="004843DB">
            <w:pPr>
              <w:spacing w:before="10" w:after="10"/>
              <w:rPr>
                <w:rFonts w:ascii="Arial" w:hAnsi="Arial" w:cs="Arial"/>
                <w:i/>
                <w:iCs/>
                <w:sz w:val="18"/>
                <w:szCs w:val="18"/>
              </w:rPr>
            </w:pPr>
          </w:p>
        </w:tc>
        <w:tc>
          <w:tcPr>
            <w:tcW w:w="1350" w:type="dxa"/>
            <w:vMerge/>
            <w:tcBorders>
              <w:left w:val="nil"/>
              <w:bottom w:val="single" w:sz="4" w:space="0" w:color="auto"/>
              <w:right w:val="nil"/>
            </w:tcBorders>
            <w:shd w:val="clear" w:color="000000" w:fill="CCCCCC"/>
            <w:noWrap/>
            <w:hideMark/>
          </w:tcPr>
          <w:p w:rsidR="004843DB" w:rsidRPr="0062582F" w:rsidRDefault="004843DB" w:rsidP="004843DB">
            <w:pPr>
              <w:spacing w:before="0"/>
              <w:jc w:val="center"/>
              <w:rPr>
                <w:rFonts w:ascii="Calibri" w:hAnsi="Calibri" w:cs="Arial"/>
                <w:i/>
                <w:iCs/>
                <w:sz w:val="18"/>
                <w:szCs w:val="20"/>
              </w:rPr>
            </w:pPr>
          </w:p>
        </w:tc>
        <w:tc>
          <w:tcPr>
            <w:tcW w:w="108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spacing w:before="0" w:after="30"/>
              <w:jc w:val="center"/>
              <w:rPr>
                <w:rFonts w:ascii="Calibri" w:hAnsi="Calibri" w:cs="Arial"/>
                <w:i/>
                <w:iCs/>
                <w:sz w:val="18"/>
                <w:szCs w:val="20"/>
              </w:rPr>
            </w:pPr>
            <w:r w:rsidRPr="0062582F">
              <w:rPr>
                <w:rFonts w:ascii="Calibri" w:hAnsi="Calibri" w:cs="Arial"/>
                <w:i/>
                <w:iCs/>
                <w:sz w:val="18"/>
                <w:szCs w:val="20"/>
              </w:rPr>
              <w:t>Level 1</w:t>
            </w:r>
            <w:r w:rsidRPr="0062582F">
              <w:rPr>
                <w:rFonts w:ascii="Calibri" w:hAnsi="Calibri" w:cs="Arial"/>
                <w:i/>
                <w:iCs/>
                <w:sz w:val="18"/>
                <w:szCs w:val="20"/>
                <w:vertAlign w:val="superscript"/>
              </w:rPr>
              <w:t xml:space="preserve"> (i)</w:t>
            </w:r>
          </w:p>
        </w:tc>
        <w:tc>
          <w:tcPr>
            <w:tcW w:w="85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spacing w:before="0" w:after="30"/>
              <w:jc w:val="center"/>
              <w:rPr>
                <w:rFonts w:ascii="Calibri" w:hAnsi="Calibri" w:cs="Arial"/>
                <w:i/>
                <w:iCs/>
                <w:sz w:val="18"/>
                <w:szCs w:val="20"/>
              </w:rPr>
            </w:pPr>
            <w:r w:rsidRPr="0062582F">
              <w:rPr>
                <w:rFonts w:ascii="Calibri" w:hAnsi="Calibri" w:cs="Arial"/>
                <w:i/>
                <w:iCs/>
                <w:sz w:val="18"/>
                <w:szCs w:val="20"/>
              </w:rPr>
              <w:t>Level 2</w:t>
            </w:r>
            <w:r w:rsidRPr="0062582F">
              <w:rPr>
                <w:rFonts w:ascii="Calibri" w:hAnsi="Calibri" w:cs="Arial"/>
                <w:i/>
                <w:iCs/>
                <w:sz w:val="18"/>
                <w:szCs w:val="20"/>
                <w:vertAlign w:val="superscript"/>
              </w:rPr>
              <w:t xml:space="preserve"> (i)</w:t>
            </w:r>
          </w:p>
        </w:tc>
        <w:tc>
          <w:tcPr>
            <w:tcW w:w="83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spacing w:before="0"/>
              <w:jc w:val="center"/>
              <w:rPr>
                <w:rFonts w:ascii="Calibri" w:hAnsi="Calibri" w:cs="Arial"/>
                <w:i/>
                <w:iCs/>
                <w:sz w:val="18"/>
                <w:szCs w:val="20"/>
              </w:rPr>
            </w:pPr>
            <w:r w:rsidRPr="0062582F">
              <w:rPr>
                <w:rFonts w:ascii="Calibri" w:hAnsi="Calibri" w:cs="Arial"/>
                <w:i/>
                <w:iCs/>
                <w:sz w:val="18"/>
                <w:szCs w:val="20"/>
              </w:rPr>
              <w:t>Level 3</w:t>
            </w:r>
            <w:r w:rsidRPr="0062582F">
              <w:rPr>
                <w:rFonts w:ascii="Calibri" w:hAnsi="Calibri" w:cs="Arial"/>
                <w:i/>
                <w:iCs/>
                <w:sz w:val="18"/>
                <w:szCs w:val="20"/>
                <w:vertAlign w:val="superscript"/>
              </w:rPr>
              <w:t xml:space="preserve"> (i)</w:t>
            </w:r>
          </w:p>
        </w:tc>
      </w:tr>
      <w:tr w:rsidR="004843DB" w:rsidRPr="0062582F" w:rsidTr="004843DB">
        <w:trPr>
          <w:cantSplit/>
        </w:trPr>
        <w:tc>
          <w:tcPr>
            <w:tcW w:w="3823" w:type="dxa"/>
            <w:tcBorders>
              <w:top w:val="nil"/>
              <w:left w:val="nil"/>
              <w:bottom w:val="nil"/>
              <w:right w:val="nil"/>
            </w:tcBorders>
            <w:shd w:val="clear" w:color="auto" w:fill="auto"/>
            <w:vAlign w:val="bottom"/>
          </w:tcPr>
          <w:p w:rsidR="004843DB" w:rsidRPr="0062582F" w:rsidRDefault="004843DB" w:rsidP="004843DB">
            <w:pPr>
              <w:pStyle w:val="Tabletext"/>
              <w:spacing w:before="10" w:after="10"/>
            </w:pPr>
            <w:r w:rsidRPr="0062582F">
              <w:t>Land at fair value</w:t>
            </w:r>
          </w:p>
        </w:tc>
        <w:tc>
          <w:tcPr>
            <w:tcW w:w="13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nil"/>
              <w:left w:val="nil"/>
              <w:bottom w:val="nil"/>
              <w:right w:val="nil"/>
            </w:tcBorders>
            <w:shd w:val="clear" w:color="auto" w:fill="auto"/>
            <w:noWrap/>
          </w:tcPr>
          <w:p w:rsidR="004843DB" w:rsidRPr="0062582F" w:rsidRDefault="004843DB" w:rsidP="004843DB">
            <w:pPr>
              <w:pStyle w:val="TableofFigures"/>
              <w:spacing w:before="0" w:after="0"/>
            </w:pPr>
          </w:p>
        </w:tc>
        <w:tc>
          <w:tcPr>
            <w:tcW w:w="8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nil"/>
              <w:left w:val="nil"/>
              <w:bottom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Pr>
        <w:tc>
          <w:tcPr>
            <w:tcW w:w="3823" w:type="dxa"/>
            <w:tcBorders>
              <w:top w:val="nil"/>
              <w:left w:val="nil"/>
              <w:bottom w:val="nil"/>
              <w:right w:val="nil"/>
            </w:tcBorders>
            <w:shd w:val="clear" w:color="auto" w:fill="auto"/>
            <w:vAlign w:val="bottom"/>
          </w:tcPr>
          <w:p w:rsidR="004843DB" w:rsidRPr="0062582F" w:rsidRDefault="004843DB" w:rsidP="004843DB">
            <w:pPr>
              <w:pStyle w:val="TabletextIndent"/>
            </w:pPr>
            <w:bookmarkStart w:id="454" w:name="_Hlk381969480"/>
            <w:r w:rsidRPr="0062582F">
              <w:t>Non</w:t>
            </w:r>
            <w:r w:rsidR="005A4BB0">
              <w:noBreakHyphen/>
            </w:r>
            <w:r w:rsidRPr="0062582F">
              <w:t xml:space="preserve">specialised land </w:t>
            </w:r>
          </w:p>
        </w:tc>
        <w:tc>
          <w:tcPr>
            <w:tcW w:w="13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1 778</w:t>
            </w:r>
          </w:p>
        </w:tc>
        <w:tc>
          <w:tcPr>
            <w:tcW w:w="1080"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1 778</w:t>
            </w:r>
          </w:p>
        </w:tc>
        <w:tc>
          <w:tcPr>
            <w:tcW w:w="835"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w:t>
            </w:r>
          </w:p>
        </w:tc>
      </w:tr>
      <w:tr w:rsidR="004843DB" w:rsidRPr="0062582F" w:rsidTr="004843DB">
        <w:trPr>
          <w:cantSplit/>
        </w:trPr>
        <w:tc>
          <w:tcPr>
            <w:tcW w:w="3823" w:type="dxa"/>
            <w:tcBorders>
              <w:top w:val="nil"/>
              <w:left w:val="nil"/>
              <w:bottom w:val="single" w:sz="4" w:space="0" w:color="auto"/>
              <w:right w:val="nil"/>
            </w:tcBorders>
            <w:shd w:val="clear" w:color="auto" w:fill="auto"/>
            <w:vAlign w:val="bottom"/>
          </w:tcPr>
          <w:p w:rsidR="004843DB" w:rsidRPr="0062582F" w:rsidRDefault="004843DB" w:rsidP="004843DB">
            <w:pPr>
              <w:pStyle w:val="TabletextIndent"/>
            </w:pPr>
            <w:r w:rsidRPr="0062582F">
              <w:t>Specialised land</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2 784</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2 784</w:t>
            </w:r>
          </w:p>
        </w:tc>
      </w:tr>
      <w:tr w:rsidR="004843DB" w:rsidRPr="0062582F" w:rsidTr="004843DB">
        <w:trPr>
          <w:cantSplit/>
        </w:trPr>
        <w:tc>
          <w:tcPr>
            <w:tcW w:w="382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spacing w:before="10" w:after="10"/>
              <w:rPr>
                <w:b/>
              </w:rPr>
            </w:pPr>
            <w:r w:rsidRPr="0062582F">
              <w:rPr>
                <w:b/>
              </w:rPr>
              <w:t>Total of land at fair value</w:t>
            </w:r>
          </w:p>
        </w:tc>
        <w:tc>
          <w:tcPr>
            <w:tcW w:w="13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4 562</w:t>
            </w:r>
          </w:p>
        </w:tc>
        <w:tc>
          <w:tcPr>
            <w:tcW w:w="10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N/A</w:t>
            </w:r>
          </w:p>
        </w:tc>
        <w:tc>
          <w:tcPr>
            <w:tcW w:w="8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1 778</w:t>
            </w:r>
          </w:p>
        </w:tc>
        <w:tc>
          <w:tcPr>
            <w:tcW w:w="835"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2 784</w:t>
            </w:r>
          </w:p>
        </w:tc>
      </w:tr>
      <w:tr w:rsidR="004843DB" w:rsidRPr="0062582F" w:rsidTr="004843DB">
        <w:trPr>
          <w:cantSplit/>
        </w:trPr>
        <w:tc>
          <w:tcPr>
            <w:tcW w:w="3823" w:type="dxa"/>
            <w:tcBorders>
              <w:top w:val="single" w:sz="4" w:space="0" w:color="auto"/>
              <w:left w:val="nil"/>
              <w:bottom w:val="nil"/>
              <w:right w:val="nil"/>
            </w:tcBorders>
            <w:shd w:val="clear" w:color="auto" w:fill="auto"/>
            <w:vAlign w:val="bottom"/>
          </w:tcPr>
          <w:p w:rsidR="004843DB" w:rsidRPr="0062582F" w:rsidRDefault="004843DB" w:rsidP="004843DB">
            <w:pPr>
              <w:pStyle w:val="Tabletext"/>
              <w:spacing w:before="10" w:after="10"/>
            </w:pPr>
            <w:r w:rsidRPr="0062582F">
              <w:t>Buildings at fair value</w:t>
            </w:r>
          </w:p>
        </w:tc>
        <w:tc>
          <w:tcPr>
            <w:tcW w:w="13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c>
          <w:tcPr>
            <w:tcW w:w="8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Height w:val="170"/>
        </w:trPr>
        <w:tc>
          <w:tcPr>
            <w:tcW w:w="3823" w:type="dxa"/>
            <w:tcBorders>
              <w:top w:val="nil"/>
              <w:left w:val="nil"/>
              <w:bottom w:val="nil"/>
              <w:right w:val="nil"/>
            </w:tcBorders>
            <w:shd w:val="clear" w:color="auto" w:fill="auto"/>
            <w:vAlign w:val="bottom"/>
          </w:tcPr>
          <w:p w:rsidR="004843DB" w:rsidRPr="0062582F" w:rsidRDefault="004843DB" w:rsidP="004843DB">
            <w:pPr>
              <w:pStyle w:val="TabletextIndent"/>
              <w:rPr>
                <w:noProof/>
              </w:rPr>
            </w:pPr>
            <w:r w:rsidRPr="0062582F">
              <w:rPr>
                <w:noProof/>
              </w:rPr>
              <w:t>Non</w:t>
            </w:r>
            <w:r w:rsidR="005A4BB0">
              <w:rPr>
                <w:noProof/>
              </w:rPr>
              <w:noBreakHyphen/>
            </w:r>
            <w:r w:rsidRPr="0062582F">
              <w:rPr>
                <w:noProof/>
              </w:rPr>
              <w:t>specialised buildings</w:t>
            </w:r>
          </w:p>
        </w:tc>
        <w:tc>
          <w:tcPr>
            <w:tcW w:w="13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6 877</w:t>
            </w:r>
          </w:p>
        </w:tc>
        <w:tc>
          <w:tcPr>
            <w:tcW w:w="1080"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6 877</w:t>
            </w:r>
          </w:p>
        </w:tc>
        <w:tc>
          <w:tcPr>
            <w:tcW w:w="835"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w:t>
            </w:r>
          </w:p>
        </w:tc>
      </w:tr>
      <w:tr w:rsidR="004843DB" w:rsidRPr="0062582F" w:rsidTr="004843DB">
        <w:trPr>
          <w:cantSplit/>
          <w:trHeight w:val="170"/>
        </w:trPr>
        <w:tc>
          <w:tcPr>
            <w:tcW w:w="3823" w:type="dxa"/>
            <w:tcBorders>
              <w:top w:val="nil"/>
              <w:left w:val="nil"/>
              <w:bottom w:val="nil"/>
              <w:right w:val="nil"/>
            </w:tcBorders>
            <w:shd w:val="clear" w:color="auto" w:fill="auto"/>
            <w:vAlign w:val="bottom"/>
          </w:tcPr>
          <w:p w:rsidR="004843DB" w:rsidRPr="0062582F" w:rsidRDefault="004843DB" w:rsidP="004843DB">
            <w:pPr>
              <w:pStyle w:val="TabletextIndent"/>
              <w:rPr>
                <w:noProof/>
              </w:rPr>
            </w:pPr>
            <w:r w:rsidRPr="0062582F">
              <w:rPr>
                <w:noProof/>
              </w:rPr>
              <w:t xml:space="preserve">Specialised buildings </w:t>
            </w:r>
          </w:p>
        </w:tc>
        <w:tc>
          <w:tcPr>
            <w:tcW w:w="13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5 715</w:t>
            </w:r>
          </w:p>
        </w:tc>
        <w:tc>
          <w:tcPr>
            <w:tcW w:w="1080"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5 715</w:t>
            </w:r>
          </w:p>
        </w:tc>
      </w:tr>
      <w:tr w:rsidR="004843DB" w:rsidRPr="0062582F" w:rsidTr="004843DB">
        <w:trPr>
          <w:cantSplit/>
          <w:trHeight w:val="170"/>
        </w:trPr>
        <w:tc>
          <w:tcPr>
            <w:tcW w:w="3823" w:type="dxa"/>
            <w:tcBorders>
              <w:top w:val="nil"/>
              <w:left w:val="nil"/>
              <w:bottom w:val="single" w:sz="4" w:space="0" w:color="auto"/>
              <w:right w:val="nil"/>
            </w:tcBorders>
            <w:shd w:val="clear" w:color="auto" w:fill="auto"/>
            <w:vAlign w:val="bottom"/>
          </w:tcPr>
          <w:p w:rsidR="004843DB" w:rsidRPr="0062582F" w:rsidRDefault="004843DB" w:rsidP="004843DB">
            <w:pPr>
              <w:pStyle w:val="TabletextIndent"/>
              <w:rPr>
                <w:noProof/>
              </w:rPr>
            </w:pPr>
            <w:r w:rsidRPr="0062582F">
              <w:rPr>
                <w:noProof/>
              </w:rPr>
              <w:t xml:space="preserve">Heritage assets </w:t>
            </w:r>
            <w:r w:rsidRPr="0062582F">
              <w:rPr>
                <w:noProof/>
                <w:vertAlign w:val="superscript"/>
              </w:rPr>
              <w:t>(ii)</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10 596</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10 596</w:t>
            </w:r>
          </w:p>
        </w:tc>
      </w:tr>
      <w:tr w:rsidR="004843DB" w:rsidRPr="0062582F" w:rsidTr="004843DB">
        <w:trPr>
          <w:cantSplit/>
        </w:trPr>
        <w:tc>
          <w:tcPr>
            <w:tcW w:w="382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spacing w:before="10" w:after="10"/>
              <w:rPr>
                <w:b/>
              </w:rPr>
            </w:pPr>
            <w:r w:rsidRPr="0062582F">
              <w:rPr>
                <w:b/>
              </w:rPr>
              <w:t>Total of buildings at fair value</w:t>
            </w:r>
          </w:p>
        </w:tc>
        <w:tc>
          <w:tcPr>
            <w:tcW w:w="13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23 188</w:t>
            </w:r>
          </w:p>
        </w:tc>
        <w:tc>
          <w:tcPr>
            <w:tcW w:w="10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N/A</w:t>
            </w:r>
          </w:p>
        </w:tc>
        <w:tc>
          <w:tcPr>
            <w:tcW w:w="8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6 877</w:t>
            </w:r>
          </w:p>
        </w:tc>
        <w:tc>
          <w:tcPr>
            <w:tcW w:w="835"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16 311</w:t>
            </w:r>
          </w:p>
        </w:tc>
      </w:tr>
      <w:tr w:rsidR="004843DB" w:rsidRPr="0062582F" w:rsidTr="004843DB">
        <w:trPr>
          <w:cantSplit/>
        </w:trPr>
        <w:tc>
          <w:tcPr>
            <w:tcW w:w="3823" w:type="dxa"/>
            <w:tcBorders>
              <w:top w:val="single" w:sz="4" w:space="0" w:color="auto"/>
              <w:left w:val="nil"/>
              <w:bottom w:val="nil"/>
              <w:right w:val="nil"/>
            </w:tcBorders>
            <w:shd w:val="clear" w:color="auto" w:fill="auto"/>
            <w:vAlign w:val="bottom"/>
          </w:tcPr>
          <w:p w:rsidR="004843DB" w:rsidRPr="0062582F" w:rsidRDefault="004843DB" w:rsidP="004843DB">
            <w:pPr>
              <w:pStyle w:val="Tabletext"/>
              <w:spacing w:before="10" w:after="10"/>
            </w:pPr>
            <w:r w:rsidRPr="0062582F">
              <w:t>Plant, equipment and vehicles at fair value</w:t>
            </w:r>
          </w:p>
        </w:tc>
        <w:tc>
          <w:tcPr>
            <w:tcW w:w="13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c>
          <w:tcPr>
            <w:tcW w:w="8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Pr>
        <w:tc>
          <w:tcPr>
            <w:tcW w:w="3823" w:type="dxa"/>
            <w:tcBorders>
              <w:top w:val="nil"/>
              <w:left w:val="nil"/>
              <w:bottom w:val="nil"/>
              <w:right w:val="nil"/>
            </w:tcBorders>
            <w:shd w:val="clear" w:color="auto" w:fill="auto"/>
            <w:vAlign w:val="bottom"/>
          </w:tcPr>
          <w:p w:rsidR="004843DB" w:rsidRPr="0062582F" w:rsidRDefault="004843DB" w:rsidP="004843DB">
            <w:pPr>
              <w:pStyle w:val="TabletextIndent"/>
              <w:rPr>
                <w:noProof/>
              </w:rPr>
            </w:pPr>
            <w:r w:rsidRPr="0062582F">
              <w:rPr>
                <w:noProof/>
              </w:rPr>
              <w:t xml:space="preserve">Vehicles </w:t>
            </w:r>
            <w:r w:rsidRPr="0062582F">
              <w:rPr>
                <w:noProof/>
                <w:vertAlign w:val="superscript"/>
              </w:rPr>
              <w:t>(iii)</w:t>
            </w:r>
          </w:p>
        </w:tc>
        <w:tc>
          <w:tcPr>
            <w:tcW w:w="13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16 941</w:t>
            </w:r>
          </w:p>
        </w:tc>
        <w:tc>
          <w:tcPr>
            <w:tcW w:w="1080"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16 941</w:t>
            </w:r>
          </w:p>
        </w:tc>
      </w:tr>
      <w:tr w:rsidR="004843DB" w:rsidRPr="0062582F" w:rsidTr="004843DB">
        <w:trPr>
          <w:cantSplit/>
        </w:trPr>
        <w:tc>
          <w:tcPr>
            <w:tcW w:w="3823" w:type="dxa"/>
            <w:tcBorders>
              <w:top w:val="nil"/>
              <w:left w:val="nil"/>
              <w:bottom w:val="single" w:sz="4" w:space="0" w:color="auto"/>
              <w:right w:val="nil"/>
            </w:tcBorders>
            <w:shd w:val="clear" w:color="auto" w:fill="auto"/>
            <w:vAlign w:val="bottom"/>
          </w:tcPr>
          <w:p w:rsidR="004843DB" w:rsidRPr="0062582F" w:rsidRDefault="004843DB" w:rsidP="004843DB">
            <w:pPr>
              <w:pStyle w:val="TabletextIndent"/>
              <w:rPr>
                <w:noProof/>
              </w:rPr>
            </w:pPr>
            <w:r w:rsidRPr="0062582F">
              <w:rPr>
                <w:noProof/>
              </w:rPr>
              <w:t>Plant and equipment</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30 935</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30 935</w:t>
            </w:r>
          </w:p>
        </w:tc>
      </w:tr>
      <w:tr w:rsidR="004843DB" w:rsidRPr="0062582F" w:rsidTr="004843DB">
        <w:trPr>
          <w:cantSplit/>
          <w:trHeight w:val="182"/>
        </w:trPr>
        <w:tc>
          <w:tcPr>
            <w:tcW w:w="382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spacing w:before="10" w:after="10"/>
              <w:rPr>
                <w:rFonts w:asciiTheme="minorHAnsi" w:hAnsiTheme="minorHAnsi" w:cstheme="minorHAnsi"/>
                <w:b/>
              </w:rPr>
            </w:pPr>
            <w:r w:rsidRPr="0062582F">
              <w:rPr>
                <w:b/>
              </w:rPr>
              <w:t>Total of plant, equipment and vehicles at fair value</w:t>
            </w:r>
          </w:p>
        </w:tc>
        <w:tc>
          <w:tcPr>
            <w:tcW w:w="13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47 876</w:t>
            </w:r>
          </w:p>
        </w:tc>
        <w:tc>
          <w:tcPr>
            <w:tcW w:w="10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N/A</w:t>
            </w:r>
          </w:p>
        </w:tc>
        <w:tc>
          <w:tcPr>
            <w:tcW w:w="8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w:t>
            </w:r>
          </w:p>
        </w:tc>
        <w:tc>
          <w:tcPr>
            <w:tcW w:w="835"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47 876</w:t>
            </w:r>
          </w:p>
        </w:tc>
      </w:tr>
      <w:tr w:rsidR="004843DB" w:rsidRPr="0062582F" w:rsidTr="004843DB">
        <w:trPr>
          <w:cantSplit/>
          <w:trHeight w:val="182"/>
        </w:trPr>
        <w:tc>
          <w:tcPr>
            <w:tcW w:w="3823" w:type="dxa"/>
            <w:tcBorders>
              <w:top w:val="single" w:sz="4" w:space="0" w:color="auto"/>
              <w:left w:val="nil"/>
              <w:bottom w:val="nil"/>
              <w:right w:val="nil"/>
            </w:tcBorders>
            <w:shd w:val="clear" w:color="auto" w:fill="auto"/>
          </w:tcPr>
          <w:p w:rsidR="004843DB" w:rsidRPr="0062582F" w:rsidRDefault="004843DB" w:rsidP="004843DB">
            <w:pPr>
              <w:pStyle w:val="Tabletext"/>
              <w:spacing w:before="10" w:after="10"/>
            </w:pPr>
            <w:r w:rsidRPr="0062582F">
              <w:rPr>
                <w:b/>
              </w:rPr>
              <w:t>Infrastructure at fair value</w:t>
            </w:r>
          </w:p>
        </w:tc>
        <w:tc>
          <w:tcPr>
            <w:tcW w:w="13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c>
          <w:tcPr>
            <w:tcW w:w="8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Pr>
        <w:tc>
          <w:tcPr>
            <w:tcW w:w="3823" w:type="dxa"/>
            <w:tcBorders>
              <w:top w:val="nil"/>
              <w:left w:val="nil"/>
              <w:bottom w:val="single" w:sz="4" w:space="0" w:color="auto"/>
              <w:right w:val="nil"/>
            </w:tcBorders>
            <w:shd w:val="clear" w:color="auto" w:fill="auto"/>
          </w:tcPr>
          <w:p w:rsidR="004843DB" w:rsidRPr="0062582F" w:rsidRDefault="004843DB" w:rsidP="004843DB">
            <w:pPr>
              <w:pStyle w:val="TabletextIndent"/>
              <w:rPr>
                <w:noProof/>
              </w:rPr>
            </w:pPr>
            <w:r w:rsidRPr="0062582F">
              <w:rPr>
                <w:noProof/>
              </w:rPr>
              <w:t>Infrastructure</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1 685</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1 685</w:t>
            </w:r>
          </w:p>
        </w:tc>
      </w:tr>
      <w:tr w:rsidR="004843DB" w:rsidRPr="0062582F" w:rsidTr="004843DB">
        <w:trPr>
          <w:cantSplit/>
        </w:trPr>
        <w:tc>
          <w:tcPr>
            <w:tcW w:w="382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spacing w:before="10" w:after="10"/>
              <w:rPr>
                <w:b/>
              </w:rPr>
            </w:pPr>
            <w:r w:rsidRPr="0062582F">
              <w:rPr>
                <w:b/>
              </w:rPr>
              <w:t>Total of infrastructure at fair value</w:t>
            </w:r>
          </w:p>
        </w:tc>
        <w:tc>
          <w:tcPr>
            <w:tcW w:w="13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1 685</w:t>
            </w:r>
          </w:p>
        </w:tc>
        <w:tc>
          <w:tcPr>
            <w:tcW w:w="10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N/A</w:t>
            </w:r>
          </w:p>
        </w:tc>
        <w:tc>
          <w:tcPr>
            <w:tcW w:w="8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w:t>
            </w:r>
          </w:p>
        </w:tc>
        <w:tc>
          <w:tcPr>
            <w:tcW w:w="835"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1 685</w:t>
            </w:r>
          </w:p>
        </w:tc>
      </w:tr>
      <w:tr w:rsidR="004843DB" w:rsidRPr="0062582F" w:rsidTr="004843DB">
        <w:trPr>
          <w:cantSplit/>
        </w:trPr>
        <w:tc>
          <w:tcPr>
            <w:tcW w:w="3823" w:type="dxa"/>
            <w:tcBorders>
              <w:top w:val="single" w:sz="4" w:space="0" w:color="auto"/>
              <w:left w:val="nil"/>
              <w:bottom w:val="nil"/>
              <w:right w:val="nil"/>
            </w:tcBorders>
            <w:shd w:val="clear" w:color="auto" w:fill="auto"/>
          </w:tcPr>
          <w:p w:rsidR="004843DB" w:rsidRPr="0062582F" w:rsidRDefault="004843DB" w:rsidP="004843DB">
            <w:pPr>
              <w:pStyle w:val="Tabletext"/>
              <w:spacing w:before="10" w:after="10"/>
              <w:rPr>
                <w:b/>
              </w:rPr>
            </w:pPr>
            <w:r w:rsidRPr="0062582F">
              <w:rPr>
                <w:b/>
              </w:rPr>
              <w:t>Road, infrastructure and earthworks at fair value</w:t>
            </w:r>
          </w:p>
        </w:tc>
        <w:tc>
          <w:tcPr>
            <w:tcW w:w="13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c>
          <w:tcPr>
            <w:tcW w:w="8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Pr>
        <w:tc>
          <w:tcPr>
            <w:tcW w:w="3823" w:type="dxa"/>
            <w:tcBorders>
              <w:top w:val="nil"/>
              <w:left w:val="nil"/>
              <w:bottom w:val="single" w:sz="4" w:space="0" w:color="auto"/>
              <w:right w:val="nil"/>
            </w:tcBorders>
            <w:shd w:val="clear" w:color="auto" w:fill="auto"/>
          </w:tcPr>
          <w:p w:rsidR="004843DB" w:rsidRPr="0062582F" w:rsidRDefault="004843DB" w:rsidP="004843DB">
            <w:pPr>
              <w:pStyle w:val="TabletextIndent"/>
              <w:rPr>
                <w:noProof/>
              </w:rPr>
            </w:pPr>
            <w:r w:rsidRPr="0062582F">
              <w:rPr>
                <w:noProof/>
              </w:rPr>
              <w:t>Road, infrastructure and earthworks at fair value</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2 257</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ind w:left="142"/>
            </w:pPr>
            <w:r w:rsidRPr="0062582F">
              <w:rPr>
                <w:rFonts w:asciiTheme="minorHAnsi" w:hAnsiTheme="minorHAnsi" w:cstheme="minorHAnsi"/>
                <w:sz w:val="20"/>
              </w:rPr>
              <w:t>..</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2 257</w:t>
            </w:r>
          </w:p>
        </w:tc>
      </w:tr>
      <w:tr w:rsidR="004843DB" w:rsidRPr="0062582F" w:rsidTr="004843DB">
        <w:trPr>
          <w:cantSplit/>
        </w:trPr>
        <w:tc>
          <w:tcPr>
            <w:tcW w:w="382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spacing w:before="10" w:after="10"/>
              <w:rPr>
                <w:b/>
              </w:rPr>
            </w:pPr>
            <w:r w:rsidRPr="0062582F">
              <w:rPr>
                <w:b/>
              </w:rPr>
              <w:t>Total of road, infrastructure and earthworks at fair value</w:t>
            </w:r>
          </w:p>
        </w:tc>
        <w:tc>
          <w:tcPr>
            <w:tcW w:w="13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2 257</w:t>
            </w:r>
          </w:p>
        </w:tc>
        <w:tc>
          <w:tcPr>
            <w:tcW w:w="10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rPr>
                <w:b/>
              </w:rPr>
              <w:t>N/A</w:t>
            </w:r>
          </w:p>
        </w:tc>
        <w:tc>
          <w:tcPr>
            <w:tcW w:w="8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rFonts w:asciiTheme="minorHAnsi" w:hAnsiTheme="minorHAnsi" w:cstheme="minorHAnsi"/>
                <w:b/>
                <w:sz w:val="20"/>
              </w:rPr>
              <w:t>..</w:t>
            </w:r>
          </w:p>
        </w:tc>
        <w:tc>
          <w:tcPr>
            <w:tcW w:w="835"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2 257</w:t>
            </w:r>
          </w:p>
        </w:tc>
      </w:tr>
      <w:tr w:rsidR="004843DB" w:rsidRPr="0062582F" w:rsidTr="004843DB">
        <w:trPr>
          <w:cantSplit/>
        </w:trPr>
        <w:tc>
          <w:tcPr>
            <w:tcW w:w="3823" w:type="dxa"/>
            <w:tcBorders>
              <w:top w:val="single" w:sz="4" w:space="0" w:color="auto"/>
              <w:left w:val="nil"/>
              <w:right w:val="nil"/>
            </w:tcBorders>
            <w:shd w:val="clear" w:color="auto" w:fill="auto"/>
          </w:tcPr>
          <w:p w:rsidR="004843DB" w:rsidRPr="0062582F" w:rsidRDefault="004843DB" w:rsidP="004843DB">
            <w:pPr>
              <w:pStyle w:val="Tabletext"/>
              <w:spacing w:before="10" w:after="10"/>
              <w:rPr>
                <w:b/>
              </w:rPr>
            </w:pPr>
            <w:r w:rsidRPr="0062582F">
              <w:rPr>
                <w:b/>
              </w:rPr>
              <w:t>Cultural assets at fair value</w:t>
            </w:r>
          </w:p>
        </w:tc>
        <w:tc>
          <w:tcPr>
            <w:tcW w:w="1350" w:type="dxa"/>
            <w:tcBorders>
              <w:top w:val="single" w:sz="4" w:space="0" w:color="auto"/>
              <w:left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single" w:sz="4" w:space="0" w:color="auto"/>
              <w:left w:val="nil"/>
              <w:right w:val="nil"/>
            </w:tcBorders>
            <w:shd w:val="clear" w:color="auto" w:fill="auto"/>
            <w:noWrap/>
          </w:tcPr>
          <w:p w:rsidR="004843DB" w:rsidRPr="0062582F" w:rsidRDefault="004843DB" w:rsidP="004843DB">
            <w:pPr>
              <w:pStyle w:val="TableofFigures"/>
              <w:spacing w:before="0" w:after="0"/>
            </w:pPr>
          </w:p>
        </w:tc>
        <w:tc>
          <w:tcPr>
            <w:tcW w:w="850" w:type="dxa"/>
            <w:tcBorders>
              <w:top w:val="single" w:sz="4" w:space="0" w:color="auto"/>
              <w:left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single" w:sz="4" w:space="0" w:color="auto"/>
              <w:left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Height w:val="120"/>
        </w:trPr>
        <w:tc>
          <w:tcPr>
            <w:tcW w:w="3823" w:type="dxa"/>
            <w:tcBorders>
              <w:top w:val="nil"/>
              <w:left w:val="nil"/>
              <w:bottom w:val="single" w:sz="4" w:space="0" w:color="auto"/>
              <w:right w:val="nil"/>
            </w:tcBorders>
            <w:shd w:val="clear" w:color="auto" w:fill="auto"/>
          </w:tcPr>
          <w:p w:rsidR="004843DB" w:rsidRPr="0062582F" w:rsidRDefault="004843DB" w:rsidP="004843DB">
            <w:pPr>
              <w:pStyle w:val="TabletextIndent"/>
              <w:rPr>
                <w:noProof/>
              </w:rPr>
            </w:pPr>
            <w:r w:rsidRPr="0062582F">
              <w:rPr>
                <w:noProof/>
                <w:lang w:val="en-GB" w:eastAsia="en-US"/>
              </w:rPr>
              <w:t>Artworks</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2 764</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2 764</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w:t>
            </w:r>
          </w:p>
        </w:tc>
      </w:tr>
      <w:tr w:rsidR="004843DB" w:rsidRPr="0062582F" w:rsidTr="004843DB">
        <w:trPr>
          <w:cantSplit/>
          <w:trHeight w:val="120"/>
        </w:trPr>
        <w:tc>
          <w:tcPr>
            <w:tcW w:w="3823" w:type="dxa"/>
            <w:tcBorders>
              <w:top w:val="single" w:sz="4" w:space="0" w:color="auto"/>
              <w:left w:val="nil"/>
              <w:bottom w:val="single" w:sz="12" w:space="0" w:color="auto"/>
              <w:right w:val="nil"/>
            </w:tcBorders>
            <w:shd w:val="clear" w:color="auto" w:fill="auto"/>
          </w:tcPr>
          <w:p w:rsidR="004843DB" w:rsidRPr="0062582F" w:rsidRDefault="004843DB" w:rsidP="004843DB">
            <w:pPr>
              <w:pStyle w:val="Tabletext"/>
              <w:spacing w:before="10" w:after="10"/>
              <w:rPr>
                <w:b/>
                <w:lang w:val="en-GB" w:eastAsia="en-US"/>
              </w:rPr>
            </w:pPr>
            <w:r w:rsidRPr="0062582F">
              <w:rPr>
                <w:b/>
              </w:rPr>
              <w:t>Total of cultural assets at fair value</w:t>
            </w:r>
          </w:p>
        </w:tc>
        <w:tc>
          <w:tcPr>
            <w:tcW w:w="1350" w:type="dxa"/>
            <w:tcBorders>
              <w:top w:val="single" w:sz="4" w:space="0" w:color="auto"/>
              <w:left w:val="nil"/>
              <w:bottom w:val="single" w:sz="12"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2 764</w:t>
            </w:r>
          </w:p>
        </w:tc>
        <w:tc>
          <w:tcPr>
            <w:tcW w:w="1080" w:type="dxa"/>
            <w:tcBorders>
              <w:top w:val="single" w:sz="4" w:space="0" w:color="auto"/>
              <w:left w:val="nil"/>
              <w:bottom w:val="single" w:sz="12" w:space="0" w:color="auto"/>
              <w:right w:val="nil"/>
            </w:tcBorders>
            <w:shd w:val="clear" w:color="auto" w:fill="auto"/>
            <w:noWrap/>
          </w:tcPr>
          <w:p w:rsidR="004843DB" w:rsidRPr="0062582F" w:rsidRDefault="004843DB" w:rsidP="004843DB">
            <w:pPr>
              <w:pStyle w:val="TableofFigures"/>
              <w:spacing w:before="0" w:after="0"/>
              <w:rPr>
                <w:b/>
              </w:rPr>
            </w:pPr>
            <w:r w:rsidRPr="0062582F">
              <w:rPr>
                <w:b/>
              </w:rPr>
              <w:t>N/A</w:t>
            </w:r>
          </w:p>
        </w:tc>
        <w:tc>
          <w:tcPr>
            <w:tcW w:w="850" w:type="dxa"/>
            <w:tcBorders>
              <w:top w:val="single" w:sz="4" w:space="0" w:color="auto"/>
              <w:left w:val="nil"/>
              <w:bottom w:val="single" w:sz="12"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2 764</w:t>
            </w:r>
          </w:p>
        </w:tc>
        <w:tc>
          <w:tcPr>
            <w:tcW w:w="835" w:type="dxa"/>
            <w:tcBorders>
              <w:top w:val="single" w:sz="4" w:space="0" w:color="auto"/>
              <w:left w:val="nil"/>
              <w:bottom w:val="single" w:sz="12" w:space="0" w:color="auto"/>
              <w:right w:val="nil"/>
            </w:tcBorders>
            <w:shd w:val="clear" w:color="auto" w:fill="auto"/>
            <w:noWrap/>
          </w:tcPr>
          <w:p w:rsidR="004843DB" w:rsidRPr="0062582F" w:rsidRDefault="004843DB" w:rsidP="004843DB">
            <w:pPr>
              <w:pStyle w:val="TableofFigures"/>
              <w:spacing w:before="0" w:after="0"/>
              <w:rPr>
                <w:b/>
              </w:rPr>
            </w:pPr>
            <w:r w:rsidRPr="0062582F">
              <w:rPr>
                <w:b/>
              </w:rPr>
              <w:t>..</w:t>
            </w:r>
          </w:p>
        </w:tc>
      </w:tr>
    </w:tbl>
    <w:bookmarkEnd w:id="452"/>
    <w:bookmarkEnd w:id="453"/>
    <w:bookmarkEnd w:id="454"/>
    <w:p w:rsidR="004843DB" w:rsidRPr="0062582F" w:rsidRDefault="004843DB" w:rsidP="004843DB">
      <w:pPr>
        <w:pStyle w:val="Notes"/>
      </w:pPr>
      <w:r w:rsidRPr="0062582F">
        <w:t>Notes:</w:t>
      </w:r>
    </w:p>
    <w:p w:rsidR="004843DB" w:rsidRPr="0062582F" w:rsidRDefault="004843DB" w:rsidP="004843DB">
      <w:pPr>
        <w:pStyle w:val="Notes"/>
        <w:rPr>
          <w:lang w:val="en-GB"/>
        </w:rPr>
      </w:pPr>
      <w:r w:rsidRPr="0062582F">
        <w:rPr>
          <w:lang w:val="en-GB"/>
        </w:rPr>
        <w:t>(i)</w:t>
      </w:r>
      <w:r w:rsidRPr="0062582F">
        <w:rPr>
          <w:lang w:val="en-GB"/>
        </w:rPr>
        <w:tab/>
        <w:t>Classified in accordance with the fair value hierarchy, see Note 1(B).</w:t>
      </w:r>
    </w:p>
    <w:p w:rsidR="004843DB" w:rsidRPr="0062582F" w:rsidRDefault="004843DB" w:rsidP="004843DB">
      <w:pPr>
        <w:pStyle w:val="Notes"/>
        <w:rPr>
          <w:lang w:val="en-GB"/>
        </w:rPr>
      </w:pPr>
      <w:r w:rsidRPr="0062582F">
        <w:rPr>
          <w:lang w:val="en-GB"/>
        </w:rPr>
        <w:t>(ii)</w:t>
      </w:r>
      <w:r w:rsidRPr="0062582F">
        <w:rPr>
          <w:lang w:val="en-GB"/>
        </w:rPr>
        <w:tab/>
      </w:r>
      <w:r w:rsidRPr="0062582F">
        <w:t>The Department holds $10.6 million worth of properties listed as heritage assets. These heritage assets cannot be modified nor disposed of without formal ministerial approval.</w:t>
      </w:r>
    </w:p>
    <w:p w:rsidR="004843DB" w:rsidRPr="0062582F" w:rsidRDefault="004843DB" w:rsidP="004843DB">
      <w:pPr>
        <w:pStyle w:val="NotesBlue"/>
        <w:rPr>
          <w:lang w:val="en-GB"/>
        </w:rPr>
      </w:pPr>
      <w:r w:rsidRPr="0062582F">
        <w:rPr>
          <w:lang w:val="en-GB"/>
        </w:rPr>
        <w:t>(iii)</w:t>
      </w:r>
      <w:r w:rsidRPr="0062582F">
        <w:rPr>
          <w:lang w:val="en-GB"/>
        </w:rPr>
        <w:tab/>
        <w:t>[Vehicles are categorised to Level 3 assets if the depreciated replacement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rsidR="004843DB" w:rsidRPr="0062582F" w:rsidRDefault="004843DB" w:rsidP="004843DB">
      <w:pPr>
        <w:pStyle w:val="NoteHeadingcontinued"/>
      </w:pPr>
    </w:p>
    <w:p w:rsidR="004843DB" w:rsidRPr="0062582F" w:rsidRDefault="004843DB" w:rsidP="004843DB">
      <w:pPr>
        <w:pStyle w:val="NoteHeadingcontinued"/>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Default="004843DB" w:rsidP="00E348C3">
      <w:pPr>
        <w:pStyle w:val="Tableheading"/>
        <w:rPr>
          <w:rStyle w:val="ReferenceRedChar"/>
          <w:b w:val="0"/>
        </w:rPr>
      </w:pPr>
      <w:r w:rsidRPr="0062582F">
        <w:br w:type="column"/>
      </w:r>
      <w:r w:rsidRPr="0062582F">
        <w:br w:type="column"/>
      </w:r>
      <w:r w:rsidRPr="0062582F">
        <w:rPr>
          <w:rStyle w:val="ReferenceRedChar"/>
          <w:b w:val="0"/>
        </w:rPr>
        <w:t>New</w:t>
      </w:r>
    </w:p>
    <w:p w:rsidR="004843DB" w:rsidRDefault="004843DB" w:rsidP="00E348C3">
      <w:pPr>
        <w:pStyle w:val="Tableheading"/>
      </w:pPr>
      <w:r w:rsidRPr="0062582F">
        <w:br w:type="column"/>
        <w:t>Table 17.8:</w:t>
      </w:r>
      <w:r w:rsidRPr="0062582F">
        <w:tab/>
        <w:t xml:space="preserve"> Fair value measurement hierarchy for assets as at 30 June 2015</w:t>
      </w:r>
    </w:p>
    <w:tbl>
      <w:tblPr>
        <w:tblW w:w="7938" w:type="dxa"/>
        <w:tblLayout w:type="fixed"/>
        <w:tblCellMar>
          <w:left w:w="43" w:type="dxa"/>
          <w:right w:w="43" w:type="dxa"/>
        </w:tblCellMar>
        <w:tblLook w:val="04A0" w:firstRow="1" w:lastRow="0" w:firstColumn="1" w:lastColumn="0" w:noHBand="0" w:noVBand="1"/>
      </w:tblPr>
      <w:tblGrid>
        <w:gridCol w:w="3823"/>
        <w:gridCol w:w="1350"/>
        <w:gridCol w:w="1080"/>
        <w:gridCol w:w="850"/>
        <w:gridCol w:w="835"/>
      </w:tblGrid>
      <w:tr w:rsidR="004843DB" w:rsidRPr="0062582F" w:rsidTr="004843DB">
        <w:trPr>
          <w:cantSplit/>
        </w:trPr>
        <w:tc>
          <w:tcPr>
            <w:tcW w:w="3823" w:type="dxa"/>
            <w:vMerge w:val="restart"/>
            <w:tcBorders>
              <w:top w:val="single" w:sz="4" w:space="0" w:color="auto"/>
              <w:left w:val="nil"/>
              <w:bottom w:val="single" w:sz="4" w:space="0" w:color="000000"/>
              <w:right w:val="nil"/>
            </w:tcBorders>
            <w:shd w:val="clear" w:color="auto" w:fill="auto"/>
            <w:hideMark/>
          </w:tcPr>
          <w:p w:rsidR="004843DB" w:rsidRPr="0062582F" w:rsidRDefault="004843DB" w:rsidP="004843DB">
            <w:pPr>
              <w:spacing w:before="10" w:after="10"/>
              <w:ind w:left="-284"/>
              <w:rPr>
                <w:rFonts w:ascii="Calibri" w:hAnsi="Calibri" w:cs="Arial"/>
                <w:i/>
                <w:iCs/>
                <w:noProof/>
                <w:sz w:val="18"/>
                <w:szCs w:val="18"/>
              </w:rPr>
            </w:pPr>
          </w:p>
        </w:tc>
        <w:tc>
          <w:tcPr>
            <w:tcW w:w="1350" w:type="dxa"/>
            <w:vMerge w:val="restart"/>
            <w:tcBorders>
              <w:top w:val="single" w:sz="4" w:space="0" w:color="auto"/>
              <w:left w:val="nil"/>
              <w:right w:val="nil"/>
            </w:tcBorders>
            <w:shd w:val="clear" w:color="000000" w:fill="CCCCCC"/>
            <w:noWrap/>
            <w:hideMark/>
          </w:tcPr>
          <w:p w:rsidR="004843DB" w:rsidRPr="0062582F" w:rsidRDefault="004843DB" w:rsidP="004843DB">
            <w:pPr>
              <w:spacing w:before="0"/>
              <w:jc w:val="center"/>
              <w:rPr>
                <w:rFonts w:ascii="Calibri" w:hAnsi="Calibri" w:cs="Arial"/>
                <w:i/>
                <w:iCs/>
                <w:sz w:val="18"/>
                <w:szCs w:val="20"/>
              </w:rPr>
            </w:pPr>
            <w:r w:rsidRPr="0062582F">
              <w:rPr>
                <w:rFonts w:ascii="Calibri" w:hAnsi="Calibri" w:cs="Arial"/>
                <w:i/>
                <w:iCs/>
                <w:sz w:val="18"/>
                <w:szCs w:val="20"/>
              </w:rPr>
              <w:t>Carrying amount as at</w:t>
            </w:r>
            <w:r w:rsidRPr="0062582F">
              <w:rPr>
                <w:rFonts w:ascii="Calibri" w:hAnsi="Calibri" w:cs="Arial"/>
                <w:i/>
                <w:iCs/>
                <w:sz w:val="18"/>
                <w:szCs w:val="20"/>
              </w:rPr>
              <w:br/>
              <w:t>30 June 2015</w:t>
            </w:r>
          </w:p>
        </w:tc>
        <w:tc>
          <w:tcPr>
            <w:tcW w:w="2765" w:type="dxa"/>
            <w:gridSpan w:val="3"/>
            <w:tcBorders>
              <w:top w:val="single" w:sz="4" w:space="0" w:color="auto"/>
              <w:left w:val="nil"/>
              <w:bottom w:val="nil"/>
              <w:right w:val="nil"/>
            </w:tcBorders>
            <w:shd w:val="clear" w:color="auto" w:fill="auto"/>
            <w:hideMark/>
          </w:tcPr>
          <w:p w:rsidR="004843DB" w:rsidRPr="0062582F" w:rsidRDefault="004843DB" w:rsidP="004843DB">
            <w:pPr>
              <w:spacing w:before="0"/>
              <w:jc w:val="center"/>
              <w:rPr>
                <w:rFonts w:ascii="Calibri" w:hAnsi="Calibri" w:cs="Arial"/>
                <w:i/>
                <w:iCs/>
                <w:sz w:val="18"/>
                <w:szCs w:val="20"/>
              </w:rPr>
            </w:pPr>
            <w:r w:rsidRPr="0062582F">
              <w:rPr>
                <w:rFonts w:ascii="Calibri" w:hAnsi="Calibri" w:cs="Arial"/>
                <w:i/>
                <w:iCs/>
                <w:sz w:val="18"/>
                <w:szCs w:val="20"/>
              </w:rPr>
              <w:t>Fair value measurement at end of reporting period using:</w:t>
            </w:r>
          </w:p>
        </w:tc>
      </w:tr>
      <w:tr w:rsidR="004843DB" w:rsidRPr="0062582F" w:rsidTr="004843DB">
        <w:trPr>
          <w:cantSplit/>
        </w:trPr>
        <w:tc>
          <w:tcPr>
            <w:tcW w:w="3823" w:type="dxa"/>
            <w:vMerge/>
            <w:tcBorders>
              <w:top w:val="single" w:sz="4" w:space="0" w:color="auto"/>
              <w:left w:val="nil"/>
              <w:bottom w:val="single" w:sz="4" w:space="0" w:color="000000"/>
              <w:right w:val="nil"/>
            </w:tcBorders>
            <w:vAlign w:val="center"/>
            <w:hideMark/>
          </w:tcPr>
          <w:p w:rsidR="004843DB" w:rsidRPr="0062582F" w:rsidRDefault="004843DB" w:rsidP="004843DB">
            <w:pPr>
              <w:spacing w:before="10" w:after="10"/>
              <w:rPr>
                <w:rFonts w:ascii="Arial" w:hAnsi="Arial" w:cs="Arial"/>
                <w:i/>
                <w:iCs/>
                <w:sz w:val="18"/>
                <w:szCs w:val="18"/>
              </w:rPr>
            </w:pPr>
          </w:p>
        </w:tc>
        <w:tc>
          <w:tcPr>
            <w:tcW w:w="1350" w:type="dxa"/>
            <w:vMerge/>
            <w:tcBorders>
              <w:left w:val="nil"/>
              <w:bottom w:val="single" w:sz="4" w:space="0" w:color="auto"/>
              <w:right w:val="nil"/>
            </w:tcBorders>
            <w:shd w:val="clear" w:color="000000" w:fill="CCCCCC"/>
            <w:noWrap/>
            <w:hideMark/>
          </w:tcPr>
          <w:p w:rsidR="004843DB" w:rsidRPr="0062582F" w:rsidRDefault="004843DB" w:rsidP="004843DB">
            <w:pPr>
              <w:spacing w:before="0"/>
              <w:jc w:val="center"/>
              <w:rPr>
                <w:rFonts w:ascii="Calibri" w:hAnsi="Calibri" w:cs="Arial"/>
                <w:i/>
                <w:iCs/>
                <w:sz w:val="18"/>
                <w:szCs w:val="20"/>
              </w:rPr>
            </w:pPr>
          </w:p>
        </w:tc>
        <w:tc>
          <w:tcPr>
            <w:tcW w:w="108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spacing w:before="0" w:after="30"/>
              <w:jc w:val="center"/>
              <w:rPr>
                <w:rFonts w:ascii="Calibri" w:hAnsi="Calibri" w:cs="Arial"/>
                <w:i/>
                <w:iCs/>
                <w:sz w:val="18"/>
                <w:szCs w:val="20"/>
              </w:rPr>
            </w:pPr>
            <w:r w:rsidRPr="0062582F">
              <w:rPr>
                <w:rFonts w:ascii="Calibri" w:hAnsi="Calibri" w:cs="Arial"/>
                <w:i/>
                <w:iCs/>
                <w:sz w:val="18"/>
                <w:szCs w:val="20"/>
              </w:rPr>
              <w:t>Level 1</w:t>
            </w:r>
            <w:r w:rsidRPr="0062582F">
              <w:rPr>
                <w:rFonts w:ascii="Calibri" w:hAnsi="Calibri" w:cs="Arial"/>
                <w:i/>
                <w:iCs/>
                <w:sz w:val="18"/>
                <w:szCs w:val="20"/>
                <w:vertAlign w:val="superscript"/>
              </w:rPr>
              <w:t xml:space="preserve"> (i)</w:t>
            </w:r>
          </w:p>
        </w:tc>
        <w:tc>
          <w:tcPr>
            <w:tcW w:w="85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spacing w:before="0" w:after="30"/>
              <w:jc w:val="center"/>
              <w:rPr>
                <w:rFonts w:ascii="Calibri" w:hAnsi="Calibri" w:cs="Arial"/>
                <w:i/>
                <w:iCs/>
                <w:sz w:val="18"/>
                <w:szCs w:val="20"/>
              </w:rPr>
            </w:pPr>
            <w:r w:rsidRPr="0062582F">
              <w:rPr>
                <w:rFonts w:ascii="Calibri" w:hAnsi="Calibri" w:cs="Arial"/>
                <w:i/>
                <w:iCs/>
                <w:sz w:val="18"/>
                <w:szCs w:val="20"/>
              </w:rPr>
              <w:t>Level 2</w:t>
            </w:r>
            <w:r w:rsidRPr="0062582F">
              <w:rPr>
                <w:rFonts w:ascii="Calibri" w:hAnsi="Calibri" w:cs="Arial"/>
                <w:i/>
                <w:iCs/>
                <w:sz w:val="18"/>
                <w:szCs w:val="20"/>
                <w:vertAlign w:val="superscript"/>
              </w:rPr>
              <w:t xml:space="preserve"> (i)</w:t>
            </w:r>
          </w:p>
        </w:tc>
        <w:tc>
          <w:tcPr>
            <w:tcW w:w="83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spacing w:before="0"/>
              <w:jc w:val="center"/>
              <w:rPr>
                <w:rFonts w:ascii="Calibri" w:hAnsi="Calibri" w:cs="Arial"/>
                <w:i/>
                <w:iCs/>
                <w:sz w:val="18"/>
                <w:szCs w:val="20"/>
              </w:rPr>
            </w:pPr>
            <w:r w:rsidRPr="0062582F">
              <w:rPr>
                <w:rFonts w:ascii="Calibri" w:hAnsi="Calibri" w:cs="Arial"/>
                <w:i/>
                <w:iCs/>
                <w:sz w:val="18"/>
                <w:szCs w:val="20"/>
              </w:rPr>
              <w:t>Level 3</w:t>
            </w:r>
            <w:r w:rsidRPr="0062582F">
              <w:rPr>
                <w:rFonts w:ascii="Calibri" w:hAnsi="Calibri" w:cs="Arial"/>
                <w:i/>
                <w:iCs/>
                <w:sz w:val="18"/>
                <w:szCs w:val="20"/>
                <w:vertAlign w:val="superscript"/>
              </w:rPr>
              <w:t xml:space="preserve"> (i)</w:t>
            </w:r>
          </w:p>
        </w:tc>
      </w:tr>
      <w:tr w:rsidR="004843DB" w:rsidRPr="0062582F" w:rsidTr="004843DB">
        <w:trPr>
          <w:cantSplit/>
        </w:trPr>
        <w:tc>
          <w:tcPr>
            <w:tcW w:w="3823" w:type="dxa"/>
            <w:tcBorders>
              <w:top w:val="nil"/>
              <w:left w:val="nil"/>
              <w:bottom w:val="nil"/>
              <w:right w:val="nil"/>
            </w:tcBorders>
            <w:shd w:val="clear" w:color="auto" w:fill="auto"/>
            <w:vAlign w:val="bottom"/>
          </w:tcPr>
          <w:p w:rsidR="004843DB" w:rsidRPr="0062582F" w:rsidRDefault="004843DB" w:rsidP="004843DB">
            <w:pPr>
              <w:pStyle w:val="Tabletext"/>
              <w:spacing w:before="10" w:after="10"/>
            </w:pPr>
            <w:r w:rsidRPr="0062582F">
              <w:t>Land at fair value</w:t>
            </w:r>
          </w:p>
        </w:tc>
        <w:tc>
          <w:tcPr>
            <w:tcW w:w="13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nil"/>
              <w:left w:val="nil"/>
              <w:bottom w:val="nil"/>
              <w:right w:val="nil"/>
            </w:tcBorders>
            <w:shd w:val="clear" w:color="auto" w:fill="auto"/>
            <w:noWrap/>
          </w:tcPr>
          <w:p w:rsidR="004843DB" w:rsidRPr="0062582F" w:rsidRDefault="004843DB" w:rsidP="004843DB">
            <w:pPr>
              <w:pStyle w:val="TableofFigures"/>
              <w:spacing w:before="0" w:after="0"/>
            </w:pPr>
          </w:p>
        </w:tc>
        <w:tc>
          <w:tcPr>
            <w:tcW w:w="8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nil"/>
              <w:left w:val="nil"/>
              <w:bottom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Pr>
        <w:tc>
          <w:tcPr>
            <w:tcW w:w="3823" w:type="dxa"/>
            <w:tcBorders>
              <w:top w:val="nil"/>
              <w:left w:val="nil"/>
              <w:bottom w:val="nil"/>
              <w:right w:val="nil"/>
            </w:tcBorders>
            <w:shd w:val="clear" w:color="auto" w:fill="auto"/>
            <w:vAlign w:val="bottom"/>
          </w:tcPr>
          <w:p w:rsidR="004843DB" w:rsidRPr="0062582F" w:rsidRDefault="004843DB" w:rsidP="004843DB">
            <w:pPr>
              <w:pStyle w:val="TabletextIndent"/>
            </w:pPr>
            <w:r w:rsidRPr="0062582F">
              <w:t>Non</w:t>
            </w:r>
            <w:r w:rsidR="005A4BB0">
              <w:noBreakHyphen/>
            </w:r>
            <w:r w:rsidRPr="0062582F">
              <w:t xml:space="preserve">specialised land </w:t>
            </w:r>
          </w:p>
        </w:tc>
        <w:tc>
          <w:tcPr>
            <w:tcW w:w="13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987</w:t>
            </w:r>
          </w:p>
        </w:tc>
        <w:tc>
          <w:tcPr>
            <w:tcW w:w="1080"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987</w:t>
            </w:r>
          </w:p>
        </w:tc>
        <w:tc>
          <w:tcPr>
            <w:tcW w:w="835"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w:t>
            </w:r>
          </w:p>
        </w:tc>
      </w:tr>
      <w:tr w:rsidR="004843DB" w:rsidRPr="0062582F" w:rsidTr="004843DB">
        <w:trPr>
          <w:cantSplit/>
        </w:trPr>
        <w:tc>
          <w:tcPr>
            <w:tcW w:w="3823" w:type="dxa"/>
            <w:tcBorders>
              <w:top w:val="nil"/>
              <w:left w:val="nil"/>
              <w:bottom w:val="single" w:sz="4" w:space="0" w:color="auto"/>
              <w:right w:val="nil"/>
            </w:tcBorders>
            <w:shd w:val="clear" w:color="auto" w:fill="auto"/>
            <w:vAlign w:val="bottom"/>
          </w:tcPr>
          <w:p w:rsidR="004843DB" w:rsidRPr="0062582F" w:rsidRDefault="004843DB" w:rsidP="004843DB">
            <w:pPr>
              <w:pStyle w:val="TabletextIndent"/>
            </w:pPr>
            <w:r w:rsidRPr="0062582F">
              <w:t>Specialised land</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2 534</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2 534</w:t>
            </w:r>
          </w:p>
        </w:tc>
      </w:tr>
      <w:tr w:rsidR="004843DB" w:rsidRPr="0062582F" w:rsidTr="004843DB">
        <w:trPr>
          <w:cantSplit/>
        </w:trPr>
        <w:tc>
          <w:tcPr>
            <w:tcW w:w="382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spacing w:before="10" w:after="10"/>
              <w:rPr>
                <w:b/>
              </w:rPr>
            </w:pPr>
            <w:r w:rsidRPr="0062582F">
              <w:rPr>
                <w:b/>
              </w:rPr>
              <w:t>Total of land at fair value</w:t>
            </w:r>
          </w:p>
        </w:tc>
        <w:tc>
          <w:tcPr>
            <w:tcW w:w="13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3 521</w:t>
            </w:r>
          </w:p>
        </w:tc>
        <w:tc>
          <w:tcPr>
            <w:tcW w:w="10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N/A</w:t>
            </w:r>
          </w:p>
        </w:tc>
        <w:tc>
          <w:tcPr>
            <w:tcW w:w="8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987</w:t>
            </w:r>
          </w:p>
        </w:tc>
        <w:tc>
          <w:tcPr>
            <w:tcW w:w="835"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2 534</w:t>
            </w:r>
          </w:p>
        </w:tc>
      </w:tr>
      <w:tr w:rsidR="004843DB" w:rsidRPr="0062582F" w:rsidTr="004843DB">
        <w:trPr>
          <w:cantSplit/>
        </w:trPr>
        <w:tc>
          <w:tcPr>
            <w:tcW w:w="3823" w:type="dxa"/>
            <w:tcBorders>
              <w:top w:val="single" w:sz="4" w:space="0" w:color="auto"/>
              <w:left w:val="nil"/>
              <w:bottom w:val="nil"/>
              <w:right w:val="nil"/>
            </w:tcBorders>
            <w:shd w:val="clear" w:color="auto" w:fill="auto"/>
            <w:vAlign w:val="bottom"/>
          </w:tcPr>
          <w:p w:rsidR="004843DB" w:rsidRPr="0062582F" w:rsidRDefault="004843DB" w:rsidP="004843DB">
            <w:pPr>
              <w:pStyle w:val="Tabletext"/>
              <w:spacing w:before="10" w:after="10"/>
            </w:pPr>
            <w:r w:rsidRPr="0062582F">
              <w:t>Buildings at fair value</w:t>
            </w:r>
          </w:p>
        </w:tc>
        <w:tc>
          <w:tcPr>
            <w:tcW w:w="13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c>
          <w:tcPr>
            <w:tcW w:w="8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Height w:val="170"/>
        </w:trPr>
        <w:tc>
          <w:tcPr>
            <w:tcW w:w="3823" w:type="dxa"/>
            <w:tcBorders>
              <w:top w:val="nil"/>
              <w:left w:val="nil"/>
              <w:bottom w:val="nil"/>
              <w:right w:val="nil"/>
            </w:tcBorders>
            <w:shd w:val="clear" w:color="auto" w:fill="auto"/>
            <w:vAlign w:val="bottom"/>
          </w:tcPr>
          <w:p w:rsidR="004843DB" w:rsidRPr="0062582F" w:rsidRDefault="004843DB" w:rsidP="004843DB">
            <w:pPr>
              <w:pStyle w:val="TabletextIndent"/>
              <w:rPr>
                <w:noProof/>
              </w:rPr>
            </w:pPr>
            <w:r w:rsidRPr="0062582F">
              <w:rPr>
                <w:noProof/>
              </w:rPr>
              <w:t>Non</w:t>
            </w:r>
            <w:r w:rsidR="005A4BB0">
              <w:rPr>
                <w:noProof/>
              </w:rPr>
              <w:noBreakHyphen/>
            </w:r>
            <w:r w:rsidRPr="0062582F">
              <w:rPr>
                <w:noProof/>
              </w:rPr>
              <w:t>specialised buildings</w:t>
            </w:r>
          </w:p>
        </w:tc>
        <w:tc>
          <w:tcPr>
            <w:tcW w:w="13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2 082</w:t>
            </w:r>
          </w:p>
        </w:tc>
        <w:tc>
          <w:tcPr>
            <w:tcW w:w="1080"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2 082</w:t>
            </w:r>
          </w:p>
        </w:tc>
        <w:tc>
          <w:tcPr>
            <w:tcW w:w="835"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w:t>
            </w:r>
          </w:p>
        </w:tc>
      </w:tr>
      <w:tr w:rsidR="004843DB" w:rsidRPr="0062582F" w:rsidTr="004843DB">
        <w:trPr>
          <w:cantSplit/>
          <w:trHeight w:val="170"/>
        </w:trPr>
        <w:tc>
          <w:tcPr>
            <w:tcW w:w="3823" w:type="dxa"/>
            <w:tcBorders>
              <w:top w:val="nil"/>
              <w:left w:val="nil"/>
              <w:bottom w:val="nil"/>
              <w:right w:val="nil"/>
            </w:tcBorders>
            <w:shd w:val="clear" w:color="auto" w:fill="auto"/>
            <w:vAlign w:val="bottom"/>
          </w:tcPr>
          <w:p w:rsidR="004843DB" w:rsidRPr="0062582F" w:rsidRDefault="004843DB" w:rsidP="004843DB">
            <w:pPr>
              <w:pStyle w:val="TabletextIndent"/>
              <w:rPr>
                <w:noProof/>
              </w:rPr>
            </w:pPr>
            <w:r w:rsidRPr="0062582F">
              <w:rPr>
                <w:noProof/>
              </w:rPr>
              <w:t xml:space="preserve">Specialised buildings </w:t>
            </w:r>
          </w:p>
        </w:tc>
        <w:tc>
          <w:tcPr>
            <w:tcW w:w="13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4 595</w:t>
            </w:r>
          </w:p>
        </w:tc>
        <w:tc>
          <w:tcPr>
            <w:tcW w:w="1080"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4 595</w:t>
            </w:r>
          </w:p>
        </w:tc>
      </w:tr>
      <w:tr w:rsidR="004843DB" w:rsidRPr="0062582F" w:rsidTr="004843DB">
        <w:trPr>
          <w:cantSplit/>
          <w:trHeight w:val="170"/>
        </w:trPr>
        <w:tc>
          <w:tcPr>
            <w:tcW w:w="3823" w:type="dxa"/>
            <w:tcBorders>
              <w:top w:val="nil"/>
              <w:left w:val="nil"/>
              <w:bottom w:val="single" w:sz="4" w:space="0" w:color="auto"/>
              <w:right w:val="nil"/>
            </w:tcBorders>
            <w:shd w:val="clear" w:color="auto" w:fill="auto"/>
            <w:vAlign w:val="bottom"/>
          </w:tcPr>
          <w:p w:rsidR="004843DB" w:rsidRPr="0062582F" w:rsidRDefault="004843DB" w:rsidP="004843DB">
            <w:pPr>
              <w:pStyle w:val="TabletextIndent"/>
              <w:rPr>
                <w:noProof/>
              </w:rPr>
            </w:pPr>
            <w:r w:rsidRPr="0062582F">
              <w:rPr>
                <w:noProof/>
              </w:rPr>
              <w:t xml:space="preserve">Heritage assets </w:t>
            </w:r>
            <w:r w:rsidRPr="0062582F">
              <w:rPr>
                <w:noProof/>
                <w:vertAlign w:val="superscript"/>
              </w:rPr>
              <w:t>(ii)</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12 553</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12 553</w:t>
            </w:r>
          </w:p>
        </w:tc>
      </w:tr>
      <w:tr w:rsidR="004843DB" w:rsidRPr="0062582F" w:rsidTr="004843DB">
        <w:trPr>
          <w:cantSplit/>
        </w:trPr>
        <w:tc>
          <w:tcPr>
            <w:tcW w:w="382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spacing w:before="10" w:after="10"/>
              <w:rPr>
                <w:b/>
              </w:rPr>
            </w:pPr>
            <w:r w:rsidRPr="0062582F">
              <w:rPr>
                <w:b/>
              </w:rPr>
              <w:t>Total of buildings at fair value</w:t>
            </w:r>
          </w:p>
        </w:tc>
        <w:tc>
          <w:tcPr>
            <w:tcW w:w="13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19 230</w:t>
            </w:r>
          </w:p>
        </w:tc>
        <w:tc>
          <w:tcPr>
            <w:tcW w:w="10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N/A</w:t>
            </w:r>
          </w:p>
        </w:tc>
        <w:tc>
          <w:tcPr>
            <w:tcW w:w="8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2 082</w:t>
            </w:r>
          </w:p>
        </w:tc>
        <w:tc>
          <w:tcPr>
            <w:tcW w:w="835"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19 230</w:t>
            </w:r>
          </w:p>
        </w:tc>
      </w:tr>
      <w:tr w:rsidR="004843DB" w:rsidRPr="0062582F" w:rsidTr="004843DB">
        <w:trPr>
          <w:cantSplit/>
        </w:trPr>
        <w:tc>
          <w:tcPr>
            <w:tcW w:w="3823" w:type="dxa"/>
            <w:tcBorders>
              <w:top w:val="single" w:sz="4" w:space="0" w:color="auto"/>
              <w:left w:val="nil"/>
              <w:bottom w:val="nil"/>
              <w:right w:val="nil"/>
            </w:tcBorders>
            <w:shd w:val="clear" w:color="auto" w:fill="auto"/>
            <w:vAlign w:val="bottom"/>
          </w:tcPr>
          <w:p w:rsidR="004843DB" w:rsidRPr="0062582F" w:rsidRDefault="004843DB" w:rsidP="004843DB">
            <w:pPr>
              <w:pStyle w:val="Tabletext"/>
              <w:spacing w:before="10" w:after="10"/>
            </w:pPr>
            <w:r w:rsidRPr="0062582F">
              <w:t>Plant, equipment and vehicles at fair value</w:t>
            </w:r>
          </w:p>
        </w:tc>
        <w:tc>
          <w:tcPr>
            <w:tcW w:w="13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c>
          <w:tcPr>
            <w:tcW w:w="8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Pr>
        <w:tc>
          <w:tcPr>
            <w:tcW w:w="3823" w:type="dxa"/>
            <w:tcBorders>
              <w:top w:val="nil"/>
              <w:left w:val="nil"/>
              <w:bottom w:val="nil"/>
              <w:right w:val="nil"/>
            </w:tcBorders>
            <w:shd w:val="clear" w:color="auto" w:fill="auto"/>
            <w:vAlign w:val="bottom"/>
          </w:tcPr>
          <w:p w:rsidR="004843DB" w:rsidRPr="0062582F" w:rsidRDefault="004843DB" w:rsidP="004843DB">
            <w:pPr>
              <w:pStyle w:val="TabletextIndent"/>
              <w:rPr>
                <w:noProof/>
              </w:rPr>
            </w:pPr>
            <w:r w:rsidRPr="0062582F">
              <w:rPr>
                <w:noProof/>
              </w:rPr>
              <w:t xml:space="preserve">Vehicles </w:t>
            </w:r>
            <w:r w:rsidRPr="0062582F">
              <w:rPr>
                <w:noProof/>
                <w:vertAlign w:val="superscript"/>
              </w:rPr>
              <w:t>(iii)</w:t>
            </w:r>
          </w:p>
        </w:tc>
        <w:tc>
          <w:tcPr>
            <w:tcW w:w="13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15 321</w:t>
            </w:r>
          </w:p>
        </w:tc>
        <w:tc>
          <w:tcPr>
            <w:tcW w:w="1080"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nil"/>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nil"/>
              <w:right w:val="nil"/>
            </w:tcBorders>
            <w:shd w:val="clear" w:color="auto" w:fill="auto"/>
            <w:noWrap/>
          </w:tcPr>
          <w:p w:rsidR="004843DB" w:rsidRPr="0062582F" w:rsidRDefault="004843DB" w:rsidP="004843DB">
            <w:pPr>
              <w:pStyle w:val="TableofFigures"/>
              <w:spacing w:before="0" w:after="0"/>
            </w:pPr>
            <w:r w:rsidRPr="0062582F">
              <w:t>15 231</w:t>
            </w:r>
          </w:p>
        </w:tc>
      </w:tr>
      <w:tr w:rsidR="004843DB" w:rsidRPr="0062582F" w:rsidTr="004843DB">
        <w:trPr>
          <w:cantSplit/>
        </w:trPr>
        <w:tc>
          <w:tcPr>
            <w:tcW w:w="3823" w:type="dxa"/>
            <w:tcBorders>
              <w:top w:val="nil"/>
              <w:left w:val="nil"/>
              <w:bottom w:val="single" w:sz="4" w:space="0" w:color="auto"/>
              <w:right w:val="nil"/>
            </w:tcBorders>
            <w:shd w:val="clear" w:color="auto" w:fill="auto"/>
            <w:vAlign w:val="bottom"/>
          </w:tcPr>
          <w:p w:rsidR="004843DB" w:rsidRPr="0062582F" w:rsidRDefault="004843DB" w:rsidP="004843DB">
            <w:pPr>
              <w:pStyle w:val="TabletextIndent"/>
              <w:rPr>
                <w:noProof/>
              </w:rPr>
            </w:pPr>
            <w:r w:rsidRPr="0062582F">
              <w:rPr>
                <w:noProof/>
              </w:rPr>
              <w:t>Plant and equipment</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27 788</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27 788</w:t>
            </w:r>
          </w:p>
        </w:tc>
      </w:tr>
      <w:tr w:rsidR="004843DB" w:rsidRPr="0062582F" w:rsidTr="004843DB">
        <w:trPr>
          <w:cantSplit/>
          <w:trHeight w:val="182"/>
        </w:trPr>
        <w:tc>
          <w:tcPr>
            <w:tcW w:w="382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spacing w:before="10" w:after="10"/>
              <w:rPr>
                <w:rFonts w:asciiTheme="minorHAnsi" w:hAnsiTheme="minorHAnsi" w:cstheme="minorHAnsi"/>
                <w:b/>
              </w:rPr>
            </w:pPr>
            <w:r w:rsidRPr="0062582F">
              <w:rPr>
                <w:b/>
              </w:rPr>
              <w:t>Total of plant, equipment and vehicles at fair value</w:t>
            </w:r>
          </w:p>
        </w:tc>
        <w:tc>
          <w:tcPr>
            <w:tcW w:w="13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43 109</w:t>
            </w:r>
          </w:p>
        </w:tc>
        <w:tc>
          <w:tcPr>
            <w:tcW w:w="10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N/A</w:t>
            </w:r>
          </w:p>
        </w:tc>
        <w:tc>
          <w:tcPr>
            <w:tcW w:w="8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w:t>
            </w:r>
          </w:p>
        </w:tc>
        <w:tc>
          <w:tcPr>
            <w:tcW w:w="835"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43 109</w:t>
            </w:r>
          </w:p>
        </w:tc>
      </w:tr>
      <w:tr w:rsidR="004843DB" w:rsidRPr="0062582F" w:rsidTr="004843DB">
        <w:trPr>
          <w:cantSplit/>
          <w:trHeight w:val="182"/>
        </w:trPr>
        <w:tc>
          <w:tcPr>
            <w:tcW w:w="3823" w:type="dxa"/>
            <w:tcBorders>
              <w:top w:val="single" w:sz="4" w:space="0" w:color="auto"/>
              <w:left w:val="nil"/>
              <w:bottom w:val="nil"/>
              <w:right w:val="nil"/>
            </w:tcBorders>
            <w:shd w:val="clear" w:color="auto" w:fill="auto"/>
          </w:tcPr>
          <w:p w:rsidR="004843DB" w:rsidRPr="0062582F" w:rsidRDefault="004843DB" w:rsidP="004843DB">
            <w:pPr>
              <w:pStyle w:val="Tabletext"/>
              <w:spacing w:before="10" w:after="10"/>
            </w:pPr>
            <w:r w:rsidRPr="0062582F">
              <w:rPr>
                <w:b/>
              </w:rPr>
              <w:t>Infrastructure at fair value</w:t>
            </w:r>
          </w:p>
        </w:tc>
        <w:tc>
          <w:tcPr>
            <w:tcW w:w="13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c>
          <w:tcPr>
            <w:tcW w:w="8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Pr>
        <w:tc>
          <w:tcPr>
            <w:tcW w:w="3823" w:type="dxa"/>
            <w:tcBorders>
              <w:top w:val="nil"/>
              <w:left w:val="nil"/>
              <w:bottom w:val="single" w:sz="4" w:space="0" w:color="auto"/>
              <w:right w:val="nil"/>
            </w:tcBorders>
            <w:shd w:val="clear" w:color="auto" w:fill="auto"/>
          </w:tcPr>
          <w:p w:rsidR="004843DB" w:rsidRPr="0062582F" w:rsidRDefault="004843DB" w:rsidP="004843DB">
            <w:pPr>
              <w:pStyle w:val="TabletextIndent"/>
              <w:rPr>
                <w:noProof/>
              </w:rPr>
            </w:pPr>
            <w:r w:rsidRPr="0062582F">
              <w:rPr>
                <w:noProof/>
              </w:rPr>
              <w:t>Infrastructure</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4 931</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4 931</w:t>
            </w:r>
          </w:p>
        </w:tc>
      </w:tr>
      <w:tr w:rsidR="004843DB" w:rsidRPr="0062582F" w:rsidTr="004843DB">
        <w:trPr>
          <w:cantSplit/>
        </w:trPr>
        <w:tc>
          <w:tcPr>
            <w:tcW w:w="382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spacing w:before="10" w:after="10"/>
              <w:rPr>
                <w:b/>
              </w:rPr>
            </w:pPr>
            <w:r w:rsidRPr="0062582F">
              <w:rPr>
                <w:b/>
              </w:rPr>
              <w:t>Total of infrastructure at fair value</w:t>
            </w:r>
          </w:p>
        </w:tc>
        <w:tc>
          <w:tcPr>
            <w:tcW w:w="13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4 931</w:t>
            </w:r>
          </w:p>
        </w:tc>
        <w:tc>
          <w:tcPr>
            <w:tcW w:w="10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N/A</w:t>
            </w:r>
          </w:p>
        </w:tc>
        <w:tc>
          <w:tcPr>
            <w:tcW w:w="8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w:t>
            </w:r>
          </w:p>
        </w:tc>
        <w:tc>
          <w:tcPr>
            <w:tcW w:w="835"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4 931</w:t>
            </w:r>
          </w:p>
        </w:tc>
      </w:tr>
      <w:tr w:rsidR="004843DB" w:rsidRPr="0062582F" w:rsidTr="004843DB">
        <w:trPr>
          <w:cantSplit/>
        </w:trPr>
        <w:tc>
          <w:tcPr>
            <w:tcW w:w="3823" w:type="dxa"/>
            <w:tcBorders>
              <w:top w:val="single" w:sz="4" w:space="0" w:color="auto"/>
              <w:left w:val="nil"/>
              <w:bottom w:val="nil"/>
              <w:right w:val="nil"/>
            </w:tcBorders>
            <w:shd w:val="clear" w:color="auto" w:fill="auto"/>
          </w:tcPr>
          <w:p w:rsidR="004843DB" w:rsidRPr="0062582F" w:rsidRDefault="004843DB" w:rsidP="004843DB">
            <w:pPr>
              <w:pStyle w:val="Tabletext"/>
              <w:spacing w:before="10" w:after="10"/>
              <w:rPr>
                <w:b/>
              </w:rPr>
            </w:pPr>
            <w:r w:rsidRPr="0062582F">
              <w:rPr>
                <w:b/>
              </w:rPr>
              <w:t>Road, infrastructure and earthworks at fair value</w:t>
            </w:r>
          </w:p>
        </w:tc>
        <w:tc>
          <w:tcPr>
            <w:tcW w:w="13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c>
          <w:tcPr>
            <w:tcW w:w="850" w:type="dxa"/>
            <w:tcBorders>
              <w:top w:val="single" w:sz="4" w:space="0" w:color="auto"/>
              <w:left w:val="nil"/>
              <w:bottom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single" w:sz="4" w:space="0" w:color="auto"/>
              <w:left w:val="nil"/>
              <w:bottom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Pr>
        <w:tc>
          <w:tcPr>
            <w:tcW w:w="3823" w:type="dxa"/>
            <w:tcBorders>
              <w:top w:val="nil"/>
              <w:left w:val="nil"/>
              <w:bottom w:val="single" w:sz="4" w:space="0" w:color="auto"/>
              <w:right w:val="nil"/>
            </w:tcBorders>
            <w:shd w:val="clear" w:color="auto" w:fill="auto"/>
          </w:tcPr>
          <w:p w:rsidR="004843DB" w:rsidRPr="0062582F" w:rsidRDefault="004843DB" w:rsidP="004843DB">
            <w:pPr>
              <w:pStyle w:val="TabletextIndent"/>
              <w:rPr>
                <w:noProof/>
              </w:rPr>
            </w:pPr>
            <w:r w:rsidRPr="0062582F">
              <w:rPr>
                <w:noProof/>
              </w:rPr>
              <w:t>Road, infrastructure and earthworks at fair value</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4 993</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ind w:left="142"/>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ind w:left="142"/>
            </w:pPr>
            <w:r w:rsidRPr="0062582F">
              <w:rPr>
                <w:rFonts w:asciiTheme="minorHAnsi" w:hAnsiTheme="minorHAnsi" w:cstheme="minorHAnsi"/>
                <w:sz w:val="20"/>
              </w:rPr>
              <w:t>..</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4 993</w:t>
            </w:r>
          </w:p>
        </w:tc>
      </w:tr>
      <w:tr w:rsidR="004843DB" w:rsidRPr="0062582F" w:rsidTr="004843DB">
        <w:trPr>
          <w:cantSplit/>
        </w:trPr>
        <w:tc>
          <w:tcPr>
            <w:tcW w:w="382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spacing w:before="10" w:after="10"/>
              <w:rPr>
                <w:b/>
              </w:rPr>
            </w:pPr>
            <w:r w:rsidRPr="0062582F">
              <w:rPr>
                <w:b/>
              </w:rPr>
              <w:t>Total of road, infrastructure and earthworks at fair value</w:t>
            </w:r>
          </w:p>
        </w:tc>
        <w:tc>
          <w:tcPr>
            <w:tcW w:w="13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4 993</w:t>
            </w:r>
          </w:p>
        </w:tc>
        <w:tc>
          <w:tcPr>
            <w:tcW w:w="1080"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rPr>
                <w:b/>
              </w:rPr>
              <w:t>N/A</w:t>
            </w:r>
          </w:p>
        </w:tc>
        <w:tc>
          <w:tcPr>
            <w:tcW w:w="850" w:type="dxa"/>
            <w:tcBorders>
              <w:top w:val="single" w:sz="4" w:space="0" w:color="auto"/>
              <w:left w:val="nil"/>
              <w:bottom w:val="single" w:sz="4" w:space="0" w:color="auto"/>
              <w:right w:val="nil"/>
            </w:tcBorders>
            <w:shd w:val="clear" w:color="000000" w:fill="CCCCCC"/>
            <w:noWrap/>
          </w:tcPr>
          <w:p w:rsidR="004843DB" w:rsidRPr="0062582F" w:rsidRDefault="004843DB" w:rsidP="004843DB">
            <w:pPr>
              <w:pStyle w:val="TableofFigures"/>
              <w:spacing w:before="0" w:after="0"/>
              <w:rPr>
                <w:b/>
              </w:rPr>
            </w:pPr>
            <w:r w:rsidRPr="0062582F">
              <w:rPr>
                <w:rFonts w:asciiTheme="minorHAnsi" w:hAnsiTheme="minorHAnsi" w:cstheme="minorHAnsi"/>
                <w:b/>
                <w:sz w:val="20"/>
              </w:rPr>
              <w:t>..</w:t>
            </w:r>
          </w:p>
        </w:tc>
        <w:tc>
          <w:tcPr>
            <w:tcW w:w="835" w:type="dxa"/>
            <w:tcBorders>
              <w:top w:val="single" w:sz="4" w:space="0" w:color="auto"/>
              <w:left w:val="nil"/>
              <w:bottom w:val="single" w:sz="4" w:space="0" w:color="auto"/>
              <w:right w:val="nil"/>
            </w:tcBorders>
            <w:shd w:val="clear" w:color="auto" w:fill="auto"/>
            <w:noWrap/>
          </w:tcPr>
          <w:p w:rsidR="004843DB" w:rsidRPr="0062582F" w:rsidRDefault="004843DB" w:rsidP="004843DB">
            <w:pPr>
              <w:pStyle w:val="TableofFigures"/>
              <w:spacing w:before="0" w:after="0"/>
              <w:rPr>
                <w:b/>
              </w:rPr>
            </w:pPr>
            <w:r w:rsidRPr="0062582F">
              <w:rPr>
                <w:b/>
              </w:rPr>
              <w:t>4 993</w:t>
            </w:r>
          </w:p>
        </w:tc>
      </w:tr>
      <w:tr w:rsidR="004843DB" w:rsidRPr="0062582F" w:rsidTr="004843DB">
        <w:trPr>
          <w:cantSplit/>
        </w:trPr>
        <w:tc>
          <w:tcPr>
            <w:tcW w:w="3823" w:type="dxa"/>
            <w:tcBorders>
              <w:top w:val="single" w:sz="4" w:space="0" w:color="auto"/>
              <w:left w:val="nil"/>
              <w:right w:val="nil"/>
            </w:tcBorders>
            <w:shd w:val="clear" w:color="auto" w:fill="auto"/>
          </w:tcPr>
          <w:p w:rsidR="004843DB" w:rsidRPr="0062582F" w:rsidRDefault="004843DB" w:rsidP="004843DB">
            <w:pPr>
              <w:pStyle w:val="Tabletext"/>
              <w:spacing w:before="10" w:after="10"/>
              <w:rPr>
                <w:b/>
              </w:rPr>
            </w:pPr>
            <w:r w:rsidRPr="0062582F">
              <w:rPr>
                <w:b/>
              </w:rPr>
              <w:t>Cultural assets at fair value</w:t>
            </w:r>
          </w:p>
        </w:tc>
        <w:tc>
          <w:tcPr>
            <w:tcW w:w="1350" w:type="dxa"/>
            <w:tcBorders>
              <w:top w:val="single" w:sz="4" w:space="0" w:color="auto"/>
              <w:left w:val="nil"/>
              <w:right w:val="nil"/>
            </w:tcBorders>
            <w:shd w:val="clear" w:color="000000" w:fill="CCCCCC"/>
            <w:noWrap/>
          </w:tcPr>
          <w:p w:rsidR="004843DB" w:rsidRPr="0062582F" w:rsidRDefault="004843DB" w:rsidP="004843DB">
            <w:pPr>
              <w:pStyle w:val="TableofFigures"/>
              <w:spacing w:before="0" w:after="0"/>
            </w:pPr>
          </w:p>
        </w:tc>
        <w:tc>
          <w:tcPr>
            <w:tcW w:w="1080" w:type="dxa"/>
            <w:tcBorders>
              <w:top w:val="single" w:sz="4" w:space="0" w:color="auto"/>
              <w:left w:val="nil"/>
              <w:right w:val="nil"/>
            </w:tcBorders>
            <w:shd w:val="clear" w:color="auto" w:fill="auto"/>
            <w:noWrap/>
          </w:tcPr>
          <w:p w:rsidR="004843DB" w:rsidRPr="0062582F" w:rsidRDefault="004843DB" w:rsidP="004843DB">
            <w:pPr>
              <w:pStyle w:val="TableofFigures"/>
              <w:spacing w:before="0" w:after="0"/>
            </w:pPr>
          </w:p>
        </w:tc>
        <w:tc>
          <w:tcPr>
            <w:tcW w:w="850" w:type="dxa"/>
            <w:tcBorders>
              <w:top w:val="single" w:sz="4" w:space="0" w:color="auto"/>
              <w:left w:val="nil"/>
              <w:right w:val="nil"/>
            </w:tcBorders>
            <w:shd w:val="clear" w:color="000000" w:fill="CCCCCC"/>
            <w:noWrap/>
          </w:tcPr>
          <w:p w:rsidR="004843DB" w:rsidRPr="0062582F" w:rsidRDefault="004843DB" w:rsidP="004843DB">
            <w:pPr>
              <w:pStyle w:val="TableofFigures"/>
              <w:spacing w:before="0" w:after="0"/>
            </w:pPr>
          </w:p>
        </w:tc>
        <w:tc>
          <w:tcPr>
            <w:tcW w:w="835" w:type="dxa"/>
            <w:tcBorders>
              <w:top w:val="single" w:sz="4" w:space="0" w:color="auto"/>
              <w:left w:val="nil"/>
              <w:right w:val="nil"/>
            </w:tcBorders>
            <w:shd w:val="clear" w:color="auto" w:fill="auto"/>
            <w:noWrap/>
          </w:tcPr>
          <w:p w:rsidR="004843DB" w:rsidRPr="0062582F" w:rsidRDefault="004843DB" w:rsidP="004843DB">
            <w:pPr>
              <w:pStyle w:val="TableofFigures"/>
              <w:spacing w:before="0" w:after="0"/>
            </w:pPr>
          </w:p>
        </w:tc>
      </w:tr>
      <w:tr w:rsidR="004843DB" w:rsidRPr="0062582F" w:rsidTr="004843DB">
        <w:trPr>
          <w:cantSplit/>
          <w:trHeight w:val="120"/>
        </w:trPr>
        <w:tc>
          <w:tcPr>
            <w:tcW w:w="3823" w:type="dxa"/>
            <w:tcBorders>
              <w:top w:val="nil"/>
              <w:left w:val="nil"/>
              <w:bottom w:val="single" w:sz="4" w:space="0" w:color="auto"/>
              <w:right w:val="nil"/>
            </w:tcBorders>
            <w:shd w:val="clear" w:color="auto" w:fill="auto"/>
          </w:tcPr>
          <w:p w:rsidR="004843DB" w:rsidRPr="0062582F" w:rsidRDefault="004843DB" w:rsidP="004843DB">
            <w:pPr>
              <w:pStyle w:val="TabletextIndent"/>
              <w:rPr>
                <w:noProof/>
              </w:rPr>
            </w:pPr>
            <w:r w:rsidRPr="0062582F">
              <w:rPr>
                <w:noProof/>
                <w:lang w:val="en-GB" w:eastAsia="en-US"/>
              </w:rPr>
              <w:t>Artworks</w:t>
            </w:r>
          </w:p>
        </w:tc>
        <w:tc>
          <w:tcPr>
            <w:tcW w:w="13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w:t>
            </w:r>
          </w:p>
        </w:tc>
        <w:tc>
          <w:tcPr>
            <w:tcW w:w="1080"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N/A</w:t>
            </w:r>
          </w:p>
        </w:tc>
        <w:tc>
          <w:tcPr>
            <w:tcW w:w="850" w:type="dxa"/>
            <w:tcBorders>
              <w:top w:val="nil"/>
              <w:left w:val="nil"/>
              <w:bottom w:val="single" w:sz="4" w:space="0" w:color="auto"/>
              <w:right w:val="nil"/>
            </w:tcBorders>
            <w:shd w:val="clear" w:color="000000" w:fill="CCCCCC"/>
            <w:noWrap/>
          </w:tcPr>
          <w:p w:rsidR="004843DB" w:rsidRPr="0062582F" w:rsidRDefault="004843DB" w:rsidP="004843DB">
            <w:pPr>
              <w:pStyle w:val="TableofFigures"/>
              <w:spacing w:before="0" w:after="0"/>
            </w:pPr>
            <w:r w:rsidRPr="0062582F">
              <w:t>..</w:t>
            </w:r>
          </w:p>
        </w:tc>
        <w:tc>
          <w:tcPr>
            <w:tcW w:w="835" w:type="dxa"/>
            <w:tcBorders>
              <w:top w:val="nil"/>
              <w:left w:val="nil"/>
              <w:bottom w:val="single" w:sz="4" w:space="0" w:color="auto"/>
              <w:right w:val="nil"/>
            </w:tcBorders>
            <w:shd w:val="clear" w:color="auto" w:fill="auto"/>
            <w:noWrap/>
          </w:tcPr>
          <w:p w:rsidR="004843DB" w:rsidRPr="0062582F" w:rsidRDefault="004843DB" w:rsidP="004843DB">
            <w:pPr>
              <w:pStyle w:val="TableofFigures"/>
              <w:spacing w:before="0" w:after="0"/>
            </w:pPr>
            <w:r w:rsidRPr="0062582F">
              <w:t>..</w:t>
            </w:r>
          </w:p>
        </w:tc>
      </w:tr>
      <w:tr w:rsidR="004843DB" w:rsidRPr="0062582F" w:rsidTr="004843DB">
        <w:trPr>
          <w:cantSplit/>
          <w:trHeight w:val="120"/>
        </w:trPr>
        <w:tc>
          <w:tcPr>
            <w:tcW w:w="3823" w:type="dxa"/>
            <w:tcBorders>
              <w:top w:val="single" w:sz="4" w:space="0" w:color="auto"/>
              <w:left w:val="nil"/>
              <w:bottom w:val="single" w:sz="12" w:space="0" w:color="auto"/>
              <w:right w:val="nil"/>
            </w:tcBorders>
            <w:shd w:val="clear" w:color="auto" w:fill="auto"/>
          </w:tcPr>
          <w:p w:rsidR="004843DB" w:rsidRPr="0062582F" w:rsidRDefault="004843DB" w:rsidP="004843DB">
            <w:pPr>
              <w:pStyle w:val="Tabletext"/>
              <w:spacing w:before="10" w:after="10"/>
              <w:rPr>
                <w:b/>
                <w:lang w:val="en-GB" w:eastAsia="en-US"/>
              </w:rPr>
            </w:pPr>
            <w:r w:rsidRPr="0062582F">
              <w:rPr>
                <w:b/>
              </w:rPr>
              <w:t>Total of cultural assets at fair value</w:t>
            </w:r>
          </w:p>
        </w:tc>
        <w:tc>
          <w:tcPr>
            <w:tcW w:w="1350" w:type="dxa"/>
            <w:tcBorders>
              <w:top w:val="single" w:sz="4" w:space="0" w:color="auto"/>
              <w:left w:val="nil"/>
              <w:bottom w:val="single" w:sz="12"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w:t>
            </w:r>
          </w:p>
        </w:tc>
        <w:tc>
          <w:tcPr>
            <w:tcW w:w="1080" w:type="dxa"/>
            <w:tcBorders>
              <w:top w:val="single" w:sz="4" w:space="0" w:color="auto"/>
              <w:left w:val="nil"/>
              <w:bottom w:val="single" w:sz="12" w:space="0" w:color="auto"/>
              <w:right w:val="nil"/>
            </w:tcBorders>
            <w:shd w:val="clear" w:color="auto" w:fill="auto"/>
            <w:noWrap/>
          </w:tcPr>
          <w:p w:rsidR="004843DB" w:rsidRPr="0062582F" w:rsidRDefault="004843DB" w:rsidP="004843DB">
            <w:pPr>
              <w:pStyle w:val="TableofFigures"/>
              <w:spacing w:before="0" w:after="0"/>
              <w:rPr>
                <w:b/>
              </w:rPr>
            </w:pPr>
            <w:r w:rsidRPr="0062582F">
              <w:rPr>
                <w:b/>
              </w:rPr>
              <w:t>N/A</w:t>
            </w:r>
          </w:p>
        </w:tc>
        <w:tc>
          <w:tcPr>
            <w:tcW w:w="850" w:type="dxa"/>
            <w:tcBorders>
              <w:top w:val="single" w:sz="4" w:space="0" w:color="auto"/>
              <w:left w:val="nil"/>
              <w:bottom w:val="single" w:sz="12" w:space="0" w:color="auto"/>
              <w:right w:val="nil"/>
            </w:tcBorders>
            <w:shd w:val="clear" w:color="000000" w:fill="CCCCCC"/>
            <w:noWrap/>
          </w:tcPr>
          <w:p w:rsidR="004843DB" w:rsidRPr="0062582F" w:rsidRDefault="004843DB" w:rsidP="004843DB">
            <w:pPr>
              <w:pStyle w:val="TableofFigures"/>
              <w:spacing w:before="0" w:after="0"/>
              <w:rPr>
                <w:b/>
              </w:rPr>
            </w:pPr>
            <w:r w:rsidRPr="0062582F">
              <w:rPr>
                <w:b/>
              </w:rPr>
              <w:t>..</w:t>
            </w:r>
          </w:p>
        </w:tc>
        <w:tc>
          <w:tcPr>
            <w:tcW w:w="835" w:type="dxa"/>
            <w:tcBorders>
              <w:top w:val="single" w:sz="4" w:space="0" w:color="auto"/>
              <w:left w:val="nil"/>
              <w:bottom w:val="single" w:sz="12" w:space="0" w:color="auto"/>
              <w:right w:val="nil"/>
            </w:tcBorders>
            <w:shd w:val="clear" w:color="auto" w:fill="auto"/>
            <w:noWrap/>
          </w:tcPr>
          <w:p w:rsidR="004843DB" w:rsidRPr="0062582F" w:rsidRDefault="004843DB" w:rsidP="004843DB">
            <w:pPr>
              <w:pStyle w:val="TableofFigures"/>
              <w:spacing w:before="0" w:after="0"/>
              <w:rPr>
                <w:b/>
              </w:rPr>
            </w:pPr>
            <w:r w:rsidRPr="0062582F">
              <w:rPr>
                <w:b/>
              </w:rPr>
              <w:t>..</w:t>
            </w:r>
          </w:p>
        </w:tc>
      </w:tr>
    </w:tbl>
    <w:p w:rsidR="004843DB" w:rsidRPr="0062582F" w:rsidRDefault="004843DB" w:rsidP="004843DB">
      <w:pPr>
        <w:pStyle w:val="NoteHeadingcontinued"/>
      </w:pPr>
      <w:r w:rsidRPr="0062582F">
        <w:br w:type="page"/>
      </w:r>
    </w:p>
    <w:p w:rsidR="004843DB" w:rsidRPr="0062582F" w:rsidRDefault="004843DB" w:rsidP="004843DB">
      <w:pPr>
        <w:pStyle w:val="NoteHeadingcontinued"/>
        <w:rPr>
          <w:i/>
        </w:rPr>
      </w:pPr>
      <w:r w:rsidRPr="0062582F">
        <w:br w:type="column"/>
      </w:r>
      <w:r>
        <w:t>Note 17.</w:t>
      </w:r>
      <w:r>
        <w:tab/>
      </w:r>
      <w:r w:rsidRPr="0062582F">
        <w:t xml:space="preserve">Property, plant and equipment </w:t>
      </w:r>
      <w:r w:rsidRPr="0062582F">
        <w:rPr>
          <w:i/>
        </w:rPr>
        <w:t>(continued)</w:t>
      </w:r>
    </w:p>
    <w:p w:rsidR="004843DB" w:rsidRPr="0062582F" w:rsidRDefault="004843DB" w:rsidP="004843DB">
      <w:pPr>
        <w:pStyle w:val="Heading4"/>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t>AAS0B 13. 93 (c)</w:t>
      </w:r>
    </w:p>
    <w:p w:rsidR="004843DB" w:rsidRPr="0062582F" w:rsidRDefault="004843DB" w:rsidP="004843DB">
      <w:pPr>
        <w:spacing w:before="0"/>
        <w:jc w:val="both"/>
      </w:pPr>
      <w:r w:rsidRPr="0062582F">
        <w:br w:type="column"/>
        <w:t xml:space="preserve">There have been no transfers between levels during the period. </w:t>
      </w:r>
    </w:p>
    <w:p w:rsidR="004843DB" w:rsidRPr="0062582F" w:rsidRDefault="004843DB" w:rsidP="004843DB">
      <w:pPr>
        <w:pStyle w:val="ReferenceRed"/>
        <w:spacing w:before="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p>
    <w:p w:rsidR="004843DB" w:rsidRPr="0062582F" w:rsidRDefault="004843DB" w:rsidP="004843DB">
      <w:pPr>
        <w:pStyle w:val="Reference"/>
        <w:spacing w:before="0"/>
      </w:pPr>
      <w:r w:rsidRPr="0062582F">
        <w:t>AASB 13.93(d)</w:t>
      </w:r>
    </w:p>
    <w:p w:rsidR="004843DB" w:rsidRPr="0062582F" w:rsidRDefault="004843DB" w:rsidP="004843DB">
      <w:pPr>
        <w:pStyle w:val="Heading4"/>
      </w:pPr>
      <w:r w:rsidRPr="0062582F">
        <w:br w:type="column"/>
        <w:t>Non</w:t>
      </w:r>
      <w:r w:rsidR="005A4BB0">
        <w:noBreakHyphen/>
      </w:r>
      <w:r w:rsidRPr="0062582F">
        <w:t>specialised land, non</w:t>
      </w:r>
      <w:r w:rsidR="005A4BB0">
        <w:noBreakHyphen/>
      </w:r>
      <w:r w:rsidRPr="0062582F">
        <w:t>specialised buildings and artworks</w:t>
      </w:r>
    </w:p>
    <w:p w:rsidR="004843DB" w:rsidRPr="0062582F" w:rsidRDefault="004843DB" w:rsidP="004843DB">
      <w:r w:rsidRPr="0062582F">
        <w:t>Non</w:t>
      </w:r>
      <w:r w:rsidR="005A4BB0">
        <w:noBreakHyphen/>
      </w:r>
      <w:r w:rsidRPr="0062582F">
        <w:t>specialised land, non</w:t>
      </w:r>
      <w:r w:rsidR="005A4BB0">
        <w:noBreakHyphen/>
      </w:r>
      <w:r w:rsidRPr="0062582F">
        <w:t xml:space="preserve">specialised buildings and artworks are valued using the market approach. Under this valuation method, the assets are compared to recent comparable sales or sales of comparable assets which are considered to have nominal or no added improvement value.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t>AASB 116.77(a), (b)</w:t>
      </w:r>
    </w:p>
    <w:p w:rsidR="004843DB" w:rsidRPr="0062582F" w:rsidRDefault="004843DB" w:rsidP="004843DB">
      <w:r w:rsidRPr="0062582F">
        <w:br w:type="column"/>
        <w:t>For non</w:t>
      </w:r>
      <w:r w:rsidR="005A4BB0">
        <w:noBreakHyphen/>
      </w:r>
      <w:r w:rsidRPr="0062582F">
        <w:t>specialised land and non</w:t>
      </w:r>
      <w:r w:rsidR="005A4BB0">
        <w:noBreakHyphen/>
      </w:r>
      <w:r w:rsidRPr="0062582F">
        <w:t>specialised buildings, an independent valuation was performed by independent valuers Norton and Paine to determine the fair value using the market approach. Valuation of the assets was determined by analysing comparable sales and allowing for share, size, topography, location and other relevant factors specific to the asset being valued. From the sales analysed, an appropriate rate per square metre has been applied to the subject asset. The effective date of the valuation is 30 June 2016.</w:t>
      </w:r>
    </w:p>
    <w:p w:rsidR="004843DB" w:rsidRPr="0062582F" w:rsidRDefault="004843DB" w:rsidP="004843DB">
      <w:r w:rsidRPr="0062582F">
        <w:t>For artwork, valuation of the assets is determined by a comparison to similar examples of the artist</w:t>
      </w:r>
      <w:r w:rsidR="005A4BB0">
        <w:t>’</w:t>
      </w:r>
      <w:r w:rsidRPr="0062582F">
        <w:t xml:space="preserve">s work in existence throughout Australia and research on prices paid for similar examples offered at auction or through art galleries in recent years. No revaluation was performed for artwork for the financial period ending at 30 June 2016 </w:t>
      </w:r>
      <w:r w:rsidRPr="0062582F">
        <w:rPr>
          <w:rStyle w:val="NormalBlueChar"/>
          <w:i/>
        </w:rPr>
        <w:t>[entities should disclose the effective date of revaluation and the fact whether an independent valuer was involved if artwork was revalued during the current financial period]</w:t>
      </w:r>
      <w:r w:rsidRPr="0062582F">
        <w:rPr>
          <w:rStyle w:val="NormalBlueChar"/>
          <w:color w:val="auto"/>
        </w:rPr>
        <w:t>.</w:t>
      </w:r>
    </w:p>
    <w:p w:rsidR="004843DB" w:rsidRPr="0062582F" w:rsidRDefault="004843DB" w:rsidP="004843DB">
      <w:pPr>
        <w:rPr>
          <w:i/>
          <w:iCs/>
        </w:rPr>
      </w:pPr>
      <w:r w:rsidRPr="0062582F">
        <w:t>To the extent that non</w:t>
      </w:r>
      <w:r w:rsidR="005A4BB0">
        <w:noBreakHyphen/>
      </w:r>
      <w:r w:rsidRPr="0062582F">
        <w:t>specialised land, non</w:t>
      </w:r>
      <w:r w:rsidR="005A4BB0">
        <w:noBreakHyphen/>
      </w:r>
      <w:r w:rsidRPr="0062582F">
        <w:t>specialised buildings and artworks do not contain significant, unobservable adjustments, these assets are classified as Level 2 under the market approach.</w:t>
      </w:r>
    </w:p>
    <w:p w:rsidR="004843DB" w:rsidRPr="0062582F" w:rsidRDefault="004843DB" w:rsidP="004843DB">
      <w:pPr>
        <w:pStyle w:val="ReferenceRed"/>
        <w:spacing w:before="20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spacing w:before="200"/>
      </w:pPr>
    </w:p>
    <w:p w:rsidR="004843DB" w:rsidRPr="0062582F" w:rsidRDefault="004843DB" w:rsidP="004843DB">
      <w:pPr>
        <w:pStyle w:val="Heading4"/>
      </w:pPr>
      <w:r w:rsidRPr="0062582F">
        <w:br w:type="column"/>
        <w:t>Specialised land and specialised buildings</w:t>
      </w:r>
    </w:p>
    <w:p w:rsidR="004843DB" w:rsidRPr="0062582F" w:rsidRDefault="004843DB" w:rsidP="004843DB">
      <w:r w:rsidRPr="0062582F">
        <w:t xml:space="preserve">The market approach is also used for specialised land, although is adjusted for the community service obligation (CSO) to reflect the specialised nature of the land being valued. </w:t>
      </w:r>
    </w:p>
    <w:p w:rsidR="004843DB" w:rsidRPr="0062582F" w:rsidRDefault="004843DB" w:rsidP="004843DB">
      <w:r w:rsidRPr="0062582F">
        <w:t>The CSO adjustment is a reflection of the valuer</w:t>
      </w:r>
      <w:r w:rsidR="005A4BB0">
        <w:t>’</w:t>
      </w:r>
      <w:r w:rsidRPr="0062582F">
        <w:t>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rsidR="004843DB" w:rsidRPr="0062582F" w:rsidRDefault="004843DB" w:rsidP="004843DB">
      <w:r w:rsidRPr="0062582F">
        <w:t>For the majority of the Department</w:t>
      </w:r>
      <w:r w:rsidR="005A4BB0">
        <w:t>’</w:t>
      </w:r>
      <w:r w:rsidRPr="0062582F">
        <w:t xml:space="preserve">s specialised buildings, the depreciated replacement cost method is used, adjusting for the associated depreciations. As depreciation adjustments are considered as significant, unobservable inputs in nature, specialised buildings are classified as Level 3 fair value measurements.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116.77(a), (b)</w:t>
      </w:r>
      <w:r w:rsidRPr="0062582F">
        <w:br/>
        <w:t>AASB 116 Aus77.1</w:t>
      </w:r>
    </w:p>
    <w:p w:rsidR="004843DB" w:rsidRPr="0062582F" w:rsidRDefault="004843DB" w:rsidP="004843DB">
      <w:r w:rsidRPr="0062582F">
        <w:br w:type="column"/>
        <w:t>An independent valuation of the Departments</w:t>
      </w:r>
      <w:r w:rsidR="005A4BB0">
        <w:t>’</w:t>
      </w:r>
      <w:r w:rsidRPr="0062582F">
        <w:t xml:space="preserve"> specialised land and specialised buildings was performed by the Valuer</w:t>
      </w:r>
      <w:r w:rsidR="005A4BB0">
        <w:noBreakHyphen/>
      </w:r>
      <w:r w:rsidRPr="0062582F">
        <w:t>General Victoria. The valuation was performed using the market approach adjusted for CSO. The effective date of the valuation is 30 June 2016.</w:t>
      </w:r>
    </w:p>
    <w:p w:rsidR="004843DB" w:rsidRPr="0062582F" w:rsidRDefault="004843DB" w:rsidP="004843DB">
      <w:pPr>
        <w:ind w:right="-77"/>
        <w:rPr>
          <w:rFonts w:ascii="Calibri" w:hAnsi="Calibri"/>
          <w:i/>
          <w:iCs/>
          <w:sz w:val="24"/>
          <w:szCs w:val="24"/>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Heading4"/>
      </w:pPr>
      <w:r w:rsidRPr="0062582F">
        <w:br w:type="column"/>
        <w:t>Heritage assets, infrastructure and road infrastructure and earthworks</w:t>
      </w:r>
    </w:p>
    <w:p w:rsidR="004843DB" w:rsidRPr="0062582F" w:rsidRDefault="004843DB" w:rsidP="004843DB">
      <w:pPr>
        <w:rPr>
          <w:rFonts w:asciiTheme="minorHAnsi" w:hAnsiTheme="minorHAnsi" w:cstheme="minorHAnsi"/>
          <w:sz w:val="20"/>
        </w:rPr>
      </w:pPr>
      <w:r w:rsidRPr="0062582F">
        <w:t>Heritage assets, infrastructure and road infrastructure and earthworks are valued using the depreciated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w:t>
      </w:r>
      <w:r w:rsidR="005A4BB0">
        <w:t>’</w:t>
      </w:r>
      <w:r w:rsidRPr="0062582F">
        <w:t xml:space="preserve"> service potential could only be replaced by reproducing them with the same materials. </w:t>
      </w:r>
    </w:p>
    <w:p w:rsidR="004843DB" w:rsidRPr="0062582F" w:rsidRDefault="004843DB" w:rsidP="004843DB">
      <w:pPr>
        <w:spacing w:before="0" w:line="240" w:lineRule="atLeas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br w:type="column"/>
      </w:r>
      <w:r w:rsidRPr="0062582F">
        <w:br w:type="column"/>
        <w:t>AASB 116.77(a) (b), AASB 116 Aus77.1</w:t>
      </w:r>
    </w:p>
    <w:p w:rsidR="004843DB" w:rsidRPr="0062582F" w:rsidRDefault="004843DB" w:rsidP="004843DB">
      <w:pPr>
        <w:pStyle w:val="NoteHeadingcontinued"/>
        <w:rPr>
          <w:i/>
        </w:rPr>
      </w:pPr>
      <w:r w:rsidRPr="0062582F">
        <w:br w:type="column"/>
        <w:t>Note 17.</w:t>
      </w:r>
      <w:r w:rsidRPr="0062582F">
        <w:tab/>
        <w:t xml:space="preserve">Property, plant and equipment </w:t>
      </w:r>
      <w:r w:rsidRPr="0062582F">
        <w:rPr>
          <w:i/>
        </w:rPr>
        <w:t>(continued)</w:t>
      </w:r>
    </w:p>
    <w:p w:rsidR="004843DB" w:rsidRPr="0062582F" w:rsidRDefault="004843DB" w:rsidP="004843DB">
      <w:r w:rsidRPr="0062582F">
        <w:t xml:space="preserve">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 </w:t>
      </w:r>
    </w:p>
    <w:p w:rsidR="004843DB" w:rsidRPr="0062582F" w:rsidRDefault="004843DB" w:rsidP="004843DB">
      <w:r w:rsidRPr="0062582F">
        <w:t>An independent valuation of the Department</w:t>
      </w:r>
      <w:r w:rsidR="005A4BB0">
        <w:t>’</w:t>
      </w:r>
      <w:r w:rsidRPr="0062582F">
        <w:t>s heritage assets, infrastructure and road infrastructure and earthworks was performed by the Valuer</w:t>
      </w:r>
      <w:r w:rsidR="005A4BB0">
        <w:noBreakHyphen/>
      </w:r>
      <w:r w:rsidRPr="0062582F">
        <w:t>General Victoria. The valuation was performed based on the depreciated replacement cost of the assets. The effective date of the valuation is 30 June 2016.</w:t>
      </w:r>
    </w:p>
    <w:p w:rsidR="004843DB" w:rsidRPr="0062582F" w:rsidRDefault="004843DB" w:rsidP="004843DB">
      <w:pPr>
        <w:ind w:right="-77"/>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spacing w:before="200"/>
      </w:pPr>
    </w:p>
    <w:p w:rsidR="004843DB" w:rsidRPr="0062582F" w:rsidRDefault="004843DB" w:rsidP="004843DB">
      <w:pPr>
        <w:pStyle w:val="Heading4"/>
      </w:pPr>
      <w:r w:rsidRPr="0062582F">
        <w:br w:type="column"/>
        <w:t>Vehicles</w:t>
      </w:r>
    </w:p>
    <w:p w:rsidR="004843DB" w:rsidRPr="0062582F" w:rsidRDefault="004843DB" w:rsidP="004843DB">
      <w:r w:rsidRPr="0062582F">
        <w:t xml:space="preserve">Vehicles are valued using the depreciated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 </w:t>
      </w:r>
    </w:p>
    <w:p w:rsidR="004843DB" w:rsidRPr="0062582F" w:rsidRDefault="004843DB" w:rsidP="004843DB">
      <w:pPr>
        <w:pStyle w:val="Heading4"/>
      </w:pPr>
      <w:r w:rsidRPr="0062582F">
        <w:t>Plant and equipment</w:t>
      </w:r>
    </w:p>
    <w:p w:rsidR="004843DB" w:rsidRPr="0062582F" w:rsidRDefault="004843DB" w:rsidP="004843DB">
      <w:pPr>
        <w:ind w:right="-77"/>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pPr>
    </w:p>
    <w:p w:rsidR="004843DB" w:rsidRPr="0062582F" w:rsidRDefault="004843DB" w:rsidP="004843DB">
      <w:r w:rsidRPr="0062582F">
        <w:br w:type="column"/>
        <w:t xml:space="preserve">Plant and equipment is held at fair value. When plant and equipment is specialised in use, such that it is rarely sold other than as part of a going concern, fair value is determined using the depreciated replacement cost method. </w:t>
      </w:r>
    </w:p>
    <w:p w:rsidR="004843DB" w:rsidRPr="0062582F" w:rsidRDefault="004843DB" w:rsidP="004843DB">
      <w:pPr>
        <w:autoSpaceDE w:val="0"/>
        <w:autoSpaceDN w:val="0"/>
        <w:adjustRightInd w:val="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13.66</w:t>
      </w:r>
    </w:p>
    <w:p w:rsidR="004843DB" w:rsidRPr="0062582F" w:rsidRDefault="004843DB" w:rsidP="004843DB">
      <w:r w:rsidRPr="0062582F">
        <w:br w:type="column"/>
        <w:t xml:space="preserve">There were no changes in valuation techniques throughout the period to 30 June 2016.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13.93(i)</w:t>
      </w:r>
    </w:p>
    <w:p w:rsidR="004843DB" w:rsidRPr="0062582F" w:rsidRDefault="004843DB" w:rsidP="004843DB">
      <w:r w:rsidRPr="0062582F">
        <w:br w:type="column"/>
        <w:t>For all assets measured at fair value, the current use is considered the highest and best use.</w:t>
      </w:r>
    </w:p>
    <w:p w:rsidR="004843DB" w:rsidRPr="0062582F" w:rsidRDefault="004843DB" w:rsidP="004843DB"/>
    <w:p w:rsidR="004843DB" w:rsidRPr="0062582F" w:rsidRDefault="004843DB" w:rsidP="004843DB">
      <w:pPr>
        <w:rPr>
          <w:rFonts w:ascii="Calibri" w:hAnsi="Calibri" w:cs="Arial"/>
          <w:b/>
          <w:bCs/>
          <w:i/>
          <w:iCs/>
          <w:sz w:val="20"/>
          <w:szCs w:val="20"/>
        </w:rPr>
        <w:sectPr w:rsidR="004843DB" w:rsidRPr="0062582F" w:rsidSect="00190A01">
          <w:type w:val="continuous"/>
          <w:pgSz w:w="11906" w:h="16838" w:code="9"/>
          <w:pgMar w:top="709" w:right="864" w:bottom="1152" w:left="864" w:header="432" w:footer="432" w:gutter="0"/>
          <w:cols w:num="2" w:space="360" w:equalWidth="0">
            <w:col w:w="1440" w:space="360"/>
            <w:col w:w="8090"/>
          </w:cols>
          <w:rtlGutter/>
        </w:sectPr>
      </w:pPr>
    </w:p>
    <w:p w:rsidR="004843DB" w:rsidRPr="0062582F" w:rsidRDefault="004843DB" w:rsidP="004843DB">
      <w:pPr>
        <w:pStyle w:val="ReferenceRed"/>
        <w:spacing w:before="200"/>
      </w:pPr>
    </w:p>
    <w:p w:rsidR="004843DB" w:rsidRPr="0062582F" w:rsidRDefault="004843DB" w:rsidP="004843DB">
      <w:pPr>
        <w:pStyle w:val="ReferenceRed"/>
        <w:spacing w:before="40"/>
        <w:rPr>
          <w:color w:val="0000FF"/>
        </w:rPr>
      </w:pPr>
      <w:r w:rsidRPr="0062582F">
        <w:rPr>
          <w:color w:val="0000FF"/>
        </w:rPr>
        <w:t>AASB 13.93 (e)(f)</w:t>
      </w:r>
    </w:p>
    <w:p w:rsidR="004843DB" w:rsidRPr="0062582F" w:rsidRDefault="004843DB" w:rsidP="00E348C3">
      <w:pPr>
        <w:pStyle w:val="Tableheading"/>
      </w:pPr>
      <w:r w:rsidRPr="0062582F">
        <w:br w:type="column"/>
        <w:t>Table 17.9:</w:t>
      </w:r>
      <w:r w:rsidRPr="0062582F">
        <w:tab/>
        <w:t>Reconciliation of Level 3 fair value for 2016</w:t>
      </w:r>
      <w:bookmarkEnd w:id="451"/>
    </w:p>
    <w:tbl>
      <w:tblPr>
        <w:tblStyle w:val="TableGrid"/>
        <w:tblW w:w="26845" w:type="pct"/>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708"/>
        <w:gridCol w:w="901"/>
        <w:gridCol w:w="901"/>
        <w:gridCol w:w="721"/>
        <w:gridCol w:w="808"/>
        <w:gridCol w:w="901"/>
        <w:gridCol w:w="1080"/>
        <w:gridCol w:w="1173"/>
      </w:tblGrid>
      <w:tr w:rsidR="004843DB" w:rsidRPr="0062582F" w:rsidTr="004843DB">
        <w:trPr>
          <w:cantSplit/>
        </w:trPr>
        <w:tc>
          <w:tcPr>
            <w:tcW w:w="1042" w:type="pct"/>
            <w:tcBorders>
              <w:top w:val="single" w:sz="6" w:space="0" w:color="auto"/>
              <w:bottom w:val="single" w:sz="6" w:space="0" w:color="auto"/>
            </w:tcBorders>
            <w:shd w:val="solid" w:color="EAEAEA" w:fill="EAEAEA"/>
          </w:tcPr>
          <w:p w:rsidR="004843DB" w:rsidRPr="0062582F" w:rsidRDefault="004843DB" w:rsidP="004843DB">
            <w:pPr>
              <w:pStyle w:val="TabletextheadingLeft"/>
              <w:rPr>
                <w:rFonts w:cs="Tahoma"/>
                <w:sz w:val="17"/>
                <w:lang w:val="en-GB"/>
              </w:rPr>
            </w:pPr>
            <w:r w:rsidRPr="0062582F">
              <w:rPr>
                <w:sz w:val="17"/>
                <w:lang w:val="en-GB"/>
              </w:rPr>
              <w:br/>
            </w:r>
            <w:r w:rsidRPr="0062582F">
              <w:rPr>
                <w:sz w:val="17"/>
                <w:lang w:val="en-GB"/>
              </w:rPr>
              <w:br/>
              <w:t>2016</w:t>
            </w:r>
          </w:p>
        </w:tc>
        <w:tc>
          <w:tcPr>
            <w:tcW w:w="550"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lang w:val="en-GB"/>
              </w:rPr>
              <w:br/>
              <w:t>Specialised land</w:t>
            </w:r>
          </w:p>
        </w:tc>
        <w:tc>
          <w:tcPr>
            <w:tcW w:w="550"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rPr>
              <w:br/>
              <w:t>Specialised buildings</w:t>
            </w:r>
          </w:p>
        </w:tc>
        <w:tc>
          <w:tcPr>
            <w:tcW w:w="440"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rPr>
              <w:br/>
              <w:t>Heritage assets</w:t>
            </w:r>
          </w:p>
        </w:tc>
        <w:tc>
          <w:tcPr>
            <w:tcW w:w="493"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lang w:val="en-GB"/>
              </w:rPr>
              <w:br/>
            </w:r>
            <w:r w:rsidRPr="0062582F">
              <w:rPr>
                <w:sz w:val="17"/>
                <w:lang w:val="en-GB"/>
              </w:rPr>
              <w:br/>
              <w:t>Vehicles</w:t>
            </w:r>
          </w:p>
        </w:tc>
        <w:tc>
          <w:tcPr>
            <w:tcW w:w="550"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lang w:val="en-GB"/>
              </w:rPr>
              <w:br/>
              <w:t>Plant and equipment</w:t>
            </w:r>
          </w:p>
        </w:tc>
        <w:tc>
          <w:tcPr>
            <w:tcW w:w="659"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lang w:val="en-GB"/>
              </w:rPr>
              <w:br/>
            </w:r>
            <w:r w:rsidRPr="0062582F">
              <w:rPr>
                <w:sz w:val="17"/>
                <w:lang w:val="en-GB"/>
              </w:rPr>
              <w:br/>
              <w:t>Infrastructure</w:t>
            </w:r>
          </w:p>
        </w:tc>
        <w:tc>
          <w:tcPr>
            <w:tcW w:w="716"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lang w:val="en-GB"/>
              </w:rPr>
              <w:t xml:space="preserve">Road, </w:t>
            </w:r>
            <w:r w:rsidRPr="0062582F">
              <w:rPr>
                <w:sz w:val="17"/>
                <w:lang w:val="en-GB"/>
              </w:rPr>
              <w:br/>
              <w:t>infrastructure and earthworks</w:t>
            </w:r>
          </w:p>
        </w:tc>
      </w:tr>
      <w:tr w:rsidR="004843DB" w:rsidRPr="0062582F" w:rsidTr="004843DB">
        <w:trPr>
          <w:cantSplit/>
        </w:trPr>
        <w:tc>
          <w:tcPr>
            <w:tcW w:w="1042" w:type="pct"/>
            <w:tcBorders>
              <w:top w:val="single" w:sz="6" w:space="0" w:color="auto"/>
              <w:bottom w:val="single" w:sz="4" w:space="0" w:color="auto"/>
            </w:tcBorders>
          </w:tcPr>
          <w:p w:rsidR="004843DB" w:rsidRPr="0062582F" w:rsidRDefault="004843DB" w:rsidP="004843DB">
            <w:pPr>
              <w:pStyle w:val="Tabletext"/>
              <w:rPr>
                <w:rFonts w:ascii="Garamond" w:hAnsi="Garamond" w:cstheme="minorHAnsi"/>
                <w:b/>
                <w:color w:val="000000"/>
                <w:sz w:val="20"/>
                <w:lang w:val="en-GB"/>
              </w:rPr>
            </w:pPr>
            <w:r w:rsidRPr="0062582F">
              <w:rPr>
                <w:b/>
                <w:bCs/>
              </w:rPr>
              <w:t>Opening balance</w:t>
            </w:r>
          </w:p>
        </w:tc>
        <w:tc>
          <w:tcPr>
            <w:tcW w:w="550" w:type="pct"/>
            <w:tcBorders>
              <w:top w:val="single" w:sz="6" w:space="0" w:color="auto"/>
              <w:bottom w:val="single" w:sz="4" w:space="0" w:color="auto"/>
            </w:tcBorders>
          </w:tcPr>
          <w:p w:rsidR="004843DB" w:rsidRPr="0062582F" w:rsidRDefault="004843DB" w:rsidP="004843DB">
            <w:pPr>
              <w:pStyle w:val="TableofFigures"/>
              <w:rPr>
                <w:b/>
              </w:rPr>
            </w:pPr>
            <w:r w:rsidRPr="0062582F">
              <w:rPr>
                <w:b/>
              </w:rPr>
              <w:t>2 534</w:t>
            </w:r>
          </w:p>
        </w:tc>
        <w:tc>
          <w:tcPr>
            <w:tcW w:w="550" w:type="pct"/>
            <w:tcBorders>
              <w:top w:val="single" w:sz="6" w:space="0" w:color="auto"/>
              <w:bottom w:val="single" w:sz="4" w:space="0" w:color="auto"/>
            </w:tcBorders>
          </w:tcPr>
          <w:p w:rsidR="004843DB" w:rsidRPr="0062582F" w:rsidRDefault="004843DB" w:rsidP="004843DB">
            <w:pPr>
              <w:pStyle w:val="TableofFigures"/>
              <w:rPr>
                <w:b/>
              </w:rPr>
            </w:pPr>
            <w:r w:rsidRPr="0062582F">
              <w:rPr>
                <w:b/>
              </w:rPr>
              <w:t>4 595</w:t>
            </w:r>
          </w:p>
        </w:tc>
        <w:tc>
          <w:tcPr>
            <w:tcW w:w="440" w:type="pct"/>
            <w:tcBorders>
              <w:top w:val="single" w:sz="6" w:space="0" w:color="auto"/>
              <w:bottom w:val="single" w:sz="4" w:space="0" w:color="auto"/>
            </w:tcBorders>
          </w:tcPr>
          <w:p w:rsidR="004843DB" w:rsidRPr="0062582F" w:rsidRDefault="004843DB" w:rsidP="004843DB">
            <w:pPr>
              <w:pStyle w:val="TableofFigures"/>
              <w:rPr>
                <w:b/>
              </w:rPr>
            </w:pPr>
            <w:r w:rsidRPr="0062582F">
              <w:rPr>
                <w:b/>
              </w:rPr>
              <w:t>12 553</w:t>
            </w:r>
          </w:p>
        </w:tc>
        <w:tc>
          <w:tcPr>
            <w:tcW w:w="493" w:type="pct"/>
            <w:tcBorders>
              <w:top w:val="single" w:sz="6" w:space="0" w:color="auto"/>
              <w:bottom w:val="single" w:sz="4" w:space="0" w:color="auto"/>
            </w:tcBorders>
          </w:tcPr>
          <w:p w:rsidR="004843DB" w:rsidRPr="0062582F" w:rsidRDefault="004843DB" w:rsidP="004843DB">
            <w:pPr>
              <w:pStyle w:val="TableofFigures"/>
              <w:rPr>
                <w:b/>
              </w:rPr>
            </w:pPr>
            <w:r w:rsidRPr="0062582F">
              <w:rPr>
                <w:b/>
              </w:rPr>
              <w:t>15 321</w:t>
            </w:r>
          </w:p>
        </w:tc>
        <w:tc>
          <w:tcPr>
            <w:tcW w:w="550" w:type="pct"/>
            <w:tcBorders>
              <w:top w:val="single" w:sz="6" w:space="0" w:color="auto"/>
              <w:bottom w:val="single" w:sz="4" w:space="0" w:color="auto"/>
            </w:tcBorders>
          </w:tcPr>
          <w:p w:rsidR="004843DB" w:rsidRPr="0062582F" w:rsidRDefault="004843DB" w:rsidP="004843DB">
            <w:pPr>
              <w:pStyle w:val="TableofFigures"/>
              <w:rPr>
                <w:b/>
              </w:rPr>
            </w:pPr>
            <w:r w:rsidRPr="0062582F">
              <w:rPr>
                <w:b/>
              </w:rPr>
              <w:t>27 788</w:t>
            </w:r>
          </w:p>
        </w:tc>
        <w:tc>
          <w:tcPr>
            <w:tcW w:w="659" w:type="pct"/>
            <w:tcBorders>
              <w:top w:val="single" w:sz="6" w:space="0" w:color="auto"/>
              <w:bottom w:val="single" w:sz="4" w:space="0" w:color="auto"/>
            </w:tcBorders>
          </w:tcPr>
          <w:p w:rsidR="004843DB" w:rsidRPr="0062582F" w:rsidRDefault="004843DB" w:rsidP="004843DB">
            <w:pPr>
              <w:pStyle w:val="TableofFigures"/>
              <w:rPr>
                <w:b/>
              </w:rPr>
            </w:pPr>
            <w:r w:rsidRPr="0062582F">
              <w:rPr>
                <w:b/>
              </w:rPr>
              <w:t>4 931</w:t>
            </w:r>
          </w:p>
        </w:tc>
        <w:tc>
          <w:tcPr>
            <w:tcW w:w="716" w:type="pct"/>
            <w:tcBorders>
              <w:top w:val="single" w:sz="6" w:space="0" w:color="auto"/>
              <w:bottom w:val="single" w:sz="4" w:space="0" w:color="auto"/>
            </w:tcBorders>
          </w:tcPr>
          <w:p w:rsidR="004843DB" w:rsidRPr="0062582F" w:rsidRDefault="004843DB" w:rsidP="004843DB">
            <w:pPr>
              <w:pStyle w:val="TableofFigures"/>
              <w:rPr>
                <w:b/>
              </w:rPr>
            </w:pPr>
            <w:r w:rsidRPr="0062582F">
              <w:rPr>
                <w:b/>
              </w:rPr>
              <w:t>4 993</w:t>
            </w:r>
          </w:p>
        </w:tc>
      </w:tr>
      <w:tr w:rsidR="004843DB" w:rsidRPr="0062582F" w:rsidTr="004843DB">
        <w:trPr>
          <w:cantSplit/>
        </w:trPr>
        <w:tc>
          <w:tcPr>
            <w:tcW w:w="1042" w:type="pct"/>
            <w:tcBorders>
              <w:top w:val="single" w:sz="4" w:space="0" w:color="auto"/>
            </w:tcBorders>
          </w:tcPr>
          <w:p w:rsidR="004843DB" w:rsidRPr="0062582F" w:rsidRDefault="004843DB" w:rsidP="004843DB">
            <w:pPr>
              <w:pStyle w:val="Tabletext"/>
              <w:rPr>
                <w:rFonts w:ascii="Garamond" w:hAnsi="Garamond" w:cs="Tahoma"/>
                <w:lang w:val="en-GB"/>
              </w:rPr>
            </w:pPr>
            <w:r w:rsidRPr="0062582F">
              <w:rPr>
                <w:lang w:val="en-GB"/>
              </w:rPr>
              <w:t>Purchases (sales)</w:t>
            </w:r>
          </w:p>
        </w:tc>
        <w:tc>
          <w:tcPr>
            <w:tcW w:w="550" w:type="pct"/>
            <w:tcBorders>
              <w:top w:val="single" w:sz="4" w:space="0" w:color="auto"/>
            </w:tcBorders>
          </w:tcPr>
          <w:p w:rsidR="004843DB" w:rsidRPr="0062582F" w:rsidRDefault="004843DB" w:rsidP="004843DB">
            <w:pPr>
              <w:pStyle w:val="TableofFigures"/>
              <w:rPr>
                <w:rFonts w:ascii="Garamond" w:hAnsi="Garamond" w:cs="Tahoma"/>
                <w:lang w:val="en-GB"/>
              </w:rPr>
            </w:pPr>
            <w:r w:rsidRPr="0062582F">
              <w:rPr>
                <w:lang w:val="en-GB"/>
              </w:rPr>
              <w:t>579</w:t>
            </w:r>
          </w:p>
        </w:tc>
        <w:tc>
          <w:tcPr>
            <w:tcW w:w="550" w:type="pct"/>
            <w:tcBorders>
              <w:top w:val="single" w:sz="4" w:space="0" w:color="auto"/>
            </w:tcBorders>
          </w:tcPr>
          <w:p w:rsidR="004843DB" w:rsidRPr="0062582F" w:rsidRDefault="004843DB" w:rsidP="004843DB">
            <w:pPr>
              <w:pStyle w:val="TableofFigures"/>
              <w:rPr>
                <w:rFonts w:ascii="Garamond" w:hAnsi="Garamond" w:cs="Tahoma"/>
                <w:lang w:val="en-GB"/>
              </w:rPr>
            </w:pPr>
            <w:r w:rsidRPr="0062582F">
              <w:rPr>
                <w:lang w:val="en-GB"/>
              </w:rPr>
              <w:t>1 334</w:t>
            </w:r>
          </w:p>
        </w:tc>
        <w:tc>
          <w:tcPr>
            <w:tcW w:w="440" w:type="pct"/>
            <w:tcBorders>
              <w:top w:val="single" w:sz="4" w:space="0" w:color="auto"/>
            </w:tcBorders>
          </w:tcPr>
          <w:p w:rsidR="004843DB" w:rsidRPr="0062582F" w:rsidRDefault="004843DB" w:rsidP="004843DB">
            <w:pPr>
              <w:pStyle w:val="TableofFigures"/>
              <w:rPr>
                <w:rFonts w:ascii="Garamond" w:hAnsi="Garamond" w:cs="Tahoma"/>
                <w:lang w:val="en-GB"/>
              </w:rPr>
            </w:pPr>
            <w:r w:rsidRPr="0062582F">
              <w:rPr>
                <w:lang w:val="en-GB"/>
              </w:rPr>
              <w:t>479</w:t>
            </w:r>
          </w:p>
        </w:tc>
        <w:tc>
          <w:tcPr>
            <w:tcW w:w="493" w:type="pct"/>
            <w:tcBorders>
              <w:top w:val="single" w:sz="4" w:space="0" w:color="auto"/>
            </w:tcBorders>
          </w:tcPr>
          <w:p w:rsidR="004843DB" w:rsidRPr="0062582F" w:rsidRDefault="004843DB" w:rsidP="004843DB">
            <w:pPr>
              <w:pStyle w:val="TableofFigures"/>
              <w:rPr>
                <w:lang w:val="en-GB"/>
              </w:rPr>
            </w:pPr>
            <w:r w:rsidRPr="0062582F">
              <w:rPr>
                <w:lang w:val="en-GB"/>
              </w:rPr>
              <w:t>1 870</w:t>
            </w:r>
          </w:p>
        </w:tc>
        <w:tc>
          <w:tcPr>
            <w:tcW w:w="550" w:type="pct"/>
            <w:tcBorders>
              <w:top w:val="single" w:sz="4" w:space="0" w:color="auto"/>
            </w:tcBorders>
          </w:tcPr>
          <w:p w:rsidR="004843DB" w:rsidRPr="0062582F" w:rsidRDefault="004843DB" w:rsidP="004843DB">
            <w:pPr>
              <w:pStyle w:val="TableofFigures"/>
              <w:rPr>
                <w:lang w:val="en-GB"/>
              </w:rPr>
            </w:pPr>
            <w:r w:rsidRPr="0062582F">
              <w:rPr>
                <w:lang w:val="en-GB"/>
              </w:rPr>
              <w:t>3 385</w:t>
            </w:r>
          </w:p>
        </w:tc>
        <w:tc>
          <w:tcPr>
            <w:tcW w:w="659" w:type="pct"/>
            <w:tcBorders>
              <w:top w:val="single" w:sz="4" w:space="0" w:color="auto"/>
            </w:tcBorders>
          </w:tcPr>
          <w:p w:rsidR="004843DB" w:rsidRPr="0062582F" w:rsidRDefault="004843DB" w:rsidP="004843DB">
            <w:pPr>
              <w:pStyle w:val="TableofFigures"/>
              <w:rPr>
                <w:rFonts w:ascii="Garamond" w:hAnsi="Garamond" w:cs="Tahoma"/>
                <w:lang w:val="en-GB"/>
              </w:rPr>
            </w:pPr>
            <w:r w:rsidRPr="0062582F">
              <w:rPr>
                <w:lang w:val="en-GB"/>
              </w:rPr>
              <w:t>(2 419)</w:t>
            </w:r>
          </w:p>
        </w:tc>
        <w:tc>
          <w:tcPr>
            <w:tcW w:w="716" w:type="pct"/>
            <w:tcBorders>
              <w:top w:val="single" w:sz="4" w:space="0" w:color="auto"/>
            </w:tcBorders>
          </w:tcPr>
          <w:p w:rsidR="004843DB" w:rsidRPr="0062582F" w:rsidRDefault="004843DB" w:rsidP="004843DB">
            <w:pPr>
              <w:pStyle w:val="TableofFigures"/>
              <w:rPr>
                <w:rFonts w:ascii="Garamond" w:hAnsi="Garamond" w:cs="Tahoma"/>
                <w:lang w:val="en-GB"/>
              </w:rPr>
            </w:pPr>
            <w:r w:rsidRPr="0062582F">
              <w:rPr>
                <w:lang w:val="en-GB"/>
              </w:rPr>
              <w:t>(1 501)</w:t>
            </w:r>
          </w:p>
        </w:tc>
      </w:tr>
      <w:tr w:rsidR="004843DB" w:rsidRPr="0062582F" w:rsidTr="004843DB">
        <w:trPr>
          <w:cantSplit/>
        </w:trPr>
        <w:tc>
          <w:tcPr>
            <w:tcW w:w="1042" w:type="pct"/>
          </w:tcPr>
          <w:p w:rsidR="004843DB" w:rsidRPr="0062582F" w:rsidRDefault="004843DB" w:rsidP="004843DB">
            <w:pPr>
              <w:pStyle w:val="Tabletext"/>
              <w:rPr>
                <w:b/>
                <w:bCs/>
              </w:rPr>
            </w:pPr>
            <w:r w:rsidRPr="0062582F">
              <w:rPr>
                <w:lang w:val="en-GB"/>
              </w:rPr>
              <w:t>Transfers in (out) of Level 3</w:t>
            </w:r>
          </w:p>
        </w:tc>
        <w:tc>
          <w:tcPr>
            <w:tcW w:w="550" w:type="pct"/>
          </w:tcPr>
          <w:p w:rsidR="004843DB" w:rsidRPr="0062582F" w:rsidRDefault="004843DB" w:rsidP="004843DB">
            <w:pPr>
              <w:pStyle w:val="TableofFigures"/>
            </w:pPr>
            <w:r w:rsidRPr="0062582F">
              <w:rPr>
                <w:lang w:val="en-GB"/>
              </w:rPr>
              <w:t>..</w:t>
            </w:r>
          </w:p>
        </w:tc>
        <w:tc>
          <w:tcPr>
            <w:tcW w:w="550" w:type="pct"/>
          </w:tcPr>
          <w:p w:rsidR="004843DB" w:rsidRPr="0062582F" w:rsidRDefault="004843DB" w:rsidP="004843DB">
            <w:pPr>
              <w:pStyle w:val="TableofFigures"/>
            </w:pPr>
            <w:r w:rsidRPr="0062582F">
              <w:rPr>
                <w:lang w:val="en-GB"/>
              </w:rPr>
              <w:t>..</w:t>
            </w:r>
          </w:p>
        </w:tc>
        <w:tc>
          <w:tcPr>
            <w:tcW w:w="440" w:type="pct"/>
          </w:tcPr>
          <w:p w:rsidR="004843DB" w:rsidRPr="0062582F" w:rsidRDefault="004843DB" w:rsidP="004843DB">
            <w:pPr>
              <w:pStyle w:val="TableofFigures"/>
            </w:pPr>
            <w:r w:rsidRPr="0062582F">
              <w:rPr>
                <w:lang w:val="en-GB"/>
              </w:rPr>
              <w:t>..</w:t>
            </w:r>
          </w:p>
        </w:tc>
        <w:tc>
          <w:tcPr>
            <w:tcW w:w="493" w:type="pct"/>
          </w:tcPr>
          <w:p w:rsidR="004843DB" w:rsidRPr="0062582F" w:rsidRDefault="004843DB" w:rsidP="004843DB">
            <w:pPr>
              <w:pStyle w:val="TableofFigures"/>
            </w:pPr>
            <w:r w:rsidRPr="0062582F">
              <w:t>..</w:t>
            </w:r>
          </w:p>
        </w:tc>
        <w:tc>
          <w:tcPr>
            <w:tcW w:w="550" w:type="pct"/>
          </w:tcPr>
          <w:p w:rsidR="004843DB" w:rsidRPr="0062582F" w:rsidRDefault="004843DB" w:rsidP="004843DB">
            <w:pPr>
              <w:pStyle w:val="TableofFigures"/>
            </w:pPr>
            <w:r w:rsidRPr="0062582F">
              <w:rPr>
                <w:lang w:val="en-GB"/>
              </w:rPr>
              <w:t>..</w:t>
            </w:r>
          </w:p>
        </w:tc>
        <w:tc>
          <w:tcPr>
            <w:tcW w:w="659" w:type="pct"/>
          </w:tcPr>
          <w:p w:rsidR="004843DB" w:rsidRPr="0062582F" w:rsidRDefault="004843DB" w:rsidP="004843DB">
            <w:pPr>
              <w:pStyle w:val="TableofFigures"/>
            </w:pPr>
            <w:r w:rsidRPr="0062582F">
              <w:rPr>
                <w:lang w:val="en-GB"/>
              </w:rPr>
              <w:t>..</w:t>
            </w:r>
          </w:p>
        </w:tc>
        <w:tc>
          <w:tcPr>
            <w:tcW w:w="716" w:type="pct"/>
          </w:tcPr>
          <w:p w:rsidR="004843DB" w:rsidRPr="0062582F" w:rsidRDefault="004843DB" w:rsidP="004843DB">
            <w:pPr>
              <w:pStyle w:val="TableofFigures"/>
            </w:pPr>
            <w:r w:rsidRPr="0062582F">
              <w:rPr>
                <w:lang w:val="en-GB"/>
              </w:rPr>
              <w:t>..</w:t>
            </w:r>
          </w:p>
        </w:tc>
      </w:tr>
      <w:tr w:rsidR="004843DB" w:rsidRPr="0062582F" w:rsidTr="004843DB">
        <w:trPr>
          <w:cantSplit/>
        </w:trPr>
        <w:tc>
          <w:tcPr>
            <w:tcW w:w="5000" w:type="pct"/>
            <w:gridSpan w:val="8"/>
          </w:tcPr>
          <w:p w:rsidR="004843DB" w:rsidRPr="0062582F" w:rsidRDefault="004843DB" w:rsidP="004843DB">
            <w:pPr>
              <w:pStyle w:val="Tabletext"/>
              <w:rPr>
                <w:lang w:val="en-GB"/>
              </w:rPr>
            </w:pPr>
            <w:r w:rsidRPr="0062582F">
              <w:rPr>
                <w:lang w:val="en-GB"/>
              </w:rPr>
              <w:t>Gains or losses recognised in net result</w:t>
            </w:r>
          </w:p>
        </w:tc>
      </w:tr>
      <w:tr w:rsidR="004843DB" w:rsidRPr="0062582F" w:rsidTr="004843DB">
        <w:trPr>
          <w:cantSplit/>
        </w:trPr>
        <w:tc>
          <w:tcPr>
            <w:tcW w:w="1042" w:type="pct"/>
          </w:tcPr>
          <w:p w:rsidR="004843DB" w:rsidRPr="0062582F" w:rsidRDefault="004843DB" w:rsidP="004843DB">
            <w:pPr>
              <w:pStyle w:val="Tabletext"/>
              <w:rPr>
                <w:rFonts w:ascii="Garamond" w:hAnsi="Garamond" w:cs="Tahoma"/>
                <w:lang w:val="en-GB"/>
              </w:rPr>
            </w:pPr>
            <w:r w:rsidRPr="0062582F">
              <w:rPr>
                <w:lang w:val="en-GB"/>
              </w:rPr>
              <w:t>Depreciation</w:t>
            </w:r>
          </w:p>
        </w:tc>
        <w:tc>
          <w:tcPr>
            <w:tcW w:w="550" w:type="pct"/>
          </w:tcPr>
          <w:p w:rsidR="004843DB" w:rsidRPr="0062582F" w:rsidRDefault="004843DB" w:rsidP="004843DB">
            <w:pPr>
              <w:pStyle w:val="Tabletext"/>
              <w:jc w:val="right"/>
              <w:rPr>
                <w:rFonts w:ascii="Garamond" w:hAnsi="Garamond" w:cs="Tahoma"/>
                <w:lang w:val="en-GB"/>
              </w:rPr>
            </w:pPr>
            <w:r w:rsidRPr="0062582F">
              <w:rPr>
                <w:lang w:val="en-GB"/>
              </w:rPr>
              <w:t>..</w:t>
            </w:r>
          </w:p>
        </w:tc>
        <w:tc>
          <w:tcPr>
            <w:tcW w:w="550" w:type="pct"/>
          </w:tcPr>
          <w:p w:rsidR="004843DB" w:rsidRPr="0062582F" w:rsidRDefault="004843DB" w:rsidP="004843DB">
            <w:pPr>
              <w:pStyle w:val="Tabletext"/>
              <w:jc w:val="right"/>
              <w:rPr>
                <w:rFonts w:ascii="Garamond" w:hAnsi="Garamond" w:cs="Tahoma"/>
                <w:lang w:val="en-GB"/>
              </w:rPr>
            </w:pPr>
            <w:r w:rsidRPr="0062582F">
              <w:rPr>
                <w:lang w:val="en-GB"/>
              </w:rPr>
              <w:t>(70)</w:t>
            </w:r>
          </w:p>
        </w:tc>
        <w:tc>
          <w:tcPr>
            <w:tcW w:w="440" w:type="pct"/>
          </w:tcPr>
          <w:p w:rsidR="004843DB" w:rsidRPr="0062582F" w:rsidRDefault="004843DB" w:rsidP="004843DB">
            <w:pPr>
              <w:pStyle w:val="Tabletext"/>
              <w:jc w:val="right"/>
              <w:rPr>
                <w:rFonts w:ascii="Garamond" w:hAnsi="Garamond" w:cs="Tahoma"/>
                <w:lang w:val="en-GB"/>
              </w:rPr>
            </w:pPr>
            <w:r w:rsidRPr="0062582F">
              <w:rPr>
                <w:lang w:val="en-GB"/>
              </w:rPr>
              <w:t>(950)</w:t>
            </w:r>
          </w:p>
        </w:tc>
        <w:tc>
          <w:tcPr>
            <w:tcW w:w="493" w:type="pct"/>
          </w:tcPr>
          <w:p w:rsidR="004843DB" w:rsidRPr="0062582F" w:rsidRDefault="004843DB" w:rsidP="004843DB">
            <w:pPr>
              <w:pStyle w:val="Tabletext"/>
              <w:jc w:val="right"/>
              <w:rPr>
                <w:lang w:val="en-GB"/>
              </w:rPr>
            </w:pPr>
            <w:r w:rsidRPr="0062582F">
              <w:rPr>
                <w:lang w:val="en-GB"/>
              </w:rPr>
              <w:t>(125)</w:t>
            </w:r>
          </w:p>
        </w:tc>
        <w:tc>
          <w:tcPr>
            <w:tcW w:w="550" w:type="pct"/>
          </w:tcPr>
          <w:p w:rsidR="004843DB" w:rsidRPr="0062582F" w:rsidRDefault="004843DB" w:rsidP="004843DB">
            <w:pPr>
              <w:pStyle w:val="Tabletext"/>
              <w:jc w:val="right"/>
              <w:rPr>
                <w:lang w:val="en-GB"/>
              </w:rPr>
            </w:pPr>
            <w:r w:rsidRPr="0062582F">
              <w:rPr>
                <w:lang w:val="en-GB"/>
              </w:rPr>
              <w:t>(238)</w:t>
            </w:r>
          </w:p>
        </w:tc>
        <w:tc>
          <w:tcPr>
            <w:tcW w:w="659" w:type="pct"/>
          </w:tcPr>
          <w:p w:rsidR="004843DB" w:rsidRPr="0062582F" w:rsidRDefault="004843DB" w:rsidP="004843DB">
            <w:pPr>
              <w:pStyle w:val="Tabletext"/>
              <w:jc w:val="right"/>
              <w:rPr>
                <w:rFonts w:ascii="Garamond" w:hAnsi="Garamond" w:cs="Tahoma"/>
                <w:lang w:val="en-GB"/>
              </w:rPr>
            </w:pPr>
            <w:r w:rsidRPr="0062582F">
              <w:rPr>
                <w:lang w:val="en-GB"/>
              </w:rPr>
              <w:t>(200)</w:t>
            </w:r>
          </w:p>
        </w:tc>
        <w:tc>
          <w:tcPr>
            <w:tcW w:w="716" w:type="pct"/>
          </w:tcPr>
          <w:p w:rsidR="004843DB" w:rsidRPr="0062582F" w:rsidRDefault="004843DB" w:rsidP="004843DB">
            <w:pPr>
              <w:pStyle w:val="Tabletext"/>
              <w:jc w:val="right"/>
              <w:rPr>
                <w:rFonts w:ascii="Garamond" w:hAnsi="Garamond" w:cs="Tahoma"/>
                <w:lang w:val="en-GB"/>
              </w:rPr>
            </w:pPr>
            <w:r w:rsidRPr="0062582F">
              <w:rPr>
                <w:lang w:val="en-GB"/>
              </w:rPr>
              <w:t>(550)</w:t>
            </w:r>
          </w:p>
        </w:tc>
      </w:tr>
      <w:tr w:rsidR="004843DB" w:rsidRPr="0062582F" w:rsidTr="004843DB">
        <w:trPr>
          <w:cantSplit/>
        </w:trPr>
        <w:tc>
          <w:tcPr>
            <w:tcW w:w="1042" w:type="pct"/>
            <w:tcBorders>
              <w:bottom w:val="single" w:sz="4" w:space="0" w:color="auto"/>
            </w:tcBorders>
          </w:tcPr>
          <w:p w:rsidR="004843DB" w:rsidRPr="0062582F" w:rsidRDefault="004843DB" w:rsidP="004843DB">
            <w:pPr>
              <w:pStyle w:val="Tabletext"/>
              <w:rPr>
                <w:lang w:val="en-GB"/>
              </w:rPr>
            </w:pPr>
            <w:r w:rsidRPr="0062582F">
              <w:rPr>
                <w:lang w:val="en-GB"/>
              </w:rPr>
              <w:t>Impairment loss</w:t>
            </w:r>
          </w:p>
        </w:tc>
        <w:tc>
          <w:tcPr>
            <w:tcW w:w="550" w:type="pct"/>
            <w:tcBorders>
              <w:bottom w:val="single" w:sz="4" w:space="0" w:color="auto"/>
            </w:tcBorders>
          </w:tcPr>
          <w:p w:rsidR="004843DB" w:rsidRPr="0062582F" w:rsidRDefault="004843DB" w:rsidP="004843DB">
            <w:pPr>
              <w:pStyle w:val="Tabletext"/>
              <w:jc w:val="right"/>
              <w:rPr>
                <w:lang w:val="en-GB"/>
              </w:rPr>
            </w:pPr>
            <w:r w:rsidRPr="0062582F">
              <w:rPr>
                <w:lang w:val="en-GB"/>
              </w:rPr>
              <w:t>..</w:t>
            </w:r>
          </w:p>
        </w:tc>
        <w:tc>
          <w:tcPr>
            <w:tcW w:w="550" w:type="pct"/>
            <w:tcBorders>
              <w:bottom w:val="single" w:sz="4" w:space="0" w:color="auto"/>
            </w:tcBorders>
          </w:tcPr>
          <w:p w:rsidR="004843DB" w:rsidRPr="0062582F" w:rsidRDefault="004843DB" w:rsidP="004843DB">
            <w:pPr>
              <w:pStyle w:val="Tabletext"/>
              <w:jc w:val="right"/>
              <w:rPr>
                <w:lang w:val="en-GB"/>
              </w:rPr>
            </w:pPr>
            <w:r w:rsidRPr="0062582F">
              <w:rPr>
                <w:lang w:val="en-GB"/>
              </w:rPr>
              <w:t>(55)</w:t>
            </w:r>
          </w:p>
        </w:tc>
        <w:tc>
          <w:tcPr>
            <w:tcW w:w="440" w:type="pct"/>
            <w:tcBorders>
              <w:bottom w:val="single" w:sz="4" w:space="0" w:color="auto"/>
            </w:tcBorders>
          </w:tcPr>
          <w:p w:rsidR="004843DB" w:rsidRPr="0062582F" w:rsidRDefault="004843DB" w:rsidP="004843DB">
            <w:pPr>
              <w:pStyle w:val="Tabletext"/>
              <w:jc w:val="right"/>
              <w:rPr>
                <w:lang w:val="en-GB"/>
              </w:rPr>
            </w:pPr>
            <w:r w:rsidRPr="0062582F">
              <w:rPr>
                <w:lang w:val="en-GB"/>
              </w:rPr>
              <w:t>(450)</w:t>
            </w:r>
          </w:p>
        </w:tc>
        <w:tc>
          <w:tcPr>
            <w:tcW w:w="493" w:type="pct"/>
            <w:tcBorders>
              <w:bottom w:val="single" w:sz="4" w:space="0" w:color="auto"/>
            </w:tcBorders>
          </w:tcPr>
          <w:p w:rsidR="004843DB" w:rsidRPr="0062582F" w:rsidRDefault="004843DB" w:rsidP="004843DB">
            <w:pPr>
              <w:pStyle w:val="Tabletext"/>
              <w:jc w:val="right"/>
              <w:rPr>
                <w:lang w:val="en-GB"/>
              </w:rPr>
            </w:pPr>
            <w:r w:rsidRPr="0062582F">
              <w:rPr>
                <w:lang w:val="en-GB"/>
              </w:rPr>
              <w:t>(125)</w:t>
            </w:r>
          </w:p>
        </w:tc>
        <w:tc>
          <w:tcPr>
            <w:tcW w:w="550" w:type="pct"/>
            <w:tcBorders>
              <w:bottom w:val="single" w:sz="4" w:space="0" w:color="auto"/>
            </w:tcBorders>
          </w:tcPr>
          <w:p w:rsidR="004843DB" w:rsidRPr="0062582F" w:rsidRDefault="004843DB" w:rsidP="004843DB">
            <w:pPr>
              <w:pStyle w:val="Tabletext"/>
              <w:jc w:val="right"/>
              <w:rPr>
                <w:lang w:val="en-GB"/>
              </w:rPr>
            </w:pPr>
            <w:r w:rsidRPr="0062582F">
              <w:rPr>
                <w:lang w:val="en-GB"/>
              </w:rPr>
              <w:t>..</w:t>
            </w:r>
          </w:p>
        </w:tc>
        <w:tc>
          <w:tcPr>
            <w:tcW w:w="659" w:type="pct"/>
            <w:tcBorders>
              <w:bottom w:val="single" w:sz="4" w:space="0" w:color="auto"/>
            </w:tcBorders>
          </w:tcPr>
          <w:p w:rsidR="004843DB" w:rsidRPr="0062582F" w:rsidRDefault="004843DB" w:rsidP="004843DB">
            <w:pPr>
              <w:pStyle w:val="Tabletext"/>
              <w:jc w:val="right"/>
              <w:rPr>
                <w:lang w:val="en-GB"/>
              </w:rPr>
            </w:pPr>
            <w:r w:rsidRPr="0062582F">
              <w:rPr>
                <w:lang w:val="en-GB"/>
              </w:rPr>
              <w:t>(230)</w:t>
            </w:r>
          </w:p>
        </w:tc>
        <w:tc>
          <w:tcPr>
            <w:tcW w:w="716" w:type="pct"/>
            <w:tcBorders>
              <w:bottom w:val="single" w:sz="4" w:space="0" w:color="auto"/>
            </w:tcBorders>
          </w:tcPr>
          <w:p w:rsidR="004843DB" w:rsidRPr="0062582F" w:rsidRDefault="004843DB" w:rsidP="004843DB">
            <w:pPr>
              <w:pStyle w:val="Tabletext"/>
              <w:jc w:val="right"/>
              <w:rPr>
                <w:lang w:val="en-GB"/>
              </w:rPr>
            </w:pPr>
            <w:r w:rsidRPr="0062582F">
              <w:rPr>
                <w:lang w:val="en-GB"/>
              </w:rPr>
              <w:t>(300)</w:t>
            </w:r>
          </w:p>
        </w:tc>
      </w:tr>
      <w:tr w:rsidR="004843DB" w:rsidRPr="0062582F" w:rsidTr="004843DB">
        <w:trPr>
          <w:cantSplit/>
        </w:trPr>
        <w:tc>
          <w:tcPr>
            <w:tcW w:w="1042" w:type="pct"/>
            <w:tcBorders>
              <w:top w:val="single" w:sz="4" w:space="0" w:color="auto"/>
              <w:bottom w:val="single" w:sz="4" w:space="0" w:color="auto"/>
            </w:tcBorders>
          </w:tcPr>
          <w:p w:rsidR="004843DB" w:rsidRPr="0062582F" w:rsidRDefault="004843DB" w:rsidP="004843DB">
            <w:pPr>
              <w:pStyle w:val="Tabletext"/>
              <w:rPr>
                <w:b/>
                <w:lang w:val="en-GB"/>
              </w:rPr>
            </w:pPr>
            <w:r w:rsidRPr="0062582F">
              <w:rPr>
                <w:b/>
                <w:lang w:val="en-GB"/>
              </w:rPr>
              <w:t>Subtotal</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(125)</w:t>
            </w:r>
          </w:p>
        </w:tc>
        <w:tc>
          <w:tcPr>
            <w:tcW w:w="44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(1 400)</w:t>
            </w:r>
          </w:p>
        </w:tc>
        <w:tc>
          <w:tcPr>
            <w:tcW w:w="493"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(250)</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(238)</w:t>
            </w:r>
          </w:p>
        </w:tc>
        <w:tc>
          <w:tcPr>
            <w:tcW w:w="659"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(430)</w:t>
            </w:r>
          </w:p>
        </w:tc>
        <w:tc>
          <w:tcPr>
            <w:tcW w:w="716"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(850)</w:t>
            </w:r>
          </w:p>
        </w:tc>
      </w:tr>
      <w:tr w:rsidR="004843DB" w:rsidRPr="0062582F" w:rsidTr="004843DB">
        <w:trPr>
          <w:cantSplit/>
        </w:trPr>
        <w:tc>
          <w:tcPr>
            <w:tcW w:w="5000" w:type="pct"/>
            <w:gridSpan w:val="8"/>
            <w:tcBorders>
              <w:top w:val="single" w:sz="4" w:space="0" w:color="auto"/>
            </w:tcBorders>
          </w:tcPr>
          <w:p w:rsidR="004843DB" w:rsidRPr="0062582F" w:rsidRDefault="004843DB" w:rsidP="004843DB">
            <w:pPr>
              <w:pStyle w:val="Tabletext"/>
              <w:rPr>
                <w:rFonts w:ascii="Garamond" w:hAnsi="Garamond" w:cs="Tahoma"/>
                <w:lang w:val="en-GB"/>
              </w:rPr>
            </w:pPr>
            <w:r w:rsidRPr="0062582F">
              <w:rPr>
                <w:lang w:val="en-GB"/>
              </w:rPr>
              <w:t>Gains or losses recognised in other economic flows – other comprehensive income</w:t>
            </w:r>
          </w:p>
        </w:tc>
      </w:tr>
      <w:tr w:rsidR="004843DB" w:rsidRPr="0062582F" w:rsidTr="004843DB">
        <w:trPr>
          <w:cantSplit/>
        </w:trPr>
        <w:tc>
          <w:tcPr>
            <w:tcW w:w="1042" w:type="pct"/>
            <w:tcBorders>
              <w:bottom w:val="single" w:sz="4" w:space="0" w:color="auto"/>
            </w:tcBorders>
          </w:tcPr>
          <w:p w:rsidR="004843DB" w:rsidRPr="0062582F" w:rsidRDefault="004843DB" w:rsidP="004843DB">
            <w:pPr>
              <w:pStyle w:val="Tabletext"/>
              <w:rPr>
                <w:lang w:val="en-GB"/>
              </w:rPr>
            </w:pPr>
            <w:r w:rsidRPr="0062582F">
              <w:rPr>
                <w:lang w:val="en-GB"/>
              </w:rPr>
              <w:t>Revaluation</w:t>
            </w:r>
          </w:p>
        </w:tc>
        <w:tc>
          <w:tcPr>
            <w:tcW w:w="550" w:type="pct"/>
            <w:tcBorders>
              <w:bottom w:val="single" w:sz="4" w:space="0" w:color="auto"/>
            </w:tcBorders>
          </w:tcPr>
          <w:p w:rsidR="004843DB" w:rsidRPr="0062582F" w:rsidRDefault="004843DB" w:rsidP="004843DB">
            <w:pPr>
              <w:pStyle w:val="Tabletext"/>
              <w:jc w:val="right"/>
              <w:rPr>
                <w:lang w:val="en-GB"/>
              </w:rPr>
            </w:pPr>
            <w:r w:rsidRPr="0062582F">
              <w:rPr>
                <w:lang w:val="en-GB"/>
              </w:rPr>
              <w:t>(329)</w:t>
            </w:r>
          </w:p>
        </w:tc>
        <w:tc>
          <w:tcPr>
            <w:tcW w:w="550" w:type="pct"/>
            <w:tcBorders>
              <w:bottom w:val="single" w:sz="4" w:space="0" w:color="auto"/>
            </w:tcBorders>
          </w:tcPr>
          <w:p w:rsidR="004843DB" w:rsidRPr="0062582F" w:rsidRDefault="004843DB" w:rsidP="004843DB">
            <w:pPr>
              <w:pStyle w:val="Tabletext"/>
              <w:jc w:val="right"/>
              <w:rPr>
                <w:lang w:val="en-GB"/>
              </w:rPr>
            </w:pPr>
            <w:r w:rsidRPr="0062582F">
              <w:rPr>
                <w:lang w:val="en-GB"/>
              </w:rPr>
              <w:t>(89)</w:t>
            </w:r>
          </w:p>
        </w:tc>
        <w:tc>
          <w:tcPr>
            <w:tcW w:w="440" w:type="pct"/>
            <w:tcBorders>
              <w:bottom w:val="single" w:sz="4" w:space="0" w:color="auto"/>
            </w:tcBorders>
          </w:tcPr>
          <w:p w:rsidR="004843DB" w:rsidRPr="0062582F" w:rsidRDefault="004843DB" w:rsidP="004843DB">
            <w:pPr>
              <w:pStyle w:val="Tabletext"/>
              <w:jc w:val="right"/>
              <w:rPr>
                <w:lang w:val="en-GB"/>
              </w:rPr>
            </w:pPr>
            <w:r w:rsidRPr="0062582F">
              <w:rPr>
                <w:lang w:val="en-GB"/>
              </w:rPr>
              <w:t>(1 086)</w:t>
            </w:r>
          </w:p>
        </w:tc>
        <w:tc>
          <w:tcPr>
            <w:tcW w:w="493" w:type="pct"/>
            <w:tcBorders>
              <w:bottom w:val="single" w:sz="4" w:space="0" w:color="auto"/>
            </w:tcBorders>
          </w:tcPr>
          <w:p w:rsidR="004843DB" w:rsidRPr="0062582F" w:rsidRDefault="004843DB" w:rsidP="004843DB">
            <w:pPr>
              <w:pStyle w:val="Tabletext"/>
              <w:jc w:val="right"/>
              <w:rPr>
                <w:lang w:val="en-GB"/>
              </w:rPr>
            </w:pPr>
            <w:r w:rsidRPr="0062582F">
              <w:rPr>
                <w:lang w:val="en-GB"/>
              </w:rPr>
              <w:t>..</w:t>
            </w:r>
          </w:p>
        </w:tc>
        <w:tc>
          <w:tcPr>
            <w:tcW w:w="550" w:type="pct"/>
            <w:tcBorders>
              <w:bottom w:val="single" w:sz="4" w:space="0" w:color="auto"/>
            </w:tcBorders>
          </w:tcPr>
          <w:p w:rsidR="004843DB" w:rsidRPr="0062582F" w:rsidRDefault="004843DB" w:rsidP="004843DB">
            <w:pPr>
              <w:pStyle w:val="Tabletext"/>
              <w:jc w:val="right"/>
              <w:rPr>
                <w:lang w:val="en-GB"/>
              </w:rPr>
            </w:pPr>
            <w:r w:rsidRPr="0062582F">
              <w:rPr>
                <w:lang w:val="en-GB"/>
              </w:rPr>
              <w:t>..</w:t>
            </w:r>
          </w:p>
        </w:tc>
        <w:tc>
          <w:tcPr>
            <w:tcW w:w="659" w:type="pct"/>
            <w:tcBorders>
              <w:bottom w:val="single" w:sz="4" w:space="0" w:color="auto"/>
            </w:tcBorders>
          </w:tcPr>
          <w:p w:rsidR="004843DB" w:rsidRPr="0062582F" w:rsidRDefault="004843DB" w:rsidP="004843DB">
            <w:pPr>
              <w:pStyle w:val="Tabletext"/>
              <w:jc w:val="right"/>
              <w:rPr>
                <w:lang w:val="en-GB"/>
              </w:rPr>
            </w:pPr>
            <w:r w:rsidRPr="0062582F">
              <w:rPr>
                <w:lang w:val="en-GB"/>
              </w:rPr>
              <w:t>(397)</w:t>
            </w:r>
          </w:p>
        </w:tc>
        <w:tc>
          <w:tcPr>
            <w:tcW w:w="716" w:type="pct"/>
            <w:tcBorders>
              <w:bottom w:val="single" w:sz="4" w:space="0" w:color="auto"/>
            </w:tcBorders>
          </w:tcPr>
          <w:p w:rsidR="004843DB" w:rsidRPr="0062582F" w:rsidRDefault="004843DB" w:rsidP="004843DB">
            <w:pPr>
              <w:pStyle w:val="Tabletext"/>
              <w:jc w:val="right"/>
              <w:rPr>
                <w:lang w:val="en-GB"/>
              </w:rPr>
            </w:pPr>
            <w:r w:rsidRPr="0062582F">
              <w:rPr>
                <w:lang w:val="en-GB"/>
              </w:rPr>
              <w:t>(385)</w:t>
            </w:r>
          </w:p>
        </w:tc>
      </w:tr>
      <w:tr w:rsidR="004843DB" w:rsidRPr="0062582F" w:rsidTr="004843DB">
        <w:trPr>
          <w:cantSplit/>
        </w:trPr>
        <w:tc>
          <w:tcPr>
            <w:tcW w:w="1042" w:type="pct"/>
            <w:tcBorders>
              <w:top w:val="single" w:sz="4" w:space="0" w:color="auto"/>
              <w:bottom w:val="single" w:sz="4" w:space="0" w:color="auto"/>
            </w:tcBorders>
          </w:tcPr>
          <w:p w:rsidR="004843DB" w:rsidRPr="0062582F" w:rsidRDefault="004843DB" w:rsidP="004843DB">
            <w:pPr>
              <w:pStyle w:val="Tabletext"/>
              <w:rPr>
                <w:b/>
                <w:lang w:val="en-GB"/>
              </w:rPr>
            </w:pPr>
            <w:r w:rsidRPr="0062582F">
              <w:rPr>
                <w:b/>
                <w:lang w:val="en-GB"/>
              </w:rPr>
              <w:t>Subtotal</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(329)</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(89)</w:t>
            </w:r>
          </w:p>
        </w:tc>
        <w:tc>
          <w:tcPr>
            <w:tcW w:w="44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(1 086)</w:t>
            </w:r>
          </w:p>
        </w:tc>
        <w:tc>
          <w:tcPr>
            <w:tcW w:w="493"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w:t>
            </w:r>
          </w:p>
        </w:tc>
        <w:tc>
          <w:tcPr>
            <w:tcW w:w="659"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(397)</w:t>
            </w:r>
          </w:p>
        </w:tc>
        <w:tc>
          <w:tcPr>
            <w:tcW w:w="716"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(385)</w:t>
            </w:r>
          </w:p>
        </w:tc>
      </w:tr>
      <w:tr w:rsidR="004843DB" w:rsidRPr="0062582F" w:rsidTr="004843DB">
        <w:trPr>
          <w:cantSplit/>
        </w:trPr>
        <w:tc>
          <w:tcPr>
            <w:tcW w:w="1042" w:type="pct"/>
            <w:tcBorders>
              <w:top w:val="single" w:sz="4" w:space="0" w:color="auto"/>
              <w:bottom w:val="single" w:sz="4" w:space="0" w:color="auto"/>
            </w:tcBorders>
          </w:tcPr>
          <w:p w:rsidR="004843DB" w:rsidRPr="0062582F" w:rsidRDefault="004843DB" w:rsidP="004843DB">
            <w:pPr>
              <w:pStyle w:val="Tabletext"/>
              <w:rPr>
                <w:b/>
                <w:bCs/>
              </w:rPr>
            </w:pPr>
            <w:r w:rsidRPr="0062582F">
              <w:rPr>
                <w:b/>
                <w:bCs/>
              </w:rPr>
              <w:t>Closing balance</w:t>
            </w:r>
          </w:p>
        </w:tc>
        <w:tc>
          <w:tcPr>
            <w:tcW w:w="550" w:type="pct"/>
            <w:tcBorders>
              <w:top w:val="single" w:sz="4" w:space="0" w:color="auto"/>
              <w:bottom w:val="single" w:sz="4" w:space="0" w:color="auto"/>
            </w:tcBorders>
          </w:tcPr>
          <w:p w:rsidR="004843DB" w:rsidRPr="0062582F" w:rsidRDefault="004843DB" w:rsidP="004843DB">
            <w:pPr>
              <w:pStyle w:val="Tabletext"/>
              <w:jc w:val="right"/>
              <w:rPr>
                <w:rFonts w:ascii="Garamond" w:hAnsi="Garamond" w:cs="Tahoma"/>
                <w:lang w:val="en-GB"/>
              </w:rPr>
            </w:pPr>
            <w:r w:rsidRPr="0062582F">
              <w:rPr>
                <w:lang w:val="en-GB"/>
              </w:rPr>
              <w:t>2 784</w:t>
            </w:r>
          </w:p>
        </w:tc>
        <w:tc>
          <w:tcPr>
            <w:tcW w:w="550" w:type="pct"/>
            <w:tcBorders>
              <w:top w:val="single" w:sz="4" w:space="0" w:color="auto"/>
              <w:bottom w:val="single" w:sz="4" w:space="0" w:color="auto"/>
            </w:tcBorders>
          </w:tcPr>
          <w:p w:rsidR="004843DB" w:rsidRPr="0062582F" w:rsidRDefault="004843DB" w:rsidP="004843DB">
            <w:pPr>
              <w:pStyle w:val="Tabletext"/>
              <w:jc w:val="right"/>
              <w:rPr>
                <w:rFonts w:ascii="Garamond" w:hAnsi="Garamond" w:cs="Tahoma"/>
                <w:lang w:val="en-GB"/>
              </w:rPr>
            </w:pPr>
            <w:r w:rsidRPr="0062582F">
              <w:rPr>
                <w:lang w:val="en-GB"/>
              </w:rPr>
              <w:t>5 715</w:t>
            </w:r>
          </w:p>
        </w:tc>
        <w:tc>
          <w:tcPr>
            <w:tcW w:w="440" w:type="pct"/>
            <w:tcBorders>
              <w:top w:val="single" w:sz="4" w:space="0" w:color="auto"/>
              <w:bottom w:val="single" w:sz="4" w:space="0" w:color="auto"/>
            </w:tcBorders>
          </w:tcPr>
          <w:p w:rsidR="004843DB" w:rsidRPr="0062582F" w:rsidRDefault="004843DB" w:rsidP="004843DB">
            <w:pPr>
              <w:pStyle w:val="Tabletext"/>
              <w:jc w:val="right"/>
              <w:rPr>
                <w:rFonts w:ascii="Garamond" w:hAnsi="Garamond" w:cs="Tahoma"/>
                <w:lang w:val="en-GB"/>
              </w:rPr>
            </w:pPr>
            <w:r w:rsidRPr="0062582F">
              <w:rPr>
                <w:lang w:val="en-GB"/>
              </w:rPr>
              <w:t>10 546</w:t>
            </w:r>
          </w:p>
        </w:tc>
        <w:tc>
          <w:tcPr>
            <w:tcW w:w="493" w:type="pct"/>
            <w:tcBorders>
              <w:top w:val="single" w:sz="4" w:space="0" w:color="auto"/>
              <w:bottom w:val="single" w:sz="4" w:space="0" w:color="auto"/>
            </w:tcBorders>
          </w:tcPr>
          <w:p w:rsidR="004843DB" w:rsidRPr="0062582F" w:rsidRDefault="004843DB" w:rsidP="004843DB">
            <w:pPr>
              <w:pStyle w:val="Tabletext"/>
              <w:jc w:val="right"/>
              <w:rPr>
                <w:lang w:val="en-GB"/>
              </w:rPr>
            </w:pPr>
            <w:r w:rsidRPr="0062582F">
              <w:t>16 941</w:t>
            </w:r>
          </w:p>
        </w:tc>
        <w:tc>
          <w:tcPr>
            <w:tcW w:w="550" w:type="pct"/>
            <w:tcBorders>
              <w:top w:val="single" w:sz="4" w:space="0" w:color="auto"/>
              <w:bottom w:val="single" w:sz="4" w:space="0" w:color="auto"/>
            </w:tcBorders>
          </w:tcPr>
          <w:p w:rsidR="004843DB" w:rsidRPr="0062582F" w:rsidRDefault="004843DB" w:rsidP="004843DB">
            <w:pPr>
              <w:pStyle w:val="Tabletext"/>
              <w:jc w:val="right"/>
              <w:rPr>
                <w:lang w:val="en-GB"/>
              </w:rPr>
            </w:pPr>
            <w:r w:rsidRPr="0062582F">
              <w:rPr>
                <w:lang w:val="en-GB"/>
              </w:rPr>
              <w:t>30 935</w:t>
            </w:r>
          </w:p>
        </w:tc>
        <w:tc>
          <w:tcPr>
            <w:tcW w:w="659" w:type="pct"/>
            <w:tcBorders>
              <w:top w:val="single" w:sz="4" w:space="0" w:color="auto"/>
              <w:bottom w:val="single" w:sz="4" w:space="0" w:color="auto"/>
            </w:tcBorders>
          </w:tcPr>
          <w:p w:rsidR="004843DB" w:rsidRPr="0062582F" w:rsidRDefault="004843DB" w:rsidP="004843DB">
            <w:pPr>
              <w:pStyle w:val="Tabletext"/>
              <w:jc w:val="right"/>
              <w:rPr>
                <w:rFonts w:ascii="Garamond" w:hAnsi="Garamond" w:cs="Tahoma"/>
                <w:lang w:val="en-GB"/>
              </w:rPr>
            </w:pPr>
            <w:r w:rsidRPr="0062582F">
              <w:rPr>
                <w:lang w:val="en-GB"/>
              </w:rPr>
              <w:t>1 685</w:t>
            </w:r>
          </w:p>
        </w:tc>
        <w:tc>
          <w:tcPr>
            <w:tcW w:w="716" w:type="pct"/>
            <w:tcBorders>
              <w:top w:val="single" w:sz="4" w:space="0" w:color="auto"/>
              <w:bottom w:val="single" w:sz="4" w:space="0" w:color="auto"/>
            </w:tcBorders>
          </w:tcPr>
          <w:p w:rsidR="004843DB" w:rsidRPr="0062582F" w:rsidRDefault="004843DB" w:rsidP="004843DB">
            <w:pPr>
              <w:pStyle w:val="Tabletext"/>
              <w:jc w:val="right"/>
              <w:rPr>
                <w:rFonts w:ascii="Garamond" w:hAnsi="Garamond" w:cs="Tahoma"/>
                <w:lang w:val="en-GB"/>
              </w:rPr>
            </w:pPr>
            <w:r w:rsidRPr="0062582F">
              <w:rPr>
                <w:lang w:val="en-GB"/>
              </w:rPr>
              <w:t>2 257</w:t>
            </w:r>
          </w:p>
        </w:tc>
      </w:tr>
      <w:tr w:rsidR="004843DB" w:rsidRPr="0062582F" w:rsidTr="004843DB">
        <w:trPr>
          <w:cantSplit/>
        </w:trPr>
        <w:tc>
          <w:tcPr>
            <w:tcW w:w="1042" w:type="pct"/>
            <w:tcBorders>
              <w:top w:val="single" w:sz="4" w:space="0" w:color="auto"/>
              <w:bottom w:val="single" w:sz="12" w:space="0" w:color="auto"/>
            </w:tcBorders>
            <w:shd w:val="clear" w:color="auto" w:fill="CBCBCB"/>
          </w:tcPr>
          <w:p w:rsidR="004843DB" w:rsidRPr="0062582F" w:rsidRDefault="004843DB" w:rsidP="004843DB">
            <w:pPr>
              <w:pStyle w:val="Tabletext"/>
              <w:rPr>
                <w:b/>
                <w:bCs/>
              </w:rPr>
            </w:pPr>
            <w:r w:rsidRPr="0062582F">
              <w:rPr>
                <w:lang w:val="en-GB"/>
              </w:rPr>
              <w:t>Unrealised gains/(losses) on non</w:t>
            </w:r>
            <w:r w:rsidR="005A4BB0">
              <w:rPr>
                <w:lang w:val="en-GB"/>
              </w:rPr>
              <w:noBreakHyphen/>
            </w:r>
            <w:r w:rsidRPr="0062582F">
              <w:rPr>
                <w:lang w:val="en-GB"/>
              </w:rPr>
              <w:t xml:space="preserve">financial assets </w:t>
            </w:r>
            <w:r w:rsidRPr="0062582F">
              <w:rPr>
                <w:vertAlign w:val="superscript"/>
                <w:lang w:val="en-GB"/>
              </w:rPr>
              <w:t>(i)</w:t>
            </w:r>
          </w:p>
        </w:tc>
        <w:tc>
          <w:tcPr>
            <w:tcW w:w="550"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c>
          <w:tcPr>
            <w:tcW w:w="550"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c>
          <w:tcPr>
            <w:tcW w:w="440"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c>
          <w:tcPr>
            <w:tcW w:w="493" w:type="pct"/>
            <w:tcBorders>
              <w:top w:val="single" w:sz="4" w:space="0" w:color="auto"/>
              <w:bottom w:val="single" w:sz="12" w:space="0" w:color="auto"/>
            </w:tcBorders>
            <w:shd w:val="clear" w:color="auto" w:fill="CBCBCB"/>
          </w:tcPr>
          <w:p w:rsidR="004843DB" w:rsidRPr="0062582F" w:rsidRDefault="004843DB" w:rsidP="004843DB">
            <w:pPr>
              <w:pStyle w:val="Tabletext"/>
              <w:jc w:val="right"/>
            </w:pPr>
            <w:r w:rsidRPr="0062582F">
              <w:rPr>
                <w:lang w:val="en-GB"/>
              </w:rPr>
              <w:t>..</w:t>
            </w:r>
          </w:p>
        </w:tc>
        <w:tc>
          <w:tcPr>
            <w:tcW w:w="550"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c>
          <w:tcPr>
            <w:tcW w:w="659"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c>
          <w:tcPr>
            <w:tcW w:w="716"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r>
    </w:tbl>
    <w:p w:rsidR="004843DB" w:rsidRPr="0062582F" w:rsidRDefault="004843DB" w:rsidP="004843DB">
      <w:pPr>
        <w:rPr>
          <w:rFonts w:ascii="Calibri" w:hAnsi="Calibri" w:cs="Arial Bold"/>
          <w:b/>
          <w:bCs/>
          <w:color w:val="FF0000"/>
          <w:lang w:val="en-GB"/>
        </w:rPr>
        <w:sectPr w:rsidR="004843DB" w:rsidRPr="0062582F" w:rsidSect="00190A01">
          <w:type w:val="continuous"/>
          <w:pgSz w:w="11906" w:h="16838" w:code="9"/>
          <w:pgMar w:top="426" w:right="864" w:bottom="1152" w:left="864" w:header="432" w:footer="432" w:gutter="0"/>
          <w:cols w:num="2" w:space="360" w:equalWidth="0">
            <w:col w:w="1440" w:space="360"/>
            <w:col w:w="8090"/>
          </w:cols>
          <w:rtlGutter/>
        </w:sectPr>
      </w:pPr>
    </w:p>
    <w:p w:rsidR="004843DB" w:rsidRPr="0062582F" w:rsidRDefault="004843DB" w:rsidP="004843DB">
      <w:pPr>
        <w:pStyle w:val="Notes"/>
        <w:rPr>
          <w:lang w:val="en-GB"/>
        </w:rPr>
      </w:pPr>
    </w:p>
    <w:p w:rsidR="004843DB" w:rsidRPr="00C046B7" w:rsidRDefault="004843DB" w:rsidP="004843DB">
      <w:pPr>
        <w:pStyle w:val="ReferenceRed"/>
        <w:spacing w:before="40"/>
      </w:pPr>
      <w:r>
        <w:t>Revised</w:t>
      </w:r>
    </w:p>
    <w:p w:rsidR="004843DB" w:rsidRPr="0062582F" w:rsidRDefault="004843DB" w:rsidP="004843DB">
      <w:pPr>
        <w:pStyle w:val="Notes"/>
        <w:rPr>
          <w:lang w:val="en-GB"/>
        </w:rPr>
      </w:pPr>
    </w:p>
    <w:p w:rsidR="004843DB" w:rsidRPr="0062582F" w:rsidRDefault="004843DB" w:rsidP="004843DB">
      <w:pPr>
        <w:pStyle w:val="Notes"/>
        <w:rPr>
          <w:lang w:val="en-GB"/>
        </w:rPr>
      </w:pPr>
      <w:r w:rsidRPr="0062582F">
        <w:rPr>
          <w:lang w:val="en-GB"/>
        </w:rPr>
        <w:br w:type="column"/>
        <w:t>Note:</w:t>
      </w:r>
    </w:p>
    <w:p w:rsidR="004843DB" w:rsidRPr="0062582F" w:rsidRDefault="004843DB" w:rsidP="004843DB">
      <w:pPr>
        <w:pStyle w:val="Notes"/>
        <w:rPr>
          <w:color w:val="0000FF"/>
          <w:lang w:val="en-GB"/>
        </w:rPr>
      </w:pPr>
      <w:r w:rsidRPr="0062582F">
        <w:rPr>
          <w:color w:val="0000FF"/>
          <w:lang w:val="en-GB"/>
        </w:rPr>
        <w:t>(i)</w:t>
      </w:r>
      <w:r w:rsidRPr="0062582F">
        <w:rPr>
          <w:color w:val="0000FF"/>
          <w:lang w:val="en-GB"/>
        </w:rPr>
        <w:tab/>
        <w:t>[Please note that AASB 2015</w:t>
      </w:r>
      <w:r w:rsidR="005A4BB0">
        <w:rPr>
          <w:color w:val="0000FF"/>
          <w:lang w:val="en-GB"/>
        </w:rPr>
        <w:noBreakHyphen/>
      </w:r>
      <w:r w:rsidRPr="0062582F">
        <w:rPr>
          <w:color w:val="0000FF"/>
          <w:lang w:val="en-GB"/>
        </w:rPr>
        <w:t>7 Fair Value Disclosures of Not</w:t>
      </w:r>
      <w:r w:rsidR="005A4BB0">
        <w:rPr>
          <w:color w:val="0000FF"/>
          <w:lang w:val="en-GB"/>
        </w:rPr>
        <w:noBreakHyphen/>
      </w:r>
      <w:r w:rsidRPr="0062582F">
        <w:rPr>
          <w:color w:val="0000FF"/>
          <w:lang w:val="en-GB"/>
        </w:rPr>
        <w:t>for</w:t>
      </w:r>
      <w:r w:rsidR="005A4BB0">
        <w:rPr>
          <w:color w:val="0000FF"/>
          <w:lang w:val="en-GB"/>
        </w:rPr>
        <w:noBreakHyphen/>
      </w:r>
      <w:r w:rsidRPr="0062582F">
        <w:rPr>
          <w:color w:val="0000FF"/>
          <w:lang w:val="en-GB"/>
        </w:rPr>
        <w:t>Profit Public Sector Entities, which is operative from 1 July 2016 provides an exemption for not</w:t>
      </w:r>
      <w:r w:rsidR="005A4BB0">
        <w:rPr>
          <w:color w:val="0000FF"/>
          <w:lang w:val="en-GB"/>
        </w:rPr>
        <w:noBreakHyphen/>
      </w:r>
      <w:r w:rsidRPr="0062582F">
        <w:rPr>
          <w:color w:val="0000FF"/>
          <w:lang w:val="en-GB"/>
        </w:rPr>
        <w:t>for</w:t>
      </w:r>
      <w:r w:rsidR="005A4BB0">
        <w:rPr>
          <w:color w:val="0000FF"/>
          <w:lang w:val="en-GB"/>
        </w:rPr>
        <w:noBreakHyphen/>
      </w:r>
      <w:r w:rsidRPr="0062582F">
        <w:rPr>
          <w:color w:val="0000FF"/>
          <w:lang w:val="en-GB"/>
        </w:rPr>
        <w:t xml:space="preserve">profit public sector entities from disclosing the shaded row relating to </w:t>
      </w:r>
      <w:r w:rsidR="005A4BB0">
        <w:rPr>
          <w:color w:val="0000FF"/>
          <w:lang w:val="en-GB"/>
        </w:rPr>
        <w:t>‘</w:t>
      </w:r>
      <w:r w:rsidRPr="0062582F">
        <w:rPr>
          <w:color w:val="0000FF"/>
          <w:lang w:val="en-GB"/>
        </w:rPr>
        <w:t>unrealised gains/(losses) on non</w:t>
      </w:r>
      <w:r w:rsidR="005A4BB0">
        <w:rPr>
          <w:color w:val="0000FF"/>
          <w:lang w:val="en-GB"/>
        </w:rPr>
        <w:noBreakHyphen/>
      </w:r>
      <w:r w:rsidRPr="0062582F">
        <w:rPr>
          <w:color w:val="0000FF"/>
          <w:lang w:val="en-GB"/>
        </w:rPr>
        <w:t>financial assets</w:t>
      </w:r>
      <w:r w:rsidR="005A4BB0">
        <w:rPr>
          <w:color w:val="0000FF"/>
          <w:lang w:val="en-GB"/>
        </w:rPr>
        <w:t>’</w:t>
      </w:r>
      <w:r w:rsidRPr="0062582F">
        <w:rPr>
          <w:color w:val="0000FF"/>
          <w:lang w:val="en-GB"/>
        </w:rPr>
        <w:t xml:space="preserve"> if the assets are held primarily for their current service potential rather than to generate net cash inflows. Please note that the State early adopted AASB 2015</w:t>
      </w:r>
      <w:r w:rsidR="005A4BB0">
        <w:rPr>
          <w:color w:val="0000FF"/>
          <w:lang w:val="en-GB"/>
        </w:rPr>
        <w:noBreakHyphen/>
      </w:r>
      <w:r w:rsidRPr="0062582F">
        <w:rPr>
          <w:color w:val="0000FF"/>
          <w:lang w:val="en-GB"/>
        </w:rPr>
        <w:t>7 in the 2014</w:t>
      </w:r>
      <w:r w:rsidR="005A4BB0">
        <w:rPr>
          <w:color w:val="0000FF"/>
          <w:lang w:val="en-GB"/>
        </w:rPr>
        <w:noBreakHyphen/>
      </w:r>
      <w:r w:rsidRPr="0062582F">
        <w:rPr>
          <w:color w:val="0000FF"/>
          <w:lang w:val="en-GB"/>
        </w:rPr>
        <w:t>15 reporting period and gave not</w:t>
      </w:r>
      <w:r w:rsidR="005A4BB0">
        <w:rPr>
          <w:color w:val="0000FF"/>
          <w:lang w:val="en-GB"/>
        </w:rPr>
        <w:noBreakHyphen/>
      </w:r>
      <w:r w:rsidRPr="0062582F">
        <w:rPr>
          <w:color w:val="0000FF"/>
          <w:lang w:val="en-GB"/>
        </w:rPr>
        <w:t>for</w:t>
      </w:r>
      <w:r w:rsidR="005A4BB0">
        <w:rPr>
          <w:color w:val="0000FF"/>
          <w:lang w:val="en-GB"/>
        </w:rPr>
        <w:noBreakHyphen/>
      </w:r>
      <w:r w:rsidRPr="0062582F">
        <w:rPr>
          <w:color w:val="0000FF"/>
          <w:lang w:val="en-GB"/>
        </w:rPr>
        <w:t>profit entities the option to early adopt this amending standard last year. As a result, all not</w:t>
      </w:r>
      <w:r w:rsidR="005A4BB0">
        <w:rPr>
          <w:color w:val="0000FF"/>
          <w:lang w:val="en-GB"/>
        </w:rPr>
        <w:noBreakHyphen/>
      </w:r>
      <w:r w:rsidRPr="0062582F">
        <w:rPr>
          <w:color w:val="0000FF"/>
          <w:lang w:val="en-GB"/>
        </w:rPr>
        <w:t>for</w:t>
      </w:r>
      <w:r w:rsidR="005A4BB0">
        <w:rPr>
          <w:color w:val="0000FF"/>
          <w:lang w:val="en-GB"/>
        </w:rPr>
        <w:noBreakHyphen/>
      </w:r>
      <w:r w:rsidRPr="0062582F">
        <w:rPr>
          <w:color w:val="0000FF"/>
          <w:lang w:val="en-GB"/>
        </w:rPr>
        <w:t>profit entities must now comply this amending standard for the current financial year. This amending standard is not applicable for assets that are held for cash generating purposes. Not</w:t>
      </w:r>
      <w:r w:rsidR="005A4BB0">
        <w:rPr>
          <w:color w:val="0000FF"/>
          <w:lang w:val="en-GB"/>
        </w:rPr>
        <w:noBreakHyphen/>
      </w:r>
      <w:r w:rsidRPr="0062582F">
        <w:rPr>
          <w:color w:val="0000FF"/>
          <w:lang w:val="en-GB"/>
        </w:rPr>
        <w:t>for</w:t>
      </w:r>
      <w:r w:rsidR="005A4BB0">
        <w:rPr>
          <w:color w:val="0000FF"/>
          <w:lang w:val="en-GB"/>
        </w:rPr>
        <w:noBreakHyphen/>
      </w:r>
      <w:r w:rsidRPr="0062582F">
        <w:rPr>
          <w:color w:val="0000FF"/>
          <w:lang w:val="en-GB"/>
        </w:rPr>
        <w:t>profit entities that have assets generating net cash inflows will still need to disclose the information in the shaded row.]</w:t>
      </w:r>
      <w:r w:rsidRPr="0062582F">
        <w:rPr>
          <w:color w:val="0000FF"/>
          <w:lang w:val="en-GB"/>
        </w:rPr>
        <w:br w:type="page"/>
      </w:r>
    </w:p>
    <w:p w:rsidR="004843DB" w:rsidRPr="0062582F" w:rsidRDefault="004843DB" w:rsidP="004843DB">
      <w:pPr>
        <w:pStyle w:val="Notes"/>
        <w:rPr>
          <w:lang w:val="en-GB"/>
        </w:rPr>
      </w:pPr>
    </w:p>
    <w:p w:rsidR="004843DB" w:rsidRPr="0062582F" w:rsidRDefault="004843DB" w:rsidP="004843DB">
      <w:pPr>
        <w:pStyle w:val="ReferenceRed"/>
        <w:spacing w:before="0"/>
        <w:rPr>
          <w:color w:val="0000FF"/>
        </w:rPr>
      </w:pPr>
      <w:r w:rsidRPr="0062582F">
        <w:rPr>
          <w:rStyle w:val="ReferenceRedChar"/>
        </w:rPr>
        <w:t>New</w:t>
      </w:r>
      <w:r w:rsidRPr="0062582F">
        <w:rPr>
          <w:color w:val="0000FF"/>
        </w:rPr>
        <w:t xml:space="preserve"> </w:t>
      </w:r>
    </w:p>
    <w:p w:rsidR="004843DB" w:rsidRPr="0062582F" w:rsidRDefault="004843DB" w:rsidP="004843DB">
      <w:pPr>
        <w:pStyle w:val="ReferenceRed"/>
        <w:spacing w:before="240"/>
        <w:rPr>
          <w:color w:val="0000FF"/>
        </w:rPr>
      </w:pPr>
      <w:r w:rsidRPr="0062582F">
        <w:rPr>
          <w:color w:val="0000FF"/>
        </w:rPr>
        <w:t>AASB 13.93 (e)(f)</w:t>
      </w:r>
    </w:p>
    <w:p w:rsidR="004843DB" w:rsidRPr="0062582F" w:rsidRDefault="004843DB" w:rsidP="00E348C3">
      <w:pPr>
        <w:pStyle w:val="Tableheading"/>
      </w:pPr>
      <w:r w:rsidRPr="0062582F">
        <w:rPr>
          <w:rFonts w:cs="Arial Bold"/>
          <w:color w:val="FF0000"/>
          <w:lang w:val="en-GB"/>
        </w:rPr>
        <w:br w:type="column"/>
      </w:r>
      <w:r w:rsidRPr="0062582F">
        <w:t>Table 17.10:</w:t>
      </w:r>
      <w:r w:rsidRPr="0062582F">
        <w:tab/>
        <w:t>Reconciliation of Level 3 fair value for 2015</w:t>
      </w:r>
    </w:p>
    <w:tbl>
      <w:tblPr>
        <w:tblStyle w:val="TableGrid"/>
        <w:tblW w:w="26845" w:type="pct"/>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708"/>
        <w:gridCol w:w="901"/>
        <w:gridCol w:w="901"/>
        <w:gridCol w:w="721"/>
        <w:gridCol w:w="808"/>
        <w:gridCol w:w="901"/>
        <w:gridCol w:w="1080"/>
        <w:gridCol w:w="1173"/>
      </w:tblGrid>
      <w:tr w:rsidR="004843DB" w:rsidRPr="0062582F" w:rsidTr="004843DB">
        <w:trPr>
          <w:cantSplit/>
        </w:trPr>
        <w:tc>
          <w:tcPr>
            <w:tcW w:w="1042" w:type="pct"/>
            <w:tcBorders>
              <w:top w:val="single" w:sz="6" w:space="0" w:color="auto"/>
              <w:bottom w:val="single" w:sz="6" w:space="0" w:color="auto"/>
            </w:tcBorders>
            <w:shd w:val="solid" w:color="EAEAEA" w:fill="EAEAEA"/>
          </w:tcPr>
          <w:p w:rsidR="004843DB" w:rsidRPr="0062582F" w:rsidRDefault="004843DB" w:rsidP="004843DB">
            <w:pPr>
              <w:pStyle w:val="TabletextheadingLeft"/>
              <w:rPr>
                <w:rFonts w:cs="Tahoma"/>
                <w:sz w:val="17"/>
                <w:lang w:val="en-GB"/>
              </w:rPr>
            </w:pPr>
            <w:r w:rsidRPr="0062582F">
              <w:rPr>
                <w:sz w:val="17"/>
                <w:lang w:val="en-GB"/>
              </w:rPr>
              <w:br/>
            </w:r>
            <w:r w:rsidRPr="0062582F">
              <w:rPr>
                <w:sz w:val="17"/>
                <w:lang w:val="en-GB"/>
              </w:rPr>
              <w:br/>
              <w:t>2015</w:t>
            </w:r>
          </w:p>
        </w:tc>
        <w:tc>
          <w:tcPr>
            <w:tcW w:w="550"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lang w:val="en-GB"/>
              </w:rPr>
              <w:br/>
              <w:t>Specialised land</w:t>
            </w:r>
          </w:p>
        </w:tc>
        <w:tc>
          <w:tcPr>
            <w:tcW w:w="550"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rPr>
              <w:br/>
              <w:t>Specialised buildings</w:t>
            </w:r>
          </w:p>
        </w:tc>
        <w:tc>
          <w:tcPr>
            <w:tcW w:w="440"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rPr>
              <w:br/>
              <w:t>Heritage assets</w:t>
            </w:r>
          </w:p>
        </w:tc>
        <w:tc>
          <w:tcPr>
            <w:tcW w:w="493"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lang w:val="en-GB"/>
              </w:rPr>
              <w:br/>
            </w:r>
            <w:r w:rsidRPr="0062582F">
              <w:rPr>
                <w:sz w:val="17"/>
                <w:lang w:val="en-GB"/>
              </w:rPr>
              <w:br/>
              <w:t>Vehicles</w:t>
            </w:r>
          </w:p>
        </w:tc>
        <w:tc>
          <w:tcPr>
            <w:tcW w:w="550"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lang w:val="en-GB"/>
              </w:rPr>
              <w:br/>
              <w:t>Plant and equipment</w:t>
            </w:r>
          </w:p>
        </w:tc>
        <w:tc>
          <w:tcPr>
            <w:tcW w:w="659"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lang w:val="en-GB"/>
              </w:rPr>
              <w:br/>
            </w:r>
            <w:r w:rsidRPr="0062582F">
              <w:rPr>
                <w:sz w:val="17"/>
                <w:lang w:val="en-GB"/>
              </w:rPr>
              <w:br/>
              <w:t>Infrastructure</w:t>
            </w:r>
          </w:p>
        </w:tc>
        <w:tc>
          <w:tcPr>
            <w:tcW w:w="716" w:type="pct"/>
            <w:tcBorders>
              <w:top w:val="single" w:sz="6" w:space="0" w:color="auto"/>
              <w:bottom w:val="single" w:sz="6" w:space="0" w:color="auto"/>
            </w:tcBorders>
            <w:shd w:val="solid" w:color="EAEAEA" w:fill="EAEAEA"/>
          </w:tcPr>
          <w:p w:rsidR="004843DB" w:rsidRPr="0062582F" w:rsidRDefault="004843DB" w:rsidP="004843DB">
            <w:pPr>
              <w:pStyle w:val="Tabletextheading"/>
              <w:rPr>
                <w:sz w:val="17"/>
                <w:lang w:val="en-GB"/>
              </w:rPr>
            </w:pPr>
            <w:r w:rsidRPr="0062582F">
              <w:rPr>
                <w:sz w:val="17"/>
                <w:lang w:val="en-GB"/>
              </w:rPr>
              <w:t xml:space="preserve">Road, </w:t>
            </w:r>
            <w:r w:rsidRPr="0062582F">
              <w:rPr>
                <w:sz w:val="17"/>
                <w:lang w:val="en-GB"/>
              </w:rPr>
              <w:br/>
              <w:t>infrastructure and earthworks</w:t>
            </w:r>
          </w:p>
        </w:tc>
      </w:tr>
      <w:tr w:rsidR="004843DB" w:rsidRPr="0062582F" w:rsidTr="004843DB">
        <w:trPr>
          <w:cantSplit/>
        </w:trPr>
        <w:tc>
          <w:tcPr>
            <w:tcW w:w="1042" w:type="pct"/>
            <w:tcBorders>
              <w:top w:val="single" w:sz="6" w:space="0" w:color="auto"/>
              <w:bottom w:val="single" w:sz="4" w:space="0" w:color="auto"/>
            </w:tcBorders>
          </w:tcPr>
          <w:p w:rsidR="004843DB" w:rsidRPr="0062582F" w:rsidRDefault="004843DB" w:rsidP="004843DB">
            <w:pPr>
              <w:pStyle w:val="Tabletext"/>
              <w:rPr>
                <w:rFonts w:ascii="Garamond" w:hAnsi="Garamond" w:cstheme="minorHAnsi"/>
                <w:b/>
                <w:color w:val="000000"/>
                <w:sz w:val="20"/>
                <w:lang w:val="en-GB"/>
              </w:rPr>
            </w:pPr>
            <w:r w:rsidRPr="0062582F">
              <w:rPr>
                <w:b/>
                <w:bCs/>
              </w:rPr>
              <w:t>Opening balance</w:t>
            </w:r>
          </w:p>
        </w:tc>
        <w:tc>
          <w:tcPr>
            <w:tcW w:w="550" w:type="pct"/>
            <w:tcBorders>
              <w:top w:val="single" w:sz="6" w:space="0" w:color="auto"/>
              <w:bottom w:val="single" w:sz="4" w:space="0" w:color="auto"/>
            </w:tcBorders>
          </w:tcPr>
          <w:p w:rsidR="004843DB" w:rsidRPr="0062582F" w:rsidRDefault="004843DB" w:rsidP="004843DB">
            <w:pPr>
              <w:pStyle w:val="TableofFigures"/>
              <w:rPr>
                <w:b/>
              </w:rPr>
            </w:pPr>
            <w:r w:rsidRPr="0062582F">
              <w:rPr>
                <w:b/>
              </w:rPr>
              <w:t>2 306</w:t>
            </w:r>
          </w:p>
        </w:tc>
        <w:tc>
          <w:tcPr>
            <w:tcW w:w="550" w:type="pct"/>
            <w:tcBorders>
              <w:top w:val="single" w:sz="6" w:space="0" w:color="auto"/>
              <w:bottom w:val="single" w:sz="4" w:space="0" w:color="auto"/>
            </w:tcBorders>
          </w:tcPr>
          <w:p w:rsidR="004843DB" w:rsidRPr="0062582F" w:rsidRDefault="004843DB" w:rsidP="004843DB">
            <w:pPr>
              <w:pStyle w:val="TableofFigures"/>
              <w:rPr>
                <w:b/>
              </w:rPr>
            </w:pPr>
            <w:r w:rsidRPr="0062582F">
              <w:rPr>
                <w:b/>
              </w:rPr>
              <w:t>3 694</w:t>
            </w:r>
          </w:p>
        </w:tc>
        <w:tc>
          <w:tcPr>
            <w:tcW w:w="440" w:type="pct"/>
            <w:tcBorders>
              <w:top w:val="single" w:sz="6" w:space="0" w:color="auto"/>
              <w:bottom w:val="single" w:sz="4" w:space="0" w:color="auto"/>
            </w:tcBorders>
          </w:tcPr>
          <w:p w:rsidR="004843DB" w:rsidRPr="0062582F" w:rsidRDefault="004843DB" w:rsidP="004843DB">
            <w:pPr>
              <w:pStyle w:val="TableofFigures"/>
              <w:rPr>
                <w:b/>
              </w:rPr>
            </w:pPr>
            <w:r w:rsidRPr="0062582F">
              <w:rPr>
                <w:b/>
              </w:rPr>
              <w:t>14 943</w:t>
            </w:r>
          </w:p>
        </w:tc>
        <w:tc>
          <w:tcPr>
            <w:tcW w:w="493" w:type="pct"/>
            <w:tcBorders>
              <w:top w:val="single" w:sz="6" w:space="0" w:color="auto"/>
              <w:bottom w:val="single" w:sz="4" w:space="0" w:color="auto"/>
            </w:tcBorders>
          </w:tcPr>
          <w:p w:rsidR="004843DB" w:rsidRPr="0062582F" w:rsidRDefault="004843DB" w:rsidP="004843DB">
            <w:pPr>
              <w:pStyle w:val="TableofFigures"/>
              <w:rPr>
                <w:b/>
              </w:rPr>
            </w:pPr>
            <w:r w:rsidRPr="0062582F">
              <w:rPr>
                <w:b/>
              </w:rPr>
              <w:t>13 881</w:t>
            </w:r>
          </w:p>
        </w:tc>
        <w:tc>
          <w:tcPr>
            <w:tcW w:w="550" w:type="pct"/>
            <w:tcBorders>
              <w:top w:val="single" w:sz="6" w:space="0" w:color="auto"/>
              <w:bottom w:val="single" w:sz="4" w:space="0" w:color="auto"/>
            </w:tcBorders>
          </w:tcPr>
          <w:p w:rsidR="004843DB" w:rsidRPr="0062582F" w:rsidRDefault="004843DB" w:rsidP="004843DB">
            <w:pPr>
              <w:pStyle w:val="TableofFigures"/>
              <w:rPr>
                <w:b/>
              </w:rPr>
            </w:pPr>
            <w:r w:rsidRPr="0062582F">
              <w:rPr>
                <w:b/>
              </w:rPr>
              <w:t>25 016</w:t>
            </w:r>
          </w:p>
        </w:tc>
        <w:tc>
          <w:tcPr>
            <w:tcW w:w="659" w:type="pct"/>
            <w:tcBorders>
              <w:top w:val="single" w:sz="6" w:space="0" w:color="auto"/>
              <w:bottom w:val="single" w:sz="4" w:space="0" w:color="auto"/>
            </w:tcBorders>
          </w:tcPr>
          <w:p w:rsidR="004843DB" w:rsidRPr="0062582F" w:rsidRDefault="004843DB" w:rsidP="004843DB">
            <w:pPr>
              <w:pStyle w:val="TableofFigures"/>
              <w:rPr>
                <w:b/>
              </w:rPr>
            </w:pPr>
            <w:r w:rsidRPr="0062582F">
              <w:rPr>
                <w:b/>
              </w:rPr>
              <w:t>7 767</w:t>
            </w:r>
          </w:p>
        </w:tc>
        <w:tc>
          <w:tcPr>
            <w:tcW w:w="716" w:type="pct"/>
            <w:tcBorders>
              <w:top w:val="single" w:sz="6" w:space="0" w:color="auto"/>
              <w:bottom w:val="single" w:sz="4" w:space="0" w:color="auto"/>
            </w:tcBorders>
          </w:tcPr>
          <w:p w:rsidR="004843DB" w:rsidRPr="0062582F" w:rsidRDefault="004843DB" w:rsidP="004843DB">
            <w:pPr>
              <w:pStyle w:val="TableofFigures"/>
              <w:rPr>
                <w:b/>
              </w:rPr>
            </w:pPr>
            <w:r w:rsidRPr="0062582F">
              <w:rPr>
                <w:b/>
              </w:rPr>
              <w:t>8 475</w:t>
            </w:r>
          </w:p>
        </w:tc>
      </w:tr>
      <w:tr w:rsidR="004843DB" w:rsidRPr="0062582F" w:rsidTr="004843DB">
        <w:trPr>
          <w:cantSplit/>
        </w:trPr>
        <w:tc>
          <w:tcPr>
            <w:tcW w:w="1042" w:type="pct"/>
            <w:tcBorders>
              <w:top w:val="single" w:sz="4" w:space="0" w:color="auto"/>
            </w:tcBorders>
          </w:tcPr>
          <w:p w:rsidR="004843DB" w:rsidRPr="0062582F" w:rsidRDefault="004843DB" w:rsidP="004843DB">
            <w:pPr>
              <w:pStyle w:val="Tabletext"/>
              <w:rPr>
                <w:rFonts w:ascii="Garamond" w:hAnsi="Garamond" w:cs="Tahoma"/>
                <w:lang w:val="en-GB"/>
              </w:rPr>
            </w:pPr>
            <w:r w:rsidRPr="0062582F">
              <w:rPr>
                <w:lang w:val="en-GB"/>
              </w:rPr>
              <w:t>Purchases (sales)</w:t>
            </w:r>
          </w:p>
        </w:tc>
        <w:tc>
          <w:tcPr>
            <w:tcW w:w="550" w:type="pct"/>
            <w:tcBorders>
              <w:top w:val="single" w:sz="4" w:space="0" w:color="auto"/>
            </w:tcBorders>
          </w:tcPr>
          <w:p w:rsidR="004843DB" w:rsidRPr="0062582F" w:rsidRDefault="004843DB" w:rsidP="004843DB">
            <w:pPr>
              <w:pStyle w:val="TableofFigures"/>
              <w:rPr>
                <w:lang w:val="en-GB"/>
              </w:rPr>
            </w:pPr>
            <w:r w:rsidRPr="0062582F">
              <w:rPr>
                <w:lang w:val="en-GB"/>
              </w:rPr>
              <w:t>527</w:t>
            </w:r>
          </w:p>
        </w:tc>
        <w:tc>
          <w:tcPr>
            <w:tcW w:w="550" w:type="pct"/>
            <w:tcBorders>
              <w:top w:val="single" w:sz="4" w:space="0" w:color="auto"/>
            </w:tcBorders>
          </w:tcPr>
          <w:p w:rsidR="004843DB" w:rsidRPr="0062582F" w:rsidRDefault="004843DB" w:rsidP="004843DB">
            <w:pPr>
              <w:pStyle w:val="TableofFigures"/>
              <w:rPr>
                <w:lang w:val="en-GB"/>
              </w:rPr>
            </w:pPr>
            <w:r w:rsidRPr="0062582F">
              <w:rPr>
                <w:lang w:val="en-GB"/>
              </w:rPr>
              <w:t>1 073</w:t>
            </w:r>
          </w:p>
        </w:tc>
        <w:tc>
          <w:tcPr>
            <w:tcW w:w="440" w:type="pct"/>
            <w:tcBorders>
              <w:top w:val="single" w:sz="4" w:space="0" w:color="auto"/>
            </w:tcBorders>
          </w:tcPr>
          <w:p w:rsidR="004843DB" w:rsidRPr="0062582F" w:rsidRDefault="004843DB" w:rsidP="004843DB">
            <w:pPr>
              <w:pStyle w:val="TableofFigures"/>
              <w:rPr>
                <w:lang w:val="en-GB"/>
              </w:rPr>
            </w:pPr>
            <w:r w:rsidRPr="0062582F">
              <w:rPr>
                <w:lang w:val="en-GB"/>
              </w:rPr>
              <w:t>570</w:t>
            </w:r>
          </w:p>
        </w:tc>
        <w:tc>
          <w:tcPr>
            <w:tcW w:w="493" w:type="pct"/>
            <w:tcBorders>
              <w:top w:val="single" w:sz="4" w:space="0" w:color="auto"/>
            </w:tcBorders>
          </w:tcPr>
          <w:p w:rsidR="004843DB" w:rsidRPr="0062582F" w:rsidRDefault="004843DB" w:rsidP="004843DB">
            <w:pPr>
              <w:pStyle w:val="TableofFigures"/>
              <w:rPr>
                <w:lang w:val="en-GB"/>
              </w:rPr>
            </w:pPr>
            <w:r w:rsidRPr="0062582F">
              <w:rPr>
                <w:lang w:val="en-GB"/>
              </w:rPr>
              <w:t>1 691</w:t>
            </w:r>
          </w:p>
        </w:tc>
        <w:tc>
          <w:tcPr>
            <w:tcW w:w="550" w:type="pct"/>
            <w:tcBorders>
              <w:top w:val="single" w:sz="4" w:space="0" w:color="auto"/>
            </w:tcBorders>
          </w:tcPr>
          <w:p w:rsidR="004843DB" w:rsidRPr="0062582F" w:rsidRDefault="004843DB" w:rsidP="004843DB">
            <w:pPr>
              <w:pStyle w:val="TableofFigures"/>
              <w:rPr>
                <w:lang w:val="en-GB"/>
              </w:rPr>
            </w:pPr>
            <w:r w:rsidRPr="0062582F">
              <w:rPr>
                <w:lang w:val="en-GB"/>
              </w:rPr>
              <w:t>3 041</w:t>
            </w:r>
          </w:p>
        </w:tc>
        <w:tc>
          <w:tcPr>
            <w:tcW w:w="659" w:type="pct"/>
            <w:tcBorders>
              <w:top w:val="single" w:sz="4" w:space="0" w:color="auto"/>
            </w:tcBorders>
          </w:tcPr>
          <w:p w:rsidR="004843DB" w:rsidRPr="0062582F" w:rsidRDefault="004843DB" w:rsidP="004843DB">
            <w:pPr>
              <w:pStyle w:val="TableofFigures"/>
              <w:rPr>
                <w:lang w:val="en-GB"/>
              </w:rPr>
            </w:pPr>
            <w:r w:rsidRPr="0062582F">
              <w:rPr>
                <w:lang w:val="en-GB"/>
              </w:rPr>
              <w:t>(986)</w:t>
            </w:r>
          </w:p>
        </w:tc>
        <w:tc>
          <w:tcPr>
            <w:tcW w:w="716" w:type="pct"/>
            <w:tcBorders>
              <w:top w:val="single" w:sz="4" w:space="0" w:color="auto"/>
            </w:tcBorders>
          </w:tcPr>
          <w:p w:rsidR="004843DB" w:rsidRPr="0062582F" w:rsidRDefault="004843DB" w:rsidP="004843DB">
            <w:pPr>
              <w:pStyle w:val="TableofFigures"/>
              <w:rPr>
                <w:lang w:val="en-GB"/>
              </w:rPr>
            </w:pPr>
            <w:r w:rsidRPr="0062582F">
              <w:rPr>
                <w:lang w:val="en-GB"/>
              </w:rPr>
              <w:t>(749)</w:t>
            </w:r>
          </w:p>
        </w:tc>
      </w:tr>
      <w:tr w:rsidR="004843DB" w:rsidRPr="0062582F" w:rsidTr="004843DB">
        <w:trPr>
          <w:cantSplit/>
        </w:trPr>
        <w:tc>
          <w:tcPr>
            <w:tcW w:w="1042" w:type="pct"/>
          </w:tcPr>
          <w:p w:rsidR="004843DB" w:rsidRPr="0062582F" w:rsidRDefault="004843DB" w:rsidP="004843DB">
            <w:pPr>
              <w:pStyle w:val="Tabletext"/>
              <w:rPr>
                <w:b/>
                <w:bCs/>
              </w:rPr>
            </w:pPr>
            <w:r w:rsidRPr="0062582F">
              <w:rPr>
                <w:lang w:val="en-GB"/>
              </w:rPr>
              <w:t>Transfers in (out) of Level 3</w:t>
            </w:r>
          </w:p>
        </w:tc>
        <w:tc>
          <w:tcPr>
            <w:tcW w:w="550" w:type="pct"/>
          </w:tcPr>
          <w:p w:rsidR="004843DB" w:rsidRPr="0062582F" w:rsidRDefault="004843DB" w:rsidP="004843DB">
            <w:pPr>
              <w:pStyle w:val="TableofFigures"/>
            </w:pPr>
            <w:r w:rsidRPr="0062582F">
              <w:rPr>
                <w:lang w:val="en-GB"/>
              </w:rPr>
              <w:t>..</w:t>
            </w:r>
          </w:p>
        </w:tc>
        <w:tc>
          <w:tcPr>
            <w:tcW w:w="550" w:type="pct"/>
          </w:tcPr>
          <w:p w:rsidR="004843DB" w:rsidRPr="0062582F" w:rsidRDefault="004843DB" w:rsidP="004843DB">
            <w:pPr>
              <w:pStyle w:val="TableofFigures"/>
            </w:pPr>
            <w:r w:rsidRPr="0062582F">
              <w:rPr>
                <w:lang w:val="en-GB"/>
              </w:rPr>
              <w:t>..</w:t>
            </w:r>
          </w:p>
        </w:tc>
        <w:tc>
          <w:tcPr>
            <w:tcW w:w="440" w:type="pct"/>
          </w:tcPr>
          <w:p w:rsidR="004843DB" w:rsidRPr="0062582F" w:rsidRDefault="004843DB" w:rsidP="004843DB">
            <w:pPr>
              <w:pStyle w:val="TableofFigures"/>
            </w:pPr>
            <w:r w:rsidRPr="0062582F">
              <w:rPr>
                <w:lang w:val="en-GB"/>
              </w:rPr>
              <w:t>..</w:t>
            </w:r>
          </w:p>
        </w:tc>
        <w:tc>
          <w:tcPr>
            <w:tcW w:w="493" w:type="pct"/>
          </w:tcPr>
          <w:p w:rsidR="004843DB" w:rsidRPr="0062582F" w:rsidRDefault="004843DB" w:rsidP="004843DB">
            <w:pPr>
              <w:pStyle w:val="TableofFigures"/>
            </w:pPr>
            <w:r w:rsidRPr="0062582F">
              <w:t>..</w:t>
            </w:r>
          </w:p>
        </w:tc>
        <w:tc>
          <w:tcPr>
            <w:tcW w:w="550" w:type="pct"/>
          </w:tcPr>
          <w:p w:rsidR="004843DB" w:rsidRPr="0062582F" w:rsidRDefault="004843DB" w:rsidP="004843DB">
            <w:pPr>
              <w:pStyle w:val="TableofFigures"/>
            </w:pPr>
            <w:r w:rsidRPr="0062582F">
              <w:rPr>
                <w:lang w:val="en-GB"/>
              </w:rPr>
              <w:t>..</w:t>
            </w:r>
          </w:p>
        </w:tc>
        <w:tc>
          <w:tcPr>
            <w:tcW w:w="659" w:type="pct"/>
          </w:tcPr>
          <w:p w:rsidR="004843DB" w:rsidRPr="0062582F" w:rsidRDefault="004843DB" w:rsidP="004843DB">
            <w:pPr>
              <w:pStyle w:val="TableofFigures"/>
            </w:pPr>
            <w:r w:rsidRPr="0062582F">
              <w:rPr>
                <w:lang w:val="en-GB"/>
              </w:rPr>
              <w:t>..</w:t>
            </w:r>
          </w:p>
        </w:tc>
        <w:tc>
          <w:tcPr>
            <w:tcW w:w="716" w:type="pct"/>
          </w:tcPr>
          <w:p w:rsidR="004843DB" w:rsidRPr="0062582F" w:rsidRDefault="004843DB" w:rsidP="004843DB">
            <w:pPr>
              <w:pStyle w:val="TableofFigures"/>
            </w:pPr>
            <w:r w:rsidRPr="0062582F">
              <w:rPr>
                <w:lang w:val="en-GB"/>
              </w:rPr>
              <w:t>..</w:t>
            </w:r>
          </w:p>
        </w:tc>
      </w:tr>
      <w:tr w:rsidR="004843DB" w:rsidRPr="0062582F" w:rsidTr="004843DB">
        <w:trPr>
          <w:cantSplit/>
        </w:trPr>
        <w:tc>
          <w:tcPr>
            <w:tcW w:w="5000" w:type="pct"/>
            <w:gridSpan w:val="8"/>
          </w:tcPr>
          <w:p w:rsidR="004843DB" w:rsidRPr="0062582F" w:rsidRDefault="004843DB" w:rsidP="004843DB">
            <w:pPr>
              <w:pStyle w:val="Tabletext"/>
              <w:rPr>
                <w:lang w:val="en-GB"/>
              </w:rPr>
            </w:pPr>
            <w:r w:rsidRPr="0062582F">
              <w:rPr>
                <w:lang w:val="en-GB"/>
              </w:rPr>
              <w:t>Gains or losses recognised in net result</w:t>
            </w:r>
          </w:p>
        </w:tc>
      </w:tr>
      <w:tr w:rsidR="004843DB" w:rsidRPr="0062582F" w:rsidTr="004843DB">
        <w:trPr>
          <w:cantSplit/>
        </w:trPr>
        <w:tc>
          <w:tcPr>
            <w:tcW w:w="1042" w:type="pct"/>
          </w:tcPr>
          <w:p w:rsidR="004843DB" w:rsidRPr="0062582F" w:rsidRDefault="004843DB" w:rsidP="004843DB">
            <w:pPr>
              <w:pStyle w:val="Tabletext"/>
              <w:rPr>
                <w:rFonts w:ascii="Garamond" w:hAnsi="Garamond" w:cs="Tahoma"/>
                <w:lang w:val="en-GB"/>
              </w:rPr>
            </w:pPr>
            <w:r w:rsidRPr="0062582F">
              <w:rPr>
                <w:lang w:val="en-GB"/>
              </w:rPr>
              <w:t>Depreciation</w:t>
            </w:r>
          </w:p>
        </w:tc>
        <w:tc>
          <w:tcPr>
            <w:tcW w:w="550" w:type="pct"/>
          </w:tcPr>
          <w:p w:rsidR="004843DB" w:rsidRPr="0062582F" w:rsidRDefault="004843DB" w:rsidP="004843DB">
            <w:pPr>
              <w:pStyle w:val="TableofFigures"/>
              <w:rPr>
                <w:lang w:val="en-GB"/>
              </w:rPr>
            </w:pPr>
            <w:r w:rsidRPr="0062582F">
              <w:rPr>
                <w:lang w:val="en-GB"/>
              </w:rPr>
              <w:t>..</w:t>
            </w:r>
          </w:p>
        </w:tc>
        <w:tc>
          <w:tcPr>
            <w:tcW w:w="550" w:type="pct"/>
          </w:tcPr>
          <w:p w:rsidR="004843DB" w:rsidRPr="0062582F" w:rsidRDefault="004843DB" w:rsidP="004843DB">
            <w:pPr>
              <w:pStyle w:val="TableofFigures"/>
              <w:rPr>
                <w:lang w:val="en-GB"/>
              </w:rPr>
            </w:pPr>
            <w:r w:rsidRPr="0062582F">
              <w:rPr>
                <w:lang w:val="en-GB"/>
              </w:rPr>
              <w:t>(56)</w:t>
            </w:r>
          </w:p>
        </w:tc>
        <w:tc>
          <w:tcPr>
            <w:tcW w:w="440" w:type="pct"/>
          </w:tcPr>
          <w:p w:rsidR="004843DB" w:rsidRPr="0062582F" w:rsidRDefault="004843DB" w:rsidP="004843DB">
            <w:pPr>
              <w:pStyle w:val="TableofFigures"/>
              <w:rPr>
                <w:lang w:val="en-GB"/>
              </w:rPr>
            </w:pPr>
            <w:r w:rsidRPr="0062582F">
              <w:rPr>
                <w:lang w:val="en-GB"/>
              </w:rPr>
              <w:t>(1 131)</w:t>
            </w:r>
          </w:p>
        </w:tc>
        <w:tc>
          <w:tcPr>
            <w:tcW w:w="493" w:type="pct"/>
          </w:tcPr>
          <w:p w:rsidR="004843DB" w:rsidRPr="0062582F" w:rsidRDefault="004843DB" w:rsidP="004843DB">
            <w:pPr>
              <w:pStyle w:val="TableofFigures"/>
              <w:rPr>
                <w:lang w:val="en-GB"/>
              </w:rPr>
            </w:pPr>
            <w:r w:rsidRPr="0062582F">
              <w:rPr>
                <w:lang w:val="en-GB"/>
              </w:rPr>
              <w:t>(138)</w:t>
            </w:r>
          </w:p>
        </w:tc>
        <w:tc>
          <w:tcPr>
            <w:tcW w:w="550" w:type="pct"/>
          </w:tcPr>
          <w:p w:rsidR="004843DB" w:rsidRPr="0062582F" w:rsidRDefault="004843DB" w:rsidP="004843DB">
            <w:pPr>
              <w:pStyle w:val="TableofFigures"/>
              <w:rPr>
                <w:lang w:val="en-GB"/>
              </w:rPr>
            </w:pPr>
            <w:r w:rsidRPr="0062582F">
              <w:rPr>
                <w:lang w:val="en-GB"/>
              </w:rPr>
              <w:t>(269)</w:t>
            </w:r>
          </w:p>
        </w:tc>
        <w:tc>
          <w:tcPr>
            <w:tcW w:w="659" w:type="pct"/>
          </w:tcPr>
          <w:p w:rsidR="004843DB" w:rsidRPr="0062582F" w:rsidRDefault="004843DB" w:rsidP="004843DB">
            <w:pPr>
              <w:pStyle w:val="TableofFigures"/>
              <w:rPr>
                <w:lang w:val="en-GB"/>
              </w:rPr>
            </w:pPr>
            <w:r w:rsidRPr="0062582F">
              <w:rPr>
                <w:lang w:val="en-GB"/>
              </w:rPr>
              <w:t>(585)</w:t>
            </w:r>
          </w:p>
        </w:tc>
        <w:tc>
          <w:tcPr>
            <w:tcW w:w="716" w:type="pct"/>
          </w:tcPr>
          <w:p w:rsidR="004843DB" w:rsidRPr="0062582F" w:rsidRDefault="004843DB" w:rsidP="004843DB">
            <w:pPr>
              <w:pStyle w:val="TableofFigures"/>
              <w:rPr>
                <w:lang w:val="en-GB"/>
              </w:rPr>
            </w:pPr>
            <w:r w:rsidRPr="0062582F">
              <w:rPr>
                <w:lang w:val="en-GB"/>
              </w:rPr>
              <w:t>(1 217)</w:t>
            </w:r>
          </w:p>
        </w:tc>
      </w:tr>
      <w:tr w:rsidR="004843DB" w:rsidRPr="0062582F" w:rsidTr="004843DB">
        <w:trPr>
          <w:cantSplit/>
        </w:trPr>
        <w:tc>
          <w:tcPr>
            <w:tcW w:w="1042" w:type="pct"/>
            <w:tcBorders>
              <w:bottom w:val="single" w:sz="4" w:space="0" w:color="auto"/>
            </w:tcBorders>
          </w:tcPr>
          <w:p w:rsidR="004843DB" w:rsidRPr="0062582F" w:rsidRDefault="004843DB" w:rsidP="004843DB">
            <w:pPr>
              <w:pStyle w:val="Tabletext"/>
              <w:rPr>
                <w:lang w:val="en-GB"/>
              </w:rPr>
            </w:pPr>
            <w:r w:rsidRPr="0062582F">
              <w:rPr>
                <w:lang w:val="en-GB"/>
              </w:rPr>
              <w:t>Impairment loss</w:t>
            </w:r>
          </w:p>
        </w:tc>
        <w:tc>
          <w:tcPr>
            <w:tcW w:w="550" w:type="pct"/>
            <w:tcBorders>
              <w:bottom w:val="single" w:sz="4" w:space="0" w:color="auto"/>
            </w:tcBorders>
          </w:tcPr>
          <w:p w:rsidR="004843DB" w:rsidRPr="0062582F" w:rsidRDefault="004843DB" w:rsidP="004843DB">
            <w:pPr>
              <w:pStyle w:val="TableofFigures"/>
              <w:rPr>
                <w:lang w:val="en-GB"/>
              </w:rPr>
            </w:pPr>
            <w:r w:rsidRPr="0062582F">
              <w:rPr>
                <w:lang w:val="en-GB"/>
              </w:rPr>
              <w:t>..</w:t>
            </w:r>
          </w:p>
        </w:tc>
        <w:tc>
          <w:tcPr>
            <w:tcW w:w="550" w:type="pct"/>
            <w:tcBorders>
              <w:bottom w:val="single" w:sz="4" w:space="0" w:color="auto"/>
            </w:tcBorders>
          </w:tcPr>
          <w:p w:rsidR="004843DB" w:rsidRPr="0062582F" w:rsidRDefault="004843DB" w:rsidP="004843DB">
            <w:pPr>
              <w:pStyle w:val="TableofFigures"/>
              <w:rPr>
                <w:lang w:val="en-GB"/>
              </w:rPr>
            </w:pPr>
            <w:r w:rsidRPr="0062582F">
              <w:rPr>
                <w:lang w:val="en-GB"/>
              </w:rPr>
              <w:t>(44)</w:t>
            </w:r>
          </w:p>
        </w:tc>
        <w:tc>
          <w:tcPr>
            <w:tcW w:w="440" w:type="pct"/>
            <w:tcBorders>
              <w:bottom w:val="single" w:sz="4" w:space="0" w:color="auto"/>
            </w:tcBorders>
          </w:tcPr>
          <w:p w:rsidR="004843DB" w:rsidRPr="0062582F" w:rsidRDefault="004843DB" w:rsidP="004843DB">
            <w:pPr>
              <w:pStyle w:val="TableofFigures"/>
              <w:rPr>
                <w:lang w:val="en-GB"/>
              </w:rPr>
            </w:pPr>
            <w:r w:rsidRPr="0062582F">
              <w:rPr>
                <w:lang w:val="en-GB"/>
              </w:rPr>
              <w:t>(536)</w:t>
            </w:r>
          </w:p>
        </w:tc>
        <w:tc>
          <w:tcPr>
            <w:tcW w:w="493" w:type="pct"/>
            <w:tcBorders>
              <w:bottom w:val="single" w:sz="4" w:space="0" w:color="auto"/>
            </w:tcBorders>
          </w:tcPr>
          <w:p w:rsidR="004843DB" w:rsidRPr="0062582F" w:rsidRDefault="004843DB" w:rsidP="004843DB">
            <w:pPr>
              <w:pStyle w:val="TableofFigures"/>
              <w:rPr>
                <w:lang w:val="en-GB"/>
              </w:rPr>
            </w:pPr>
            <w:r w:rsidRPr="0062582F">
              <w:rPr>
                <w:lang w:val="en-GB"/>
              </w:rPr>
              <w:t>(113)</w:t>
            </w:r>
          </w:p>
        </w:tc>
        <w:tc>
          <w:tcPr>
            <w:tcW w:w="550" w:type="pct"/>
            <w:tcBorders>
              <w:bottom w:val="single" w:sz="4" w:space="0" w:color="auto"/>
            </w:tcBorders>
          </w:tcPr>
          <w:p w:rsidR="004843DB" w:rsidRPr="0062582F" w:rsidRDefault="004843DB" w:rsidP="004843DB">
            <w:pPr>
              <w:pStyle w:val="TableofFigures"/>
              <w:rPr>
                <w:lang w:val="en-GB"/>
              </w:rPr>
            </w:pPr>
            <w:r w:rsidRPr="0062582F">
              <w:rPr>
                <w:lang w:val="en-GB"/>
              </w:rPr>
              <w:t>..</w:t>
            </w:r>
          </w:p>
        </w:tc>
        <w:tc>
          <w:tcPr>
            <w:tcW w:w="659" w:type="pct"/>
            <w:tcBorders>
              <w:bottom w:val="single" w:sz="4" w:space="0" w:color="auto"/>
            </w:tcBorders>
          </w:tcPr>
          <w:p w:rsidR="004843DB" w:rsidRPr="0062582F" w:rsidRDefault="004843DB" w:rsidP="004843DB">
            <w:pPr>
              <w:pStyle w:val="TableofFigures"/>
              <w:rPr>
                <w:lang w:val="en-GB"/>
              </w:rPr>
            </w:pPr>
            <w:r w:rsidRPr="0062582F">
              <w:rPr>
                <w:lang w:val="en-GB"/>
              </w:rPr>
              <w:t>(673)</w:t>
            </w:r>
          </w:p>
        </w:tc>
        <w:tc>
          <w:tcPr>
            <w:tcW w:w="716" w:type="pct"/>
            <w:tcBorders>
              <w:bottom w:val="single" w:sz="4" w:space="0" w:color="auto"/>
            </w:tcBorders>
          </w:tcPr>
          <w:p w:rsidR="004843DB" w:rsidRPr="0062582F" w:rsidRDefault="004843DB" w:rsidP="004843DB">
            <w:pPr>
              <w:pStyle w:val="TableofFigures"/>
              <w:rPr>
                <w:lang w:val="en-GB"/>
              </w:rPr>
            </w:pPr>
            <w:r w:rsidRPr="0062582F">
              <w:rPr>
                <w:lang w:val="en-GB"/>
              </w:rPr>
              <w:t>(664)</w:t>
            </w:r>
          </w:p>
        </w:tc>
      </w:tr>
      <w:tr w:rsidR="004843DB" w:rsidRPr="0062582F" w:rsidTr="004843DB">
        <w:trPr>
          <w:cantSplit/>
        </w:trPr>
        <w:tc>
          <w:tcPr>
            <w:tcW w:w="1042" w:type="pct"/>
            <w:tcBorders>
              <w:top w:val="single" w:sz="4" w:space="0" w:color="auto"/>
              <w:bottom w:val="single" w:sz="4" w:space="0" w:color="auto"/>
            </w:tcBorders>
          </w:tcPr>
          <w:p w:rsidR="004843DB" w:rsidRPr="0062582F" w:rsidRDefault="004843DB" w:rsidP="004843DB">
            <w:pPr>
              <w:pStyle w:val="Tabletext"/>
              <w:rPr>
                <w:b/>
                <w:lang w:val="en-GB"/>
              </w:rPr>
            </w:pPr>
            <w:r w:rsidRPr="0062582F">
              <w:rPr>
                <w:b/>
                <w:lang w:val="en-GB"/>
              </w:rPr>
              <w:t>Subtotal</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(100)</w:t>
            </w:r>
          </w:p>
        </w:tc>
        <w:tc>
          <w:tcPr>
            <w:tcW w:w="44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(1 667)</w:t>
            </w:r>
          </w:p>
        </w:tc>
        <w:tc>
          <w:tcPr>
            <w:tcW w:w="493"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(251)</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(269)</w:t>
            </w:r>
          </w:p>
        </w:tc>
        <w:tc>
          <w:tcPr>
            <w:tcW w:w="659"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(1 258)</w:t>
            </w:r>
          </w:p>
        </w:tc>
        <w:tc>
          <w:tcPr>
            <w:tcW w:w="716"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(1 881)</w:t>
            </w:r>
          </w:p>
        </w:tc>
      </w:tr>
      <w:tr w:rsidR="004843DB" w:rsidRPr="0062582F" w:rsidTr="004843DB">
        <w:trPr>
          <w:cantSplit/>
        </w:trPr>
        <w:tc>
          <w:tcPr>
            <w:tcW w:w="5000" w:type="pct"/>
            <w:gridSpan w:val="8"/>
            <w:tcBorders>
              <w:top w:val="single" w:sz="4" w:space="0" w:color="auto"/>
            </w:tcBorders>
          </w:tcPr>
          <w:p w:rsidR="004843DB" w:rsidRPr="0062582F" w:rsidRDefault="004843DB" w:rsidP="004843DB">
            <w:pPr>
              <w:pStyle w:val="Tabletext"/>
              <w:rPr>
                <w:rFonts w:ascii="Garamond" w:hAnsi="Garamond" w:cs="Tahoma"/>
                <w:lang w:val="en-GB"/>
              </w:rPr>
            </w:pPr>
            <w:r w:rsidRPr="0062582F">
              <w:rPr>
                <w:lang w:val="en-GB"/>
              </w:rPr>
              <w:t>Gains or losses recognised in other economic flows – other comprehensive income</w:t>
            </w:r>
          </w:p>
        </w:tc>
      </w:tr>
      <w:tr w:rsidR="004843DB" w:rsidRPr="0062582F" w:rsidTr="004843DB">
        <w:trPr>
          <w:cantSplit/>
        </w:trPr>
        <w:tc>
          <w:tcPr>
            <w:tcW w:w="1042" w:type="pct"/>
            <w:tcBorders>
              <w:bottom w:val="single" w:sz="4" w:space="0" w:color="auto"/>
            </w:tcBorders>
          </w:tcPr>
          <w:p w:rsidR="004843DB" w:rsidRPr="0062582F" w:rsidRDefault="004843DB" w:rsidP="004843DB">
            <w:pPr>
              <w:pStyle w:val="Tabletext"/>
              <w:rPr>
                <w:lang w:val="en-GB"/>
              </w:rPr>
            </w:pPr>
            <w:r w:rsidRPr="0062582F">
              <w:rPr>
                <w:lang w:val="en-GB"/>
              </w:rPr>
              <w:t>Revaluation</w:t>
            </w:r>
          </w:p>
        </w:tc>
        <w:tc>
          <w:tcPr>
            <w:tcW w:w="550" w:type="pct"/>
            <w:tcBorders>
              <w:bottom w:val="single" w:sz="4" w:space="0" w:color="auto"/>
            </w:tcBorders>
          </w:tcPr>
          <w:p w:rsidR="004843DB" w:rsidRPr="0062582F" w:rsidRDefault="004843DB" w:rsidP="004843DB">
            <w:pPr>
              <w:pStyle w:val="Tabletext"/>
              <w:jc w:val="right"/>
              <w:rPr>
                <w:lang w:val="en-GB"/>
              </w:rPr>
            </w:pPr>
            <w:r w:rsidRPr="0062582F">
              <w:rPr>
                <w:lang w:val="en-GB"/>
              </w:rPr>
              <w:t>(299)</w:t>
            </w:r>
          </w:p>
        </w:tc>
        <w:tc>
          <w:tcPr>
            <w:tcW w:w="550" w:type="pct"/>
            <w:tcBorders>
              <w:bottom w:val="single" w:sz="4" w:space="0" w:color="auto"/>
            </w:tcBorders>
          </w:tcPr>
          <w:p w:rsidR="004843DB" w:rsidRPr="0062582F" w:rsidRDefault="004843DB" w:rsidP="004843DB">
            <w:pPr>
              <w:pStyle w:val="Tabletext"/>
              <w:jc w:val="right"/>
              <w:rPr>
                <w:lang w:val="en-GB"/>
              </w:rPr>
            </w:pPr>
            <w:r w:rsidRPr="0062582F">
              <w:rPr>
                <w:lang w:val="en-GB"/>
              </w:rPr>
              <w:t>(72)</w:t>
            </w:r>
          </w:p>
        </w:tc>
        <w:tc>
          <w:tcPr>
            <w:tcW w:w="440" w:type="pct"/>
            <w:tcBorders>
              <w:bottom w:val="single" w:sz="4" w:space="0" w:color="auto"/>
            </w:tcBorders>
          </w:tcPr>
          <w:p w:rsidR="004843DB" w:rsidRPr="0062582F" w:rsidRDefault="004843DB" w:rsidP="004843DB">
            <w:pPr>
              <w:pStyle w:val="Tabletext"/>
              <w:jc w:val="right"/>
              <w:rPr>
                <w:lang w:val="en-GB"/>
              </w:rPr>
            </w:pPr>
            <w:r w:rsidRPr="0062582F">
              <w:rPr>
                <w:lang w:val="en-GB"/>
              </w:rPr>
              <w:t>(1 293)</w:t>
            </w:r>
          </w:p>
        </w:tc>
        <w:tc>
          <w:tcPr>
            <w:tcW w:w="493" w:type="pct"/>
            <w:tcBorders>
              <w:bottom w:val="single" w:sz="4" w:space="0" w:color="auto"/>
            </w:tcBorders>
          </w:tcPr>
          <w:p w:rsidR="004843DB" w:rsidRPr="0062582F" w:rsidRDefault="004843DB" w:rsidP="004843DB">
            <w:pPr>
              <w:pStyle w:val="Tabletext"/>
              <w:jc w:val="right"/>
              <w:rPr>
                <w:lang w:val="en-GB"/>
              </w:rPr>
            </w:pPr>
            <w:r w:rsidRPr="0062582F">
              <w:rPr>
                <w:lang w:val="en-GB"/>
              </w:rPr>
              <w:t>..</w:t>
            </w:r>
          </w:p>
        </w:tc>
        <w:tc>
          <w:tcPr>
            <w:tcW w:w="550" w:type="pct"/>
            <w:tcBorders>
              <w:bottom w:val="single" w:sz="4" w:space="0" w:color="auto"/>
            </w:tcBorders>
          </w:tcPr>
          <w:p w:rsidR="004843DB" w:rsidRPr="0062582F" w:rsidRDefault="004843DB" w:rsidP="004843DB">
            <w:pPr>
              <w:pStyle w:val="Tabletext"/>
              <w:jc w:val="right"/>
              <w:rPr>
                <w:lang w:val="en-GB"/>
              </w:rPr>
            </w:pPr>
            <w:r w:rsidRPr="0062582F">
              <w:rPr>
                <w:lang w:val="en-GB"/>
              </w:rPr>
              <w:t>..</w:t>
            </w:r>
          </w:p>
        </w:tc>
        <w:tc>
          <w:tcPr>
            <w:tcW w:w="659" w:type="pct"/>
            <w:tcBorders>
              <w:bottom w:val="single" w:sz="4" w:space="0" w:color="auto"/>
            </w:tcBorders>
          </w:tcPr>
          <w:p w:rsidR="004843DB" w:rsidRPr="0062582F" w:rsidRDefault="004843DB" w:rsidP="004843DB">
            <w:pPr>
              <w:pStyle w:val="Tabletext"/>
              <w:jc w:val="right"/>
              <w:rPr>
                <w:lang w:val="en-GB"/>
              </w:rPr>
            </w:pPr>
            <w:r w:rsidRPr="0062582F">
              <w:rPr>
                <w:lang w:val="en-GB"/>
              </w:rPr>
              <w:t>(592)</w:t>
            </w:r>
          </w:p>
        </w:tc>
        <w:tc>
          <w:tcPr>
            <w:tcW w:w="716" w:type="pct"/>
            <w:tcBorders>
              <w:bottom w:val="single" w:sz="4" w:space="0" w:color="auto"/>
            </w:tcBorders>
          </w:tcPr>
          <w:p w:rsidR="004843DB" w:rsidRPr="0062582F" w:rsidRDefault="004843DB" w:rsidP="004843DB">
            <w:pPr>
              <w:pStyle w:val="Tabletext"/>
              <w:jc w:val="right"/>
              <w:rPr>
                <w:lang w:val="en-GB"/>
              </w:rPr>
            </w:pPr>
            <w:r w:rsidRPr="0062582F">
              <w:rPr>
                <w:lang w:val="en-GB"/>
              </w:rPr>
              <w:t>(852)</w:t>
            </w:r>
          </w:p>
        </w:tc>
      </w:tr>
      <w:tr w:rsidR="004843DB" w:rsidRPr="0062582F" w:rsidTr="004843DB">
        <w:trPr>
          <w:cantSplit/>
        </w:trPr>
        <w:tc>
          <w:tcPr>
            <w:tcW w:w="1042" w:type="pct"/>
            <w:tcBorders>
              <w:top w:val="single" w:sz="4" w:space="0" w:color="auto"/>
              <w:bottom w:val="single" w:sz="4" w:space="0" w:color="auto"/>
            </w:tcBorders>
          </w:tcPr>
          <w:p w:rsidR="004843DB" w:rsidRPr="0062582F" w:rsidRDefault="004843DB" w:rsidP="004843DB">
            <w:pPr>
              <w:pStyle w:val="Tabletext"/>
              <w:rPr>
                <w:b/>
                <w:lang w:val="en-GB"/>
              </w:rPr>
            </w:pPr>
            <w:r w:rsidRPr="0062582F">
              <w:rPr>
                <w:b/>
                <w:lang w:val="en-GB"/>
              </w:rPr>
              <w:t>Subtotal</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(299)</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(72)</w:t>
            </w:r>
          </w:p>
        </w:tc>
        <w:tc>
          <w:tcPr>
            <w:tcW w:w="44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(1 293)</w:t>
            </w:r>
          </w:p>
        </w:tc>
        <w:tc>
          <w:tcPr>
            <w:tcW w:w="493"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w:t>
            </w:r>
          </w:p>
        </w:tc>
        <w:tc>
          <w:tcPr>
            <w:tcW w:w="659"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(592)</w:t>
            </w:r>
          </w:p>
        </w:tc>
        <w:tc>
          <w:tcPr>
            <w:tcW w:w="716"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(852)</w:t>
            </w:r>
          </w:p>
        </w:tc>
      </w:tr>
      <w:tr w:rsidR="004843DB" w:rsidRPr="0062582F" w:rsidTr="004843DB">
        <w:trPr>
          <w:cantSplit/>
        </w:trPr>
        <w:tc>
          <w:tcPr>
            <w:tcW w:w="1042" w:type="pct"/>
            <w:tcBorders>
              <w:top w:val="single" w:sz="4" w:space="0" w:color="auto"/>
              <w:bottom w:val="single" w:sz="4" w:space="0" w:color="auto"/>
            </w:tcBorders>
          </w:tcPr>
          <w:p w:rsidR="004843DB" w:rsidRPr="0062582F" w:rsidRDefault="004843DB" w:rsidP="004843DB">
            <w:pPr>
              <w:pStyle w:val="Tabletext"/>
              <w:rPr>
                <w:b/>
                <w:bCs/>
              </w:rPr>
            </w:pPr>
            <w:r w:rsidRPr="0062582F">
              <w:rPr>
                <w:b/>
                <w:bCs/>
              </w:rPr>
              <w:t>Closing balance</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2 534</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4 595</w:t>
            </w:r>
          </w:p>
        </w:tc>
        <w:tc>
          <w:tcPr>
            <w:tcW w:w="44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12 553</w:t>
            </w:r>
          </w:p>
        </w:tc>
        <w:tc>
          <w:tcPr>
            <w:tcW w:w="493"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15 231</w:t>
            </w:r>
          </w:p>
        </w:tc>
        <w:tc>
          <w:tcPr>
            <w:tcW w:w="550"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27 788</w:t>
            </w:r>
          </w:p>
        </w:tc>
        <w:tc>
          <w:tcPr>
            <w:tcW w:w="659"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4 931</w:t>
            </w:r>
          </w:p>
        </w:tc>
        <w:tc>
          <w:tcPr>
            <w:tcW w:w="716" w:type="pct"/>
            <w:tcBorders>
              <w:top w:val="single" w:sz="4" w:space="0" w:color="auto"/>
              <w:bottom w:val="single" w:sz="4" w:space="0" w:color="auto"/>
            </w:tcBorders>
          </w:tcPr>
          <w:p w:rsidR="004843DB" w:rsidRPr="0062582F" w:rsidRDefault="004843DB" w:rsidP="004843DB">
            <w:pPr>
              <w:pStyle w:val="Tabletext"/>
              <w:jc w:val="right"/>
              <w:rPr>
                <w:b/>
                <w:lang w:val="en-GB"/>
              </w:rPr>
            </w:pPr>
            <w:r w:rsidRPr="0062582F">
              <w:rPr>
                <w:b/>
                <w:lang w:val="en-GB"/>
              </w:rPr>
              <w:t>4 993</w:t>
            </w:r>
          </w:p>
        </w:tc>
      </w:tr>
      <w:tr w:rsidR="004843DB" w:rsidRPr="0062582F" w:rsidTr="004843DB">
        <w:trPr>
          <w:cantSplit/>
        </w:trPr>
        <w:tc>
          <w:tcPr>
            <w:tcW w:w="1042" w:type="pct"/>
            <w:tcBorders>
              <w:top w:val="single" w:sz="4" w:space="0" w:color="auto"/>
              <w:bottom w:val="single" w:sz="12" w:space="0" w:color="auto"/>
            </w:tcBorders>
            <w:shd w:val="clear" w:color="auto" w:fill="CBCBCB"/>
          </w:tcPr>
          <w:p w:rsidR="004843DB" w:rsidRPr="0062582F" w:rsidRDefault="004843DB" w:rsidP="004843DB">
            <w:pPr>
              <w:pStyle w:val="Tabletext"/>
              <w:rPr>
                <w:b/>
                <w:bCs/>
              </w:rPr>
            </w:pPr>
            <w:r w:rsidRPr="0062582F">
              <w:rPr>
                <w:lang w:val="en-GB"/>
              </w:rPr>
              <w:t>Unrealised gains/(losses) on non</w:t>
            </w:r>
            <w:r w:rsidR="005A4BB0">
              <w:rPr>
                <w:lang w:val="en-GB"/>
              </w:rPr>
              <w:noBreakHyphen/>
            </w:r>
            <w:r w:rsidRPr="0062582F">
              <w:rPr>
                <w:lang w:val="en-GB"/>
              </w:rPr>
              <w:t xml:space="preserve">financial assets </w:t>
            </w:r>
            <w:r w:rsidRPr="0062582F">
              <w:rPr>
                <w:vertAlign w:val="superscript"/>
                <w:lang w:val="en-GB"/>
              </w:rPr>
              <w:t>(i)</w:t>
            </w:r>
          </w:p>
        </w:tc>
        <w:tc>
          <w:tcPr>
            <w:tcW w:w="550"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c>
          <w:tcPr>
            <w:tcW w:w="550"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c>
          <w:tcPr>
            <w:tcW w:w="440"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c>
          <w:tcPr>
            <w:tcW w:w="493" w:type="pct"/>
            <w:tcBorders>
              <w:top w:val="single" w:sz="4" w:space="0" w:color="auto"/>
              <w:bottom w:val="single" w:sz="12" w:space="0" w:color="auto"/>
            </w:tcBorders>
            <w:shd w:val="clear" w:color="auto" w:fill="CBCBCB"/>
          </w:tcPr>
          <w:p w:rsidR="004843DB" w:rsidRPr="0062582F" w:rsidRDefault="004843DB" w:rsidP="004843DB">
            <w:pPr>
              <w:pStyle w:val="Tabletext"/>
              <w:jc w:val="right"/>
            </w:pPr>
            <w:r w:rsidRPr="0062582F">
              <w:rPr>
                <w:lang w:val="en-GB"/>
              </w:rPr>
              <w:t>..</w:t>
            </w:r>
          </w:p>
        </w:tc>
        <w:tc>
          <w:tcPr>
            <w:tcW w:w="550"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c>
          <w:tcPr>
            <w:tcW w:w="659"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c>
          <w:tcPr>
            <w:tcW w:w="716" w:type="pct"/>
            <w:tcBorders>
              <w:top w:val="single" w:sz="4" w:space="0" w:color="auto"/>
              <w:bottom w:val="single" w:sz="12" w:space="0" w:color="auto"/>
            </w:tcBorders>
            <w:shd w:val="clear" w:color="auto" w:fill="CBCBCB"/>
          </w:tcPr>
          <w:p w:rsidR="004843DB" w:rsidRPr="0062582F" w:rsidRDefault="004843DB" w:rsidP="004843DB">
            <w:pPr>
              <w:pStyle w:val="Tabletext"/>
              <w:jc w:val="right"/>
              <w:rPr>
                <w:lang w:val="en-GB"/>
              </w:rPr>
            </w:pPr>
            <w:r w:rsidRPr="0062582F">
              <w:rPr>
                <w:lang w:val="en-GB"/>
              </w:rPr>
              <w:t>..</w:t>
            </w:r>
          </w:p>
        </w:tc>
      </w:tr>
    </w:tbl>
    <w:p w:rsidR="004843DB" w:rsidRPr="0062582F" w:rsidRDefault="004843DB" w:rsidP="004843DB">
      <w:pPr>
        <w:pStyle w:val="Notes"/>
        <w:rPr>
          <w:lang w:val="en-GB"/>
        </w:rPr>
      </w:pPr>
      <w:r w:rsidRPr="0062582F">
        <w:rPr>
          <w:lang w:val="en-GB"/>
        </w:rPr>
        <w:t>Note:</w:t>
      </w:r>
    </w:p>
    <w:p w:rsidR="004843DB" w:rsidRPr="0062582F" w:rsidRDefault="004843DB" w:rsidP="004843DB">
      <w:pPr>
        <w:pStyle w:val="Notes"/>
        <w:rPr>
          <w:color w:val="0000FF"/>
          <w:lang w:val="en-GB"/>
        </w:rPr>
      </w:pPr>
      <w:r w:rsidRPr="0062582F">
        <w:rPr>
          <w:color w:val="0000FF"/>
          <w:lang w:val="en-GB"/>
        </w:rPr>
        <w:t>(i)</w:t>
      </w:r>
      <w:r w:rsidRPr="0062582F">
        <w:rPr>
          <w:color w:val="0000FF"/>
          <w:lang w:val="en-GB"/>
        </w:rPr>
        <w:tab/>
        <w:t>[Please note that AASB 2015</w:t>
      </w:r>
      <w:r w:rsidR="005A4BB0">
        <w:rPr>
          <w:color w:val="0000FF"/>
          <w:lang w:val="en-GB"/>
        </w:rPr>
        <w:noBreakHyphen/>
      </w:r>
      <w:r w:rsidRPr="0062582F">
        <w:rPr>
          <w:color w:val="0000FF"/>
          <w:lang w:val="en-GB"/>
        </w:rPr>
        <w:t>7 Fair Value Disclosures of Not</w:t>
      </w:r>
      <w:r w:rsidR="005A4BB0">
        <w:rPr>
          <w:color w:val="0000FF"/>
          <w:lang w:val="en-GB"/>
        </w:rPr>
        <w:noBreakHyphen/>
      </w:r>
      <w:r w:rsidRPr="0062582F">
        <w:rPr>
          <w:color w:val="0000FF"/>
          <w:lang w:val="en-GB"/>
        </w:rPr>
        <w:t>for</w:t>
      </w:r>
      <w:r w:rsidR="005A4BB0">
        <w:rPr>
          <w:color w:val="0000FF"/>
          <w:lang w:val="en-GB"/>
        </w:rPr>
        <w:noBreakHyphen/>
      </w:r>
      <w:r w:rsidRPr="0062582F">
        <w:rPr>
          <w:color w:val="0000FF"/>
          <w:lang w:val="en-GB"/>
        </w:rPr>
        <w:t>Profit Public Sector Entities, which is operative from 1 July 2016 provides an exemption for not</w:t>
      </w:r>
      <w:r w:rsidR="005A4BB0">
        <w:rPr>
          <w:color w:val="0000FF"/>
          <w:lang w:val="en-GB"/>
        </w:rPr>
        <w:noBreakHyphen/>
      </w:r>
      <w:r w:rsidRPr="0062582F">
        <w:rPr>
          <w:color w:val="0000FF"/>
          <w:lang w:val="en-GB"/>
        </w:rPr>
        <w:t>for</w:t>
      </w:r>
      <w:r w:rsidR="005A4BB0">
        <w:rPr>
          <w:color w:val="0000FF"/>
          <w:lang w:val="en-GB"/>
        </w:rPr>
        <w:noBreakHyphen/>
      </w:r>
      <w:r w:rsidRPr="0062582F">
        <w:rPr>
          <w:color w:val="0000FF"/>
          <w:lang w:val="en-GB"/>
        </w:rPr>
        <w:t xml:space="preserve">profit public sector entities from disclosing the shaded row relating to </w:t>
      </w:r>
      <w:r w:rsidR="005A4BB0">
        <w:rPr>
          <w:color w:val="0000FF"/>
          <w:lang w:val="en-GB"/>
        </w:rPr>
        <w:t>‘</w:t>
      </w:r>
      <w:r w:rsidRPr="0062582F">
        <w:rPr>
          <w:color w:val="0000FF"/>
          <w:lang w:val="en-GB"/>
        </w:rPr>
        <w:t>unrealised gains/(losses) on non</w:t>
      </w:r>
      <w:r w:rsidR="005A4BB0">
        <w:rPr>
          <w:color w:val="0000FF"/>
          <w:lang w:val="en-GB"/>
        </w:rPr>
        <w:noBreakHyphen/>
      </w:r>
      <w:r w:rsidRPr="0062582F">
        <w:rPr>
          <w:color w:val="0000FF"/>
          <w:lang w:val="en-GB"/>
        </w:rPr>
        <w:t>financial assets</w:t>
      </w:r>
      <w:r w:rsidR="005A4BB0">
        <w:rPr>
          <w:color w:val="0000FF"/>
          <w:lang w:val="en-GB"/>
        </w:rPr>
        <w:t>’</w:t>
      </w:r>
      <w:r w:rsidRPr="0062582F">
        <w:rPr>
          <w:color w:val="0000FF"/>
          <w:lang w:val="en-GB"/>
        </w:rPr>
        <w:t xml:space="preserve"> if the assets are held primarily for their current service potential rather than to generate net cash inflows. Please note that the State early adopted AASB 2015</w:t>
      </w:r>
      <w:r w:rsidR="005A4BB0">
        <w:rPr>
          <w:color w:val="0000FF"/>
          <w:lang w:val="en-GB"/>
        </w:rPr>
        <w:noBreakHyphen/>
      </w:r>
      <w:r w:rsidRPr="0062582F">
        <w:rPr>
          <w:color w:val="0000FF"/>
          <w:lang w:val="en-GB"/>
        </w:rPr>
        <w:t>7 in the 2014</w:t>
      </w:r>
      <w:r w:rsidR="005A4BB0">
        <w:rPr>
          <w:color w:val="0000FF"/>
          <w:lang w:val="en-GB"/>
        </w:rPr>
        <w:noBreakHyphen/>
      </w:r>
      <w:r w:rsidRPr="0062582F">
        <w:rPr>
          <w:color w:val="0000FF"/>
          <w:lang w:val="en-GB"/>
        </w:rPr>
        <w:t>15 reporting period and gave not</w:t>
      </w:r>
      <w:r w:rsidR="005A4BB0">
        <w:rPr>
          <w:color w:val="0000FF"/>
          <w:lang w:val="en-GB"/>
        </w:rPr>
        <w:noBreakHyphen/>
      </w:r>
      <w:r w:rsidRPr="0062582F">
        <w:rPr>
          <w:color w:val="0000FF"/>
          <w:lang w:val="en-GB"/>
        </w:rPr>
        <w:t>for</w:t>
      </w:r>
      <w:r w:rsidR="005A4BB0">
        <w:rPr>
          <w:color w:val="0000FF"/>
          <w:lang w:val="en-GB"/>
        </w:rPr>
        <w:noBreakHyphen/>
      </w:r>
      <w:r w:rsidRPr="0062582F">
        <w:rPr>
          <w:color w:val="0000FF"/>
          <w:lang w:val="en-GB"/>
        </w:rPr>
        <w:t>profit entities the option to early adopt this amending standard last year. As a result, all not</w:t>
      </w:r>
      <w:r w:rsidR="005A4BB0">
        <w:rPr>
          <w:color w:val="0000FF"/>
          <w:lang w:val="en-GB"/>
        </w:rPr>
        <w:noBreakHyphen/>
      </w:r>
      <w:r w:rsidRPr="0062582F">
        <w:rPr>
          <w:color w:val="0000FF"/>
          <w:lang w:val="en-GB"/>
        </w:rPr>
        <w:t>for</w:t>
      </w:r>
      <w:r w:rsidR="005A4BB0">
        <w:rPr>
          <w:color w:val="0000FF"/>
          <w:lang w:val="en-GB"/>
        </w:rPr>
        <w:noBreakHyphen/>
      </w:r>
      <w:r w:rsidRPr="0062582F">
        <w:rPr>
          <w:color w:val="0000FF"/>
          <w:lang w:val="en-GB"/>
        </w:rPr>
        <w:t>profit entities must now comply this amending standard for the current financial year. This amending standard is not applicable for assets that are held for cash generating purposes. Not</w:t>
      </w:r>
      <w:r w:rsidR="005A4BB0">
        <w:rPr>
          <w:color w:val="0000FF"/>
          <w:lang w:val="en-GB"/>
        </w:rPr>
        <w:noBreakHyphen/>
      </w:r>
      <w:r w:rsidRPr="0062582F">
        <w:rPr>
          <w:color w:val="0000FF"/>
          <w:lang w:val="en-GB"/>
        </w:rPr>
        <w:t>for</w:t>
      </w:r>
      <w:r w:rsidR="005A4BB0">
        <w:rPr>
          <w:color w:val="0000FF"/>
          <w:lang w:val="en-GB"/>
        </w:rPr>
        <w:noBreakHyphen/>
      </w:r>
      <w:r w:rsidRPr="0062582F">
        <w:rPr>
          <w:color w:val="0000FF"/>
          <w:lang w:val="en-GB"/>
        </w:rPr>
        <w:t>profit entities that have assets generating net cash inflows will still need to disclose the information in the shaded row.]</w:t>
      </w:r>
    </w:p>
    <w:p w:rsidR="004843DB" w:rsidRPr="0062582F" w:rsidRDefault="004843DB" w:rsidP="004843DB">
      <w:pPr>
        <w:pStyle w:val="ReferenceRed"/>
        <w:spacing w:before="180"/>
        <w:rPr>
          <w:color w:val="0000FF"/>
        </w:rPr>
      </w:pPr>
      <w:r w:rsidRPr="0062582F">
        <w:rPr>
          <w:color w:val="0000FF"/>
        </w:rPr>
        <w:br w:type="column"/>
        <w:t>AASB 13.93(h)(i)</w:t>
      </w:r>
    </w:p>
    <w:p w:rsidR="004843DB" w:rsidRPr="0062582F" w:rsidRDefault="004843DB" w:rsidP="004843DB">
      <w:pPr>
        <w:pStyle w:val="ReferenceRed"/>
        <w:spacing w:before="180"/>
      </w:pPr>
      <w:r w:rsidRPr="0062582F">
        <w:t>Revised</w:t>
      </w:r>
    </w:p>
    <w:p w:rsidR="004843DB" w:rsidRPr="0062582F" w:rsidRDefault="004843DB" w:rsidP="004843DB">
      <w:pPr>
        <w:pStyle w:val="NoteHeadingcontinued"/>
        <w:rPr>
          <w:rFonts w:cstheme="minorHAnsi"/>
          <w:color w:val="000000"/>
        </w:rPr>
      </w:pPr>
      <w:r w:rsidRPr="0062582F">
        <w:rPr>
          <w:rFonts w:cstheme="minorHAnsi"/>
          <w:color w:val="000000"/>
        </w:rPr>
        <w:br w:type="column"/>
      </w:r>
      <w:bookmarkStart w:id="455" w:name="_Toc163448780"/>
      <w:r w:rsidRPr="0062582F">
        <w:t>Note 17.</w:t>
      </w:r>
      <w:r w:rsidRPr="0062582F">
        <w:tab/>
        <w:t xml:space="preserve">Property, plant and equipment </w:t>
      </w:r>
      <w:r w:rsidRPr="0062582F">
        <w:rPr>
          <w:i/>
        </w:rPr>
        <w:t>(continued)</w:t>
      </w:r>
    </w:p>
    <w:p w:rsidR="004843DB" w:rsidRPr="0062582F" w:rsidRDefault="004843DB" w:rsidP="00E348C3">
      <w:pPr>
        <w:pStyle w:val="Tableheading"/>
        <w:rPr>
          <w:rFonts w:cstheme="minorHAnsi"/>
          <w:color w:val="000000"/>
          <w:lang w:val="en-GB"/>
        </w:rPr>
      </w:pPr>
      <w:r w:rsidRPr="0062582F">
        <w:t>Table 17.11:</w:t>
      </w:r>
      <w:r w:rsidRPr="0062582F">
        <w:tab/>
        <w:t>Description of significant unobservable inputs to Level 3 valuations for 2016 and 2015</w:t>
      </w:r>
    </w:p>
    <w:tbl>
      <w:tblPr>
        <w:tblStyle w:val="TableGrid"/>
        <w:tblW w:w="269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035"/>
        <w:gridCol w:w="1079"/>
        <w:gridCol w:w="1712"/>
        <w:gridCol w:w="1437"/>
        <w:gridCol w:w="2970"/>
      </w:tblGrid>
      <w:tr w:rsidR="004843DB" w:rsidRPr="0062582F" w:rsidTr="004843DB">
        <w:trPr>
          <w:cantSplit/>
        </w:trPr>
        <w:tc>
          <w:tcPr>
            <w:tcW w:w="628" w:type="pct"/>
            <w:tcBorders>
              <w:top w:val="single" w:sz="6" w:space="0" w:color="auto"/>
              <w:bottom w:val="single" w:sz="6" w:space="0" w:color="auto"/>
            </w:tcBorders>
            <w:shd w:val="solid" w:color="EAEAEA" w:fill="EAEAEA"/>
          </w:tcPr>
          <w:p w:rsidR="004843DB" w:rsidRPr="0062582F" w:rsidRDefault="004843DB" w:rsidP="004843DB">
            <w:pPr>
              <w:pStyle w:val="TabletextheadingLeft"/>
              <w:spacing w:before="0" w:after="0"/>
              <w:rPr>
                <w:sz w:val="16"/>
                <w:szCs w:val="16"/>
              </w:rPr>
            </w:pPr>
            <w:r w:rsidRPr="0062582F">
              <w:rPr>
                <w:sz w:val="16"/>
                <w:szCs w:val="16"/>
              </w:rPr>
              <w:t>2016 and 2015</w:t>
            </w:r>
          </w:p>
        </w:tc>
        <w:tc>
          <w:tcPr>
            <w:tcW w:w="655" w:type="pct"/>
            <w:tcBorders>
              <w:top w:val="single" w:sz="6" w:space="0" w:color="auto"/>
              <w:bottom w:val="single" w:sz="6" w:space="0" w:color="auto"/>
            </w:tcBorders>
            <w:shd w:val="solid" w:color="EAEAEA" w:fill="EAEAEA"/>
          </w:tcPr>
          <w:p w:rsidR="004843DB" w:rsidRPr="0062582F" w:rsidRDefault="004843DB" w:rsidP="004843DB">
            <w:pPr>
              <w:pStyle w:val="TabletextheadingLeft"/>
              <w:spacing w:before="0" w:after="0"/>
              <w:rPr>
                <w:rFonts w:asciiTheme="minorHAnsi" w:hAnsiTheme="minorHAnsi" w:cstheme="minorHAnsi"/>
                <w:sz w:val="16"/>
                <w:szCs w:val="16"/>
              </w:rPr>
            </w:pPr>
            <w:r w:rsidRPr="0062582F">
              <w:rPr>
                <w:rFonts w:asciiTheme="minorHAnsi" w:hAnsiTheme="minorHAnsi" w:cstheme="minorHAnsi"/>
                <w:sz w:val="16"/>
                <w:szCs w:val="16"/>
              </w:rPr>
              <w:t xml:space="preserve">Valuation technique </w:t>
            </w:r>
            <w:r w:rsidRPr="0062582F">
              <w:rPr>
                <w:rFonts w:asciiTheme="minorHAnsi" w:hAnsiTheme="minorHAnsi" w:cstheme="minorHAnsi"/>
                <w:sz w:val="16"/>
                <w:szCs w:val="16"/>
                <w:vertAlign w:val="superscript"/>
              </w:rPr>
              <w:t>(i)</w:t>
            </w:r>
          </w:p>
        </w:tc>
        <w:tc>
          <w:tcPr>
            <w:tcW w:w="1040" w:type="pct"/>
            <w:tcBorders>
              <w:top w:val="single" w:sz="6" w:space="0" w:color="auto"/>
              <w:bottom w:val="single" w:sz="6" w:space="0" w:color="auto"/>
            </w:tcBorders>
            <w:shd w:val="solid" w:color="EAEAEA" w:fill="EAEAEA"/>
          </w:tcPr>
          <w:p w:rsidR="004843DB" w:rsidRPr="0062582F" w:rsidRDefault="004843DB" w:rsidP="004843DB">
            <w:pPr>
              <w:pStyle w:val="TabletextheadingLeft"/>
              <w:spacing w:before="0" w:after="0"/>
              <w:rPr>
                <w:rFonts w:asciiTheme="minorHAnsi" w:hAnsiTheme="minorHAnsi" w:cstheme="minorHAnsi"/>
                <w:sz w:val="16"/>
                <w:szCs w:val="16"/>
              </w:rPr>
            </w:pPr>
            <w:r w:rsidRPr="0062582F">
              <w:rPr>
                <w:rFonts w:asciiTheme="minorHAnsi" w:hAnsiTheme="minorHAnsi" w:cstheme="minorHAnsi"/>
                <w:sz w:val="16"/>
                <w:szCs w:val="16"/>
              </w:rPr>
              <w:t xml:space="preserve">Significant </w:t>
            </w:r>
            <w:r w:rsidRPr="0062582F">
              <w:rPr>
                <w:rFonts w:asciiTheme="minorHAnsi" w:hAnsiTheme="minorHAnsi" w:cstheme="minorHAnsi"/>
                <w:sz w:val="16"/>
                <w:szCs w:val="16"/>
              </w:rPr>
              <w:br/>
              <w:t xml:space="preserve">unobservable inputs </w:t>
            </w:r>
            <w:r w:rsidRPr="0062582F">
              <w:rPr>
                <w:rFonts w:asciiTheme="minorHAnsi" w:hAnsiTheme="minorHAnsi" w:cstheme="minorHAnsi"/>
                <w:sz w:val="16"/>
                <w:szCs w:val="16"/>
                <w:vertAlign w:val="superscript"/>
              </w:rPr>
              <w:t>(i)</w:t>
            </w:r>
          </w:p>
        </w:tc>
        <w:tc>
          <w:tcPr>
            <w:tcW w:w="873" w:type="pct"/>
            <w:tcBorders>
              <w:top w:val="single" w:sz="4" w:space="0" w:color="auto"/>
            </w:tcBorders>
            <w:shd w:val="clear" w:color="auto" w:fill="CBCBCB"/>
          </w:tcPr>
          <w:p w:rsidR="004843DB" w:rsidRPr="0062582F" w:rsidRDefault="004843DB" w:rsidP="004843DB">
            <w:pPr>
              <w:pStyle w:val="TabletextheadingLeft"/>
              <w:spacing w:before="0" w:after="0"/>
              <w:rPr>
                <w:rFonts w:asciiTheme="minorHAnsi" w:hAnsiTheme="minorHAnsi" w:cstheme="minorHAnsi"/>
                <w:sz w:val="16"/>
                <w:szCs w:val="16"/>
              </w:rPr>
            </w:pPr>
            <w:r w:rsidRPr="0062582F">
              <w:rPr>
                <w:rFonts w:asciiTheme="minorHAnsi" w:hAnsiTheme="minorHAnsi" w:cstheme="minorHAnsi"/>
                <w:sz w:val="16"/>
                <w:szCs w:val="16"/>
              </w:rPr>
              <w:t xml:space="preserve">Range (weighted average) </w:t>
            </w:r>
            <w:r w:rsidRPr="0062582F">
              <w:rPr>
                <w:rFonts w:asciiTheme="minorHAnsi" w:hAnsiTheme="minorHAnsi" w:cstheme="minorHAnsi"/>
                <w:sz w:val="16"/>
                <w:szCs w:val="16"/>
                <w:vertAlign w:val="superscript"/>
              </w:rPr>
              <w:t>(i)</w:t>
            </w:r>
          </w:p>
        </w:tc>
        <w:tc>
          <w:tcPr>
            <w:tcW w:w="1804" w:type="pct"/>
            <w:tcBorders>
              <w:top w:val="single" w:sz="4" w:space="0" w:color="auto"/>
            </w:tcBorders>
            <w:shd w:val="clear" w:color="auto" w:fill="CBCBCB"/>
          </w:tcPr>
          <w:p w:rsidR="004843DB" w:rsidRPr="0062582F" w:rsidRDefault="004843DB" w:rsidP="004843DB">
            <w:pPr>
              <w:pStyle w:val="TabletextheadingLeft"/>
              <w:spacing w:before="0" w:after="0"/>
              <w:rPr>
                <w:rFonts w:asciiTheme="minorHAnsi" w:hAnsiTheme="minorHAnsi" w:cstheme="minorHAnsi"/>
                <w:sz w:val="16"/>
                <w:szCs w:val="16"/>
              </w:rPr>
            </w:pPr>
            <w:r w:rsidRPr="0062582F">
              <w:rPr>
                <w:rFonts w:asciiTheme="minorHAnsi" w:hAnsiTheme="minorHAnsi" w:cstheme="minorHAnsi"/>
                <w:sz w:val="16"/>
                <w:szCs w:val="16"/>
              </w:rPr>
              <w:t>Sensitivity of fair value measurement to changes in significant unobservable inputs</w:t>
            </w:r>
            <w:r w:rsidRPr="0062582F">
              <w:rPr>
                <w:rFonts w:asciiTheme="minorHAnsi" w:hAnsiTheme="minorHAnsi" w:cstheme="minorHAnsi"/>
                <w:sz w:val="16"/>
                <w:szCs w:val="16"/>
                <w:vertAlign w:val="superscript"/>
              </w:rPr>
              <w:t>(i)</w:t>
            </w:r>
          </w:p>
        </w:tc>
      </w:tr>
      <w:tr w:rsidR="004843DB" w:rsidRPr="0062582F" w:rsidTr="004843DB">
        <w:trPr>
          <w:cantSplit/>
        </w:trPr>
        <w:tc>
          <w:tcPr>
            <w:tcW w:w="628" w:type="pct"/>
            <w:tcBorders>
              <w:top w:val="single" w:sz="6" w:space="0" w:color="auto"/>
              <w:bottom w:val="single" w:sz="6" w:space="0" w:color="auto"/>
            </w:tcBorders>
          </w:tcPr>
          <w:p w:rsidR="004843DB" w:rsidRPr="0062582F" w:rsidRDefault="004843DB" w:rsidP="004843DB">
            <w:pPr>
              <w:pStyle w:val="Tabletext"/>
              <w:spacing w:before="0" w:after="0"/>
              <w:rPr>
                <w:b/>
                <w:sz w:val="16"/>
                <w:szCs w:val="16"/>
              </w:rPr>
            </w:pPr>
            <w:r w:rsidRPr="0062582F">
              <w:rPr>
                <w:b/>
                <w:sz w:val="16"/>
                <w:szCs w:val="16"/>
              </w:rPr>
              <w:t>Specialised land</w:t>
            </w:r>
          </w:p>
        </w:tc>
        <w:tc>
          <w:tcPr>
            <w:tcW w:w="655" w:type="pct"/>
            <w:tcBorders>
              <w:top w:val="single" w:sz="6" w:space="0" w:color="auto"/>
              <w:bottom w:val="single" w:sz="6" w:space="0" w:color="auto"/>
            </w:tcBorders>
          </w:tcPr>
          <w:p w:rsidR="004843DB" w:rsidRPr="0062582F" w:rsidRDefault="004843DB" w:rsidP="004843DB">
            <w:pPr>
              <w:pStyle w:val="Tabletext"/>
              <w:spacing w:before="0" w:after="0"/>
              <w:rPr>
                <w:sz w:val="16"/>
                <w:szCs w:val="16"/>
              </w:rPr>
            </w:pPr>
            <w:r w:rsidRPr="0062582F">
              <w:rPr>
                <w:sz w:val="16"/>
                <w:szCs w:val="16"/>
              </w:rPr>
              <w:t>Market approach</w:t>
            </w:r>
          </w:p>
        </w:tc>
        <w:tc>
          <w:tcPr>
            <w:tcW w:w="1040" w:type="pct"/>
            <w:tcBorders>
              <w:top w:val="single" w:sz="6" w:space="0" w:color="auto"/>
              <w:bottom w:val="single" w:sz="6" w:space="0" w:color="auto"/>
            </w:tcBorders>
          </w:tcPr>
          <w:p w:rsidR="004843DB" w:rsidRPr="0062582F" w:rsidRDefault="004843DB" w:rsidP="004843DB">
            <w:pPr>
              <w:pStyle w:val="Tabletext"/>
              <w:spacing w:before="0" w:after="0"/>
              <w:rPr>
                <w:sz w:val="16"/>
                <w:szCs w:val="16"/>
              </w:rPr>
            </w:pPr>
            <w:r w:rsidRPr="0062582F">
              <w:rPr>
                <w:sz w:val="16"/>
                <w:szCs w:val="16"/>
              </w:rPr>
              <w:t xml:space="preserve">Community service obligation (CSO) adjustment </w:t>
            </w:r>
          </w:p>
        </w:tc>
        <w:tc>
          <w:tcPr>
            <w:tcW w:w="873" w:type="pct"/>
            <w:shd w:val="clear" w:color="auto" w:fill="CBCBCB"/>
          </w:tcPr>
          <w:p w:rsidR="004843DB" w:rsidRPr="0062582F" w:rsidRDefault="004843DB" w:rsidP="004843DB">
            <w:pPr>
              <w:pStyle w:val="Tabletext"/>
              <w:spacing w:before="0" w:after="0"/>
              <w:rPr>
                <w:sz w:val="16"/>
                <w:szCs w:val="16"/>
              </w:rPr>
            </w:pPr>
            <w:r w:rsidRPr="0062582F">
              <w:rPr>
                <w:sz w:val="16"/>
                <w:szCs w:val="16"/>
              </w:rPr>
              <w:t xml:space="preserve">50–70% (60%) </w:t>
            </w:r>
            <w:r w:rsidRPr="0062582F">
              <w:rPr>
                <w:sz w:val="16"/>
                <w:szCs w:val="16"/>
                <w:vertAlign w:val="superscript"/>
              </w:rPr>
              <w:t>(ii)</w:t>
            </w:r>
          </w:p>
        </w:tc>
        <w:tc>
          <w:tcPr>
            <w:tcW w:w="1804" w:type="pct"/>
            <w:shd w:val="clear" w:color="auto" w:fill="CBCBCB"/>
          </w:tcPr>
          <w:p w:rsidR="004843DB" w:rsidRPr="0062582F" w:rsidRDefault="004843DB" w:rsidP="004843DB">
            <w:pPr>
              <w:pStyle w:val="Tabletext"/>
              <w:spacing w:before="0" w:after="0"/>
              <w:rPr>
                <w:sz w:val="16"/>
                <w:szCs w:val="16"/>
              </w:rPr>
            </w:pPr>
            <w:r w:rsidRPr="0062582F">
              <w:rPr>
                <w:sz w:val="16"/>
                <w:szCs w:val="16"/>
              </w:rPr>
              <w:t>A significant increase or decrease in the CSO adjustment would result in a significantly lower (higher) fair value.</w:t>
            </w:r>
          </w:p>
        </w:tc>
      </w:tr>
      <w:tr w:rsidR="004843DB" w:rsidRPr="0062582F" w:rsidTr="004843DB">
        <w:trPr>
          <w:cantSplit/>
        </w:trPr>
        <w:tc>
          <w:tcPr>
            <w:tcW w:w="628" w:type="pct"/>
            <w:tcBorders>
              <w:top w:val="single" w:sz="6" w:space="0" w:color="auto"/>
            </w:tcBorders>
          </w:tcPr>
          <w:p w:rsidR="004843DB" w:rsidRPr="0062582F" w:rsidRDefault="004843DB" w:rsidP="004843DB">
            <w:pPr>
              <w:pStyle w:val="Tabletext"/>
              <w:spacing w:before="0" w:after="0"/>
              <w:rPr>
                <w:b/>
                <w:sz w:val="16"/>
                <w:szCs w:val="16"/>
              </w:rPr>
            </w:pPr>
            <w:r w:rsidRPr="0062582F">
              <w:rPr>
                <w:b/>
                <w:sz w:val="16"/>
                <w:szCs w:val="16"/>
              </w:rPr>
              <w:t>Specialised buildings</w:t>
            </w:r>
          </w:p>
        </w:tc>
        <w:tc>
          <w:tcPr>
            <w:tcW w:w="655" w:type="pct"/>
            <w:tcBorders>
              <w:top w:val="single" w:sz="6" w:space="0" w:color="auto"/>
            </w:tcBorders>
          </w:tcPr>
          <w:p w:rsidR="004843DB" w:rsidRPr="0062582F" w:rsidRDefault="004843DB" w:rsidP="004843DB">
            <w:pPr>
              <w:pStyle w:val="Tabletext"/>
              <w:spacing w:before="0" w:after="0"/>
              <w:rPr>
                <w:sz w:val="16"/>
                <w:szCs w:val="16"/>
              </w:rPr>
            </w:pPr>
            <w:r w:rsidRPr="0062582F">
              <w:rPr>
                <w:sz w:val="16"/>
                <w:szCs w:val="16"/>
              </w:rPr>
              <w:t>Depreciated replacement cost</w:t>
            </w:r>
          </w:p>
        </w:tc>
        <w:tc>
          <w:tcPr>
            <w:tcW w:w="1040" w:type="pct"/>
            <w:tcBorders>
              <w:top w:val="single" w:sz="6" w:space="0" w:color="auto"/>
            </w:tcBorders>
          </w:tcPr>
          <w:p w:rsidR="004843DB" w:rsidRPr="0062582F" w:rsidRDefault="004843DB" w:rsidP="004843DB">
            <w:pPr>
              <w:pStyle w:val="Tabletext"/>
              <w:spacing w:before="0" w:after="0"/>
              <w:rPr>
                <w:sz w:val="16"/>
                <w:szCs w:val="16"/>
              </w:rPr>
            </w:pPr>
            <w:r w:rsidRPr="0062582F">
              <w:rPr>
                <w:sz w:val="16"/>
                <w:szCs w:val="16"/>
              </w:rPr>
              <w:t>Direct cost per square metre</w:t>
            </w:r>
          </w:p>
        </w:tc>
        <w:tc>
          <w:tcPr>
            <w:tcW w:w="873" w:type="pct"/>
            <w:shd w:val="clear" w:color="auto" w:fill="CBCBCB"/>
          </w:tcPr>
          <w:p w:rsidR="004843DB" w:rsidRPr="0062582F" w:rsidRDefault="004843DB" w:rsidP="004843DB">
            <w:pPr>
              <w:pStyle w:val="Tabletext"/>
              <w:spacing w:before="0" w:after="0"/>
              <w:rPr>
                <w:sz w:val="16"/>
                <w:szCs w:val="16"/>
              </w:rPr>
            </w:pPr>
            <w:r w:rsidRPr="0062582F">
              <w:rPr>
                <w:sz w:val="16"/>
                <w:szCs w:val="16"/>
              </w:rPr>
              <w:t>$1 000–$1 500/m</w:t>
            </w:r>
            <w:r w:rsidRPr="0062582F">
              <w:rPr>
                <w:sz w:val="16"/>
                <w:szCs w:val="16"/>
                <w:vertAlign w:val="superscript"/>
              </w:rPr>
              <w:t>2</w:t>
            </w:r>
            <w:r w:rsidRPr="0062582F">
              <w:rPr>
                <w:sz w:val="16"/>
                <w:szCs w:val="16"/>
              </w:rPr>
              <w:t xml:space="preserve"> ($1 300)</w:t>
            </w:r>
          </w:p>
        </w:tc>
        <w:tc>
          <w:tcPr>
            <w:tcW w:w="1804" w:type="pct"/>
            <w:shd w:val="clear" w:color="auto" w:fill="CBCBCB"/>
          </w:tcPr>
          <w:p w:rsidR="004843DB" w:rsidRPr="0062582F" w:rsidRDefault="004843DB" w:rsidP="004843DB">
            <w:pPr>
              <w:pStyle w:val="Tabletext"/>
              <w:spacing w:before="0" w:after="0"/>
              <w:rPr>
                <w:sz w:val="16"/>
                <w:szCs w:val="16"/>
              </w:rPr>
            </w:pPr>
            <w:r w:rsidRPr="0062582F">
              <w:rPr>
                <w:sz w:val="16"/>
                <w:szCs w:val="16"/>
              </w:rPr>
              <w:t>A significant increase or decrease in direct cost per square metre adjustment would result in a significantly higher or lower fair value.</w:t>
            </w:r>
          </w:p>
        </w:tc>
      </w:tr>
      <w:tr w:rsidR="004843DB" w:rsidRPr="0062582F" w:rsidTr="004843DB">
        <w:trPr>
          <w:cantSplit/>
        </w:trPr>
        <w:tc>
          <w:tcPr>
            <w:tcW w:w="628" w:type="pct"/>
            <w:tcBorders>
              <w:bottom w:val="single" w:sz="6" w:space="0" w:color="auto"/>
            </w:tcBorders>
          </w:tcPr>
          <w:p w:rsidR="004843DB" w:rsidRPr="0062582F" w:rsidRDefault="004843DB" w:rsidP="004843DB">
            <w:pPr>
              <w:pStyle w:val="Tabletext"/>
              <w:spacing w:before="0" w:after="0"/>
              <w:rPr>
                <w:b/>
                <w:sz w:val="16"/>
                <w:szCs w:val="16"/>
              </w:rPr>
            </w:pPr>
          </w:p>
        </w:tc>
        <w:tc>
          <w:tcPr>
            <w:tcW w:w="655" w:type="pct"/>
            <w:tcBorders>
              <w:bottom w:val="single" w:sz="6" w:space="0" w:color="auto"/>
            </w:tcBorders>
          </w:tcPr>
          <w:p w:rsidR="004843DB" w:rsidRPr="0062582F" w:rsidRDefault="004843DB" w:rsidP="004843DB">
            <w:pPr>
              <w:pStyle w:val="Tabletext"/>
              <w:spacing w:before="0" w:after="0"/>
              <w:rPr>
                <w:sz w:val="16"/>
                <w:szCs w:val="16"/>
              </w:rPr>
            </w:pPr>
          </w:p>
        </w:tc>
        <w:tc>
          <w:tcPr>
            <w:tcW w:w="1040" w:type="pct"/>
            <w:tcBorders>
              <w:bottom w:val="single" w:sz="6" w:space="0" w:color="auto"/>
            </w:tcBorders>
          </w:tcPr>
          <w:p w:rsidR="004843DB" w:rsidRPr="0062582F" w:rsidRDefault="004843DB" w:rsidP="004843DB">
            <w:pPr>
              <w:pStyle w:val="Tabletext"/>
              <w:spacing w:before="0" w:after="0"/>
              <w:rPr>
                <w:sz w:val="16"/>
                <w:szCs w:val="16"/>
              </w:rPr>
            </w:pPr>
            <w:r w:rsidRPr="0062582F">
              <w:rPr>
                <w:sz w:val="16"/>
                <w:szCs w:val="16"/>
              </w:rPr>
              <w:t>Useful life of specialised buildings</w:t>
            </w:r>
          </w:p>
        </w:tc>
        <w:tc>
          <w:tcPr>
            <w:tcW w:w="873" w:type="pct"/>
            <w:shd w:val="clear" w:color="auto" w:fill="CBCBCB"/>
          </w:tcPr>
          <w:p w:rsidR="004843DB" w:rsidRPr="0062582F" w:rsidRDefault="004843DB" w:rsidP="004843DB">
            <w:pPr>
              <w:pStyle w:val="Tabletext"/>
              <w:spacing w:before="0" w:after="0"/>
              <w:rPr>
                <w:sz w:val="16"/>
                <w:szCs w:val="16"/>
              </w:rPr>
            </w:pPr>
            <w:r w:rsidRPr="0062582F">
              <w:rPr>
                <w:sz w:val="16"/>
                <w:szCs w:val="16"/>
              </w:rPr>
              <w:t xml:space="preserve">30–60 years </w:t>
            </w:r>
            <w:r w:rsidRPr="0062582F">
              <w:rPr>
                <w:sz w:val="16"/>
                <w:szCs w:val="16"/>
              </w:rPr>
              <w:br/>
              <w:t>(45 years)</w:t>
            </w:r>
          </w:p>
        </w:tc>
        <w:tc>
          <w:tcPr>
            <w:tcW w:w="1804" w:type="pct"/>
            <w:shd w:val="clear" w:color="auto" w:fill="CBCBCB"/>
          </w:tcPr>
          <w:p w:rsidR="004843DB" w:rsidRPr="0062582F" w:rsidRDefault="004843DB" w:rsidP="004843DB">
            <w:pPr>
              <w:pStyle w:val="Tabletext"/>
              <w:spacing w:before="0" w:after="0"/>
              <w:rPr>
                <w:sz w:val="16"/>
                <w:szCs w:val="16"/>
              </w:rPr>
            </w:pPr>
            <w:r w:rsidRPr="0062582F">
              <w:rPr>
                <w:sz w:val="16"/>
                <w:szCs w:val="16"/>
              </w:rPr>
              <w:t>A significant increase or decrease in the estimated useful life of the asset would result in a significantly higher or lower valuation.</w:t>
            </w:r>
          </w:p>
        </w:tc>
      </w:tr>
      <w:tr w:rsidR="004843DB" w:rsidRPr="0062582F" w:rsidTr="004843DB">
        <w:trPr>
          <w:cantSplit/>
        </w:trPr>
        <w:tc>
          <w:tcPr>
            <w:tcW w:w="628" w:type="pct"/>
            <w:tcBorders>
              <w:top w:val="single" w:sz="6" w:space="0" w:color="auto"/>
            </w:tcBorders>
          </w:tcPr>
          <w:p w:rsidR="004843DB" w:rsidRPr="0062582F" w:rsidRDefault="004843DB" w:rsidP="004843DB">
            <w:pPr>
              <w:pStyle w:val="Tabletext"/>
              <w:spacing w:before="0" w:after="0"/>
              <w:rPr>
                <w:b/>
                <w:sz w:val="16"/>
                <w:szCs w:val="16"/>
              </w:rPr>
            </w:pPr>
            <w:r w:rsidRPr="0062582F">
              <w:rPr>
                <w:b/>
                <w:sz w:val="16"/>
                <w:szCs w:val="16"/>
              </w:rPr>
              <w:t>Heritage assets</w:t>
            </w:r>
          </w:p>
        </w:tc>
        <w:tc>
          <w:tcPr>
            <w:tcW w:w="655" w:type="pct"/>
            <w:tcBorders>
              <w:top w:val="single" w:sz="6" w:space="0" w:color="auto"/>
            </w:tcBorders>
          </w:tcPr>
          <w:p w:rsidR="004843DB" w:rsidRPr="0062582F" w:rsidRDefault="004843DB" w:rsidP="004843DB">
            <w:pPr>
              <w:pStyle w:val="Tabletext"/>
              <w:spacing w:before="0" w:after="0"/>
              <w:rPr>
                <w:sz w:val="16"/>
                <w:szCs w:val="16"/>
              </w:rPr>
            </w:pPr>
            <w:r w:rsidRPr="0062582F">
              <w:rPr>
                <w:sz w:val="16"/>
                <w:szCs w:val="16"/>
              </w:rPr>
              <w:t>Depreciated replacement cost</w:t>
            </w:r>
            <w:r w:rsidRPr="0062582F">
              <w:rPr>
                <w:sz w:val="16"/>
                <w:szCs w:val="16"/>
                <w:vertAlign w:val="superscript"/>
              </w:rPr>
              <w:t>(iii)</w:t>
            </w:r>
            <w:r w:rsidRPr="0062582F">
              <w:rPr>
                <w:sz w:val="16"/>
                <w:szCs w:val="16"/>
              </w:rPr>
              <w:t xml:space="preserve"> </w:t>
            </w:r>
          </w:p>
        </w:tc>
        <w:tc>
          <w:tcPr>
            <w:tcW w:w="1040" w:type="pct"/>
            <w:tcBorders>
              <w:top w:val="single" w:sz="6" w:space="0" w:color="auto"/>
            </w:tcBorders>
          </w:tcPr>
          <w:p w:rsidR="004843DB" w:rsidRPr="0062582F" w:rsidRDefault="004843DB" w:rsidP="004843DB">
            <w:pPr>
              <w:pStyle w:val="Tabletext"/>
              <w:spacing w:before="0" w:after="0"/>
              <w:rPr>
                <w:sz w:val="16"/>
                <w:szCs w:val="16"/>
              </w:rPr>
            </w:pPr>
            <w:r w:rsidRPr="0062582F">
              <w:rPr>
                <w:sz w:val="16"/>
                <w:szCs w:val="16"/>
              </w:rPr>
              <w:t>Direct cost per square metre</w:t>
            </w:r>
          </w:p>
        </w:tc>
        <w:tc>
          <w:tcPr>
            <w:tcW w:w="873" w:type="pct"/>
            <w:shd w:val="clear" w:color="auto" w:fill="CBCBCB"/>
          </w:tcPr>
          <w:p w:rsidR="004843DB" w:rsidRPr="0062582F" w:rsidRDefault="004843DB" w:rsidP="004843DB">
            <w:pPr>
              <w:pStyle w:val="Tabletext"/>
              <w:spacing w:before="0" w:after="0"/>
              <w:rPr>
                <w:sz w:val="16"/>
                <w:szCs w:val="16"/>
              </w:rPr>
            </w:pPr>
            <w:r w:rsidRPr="0062582F">
              <w:rPr>
                <w:sz w:val="16"/>
                <w:szCs w:val="16"/>
              </w:rPr>
              <w:t>$600–$900/m</w:t>
            </w:r>
            <w:r w:rsidRPr="0062582F">
              <w:rPr>
                <w:sz w:val="16"/>
                <w:szCs w:val="16"/>
                <w:vertAlign w:val="superscript"/>
              </w:rPr>
              <w:t>2</w:t>
            </w:r>
            <w:r w:rsidRPr="0062582F">
              <w:rPr>
                <w:sz w:val="16"/>
                <w:szCs w:val="16"/>
              </w:rPr>
              <w:t xml:space="preserve"> ($800)</w:t>
            </w:r>
          </w:p>
        </w:tc>
        <w:tc>
          <w:tcPr>
            <w:tcW w:w="1804" w:type="pct"/>
            <w:shd w:val="clear" w:color="auto" w:fill="CBCBCB"/>
          </w:tcPr>
          <w:p w:rsidR="004843DB" w:rsidRPr="0062582F" w:rsidRDefault="004843DB" w:rsidP="004843DB">
            <w:pPr>
              <w:pStyle w:val="Tabletext"/>
              <w:spacing w:before="0" w:after="0"/>
              <w:rPr>
                <w:sz w:val="16"/>
                <w:szCs w:val="16"/>
              </w:rPr>
            </w:pPr>
            <w:r w:rsidRPr="0062582F">
              <w:rPr>
                <w:sz w:val="16"/>
                <w:szCs w:val="16"/>
              </w:rPr>
              <w:t>A significant increase or decrease in direct cost per square metre adjustment would result in a significantly higher or lower fair value.</w:t>
            </w:r>
          </w:p>
        </w:tc>
      </w:tr>
      <w:tr w:rsidR="004843DB" w:rsidRPr="0062582F" w:rsidTr="004843DB">
        <w:trPr>
          <w:cantSplit/>
        </w:trPr>
        <w:tc>
          <w:tcPr>
            <w:tcW w:w="628" w:type="pct"/>
            <w:tcBorders>
              <w:bottom w:val="single" w:sz="6" w:space="0" w:color="auto"/>
            </w:tcBorders>
          </w:tcPr>
          <w:p w:rsidR="004843DB" w:rsidRPr="0062582F" w:rsidRDefault="004843DB" w:rsidP="004843DB">
            <w:pPr>
              <w:pStyle w:val="Tabletext"/>
              <w:spacing w:before="0" w:after="0"/>
              <w:rPr>
                <w:b/>
                <w:sz w:val="16"/>
                <w:szCs w:val="16"/>
              </w:rPr>
            </w:pPr>
          </w:p>
        </w:tc>
        <w:tc>
          <w:tcPr>
            <w:tcW w:w="655" w:type="pct"/>
            <w:tcBorders>
              <w:bottom w:val="single" w:sz="6" w:space="0" w:color="auto"/>
            </w:tcBorders>
          </w:tcPr>
          <w:p w:rsidR="004843DB" w:rsidRPr="0062582F" w:rsidRDefault="004843DB" w:rsidP="004843DB">
            <w:pPr>
              <w:pStyle w:val="Tabletext"/>
              <w:spacing w:before="0" w:after="0"/>
              <w:rPr>
                <w:sz w:val="16"/>
                <w:szCs w:val="16"/>
              </w:rPr>
            </w:pPr>
          </w:p>
        </w:tc>
        <w:tc>
          <w:tcPr>
            <w:tcW w:w="1040" w:type="pct"/>
            <w:tcBorders>
              <w:bottom w:val="single" w:sz="6" w:space="0" w:color="auto"/>
            </w:tcBorders>
          </w:tcPr>
          <w:p w:rsidR="004843DB" w:rsidRPr="0062582F" w:rsidRDefault="004843DB" w:rsidP="004843DB">
            <w:pPr>
              <w:pStyle w:val="Tabletext"/>
              <w:spacing w:before="0" w:after="0"/>
              <w:rPr>
                <w:sz w:val="16"/>
                <w:szCs w:val="16"/>
              </w:rPr>
            </w:pPr>
            <w:r w:rsidRPr="0062582F">
              <w:rPr>
                <w:sz w:val="16"/>
                <w:szCs w:val="16"/>
              </w:rPr>
              <w:t>Useful life of heritage assets</w:t>
            </w:r>
          </w:p>
        </w:tc>
        <w:tc>
          <w:tcPr>
            <w:tcW w:w="873" w:type="pct"/>
            <w:shd w:val="clear" w:color="auto" w:fill="CBCBCB"/>
          </w:tcPr>
          <w:p w:rsidR="004843DB" w:rsidRPr="0062582F" w:rsidRDefault="004843DB" w:rsidP="004843DB">
            <w:pPr>
              <w:pStyle w:val="Tabletext"/>
              <w:spacing w:before="0" w:after="0"/>
              <w:rPr>
                <w:sz w:val="16"/>
                <w:szCs w:val="16"/>
              </w:rPr>
            </w:pPr>
            <w:r w:rsidRPr="0062582F">
              <w:rPr>
                <w:sz w:val="16"/>
                <w:szCs w:val="16"/>
              </w:rPr>
              <w:t>75–95 years</w:t>
            </w:r>
          </w:p>
          <w:p w:rsidR="004843DB" w:rsidRPr="0062582F" w:rsidRDefault="004843DB" w:rsidP="004843DB">
            <w:pPr>
              <w:pStyle w:val="Tabletext"/>
              <w:spacing w:before="0" w:after="0"/>
              <w:rPr>
                <w:sz w:val="16"/>
                <w:szCs w:val="16"/>
              </w:rPr>
            </w:pPr>
            <w:r w:rsidRPr="0062582F">
              <w:rPr>
                <w:sz w:val="16"/>
                <w:szCs w:val="16"/>
              </w:rPr>
              <w:t>(85 years)</w:t>
            </w:r>
          </w:p>
        </w:tc>
        <w:tc>
          <w:tcPr>
            <w:tcW w:w="1804" w:type="pct"/>
            <w:shd w:val="clear" w:color="auto" w:fill="CBCBCB"/>
          </w:tcPr>
          <w:p w:rsidR="004843DB" w:rsidRPr="0062582F" w:rsidRDefault="004843DB" w:rsidP="004843DB">
            <w:pPr>
              <w:pStyle w:val="Tabletext"/>
              <w:spacing w:before="0" w:after="0"/>
              <w:rPr>
                <w:sz w:val="16"/>
                <w:szCs w:val="16"/>
              </w:rPr>
            </w:pPr>
            <w:r w:rsidRPr="0062582F">
              <w:rPr>
                <w:sz w:val="16"/>
                <w:szCs w:val="16"/>
              </w:rPr>
              <w:t>A significant increase or decrease in the estimated useful life of the asset would result in a significantly higher or lower valuation.</w:t>
            </w:r>
          </w:p>
        </w:tc>
      </w:tr>
      <w:tr w:rsidR="004843DB" w:rsidRPr="0062582F" w:rsidTr="004843DB">
        <w:trPr>
          <w:cantSplit/>
        </w:trPr>
        <w:tc>
          <w:tcPr>
            <w:tcW w:w="628" w:type="pct"/>
            <w:tcBorders>
              <w:top w:val="single" w:sz="6" w:space="0" w:color="auto"/>
            </w:tcBorders>
          </w:tcPr>
          <w:p w:rsidR="004843DB" w:rsidRPr="0062582F" w:rsidRDefault="004843DB" w:rsidP="004843DB">
            <w:pPr>
              <w:pStyle w:val="Tabletext"/>
              <w:spacing w:before="0" w:after="0"/>
              <w:rPr>
                <w:b/>
                <w:sz w:val="16"/>
                <w:szCs w:val="16"/>
              </w:rPr>
            </w:pPr>
            <w:r w:rsidRPr="0062582F">
              <w:rPr>
                <w:b/>
                <w:sz w:val="16"/>
                <w:szCs w:val="16"/>
              </w:rPr>
              <w:t>Vehicles</w:t>
            </w:r>
          </w:p>
        </w:tc>
        <w:tc>
          <w:tcPr>
            <w:tcW w:w="655" w:type="pct"/>
            <w:tcBorders>
              <w:top w:val="single" w:sz="6" w:space="0" w:color="auto"/>
            </w:tcBorders>
          </w:tcPr>
          <w:p w:rsidR="004843DB" w:rsidRPr="0062582F" w:rsidRDefault="004843DB" w:rsidP="004843DB">
            <w:pPr>
              <w:pStyle w:val="Tabletext"/>
              <w:spacing w:before="0" w:after="0"/>
              <w:rPr>
                <w:sz w:val="16"/>
                <w:szCs w:val="16"/>
              </w:rPr>
            </w:pPr>
            <w:r w:rsidRPr="0062582F">
              <w:rPr>
                <w:sz w:val="16"/>
                <w:szCs w:val="16"/>
              </w:rPr>
              <w:t xml:space="preserve">Depreciated replacement cost </w:t>
            </w:r>
          </w:p>
        </w:tc>
        <w:tc>
          <w:tcPr>
            <w:tcW w:w="1040" w:type="pct"/>
            <w:tcBorders>
              <w:top w:val="single" w:sz="6" w:space="0" w:color="auto"/>
            </w:tcBorders>
          </w:tcPr>
          <w:p w:rsidR="004843DB" w:rsidRPr="0062582F" w:rsidRDefault="004843DB" w:rsidP="004843DB">
            <w:pPr>
              <w:pStyle w:val="Tabletext"/>
              <w:spacing w:before="0" w:after="0"/>
              <w:rPr>
                <w:sz w:val="16"/>
                <w:szCs w:val="16"/>
              </w:rPr>
            </w:pPr>
            <w:r w:rsidRPr="0062582F">
              <w:rPr>
                <w:sz w:val="16"/>
                <w:szCs w:val="16"/>
              </w:rPr>
              <w:t>Cost per unit</w:t>
            </w:r>
          </w:p>
        </w:tc>
        <w:tc>
          <w:tcPr>
            <w:tcW w:w="873" w:type="pct"/>
            <w:shd w:val="clear" w:color="auto" w:fill="CBCBCB"/>
          </w:tcPr>
          <w:p w:rsidR="004843DB" w:rsidRPr="0062582F" w:rsidRDefault="004843DB" w:rsidP="004843DB">
            <w:pPr>
              <w:pStyle w:val="Tabletext"/>
              <w:spacing w:before="0" w:after="0"/>
              <w:rPr>
                <w:sz w:val="16"/>
                <w:szCs w:val="16"/>
              </w:rPr>
            </w:pPr>
            <w:r w:rsidRPr="0062582F">
              <w:rPr>
                <w:sz w:val="16"/>
                <w:szCs w:val="16"/>
              </w:rPr>
              <w:t>$9 000–$10 000 per unit</w:t>
            </w:r>
          </w:p>
          <w:p w:rsidR="004843DB" w:rsidRPr="0062582F" w:rsidRDefault="004843DB" w:rsidP="004843DB">
            <w:pPr>
              <w:pStyle w:val="Tabletext"/>
              <w:spacing w:before="0" w:after="0"/>
              <w:rPr>
                <w:sz w:val="16"/>
                <w:szCs w:val="16"/>
              </w:rPr>
            </w:pPr>
            <w:r w:rsidRPr="0062582F">
              <w:rPr>
                <w:sz w:val="16"/>
                <w:szCs w:val="16"/>
              </w:rPr>
              <w:t>($9 500 per unit)</w:t>
            </w:r>
          </w:p>
        </w:tc>
        <w:tc>
          <w:tcPr>
            <w:tcW w:w="1804" w:type="pct"/>
            <w:shd w:val="clear" w:color="auto" w:fill="CBCBCB"/>
          </w:tcPr>
          <w:p w:rsidR="004843DB" w:rsidRPr="0062582F" w:rsidRDefault="004843DB" w:rsidP="004843DB">
            <w:pPr>
              <w:pStyle w:val="Tabletext"/>
              <w:spacing w:before="0" w:after="0"/>
              <w:rPr>
                <w:sz w:val="16"/>
                <w:szCs w:val="16"/>
              </w:rPr>
            </w:pPr>
            <w:r w:rsidRPr="0062582F">
              <w:rPr>
                <w:sz w:val="16"/>
                <w:szCs w:val="16"/>
              </w:rPr>
              <w:t>A significant increase or decrease in cost per unit would result in a significantly higher or lower fair value.</w:t>
            </w:r>
          </w:p>
        </w:tc>
      </w:tr>
      <w:tr w:rsidR="004843DB" w:rsidRPr="0062582F" w:rsidTr="004843DB">
        <w:trPr>
          <w:cantSplit/>
        </w:trPr>
        <w:tc>
          <w:tcPr>
            <w:tcW w:w="628" w:type="pct"/>
            <w:tcBorders>
              <w:bottom w:val="single" w:sz="6" w:space="0" w:color="auto"/>
            </w:tcBorders>
          </w:tcPr>
          <w:p w:rsidR="004843DB" w:rsidRPr="0062582F" w:rsidRDefault="004843DB" w:rsidP="004843DB">
            <w:pPr>
              <w:pStyle w:val="Tabletext"/>
              <w:spacing w:before="0" w:after="0"/>
              <w:rPr>
                <w:b/>
                <w:sz w:val="16"/>
                <w:szCs w:val="16"/>
              </w:rPr>
            </w:pPr>
          </w:p>
        </w:tc>
        <w:tc>
          <w:tcPr>
            <w:tcW w:w="655" w:type="pct"/>
            <w:tcBorders>
              <w:bottom w:val="single" w:sz="6" w:space="0" w:color="auto"/>
            </w:tcBorders>
          </w:tcPr>
          <w:p w:rsidR="004843DB" w:rsidRPr="0062582F" w:rsidRDefault="004843DB" w:rsidP="004843DB">
            <w:pPr>
              <w:pStyle w:val="Tabletext"/>
              <w:spacing w:before="0" w:after="0"/>
              <w:rPr>
                <w:sz w:val="16"/>
                <w:szCs w:val="16"/>
              </w:rPr>
            </w:pPr>
          </w:p>
        </w:tc>
        <w:tc>
          <w:tcPr>
            <w:tcW w:w="1040" w:type="pct"/>
            <w:tcBorders>
              <w:bottom w:val="single" w:sz="6" w:space="0" w:color="auto"/>
            </w:tcBorders>
          </w:tcPr>
          <w:p w:rsidR="004843DB" w:rsidRPr="0062582F" w:rsidRDefault="004843DB" w:rsidP="004843DB">
            <w:pPr>
              <w:pStyle w:val="Tabletext"/>
              <w:spacing w:before="0" w:after="0"/>
              <w:rPr>
                <w:sz w:val="16"/>
                <w:szCs w:val="16"/>
              </w:rPr>
            </w:pPr>
            <w:r w:rsidRPr="0062582F">
              <w:rPr>
                <w:sz w:val="16"/>
                <w:szCs w:val="16"/>
              </w:rPr>
              <w:t>Useful life of vehicles</w:t>
            </w:r>
          </w:p>
        </w:tc>
        <w:tc>
          <w:tcPr>
            <w:tcW w:w="873" w:type="pct"/>
            <w:shd w:val="clear" w:color="auto" w:fill="CBCBCB"/>
          </w:tcPr>
          <w:p w:rsidR="004843DB" w:rsidRPr="0062582F" w:rsidRDefault="004843DB" w:rsidP="004843DB">
            <w:pPr>
              <w:pStyle w:val="Tabletext"/>
              <w:spacing w:before="0" w:after="0"/>
              <w:rPr>
                <w:sz w:val="16"/>
                <w:szCs w:val="16"/>
              </w:rPr>
            </w:pPr>
            <w:r w:rsidRPr="0062582F">
              <w:rPr>
                <w:sz w:val="16"/>
                <w:szCs w:val="16"/>
              </w:rPr>
              <w:t>3–5 years (3 years)</w:t>
            </w:r>
          </w:p>
        </w:tc>
        <w:tc>
          <w:tcPr>
            <w:tcW w:w="1804" w:type="pct"/>
            <w:shd w:val="clear" w:color="auto" w:fill="CBCBCB"/>
          </w:tcPr>
          <w:p w:rsidR="004843DB" w:rsidRPr="0062582F" w:rsidRDefault="004843DB" w:rsidP="004843DB">
            <w:pPr>
              <w:pStyle w:val="Tabletext"/>
              <w:spacing w:before="0" w:after="0"/>
              <w:rPr>
                <w:sz w:val="16"/>
                <w:szCs w:val="16"/>
              </w:rPr>
            </w:pPr>
            <w:r w:rsidRPr="0062582F">
              <w:rPr>
                <w:sz w:val="16"/>
                <w:szCs w:val="16"/>
              </w:rPr>
              <w:t>A significant increase or decrease in the estimated useful life of the asset would result in a significantly higher or lower valuation.</w:t>
            </w:r>
          </w:p>
        </w:tc>
      </w:tr>
      <w:tr w:rsidR="004843DB" w:rsidRPr="0062582F" w:rsidTr="004843DB">
        <w:trPr>
          <w:cantSplit/>
        </w:trPr>
        <w:tc>
          <w:tcPr>
            <w:tcW w:w="628" w:type="pct"/>
            <w:tcBorders>
              <w:top w:val="single" w:sz="6" w:space="0" w:color="auto"/>
            </w:tcBorders>
          </w:tcPr>
          <w:p w:rsidR="004843DB" w:rsidRPr="0062582F" w:rsidRDefault="004843DB" w:rsidP="004843DB">
            <w:pPr>
              <w:pStyle w:val="Tabletext"/>
              <w:spacing w:before="0" w:after="0"/>
              <w:rPr>
                <w:b/>
                <w:sz w:val="16"/>
                <w:szCs w:val="16"/>
              </w:rPr>
            </w:pPr>
            <w:r w:rsidRPr="0062582F">
              <w:rPr>
                <w:b/>
                <w:sz w:val="16"/>
                <w:szCs w:val="16"/>
              </w:rPr>
              <w:t>Plant and equipment</w:t>
            </w:r>
          </w:p>
        </w:tc>
        <w:tc>
          <w:tcPr>
            <w:tcW w:w="655" w:type="pct"/>
            <w:tcBorders>
              <w:top w:val="single" w:sz="6" w:space="0" w:color="auto"/>
            </w:tcBorders>
          </w:tcPr>
          <w:p w:rsidR="004843DB" w:rsidRPr="0062582F" w:rsidRDefault="004843DB" w:rsidP="004843DB">
            <w:pPr>
              <w:pStyle w:val="Tabletext"/>
              <w:spacing w:before="0" w:after="0"/>
              <w:rPr>
                <w:sz w:val="16"/>
                <w:szCs w:val="16"/>
              </w:rPr>
            </w:pPr>
            <w:r w:rsidRPr="0062582F">
              <w:rPr>
                <w:sz w:val="16"/>
                <w:szCs w:val="16"/>
              </w:rPr>
              <w:t xml:space="preserve">Depreciated replacement cost </w:t>
            </w:r>
          </w:p>
        </w:tc>
        <w:tc>
          <w:tcPr>
            <w:tcW w:w="1040" w:type="pct"/>
            <w:tcBorders>
              <w:top w:val="single" w:sz="6" w:space="0" w:color="auto"/>
            </w:tcBorders>
          </w:tcPr>
          <w:p w:rsidR="004843DB" w:rsidRPr="0062582F" w:rsidRDefault="004843DB" w:rsidP="004843DB">
            <w:pPr>
              <w:pStyle w:val="Tabletext"/>
              <w:spacing w:before="0" w:after="0"/>
              <w:rPr>
                <w:sz w:val="16"/>
                <w:szCs w:val="16"/>
              </w:rPr>
            </w:pPr>
            <w:r w:rsidRPr="0062582F">
              <w:rPr>
                <w:sz w:val="16"/>
                <w:szCs w:val="16"/>
              </w:rPr>
              <w:t>Cost per unit</w:t>
            </w:r>
          </w:p>
        </w:tc>
        <w:tc>
          <w:tcPr>
            <w:tcW w:w="873" w:type="pct"/>
            <w:shd w:val="clear" w:color="auto" w:fill="CBCBCB"/>
          </w:tcPr>
          <w:p w:rsidR="004843DB" w:rsidRPr="0062582F" w:rsidRDefault="004843DB" w:rsidP="004843DB">
            <w:pPr>
              <w:pStyle w:val="Tabletext"/>
              <w:spacing w:before="0" w:after="0"/>
              <w:rPr>
                <w:sz w:val="16"/>
                <w:szCs w:val="16"/>
              </w:rPr>
            </w:pPr>
            <w:r w:rsidRPr="0062582F">
              <w:rPr>
                <w:sz w:val="16"/>
                <w:szCs w:val="16"/>
              </w:rPr>
              <w:t xml:space="preserve">$3 000–$4 000 per unit </w:t>
            </w:r>
          </w:p>
          <w:p w:rsidR="004843DB" w:rsidRPr="0062582F" w:rsidRDefault="004843DB" w:rsidP="004843DB">
            <w:pPr>
              <w:pStyle w:val="Tabletext"/>
              <w:spacing w:before="0" w:after="0"/>
              <w:rPr>
                <w:sz w:val="16"/>
                <w:szCs w:val="16"/>
              </w:rPr>
            </w:pPr>
            <w:r w:rsidRPr="0062582F">
              <w:rPr>
                <w:sz w:val="16"/>
                <w:szCs w:val="16"/>
              </w:rPr>
              <w:t>($3 500 per unit)</w:t>
            </w:r>
          </w:p>
        </w:tc>
        <w:tc>
          <w:tcPr>
            <w:tcW w:w="1804" w:type="pct"/>
            <w:shd w:val="clear" w:color="auto" w:fill="CBCBCB"/>
          </w:tcPr>
          <w:p w:rsidR="004843DB" w:rsidRPr="0062582F" w:rsidRDefault="004843DB" w:rsidP="004843DB">
            <w:pPr>
              <w:pStyle w:val="Tabletext"/>
              <w:spacing w:before="0" w:after="0"/>
              <w:rPr>
                <w:sz w:val="16"/>
                <w:szCs w:val="16"/>
              </w:rPr>
            </w:pPr>
            <w:r w:rsidRPr="0062582F">
              <w:rPr>
                <w:sz w:val="16"/>
                <w:szCs w:val="16"/>
              </w:rPr>
              <w:t>A significant increase or decrease in cost per unit would result in a significantly higher or lower fair value.</w:t>
            </w:r>
          </w:p>
        </w:tc>
      </w:tr>
      <w:tr w:rsidR="004843DB" w:rsidRPr="0062582F" w:rsidTr="004843DB">
        <w:trPr>
          <w:cantSplit/>
        </w:trPr>
        <w:tc>
          <w:tcPr>
            <w:tcW w:w="628" w:type="pct"/>
            <w:tcBorders>
              <w:bottom w:val="single" w:sz="6" w:space="0" w:color="auto"/>
            </w:tcBorders>
          </w:tcPr>
          <w:p w:rsidR="004843DB" w:rsidRPr="0062582F" w:rsidRDefault="004843DB" w:rsidP="004843DB">
            <w:pPr>
              <w:pStyle w:val="Tabletext"/>
              <w:spacing w:before="0" w:after="0"/>
              <w:rPr>
                <w:b/>
                <w:sz w:val="16"/>
                <w:szCs w:val="16"/>
              </w:rPr>
            </w:pPr>
          </w:p>
        </w:tc>
        <w:tc>
          <w:tcPr>
            <w:tcW w:w="655" w:type="pct"/>
            <w:tcBorders>
              <w:bottom w:val="single" w:sz="6" w:space="0" w:color="auto"/>
            </w:tcBorders>
          </w:tcPr>
          <w:p w:rsidR="004843DB" w:rsidRPr="0062582F" w:rsidRDefault="004843DB" w:rsidP="004843DB">
            <w:pPr>
              <w:pStyle w:val="Tabletext"/>
              <w:spacing w:before="0" w:after="0"/>
              <w:rPr>
                <w:sz w:val="16"/>
                <w:szCs w:val="16"/>
              </w:rPr>
            </w:pPr>
          </w:p>
        </w:tc>
        <w:tc>
          <w:tcPr>
            <w:tcW w:w="1040" w:type="pct"/>
            <w:tcBorders>
              <w:bottom w:val="single" w:sz="6" w:space="0" w:color="auto"/>
            </w:tcBorders>
          </w:tcPr>
          <w:p w:rsidR="004843DB" w:rsidRPr="0062582F" w:rsidRDefault="004843DB" w:rsidP="004843DB">
            <w:pPr>
              <w:pStyle w:val="Tabletext"/>
              <w:spacing w:before="0" w:after="0"/>
              <w:rPr>
                <w:sz w:val="16"/>
                <w:szCs w:val="16"/>
              </w:rPr>
            </w:pPr>
            <w:r w:rsidRPr="0062582F">
              <w:rPr>
                <w:sz w:val="16"/>
                <w:szCs w:val="16"/>
              </w:rPr>
              <w:t>Useful life of plant and equipment</w:t>
            </w:r>
          </w:p>
        </w:tc>
        <w:tc>
          <w:tcPr>
            <w:tcW w:w="873" w:type="pct"/>
            <w:shd w:val="clear" w:color="auto" w:fill="CBCBCB"/>
          </w:tcPr>
          <w:p w:rsidR="004843DB" w:rsidRPr="0062582F" w:rsidRDefault="004843DB" w:rsidP="004843DB">
            <w:pPr>
              <w:pStyle w:val="Tabletext"/>
              <w:spacing w:before="0" w:after="0"/>
              <w:rPr>
                <w:sz w:val="16"/>
                <w:szCs w:val="16"/>
              </w:rPr>
            </w:pPr>
            <w:r w:rsidRPr="0062582F">
              <w:rPr>
                <w:sz w:val="16"/>
                <w:szCs w:val="16"/>
              </w:rPr>
              <w:t>5–10 years (7 years)</w:t>
            </w:r>
          </w:p>
        </w:tc>
        <w:tc>
          <w:tcPr>
            <w:tcW w:w="1804" w:type="pct"/>
            <w:shd w:val="clear" w:color="auto" w:fill="CBCBCB"/>
          </w:tcPr>
          <w:p w:rsidR="004843DB" w:rsidRPr="0062582F" w:rsidRDefault="004843DB" w:rsidP="004843DB">
            <w:pPr>
              <w:pStyle w:val="Tabletext"/>
              <w:spacing w:before="0" w:after="0"/>
              <w:rPr>
                <w:sz w:val="16"/>
                <w:szCs w:val="16"/>
              </w:rPr>
            </w:pPr>
            <w:r w:rsidRPr="0062582F">
              <w:rPr>
                <w:sz w:val="16"/>
                <w:szCs w:val="16"/>
              </w:rPr>
              <w:t>A significant increase or decrease in the estimated useful life of the asset would result in a significantly higher or lower valuation.</w:t>
            </w:r>
          </w:p>
        </w:tc>
      </w:tr>
      <w:tr w:rsidR="004843DB" w:rsidRPr="0062582F" w:rsidTr="004843DB">
        <w:trPr>
          <w:cantSplit/>
        </w:trPr>
        <w:tc>
          <w:tcPr>
            <w:tcW w:w="628" w:type="pct"/>
            <w:tcBorders>
              <w:top w:val="single" w:sz="6" w:space="0" w:color="auto"/>
            </w:tcBorders>
          </w:tcPr>
          <w:p w:rsidR="004843DB" w:rsidRPr="0062582F" w:rsidRDefault="004843DB" w:rsidP="004843DB">
            <w:pPr>
              <w:pStyle w:val="Tabletext"/>
              <w:spacing w:before="0" w:after="0"/>
              <w:rPr>
                <w:b/>
                <w:sz w:val="16"/>
                <w:szCs w:val="16"/>
              </w:rPr>
            </w:pPr>
            <w:r w:rsidRPr="0062582F">
              <w:rPr>
                <w:b/>
                <w:sz w:val="16"/>
                <w:szCs w:val="16"/>
              </w:rPr>
              <w:t>Infrastructure</w:t>
            </w:r>
          </w:p>
        </w:tc>
        <w:tc>
          <w:tcPr>
            <w:tcW w:w="655" w:type="pct"/>
            <w:tcBorders>
              <w:top w:val="single" w:sz="6" w:space="0" w:color="auto"/>
            </w:tcBorders>
          </w:tcPr>
          <w:p w:rsidR="004843DB" w:rsidRPr="0062582F" w:rsidRDefault="004843DB" w:rsidP="004843DB">
            <w:pPr>
              <w:pStyle w:val="Tabletext"/>
              <w:spacing w:before="0" w:after="0"/>
              <w:rPr>
                <w:sz w:val="16"/>
                <w:szCs w:val="16"/>
              </w:rPr>
            </w:pPr>
            <w:r w:rsidRPr="0062582F">
              <w:rPr>
                <w:sz w:val="16"/>
                <w:szCs w:val="16"/>
              </w:rPr>
              <w:t xml:space="preserve">Depreciated replacement cost </w:t>
            </w:r>
          </w:p>
        </w:tc>
        <w:tc>
          <w:tcPr>
            <w:tcW w:w="1040" w:type="pct"/>
            <w:tcBorders>
              <w:top w:val="single" w:sz="6" w:space="0" w:color="auto"/>
            </w:tcBorders>
          </w:tcPr>
          <w:p w:rsidR="004843DB" w:rsidRPr="0062582F" w:rsidRDefault="004843DB" w:rsidP="004843DB">
            <w:pPr>
              <w:pStyle w:val="Tabletext"/>
              <w:spacing w:before="0" w:after="0"/>
              <w:rPr>
                <w:sz w:val="16"/>
                <w:szCs w:val="16"/>
              </w:rPr>
            </w:pPr>
            <w:r w:rsidRPr="0062582F">
              <w:rPr>
                <w:sz w:val="16"/>
                <w:szCs w:val="16"/>
              </w:rPr>
              <w:t>Cost per unit</w:t>
            </w:r>
          </w:p>
        </w:tc>
        <w:tc>
          <w:tcPr>
            <w:tcW w:w="873" w:type="pct"/>
            <w:shd w:val="clear" w:color="auto" w:fill="CBCBCB"/>
          </w:tcPr>
          <w:p w:rsidR="004843DB" w:rsidRPr="0062582F" w:rsidRDefault="004843DB" w:rsidP="004843DB">
            <w:pPr>
              <w:pStyle w:val="Tabletext"/>
              <w:spacing w:before="0" w:after="0"/>
              <w:rPr>
                <w:sz w:val="16"/>
                <w:szCs w:val="16"/>
              </w:rPr>
            </w:pPr>
            <w:r w:rsidRPr="0062582F">
              <w:rPr>
                <w:sz w:val="16"/>
                <w:szCs w:val="16"/>
              </w:rPr>
              <w:t>$5 000–$8 000 per unit</w:t>
            </w:r>
          </w:p>
          <w:p w:rsidR="004843DB" w:rsidRPr="0062582F" w:rsidRDefault="004843DB" w:rsidP="004843DB">
            <w:pPr>
              <w:pStyle w:val="Tabletext"/>
              <w:spacing w:before="0" w:after="0"/>
              <w:rPr>
                <w:sz w:val="16"/>
                <w:szCs w:val="16"/>
              </w:rPr>
            </w:pPr>
            <w:r w:rsidRPr="0062582F">
              <w:rPr>
                <w:sz w:val="16"/>
                <w:szCs w:val="16"/>
              </w:rPr>
              <w:t>($7 000 per unit)</w:t>
            </w:r>
          </w:p>
        </w:tc>
        <w:tc>
          <w:tcPr>
            <w:tcW w:w="1804" w:type="pct"/>
            <w:shd w:val="clear" w:color="auto" w:fill="CBCBCB"/>
          </w:tcPr>
          <w:p w:rsidR="004843DB" w:rsidRPr="0062582F" w:rsidRDefault="004843DB" w:rsidP="004843DB">
            <w:pPr>
              <w:pStyle w:val="Tabletext"/>
              <w:spacing w:before="0" w:after="0"/>
              <w:rPr>
                <w:sz w:val="16"/>
                <w:szCs w:val="16"/>
              </w:rPr>
            </w:pPr>
            <w:r w:rsidRPr="0062582F">
              <w:rPr>
                <w:sz w:val="16"/>
                <w:szCs w:val="16"/>
              </w:rPr>
              <w:t>A significant increase or decrease in cost per unit would result in a significantly higher or lower fair value.</w:t>
            </w:r>
          </w:p>
        </w:tc>
      </w:tr>
      <w:tr w:rsidR="004843DB" w:rsidRPr="0062582F" w:rsidTr="004843DB">
        <w:trPr>
          <w:cantSplit/>
        </w:trPr>
        <w:tc>
          <w:tcPr>
            <w:tcW w:w="628" w:type="pct"/>
            <w:tcBorders>
              <w:bottom w:val="single" w:sz="6" w:space="0" w:color="auto"/>
            </w:tcBorders>
          </w:tcPr>
          <w:p w:rsidR="004843DB" w:rsidRPr="0062582F" w:rsidRDefault="004843DB" w:rsidP="004843DB">
            <w:pPr>
              <w:pStyle w:val="Tabletext"/>
              <w:spacing w:before="0" w:after="0"/>
              <w:rPr>
                <w:b/>
                <w:sz w:val="16"/>
                <w:szCs w:val="16"/>
              </w:rPr>
            </w:pPr>
          </w:p>
        </w:tc>
        <w:tc>
          <w:tcPr>
            <w:tcW w:w="655" w:type="pct"/>
            <w:tcBorders>
              <w:bottom w:val="single" w:sz="6" w:space="0" w:color="auto"/>
            </w:tcBorders>
          </w:tcPr>
          <w:p w:rsidR="004843DB" w:rsidRPr="0062582F" w:rsidRDefault="004843DB" w:rsidP="004843DB">
            <w:pPr>
              <w:pStyle w:val="Tabletext"/>
              <w:spacing w:before="0" w:after="0"/>
              <w:rPr>
                <w:sz w:val="16"/>
                <w:szCs w:val="16"/>
                <w:lang w:eastAsia="en-US"/>
              </w:rPr>
            </w:pPr>
          </w:p>
        </w:tc>
        <w:tc>
          <w:tcPr>
            <w:tcW w:w="1040" w:type="pct"/>
            <w:tcBorders>
              <w:bottom w:val="single" w:sz="6" w:space="0" w:color="auto"/>
            </w:tcBorders>
          </w:tcPr>
          <w:p w:rsidR="004843DB" w:rsidRPr="0062582F" w:rsidRDefault="004843DB" w:rsidP="004843DB">
            <w:pPr>
              <w:pStyle w:val="Tabletext"/>
              <w:spacing w:before="0" w:after="0"/>
              <w:rPr>
                <w:sz w:val="16"/>
                <w:szCs w:val="16"/>
                <w:lang w:eastAsia="en-US"/>
              </w:rPr>
            </w:pPr>
            <w:r w:rsidRPr="0062582F">
              <w:rPr>
                <w:sz w:val="16"/>
                <w:szCs w:val="16"/>
                <w:lang w:eastAsia="en-US"/>
              </w:rPr>
              <w:t>Useful life of the infrastructure</w:t>
            </w:r>
          </w:p>
        </w:tc>
        <w:tc>
          <w:tcPr>
            <w:tcW w:w="873" w:type="pct"/>
            <w:shd w:val="clear" w:color="auto" w:fill="CBCBCB"/>
          </w:tcPr>
          <w:p w:rsidR="004843DB" w:rsidRPr="0062582F" w:rsidRDefault="004843DB" w:rsidP="004843DB">
            <w:pPr>
              <w:pStyle w:val="Tabletext"/>
              <w:spacing w:before="0" w:after="0"/>
              <w:rPr>
                <w:sz w:val="16"/>
                <w:szCs w:val="16"/>
                <w:lang w:eastAsia="en-US"/>
              </w:rPr>
            </w:pPr>
            <w:r w:rsidRPr="0062582F">
              <w:rPr>
                <w:sz w:val="16"/>
                <w:szCs w:val="16"/>
                <w:lang w:eastAsia="en-US"/>
              </w:rPr>
              <w:t>10 to 32 years (15 years)</w:t>
            </w:r>
          </w:p>
        </w:tc>
        <w:tc>
          <w:tcPr>
            <w:tcW w:w="1804" w:type="pct"/>
            <w:shd w:val="clear" w:color="auto" w:fill="CBCBCB"/>
          </w:tcPr>
          <w:p w:rsidR="004843DB" w:rsidRPr="0062582F" w:rsidRDefault="004843DB" w:rsidP="004843DB">
            <w:pPr>
              <w:pStyle w:val="Tabletext"/>
              <w:spacing w:before="0" w:after="0"/>
              <w:rPr>
                <w:sz w:val="16"/>
                <w:szCs w:val="16"/>
                <w:lang w:eastAsia="en-US"/>
              </w:rPr>
            </w:pPr>
            <w:r w:rsidRPr="0062582F">
              <w:rPr>
                <w:sz w:val="16"/>
                <w:szCs w:val="16"/>
                <w:lang w:eastAsia="en-US"/>
              </w:rPr>
              <w:t>A significant increase or decrease in the estimated useful life of the asset would result in a significantly higher or lower valuation.</w:t>
            </w:r>
          </w:p>
        </w:tc>
      </w:tr>
      <w:tr w:rsidR="004843DB" w:rsidRPr="0062582F" w:rsidTr="004843DB">
        <w:trPr>
          <w:cantSplit/>
        </w:trPr>
        <w:tc>
          <w:tcPr>
            <w:tcW w:w="628" w:type="pct"/>
            <w:tcBorders>
              <w:top w:val="single" w:sz="6" w:space="0" w:color="auto"/>
            </w:tcBorders>
          </w:tcPr>
          <w:p w:rsidR="004843DB" w:rsidRPr="0062582F" w:rsidRDefault="004843DB" w:rsidP="004843DB">
            <w:pPr>
              <w:pStyle w:val="Tabletext"/>
              <w:spacing w:before="0" w:after="0"/>
              <w:rPr>
                <w:b/>
                <w:sz w:val="16"/>
                <w:szCs w:val="16"/>
              </w:rPr>
            </w:pPr>
            <w:r w:rsidRPr="0062582F">
              <w:rPr>
                <w:b/>
                <w:sz w:val="16"/>
                <w:szCs w:val="16"/>
              </w:rPr>
              <w:t>Road, infrastructure and earthworks</w:t>
            </w:r>
          </w:p>
        </w:tc>
        <w:tc>
          <w:tcPr>
            <w:tcW w:w="655" w:type="pct"/>
            <w:tcBorders>
              <w:top w:val="single" w:sz="6" w:space="0" w:color="auto"/>
            </w:tcBorders>
          </w:tcPr>
          <w:p w:rsidR="004843DB" w:rsidRPr="0062582F" w:rsidRDefault="004843DB" w:rsidP="004843DB">
            <w:pPr>
              <w:pStyle w:val="Tabletext"/>
              <w:spacing w:before="0" w:after="0"/>
              <w:rPr>
                <w:sz w:val="16"/>
                <w:szCs w:val="16"/>
                <w:lang w:eastAsia="en-US"/>
              </w:rPr>
            </w:pPr>
            <w:r w:rsidRPr="0062582F">
              <w:rPr>
                <w:sz w:val="16"/>
                <w:szCs w:val="16"/>
                <w:lang w:eastAsia="en-US"/>
              </w:rPr>
              <w:t xml:space="preserve">Depreciated replacement cost </w:t>
            </w:r>
          </w:p>
        </w:tc>
        <w:tc>
          <w:tcPr>
            <w:tcW w:w="1040" w:type="pct"/>
            <w:tcBorders>
              <w:top w:val="single" w:sz="6" w:space="0" w:color="auto"/>
            </w:tcBorders>
          </w:tcPr>
          <w:p w:rsidR="004843DB" w:rsidRPr="0062582F" w:rsidRDefault="004843DB" w:rsidP="004843DB">
            <w:pPr>
              <w:pStyle w:val="Tabletext"/>
              <w:spacing w:before="0" w:after="0"/>
              <w:rPr>
                <w:sz w:val="16"/>
                <w:szCs w:val="16"/>
                <w:lang w:eastAsia="en-US"/>
              </w:rPr>
            </w:pPr>
            <w:r w:rsidRPr="0062582F">
              <w:rPr>
                <w:sz w:val="16"/>
                <w:szCs w:val="16"/>
                <w:lang w:eastAsia="en-US"/>
              </w:rPr>
              <w:t>Cost per metre</w:t>
            </w:r>
          </w:p>
        </w:tc>
        <w:tc>
          <w:tcPr>
            <w:tcW w:w="873" w:type="pct"/>
            <w:shd w:val="clear" w:color="auto" w:fill="CBCBCB"/>
          </w:tcPr>
          <w:p w:rsidR="004843DB" w:rsidRPr="0062582F" w:rsidRDefault="004843DB" w:rsidP="004843DB">
            <w:pPr>
              <w:pStyle w:val="Tabletext"/>
              <w:spacing w:before="0" w:after="0"/>
              <w:rPr>
                <w:sz w:val="16"/>
                <w:szCs w:val="16"/>
                <w:lang w:eastAsia="en-US"/>
              </w:rPr>
            </w:pPr>
            <w:r w:rsidRPr="0062582F">
              <w:rPr>
                <w:sz w:val="16"/>
                <w:szCs w:val="16"/>
                <w:lang w:eastAsia="en-US"/>
              </w:rPr>
              <w:t>$500–$650 per metre</w:t>
            </w:r>
          </w:p>
          <w:p w:rsidR="004843DB" w:rsidRPr="0062582F" w:rsidRDefault="004843DB" w:rsidP="004843DB">
            <w:pPr>
              <w:pStyle w:val="Tabletext"/>
              <w:spacing w:before="0" w:after="0"/>
              <w:rPr>
                <w:sz w:val="16"/>
                <w:szCs w:val="16"/>
                <w:lang w:eastAsia="en-US"/>
              </w:rPr>
            </w:pPr>
            <w:r w:rsidRPr="0062582F">
              <w:rPr>
                <w:sz w:val="16"/>
                <w:szCs w:val="16"/>
                <w:lang w:eastAsia="en-US"/>
              </w:rPr>
              <w:t>($600 per metre)</w:t>
            </w:r>
          </w:p>
        </w:tc>
        <w:tc>
          <w:tcPr>
            <w:tcW w:w="1804" w:type="pct"/>
            <w:shd w:val="clear" w:color="auto" w:fill="CBCBCB"/>
          </w:tcPr>
          <w:p w:rsidR="004843DB" w:rsidRPr="0062582F" w:rsidRDefault="004843DB" w:rsidP="004843DB">
            <w:pPr>
              <w:pStyle w:val="Tabletext"/>
              <w:spacing w:before="0" w:after="0"/>
              <w:rPr>
                <w:sz w:val="16"/>
                <w:szCs w:val="16"/>
                <w:lang w:eastAsia="en-US"/>
              </w:rPr>
            </w:pPr>
            <w:r w:rsidRPr="0062582F">
              <w:rPr>
                <w:sz w:val="16"/>
                <w:szCs w:val="16"/>
                <w:lang w:eastAsia="en-US"/>
              </w:rPr>
              <w:t>A significant increase or decrease in cost per metre would result in a significantly higher or lower fair value.</w:t>
            </w:r>
          </w:p>
        </w:tc>
      </w:tr>
      <w:tr w:rsidR="004843DB" w:rsidRPr="0062582F" w:rsidTr="004843DB">
        <w:trPr>
          <w:cantSplit/>
        </w:trPr>
        <w:tc>
          <w:tcPr>
            <w:tcW w:w="628" w:type="pct"/>
            <w:tcBorders>
              <w:bottom w:val="single" w:sz="12" w:space="0" w:color="auto"/>
            </w:tcBorders>
          </w:tcPr>
          <w:p w:rsidR="004843DB" w:rsidRPr="0062582F" w:rsidRDefault="004843DB" w:rsidP="004843DB">
            <w:pPr>
              <w:spacing w:before="0"/>
              <w:rPr>
                <w:b/>
                <w:bCs/>
                <w:sz w:val="16"/>
                <w:szCs w:val="16"/>
              </w:rPr>
            </w:pPr>
          </w:p>
        </w:tc>
        <w:tc>
          <w:tcPr>
            <w:tcW w:w="655" w:type="pct"/>
            <w:tcBorders>
              <w:bottom w:val="single" w:sz="12" w:space="0" w:color="auto"/>
            </w:tcBorders>
          </w:tcPr>
          <w:p w:rsidR="004843DB" w:rsidRPr="0062582F" w:rsidRDefault="004843DB" w:rsidP="004843DB">
            <w:pPr>
              <w:pStyle w:val="Tabletext"/>
              <w:spacing w:before="0" w:after="0"/>
              <w:rPr>
                <w:sz w:val="16"/>
                <w:szCs w:val="16"/>
                <w:lang w:eastAsia="en-US"/>
              </w:rPr>
            </w:pPr>
          </w:p>
        </w:tc>
        <w:tc>
          <w:tcPr>
            <w:tcW w:w="1040" w:type="pct"/>
            <w:tcBorders>
              <w:bottom w:val="single" w:sz="12" w:space="0" w:color="auto"/>
            </w:tcBorders>
          </w:tcPr>
          <w:p w:rsidR="004843DB" w:rsidRPr="0062582F" w:rsidRDefault="004843DB" w:rsidP="004843DB">
            <w:pPr>
              <w:pStyle w:val="Tabletext"/>
              <w:spacing w:before="0" w:after="0"/>
              <w:rPr>
                <w:sz w:val="16"/>
                <w:szCs w:val="16"/>
                <w:lang w:eastAsia="en-US"/>
              </w:rPr>
            </w:pPr>
            <w:r w:rsidRPr="0062582F">
              <w:rPr>
                <w:sz w:val="16"/>
                <w:szCs w:val="16"/>
                <w:lang w:eastAsia="en-US"/>
              </w:rPr>
              <w:t>Useful life of the road, infrastructure and earthworks</w:t>
            </w:r>
          </w:p>
        </w:tc>
        <w:tc>
          <w:tcPr>
            <w:tcW w:w="873" w:type="pct"/>
            <w:tcBorders>
              <w:bottom w:val="single" w:sz="12" w:space="0" w:color="auto"/>
            </w:tcBorders>
            <w:shd w:val="clear" w:color="auto" w:fill="CBCBCB"/>
          </w:tcPr>
          <w:p w:rsidR="004843DB" w:rsidRPr="0062582F" w:rsidRDefault="004843DB" w:rsidP="004843DB">
            <w:pPr>
              <w:pStyle w:val="Tabletext"/>
              <w:spacing w:before="0" w:after="0"/>
              <w:rPr>
                <w:sz w:val="16"/>
                <w:szCs w:val="16"/>
                <w:lang w:eastAsia="en-US"/>
              </w:rPr>
            </w:pPr>
            <w:r w:rsidRPr="0062582F">
              <w:rPr>
                <w:sz w:val="16"/>
                <w:szCs w:val="16"/>
                <w:lang w:eastAsia="en-US"/>
              </w:rPr>
              <w:t>60 to 90 years (75 years)</w:t>
            </w:r>
          </w:p>
        </w:tc>
        <w:tc>
          <w:tcPr>
            <w:tcW w:w="1804" w:type="pct"/>
            <w:tcBorders>
              <w:bottom w:val="single" w:sz="12" w:space="0" w:color="auto"/>
            </w:tcBorders>
            <w:shd w:val="clear" w:color="auto" w:fill="CBCBCB"/>
          </w:tcPr>
          <w:p w:rsidR="004843DB" w:rsidRPr="0062582F" w:rsidRDefault="004843DB" w:rsidP="004843DB">
            <w:pPr>
              <w:pStyle w:val="Tabletext"/>
              <w:spacing w:before="0" w:after="0"/>
              <w:rPr>
                <w:sz w:val="16"/>
                <w:szCs w:val="16"/>
                <w:lang w:eastAsia="en-US"/>
              </w:rPr>
            </w:pPr>
            <w:r w:rsidRPr="0062582F">
              <w:rPr>
                <w:sz w:val="16"/>
                <w:szCs w:val="16"/>
                <w:lang w:eastAsia="en-US"/>
              </w:rPr>
              <w:t>A significant increase or decrease in the estimated useful life of the asset would result in a significantly higher or lower valuation.</w:t>
            </w:r>
          </w:p>
        </w:tc>
      </w:tr>
    </w:tbl>
    <w:p w:rsidR="004843DB" w:rsidRPr="0062582F" w:rsidRDefault="004843DB" w:rsidP="004843DB">
      <w:pPr>
        <w:pStyle w:val="Notes"/>
        <w:rPr>
          <w:lang w:val="en-GB"/>
        </w:rPr>
      </w:pPr>
      <w:r w:rsidRPr="0062582F">
        <w:rPr>
          <w:lang w:val="en-GB"/>
        </w:rPr>
        <w:t>Notes:</w:t>
      </w:r>
    </w:p>
    <w:p w:rsidR="004843DB" w:rsidRPr="0062582F" w:rsidRDefault="004843DB" w:rsidP="004843DB">
      <w:pPr>
        <w:pStyle w:val="NotesBlue"/>
        <w:rPr>
          <w:color w:val="auto"/>
          <w:lang w:val="en-GB"/>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242F7E" w:rsidRDefault="004843DB" w:rsidP="004843DB">
      <w:pPr>
        <w:pStyle w:val="NotesBlue"/>
        <w:rPr>
          <w:rStyle w:val="ReferenceRedChar"/>
          <w:i w:val="0"/>
        </w:rPr>
      </w:pPr>
      <w:r w:rsidRPr="00242F7E">
        <w:rPr>
          <w:rStyle w:val="ReferenceRedChar"/>
          <w:i w:val="0"/>
        </w:rPr>
        <w:t>Revised</w:t>
      </w: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Pr="0062582F" w:rsidRDefault="004843DB" w:rsidP="004843DB">
      <w:pPr>
        <w:pStyle w:val="NotesBlue"/>
        <w:rPr>
          <w:color w:val="auto"/>
          <w:lang w:val="en-GB"/>
        </w:rPr>
      </w:pPr>
    </w:p>
    <w:p w:rsidR="004843DB" w:rsidRDefault="004843DB" w:rsidP="004843DB">
      <w:pPr>
        <w:pStyle w:val="NotesBlue"/>
        <w:tabs>
          <w:tab w:val="clear" w:pos="454"/>
        </w:tabs>
        <w:rPr>
          <w:rStyle w:val="ReferenceRedChar"/>
          <w:i w:val="0"/>
        </w:rPr>
      </w:pPr>
      <w:r w:rsidRPr="0062582F">
        <w:rPr>
          <w:rStyle w:val="ReferenceRedChar"/>
          <w:i w:val="0"/>
        </w:rPr>
        <w:t>New</w:t>
      </w:r>
    </w:p>
    <w:p w:rsidR="004843DB" w:rsidRPr="0062582F" w:rsidRDefault="004843DB" w:rsidP="004843DB">
      <w:pPr>
        <w:pStyle w:val="NotesBlue"/>
        <w:tabs>
          <w:tab w:val="clear" w:pos="454"/>
        </w:tabs>
        <w:rPr>
          <w:lang w:val="en-GB"/>
        </w:rPr>
      </w:pPr>
      <w:r w:rsidRPr="0062582F">
        <w:rPr>
          <w:color w:val="auto"/>
          <w:lang w:val="en-GB"/>
        </w:rPr>
        <w:br w:type="column"/>
      </w:r>
      <w:r w:rsidRPr="00D4045B">
        <w:rPr>
          <w:lang w:val="en-GB"/>
        </w:rPr>
        <w:t>(i)</w:t>
      </w:r>
      <w:r w:rsidRPr="0062582F">
        <w:rPr>
          <w:color w:val="auto"/>
          <w:lang w:val="en-GB"/>
        </w:rPr>
        <w:tab/>
      </w:r>
      <w:r w:rsidRPr="0062582F">
        <w:rPr>
          <w:lang w:val="en-GB"/>
        </w:rPr>
        <w:t>[Illustrations on the valuation techniques and significant unobservable inputs are indicative and should not be directly used without consultation with entities</w:t>
      </w:r>
      <w:r w:rsidR="005A4BB0">
        <w:rPr>
          <w:lang w:val="en-GB"/>
        </w:rPr>
        <w:t>’</w:t>
      </w:r>
      <w:r w:rsidRPr="0062582F">
        <w:rPr>
          <w:lang w:val="en-GB"/>
        </w:rPr>
        <w:t xml:space="preserve"> independent valuer. Please note that AASB 2015</w:t>
      </w:r>
      <w:r w:rsidR="005A4BB0">
        <w:rPr>
          <w:lang w:val="en-GB"/>
        </w:rPr>
        <w:noBreakHyphen/>
      </w:r>
      <w:r w:rsidRPr="0062582F">
        <w:rPr>
          <w:lang w:val="en-GB"/>
        </w:rPr>
        <w:t>7 Fair Value Disclosures of Not</w:t>
      </w:r>
      <w:r w:rsidR="005A4BB0">
        <w:rPr>
          <w:lang w:val="en-GB"/>
        </w:rPr>
        <w:noBreakHyphen/>
      </w:r>
      <w:r w:rsidRPr="0062582F">
        <w:rPr>
          <w:lang w:val="en-GB"/>
        </w:rPr>
        <w:t>for</w:t>
      </w:r>
      <w:r w:rsidR="005A4BB0">
        <w:rPr>
          <w:lang w:val="en-GB"/>
        </w:rPr>
        <w:noBreakHyphen/>
      </w:r>
      <w:r w:rsidRPr="0062582F">
        <w:rPr>
          <w:lang w:val="en-GB"/>
        </w:rPr>
        <w:t>Profit Public Sector Entities, which is operative from 1 July 2016 provides an exemption for not</w:t>
      </w:r>
      <w:r w:rsidR="005A4BB0">
        <w:rPr>
          <w:lang w:val="en-GB"/>
        </w:rPr>
        <w:noBreakHyphen/>
      </w:r>
      <w:r w:rsidRPr="0062582F">
        <w:rPr>
          <w:lang w:val="en-GB"/>
        </w:rPr>
        <w:t>for</w:t>
      </w:r>
      <w:r w:rsidR="005A4BB0">
        <w:rPr>
          <w:lang w:val="en-GB"/>
        </w:rPr>
        <w:noBreakHyphen/>
      </w:r>
      <w:r w:rsidRPr="0062582F">
        <w:rPr>
          <w:lang w:val="en-GB"/>
        </w:rPr>
        <w:t xml:space="preserve">profit public sector entities from disclosing the shaded columns relating to the quantitative information of </w:t>
      </w:r>
      <w:r w:rsidR="005A4BB0">
        <w:rPr>
          <w:lang w:val="en-GB"/>
        </w:rPr>
        <w:t>‘</w:t>
      </w:r>
      <w:r w:rsidRPr="0062582F">
        <w:rPr>
          <w:lang w:val="en-GB"/>
        </w:rPr>
        <w:t>significant unobservable inputs</w:t>
      </w:r>
      <w:r w:rsidR="005A4BB0">
        <w:rPr>
          <w:lang w:val="en-GB"/>
        </w:rPr>
        <w:t>’</w:t>
      </w:r>
      <w:r w:rsidRPr="0062582F">
        <w:rPr>
          <w:lang w:val="en-GB"/>
        </w:rPr>
        <w:t xml:space="preserve"> and the </w:t>
      </w:r>
      <w:r w:rsidR="005A4BB0">
        <w:rPr>
          <w:lang w:val="en-GB"/>
        </w:rPr>
        <w:t>‘</w:t>
      </w:r>
      <w:r w:rsidRPr="0062582F">
        <w:rPr>
          <w:lang w:val="en-GB"/>
        </w:rPr>
        <w:t>sensitivity analysis</w:t>
      </w:r>
      <w:r w:rsidR="005A4BB0">
        <w:rPr>
          <w:lang w:val="en-GB"/>
        </w:rPr>
        <w:t>’</w:t>
      </w:r>
      <w:r w:rsidRPr="0062582F">
        <w:rPr>
          <w:lang w:val="en-GB"/>
        </w:rPr>
        <w:t xml:space="preserve"> if the assets are held primarily for their current service potential rather than to generate net cash inflows.</w:t>
      </w:r>
      <w:r w:rsidRPr="0062582F">
        <w:t xml:space="preserve"> </w:t>
      </w:r>
      <w:r w:rsidRPr="0062582F">
        <w:rPr>
          <w:lang w:val="en-GB"/>
        </w:rPr>
        <w:t>Please note that the State early adopted AASB 2015</w:t>
      </w:r>
      <w:r w:rsidR="005A4BB0">
        <w:rPr>
          <w:lang w:val="en-GB"/>
        </w:rPr>
        <w:noBreakHyphen/>
      </w:r>
      <w:r w:rsidRPr="0062582F">
        <w:rPr>
          <w:lang w:val="en-GB"/>
        </w:rPr>
        <w:t>7 in the 2014</w:t>
      </w:r>
      <w:r w:rsidR="005A4BB0">
        <w:rPr>
          <w:lang w:val="en-GB"/>
        </w:rPr>
        <w:noBreakHyphen/>
      </w:r>
      <w:r w:rsidRPr="0062582F">
        <w:rPr>
          <w:lang w:val="en-GB"/>
        </w:rPr>
        <w:t>15 reporting period and gave not</w:t>
      </w:r>
      <w:r w:rsidR="005A4BB0">
        <w:rPr>
          <w:lang w:val="en-GB"/>
        </w:rPr>
        <w:noBreakHyphen/>
      </w:r>
      <w:r w:rsidRPr="0062582F">
        <w:rPr>
          <w:lang w:val="en-GB"/>
        </w:rPr>
        <w:t>for</w:t>
      </w:r>
      <w:r w:rsidR="005A4BB0">
        <w:rPr>
          <w:lang w:val="en-GB"/>
        </w:rPr>
        <w:noBreakHyphen/>
      </w:r>
      <w:r w:rsidRPr="0062582F">
        <w:rPr>
          <w:lang w:val="en-GB"/>
        </w:rPr>
        <w:t>profit entities the option to early adopt this amending standard last year. As a result, all not</w:t>
      </w:r>
      <w:r w:rsidR="005A4BB0">
        <w:rPr>
          <w:lang w:val="en-GB"/>
        </w:rPr>
        <w:noBreakHyphen/>
      </w:r>
      <w:r w:rsidRPr="0062582F">
        <w:rPr>
          <w:lang w:val="en-GB"/>
        </w:rPr>
        <w:t>for</w:t>
      </w:r>
      <w:r w:rsidR="005A4BB0">
        <w:rPr>
          <w:lang w:val="en-GB"/>
        </w:rPr>
        <w:noBreakHyphen/>
      </w:r>
      <w:r w:rsidRPr="0062582F">
        <w:rPr>
          <w:lang w:val="en-GB"/>
        </w:rPr>
        <w:t>profit entities must now comply with this amending standard for the current financial year. This amending standard is not applicable for assets that are held for cash generating purposes. Not</w:t>
      </w:r>
      <w:r w:rsidR="005A4BB0">
        <w:rPr>
          <w:lang w:val="en-GB"/>
        </w:rPr>
        <w:noBreakHyphen/>
      </w:r>
      <w:r w:rsidRPr="0062582F">
        <w:rPr>
          <w:lang w:val="en-GB"/>
        </w:rPr>
        <w:t>for</w:t>
      </w:r>
      <w:r w:rsidR="005A4BB0">
        <w:rPr>
          <w:lang w:val="en-GB"/>
        </w:rPr>
        <w:noBreakHyphen/>
      </w:r>
      <w:r w:rsidRPr="0062582F">
        <w:rPr>
          <w:lang w:val="en-GB"/>
        </w:rPr>
        <w:t>profit entities that have assets generating net cash inflows will still need to disclose the information in the shaded columns.]</w:t>
      </w:r>
    </w:p>
    <w:p w:rsidR="004843DB" w:rsidRPr="0062582F" w:rsidRDefault="004843DB" w:rsidP="004843DB">
      <w:pPr>
        <w:pStyle w:val="Notes"/>
      </w:pPr>
      <w:r w:rsidRPr="0062582F">
        <w:t>(ii)</w:t>
      </w:r>
      <w:r w:rsidRPr="0062582F">
        <w:tab/>
        <w:t>CSO adjustments ranging from 50 per cent to 70 per cent were applied to reduce the market approach value for the Department</w:t>
      </w:r>
      <w:r w:rsidR="005A4BB0">
        <w:t>’</w:t>
      </w:r>
      <w:r w:rsidRPr="0062582F">
        <w:t>s specialised land, with the weighted average 60 per cent reduction applied.</w:t>
      </w:r>
    </w:p>
    <w:p w:rsidR="004843DB" w:rsidRPr="0062582F" w:rsidRDefault="004843DB" w:rsidP="004843DB">
      <w:pPr>
        <w:pStyle w:val="Notes"/>
      </w:pPr>
      <w:r w:rsidRPr="0062582F">
        <w:rPr>
          <w:lang w:val="en-GB"/>
        </w:rPr>
        <w:t>(iii)</w:t>
      </w:r>
      <w:r w:rsidRPr="0062582F">
        <w:t xml:space="preserve"> </w:t>
      </w:r>
      <w:r w:rsidRPr="0062582F">
        <w:tab/>
        <w:t>For some heritage and iconic assets, cost may be the reproduction cost of the asset rather than the replacement cost if their service potential could only be replaced by reproducing them with the same materials.</w:t>
      </w:r>
    </w:p>
    <w:p w:rsidR="004843DB" w:rsidRPr="0062582F" w:rsidRDefault="004843DB" w:rsidP="004843DB">
      <w:pPr>
        <w:pStyle w:val="Notes"/>
      </w:pPr>
    </w:p>
    <w:p w:rsidR="004843DB" w:rsidRPr="0062582F" w:rsidRDefault="004843DB" w:rsidP="004843DB">
      <w:pPr>
        <w:pStyle w:val="Notes"/>
        <w:rPr>
          <w:rFonts w:ascii="Garamond" w:hAnsi="Garamond"/>
          <w:i w:val="0"/>
          <w:iCs w:val="0"/>
          <w:sz w:val="22"/>
          <w:szCs w:val="22"/>
        </w:rPr>
      </w:pPr>
      <w:r w:rsidRPr="0062582F">
        <w:rPr>
          <w:rFonts w:ascii="Garamond" w:hAnsi="Garamond"/>
          <w:i w:val="0"/>
          <w:iCs w:val="0"/>
          <w:sz w:val="22"/>
          <w:szCs w:val="22"/>
        </w:rPr>
        <w:t>The significant unobservable inputs have remain unchanged from 2015.</w:t>
      </w:r>
    </w:p>
    <w:p w:rsidR="004843DB" w:rsidRPr="0062582F" w:rsidRDefault="004843DB" w:rsidP="004843DB">
      <w:pPr>
        <w:pStyle w:val="Notes"/>
      </w:pP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Commentary – Property, plant and equipment</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pPr>
      <w:bookmarkStart w:id="456" w:name="_Toc163448782"/>
      <w:bookmarkEnd w:id="455"/>
      <w:r w:rsidRPr="0062582F">
        <w:t>Classes of assets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rPr>
          <w:lang w:val="en-AU"/>
        </w:rPr>
        <w:t>FRD 103F.App.A</w:t>
      </w:r>
    </w:p>
    <w:p w:rsidR="004843DB" w:rsidRPr="0062582F" w:rsidRDefault="004843DB" w:rsidP="004843DB">
      <w:pPr>
        <w:pStyle w:val="CommentaryText"/>
        <w:pBdr>
          <w:top w:val="none" w:sz="0" w:space="0" w:color="auto"/>
          <w:bottom w:val="none" w:sz="0" w:space="0" w:color="auto"/>
        </w:pBdr>
      </w:pPr>
      <w:r w:rsidRPr="0062582F">
        <w:br w:type="column"/>
        <w:t xml:space="preserve">FRD 103F requires that property, plant and equipment are classified primarily by the </w:t>
      </w:r>
      <w:r w:rsidR="005A4BB0">
        <w:t>‘</w:t>
      </w:r>
      <w:r w:rsidRPr="0062582F">
        <w:t>purpose</w:t>
      </w:r>
      <w:r w:rsidR="005A4BB0">
        <w:t>’</w:t>
      </w:r>
      <w:r w:rsidRPr="0062582F">
        <w:t xml:space="preserve"> for which the assets are used, according to one of six purpose groups based on government purpose classifications. All assets in a purpose group are further sub categorised according to the asset</w:t>
      </w:r>
      <w:r w:rsidR="005A4BB0">
        <w:t>’</w:t>
      </w:r>
      <w:r w:rsidRPr="0062582F">
        <w:t xml:space="preserve">s </w:t>
      </w:r>
      <w:r w:rsidR="005A4BB0">
        <w:t>‘</w:t>
      </w:r>
      <w:r w:rsidRPr="0062582F">
        <w:t>nature</w:t>
      </w:r>
      <w:r w:rsidR="005A4BB0">
        <w:t>’</w:t>
      </w:r>
      <w:r w:rsidRPr="0062582F">
        <w:t>, with each sub category being classified as a separate class of asset for financial reporting purposes.</w:t>
      </w:r>
    </w:p>
    <w:p w:rsidR="004843DB" w:rsidRPr="0062582F" w:rsidRDefault="004843DB" w:rsidP="004843DB">
      <w:pPr>
        <w:pStyle w:val="CommentaryText"/>
        <w:pBdr>
          <w:top w:val="none" w:sz="0" w:space="0" w:color="auto"/>
          <w:bottom w:val="none" w:sz="0" w:space="0" w:color="auto"/>
        </w:pBdr>
      </w:pPr>
      <w:r w:rsidRPr="0062582F">
        <w:t xml:space="preserve">The following </w:t>
      </w:r>
      <w:r w:rsidRPr="0062582F">
        <w:rPr>
          <w:b/>
        </w:rPr>
        <w:t>p</w:t>
      </w:r>
      <w:r w:rsidRPr="0062582F">
        <w:rPr>
          <w:b/>
          <w:bCs/>
          <w:iCs/>
        </w:rPr>
        <w:t>urpose groups</w:t>
      </w:r>
      <w:r w:rsidRPr="0062582F">
        <w:t xml:space="preserve"> have been adopted:</w:t>
      </w:r>
    </w:p>
    <w:p w:rsidR="004843DB" w:rsidRPr="0062582F" w:rsidRDefault="004843DB" w:rsidP="004843DB">
      <w:pPr>
        <w:pStyle w:val="CommentaryBullet"/>
      </w:pPr>
      <w:r w:rsidRPr="0062582F">
        <w:t>public administration;</w:t>
      </w:r>
    </w:p>
    <w:p w:rsidR="004843DB" w:rsidRPr="0062582F" w:rsidRDefault="004843DB" w:rsidP="004843DB">
      <w:pPr>
        <w:pStyle w:val="CommentaryBullet"/>
      </w:pPr>
      <w:r w:rsidRPr="0062582F">
        <w:t>education;</w:t>
      </w:r>
    </w:p>
    <w:p w:rsidR="004843DB" w:rsidRPr="0062582F" w:rsidRDefault="004843DB" w:rsidP="004843DB">
      <w:pPr>
        <w:pStyle w:val="CommentaryBullet"/>
      </w:pPr>
      <w:r w:rsidRPr="0062582F">
        <w:t>community housing;</w:t>
      </w:r>
    </w:p>
    <w:p w:rsidR="004843DB" w:rsidRPr="0062582F" w:rsidRDefault="004843DB" w:rsidP="004843DB">
      <w:pPr>
        <w:pStyle w:val="CommentaryBullet"/>
      </w:pPr>
      <w:r w:rsidRPr="0062582F">
        <w:t>health, welfare and community;</w:t>
      </w:r>
    </w:p>
    <w:p w:rsidR="004843DB" w:rsidRPr="0062582F" w:rsidRDefault="004843DB" w:rsidP="004843DB">
      <w:pPr>
        <w:pStyle w:val="CommentaryBullet"/>
      </w:pPr>
      <w:r w:rsidRPr="0062582F">
        <w:t xml:space="preserve">transportation and communications; and </w:t>
      </w:r>
    </w:p>
    <w:p w:rsidR="004843DB" w:rsidRPr="0062582F" w:rsidRDefault="004843DB" w:rsidP="004843DB">
      <w:pPr>
        <w:pStyle w:val="CommentaryBullet"/>
      </w:pPr>
      <w:r w:rsidRPr="0062582F">
        <w:t>public safety and environment.</w:t>
      </w:r>
    </w:p>
    <w:p w:rsidR="004843DB" w:rsidRPr="0062582F" w:rsidRDefault="004843DB" w:rsidP="004843DB">
      <w:pPr>
        <w:pStyle w:val="CommentaryBulle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rPr>
          <w:lang w:val="en-AU"/>
        </w:rPr>
        <w:t>FRD 103F.App.A</w:t>
      </w:r>
    </w:p>
    <w:p w:rsidR="004843DB" w:rsidRPr="0062582F" w:rsidRDefault="004843DB" w:rsidP="004843DB">
      <w:pPr>
        <w:pStyle w:val="CommentaryText"/>
        <w:pBdr>
          <w:top w:val="none" w:sz="0" w:space="0" w:color="auto"/>
          <w:bottom w:val="none" w:sz="0" w:space="0" w:color="auto"/>
        </w:pBdr>
      </w:pPr>
      <w:r w:rsidRPr="0062582F">
        <w:br w:type="column"/>
        <w:t xml:space="preserve">The following </w:t>
      </w:r>
      <w:r w:rsidR="005A4BB0">
        <w:rPr>
          <w:b/>
          <w:bCs/>
          <w:iCs/>
        </w:rPr>
        <w:t>‘</w:t>
      </w:r>
      <w:r w:rsidRPr="0062582F">
        <w:rPr>
          <w:b/>
          <w:bCs/>
          <w:iCs/>
        </w:rPr>
        <w:t>nature</w:t>
      </w:r>
      <w:r w:rsidR="005A4BB0">
        <w:rPr>
          <w:b/>
          <w:bCs/>
          <w:iCs/>
        </w:rPr>
        <w:t>’</w:t>
      </w:r>
      <w:r w:rsidRPr="0062582F">
        <w:t xml:space="preserve"> based sub</w:t>
      </w:r>
      <w:r w:rsidR="005A4BB0">
        <w:noBreakHyphen/>
      </w:r>
      <w:r w:rsidRPr="0062582F">
        <w:t>classes fall in each of the above purpose groups:</w:t>
      </w:r>
    </w:p>
    <w:p w:rsidR="004843DB" w:rsidRPr="0062582F" w:rsidRDefault="004843DB" w:rsidP="004843DB">
      <w:pPr>
        <w:pStyle w:val="CommentaryBullet"/>
      </w:pPr>
      <w:r w:rsidRPr="0062582F">
        <w:t>land – (freehold land/Crown land – national and state parks/Crown land other);</w:t>
      </w:r>
    </w:p>
    <w:p w:rsidR="004843DB" w:rsidRPr="0062582F" w:rsidRDefault="004843DB" w:rsidP="004843DB">
      <w:pPr>
        <w:pStyle w:val="CommentaryBullet"/>
      </w:pPr>
      <w:r w:rsidRPr="0062582F">
        <w:t>buildings;</w:t>
      </w:r>
    </w:p>
    <w:p w:rsidR="004843DB" w:rsidRPr="0062582F" w:rsidRDefault="004843DB" w:rsidP="004843DB">
      <w:pPr>
        <w:pStyle w:val="CommentaryBullet"/>
      </w:pPr>
      <w:r w:rsidRPr="0062582F">
        <w:t>plant, equipment, vehicles and infrastructure systems;</w:t>
      </w:r>
    </w:p>
    <w:p w:rsidR="004843DB" w:rsidRPr="0062582F" w:rsidRDefault="004843DB" w:rsidP="004843DB">
      <w:pPr>
        <w:pStyle w:val="CommentaryBullet"/>
      </w:pPr>
      <w:r w:rsidRPr="0062582F">
        <w:t>road, road infrastructures and earthworks; and</w:t>
      </w:r>
    </w:p>
    <w:p w:rsidR="004843DB" w:rsidRPr="0062582F" w:rsidRDefault="004843DB" w:rsidP="004843DB">
      <w:pPr>
        <w:pStyle w:val="CommentaryBullet"/>
      </w:pPr>
      <w:r w:rsidRPr="0062582F">
        <w:t>cultural assets.</w:t>
      </w:r>
    </w:p>
    <w:p w:rsidR="004843DB" w:rsidRPr="0062582F" w:rsidRDefault="004843DB" w:rsidP="004843DB">
      <w:pPr>
        <w:pStyle w:val="CommentaryText"/>
        <w:pBdr>
          <w:top w:val="none" w:sz="0" w:space="0" w:color="auto"/>
          <w:bottom w:val="none" w:sz="0" w:space="0" w:color="auto"/>
        </w:pBdr>
      </w:pPr>
      <w:r w:rsidRPr="0062582F">
        <w:t xml:space="preserve">For the purpose of this Model, illustrative disclosure is provided only for </w:t>
      </w:r>
      <w:r w:rsidR="005A4BB0">
        <w:t>‘</w:t>
      </w:r>
      <w:r w:rsidRPr="0062582F">
        <w:t>public administration</w:t>
      </w:r>
      <w:r w:rsidR="005A4BB0">
        <w:t>’</w:t>
      </w:r>
      <w:r w:rsidRPr="0062582F">
        <w:t xml:space="preserve"> and </w:t>
      </w:r>
      <w:r w:rsidR="005A4BB0">
        <w:t>‘</w:t>
      </w:r>
      <w:r w:rsidRPr="0062582F">
        <w:t>public safety and environment</w:t>
      </w:r>
      <w:r w:rsidR="005A4BB0">
        <w:t>’</w:t>
      </w:r>
      <w:r w:rsidRPr="0062582F">
        <w:t xml:space="preserve"> purpose groups. Departments may refer to FRD 103F for indications on which purpose groups are relevant to them. Other entities are expected to use their own judgement to determine which purpose groups are appropriate for their property, plant and equipment.</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 xml:space="preserve">FRD 103F.4.3 </w:t>
      </w:r>
    </w:p>
    <w:p w:rsidR="004843DB" w:rsidRPr="0062582F" w:rsidRDefault="004843DB" w:rsidP="004843DB">
      <w:pPr>
        <w:pStyle w:val="CommentaryHeading1"/>
        <w:pBdr>
          <w:top w:val="none" w:sz="0" w:space="0" w:color="auto"/>
          <w:bottom w:val="none" w:sz="0" w:space="0" w:color="auto"/>
        </w:pBdr>
      </w:pPr>
      <w:r w:rsidRPr="0062582F">
        <w:br w:type="column"/>
        <w:t>Measurement of non</w:t>
      </w:r>
      <w:r w:rsidR="005A4BB0">
        <w:noBreakHyphen/>
      </w:r>
      <w:r w:rsidRPr="0062582F">
        <w:t>financial physical assets</w:t>
      </w:r>
    </w:p>
    <w:p w:rsidR="004843DB" w:rsidRPr="0062582F" w:rsidRDefault="004843DB" w:rsidP="004843DB">
      <w:pPr>
        <w:pStyle w:val="CommentaryText"/>
        <w:pBdr>
          <w:top w:val="none" w:sz="0" w:space="0" w:color="auto"/>
          <w:bottom w:val="none" w:sz="0" w:space="0" w:color="auto"/>
        </w:pBdr>
      </w:pPr>
      <w:r w:rsidRPr="0062582F">
        <w:t>FRD 103F requires all non</w:t>
      </w:r>
      <w:r w:rsidR="005A4BB0">
        <w:noBreakHyphen/>
      </w:r>
      <w:r w:rsidRPr="0062582F">
        <w:t>financial physical assets to be subsequently measured using the revaluation model, except for certain limited circumstances, where prior written approval for certain assets was given by the Minister for Finance to be measured using historical cost. These assets are phasing out or in transition towards the revaluation model.</w:t>
      </w:r>
    </w:p>
    <w:p w:rsidR="004843DB" w:rsidRPr="0062582F" w:rsidRDefault="004843DB" w:rsidP="004843DB">
      <w:pPr>
        <w:pStyle w:val="CommentaryHeading1"/>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rPr>
          <w:lang w:val="en-AU"/>
        </w:rPr>
        <w:t xml:space="preserve">FRD 103F App A </w:t>
      </w:r>
    </w:p>
    <w:p w:rsidR="004843DB" w:rsidRPr="0062582F" w:rsidRDefault="004843DB" w:rsidP="004843DB">
      <w:pPr>
        <w:pStyle w:val="Reference"/>
        <w:spacing w:before="0"/>
        <w:rPr>
          <w:lang w:val="en-AU"/>
        </w:rPr>
      </w:pPr>
    </w:p>
    <w:p w:rsidR="004843DB" w:rsidRPr="0062582F" w:rsidRDefault="004843DB" w:rsidP="004843DB">
      <w:pPr>
        <w:pStyle w:val="Reference"/>
        <w:spacing w:before="0"/>
      </w:pPr>
      <w:r w:rsidRPr="0062582F">
        <w:t>AASB 136.Aus32.1</w:t>
      </w:r>
    </w:p>
    <w:p w:rsidR="004843DB" w:rsidRPr="0062582F" w:rsidRDefault="004843DB" w:rsidP="004843DB">
      <w:pPr>
        <w:pStyle w:val="CommentaryHeading1"/>
        <w:pBdr>
          <w:top w:val="none" w:sz="0" w:space="0" w:color="auto"/>
          <w:bottom w:val="none" w:sz="0" w:space="0" w:color="auto"/>
        </w:pBdr>
      </w:pPr>
      <w:r w:rsidRPr="0062582F">
        <w:br w:type="column"/>
        <w:t>Future generation of cash flows</w:t>
      </w:r>
    </w:p>
    <w:p w:rsidR="004843DB" w:rsidRPr="0062582F" w:rsidRDefault="004843DB" w:rsidP="004843DB">
      <w:pPr>
        <w:pStyle w:val="CommentaryText"/>
        <w:pBdr>
          <w:top w:val="none" w:sz="0" w:space="0" w:color="auto"/>
          <w:bottom w:val="none" w:sz="0" w:space="0" w:color="auto"/>
        </w:pBdr>
      </w:pPr>
      <w:r w:rsidRPr="0062582F">
        <w:t>For assets held by not</w:t>
      </w:r>
      <w:r w:rsidR="005A4BB0">
        <w:noBreakHyphen/>
      </w:r>
      <w:r w:rsidRPr="0062582F">
        <w:t>for</w:t>
      </w:r>
      <w:r w:rsidR="005A4BB0">
        <w:noBreakHyphen/>
      </w:r>
      <w:r w:rsidRPr="0062582F">
        <w:t>profit entities where the future economic benefits of an asset are not primarily dependent on the asset</w:t>
      </w:r>
      <w:r w:rsidR="005A4BB0">
        <w:t>’</w:t>
      </w:r>
      <w:r w:rsidRPr="0062582F">
        <w:t>s ability to generate net cash inflows and where the entity would, if deprived of the asset, replace its remaining future economic benefits, fair value can be determined using the asset</w:t>
      </w:r>
      <w:r w:rsidR="005A4BB0">
        <w:t>’</w:t>
      </w:r>
      <w:r w:rsidRPr="0062582F">
        <w:t>s depreciated replacement cost.</w:t>
      </w:r>
    </w:p>
    <w:p w:rsidR="004843DB" w:rsidRPr="0062582F" w:rsidRDefault="004843DB" w:rsidP="004843DB">
      <w:pPr>
        <w:pStyle w:val="CommentaryHeading1"/>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FRD 103F.4.7(A)</w:t>
      </w:r>
    </w:p>
    <w:p w:rsidR="004843DB" w:rsidRPr="0062582F" w:rsidRDefault="004843DB" w:rsidP="004843DB">
      <w:pPr>
        <w:pStyle w:val="CommentaryHeading1"/>
        <w:pBdr>
          <w:top w:val="none" w:sz="0" w:space="0" w:color="auto"/>
        </w:pBdr>
      </w:pPr>
      <w:r w:rsidRPr="0062582F">
        <w:br w:type="column"/>
        <w:t>Revaluations of non</w:t>
      </w:r>
      <w:r w:rsidR="005A4BB0">
        <w:noBreakHyphen/>
      </w:r>
      <w:r w:rsidRPr="0062582F">
        <w:t>financial physical assets</w:t>
      </w:r>
    </w:p>
    <w:p w:rsidR="004843DB" w:rsidRPr="0062582F" w:rsidRDefault="004843DB" w:rsidP="004843DB">
      <w:pPr>
        <w:pStyle w:val="CommentaryText"/>
        <w:pBdr>
          <w:top w:val="none" w:sz="0" w:space="0" w:color="auto"/>
        </w:pBdr>
      </w:pPr>
      <w:r w:rsidRPr="0062582F">
        <w:t xml:space="preserve">Full revaluations shall be made with sufficient regularity to ensure that the carrying amount does not differ materially from its fair value. FRD 103F determines the revaluation cycle to occur every five years, and the timetable for each department for revaluation of each class of asset is set out in Appendix A of this FRD. For further guidance on fair value using revaluation model, entities can refer to </w:t>
      </w:r>
      <w:r w:rsidR="005A4BB0">
        <w:t>‘</w:t>
      </w:r>
      <w:r w:rsidRPr="0062582F">
        <w:t>Guidance on fair value of plant, equipment and vehicles under FRD 103F</w:t>
      </w:r>
      <w:r w:rsidR="005A4BB0">
        <w:t>’</w:t>
      </w:r>
      <w:r w:rsidRPr="0062582F">
        <w:t xml:space="preserve"> available from: </w:t>
      </w:r>
    </w:p>
    <w:p w:rsidR="004843DB" w:rsidRPr="0062582F" w:rsidRDefault="00B934BC" w:rsidP="004843DB">
      <w:pPr>
        <w:pStyle w:val="CommentaryText"/>
        <w:pBdr>
          <w:top w:val="none" w:sz="0" w:space="0" w:color="auto"/>
        </w:pBdr>
        <w:rPr>
          <w:rStyle w:val="Hyperlink"/>
        </w:rPr>
      </w:pPr>
      <w:hyperlink r:id="rId294" w:history="1">
        <w:r w:rsidR="004843DB" w:rsidRPr="0062582F">
          <w:rPr>
            <w:rStyle w:val="Hyperlink"/>
          </w:rPr>
          <w:t>http://www.dtf.vic.gov.au/Publications/Government</w:t>
        </w:r>
        <w:r w:rsidR="005A4BB0">
          <w:rPr>
            <w:rStyle w:val="Hyperlink"/>
          </w:rPr>
          <w:noBreakHyphen/>
        </w:r>
        <w:r w:rsidR="004843DB" w:rsidRPr="0062582F">
          <w:rPr>
            <w:rStyle w:val="Hyperlink"/>
          </w:rPr>
          <w:t>Financial</w:t>
        </w:r>
        <w:r w:rsidR="005A4BB0">
          <w:rPr>
            <w:rStyle w:val="Hyperlink"/>
          </w:rPr>
          <w:noBreakHyphen/>
        </w:r>
        <w:r w:rsidR="004843DB" w:rsidRPr="0062582F">
          <w:rPr>
            <w:rStyle w:val="Hyperlink"/>
          </w:rPr>
          <w:t>Management</w:t>
        </w:r>
        <w:r w:rsidR="005A4BB0">
          <w:rPr>
            <w:rStyle w:val="Hyperlink"/>
          </w:rPr>
          <w:noBreakHyphen/>
        </w:r>
        <w:r w:rsidR="004843DB" w:rsidRPr="0062582F">
          <w:rPr>
            <w:rStyle w:val="Hyperlink"/>
          </w:rPr>
          <w:t>publications/Financial</w:t>
        </w:r>
        <w:r w:rsidR="005A4BB0">
          <w:rPr>
            <w:rStyle w:val="Hyperlink"/>
          </w:rPr>
          <w:noBreakHyphen/>
        </w:r>
        <w:r w:rsidR="004843DB" w:rsidRPr="0062582F">
          <w:rPr>
            <w:rStyle w:val="Hyperlink"/>
          </w:rPr>
          <w:t>reporting</w:t>
        </w:r>
        <w:r w:rsidR="005A4BB0">
          <w:rPr>
            <w:rStyle w:val="Hyperlink"/>
          </w:rPr>
          <w:noBreakHyphen/>
        </w:r>
        <w:r w:rsidR="004843DB" w:rsidRPr="0062582F">
          <w:rPr>
            <w:rStyle w:val="Hyperlink"/>
          </w:rPr>
          <w:t>policy/Financial</w:t>
        </w:r>
        <w:r w:rsidR="005A4BB0">
          <w:rPr>
            <w:rStyle w:val="Hyperlink"/>
          </w:rPr>
          <w:noBreakHyphen/>
        </w:r>
        <w:r w:rsidR="004843DB" w:rsidRPr="0062582F">
          <w:rPr>
            <w:rStyle w:val="Hyperlink"/>
          </w:rPr>
          <w:t>reporting</w:t>
        </w:r>
        <w:r w:rsidR="005A4BB0">
          <w:rPr>
            <w:rStyle w:val="Hyperlink"/>
          </w:rPr>
          <w:noBreakHyphen/>
        </w:r>
        <w:r w:rsidR="004843DB" w:rsidRPr="0062582F">
          <w:rPr>
            <w:rStyle w:val="Hyperlink"/>
          </w:rPr>
          <w:t>directions</w:t>
        </w:r>
        <w:r w:rsidR="005A4BB0">
          <w:rPr>
            <w:rStyle w:val="Hyperlink"/>
          </w:rPr>
          <w:noBreakHyphen/>
        </w:r>
        <w:r w:rsidR="004843DB" w:rsidRPr="0062582F">
          <w:rPr>
            <w:rStyle w:val="Hyperlink"/>
          </w:rPr>
          <w:t>and</w:t>
        </w:r>
        <w:r w:rsidR="005A4BB0">
          <w:rPr>
            <w:rStyle w:val="Hyperlink"/>
          </w:rPr>
          <w:noBreakHyphen/>
        </w:r>
        <w:r w:rsidR="004843DB" w:rsidRPr="0062582F">
          <w:rPr>
            <w:rStyle w:val="Hyperlink"/>
          </w:rPr>
          <w:t>guidance</w:t>
        </w:r>
      </w:hyperlink>
    </w:p>
    <w:p w:rsidR="004843DB" w:rsidRPr="0062582F" w:rsidRDefault="004843DB" w:rsidP="004843DB">
      <w:pPr>
        <w:pStyle w:val="CommentaryText"/>
        <w:pBdr>
          <w:top w:val="none" w:sz="0" w:space="0" w:color="auto"/>
        </w:pBdr>
        <w:rPr>
          <w:sz w:val="4"/>
          <w:szCs w:val="4"/>
        </w:rPr>
      </w:pPr>
    </w:p>
    <w:p w:rsidR="004843DB" w:rsidRPr="0062582F" w:rsidRDefault="004843DB" w:rsidP="004843DB"/>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 xml:space="preserve">Commentary – Property, plant and equipment </w:t>
      </w:r>
      <w:r w:rsidRPr="0062582F">
        <w:rPr>
          <w:i/>
        </w:rPr>
        <w:t>(continued)</w:t>
      </w:r>
    </w:p>
    <w:p w:rsidR="004843DB" w:rsidRPr="0062582F" w:rsidRDefault="004843DB" w:rsidP="004843DB">
      <w:pPr>
        <w:pStyle w:val="SmallLineBlue"/>
      </w:pPr>
    </w:p>
    <w:p w:rsidR="004843DB" w:rsidRPr="0062582F" w:rsidRDefault="004843DB" w:rsidP="004843DB">
      <w:pPr>
        <w:pStyle w:val="SmallLineBlu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 xml:space="preserve">FRD 103F.4.7(b) </w:t>
      </w:r>
    </w:p>
    <w:p w:rsidR="004843DB" w:rsidRPr="0062582F" w:rsidRDefault="004843DB" w:rsidP="004843DB">
      <w:pPr>
        <w:pStyle w:val="CommentaryText"/>
        <w:pBdr>
          <w:top w:val="none" w:sz="0" w:space="0" w:color="auto"/>
          <w:bottom w:val="none" w:sz="0" w:space="0" w:color="auto"/>
        </w:pBdr>
      </w:pPr>
      <w:r w:rsidRPr="0062582F">
        <w:br w:type="column"/>
        <w:t>In a financial year where a full revaluation is not required, entities are still required to conduct fair value assessments to assess whether the asset</w:t>
      </w:r>
      <w:r w:rsidR="005A4BB0">
        <w:t>’</w:t>
      </w:r>
      <w:r w:rsidRPr="0062582F">
        <w:t>s carrying value still materially reflects its fair value. Fair value assessments for land and buildings are determined using separate annual indices for land and buildings supplied by Valuer</w:t>
      </w:r>
      <w:r w:rsidR="005A4BB0">
        <w:noBreakHyphen/>
      </w:r>
      <w:r w:rsidRPr="0062582F">
        <w:t>General Victoria. Further guidance on this can be found in the guidance note of FRD 103F.</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 xml:space="preserve">FRD 103F.4.6 </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t>Assets acquired within 12 months of the revaluation date are exempt from revaluation unless evidence exists that the asset</w:t>
      </w:r>
      <w:r w:rsidR="005A4BB0">
        <w:rPr>
          <w:noProof w:val="0"/>
        </w:rPr>
        <w:t>’</w:t>
      </w:r>
      <w:r w:rsidRPr="0062582F">
        <w:rPr>
          <w:noProof w:val="0"/>
        </w:rPr>
        <w:t xml:space="preserve">s carrying value does not materially reflect its fair value. </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 xml:space="preserve">FRD 103F Guidance </w:t>
      </w:r>
    </w:p>
    <w:p w:rsidR="004843DB" w:rsidRPr="0062582F" w:rsidRDefault="004843DB" w:rsidP="004843DB">
      <w:pPr>
        <w:pStyle w:val="CommentaryHeading2"/>
      </w:pPr>
      <w:r w:rsidRPr="0062582F">
        <w:br w:type="column"/>
        <w:t xml:space="preserve">Treatment of accumulated depreciation on revaluation </w:t>
      </w:r>
    </w:p>
    <w:p w:rsidR="004843DB" w:rsidRPr="0062582F" w:rsidRDefault="004843DB" w:rsidP="004843DB">
      <w:pPr>
        <w:pStyle w:val="CommentaryText"/>
        <w:pBdr>
          <w:top w:val="none" w:sz="0" w:space="0" w:color="auto"/>
          <w:bottom w:val="none" w:sz="0" w:space="0" w:color="auto"/>
        </w:pBdr>
      </w:pPr>
      <w:r w:rsidRPr="0062582F">
        <w:t>To ensure consistency on a whole of state reporting basis, FRD 103F requires that:</w:t>
      </w:r>
    </w:p>
    <w:p w:rsidR="004843DB" w:rsidRPr="0062582F" w:rsidRDefault="004843DB" w:rsidP="004843DB">
      <w:pPr>
        <w:pStyle w:val="CommentaryBullet"/>
      </w:pPr>
      <w:r w:rsidRPr="0062582F">
        <w:t xml:space="preserve">if an asset (such as plant, equipment or vehicles) is measured based on their depreciated replacement cost, an entity is to account for the accumulated depreciation at the date of revaluation by increasing proportionately the accumulated depreciation balance with the increase in the gross carrying amount of the asset, so that the net carrying amount of the asset after revaluation is equal to its revalued amount (gross approach); and </w:t>
      </w:r>
    </w:p>
    <w:p w:rsidR="004843DB" w:rsidRPr="0062582F" w:rsidRDefault="004843DB" w:rsidP="004843DB">
      <w:pPr>
        <w:pStyle w:val="CommentaryBullet"/>
      </w:pPr>
      <w:r w:rsidRPr="0062582F">
        <w:t>if an asset is revalued using other market</w:t>
      </w:r>
      <w:r w:rsidR="005A4BB0">
        <w:noBreakHyphen/>
      </w:r>
      <w:r w:rsidRPr="0062582F">
        <w:t>based revaluation model, an entity is to account for the accumulated depreciation at the date of the revaluation by eliminating the accumulated depreciation balance against the gross carrying amount of the asset and increasing the net carrying amount to the revalued amount of the asset (net approach).</w:t>
      </w:r>
      <w:r w:rsidRPr="0062582F">
        <w:rPr>
          <w:rFonts w:ascii="Calibri" w:hAnsi="Calibri" w:cs="Arial"/>
          <w:b/>
          <w:bCs/>
        </w:rPr>
        <w:t xml:space="preserve"> </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spacing w:before="200"/>
      </w:pPr>
    </w:p>
    <w:p w:rsidR="004843DB" w:rsidRPr="0062582F" w:rsidRDefault="004843DB" w:rsidP="004843DB">
      <w:pPr>
        <w:pStyle w:val="Reference"/>
      </w:pPr>
      <w:r w:rsidRPr="0062582F">
        <w:t>AASB 13.91</w:t>
      </w:r>
      <w:r w:rsidR="005A4BB0">
        <w:noBreakHyphen/>
      </w:r>
      <w:r w:rsidRPr="0062582F">
        <w:t>99</w:t>
      </w:r>
    </w:p>
    <w:p w:rsidR="004843DB" w:rsidRPr="0062582F" w:rsidRDefault="004843DB" w:rsidP="004843DB">
      <w:pPr>
        <w:pStyle w:val="CommentaryHeading2"/>
        <w:rPr>
          <w:rFonts w:cs="Tahoma"/>
        </w:rPr>
      </w:pPr>
      <w:r w:rsidRPr="0062582F">
        <w:br w:type="column"/>
        <w:t>Fair value disclosures</w:t>
      </w:r>
      <w:r w:rsidRPr="0062582F">
        <w:rPr>
          <w:rFonts w:cs="Tahoma"/>
        </w:rPr>
        <w:t xml:space="preserve"> </w:t>
      </w:r>
    </w:p>
    <w:p w:rsidR="004843DB" w:rsidRPr="0062582F" w:rsidRDefault="004843DB" w:rsidP="004843DB">
      <w:pPr>
        <w:pStyle w:val="CommentaryText"/>
        <w:pBdr>
          <w:top w:val="none" w:sz="0" w:space="0" w:color="auto"/>
          <w:bottom w:val="none" w:sz="0" w:space="0" w:color="auto"/>
        </w:pBdr>
      </w:pPr>
      <w:r w:rsidRPr="0062582F">
        <w:t>Refer Note 15 Commentary on fair value disclosures.</w:t>
      </w: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13.83</w:t>
      </w:r>
    </w:p>
    <w:p w:rsidR="004843DB" w:rsidRPr="0062582F" w:rsidRDefault="004843DB" w:rsidP="004843DB">
      <w:pPr>
        <w:pStyle w:val="CommentaryHeading2"/>
        <w:rPr>
          <w:b w:val="0"/>
        </w:rPr>
      </w:pPr>
      <w:r w:rsidRPr="0062582F">
        <w:br w:type="column"/>
        <w:t xml:space="preserve">Additional guidance on levelling inputs </w:t>
      </w:r>
    </w:p>
    <w:p w:rsidR="004843DB" w:rsidRPr="0062582F" w:rsidRDefault="004843DB" w:rsidP="004843DB">
      <w:pPr>
        <w:pStyle w:val="CommentaryText"/>
        <w:pBdr>
          <w:top w:val="none" w:sz="0" w:space="0" w:color="auto"/>
          <w:bottom w:val="none" w:sz="0" w:space="0" w:color="auto"/>
        </w:pBdr>
      </w:pPr>
      <w:r w:rsidRPr="0062582F">
        <w:t xml:space="preserve">AASB 13 acknowledges that, unlike a Level 1 input, adjustments to Level 2 inputs may be more common, but will vary depending on the factors specific to the asset or liability. </w:t>
      </w:r>
    </w:p>
    <w:p w:rsidR="004843DB" w:rsidRPr="0062582F" w:rsidRDefault="004843DB" w:rsidP="004843DB">
      <w:pPr>
        <w:pStyle w:val="CommentaryText"/>
        <w:pBdr>
          <w:top w:val="none" w:sz="0" w:space="0" w:color="auto"/>
          <w:bottom w:val="none" w:sz="0" w:space="0" w:color="auto"/>
        </w:pBdr>
      </w:pPr>
      <w:r w:rsidRPr="0062582F">
        <w:t>There are a number of reasons why an entity may need to make adjustments to Level 2 inputs. Adjustments to observable data from inactive markets, for example, might be required for timing differences between the transaction date and the measurement date, or differences between the asset being measured and a similar asset that was the subject of the transaction. In addition, factors such as the condition or location of an asset should also be considered when determining if adjustments to Level 2 inputs are warranted.</w:t>
      </w:r>
    </w:p>
    <w:p w:rsidR="004843DB" w:rsidRPr="0062582F" w:rsidRDefault="004843DB" w:rsidP="004843DB">
      <w:pPr>
        <w:pStyle w:val="CommentaryText"/>
        <w:pBdr>
          <w:top w:val="none" w:sz="0" w:space="0" w:color="auto"/>
          <w:bottom w:val="none" w:sz="0" w:space="0" w:color="auto"/>
        </w:pBdr>
      </w:pPr>
      <w:r w:rsidRPr="0062582F">
        <w:t>If an adjustment to a Level 2 input is significant to the entire fair value measurement, it may affect the fair value measurement</w:t>
      </w:r>
      <w:r w:rsidR="005A4BB0">
        <w:t>’</w:t>
      </w:r>
      <w:r w:rsidRPr="0062582F">
        <w:t>s categorisation within the fair value hierarchy for disclosure purposes. If the adjustment uses significant unobservable inputs, it would need to be categorised within Level 3 of the hierarchy.</w:t>
      </w:r>
    </w:p>
    <w:p w:rsidR="004843DB" w:rsidRPr="0062582F" w:rsidRDefault="004843DB" w:rsidP="004843DB">
      <w:pPr>
        <w:pStyle w:val="CommentaryText"/>
        <w:pBdr>
          <w:top w:val="none" w:sz="0" w:space="0" w:color="auto"/>
          <w:bottom w:val="none" w:sz="0" w:space="0" w:color="auto"/>
        </w:pBdr>
      </w:pPr>
      <w:r w:rsidRPr="0062582F">
        <w:t xml:space="preserve">For example, at Table 17.7 and Table 17.8, the </w:t>
      </w:r>
      <w:r w:rsidR="005A4BB0">
        <w:t>‘</w:t>
      </w:r>
      <w:r w:rsidRPr="0062582F">
        <w:t>specialised land</w:t>
      </w:r>
      <w:r w:rsidR="005A4BB0">
        <w:t>’</w:t>
      </w:r>
      <w:r w:rsidRPr="0062582F">
        <w:t xml:space="preserve"> has been categorised within Level 3 of the fair value hierarchy. This was a direct result of the significant adjustment to Level 2 inputs (observable indirectly through corroboration with market data) for community service obligation (CSO) which was derived based on significant unobservable inputs. This can be contrasted with categorisation of </w:t>
      </w:r>
      <w:r w:rsidR="005A4BB0">
        <w:t>‘</w:t>
      </w:r>
      <w:r w:rsidRPr="0062582F">
        <w:t>non</w:t>
      </w:r>
      <w:r w:rsidR="005A4BB0">
        <w:noBreakHyphen/>
      </w:r>
      <w:r w:rsidRPr="0062582F">
        <w:t xml:space="preserve"> specialised land</w:t>
      </w:r>
      <w:r w:rsidR="005A4BB0">
        <w:t>’</w:t>
      </w:r>
      <w:r w:rsidRPr="0062582F">
        <w:t>, where no significant adjustments in similar vein to CSO were made to Level 2 inputs.</w:t>
      </w:r>
    </w:p>
    <w:p w:rsidR="004843DB" w:rsidRPr="0062582F" w:rsidRDefault="004843DB" w:rsidP="004843DB">
      <w:pPr>
        <w:ind w:right="30"/>
        <w:rPr>
          <w:rFonts w:ascii="Calibri" w:hAnsi="Calibri"/>
          <w:b/>
          <w:bCs/>
          <w:i/>
          <w:noProof/>
          <w:color w:val="0000FF"/>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13.6</w:t>
      </w:r>
    </w:p>
    <w:p w:rsidR="004843DB" w:rsidRPr="0062582F" w:rsidRDefault="004843DB" w:rsidP="004843DB">
      <w:pPr>
        <w:pStyle w:val="CommentaryText"/>
        <w:pBdr>
          <w:top w:val="none" w:sz="0" w:space="0" w:color="auto"/>
        </w:pBdr>
        <w:rPr>
          <w:rFonts w:ascii="Calibri" w:hAnsi="Calibri" w:cs="Arial"/>
          <w:b/>
          <w:bCs/>
          <w:i/>
        </w:rPr>
      </w:pPr>
      <w:r w:rsidRPr="0062582F">
        <w:br w:type="column"/>
      </w:r>
      <w:r w:rsidRPr="0062582F">
        <w:rPr>
          <w:rFonts w:ascii="Calibri" w:hAnsi="Calibri" w:cs="Arial"/>
          <w:b/>
          <w:bCs/>
          <w:i/>
        </w:rPr>
        <w:t>Leasing transactions within the scope of AASB 117</w:t>
      </w:r>
    </w:p>
    <w:p w:rsidR="004843DB" w:rsidRPr="0062582F" w:rsidRDefault="004843DB" w:rsidP="004843DB">
      <w:pPr>
        <w:pStyle w:val="CommentaryText"/>
        <w:pBdr>
          <w:top w:val="none" w:sz="0" w:space="0" w:color="auto"/>
        </w:pBdr>
      </w:pPr>
      <w:r w:rsidRPr="0062582F">
        <w:t xml:space="preserve">The measurement and disclosure requirements of AASB 13 do not apply to leased property plant and equipment. The statement above with reference to the fair value of leases has been included in order to allow the user of the financial statements to reconcile the total value of </w:t>
      </w:r>
      <w:r w:rsidR="005A4BB0">
        <w:t>‘</w:t>
      </w:r>
      <w:r w:rsidRPr="0062582F">
        <w:t>land at fair value</w:t>
      </w:r>
      <w:r w:rsidR="005A4BB0">
        <w:t>’</w:t>
      </w:r>
      <w:r w:rsidRPr="0062582F">
        <w:t xml:space="preserve"> as per Table 17.1 in the Model accounts to the detailed table as per Table 17.7 and Table 17.8 above.</w:t>
      </w:r>
    </w:p>
    <w:p w:rsidR="004843DB" w:rsidRPr="0062582F" w:rsidRDefault="004843DB" w:rsidP="004843DB">
      <w:pPr>
        <w:tabs>
          <w:tab w:val="left" w:pos="8964"/>
        </w:tabs>
        <w:rPr>
          <w:rFonts w:asciiTheme="minorHAnsi" w:hAnsiTheme="minorHAnsi" w:cstheme="minorHAnsi"/>
          <w:sz w:val="20"/>
        </w:rPr>
      </w:pPr>
    </w:p>
    <w:p w:rsidR="004843DB" w:rsidRPr="0062582F" w:rsidRDefault="004843DB" w:rsidP="004843DB">
      <w:pPr>
        <w:pStyle w:val="SmallLine"/>
      </w:pPr>
      <w:r w:rsidRPr="0062582F">
        <w:br w:type="column"/>
      </w:r>
    </w:p>
    <w:p w:rsidR="004843DB" w:rsidRPr="0062582F" w:rsidRDefault="004843DB" w:rsidP="004843DB">
      <w:pPr>
        <w:pStyle w:val="ReferenceRed"/>
      </w:pPr>
    </w:p>
    <w:p w:rsidR="004843DB" w:rsidRPr="0062582F" w:rsidRDefault="004843DB" w:rsidP="004843DB">
      <w:pPr>
        <w:pStyle w:val="SmallLine"/>
      </w:pPr>
      <w:r w:rsidRPr="0062582F">
        <w:rPr>
          <w:b/>
          <w:bCs/>
          <w:i/>
          <w:noProof/>
          <w:sz w:val="22"/>
          <w:szCs w:val="22"/>
        </w:rPr>
        <w:br w:type="column"/>
      </w:r>
    </w:p>
    <w:p w:rsidR="004843DB" w:rsidRPr="0062582F" w:rsidRDefault="004843DB" w:rsidP="004843DB">
      <w:pPr>
        <w:pStyle w:val="CommentaryHeading"/>
        <w:rPr>
          <w:i/>
        </w:rPr>
      </w:pPr>
      <w:r w:rsidRPr="0062582F">
        <w:t xml:space="preserve">Commentary – Property, plant and equipment </w:t>
      </w:r>
      <w:r w:rsidRPr="0062582F">
        <w:rPr>
          <w:i/>
        </w:rPr>
        <w:t>(continued)</w:t>
      </w:r>
    </w:p>
    <w:p w:rsidR="004843DB" w:rsidRPr="0062582F" w:rsidRDefault="004843DB" w:rsidP="004843DB">
      <w:pPr>
        <w:pStyle w:val="SmallLineBlue"/>
      </w:pP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t>AASB 13. Aus93.1</w:t>
      </w:r>
    </w:p>
    <w:p w:rsidR="004843DB" w:rsidRDefault="004843DB" w:rsidP="004843DB">
      <w:pPr>
        <w:pStyle w:val="Reference"/>
        <w:spacing w:before="0"/>
      </w:pPr>
    </w:p>
    <w:p w:rsidR="004843DB" w:rsidRDefault="004843DB" w:rsidP="004843DB">
      <w:pPr>
        <w:pStyle w:val="Reference"/>
        <w:spacing w:before="0"/>
      </w:pPr>
    </w:p>
    <w:p w:rsidR="004843DB" w:rsidRPr="008D7BA2" w:rsidRDefault="004843DB" w:rsidP="004843DB">
      <w:pPr>
        <w:pStyle w:val="Reference"/>
        <w:spacing w:before="0"/>
        <w:rPr>
          <w:color w:val="FF0000"/>
        </w:rPr>
      </w:pPr>
      <w:r w:rsidRPr="008D7BA2">
        <w:rPr>
          <w:color w:val="FF0000"/>
        </w:rPr>
        <w:t>Revised</w:t>
      </w:r>
    </w:p>
    <w:p w:rsidR="004843DB" w:rsidRPr="0062582F" w:rsidRDefault="004843DB" w:rsidP="004843DB">
      <w:pPr>
        <w:pStyle w:val="CommentaryHeading2"/>
      </w:pPr>
      <w:r w:rsidRPr="0062582F">
        <w:br w:type="column"/>
        <w:t xml:space="preserve">Exemption from disclosing quantitative information of Level 3 inputs </w:t>
      </w:r>
    </w:p>
    <w:p w:rsidR="004843DB" w:rsidRPr="0062582F" w:rsidRDefault="004843DB" w:rsidP="004843DB">
      <w:pPr>
        <w:pStyle w:val="CommentaryText"/>
        <w:pBdr>
          <w:top w:val="none" w:sz="0" w:space="0" w:color="auto"/>
          <w:bottom w:val="none" w:sz="0" w:space="0" w:color="auto"/>
        </w:pBdr>
      </w:pPr>
      <w:r w:rsidRPr="0062582F">
        <w:t>In July 2015, the Australian Accounting Standards Board released AASB 2015</w:t>
      </w:r>
      <w:r w:rsidR="005A4BB0">
        <w:noBreakHyphen/>
      </w:r>
      <w:r w:rsidRPr="0062582F">
        <w:t xml:space="preserve">7 </w:t>
      </w:r>
      <w:r w:rsidRPr="0062582F">
        <w:rPr>
          <w:i/>
        </w:rPr>
        <w:t>Amendments to Australian Accounting Standards – Fair Value Disclosures of Not</w:t>
      </w:r>
      <w:r w:rsidR="005A4BB0">
        <w:rPr>
          <w:i/>
        </w:rPr>
        <w:noBreakHyphen/>
      </w:r>
      <w:r w:rsidRPr="0062582F">
        <w:rPr>
          <w:i/>
        </w:rPr>
        <w:t>for</w:t>
      </w:r>
      <w:r w:rsidR="005A4BB0">
        <w:rPr>
          <w:i/>
        </w:rPr>
        <w:noBreakHyphen/>
      </w:r>
      <w:r w:rsidRPr="0062582F">
        <w:rPr>
          <w:i/>
        </w:rPr>
        <w:t>Profit Public Sector Entities</w:t>
      </w:r>
      <w:r w:rsidRPr="0062582F">
        <w:t xml:space="preserve">, which applies from 1 July 2016. Early adoption was permitted. </w:t>
      </w:r>
    </w:p>
    <w:p w:rsidR="004843DB" w:rsidRPr="0062582F" w:rsidRDefault="004843DB" w:rsidP="004843DB">
      <w:pPr>
        <w:pStyle w:val="CommentaryText"/>
        <w:pBdr>
          <w:top w:val="none" w:sz="0" w:space="0" w:color="auto"/>
          <w:bottom w:val="none" w:sz="0" w:space="0" w:color="auto"/>
        </w:pBdr>
      </w:pPr>
      <w:r w:rsidRPr="0062582F">
        <w:t>The Department of Treasury and Finance sought ministerial approval to allow not</w:t>
      </w:r>
      <w:r w:rsidR="005A4BB0">
        <w:noBreakHyphen/>
      </w:r>
      <w:r w:rsidRPr="0062582F">
        <w:t>for</w:t>
      </w:r>
      <w:r w:rsidR="005A4BB0">
        <w:noBreakHyphen/>
      </w:r>
      <w:r w:rsidRPr="0062582F">
        <w:t>profit public sector entities to early adopt this amending standard and gain certain reporting relief of fair value disclosures. The State early adopted AASB 2015</w:t>
      </w:r>
      <w:r w:rsidR="005A4BB0">
        <w:noBreakHyphen/>
      </w:r>
      <w:r w:rsidRPr="0062582F">
        <w:t>7 in the 2014</w:t>
      </w:r>
      <w:r w:rsidR="005A4BB0">
        <w:noBreakHyphen/>
      </w:r>
      <w:r w:rsidRPr="0062582F">
        <w:t>15 reporting period and as a result all not</w:t>
      </w:r>
      <w:r w:rsidR="005A4BB0">
        <w:noBreakHyphen/>
      </w:r>
      <w:r w:rsidRPr="0062582F">
        <w:t>for</w:t>
      </w:r>
      <w:r w:rsidR="005A4BB0">
        <w:noBreakHyphen/>
      </w:r>
      <w:r w:rsidRPr="0062582F">
        <w:t>profit entities must now comply this amending standard for the current financial year. This amending standard is not applicable for assets that are held for cash generating purposes.</w:t>
      </w:r>
    </w:p>
    <w:p w:rsidR="004843DB" w:rsidRPr="0062582F" w:rsidRDefault="004843DB" w:rsidP="004843DB">
      <w:pPr>
        <w:pStyle w:val="CommentaryText"/>
        <w:pBdr>
          <w:top w:val="none" w:sz="0" w:space="0" w:color="auto"/>
          <w:bottom w:val="none" w:sz="0" w:space="0" w:color="auto"/>
        </w:pBdr>
      </w:pPr>
      <w:r w:rsidRPr="0062582F">
        <w:t>Specifically, paragraph Aus93.1 exempts not</w:t>
      </w:r>
      <w:r w:rsidR="005A4BB0">
        <w:noBreakHyphen/>
      </w:r>
      <w:r w:rsidRPr="0062582F">
        <w:t>for</w:t>
      </w:r>
      <w:r w:rsidR="005A4BB0">
        <w:noBreakHyphen/>
      </w:r>
      <w:r w:rsidRPr="0062582F">
        <w:t xml:space="preserve">profit public sector entities from applying the requirements in AASB 13.93(d) if the entity has assets within the scope of AASB 116 </w:t>
      </w:r>
      <w:r w:rsidRPr="0062582F">
        <w:rPr>
          <w:i/>
        </w:rPr>
        <w:t>Property, Plant and Equipment</w:t>
      </w:r>
      <w:r w:rsidRPr="0062582F">
        <w:t xml:space="preserve"> for which the future economic benefits are not primarily dependent on the asset</w:t>
      </w:r>
      <w:r w:rsidR="005A4BB0">
        <w:t>’</w:t>
      </w:r>
      <w:r w:rsidRPr="0062582F">
        <w:t xml:space="preserve">s ability to generate net cash flows. Specifically, for fair value measurements that have been categorised within Level 3 of the fair value hierarchy, the entity will no longer be required to provide quantitative information about the </w:t>
      </w:r>
      <w:r w:rsidR="005A4BB0">
        <w:t>‘</w:t>
      </w:r>
      <w:r w:rsidRPr="0062582F">
        <w:t>significant unobservable inputs</w:t>
      </w:r>
      <w:r w:rsidR="005A4BB0">
        <w:t>’</w:t>
      </w:r>
      <w:r w:rsidRPr="0062582F">
        <w:t xml:space="preserve"> used in the fair value measurement. </w:t>
      </w:r>
    </w:p>
    <w:p w:rsidR="004843DB" w:rsidRPr="0062582F" w:rsidRDefault="004843DB" w:rsidP="004843DB">
      <w:pPr>
        <w:pStyle w:val="CommentaryHeading2"/>
      </w:pPr>
      <w:r w:rsidRPr="0062582F">
        <w:rPr>
          <w:rFonts w:ascii="Garamond" w:hAnsi="Garamond" w:cs="Tahoma"/>
          <w:b w:val="0"/>
          <w:bCs w:val="0"/>
          <w:i w:val="0"/>
        </w:rPr>
        <w:t>However, it is important to note that entities will still be required to provide a description of the valuation techniques and the input used in the fair value measurement</w:t>
      </w:r>
      <w:r w:rsidRPr="0062582F">
        <w:rPr>
          <w:b w:val="0"/>
        </w:rPr>
        <w:t>.</w:t>
      </w:r>
      <w:r w:rsidRPr="0062582F">
        <w:t xml:space="preserve"> </w:t>
      </w:r>
    </w:p>
    <w:p w:rsidR="004843DB" w:rsidRPr="0062582F" w:rsidRDefault="004843DB" w:rsidP="004843DB">
      <w:pPr>
        <w:pStyle w:val="CommentaryHeading2"/>
        <w:rPr>
          <w:rFonts w:ascii="Garamond" w:hAnsi="Garamond" w:cs="Tahoma"/>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13.66</w:t>
      </w:r>
    </w:p>
    <w:p w:rsidR="004843DB" w:rsidRPr="0062582F" w:rsidRDefault="004843DB" w:rsidP="004843DB">
      <w:pPr>
        <w:pStyle w:val="CommentaryHeading1"/>
        <w:pBdr>
          <w:top w:val="none" w:sz="0" w:space="0" w:color="auto"/>
          <w:bottom w:val="none" w:sz="0" w:space="0" w:color="auto"/>
        </w:pBdr>
      </w:pPr>
      <w:r w:rsidRPr="0062582F">
        <w:br w:type="column"/>
      </w:r>
      <w:r w:rsidRPr="0062582F">
        <w:rPr>
          <w:i/>
        </w:rPr>
        <w:t>Changes in valuation techniques</w:t>
      </w:r>
      <w:r w:rsidRPr="0062582F">
        <w:rPr>
          <w:noProof w:val="0"/>
        </w:rPr>
        <w:t xml:space="preserve"> </w:t>
      </w:r>
    </w:p>
    <w:p w:rsidR="004843DB" w:rsidRPr="0062582F" w:rsidRDefault="004843DB" w:rsidP="004843DB">
      <w:pPr>
        <w:pStyle w:val="CommentaryText"/>
        <w:pBdr>
          <w:top w:val="none" w:sz="0" w:space="0" w:color="auto"/>
          <w:bottom w:val="none" w:sz="0" w:space="0" w:color="auto"/>
        </w:pBdr>
      </w:pPr>
      <w:r w:rsidRPr="0062582F">
        <w:t>Revisions resulting from a change in the valuation technique or its application shall be accounted for as a change in accounting estimate in accordance with AASB </w:t>
      </w:r>
      <w:hyperlink r:id="rId295" w:anchor="TPS.AAAS_AASB_108" w:tgtFrame="main" w:history="1">
        <w:r w:rsidRPr="0062582F">
          <w:t>108</w:t>
        </w:r>
      </w:hyperlink>
      <w:r w:rsidRPr="0062582F">
        <w:t>. However, entities are exempted from the disclosure requirements in paragraphs 39 and 40 of AASB </w:t>
      </w:r>
      <w:hyperlink r:id="rId296" w:anchor="TPS.AAAS_AASB_108" w:tgtFrame="main" w:history="1">
        <w:r w:rsidRPr="0062582F">
          <w:t>108</w:t>
        </w:r>
      </w:hyperlink>
      <w:r w:rsidRPr="0062582F">
        <w:t xml:space="preserve"> for changes in valuation techniques.</w:t>
      </w:r>
    </w:p>
    <w:p w:rsidR="004843DB" w:rsidRPr="0062582F" w:rsidRDefault="004843DB" w:rsidP="004843DB">
      <w:pPr>
        <w:pStyle w:val="CommentaryHeading1"/>
        <w:pBdr>
          <w:top w:val="none" w:sz="0" w:space="0" w:color="auto"/>
          <w:bottom w:val="none" w:sz="0" w:space="0" w:color="auto"/>
        </w:pBdr>
        <w:rPr>
          <w:i/>
        </w:rPr>
      </w:pPr>
      <w:r w:rsidRPr="0062582F">
        <w:rPr>
          <w:i/>
        </w:rPr>
        <w:t>Highest and best use</w:t>
      </w:r>
    </w:p>
    <w:p w:rsidR="004843DB" w:rsidRPr="0062582F" w:rsidRDefault="004843DB" w:rsidP="004843DB">
      <w:pPr>
        <w:pStyle w:val="CommentaryText"/>
        <w:pBdr>
          <w:top w:val="none" w:sz="0" w:space="0" w:color="auto"/>
          <w:bottom w:val="none" w:sz="0" w:space="0" w:color="auto"/>
        </w:pBdr>
        <w:rPr>
          <w:i/>
        </w:rPr>
      </w:pPr>
      <w:r w:rsidRPr="0062582F">
        <w:t>Refer to Note 1 commentary – summary of significant accounting policies for guidance on highest and best use.</w:t>
      </w:r>
    </w:p>
    <w:p w:rsidR="004843DB" w:rsidRPr="0062582F" w:rsidRDefault="004843DB" w:rsidP="004843DB">
      <w:pPr>
        <w:pStyle w:val="CommentaryHeading1"/>
        <w:rPr>
          <w:i/>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40"/>
      </w:pPr>
      <w:r w:rsidRPr="0062582F">
        <w:t>AASB 13.93(e)</w:t>
      </w:r>
    </w:p>
    <w:p w:rsidR="004843DB" w:rsidRPr="0062582F" w:rsidRDefault="004843DB" w:rsidP="004843DB">
      <w:pPr>
        <w:pStyle w:val="CommentaryHeading1"/>
        <w:pBdr>
          <w:top w:val="none" w:sz="0" w:space="0" w:color="auto"/>
          <w:bottom w:val="none" w:sz="0" w:space="0" w:color="auto"/>
        </w:pBdr>
        <w:rPr>
          <w:i/>
        </w:rPr>
      </w:pPr>
      <w:r w:rsidRPr="0062582F">
        <w:rPr>
          <w:i/>
        </w:rPr>
        <w:br w:type="column"/>
        <w:t>Reconciliation of Level 3 fair value</w:t>
      </w:r>
    </w:p>
    <w:p w:rsidR="004843DB" w:rsidRPr="0062582F" w:rsidRDefault="004843DB" w:rsidP="004843DB">
      <w:pPr>
        <w:pStyle w:val="CommentaryText"/>
        <w:pBdr>
          <w:top w:val="none" w:sz="0" w:space="0" w:color="auto"/>
          <w:bottom w:val="none" w:sz="0" w:space="0" w:color="auto"/>
        </w:pBdr>
      </w:pPr>
      <w:r w:rsidRPr="0062582F">
        <w:t>For recurring fair value measurements categorised within Level 3 of the fair value hierarchy, a reconciliation from the opening balances to the closing balances, disclosing separately changes during the period attributable to the following:</w:t>
      </w:r>
    </w:p>
    <w:p w:rsidR="004843DB" w:rsidRPr="0062582F" w:rsidRDefault="004843DB" w:rsidP="004843DB">
      <w:pPr>
        <w:pStyle w:val="CommentaryTextIndent"/>
        <w:pBdr>
          <w:top w:val="none" w:sz="0" w:space="0" w:color="auto"/>
        </w:pBdr>
      </w:pPr>
      <w:r w:rsidRPr="0062582F">
        <w:t xml:space="preserve">(i) </w:t>
      </w:r>
      <w:r w:rsidRPr="0062582F">
        <w:tab/>
        <w:t>total gains or losses for the period recognised in profit or loss, and the line item(s) in profit or loss in which those gains or losses are recognised.</w:t>
      </w:r>
    </w:p>
    <w:p w:rsidR="004843DB" w:rsidRPr="0062582F" w:rsidRDefault="004843DB" w:rsidP="004843DB">
      <w:pPr>
        <w:pStyle w:val="CommentaryTextIndent"/>
        <w:pBdr>
          <w:top w:val="none" w:sz="0" w:space="0" w:color="auto"/>
        </w:pBdr>
      </w:pPr>
      <w:r w:rsidRPr="0062582F">
        <w:t xml:space="preserve">(ii) </w:t>
      </w:r>
      <w:r w:rsidRPr="0062582F">
        <w:tab/>
        <w:t>total gains or losses for the period recognised in other comprehensive income, and the line item(s) in other comprehensive income in which those gains or losses are recognised.</w:t>
      </w:r>
    </w:p>
    <w:p w:rsidR="004843DB" w:rsidRPr="0062582F" w:rsidRDefault="004843DB" w:rsidP="004843DB">
      <w:pPr>
        <w:pStyle w:val="CommentaryTextIndent"/>
        <w:pBdr>
          <w:top w:val="none" w:sz="0" w:space="0" w:color="auto"/>
        </w:pBdr>
      </w:pPr>
      <w:r w:rsidRPr="0062582F">
        <w:t xml:space="preserve">(iii) </w:t>
      </w:r>
      <w:r w:rsidRPr="0062582F">
        <w:tab/>
        <w:t>purchases, sales, issues and settlements (each of those types of changes disclosed separately).</w:t>
      </w:r>
    </w:p>
    <w:p w:rsidR="004843DB" w:rsidRPr="0062582F" w:rsidRDefault="004843DB" w:rsidP="004843DB">
      <w:pPr>
        <w:pStyle w:val="CommentaryTextIndent"/>
        <w:pBdr>
          <w:top w:val="none" w:sz="0" w:space="0" w:color="auto"/>
        </w:pBdr>
      </w:pPr>
      <w:r w:rsidRPr="0062582F">
        <w:t xml:space="preserve">(iv) </w:t>
      </w:r>
      <w:r w:rsidRPr="0062582F">
        <w:tab/>
        <w:t>the amounts of any transfers into or out of Level 3 of the fair value hierarchy, the reasons for those transfers and the entity</w:t>
      </w:r>
      <w:r w:rsidR="005A4BB0">
        <w:t>’</w:t>
      </w:r>
      <w:r w:rsidRPr="0062582F">
        <w:t>s policy for determining when transfers between levels are deemed to have occurred (see paragraph 95). Transfers into Level 3 shall be disclosed and discussed separately from transfers out of Level 3.</w:t>
      </w:r>
    </w:p>
    <w:p w:rsidR="004843DB" w:rsidRPr="0062582F" w:rsidRDefault="004843DB" w:rsidP="004843DB">
      <w:pPr>
        <w:pStyle w:val="CommentaryText"/>
        <w:pBdr>
          <w:top w:val="none" w:sz="0" w:space="0" w:color="auto"/>
        </w:pBdr>
      </w:pPr>
    </w:p>
    <w:p w:rsidR="004843DB" w:rsidRPr="0062582F" w:rsidRDefault="004843DB" w:rsidP="004843DB">
      <w:pPr>
        <w:pStyle w:val="ReferenceRed"/>
      </w:pP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rPr>
          <w:i/>
        </w:rPr>
      </w:pPr>
      <w:r w:rsidRPr="0062582F">
        <w:t xml:space="preserve">Commentary – Property, plant and equipment </w:t>
      </w:r>
      <w:r w:rsidRPr="0062582F">
        <w:rPr>
          <w:i/>
        </w:rPr>
        <w:t>(continued)</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rPr>
          <w:rFonts w:ascii="Garamond" w:hAnsi="Garamond" w:cs="Tahoma"/>
          <w:b w:val="0"/>
          <w:bCs w:val="0"/>
        </w:rPr>
      </w:pPr>
      <w:r w:rsidRPr="0062582F">
        <w:rPr>
          <w:i/>
        </w:rPr>
        <w:t xml:space="preserve">Exemption from disclosing sensitivity analysis for Level 3 fair value measurement </w:t>
      </w:r>
    </w:p>
    <w:p w:rsidR="004843DB" w:rsidRPr="0062582F" w:rsidRDefault="004843DB" w:rsidP="004843DB">
      <w:pPr>
        <w:pStyle w:val="CommentaryText"/>
        <w:pBdr>
          <w:top w:val="none" w:sz="0" w:space="0" w:color="auto"/>
          <w:bottom w:val="none" w:sz="0" w:space="0" w:color="auto"/>
        </w:pBdr>
      </w:pPr>
      <w:r w:rsidRPr="0062582F">
        <w:t>For all recurring non</w:t>
      </w:r>
      <w:r w:rsidR="005A4BB0">
        <w:noBreakHyphen/>
      </w:r>
      <w:r w:rsidRPr="0062582F">
        <w:t>financial assets that are measured at Level 3 fair value measurement and are held not primarily dependent on the asset</w:t>
      </w:r>
      <w:r w:rsidR="005A4BB0">
        <w:t>’</w:t>
      </w:r>
      <w:r w:rsidRPr="0062582F">
        <w:t xml:space="preserve">s ability to generate net cash inflows, an entity is </w:t>
      </w:r>
      <w:r w:rsidRPr="0062582F">
        <w:rPr>
          <w:u w:val="single"/>
        </w:rPr>
        <w:t>no</w:t>
      </w:r>
      <w:r w:rsidRPr="0062582F">
        <w:t xml:space="preserve"> longer required to provide:</w:t>
      </w:r>
    </w:p>
    <w:p w:rsidR="004843DB" w:rsidRPr="0062582F" w:rsidRDefault="004843DB" w:rsidP="004843DB">
      <w:pPr>
        <w:pStyle w:val="CommentaryBullet"/>
      </w:pPr>
      <w:r w:rsidRPr="0062582F">
        <w:t>a narrative description of the sensitivity of the fair value measurement to changes in unobservable inputs if a change in those inputs to a different amount might result in a significantly higher or lower fair value measurement; and</w:t>
      </w:r>
    </w:p>
    <w:p w:rsidR="004843DB" w:rsidRPr="0062582F" w:rsidRDefault="004843DB" w:rsidP="004843DB">
      <w:pPr>
        <w:pStyle w:val="CommentaryBullet"/>
      </w:pPr>
      <w:r w:rsidRPr="0062582F">
        <w:t xml:space="preserve">if there are interrelationships between the inputs and other unobservable inputs used in the fair value measurement, a description of the interrelationships and of how this might magnify or mitigate the effect of changes in the unobservable inputs on the fair value </w:t>
      </w:r>
      <w:r w:rsidRPr="0062582F">
        <w:rPr>
          <w:rStyle w:val="CommentaryTextChar"/>
        </w:rPr>
        <w:t>measurement.</w:t>
      </w:r>
      <w:r w:rsidRPr="0062582F">
        <w:t xml:space="preserve"> </w:t>
      </w:r>
    </w:p>
    <w:p w:rsidR="004843DB" w:rsidRPr="0062582F" w:rsidRDefault="004843DB" w:rsidP="004843DB">
      <w:pPr>
        <w:pStyle w:val="CommentaryHeading1"/>
        <w:pBdr>
          <w:top w:val="none" w:sz="0" w:space="0" w:color="auto"/>
          <w:bottom w:val="none" w:sz="0" w:space="0" w:color="auto"/>
        </w:pBdr>
      </w:pPr>
      <w:r w:rsidRPr="0062582F">
        <w:t>Disclosure requirements for assets stated at revalued amounts</w:t>
      </w:r>
    </w:p>
    <w:p w:rsidR="004843DB" w:rsidRPr="0062582F" w:rsidRDefault="004843DB" w:rsidP="004843DB">
      <w:pPr>
        <w:pStyle w:val="CommentaryText"/>
        <w:pBdr>
          <w:top w:val="none" w:sz="0" w:space="0" w:color="auto"/>
          <w:bottom w:val="none" w:sz="0" w:space="0" w:color="auto"/>
        </w:pBdr>
      </w:pPr>
      <w:r w:rsidRPr="0062582F">
        <w:t>If items of property, plant and equipment are stated at revalued amounts, the following shall be disclosed in addition to the disclosures required by AASB 13:</w:t>
      </w:r>
    </w:p>
    <w:p w:rsidR="004843DB" w:rsidRPr="0062582F" w:rsidRDefault="004843DB" w:rsidP="004843DB">
      <w:pPr>
        <w:pStyle w:val="CommentaryTextIndent"/>
        <w:pBdr>
          <w:top w:val="none" w:sz="0" w:space="0" w:color="auto"/>
          <w:bottom w:val="none" w:sz="0" w:space="0" w:color="auto"/>
        </w:pBdr>
      </w:pPr>
      <w:r w:rsidRPr="0062582F">
        <w:t>(a)</w:t>
      </w:r>
      <w:r w:rsidRPr="0062582F">
        <w:tab/>
        <w:t>the effective date of the revaluation;</w:t>
      </w:r>
    </w:p>
    <w:p w:rsidR="004843DB" w:rsidRPr="0062582F" w:rsidRDefault="004843DB" w:rsidP="004843DB">
      <w:pPr>
        <w:pStyle w:val="CommentaryTextIndent"/>
        <w:pBdr>
          <w:top w:val="none" w:sz="0" w:space="0" w:color="auto"/>
          <w:bottom w:val="none" w:sz="0" w:space="0" w:color="auto"/>
        </w:pBdr>
      </w:pPr>
      <w:r w:rsidRPr="0062582F">
        <w:t>(b)</w:t>
      </w:r>
      <w:r w:rsidRPr="0062582F">
        <w:tab/>
        <w:t>whether an independent valuer was involved;</w:t>
      </w:r>
    </w:p>
    <w:p w:rsidR="004843DB" w:rsidRPr="0062582F" w:rsidRDefault="004843DB" w:rsidP="004843DB">
      <w:pPr>
        <w:pStyle w:val="CommentaryTextIndent"/>
        <w:pBdr>
          <w:top w:val="none" w:sz="0" w:space="0" w:color="auto"/>
          <w:bottom w:val="none" w:sz="0" w:space="0" w:color="auto"/>
        </w:pBdr>
      </w:pPr>
      <w:r w:rsidRPr="0062582F">
        <w:t>(c)</w:t>
      </w:r>
      <w:r w:rsidRPr="0062582F">
        <w:tab/>
        <w:t>[requirement deleted by IASB];</w:t>
      </w:r>
    </w:p>
    <w:p w:rsidR="004843DB" w:rsidRPr="0062582F" w:rsidRDefault="004843DB" w:rsidP="004843DB">
      <w:pPr>
        <w:pStyle w:val="CommentaryTextIndent"/>
        <w:pBdr>
          <w:top w:val="none" w:sz="0" w:space="0" w:color="auto"/>
          <w:bottom w:val="none" w:sz="0" w:space="0" w:color="auto"/>
        </w:pBdr>
      </w:pPr>
      <w:r w:rsidRPr="0062582F">
        <w:t>(d)</w:t>
      </w:r>
      <w:r w:rsidRPr="0062582F">
        <w:tab/>
        <w:t>[deleted by the IASB];</w:t>
      </w:r>
    </w:p>
    <w:p w:rsidR="004843DB" w:rsidRPr="0062582F" w:rsidRDefault="004843DB" w:rsidP="004843DB">
      <w:pPr>
        <w:pStyle w:val="CommentaryTextIndent"/>
        <w:pBdr>
          <w:top w:val="none" w:sz="0" w:space="0" w:color="auto"/>
          <w:bottom w:val="none" w:sz="0" w:space="0" w:color="auto"/>
        </w:pBdr>
      </w:pPr>
      <w:r w:rsidRPr="0062582F">
        <w:t>(e)</w:t>
      </w:r>
      <w:r w:rsidRPr="0062582F">
        <w:tab/>
        <w:t>for each revalued class of property, plant and equipment, the carrying amount that would have been recognised had the assets been carried under the cost model; and</w:t>
      </w:r>
    </w:p>
    <w:p w:rsidR="004843DB" w:rsidRPr="0062582F" w:rsidRDefault="004843DB" w:rsidP="004843DB">
      <w:pPr>
        <w:pStyle w:val="CommentaryTextIndent"/>
        <w:pBdr>
          <w:top w:val="none" w:sz="0" w:space="0" w:color="auto"/>
          <w:bottom w:val="none" w:sz="0" w:space="0" w:color="auto"/>
        </w:pBdr>
      </w:pPr>
      <w:r w:rsidRPr="0062582F">
        <w:t>(f)</w:t>
      </w:r>
      <w:r w:rsidRPr="0062582F">
        <w:tab/>
        <w:t>revaluation surplus, indicating the change for the period and any restrictions on the distribution of the balance to shareholders.</w:t>
      </w:r>
    </w:p>
    <w:p w:rsidR="004843DB" w:rsidRPr="0062582F" w:rsidRDefault="004843DB" w:rsidP="004843DB">
      <w:pPr>
        <w:pStyle w:val="CommentaryTextIndent"/>
        <w:pBdr>
          <w:top w:val="none" w:sz="0" w:space="0" w:color="auto"/>
          <w:bottom w:val="none" w:sz="0" w:space="0" w:color="auto"/>
        </w:pBdr>
        <w:ind w:left="0" w:firstLine="0"/>
      </w:pPr>
      <w:r w:rsidRPr="0062582F">
        <w:t>Notwithstanding AASB 116.77(e), in respect of not</w:t>
      </w:r>
      <w:r w:rsidR="005A4BB0">
        <w:noBreakHyphen/>
      </w:r>
      <w:r w:rsidRPr="0062582F">
        <w:t>for</w:t>
      </w:r>
      <w:r w:rsidR="005A4BB0">
        <w:noBreakHyphen/>
      </w:r>
      <w:r w:rsidRPr="0062582F">
        <w:t>profit entities, for each revalued class of property, plant and equipment, the requirement to disclose the carrying amount that would have been recognised had the assets been carried under the cost model does not apply.</w:t>
      </w:r>
      <w:r w:rsidRPr="0062582F" w:rsidDel="007E3748">
        <w:t xml:space="preserve">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0"/>
      </w:pPr>
      <w:r w:rsidRPr="0062582F">
        <w:t>AASB 136.5</w:t>
      </w:r>
    </w:p>
    <w:p w:rsidR="004843DB" w:rsidRPr="0062582F" w:rsidRDefault="004843DB" w:rsidP="004843DB">
      <w:pPr>
        <w:pStyle w:val="CommentaryHeading2"/>
      </w:pPr>
      <w:r w:rsidRPr="0062582F">
        <w:br w:type="column"/>
        <w:t>Impairment of revalued property, plant and equipment</w:t>
      </w:r>
    </w:p>
    <w:p w:rsidR="004843DB" w:rsidRPr="0062582F" w:rsidRDefault="004843DB" w:rsidP="004843DB">
      <w:pPr>
        <w:pStyle w:val="CommentaryText"/>
        <w:pBdr>
          <w:top w:val="none" w:sz="0" w:space="0" w:color="auto"/>
          <w:bottom w:val="none" w:sz="0" w:space="0" w:color="auto"/>
        </w:pBdr>
      </w:pPr>
      <w:r w:rsidRPr="0062582F">
        <w:t xml:space="preserve">Property, plant and equipment measured on the fair value basis shall also be tested for impairment. Identifying whether a revalued asset may be impaired depends on the basis used to determine fair value: </w:t>
      </w:r>
    </w:p>
    <w:p w:rsidR="004843DB" w:rsidRPr="0062582F" w:rsidRDefault="004843DB" w:rsidP="004843DB">
      <w:pPr>
        <w:pStyle w:val="CommentaryTextIndent"/>
        <w:pBdr>
          <w:top w:val="none" w:sz="0" w:space="0" w:color="auto"/>
          <w:bottom w:val="none" w:sz="0" w:space="0" w:color="auto"/>
        </w:pBdr>
      </w:pPr>
      <w:r w:rsidRPr="0062582F">
        <w:t>(a)</w:t>
      </w:r>
      <w:r w:rsidRPr="0062582F">
        <w:tab/>
        <w:t>if the asset</w:t>
      </w:r>
      <w:r w:rsidR="005A4BB0">
        <w:t>’</w:t>
      </w:r>
      <w:r w:rsidRPr="0062582F">
        <w:t>s fair value is its market value, the only difference between the asset</w:t>
      </w:r>
      <w:r w:rsidR="005A4BB0">
        <w:t>’</w:t>
      </w:r>
      <w:r w:rsidRPr="0062582F">
        <w:t>s fair value and its fair value less costs to sell is the direct incremental costs to dispose of the asset:</w:t>
      </w:r>
    </w:p>
    <w:p w:rsidR="004843DB" w:rsidRPr="0062582F" w:rsidRDefault="004843DB" w:rsidP="004843DB">
      <w:pPr>
        <w:pStyle w:val="CommentaryTextIndent2"/>
        <w:pBdr>
          <w:top w:val="none" w:sz="0" w:space="0" w:color="auto"/>
          <w:bottom w:val="none" w:sz="0" w:space="0" w:color="auto"/>
        </w:pBdr>
      </w:pPr>
      <w:r w:rsidRPr="0062582F">
        <w:tab/>
        <w:t>(i)</w:t>
      </w:r>
      <w:r w:rsidRPr="0062582F">
        <w:tab/>
        <w:t xml:space="preserve">if the disposal costs are negligible, the recoverable amount of the revalued asset is necessarily close to, or greater than, its revalued amount (i.e. fair value). In this case, after the revaluation requirements have been applied, it is unlikely that the revalued asset is impaired and recoverable amount need not be estimated; and </w:t>
      </w:r>
    </w:p>
    <w:p w:rsidR="004843DB" w:rsidRPr="0062582F" w:rsidRDefault="004843DB" w:rsidP="004843DB">
      <w:pPr>
        <w:pStyle w:val="CommentaryTextIndent2"/>
        <w:pBdr>
          <w:top w:val="none" w:sz="0" w:space="0" w:color="auto"/>
          <w:bottom w:val="none" w:sz="0" w:space="0" w:color="auto"/>
        </w:pBdr>
      </w:pPr>
      <w:r w:rsidRPr="0062582F">
        <w:tab/>
        <w:t>(ii)</w:t>
      </w:r>
      <w:r w:rsidRPr="0062582F">
        <w:tab/>
        <w:t>if the disposal costs are not negligible, the fair value less costs to sell of the revalued asset is necessarily less than its fair value. Therefore, the revalued asset will be impaired if its value in use is less than its revalued amount (i.e. fair value). In this case, after the revaluation requirements have been applied, the department applies this standard to determine whether the asset may be impaired; and</w:t>
      </w:r>
    </w:p>
    <w:p w:rsidR="004843DB" w:rsidRPr="0062582F" w:rsidRDefault="004843DB" w:rsidP="004843DB">
      <w:pPr>
        <w:pStyle w:val="CommentaryTextIndent"/>
        <w:pBdr>
          <w:top w:val="none" w:sz="0" w:space="0" w:color="auto"/>
        </w:pBdr>
      </w:pPr>
      <w:r w:rsidRPr="0062582F">
        <w:t>(b)</w:t>
      </w:r>
      <w:r w:rsidRPr="0062582F">
        <w:tab/>
        <w:t>if the asset</w:t>
      </w:r>
      <w:r w:rsidR="005A4BB0">
        <w:t>’</w:t>
      </w:r>
      <w:r w:rsidRPr="0062582F">
        <w:t>s fair value is determined on a basis other than its market value, its revalued amount (i.e. fair value) may be greater or lower than its recoverable amount. Hence, after the revaluation requirements have been applied, a department applies AASB 136 to determine whether the asset may be impaired.</w:t>
      </w:r>
    </w:p>
    <w:p w:rsidR="004843DB" w:rsidRPr="0062582F" w:rsidRDefault="004843DB" w:rsidP="004843DB">
      <w:pPr>
        <w:pStyle w:val="Reference"/>
        <w:spacing w:before="240"/>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CommentaryTextIndent"/>
        <w:pBdr>
          <w:top w:val="none" w:sz="0" w:space="0" w:color="auto"/>
          <w:left w:val="none" w:sz="0" w:space="0" w:color="auto"/>
          <w:bottom w:val="none" w:sz="0" w:space="0" w:color="auto"/>
          <w:right w:val="none" w:sz="0" w:space="0" w:color="auto"/>
        </w:pBdr>
        <w:rPr>
          <w:sz w:val="16"/>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r w:rsidRPr="0062582F">
        <w:br w:type="column"/>
      </w:r>
    </w:p>
    <w:p w:rsidR="004843DB" w:rsidRPr="0062582F" w:rsidRDefault="004843DB" w:rsidP="004843DB">
      <w:pPr>
        <w:pStyle w:val="SmallLine"/>
      </w:pPr>
      <w:r w:rsidRPr="0062582F">
        <w:br w:type="column"/>
      </w:r>
      <w:r w:rsidRPr="0062582F">
        <w:br w:type="column"/>
      </w:r>
      <w:r w:rsidRPr="0062582F">
        <w:br w:type="column"/>
      </w:r>
    </w:p>
    <w:p w:rsidR="004843DB" w:rsidRPr="0062582F" w:rsidRDefault="004843DB" w:rsidP="004843DB">
      <w:pPr>
        <w:pStyle w:val="CommentaryHeading"/>
        <w:rPr>
          <w:i/>
        </w:rPr>
      </w:pPr>
      <w:r w:rsidRPr="0062582F">
        <w:t xml:space="preserve">Commentary – Property, plant and equipment </w:t>
      </w:r>
      <w:r w:rsidRPr="0062582F">
        <w:rPr>
          <w:i/>
        </w:rPr>
        <w:t>(continued)</w:t>
      </w:r>
    </w:p>
    <w:p w:rsidR="004843DB" w:rsidRPr="0062582F" w:rsidRDefault="004843DB" w:rsidP="004843DB">
      <w:pPr>
        <w:pStyle w:val="SmallLineBlue"/>
      </w:pPr>
    </w:p>
    <w:p w:rsidR="004843DB" w:rsidRPr="0062582F" w:rsidRDefault="004843DB" w:rsidP="004843DB">
      <w:pPr>
        <w:pStyle w:val="Reference"/>
        <w:spacing w:before="20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rPr>
          <w:sz w:val="14"/>
        </w:rPr>
        <w:br/>
      </w:r>
      <w:r w:rsidRPr="0062582F">
        <w:t>AASB 136.130</w:t>
      </w:r>
      <w:r w:rsidRPr="0062582F">
        <w:br/>
      </w: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200"/>
      </w:pPr>
    </w:p>
    <w:p w:rsidR="004843DB" w:rsidRPr="0062582F" w:rsidRDefault="004843DB" w:rsidP="004843DB">
      <w:pPr>
        <w:pStyle w:val="Reference"/>
        <w:spacing w:before="360"/>
        <w:rPr>
          <w:color w:val="FF0000"/>
        </w:rPr>
      </w:pPr>
      <w:r w:rsidRPr="0062582F">
        <w:rPr>
          <w:color w:val="FF0000"/>
        </w:rPr>
        <w:br/>
      </w:r>
    </w:p>
    <w:p w:rsidR="004843DB" w:rsidRPr="0062582F" w:rsidRDefault="004843DB" w:rsidP="004843DB">
      <w:pPr>
        <w:pStyle w:val="CommentaryHeading2"/>
      </w:pPr>
      <w:r w:rsidRPr="0062582F">
        <w:br w:type="column"/>
        <w:t xml:space="preserve">Disclosure of impairment of property, plant and equipment </w:t>
      </w:r>
    </w:p>
    <w:p w:rsidR="004843DB" w:rsidRPr="0062582F" w:rsidRDefault="004843DB" w:rsidP="004843DB">
      <w:pPr>
        <w:pStyle w:val="CommentaryText"/>
        <w:pBdr>
          <w:top w:val="none" w:sz="0" w:space="0" w:color="auto"/>
          <w:bottom w:val="none" w:sz="0" w:space="0" w:color="auto"/>
        </w:pBdr>
      </w:pPr>
      <w:r w:rsidRPr="0062582F">
        <w:t>An entity shall disclose the following for an individual asset (including goodwill) or a cash</w:t>
      </w:r>
      <w:r w:rsidR="005A4BB0">
        <w:noBreakHyphen/>
      </w:r>
      <w:r w:rsidRPr="0062582F">
        <w:t>generating unit, for which an impairment loss has been recognised or reversed during the period:</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the events and circumstances that led to the recognition or reversal of the impairment loss; </w:t>
      </w:r>
    </w:p>
    <w:p w:rsidR="004843DB" w:rsidRPr="0062582F" w:rsidRDefault="004843DB" w:rsidP="004843DB">
      <w:pPr>
        <w:pStyle w:val="CommentaryTextIndent"/>
        <w:pBdr>
          <w:top w:val="none" w:sz="0" w:space="0" w:color="auto"/>
        </w:pBdr>
      </w:pPr>
      <w:r w:rsidRPr="0062582F">
        <w:t>(b)</w:t>
      </w:r>
      <w:r w:rsidRPr="0062582F">
        <w:tab/>
        <w:t>the amount of the impairment loss recognised or reversed;</w:t>
      </w:r>
    </w:p>
    <w:p w:rsidR="004843DB" w:rsidRPr="0062582F" w:rsidRDefault="004843DB" w:rsidP="004843DB">
      <w:pPr>
        <w:pStyle w:val="CommentaryTextIndent"/>
        <w:pBdr>
          <w:top w:val="none" w:sz="0" w:space="0" w:color="auto"/>
        </w:pBdr>
      </w:pPr>
      <w:r w:rsidRPr="0062582F">
        <w:t>(c)</w:t>
      </w:r>
      <w:r w:rsidRPr="0062582F">
        <w:tab/>
        <w:t>for an individual asset:</w:t>
      </w:r>
    </w:p>
    <w:p w:rsidR="004843DB" w:rsidRPr="0062582F" w:rsidRDefault="004843DB" w:rsidP="004843DB">
      <w:pPr>
        <w:pStyle w:val="CommentaryTextIndent2"/>
        <w:pBdr>
          <w:top w:val="none" w:sz="0" w:space="0" w:color="auto"/>
        </w:pBdr>
      </w:pPr>
      <w:r w:rsidRPr="0062582F">
        <w:tab/>
        <w:t>(i)</w:t>
      </w:r>
      <w:r w:rsidRPr="0062582F">
        <w:tab/>
        <w:t xml:space="preserve">the nature of the asset; and </w:t>
      </w:r>
    </w:p>
    <w:p w:rsidR="004843DB" w:rsidRPr="0062582F" w:rsidRDefault="004843DB" w:rsidP="004843DB">
      <w:pPr>
        <w:pStyle w:val="CommentaryTextIndent2"/>
        <w:pBdr>
          <w:top w:val="none" w:sz="0" w:space="0" w:color="auto"/>
        </w:pBdr>
      </w:pPr>
      <w:r w:rsidRPr="0062582F">
        <w:tab/>
        <w:t>(ii)</w:t>
      </w:r>
      <w:r w:rsidRPr="0062582F">
        <w:tab/>
        <w:t>if the entity reports segment information, the reportable segment to which the asset belongs, based on the entity</w:t>
      </w:r>
      <w:r w:rsidR="005A4BB0">
        <w:t>’</w:t>
      </w:r>
      <w:r w:rsidRPr="0062582F">
        <w:t>s primary reporting format;</w:t>
      </w:r>
    </w:p>
    <w:p w:rsidR="004843DB" w:rsidRPr="0062582F" w:rsidRDefault="004843DB" w:rsidP="004843DB">
      <w:pPr>
        <w:pStyle w:val="CommentaryTextIndent"/>
        <w:pBdr>
          <w:top w:val="none" w:sz="0" w:space="0" w:color="auto"/>
        </w:pBdr>
      </w:pPr>
      <w:r w:rsidRPr="0062582F">
        <w:t>(d)</w:t>
      </w:r>
      <w:r w:rsidRPr="0062582F">
        <w:tab/>
        <w:t>for a cash</w:t>
      </w:r>
      <w:r w:rsidR="005A4BB0">
        <w:noBreakHyphen/>
      </w:r>
      <w:r w:rsidRPr="0062582F">
        <w:t>generating unit:</w:t>
      </w:r>
    </w:p>
    <w:p w:rsidR="004843DB" w:rsidRPr="0062582F" w:rsidRDefault="004843DB" w:rsidP="004843DB">
      <w:pPr>
        <w:pStyle w:val="CommentaryTextIndent2"/>
        <w:pBdr>
          <w:top w:val="none" w:sz="0" w:space="0" w:color="auto"/>
        </w:pBdr>
      </w:pPr>
      <w:r w:rsidRPr="0062582F">
        <w:tab/>
        <w:t>(i)</w:t>
      </w:r>
      <w:r w:rsidRPr="0062582F">
        <w:tab/>
        <w:t>a description of the cash</w:t>
      </w:r>
      <w:r w:rsidR="005A4BB0">
        <w:noBreakHyphen/>
      </w:r>
      <w:r w:rsidRPr="0062582F">
        <w:t xml:space="preserve">generating unit (such as whether it is a product line, a plant, a business operation, a geographical area, or a reportable segment); </w:t>
      </w:r>
    </w:p>
    <w:p w:rsidR="004843DB" w:rsidRPr="0062582F" w:rsidRDefault="004843DB" w:rsidP="004843DB">
      <w:pPr>
        <w:pStyle w:val="CommentaryTextIndent2"/>
        <w:pBdr>
          <w:top w:val="none" w:sz="0" w:space="0" w:color="auto"/>
        </w:pBdr>
      </w:pPr>
      <w:r w:rsidRPr="0062582F">
        <w:tab/>
        <w:t>(ii)</w:t>
      </w:r>
      <w:r w:rsidRPr="0062582F">
        <w:tab/>
        <w:t>the amount of the impairment loss recognised or reversed by class of assets and, if the entity reports segment information, by reportable segment based on the entity</w:t>
      </w:r>
      <w:r w:rsidR="005A4BB0">
        <w:t>’</w:t>
      </w:r>
      <w:r w:rsidRPr="0062582F">
        <w:t>s primary reporting format; and</w:t>
      </w:r>
    </w:p>
    <w:p w:rsidR="004843DB" w:rsidRPr="0062582F" w:rsidRDefault="004843DB" w:rsidP="004843DB">
      <w:pPr>
        <w:pStyle w:val="CommentaryTextIndent2"/>
        <w:pBdr>
          <w:top w:val="none" w:sz="0" w:space="0" w:color="auto"/>
        </w:pBdr>
      </w:pPr>
      <w:r w:rsidRPr="0062582F">
        <w:tab/>
        <w:t>(iii)</w:t>
      </w:r>
      <w:r w:rsidRPr="0062582F">
        <w:tab/>
        <w:t>if the aggregation of assets for identifying the cash</w:t>
      </w:r>
      <w:r w:rsidR="005A4BB0">
        <w:noBreakHyphen/>
      </w:r>
      <w:r w:rsidRPr="0062582F">
        <w:t>generating unit has changed since the previous estimate of the cash</w:t>
      </w:r>
      <w:r w:rsidR="005A4BB0">
        <w:noBreakHyphen/>
      </w:r>
      <w:r w:rsidRPr="0062582F">
        <w:t>generating unit</w:t>
      </w:r>
      <w:r w:rsidR="005A4BB0">
        <w:t>’</w:t>
      </w:r>
      <w:r w:rsidRPr="0062582F">
        <w:t>s recoverable amount (if any), a description of the current and former way of aggregating assets and the reasons for changing the way the cash</w:t>
      </w:r>
      <w:r w:rsidR="005A4BB0">
        <w:noBreakHyphen/>
      </w:r>
      <w:r w:rsidRPr="0062582F">
        <w:t xml:space="preserve">generating unit is identified; </w:t>
      </w:r>
    </w:p>
    <w:p w:rsidR="004843DB" w:rsidRPr="0062582F" w:rsidRDefault="004843DB" w:rsidP="004843DB">
      <w:pPr>
        <w:pStyle w:val="CommentaryTextIndent"/>
        <w:pBdr>
          <w:top w:val="none" w:sz="0" w:space="0" w:color="auto"/>
        </w:pBdr>
      </w:pPr>
      <w:r w:rsidRPr="0062582F">
        <w:t>(e)</w:t>
      </w:r>
      <w:r w:rsidRPr="0062582F">
        <w:tab/>
        <w:t>the recoverable amount of the asset (cash</w:t>
      </w:r>
      <w:r w:rsidR="005A4BB0">
        <w:noBreakHyphen/>
      </w:r>
      <w:r w:rsidRPr="0062582F">
        <w:t>generating unit) and whether the recoverable amount of the asset (cash</w:t>
      </w:r>
      <w:r w:rsidR="005A4BB0">
        <w:noBreakHyphen/>
      </w:r>
      <w:r w:rsidRPr="0062582F">
        <w:t>generating unit) is its fair value less costs of disposal or its value in use;</w:t>
      </w:r>
    </w:p>
    <w:p w:rsidR="004843DB" w:rsidRPr="0062582F" w:rsidRDefault="004843DB" w:rsidP="004843DB">
      <w:pPr>
        <w:pStyle w:val="CommentaryTextIndent"/>
        <w:pBdr>
          <w:top w:val="none" w:sz="0" w:space="0" w:color="auto"/>
        </w:pBdr>
      </w:pPr>
      <w:r w:rsidRPr="0062582F">
        <w:t>(f)</w:t>
      </w:r>
      <w:r w:rsidRPr="0062582F">
        <w:tab/>
        <w:t>if the recoverable amount is fair value less costs of disposal, the entity shall disclose the following information:</w:t>
      </w:r>
    </w:p>
    <w:p w:rsidR="004843DB" w:rsidRPr="0062582F" w:rsidRDefault="004843DB" w:rsidP="004843DB">
      <w:pPr>
        <w:pStyle w:val="CommentaryTextIndent2"/>
        <w:pBdr>
          <w:top w:val="none" w:sz="0" w:space="0" w:color="auto"/>
        </w:pBdr>
      </w:pPr>
      <w:r w:rsidRPr="0062582F">
        <w:tab/>
        <w:t>(i)</w:t>
      </w:r>
      <w:r w:rsidRPr="0062582F">
        <w:tab/>
        <w:t>the level of the fair value hierarchy (see AASB 13) within which the fair value measurement of the asset (cash</w:t>
      </w:r>
      <w:r w:rsidR="005A4BB0">
        <w:noBreakHyphen/>
      </w:r>
      <w:r w:rsidRPr="0062582F">
        <w:t xml:space="preserve">generating unit) is categorised in its entirety (without taking into account whether the </w:t>
      </w:r>
      <w:r w:rsidR="005A4BB0">
        <w:t>‘</w:t>
      </w:r>
      <w:r w:rsidRPr="0062582F">
        <w:t>costs of disposal</w:t>
      </w:r>
      <w:r w:rsidR="005A4BB0">
        <w:t>’</w:t>
      </w:r>
      <w:r w:rsidRPr="0062582F">
        <w:t xml:space="preserve"> are observable);</w:t>
      </w:r>
    </w:p>
    <w:p w:rsidR="004843DB" w:rsidRPr="0062582F" w:rsidRDefault="004843DB" w:rsidP="004843DB">
      <w:pPr>
        <w:pStyle w:val="CommentaryTextIndent2"/>
        <w:pBdr>
          <w:top w:val="none" w:sz="0" w:space="0" w:color="auto"/>
        </w:pBdr>
      </w:pPr>
      <w:r w:rsidRPr="0062582F">
        <w:tab/>
        <w:t>(ii)</w:t>
      </w:r>
      <w:r w:rsidRPr="0062582F">
        <w:tab/>
        <w:t>for fair value measurements categorised within Level 2 and Level 3 of the fair value hierarchy, a description of the valuation technique(s) used to measure fair value less costs of disposal. If there has been a change in valuation technique, the entity shall disclose that change and the reason(s) for making it; and</w:t>
      </w:r>
    </w:p>
    <w:p w:rsidR="004843DB" w:rsidRPr="0062582F" w:rsidRDefault="004843DB" w:rsidP="004843DB">
      <w:pPr>
        <w:pStyle w:val="CommentaryTextIndent2"/>
        <w:pBdr>
          <w:top w:val="none" w:sz="0" w:space="0" w:color="auto"/>
        </w:pBdr>
      </w:pPr>
      <w:r w:rsidRPr="0062582F">
        <w:tab/>
        <w:t>(iii)</w:t>
      </w:r>
      <w:r w:rsidRPr="0062582F">
        <w:tab/>
        <w:t>for fair value measurements categorised within Level 2 and Level 3 of the fair value hierarchy, each key assumption on which management has based its determination of fair value less costs of disposal. Key assumptions are those to which the asset</w:t>
      </w:r>
      <w:r w:rsidR="005A4BB0">
        <w:t>’</w:t>
      </w:r>
      <w:r w:rsidRPr="0062582F">
        <w:t>s (cash</w:t>
      </w:r>
      <w:r w:rsidR="005A4BB0">
        <w:noBreakHyphen/>
      </w:r>
      <w:r w:rsidRPr="0062582F">
        <w:t>generating unit</w:t>
      </w:r>
      <w:r w:rsidR="005A4BB0">
        <w:t>’</w:t>
      </w:r>
      <w:r w:rsidRPr="0062582F">
        <w:t xml:space="preserve">s) recoverable amount is most sensitive. The entity shall also disclose the discount rate(s) used in the current measurement and previous measurement if fair value less costs of disposal is measured using a present value technique; </w:t>
      </w:r>
    </w:p>
    <w:p w:rsidR="004843DB" w:rsidRPr="0062582F" w:rsidRDefault="004843DB" w:rsidP="004843DB">
      <w:pPr>
        <w:pStyle w:val="CommentaryTextIndent"/>
        <w:pBdr>
          <w:top w:val="none" w:sz="0" w:space="0" w:color="auto"/>
        </w:pBdr>
      </w:pPr>
      <w:r w:rsidRPr="0062582F">
        <w:t>(g)</w:t>
      </w:r>
      <w:r w:rsidRPr="0062582F">
        <w:tab/>
        <w:t>if recoverable amount is value in use, the discount rate(s) used in the current estimate and previous estimate (if any) of value in use.</w:t>
      </w:r>
    </w:p>
    <w:p w:rsidR="004843DB" w:rsidRPr="0062582F" w:rsidRDefault="004843DB" w:rsidP="004843DB">
      <w:pPr>
        <w:pStyle w:val="CommentaryText"/>
        <w:pBdr>
          <w:top w:val="none" w:sz="0" w:space="0" w:color="auto"/>
        </w:pBdr>
      </w:pPr>
      <w:r w:rsidRPr="0062582F">
        <w:br w:type="page"/>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80"/>
      </w:pPr>
      <w:r w:rsidRPr="0062582F">
        <w:br/>
      </w:r>
      <w:r w:rsidRPr="0062582F">
        <w:br/>
      </w:r>
      <w:r w:rsidRPr="0062582F">
        <w:br/>
      </w:r>
      <w:r w:rsidRPr="0062582F">
        <w:br/>
        <w:t>AASB 136.131</w:t>
      </w:r>
    </w:p>
    <w:p w:rsidR="004843DB" w:rsidRPr="0062582F" w:rsidRDefault="004843DB" w:rsidP="004843DB">
      <w:pPr>
        <w:pStyle w:val="Reference"/>
      </w:pPr>
    </w:p>
    <w:p w:rsidR="004843DB" w:rsidRPr="0062582F" w:rsidRDefault="004843DB" w:rsidP="004843DB">
      <w:pPr>
        <w:pStyle w:val="Reference"/>
        <w:spacing w:before="240"/>
      </w:pPr>
    </w:p>
    <w:p w:rsidR="004843DB" w:rsidRPr="0062582F" w:rsidRDefault="004843DB" w:rsidP="004843DB">
      <w:pPr>
        <w:pStyle w:val="Reference"/>
        <w:spacing w:before="240"/>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120"/>
      </w:pPr>
      <w:r w:rsidRPr="0062582F">
        <w:t>FRD 103F</w:t>
      </w:r>
    </w:p>
    <w:p w:rsidR="004843DB" w:rsidRPr="0062582F" w:rsidRDefault="004843DB" w:rsidP="004843DB">
      <w:pPr>
        <w:pStyle w:val="Reference"/>
      </w:pPr>
    </w:p>
    <w:p w:rsidR="004843DB" w:rsidRPr="0062582F" w:rsidRDefault="004843DB" w:rsidP="004843DB">
      <w:pPr>
        <w:pStyle w:val="Reference"/>
        <w:spacing w:before="0"/>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80"/>
      </w:pPr>
      <w:r w:rsidRPr="0062582F">
        <w:t>AASB 116.79</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240"/>
      </w:pPr>
      <w:r w:rsidRPr="0062582F">
        <w:t>AASB 116.74(d)</w:t>
      </w:r>
    </w:p>
    <w:p w:rsidR="004843DB" w:rsidRPr="0062582F" w:rsidRDefault="004843DB" w:rsidP="004843DB">
      <w:pPr>
        <w:pStyle w:val="Reference"/>
        <w:spacing w:before="200"/>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0"/>
      </w:pPr>
      <w:r w:rsidRPr="0062582F">
        <w:t>FRD 103F.4.19</w:t>
      </w:r>
    </w:p>
    <w:p w:rsidR="004843DB" w:rsidRPr="0062582F" w:rsidRDefault="004843DB" w:rsidP="004843DB">
      <w:pPr>
        <w:pStyle w:val="Reference"/>
      </w:pPr>
    </w:p>
    <w:p w:rsidR="004843DB" w:rsidRPr="0062582F" w:rsidRDefault="004843DB" w:rsidP="004843DB">
      <w:pPr>
        <w:pStyle w:val="Reference"/>
      </w:pPr>
      <w:r w:rsidRPr="0062582F">
        <w:br w:type="column"/>
      </w:r>
    </w:p>
    <w:p w:rsidR="004843DB" w:rsidRPr="0062582F" w:rsidRDefault="004843DB" w:rsidP="004843DB">
      <w:pPr>
        <w:pStyle w:val="SmallLineBlue"/>
      </w:pPr>
    </w:p>
    <w:p w:rsidR="004843DB" w:rsidRPr="0062582F" w:rsidRDefault="004843DB" w:rsidP="004843DB">
      <w:pPr>
        <w:pStyle w:val="CommentaryHeading"/>
        <w:rPr>
          <w:i/>
        </w:rPr>
      </w:pPr>
      <w:r w:rsidRPr="0062582F">
        <w:t xml:space="preserve">Commentary – Property, plant and equipment </w:t>
      </w:r>
      <w:r w:rsidRPr="0062582F">
        <w:rPr>
          <w:i/>
        </w:rPr>
        <w:t>(continued)</w:t>
      </w:r>
    </w:p>
    <w:p w:rsidR="004843DB" w:rsidRPr="0062582F" w:rsidRDefault="004843DB" w:rsidP="004843DB">
      <w:pPr>
        <w:pStyle w:val="SmallLineBlue"/>
      </w:pPr>
    </w:p>
    <w:p w:rsidR="004843DB" w:rsidRPr="0062582F" w:rsidRDefault="004843DB" w:rsidP="004843DB">
      <w:pPr>
        <w:pStyle w:val="CommentaryText"/>
        <w:pBdr>
          <w:top w:val="none" w:sz="0" w:space="0" w:color="auto"/>
          <w:bottom w:val="none" w:sz="0" w:space="0" w:color="auto"/>
        </w:pBdr>
      </w:pPr>
      <w:r w:rsidRPr="0062582F">
        <w:t>An entity shall disclose the following information for the aggregate impairment losses and the aggregate reversals of impairment losses recognised during the period for which no information is disclosed in accordance with AASB 136.130:</w:t>
      </w:r>
    </w:p>
    <w:p w:rsidR="004843DB" w:rsidRPr="0062582F" w:rsidRDefault="004843DB" w:rsidP="004843DB">
      <w:pPr>
        <w:pStyle w:val="CommentaryTextIndent"/>
        <w:pBdr>
          <w:top w:val="none" w:sz="0" w:space="0" w:color="auto"/>
          <w:bottom w:val="none" w:sz="0" w:space="0" w:color="auto"/>
        </w:pBdr>
      </w:pPr>
      <w:r w:rsidRPr="0062582F">
        <w:t>(a)</w:t>
      </w:r>
      <w:r w:rsidRPr="0062582F">
        <w:tab/>
        <w:t>the main classes of assets affected by impairment losses and the main classes of assets affected by reversals of impairment losses; and</w:t>
      </w:r>
    </w:p>
    <w:p w:rsidR="004843DB" w:rsidRPr="0062582F" w:rsidRDefault="004843DB" w:rsidP="004843DB">
      <w:pPr>
        <w:pStyle w:val="CommentaryTextIndent"/>
        <w:pBdr>
          <w:top w:val="none" w:sz="0" w:space="0" w:color="auto"/>
          <w:bottom w:val="none" w:sz="0" w:space="0" w:color="auto"/>
        </w:pBdr>
      </w:pPr>
      <w:r w:rsidRPr="0062582F">
        <w:t>(b)</w:t>
      </w:r>
      <w:r w:rsidRPr="0062582F">
        <w:tab/>
        <w:t>the main events and circumstances that led to the recognition of these impairment losses and reversals of impairment losses.</w:t>
      </w:r>
    </w:p>
    <w:p w:rsidR="004843DB" w:rsidRPr="0062582F" w:rsidRDefault="004843DB" w:rsidP="004843DB">
      <w:pPr>
        <w:pStyle w:val="CommentaryHeading1"/>
        <w:pBdr>
          <w:top w:val="none" w:sz="0" w:space="0" w:color="auto"/>
          <w:bottom w:val="none" w:sz="0" w:space="0" w:color="auto"/>
        </w:pBdr>
      </w:pPr>
      <w:r w:rsidRPr="0062582F">
        <w:t xml:space="preserve">Revaluation surplus of derecognised assets </w:t>
      </w:r>
    </w:p>
    <w:p w:rsidR="004843DB" w:rsidRPr="0062582F" w:rsidRDefault="004843DB" w:rsidP="004843DB">
      <w:pPr>
        <w:pStyle w:val="CommentaryText"/>
        <w:pBdr>
          <w:top w:val="none" w:sz="0" w:space="0" w:color="auto"/>
          <w:bottom w:val="none" w:sz="0" w:space="0" w:color="auto"/>
        </w:pBdr>
      </w:pPr>
      <w:r w:rsidRPr="0062582F">
        <w:t>A department may choose to transfer the revaluation surplus in respect of an item of non</w:t>
      </w:r>
      <w:r w:rsidR="005A4BB0">
        <w:noBreakHyphen/>
      </w:r>
      <w:r w:rsidRPr="0062582F">
        <w:t xml:space="preserve">financial physical asset to the accumulated funds when the asset is derecognised or as the asset is used. However, transfer of the revaluation surplus to accumulated funds is not mandatory. </w:t>
      </w:r>
    </w:p>
    <w:p w:rsidR="004843DB" w:rsidRPr="0062582F" w:rsidRDefault="004843DB" w:rsidP="004843DB">
      <w:pPr>
        <w:pStyle w:val="CommentaryText"/>
        <w:pBdr>
          <w:top w:val="none" w:sz="0" w:space="0" w:color="auto"/>
          <w:bottom w:val="none" w:sz="0" w:space="0" w:color="auto"/>
        </w:pBdr>
      </w:pPr>
      <w:r w:rsidRPr="0062582F">
        <w:t>Not</w:t>
      </w:r>
      <w:r w:rsidR="005A4BB0">
        <w:noBreakHyphen/>
      </w:r>
      <w:r w:rsidRPr="0062582F">
        <w:t>for</w:t>
      </w:r>
      <w:r w:rsidR="005A4BB0">
        <w:noBreakHyphen/>
      </w:r>
      <w:r w:rsidRPr="0062582F">
        <w:t>profit entities are not recommended to transfer the revaluation surplus relating to derecognised assets to accumulated funds due to the relief provided to not</w:t>
      </w:r>
      <w:r w:rsidR="005A4BB0">
        <w:noBreakHyphen/>
      </w:r>
      <w:r w:rsidRPr="0062582F">
        <w:t>for</w:t>
      </w:r>
      <w:r w:rsidR="005A4BB0">
        <w:noBreakHyphen/>
      </w:r>
      <w:r w:rsidRPr="0062582F">
        <w:t>profit entities to offset revaluation and impairment adjustments on a class basis.</w:t>
      </w:r>
    </w:p>
    <w:p w:rsidR="004843DB" w:rsidRPr="0062582F" w:rsidRDefault="004843DB" w:rsidP="004843DB">
      <w:pPr>
        <w:pStyle w:val="CommentaryText"/>
        <w:pBdr>
          <w:top w:val="none" w:sz="0" w:space="0" w:color="auto"/>
          <w:bottom w:val="none" w:sz="0" w:space="0" w:color="auto"/>
        </w:pBdr>
      </w:pPr>
      <w:r w:rsidRPr="0062582F">
        <w:t>For</w:t>
      </w:r>
      <w:r w:rsidR="005A4BB0">
        <w:noBreakHyphen/>
      </w:r>
      <w:r w:rsidRPr="0062582F">
        <w:t>profit entities are encouraged to transfer the revaluation surplus in respect of an item of non</w:t>
      </w:r>
      <w:r w:rsidR="005A4BB0">
        <w:noBreakHyphen/>
      </w:r>
      <w:r w:rsidRPr="0062582F">
        <w:t>financial physical asset to accumulated funds when the asset is derecognised rather than as the asset is used.</w:t>
      </w:r>
    </w:p>
    <w:p w:rsidR="004843DB" w:rsidRPr="0062582F" w:rsidRDefault="004843DB" w:rsidP="004843DB">
      <w:pPr>
        <w:pStyle w:val="CommentaryHeading1"/>
        <w:pBdr>
          <w:top w:val="none" w:sz="0" w:space="0" w:color="auto"/>
          <w:bottom w:val="none" w:sz="0" w:space="0" w:color="auto"/>
        </w:pBdr>
      </w:pPr>
      <w:r w:rsidRPr="0062582F">
        <w:t xml:space="preserve">Additional disclosures </w:t>
      </w:r>
    </w:p>
    <w:p w:rsidR="004843DB" w:rsidRPr="0062582F" w:rsidRDefault="004843DB" w:rsidP="004843DB">
      <w:pPr>
        <w:pStyle w:val="CommentaryText"/>
        <w:pBdr>
          <w:top w:val="none" w:sz="0" w:space="0" w:color="auto"/>
          <w:bottom w:val="none" w:sz="0" w:space="0" w:color="auto"/>
        </w:pBdr>
      </w:pPr>
      <w:r w:rsidRPr="0062582F">
        <w:t xml:space="preserve">Entities are encouraged to disclose the following information, as users of the financial statements may find the information relevant to their needs: </w:t>
      </w:r>
    </w:p>
    <w:p w:rsidR="004843DB" w:rsidRPr="0062582F" w:rsidRDefault="004843DB" w:rsidP="004843DB">
      <w:pPr>
        <w:pStyle w:val="CommentaryTextIndent"/>
        <w:pBdr>
          <w:top w:val="none" w:sz="0" w:space="0" w:color="auto"/>
          <w:bottom w:val="none" w:sz="0" w:space="0" w:color="auto"/>
        </w:pBdr>
      </w:pPr>
      <w:r w:rsidRPr="0062582F">
        <w:t>(a)</w:t>
      </w:r>
      <w:r w:rsidRPr="0062582F">
        <w:tab/>
        <w:t>the carrying amount of temporarily idle property, plant and equipment;</w:t>
      </w:r>
    </w:p>
    <w:p w:rsidR="004843DB" w:rsidRPr="0062582F" w:rsidRDefault="004843DB" w:rsidP="004843DB">
      <w:pPr>
        <w:pStyle w:val="CommentaryTextIndent"/>
        <w:pBdr>
          <w:top w:val="none" w:sz="0" w:space="0" w:color="auto"/>
          <w:bottom w:val="none" w:sz="0" w:space="0" w:color="auto"/>
        </w:pBdr>
      </w:pPr>
      <w:r w:rsidRPr="0062582F">
        <w:t>(b)</w:t>
      </w:r>
      <w:r w:rsidRPr="0062582F">
        <w:tab/>
        <w:t>the gross carrying amount of any fully depreciated property, plant and equipment that is still in use;</w:t>
      </w:r>
    </w:p>
    <w:p w:rsidR="004843DB" w:rsidRPr="0062582F" w:rsidRDefault="004843DB" w:rsidP="004843DB">
      <w:pPr>
        <w:pStyle w:val="CommentaryTextIndent"/>
        <w:pBdr>
          <w:top w:val="none" w:sz="0" w:space="0" w:color="auto"/>
          <w:bottom w:val="none" w:sz="0" w:space="0" w:color="auto"/>
        </w:pBdr>
      </w:pPr>
      <w:r w:rsidRPr="0062582F">
        <w:t>(c)</w:t>
      </w:r>
      <w:r w:rsidRPr="0062582F">
        <w:tab/>
        <w:t>the carrying amount of property, plant and equipment retired from active use and not classified as held for sale in accordance with AASB 5; and</w:t>
      </w:r>
    </w:p>
    <w:p w:rsidR="004843DB" w:rsidRPr="0062582F" w:rsidRDefault="004843DB" w:rsidP="004843DB">
      <w:pPr>
        <w:pStyle w:val="CommentaryTextIndent"/>
        <w:pBdr>
          <w:top w:val="none" w:sz="0" w:space="0" w:color="auto"/>
          <w:bottom w:val="none" w:sz="0" w:space="0" w:color="auto"/>
        </w:pBdr>
      </w:pPr>
      <w:r w:rsidRPr="0062582F">
        <w:t>(d)</w:t>
      </w:r>
      <w:r w:rsidRPr="0062582F">
        <w:tab/>
        <w:t>when the cost model is used, the fair value of property, plant and equipment when this is materially different from the carrying amount.</w:t>
      </w:r>
    </w:p>
    <w:p w:rsidR="004843DB" w:rsidRPr="0062582F" w:rsidRDefault="004843DB" w:rsidP="004843DB">
      <w:pPr>
        <w:pStyle w:val="CommentaryHeading1"/>
        <w:pBdr>
          <w:top w:val="none" w:sz="0" w:space="0" w:color="auto"/>
          <w:bottom w:val="none" w:sz="0" w:space="0" w:color="auto"/>
        </w:pBdr>
      </w:pPr>
      <w:r w:rsidRPr="0062582F">
        <w:t>Compensation from third parties</w:t>
      </w:r>
    </w:p>
    <w:p w:rsidR="004843DB" w:rsidRPr="0062582F" w:rsidRDefault="004843DB" w:rsidP="004843DB">
      <w:pPr>
        <w:pStyle w:val="CommentaryText"/>
        <w:pBdr>
          <w:top w:val="none" w:sz="0" w:space="0" w:color="auto"/>
          <w:bottom w:val="none" w:sz="0" w:space="0" w:color="auto"/>
        </w:pBdr>
      </w:pPr>
      <w:r w:rsidRPr="0062582F">
        <w:t xml:space="preserve">If not disclosed separately in the comprehensive operating statement, the amount of compensation from third parties for items of property, plant and equipment that were impaired, lost or given up that is recognised in the net result shall be disclosed. </w:t>
      </w:r>
    </w:p>
    <w:p w:rsidR="004843DB" w:rsidRPr="0062582F" w:rsidRDefault="004843DB" w:rsidP="004843DB">
      <w:pPr>
        <w:pStyle w:val="CommentaryHeading1"/>
        <w:pBdr>
          <w:top w:val="none" w:sz="0" w:space="0" w:color="auto"/>
        </w:pBdr>
      </w:pPr>
      <w:r w:rsidRPr="0062582F">
        <w:t xml:space="preserve">Residual values </w:t>
      </w:r>
    </w:p>
    <w:p w:rsidR="004843DB" w:rsidRPr="0062582F" w:rsidRDefault="004843DB" w:rsidP="004843DB">
      <w:pPr>
        <w:pStyle w:val="CommentaryText"/>
        <w:pBdr>
          <w:top w:val="none" w:sz="0" w:space="0" w:color="auto"/>
        </w:pBdr>
      </w:pPr>
      <w:r w:rsidRPr="0062582F">
        <w:t>Unless there is evidence to the contrary, FRD 103F deems all non</w:t>
      </w:r>
      <w:r w:rsidR="005A4BB0">
        <w:noBreakHyphen/>
      </w:r>
      <w:r w:rsidRPr="0062582F">
        <w:t xml:space="preserve">financial physical assets, other than vehicles, to have a residual value of zero. </w:t>
      </w:r>
    </w:p>
    <w:p w:rsidR="004843DB" w:rsidRPr="0062582F" w:rsidRDefault="004843DB" w:rsidP="004843DB">
      <w:pPr>
        <w:pStyle w:val="CommentaryHeading1"/>
        <w:pBdr>
          <w:top w:val="none" w:sz="0" w:space="0" w:color="auto"/>
        </w:pBdr>
      </w:pPr>
      <w:r w:rsidRPr="0062582F">
        <w:t>Restrictive nature of assets</w:t>
      </w:r>
    </w:p>
    <w:p w:rsidR="004843DB" w:rsidRPr="0062582F" w:rsidRDefault="004843DB" w:rsidP="004843DB">
      <w:pPr>
        <w:pStyle w:val="CommentaryText"/>
        <w:pBdr>
          <w:top w:val="none" w:sz="0" w:space="0" w:color="auto"/>
        </w:pBdr>
      </w:pPr>
      <w:r w:rsidRPr="0062582F">
        <w:t>There may be restrictions on the use and/or disposal of cultural and heritage assets, Crown land and infrastructure. Disclosure should be made to identify those assets that are subject to restrictions and the nature of those encumbrances/restrictions.</w:t>
      </w:r>
    </w:p>
    <w:p w:rsidR="004843DB" w:rsidRPr="0062582F" w:rsidRDefault="004843DB" w:rsidP="004843DB">
      <w:pPr>
        <w:pStyle w:val="SmallLine"/>
      </w:pPr>
      <w:r w:rsidRPr="0062582F">
        <w:br w:type="column"/>
      </w:r>
      <w:bookmarkStart w:id="457" w:name="_Toc163448798"/>
      <w:bookmarkEnd w:id="456"/>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r w:rsidRPr="0062582F">
        <w:t>AASB 141.41 and 42</w:t>
      </w:r>
    </w:p>
    <w:p w:rsidR="004843DB" w:rsidRPr="0062582F" w:rsidRDefault="004843DB" w:rsidP="004843DB">
      <w:pPr>
        <w:pStyle w:val="NoteHeading"/>
      </w:pPr>
      <w:r w:rsidRPr="0062582F">
        <w:br w:type="column"/>
      </w:r>
      <w:bookmarkStart w:id="458" w:name="_Toc332019476"/>
      <w:bookmarkStart w:id="459" w:name="_Toc366843363"/>
      <w:bookmarkStart w:id="460" w:name="_Toc448157197"/>
      <w:r w:rsidRPr="0062582F">
        <w:t>Note 18.</w:t>
      </w:r>
      <w:r w:rsidRPr="0062582F">
        <w:tab/>
        <w:t>Biological assets</w:t>
      </w:r>
      <w:bookmarkEnd w:id="458"/>
      <w:bookmarkEnd w:id="459"/>
      <w:bookmarkEnd w:id="460"/>
      <w:r w:rsidRPr="0062582F">
        <w:t xml:space="preserve"> </w:t>
      </w:r>
    </w:p>
    <w:tbl>
      <w:tblPr>
        <w:tblW w:w="7940" w:type="dxa"/>
        <w:tblLayout w:type="fixed"/>
        <w:tblCellMar>
          <w:left w:w="43" w:type="dxa"/>
          <w:right w:w="43" w:type="dxa"/>
        </w:tblCellMar>
        <w:tblLook w:val="04A0" w:firstRow="1" w:lastRow="0" w:firstColumn="1" w:lastColumn="0" w:noHBand="0" w:noVBand="1"/>
      </w:tblPr>
      <w:tblGrid>
        <w:gridCol w:w="5460"/>
        <w:gridCol w:w="1240"/>
        <w:gridCol w:w="1240"/>
      </w:tblGrid>
      <w:tr w:rsidR="004843DB" w:rsidRPr="0062582F" w:rsidTr="004843DB">
        <w:trPr>
          <w:cantSplit/>
        </w:trPr>
        <w:tc>
          <w:tcPr>
            <w:tcW w:w="54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460" w:type="dxa"/>
            <w:tcBorders>
              <w:top w:val="nil"/>
              <w:left w:val="nil"/>
              <w:right w:val="nil"/>
            </w:tcBorders>
            <w:shd w:val="clear" w:color="auto" w:fill="auto"/>
            <w:noWrap/>
            <w:hideMark/>
          </w:tcPr>
          <w:p w:rsidR="004843DB" w:rsidRPr="0062582F" w:rsidRDefault="004843DB" w:rsidP="004843DB">
            <w:pPr>
              <w:pStyle w:val="Tabletext"/>
            </w:pPr>
            <w:r w:rsidRPr="0062582F">
              <w:t>eTimber volume (cubic metres)</w:t>
            </w:r>
          </w:p>
        </w:tc>
        <w:tc>
          <w:tcPr>
            <w:tcW w:w="1240" w:type="dxa"/>
            <w:tcBorders>
              <w:top w:val="nil"/>
              <w:left w:val="nil"/>
              <w:right w:val="nil"/>
            </w:tcBorders>
            <w:shd w:val="clear" w:color="000000" w:fill="CCCCCC"/>
            <w:noWrap/>
            <w:hideMark/>
          </w:tcPr>
          <w:p w:rsidR="004843DB" w:rsidRPr="0062582F" w:rsidRDefault="004843DB" w:rsidP="004843DB">
            <w:pPr>
              <w:pStyle w:val="TableofFigures"/>
            </w:pPr>
            <w:r w:rsidRPr="0062582F">
              <w:t>5 000</w:t>
            </w:r>
          </w:p>
        </w:tc>
        <w:tc>
          <w:tcPr>
            <w:tcW w:w="1240" w:type="dxa"/>
            <w:tcBorders>
              <w:top w:val="nil"/>
              <w:left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nil"/>
              <w:left w:val="nil"/>
              <w:bottom w:val="single" w:sz="12" w:space="0" w:color="auto"/>
              <w:right w:val="nil"/>
            </w:tcBorders>
            <w:shd w:val="clear" w:color="auto" w:fill="auto"/>
            <w:noWrap/>
            <w:hideMark/>
          </w:tcPr>
          <w:p w:rsidR="004843DB" w:rsidRPr="0062582F" w:rsidRDefault="004843DB" w:rsidP="004843DB">
            <w:pPr>
              <w:pStyle w:val="Tabletext"/>
            </w:pPr>
            <w:r w:rsidRPr="0062582F">
              <w:t>Breeding livestock (by headcount)</w:t>
            </w:r>
          </w:p>
        </w:tc>
        <w:tc>
          <w:tcPr>
            <w:tcW w:w="1240" w:type="dxa"/>
            <w:tcBorders>
              <w:top w:val="nil"/>
              <w:left w:val="nil"/>
              <w:bottom w:val="single" w:sz="12" w:space="0" w:color="auto"/>
              <w:right w:val="nil"/>
            </w:tcBorders>
            <w:shd w:val="clear" w:color="000000" w:fill="CCCCCC"/>
            <w:noWrap/>
            <w:hideMark/>
          </w:tcPr>
          <w:p w:rsidR="004843DB" w:rsidRPr="0062582F" w:rsidRDefault="004843DB" w:rsidP="004843DB">
            <w:pPr>
              <w:pStyle w:val="TableofFigures"/>
            </w:pPr>
            <w:r w:rsidRPr="0062582F">
              <w:t xml:space="preserve"> 236</w:t>
            </w:r>
          </w:p>
        </w:tc>
        <w:tc>
          <w:tcPr>
            <w:tcW w:w="1240" w:type="dxa"/>
            <w:tcBorders>
              <w:top w:val="nil"/>
              <w:left w:val="nil"/>
              <w:bottom w:val="single" w:sz="12" w:space="0" w:color="auto"/>
              <w:right w:val="nil"/>
            </w:tcBorders>
            <w:shd w:val="clear" w:color="auto" w:fill="auto"/>
            <w:noWrap/>
            <w:hideMark/>
          </w:tcPr>
          <w:p w:rsidR="004843DB" w:rsidRPr="0062582F" w:rsidRDefault="004843DB" w:rsidP="004843DB">
            <w:pPr>
              <w:pStyle w:val="TableofFigures"/>
            </w:pPr>
            <w:r w:rsidRPr="0062582F">
              <w:t>..</w:t>
            </w:r>
          </w:p>
        </w:tc>
      </w:tr>
    </w:tbl>
    <w:p w:rsidR="004843DB" w:rsidRPr="0062582F" w:rsidRDefault="004843DB" w:rsidP="004843DB"/>
    <w:p w:rsidR="004843DB" w:rsidRPr="0062582F" w:rsidRDefault="004843DB" w:rsidP="00E348C3">
      <w:pPr>
        <w:pStyle w:val="Tableheading"/>
      </w:pPr>
      <w:r w:rsidRPr="0062582F">
        <w:t xml:space="preserve">Table 18.1: </w:t>
      </w:r>
      <w:r w:rsidRPr="0062582F">
        <w:tab/>
        <w:t>Reconciliation of carrying amount</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Reference"/>
        <w:spacing w:before="320"/>
      </w:pPr>
      <w:r w:rsidRPr="0062582F">
        <w:t>AASB 141.50</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00"/>
        <w:rPr>
          <w:rStyle w:val="SmallLineChar"/>
          <w:sz w:val="16"/>
          <w:szCs w:val="16"/>
        </w:rPr>
      </w:pPr>
      <w:r w:rsidRPr="0062582F">
        <w:t>AASB 141.50(b)</w:t>
      </w:r>
    </w:p>
    <w:p w:rsidR="004843DB" w:rsidRPr="0062582F" w:rsidRDefault="004843DB" w:rsidP="004843DB">
      <w:pPr>
        <w:pStyle w:val="Reference"/>
        <w:spacing w:before="100"/>
        <w:rPr>
          <w:rStyle w:val="SmallLineChar"/>
          <w:sz w:val="16"/>
          <w:szCs w:val="16"/>
        </w:rPr>
      </w:pPr>
      <w:r w:rsidRPr="0062582F">
        <w:t>AASB 141.50(a)</w:t>
      </w:r>
    </w:p>
    <w:p w:rsidR="004843DB" w:rsidRPr="0062582F" w:rsidRDefault="004843DB" w:rsidP="004843DB">
      <w:pPr>
        <w:pStyle w:val="Reference"/>
        <w:spacing w:before="80"/>
        <w:rPr>
          <w:rStyle w:val="SmallLineChar"/>
          <w:sz w:val="16"/>
          <w:szCs w:val="16"/>
        </w:rPr>
      </w:pPr>
      <w:r w:rsidRPr="0062582F">
        <w:t>AASB 141.50(c)</w:t>
      </w:r>
    </w:p>
    <w:p w:rsidR="004843DB" w:rsidRPr="0062582F" w:rsidRDefault="004843DB" w:rsidP="004843DB">
      <w:pPr>
        <w:pStyle w:val="Reference"/>
        <w:spacing w:before="100"/>
      </w:pPr>
      <w:r w:rsidRPr="0062582F">
        <w:t>AASB 141.50(d)</w:t>
      </w:r>
    </w:p>
    <w:p w:rsidR="004843DB" w:rsidRPr="0062582F" w:rsidRDefault="004843DB" w:rsidP="004843DB">
      <w:pPr>
        <w:pStyle w:val="Reference"/>
        <w:spacing w:before="80"/>
      </w:pPr>
      <w:r w:rsidRPr="0062582F">
        <w:t>AASB 141.50(g)</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Reference"/>
        <w:spacing w:before="220"/>
      </w:pPr>
      <w:r w:rsidRPr="0062582F">
        <w:t>AASB 141.50</w:t>
      </w: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Reference"/>
        <w:spacing w:before="320"/>
        <w:rPr>
          <w:sz w:val="6"/>
        </w:rPr>
      </w:pPr>
    </w:p>
    <w:p w:rsidR="004843DB" w:rsidRPr="0062582F" w:rsidRDefault="004843DB" w:rsidP="004843DB">
      <w:pPr>
        <w:pStyle w:val="Reference"/>
        <w:spacing w:before="100"/>
      </w:pPr>
      <w:r w:rsidRPr="0062582F">
        <w:t>AASB 141.50(b)</w:t>
      </w:r>
    </w:p>
    <w:p w:rsidR="004843DB" w:rsidRPr="0062582F" w:rsidRDefault="004843DB" w:rsidP="004843DB">
      <w:pPr>
        <w:pStyle w:val="Reference"/>
        <w:spacing w:before="100"/>
      </w:pPr>
      <w:r w:rsidRPr="0062582F">
        <w:t>AASB 141.50(a)</w:t>
      </w:r>
    </w:p>
    <w:p w:rsidR="004843DB" w:rsidRPr="0062582F" w:rsidRDefault="004843DB" w:rsidP="004843DB">
      <w:pPr>
        <w:pStyle w:val="Reference"/>
        <w:spacing w:before="100"/>
      </w:pPr>
      <w:r w:rsidRPr="0062582F">
        <w:t>AASB 141.50(c)</w:t>
      </w:r>
    </w:p>
    <w:p w:rsidR="004843DB" w:rsidRPr="0062582F" w:rsidRDefault="004843DB" w:rsidP="004843DB">
      <w:pPr>
        <w:pStyle w:val="Reference"/>
        <w:spacing w:before="100"/>
      </w:pPr>
      <w:r w:rsidRPr="0062582F">
        <w:t>AASB 141.50(d)</w:t>
      </w:r>
    </w:p>
    <w:p w:rsidR="004843DB" w:rsidRPr="0062582F" w:rsidRDefault="004843DB" w:rsidP="004843DB">
      <w:pPr>
        <w:pStyle w:val="Reference"/>
        <w:spacing w:before="100"/>
      </w:pPr>
      <w:r w:rsidRPr="0062582F">
        <w:t>AASB 141.50(g)</w:t>
      </w:r>
    </w:p>
    <w:p w:rsidR="004843DB" w:rsidRPr="0062582F" w:rsidRDefault="004843DB" w:rsidP="004843DB">
      <w:pPr>
        <w:pStyle w:val="Reference"/>
        <w:spacing w:before="100"/>
      </w:pPr>
      <w:r w:rsidRPr="0062582F">
        <w:t>AASB 141.50</w:t>
      </w:r>
    </w:p>
    <w:p w:rsidR="004843DB" w:rsidRPr="0062582F" w:rsidRDefault="004843DB" w:rsidP="004843DB">
      <w:pPr>
        <w:pStyle w:val="SmallLine"/>
        <w:rPr>
          <w:sz w:val="2"/>
        </w:rPr>
      </w:pPr>
      <w:r w:rsidRPr="0062582F">
        <w:rPr>
          <w:sz w:val="2"/>
        </w:rPr>
        <w:br/>
      </w:r>
    </w:p>
    <w:p w:rsidR="004843DB" w:rsidRPr="0062582F" w:rsidRDefault="004843DB" w:rsidP="004843DB">
      <w:pPr>
        <w:pStyle w:val="million"/>
        <w:rPr>
          <w:rFonts w:ascii="Tahoma" w:hAnsi="Tahoma" w:cs="Tahoma"/>
          <w:sz w:val="20"/>
        </w:rPr>
      </w:pPr>
      <w:r w:rsidRPr="0062582F">
        <w:br w:type="column"/>
        <w:t>($ thousand)</w:t>
      </w:r>
    </w:p>
    <w:tbl>
      <w:tblPr>
        <w:tblW w:w="7940" w:type="dxa"/>
        <w:tblLayout w:type="fixed"/>
        <w:tblCellMar>
          <w:left w:w="43" w:type="dxa"/>
          <w:right w:w="43" w:type="dxa"/>
        </w:tblCellMar>
        <w:tblLook w:val="04A0" w:firstRow="1" w:lastRow="0" w:firstColumn="1" w:lastColumn="0" w:noHBand="0" w:noVBand="1"/>
      </w:tblPr>
      <w:tblGrid>
        <w:gridCol w:w="5460"/>
        <w:gridCol w:w="1240"/>
        <w:gridCol w:w="1240"/>
      </w:tblGrid>
      <w:tr w:rsidR="004843DB" w:rsidRPr="0062582F" w:rsidTr="004843DB">
        <w:trPr>
          <w:cantSplit/>
        </w:trPr>
        <w:tc>
          <w:tcPr>
            <w:tcW w:w="546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Movement in carrying amounts of commercial nature forests: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rPr>
                <w:b/>
                <w:i/>
              </w:rPr>
            </w:pPr>
            <w:r w:rsidRPr="0062582F">
              <w:rPr>
                <w:b/>
                <w:i/>
              </w:rPr>
              <w:t>Carrying amount at beginning of period</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rPr>
                <w:b/>
                <w:i/>
              </w:rPr>
            </w:pPr>
            <w:r w:rsidRPr="0062582F">
              <w:rPr>
                <w:b/>
                <w:i/>
              </w:rPr>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rPr>
                <w:b/>
                <w:i/>
              </w:rPr>
            </w:pPr>
            <w:r w:rsidRPr="0062582F">
              <w:rPr>
                <w:b/>
                <w:i/>
              </w:rPr>
              <w:t xml:space="preserve"> </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Increases due to acquisition/transfers in</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2 545</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Increases due to purchases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Increase/decrease due to fair value adjustment</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1 454</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Decreases attributable to disposal/transfers out</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Decreases due to </w:t>
            </w:r>
            <w:bookmarkStart w:id="461" w:name="OLE_LINK3"/>
            <w:bookmarkStart w:id="462" w:name="OLE_LINK6"/>
            <w:r w:rsidRPr="0062582F">
              <w:t>harvest</w:t>
            </w:r>
            <w:bookmarkEnd w:id="461"/>
            <w:bookmarkEnd w:id="462"/>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(1 250)</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nil"/>
              <w:left w:val="nil"/>
              <w:bottom w:val="single" w:sz="6" w:space="0" w:color="auto"/>
              <w:right w:val="nil"/>
            </w:tcBorders>
            <w:shd w:val="clear" w:color="auto" w:fill="auto"/>
            <w:hideMark/>
          </w:tcPr>
          <w:p w:rsidR="004843DB" w:rsidRPr="0062582F" w:rsidRDefault="004843DB" w:rsidP="004843DB">
            <w:pPr>
              <w:pStyle w:val="Tabletext"/>
            </w:pPr>
            <w:r w:rsidRPr="0062582F">
              <w:t>Other changes</w:t>
            </w:r>
          </w:p>
        </w:tc>
        <w:tc>
          <w:tcPr>
            <w:tcW w:w="1240"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w:t>
            </w:r>
          </w:p>
        </w:tc>
        <w:tc>
          <w:tcPr>
            <w:tcW w:w="124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
              <w:rPr>
                <w:b/>
                <w:i/>
              </w:rPr>
            </w:pPr>
            <w:r w:rsidRPr="0062582F">
              <w:rPr>
                <w:b/>
                <w:i/>
              </w:rPr>
              <w:t>Carrying amount at end of period</w:t>
            </w:r>
          </w:p>
        </w:tc>
        <w:tc>
          <w:tcPr>
            <w:tcW w:w="1240"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ofFigures"/>
              <w:rPr>
                <w:b/>
                <w:i/>
              </w:rPr>
            </w:pPr>
            <w:r w:rsidRPr="0062582F">
              <w:rPr>
                <w:b/>
                <w:i/>
              </w:rPr>
              <w:t>2 749</w:t>
            </w:r>
          </w:p>
        </w:tc>
        <w:tc>
          <w:tcPr>
            <w:tcW w:w="124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rPr>
                <w:b/>
                <w:i/>
              </w:rPr>
            </w:pPr>
            <w:r w:rsidRPr="0062582F">
              <w:rPr>
                <w:b/>
                <w:i/>
              </w:rPr>
              <w:t>..</w:t>
            </w:r>
          </w:p>
        </w:tc>
      </w:tr>
      <w:tr w:rsidR="004843DB" w:rsidRPr="0062582F" w:rsidTr="004843DB">
        <w:trPr>
          <w:cantSplit/>
        </w:trPr>
        <w:tc>
          <w:tcPr>
            <w:tcW w:w="5460" w:type="dxa"/>
            <w:tcBorders>
              <w:top w:val="single" w:sz="6"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Movement in carrying amounts of livestock:</w:t>
            </w:r>
          </w:p>
        </w:tc>
        <w:tc>
          <w:tcPr>
            <w:tcW w:w="1240"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240"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rPr>
                <w:b/>
                <w:i/>
              </w:rPr>
            </w:pPr>
            <w:r w:rsidRPr="0062582F">
              <w:rPr>
                <w:b/>
                <w:i/>
              </w:rPr>
              <w:t>Carrying amount at beginning of period</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rPr>
                <w:b/>
                <w:i/>
              </w:rPr>
            </w:pPr>
            <w:r w:rsidRPr="0062582F">
              <w:rPr>
                <w:b/>
                <w:i/>
              </w:rPr>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rPr>
                <w:b/>
                <w:i/>
              </w:rPr>
            </w:pPr>
            <w:r w:rsidRPr="0062582F">
              <w:rPr>
                <w:b/>
                <w:i/>
              </w:rPr>
              <w:t xml:space="preserve"> </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Increases due to acquisition/transfers in</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657</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Increases due to purchases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856</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Increase/decrease due to fair value adjustment</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22</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Decreases attributable to disposal/transfers out</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(250)</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nil"/>
              <w:left w:val="nil"/>
              <w:bottom w:val="nil"/>
              <w:right w:val="nil"/>
            </w:tcBorders>
            <w:shd w:val="clear" w:color="auto" w:fill="auto"/>
            <w:hideMark/>
          </w:tcPr>
          <w:p w:rsidR="004843DB" w:rsidRPr="0062582F" w:rsidRDefault="004843DB" w:rsidP="004843DB">
            <w:pPr>
              <w:pStyle w:val="Tabletext"/>
            </w:pPr>
            <w:r w:rsidRPr="0062582F">
              <w:t>Decreases attributable to harvest</w:t>
            </w:r>
            <w:r w:rsidRPr="0062582F" w:rsidDel="00C07542">
              <w:t xml:space="preserve"> </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nil"/>
              <w:left w:val="nil"/>
              <w:bottom w:val="single" w:sz="6" w:space="0" w:color="auto"/>
              <w:right w:val="nil"/>
            </w:tcBorders>
            <w:shd w:val="clear" w:color="auto" w:fill="auto"/>
            <w:hideMark/>
          </w:tcPr>
          <w:p w:rsidR="004843DB" w:rsidRPr="0062582F" w:rsidRDefault="004843DB" w:rsidP="004843DB">
            <w:pPr>
              <w:pStyle w:val="Tabletext"/>
            </w:pPr>
            <w:r w:rsidRPr="0062582F">
              <w:t>Other changes</w:t>
            </w:r>
          </w:p>
        </w:tc>
        <w:tc>
          <w:tcPr>
            <w:tcW w:w="1240"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w:t>
            </w:r>
          </w:p>
        </w:tc>
        <w:tc>
          <w:tcPr>
            <w:tcW w:w="1240"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460"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
              <w:rPr>
                <w:b/>
                <w:i/>
              </w:rPr>
            </w:pPr>
            <w:r w:rsidRPr="0062582F">
              <w:rPr>
                <w:b/>
                <w:i/>
              </w:rPr>
              <w:t>Carrying amount at end of period</w:t>
            </w:r>
          </w:p>
        </w:tc>
        <w:tc>
          <w:tcPr>
            <w:tcW w:w="1240"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ofFigures"/>
              <w:rPr>
                <w:b/>
                <w:i/>
              </w:rPr>
            </w:pPr>
            <w:r w:rsidRPr="0062582F">
              <w:rPr>
                <w:b/>
                <w:i/>
              </w:rPr>
              <w:t>1 285</w:t>
            </w:r>
          </w:p>
        </w:tc>
        <w:tc>
          <w:tcPr>
            <w:tcW w:w="1240"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rPr>
                <w:b/>
                <w:i/>
              </w:rPr>
            </w:pPr>
            <w:r w:rsidRPr="0062582F">
              <w:rPr>
                <w:b/>
                <w:i/>
              </w:rPr>
              <w:t>..</w:t>
            </w:r>
          </w:p>
        </w:tc>
      </w:tr>
      <w:tr w:rsidR="004843DB" w:rsidRPr="0062582F" w:rsidTr="004843DB">
        <w:trPr>
          <w:cantSplit/>
        </w:trPr>
        <w:tc>
          <w:tcPr>
            <w:tcW w:w="5460" w:type="dxa"/>
            <w:tcBorders>
              <w:top w:val="single" w:sz="6" w:space="0" w:color="auto"/>
              <w:left w:val="nil"/>
              <w:bottom w:val="single" w:sz="12" w:space="0" w:color="auto"/>
              <w:right w:val="nil"/>
            </w:tcBorders>
            <w:shd w:val="clear" w:color="auto" w:fill="auto"/>
          </w:tcPr>
          <w:p w:rsidR="004843DB" w:rsidRPr="0062582F" w:rsidRDefault="004843DB" w:rsidP="004843DB">
            <w:pPr>
              <w:pStyle w:val="Tabletext"/>
              <w:rPr>
                <w:b/>
                <w:i/>
              </w:rPr>
            </w:pPr>
            <w:r w:rsidRPr="0062582F">
              <w:rPr>
                <w:b/>
                <w:i/>
              </w:rPr>
              <w:t>Total</w:t>
            </w:r>
          </w:p>
        </w:tc>
        <w:tc>
          <w:tcPr>
            <w:tcW w:w="1240" w:type="dxa"/>
            <w:tcBorders>
              <w:top w:val="single" w:sz="6" w:space="0" w:color="auto"/>
              <w:left w:val="nil"/>
              <w:bottom w:val="single" w:sz="12" w:space="0" w:color="auto"/>
              <w:right w:val="nil"/>
            </w:tcBorders>
            <w:shd w:val="clear" w:color="00FFFF" w:fill="CCCCCC"/>
            <w:noWrap/>
          </w:tcPr>
          <w:p w:rsidR="004843DB" w:rsidRPr="0062582F" w:rsidRDefault="004843DB" w:rsidP="004843DB">
            <w:pPr>
              <w:pStyle w:val="TableofFigures"/>
              <w:rPr>
                <w:b/>
                <w:i/>
              </w:rPr>
            </w:pPr>
            <w:r w:rsidRPr="0062582F">
              <w:rPr>
                <w:b/>
                <w:i/>
              </w:rPr>
              <w:t>4 034</w:t>
            </w:r>
          </w:p>
        </w:tc>
        <w:tc>
          <w:tcPr>
            <w:tcW w:w="1240" w:type="dxa"/>
            <w:tcBorders>
              <w:top w:val="single" w:sz="6" w:space="0" w:color="auto"/>
              <w:left w:val="nil"/>
              <w:bottom w:val="single" w:sz="12" w:space="0" w:color="auto"/>
              <w:right w:val="nil"/>
            </w:tcBorders>
            <w:shd w:val="clear" w:color="auto" w:fill="auto"/>
            <w:noWrap/>
          </w:tcPr>
          <w:p w:rsidR="004843DB" w:rsidRPr="0062582F" w:rsidRDefault="004843DB" w:rsidP="004843DB">
            <w:pPr>
              <w:pStyle w:val="TableofFigures"/>
              <w:rPr>
                <w:b/>
                <w:i/>
              </w:rPr>
            </w:pPr>
            <w:r w:rsidRPr="0062582F">
              <w:rPr>
                <w:b/>
                <w:i/>
              </w:rPr>
              <w:t>..</w:t>
            </w:r>
          </w:p>
        </w:tc>
      </w:tr>
    </w:tbl>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rStyle w:val="ReferenceChar"/>
        </w:rPr>
      </w:pPr>
      <w:r w:rsidRPr="0062582F">
        <w:rPr>
          <w:rStyle w:val="ReferenceChar"/>
        </w:rPr>
        <w:t>AASB 141.46(a)</w:t>
      </w:r>
    </w:p>
    <w:p w:rsidR="004843DB" w:rsidRPr="0062582F" w:rsidRDefault="004843DB" w:rsidP="004843DB">
      <w:r w:rsidRPr="0062582F">
        <w:br w:type="column"/>
        <w:t xml:space="preserve">The Department recognises productive trees in commercial native forests and breeding livestock as biological assets.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141.48</w:t>
      </w:r>
    </w:p>
    <w:p w:rsidR="004843DB" w:rsidRPr="0062582F" w:rsidRDefault="004843DB" w:rsidP="004843DB">
      <w:r w:rsidRPr="0062582F">
        <w:br w:type="column"/>
        <w:t>The fair value less costs to sell of timber harvested during the period was</w:t>
      </w:r>
      <w:r w:rsidRPr="0062582F">
        <w:rPr>
          <w:iCs/>
        </w:rPr>
        <w:t xml:space="preserve"> </w:t>
      </w:r>
      <w:r w:rsidRPr="0062582F">
        <w:t xml:space="preserve">$1.56 million.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 4149(b)</w:t>
      </w:r>
    </w:p>
    <w:p w:rsidR="004843DB" w:rsidRPr="0062582F" w:rsidRDefault="004843DB" w:rsidP="004843DB">
      <w:r w:rsidRPr="0062582F">
        <w:br w:type="column"/>
        <w:t>As at 30 June 2016, the Department had commitments for the acquisition of breeding livestock amounting to $150 000 (2014: $nil).</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141.49(c)</w:t>
      </w:r>
    </w:p>
    <w:p w:rsidR="004843DB" w:rsidRPr="0062582F" w:rsidRDefault="004843DB" w:rsidP="004843DB">
      <w:r w:rsidRPr="0062582F">
        <w:br w:type="column"/>
        <w:t>The Department is exposed to financial risks in respect of its biological activities, in particular, the commercial native forests. The primary financial risk occurs due to the length of time between expending cash on the purchase, planting and maintenance of trees and on felling the adult trees and ultimately receiving the cash from the eventual sale to third parties. The Department manages these risks by actively reviewing and managing the working capital requirements of these activities.</w:t>
      </w:r>
    </w:p>
    <w:p w:rsidR="004843DB" w:rsidRPr="0062582F" w:rsidRDefault="004843DB" w:rsidP="004843DB">
      <w:pPr>
        <w:pStyle w:val="ReferenceRed"/>
        <w:jc w:val="both"/>
        <w:rPr>
          <w:rFonts w:ascii="Garamond" w:hAnsi="Garamond" w:cs="Times New Roman"/>
          <w:lang w:val="en-AU"/>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pPr>
      <w:r w:rsidRPr="0062582F">
        <w:br w:type="column"/>
      </w:r>
      <w:r w:rsidRPr="0062582F">
        <w:br w:type="column"/>
      </w:r>
    </w:p>
    <w:p w:rsidR="004843DB" w:rsidRPr="00A72163" w:rsidRDefault="004843DB" w:rsidP="004843DB">
      <w:pPr>
        <w:pStyle w:val="Reference"/>
        <w:spacing w:before="240"/>
        <w:rPr>
          <w:color w:val="FF0000"/>
        </w:rPr>
      </w:pPr>
      <w:r w:rsidRPr="00A72163">
        <w:rPr>
          <w:color w:val="FF0000"/>
        </w:rPr>
        <w:t>New</w:t>
      </w:r>
    </w:p>
    <w:p w:rsidR="004843DB" w:rsidRPr="0062582F" w:rsidRDefault="004843DB" w:rsidP="004843DB">
      <w:pPr>
        <w:pStyle w:val="Reference"/>
        <w:spacing w:before="240"/>
      </w:pPr>
    </w:p>
    <w:p w:rsidR="004843DB" w:rsidRPr="0062582F" w:rsidRDefault="004843DB" w:rsidP="004843DB">
      <w:pPr>
        <w:pStyle w:val="Reference"/>
        <w:spacing w:before="0"/>
      </w:pPr>
    </w:p>
    <w:p w:rsidR="004843DB" w:rsidRPr="0062582F" w:rsidRDefault="004843DB" w:rsidP="00633DE0">
      <w:pPr>
        <w:pStyle w:val="Reference"/>
      </w:pPr>
      <w:r w:rsidRPr="0062582F">
        <w:t>AASB 13.93 (a)(b)</w:t>
      </w:r>
    </w:p>
    <w:p w:rsidR="004843DB" w:rsidRPr="0062582F" w:rsidRDefault="004843DB" w:rsidP="004843DB">
      <w:pPr>
        <w:pStyle w:val="NoteHeadingcontinued"/>
        <w:rPr>
          <w:i/>
        </w:rPr>
      </w:pPr>
      <w:r w:rsidRPr="0062582F">
        <w:br w:type="column"/>
        <w:t>Note 18.</w:t>
      </w:r>
      <w:r w:rsidRPr="0062582F">
        <w:tab/>
        <w:t xml:space="preserve">Biological assets </w:t>
      </w:r>
      <w:r w:rsidRPr="0062582F">
        <w:rPr>
          <w:i/>
        </w:rPr>
        <w:t>(continued)</w:t>
      </w:r>
    </w:p>
    <w:p w:rsidR="004843DB" w:rsidRPr="0062582F" w:rsidRDefault="004843DB" w:rsidP="00B35985">
      <w:pPr>
        <w:pStyle w:val="Tableheading"/>
        <w:ind w:left="0" w:firstLine="0"/>
      </w:pPr>
      <w:r w:rsidRPr="0062582F">
        <w:t>[</w:t>
      </w:r>
      <w:r w:rsidRPr="0062582F">
        <w:rPr>
          <w:lang w:val="en-GB"/>
        </w:rPr>
        <w:t>Note: Fair value hierarchy contained in Table 18.2 below should also be disclosed for the comparative period of 2014</w:t>
      </w:r>
      <w:r w:rsidR="005A4BB0">
        <w:rPr>
          <w:lang w:val="en-GB"/>
        </w:rPr>
        <w:noBreakHyphen/>
      </w:r>
      <w:r w:rsidRPr="0062582F">
        <w:rPr>
          <w:lang w:val="en-GB"/>
        </w:rPr>
        <w:t>15 (not illustrated in the Model)</w:t>
      </w:r>
      <w:r w:rsidRPr="0062582F">
        <w:t>.]</w:t>
      </w:r>
    </w:p>
    <w:p w:rsidR="004843DB" w:rsidRPr="0062582F" w:rsidRDefault="004843DB" w:rsidP="00E348C3">
      <w:pPr>
        <w:pStyle w:val="Tableheading"/>
      </w:pPr>
      <w:r w:rsidRPr="0062582F">
        <w:t xml:space="preserve">Table 18.2: </w:t>
      </w:r>
      <w:r w:rsidRPr="0062582F">
        <w:tab/>
        <w:t>Fair value measurement for 2016</w:t>
      </w:r>
    </w:p>
    <w:p w:rsidR="004843DB" w:rsidRPr="0062582F" w:rsidRDefault="004843DB" w:rsidP="004843DB">
      <w:pPr>
        <w:jc w:val="both"/>
      </w:pPr>
      <w:r w:rsidRPr="0062582F">
        <w:t>Disclosure of biological assets measured at fair value and their categorisation in the fair value hierarchy can be seen below.</w:t>
      </w:r>
    </w:p>
    <w:p w:rsidR="004843DB" w:rsidRPr="0062582F" w:rsidRDefault="004843DB" w:rsidP="004843DB">
      <w:pPr>
        <w:pStyle w:val="million"/>
        <w:rPr>
          <w:rFonts w:eastAsia="Times New Roman"/>
          <w:lang w:eastAsia="en-US"/>
        </w:rPr>
      </w:pPr>
      <w:r w:rsidRPr="0062582F">
        <w:rPr>
          <w:rFonts w:eastAsia="Times New Roman"/>
          <w:lang w:eastAsia="en-US"/>
        </w:rPr>
        <w:t>($ thousand)</w:t>
      </w:r>
    </w:p>
    <w:tbl>
      <w:tblPr>
        <w:tblW w:w="8143" w:type="dxa"/>
        <w:tblLayout w:type="fixed"/>
        <w:tblCellMar>
          <w:left w:w="43" w:type="dxa"/>
          <w:right w:w="43" w:type="dxa"/>
        </w:tblCellMar>
        <w:tblLook w:val="04A0" w:firstRow="1" w:lastRow="0" w:firstColumn="1" w:lastColumn="0" w:noHBand="0" w:noVBand="1"/>
      </w:tblPr>
      <w:tblGrid>
        <w:gridCol w:w="3193"/>
        <w:gridCol w:w="1260"/>
        <w:gridCol w:w="1215"/>
        <w:gridCol w:w="1237"/>
        <w:gridCol w:w="1238"/>
      </w:tblGrid>
      <w:tr w:rsidR="004843DB" w:rsidRPr="0062582F" w:rsidTr="004843DB">
        <w:trPr>
          <w:cantSplit/>
        </w:trPr>
        <w:tc>
          <w:tcPr>
            <w:tcW w:w="3193" w:type="dxa"/>
            <w:vMerge w:val="restart"/>
            <w:tcBorders>
              <w:top w:val="single" w:sz="4" w:space="0" w:color="auto"/>
              <w:left w:val="nil"/>
              <w:bottom w:val="single" w:sz="4" w:space="0" w:color="000000"/>
              <w:right w:val="nil"/>
            </w:tcBorders>
            <w:shd w:val="clear" w:color="auto" w:fill="auto"/>
            <w:hideMark/>
          </w:tcPr>
          <w:p w:rsidR="004843DB" w:rsidRPr="0062582F" w:rsidRDefault="004843DB" w:rsidP="004843DB">
            <w:pPr>
              <w:pStyle w:val="TabletextheadingLeft"/>
            </w:pPr>
          </w:p>
        </w:tc>
        <w:tc>
          <w:tcPr>
            <w:tcW w:w="1260" w:type="dxa"/>
            <w:vMerge w:val="restart"/>
            <w:tcBorders>
              <w:top w:val="single" w:sz="4" w:space="0" w:color="auto"/>
              <w:left w:val="nil"/>
              <w:right w:val="nil"/>
            </w:tcBorders>
            <w:shd w:val="clear" w:color="000000" w:fill="CCCCCC"/>
            <w:noWrap/>
            <w:hideMark/>
          </w:tcPr>
          <w:p w:rsidR="004843DB" w:rsidRPr="0062582F" w:rsidRDefault="004843DB" w:rsidP="004843DB">
            <w:pPr>
              <w:pStyle w:val="TabletextheadingCentred"/>
              <w:spacing w:before="40"/>
            </w:pPr>
            <w:r w:rsidRPr="0062582F">
              <w:t>Carrying amount as at</w:t>
            </w:r>
            <w:r w:rsidRPr="0062582F">
              <w:br/>
              <w:t>30 June 2016</w:t>
            </w:r>
          </w:p>
        </w:tc>
        <w:tc>
          <w:tcPr>
            <w:tcW w:w="3690" w:type="dxa"/>
            <w:gridSpan w:val="3"/>
            <w:tcBorders>
              <w:top w:val="single" w:sz="4" w:space="0" w:color="auto"/>
              <w:left w:val="nil"/>
              <w:bottom w:val="nil"/>
              <w:right w:val="nil"/>
            </w:tcBorders>
            <w:shd w:val="clear" w:color="auto" w:fill="auto"/>
            <w:hideMark/>
          </w:tcPr>
          <w:p w:rsidR="004843DB" w:rsidRPr="0062582F" w:rsidRDefault="004843DB" w:rsidP="004843DB">
            <w:pPr>
              <w:pStyle w:val="TabletextheadingCentred"/>
            </w:pPr>
            <w:r w:rsidRPr="0062582F">
              <w:t>Fair value measurement at end of reporting period using:</w:t>
            </w:r>
          </w:p>
        </w:tc>
      </w:tr>
      <w:tr w:rsidR="004843DB" w:rsidRPr="0062582F" w:rsidTr="004843DB">
        <w:trPr>
          <w:cantSplit/>
        </w:trPr>
        <w:tc>
          <w:tcPr>
            <w:tcW w:w="3193" w:type="dxa"/>
            <w:vMerge/>
            <w:tcBorders>
              <w:top w:val="single" w:sz="4" w:space="0" w:color="auto"/>
              <w:left w:val="nil"/>
              <w:bottom w:val="single" w:sz="4" w:space="0" w:color="000000"/>
              <w:right w:val="nil"/>
            </w:tcBorders>
            <w:vAlign w:val="center"/>
            <w:hideMark/>
          </w:tcPr>
          <w:p w:rsidR="004843DB" w:rsidRPr="0062582F" w:rsidRDefault="004843DB" w:rsidP="004843DB">
            <w:pPr>
              <w:spacing w:before="0"/>
              <w:rPr>
                <w:rFonts w:ascii="Arial" w:hAnsi="Arial" w:cs="Arial"/>
                <w:i/>
                <w:iCs/>
                <w:sz w:val="18"/>
                <w:szCs w:val="18"/>
              </w:rPr>
            </w:pPr>
          </w:p>
        </w:tc>
        <w:tc>
          <w:tcPr>
            <w:tcW w:w="1260" w:type="dxa"/>
            <w:vMerge/>
            <w:tcBorders>
              <w:left w:val="nil"/>
              <w:bottom w:val="single" w:sz="4" w:space="0" w:color="auto"/>
              <w:right w:val="nil"/>
            </w:tcBorders>
            <w:shd w:val="clear" w:color="000000" w:fill="CCCCCC"/>
            <w:noWrap/>
            <w:hideMark/>
          </w:tcPr>
          <w:p w:rsidR="004843DB" w:rsidRPr="0062582F" w:rsidRDefault="004843DB" w:rsidP="004843DB">
            <w:pPr>
              <w:pStyle w:val="TabletextheadingCentred"/>
            </w:pPr>
          </w:p>
        </w:tc>
        <w:tc>
          <w:tcPr>
            <w:tcW w:w="121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Level 1</w:t>
            </w:r>
            <w:r w:rsidRPr="0062582F">
              <w:rPr>
                <w:vertAlign w:val="superscript"/>
              </w:rPr>
              <w:t xml:space="preserve"> (i)</w:t>
            </w:r>
          </w:p>
        </w:tc>
        <w:tc>
          <w:tcPr>
            <w:tcW w:w="1237"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textheadingCentred"/>
            </w:pPr>
            <w:r w:rsidRPr="0062582F">
              <w:t>Level 2</w:t>
            </w:r>
            <w:r w:rsidRPr="0062582F">
              <w:rPr>
                <w:vertAlign w:val="superscript"/>
              </w:rPr>
              <w:t xml:space="preserve"> (i)</w:t>
            </w:r>
          </w:p>
        </w:tc>
        <w:tc>
          <w:tcPr>
            <w:tcW w:w="123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Level 3</w:t>
            </w:r>
            <w:r w:rsidRPr="0062582F">
              <w:rPr>
                <w:vertAlign w:val="superscript"/>
              </w:rPr>
              <w:t xml:space="preserve"> (i)</w:t>
            </w:r>
          </w:p>
        </w:tc>
      </w:tr>
      <w:tr w:rsidR="004843DB" w:rsidRPr="0062582F" w:rsidTr="004843DB">
        <w:trPr>
          <w:cantSplit/>
        </w:trPr>
        <w:tc>
          <w:tcPr>
            <w:tcW w:w="3193" w:type="dxa"/>
            <w:tcBorders>
              <w:top w:val="nil"/>
              <w:left w:val="nil"/>
              <w:right w:val="nil"/>
            </w:tcBorders>
            <w:shd w:val="clear" w:color="auto" w:fill="auto"/>
            <w:hideMark/>
          </w:tcPr>
          <w:p w:rsidR="004843DB" w:rsidRPr="0062582F" w:rsidRDefault="004843DB" w:rsidP="004843DB">
            <w:pPr>
              <w:pStyle w:val="Tabletext"/>
            </w:pPr>
            <w:r w:rsidRPr="0062582F">
              <w:t>Nature forests</w:t>
            </w:r>
          </w:p>
        </w:tc>
        <w:tc>
          <w:tcPr>
            <w:tcW w:w="1260" w:type="dxa"/>
            <w:tcBorders>
              <w:top w:val="nil"/>
              <w:left w:val="nil"/>
              <w:right w:val="nil"/>
            </w:tcBorders>
            <w:shd w:val="clear" w:color="000000" w:fill="CCCCCC"/>
            <w:noWrap/>
            <w:hideMark/>
          </w:tcPr>
          <w:p w:rsidR="004843DB" w:rsidRPr="0062582F" w:rsidRDefault="004843DB" w:rsidP="004843DB">
            <w:pPr>
              <w:pStyle w:val="TableofFigures"/>
            </w:pPr>
            <w:r w:rsidRPr="0062582F">
              <w:t>2 749</w:t>
            </w:r>
          </w:p>
        </w:tc>
        <w:tc>
          <w:tcPr>
            <w:tcW w:w="1215" w:type="dxa"/>
            <w:tcBorders>
              <w:top w:val="nil"/>
              <w:left w:val="nil"/>
              <w:right w:val="nil"/>
            </w:tcBorders>
            <w:shd w:val="clear" w:color="auto" w:fill="auto"/>
            <w:noWrap/>
            <w:hideMark/>
          </w:tcPr>
          <w:p w:rsidR="004843DB" w:rsidRPr="0062582F" w:rsidRDefault="004843DB" w:rsidP="004843DB">
            <w:pPr>
              <w:pStyle w:val="TableofFigures"/>
            </w:pPr>
            <w:r w:rsidRPr="0062582F">
              <w:t>N/A</w:t>
            </w:r>
          </w:p>
        </w:tc>
        <w:tc>
          <w:tcPr>
            <w:tcW w:w="1237" w:type="dxa"/>
            <w:tcBorders>
              <w:top w:val="nil"/>
              <w:left w:val="nil"/>
              <w:right w:val="nil"/>
            </w:tcBorders>
            <w:shd w:val="clear" w:color="000000" w:fill="CCCCCC"/>
            <w:noWrap/>
            <w:hideMark/>
          </w:tcPr>
          <w:p w:rsidR="004843DB" w:rsidRPr="0062582F" w:rsidRDefault="004843DB" w:rsidP="004843DB">
            <w:pPr>
              <w:pStyle w:val="TableofFigures"/>
            </w:pPr>
            <w:r w:rsidRPr="0062582F">
              <w:t>2 749</w:t>
            </w:r>
          </w:p>
        </w:tc>
        <w:tc>
          <w:tcPr>
            <w:tcW w:w="1238" w:type="dxa"/>
            <w:tcBorders>
              <w:top w:val="nil"/>
              <w:left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193" w:type="dxa"/>
            <w:tcBorders>
              <w:top w:val="nil"/>
              <w:left w:val="nil"/>
              <w:bottom w:val="single" w:sz="12" w:space="0" w:color="auto"/>
              <w:right w:val="nil"/>
            </w:tcBorders>
            <w:shd w:val="clear" w:color="auto" w:fill="auto"/>
            <w:hideMark/>
          </w:tcPr>
          <w:p w:rsidR="004843DB" w:rsidRPr="0062582F" w:rsidRDefault="004843DB" w:rsidP="004843DB">
            <w:pPr>
              <w:pStyle w:val="Tabletext"/>
            </w:pPr>
            <w:r w:rsidRPr="0062582F">
              <w:t>Livestock</w:t>
            </w:r>
          </w:p>
        </w:tc>
        <w:tc>
          <w:tcPr>
            <w:tcW w:w="1260" w:type="dxa"/>
            <w:tcBorders>
              <w:top w:val="nil"/>
              <w:left w:val="nil"/>
              <w:bottom w:val="single" w:sz="12" w:space="0" w:color="auto"/>
              <w:right w:val="nil"/>
            </w:tcBorders>
            <w:shd w:val="clear" w:color="000000" w:fill="CCCCCC"/>
            <w:noWrap/>
            <w:hideMark/>
          </w:tcPr>
          <w:p w:rsidR="004843DB" w:rsidRPr="0062582F" w:rsidRDefault="004843DB" w:rsidP="004843DB">
            <w:pPr>
              <w:pStyle w:val="TableofFigures"/>
            </w:pPr>
            <w:r w:rsidRPr="0062582F">
              <w:t>1 285</w:t>
            </w:r>
          </w:p>
        </w:tc>
        <w:tc>
          <w:tcPr>
            <w:tcW w:w="1215" w:type="dxa"/>
            <w:tcBorders>
              <w:top w:val="nil"/>
              <w:left w:val="nil"/>
              <w:bottom w:val="single" w:sz="12" w:space="0" w:color="auto"/>
              <w:right w:val="nil"/>
            </w:tcBorders>
            <w:shd w:val="clear" w:color="auto" w:fill="auto"/>
            <w:noWrap/>
            <w:hideMark/>
          </w:tcPr>
          <w:p w:rsidR="004843DB" w:rsidRPr="0062582F" w:rsidRDefault="004843DB" w:rsidP="004843DB">
            <w:pPr>
              <w:pStyle w:val="TableofFigures"/>
            </w:pPr>
            <w:r w:rsidRPr="0062582F">
              <w:t>N/A</w:t>
            </w:r>
          </w:p>
        </w:tc>
        <w:tc>
          <w:tcPr>
            <w:tcW w:w="1237" w:type="dxa"/>
            <w:tcBorders>
              <w:top w:val="nil"/>
              <w:left w:val="nil"/>
              <w:bottom w:val="single" w:sz="12" w:space="0" w:color="auto"/>
              <w:right w:val="nil"/>
            </w:tcBorders>
            <w:shd w:val="clear" w:color="000000" w:fill="CCCCCC"/>
            <w:noWrap/>
            <w:hideMark/>
          </w:tcPr>
          <w:p w:rsidR="004843DB" w:rsidRPr="0062582F" w:rsidRDefault="004843DB" w:rsidP="004843DB">
            <w:pPr>
              <w:pStyle w:val="TableofFigures"/>
            </w:pPr>
            <w:r w:rsidRPr="0062582F">
              <w:t>1 285</w:t>
            </w:r>
          </w:p>
        </w:tc>
        <w:tc>
          <w:tcPr>
            <w:tcW w:w="1238" w:type="dxa"/>
            <w:tcBorders>
              <w:top w:val="nil"/>
              <w:left w:val="nil"/>
              <w:bottom w:val="single" w:sz="12" w:space="0" w:color="auto"/>
              <w:right w:val="nil"/>
            </w:tcBorders>
            <w:shd w:val="clear" w:color="auto" w:fill="auto"/>
            <w:noWrap/>
            <w:hideMark/>
          </w:tcPr>
          <w:p w:rsidR="004843DB" w:rsidRPr="0062582F" w:rsidRDefault="004843DB" w:rsidP="004843DB">
            <w:pPr>
              <w:pStyle w:val="TableofFigures"/>
            </w:pPr>
            <w:r w:rsidRPr="0062582F">
              <w:t>..</w:t>
            </w:r>
          </w:p>
        </w:tc>
      </w:tr>
    </w:tbl>
    <w:p w:rsidR="004843DB" w:rsidRPr="0062582F" w:rsidRDefault="004843DB" w:rsidP="004843DB">
      <w:pPr>
        <w:pStyle w:val="Notes"/>
      </w:pPr>
      <w:r w:rsidRPr="0062582F">
        <w:t>Note:</w:t>
      </w:r>
    </w:p>
    <w:p w:rsidR="004843DB" w:rsidRPr="0062582F" w:rsidRDefault="004843DB" w:rsidP="004843DB">
      <w:pPr>
        <w:pStyle w:val="Notes"/>
        <w:rPr>
          <w:lang w:val="en-GB"/>
        </w:rPr>
      </w:pPr>
      <w:r w:rsidRPr="0062582F">
        <w:rPr>
          <w:lang w:val="en-GB"/>
        </w:rPr>
        <w:t>(i)</w:t>
      </w:r>
      <w:r w:rsidRPr="0062582F">
        <w:rPr>
          <w:lang w:val="en-GB"/>
        </w:rPr>
        <w:tab/>
        <w:t>Classified in accordance with the fair value hierarchy, see Note 1(B).</w:t>
      </w:r>
    </w:p>
    <w:p w:rsidR="004843DB" w:rsidRPr="0062582F" w:rsidRDefault="004843DB" w:rsidP="004843DB">
      <w:pPr>
        <w:pStyle w:val="Notes"/>
        <w:rPr>
          <w:lang w:val="en-GB"/>
        </w:rPr>
      </w:pPr>
    </w:p>
    <w:p w:rsidR="004843DB" w:rsidRPr="0062582F" w:rsidRDefault="004843DB" w:rsidP="004843DB">
      <w:pPr>
        <w:autoSpaceDE w:val="0"/>
        <w:autoSpaceDN w:val="0"/>
        <w:adjustRightInd w:val="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13.93 (c)</w:t>
      </w:r>
    </w:p>
    <w:p w:rsidR="004843DB" w:rsidRPr="0062582F" w:rsidRDefault="004843DB" w:rsidP="004843DB">
      <w:pPr>
        <w:pStyle w:val="Reference"/>
        <w:spacing w:before="0"/>
      </w:pPr>
      <w:r w:rsidRPr="0062582F">
        <w:t>AASB 13.66</w:t>
      </w:r>
    </w:p>
    <w:p w:rsidR="004843DB" w:rsidRPr="0062582F" w:rsidRDefault="004843DB" w:rsidP="004843DB">
      <w:r w:rsidRPr="0062582F">
        <w:br w:type="column"/>
        <w:t xml:space="preserve">There have been no transfers between levels during the period. There were no changes in valuation techniques throughout the period to 30 June 2016. There are no comparative disclosures because the Department did not hold any biological assets at 30 June 2015. </w:t>
      </w:r>
    </w:p>
    <w:p w:rsidR="004843DB" w:rsidRPr="0062582F" w:rsidRDefault="004843DB" w:rsidP="004843DB"/>
    <w:p w:rsidR="004843DB" w:rsidRPr="0062582F" w:rsidRDefault="004843DB" w:rsidP="004843DB">
      <w:pPr>
        <w:pStyle w:val="Heading4"/>
        <w:rPr>
          <w:lang w:val="en-GB"/>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spacing w:before="200"/>
      </w:pPr>
    </w:p>
    <w:p w:rsidR="004843DB" w:rsidRPr="0062582F" w:rsidRDefault="004843DB" w:rsidP="004843DB">
      <w:pPr>
        <w:pStyle w:val="Reference"/>
      </w:pPr>
      <w:r w:rsidRPr="0062582F">
        <w:t>AASB 13.93(d)</w:t>
      </w:r>
    </w:p>
    <w:p w:rsidR="004843DB" w:rsidRPr="0062582F" w:rsidRDefault="004843DB" w:rsidP="004843DB">
      <w:pPr>
        <w:pStyle w:val="Heading4"/>
      </w:pPr>
      <w:r w:rsidRPr="0062582F">
        <w:rPr>
          <w:rFonts w:cs="Arial Narrow"/>
          <w:color w:val="0000FF"/>
          <w:sz w:val="16"/>
          <w:szCs w:val="16"/>
          <w:lang w:val="en-GB"/>
        </w:rPr>
        <w:br w:type="column"/>
      </w:r>
      <w:r w:rsidRPr="0062582F">
        <w:t xml:space="preserve">Nature forests and livestock </w:t>
      </w:r>
    </w:p>
    <w:p w:rsidR="004843DB" w:rsidRPr="0062582F" w:rsidRDefault="004843DB" w:rsidP="004843DB">
      <w:r w:rsidRPr="0062582F">
        <w:t>Biological assets comprise nature forests and livestock. Biological assets are measured at fair value less costs to sell, with any changes recognised in the comprehensive operating statement – other economic flows. Costs to sell include all costs that would be necessary to sell the assets, including freight and direct selling costs.</w:t>
      </w:r>
    </w:p>
    <w:p w:rsidR="004843DB" w:rsidRPr="0062582F" w:rsidRDefault="004843DB" w:rsidP="004843DB">
      <w:r w:rsidRPr="0062582F">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rsidR="004843DB" w:rsidRPr="0062582F" w:rsidRDefault="004843DB" w:rsidP="004843DB">
      <w:r w:rsidRPr="0062582F">
        <w:t xml:space="preserve">In the event that market determined prices or values are not available for a biological asset in its present condition, the present value of the expected net cashflows from the asset, discounted at a current market determined rate is utilised to determine fair value. </w:t>
      </w:r>
    </w:p>
    <w:p w:rsidR="004843DB" w:rsidRPr="0062582F" w:rsidRDefault="004843DB" w:rsidP="004843DB">
      <w:pPr>
        <w:pStyle w:val="Heading4"/>
        <w:rPr>
          <w:lang w:val="en-GB" w:eastAsia="en-US"/>
        </w:rPr>
      </w:pPr>
      <w:r w:rsidRPr="0062582F">
        <w:rPr>
          <w:lang w:val="en-GB" w:eastAsia="en-US"/>
        </w:rPr>
        <w:t>Nature forests</w:t>
      </w:r>
    </w:p>
    <w:p w:rsidR="004843DB" w:rsidRPr="0062582F" w:rsidRDefault="004843DB" w:rsidP="004843DB">
      <w:r w:rsidRPr="0062582F">
        <w:t>The fair value for nature forests is determined using a discounted cash flow method whereby expected net future cash flows are discounted at a current market determined rate. After harvest, productive trees are treated as inventories.</w:t>
      </w:r>
    </w:p>
    <w:p w:rsidR="004843DB" w:rsidRPr="0062582F" w:rsidRDefault="004843DB" w:rsidP="004843DB">
      <w:pPr>
        <w:pStyle w:val="Heading4"/>
        <w:rPr>
          <w:lang w:val="en-GB" w:eastAsia="en-US"/>
        </w:rPr>
      </w:pPr>
      <w:r w:rsidRPr="0062582F">
        <w:rPr>
          <w:lang w:val="en-GB" w:eastAsia="en-US"/>
        </w:rPr>
        <w:t>Livestock</w:t>
      </w:r>
    </w:p>
    <w:p w:rsidR="004843DB" w:rsidRDefault="004843DB" w:rsidP="004843DB">
      <w:r w:rsidRPr="0062582F">
        <w:t>For livestock, fair value is based on relevant market indicators which include store cattle prices, abattoir market prices, and cattle prices received/quoted for the Department</w:t>
      </w:r>
      <w:r w:rsidR="005A4BB0">
        <w:t>’</w:t>
      </w:r>
      <w:r w:rsidRPr="0062582F">
        <w:t>s cattle at the reporting date. Prices for cattle generally reflect the shorter term spot prices available in the market place and vary depending on the weight and condition of the animal.</w:t>
      </w:r>
    </w:p>
    <w:p w:rsidR="00B60DEF" w:rsidRPr="0062582F" w:rsidRDefault="00B60DEF" w:rsidP="004843DB"/>
    <w:p w:rsidR="00B60DEF" w:rsidRDefault="00B60DEF" w:rsidP="00885F25">
      <w:pPr>
        <w:rPr>
          <w:lang w:val="en-GB"/>
        </w:rPr>
      </w:pPr>
      <w:r>
        <w:br w:type="page"/>
      </w:r>
    </w:p>
    <w:p w:rsidR="00B60DEF" w:rsidRDefault="00B60DEF" w:rsidP="003E0186">
      <w:pPr>
        <w:pStyle w:val="Reference"/>
      </w:pPr>
    </w:p>
    <w:p w:rsidR="004843DB" w:rsidRPr="0062582F" w:rsidRDefault="00B60DEF" w:rsidP="00885F25">
      <w:pPr>
        <w:pStyle w:val="Smallline0"/>
      </w:pPr>
      <w:r>
        <w:br w:type="column"/>
      </w:r>
    </w:p>
    <w:p w:rsidR="004843DB" w:rsidRPr="0062582F" w:rsidRDefault="004843DB" w:rsidP="004843DB">
      <w:pPr>
        <w:pStyle w:val="CommentaryHeading"/>
      </w:pPr>
      <w:r w:rsidRPr="0062582F">
        <w:t xml:space="preserve">Commentary – Biological assets </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pPr>
      <w:r w:rsidRPr="0062582F">
        <w:t>General disclosure requirements</w:t>
      </w:r>
    </w:p>
    <w:p w:rsidR="004843DB" w:rsidRPr="0062582F" w:rsidRDefault="004843DB" w:rsidP="004843DB">
      <w:pPr>
        <w:pStyle w:val="CommentaryText"/>
        <w:pBdr>
          <w:top w:val="none" w:sz="0" w:space="0" w:color="auto"/>
          <w:bottom w:val="none" w:sz="0" w:space="0" w:color="auto"/>
        </w:pBdr>
        <w:rPr>
          <w:rStyle w:val="NormalBlueChar"/>
          <w:noProof w:val="0"/>
        </w:rPr>
      </w:pPr>
      <w:r w:rsidRPr="0062582F">
        <w:rPr>
          <w:rStyle w:val="NormalBlueChar"/>
          <w:noProof w:val="0"/>
        </w:rPr>
        <w:t>An entity shall disclose:</w:t>
      </w:r>
    </w:p>
    <w:p w:rsidR="004843DB" w:rsidRPr="0062582F" w:rsidRDefault="004843DB" w:rsidP="004843DB">
      <w:pPr>
        <w:pStyle w:val="CommentaryText"/>
        <w:rPr>
          <w:rStyle w:val="NormalBlueChar"/>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141.41</w:t>
      </w:r>
    </w:p>
    <w:p w:rsidR="004843DB" w:rsidRPr="0062582F" w:rsidRDefault="004843DB" w:rsidP="004843DB">
      <w:pPr>
        <w:pStyle w:val="CommentaryTextIndent"/>
        <w:pBdr>
          <w:top w:val="none" w:sz="0" w:space="0" w:color="auto"/>
          <w:bottom w:val="none" w:sz="0" w:space="0" w:color="auto"/>
        </w:pBdr>
        <w:rPr>
          <w:rStyle w:val="NormalBlueChar"/>
        </w:rPr>
      </w:pPr>
      <w:r w:rsidRPr="0062582F">
        <w:rPr>
          <w:rStyle w:val="NormalBlueChar"/>
        </w:rPr>
        <w:br w:type="column"/>
        <w:t>(a)</w:t>
      </w:r>
      <w:r w:rsidRPr="0062582F">
        <w:rPr>
          <w:rStyle w:val="NormalBlueChar"/>
        </w:rPr>
        <w:tab/>
        <w:t>a description of each group of biological assets;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141.47</w:t>
      </w:r>
    </w:p>
    <w:p w:rsidR="004843DB" w:rsidRPr="0062582F" w:rsidRDefault="004843DB" w:rsidP="004843DB">
      <w:pPr>
        <w:pStyle w:val="CommentaryTextIndent"/>
        <w:pBdr>
          <w:top w:val="none" w:sz="0" w:space="0" w:color="auto"/>
          <w:bottom w:val="none" w:sz="0" w:space="0" w:color="auto"/>
        </w:pBdr>
      </w:pPr>
      <w:r w:rsidRPr="0062582F">
        <w:br w:type="column"/>
        <w:t>(b)</w:t>
      </w:r>
      <w:r w:rsidRPr="0062582F">
        <w:tab/>
        <w:t>the methods and significant assumptions applied in determining the fair value of each group of agricultural produce at the point of harvest and each group of biological assets;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141.48</w:t>
      </w:r>
    </w:p>
    <w:p w:rsidR="004843DB" w:rsidRPr="0062582F" w:rsidRDefault="004843DB" w:rsidP="004843DB">
      <w:pPr>
        <w:pStyle w:val="CommentaryTextIndent"/>
        <w:pBdr>
          <w:top w:val="none" w:sz="0" w:space="0" w:color="auto"/>
          <w:bottom w:val="none" w:sz="0" w:space="0" w:color="auto"/>
        </w:pBdr>
      </w:pPr>
      <w:r w:rsidRPr="0062582F">
        <w:br w:type="column"/>
        <w:t>(c)</w:t>
      </w:r>
      <w:r w:rsidRPr="0062582F">
        <w:tab/>
        <w:t>the fair value less costs to sell of agricultural produce harvested during the period, determined at the point of harvest;</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141.49(a)</w:t>
      </w:r>
    </w:p>
    <w:p w:rsidR="004843DB" w:rsidRPr="0062582F" w:rsidRDefault="004843DB" w:rsidP="004843DB">
      <w:pPr>
        <w:pStyle w:val="CommentaryTextIndent"/>
        <w:pBdr>
          <w:top w:val="none" w:sz="0" w:space="0" w:color="auto"/>
          <w:bottom w:val="none" w:sz="0" w:space="0" w:color="auto"/>
        </w:pBdr>
      </w:pPr>
      <w:r w:rsidRPr="0062582F">
        <w:br w:type="column"/>
        <w:t>(d)</w:t>
      </w:r>
      <w:r w:rsidRPr="0062582F">
        <w:tab/>
        <w:t>the existence and carrying amounts of biological assets whose title is restricted, and the carrying amounts of biological assets pledged as security for liabilities;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141.49(b)</w:t>
      </w:r>
    </w:p>
    <w:p w:rsidR="004843DB" w:rsidRPr="0062582F" w:rsidRDefault="004843DB" w:rsidP="004843DB">
      <w:pPr>
        <w:pStyle w:val="CommentaryTextIndent"/>
        <w:pBdr>
          <w:top w:val="none" w:sz="0" w:space="0" w:color="auto"/>
          <w:bottom w:val="none" w:sz="0" w:space="0" w:color="auto"/>
        </w:pBdr>
      </w:pPr>
      <w:r w:rsidRPr="0062582F">
        <w:br w:type="column"/>
        <w:t xml:space="preserve">(e) </w:t>
      </w:r>
      <w:r w:rsidRPr="0062582F">
        <w:tab/>
        <w:t>the amount of commitments for the development or acquisition of biological assets;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141.49(c)</w:t>
      </w:r>
    </w:p>
    <w:p w:rsidR="004843DB" w:rsidRPr="0062582F" w:rsidRDefault="004843DB" w:rsidP="004843DB">
      <w:pPr>
        <w:pStyle w:val="CommentaryTextIndent"/>
        <w:pBdr>
          <w:top w:val="none" w:sz="0" w:space="0" w:color="auto"/>
          <w:bottom w:val="none" w:sz="0" w:space="0" w:color="auto"/>
        </w:pBdr>
      </w:pPr>
      <w:r w:rsidRPr="0062582F">
        <w:br w:type="column"/>
        <w:t>(f)</w:t>
      </w:r>
      <w:r w:rsidRPr="0062582F">
        <w:tab/>
        <w:t>financial risk management strategies related to agricultural activity; and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141.46</w:t>
      </w:r>
    </w:p>
    <w:p w:rsidR="004843DB" w:rsidRPr="0062582F" w:rsidRDefault="004843DB" w:rsidP="004843DB">
      <w:pPr>
        <w:pStyle w:val="CommentaryTextIndent"/>
        <w:pBdr>
          <w:top w:val="none" w:sz="0" w:space="0" w:color="auto"/>
          <w:bottom w:val="none" w:sz="0" w:space="0" w:color="auto"/>
        </w:pBdr>
      </w:pPr>
      <w:r w:rsidRPr="0062582F">
        <w:br w:type="column"/>
        <w:t>(g)</w:t>
      </w:r>
      <w:r w:rsidRPr="0062582F">
        <w:tab/>
        <w:t>if not disclosed elsewhere in the financial statements, an entity shall provide a description of:</w:t>
      </w:r>
    </w:p>
    <w:p w:rsidR="004843DB" w:rsidRPr="0062582F" w:rsidRDefault="004843DB" w:rsidP="004843DB">
      <w:pPr>
        <w:pStyle w:val="CommentaryTextIndent2"/>
        <w:pBdr>
          <w:top w:val="none" w:sz="0" w:space="0" w:color="auto"/>
          <w:bottom w:val="none" w:sz="0" w:space="0" w:color="auto"/>
        </w:pBdr>
      </w:pPr>
      <w:r w:rsidRPr="0062582F">
        <w:tab/>
        <w:t>(i)</w:t>
      </w:r>
      <w:r w:rsidRPr="0062582F">
        <w:tab/>
        <w:t>the nature of its activities involving each group of biological assets; and</w:t>
      </w:r>
    </w:p>
    <w:p w:rsidR="004843DB" w:rsidRPr="0062582F" w:rsidRDefault="004843DB" w:rsidP="004843DB">
      <w:pPr>
        <w:pStyle w:val="CommentaryTextIndent2"/>
        <w:pBdr>
          <w:top w:val="none" w:sz="0" w:space="0" w:color="auto"/>
          <w:bottom w:val="none" w:sz="0" w:space="0" w:color="auto"/>
        </w:pBdr>
      </w:pPr>
      <w:r w:rsidRPr="0062582F">
        <w:tab/>
        <w:t>(ii)</w:t>
      </w:r>
      <w:r w:rsidRPr="0062582F">
        <w:tab/>
        <w:t>non</w:t>
      </w:r>
      <w:r w:rsidR="005A4BB0">
        <w:noBreakHyphen/>
      </w:r>
      <w:r w:rsidRPr="0062582F">
        <w:t>financial measures or estimates of the physical quantities of each group of the entity</w:t>
      </w:r>
      <w:r w:rsidR="005A4BB0">
        <w:t>’</w:t>
      </w:r>
      <w:r w:rsidRPr="0062582F">
        <w:t>s biological assets at the end of the period and output of agricultural produce during the period.</w:t>
      </w:r>
    </w:p>
    <w:p w:rsidR="004843DB" w:rsidRPr="0062582F" w:rsidRDefault="004843DB" w:rsidP="004843DB">
      <w:pPr>
        <w:pStyle w:val="CommentaryHeading1"/>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szCs w:val="18"/>
        </w:rPr>
      </w:pPr>
      <w:r w:rsidRPr="0062582F">
        <w:t>AASB 141.51</w:t>
      </w:r>
    </w:p>
    <w:p w:rsidR="004843DB" w:rsidRPr="0062582F" w:rsidRDefault="004843DB" w:rsidP="004843DB">
      <w:pPr>
        <w:pStyle w:val="CommentaryHeading1"/>
        <w:pBdr>
          <w:top w:val="none" w:sz="0" w:space="0" w:color="auto"/>
          <w:bottom w:val="none" w:sz="0" w:space="0" w:color="auto"/>
        </w:pBdr>
      </w:pPr>
      <w:r w:rsidRPr="0062582F">
        <w:br w:type="column"/>
        <w:t>Disclosure for gain arising from changes in fair value</w:t>
      </w:r>
    </w:p>
    <w:p w:rsidR="004843DB" w:rsidRPr="0062582F" w:rsidRDefault="004843DB" w:rsidP="004843DB">
      <w:pPr>
        <w:pStyle w:val="CommentaryText"/>
        <w:pBdr>
          <w:top w:val="none" w:sz="0" w:space="0" w:color="auto"/>
          <w:bottom w:val="none" w:sz="0" w:space="0" w:color="auto"/>
        </w:pBdr>
        <w:rPr>
          <w:rStyle w:val="NormalBlueChar"/>
          <w:noProof w:val="0"/>
        </w:rPr>
      </w:pPr>
      <w:r w:rsidRPr="0062582F">
        <w:t xml:space="preserve">Gain arising from changes in fair value less costs to sell attributable to physical and price changes may relate to </w:t>
      </w:r>
      <w:r w:rsidRPr="0062582F">
        <w:rPr>
          <w:rStyle w:val="NormalBlueChar"/>
          <w:noProof w:val="0"/>
        </w:rPr>
        <w:t>changes in the market. Separate disclosure of physical and price changes is useful in appraising current period performance and future prospects, particularly when there is a production cycle of more than one year. In such cases, an entity is encouraged to disclose, by group or otherwise, the amount of change in fair value less costs to sell recognised in the net result as an other economic flow due to physical changes and due to price changes. This information is generally less useful when the production cycle is less than one year (for example, when raising chickens or growing cereal crops).</w:t>
      </w:r>
    </w:p>
    <w:p w:rsidR="004843DB" w:rsidRPr="0062582F" w:rsidRDefault="004843DB" w:rsidP="004843DB">
      <w:pPr>
        <w:pStyle w:val="CommentaryText"/>
        <w:pBdr>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t>AASB </w:t>
      </w:r>
      <w:r w:rsidRPr="0062582F">
        <w:rPr>
          <w:lang w:val="en-AU"/>
        </w:rPr>
        <w:t>141.54</w:t>
      </w:r>
    </w:p>
    <w:p w:rsidR="004843DB" w:rsidRPr="0062582F" w:rsidRDefault="004843DB" w:rsidP="004843DB">
      <w:pPr>
        <w:pStyle w:val="CommentaryHeading1"/>
        <w:pBdr>
          <w:top w:val="none" w:sz="0" w:space="0" w:color="auto"/>
          <w:bottom w:val="none" w:sz="0" w:space="0" w:color="auto"/>
        </w:pBdr>
      </w:pPr>
      <w:r w:rsidRPr="0062582F">
        <w:br w:type="column"/>
        <w:t>Additional disclosures for biological assets where fair value cannot be measured reliably</w:t>
      </w:r>
    </w:p>
    <w:p w:rsidR="004843DB" w:rsidRPr="0062582F" w:rsidRDefault="004843DB" w:rsidP="004843DB">
      <w:pPr>
        <w:pStyle w:val="CommentaryText"/>
        <w:pBdr>
          <w:top w:val="none" w:sz="0" w:space="0" w:color="auto"/>
          <w:bottom w:val="none" w:sz="0" w:space="0" w:color="auto"/>
        </w:pBdr>
      </w:pPr>
      <w:r w:rsidRPr="0062582F">
        <w:t>If an entity measures biological assets at their cost less any accumulated depreciation and any accumulated impairment losses at the end of the period, the entity shall disclose for such biological assets:</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a description of the biological assets; </w:t>
      </w:r>
    </w:p>
    <w:p w:rsidR="004843DB" w:rsidRPr="0062582F" w:rsidRDefault="004843DB" w:rsidP="004843DB">
      <w:pPr>
        <w:pStyle w:val="CommentaryTextIndent"/>
        <w:pBdr>
          <w:top w:val="none" w:sz="0" w:space="0" w:color="auto"/>
          <w:bottom w:val="none" w:sz="0" w:space="0" w:color="auto"/>
        </w:pBdr>
      </w:pPr>
      <w:r w:rsidRPr="0062582F">
        <w:t>(b)</w:t>
      </w:r>
      <w:r w:rsidRPr="0062582F">
        <w:tab/>
        <w:t>an explanation of why fair value cannot be measured reliably;</w:t>
      </w:r>
    </w:p>
    <w:p w:rsidR="004843DB" w:rsidRPr="0062582F" w:rsidRDefault="004843DB" w:rsidP="004843DB">
      <w:pPr>
        <w:pStyle w:val="CommentaryTextIndent"/>
        <w:pBdr>
          <w:top w:val="none" w:sz="0" w:space="0" w:color="auto"/>
          <w:bottom w:val="none" w:sz="0" w:space="0" w:color="auto"/>
        </w:pBdr>
      </w:pPr>
      <w:r w:rsidRPr="0062582F">
        <w:t>(c)</w:t>
      </w:r>
      <w:r w:rsidRPr="0062582F">
        <w:tab/>
        <w:t>if possible, the range of estimates in which fair value is highly likely to lie;</w:t>
      </w:r>
    </w:p>
    <w:p w:rsidR="004843DB" w:rsidRPr="0062582F" w:rsidRDefault="004843DB" w:rsidP="004843DB">
      <w:pPr>
        <w:pStyle w:val="CommentaryTextIndent"/>
        <w:pBdr>
          <w:top w:val="none" w:sz="0" w:space="0" w:color="auto"/>
          <w:bottom w:val="none" w:sz="0" w:space="0" w:color="auto"/>
        </w:pBdr>
      </w:pPr>
      <w:r w:rsidRPr="0062582F">
        <w:t>(d)</w:t>
      </w:r>
      <w:r w:rsidRPr="0062582F">
        <w:tab/>
        <w:t xml:space="preserve">the depreciation method used; </w:t>
      </w:r>
    </w:p>
    <w:p w:rsidR="004843DB" w:rsidRPr="0062582F" w:rsidRDefault="004843DB" w:rsidP="004843DB">
      <w:pPr>
        <w:pStyle w:val="CommentaryTextIndent"/>
        <w:pBdr>
          <w:top w:val="none" w:sz="0" w:space="0" w:color="auto"/>
          <w:bottom w:val="none" w:sz="0" w:space="0" w:color="auto"/>
        </w:pBdr>
      </w:pPr>
      <w:r w:rsidRPr="0062582F">
        <w:t>(e)</w:t>
      </w:r>
      <w:r w:rsidRPr="0062582F">
        <w:tab/>
        <w:t>the useful lives or the depreciation rates used; and</w:t>
      </w:r>
    </w:p>
    <w:p w:rsidR="004843DB" w:rsidRPr="0062582F" w:rsidRDefault="004843DB" w:rsidP="004843DB">
      <w:pPr>
        <w:pStyle w:val="CommentaryTextIndent"/>
        <w:pBdr>
          <w:top w:val="none" w:sz="0" w:space="0" w:color="auto"/>
          <w:bottom w:val="none" w:sz="0" w:space="0" w:color="auto"/>
        </w:pBdr>
      </w:pPr>
      <w:r w:rsidRPr="0062582F">
        <w:t>(f)</w:t>
      </w:r>
      <w:r w:rsidRPr="0062582F">
        <w:tab/>
        <w:t>the gross carrying amount and the accumulated depreciation (aggregated with accumulated impairment losses) at the beginning and end of the period.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141.55</w:t>
      </w:r>
    </w:p>
    <w:p w:rsidR="004843DB" w:rsidRPr="0062582F" w:rsidRDefault="004843DB" w:rsidP="004843DB">
      <w:pPr>
        <w:pStyle w:val="CommentaryText"/>
        <w:pBdr>
          <w:top w:val="none" w:sz="0" w:space="0" w:color="auto"/>
        </w:pBdr>
      </w:pPr>
      <w:r w:rsidRPr="0062582F">
        <w:br w:type="column"/>
        <w:t xml:space="preserve">If, during the current period, an entity measures biological assets at their cost less any accumulated depreciation and any accumulated impairment losses, an entity shall disclose: </w:t>
      </w:r>
    </w:p>
    <w:p w:rsidR="004843DB" w:rsidRPr="0062582F" w:rsidRDefault="004843DB" w:rsidP="004843DB">
      <w:pPr>
        <w:pStyle w:val="CommentaryBullet"/>
        <w:pBdr>
          <w:bottom w:val="single" w:sz="4" w:space="1" w:color="0000FF"/>
        </w:pBdr>
      </w:pPr>
      <w:r w:rsidRPr="0062582F">
        <w:t>any gain or loss recognised on disposal of such biological assets; and</w:t>
      </w:r>
    </w:p>
    <w:p w:rsidR="004843DB" w:rsidRPr="0062582F" w:rsidRDefault="004843DB" w:rsidP="004843DB">
      <w:pPr>
        <w:pStyle w:val="CommentaryBullet"/>
        <w:pBdr>
          <w:bottom w:val="single" w:sz="4" w:space="1" w:color="0000FF"/>
        </w:pBdr>
      </w:pPr>
      <w:r w:rsidRPr="0062582F">
        <w:t xml:space="preserve">the related reconciliation (paragraph 50 of AASB 141 </w:t>
      </w:r>
      <w:r w:rsidRPr="0062582F">
        <w:rPr>
          <w:i/>
        </w:rPr>
        <w:t>Agriculture</w:t>
      </w:r>
      <w:r w:rsidRPr="0062582F">
        <w:t xml:space="preserve">). </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r w:rsidRPr="0062582F">
        <w:br w:type="column"/>
      </w:r>
      <w:r w:rsidRPr="0062582F">
        <w:br w:type="column"/>
      </w:r>
      <w:r w:rsidRPr="0062582F">
        <w:br w:type="column"/>
      </w:r>
    </w:p>
    <w:p w:rsidR="004843DB" w:rsidRPr="0062582F" w:rsidRDefault="004843DB" w:rsidP="004843DB">
      <w:pPr>
        <w:pStyle w:val="CommentaryHeading"/>
        <w:rPr>
          <w:i/>
          <w:iCs/>
        </w:rPr>
      </w:pPr>
      <w:r w:rsidRPr="0062582F">
        <w:t xml:space="preserve">Commentary – Biological assets </w:t>
      </w:r>
      <w:r w:rsidRPr="0062582F">
        <w:rPr>
          <w:i/>
          <w:iCs/>
        </w:rPr>
        <w:t>(continued)</w:t>
      </w:r>
    </w:p>
    <w:p w:rsidR="004843DB" w:rsidRPr="0062582F" w:rsidRDefault="004843DB" w:rsidP="004843DB">
      <w:pPr>
        <w:pStyle w:val="SmallLineBlue"/>
      </w:pPr>
    </w:p>
    <w:p w:rsidR="004843DB" w:rsidRPr="0062582F" w:rsidRDefault="004843DB" w:rsidP="004843DB">
      <w:pPr>
        <w:pStyle w:val="CommentaryText"/>
        <w:pBdr>
          <w:top w:val="none" w:sz="0" w:space="0" w:color="auto"/>
          <w:bottom w:val="none" w:sz="0" w:space="0" w:color="auto"/>
        </w:pBdr>
      </w:pPr>
      <w:r w:rsidRPr="0062582F">
        <w:t>In addition, the reconciliation shall include the following amounts recognised in the net result related to those biological assets:</w:t>
      </w:r>
    </w:p>
    <w:p w:rsidR="004843DB" w:rsidRPr="0062582F" w:rsidRDefault="004843DB" w:rsidP="004843DB">
      <w:pPr>
        <w:pStyle w:val="CommentaryTextIndent"/>
        <w:pBdr>
          <w:top w:val="none" w:sz="0" w:space="0" w:color="auto"/>
          <w:bottom w:val="none" w:sz="0" w:space="0" w:color="auto"/>
        </w:pBdr>
      </w:pPr>
      <w:r w:rsidRPr="0062582F">
        <w:t>(a)</w:t>
      </w:r>
      <w:r w:rsidRPr="0062582F">
        <w:tab/>
        <w:t>impairment losses;</w:t>
      </w:r>
    </w:p>
    <w:p w:rsidR="004843DB" w:rsidRPr="0062582F" w:rsidRDefault="004843DB" w:rsidP="004843DB">
      <w:pPr>
        <w:pStyle w:val="CommentaryTextIndent"/>
        <w:pBdr>
          <w:top w:val="none" w:sz="0" w:space="0" w:color="auto"/>
          <w:bottom w:val="none" w:sz="0" w:space="0" w:color="auto"/>
        </w:pBdr>
      </w:pPr>
      <w:r w:rsidRPr="0062582F">
        <w:t>(b)</w:t>
      </w:r>
      <w:r w:rsidRPr="0062582F">
        <w:tab/>
        <w:t>reversals of impairment losses; and</w:t>
      </w:r>
    </w:p>
    <w:p w:rsidR="004843DB" w:rsidRPr="0062582F" w:rsidRDefault="004843DB" w:rsidP="004843DB">
      <w:pPr>
        <w:pStyle w:val="CommentaryTextIndent"/>
        <w:pBdr>
          <w:top w:val="none" w:sz="0" w:space="0" w:color="auto"/>
          <w:bottom w:val="none" w:sz="0" w:space="0" w:color="auto"/>
        </w:pBdr>
      </w:pPr>
      <w:r w:rsidRPr="0062582F">
        <w:t>(c)</w:t>
      </w:r>
      <w:r w:rsidRPr="0062582F">
        <w:tab/>
        <w:t>depreciation.</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141.56</w:t>
      </w:r>
    </w:p>
    <w:p w:rsidR="004843DB" w:rsidRPr="0062582F" w:rsidRDefault="004843DB" w:rsidP="004843DB">
      <w:pPr>
        <w:pStyle w:val="CommentaryText"/>
        <w:pBdr>
          <w:top w:val="none" w:sz="0" w:space="0" w:color="auto"/>
          <w:bottom w:val="none" w:sz="0" w:space="0" w:color="auto"/>
        </w:pBdr>
      </w:pPr>
      <w:r w:rsidRPr="0062582F">
        <w:br w:type="column"/>
        <w:t>If the fair value of biological assets previously measured at their cost less any accumulated depreciation and any accumulated impairment losses becomes reliably measurable during the current period, an entity shall disclose for those biological assets:</w:t>
      </w:r>
    </w:p>
    <w:p w:rsidR="004843DB" w:rsidRPr="0062582F" w:rsidRDefault="004843DB" w:rsidP="004843DB">
      <w:pPr>
        <w:pStyle w:val="CommentaryTextIndent"/>
        <w:pBdr>
          <w:top w:val="none" w:sz="0" w:space="0" w:color="auto"/>
          <w:bottom w:val="none" w:sz="0" w:space="0" w:color="auto"/>
        </w:pBdr>
      </w:pPr>
      <w:r w:rsidRPr="0062582F">
        <w:t>(a)</w:t>
      </w:r>
      <w:r w:rsidRPr="0062582F">
        <w:tab/>
        <w:t>description of the biological assets;</w:t>
      </w:r>
    </w:p>
    <w:p w:rsidR="004843DB" w:rsidRPr="0062582F" w:rsidRDefault="004843DB" w:rsidP="004843DB">
      <w:pPr>
        <w:pStyle w:val="CommentaryTextIndent"/>
        <w:pBdr>
          <w:top w:val="none" w:sz="0" w:space="0" w:color="auto"/>
          <w:bottom w:val="none" w:sz="0" w:space="0" w:color="auto"/>
        </w:pBdr>
      </w:pPr>
      <w:r w:rsidRPr="0062582F">
        <w:t>(b)</w:t>
      </w:r>
      <w:r w:rsidRPr="0062582F">
        <w:tab/>
        <w:t>an explanation of why fair value has become reliably measurable; and</w:t>
      </w:r>
    </w:p>
    <w:p w:rsidR="004843DB" w:rsidRPr="0062582F" w:rsidRDefault="004843DB" w:rsidP="004843DB">
      <w:pPr>
        <w:pStyle w:val="CommentaryTextIndent"/>
        <w:pBdr>
          <w:top w:val="none" w:sz="0" w:space="0" w:color="auto"/>
          <w:bottom w:val="none" w:sz="0" w:space="0" w:color="auto"/>
        </w:pBdr>
      </w:pPr>
      <w:r w:rsidRPr="0062582F">
        <w:t>(c)</w:t>
      </w:r>
      <w:r w:rsidRPr="0062582F">
        <w:tab/>
        <w:t>the effect of the change.</w:t>
      </w:r>
    </w:p>
    <w:p w:rsidR="004843DB" w:rsidRPr="0062582F" w:rsidRDefault="004843DB" w:rsidP="004843DB">
      <w:pPr>
        <w:pStyle w:val="CommentaryHeading1"/>
        <w:pBdr>
          <w:top w:val="none" w:sz="0" w:space="0" w:color="auto"/>
          <w:bottom w:val="none" w:sz="0" w:space="0" w:color="auto"/>
        </w:pBdr>
      </w:pPr>
      <w:r w:rsidRPr="0062582F">
        <w:t>Government grants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t>AASB 141.57</w:t>
      </w:r>
    </w:p>
    <w:p w:rsidR="004843DB" w:rsidRPr="0062582F" w:rsidRDefault="004843DB" w:rsidP="004843DB">
      <w:pPr>
        <w:pStyle w:val="CommentaryText"/>
        <w:pBdr>
          <w:top w:val="none" w:sz="0" w:space="0" w:color="auto"/>
        </w:pBdr>
      </w:pPr>
      <w:r w:rsidRPr="0062582F">
        <w:br w:type="column"/>
        <w:t>An entity shall disclose the following related to agricultural activity covered by this standard:</w:t>
      </w:r>
    </w:p>
    <w:p w:rsidR="004843DB" w:rsidRPr="0062582F" w:rsidRDefault="004843DB" w:rsidP="004843DB">
      <w:pPr>
        <w:pStyle w:val="CommentaryTextIndent"/>
        <w:pBdr>
          <w:top w:val="none" w:sz="0" w:space="0" w:color="auto"/>
        </w:pBdr>
      </w:pPr>
      <w:r w:rsidRPr="0062582F">
        <w:t>(a)</w:t>
      </w:r>
      <w:r w:rsidRPr="0062582F">
        <w:tab/>
        <w:t xml:space="preserve">the nature and extent of government grants recognised in the financial statements; </w:t>
      </w:r>
    </w:p>
    <w:p w:rsidR="004843DB" w:rsidRPr="0062582F" w:rsidRDefault="004843DB" w:rsidP="004843DB">
      <w:pPr>
        <w:pStyle w:val="CommentaryTextIndent"/>
        <w:pBdr>
          <w:top w:val="none" w:sz="0" w:space="0" w:color="auto"/>
        </w:pBdr>
      </w:pPr>
      <w:r w:rsidRPr="0062582F">
        <w:t>(b)</w:t>
      </w:r>
      <w:r w:rsidRPr="0062582F">
        <w:tab/>
        <w:t>unfulfilled conditions and other contingencies attaching to government grants; and</w:t>
      </w:r>
    </w:p>
    <w:p w:rsidR="004843DB" w:rsidRPr="0062582F" w:rsidRDefault="004843DB" w:rsidP="004843DB">
      <w:pPr>
        <w:pStyle w:val="CommentaryTextIndent"/>
        <w:pBdr>
          <w:top w:val="none" w:sz="0" w:space="0" w:color="auto"/>
        </w:pBdr>
      </w:pPr>
      <w:r w:rsidRPr="0062582F">
        <w:t>(c)</w:t>
      </w:r>
      <w:r w:rsidRPr="0062582F">
        <w:tab/>
        <w:t>significant decreases expected in the level of government grants.</w:t>
      </w:r>
    </w:p>
    <w:p w:rsidR="004843DB" w:rsidRPr="0062582F" w:rsidRDefault="004843DB" w:rsidP="004843DB"/>
    <w:p w:rsidR="004843DB" w:rsidRPr="0062582F" w:rsidRDefault="004843DB" w:rsidP="004843DB"/>
    <w:p w:rsidR="004843DB" w:rsidRPr="0062582F" w:rsidRDefault="004843DB" w:rsidP="004843DB">
      <w:pPr>
        <w:pStyle w:val="NoteHeading"/>
      </w:pPr>
      <w:bookmarkStart w:id="463" w:name="_Toc332019477"/>
      <w:bookmarkStart w:id="464" w:name="_Toc366843364"/>
      <w:bookmarkStart w:id="465" w:name="_Toc448157198"/>
      <w:r w:rsidRPr="0062582F">
        <w:t>Note 19.</w:t>
      </w:r>
      <w:r w:rsidRPr="0062582F">
        <w:tab/>
        <w:t>Investment properties</w:t>
      </w:r>
      <w:bookmarkEnd w:id="463"/>
      <w:bookmarkEnd w:id="464"/>
      <w:bookmarkEnd w:id="465"/>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Reference"/>
        <w:spacing w:before="0"/>
      </w:pPr>
    </w:p>
    <w:p w:rsidR="004843DB" w:rsidRPr="0062582F" w:rsidRDefault="004843DB" w:rsidP="004843DB">
      <w:pPr>
        <w:pStyle w:val="Reference"/>
        <w:spacing w:before="120" w:after="80"/>
      </w:pPr>
      <w:r w:rsidRPr="0062582F">
        <w:t>AASB 140.76</w:t>
      </w:r>
    </w:p>
    <w:p w:rsidR="004843DB" w:rsidRPr="0062582F" w:rsidRDefault="004843DB" w:rsidP="004843DB">
      <w:pPr>
        <w:pStyle w:val="Reference"/>
        <w:spacing w:before="80"/>
      </w:pPr>
      <w:r w:rsidRPr="0062582F">
        <w:t>AASB 140.76(a)</w:t>
      </w:r>
    </w:p>
    <w:p w:rsidR="004843DB" w:rsidRPr="0062582F" w:rsidRDefault="004843DB" w:rsidP="004843DB">
      <w:pPr>
        <w:pStyle w:val="Reference"/>
        <w:spacing w:before="80"/>
        <w:rPr>
          <w:rStyle w:val="SmallLineChar"/>
        </w:rPr>
      </w:pPr>
      <w:r w:rsidRPr="0062582F">
        <w:t>AASB 140.76(b)</w:t>
      </w:r>
    </w:p>
    <w:p w:rsidR="004843DB" w:rsidRPr="0062582F" w:rsidRDefault="004843DB" w:rsidP="004843DB">
      <w:pPr>
        <w:pStyle w:val="Reference"/>
        <w:spacing w:before="80"/>
      </w:pPr>
      <w:r w:rsidRPr="0062582F">
        <w:t>AASB 140.76(c)</w:t>
      </w:r>
    </w:p>
    <w:p w:rsidR="004843DB" w:rsidRPr="0062582F" w:rsidRDefault="004843DB" w:rsidP="004843DB">
      <w:pPr>
        <w:pStyle w:val="Reference"/>
        <w:spacing w:before="80"/>
      </w:pPr>
      <w:r w:rsidRPr="0062582F">
        <w:t>AASB 140.76(d)</w:t>
      </w:r>
    </w:p>
    <w:p w:rsidR="004843DB" w:rsidRPr="0062582F" w:rsidRDefault="004843DB" w:rsidP="004843DB">
      <w:pPr>
        <w:pStyle w:val="Reference"/>
        <w:spacing w:before="80"/>
      </w:pPr>
      <w:r w:rsidRPr="0062582F">
        <w:t>AASB 140.76(f)</w:t>
      </w:r>
    </w:p>
    <w:p w:rsidR="004843DB" w:rsidRPr="0062582F" w:rsidRDefault="004843DB" w:rsidP="004843DB">
      <w:pPr>
        <w:pStyle w:val="Reference"/>
        <w:spacing w:before="80"/>
      </w:pPr>
      <w:r w:rsidRPr="0062582F">
        <w:t>AASB 140.76(f)</w:t>
      </w:r>
    </w:p>
    <w:p w:rsidR="004843DB" w:rsidRPr="0062582F" w:rsidRDefault="004843DB" w:rsidP="004843DB">
      <w:pPr>
        <w:pStyle w:val="million"/>
        <w:rPr>
          <w:rFonts w:ascii="Tahoma" w:hAnsi="Tahoma" w:cs="Tahoma"/>
          <w:sz w:val="20"/>
        </w:rPr>
      </w:pPr>
      <w:r w:rsidRPr="0062582F">
        <w:br w:type="column"/>
        <w:t>($ thousand)</w:t>
      </w:r>
    </w:p>
    <w:tbl>
      <w:tblPr>
        <w:tblW w:w="8173" w:type="dxa"/>
        <w:tblLayout w:type="fixed"/>
        <w:tblCellMar>
          <w:left w:w="43" w:type="dxa"/>
          <w:right w:w="43" w:type="dxa"/>
        </w:tblCellMar>
        <w:tblLook w:val="04A0" w:firstRow="1" w:lastRow="0" w:firstColumn="1" w:lastColumn="0" w:noHBand="0" w:noVBand="1"/>
      </w:tblPr>
      <w:tblGrid>
        <w:gridCol w:w="5893"/>
        <w:gridCol w:w="1140"/>
        <w:gridCol w:w="1140"/>
      </w:tblGrid>
      <w:tr w:rsidR="004843DB" w:rsidRPr="0062582F" w:rsidTr="004843DB">
        <w:trPr>
          <w:cantSplit/>
        </w:trPr>
        <w:tc>
          <w:tcPr>
            <w:tcW w:w="589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1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1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89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Balance at beginning of financial year</w:t>
            </w:r>
          </w:p>
        </w:tc>
        <w:tc>
          <w:tcPr>
            <w:tcW w:w="114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5 029</w:t>
            </w:r>
          </w:p>
        </w:tc>
        <w:tc>
          <w:tcPr>
            <w:tcW w:w="114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5 233</w:t>
            </w:r>
          </w:p>
        </w:tc>
      </w:tr>
      <w:tr w:rsidR="004843DB" w:rsidRPr="0062582F" w:rsidTr="004843DB">
        <w:trPr>
          <w:cantSplit/>
        </w:trPr>
        <w:tc>
          <w:tcPr>
            <w:tcW w:w="5893" w:type="dxa"/>
            <w:tcBorders>
              <w:top w:val="nil"/>
              <w:left w:val="nil"/>
              <w:bottom w:val="nil"/>
              <w:right w:val="nil"/>
            </w:tcBorders>
            <w:shd w:val="clear" w:color="auto" w:fill="auto"/>
            <w:hideMark/>
          </w:tcPr>
          <w:p w:rsidR="004843DB" w:rsidRPr="0062582F" w:rsidRDefault="004843DB" w:rsidP="004843DB">
            <w:pPr>
              <w:pStyle w:val="Tabletext"/>
            </w:pPr>
            <w:r w:rsidRPr="0062582F">
              <w:t>Additions from subsequent expenditure</w:t>
            </w:r>
          </w:p>
        </w:tc>
        <w:tc>
          <w:tcPr>
            <w:tcW w:w="11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750</w:t>
            </w:r>
          </w:p>
        </w:tc>
        <w:tc>
          <w:tcPr>
            <w:tcW w:w="11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1 490</w:t>
            </w:r>
          </w:p>
        </w:tc>
      </w:tr>
      <w:tr w:rsidR="004843DB" w:rsidRPr="0062582F" w:rsidTr="004843DB">
        <w:trPr>
          <w:cantSplit/>
        </w:trPr>
        <w:tc>
          <w:tcPr>
            <w:tcW w:w="5893" w:type="dxa"/>
            <w:tcBorders>
              <w:top w:val="nil"/>
              <w:left w:val="nil"/>
              <w:bottom w:val="nil"/>
              <w:right w:val="nil"/>
            </w:tcBorders>
            <w:shd w:val="clear" w:color="auto" w:fill="auto"/>
            <w:hideMark/>
          </w:tcPr>
          <w:p w:rsidR="004843DB" w:rsidRPr="0062582F" w:rsidRDefault="004843DB" w:rsidP="004843DB">
            <w:pPr>
              <w:pStyle w:val="Tabletext"/>
            </w:pPr>
            <w:r w:rsidRPr="0062582F">
              <w:t>Acquisitions/transfers in of businesses</w:t>
            </w:r>
          </w:p>
        </w:tc>
        <w:tc>
          <w:tcPr>
            <w:tcW w:w="11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1 287</w:t>
            </w:r>
          </w:p>
        </w:tc>
        <w:tc>
          <w:tcPr>
            <w:tcW w:w="11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893" w:type="dxa"/>
            <w:tcBorders>
              <w:top w:val="nil"/>
              <w:left w:val="nil"/>
              <w:bottom w:val="nil"/>
              <w:right w:val="nil"/>
            </w:tcBorders>
            <w:shd w:val="clear" w:color="auto" w:fill="auto"/>
            <w:hideMark/>
          </w:tcPr>
          <w:p w:rsidR="004843DB" w:rsidRPr="0062582F" w:rsidRDefault="004843DB" w:rsidP="004843DB">
            <w:pPr>
              <w:pStyle w:val="Tabletext"/>
            </w:pPr>
            <w:r w:rsidRPr="0062582F">
              <w:t>Disposals and property held for sale</w:t>
            </w:r>
          </w:p>
        </w:tc>
        <w:tc>
          <w:tcPr>
            <w:tcW w:w="11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(2 290)</w:t>
            </w:r>
          </w:p>
        </w:tc>
        <w:tc>
          <w:tcPr>
            <w:tcW w:w="11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(650)</w:t>
            </w:r>
          </w:p>
        </w:tc>
      </w:tr>
      <w:tr w:rsidR="004843DB" w:rsidRPr="0062582F" w:rsidTr="004843DB">
        <w:trPr>
          <w:cantSplit/>
        </w:trPr>
        <w:tc>
          <w:tcPr>
            <w:tcW w:w="5893" w:type="dxa"/>
            <w:tcBorders>
              <w:top w:val="nil"/>
              <w:left w:val="nil"/>
              <w:bottom w:val="nil"/>
              <w:right w:val="nil"/>
            </w:tcBorders>
            <w:shd w:val="clear" w:color="auto" w:fill="auto"/>
            <w:hideMark/>
          </w:tcPr>
          <w:p w:rsidR="004843DB" w:rsidRPr="0062582F" w:rsidRDefault="004843DB" w:rsidP="004843DB">
            <w:pPr>
              <w:pStyle w:val="Tabletext"/>
            </w:pPr>
            <w:r w:rsidRPr="0062582F">
              <w:t>Net gain/(loss) from fair value adjustments</w:t>
            </w:r>
          </w:p>
        </w:tc>
        <w:tc>
          <w:tcPr>
            <w:tcW w:w="11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(3 485)</w:t>
            </w:r>
          </w:p>
        </w:tc>
        <w:tc>
          <w:tcPr>
            <w:tcW w:w="11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450</w:t>
            </w:r>
          </w:p>
        </w:tc>
      </w:tr>
      <w:tr w:rsidR="004843DB" w:rsidRPr="0062582F" w:rsidTr="004843DB">
        <w:trPr>
          <w:cantSplit/>
        </w:trPr>
        <w:tc>
          <w:tcPr>
            <w:tcW w:w="5893" w:type="dxa"/>
            <w:tcBorders>
              <w:top w:val="nil"/>
              <w:left w:val="nil"/>
              <w:bottom w:val="nil"/>
              <w:right w:val="nil"/>
            </w:tcBorders>
            <w:shd w:val="clear" w:color="auto" w:fill="auto"/>
            <w:hideMark/>
          </w:tcPr>
          <w:p w:rsidR="004843DB" w:rsidRPr="0062582F" w:rsidRDefault="004843DB" w:rsidP="004843DB">
            <w:pPr>
              <w:pStyle w:val="Tabletext"/>
            </w:pPr>
            <w:r w:rsidRPr="0062582F">
              <w:t>Transfers to owner occupied</w:t>
            </w:r>
          </w:p>
        </w:tc>
        <w:tc>
          <w:tcPr>
            <w:tcW w:w="11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1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(1 494)</w:t>
            </w:r>
          </w:p>
        </w:tc>
      </w:tr>
      <w:tr w:rsidR="004843DB" w:rsidRPr="0062582F" w:rsidTr="004843DB">
        <w:trPr>
          <w:cantSplit/>
        </w:trPr>
        <w:tc>
          <w:tcPr>
            <w:tcW w:w="589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Transfers to investment property</w:t>
            </w:r>
          </w:p>
        </w:tc>
        <w:tc>
          <w:tcPr>
            <w:tcW w:w="114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1 063</w:t>
            </w:r>
          </w:p>
        </w:tc>
        <w:tc>
          <w:tcPr>
            <w:tcW w:w="114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89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Balance at end of financial year</w:t>
            </w:r>
          </w:p>
        </w:tc>
        <w:tc>
          <w:tcPr>
            <w:tcW w:w="114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2 354</w:t>
            </w:r>
          </w:p>
        </w:tc>
        <w:tc>
          <w:tcPr>
            <w:tcW w:w="11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5 029</w:t>
            </w:r>
          </w:p>
        </w:tc>
      </w:tr>
    </w:tbl>
    <w:p w:rsidR="004843DB" w:rsidRPr="0062582F" w:rsidRDefault="004843DB" w:rsidP="004843DB"/>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rPr>
          <w:color w:val="0000FF"/>
        </w:rPr>
      </w:pPr>
      <w:r w:rsidRPr="0062582F">
        <w:br w:type="column"/>
      </w:r>
      <w:r w:rsidRPr="0062582F">
        <w:br w:type="column"/>
      </w:r>
    </w:p>
    <w:p w:rsidR="004843DB" w:rsidRPr="0062582F" w:rsidRDefault="004843DB" w:rsidP="004843DB">
      <w:pPr>
        <w:pStyle w:val="NoteHeadingcontinued"/>
      </w:pPr>
      <w:r w:rsidRPr="0062582F">
        <w:rPr>
          <w:lang w:eastAsia="en-US"/>
        </w:rPr>
        <w:br w:type="column"/>
      </w:r>
      <w:r w:rsidRPr="0062582F">
        <w:t>Note 19.</w:t>
      </w:r>
      <w:r w:rsidRPr="0062582F">
        <w:tab/>
        <w:t xml:space="preserve">Investment properties </w:t>
      </w:r>
      <w:r w:rsidRPr="0062582F">
        <w:rPr>
          <w:i/>
        </w:rPr>
        <w:t>(continued)</w:t>
      </w:r>
    </w:p>
    <w:p w:rsidR="004843DB" w:rsidRPr="0062582F" w:rsidRDefault="004843DB" w:rsidP="00E348C3">
      <w:pPr>
        <w:pStyle w:val="Tableheading"/>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A72163" w:rsidRDefault="004843DB" w:rsidP="004843DB">
      <w:pPr>
        <w:pStyle w:val="Reference"/>
        <w:spacing w:before="240"/>
        <w:rPr>
          <w:color w:val="FF0000"/>
        </w:rPr>
      </w:pPr>
      <w:r w:rsidRPr="00A72163">
        <w:rPr>
          <w:color w:val="FF0000"/>
        </w:rPr>
        <w:t>New</w:t>
      </w:r>
    </w:p>
    <w:p w:rsidR="004843DB" w:rsidRPr="0062582F" w:rsidRDefault="004843DB" w:rsidP="004843DB">
      <w:pPr>
        <w:pStyle w:val="ReferenceRed"/>
      </w:pPr>
    </w:p>
    <w:p w:rsidR="004843DB" w:rsidRPr="0062582F" w:rsidRDefault="004843DB" w:rsidP="004843DB">
      <w:pPr>
        <w:pStyle w:val="Reference"/>
        <w:spacing w:before="0"/>
      </w:pPr>
      <w:r w:rsidRPr="0062582F">
        <w:t>AASB 13.93(a)(b)</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240"/>
      </w:pPr>
      <w:r w:rsidRPr="0062582F">
        <w:t>AASB 13.93(a)(b)</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CE56DD">
      <w:pPr>
        <w:pStyle w:val="Tableheading"/>
        <w:ind w:left="0" w:firstLine="0"/>
        <w:rPr>
          <w:rFonts w:asciiTheme="minorHAnsi" w:hAnsiTheme="minorHAnsi" w:cstheme="minorHAnsi"/>
          <w:color w:val="000000"/>
          <w:lang w:val="en-GB"/>
        </w:rPr>
      </w:pPr>
      <w:r w:rsidRPr="0062582F">
        <w:br w:type="column"/>
        <w:t>[</w:t>
      </w:r>
      <w:r w:rsidRPr="0062582F">
        <w:rPr>
          <w:lang w:val="en-GB"/>
        </w:rPr>
        <w:t>Note: The fair value hierarchy should also be disclosed for the comparative period of 2014</w:t>
      </w:r>
      <w:r w:rsidR="005A4BB0">
        <w:rPr>
          <w:lang w:val="en-GB"/>
        </w:rPr>
        <w:noBreakHyphen/>
      </w:r>
      <w:r w:rsidRPr="0062582F">
        <w:rPr>
          <w:lang w:val="en-GB"/>
        </w:rPr>
        <w:t>15 – please refer to Table 19.3.</w:t>
      </w:r>
      <w:r w:rsidRPr="0062582F">
        <w:t>]</w:t>
      </w:r>
    </w:p>
    <w:p w:rsidR="004843DB" w:rsidRPr="0062582F" w:rsidRDefault="004843DB" w:rsidP="00E348C3">
      <w:pPr>
        <w:pStyle w:val="Tableheading"/>
      </w:pPr>
      <w:r w:rsidRPr="0062582F">
        <w:t xml:space="preserve">Table 19.2: </w:t>
      </w:r>
      <w:r w:rsidRPr="0062582F">
        <w:tab/>
        <w:t>Fair value hierarchy for 2016</w:t>
      </w:r>
    </w:p>
    <w:p w:rsidR="004843DB" w:rsidRPr="0062582F" w:rsidRDefault="004843DB" w:rsidP="004843DB">
      <w:pPr>
        <w:pStyle w:val="million"/>
        <w:rPr>
          <w:rFonts w:eastAsia="Times New Roman"/>
          <w:lang w:eastAsia="en-US"/>
        </w:rPr>
      </w:pPr>
      <w:r w:rsidRPr="0062582F" w:rsidDel="009B2896">
        <w:rPr>
          <w:color w:val="FF0000"/>
        </w:rPr>
        <w:t xml:space="preserve"> </w:t>
      </w:r>
      <w:r w:rsidRPr="0062582F">
        <w:rPr>
          <w:rFonts w:eastAsia="Times New Roman"/>
          <w:lang w:eastAsia="en-US"/>
        </w:rPr>
        <w:t>($ thousand)</w:t>
      </w:r>
    </w:p>
    <w:tbl>
      <w:tblPr>
        <w:tblW w:w="8143" w:type="dxa"/>
        <w:tblBorders>
          <w:top w:val="single" w:sz="4" w:space="0" w:color="auto"/>
          <w:bottom w:val="single" w:sz="12" w:space="0" w:color="auto"/>
        </w:tblBorders>
        <w:tblLayout w:type="fixed"/>
        <w:tblCellMar>
          <w:left w:w="43" w:type="dxa"/>
          <w:right w:w="43" w:type="dxa"/>
        </w:tblCellMar>
        <w:tblLook w:val="04A0" w:firstRow="1" w:lastRow="0" w:firstColumn="1" w:lastColumn="0" w:noHBand="0" w:noVBand="1"/>
      </w:tblPr>
      <w:tblGrid>
        <w:gridCol w:w="3193"/>
        <w:gridCol w:w="1260"/>
        <w:gridCol w:w="1215"/>
        <w:gridCol w:w="1237"/>
        <w:gridCol w:w="1238"/>
      </w:tblGrid>
      <w:tr w:rsidR="004843DB" w:rsidRPr="0062582F" w:rsidTr="004843DB">
        <w:trPr>
          <w:cantSplit/>
        </w:trPr>
        <w:tc>
          <w:tcPr>
            <w:tcW w:w="3193" w:type="dxa"/>
            <w:tcBorders>
              <w:top w:val="single" w:sz="6" w:space="0" w:color="auto"/>
              <w:bottom w:val="nil"/>
            </w:tcBorders>
            <w:shd w:val="clear" w:color="auto" w:fill="auto"/>
            <w:hideMark/>
          </w:tcPr>
          <w:p w:rsidR="004843DB" w:rsidRPr="0062582F" w:rsidRDefault="004843DB" w:rsidP="004843DB">
            <w:pPr>
              <w:pStyle w:val="Tabletext"/>
            </w:pPr>
          </w:p>
        </w:tc>
        <w:tc>
          <w:tcPr>
            <w:tcW w:w="1260" w:type="dxa"/>
            <w:vMerge w:val="restart"/>
            <w:tcBorders>
              <w:top w:val="single" w:sz="6" w:space="0" w:color="auto"/>
            </w:tcBorders>
            <w:shd w:val="clear" w:color="000000" w:fill="CCCCCC"/>
            <w:noWrap/>
            <w:hideMark/>
          </w:tcPr>
          <w:p w:rsidR="004843DB" w:rsidRPr="0062582F" w:rsidRDefault="004843DB" w:rsidP="004843DB">
            <w:pPr>
              <w:pStyle w:val="TabletextheadingCentred"/>
              <w:spacing w:before="80"/>
            </w:pPr>
            <w:r w:rsidRPr="0062582F">
              <w:t>Carrying amount as at</w:t>
            </w:r>
            <w:r w:rsidRPr="0062582F">
              <w:br/>
              <w:t>30 June 2016</w:t>
            </w:r>
          </w:p>
        </w:tc>
        <w:tc>
          <w:tcPr>
            <w:tcW w:w="3690" w:type="dxa"/>
            <w:gridSpan w:val="3"/>
            <w:tcBorders>
              <w:top w:val="single" w:sz="6" w:space="0" w:color="auto"/>
              <w:bottom w:val="single" w:sz="6" w:space="0" w:color="auto"/>
            </w:tcBorders>
            <w:shd w:val="clear" w:color="auto" w:fill="auto"/>
            <w:hideMark/>
          </w:tcPr>
          <w:p w:rsidR="004843DB" w:rsidRPr="0062582F" w:rsidRDefault="004843DB" w:rsidP="004843DB">
            <w:pPr>
              <w:pStyle w:val="TabletextheadingCentred"/>
            </w:pPr>
            <w:r w:rsidRPr="0062582F">
              <w:t>Fair value measurement at end of reporting period using:</w:t>
            </w:r>
          </w:p>
        </w:tc>
      </w:tr>
      <w:tr w:rsidR="004843DB" w:rsidRPr="0062582F" w:rsidTr="004843DB">
        <w:trPr>
          <w:cantSplit/>
        </w:trPr>
        <w:tc>
          <w:tcPr>
            <w:tcW w:w="3193" w:type="dxa"/>
            <w:tcBorders>
              <w:top w:val="nil"/>
              <w:bottom w:val="single" w:sz="6" w:space="0" w:color="auto"/>
            </w:tcBorders>
            <w:shd w:val="clear" w:color="auto" w:fill="auto"/>
          </w:tcPr>
          <w:p w:rsidR="004843DB" w:rsidRPr="0062582F" w:rsidRDefault="004843DB" w:rsidP="004843DB">
            <w:pPr>
              <w:pStyle w:val="Tabletext"/>
              <w:spacing w:after="0"/>
              <w:jc w:val="right"/>
            </w:pPr>
          </w:p>
        </w:tc>
        <w:tc>
          <w:tcPr>
            <w:tcW w:w="1260" w:type="dxa"/>
            <w:vMerge/>
            <w:tcBorders>
              <w:bottom w:val="single" w:sz="6" w:space="0" w:color="auto"/>
            </w:tcBorders>
            <w:shd w:val="clear" w:color="000000" w:fill="CCCCCC"/>
            <w:noWrap/>
          </w:tcPr>
          <w:p w:rsidR="004843DB" w:rsidRPr="0062582F" w:rsidRDefault="004843DB" w:rsidP="004843DB">
            <w:pPr>
              <w:pStyle w:val="TableofFigures"/>
              <w:spacing w:after="0"/>
            </w:pPr>
          </w:p>
        </w:tc>
        <w:tc>
          <w:tcPr>
            <w:tcW w:w="1215" w:type="dxa"/>
            <w:tcBorders>
              <w:top w:val="single" w:sz="6" w:space="0" w:color="auto"/>
              <w:bottom w:val="single" w:sz="6" w:space="0" w:color="auto"/>
            </w:tcBorders>
            <w:shd w:val="clear" w:color="auto" w:fill="auto"/>
            <w:noWrap/>
          </w:tcPr>
          <w:p w:rsidR="004843DB" w:rsidRPr="0062582F" w:rsidRDefault="004843DB" w:rsidP="004843DB">
            <w:pPr>
              <w:pStyle w:val="Tabletextheading"/>
              <w:rPr>
                <w:noProof w:val="0"/>
              </w:rPr>
            </w:pPr>
            <w:r w:rsidRPr="0062582F">
              <w:t>Level 1</w:t>
            </w:r>
            <w:r w:rsidRPr="0062582F">
              <w:rPr>
                <w:vertAlign w:val="superscript"/>
              </w:rPr>
              <w:t xml:space="preserve"> (i)</w:t>
            </w:r>
          </w:p>
        </w:tc>
        <w:tc>
          <w:tcPr>
            <w:tcW w:w="1237" w:type="dxa"/>
            <w:tcBorders>
              <w:top w:val="single" w:sz="6" w:space="0" w:color="auto"/>
              <w:bottom w:val="single" w:sz="6" w:space="0" w:color="auto"/>
            </w:tcBorders>
            <w:shd w:val="clear" w:color="000000" w:fill="CCCCCC"/>
            <w:noWrap/>
          </w:tcPr>
          <w:p w:rsidR="004843DB" w:rsidRPr="0062582F" w:rsidRDefault="004843DB" w:rsidP="004843DB">
            <w:pPr>
              <w:pStyle w:val="Tabletextheading"/>
              <w:rPr>
                <w:noProof w:val="0"/>
              </w:rPr>
            </w:pPr>
            <w:r w:rsidRPr="0062582F">
              <w:t>Level 2</w:t>
            </w:r>
            <w:r w:rsidRPr="0062582F">
              <w:rPr>
                <w:vertAlign w:val="superscript"/>
              </w:rPr>
              <w:t xml:space="preserve"> (i)</w:t>
            </w:r>
          </w:p>
        </w:tc>
        <w:tc>
          <w:tcPr>
            <w:tcW w:w="1238" w:type="dxa"/>
            <w:tcBorders>
              <w:top w:val="single" w:sz="6" w:space="0" w:color="auto"/>
              <w:bottom w:val="single" w:sz="6" w:space="0" w:color="auto"/>
            </w:tcBorders>
            <w:shd w:val="clear" w:color="auto" w:fill="auto"/>
            <w:noWrap/>
          </w:tcPr>
          <w:p w:rsidR="004843DB" w:rsidRPr="0062582F" w:rsidRDefault="004843DB" w:rsidP="004843DB">
            <w:pPr>
              <w:pStyle w:val="Tabletextheading"/>
            </w:pPr>
            <w:r w:rsidRPr="0062582F">
              <w:t>Level 3</w:t>
            </w:r>
            <w:r w:rsidRPr="0062582F">
              <w:rPr>
                <w:vertAlign w:val="superscript"/>
              </w:rPr>
              <w:t xml:space="preserve"> (i)</w:t>
            </w:r>
          </w:p>
        </w:tc>
      </w:tr>
      <w:tr w:rsidR="004843DB" w:rsidRPr="0062582F" w:rsidTr="004843DB">
        <w:trPr>
          <w:cantSplit/>
        </w:trPr>
        <w:tc>
          <w:tcPr>
            <w:tcW w:w="3193" w:type="dxa"/>
            <w:tcBorders>
              <w:top w:val="single" w:sz="6" w:space="0" w:color="auto"/>
              <w:bottom w:val="single" w:sz="12" w:space="0" w:color="auto"/>
            </w:tcBorders>
            <w:shd w:val="clear" w:color="auto" w:fill="auto"/>
            <w:hideMark/>
          </w:tcPr>
          <w:p w:rsidR="004843DB" w:rsidRPr="0062582F" w:rsidRDefault="004843DB" w:rsidP="004843DB">
            <w:pPr>
              <w:pStyle w:val="Tabletext"/>
            </w:pPr>
            <w:r w:rsidRPr="0062582F">
              <w:t>Investment properties</w:t>
            </w:r>
          </w:p>
        </w:tc>
        <w:tc>
          <w:tcPr>
            <w:tcW w:w="1260" w:type="dxa"/>
            <w:tcBorders>
              <w:top w:val="single" w:sz="6" w:space="0" w:color="auto"/>
              <w:bottom w:val="single" w:sz="12" w:space="0" w:color="auto"/>
            </w:tcBorders>
            <w:shd w:val="clear" w:color="000000" w:fill="CCCCCC"/>
            <w:noWrap/>
            <w:hideMark/>
          </w:tcPr>
          <w:p w:rsidR="004843DB" w:rsidRPr="0062582F" w:rsidRDefault="004843DB" w:rsidP="004843DB">
            <w:pPr>
              <w:pStyle w:val="TableofFigures"/>
            </w:pPr>
            <w:r w:rsidRPr="0062582F">
              <w:t>2 354</w:t>
            </w:r>
          </w:p>
        </w:tc>
        <w:tc>
          <w:tcPr>
            <w:tcW w:w="1215" w:type="dxa"/>
            <w:tcBorders>
              <w:top w:val="single" w:sz="6" w:space="0" w:color="auto"/>
              <w:bottom w:val="single" w:sz="12" w:space="0" w:color="auto"/>
            </w:tcBorders>
            <w:shd w:val="clear" w:color="auto" w:fill="auto"/>
            <w:noWrap/>
            <w:hideMark/>
          </w:tcPr>
          <w:p w:rsidR="004843DB" w:rsidRPr="0062582F" w:rsidRDefault="004843DB" w:rsidP="004843DB">
            <w:pPr>
              <w:pStyle w:val="TableofFigures"/>
            </w:pPr>
            <w:r w:rsidRPr="0062582F">
              <w:t>N/A</w:t>
            </w:r>
          </w:p>
        </w:tc>
        <w:tc>
          <w:tcPr>
            <w:tcW w:w="1237" w:type="dxa"/>
            <w:tcBorders>
              <w:top w:val="single" w:sz="6" w:space="0" w:color="auto"/>
              <w:bottom w:val="single" w:sz="12" w:space="0" w:color="auto"/>
            </w:tcBorders>
            <w:shd w:val="clear" w:color="000000" w:fill="CCCCCC"/>
            <w:noWrap/>
            <w:hideMark/>
          </w:tcPr>
          <w:p w:rsidR="004843DB" w:rsidRPr="0062582F" w:rsidRDefault="004843DB" w:rsidP="004843DB">
            <w:pPr>
              <w:pStyle w:val="TableofFigures"/>
            </w:pPr>
            <w:r w:rsidRPr="0062582F">
              <w:t>2 354</w:t>
            </w:r>
          </w:p>
        </w:tc>
        <w:tc>
          <w:tcPr>
            <w:tcW w:w="1238" w:type="dxa"/>
            <w:tcBorders>
              <w:top w:val="single" w:sz="6" w:space="0" w:color="auto"/>
              <w:bottom w:val="single" w:sz="12" w:space="0" w:color="auto"/>
            </w:tcBorders>
            <w:shd w:val="clear" w:color="auto" w:fill="auto"/>
            <w:noWrap/>
            <w:hideMark/>
          </w:tcPr>
          <w:p w:rsidR="004843DB" w:rsidRPr="0062582F" w:rsidRDefault="004843DB" w:rsidP="004843DB">
            <w:pPr>
              <w:pStyle w:val="TableofFigures"/>
            </w:pPr>
            <w:r w:rsidRPr="0062582F">
              <w:t>..</w:t>
            </w:r>
          </w:p>
        </w:tc>
      </w:tr>
    </w:tbl>
    <w:p w:rsidR="004843DB" w:rsidRPr="0062582F" w:rsidRDefault="004843DB" w:rsidP="004843DB">
      <w:pPr>
        <w:pStyle w:val="Notes"/>
      </w:pPr>
      <w:r w:rsidRPr="0062582F">
        <w:t>Note:</w:t>
      </w:r>
    </w:p>
    <w:p w:rsidR="004843DB" w:rsidRPr="0062582F" w:rsidRDefault="004843DB" w:rsidP="004843DB">
      <w:pPr>
        <w:pStyle w:val="Notes"/>
        <w:rPr>
          <w:lang w:val="en-GB"/>
        </w:rPr>
      </w:pPr>
      <w:r w:rsidRPr="0062582F">
        <w:rPr>
          <w:lang w:val="en-GB"/>
        </w:rPr>
        <w:t>(i)</w:t>
      </w:r>
      <w:r w:rsidRPr="0062582F">
        <w:rPr>
          <w:lang w:val="en-GB"/>
        </w:rPr>
        <w:tab/>
        <w:t>Classified in accordance with the fair value hierarchy, see Note 1(B).</w:t>
      </w:r>
    </w:p>
    <w:p w:rsidR="004843DB" w:rsidRPr="0062582F" w:rsidRDefault="004843DB" w:rsidP="00E348C3">
      <w:pPr>
        <w:pStyle w:val="Tableheading"/>
      </w:pPr>
    </w:p>
    <w:p w:rsidR="004843DB" w:rsidRPr="0062582F" w:rsidRDefault="004843DB" w:rsidP="00E348C3">
      <w:pPr>
        <w:pStyle w:val="Tableheading"/>
      </w:pPr>
      <w:r w:rsidRPr="0062582F">
        <w:t xml:space="preserve">Table 19.3: </w:t>
      </w:r>
      <w:r w:rsidRPr="0062582F">
        <w:tab/>
        <w:t>Fair value hierarchy for 2015</w:t>
      </w:r>
    </w:p>
    <w:p w:rsidR="004843DB" w:rsidRPr="0062582F" w:rsidRDefault="004843DB" w:rsidP="004843DB">
      <w:pPr>
        <w:pStyle w:val="million"/>
        <w:rPr>
          <w:rFonts w:eastAsia="Times New Roman"/>
          <w:lang w:eastAsia="en-US"/>
        </w:rPr>
      </w:pPr>
      <w:r w:rsidRPr="0062582F">
        <w:rPr>
          <w:rFonts w:eastAsia="Times New Roman"/>
          <w:lang w:eastAsia="en-US"/>
        </w:rPr>
        <w:t xml:space="preserve"> ($ thousand)</w:t>
      </w:r>
    </w:p>
    <w:tbl>
      <w:tblPr>
        <w:tblW w:w="8143" w:type="dxa"/>
        <w:tblBorders>
          <w:top w:val="single" w:sz="4" w:space="0" w:color="auto"/>
          <w:bottom w:val="single" w:sz="12" w:space="0" w:color="auto"/>
        </w:tblBorders>
        <w:tblLayout w:type="fixed"/>
        <w:tblCellMar>
          <w:left w:w="43" w:type="dxa"/>
          <w:right w:w="43" w:type="dxa"/>
        </w:tblCellMar>
        <w:tblLook w:val="04A0" w:firstRow="1" w:lastRow="0" w:firstColumn="1" w:lastColumn="0" w:noHBand="0" w:noVBand="1"/>
      </w:tblPr>
      <w:tblGrid>
        <w:gridCol w:w="3193"/>
        <w:gridCol w:w="1260"/>
        <w:gridCol w:w="1215"/>
        <w:gridCol w:w="1237"/>
        <w:gridCol w:w="1238"/>
      </w:tblGrid>
      <w:tr w:rsidR="004843DB" w:rsidRPr="0062582F" w:rsidTr="004843DB">
        <w:trPr>
          <w:cantSplit/>
        </w:trPr>
        <w:tc>
          <w:tcPr>
            <w:tcW w:w="3193" w:type="dxa"/>
            <w:tcBorders>
              <w:top w:val="single" w:sz="6" w:space="0" w:color="auto"/>
              <w:bottom w:val="nil"/>
            </w:tcBorders>
            <w:shd w:val="clear" w:color="auto" w:fill="auto"/>
            <w:hideMark/>
          </w:tcPr>
          <w:p w:rsidR="004843DB" w:rsidRPr="0062582F" w:rsidRDefault="004843DB" w:rsidP="004843DB">
            <w:pPr>
              <w:pStyle w:val="Tabletext"/>
            </w:pPr>
          </w:p>
        </w:tc>
        <w:tc>
          <w:tcPr>
            <w:tcW w:w="1260" w:type="dxa"/>
            <w:vMerge w:val="restart"/>
            <w:tcBorders>
              <w:top w:val="single" w:sz="6" w:space="0" w:color="auto"/>
            </w:tcBorders>
            <w:shd w:val="clear" w:color="000000" w:fill="CCCCCC"/>
            <w:noWrap/>
            <w:hideMark/>
          </w:tcPr>
          <w:p w:rsidR="004843DB" w:rsidRPr="0062582F" w:rsidRDefault="004843DB" w:rsidP="004843DB">
            <w:pPr>
              <w:pStyle w:val="TabletextheadingCentred"/>
              <w:spacing w:before="80"/>
            </w:pPr>
            <w:r w:rsidRPr="0062582F">
              <w:t>Carrying amount as at</w:t>
            </w:r>
            <w:r w:rsidRPr="0062582F">
              <w:br/>
              <w:t>30 June 2015</w:t>
            </w:r>
          </w:p>
        </w:tc>
        <w:tc>
          <w:tcPr>
            <w:tcW w:w="3690" w:type="dxa"/>
            <w:gridSpan w:val="3"/>
            <w:tcBorders>
              <w:top w:val="single" w:sz="6" w:space="0" w:color="auto"/>
              <w:bottom w:val="single" w:sz="6" w:space="0" w:color="auto"/>
            </w:tcBorders>
            <w:shd w:val="clear" w:color="auto" w:fill="auto"/>
            <w:hideMark/>
          </w:tcPr>
          <w:p w:rsidR="004843DB" w:rsidRPr="0062582F" w:rsidRDefault="004843DB" w:rsidP="004843DB">
            <w:pPr>
              <w:pStyle w:val="TabletextheadingCentred"/>
            </w:pPr>
            <w:r w:rsidRPr="0062582F">
              <w:t>Fair value measurement at end of reporting period using:</w:t>
            </w:r>
          </w:p>
        </w:tc>
      </w:tr>
      <w:tr w:rsidR="004843DB" w:rsidRPr="0062582F" w:rsidTr="004843DB">
        <w:trPr>
          <w:cantSplit/>
        </w:trPr>
        <w:tc>
          <w:tcPr>
            <w:tcW w:w="3193" w:type="dxa"/>
            <w:tcBorders>
              <w:top w:val="nil"/>
              <w:bottom w:val="single" w:sz="6" w:space="0" w:color="auto"/>
            </w:tcBorders>
            <w:shd w:val="clear" w:color="auto" w:fill="auto"/>
          </w:tcPr>
          <w:p w:rsidR="004843DB" w:rsidRPr="0062582F" w:rsidRDefault="004843DB" w:rsidP="004843DB">
            <w:pPr>
              <w:pStyle w:val="Tabletext"/>
              <w:spacing w:after="0"/>
              <w:jc w:val="right"/>
            </w:pPr>
          </w:p>
        </w:tc>
        <w:tc>
          <w:tcPr>
            <w:tcW w:w="1260" w:type="dxa"/>
            <w:vMerge/>
            <w:tcBorders>
              <w:bottom w:val="single" w:sz="6" w:space="0" w:color="auto"/>
            </w:tcBorders>
            <w:shd w:val="clear" w:color="000000" w:fill="CCCCCC"/>
            <w:noWrap/>
          </w:tcPr>
          <w:p w:rsidR="004843DB" w:rsidRPr="0062582F" w:rsidRDefault="004843DB" w:rsidP="004843DB">
            <w:pPr>
              <w:pStyle w:val="TableofFigures"/>
              <w:spacing w:after="0"/>
            </w:pPr>
          </w:p>
        </w:tc>
        <w:tc>
          <w:tcPr>
            <w:tcW w:w="1215" w:type="dxa"/>
            <w:tcBorders>
              <w:top w:val="single" w:sz="6" w:space="0" w:color="auto"/>
              <w:bottom w:val="single" w:sz="6" w:space="0" w:color="auto"/>
            </w:tcBorders>
            <w:shd w:val="clear" w:color="auto" w:fill="auto"/>
            <w:noWrap/>
          </w:tcPr>
          <w:p w:rsidR="004843DB" w:rsidRPr="0062582F" w:rsidRDefault="004843DB" w:rsidP="004843DB">
            <w:pPr>
              <w:pStyle w:val="Tabletextheading"/>
              <w:rPr>
                <w:noProof w:val="0"/>
              </w:rPr>
            </w:pPr>
            <w:r w:rsidRPr="0062582F">
              <w:t>Level 1</w:t>
            </w:r>
            <w:r w:rsidRPr="0062582F">
              <w:rPr>
                <w:vertAlign w:val="superscript"/>
              </w:rPr>
              <w:t xml:space="preserve"> (i)</w:t>
            </w:r>
          </w:p>
        </w:tc>
        <w:tc>
          <w:tcPr>
            <w:tcW w:w="1237" w:type="dxa"/>
            <w:tcBorders>
              <w:top w:val="single" w:sz="6" w:space="0" w:color="auto"/>
              <w:bottom w:val="single" w:sz="6" w:space="0" w:color="auto"/>
            </w:tcBorders>
            <w:shd w:val="clear" w:color="000000" w:fill="CCCCCC"/>
            <w:noWrap/>
          </w:tcPr>
          <w:p w:rsidR="004843DB" w:rsidRPr="0062582F" w:rsidRDefault="004843DB" w:rsidP="004843DB">
            <w:pPr>
              <w:pStyle w:val="Tabletextheading"/>
              <w:rPr>
                <w:noProof w:val="0"/>
              </w:rPr>
            </w:pPr>
            <w:r w:rsidRPr="0062582F">
              <w:t>Level 2</w:t>
            </w:r>
            <w:r w:rsidRPr="0062582F">
              <w:rPr>
                <w:vertAlign w:val="superscript"/>
              </w:rPr>
              <w:t xml:space="preserve"> (i)</w:t>
            </w:r>
          </w:p>
        </w:tc>
        <w:tc>
          <w:tcPr>
            <w:tcW w:w="1238" w:type="dxa"/>
            <w:tcBorders>
              <w:top w:val="single" w:sz="6" w:space="0" w:color="auto"/>
              <w:bottom w:val="single" w:sz="6" w:space="0" w:color="auto"/>
            </w:tcBorders>
            <w:shd w:val="clear" w:color="auto" w:fill="auto"/>
            <w:noWrap/>
          </w:tcPr>
          <w:p w:rsidR="004843DB" w:rsidRPr="0062582F" w:rsidRDefault="004843DB" w:rsidP="004843DB">
            <w:pPr>
              <w:pStyle w:val="Tabletextheading"/>
            </w:pPr>
            <w:r w:rsidRPr="0062582F">
              <w:t>Level 3</w:t>
            </w:r>
            <w:r w:rsidRPr="0062582F">
              <w:rPr>
                <w:vertAlign w:val="superscript"/>
              </w:rPr>
              <w:t xml:space="preserve"> (i)</w:t>
            </w:r>
          </w:p>
        </w:tc>
      </w:tr>
      <w:tr w:rsidR="004843DB" w:rsidRPr="0062582F" w:rsidTr="004843DB">
        <w:trPr>
          <w:cantSplit/>
        </w:trPr>
        <w:tc>
          <w:tcPr>
            <w:tcW w:w="3193" w:type="dxa"/>
            <w:tcBorders>
              <w:top w:val="single" w:sz="6" w:space="0" w:color="auto"/>
              <w:bottom w:val="single" w:sz="12" w:space="0" w:color="auto"/>
            </w:tcBorders>
            <w:shd w:val="clear" w:color="auto" w:fill="auto"/>
            <w:hideMark/>
          </w:tcPr>
          <w:p w:rsidR="004843DB" w:rsidRPr="0062582F" w:rsidRDefault="004843DB" w:rsidP="004843DB">
            <w:pPr>
              <w:pStyle w:val="Tabletext"/>
            </w:pPr>
            <w:r w:rsidRPr="0062582F">
              <w:t>Investment properties</w:t>
            </w:r>
          </w:p>
        </w:tc>
        <w:tc>
          <w:tcPr>
            <w:tcW w:w="1260" w:type="dxa"/>
            <w:tcBorders>
              <w:top w:val="single" w:sz="6" w:space="0" w:color="auto"/>
              <w:bottom w:val="single" w:sz="12" w:space="0" w:color="auto"/>
            </w:tcBorders>
            <w:shd w:val="clear" w:color="000000" w:fill="CCCCCC"/>
            <w:noWrap/>
            <w:hideMark/>
          </w:tcPr>
          <w:p w:rsidR="004843DB" w:rsidRPr="0062582F" w:rsidRDefault="004843DB" w:rsidP="004843DB">
            <w:pPr>
              <w:pStyle w:val="TableofFigures"/>
            </w:pPr>
            <w:r w:rsidRPr="0062582F">
              <w:t>5 029</w:t>
            </w:r>
          </w:p>
        </w:tc>
        <w:tc>
          <w:tcPr>
            <w:tcW w:w="1215" w:type="dxa"/>
            <w:tcBorders>
              <w:top w:val="single" w:sz="6" w:space="0" w:color="auto"/>
              <w:bottom w:val="single" w:sz="12" w:space="0" w:color="auto"/>
            </w:tcBorders>
            <w:shd w:val="clear" w:color="auto" w:fill="auto"/>
            <w:noWrap/>
            <w:hideMark/>
          </w:tcPr>
          <w:p w:rsidR="004843DB" w:rsidRPr="0062582F" w:rsidRDefault="004843DB" w:rsidP="004843DB">
            <w:pPr>
              <w:pStyle w:val="TableofFigures"/>
            </w:pPr>
            <w:r w:rsidRPr="0062582F">
              <w:t>N/A</w:t>
            </w:r>
          </w:p>
        </w:tc>
        <w:tc>
          <w:tcPr>
            <w:tcW w:w="1237" w:type="dxa"/>
            <w:tcBorders>
              <w:top w:val="single" w:sz="6" w:space="0" w:color="auto"/>
              <w:bottom w:val="single" w:sz="12" w:space="0" w:color="auto"/>
            </w:tcBorders>
            <w:shd w:val="clear" w:color="000000" w:fill="CCCCCC"/>
            <w:noWrap/>
            <w:hideMark/>
          </w:tcPr>
          <w:p w:rsidR="004843DB" w:rsidRPr="0062582F" w:rsidRDefault="004843DB" w:rsidP="004843DB">
            <w:pPr>
              <w:pStyle w:val="TableofFigures"/>
            </w:pPr>
            <w:r w:rsidRPr="0062582F">
              <w:t>5 029</w:t>
            </w:r>
          </w:p>
        </w:tc>
        <w:tc>
          <w:tcPr>
            <w:tcW w:w="1238" w:type="dxa"/>
            <w:tcBorders>
              <w:top w:val="single" w:sz="6" w:space="0" w:color="auto"/>
              <w:bottom w:val="single" w:sz="12" w:space="0" w:color="auto"/>
            </w:tcBorders>
            <w:shd w:val="clear" w:color="auto" w:fill="auto"/>
            <w:noWrap/>
            <w:hideMark/>
          </w:tcPr>
          <w:p w:rsidR="004843DB" w:rsidRPr="0062582F" w:rsidRDefault="004843DB" w:rsidP="004843DB">
            <w:pPr>
              <w:pStyle w:val="TableofFigures"/>
            </w:pPr>
            <w:r w:rsidRPr="0062582F">
              <w:t>..</w:t>
            </w:r>
          </w:p>
        </w:tc>
      </w:tr>
    </w:tbl>
    <w:p w:rsidR="004843DB" w:rsidRPr="0062582F" w:rsidRDefault="004843DB" w:rsidP="004843DB">
      <w:pPr>
        <w:pStyle w:val="Notes"/>
      </w:pPr>
      <w:r w:rsidRPr="0062582F">
        <w:t>Note:</w:t>
      </w:r>
    </w:p>
    <w:p w:rsidR="004843DB" w:rsidRPr="0062582F" w:rsidRDefault="004843DB" w:rsidP="004843DB">
      <w:pPr>
        <w:pStyle w:val="Notes"/>
        <w:rPr>
          <w:lang w:val="en-GB"/>
        </w:rPr>
      </w:pPr>
      <w:r w:rsidRPr="0062582F">
        <w:rPr>
          <w:lang w:val="en-GB"/>
        </w:rPr>
        <w:t>(i)</w:t>
      </w:r>
      <w:r w:rsidRPr="0062582F">
        <w:rPr>
          <w:lang w:val="en-GB"/>
        </w:rPr>
        <w:tab/>
        <w:t>Classified in accordance with the fair value hierarchy, see Note 1(B).</w:t>
      </w:r>
    </w:p>
    <w:p w:rsidR="004843DB" w:rsidRPr="0062582F" w:rsidRDefault="004843DB" w:rsidP="004843DB">
      <w:pPr>
        <w:pStyle w:val="Notes"/>
        <w:rPr>
          <w:lang w:val="en-GB"/>
        </w:rPr>
      </w:pPr>
    </w:p>
    <w:p w:rsidR="004843DB" w:rsidRPr="0062582F" w:rsidRDefault="004843DB" w:rsidP="004843DB">
      <w:pPr>
        <w:pStyle w:val="Notes"/>
        <w:rPr>
          <w:lang w:val="en-GB"/>
        </w:rPr>
      </w:pPr>
    </w:p>
    <w:p w:rsidR="004843DB" w:rsidRPr="0062582F" w:rsidRDefault="004843DB" w:rsidP="004843DB">
      <w:pPr>
        <w:autoSpaceDE w:val="0"/>
        <w:autoSpaceDN w:val="0"/>
        <w:adjustRightInd w:val="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13.93 (c)</w:t>
      </w:r>
    </w:p>
    <w:p w:rsidR="004843DB" w:rsidRPr="0062582F" w:rsidRDefault="004843DB" w:rsidP="004843DB">
      <w:pPr>
        <w:pStyle w:val="Reference"/>
        <w:spacing w:before="0"/>
      </w:pPr>
      <w:r w:rsidRPr="0062582F">
        <w:t>AASB 13.66</w:t>
      </w:r>
    </w:p>
    <w:p w:rsidR="004843DB" w:rsidRPr="0062582F" w:rsidRDefault="004843DB" w:rsidP="004843DB">
      <w:r w:rsidRPr="0062582F">
        <w:br w:type="column"/>
        <w:t xml:space="preserve">There have been no transfers between levels during the period. There were no changes in valuation techniques throughout the period to 30 June 2016.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13.93(i)</w:t>
      </w:r>
    </w:p>
    <w:p w:rsidR="004843DB" w:rsidRPr="0062582F" w:rsidRDefault="004843DB" w:rsidP="004843DB">
      <w:r w:rsidRPr="0062582F">
        <w:br w:type="column"/>
        <w:t xml:space="preserve">For investment properties measured at fair value, the current use of the asset is considered the highest and best use. </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r w:rsidRPr="0062582F">
        <w:rPr>
          <w:rFonts w:ascii="Calibri" w:hAnsi="Calibri" w:cs="Arial Narrow"/>
          <w:color w:val="0000FF"/>
          <w:sz w:val="16"/>
          <w:szCs w:val="16"/>
          <w:lang w:val="en-GB"/>
        </w:rPr>
        <w:t>AASB 13.93(d)</w:t>
      </w:r>
    </w:p>
    <w:p w:rsidR="004843DB" w:rsidRPr="0062582F" w:rsidRDefault="004843DB" w:rsidP="004843DB">
      <w:r w:rsidRPr="0062582F">
        <w:br w:type="column"/>
        <w:t>The fair value of the Department</w:t>
      </w:r>
      <w:r w:rsidR="005A4BB0">
        <w:t>’</w:t>
      </w:r>
      <w:r w:rsidRPr="0062582F">
        <w:t xml:space="preserve">s investment properties at 30 June 2016 have been arrived at on the basis of an independent valuation carried out by independent valuers, Norton and Prime Pty Ltd. The valuation was determined by reference to market evidence of transaction prices for similar properties with no significant unobservable adjustments, in the same location and condition and subject to similar lease and other contracts. </w:t>
      </w:r>
    </w:p>
    <w:p w:rsidR="004843DB" w:rsidRPr="0062582F" w:rsidRDefault="004843DB" w:rsidP="004843DB">
      <w:r w:rsidRPr="0062582F">
        <w:t>Norton and Prime Pty Ltd has more than 20 years of experience valuing similar commercial properties in the Melbourne CBD.</w:t>
      </w:r>
    </w:p>
    <w:p w:rsidR="004843DB" w:rsidRPr="0062582F" w:rsidRDefault="004843DB" w:rsidP="004843DB">
      <w:pPr>
        <w:pStyle w:val="Reference"/>
      </w:pPr>
      <w:r w:rsidRPr="0062582F">
        <w:br w:type="column"/>
      </w:r>
    </w:p>
    <w:p w:rsidR="004843DB" w:rsidRPr="0062582F" w:rsidRDefault="004843DB" w:rsidP="004843DB">
      <w:pPr>
        <w:pStyle w:val="CommentaryHeading"/>
      </w:pPr>
      <w:r w:rsidRPr="0062582F">
        <w:t>Commentary – Investment properties</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pPr>
      <w:r w:rsidRPr="0062582F">
        <w:t>Property held to meet service delivery objectives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20"/>
        <w:rPr>
          <w:lang w:val="en-AU"/>
        </w:rPr>
      </w:pPr>
      <w:r w:rsidRPr="0062582F">
        <w:rPr>
          <w:lang w:val="en-AU"/>
        </w:rPr>
        <w:t>AASB 140.Aus9.1</w:t>
      </w:r>
    </w:p>
    <w:p w:rsidR="004843DB" w:rsidRPr="0062582F" w:rsidRDefault="004843DB" w:rsidP="004843DB">
      <w:pPr>
        <w:pStyle w:val="CommentaryText"/>
        <w:pBdr>
          <w:top w:val="none" w:sz="0" w:space="0" w:color="auto"/>
          <w:bottom w:val="none" w:sz="0" w:space="0" w:color="auto"/>
        </w:pBdr>
      </w:pPr>
      <w:r w:rsidRPr="0062582F">
        <w:br w:type="column"/>
        <w:t>In respect of not</w:t>
      </w:r>
      <w:r w:rsidR="005A4BB0">
        <w:noBreakHyphen/>
      </w:r>
      <w:r w:rsidRPr="0062582F">
        <w:t>for</w:t>
      </w:r>
      <w:r w:rsidR="005A4BB0">
        <w:noBreakHyphen/>
      </w:r>
      <w:r w:rsidRPr="0062582F">
        <w:t>profit entities, property may be held to meet service delivery objectives rather than to earn rent or for capital appreciation. In such situations the property will not meet the definition of investment property and will be accounted for under AASB 116. For example:</w:t>
      </w:r>
    </w:p>
    <w:p w:rsidR="004843DB" w:rsidRPr="0062582F" w:rsidRDefault="004843DB" w:rsidP="004843DB">
      <w:pPr>
        <w:pStyle w:val="CommentaryTextIndent"/>
        <w:pBdr>
          <w:top w:val="none" w:sz="0" w:space="0" w:color="auto"/>
          <w:bottom w:val="none" w:sz="0" w:space="0" w:color="auto"/>
        </w:pBdr>
      </w:pPr>
      <w:r w:rsidRPr="0062582F">
        <w:t>(a)</w:t>
      </w:r>
      <w:r w:rsidRPr="0062582F">
        <w:tab/>
        <w:t>property held for strategic purposes; and</w:t>
      </w:r>
    </w:p>
    <w:p w:rsidR="004843DB" w:rsidRPr="0062582F" w:rsidRDefault="004843DB" w:rsidP="004843DB">
      <w:pPr>
        <w:pStyle w:val="CommentaryTextIndent"/>
        <w:pBdr>
          <w:top w:val="none" w:sz="0" w:space="0" w:color="auto"/>
          <w:bottom w:val="none" w:sz="0" w:space="0" w:color="auto"/>
        </w:pBdr>
      </w:pPr>
      <w:r w:rsidRPr="0062582F">
        <w:t>(b)</w:t>
      </w:r>
      <w:r w:rsidRPr="0062582F">
        <w:tab/>
        <w:t>property held to provide a social service, including those which generate cash inflows where the rental income is incidental to the purpose for holding the property.</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FRD 107A</w:t>
      </w:r>
    </w:p>
    <w:p w:rsidR="004843DB" w:rsidRPr="0062582F" w:rsidRDefault="004843DB" w:rsidP="004843DB">
      <w:pPr>
        <w:pStyle w:val="CommentaryText"/>
        <w:pBdr>
          <w:top w:val="none" w:sz="0" w:space="0" w:color="auto"/>
          <w:bottom w:val="none" w:sz="0" w:space="0" w:color="auto"/>
        </w:pBdr>
      </w:pPr>
      <w:r w:rsidRPr="0062582F">
        <w:br w:type="column"/>
        <w:t>The reason for classifying a property that would otherwise satisfy the definition of investment property as property, plant and equipment must be documented and approved by the entity</w:t>
      </w:r>
      <w:r w:rsidR="005A4BB0">
        <w:t>’</w:t>
      </w:r>
      <w:r w:rsidRPr="0062582F">
        <w:t>s responsible body.</w:t>
      </w:r>
    </w:p>
    <w:p w:rsidR="004843DB" w:rsidRPr="0062582F" w:rsidRDefault="004843DB" w:rsidP="004843DB">
      <w:pPr>
        <w:pStyle w:val="CommentaryText"/>
        <w:rPr>
          <w:b/>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SD 1.1</w:t>
      </w:r>
    </w:p>
    <w:p w:rsidR="004843DB" w:rsidRPr="0062582F" w:rsidRDefault="004843DB" w:rsidP="004843DB">
      <w:pPr>
        <w:pStyle w:val="CommentaryText"/>
        <w:pBdr>
          <w:top w:val="none" w:sz="0" w:space="0" w:color="auto"/>
          <w:bottom w:val="none" w:sz="0" w:space="0" w:color="auto"/>
        </w:pBdr>
      </w:pPr>
      <w:r w:rsidRPr="0062582F">
        <w:rPr>
          <w:b/>
        </w:rPr>
        <w:br w:type="column"/>
        <w:t>Responsible body</w:t>
      </w:r>
      <w:r w:rsidRPr="0062582F">
        <w:t xml:space="preserve"> means:</w:t>
      </w:r>
    </w:p>
    <w:p w:rsidR="004843DB" w:rsidRPr="0062582F" w:rsidRDefault="004843DB" w:rsidP="004843DB">
      <w:pPr>
        <w:pStyle w:val="CommentaryTextIndent"/>
        <w:pBdr>
          <w:top w:val="none" w:sz="0" w:space="0" w:color="auto"/>
          <w:bottom w:val="none" w:sz="0" w:space="0" w:color="auto"/>
        </w:pBdr>
      </w:pPr>
      <w:r w:rsidRPr="0062582F">
        <w:t>(a)</w:t>
      </w:r>
      <w:r w:rsidRPr="0062582F">
        <w:tab/>
        <w:t>a government department, the Accountable Officer; and</w:t>
      </w:r>
    </w:p>
    <w:p w:rsidR="004843DB" w:rsidRPr="0062582F" w:rsidRDefault="004843DB" w:rsidP="004843DB">
      <w:pPr>
        <w:pStyle w:val="CommentaryTextIndent"/>
        <w:pBdr>
          <w:top w:val="none" w:sz="0" w:space="0" w:color="auto"/>
          <w:bottom w:val="none" w:sz="0" w:space="0" w:color="auto"/>
        </w:pBdr>
      </w:pPr>
      <w:r w:rsidRPr="0062582F">
        <w:t>(b)</w:t>
      </w:r>
      <w:r w:rsidRPr="0062582F">
        <w:tab/>
        <w:t>all other public sector agencies, the board or other governing body.</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20"/>
        <w:rPr>
          <w:lang w:val="en-AU"/>
        </w:rPr>
      </w:pPr>
      <w:r w:rsidRPr="0062582F">
        <w:rPr>
          <w:lang w:val="en-AU"/>
        </w:rPr>
        <w:t>AASB 140.75(c)</w:t>
      </w:r>
    </w:p>
    <w:p w:rsidR="004843DB" w:rsidRPr="0062582F" w:rsidRDefault="004843DB" w:rsidP="004843DB">
      <w:pPr>
        <w:pStyle w:val="CommentaryHeading1"/>
        <w:pBdr>
          <w:top w:val="none" w:sz="0" w:space="0" w:color="auto"/>
          <w:bottom w:val="none" w:sz="0" w:space="0" w:color="auto"/>
        </w:pBdr>
      </w:pPr>
      <w:r w:rsidRPr="0062582F">
        <w:br w:type="column"/>
        <w:t>Classification</w:t>
      </w:r>
    </w:p>
    <w:p w:rsidR="004843DB" w:rsidRPr="0062582F" w:rsidRDefault="004843DB" w:rsidP="004843DB">
      <w:pPr>
        <w:pStyle w:val="CommentaryText"/>
        <w:pBdr>
          <w:top w:val="none" w:sz="0" w:space="0" w:color="auto"/>
          <w:bottom w:val="none" w:sz="0" w:space="0" w:color="auto"/>
        </w:pBdr>
      </w:pPr>
      <w:r w:rsidRPr="0062582F">
        <w:t>When classification of investment property is difficult, an entity shall disclose the criteria it uses to distinguish investment property from owner</w:t>
      </w:r>
      <w:r w:rsidR="005A4BB0">
        <w:noBreakHyphen/>
      </w:r>
      <w:r w:rsidRPr="0062582F">
        <w:t>occupied property and from property held for sale in the ordinary course of business.</w:t>
      </w:r>
    </w:p>
    <w:p w:rsidR="004843DB" w:rsidRPr="0062582F" w:rsidRDefault="004843DB" w:rsidP="004843DB">
      <w:pPr>
        <w:pStyle w:val="CommentaryHeading1"/>
        <w:pBdr>
          <w:top w:val="none" w:sz="0" w:space="0" w:color="auto"/>
          <w:bottom w:val="none" w:sz="0" w:space="0" w:color="auto"/>
        </w:pBdr>
      </w:pPr>
      <w:r w:rsidRPr="0062582F">
        <w:t>Inability to determine fair value reliably</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FRD 107A</w:t>
      </w:r>
    </w:p>
    <w:p w:rsidR="004843DB" w:rsidRPr="0062582F" w:rsidRDefault="004843DB" w:rsidP="004843DB">
      <w:pPr>
        <w:pStyle w:val="CommentaryText"/>
        <w:pBdr>
          <w:top w:val="none" w:sz="0" w:space="0" w:color="auto"/>
          <w:bottom w:val="none" w:sz="0" w:space="0" w:color="auto"/>
        </w:pBdr>
      </w:pPr>
      <w:r w:rsidRPr="0062582F">
        <w:br w:type="column"/>
        <w:t>An entity must measure its investment property (after recognition) using the fair value model unless the entity has received prior written approval from the Minister for Finance to use the cost model.</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140.78</w:t>
      </w:r>
    </w:p>
    <w:p w:rsidR="004843DB" w:rsidRPr="0062582F" w:rsidRDefault="004843DB" w:rsidP="004843DB">
      <w:pPr>
        <w:pStyle w:val="CommentaryText"/>
        <w:pBdr>
          <w:top w:val="none" w:sz="0" w:space="0" w:color="auto"/>
          <w:bottom w:val="none" w:sz="0" w:space="0" w:color="auto"/>
        </w:pBdr>
      </w:pPr>
      <w:r w:rsidRPr="0062582F">
        <w:br w:type="column"/>
        <w:t>In the exceptional cases where an entity is unable to reliably determine the fair value of an investment property, and accordingly measures that investment property using the cost model, the reconciliation illustrated in this note shall disclose amounts relating to that investment property separately from amounts relating to other investment property. In addition, an entity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a description of the investment property;</w:t>
      </w:r>
    </w:p>
    <w:p w:rsidR="004843DB" w:rsidRPr="0062582F" w:rsidRDefault="004843DB" w:rsidP="004843DB">
      <w:pPr>
        <w:pStyle w:val="CommentaryTextIndent"/>
        <w:pBdr>
          <w:top w:val="none" w:sz="0" w:space="0" w:color="auto"/>
          <w:bottom w:val="none" w:sz="0" w:space="0" w:color="auto"/>
        </w:pBdr>
      </w:pPr>
      <w:r w:rsidRPr="0062582F">
        <w:t>(b)</w:t>
      </w:r>
      <w:r w:rsidRPr="0062582F">
        <w:tab/>
        <w:t>an explanation of why fair value cannot be determined reliably;</w:t>
      </w:r>
    </w:p>
    <w:p w:rsidR="004843DB" w:rsidRPr="0062582F" w:rsidRDefault="004843DB" w:rsidP="004843DB">
      <w:pPr>
        <w:pStyle w:val="CommentaryTextIndent"/>
        <w:pBdr>
          <w:top w:val="none" w:sz="0" w:space="0" w:color="auto"/>
          <w:bottom w:val="none" w:sz="0" w:space="0" w:color="auto"/>
        </w:pBdr>
      </w:pPr>
      <w:r w:rsidRPr="0062582F">
        <w:t>(c)</w:t>
      </w:r>
      <w:r w:rsidRPr="0062582F">
        <w:tab/>
        <w:t>if possible, the range of estimates in which fair value is highly likely to lie; and</w:t>
      </w:r>
    </w:p>
    <w:p w:rsidR="004843DB" w:rsidRPr="0062582F" w:rsidRDefault="004843DB" w:rsidP="004843DB">
      <w:pPr>
        <w:pStyle w:val="CommentaryTextIndent"/>
        <w:pBdr>
          <w:top w:val="none" w:sz="0" w:space="0" w:color="auto"/>
          <w:bottom w:val="none" w:sz="0" w:space="0" w:color="auto"/>
        </w:pBdr>
      </w:pPr>
      <w:r w:rsidRPr="0062582F">
        <w:t>(d)</w:t>
      </w:r>
      <w:r w:rsidRPr="0062582F">
        <w:tab/>
        <w:t>on disposal of investment property not carried at fair value:</w:t>
      </w:r>
    </w:p>
    <w:p w:rsidR="004843DB" w:rsidRPr="0062582F" w:rsidRDefault="004843DB" w:rsidP="004843DB">
      <w:pPr>
        <w:pStyle w:val="CommentaryTextIndent2"/>
        <w:pBdr>
          <w:top w:val="none" w:sz="0" w:space="0" w:color="auto"/>
          <w:bottom w:val="none" w:sz="0" w:space="0" w:color="auto"/>
        </w:pBdr>
      </w:pPr>
      <w:r w:rsidRPr="0062582F">
        <w:tab/>
        <w:t>(i)</w:t>
      </w:r>
      <w:r w:rsidRPr="0062582F">
        <w:tab/>
        <w:t>the fact that the entity has disposed of investment property not carried at fair value;</w:t>
      </w:r>
    </w:p>
    <w:p w:rsidR="004843DB" w:rsidRPr="0062582F" w:rsidRDefault="004843DB" w:rsidP="004843DB">
      <w:pPr>
        <w:pStyle w:val="CommentaryTextIndent2"/>
        <w:pBdr>
          <w:top w:val="none" w:sz="0" w:space="0" w:color="auto"/>
          <w:bottom w:val="none" w:sz="0" w:space="0" w:color="auto"/>
        </w:pBdr>
      </w:pPr>
      <w:r w:rsidRPr="0062582F">
        <w:tab/>
        <w:t>(ii)</w:t>
      </w:r>
      <w:r w:rsidRPr="0062582F">
        <w:tab/>
        <w:t>the carrying amount of that investment property at the time of sale; and</w:t>
      </w:r>
    </w:p>
    <w:p w:rsidR="004843DB" w:rsidRPr="0062582F" w:rsidRDefault="004843DB" w:rsidP="004843DB">
      <w:pPr>
        <w:pStyle w:val="CommentaryTextIndent2"/>
        <w:pBdr>
          <w:top w:val="none" w:sz="0" w:space="0" w:color="auto"/>
          <w:bottom w:val="none" w:sz="0" w:space="0" w:color="auto"/>
        </w:pBdr>
      </w:pPr>
      <w:r w:rsidRPr="0062582F">
        <w:tab/>
        <w:t>(iii)</w:t>
      </w:r>
      <w:r w:rsidRPr="0062582F">
        <w:tab/>
        <w:t>the amount of gain or loss recognised.</w:t>
      </w:r>
    </w:p>
    <w:p w:rsidR="004843DB" w:rsidRPr="0062582F" w:rsidRDefault="004843DB" w:rsidP="004843DB">
      <w:pPr>
        <w:pStyle w:val="CommentaryHeading1"/>
        <w:pBdr>
          <w:top w:val="none" w:sz="0" w:space="0" w:color="auto"/>
          <w:bottom w:val="none" w:sz="0" w:space="0" w:color="auto"/>
        </w:pBdr>
      </w:pPr>
      <w:r w:rsidRPr="0062582F">
        <w:t xml:space="preserve">Adjustment for recognised assets and liabilities </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140.77</w:t>
      </w:r>
    </w:p>
    <w:p w:rsidR="004843DB" w:rsidRPr="0062582F" w:rsidRDefault="004843DB" w:rsidP="004843DB">
      <w:pPr>
        <w:pStyle w:val="CommentaryText"/>
        <w:pBdr>
          <w:top w:val="none" w:sz="0" w:space="0" w:color="auto"/>
        </w:pBdr>
      </w:pPr>
      <w:r w:rsidRPr="0062582F">
        <w:br w:type="column"/>
        <w:t>When a valuation obtained for investment property is adjusted significantly for the purpose of the financial statements. For example, to avoid double</w:t>
      </w:r>
      <w:r w:rsidR="005A4BB0">
        <w:noBreakHyphen/>
      </w:r>
      <w:r w:rsidRPr="0062582F">
        <w:t xml:space="preserve">counting of assets or liabilities that are recognised as separate assets and liabilities as described in paragraph 50 of AASB 140 </w:t>
      </w:r>
      <w:r w:rsidRPr="0062582F">
        <w:rPr>
          <w:i/>
        </w:rPr>
        <w:t>Investment Property</w:t>
      </w:r>
      <w:r w:rsidRPr="0062582F">
        <w:t>, the entity shall disclose a reconciliation between the valuation obtained and the adjusted valuation included in the financial statements, showing separately the aggregate amount of any recognised lease obligations that have been added back, and any other significant adjustments.</w:t>
      </w:r>
    </w:p>
    <w:p w:rsidR="004843DB" w:rsidRPr="0062582F" w:rsidRDefault="004843DB" w:rsidP="004843DB">
      <w:pPr>
        <w:pStyle w:val="Reference"/>
        <w:rPr>
          <w:rFonts w:ascii="Garamond" w:hAnsi="Garamond"/>
          <w:lang w:val="en-AU"/>
        </w:rPr>
      </w:pP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 xml:space="preserve">Commentary – Investment properties </w:t>
      </w:r>
      <w:r w:rsidRPr="0062582F">
        <w:rPr>
          <w:i/>
        </w:rPr>
        <w:t>(continued)</w:t>
      </w:r>
    </w:p>
    <w:p w:rsidR="004843DB" w:rsidRPr="00756AA3" w:rsidRDefault="004843DB" w:rsidP="00756AA3">
      <w:pPr>
        <w:pStyle w:val="SmallLineBlue"/>
      </w:pPr>
    </w:p>
    <w:p w:rsidR="004843DB" w:rsidRPr="0062582F" w:rsidRDefault="004843DB" w:rsidP="004843DB">
      <w:pPr>
        <w:pStyle w:val="CommentaryHeading1"/>
        <w:pBdr>
          <w:top w:val="none" w:sz="0" w:space="0" w:color="auto"/>
          <w:bottom w:val="none" w:sz="0" w:space="0" w:color="auto"/>
        </w:pBdr>
      </w:pPr>
      <w:r w:rsidRPr="0062582F">
        <w:t>Disclosure requirements</w:t>
      </w:r>
    </w:p>
    <w:p w:rsidR="004843DB" w:rsidRPr="0062582F" w:rsidRDefault="004843DB" w:rsidP="004843DB">
      <w:pPr>
        <w:pStyle w:val="CommentaryText"/>
        <w:pBdr>
          <w:top w:val="none" w:sz="0" w:space="0" w:color="auto"/>
          <w:bottom w:val="none" w:sz="0" w:space="0" w:color="auto"/>
        </w:pBdr>
      </w:pPr>
      <w:r w:rsidRPr="0062582F">
        <w:t>Entities are required to disclose:</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140.75(b)</w:t>
      </w:r>
    </w:p>
    <w:p w:rsidR="004843DB" w:rsidRPr="0062582F" w:rsidRDefault="004843DB" w:rsidP="004843DB">
      <w:pPr>
        <w:pStyle w:val="CommentaryTextIndent"/>
        <w:pBdr>
          <w:top w:val="none" w:sz="0" w:space="0" w:color="auto"/>
          <w:bottom w:val="none" w:sz="0" w:space="0" w:color="auto"/>
        </w:pBdr>
      </w:pPr>
      <w:r w:rsidRPr="0062582F">
        <w:br w:type="column"/>
        <w:t>(a)</w:t>
      </w:r>
      <w:r w:rsidRPr="0062582F">
        <w:tab/>
        <w:t>whether, and in what circumstances, property interests held under operating leases are classified and accounted for as investment property;</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140.75(f)</w:t>
      </w:r>
    </w:p>
    <w:p w:rsidR="004843DB" w:rsidRPr="0062582F" w:rsidRDefault="004843DB" w:rsidP="004843DB">
      <w:pPr>
        <w:pStyle w:val="CommentaryTextIndent"/>
        <w:pBdr>
          <w:top w:val="none" w:sz="0" w:space="0" w:color="auto"/>
          <w:bottom w:val="none" w:sz="0" w:space="0" w:color="auto"/>
        </w:pBdr>
      </w:pPr>
      <w:r w:rsidRPr="0062582F">
        <w:br w:type="column"/>
        <w:t>(b)</w:t>
      </w:r>
      <w:r w:rsidRPr="0062582F">
        <w:tab/>
        <w:t>the amounts recognised in the net result for:</w:t>
      </w:r>
    </w:p>
    <w:p w:rsidR="004843DB" w:rsidRPr="0062582F" w:rsidRDefault="004843DB" w:rsidP="004843DB">
      <w:pPr>
        <w:pStyle w:val="CommentaryTextIndent2"/>
        <w:pBdr>
          <w:top w:val="none" w:sz="0" w:space="0" w:color="auto"/>
          <w:bottom w:val="none" w:sz="0" w:space="0" w:color="auto"/>
        </w:pBdr>
      </w:pPr>
      <w:r w:rsidRPr="0062582F">
        <w:tab/>
        <w:t>(i)</w:t>
      </w:r>
      <w:r w:rsidRPr="0062582F">
        <w:tab/>
        <w:t>rental income from investment property;</w:t>
      </w:r>
    </w:p>
    <w:p w:rsidR="004843DB" w:rsidRPr="0062582F" w:rsidRDefault="004843DB" w:rsidP="004843DB">
      <w:pPr>
        <w:pStyle w:val="CommentaryTextIndent2"/>
        <w:pBdr>
          <w:top w:val="none" w:sz="0" w:space="0" w:color="auto"/>
          <w:bottom w:val="none" w:sz="0" w:space="0" w:color="auto"/>
        </w:pBdr>
      </w:pPr>
      <w:r w:rsidRPr="0062582F">
        <w:tab/>
        <w:t>(ii)</w:t>
      </w:r>
      <w:r w:rsidRPr="0062582F">
        <w:tab/>
        <w:t>direct operating expenses (including repairs and maintenance) arising from investment property that generated rental income during the period; and</w:t>
      </w:r>
    </w:p>
    <w:p w:rsidR="004843DB" w:rsidRPr="0062582F" w:rsidRDefault="004843DB" w:rsidP="004843DB">
      <w:pPr>
        <w:pStyle w:val="CommentaryTextIndent2"/>
        <w:pBdr>
          <w:top w:val="none" w:sz="0" w:space="0" w:color="auto"/>
          <w:bottom w:val="none" w:sz="0" w:space="0" w:color="auto"/>
        </w:pBdr>
      </w:pPr>
      <w:r w:rsidRPr="0062582F">
        <w:tab/>
        <w:t>(iii)</w:t>
      </w:r>
      <w:r w:rsidRPr="0062582F">
        <w:tab/>
        <w:t>direct operating expenses (including repairs and maintenance) arising from investment property that did not generate rental income during the period;</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140.75(g)</w:t>
      </w:r>
    </w:p>
    <w:p w:rsidR="004843DB" w:rsidRPr="0062582F" w:rsidRDefault="004843DB" w:rsidP="004843DB">
      <w:pPr>
        <w:pStyle w:val="CommentaryTextIndent"/>
        <w:pBdr>
          <w:top w:val="none" w:sz="0" w:space="0" w:color="auto"/>
          <w:bottom w:val="none" w:sz="0" w:space="0" w:color="auto"/>
        </w:pBdr>
      </w:pPr>
      <w:r w:rsidRPr="0062582F">
        <w:br w:type="column"/>
        <w:t>(c)</w:t>
      </w:r>
      <w:r w:rsidRPr="0062582F">
        <w:tab/>
        <w:t>the existence and amounts of restrictions on the realisability of investment property or the remittance of income and proceeds of disposal; and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140.75(h)</w:t>
      </w:r>
    </w:p>
    <w:p w:rsidR="004843DB" w:rsidRPr="0062582F" w:rsidRDefault="004843DB" w:rsidP="004843DB">
      <w:pPr>
        <w:pStyle w:val="CommentaryTextIndent"/>
        <w:pBdr>
          <w:top w:val="none" w:sz="0" w:space="0" w:color="auto"/>
          <w:bottom w:val="none" w:sz="0" w:space="0" w:color="auto"/>
        </w:pBdr>
      </w:pPr>
      <w:r w:rsidRPr="0062582F">
        <w:br w:type="column"/>
        <w:t>(d)</w:t>
      </w:r>
      <w:r w:rsidRPr="0062582F">
        <w:tab/>
        <w:t>contractual obligations to purchase, construct or develop investment property or for repairs, maintenance or enhancements.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140.76</w:t>
      </w:r>
    </w:p>
    <w:p w:rsidR="004843DB" w:rsidRPr="0062582F" w:rsidRDefault="004843DB" w:rsidP="004843DB">
      <w:pPr>
        <w:pStyle w:val="CommentaryText"/>
        <w:pBdr>
          <w:top w:val="none" w:sz="0" w:space="0" w:color="auto"/>
          <w:bottom w:val="none" w:sz="0" w:space="0" w:color="auto"/>
        </w:pBdr>
      </w:pPr>
      <w:r w:rsidRPr="0062582F">
        <w:br w:type="column"/>
        <w:t>Entities shall disclose reconciliation between the carrying amounts of investment property at the beginning and end of the period, showing the following:</w:t>
      </w:r>
    </w:p>
    <w:p w:rsidR="004843DB" w:rsidRPr="0062582F" w:rsidRDefault="004843DB" w:rsidP="004843DB">
      <w:pPr>
        <w:pStyle w:val="CommentaryTextIndent"/>
        <w:pBdr>
          <w:top w:val="none" w:sz="0" w:space="0" w:color="auto"/>
          <w:bottom w:val="none" w:sz="0" w:space="0" w:color="auto"/>
        </w:pBdr>
      </w:pPr>
      <w:r w:rsidRPr="0062582F">
        <w:t>(a)</w:t>
      </w:r>
      <w:r w:rsidRPr="0062582F">
        <w:tab/>
        <w:t>additions, disclosing separately those additions resulting from acquisitions and those resulting from subsequent expenditure recognised in the carrying amount of an asset;</w:t>
      </w:r>
    </w:p>
    <w:p w:rsidR="004843DB" w:rsidRPr="0062582F" w:rsidRDefault="004843DB" w:rsidP="004843DB">
      <w:pPr>
        <w:pStyle w:val="CommentaryTextIndent"/>
        <w:pBdr>
          <w:top w:val="none" w:sz="0" w:space="0" w:color="auto"/>
          <w:bottom w:val="none" w:sz="0" w:space="0" w:color="auto"/>
        </w:pBdr>
      </w:pPr>
      <w:r w:rsidRPr="0062582F">
        <w:t>(b)</w:t>
      </w:r>
      <w:r w:rsidRPr="0062582F">
        <w:tab/>
        <w:t>additions resulting from acquisitions through business combinations;</w:t>
      </w:r>
    </w:p>
    <w:p w:rsidR="004843DB" w:rsidRPr="0062582F" w:rsidRDefault="004843DB" w:rsidP="004843DB">
      <w:pPr>
        <w:pStyle w:val="CommentaryTextIndent"/>
        <w:pBdr>
          <w:top w:val="none" w:sz="0" w:space="0" w:color="auto"/>
          <w:bottom w:val="none" w:sz="0" w:space="0" w:color="auto"/>
        </w:pBdr>
      </w:pPr>
      <w:r w:rsidRPr="0062582F">
        <w:t>(c)</w:t>
      </w:r>
      <w:r w:rsidRPr="0062582F">
        <w:tab/>
        <w:t>assets classified as held for sale or included in a disposal group in accordance with AASB 5 and other disposals;</w:t>
      </w:r>
    </w:p>
    <w:p w:rsidR="004843DB" w:rsidRPr="0062582F" w:rsidRDefault="004843DB" w:rsidP="004843DB">
      <w:pPr>
        <w:pStyle w:val="CommentaryTextIndent"/>
        <w:pBdr>
          <w:top w:val="none" w:sz="0" w:space="0" w:color="auto"/>
          <w:bottom w:val="none" w:sz="0" w:space="0" w:color="auto"/>
        </w:pBdr>
      </w:pPr>
      <w:r w:rsidRPr="0062582F">
        <w:t>(d)</w:t>
      </w:r>
      <w:r w:rsidRPr="0062582F">
        <w:tab/>
        <w:t>net gains or losses from fair value adjustments;</w:t>
      </w:r>
    </w:p>
    <w:p w:rsidR="004843DB" w:rsidRPr="0062582F" w:rsidRDefault="004843DB" w:rsidP="004843DB">
      <w:pPr>
        <w:pStyle w:val="CommentaryTextIndent"/>
        <w:pBdr>
          <w:top w:val="none" w:sz="0" w:space="0" w:color="auto"/>
          <w:bottom w:val="none" w:sz="0" w:space="0" w:color="auto"/>
        </w:pBdr>
      </w:pPr>
      <w:r w:rsidRPr="0062582F">
        <w:t>(e)</w:t>
      </w:r>
      <w:r w:rsidRPr="0062582F">
        <w:tab/>
        <w:t>the net exchange differences arising on the translation of the financial statements into a different presentation currency, and on translation of a foreign operation into the presentation currency of the reporting entity;</w:t>
      </w:r>
    </w:p>
    <w:p w:rsidR="004843DB" w:rsidRPr="0062582F" w:rsidRDefault="004843DB" w:rsidP="004843DB">
      <w:pPr>
        <w:pStyle w:val="CommentaryTextIndent"/>
        <w:pBdr>
          <w:top w:val="none" w:sz="0" w:space="0" w:color="auto"/>
          <w:bottom w:val="none" w:sz="0" w:space="0" w:color="auto"/>
        </w:pBdr>
      </w:pPr>
      <w:r w:rsidRPr="0062582F">
        <w:t>(f)</w:t>
      </w:r>
      <w:r w:rsidRPr="0062582F">
        <w:tab/>
        <w:t>transfers to and from inventories and owner</w:t>
      </w:r>
      <w:r w:rsidR="005A4BB0">
        <w:noBreakHyphen/>
      </w:r>
      <w:r w:rsidRPr="0062582F">
        <w:t>occupied property; and</w:t>
      </w:r>
    </w:p>
    <w:p w:rsidR="004843DB" w:rsidRPr="0062582F" w:rsidRDefault="004843DB" w:rsidP="004843DB">
      <w:pPr>
        <w:pStyle w:val="CommentaryTextIndent"/>
        <w:pBdr>
          <w:top w:val="none" w:sz="0" w:space="0" w:color="auto"/>
          <w:bottom w:val="none" w:sz="0" w:space="0" w:color="auto"/>
        </w:pBdr>
      </w:pPr>
      <w:r w:rsidRPr="0062582F">
        <w:t>(g)</w:t>
      </w:r>
      <w:r w:rsidRPr="0062582F">
        <w:tab/>
        <w:t xml:space="preserve">other changes. </w:t>
      </w:r>
    </w:p>
    <w:p w:rsidR="004843DB" w:rsidRPr="0062582F" w:rsidRDefault="004843DB" w:rsidP="004843DB">
      <w:pPr>
        <w:pStyle w:val="CommentaryHeading1"/>
        <w:pBdr>
          <w:top w:val="none" w:sz="0" w:space="0" w:color="auto"/>
          <w:bottom w:val="none" w:sz="0" w:space="0" w:color="auto"/>
        </w:pBdr>
      </w:pPr>
      <w:r w:rsidRPr="0062582F">
        <w:t>Third balance sheet</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101.39</w:t>
      </w:r>
    </w:p>
    <w:p w:rsidR="004843DB" w:rsidRPr="0062582F" w:rsidRDefault="004843DB" w:rsidP="004843DB">
      <w:pPr>
        <w:pStyle w:val="CommentaryText"/>
        <w:pBdr>
          <w:top w:val="none" w:sz="0" w:space="0" w:color="auto"/>
        </w:pBdr>
      </w:pPr>
      <w:r w:rsidRPr="0062582F">
        <w:br w:type="column"/>
        <w:t xml:space="preserve">The investment properties note has been used in the supplementary information section of the Model to illustrate a third balance sheet required to correct an error from a previous year. The error occurred because the Department of Technology did not recognise an investment property. This was corrected by presenting a third balance sheet and restating the Note 19 </w:t>
      </w:r>
      <w:r w:rsidRPr="0062582F">
        <w:rPr>
          <w:i/>
        </w:rPr>
        <w:t>Investment properties</w:t>
      </w:r>
      <w:r w:rsidRPr="0062582F">
        <w:t xml:space="preserve">. Refer to </w:t>
      </w:r>
      <w:r w:rsidRPr="0062582F">
        <w:rPr>
          <w:iCs/>
        </w:rPr>
        <w:t>Note 8</w:t>
      </w:r>
      <w:r w:rsidRPr="0062582F">
        <w:t xml:space="preserve"> for sample disclosure.</w:t>
      </w:r>
    </w:p>
    <w:p w:rsidR="004843DB" w:rsidRPr="0062582F" w:rsidRDefault="004843DB" w:rsidP="004843DB"/>
    <w:p w:rsidR="004843DB" w:rsidRPr="0062582F" w:rsidRDefault="004843DB" w:rsidP="004843DB">
      <w:pPr>
        <w:pStyle w:val="ReferenceRed"/>
        <w:rPr>
          <w:rFonts w:ascii="Garamond" w:hAnsi="Garamond" w:cs="Times New Roman"/>
          <w:lang w:val="en-AU"/>
        </w:rPr>
      </w:pPr>
      <w:r w:rsidRPr="0062582F">
        <w:rPr>
          <w:rFonts w:ascii="Garamond" w:hAnsi="Garamond" w:cs="Times New Roman"/>
          <w:lang w:val="en-AU"/>
        </w:rPr>
        <w:br w:type="column"/>
      </w:r>
    </w:p>
    <w:p w:rsidR="004843DB" w:rsidRPr="0062582F" w:rsidRDefault="004843DB" w:rsidP="004843DB">
      <w:pPr>
        <w:pStyle w:val="NoteHeading"/>
      </w:pPr>
      <w:r w:rsidRPr="0062582F">
        <w:br w:type="column"/>
      </w:r>
      <w:bookmarkStart w:id="466" w:name="_Toc332019478"/>
      <w:bookmarkStart w:id="467" w:name="_Toc366843365"/>
      <w:bookmarkStart w:id="468" w:name="_Toc448157199"/>
      <w:r w:rsidRPr="0062582F">
        <w:t>Note 20.</w:t>
      </w:r>
      <w:r w:rsidRPr="0062582F">
        <w:tab/>
        <w:t>Intangible assets</w:t>
      </w:r>
      <w:bookmarkEnd w:id="466"/>
      <w:bookmarkEnd w:id="467"/>
      <w:bookmarkEnd w:id="468"/>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p>
    <w:p w:rsidR="004843DB" w:rsidRPr="0062582F" w:rsidRDefault="004843DB" w:rsidP="004843DB">
      <w:pPr>
        <w:pStyle w:val="ReferenceRed"/>
        <w:spacing w:before="40"/>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p>
    <w:p w:rsidR="004843DB" w:rsidRPr="0062582F" w:rsidRDefault="004843DB" w:rsidP="004843DB">
      <w:pPr>
        <w:pStyle w:val="Reference"/>
        <w:spacing w:before="180"/>
        <w:rPr>
          <w:lang w:val="en-AU"/>
        </w:rPr>
      </w:pPr>
      <w:r w:rsidRPr="0062582F">
        <w:rPr>
          <w:lang w:val="en-AU"/>
        </w:rPr>
        <w:t>AASB 138.118(c)</w:t>
      </w:r>
    </w:p>
    <w:p w:rsidR="004843DB" w:rsidRPr="0062582F" w:rsidRDefault="004843DB" w:rsidP="004843DB">
      <w:pPr>
        <w:pStyle w:val="Reference"/>
        <w:spacing w:before="60"/>
        <w:rPr>
          <w:rStyle w:val="SmallLineChar"/>
          <w:sz w:val="16"/>
          <w:szCs w:val="16"/>
        </w:rPr>
      </w:pPr>
      <w:r w:rsidRPr="0062582F">
        <w:t>AASB 138.118(e)(i)</w:t>
      </w:r>
    </w:p>
    <w:p w:rsidR="004843DB" w:rsidRPr="0062582F" w:rsidRDefault="004843DB" w:rsidP="004843DB">
      <w:pPr>
        <w:pStyle w:val="Reference"/>
        <w:spacing w:before="100"/>
        <w:rPr>
          <w:rStyle w:val="SmallLineChar"/>
          <w:sz w:val="16"/>
          <w:szCs w:val="16"/>
        </w:rPr>
      </w:pPr>
      <w:r w:rsidRPr="0062582F">
        <w:t>AASB 138.118(e)(i)</w:t>
      </w:r>
    </w:p>
    <w:p w:rsidR="004843DB" w:rsidRPr="0062582F" w:rsidRDefault="004843DB" w:rsidP="004843DB">
      <w:pPr>
        <w:pStyle w:val="Reference"/>
        <w:spacing w:before="80"/>
        <w:rPr>
          <w:rStyle w:val="SmallLineChar"/>
          <w:sz w:val="16"/>
          <w:szCs w:val="16"/>
        </w:rPr>
      </w:pPr>
      <w:r w:rsidRPr="0062582F">
        <w:t>AASB 138.118(e)(i)</w:t>
      </w:r>
    </w:p>
    <w:p w:rsidR="004843DB" w:rsidRPr="0062582F" w:rsidRDefault="004843DB" w:rsidP="004843DB">
      <w:pPr>
        <w:pStyle w:val="Reference"/>
        <w:spacing w:before="80"/>
      </w:pPr>
      <w:r w:rsidRPr="0062582F">
        <w:t>AASB 138.118(e)(ii)</w:t>
      </w:r>
    </w:p>
    <w:p w:rsidR="004843DB" w:rsidRPr="0062582F" w:rsidRDefault="004843DB" w:rsidP="004843DB">
      <w:pPr>
        <w:pStyle w:val="Reference"/>
        <w:spacing w:before="100"/>
      </w:pPr>
      <w:r w:rsidRPr="0062582F">
        <w:t>AASB 138.118(c)</w:t>
      </w:r>
    </w:p>
    <w:p w:rsidR="004843DB" w:rsidRPr="0062582F" w:rsidRDefault="004843DB" w:rsidP="004843DB">
      <w:pPr>
        <w:pStyle w:val="SmallLine"/>
      </w:pPr>
      <w:r w:rsidRPr="0062582F">
        <w:br/>
      </w:r>
    </w:p>
    <w:p w:rsidR="004843DB" w:rsidRPr="0062582F" w:rsidRDefault="004843DB" w:rsidP="004843DB">
      <w:pPr>
        <w:pStyle w:val="Reference"/>
        <w:spacing w:before="360"/>
        <w:rPr>
          <w:rStyle w:val="SmallLineChar"/>
          <w:sz w:val="16"/>
          <w:szCs w:val="16"/>
        </w:rPr>
      </w:pPr>
      <w:r w:rsidRPr="0062582F">
        <w:t>FRD 109</w:t>
      </w:r>
    </w:p>
    <w:p w:rsidR="004843DB" w:rsidRPr="0062582F" w:rsidRDefault="004843DB" w:rsidP="004843DB">
      <w:pPr>
        <w:pStyle w:val="Reference"/>
        <w:spacing w:before="240"/>
      </w:pPr>
      <w:r w:rsidRPr="0062582F">
        <w:t>AASB 138.118(c)</w:t>
      </w:r>
    </w:p>
    <w:p w:rsidR="004843DB" w:rsidRPr="0062582F" w:rsidRDefault="004843DB" w:rsidP="004843DB">
      <w:pPr>
        <w:pStyle w:val="Reference"/>
        <w:spacing w:before="240"/>
      </w:pPr>
      <w:r w:rsidRPr="0062582F">
        <w:t>AASB 138.118(e)(vi)</w:t>
      </w: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Reference"/>
        <w:spacing w:before="40"/>
        <w:rPr>
          <w:rStyle w:val="SmallLineChar"/>
          <w:sz w:val="16"/>
          <w:szCs w:val="16"/>
        </w:rPr>
      </w:pPr>
      <w:r w:rsidRPr="0062582F">
        <w:t>AASB 138.118(e)(i)</w:t>
      </w:r>
    </w:p>
    <w:p w:rsidR="004843DB" w:rsidRPr="0062582F" w:rsidRDefault="004843DB" w:rsidP="004843DB">
      <w:pPr>
        <w:pStyle w:val="Reference"/>
        <w:spacing w:before="80"/>
        <w:rPr>
          <w:rStyle w:val="SmallLineChar"/>
          <w:sz w:val="16"/>
          <w:szCs w:val="16"/>
        </w:rPr>
      </w:pPr>
      <w:r w:rsidRPr="0062582F">
        <w:t>AASB 138.118(e)(ii)</w:t>
      </w:r>
    </w:p>
    <w:p w:rsidR="004843DB" w:rsidRPr="0062582F" w:rsidRDefault="004843DB" w:rsidP="004843DB">
      <w:pPr>
        <w:pStyle w:val="Reference"/>
        <w:spacing w:before="100"/>
      </w:pPr>
      <w:r w:rsidRPr="0062582F">
        <w:t>AASB 138.118(e)(iv), 136.130(b)</w:t>
      </w:r>
    </w:p>
    <w:p w:rsidR="004843DB" w:rsidRPr="0062582F" w:rsidRDefault="004843DB" w:rsidP="004843DB">
      <w:pPr>
        <w:pStyle w:val="Reference"/>
        <w:spacing w:before="80"/>
      </w:pPr>
      <w:r w:rsidRPr="0062582F">
        <w:t>AASB 138.118(e)(v)</w:t>
      </w:r>
      <w:r>
        <w:br/>
        <w:t>136.130(b)</w:t>
      </w:r>
    </w:p>
    <w:p w:rsidR="004843DB" w:rsidRPr="0062582F" w:rsidRDefault="004843DB" w:rsidP="004843DB">
      <w:pPr>
        <w:pStyle w:val="Reference"/>
        <w:spacing w:before="120"/>
      </w:pPr>
      <w:r w:rsidRPr="0062582F">
        <w:t>AASB 138.118(c)</w:t>
      </w:r>
    </w:p>
    <w:p w:rsidR="004843DB" w:rsidRPr="0062582F" w:rsidRDefault="004843DB" w:rsidP="004843DB">
      <w:pPr>
        <w:pStyle w:val="million"/>
        <w:rPr>
          <w:rFonts w:ascii="Tahoma" w:hAnsi="Tahoma" w:cs="Tahoma"/>
          <w:sz w:val="20"/>
        </w:rPr>
      </w:pPr>
      <w:r w:rsidRPr="0062582F">
        <w:br w:type="column"/>
        <w:t>($ thousand)</w:t>
      </w:r>
    </w:p>
    <w:tbl>
      <w:tblPr>
        <w:tblW w:w="8203" w:type="dxa"/>
        <w:tblLayout w:type="fixed"/>
        <w:tblCellMar>
          <w:left w:w="43" w:type="dxa"/>
          <w:right w:w="43" w:type="dxa"/>
        </w:tblCellMar>
        <w:tblLook w:val="04A0" w:firstRow="1" w:lastRow="0" w:firstColumn="1" w:lastColumn="0" w:noHBand="0" w:noVBand="1"/>
      </w:tblPr>
      <w:tblGrid>
        <w:gridCol w:w="3373"/>
        <w:gridCol w:w="805"/>
        <w:gridCol w:w="805"/>
        <w:gridCol w:w="805"/>
        <w:gridCol w:w="805"/>
        <w:gridCol w:w="805"/>
        <w:gridCol w:w="805"/>
      </w:tblGrid>
      <w:tr w:rsidR="004843DB" w:rsidRPr="0062582F" w:rsidTr="004843DB">
        <w:trPr>
          <w:cantSplit/>
        </w:trPr>
        <w:tc>
          <w:tcPr>
            <w:tcW w:w="337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610"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Computer software</w:t>
            </w:r>
          </w:p>
        </w:tc>
        <w:tc>
          <w:tcPr>
            <w:tcW w:w="1610"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Other</w:t>
            </w:r>
          </w:p>
        </w:tc>
        <w:tc>
          <w:tcPr>
            <w:tcW w:w="1610"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Total</w:t>
            </w:r>
          </w:p>
        </w:tc>
      </w:tr>
      <w:tr w:rsidR="004843DB" w:rsidRPr="0062582F" w:rsidTr="004843DB">
        <w:trPr>
          <w:cantSplit/>
        </w:trPr>
        <w:tc>
          <w:tcPr>
            <w:tcW w:w="337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80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80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80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80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80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80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337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Gross carrying amount</w:t>
            </w:r>
          </w:p>
        </w:tc>
        <w:tc>
          <w:tcPr>
            <w:tcW w:w="805"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c>
          <w:tcPr>
            <w:tcW w:w="805"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c>
          <w:tcPr>
            <w:tcW w:w="805"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337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Opening balance</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10 295</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10 875</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10 295</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10 875</w:t>
            </w:r>
          </w:p>
        </w:tc>
      </w:tr>
      <w:tr w:rsidR="004843DB" w:rsidRPr="0062582F" w:rsidTr="004843DB">
        <w:trPr>
          <w:cantSplit/>
        </w:trPr>
        <w:tc>
          <w:tcPr>
            <w:tcW w:w="3373" w:type="dxa"/>
            <w:tcBorders>
              <w:top w:val="nil"/>
              <w:left w:val="nil"/>
              <w:bottom w:val="nil"/>
              <w:right w:val="nil"/>
            </w:tcBorders>
            <w:shd w:val="clear" w:color="auto" w:fill="auto"/>
            <w:hideMark/>
          </w:tcPr>
          <w:p w:rsidR="004843DB" w:rsidRPr="0062582F" w:rsidRDefault="004843DB" w:rsidP="004843DB">
            <w:pPr>
              <w:pStyle w:val="Tabletext"/>
            </w:pPr>
            <w:r w:rsidRPr="0062582F">
              <w:t>Additions</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2 655</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540</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2 655</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540</w:t>
            </w:r>
          </w:p>
        </w:tc>
      </w:tr>
      <w:tr w:rsidR="004843DB" w:rsidRPr="0062582F" w:rsidTr="004843DB">
        <w:trPr>
          <w:cantSplit/>
        </w:trPr>
        <w:tc>
          <w:tcPr>
            <w:tcW w:w="3373" w:type="dxa"/>
            <w:tcBorders>
              <w:top w:val="nil"/>
              <w:left w:val="nil"/>
              <w:bottom w:val="nil"/>
              <w:right w:val="nil"/>
            </w:tcBorders>
            <w:shd w:val="clear" w:color="auto" w:fill="auto"/>
            <w:hideMark/>
          </w:tcPr>
          <w:p w:rsidR="004843DB" w:rsidRPr="0062582F" w:rsidRDefault="004843DB" w:rsidP="004843DB">
            <w:pPr>
              <w:pStyle w:val="Tabletext"/>
            </w:pPr>
            <w:r w:rsidRPr="0062582F">
              <w:t>Additions from internal development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631</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150</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631</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150</w:t>
            </w:r>
          </w:p>
        </w:tc>
      </w:tr>
      <w:tr w:rsidR="004843DB" w:rsidRPr="0062582F" w:rsidTr="004843DB">
        <w:trPr>
          <w:cantSplit/>
        </w:trPr>
        <w:tc>
          <w:tcPr>
            <w:tcW w:w="3373" w:type="dxa"/>
            <w:tcBorders>
              <w:top w:val="nil"/>
              <w:left w:val="nil"/>
              <w:bottom w:val="nil"/>
              <w:right w:val="nil"/>
            </w:tcBorders>
            <w:shd w:val="clear" w:color="auto" w:fill="auto"/>
            <w:hideMark/>
          </w:tcPr>
          <w:p w:rsidR="004843DB" w:rsidRPr="0062582F" w:rsidRDefault="004843DB" w:rsidP="004843DB">
            <w:pPr>
              <w:pStyle w:val="Tabletext"/>
            </w:pPr>
            <w:r w:rsidRPr="0062582F">
              <w:t>Acquisitions from business combinations</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3 650</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3 650</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37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Disposals or classified as held for sale</w:t>
            </w:r>
          </w:p>
        </w:tc>
        <w:tc>
          <w:tcPr>
            <w:tcW w:w="80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(7 015)</w:t>
            </w:r>
          </w:p>
        </w:tc>
        <w:tc>
          <w:tcPr>
            <w:tcW w:w="80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(1 270)</w:t>
            </w:r>
          </w:p>
        </w:tc>
        <w:tc>
          <w:tcPr>
            <w:tcW w:w="80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80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80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(7 015)</w:t>
            </w:r>
          </w:p>
        </w:tc>
        <w:tc>
          <w:tcPr>
            <w:tcW w:w="80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(1 270)</w:t>
            </w:r>
          </w:p>
        </w:tc>
      </w:tr>
      <w:tr w:rsidR="004843DB" w:rsidRPr="0062582F" w:rsidTr="004843DB">
        <w:trPr>
          <w:cantSplit/>
        </w:trPr>
        <w:tc>
          <w:tcPr>
            <w:tcW w:w="337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Closing balance</w:t>
            </w:r>
          </w:p>
        </w:tc>
        <w:tc>
          <w:tcPr>
            <w:tcW w:w="805"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10 216</w:t>
            </w:r>
          </w:p>
        </w:tc>
        <w:tc>
          <w:tcPr>
            <w:tcW w:w="80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10 295</w:t>
            </w:r>
          </w:p>
        </w:tc>
        <w:tc>
          <w:tcPr>
            <w:tcW w:w="805"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80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805"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10 216</w:t>
            </w:r>
          </w:p>
        </w:tc>
        <w:tc>
          <w:tcPr>
            <w:tcW w:w="80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10 295</w:t>
            </w:r>
          </w:p>
        </w:tc>
      </w:tr>
      <w:tr w:rsidR="004843DB" w:rsidRPr="0062582F" w:rsidTr="004843DB">
        <w:trPr>
          <w:cantSplit/>
        </w:trPr>
        <w:tc>
          <w:tcPr>
            <w:tcW w:w="3373" w:type="dxa"/>
            <w:tcBorders>
              <w:top w:val="single" w:sz="12" w:space="0" w:color="auto"/>
              <w:left w:val="nil"/>
              <w:bottom w:val="nil"/>
              <w:right w:val="nil"/>
            </w:tcBorders>
            <w:shd w:val="clear" w:color="auto" w:fill="auto"/>
            <w:hideMark/>
          </w:tcPr>
          <w:p w:rsidR="004843DB" w:rsidRPr="0062582F" w:rsidRDefault="004843DB" w:rsidP="004843DB">
            <w:pPr>
              <w:pStyle w:val="Tabletext"/>
            </w:pPr>
          </w:p>
        </w:tc>
        <w:tc>
          <w:tcPr>
            <w:tcW w:w="805"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p>
        </w:tc>
        <w:tc>
          <w:tcPr>
            <w:tcW w:w="805"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p>
        </w:tc>
        <w:tc>
          <w:tcPr>
            <w:tcW w:w="805"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p>
        </w:tc>
        <w:tc>
          <w:tcPr>
            <w:tcW w:w="805"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p>
        </w:tc>
        <w:tc>
          <w:tcPr>
            <w:tcW w:w="805" w:type="dxa"/>
            <w:tcBorders>
              <w:top w:val="single" w:sz="12" w:space="0" w:color="auto"/>
              <w:left w:val="nil"/>
              <w:bottom w:val="nil"/>
              <w:right w:val="nil"/>
            </w:tcBorders>
            <w:shd w:val="clear" w:color="000000" w:fill="CCCCCC"/>
            <w:noWrap/>
            <w:hideMark/>
          </w:tcPr>
          <w:p w:rsidR="004843DB" w:rsidRPr="0062582F" w:rsidRDefault="004843DB" w:rsidP="004843DB">
            <w:pPr>
              <w:pStyle w:val="TableofFigures"/>
            </w:pPr>
          </w:p>
        </w:tc>
        <w:tc>
          <w:tcPr>
            <w:tcW w:w="805"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cantSplit/>
        </w:trPr>
        <w:tc>
          <w:tcPr>
            <w:tcW w:w="337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Accumulated depreciation, amortisation and impairment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rPr>
                <w:b/>
              </w:rPr>
            </w:pP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rPr>
                <w:b/>
              </w:rPr>
            </w:pP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rPr>
                <w:b/>
              </w:rPr>
            </w:pP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rPr>
                <w:b/>
              </w:rPr>
            </w:pPr>
          </w:p>
        </w:tc>
        <w:tc>
          <w:tcPr>
            <w:tcW w:w="805" w:type="dxa"/>
            <w:tcBorders>
              <w:top w:val="nil"/>
              <w:left w:val="nil"/>
              <w:bottom w:val="nil"/>
              <w:right w:val="nil"/>
            </w:tcBorders>
            <w:shd w:val="clear" w:color="000000" w:fill="CCCCCC"/>
            <w:noWrap/>
            <w:hideMark/>
          </w:tcPr>
          <w:p w:rsidR="004843DB" w:rsidRPr="0062582F" w:rsidRDefault="004843DB" w:rsidP="004843DB">
            <w:pPr>
              <w:pStyle w:val="TableofFigures"/>
              <w:rPr>
                <w:b/>
              </w:rPr>
            </w:pP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rPr>
                <w:b/>
              </w:rPr>
            </w:pPr>
          </w:p>
        </w:tc>
      </w:tr>
      <w:tr w:rsidR="004843DB" w:rsidRPr="0062582F" w:rsidTr="004843DB">
        <w:trPr>
          <w:cantSplit/>
        </w:trPr>
        <w:tc>
          <w:tcPr>
            <w:tcW w:w="3373" w:type="dxa"/>
            <w:tcBorders>
              <w:top w:val="nil"/>
              <w:left w:val="nil"/>
              <w:right w:val="nil"/>
            </w:tcBorders>
            <w:shd w:val="clear" w:color="auto" w:fill="auto"/>
            <w:hideMark/>
          </w:tcPr>
          <w:p w:rsidR="004843DB" w:rsidRPr="0062582F" w:rsidRDefault="004843DB" w:rsidP="004843DB">
            <w:pPr>
              <w:pStyle w:val="Tabletext"/>
              <w:rPr>
                <w:b/>
              </w:rPr>
            </w:pPr>
            <w:r w:rsidRPr="0062582F">
              <w:rPr>
                <w:b/>
              </w:rPr>
              <w:t>Opening balance</w:t>
            </w:r>
          </w:p>
        </w:tc>
        <w:tc>
          <w:tcPr>
            <w:tcW w:w="805" w:type="dxa"/>
            <w:tcBorders>
              <w:top w:val="nil"/>
              <w:left w:val="nil"/>
              <w:right w:val="nil"/>
            </w:tcBorders>
            <w:shd w:val="clear" w:color="00FFFF" w:fill="CCCCCC"/>
            <w:noWrap/>
            <w:hideMark/>
          </w:tcPr>
          <w:p w:rsidR="004843DB" w:rsidRPr="0062582F" w:rsidRDefault="004843DB" w:rsidP="004843DB">
            <w:pPr>
              <w:pStyle w:val="TableofFigures"/>
              <w:rPr>
                <w:b/>
              </w:rPr>
            </w:pPr>
            <w:r w:rsidRPr="0062582F">
              <w:rPr>
                <w:b/>
              </w:rPr>
              <w:t>(2 848)</w:t>
            </w:r>
          </w:p>
        </w:tc>
        <w:tc>
          <w:tcPr>
            <w:tcW w:w="805" w:type="dxa"/>
            <w:tcBorders>
              <w:top w:val="nil"/>
              <w:left w:val="nil"/>
              <w:right w:val="nil"/>
            </w:tcBorders>
            <w:shd w:val="clear" w:color="auto" w:fill="auto"/>
            <w:noWrap/>
            <w:hideMark/>
          </w:tcPr>
          <w:p w:rsidR="004843DB" w:rsidRPr="0062582F" w:rsidRDefault="004843DB" w:rsidP="004843DB">
            <w:pPr>
              <w:pStyle w:val="TableofFigures"/>
              <w:rPr>
                <w:b/>
              </w:rPr>
            </w:pPr>
            <w:r w:rsidRPr="0062582F">
              <w:rPr>
                <w:b/>
              </w:rPr>
              <w:t>(3 129)</w:t>
            </w:r>
          </w:p>
        </w:tc>
        <w:tc>
          <w:tcPr>
            <w:tcW w:w="805" w:type="dxa"/>
            <w:tcBorders>
              <w:top w:val="nil"/>
              <w:left w:val="nil"/>
              <w:right w:val="nil"/>
            </w:tcBorders>
            <w:shd w:val="clear" w:color="00FFFF" w:fill="CCCCCC"/>
            <w:noWrap/>
            <w:hideMark/>
          </w:tcPr>
          <w:p w:rsidR="004843DB" w:rsidRPr="0062582F" w:rsidRDefault="004843DB" w:rsidP="004843DB">
            <w:pPr>
              <w:pStyle w:val="TableofFigures"/>
              <w:rPr>
                <w:b/>
              </w:rPr>
            </w:pPr>
            <w:r w:rsidRPr="0062582F">
              <w:rPr>
                <w:b/>
              </w:rPr>
              <w:t>..</w:t>
            </w:r>
          </w:p>
        </w:tc>
        <w:tc>
          <w:tcPr>
            <w:tcW w:w="805" w:type="dxa"/>
            <w:tcBorders>
              <w:top w:val="nil"/>
              <w:left w:val="nil"/>
              <w:right w:val="nil"/>
            </w:tcBorders>
            <w:shd w:val="clear" w:color="auto" w:fill="auto"/>
            <w:noWrap/>
            <w:hideMark/>
          </w:tcPr>
          <w:p w:rsidR="004843DB" w:rsidRPr="0062582F" w:rsidRDefault="004843DB" w:rsidP="004843DB">
            <w:pPr>
              <w:pStyle w:val="TableofFigures"/>
              <w:rPr>
                <w:b/>
              </w:rPr>
            </w:pPr>
            <w:r w:rsidRPr="0062582F">
              <w:rPr>
                <w:b/>
              </w:rPr>
              <w:t>..</w:t>
            </w:r>
          </w:p>
        </w:tc>
        <w:tc>
          <w:tcPr>
            <w:tcW w:w="805" w:type="dxa"/>
            <w:tcBorders>
              <w:top w:val="nil"/>
              <w:left w:val="nil"/>
              <w:right w:val="nil"/>
            </w:tcBorders>
            <w:shd w:val="clear" w:color="00FFFF" w:fill="CCCCCC"/>
            <w:noWrap/>
            <w:hideMark/>
          </w:tcPr>
          <w:p w:rsidR="004843DB" w:rsidRPr="0062582F" w:rsidRDefault="004843DB" w:rsidP="004843DB">
            <w:pPr>
              <w:pStyle w:val="TableofFigures"/>
              <w:rPr>
                <w:b/>
              </w:rPr>
            </w:pPr>
            <w:r w:rsidRPr="0062582F">
              <w:rPr>
                <w:b/>
              </w:rPr>
              <w:t>(2 848)</w:t>
            </w:r>
          </w:p>
        </w:tc>
        <w:tc>
          <w:tcPr>
            <w:tcW w:w="805" w:type="dxa"/>
            <w:tcBorders>
              <w:top w:val="nil"/>
              <w:left w:val="nil"/>
              <w:right w:val="nil"/>
            </w:tcBorders>
            <w:shd w:val="clear" w:color="auto" w:fill="auto"/>
            <w:noWrap/>
            <w:hideMark/>
          </w:tcPr>
          <w:p w:rsidR="004843DB" w:rsidRPr="0062582F" w:rsidRDefault="004843DB" w:rsidP="004843DB">
            <w:pPr>
              <w:pStyle w:val="TableofFigures"/>
              <w:rPr>
                <w:b/>
              </w:rPr>
            </w:pPr>
            <w:r w:rsidRPr="0062582F">
              <w:rPr>
                <w:b/>
              </w:rPr>
              <w:t>(3 129)</w:t>
            </w:r>
          </w:p>
        </w:tc>
      </w:tr>
      <w:tr w:rsidR="004843DB" w:rsidRPr="0062582F" w:rsidTr="004843DB">
        <w:trPr>
          <w:cantSplit/>
        </w:trPr>
        <w:tc>
          <w:tcPr>
            <w:tcW w:w="3373" w:type="dxa"/>
            <w:shd w:val="clear" w:color="auto" w:fill="auto"/>
            <w:hideMark/>
          </w:tcPr>
          <w:p w:rsidR="004843DB" w:rsidRPr="0062582F" w:rsidRDefault="004843DB" w:rsidP="004843DB">
            <w:pPr>
              <w:pStyle w:val="Tabletext"/>
            </w:pPr>
            <w:r w:rsidRPr="0062582F">
              <w:t>Depreciation of intangible produced assets</w:t>
            </w:r>
            <w:r w:rsidRPr="0062582F">
              <w:rPr>
                <w:vertAlign w:val="superscript"/>
              </w:rPr>
              <w:t xml:space="preserve"> (i)</w:t>
            </w:r>
          </w:p>
        </w:tc>
        <w:tc>
          <w:tcPr>
            <w:tcW w:w="805" w:type="dxa"/>
            <w:shd w:val="clear" w:color="00FFFF" w:fill="CCCCCC"/>
            <w:noWrap/>
            <w:hideMark/>
          </w:tcPr>
          <w:p w:rsidR="004843DB" w:rsidRPr="0062582F" w:rsidRDefault="004843DB" w:rsidP="004843DB">
            <w:pPr>
              <w:pStyle w:val="TableofFigures"/>
            </w:pPr>
            <w:r w:rsidRPr="0062582F">
              <w:t>(1 471)</w:t>
            </w:r>
          </w:p>
        </w:tc>
        <w:tc>
          <w:tcPr>
            <w:tcW w:w="805" w:type="dxa"/>
            <w:shd w:val="clear" w:color="auto" w:fill="auto"/>
            <w:noWrap/>
            <w:hideMark/>
          </w:tcPr>
          <w:p w:rsidR="004843DB" w:rsidRPr="0062582F" w:rsidRDefault="004843DB" w:rsidP="004843DB">
            <w:pPr>
              <w:pStyle w:val="TableofFigures"/>
            </w:pPr>
            <w:r w:rsidRPr="0062582F">
              <w:t>(1 554)</w:t>
            </w:r>
          </w:p>
        </w:tc>
        <w:tc>
          <w:tcPr>
            <w:tcW w:w="805" w:type="dxa"/>
            <w:shd w:val="clear" w:color="00FFFF" w:fill="CCCCCC"/>
            <w:noWrap/>
            <w:hideMark/>
          </w:tcPr>
          <w:p w:rsidR="004843DB" w:rsidRPr="0062582F" w:rsidRDefault="004843DB" w:rsidP="004843DB">
            <w:pPr>
              <w:pStyle w:val="TableofFigures"/>
            </w:pPr>
            <w:r w:rsidRPr="0062582F">
              <w:t>..</w:t>
            </w:r>
          </w:p>
        </w:tc>
        <w:tc>
          <w:tcPr>
            <w:tcW w:w="805" w:type="dxa"/>
            <w:shd w:val="clear" w:color="auto" w:fill="auto"/>
            <w:noWrap/>
            <w:hideMark/>
          </w:tcPr>
          <w:p w:rsidR="004843DB" w:rsidRPr="0062582F" w:rsidRDefault="004843DB" w:rsidP="004843DB">
            <w:pPr>
              <w:pStyle w:val="TableofFigures"/>
            </w:pPr>
            <w:r w:rsidRPr="0062582F">
              <w:t>..</w:t>
            </w:r>
          </w:p>
        </w:tc>
        <w:tc>
          <w:tcPr>
            <w:tcW w:w="805" w:type="dxa"/>
            <w:shd w:val="clear" w:color="00FFFF" w:fill="CCCCCC"/>
            <w:noWrap/>
            <w:hideMark/>
          </w:tcPr>
          <w:p w:rsidR="004843DB" w:rsidRPr="0062582F" w:rsidRDefault="004843DB" w:rsidP="004843DB">
            <w:pPr>
              <w:pStyle w:val="TableofFigures"/>
            </w:pPr>
            <w:r w:rsidRPr="0062582F">
              <w:t>(1 471)</w:t>
            </w:r>
          </w:p>
        </w:tc>
        <w:tc>
          <w:tcPr>
            <w:tcW w:w="805" w:type="dxa"/>
            <w:shd w:val="clear" w:color="auto" w:fill="auto"/>
            <w:noWrap/>
            <w:hideMark/>
          </w:tcPr>
          <w:p w:rsidR="004843DB" w:rsidRPr="0062582F" w:rsidRDefault="004843DB" w:rsidP="004843DB">
            <w:pPr>
              <w:pStyle w:val="TableofFigures"/>
            </w:pPr>
            <w:r w:rsidRPr="0062582F">
              <w:t>(1 554)</w:t>
            </w:r>
          </w:p>
        </w:tc>
      </w:tr>
      <w:tr w:rsidR="004843DB" w:rsidRPr="0062582F" w:rsidTr="004843DB">
        <w:trPr>
          <w:cantSplit/>
        </w:trPr>
        <w:tc>
          <w:tcPr>
            <w:tcW w:w="3373" w:type="dxa"/>
            <w:shd w:val="clear" w:color="auto" w:fill="auto"/>
          </w:tcPr>
          <w:p w:rsidR="004843DB" w:rsidRPr="0062582F" w:rsidRDefault="004843DB" w:rsidP="004843DB">
            <w:pPr>
              <w:pStyle w:val="Tabletext"/>
            </w:pPr>
            <w:r w:rsidRPr="0062582F">
              <w:t>Amortisation of intangible non</w:t>
            </w:r>
            <w:r w:rsidR="005A4BB0">
              <w:noBreakHyphen/>
            </w:r>
            <w:r w:rsidRPr="0062582F">
              <w:t>produced assets</w:t>
            </w:r>
            <w:r w:rsidRPr="0062582F">
              <w:rPr>
                <w:vertAlign w:val="superscript"/>
              </w:rPr>
              <w:t xml:space="preserve"> (i)</w:t>
            </w:r>
          </w:p>
        </w:tc>
        <w:tc>
          <w:tcPr>
            <w:tcW w:w="805" w:type="dxa"/>
            <w:shd w:val="clear" w:color="00FFFF" w:fill="CCCCCC"/>
            <w:noWrap/>
          </w:tcPr>
          <w:p w:rsidR="004843DB" w:rsidRPr="0062582F" w:rsidRDefault="004843DB" w:rsidP="004843DB">
            <w:pPr>
              <w:pStyle w:val="TableofFigures"/>
            </w:pPr>
            <w:r w:rsidRPr="0062582F">
              <w:t>..</w:t>
            </w:r>
          </w:p>
        </w:tc>
        <w:tc>
          <w:tcPr>
            <w:tcW w:w="805" w:type="dxa"/>
            <w:shd w:val="clear" w:color="auto" w:fill="auto"/>
            <w:noWrap/>
          </w:tcPr>
          <w:p w:rsidR="004843DB" w:rsidRPr="0062582F" w:rsidRDefault="004843DB" w:rsidP="004843DB">
            <w:pPr>
              <w:pStyle w:val="TableofFigures"/>
            </w:pPr>
            <w:r w:rsidRPr="0062582F">
              <w:t>..</w:t>
            </w:r>
          </w:p>
        </w:tc>
        <w:tc>
          <w:tcPr>
            <w:tcW w:w="805" w:type="dxa"/>
            <w:shd w:val="clear" w:color="00FFFF" w:fill="CCCCCC"/>
            <w:noWrap/>
          </w:tcPr>
          <w:p w:rsidR="004843DB" w:rsidRPr="0062582F" w:rsidRDefault="004843DB" w:rsidP="004843DB">
            <w:pPr>
              <w:pStyle w:val="TableofFigures"/>
            </w:pPr>
            <w:r w:rsidRPr="0062582F">
              <w:t>..</w:t>
            </w:r>
          </w:p>
        </w:tc>
        <w:tc>
          <w:tcPr>
            <w:tcW w:w="805" w:type="dxa"/>
            <w:shd w:val="clear" w:color="auto" w:fill="auto"/>
            <w:noWrap/>
          </w:tcPr>
          <w:p w:rsidR="004843DB" w:rsidRPr="0062582F" w:rsidRDefault="004843DB" w:rsidP="004843DB">
            <w:pPr>
              <w:pStyle w:val="TableofFigures"/>
            </w:pPr>
            <w:r w:rsidRPr="0062582F">
              <w:t>..</w:t>
            </w:r>
          </w:p>
        </w:tc>
        <w:tc>
          <w:tcPr>
            <w:tcW w:w="805" w:type="dxa"/>
            <w:shd w:val="clear" w:color="00FFFF" w:fill="CCCCCC"/>
            <w:noWrap/>
          </w:tcPr>
          <w:p w:rsidR="004843DB" w:rsidRPr="0062582F" w:rsidRDefault="004843DB" w:rsidP="004843DB">
            <w:pPr>
              <w:pStyle w:val="TableofFigures"/>
            </w:pPr>
            <w:r w:rsidRPr="0062582F">
              <w:t>..</w:t>
            </w:r>
          </w:p>
        </w:tc>
        <w:tc>
          <w:tcPr>
            <w:tcW w:w="805" w:type="dxa"/>
            <w:shd w:val="clear" w:color="auto" w:fill="auto"/>
            <w:noWrap/>
          </w:tcPr>
          <w:p w:rsidR="004843DB" w:rsidRPr="0062582F" w:rsidRDefault="004843DB" w:rsidP="004843DB">
            <w:pPr>
              <w:pStyle w:val="TableofFigures"/>
            </w:pPr>
            <w:r w:rsidRPr="0062582F">
              <w:t>..</w:t>
            </w:r>
          </w:p>
        </w:tc>
      </w:tr>
      <w:tr w:rsidR="004843DB" w:rsidRPr="0062582F" w:rsidTr="004843DB">
        <w:trPr>
          <w:cantSplit/>
        </w:trPr>
        <w:tc>
          <w:tcPr>
            <w:tcW w:w="3373" w:type="dxa"/>
            <w:tcBorders>
              <w:left w:val="nil"/>
              <w:bottom w:val="nil"/>
              <w:right w:val="nil"/>
            </w:tcBorders>
            <w:shd w:val="clear" w:color="auto" w:fill="auto"/>
            <w:hideMark/>
          </w:tcPr>
          <w:p w:rsidR="004843DB" w:rsidRPr="0062582F" w:rsidRDefault="004843DB" w:rsidP="004843DB">
            <w:pPr>
              <w:pStyle w:val="Tabletext"/>
            </w:pPr>
            <w:r w:rsidRPr="0062582F">
              <w:t>Acquisitions from business combinations</w:t>
            </w:r>
          </w:p>
        </w:tc>
        <w:tc>
          <w:tcPr>
            <w:tcW w:w="805" w:type="dxa"/>
            <w:tcBorders>
              <w:left w:val="nil"/>
              <w:bottom w:val="nil"/>
              <w:right w:val="nil"/>
            </w:tcBorders>
            <w:shd w:val="clear" w:color="00FFFF" w:fill="CCCCCC"/>
            <w:noWrap/>
            <w:hideMark/>
          </w:tcPr>
          <w:p w:rsidR="004843DB" w:rsidRPr="0062582F" w:rsidRDefault="004843DB" w:rsidP="004843DB">
            <w:pPr>
              <w:pStyle w:val="TableofFigures"/>
            </w:pPr>
            <w:r w:rsidRPr="0062582F">
              <w:t>(1 288)</w:t>
            </w:r>
          </w:p>
        </w:tc>
        <w:tc>
          <w:tcPr>
            <w:tcW w:w="805" w:type="dxa"/>
            <w:tcBorders>
              <w:left w:val="nil"/>
              <w:bottom w:val="nil"/>
              <w:right w:val="nil"/>
            </w:tcBorders>
            <w:shd w:val="clear" w:color="auto" w:fill="auto"/>
            <w:noWrap/>
            <w:hideMark/>
          </w:tcPr>
          <w:p w:rsidR="004843DB" w:rsidRPr="0062582F" w:rsidRDefault="004843DB" w:rsidP="004843DB">
            <w:pPr>
              <w:pStyle w:val="TableofFigures"/>
            </w:pPr>
            <w:r w:rsidRPr="0062582F">
              <w:t>..</w:t>
            </w:r>
          </w:p>
        </w:tc>
        <w:tc>
          <w:tcPr>
            <w:tcW w:w="805" w:type="dxa"/>
            <w:tcBorders>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05" w:type="dxa"/>
            <w:tcBorders>
              <w:left w:val="nil"/>
              <w:bottom w:val="nil"/>
              <w:right w:val="nil"/>
            </w:tcBorders>
            <w:shd w:val="clear" w:color="auto" w:fill="auto"/>
            <w:noWrap/>
            <w:hideMark/>
          </w:tcPr>
          <w:p w:rsidR="004843DB" w:rsidRPr="0062582F" w:rsidRDefault="004843DB" w:rsidP="004843DB">
            <w:pPr>
              <w:pStyle w:val="TableofFigures"/>
            </w:pPr>
            <w:r w:rsidRPr="0062582F">
              <w:t>..</w:t>
            </w:r>
          </w:p>
        </w:tc>
        <w:tc>
          <w:tcPr>
            <w:tcW w:w="805" w:type="dxa"/>
            <w:tcBorders>
              <w:left w:val="nil"/>
              <w:bottom w:val="nil"/>
              <w:right w:val="nil"/>
            </w:tcBorders>
            <w:shd w:val="clear" w:color="00FFFF" w:fill="CCCCCC"/>
            <w:noWrap/>
            <w:hideMark/>
          </w:tcPr>
          <w:p w:rsidR="004843DB" w:rsidRPr="0062582F" w:rsidRDefault="004843DB" w:rsidP="004843DB">
            <w:pPr>
              <w:pStyle w:val="TableofFigures"/>
            </w:pPr>
            <w:r w:rsidRPr="0062582F">
              <w:t>(1 288)</w:t>
            </w:r>
          </w:p>
        </w:tc>
        <w:tc>
          <w:tcPr>
            <w:tcW w:w="805" w:type="dxa"/>
            <w:tcBorders>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373" w:type="dxa"/>
            <w:tcBorders>
              <w:top w:val="nil"/>
              <w:left w:val="nil"/>
              <w:bottom w:val="nil"/>
              <w:right w:val="nil"/>
            </w:tcBorders>
            <w:shd w:val="clear" w:color="auto" w:fill="auto"/>
            <w:hideMark/>
          </w:tcPr>
          <w:p w:rsidR="004843DB" w:rsidRPr="0062582F" w:rsidRDefault="004843DB" w:rsidP="004843DB">
            <w:pPr>
              <w:pStyle w:val="Tabletext"/>
            </w:pPr>
            <w:r w:rsidRPr="0062582F">
              <w:t>Disposals or classified as held for sale</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3 375</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1 250</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3 375</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1 250</w:t>
            </w:r>
          </w:p>
        </w:tc>
      </w:tr>
      <w:tr w:rsidR="004843DB" w:rsidRPr="0062582F" w:rsidTr="004843DB">
        <w:trPr>
          <w:cantSplit/>
        </w:trPr>
        <w:tc>
          <w:tcPr>
            <w:tcW w:w="337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Impairment losses charged to net </w:t>
            </w:r>
            <w:r w:rsidRPr="0062582F">
              <w:br/>
              <w:t>result</w:t>
            </w:r>
            <w:r w:rsidRPr="0062582F">
              <w:rPr>
                <w:vertAlign w:val="superscript"/>
              </w:rPr>
              <w:t xml:space="preserve"> </w:t>
            </w:r>
            <w:r w:rsidRPr="0062582F">
              <w:rPr>
                <w:rFonts w:ascii="Arial" w:hAnsi="Arial"/>
                <w:vertAlign w:val="superscript"/>
              </w:rPr>
              <w:t>(ii)</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(2 010)</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(2 010)</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373" w:type="dxa"/>
            <w:tcBorders>
              <w:top w:val="nil"/>
              <w:left w:val="nil"/>
              <w:bottom w:val="nil"/>
              <w:right w:val="nil"/>
            </w:tcBorders>
            <w:shd w:val="clear" w:color="auto" w:fill="auto"/>
            <w:hideMark/>
          </w:tcPr>
          <w:p w:rsidR="004843DB" w:rsidRPr="0062582F" w:rsidRDefault="004843DB" w:rsidP="004843DB">
            <w:pPr>
              <w:pStyle w:val="Tabletext"/>
            </w:pPr>
            <w:r w:rsidRPr="0062582F">
              <w:t>Reversals of impairment losses charged to net result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585</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0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585</w:t>
            </w:r>
          </w:p>
        </w:tc>
      </w:tr>
      <w:tr w:rsidR="004843DB" w:rsidRPr="0062582F" w:rsidTr="004843DB">
        <w:trPr>
          <w:cantSplit/>
        </w:trPr>
        <w:tc>
          <w:tcPr>
            <w:tcW w:w="337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Closing balance</w:t>
            </w:r>
          </w:p>
        </w:tc>
        <w:tc>
          <w:tcPr>
            <w:tcW w:w="80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(4 242)</w:t>
            </w:r>
          </w:p>
        </w:tc>
        <w:tc>
          <w:tcPr>
            <w:tcW w:w="80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(2 848)</w:t>
            </w:r>
          </w:p>
        </w:tc>
        <w:tc>
          <w:tcPr>
            <w:tcW w:w="80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80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80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(4 242)</w:t>
            </w:r>
          </w:p>
        </w:tc>
        <w:tc>
          <w:tcPr>
            <w:tcW w:w="80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(2 848)</w:t>
            </w:r>
          </w:p>
        </w:tc>
      </w:tr>
      <w:tr w:rsidR="004843DB" w:rsidRPr="0062582F" w:rsidTr="004843DB">
        <w:trPr>
          <w:cantSplit/>
        </w:trPr>
        <w:tc>
          <w:tcPr>
            <w:tcW w:w="337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Net book value at end of financial year</w:t>
            </w:r>
          </w:p>
        </w:tc>
        <w:tc>
          <w:tcPr>
            <w:tcW w:w="805"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5 974</w:t>
            </w:r>
          </w:p>
        </w:tc>
        <w:tc>
          <w:tcPr>
            <w:tcW w:w="80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7 447</w:t>
            </w:r>
          </w:p>
        </w:tc>
        <w:tc>
          <w:tcPr>
            <w:tcW w:w="805"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w:t>
            </w:r>
          </w:p>
        </w:tc>
        <w:tc>
          <w:tcPr>
            <w:tcW w:w="80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805"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rPr>
            </w:pPr>
            <w:r w:rsidRPr="0062582F">
              <w:rPr>
                <w:b/>
              </w:rPr>
              <w:t>5 974</w:t>
            </w:r>
          </w:p>
        </w:tc>
        <w:tc>
          <w:tcPr>
            <w:tcW w:w="80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7 447</w:t>
            </w:r>
          </w:p>
        </w:tc>
      </w:tr>
    </w:tbl>
    <w:p w:rsidR="004843DB" w:rsidRPr="0062582F" w:rsidRDefault="004843DB" w:rsidP="004843DB">
      <w:pPr>
        <w:pStyle w:val="Notes"/>
        <w:ind w:left="0" w:firstLine="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s"/>
        <w:ind w:left="0" w:firstLine="0"/>
      </w:pPr>
      <w:r w:rsidRPr="0062582F">
        <w:br w:type="column"/>
        <w:t>Notes:</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t>AASB 138.118(d)</w:t>
      </w:r>
    </w:p>
    <w:p w:rsidR="004843DB" w:rsidRPr="0062582F" w:rsidRDefault="004843DB" w:rsidP="004843DB">
      <w:pPr>
        <w:pStyle w:val="Notes"/>
      </w:pPr>
      <w:r w:rsidRPr="0062582F">
        <w:br w:type="column"/>
        <w:t>(i)</w:t>
      </w:r>
      <w:r w:rsidRPr="0062582F">
        <w:tab/>
        <w:t xml:space="preserve">The consumption of intangible produced assets is included in </w:t>
      </w:r>
      <w:r w:rsidR="005A4BB0">
        <w:t>‘</w:t>
      </w:r>
      <w:r w:rsidRPr="0062582F">
        <w:t>depreciation</w:t>
      </w:r>
      <w:r w:rsidR="005A4BB0">
        <w:t>’</w:t>
      </w:r>
      <w:r w:rsidRPr="0062582F">
        <w:t xml:space="preserve"> line item, where the consumption of the intangible non</w:t>
      </w:r>
      <w:r w:rsidR="005A4BB0">
        <w:noBreakHyphen/>
      </w:r>
      <w:r w:rsidRPr="0062582F">
        <w:t xml:space="preserve">produced assets is included in </w:t>
      </w:r>
      <w:r w:rsidR="005A4BB0">
        <w:t>‘</w:t>
      </w:r>
      <w:r w:rsidRPr="0062582F">
        <w:t>net gain/(loss) on non</w:t>
      </w:r>
      <w:r w:rsidR="005A4BB0">
        <w:noBreakHyphen/>
      </w:r>
      <w:r w:rsidRPr="0062582F">
        <w:t>financial assets</w:t>
      </w:r>
      <w:r w:rsidR="005A4BB0">
        <w:t>’</w:t>
      </w:r>
      <w:r w:rsidRPr="0062582F">
        <w:t xml:space="preserve"> line item on the comprehensive operating statement.</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t>AASB 136.126(a), 130(a), 130(e)</w:t>
      </w:r>
      <w:r w:rsidR="005A4BB0">
        <w:noBreakHyphen/>
      </w:r>
      <w:r w:rsidRPr="0062582F">
        <w:t>(f)</w:t>
      </w:r>
    </w:p>
    <w:p w:rsidR="004843DB" w:rsidRPr="0062582F" w:rsidRDefault="004843DB" w:rsidP="004843DB">
      <w:pPr>
        <w:pStyle w:val="Notes"/>
      </w:pPr>
      <w:r w:rsidRPr="0062582F">
        <w:br w:type="column"/>
        <w:t>(ii)</w:t>
      </w:r>
      <w:r w:rsidRPr="0062582F">
        <w:tab/>
        <w:t xml:space="preserve">Impairment losses are included in the line item </w:t>
      </w:r>
      <w:r w:rsidR="005A4BB0">
        <w:t>‘</w:t>
      </w:r>
      <w:r w:rsidRPr="0062582F">
        <w:t>net gain/(loss) on non</w:t>
      </w:r>
      <w:r w:rsidR="005A4BB0">
        <w:noBreakHyphen/>
      </w:r>
      <w:r w:rsidRPr="0062582F">
        <w:t>financial assets</w:t>
      </w:r>
      <w:r w:rsidR="005A4BB0">
        <w:t>’</w:t>
      </w:r>
      <w:r w:rsidRPr="0062582F">
        <w:t xml:space="preserve"> in the comprehensive operating statement. Due to the development of the Series Z software as discussed below, it was determined that the existing software will be phased out over the next year and as such, an impairment loss was recognised for the period based on its recoverable amount which was determined on fair value less costs to sell using market prices.</w:t>
      </w:r>
    </w:p>
    <w:p w:rsidR="004843DB" w:rsidRPr="0062582F" w:rsidRDefault="004843DB" w:rsidP="004843DB"/>
    <w:p w:rsidR="004843DB" w:rsidRPr="0062582F" w:rsidRDefault="004843DB" w:rsidP="004843DB">
      <w:pPr>
        <w:pStyle w:val="Heading4"/>
      </w:pPr>
      <w:r w:rsidRPr="0062582F">
        <w:t>Significant intangible assets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138.118(a), 122(b)</w:t>
      </w:r>
    </w:p>
    <w:p w:rsidR="004843DB" w:rsidRPr="0062582F" w:rsidRDefault="004843DB" w:rsidP="004843DB">
      <w:r w:rsidRPr="0062582F">
        <w:br w:type="column"/>
        <w:t>The Department has capitalised software development expenditure for the development of its Series Z technology software. The carrying amount of the capitalised software development expenditure is $5.97 million (2015: $7.45 million). Its useful life is five years and will be fully amortised in 2016.</w:t>
      </w:r>
    </w:p>
    <w:p w:rsidR="004843DB" w:rsidRPr="0062582F" w:rsidRDefault="004843DB" w:rsidP="004843DB">
      <w:pPr>
        <w:pStyle w:val="Reference"/>
        <w:spacing w:before="240"/>
        <w:rPr>
          <w:rFonts w:ascii="Garamond" w:hAnsi="Garamond" w:cs="Times New Roman"/>
          <w:lang w:val="en-AU"/>
        </w:rPr>
      </w:pPr>
      <w:r w:rsidRPr="0062582F">
        <w:rPr>
          <w:rFonts w:ascii="Garamond" w:hAnsi="Garamond" w:cs="Times New Roman"/>
          <w:lang w:val="en-AU"/>
        </w:rPr>
        <w:br w:type="column"/>
      </w: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Commentary – Intangible assets</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top w:val="none" w:sz="0" w:space="0" w:color="auto"/>
          <w:bottom w:val="none" w:sz="0" w:space="0" w:color="auto"/>
        </w:pBdr>
      </w:pPr>
      <w:r w:rsidRPr="0062582F">
        <w:t>Disclosure of amortisation</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138.118(d)</w:t>
      </w:r>
    </w:p>
    <w:p w:rsidR="004843DB" w:rsidRPr="0062582F" w:rsidRDefault="004843DB" w:rsidP="004843DB">
      <w:pPr>
        <w:pStyle w:val="CommentaryText"/>
        <w:pBdr>
          <w:top w:val="none" w:sz="0" w:space="0" w:color="auto"/>
          <w:bottom w:val="none" w:sz="0" w:space="0" w:color="auto"/>
        </w:pBdr>
      </w:pPr>
      <w:r w:rsidRPr="0062582F">
        <w:br w:type="column"/>
        <w:t xml:space="preserve">An entity shall disclose the line item(s) of the comprehensive operating statement in which any amortisation of intangible assets is included. </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138.122(b)</w:t>
      </w:r>
    </w:p>
    <w:p w:rsidR="004843DB" w:rsidRPr="0062582F" w:rsidRDefault="004843DB" w:rsidP="004843DB">
      <w:pPr>
        <w:pStyle w:val="CommentaryText"/>
        <w:pBdr>
          <w:top w:val="none" w:sz="0" w:space="0" w:color="auto"/>
          <w:bottom w:val="none" w:sz="0" w:space="0" w:color="auto"/>
        </w:pBdr>
      </w:pPr>
      <w:r w:rsidRPr="0062582F">
        <w:br w:type="column"/>
        <w:t xml:space="preserve">An entity shall also disclose a description, the carrying amount and remaining amortisation period of any individual intangible asset that is material to the financial statements. </w:t>
      </w:r>
    </w:p>
    <w:p w:rsidR="004843DB" w:rsidRPr="0062582F" w:rsidRDefault="004843DB" w:rsidP="004843DB">
      <w:pPr>
        <w:pStyle w:val="CommentaryHeading1"/>
        <w:pBdr>
          <w:top w:val="none" w:sz="0" w:space="0" w:color="auto"/>
          <w:bottom w:val="none" w:sz="0" w:space="0" w:color="auto"/>
        </w:pBdr>
      </w:pPr>
      <w:r w:rsidRPr="0062582F">
        <w:t>Additional disclosures for indefinite life intangible assets</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138.122(a)</w:t>
      </w:r>
    </w:p>
    <w:p w:rsidR="004843DB" w:rsidRPr="0062582F" w:rsidRDefault="004843DB" w:rsidP="004843DB">
      <w:pPr>
        <w:pStyle w:val="CommentaryText"/>
        <w:pBdr>
          <w:top w:val="none" w:sz="0" w:space="0" w:color="auto"/>
          <w:bottom w:val="none" w:sz="0" w:space="0" w:color="auto"/>
        </w:pBdr>
      </w:pPr>
      <w:r w:rsidRPr="0062582F">
        <w:br w:type="column"/>
        <w:t>An entity shall disclose, for an intangible asset assessed as having an indefinite useful life, the carrying amount of that asset and the reasons supporting the assessment of an indefinite useful life. In giving these reasons, the entity shall describe the factor(s) that played a significant role in determining that the asset has an indefinite useful life.</w:t>
      </w:r>
    </w:p>
    <w:p w:rsidR="004843DB" w:rsidRPr="0062582F" w:rsidRDefault="004843DB" w:rsidP="004843DB">
      <w:pPr>
        <w:pStyle w:val="CommentaryHeading1"/>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138.120</w:t>
      </w:r>
    </w:p>
    <w:p w:rsidR="004843DB" w:rsidRPr="0062582F" w:rsidRDefault="004843DB" w:rsidP="004843DB">
      <w:pPr>
        <w:pStyle w:val="CommentaryHeading1"/>
        <w:pBdr>
          <w:top w:val="none" w:sz="0" w:space="0" w:color="auto"/>
          <w:bottom w:val="none" w:sz="0" w:space="0" w:color="auto"/>
        </w:pBdr>
      </w:pPr>
      <w:r w:rsidRPr="0062582F">
        <w:br w:type="column"/>
        <w:t>Additional disclosures for intangible assets acquired by way of a government grant and initially recognised at fair value</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138.122(c)</w:t>
      </w:r>
    </w:p>
    <w:p w:rsidR="004843DB" w:rsidRPr="0062582F" w:rsidRDefault="004843DB" w:rsidP="004843DB">
      <w:pPr>
        <w:pStyle w:val="CommentaryText"/>
        <w:pBdr>
          <w:top w:val="none" w:sz="0" w:space="0" w:color="auto"/>
          <w:bottom w:val="none" w:sz="0" w:space="0" w:color="auto"/>
        </w:pBdr>
      </w:pPr>
      <w:r w:rsidRPr="0062582F">
        <w:br w:type="column"/>
        <w:t xml:space="preserve">For intangible assets acquired by way of a government grant and initially recognised at fair value, an entity shall disclose: </w:t>
      </w:r>
    </w:p>
    <w:p w:rsidR="004843DB" w:rsidRPr="0062582F" w:rsidRDefault="004843DB" w:rsidP="004843DB">
      <w:pPr>
        <w:pStyle w:val="CommentaryTextIndent"/>
        <w:pBdr>
          <w:top w:val="none" w:sz="0" w:space="0" w:color="auto"/>
          <w:bottom w:val="none" w:sz="0" w:space="0" w:color="auto"/>
        </w:pBdr>
      </w:pPr>
      <w:r w:rsidRPr="0062582F">
        <w:t>(a)</w:t>
      </w:r>
      <w:r w:rsidRPr="0062582F">
        <w:tab/>
        <w:t>the fair value initially recognised for these assets;</w:t>
      </w:r>
    </w:p>
    <w:p w:rsidR="004843DB" w:rsidRPr="0062582F" w:rsidRDefault="004843DB" w:rsidP="004843DB">
      <w:pPr>
        <w:pStyle w:val="CommentaryTextIndent"/>
        <w:pBdr>
          <w:top w:val="none" w:sz="0" w:space="0" w:color="auto"/>
          <w:bottom w:val="none" w:sz="0" w:space="0" w:color="auto"/>
        </w:pBdr>
      </w:pPr>
      <w:r w:rsidRPr="0062582F">
        <w:t>(b)</w:t>
      </w:r>
      <w:r w:rsidRPr="0062582F">
        <w:tab/>
        <w:t>their carrying amount; and</w:t>
      </w:r>
    </w:p>
    <w:p w:rsidR="004843DB" w:rsidRPr="0062582F" w:rsidRDefault="004843DB" w:rsidP="004843DB">
      <w:pPr>
        <w:pStyle w:val="CommentaryTextIndent"/>
        <w:pBdr>
          <w:top w:val="none" w:sz="0" w:space="0" w:color="auto"/>
          <w:bottom w:val="none" w:sz="0" w:space="0" w:color="auto"/>
        </w:pBdr>
      </w:pPr>
      <w:r w:rsidRPr="0062582F">
        <w:t>(c)</w:t>
      </w:r>
      <w:r w:rsidRPr="0062582F">
        <w:tab/>
        <w:t>whether they are measured after recognition under the cost model or the revaluation model.</w:t>
      </w:r>
    </w:p>
    <w:p w:rsidR="004843DB" w:rsidRPr="0062582F" w:rsidRDefault="004843DB" w:rsidP="004843DB">
      <w:pPr>
        <w:pStyle w:val="CommentaryHeading1"/>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138.122(d)</w:t>
      </w:r>
    </w:p>
    <w:p w:rsidR="004843DB" w:rsidRPr="0062582F" w:rsidRDefault="004843DB" w:rsidP="004843DB">
      <w:pPr>
        <w:pStyle w:val="CommentaryHeading1"/>
        <w:pBdr>
          <w:top w:val="none" w:sz="0" w:space="0" w:color="auto"/>
          <w:bottom w:val="none" w:sz="0" w:space="0" w:color="auto"/>
        </w:pBdr>
      </w:pPr>
      <w:r w:rsidRPr="0062582F">
        <w:br w:type="column"/>
        <w:t>Additional disclosures for intangible assets whose title is restricted</w:t>
      </w:r>
    </w:p>
    <w:p w:rsidR="004843DB" w:rsidRPr="0062582F" w:rsidRDefault="004843DB" w:rsidP="004843DB">
      <w:pPr>
        <w:pStyle w:val="CommentaryText"/>
        <w:pBdr>
          <w:top w:val="none" w:sz="0" w:space="0" w:color="auto"/>
          <w:bottom w:val="none" w:sz="0" w:space="0" w:color="auto"/>
        </w:pBdr>
      </w:pPr>
      <w:r w:rsidRPr="0062582F">
        <w:t>The entity is required to disclose the existence and carrying amounts of intangible assets whose title is restricted.</w:t>
      </w:r>
    </w:p>
    <w:p w:rsidR="004843DB" w:rsidRPr="0062582F" w:rsidRDefault="004843DB" w:rsidP="004843DB">
      <w:pPr>
        <w:pStyle w:val="CommentaryHeading1"/>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138.122(d)</w:t>
      </w:r>
    </w:p>
    <w:p w:rsidR="004843DB" w:rsidRPr="0062582F" w:rsidRDefault="004843DB" w:rsidP="004843DB">
      <w:pPr>
        <w:pStyle w:val="CommentaryHeading1"/>
        <w:pBdr>
          <w:top w:val="none" w:sz="0" w:space="0" w:color="auto"/>
          <w:bottom w:val="none" w:sz="0" w:space="0" w:color="auto"/>
        </w:pBdr>
      </w:pPr>
      <w:r w:rsidRPr="0062582F">
        <w:br w:type="column"/>
        <w:t>Additional disclosures for intangible assets pledged as security for liabilities</w:t>
      </w:r>
    </w:p>
    <w:p w:rsidR="004843DB" w:rsidRPr="0062582F" w:rsidRDefault="004843DB" w:rsidP="004843DB">
      <w:pPr>
        <w:pStyle w:val="CommentaryText"/>
        <w:pBdr>
          <w:top w:val="none" w:sz="0" w:space="0" w:color="auto"/>
          <w:bottom w:val="none" w:sz="0" w:space="0" w:color="auto"/>
        </w:pBdr>
      </w:pPr>
      <w:r w:rsidRPr="0062582F">
        <w:t>The entity is required to disclose the carrying amounts of intangible assets pledged as security for liabilities.</w:t>
      </w:r>
    </w:p>
    <w:p w:rsidR="004843DB" w:rsidRPr="0062582F" w:rsidRDefault="004843DB" w:rsidP="004843DB">
      <w:pPr>
        <w:pStyle w:val="CommentaryHeading1"/>
        <w:pBdr>
          <w:top w:val="none" w:sz="0" w:space="0" w:color="auto"/>
          <w:bottom w:val="none" w:sz="0" w:space="0" w:color="auto"/>
        </w:pBdr>
      </w:pPr>
      <w:r w:rsidRPr="0062582F">
        <w:t>Additional disclosures for commitments to acquire intangibles</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rPr>
          <w:lang w:val="en-AU"/>
        </w:rPr>
        <w:t>AASB 138.122(e)</w:t>
      </w:r>
    </w:p>
    <w:p w:rsidR="004843DB" w:rsidRPr="0062582F" w:rsidRDefault="004843DB" w:rsidP="004843DB">
      <w:pPr>
        <w:pStyle w:val="CommentaryText"/>
        <w:pBdr>
          <w:top w:val="none" w:sz="0" w:space="0" w:color="auto"/>
          <w:bottom w:val="none" w:sz="0" w:space="0" w:color="auto"/>
        </w:pBdr>
      </w:pPr>
      <w:r w:rsidRPr="0062582F">
        <w:br w:type="column"/>
        <w:t>The entity shall disclose the amount of contractual commitments for the acquisition of intangible assets.</w:t>
      </w:r>
    </w:p>
    <w:p w:rsidR="004843DB" w:rsidRPr="0062582F" w:rsidRDefault="004843DB" w:rsidP="004843DB">
      <w:pPr>
        <w:pStyle w:val="CommentaryHeading1"/>
        <w:pBdr>
          <w:top w:val="none" w:sz="0" w:space="0" w:color="auto"/>
          <w:bottom w:val="none" w:sz="0" w:space="0" w:color="auto"/>
        </w:pBdr>
      </w:pPr>
      <w:r w:rsidRPr="0062582F">
        <w:t>Other information</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138.128</w:t>
      </w:r>
    </w:p>
    <w:p w:rsidR="004843DB" w:rsidRPr="0062582F" w:rsidRDefault="004843DB" w:rsidP="004843DB">
      <w:pPr>
        <w:pStyle w:val="CommentaryText"/>
        <w:pBdr>
          <w:top w:val="none" w:sz="0" w:space="0" w:color="auto"/>
          <w:bottom w:val="none" w:sz="0" w:space="0" w:color="auto"/>
        </w:pBdr>
      </w:pPr>
      <w:r w:rsidRPr="0062582F">
        <w:br w:type="column"/>
        <w:t>An entity is encouraged, but not required, to disclose the following information:</w:t>
      </w:r>
    </w:p>
    <w:p w:rsidR="004843DB" w:rsidRPr="0062582F" w:rsidRDefault="004843DB" w:rsidP="004843DB">
      <w:pPr>
        <w:pStyle w:val="CommentaryTextIndent"/>
        <w:pBdr>
          <w:top w:val="none" w:sz="0" w:space="0" w:color="auto"/>
          <w:bottom w:val="none" w:sz="0" w:space="0" w:color="auto"/>
        </w:pBdr>
      </w:pPr>
      <w:r w:rsidRPr="0062582F">
        <w:t>(a)</w:t>
      </w:r>
      <w:r w:rsidRPr="0062582F">
        <w:tab/>
        <w:t>a description of any fully amortised intangible asset that is still in use; and</w:t>
      </w:r>
    </w:p>
    <w:p w:rsidR="004843DB" w:rsidRPr="0062582F" w:rsidRDefault="004843DB" w:rsidP="004843DB">
      <w:pPr>
        <w:pStyle w:val="CommentaryTextIndent"/>
        <w:pBdr>
          <w:top w:val="none" w:sz="0" w:space="0" w:color="auto"/>
          <w:bottom w:val="none" w:sz="0" w:space="0" w:color="auto"/>
        </w:pBdr>
      </w:pPr>
      <w:r w:rsidRPr="0062582F">
        <w:t>(b)</w:t>
      </w:r>
      <w:r w:rsidRPr="0062582F">
        <w:tab/>
        <w:t>a brief description of significant intangible assets controlled by the entity but not recognised as assets because they did not meet the recognition criteria in AASB 138.</w:t>
      </w:r>
    </w:p>
    <w:p w:rsidR="004843DB" w:rsidRPr="0062582F" w:rsidRDefault="004843DB" w:rsidP="004843DB">
      <w:pPr>
        <w:pStyle w:val="CommentaryHeading1"/>
        <w:pBdr>
          <w:top w:val="none" w:sz="0" w:space="0" w:color="auto"/>
          <w:bottom w:val="none" w:sz="0" w:space="0" w:color="auto"/>
        </w:pBdr>
      </w:pPr>
      <w:r w:rsidRPr="0062582F">
        <w:t>Intangible assets revalued using the revaluation model</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138.124</w:t>
      </w:r>
    </w:p>
    <w:p w:rsidR="004843DB" w:rsidRPr="0062582F" w:rsidRDefault="004843DB" w:rsidP="004843DB">
      <w:pPr>
        <w:pStyle w:val="CommentaryText"/>
        <w:pBdr>
          <w:top w:val="none" w:sz="0" w:space="0" w:color="auto"/>
        </w:pBdr>
      </w:pPr>
      <w:r w:rsidRPr="0062582F">
        <w:br w:type="column"/>
        <w:t>If intangible assets are accounted for at revalued amounts, an entity shall disclose the following:</w:t>
      </w:r>
    </w:p>
    <w:p w:rsidR="004843DB" w:rsidRPr="0062582F" w:rsidRDefault="004843DB" w:rsidP="004843DB">
      <w:pPr>
        <w:pStyle w:val="CommentaryTextIndent"/>
        <w:pBdr>
          <w:top w:val="none" w:sz="0" w:space="0" w:color="auto"/>
        </w:pBdr>
      </w:pPr>
      <w:r w:rsidRPr="0062582F">
        <w:t>(a)</w:t>
      </w:r>
      <w:r w:rsidRPr="0062582F">
        <w:tab/>
        <w:t xml:space="preserve">by class of intangible assets: </w:t>
      </w:r>
    </w:p>
    <w:p w:rsidR="004843DB" w:rsidRPr="0062582F" w:rsidRDefault="004843DB" w:rsidP="004843DB">
      <w:pPr>
        <w:pStyle w:val="CommentaryTextIndent2"/>
        <w:pBdr>
          <w:top w:val="none" w:sz="0" w:space="0" w:color="auto"/>
        </w:pBdr>
      </w:pPr>
      <w:r w:rsidRPr="0062582F">
        <w:tab/>
        <w:t>(i)</w:t>
      </w:r>
      <w:r w:rsidRPr="0062582F">
        <w:tab/>
        <w:t>the effective date of the revaluation;</w:t>
      </w:r>
    </w:p>
    <w:p w:rsidR="004843DB" w:rsidRPr="0062582F" w:rsidRDefault="004843DB" w:rsidP="004843DB">
      <w:pPr>
        <w:pStyle w:val="CommentaryTextIndent2"/>
        <w:pBdr>
          <w:top w:val="none" w:sz="0" w:space="0" w:color="auto"/>
        </w:pBdr>
      </w:pPr>
      <w:r w:rsidRPr="0062582F">
        <w:tab/>
        <w:t>(ii)</w:t>
      </w:r>
      <w:r w:rsidRPr="0062582F">
        <w:tab/>
        <w:t>the carrying amount of revalued intangible assets; and</w:t>
      </w:r>
    </w:p>
    <w:p w:rsidR="004843DB" w:rsidRPr="0062582F" w:rsidRDefault="004843DB" w:rsidP="004843DB">
      <w:pPr>
        <w:pStyle w:val="CommentaryTextIndent2"/>
        <w:pBdr>
          <w:top w:val="none" w:sz="0" w:space="0" w:color="auto"/>
        </w:pBdr>
      </w:pPr>
      <w:r w:rsidRPr="0062582F">
        <w:tab/>
        <w:t>(iii)</w:t>
      </w:r>
      <w:r w:rsidRPr="0062582F">
        <w:tab/>
        <w:t>the carrying amount that would have been recognised had the revalued class of intangible assets been measured after recognition using the cost model;</w:t>
      </w:r>
    </w:p>
    <w:p w:rsidR="004843DB" w:rsidRPr="0062582F" w:rsidRDefault="004843DB" w:rsidP="004843DB">
      <w:pPr>
        <w:pStyle w:val="Reference"/>
      </w:pP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rPr>
          <w:i/>
        </w:rPr>
      </w:pPr>
      <w:r w:rsidRPr="0062582F">
        <w:t xml:space="preserve">Commentary – Intangible assets </w:t>
      </w:r>
      <w:r w:rsidRPr="0062582F">
        <w:rPr>
          <w:i/>
        </w:rPr>
        <w:t>(continued)</w:t>
      </w:r>
    </w:p>
    <w:p w:rsidR="004843DB" w:rsidRPr="0062582F" w:rsidRDefault="004843DB" w:rsidP="004843DB">
      <w:pPr>
        <w:pStyle w:val="SmallLineBlue"/>
      </w:pPr>
    </w:p>
    <w:p w:rsidR="004843DB" w:rsidRPr="0062582F" w:rsidRDefault="004843DB" w:rsidP="004843DB">
      <w:pPr>
        <w:pStyle w:val="CommentaryTextIndent"/>
        <w:pBdr>
          <w:top w:val="none" w:sz="0" w:space="0" w:color="auto"/>
          <w:bottom w:val="none" w:sz="0" w:space="0" w:color="auto"/>
        </w:pBdr>
      </w:pPr>
      <w:r w:rsidRPr="0062582F">
        <w:t>(b)</w:t>
      </w:r>
      <w:r w:rsidRPr="0062582F">
        <w:tab/>
        <w:t>the amount of the revaluation surplus that relates to intangible assets at the beginning and end of the period, indicating the changes during the period and any restrictions on the distribution of the balance to shareholders; and</w:t>
      </w:r>
    </w:p>
    <w:p w:rsidR="004843DB" w:rsidRPr="0062582F" w:rsidRDefault="004843DB" w:rsidP="004843DB">
      <w:pPr>
        <w:pStyle w:val="CommentaryTextIndent"/>
        <w:pBdr>
          <w:top w:val="none" w:sz="0" w:space="0" w:color="auto"/>
          <w:bottom w:val="none" w:sz="0" w:space="0" w:color="auto"/>
        </w:pBdr>
      </w:pPr>
      <w:r w:rsidRPr="0062582F">
        <w:t>(c)</w:t>
      </w:r>
      <w:r w:rsidRPr="0062582F">
        <w:tab/>
        <w:t>the methods and significant assumptions applied in estimating the assets</w:t>
      </w:r>
      <w:r w:rsidR="005A4BB0">
        <w:t>’</w:t>
      </w:r>
      <w:r w:rsidRPr="0062582F">
        <w:t xml:space="preserve"> fair values.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rPr>
          <w:lang w:val="en-AU"/>
        </w:rPr>
        <w:t>AASB 138.Aus124.1</w:t>
      </w:r>
    </w:p>
    <w:p w:rsidR="004843DB" w:rsidRPr="0062582F" w:rsidRDefault="004843DB" w:rsidP="004843DB">
      <w:pPr>
        <w:pStyle w:val="CommentaryText"/>
        <w:pBdr>
          <w:top w:val="none" w:sz="0" w:space="0" w:color="auto"/>
          <w:bottom w:val="none" w:sz="0" w:space="0" w:color="auto"/>
        </w:pBdr>
      </w:pPr>
      <w:r w:rsidRPr="0062582F">
        <w:br w:type="column"/>
        <w:t>Notwithstanding (a)(iii) above, in respect of not</w:t>
      </w:r>
      <w:r w:rsidR="005A4BB0">
        <w:noBreakHyphen/>
      </w:r>
      <w:r w:rsidRPr="0062582F">
        <w:t>for</w:t>
      </w:r>
      <w:r w:rsidR="005A4BB0">
        <w:noBreakHyphen/>
      </w:r>
      <w:r w:rsidRPr="0062582F">
        <w:t>profit entities, for each revalued class of intangible assets, the requirement to disclose the carrying amount that would have been recognised had the assets been carried under the cost model does not apply.</w:t>
      </w:r>
    </w:p>
    <w:p w:rsidR="004843DB" w:rsidRPr="0062582F" w:rsidRDefault="004843DB" w:rsidP="004843DB">
      <w:pPr>
        <w:pStyle w:val="CommentaryHeading1"/>
        <w:pBdr>
          <w:top w:val="none" w:sz="0" w:space="0" w:color="auto"/>
          <w:bottom w:val="none" w:sz="0" w:space="0" w:color="auto"/>
        </w:pBdr>
      </w:pPr>
      <w:r w:rsidRPr="0062582F">
        <w:t>Impairment of intangible assets</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138.120</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t xml:space="preserve">An entity discloses information on impaired intangible assets in accordance with Accounting Standard AASB 136 </w:t>
      </w:r>
      <w:r w:rsidRPr="0062582F">
        <w:rPr>
          <w:i/>
          <w:iCs/>
          <w:noProof w:val="0"/>
        </w:rPr>
        <w:t>Impairment of Assets</w:t>
      </w:r>
      <w:r w:rsidRPr="0062582F">
        <w:rPr>
          <w:noProof w:val="0"/>
        </w:rPr>
        <w:t xml:space="preserve"> in addition to the information required by Accounting Standard AASB 138 </w:t>
      </w:r>
      <w:r w:rsidRPr="0062582F">
        <w:rPr>
          <w:i/>
          <w:iCs/>
          <w:noProof w:val="0"/>
        </w:rPr>
        <w:t>Intangible Assets</w:t>
      </w:r>
      <w:r w:rsidRPr="0062582F">
        <w:rPr>
          <w:noProof w:val="0"/>
        </w:rPr>
        <w:t>.</w:t>
      </w:r>
    </w:p>
    <w:p w:rsidR="004843DB" w:rsidRPr="0062582F" w:rsidRDefault="004843DB" w:rsidP="004843DB">
      <w:pPr>
        <w:pStyle w:val="CommentaryText"/>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138.90</w:t>
      </w:r>
    </w:p>
    <w:p w:rsidR="004843DB" w:rsidRPr="0062582F" w:rsidRDefault="004843DB" w:rsidP="004843DB">
      <w:pPr>
        <w:pStyle w:val="CommentaryText"/>
        <w:pBdr>
          <w:top w:val="none" w:sz="0" w:space="0" w:color="auto"/>
          <w:bottom w:val="none" w:sz="0" w:space="0" w:color="auto"/>
        </w:pBdr>
        <w:rPr>
          <w:b/>
        </w:rPr>
      </w:pPr>
      <w:r w:rsidRPr="0062582F">
        <w:br w:type="column"/>
      </w:r>
      <w:r w:rsidRPr="0062582F">
        <w:rPr>
          <w:b/>
        </w:rPr>
        <w:t xml:space="preserve">Factors that are considered in determining the useful life of an intangible asset include: </w:t>
      </w:r>
    </w:p>
    <w:p w:rsidR="004843DB" w:rsidRPr="0062582F" w:rsidRDefault="004843DB" w:rsidP="004843DB">
      <w:pPr>
        <w:pStyle w:val="CommentaryTextIndent"/>
        <w:pBdr>
          <w:top w:val="none" w:sz="0" w:space="0" w:color="auto"/>
          <w:bottom w:val="none" w:sz="0" w:space="0" w:color="auto"/>
        </w:pBdr>
      </w:pPr>
      <w:r w:rsidRPr="0062582F">
        <w:t>(a)</w:t>
      </w:r>
      <w:r w:rsidRPr="0062582F">
        <w:tab/>
        <w:t>the expected usage of the asset by the entity and whether the asset could be managed efficiently by another management team;</w:t>
      </w:r>
    </w:p>
    <w:p w:rsidR="004843DB" w:rsidRPr="0062582F" w:rsidRDefault="004843DB" w:rsidP="004843DB">
      <w:pPr>
        <w:pStyle w:val="CommentaryTextIndent"/>
        <w:pBdr>
          <w:top w:val="none" w:sz="0" w:space="0" w:color="auto"/>
          <w:bottom w:val="none" w:sz="0" w:space="0" w:color="auto"/>
        </w:pBdr>
      </w:pPr>
      <w:r w:rsidRPr="0062582F">
        <w:t>(b)</w:t>
      </w:r>
      <w:r w:rsidRPr="0062582F">
        <w:tab/>
        <w:t>typical product life cycles for the asset and public information on estimates of useful lives of similar assets that are used in a similar way;</w:t>
      </w:r>
    </w:p>
    <w:p w:rsidR="004843DB" w:rsidRPr="0062582F" w:rsidRDefault="004843DB" w:rsidP="004843DB">
      <w:pPr>
        <w:pStyle w:val="CommentaryTextIndent"/>
        <w:pBdr>
          <w:top w:val="none" w:sz="0" w:space="0" w:color="auto"/>
          <w:bottom w:val="none" w:sz="0" w:space="0" w:color="auto"/>
        </w:pBdr>
      </w:pPr>
      <w:r w:rsidRPr="0062582F">
        <w:t>(c)</w:t>
      </w:r>
      <w:r w:rsidRPr="0062582F">
        <w:tab/>
        <w:t xml:space="preserve">technical, technological, commercial or other types of obsolescence; </w:t>
      </w:r>
    </w:p>
    <w:p w:rsidR="004843DB" w:rsidRPr="0062582F" w:rsidRDefault="004843DB" w:rsidP="004843DB">
      <w:pPr>
        <w:pStyle w:val="CommentaryTextIndent"/>
        <w:pBdr>
          <w:top w:val="none" w:sz="0" w:space="0" w:color="auto"/>
          <w:bottom w:val="none" w:sz="0" w:space="0" w:color="auto"/>
        </w:pBdr>
      </w:pPr>
      <w:r w:rsidRPr="0062582F">
        <w:t>(d)</w:t>
      </w:r>
      <w:r w:rsidRPr="0062582F">
        <w:tab/>
        <w:t>the stability of the industry in which the asset operates and changes in the market demand for the products or services output from the asset;</w:t>
      </w:r>
    </w:p>
    <w:p w:rsidR="004843DB" w:rsidRPr="0062582F" w:rsidRDefault="004843DB" w:rsidP="004843DB">
      <w:pPr>
        <w:pStyle w:val="CommentaryTextIndent"/>
        <w:pBdr>
          <w:top w:val="none" w:sz="0" w:space="0" w:color="auto"/>
          <w:bottom w:val="none" w:sz="0" w:space="0" w:color="auto"/>
        </w:pBdr>
      </w:pPr>
      <w:r w:rsidRPr="0062582F">
        <w:t>(e)</w:t>
      </w:r>
      <w:r w:rsidRPr="0062582F">
        <w:tab/>
        <w:t xml:space="preserve">expected actions by competitors or potential competitors; </w:t>
      </w:r>
    </w:p>
    <w:p w:rsidR="004843DB" w:rsidRPr="0062582F" w:rsidRDefault="004843DB" w:rsidP="004843DB">
      <w:pPr>
        <w:pStyle w:val="CommentaryTextIndent"/>
        <w:pBdr>
          <w:top w:val="none" w:sz="0" w:space="0" w:color="auto"/>
          <w:bottom w:val="none" w:sz="0" w:space="0" w:color="auto"/>
        </w:pBdr>
      </w:pPr>
      <w:r w:rsidRPr="0062582F">
        <w:t>(f)</w:t>
      </w:r>
      <w:r w:rsidRPr="0062582F">
        <w:tab/>
        <w:t>the level of maintenance expenditure required to obtain the expected future economic benefits from the asset and the entity</w:t>
      </w:r>
      <w:r w:rsidR="005A4BB0">
        <w:t>’</w:t>
      </w:r>
      <w:r w:rsidRPr="0062582F">
        <w:t>s ability and intention to reach such a level;</w:t>
      </w:r>
    </w:p>
    <w:p w:rsidR="004843DB" w:rsidRPr="0062582F" w:rsidRDefault="004843DB" w:rsidP="004843DB">
      <w:pPr>
        <w:pStyle w:val="CommentaryTextIndent"/>
        <w:pBdr>
          <w:top w:val="none" w:sz="0" w:space="0" w:color="auto"/>
          <w:bottom w:val="none" w:sz="0" w:space="0" w:color="auto"/>
        </w:pBdr>
      </w:pPr>
      <w:r w:rsidRPr="0062582F">
        <w:t>(g)</w:t>
      </w:r>
      <w:r w:rsidRPr="0062582F">
        <w:tab/>
        <w:t>the period of control over the asset and legal or similar limits on the use of the asset, such as the expiry dates of related leases; and</w:t>
      </w:r>
    </w:p>
    <w:p w:rsidR="004843DB" w:rsidRPr="0062582F" w:rsidRDefault="004843DB" w:rsidP="004843DB">
      <w:pPr>
        <w:pStyle w:val="CommentaryTextIndent"/>
        <w:pBdr>
          <w:top w:val="none" w:sz="0" w:space="0" w:color="auto"/>
          <w:bottom w:val="none" w:sz="0" w:space="0" w:color="auto"/>
        </w:pBdr>
      </w:pPr>
      <w:r w:rsidRPr="0062582F">
        <w:t>(h)</w:t>
      </w:r>
      <w:r w:rsidRPr="0062582F">
        <w:tab/>
        <w:t>whether the useful life of the asset is dependent on the useful life of other assets of the entity.</w:t>
      </w:r>
    </w:p>
    <w:p w:rsidR="004843DB" w:rsidRPr="0062582F" w:rsidRDefault="004843DB" w:rsidP="004843DB">
      <w:pPr>
        <w:pStyle w:val="CommentaryHeading1"/>
        <w:pBdr>
          <w:top w:val="none" w:sz="0" w:space="0" w:color="auto"/>
          <w:bottom w:val="none" w:sz="0" w:space="0" w:color="auto"/>
        </w:pBdr>
      </w:pPr>
      <w:r w:rsidRPr="0062582F">
        <w:t xml:space="preserve">Internal use software </w:t>
      </w:r>
    </w:p>
    <w:p w:rsidR="004843DB" w:rsidRPr="0062582F" w:rsidRDefault="004843DB" w:rsidP="004843DB">
      <w:pPr>
        <w:pStyle w:val="CommentaryHeading2"/>
      </w:pPr>
      <w:r w:rsidRPr="0062582F">
        <w:t>Capitalisation threshold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FRD 109</w:t>
      </w:r>
    </w:p>
    <w:p w:rsidR="004843DB" w:rsidRPr="0062582F" w:rsidRDefault="004843DB" w:rsidP="004843DB">
      <w:pPr>
        <w:pStyle w:val="CommentaryText"/>
        <w:pBdr>
          <w:top w:val="none" w:sz="0" w:space="0" w:color="auto"/>
          <w:bottom w:val="none" w:sz="0" w:space="0" w:color="auto"/>
        </w:pBdr>
      </w:pPr>
      <w:r w:rsidRPr="0062582F">
        <w:br w:type="column"/>
        <w:t>FRD 109 requires expenditure on a non</w:t>
      </w:r>
      <w:r w:rsidR="005A4BB0">
        <w:noBreakHyphen/>
      </w:r>
      <w:r w:rsidRPr="0062582F">
        <w:t>monetary item without physical substance to be recognised as an intangible asset only if the amount involved meets the capitalisation threshold that is material to the entity. In addition, an entity should consider the following in determining the capitalisation threshold:</w:t>
      </w:r>
    </w:p>
    <w:p w:rsidR="004843DB" w:rsidRPr="0062582F" w:rsidRDefault="004843DB" w:rsidP="004843DB">
      <w:pPr>
        <w:pStyle w:val="CommentaryTextIndent"/>
        <w:pBdr>
          <w:top w:val="none" w:sz="0" w:space="0" w:color="auto"/>
          <w:bottom w:val="none" w:sz="0" w:space="0" w:color="auto"/>
        </w:pBdr>
      </w:pPr>
      <w:r w:rsidRPr="0062582F">
        <w:t>(a)</w:t>
      </w:r>
      <w:r w:rsidRPr="0062582F">
        <w:tab/>
        <w:t>the impact of the capitalisation threshold on the comprehensive operating statement and balance sheet, taking into consideration the pattern of investment and that an intangible asset may have a relatively short useful life (e.g. useful life of software is usually only three to five years); and</w:t>
      </w:r>
    </w:p>
    <w:p w:rsidR="004843DB" w:rsidRPr="0062582F" w:rsidRDefault="004843DB" w:rsidP="004843DB">
      <w:pPr>
        <w:pStyle w:val="CommentaryTextIndent"/>
        <w:pBdr>
          <w:top w:val="none" w:sz="0" w:space="0" w:color="auto"/>
          <w:bottom w:val="none" w:sz="0" w:space="0" w:color="auto"/>
        </w:pBdr>
      </w:pPr>
      <w:r w:rsidRPr="0062582F">
        <w:t>(b)</w:t>
      </w:r>
      <w:r w:rsidRPr="0062582F">
        <w:tab/>
        <w:t>the administrative burden of conducting annual impairment tests of intangible assets.</w:t>
      </w:r>
    </w:p>
    <w:p w:rsidR="004843DB" w:rsidRPr="0062582F" w:rsidRDefault="004843DB" w:rsidP="004843DB">
      <w:pPr>
        <w:pStyle w:val="CommentaryHeading2"/>
      </w:pPr>
      <w:r w:rsidRPr="0062582F">
        <w:t>Research activities (or research phase of internal projects)</w:t>
      </w:r>
    </w:p>
    <w:p w:rsidR="004843DB" w:rsidRPr="0062582F" w:rsidRDefault="004843DB" w:rsidP="004843DB">
      <w:pPr>
        <w:pStyle w:val="CommentaryText"/>
        <w:pBdr>
          <w:top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w:t>
      </w:r>
      <w:r w:rsidRPr="0062582F">
        <w:t>138</w:t>
      </w:r>
      <w:r w:rsidRPr="0062582F">
        <w:rPr>
          <w:lang w:val="en-AU"/>
        </w:rPr>
        <w:t>.54</w:t>
      </w:r>
    </w:p>
    <w:p w:rsidR="004843DB" w:rsidRPr="0062582F" w:rsidRDefault="004843DB" w:rsidP="004843DB">
      <w:pPr>
        <w:pStyle w:val="CommentaryText"/>
        <w:pBdr>
          <w:top w:val="none" w:sz="0" w:space="0" w:color="auto"/>
        </w:pBdr>
        <w:rPr>
          <w:noProof w:val="0"/>
        </w:rPr>
      </w:pPr>
      <w:r w:rsidRPr="0062582F">
        <w:rPr>
          <w:noProof w:val="0"/>
        </w:rPr>
        <w:br w:type="column"/>
        <w:t>AASB 138 specifically prohibits the recognition of research activities as an asset.</w:t>
      </w:r>
    </w:p>
    <w:p w:rsidR="004843DB" w:rsidRPr="0062582F" w:rsidRDefault="004843DB" w:rsidP="004843DB">
      <w:pPr>
        <w:pStyle w:val="SmallLine"/>
      </w:pPr>
      <w:r w:rsidRPr="0062582F">
        <w:br w:type="page"/>
      </w:r>
      <w:r w:rsidRPr="0062582F">
        <w:br w:type="column"/>
      </w:r>
    </w:p>
    <w:p w:rsidR="004843DB" w:rsidRPr="0062582F" w:rsidRDefault="004843DB" w:rsidP="004843DB">
      <w:pPr>
        <w:pStyle w:val="CommentaryHeading"/>
        <w:rPr>
          <w:i/>
        </w:rPr>
      </w:pPr>
      <w:r w:rsidRPr="0062582F">
        <w:t xml:space="preserve">Commentary – Intangible assets </w:t>
      </w:r>
      <w:r w:rsidRPr="0062582F">
        <w:rPr>
          <w:i/>
        </w:rPr>
        <w:t>(continued)</w:t>
      </w:r>
    </w:p>
    <w:p w:rsidR="004843DB" w:rsidRPr="0062582F" w:rsidRDefault="004843DB" w:rsidP="004843DB">
      <w:pPr>
        <w:pStyle w:val="SmallLineBlue"/>
      </w:pPr>
    </w:p>
    <w:p w:rsidR="004843DB" w:rsidRPr="0062582F" w:rsidRDefault="004843DB" w:rsidP="004843DB">
      <w:pPr>
        <w:pStyle w:val="CommentaryHeading2"/>
      </w:pPr>
      <w:r w:rsidRPr="0062582F">
        <w:t>Internal use software</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t>FRD 109 Appendix 1</w:t>
      </w:r>
    </w:p>
    <w:p w:rsidR="004843DB" w:rsidRPr="0062582F" w:rsidRDefault="004843DB" w:rsidP="004843DB">
      <w:pPr>
        <w:pStyle w:val="CommentaryText"/>
        <w:pBdr>
          <w:top w:val="none" w:sz="0" w:space="0" w:color="auto"/>
          <w:bottom w:val="none" w:sz="0" w:space="0" w:color="auto"/>
        </w:pBdr>
      </w:pPr>
      <w:r w:rsidRPr="0062582F">
        <w:br w:type="column"/>
        <w:t>Purchased internal use software may comprise components with differing accounting treatment (refer to Appendix 1 of FRD 109 for further guidance). Where the accounting treatment differs, each component of the software must be proportionately allocated, based on its fair value, over the total contract price.</w:t>
      </w:r>
    </w:p>
    <w:p w:rsidR="004843DB" w:rsidRPr="0062582F" w:rsidRDefault="004843DB" w:rsidP="004843DB">
      <w:pPr>
        <w:pStyle w:val="CommentaryText"/>
        <w:pBdr>
          <w:top w:val="none" w:sz="0" w:space="0" w:color="auto"/>
          <w:bottom w:val="none" w:sz="0" w:space="0" w:color="auto"/>
        </w:pBdr>
      </w:pPr>
      <w:r w:rsidRPr="0062582F">
        <w:t>Internally developed internal use software usually involves three stages (refer Appendix 1 of FRD 109 for additional guidance):</w:t>
      </w:r>
    </w:p>
    <w:p w:rsidR="004843DB" w:rsidRPr="0062582F" w:rsidRDefault="004843DB" w:rsidP="004843DB">
      <w:pPr>
        <w:pStyle w:val="CommentaryTextIndent"/>
        <w:pBdr>
          <w:top w:val="none" w:sz="0" w:space="0" w:color="auto"/>
          <w:bottom w:val="none" w:sz="0" w:space="0" w:color="auto"/>
        </w:pBdr>
      </w:pPr>
      <w:r w:rsidRPr="0062582F">
        <w:t>(a)</w:t>
      </w:r>
      <w:r w:rsidRPr="0062582F">
        <w:tab/>
        <w:t>preliminary project stage – costs to be expensed;</w:t>
      </w:r>
    </w:p>
    <w:p w:rsidR="004843DB" w:rsidRPr="0062582F" w:rsidRDefault="004843DB" w:rsidP="004843DB">
      <w:pPr>
        <w:pStyle w:val="CommentaryTextIndent"/>
        <w:pBdr>
          <w:top w:val="none" w:sz="0" w:space="0" w:color="auto"/>
          <w:bottom w:val="none" w:sz="0" w:space="0" w:color="auto"/>
        </w:pBdr>
      </w:pPr>
      <w:r w:rsidRPr="0062582F">
        <w:t>(b)</w:t>
      </w:r>
      <w:r w:rsidRPr="0062582F">
        <w:tab/>
        <w:t>application development stage – costs to be capitalised or expensed; and</w:t>
      </w:r>
    </w:p>
    <w:p w:rsidR="004843DB" w:rsidRPr="0062582F" w:rsidRDefault="004843DB" w:rsidP="004843DB">
      <w:pPr>
        <w:pStyle w:val="CommentaryTextIndent"/>
        <w:pBdr>
          <w:top w:val="none" w:sz="0" w:space="0" w:color="auto"/>
          <w:bottom w:val="none" w:sz="0" w:space="0" w:color="auto"/>
        </w:pBdr>
      </w:pPr>
      <w:r w:rsidRPr="0062582F">
        <w:t>(c)</w:t>
      </w:r>
      <w:r w:rsidRPr="0062582F">
        <w:tab/>
        <w:t>post</w:t>
      </w:r>
      <w:r w:rsidR="005A4BB0">
        <w:noBreakHyphen/>
      </w:r>
      <w:r w:rsidRPr="0062582F">
        <w:t>implementation/operation stage – costs to be expensed.</w:t>
      </w:r>
    </w:p>
    <w:p w:rsidR="004843DB" w:rsidRPr="0062582F" w:rsidRDefault="004843DB" w:rsidP="004843DB">
      <w:pPr>
        <w:pStyle w:val="CommentaryText"/>
        <w:pBdr>
          <w:top w:val="none" w:sz="0" w:space="0" w:color="auto"/>
        </w:pBdr>
      </w:pPr>
      <w:r w:rsidRPr="0062582F">
        <w:t>Internally developed internal use software may comprise more than one component. For example, the development of an accounting software system may consist of three components: general ledger, accounts payable sub</w:t>
      </w:r>
      <w:r w:rsidR="005A4BB0">
        <w:noBreakHyphen/>
      </w:r>
      <w:r w:rsidRPr="0062582F">
        <w:t>ledger and an accounts receivable sub</w:t>
      </w:r>
      <w:r w:rsidR="005A4BB0">
        <w:noBreakHyphen/>
      </w:r>
      <w:r w:rsidRPr="0062582F">
        <w:t>ledger. Where this is the case, each component of the system should be accounted for as a separate component and in accordance with FRD 109.</w:t>
      </w:r>
    </w:p>
    <w:p w:rsidR="004843DB" w:rsidRPr="0062582F" w:rsidRDefault="004843DB" w:rsidP="004843DB"/>
    <w:p w:rsidR="004843DB" w:rsidRPr="0062582F" w:rsidRDefault="004843DB" w:rsidP="004843DB"/>
    <w:p w:rsidR="004843DB" w:rsidRPr="0062582F" w:rsidRDefault="004843DB" w:rsidP="004843DB">
      <w:pPr>
        <w:pStyle w:val="NoteHeading"/>
      </w:pPr>
      <w:bookmarkStart w:id="469" w:name="_Toc332019479"/>
      <w:bookmarkStart w:id="470" w:name="_Toc366843366"/>
      <w:bookmarkStart w:id="471" w:name="_Toc448157200"/>
      <w:r w:rsidRPr="0062582F">
        <w:t>Note 21.</w:t>
      </w:r>
      <w:r w:rsidRPr="0062582F">
        <w:tab/>
        <w:t>Other non</w:t>
      </w:r>
      <w:r w:rsidR="005A4BB0">
        <w:noBreakHyphen/>
      </w:r>
      <w:r w:rsidRPr="0062582F">
        <w:t>financial assets</w:t>
      </w:r>
      <w:bookmarkEnd w:id="469"/>
      <w:bookmarkEnd w:id="470"/>
      <w:bookmarkEnd w:id="471"/>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p>
    <w:p w:rsidR="004843DB" w:rsidRPr="0062582F" w:rsidRDefault="004843DB" w:rsidP="004843DB">
      <w:pPr>
        <w:pStyle w:val="SmallLine"/>
      </w:pPr>
    </w:p>
    <w:p w:rsidR="004843DB" w:rsidRPr="0062582F" w:rsidRDefault="004843DB" w:rsidP="004843DB">
      <w:pPr>
        <w:pStyle w:val="Reference"/>
        <w:spacing w:before="0"/>
        <w:rPr>
          <w:lang w:val="en-AU"/>
        </w:rPr>
      </w:pPr>
    </w:p>
    <w:p w:rsidR="004843DB" w:rsidRPr="0062582F" w:rsidRDefault="004843DB" w:rsidP="004843DB">
      <w:pPr>
        <w:pStyle w:val="Reference"/>
        <w:spacing w:before="80"/>
        <w:rPr>
          <w:lang w:val="en-AU"/>
        </w:rPr>
      </w:pPr>
      <w:r w:rsidRPr="0062582F">
        <w:rPr>
          <w:lang w:val="en-AU"/>
        </w:rPr>
        <w:t xml:space="preserve">AASB 101.61 </w:t>
      </w:r>
    </w:p>
    <w:p w:rsidR="004843DB" w:rsidRPr="0062582F" w:rsidRDefault="004843DB" w:rsidP="004843DB">
      <w:pPr>
        <w:pStyle w:val="Reference"/>
        <w:spacing w:before="0"/>
        <w:rPr>
          <w:lang w:val="en-AU"/>
        </w:rPr>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240"/>
        <w:rPr>
          <w:lang w:val="en-AU"/>
        </w:rPr>
      </w:pPr>
      <w:r w:rsidRPr="0062582F">
        <w:rPr>
          <w:lang w:val="en-AU"/>
        </w:rPr>
        <w:t xml:space="preserve">AASB 101.61 </w:t>
      </w:r>
    </w:p>
    <w:p w:rsidR="004843DB" w:rsidRPr="0062582F" w:rsidRDefault="004843DB" w:rsidP="004843DB">
      <w:pPr>
        <w:pStyle w:val="million"/>
        <w:rPr>
          <w:rFonts w:ascii="Tahoma" w:hAnsi="Tahoma" w:cs="Tahoma"/>
          <w:sz w:val="20"/>
        </w:rPr>
      </w:pPr>
      <w:r w:rsidRPr="0062582F">
        <w:br w:type="column"/>
        <w:t>($ thousand)</w:t>
      </w:r>
    </w:p>
    <w:tbl>
      <w:tblPr>
        <w:tblW w:w="8193" w:type="dxa"/>
        <w:tblLayout w:type="fixed"/>
        <w:tblCellMar>
          <w:left w:w="43" w:type="dxa"/>
          <w:right w:w="43" w:type="dxa"/>
        </w:tblCellMar>
        <w:tblLook w:val="04A0" w:firstRow="1" w:lastRow="0" w:firstColumn="1" w:lastColumn="0" w:noHBand="0" w:noVBand="1"/>
      </w:tblPr>
      <w:tblGrid>
        <w:gridCol w:w="5713"/>
        <w:gridCol w:w="1240"/>
        <w:gridCol w:w="1240"/>
      </w:tblGrid>
      <w:tr w:rsidR="004843DB" w:rsidRPr="0062582F" w:rsidTr="004843DB">
        <w:trPr>
          <w:cantSplit/>
        </w:trPr>
        <w:tc>
          <w:tcPr>
            <w:tcW w:w="57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Current other assets</w:t>
            </w:r>
          </w:p>
        </w:tc>
        <w:tc>
          <w:tcPr>
            <w:tcW w:w="124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Prepayments</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1 483</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380</w:t>
            </w:r>
          </w:p>
        </w:tc>
      </w:tr>
      <w:tr w:rsidR="004843DB" w:rsidRPr="0062582F" w:rsidTr="004843DB">
        <w:trPr>
          <w:cantSplit/>
        </w:trPr>
        <w:tc>
          <w:tcPr>
            <w:tcW w:w="5713" w:type="dxa"/>
            <w:tcBorders>
              <w:top w:val="single" w:sz="4"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Total current other assets</w:t>
            </w:r>
          </w:p>
        </w:tc>
        <w:tc>
          <w:tcPr>
            <w:tcW w:w="124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1 483</w:t>
            </w:r>
          </w:p>
        </w:tc>
        <w:tc>
          <w:tcPr>
            <w:tcW w:w="12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380</w:t>
            </w:r>
          </w:p>
        </w:tc>
      </w:tr>
      <w:tr w:rsidR="004843DB" w:rsidRPr="0062582F" w:rsidTr="004843DB">
        <w:trPr>
          <w:cantSplit/>
          <w:trHeight w:val="170"/>
        </w:trPr>
        <w:tc>
          <w:tcPr>
            <w:tcW w:w="57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
              <w:rPr>
                <w:noProof w:val="0"/>
              </w:rPr>
            </w:pPr>
            <w:r w:rsidRPr="0062582F">
              <w:t xml:space="preserve"> </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rPr>
                <w:noProof w:val="0"/>
              </w:rPr>
            </w:pPr>
            <w:r w:rsidRPr="0062582F">
              <w:t xml:space="preserve"> </w:t>
            </w:r>
          </w:p>
        </w:tc>
      </w:tr>
      <w:tr w:rsidR="004843DB" w:rsidRPr="0062582F" w:rsidTr="004843DB">
        <w:trPr>
          <w:cantSplit/>
        </w:trPr>
        <w:tc>
          <w:tcPr>
            <w:tcW w:w="5713" w:type="dxa"/>
            <w:tcBorders>
              <w:top w:val="single" w:sz="4"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Non</w:t>
            </w:r>
            <w:r w:rsidR="005A4BB0">
              <w:rPr>
                <w:b/>
              </w:rPr>
              <w:noBreakHyphen/>
            </w:r>
            <w:r w:rsidRPr="0062582F">
              <w:rPr>
                <w:b/>
              </w:rPr>
              <w:t>current other assets</w:t>
            </w:r>
          </w:p>
        </w:tc>
        <w:tc>
          <w:tcPr>
            <w:tcW w:w="124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2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Other</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non</w:t>
            </w:r>
            <w:r w:rsidR="005A4BB0">
              <w:rPr>
                <w:b/>
              </w:rPr>
              <w:noBreakHyphen/>
            </w:r>
            <w:r w:rsidRPr="0062582F">
              <w:rPr>
                <w:b/>
              </w:rPr>
              <w:t>current other assets</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r>
      <w:tr w:rsidR="004843DB" w:rsidRPr="0062582F" w:rsidTr="004843DB">
        <w:trPr>
          <w:cantSplit/>
        </w:trPr>
        <w:tc>
          <w:tcPr>
            <w:tcW w:w="571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other assets</w:t>
            </w:r>
          </w:p>
        </w:tc>
        <w:tc>
          <w:tcPr>
            <w:tcW w:w="124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1 483</w:t>
            </w:r>
          </w:p>
        </w:tc>
        <w:tc>
          <w:tcPr>
            <w:tcW w:w="12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380</w:t>
            </w:r>
          </w:p>
        </w:tc>
      </w:tr>
    </w:tbl>
    <w:p w:rsidR="004843DB" w:rsidRPr="0062582F" w:rsidRDefault="004843DB" w:rsidP="004843DB"/>
    <w:p w:rsidR="004843DB" w:rsidRPr="0062582F" w:rsidRDefault="004843DB" w:rsidP="004843DB">
      <w:pPr>
        <w:pStyle w:val="SmallLine"/>
      </w:pPr>
    </w:p>
    <w:p w:rsidR="004843DB" w:rsidRPr="0062582F" w:rsidRDefault="004843DB" w:rsidP="004843DB">
      <w:pPr>
        <w:pStyle w:val="CommentaryHeading"/>
      </w:pPr>
      <w:r w:rsidRPr="0062582F">
        <w:t>Commentary – Other non</w:t>
      </w:r>
      <w:r w:rsidR="005A4BB0">
        <w:noBreakHyphen/>
      </w:r>
      <w:r w:rsidRPr="0062582F">
        <w:t>financial assets</w:t>
      </w:r>
    </w:p>
    <w:p w:rsidR="004843DB" w:rsidRPr="0062582F" w:rsidRDefault="004843DB" w:rsidP="004843DB">
      <w:pPr>
        <w:pStyle w:val="SmallLineBlue"/>
      </w:pPr>
    </w:p>
    <w:p w:rsidR="004843DB" w:rsidRPr="0062582F" w:rsidRDefault="004843DB" w:rsidP="004843DB">
      <w:pPr>
        <w:pStyle w:val="CommentaryText"/>
        <w:rPr>
          <w:b/>
          <w:bCs/>
        </w:rPr>
      </w:pPr>
      <w:r w:rsidRPr="0062582F">
        <w:t>The assets above should only include assets that are non</w:t>
      </w:r>
      <w:r w:rsidR="005A4BB0">
        <w:noBreakHyphen/>
      </w:r>
      <w:r w:rsidRPr="0062582F">
        <w:t>financial in nature.</w:t>
      </w:r>
    </w:p>
    <w:p w:rsidR="004843DB" w:rsidRPr="0062582F" w:rsidRDefault="004843DB" w:rsidP="004843DB"/>
    <w:p w:rsidR="004843DB" w:rsidRPr="0062582F" w:rsidRDefault="004843DB" w:rsidP="004843DB"/>
    <w:p w:rsidR="004843DB" w:rsidRPr="0062582F" w:rsidRDefault="004843DB" w:rsidP="004843DB">
      <w:pPr>
        <w:pStyle w:val="Reference"/>
      </w:pPr>
      <w:r w:rsidRPr="0062582F">
        <w:br w:type="column"/>
      </w:r>
    </w:p>
    <w:p w:rsidR="004843DB" w:rsidRPr="0062582F" w:rsidRDefault="004843DB" w:rsidP="004843DB">
      <w:pPr>
        <w:pStyle w:val="NoteHeading"/>
      </w:pPr>
      <w:r w:rsidRPr="0062582F">
        <w:br w:type="column"/>
      </w:r>
      <w:bookmarkStart w:id="472" w:name="_Toc332019480"/>
      <w:bookmarkStart w:id="473" w:name="_Toc366843367"/>
      <w:bookmarkStart w:id="474" w:name="_Toc448157201"/>
      <w:r w:rsidRPr="0062582F">
        <w:t>Note 22.</w:t>
      </w:r>
      <w:r w:rsidRPr="0062582F">
        <w:tab/>
        <w:t>Payables</w:t>
      </w:r>
      <w:bookmarkEnd w:id="472"/>
      <w:bookmarkEnd w:id="473"/>
      <w:bookmarkEnd w:id="474"/>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20"/>
      </w:pPr>
      <w:r w:rsidRPr="0062582F">
        <w:t>AASB 101.61</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r w:rsidRPr="0062582F">
        <w:br/>
      </w:r>
      <w:r w:rsidRPr="0062582F">
        <w:br/>
      </w:r>
    </w:p>
    <w:p w:rsidR="004843DB" w:rsidRPr="0062582F" w:rsidRDefault="004843DB" w:rsidP="004843DB">
      <w:pPr>
        <w:pStyle w:val="ReferenceRed"/>
      </w:pPr>
    </w:p>
    <w:p w:rsidR="004843DB" w:rsidRPr="0062582F" w:rsidRDefault="004843DB" w:rsidP="004843DB">
      <w:pPr>
        <w:pStyle w:val="SmallLine"/>
      </w:pPr>
      <w:r w:rsidRPr="0062582F">
        <w:br/>
      </w:r>
    </w:p>
    <w:p w:rsidR="004843DB" w:rsidRPr="0062582F" w:rsidRDefault="004843DB" w:rsidP="004843DB">
      <w:pPr>
        <w:pStyle w:val="SmallLine"/>
      </w:pPr>
      <w:r w:rsidRPr="0062582F">
        <w:br/>
      </w:r>
      <w:r w:rsidRPr="0062582F">
        <w:br/>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r w:rsidRPr="0062582F">
        <w:t>AASB 101.61</w:t>
      </w:r>
    </w:p>
    <w:p w:rsidR="004843DB" w:rsidRPr="0062582F" w:rsidRDefault="004843DB" w:rsidP="004843DB">
      <w:pPr>
        <w:pStyle w:val="million"/>
        <w:rPr>
          <w:rFonts w:ascii="Tahoma" w:hAnsi="Tahoma" w:cs="Tahoma"/>
          <w:sz w:val="20"/>
        </w:rPr>
      </w:pPr>
      <w:r w:rsidRPr="0062582F">
        <w:br w:type="column"/>
        <w:t>($ thousand)</w:t>
      </w:r>
    </w:p>
    <w:tbl>
      <w:tblPr>
        <w:tblW w:w="8103" w:type="dxa"/>
        <w:tblLayout w:type="fixed"/>
        <w:tblCellMar>
          <w:left w:w="43" w:type="dxa"/>
          <w:right w:w="43" w:type="dxa"/>
        </w:tblCellMar>
        <w:tblLook w:val="04A0" w:firstRow="1" w:lastRow="0" w:firstColumn="1" w:lastColumn="0" w:noHBand="0" w:noVBand="1"/>
      </w:tblPr>
      <w:tblGrid>
        <w:gridCol w:w="320"/>
        <w:gridCol w:w="5303"/>
        <w:gridCol w:w="1240"/>
        <w:gridCol w:w="1240"/>
      </w:tblGrid>
      <w:tr w:rsidR="004843DB" w:rsidRPr="0062582F" w:rsidTr="004843DB">
        <w:trPr>
          <w:cantSplit/>
        </w:trPr>
        <w:tc>
          <w:tcPr>
            <w:tcW w:w="3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pPr>
            <w:r w:rsidRPr="0062582F">
              <w:rPr>
                <w:vertAlign w:val="superscript"/>
              </w:rPr>
              <w:t xml:space="preserve"> </w:t>
            </w:r>
          </w:p>
        </w:tc>
        <w:tc>
          <w:tcPr>
            <w:tcW w:w="530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320" w:type="dxa"/>
            <w:tcBorders>
              <w:top w:val="nil"/>
              <w:left w:val="nil"/>
              <w:bottom w:val="nil"/>
              <w:right w:val="nil"/>
            </w:tcBorders>
            <w:shd w:val="clear" w:color="auto" w:fill="auto"/>
            <w:noWrap/>
            <w:hideMark/>
          </w:tcPr>
          <w:p w:rsidR="004843DB" w:rsidRPr="0062582F" w:rsidRDefault="004843DB" w:rsidP="004843DB">
            <w:pPr>
              <w:pStyle w:val="Tabletext"/>
              <w:rPr>
                <w:rFonts w:ascii="Arial" w:hAnsi="Arial"/>
                <w:b/>
              </w:rPr>
            </w:pPr>
            <w:r w:rsidRPr="0062582F">
              <w:rPr>
                <w:rFonts w:ascii="Arial" w:hAnsi="Arial"/>
                <w:b/>
                <w:vertAlign w:val="superscript"/>
              </w:rPr>
              <w:t xml:space="preserve"> </w:t>
            </w:r>
          </w:p>
        </w:tc>
        <w:tc>
          <w:tcPr>
            <w:tcW w:w="530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Current payables</w:t>
            </w:r>
          </w:p>
        </w:tc>
        <w:tc>
          <w:tcPr>
            <w:tcW w:w="124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320" w:type="dxa"/>
            <w:tcBorders>
              <w:top w:val="nil"/>
              <w:left w:val="nil"/>
              <w:bottom w:val="nil"/>
              <w:right w:val="nil"/>
            </w:tcBorders>
            <w:shd w:val="clear" w:color="auto" w:fill="auto"/>
            <w:noWrap/>
            <w:hideMark/>
          </w:tcPr>
          <w:p w:rsidR="004843DB" w:rsidRPr="0062582F" w:rsidRDefault="004843DB" w:rsidP="004843DB">
            <w:pPr>
              <w:pStyle w:val="Tabletext"/>
              <w:rPr>
                <w:rFonts w:ascii="Arial" w:hAnsi="Arial"/>
                <w:b/>
              </w:rPr>
            </w:pPr>
            <w:r w:rsidRPr="0062582F">
              <w:rPr>
                <w:rFonts w:ascii="Arial" w:hAnsi="Arial"/>
                <w:b/>
                <w:vertAlign w:val="superscript"/>
              </w:rPr>
              <w:t xml:space="preserve"> </w:t>
            </w:r>
          </w:p>
        </w:tc>
        <w:tc>
          <w:tcPr>
            <w:tcW w:w="5303" w:type="dxa"/>
            <w:tcBorders>
              <w:top w:val="nil"/>
              <w:left w:val="nil"/>
              <w:bottom w:val="nil"/>
              <w:right w:val="nil"/>
            </w:tcBorders>
            <w:shd w:val="clear" w:color="auto" w:fill="auto"/>
            <w:hideMark/>
          </w:tcPr>
          <w:p w:rsidR="004843DB" w:rsidRPr="0062582F" w:rsidRDefault="004843DB" w:rsidP="004843DB">
            <w:pPr>
              <w:pStyle w:val="Tabletext"/>
              <w:rPr>
                <w:b/>
                <w:i/>
              </w:rPr>
            </w:pPr>
            <w:r w:rsidRPr="0062582F">
              <w:rPr>
                <w:b/>
                <w:i/>
              </w:rPr>
              <w:t>Contractual</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320" w:type="dxa"/>
            <w:tcBorders>
              <w:top w:val="nil"/>
              <w:left w:val="nil"/>
              <w:bottom w:val="nil"/>
              <w:right w:val="nil"/>
            </w:tcBorders>
            <w:shd w:val="clear" w:color="auto" w:fill="auto"/>
            <w:noWrap/>
            <w:hideMark/>
          </w:tcPr>
          <w:p w:rsidR="004843DB" w:rsidRPr="0062582F" w:rsidRDefault="004843DB" w:rsidP="004843DB">
            <w:pPr>
              <w:pStyle w:val="Tabletext"/>
            </w:pPr>
          </w:p>
        </w:tc>
        <w:tc>
          <w:tcPr>
            <w:tcW w:w="530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Supplies and services </w:t>
            </w:r>
            <w:r w:rsidRPr="0062582F">
              <w:rPr>
                <w:vertAlign w:val="superscript"/>
              </w:rPr>
              <w:t>(i)</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4 466</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5 330</w:t>
            </w:r>
          </w:p>
        </w:tc>
      </w:tr>
      <w:tr w:rsidR="004843DB" w:rsidRPr="0062582F" w:rsidTr="004843DB">
        <w:trPr>
          <w:cantSplit/>
        </w:trPr>
        <w:tc>
          <w:tcPr>
            <w:tcW w:w="320" w:type="dxa"/>
            <w:tcBorders>
              <w:top w:val="nil"/>
              <w:left w:val="nil"/>
              <w:bottom w:val="nil"/>
              <w:right w:val="nil"/>
            </w:tcBorders>
            <w:shd w:val="clear" w:color="auto" w:fill="auto"/>
            <w:noWrap/>
            <w:hideMark/>
          </w:tcPr>
          <w:p w:rsidR="004843DB" w:rsidRPr="0062582F" w:rsidRDefault="004843DB" w:rsidP="004843DB">
            <w:pPr>
              <w:pStyle w:val="Tabletext"/>
            </w:pPr>
          </w:p>
        </w:tc>
        <w:tc>
          <w:tcPr>
            <w:tcW w:w="530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Amounts payable to government and agencies </w:t>
            </w:r>
            <w:r w:rsidRPr="0062582F">
              <w:rPr>
                <w:vertAlign w:val="superscript"/>
              </w:rPr>
              <w:t>(ii)</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8 048</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6 360</w:t>
            </w:r>
          </w:p>
        </w:tc>
      </w:tr>
      <w:tr w:rsidR="004843DB" w:rsidRPr="0062582F" w:rsidTr="004843DB">
        <w:trPr>
          <w:cantSplit/>
        </w:trPr>
        <w:tc>
          <w:tcPr>
            <w:tcW w:w="320"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p>
        </w:tc>
        <w:tc>
          <w:tcPr>
            <w:tcW w:w="530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Other payables </w:t>
            </w:r>
            <w:r w:rsidRPr="0062582F">
              <w:rPr>
                <w:vertAlign w:val="superscript"/>
              </w:rPr>
              <w:t>(i)</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1 900</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2 394</w:t>
            </w:r>
          </w:p>
        </w:tc>
      </w:tr>
      <w:tr w:rsidR="004843DB" w:rsidRPr="0062582F" w:rsidTr="004843DB">
        <w:trPr>
          <w:cantSplit/>
        </w:trPr>
        <w:tc>
          <w:tcPr>
            <w:tcW w:w="320" w:type="dxa"/>
            <w:tcBorders>
              <w:top w:val="nil"/>
              <w:left w:val="nil"/>
              <w:bottom w:val="nil"/>
              <w:right w:val="nil"/>
            </w:tcBorders>
            <w:shd w:val="clear" w:color="auto" w:fill="auto"/>
            <w:noWrap/>
            <w:hideMark/>
          </w:tcPr>
          <w:p w:rsidR="004843DB" w:rsidRPr="0062582F" w:rsidRDefault="004843DB" w:rsidP="004843DB">
            <w:pPr>
              <w:pStyle w:val="Tabletext"/>
            </w:pPr>
            <w:r w:rsidRPr="0062582F">
              <w:rPr>
                <w:vertAlign w:val="superscript"/>
              </w:rPr>
              <w:t xml:space="preserve"> </w:t>
            </w:r>
          </w:p>
        </w:tc>
        <w:tc>
          <w:tcPr>
            <w:tcW w:w="5303"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14 413</w:t>
            </w:r>
          </w:p>
        </w:tc>
        <w:tc>
          <w:tcPr>
            <w:tcW w:w="12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14 085</w:t>
            </w:r>
          </w:p>
        </w:tc>
      </w:tr>
      <w:tr w:rsidR="004843DB" w:rsidRPr="0062582F" w:rsidTr="004843DB">
        <w:trPr>
          <w:cantSplit/>
        </w:trPr>
        <w:tc>
          <w:tcPr>
            <w:tcW w:w="320" w:type="dxa"/>
            <w:tcBorders>
              <w:top w:val="nil"/>
              <w:left w:val="nil"/>
              <w:bottom w:val="nil"/>
              <w:right w:val="nil"/>
            </w:tcBorders>
            <w:shd w:val="clear" w:color="auto" w:fill="auto"/>
            <w:noWrap/>
            <w:hideMark/>
          </w:tcPr>
          <w:p w:rsidR="004843DB" w:rsidRPr="0062582F" w:rsidRDefault="004843DB" w:rsidP="004843DB">
            <w:pPr>
              <w:pStyle w:val="Tabletext"/>
              <w:rPr>
                <w:rFonts w:ascii="Arial" w:hAnsi="Arial"/>
              </w:rPr>
            </w:pPr>
          </w:p>
        </w:tc>
        <w:tc>
          <w:tcPr>
            <w:tcW w:w="5303" w:type="dxa"/>
            <w:tcBorders>
              <w:top w:val="nil"/>
              <w:left w:val="nil"/>
              <w:bottom w:val="nil"/>
              <w:right w:val="nil"/>
            </w:tcBorders>
            <w:shd w:val="clear" w:color="auto" w:fill="auto"/>
            <w:hideMark/>
          </w:tcPr>
          <w:p w:rsidR="004843DB" w:rsidRPr="0062582F" w:rsidRDefault="004843DB" w:rsidP="004843DB">
            <w:pPr>
              <w:pStyle w:val="Tabletext"/>
              <w:rPr>
                <w:b/>
                <w:i/>
              </w:rPr>
            </w:pPr>
            <w:r w:rsidRPr="0062582F">
              <w:rPr>
                <w:b/>
                <w:i/>
              </w:rPr>
              <w:t>Statutory</w:t>
            </w:r>
            <w:r w:rsidRPr="0062582F">
              <w:rPr>
                <w:rFonts w:ascii="Arial" w:hAnsi="Arial"/>
                <w:vertAlign w:val="superscript"/>
              </w:rPr>
              <w:t xml:space="preserve"> (iii)</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320" w:type="dxa"/>
            <w:tcBorders>
              <w:top w:val="nil"/>
              <w:left w:val="nil"/>
              <w:bottom w:val="nil"/>
              <w:right w:val="nil"/>
            </w:tcBorders>
            <w:shd w:val="clear" w:color="auto" w:fill="auto"/>
            <w:noWrap/>
            <w:hideMark/>
          </w:tcPr>
          <w:p w:rsidR="004843DB" w:rsidRPr="0062582F" w:rsidRDefault="004843DB" w:rsidP="004843DB">
            <w:pPr>
              <w:pStyle w:val="Tabletext"/>
              <w:rPr>
                <w:rFonts w:ascii="Arial" w:hAnsi="Arial"/>
              </w:rPr>
            </w:pPr>
          </w:p>
        </w:tc>
        <w:tc>
          <w:tcPr>
            <w:tcW w:w="5303" w:type="dxa"/>
            <w:tcBorders>
              <w:top w:val="nil"/>
              <w:left w:val="nil"/>
              <w:bottom w:val="nil"/>
              <w:right w:val="nil"/>
            </w:tcBorders>
            <w:shd w:val="clear" w:color="auto" w:fill="auto"/>
            <w:hideMark/>
          </w:tcPr>
          <w:p w:rsidR="004843DB" w:rsidRPr="0062582F" w:rsidRDefault="004843DB" w:rsidP="004843DB">
            <w:pPr>
              <w:pStyle w:val="Tabletext"/>
            </w:pPr>
            <w:r w:rsidRPr="0062582F">
              <w:t>FBT payable</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82</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169</w:t>
            </w:r>
          </w:p>
        </w:tc>
      </w:tr>
      <w:tr w:rsidR="004843DB" w:rsidRPr="0062582F" w:rsidTr="004843DB">
        <w:trPr>
          <w:cantSplit/>
        </w:trPr>
        <w:tc>
          <w:tcPr>
            <w:tcW w:w="320" w:type="dxa"/>
            <w:tcBorders>
              <w:top w:val="nil"/>
              <w:left w:val="nil"/>
              <w:bottom w:val="nil"/>
              <w:right w:val="nil"/>
            </w:tcBorders>
            <w:shd w:val="clear" w:color="auto" w:fill="auto"/>
            <w:noWrap/>
            <w:hideMark/>
          </w:tcPr>
          <w:p w:rsidR="004843DB" w:rsidRPr="0062582F" w:rsidRDefault="004843DB" w:rsidP="004843DB">
            <w:pPr>
              <w:pStyle w:val="Tabletext"/>
              <w:rPr>
                <w:rFonts w:ascii="Arial" w:hAnsi="Arial"/>
              </w:rPr>
            </w:pPr>
          </w:p>
        </w:tc>
        <w:tc>
          <w:tcPr>
            <w:tcW w:w="530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GST payable </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109</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225</w:t>
            </w:r>
          </w:p>
        </w:tc>
      </w:tr>
      <w:tr w:rsidR="004843DB" w:rsidRPr="0062582F" w:rsidTr="004843DB">
        <w:trPr>
          <w:cantSplit/>
        </w:trPr>
        <w:tc>
          <w:tcPr>
            <w:tcW w:w="320" w:type="dxa"/>
            <w:tcBorders>
              <w:top w:val="nil"/>
              <w:left w:val="nil"/>
              <w:bottom w:val="single" w:sz="4" w:space="0" w:color="auto"/>
              <w:right w:val="nil"/>
            </w:tcBorders>
            <w:shd w:val="clear" w:color="auto" w:fill="auto"/>
            <w:noWrap/>
            <w:hideMark/>
          </w:tcPr>
          <w:p w:rsidR="004843DB" w:rsidRPr="0062582F" w:rsidRDefault="004843DB" w:rsidP="004843DB">
            <w:pPr>
              <w:pStyle w:val="Tabletext"/>
              <w:rPr>
                <w:rFonts w:ascii="Arial" w:hAnsi="Arial"/>
              </w:rPr>
            </w:pPr>
          </w:p>
        </w:tc>
        <w:tc>
          <w:tcPr>
            <w:tcW w:w="530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Other taxes payable</w:t>
            </w:r>
          </w:p>
        </w:tc>
        <w:tc>
          <w:tcPr>
            <w:tcW w:w="124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82</w:t>
            </w:r>
          </w:p>
        </w:tc>
        <w:tc>
          <w:tcPr>
            <w:tcW w:w="124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169</w:t>
            </w:r>
          </w:p>
        </w:tc>
      </w:tr>
      <w:tr w:rsidR="004843DB" w:rsidRPr="0062582F" w:rsidTr="004843DB">
        <w:trPr>
          <w:cantSplit/>
        </w:trPr>
        <w:tc>
          <w:tcPr>
            <w:tcW w:w="3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
              <w:rPr>
                <w:rFonts w:ascii="Arial" w:hAnsi="Arial"/>
              </w:rPr>
            </w:pPr>
            <w:r w:rsidRPr="0062582F">
              <w:rPr>
                <w:rFonts w:ascii="Arial" w:hAnsi="Arial"/>
                <w:vertAlign w:val="superscript"/>
              </w:rPr>
              <w:t xml:space="preserve"> </w:t>
            </w:r>
          </w:p>
        </w:tc>
        <w:tc>
          <w:tcPr>
            <w:tcW w:w="530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273</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562</w:t>
            </w:r>
          </w:p>
        </w:tc>
      </w:tr>
      <w:tr w:rsidR="004843DB" w:rsidRPr="0062582F" w:rsidTr="004843DB">
        <w:trPr>
          <w:cantSplit/>
        </w:trPr>
        <w:tc>
          <w:tcPr>
            <w:tcW w:w="320" w:type="dxa"/>
            <w:tcBorders>
              <w:top w:val="nil"/>
              <w:left w:val="nil"/>
              <w:right w:val="nil"/>
            </w:tcBorders>
            <w:shd w:val="clear" w:color="auto" w:fill="auto"/>
            <w:noWrap/>
            <w:hideMark/>
          </w:tcPr>
          <w:p w:rsidR="004843DB" w:rsidRPr="0062582F" w:rsidRDefault="004843DB" w:rsidP="004843DB">
            <w:pPr>
              <w:pStyle w:val="Tabletext"/>
              <w:rPr>
                <w:rFonts w:ascii="Arial" w:hAnsi="Arial"/>
                <w:b/>
              </w:rPr>
            </w:pPr>
            <w:r w:rsidRPr="0062582F">
              <w:rPr>
                <w:rFonts w:ascii="Arial" w:hAnsi="Arial"/>
                <w:b/>
                <w:vertAlign w:val="superscript"/>
              </w:rPr>
              <w:t xml:space="preserve"> </w:t>
            </w:r>
          </w:p>
        </w:tc>
        <w:tc>
          <w:tcPr>
            <w:tcW w:w="5303" w:type="dxa"/>
            <w:tcBorders>
              <w:top w:val="nil"/>
              <w:left w:val="nil"/>
              <w:right w:val="nil"/>
            </w:tcBorders>
            <w:shd w:val="clear" w:color="auto" w:fill="auto"/>
            <w:hideMark/>
          </w:tcPr>
          <w:p w:rsidR="004843DB" w:rsidRPr="0062582F" w:rsidRDefault="004843DB" w:rsidP="004843DB">
            <w:pPr>
              <w:pStyle w:val="Tabletext"/>
              <w:rPr>
                <w:b/>
              </w:rPr>
            </w:pPr>
            <w:r w:rsidRPr="0062582F">
              <w:rPr>
                <w:b/>
              </w:rPr>
              <w:t>Total current payables</w:t>
            </w:r>
          </w:p>
        </w:tc>
        <w:tc>
          <w:tcPr>
            <w:tcW w:w="1240" w:type="dxa"/>
            <w:tcBorders>
              <w:top w:val="nil"/>
              <w:left w:val="nil"/>
              <w:right w:val="nil"/>
            </w:tcBorders>
            <w:shd w:val="clear" w:color="00FFFF" w:fill="CCCCCC"/>
            <w:noWrap/>
            <w:hideMark/>
          </w:tcPr>
          <w:p w:rsidR="004843DB" w:rsidRPr="0062582F" w:rsidRDefault="004843DB" w:rsidP="004843DB">
            <w:pPr>
              <w:pStyle w:val="TableofFigures"/>
              <w:rPr>
                <w:b/>
              </w:rPr>
            </w:pPr>
            <w:r w:rsidRPr="0062582F">
              <w:rPr>
                <w:b/>
              </w:rPr>
              <w:t>14 686</w:t>
            </w:r>
          </w:p>
        </w:tc>
        <w:tc>
          <w:tcPr>
            <w:tcW w:w="1240" w:type="dxa"/>
            <w:tcBorders>
              <w:top w:val="nil"/>
              <w:left w:val="nil"/>
              <w:right w:val="nil"/>
            </w:tcBorders>
            <w:shd w:val="clear" w:color="auto" w:fill="auto"/>
            <w:noWrap/>
            <w:hideMark/>
          </w:tcPr>
          <w:p w:rsidR="004843DB" w:rsidRPr="0062582F" w:rsidRDefault="004843DB" w:rsidP="004843DB">
            <w:pPr>
              <w:pStyle w:val="TableofFigures"/>
              <w:rPr>
                <w:b/>
              </w:rPr>
            </w:pPr>
            <w:r w:rsidRPr="0062582F">
              <w:rPr>
                <w:b/>
              </w:rPr>
              <w:t>14 647</w:t>
            </w:r>
          </w:p>
        </w:tc>
      </w:tr>
      <w:tr w:rsidR="004843DB" w:rsidRPr="0062582F" w:rsidTr="004843DB">
        <w:trPr>
          <w:cantSplit/>
          <w:trHeight w:hRule="exact" w:val="120"/>
        </w:trPr>
        <w:tc>
          <w:tcPr>
            <w:tcW w:w="320"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rPr>
                <w:vertAlign w:val="superscript"/>
              </w:rPr>
              <w:t xml:space="preserve"> </w:t>
            </w:r>
          </w:p>
        </w:tc>
        <w:tc>
          <w:tcPr>
            <w:tcW w:w="530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nil"/>
              <w:left w:val="nil"/>
              <w:bottom w:val="single" w:sz="4" w:space="0" w:color="auto"/>
              <w:right w:val="nil"/>
            </w:tcBorders>
            <w:shd w:val="clear" w:color="00FFFF" w:fill="CCCCCC"/>
            <w:noWrap/>
            <w:hideMark/>
          </w:tcPr>
          <w:p w:rsidR="004843DB" w:rsidRPr="0062582F" w:rsidRDefault="004843DB" w:rsidP="004843DB">
            <w:pPr>
              <w:pStyle w:val="Tabletext"/>
            </w:pPr>
            <w:r w:rsidRPr="0062582F">
              <w:t xml:space="preserve"> </w:t>
            </w:r>
          </w:p>
        </w:tc>
        <w:tc>
          <w:tcPr>
            <w:tcW w:w="1240"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r>
      <w:tr w:rsidR="004843DB" w:rsidRPr="0062582F" w:rsidTr="004843DB">
        <w:trPr>
          <w:cantSplit/>
        </w:trPr>
        <w:tc>
          <w:tcPr>
            <w:tcW w:w="320" w:type="dxa"/>
            <w:tcBorders>
              <w:top w:val="single" w:sz="4" w:space="0" w:color="auto"/>
              <w:left w:val="nil"/>
              <w:bottom w:val="nil"/>
              <w:right w:val="nil"/>
            </w:tcBorders>
            <w:shd w:val="clear" w:color="auto" w:fill="auto"/>
            <w:noWrap/>
            <w:hideMark/>
          </w:tcPr>
          <w:p w:rsidR="004843DB" w:rsidRPr="0062582F" w:rsidRDefault="004843DB" w:rsidP="004843DB">
            <w:pPr>
              <w:pStyle w:val="Tabletext"/>
              <w:rPr>
                <w:rFonts w:ascii="Arial" w:hAnsi="Arial"/>
                <w:b/>
              </w:rPr>
            </w:pPr>
            <w:r w:rsidRPr="0062582F">
              <w:rPr>
                <w:rFonts w:ascii="Arial" w:hAnsi="Arial"/>
                <w:b/>
                <w:vertAlign w:val="superscript"/>
              </w:rPr>
              <w:t xml:space="preserve"> </w:t>
            </w:r>
          </w:p>
        </w:tc>
        <w:tc>
          <w:tcPr>
            <w:tcW w:w="5303" w:type="dxa"/>
            <w:tcBorders>
              <w:top w:val="single" w:sz="4"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Non</w:t>
            </w:r>
            <w:r w:rsidR="005A4BB0">
              <w:rPr>
                <w:b/>
              </w:rPr>
              <w:noBreakHyphen/>
            </w:r>
            <w:r w:rsidRPr="0062582F">
              <w:rPr>
                <w:b/>
              </w:rPr>
              <w:t>current payables</w:t>
            </w:r>
          </w:p>
        </w:tc>
        <w:tc>
          <w:tcPr>
            <w:tcW w:w="124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2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320" w:type="dxa"/>
            <w:tcBorders>
              <w:top w:val="nil"/>
              <w:left w:val="nil"/>
              <w:bottom w:val="nil"/>
              <w:right w:val="nil"/>
            </w:tcBorders>
            <w:shd w:val="clear" w:color="auto" w:fill="auto"/>
            <w:noWrap/>
            <w:hideMark/>
          </w:tcPr>
          <w:p w:rsidR="004843DB" w:rsidRPr="0062582F" w:rsidRDefault="004843DB" w:rsidP="004843DB">
            <w:pPr>
              <w:pStyle w:val="Tabletext"/>
              <w:rPr>
                <w:rFonts w:ascii="Arial" w:hAnsi="Arial"/>
                <w:b/>
                <w:i/>
              </w:rPr>
            </w:pPr>
            <w:r w:rsidRPr="0062582F">
              <w:rPr>
                <w:rFonts w:ascii="Arial" w:hAnsi="Arial"/>
                <w:b/>
                <w:i/>
                <w:vertAlign w:val="superscript"/>
              </w:rPr>
              <w:t xml:space="preserve"> </w:t>
            </w:r>
          </w:p>
        </w:tc>
        <w:tc>
          <w:tcPr>
            <w:tcW w:w="5303" w:type="dxa"/>
            <w:tcBorders>
              <w:top w:val="nil"/>
              <w:left w:val="nil"/>
              <w:bottom w:val="nil"/>
              <w:right w:val="nil"/>
            </w:tcBorders>
            <w:shd w:val="clear" w:color="auto" w:fill="auto"/>
            <w:hideMark/>
          </w:tcPr>
          <w:p w:rsidR="004843DB" w:rsidRPr="0062582F" w:rsidRDefault="004843DB" w:rsidP="004843DB">
            <w:pPr>
              <w:pStyle w:val="Tabletext"/>
              <w:rPr>
                <w:b/>
                <w:i/>
              </w:rPr>
            </w:pPr>
            <w:r w:rsidRPr="0062582F">
              <w:rPr>
                <w:b/>
                <w:i/>
              </w:rPr>
              <w:t>Contractual</w:t>
            </w:r>
          </w:p>
        </w:tc>
        <w:tc>
          <w:tcPr>
            <w:tcW w:w="1240" w:type="dxa"/>
            <w:tcBorders>
              <w:top w:val="nil"/>
              <w:left w:val="nil"/>
              <w:bottom w:val="nil"/>
              <w:right w:val="nil"/>
            </w:tcBorders>
            <w:shd w:val="clear" w:color="000000" w:fill="CCCCCC"/>
            <w:noWrap/>
            <w:hideMark/>
          </w:tcPr>
          <w:p w:rsidR="004843DB" w:rsidRPr="0062582F" w:rsidRDefault="004843DB" w:rsidP="004843DB">
            <w:pPr>
              <w:pStyle w:val="TableofFigures"/>
              <w:rPr>
                <w:b/>
                <w:i/>
              </w:rPr>
            </w:pPr>
            <w:r w:rsidRPr="0062582F">
              <w:rPr>
                <w:b/>
                <w:i/>
              </w:rPr>
              <w:t xml:space="preserve"> </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rPr>
                <w:b/>
                <w:i/>
              </w:rPr>
            </w:pPr>
            <w:r w:rsidRPr="0062582F">
              <w:rPr>
                <w:b/>
                <w:i/>
              </w:rPr>
              <w:t xml:space="preserve"> </w:t>
            </w:r>
          </w:p>
        </w:tc>
      </w:tr>
      <w:tr w:rsidR="004843DB" w:rsidRPr="0062582F" w:rsidTr="004843DB">
        <w:trPr>
          <w:cantSplit/>
        </w:trPr>
        <w:tc>
          <w:tcPr>
            <w:tcW w:w="320" w:type="dxa"/>
            <w:tcBorders>
              <w:top w:val="nil"/>
              <w:left w:val="nil"/>
              <w:bottom w:val="nil"/>
              <w:right w:val="nil"/>
            </w:tcBorders>
            <w:shd w:val="clear" w:color="auto" w:fill="auto"/>
            <w:noWrap/>
            <w:hideMark/>
          </w:tcPr>
          <w:p w:rsidR="004843DB" w:rsidRPr="0062582F" w:rsidRDefault="004843DB" w:rsidP="004843DB">
            <w:pPr>
              <w:pStyle w:val="Tabletext"/>
              <w:rPr>
                <w:rFonts w:ascii="Arial" w:hAnsi="Arial"/>
              </w:rPr>
            </w:pPr>
          </w:p>
        </w:tc>
        <w:tc>
          <w:tcPr>
            <w:tcW w:w="530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Amounts payable to government and agencies </w:t>
            </w:r>
            <w:r w:rsidRPr="0062582F">
              <w:rPr>
                <w:rFonts w:ascii="Arial" w:hAnsi="Arial"/>
                <w:vertAlign w:val="superscript"/>
              </w:rPr>
              <w:t>(ii)</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2 843</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1 514</w:t>
            </w:r>
          </w:p>
        </w:tc>
      </w:tr>
      <w:tr w:rsidR="004843DB" w:rsidRPr="0062582F" w:rsidTr="004843DB">
        <w:trPr>
          <w:cantSplit/>
        </w:trPr>
        <w:tc>
          <w:tcPr>
            <w:tcW w:w="320" w:type="dxa"/>
            <w:tcBorders>
              <w:top w:val="nil"/>
              <w:left w:val="nil"/>
              <w:bottom w:val="single" w:sz="4" w:space="0" w:color="auto"/>
              <w:right w:val="nil"/>
            </w:tcBorders>
            <w:shd w:val="clear" w:color="auto" w:fill="auto"/>
            <w:noWrap/>
            <w:hideMark/>
          </w:tcPr>
          <w:p w:rsidR="004843DB" w:rsidRPr="0062582F" w:rsidRDefault="004843DB" w:rsidP="004843DB">
            <w:pPr>
              <w:pStyle w:val="Tabletext"/>
              <w:rPr>
                <w:rFonts w:ascii="Arial" w:hAnsi="Arial"/>
              </w:rPr>
            </w:pPr>
          </w:p>
        </w:tc>
        <w:tc>
          <w:tcPr>
            <w:tcW w:w="530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Other payables </w:t>
            </w:r>
            <w:r w:rsidRPr="0062582F">
              <w:rPr>
                <w:rFonts w:ascii="Arial" w:hAnsi="Arial"/>
                <w:vertAlign w:val="superscript"/>
              </w:rPr>
              <w:t>(i)</w:t>
            </w:r>
          </w:p>
        </w:tc>
        <w:tc>
          <w:tcPr>
            <w:tcW w:w="124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62</w:t>
            </w:r>
          </w:p>
        </w:tc>
        <w:tc>
          <w:tcPr>
            <w:tcW w:w="12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543</w:t>
            </w:r>
          </w:p>
        </w:tc>
      </w:tr>
      <w:tr w:rsidR="004843DB" w:rsidRPr="0062582F" w:rsidTr="004843DB">
        <w:trPr>
          <w:cantSplit/>
        </w:trPr>
        <w:tc>
          <w:tcPr>
            <w:tcW w:w="320"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rPr>
                <w:vertAlign w:val="superscript"/>
              </w:rPr>
              <w:t xml:space="preserve"> </w:t>
            </w:r>
          </w:p>
        </w:tc>
        <w:tc>
          <w:tcPr>
            <w:tcW w:w="5303"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24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2 905</w:t>
            </w:r>
          </w:p>
        </w:tc>
        <w:tc>
          <w:tcPr>
            <w:tcW w:w="12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2 057</w:t>
            </w:r>
          </w:p>
        </w:tc>
      </w:tr>
      <w:tr w:rsidR="004843DB" w:rsidRPr="0062582F" w:rsidTr="004843DB">
        <w:trPr>
          <w:cantSplit/>
        </w:trPr>
        <w:tc>
          <w:tcPr>
            <w:tcW w:w="320" w:type="dxa"/>
            <w:tcBorders>
              <w:top w:val="nil"/>
              <w:left w:val="nil"/>
              <w:bottom w:val="single" w:sz="4" w:space="0" w:color="auto"/>
              <w:right w:val="nil"/>
            </w:tcBorders>
            <w:shd w:val="clear" w:color="auto" w:fill="auto"/>
            <w:noWrap/>
            <w:hideMark/>
          </w:tcPr>
          <w:p w:rsidR="004843DB" w:rsidRPr="0062582F" w:rsidRDefault="004843DB" w:rsidP="004843DB">
            <w:pPr>
              <w:pStyle w:val="Tabletext"/>
              <w:rPr>
                <w:rFonts w:ascii="Arial" w:hAnsi="Arial"/>
                <w:b/>
              </w:rPr>
            </w:pPr>
            <w:r w:rsidRPr="0062582F">
              <w:rPr>
                <w:rFonts w:ascii="Arial" w:hAnsi="Arial"/>
                <w:b/>
                <w:vertAlign w:val="superscript"/>
              </w:rPr>
              <w:t xml:space="preserve"> </w:t>
            </w:r>
          </w:p>
        </w:tc>
        <w:tc>
          <w:tcPr>
            <w:tcW w:w="530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non</w:t>
            </w:r>
            <w:r w:rsidR="005A4BB0">
              <w:rPr>
                <w:b/>
              </w:rPr>
              <w:noBreakHyphen/>
            </w:r>
            <w:r w:rsidRPr="0062582F">
              <w:rPr>
                <w:b/>
              </w:rPr>
              <w:t>current payables</w:t>
            </w:r>
          </w:p>
        </w:tc>
        <w:tc>
          <w:tcPr>
            <w:tcW w:w="124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2 905</w:t>
            </w:r>
          </w:p>
        </w:tc>
        <w:tc>
          <w:tcPr>
            <w:tcW w:w="124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2 057</w:t>
            </w:r>
          </w:p>
        </w:tc>
      </w:tr>
      <w:tr w:rsidR="004843DB" w:rsidRPr="0062582F" w:rsidTr="004843DB">
        <w:trPr>
          <w:cantSplit/>
        </w:trPr>
        <w:tc>
          <w:tcPr>
            <w:tcW w:w="32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text"/>
              <w:rPr>
                <w:rFonts w:ascii="Arial" w:hAnsi="Arial"/>
                <w:b/>
              </w:rPr>
            </w:pPr>
            <w:r w:rsidRPr="0062582F">
              <w:rPr>
                <w:rFonts w:ascii="Arial" w:hAnsi="Arial"/>
                <w:b/>
                <w:vertAlign w:val="superscript"/>
              </w:rPr>
              <w:t xml:space="preserve"> </w:t>
            </w:r>
          </w:p>
        </w:tc>
        <w:tc>
          <w:tcPr>
            <w:tcW w:w="530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payables</w:t>
            </w:r>
          </w:p>
        </w:tc>
        <w:tc>
          <w:tcPr>
            <w:tcW w:w="124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17 591</w:t>
            </w:r>
          </w:p>
        </w:tc>
        <w:tc>
          <w:tcPr>
            <w:tcW w:w="12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16 704</w:t>
            </w:r>
          </w:p>
        </w:tc>
      </w:tr>
    </w:tbl>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rPr>
          <w:lang w:val="en-AU"/>
        </w:rPr>
        <w:t>AASB 7.7, 7.31</w:t>
      </w:r>
    </w:p>
    <w:p w:rsidR="004843DB" w:rsidRPr="0062582F" w:rsidRDefault="004843DB" w:rsidP="004843DB">
      <w:pPr>
        <w:pStyle w:val="Notes"/>
      </w:pPr>
      <w:r w:rsidRPr="0062582F">
        <w:br w:type="column"/>
        <w:t>Notes:</w:t>
      </w:r>
    </w:p>
    <w:p w:rsidR="004843DB" w:rsidRPr="0062582F" w:rsidRDefault="004843DB" w:rsidP="004843DB">
      <w:pPr>
        <w:pStyle w:val="Notes"/>
      </w:pPr>
      <w:r w:rsidRPr="0062582F">
        <w:t>(i)</w:t>
      </w:r>
      <w:r w:rsidRPr="0062582F">
        <w:tab/>
        <w:t xml:space="preserve">The average credit period is 30 days. No interest is charged on the other payables for the first 30 days from the date of the invoice. Thereafter, interest is charged at 2 per cent per year on the outstanding balance. </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t>AASB 7.7, 7.31</w:t>
      </w:r>
    </w:p>
    <w:p w:rsidR="004843DB" w:rsidRDefault="004843DB" w:rsidP="004843DB">
      <w:pPr>
        <w:pStyle w:val="Notes"/>
      </w:pPr>
      <w:r w:rsidRPr="0062582F">
        <w:br w:type="column"/>
        <w:t>(ii)</w:t>
      </w:r>
      <w:r w:rsidRPr="0062582F">
        <w:tab/>
        <w:t>Terms and conditions of amounts payable to other government agencies vary according to a particular agreement with that agency.</w:t>
      </w:r>
    </w:p>
    <w:p w:rsidR="004843DB" w:rsidRPr="00AE1F58" w:rsidRDefault="004843DB" w:rsidP="004843DB">
      <w:pPr>
        <w:pStyle w:val="NotesIndent"/>
        <w:ind w:left="454" w:firstLine="2"/>
        <w:rPr>
          <w:color w:val="0000FF"/>
        </w:rPr>
      </w:pPr>
      <w:r w:rsidRPr="00AE1F58">
        <w:rPr>
          <w:color w:val="0000FF"/>
        </w:rPr>
        <w:t>[The agreement in place in this case is not legislative, but contractual and therefore this payable is a financial instrument.]</w:t>
      </w:r>
    </w:p>
    <w:p w:rsidR="004843DB" w:rsidRPr="0062582F" w:rsidRDefault="004843DB" w:rsidP="004843DB">
      <w:pPr>
        <w:pStyle w:val="Notes"/>
      </w:pPr>
      <w:r w:rsidRPr="00AE1F58">
        <w:rPr>
          <w:color w:val="0000FF"/>
        </w:rPr>
        <w:t>(iii)</w:t>
      </w:r>
      <w:r w:rsidRPr="00AE1F58">
        <w:rPr>
          <w:color w:val="0000FF"/>
        </w:rPr>
        <w:tab/>
      </w:r>
      <w:r w:rsidRPr="0062582F">
        <w:rPr>
          <w:color w:val="0000FF"/>
        </w:rPr>
        <w:t xml:space="preserve">[Where amount of taxes payable is material, entities should present statutory </w:t>
      </w:r>
      <w:r w:rsidR="005A4BB0">
        <w:rPr>
          <w:color w:val="0000FF"/>
        </w:rPr>
        <w:t>‘</w:t>
      </w:r>
      <w:r w:rsidRPr="0062582F">
        <w:rPr>
          <w:color w:val="0000FF"/>
        </w:rPr>
        <w:t>taxes payable</w:t>
      </w:r>
      <w:r w:rsidR="005A4BB0">
        <w:rPr>
          <w:color w:val="0000FF"/>
        </w:rPr>
        <w:t>’</w:t>
      </w:r>
      <w:r w:rsidRPr="0062582F">
        <w:rPr>
          <w:color w:val="0000FF"/>
        </w:rPr>
        <w:t xml:space="preserve"> in the note broken down by classes of taxes, i.e. GST payable, FBT payable, income tax payable, and other taxes payable, as appropriate.]</w:t>
      </w:r>
    </w:p>
    <w:p w:rsidR="004843DB" w:rsidRPr="0062582F" w:rsidRDefault="004843DB" w:rsidP="004843DB"/>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7.39(a)</w:t>
      </w:r>
    </w:p>
    <w:p w:rsidR="004843DB" w:rsidRPr="0062582F" w:rsidRDefault="004843DB" w:rsidP="004843DB">
      <w:pPr>
        <w:pStyle w:val="Heading5"/>
      </w:pPr>
      <w:r w:rsidRPr="0062582F">
        <w:br w:type="column"/>
        <w:t>(a)</w:t>
      </w:r>
      <w:r w:rsidRPr="0062582F">
        <w:tab/>
        <w:t>Maturity analysis of contractual payables</w:t>
      </w:r>
    </w:p>
    <w:p w:rsidR="004843DB" w:rsidRPr="0062582F" w:rsidRDefault="004843DB" w:rsidP="004843DB">
      <w:pPr>
        <w:pStyle w:val="NormalIndent2"/>
      </w:pPr>
      <w:r w:rsidRPr="0062582F">
        <w:t>Please refer to Table 33.5 in Note 33 for the maturity analysis of contractual payables.</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80"/>
      </w:pPr>
      <w:r w:rsidRPr="0062582F">
        <w:t>AASB 7.31</w:t>
      </w:r>
    </w:p>
    <w:p w:rsidR="004843DB" w:rsidRPr="0062582F" w:rsidRDefault="004843DB" w:rsidP="004843DB">
      <w:pPr>
        <w:pStyle w:val="Heading5"/>
      </w:pPr>
      <w:r w:rsidRPr="0062582F">
        <w:br w:type="column"/>
        <w:t>(b)</w:t>
      </w:r>
      <w:r w:rsidRPr="0062582F">
        <w:tab/>
        <w:t>Nature and extent of risk arising from contractual payables</w:t>
      </w:r>
    </w:p>
    <w:p w:rsidR="004843DB" w:rsidRPr="0062582F" w:rsidRDefault="004843DB" w:rsidP="004843DB">
      <w:pPr>
        <w:pStyle w:val="NormalIndent2"/>
      </w:pPr>
      <w:r w:rsidRPr="0062582F">
        <w:t>Please refer to Note 33 for the nature and extent of risks arising from contractual payables.</w:t>
      </w:r>
    </w:p>
    <w:p w:rsidR="004843DB" w:rsidRPr="0062582F" w:rsidRDefault="004843DB" w:rsidP="004843DB"/>
    <w:p w:rsidR="004843DB" w:rsidRPr="0062582F" w:rsidRDefault="004843DB" w:rsidP="004843DB">
      <w:pPr>
        <w:pStyle w:val="SmallLine"/>
      </w:pPr>
      <w:r w:rsidRPr="0062582F">
        <w:br w:type="page"/>
      </w: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Commentary – Payables</w:t>
      </w:r>
    </w:p>
    <w:p w:rsidR="004843DB" w:rsidRPr="0062582F" w:rsidRDefault="004843DB" w:rsidP="004843DB">
      <w:pPr>
        <w:pStyle w:val="SmallLineBlue"/>
        <w:pBdr>
          <w:bottom w:val="none" w:sz="0" w:space="0" w:color="auto"/>
        </w:pBdr>
        <w:rPr>
          <w:rStyle w:val="SmallLineChar"/>
        </w:rPr>
      </w:pPr>
    </w:p>
    <w:p w:rsidR="004843DB" w:rsidRPr="0062582F" w:rsidRDefault="004843DB" w:rsidP="004843DB">
      <w:pPr>
        <w:pStyle w:val="CommentaryHeading1"/>
        <w:pBdr>
          <w:top w:val="none" w:sz="0" w:space="0" w:color="auto"/>
          <w:bottom w:val="none" w:sz="0" w:space="0" w:color="auto"/>
        </w:pBdr>
      </w:pPr>
      <w:r w:rsidRPr="0062582F">
        <w:t>Statutory payables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t>AASB </w:t>
      </w:r>
      <w:r w:rsidRPr="0062582F">
        <w:rPr>
          <w:lang w:val="en-AU"/>
        </w:rPr>
        <w:t>132.AG12</w:t>
      </w:r>
    </w:p>
    <w:p w:rsidR="004843DB" w:rsidRPr="0062582F" w:rsidRDefault="004843DB" w:rsidP="004843DB">
      <w:pPr>
        <w:pStyle w:val="CommentaryText"/>
        <w:pBdr>
          <w:top w:val="none" w:sz="0" w:space="0" w:color="auto"/>
          <w:bottom w:val="none" w:sz="0" w:space="0" w:color="auto"/>
        </w:pBdr>
      </w:pPr>
      <w:r w:rsidRPr="0062582F">
        <w:br w:type="column"/>
        <w:t>Liabilities that are not contractual (such as liabilities that arise as a result of statutory requirements), are not financial liabilities as defined. Therefore, although these liabilities are similar to financial instruments, they are in fact not in the scope of AASB 7. However, entities may wish to apply disclosure requirements similar to those from AASB 7 to such liabilities at their own discretion.</w:t>
      </w:r>
    </w:p>
    <w:p w:rsidR="004843DB" w:rsidRPr="0062582F" w:rsidRDefault="004843DB" w:rsidP="004843DB">
      <w:pPr>
        <w:pStyle w:val="CommentaryText"/>
        <w:pBdr>
          <w:top w:val="none" w:sz="0" w:space="0" w:color="auto"/>
        </w:pBdr>
        <w:rPr>
          <w:b/>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136.17</w:t>
      </w:r>
      <w:r w:rsidR="005A4BB0">
        <w:noBreakHyphen/>
      </w:r>
      <w:r w:rsidRPr="0062582F">
        <w:t>23</w:t>
      </w:r>
    </w:p>
    <w:p w:rsidR="004843DB" w:rsidRPr="0062582F" w:rsidRDefault="004843DB" w:rsidP="004843DB">
      <w:pPr>
        <w:pStyle w:val="CommentaryText"/>
        <w:pBdr>
          <w:top w:val="none" w:sz="0" w:space="0" w:color="auto"/>
          <w:bottom w:val="none" w:sz="0" w:space="0" w:color="auto"/>
        </w:pBdr>
        <w:rPr>
          <w:b/>
        </w:rPr>
      </w:pPr>
      <w:r w:rsidRPr="0062582F">
        <w:rPr>
          <w:b/>
        </w:rPr>
        <w:br w:type="column"/>
        <w:t>Note: impairment of statutory payables is determined under AASB 136, and not AASB 139.</w:t>
      </w:r>
    </w:p>
    <w:p w:rsidR="004843DB" w:rsidRPr="0062582F" w:rsidRDefault="004843DB" w:rsidP="004843DB">
      <w:pPr>
        <w:pStyle w:val="CommentaryText"/>
        <w:rPr>
          <w:b/>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t>AASB </w:t>
      </w:r>
      <w:r w:rsidRPr="0062582F">
        <w:rPr>
          <w:lang w:val="en-AU"/>
        </w:rPr>
        <w:t>139.9</w:t>
      </w:r>
    </w:p>
    <w:p w:rsidR="004843DB" w:rsidRPr="0062582F" w:rsidRDefault="004843DB" w:rsidP="004843DB">
      <w:pPr>
        <w:pStyle w:val="CommentaryHeading1"/>
        <w:pBdr>
          <w:top w:val="none" w:sz="0" w:space="0" w:color="auto"/>
          <w:bottom w:val="none" w:sz="0" w:space="0" w:color="auto"/>
        </w:pBdr>
      </w:pPr>
      <w:r w:rsidRPr="0062582F">
        <w:br w:type="column"/>
        <w:t>Financial guarantees</w:t>
      </w:r>
    </w:p>
    <w:p w:rsidR="004843DB" w:rsidRPr="0062582F" w:rsidRDefault="004843DB" w:rsidP="004843DB">
      <w:pPr>
        <w:pStyle w:val="CommentaryText"/>
        <w:pBdr>
          <w:top w:val="none" w:sz="0" w:space="0" w:color="auto"/>
          <w:bottom w:val="none" w:sz="0" w:space="0" w:color="auto"/>
        </w:pBdr>
      </w:pPr>
      <w:r w:rsidRPr="0062582F">
        <w:t>An entity shall disclose the fair value of any financial guarantee that it provides to third parties, should the fair value of the liability become greater than zero, either as part of this note for payables or in the note for other payables. See Note 1(N) for policy on how to recognise and measure financial guarantees.</w:t>
      </w:r>
    </w:p>
    <w:p w:rsidR="004843DB" w:rsidRPr="0062582F" w:rsidRDefault="004843DB" w:rsidP="004843DB">
      <w:pPr>
        <w:pStyle w:val="CommentaryHeading1"/>
        <w:pBdr>
          <w:top w:val="none" w:sz="0" w:space="0" w:color="auto"/>
          <w:bottom w:val="none" w:sz="0" w:space="0" w:color="auto"/>
        </w:pBdr>
      </w:pPr>
      <w:r w:rsidRPr="0062582F">
        <w:t xml:space="preserve">Financial instruments disclosures </w:t>
      </w:r>
    </w:p>
    <w:p w:rsidR="004843DB" w:rsidRPr="0062582F" w:rsidRDefault="004843DB" w:rsidP="004843DB">
      <w:pPr>
        <w:pStyle w:val="CommentaryHeading2"/>
      </w:pPr>
      <w:r w:rsidRPr="0062582F">
        <w:t>Significance of financial instruments</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7.7</w:t>
      </w:r>
    </w:p>
    <w:p w:rsidR="004843DB" w:rsidRPr="0062582F" w:rsidRDefault="004843DB" w:rsidP="004843DB">
      <w:pPr>
        <w:pStyle w:val="CommentaryText"/>
        <w:pBdr>
          <w:top w:val="none" w:sz="0" w:space="0" w:color="auto"/>
          <w:bottom w:val="none" w:sz="0" w:space="0" w:color="auto"/>
        </w:pBdr>
      </w:pPr>
      <w:r w:rsidRPr="0062582F">
        <w:br w:type="column"/>
        <w:t>AASB 7 requires an entity to disclose information that enables users of financial statements to evaluate the significance of financial instruments for its financial position and performance.</w:t>
      </w:r>
    </w:p>
    <w:p w:rsidR="004843DB" w:rsidRPr="0062582F" w:rsidRDefault="004843DB" w:rsidP="004843DB">
      <w:pPr>
        <w:pStyle w:val="CommentaryHeading2"/>
      </w:pPr>
      <w:r w:rsidRPr="0062582F">
        <w:t>Nature and extent of risks arising from financial instruments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7.31</w:t>
      </w:r>
    </w:p>
    <w:p w:rsidR="004843DB" w:rsidRPr="0062582F" w:rsidRDefault="004843DB" w:rsidP="004843DB">
      <w:pPr>
        <w:pStyle w:val="CommentaryText"/>
        <w:pBdr>
          <w:top w:val="none" w:sz="0" w:space="0" w:color="auto"/>
        </w:pBdr>
      </w:pPr>
      <w:r w:rsidRPr="0062582F">
        <w:br w:type="column"/>
        <w:t>An entity shall also disclose information that enables users of its financial statements to evaluate the nature and extent of risks arising from financial instruments to which the entity is exposed at the end of the reporting period.</w:t>
      </w:r>
    </w:p>
    <w:p w:rsidR="004843DB" w:rsidRPr="0062582F" w:rsidRDefault="004843DB" w:rsidP="004843DB">
      <w:pPr>
        <w:pStyle w:val="CommentaryText"/>
        <w:pBdr>
          <w:top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br w:type="column"/>
      </w:r>
      <w:r w:rsidRPr="0062582F">
        <w:br w:type="column"/>
      </w:r>
    </w:p>
    <w:p w:rsidR="004843DB" w:rsidRPr="0062582F" w:rsidRDefault="004843DB" w:rsidP="004843DB">
      <w:pPr>
        <w:pStyle w:val="NoteHeading"/>
      </w:pPr>
      <w:r w:rsidRPr="0062582F">
        <w:br w:type="column"/>
      </w:r>
      <w:bookmarkStart w:id="475" w:name="_Toc332019481"/>
      <w:bookmarkStart w:id="476" w:name="_Toc366843368"/>
      <w:bookmarkStart w:id="477" w:name="_Toc448157202"/>
      <w:r w:rsidRPr="0062582F">
        <w:t>Note 23.</w:t>
      </w:r>
      <w:r w:rsidRPr="0062582F">
        <w:tab/>
        <w:t>Borrowings</w:t>
      </w:r>
      <w:bookmarkEnd w:id="475"/>
      <w:bookmarkEnd w:id="476"/>
      <w:bookmarkEnd w:id="477"/>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p>
    <w:p w:rsidR="004843DB" w:rsidRPr="0062582F" w:rsidRDefault="004843DB" w:rsidP="004843DB">
      <w:pPr>
        <w:pStyle w:val="SmallLine"/>
      </w:pPr>
      <w:r w:rsidRPr="0062582F">
        <w:br/>
      </w:r>
    </w:p>
    <w:p w:rsidR="004843DB" w:rsidRPr="0062582F" w:rsidRDefault="004843DB" w:rsidP="004843DB">
      <w:pPr>
        <w:pStyle w:val="Reference"/>
      </w:pPr>
      <w:r w:rsidRPr="0062582F">
        <w:t>AASB 101.61</w:t>
      </w:r>
    </w:p>
    <w:p w:rsidR="004843DB" w:rsidRPr="0062582F" w:rsidRDefault="004843DB" w:rsidP="004843DB">
      <w:pPr>
        <w:pStyle w:val="Reference"/>
      </w:pPr>
    </w:p>
    <w:p w:rsidR="004843DB" w:rsidRPr="0062582F" w:rsidRDefault="004843DB" w:rsidP="004843DB">
      <w:pPr>
        <w:pStyle w:val="ReferenceRed"/>
        <w:spacing w:before="120"/>
      </w:pPr>
    </w:p>
    <w:p w:rsidR="004843DB" w:rsidRPr="0062582F" w:rsidRDefault="004843DB" w:rsidP="004843DB">
      <w:pPr>
        <w:pStyle w:val="Reference"/>
        <w:spacing w:before="0"/>
      </w:pPr>
      <w:r w:rsidRPr="0062582F">
        <w:t xml:space="preserve">Recommendation 12, PAEC Report 115 </w:t>
      </w: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r w:rsidRPr="0062582F">
        <w:br/>
      </w:r>
      <w:r w:rsidRPr="0062582F">
        <w:br/>
      </w:r>
      <w:r w:rsidRPr="0062582F">
        <w:br/>
      </w:r>
    </w:p>
    <w:p w:rsidR="004843DB" w:rsidRPr="0062582F" w:rsidRDefault="004843DB" w:rsidP="004843DB">
      <w:pPr>
        <w:pStyle w:val="Reference"/>
        <w:spacing w:before="240"/>
      </w:pPr>
      <w:r w:rsidRPr="0062582F">
        <w:t>AASB 101.61</w:t>
      </w:r>
    </w:p>
    <w:p w:rsidR="004843DB" w:rsidRPr="0062582F" w:rsidRDefault="004843DB" w:rsidP="004843DB">
      <w:pPr>
        <w:pStyle w:val="Reference"/>
        <w:spacing w:before="240"/>
      </w:pPr>
    </w:p>
    <w:p w:rsidR="004843DB" w:rsidRPr="0062582F" w:rsidRDefault="004843DB" w:rsidP="004843DB">
      <w:pPr>
        <w:pStyle w:val="million"/>
      </w:pPr>
    </w:p>
    <w:p w:rsidR="004843DB" w:rsidRPr="0062582F" w:rsidRDefault="004843DB" w:rsidP="004843DB">
      <w:pPr>
        <w:pStyle w:val="TableTextCentred"/>
        <w:rPr>
          <w:rFonts w:ascii="Tahoma" w:hAnsi="Tahoma" w:cs="Tahoma"/>
          <w:sz w:val="20"/>
        </w:rPr>
      </w:pPr>
      <w:r w:rsidRPr="0062582F">
        <w:br w:type="column"/>
      </w:r>
      <w:r w:rsidRPr="0062582F">
        <w:rPr>
          <w:i/>
        </w:rPr>
        <w:t>($ thousand)</w:t>
      </w:r>
    </w:p>
    <w:tbl>
      <w:tblPr>
        <w:tblW w:w="8143" w:type="dxa"/>
        <w:tblLayout w:type="fixed"/>
        <w:tblCellMar>
          <w:left w:w="43" w:type="dxa"/>
          <w:right w:w="43" w:type="dxa"/>
        </w:tblCellMar>
        <w:tblLook w:val="04A0" w:firstRow="1" w:lastRow="0" w:firstColumn="1" w:lastColumn="0" w:noHBand="0" w:noVBand="1"/>
      </w:tblPr>
      <w:tblGrid>
        <w:gridCol w:w="5623"/>
        <w:gridCol w:w="1260"/>
        <w:gridCol w:w="1260"/>
      </w:tblGrid>
      <w:tr w:rsidR="004843DB" w:rsidRPr="0062582F" w:rsidTr="004843DB">
        <w:trPr>
          <w:cantSplit/>
        </w:trPr>
        <w:tc>
          <w:tcPr>
            <w:tcW w:w="562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
            </w:pPr>
          </w:p>
        </w:tc>
        <w:tc>
          <w:tcPr>
            <w:tcW w:w="126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2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 xml:space="preserve">Current borrowings </w:t>
            </w:r>
          </w:p>
        </w:tc>
        <w:tc>
          <w:tcPr>
            <w:tcW w:w="126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Bank overdrafts</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5 437</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Finance lease liabilities </w:t>
            </w:r>
            <w:r w:rsidRPr="0062582F">
              <w:rPr>
                <w:rFonts w:ascii="Arial" w:hAnsi="Arial"/>
                <w:vertAlign w:val="superscript"/>
              </w:rPr>
              <w:t>(i)</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cantSplit/>
        </w:trPr>
        <w:tc>
          <w:tcPr>
            <w:tcW w:w="5623" w:type="dxa"/>
            <w:tcBorders>
              <w:top w:val="nil"/>
              <w:left w:val="nil"/>
              <w:bottom w:val="nil"/>
              <w:right w:val="nil"/>
            </w:tcBorders>
            <w:shd w:val="clear" w:color="auto" w:fill="auto"/>
          </w:tcPr>
          <w:p w:rsidR="004843DB" w:rsidRPr="0062582F" w:rsidRDefault="004843DB" w:rsidP="004843DB">
            <w:pPr>
              <w:pStyle w:val="Tabletext"/>
            </w:pPr>
            <w:r w:rsidRPr="0062582F">
              <w:t>– PPP related finance lease liabilities</w:t>
            </w:r>
          </w:p>
        </w:tc>
        <w:tc>
          <w:tcPr>
            <w:tcW w:w="1260" w:type="dxa"/>
            <w:tcBorders>
              <w:top w:val="nil"/>
              <w:left w:val="nil"/>
              <w:bottom w:val="nil"/>
              <w:right w:val="nil"/>
            </w:tcBorders>
            <w:shd w:val="clear" w:color="00FFFF" w:fill="CCCCCC"/>
            <w:noWrap/>
          </w:tcPr>
          <w:p w:rsidR="004843DB" w:rsidRPr="0062582F" w:rsidRDefault="004843DB" w:rsidP="004843DB">
            <w:pPr>
              <w:pStyle w:val="TableofFigures"/>
            </w:pPr>
            <w:r w:rsidRPr="0062582F">
              <w:t>2 643</w:t>
            </w:r>
          </w:p>
        </w:tc>
        <w:tc>
          <w:tcPr>
            <w:tcW w:w="1260" w:type="dxa"/>
            <w:tcBorders>
              <w:top w:val="nil"/>
              <w:left w:val="nil"/>
              <w:bottom w:val="nil"/>
              <w:right w:val="nil"/>
            </w:tcBorders>
            <w:shd w:val="clear" w:color="auto" w:fill="auto"/>
            <w:noWrap/>
          </w:tcPr>
          <w:p w:rsidR="004843DB" w:rsidRPr="0062582F" w:rsidRDefault="004843DB" w:rsidP="004843DB">
            <w:pPr>
              <w:pStyle w:val="TableofFigures"/>
            </w:pPr>
            <w:r w:rsidRPr="0062582F">
              <w:t>6 670</w:t>
            </w:r>
          </w:p>
        </w:tc>
      </w:tr>
      <w:tr w:rsidR="004843DB" w:rsidRPr="0062582F" w:rsidTr="004843DB">
        <w:trPr>
          <w:cantSplit/>
        </w:trPr>
        <w:tc>
          <w:tcPr>
            <w:tcW w:w="5623" w:type="dxa"/>
            <w:tcBorders>
              <w:top w:val="nil"/>
              <w:left w:val="nil"/>
              <w:bottom w:val="nil"/>
              <w:right w:val="nil"/>
            </w:tcBorders>
            <w:shd w:val="clear" w:color="auto" w:fill="auto"/>
          </w:tcPr>
          <w:p w:rsidR="004843DB" w:rsidRPr="0062582F" w:rsidRDefault="004843DB" w:rsidP="004843DB">
            <w:pPr>
              <w:pStyle w:val="Tabletext"/>
            </w:pPr>
            <w:r w:rsidRPr="0062582F">
              <w:t>– Non</w:t>
            </w:r>
            <w:r w:rsidR="005A4BB0">
              <w:noBreakHyphen/>
            </w:r>
            <w:r w:rsidRPr="0062582F">
              <w:t>PPP related finance lease liabilities</w:t>
            </w:r>
          </w:p>
        </w:tc>
        <w:tc>
          <w:tcPr>
            <w:tcW w:w="1260" w:type="dxa"/>
            <w:tcBorders>
              <w:top w:val="nil"/>
              <w:left w:val="nil"/>
              <w:bottom w:val="nil"/>
              <w:right w:val="nil"/>
            </w:tcBorders>
            <w:shd w:val="clear" w:color="00FFFF" w:fill="CCCCCC"/>
            <w:noWrap/>
          </w:tcPr>
          <w:p w:rsidR="004843DB" w:rsidRPr="0062582F" w:rsidRDefault="004843DB" w:rsidP="004843DB">
            <w:pPr>
              <w:pStyle w:val="TableofFigures"/>
            </w:pPr>
            <w:r w:rsidRPr="0062582F">
              <w:t>1 422</w:t>
            </w:r>
          </w:p>
        </w:tc>
        <w:tc>
          <w:tcPr>
            <w:tcW w:w="1260" w:type="dxa"/>
            <w:tcBorders>
              <w:top w:val="nil"/>
              <w:left w:val="nil"/>
              <w:bottom w:val="nil"/>
              <w:right w:val="nil"/>
            </w:tcBorders>
            <w:shd w:val="clear" w:color="auto" w:fill="auto"/>
            <w:noWrap/>
          </w:tcPr>
          <w:p w:rsidR="004843DB" w:rsidRPr="0062582F" w:rsidRDefault="004843DB" w:rsidP="004843DB">
            <w:pPr>
              <w:pStyle w:val="TableofFigures"/>
            </w:pPr>
            <w:r w:rsidRPr="0062582F">
              <w:t>3 576</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Advances from government </w:t>
            </w:r>
            <w:r w:rsidRPr="0062582F">
              <w:rPr>
                <w:rFonts w:ascii="Arial" w:hAnsi="Arial"/>
                <w:vertAlign w:val="superscript"/>
              </w:rPr>
              <w:t>(ii)</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5 118</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10 287</w:t>
            </w:r>
          </w:p>
        </w:tc>
      </w:tr>
      <w:tr w:rsidR="004843DB" w:rsidRPr="0062582F" w:rsidTr="004843DB">
        <w:trPr>
          <w:cantSplit/>
        </w:trPr>
        <w:tc>
          <w:tcPr>
            <w:tcW w:w="5623" w:type="dxa"/>
            <w:tcBorders>
              <w:top w:val="single" w:sz="4"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Total current borrowings</w:t>
            </w:r>
          </w:p>
        </w:tc>
        <w:tc>
          <w:tcPr>
            <w:tcW w:w="126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9 184</w:t>
            </w:r>
          </w:p>
        </w:tc>
        <w:tc>
          <w:tcPr>
            <w:tcW w:w="126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25 969</w:t>
            </w:r>
          </w:p>
        </w:tc>
      </w:tr>
      <w:tr w:rsidR="004843DB" w:rsidRPr="0062582F" w:rsidTr="004843DB">
        <w:trPr>
          <w:cantSplit/>
          <w:trHeight w:hRule="exact" w:val="120"/>
        </w:trPr>
        <w:tc>
          <w:tcPr>
            <w:tcW w:w="562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60" w:type="dxa"/>
            <w:tcBorders>
              <w:top w:val="nil"/>
              <w:left w:val="nil"/>
              <w:bottom w:val="single" w:sz="4" w:space="0" w:color="auto"/>
              <w:right w:val="nil"/>
            </w:tcBorders>
            <w:shd w:val="clear" w:color="00FFFF" w:fill="CCCCCC"/>
            <w:noWrap/>
            <w:hideMark/>
          </w:tcPr>
          <w:p w:rsidR="004843DB" w:rsidRPr="0062582F" w:rsidRDefault="004843DB" w:rsidP="004843DB">
            <w:pPr>
              <w:pStyle w:val="Tabletext"/>
            </w:pPr>
            <w:r w:rsidRPr="0062582F">
              <w:t xml:space="preserve"> </w:t>
            </w:r>
          </w:p>
        </w:tc>
        <w:tc>
          <w:tcPr>
            <w:tcW w:w="1260"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 xml:space="preserve"> </w:t>
            </w:r>
          </w:p>
        </w:tc>
      </w:tr>
      <w:tr w:rsidR="004843DB" w:rsidRPr="0062582F" w:rsidTr="004843DB">
        <w:trPr>
          <w:cantSplit/>
        </w:trPr>
        <w:tc>
          <w:tcPr>
            <w:tcW w:w="5623" w:type="dxa"/>
            <w:tcBorders>
              <w:top w:val="single" w:sz="4"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Non</w:t>
            </w:r>
            <w:r w:rsidR="005A4BB0">
              <w:rPr>
                <w:b/>
              </w:rPr>
              <w:noBreakHyphen/>
            </w:r>
            <w:r w:rsidRPr="0062582F">
              <w:rPr>
                <w:b/>
              </w:rPr>
              <w:t>current borrowings</w:t>
            </w:r>
          </w:p>
        </w:tc>
        <w:tc>
          <w:tcPr>
            <w:tcW w:w="126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26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Finance lease liabilities</w:t>
            </w:r>
          </w:p>
        </w:tc>
        <w:tc>
          <w:tcPr>
            <w:tcW w:w="1260" w:type="dxa"/>
            <w:tcBorders>
              <w:top w:val="nil"/>
              <w:left w:val="nil"/>
              <w:bottom w:val="nil"/>
              <w:right w:val="nil"/>
            </w:tcBorders>
            <w:shd w:val="clear" w:color="00FFFF" w:fill="CCCCCC"/>
            <w:noWrap/>
          </w:tcPr>
          <w:p w:rsidR="004843DB" w:rsidRPr="0062582F" w:rsidRDefault="004843DB" w:rsidP="004843DB">
            <w:pPr>
              <w:pStyle w:val="TableofFigures"/>
            </w:pPr>
          </w:p>
        </w:tc>
        <w:tc>
          <w:tcPr>
            <w:tcW w:w="1260" w:type="dxa"/>
            <w:tcBorders>
              <w:top w:val="nil"/>
              <w:left w:val="nil"/>
              <w:bottom w:val="nil"/>
              <w:right w:val="nil"/>
            </w:tcBorders>
            <w:shd w:val="clear" w:color="auto" w:fill="auto"/>
            <w:noWrap/>
          </w:tcPr>
          <w:p w:rsidR="004843DB" w:rsidRPr="0062582F" w:rsidRDefault="004843DB" w:rsidP="004843DB">
            <w:pPr>
              <w:pStyle w:val="TableofFigures"/>
            </w:pPr>
          </w:p>
        </w:tc>
      </w:tr>
      <w:tr w:rsidR="004843DB" w:rsidRPr="0062582F" w:rsidTr="004843DB">
        <w:trPr>
          <w:cantSplit/>
        </w:trPr>
        <w:tc>
          <w:tcPr>
            <w:tcW w:w="5623" w:type="dxa"/>
            <w:tcBorders>
              <w:top w:val="nil"/>
              <w:left w:val="nil"/>
              <w:bottom w:val="nil"/>
              <w:right w:val="nil"/>
            </w:tcBorders>
            <w:shd w:val="clear" w:color="auto" w:fill="auto"/>
          </w:tcPr>
          <w:p w:rsidR="004843DB" w:rsidRPr="0062582F" w:rsidRDefault="004843DB" w:rsidP="004843DB">
            <w:pPr>
              <w:pStyle w:val="Tabletext"/>
            </w:pPr>
            <w:r w:rsidRPr="0062582F">
              <w:t>– PPP related finance lease liabilities</w:t>
            </w:r>
          </w:p>
        </w:tc>
        <w:tc>
          <w:tcPr>
            <w:tcW w:w="1260" w:type="dxa"/>
            <w:tcBorders>
              <w:top w:val="nil"/>
              <w:left w:val="nil"/>
              <w:bottom w:val="nil"/>
              <w:right w:val="nil"/>
            </w:tcBorders>
            <w:shd w:val="clear" w:color="00FFFF" w:fill="CCCCCC"/>
            <w:noWrap/>
          </w:tcPr>
          <w:p w:rsidR="004843DB" w:rsidRPr="0062582F" w:rsidRDefault="004843DB" w:rsidP="004843DB">
            <w:pPr>
              <w:pStyle w:val="TableofFigures"/>
            </w:pPr>
            <w:r w:rsidRPr="0062582F">
              <w:t>2 551</w:t>
            </w:r>
          </w:p>
        </w:tc>
        <w:tc>
          <w:tcPr>
            <w:tcW w:w="1260" w:type="dxa"/>
            <w:tcBorders>
              <w:top w:val="nil"/>
              <w:left w:val="nil"/>
              <w:bottom w:val="nil"/>
              <w:right w:val="nil"/>
            </w:tcBorders>
            <w:shd w:val="clear" w:color="auto" w:fill="auto"/>
            <w:noWrap/>
          </w:tcPr>
          <w:p w:rsidR="004843DB" w:rsidRPr="0062582F" w:rsidRDefault="004843DB" w:rsidP="004843DB">
            <w:pPr>
              <w:pStyle w:val="TableofFigures"/>
            </w:pPr>
            <w:r w:rsidRPr="0062582F">
              <w:t>6 391</w:t>
            </w:r>
          </w:p>
        </w:tc>
      </w:tr>
      <w:tr w:rsidR="004843DB" w:rsidRPr="0062582F" w:rsidTr="004843DB">
        <w:trPr>
          <w:cantSplit/>
        </w:trPr>
        <w:tc>
          <w:tcPr>
            <w:tcW w:w="5623" w:type="dxa"/>
            <w:tcBorders>
              <w:top w:val="nil"/>
              <w:left w:val="nil"/>
              <w:bottom w:val="nil"/>
              <w:right w:val="nil"/>
            </w:tcBorders>
            <w:shd w:val="clear" w:color="auto" w:fill="auto"/>
          </w:tcPr>
          <w:p w:rsidR="004843DB" w:rsidRPr="0062582F" w:rsidRDefault="004843DB" w:rsidP="004843DB">
            <w:pPr>
              <w:pStyle w:val="Tabletext"/>
            </w:pPr>
            <w:r w:rsidRPr="0062582F">
              <w:t>– Non</w:t>
            </w:r>
            <w:r w:rsidR="005A4BB0">
              <w:noBreakHyphen/>
            </w:r>
            <w:r w:rsidRPr="0062582F">
              <w:t>PPP related finance lease liabilities</w:t>
            </w:r>
          </w:p>
        </w:tc>
        <w:tc>
          <w:tcPr>
            <w:tcW w:w="1260" w:type="dxa"/>
            <w:tcBorders>
              <w:top w:val="nil"/>
              <w:left w:val="nil"/>
              <w:bottom w:val="nil"/>
              <w:right w:val="nil"/>
            </w:tcBorders>
            <w:shd w:val="clear" w:color="00FFFF" w:fill="CCCCCC"/>
            <w:noWrap/>
          </w:tcPr>
          <w:p w:rsidR="004843DB" w:rsidRPr="0062582F" w:rsidRDefault="004843DB" w:rsidP="004843DB">
            <w:pPr>
              <w:pStyle w:val="TableofFigures"/>
            </w:pPr>
            <w:r w:rsidRPr="0062582F">
              <w:t>1 448</w:t>
            </w:r>
          </w:p>
        </w:tc>
        <w:tc>
          <w:tcPr>
            <w:tcW w:w="1260" w:type="dxa"/>
            <w:tcBorders>
              <w:top w:val="nil"/>
              <w:left w:val="nil"/>
              <w:bottom w:val="nil"/>
              <w:right w:val="nil"/>
            </w:tcBorders>
            <w:shd w:val="clear" w:color="auto" w:fill="auto"/>
            <w:noWrap/>
          </w:tcPr>
          <w:p w:rsidR="004843DB" w:rsidRPr="0062582F" w:rsidRDefault="004843DB" w:rsidP="004843DB">
            <w:pPr>
              <w:pStyle w:val="TableofFigures"/>
            </w:pPr>
            <w:r w:rsidRPr="0062582F">
              <w:t>3 425</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Advances from government</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195</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2 057</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Loans from TCV </w:t>
            </w:r>
            <w:r w:rsidRPr="0062582F">
              <w:rPr>
                <w:rFonts w:ascii="Arial" w:hAnsi="Arial"/>
                <w:vertAlign w:val="superscript"/>
              </w:rPr>
              <w:t>(iii)</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48 696</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27 705</w:t>
            </w:r>
          </w:p>
        </w:tc>
      </w:tr>
      <w:tr w:rsidR="004843DB" w:rsidRPr="0062582F" w:rsidTr="004843DB">
        <w:trPr>
          <w:cantSplit/>
        </w:trPr>
        <w:tc>
          <w:tcPr>
            <w:tcW w:w="562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non</w:t>
            </w:r>
            <w:r w:rsidR="005A4BB0">
              <w:rPr>
                <w:b/>
              </w:rPr>
              <w:noBreakHyphen/>
            </w:r>
            <w:r w:rsidRPr="0062582F">
              <w:rPr>
                <w:b/>
              </w:rPr>
              <w:t>current borrowings</w:t>
            </w:r>
          </w:p>
        </w:tc>
        <w:tc>
          <w:tcPr>
            <w:tcW w:w="126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52 890</w:t>
            </w:r>
          </w:p>
        </w:tc>
        <w:tc>
          <w:tcPr>
            <w:tcW w:w="126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39 578</w:t>
            </w:r>
          </w:p>
        </w:tc>
      </w:tr>
      <w:tr w:rsidR="004843DB" w:rsidRPr="0062582F" w:rsidTr="004843DB">
        <w:trPr>
          <w:cantSplit/>
        </w:trPr>
        <w:tc>
          <w:tcPr>
            <w:tcW w:w="5623" w:type="dxa"/>
            <w:tcBorders>
              <w:top w:val="single" w:sz="12"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borrowings</w:t>
            </w:r>
          </w:p>
        </w:tc>
        <w:tc>
          <w:tcPr>
            <w:tcW w:w="1260" w:type="dxa"/>
            <w:tcBorders>
              <w:top w:val="single" w:sz="12"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62 074</w:t>
            </w:r>
          </w:p>
        </w:tc>
        <w:tc>
          <w:tcPr>
            <w:tcW w:w="1260" w:type="dxa"/>
            <w:tcBorders>
              <w:top w:val="single" w:sz="12"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65 548</w:t>
            </w:r>
          </w:p>
        </w:tc>
      </w:tr>
    </w:tbl>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Default="004843DB" w:rsidP="004843DB">
      <w:pPr>
        <w:pStyle w:val="Notes"/>
        <w:rPr>
          <w:i w:val="0"/>
          <w:color w:val="FF0000"/>
        </w:rPr>
      </w:pPr>
      <w:r w:rsidRPr="0062582F">
        <w:rPr>
          <w:i w:val="0"/>
          <w:color w:val="FF0000"/>
        </w:rPr>
        <w:t>Revised</w:t>
      </w:r>
    </w:p>
    <w:p w:rsidR="004843DB" w:rsidRPr="0062582F" w:rsidRDefault="004843DB" w:rsidP="004843DB">
      <w:pPr>
        <w:pStyle w:val="Notes"/>
      </w:pPr>
      <w:r w:rsidRPr="0062582F">
        <w:br w:type="column"/>
        <w:t>Notes:</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0"/>
      </w:pPr>
      <w:r w:rsidRPr="0062582F">
        <w:t>AASB 7.14, 116.74(a)</w:t>
      </w:r>
    </w:p>
    <w:p w:rsidR="004843DB" w:rsidRPr="0062582F" w:rsidRDefault="004843DB" w:rsidP="004843DB">
      <w:pPr>
        <w:pStyle w:val="Notes"/>
      </w:pPr>
      <w:r w:rsidRPr="0062582F">
        <w:br w:type="column"/>
        <w:t>(i)</w:t>
      </w:r>
      <w:r w:rsidRPr="0062582F">
        <w:tab/>
        <w:t xml:space="preserve">Secured by the assets leased. Finance leases are effectively secured as the rights to the leased assets revert to the lessor in the event of default. Refer to Note 30 </w:t>
      </w:r>
      <w:r w:rsidRPr="0062582F">
        <w:rPr>
          <w:i w:val="0"/>
        </w:rPr>
        <w:t xml:space="preserve">Leases </w:t>
      </w:r>
      <w:r w:rsidRPr="0062582F">
        <w:t>for further information on finance lease liabilities.</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0"/>
      </w:pPr>
      <w:r w:rsidRPr="0062582F">
        <w:t>AASB 7.31</w:t>
      </w:r>
    </w:p>
    <w:p w:rsidR="004843DB" w:rsidRPr="0062582F" w:rsidRDefault="004843DB" w:rsidP="004843DB">
      <w:pPr>
        <w:pStyle w:val="Notes"/>
      </w:pPr>
      <w:r w:rsidRPr="0062582F">
        <w:br w:type="column"/>
        <w:t>(ii)</w:t>
      </w:r>
      <w:r w:rsidRPr="0062582F">
        <w:tab/>
        <w:t>These are unsecured loans which bear no interest. The term of a loan is generally agreed by the Minister at the time the advance was provided.</w:t>
      </w:r>
    </w:p>
    <w:p w:rsidR="004843DB" w:rsidRPr="0062582F" w:rsidRDefault="004843DB" w:rsidP="004843DB">
      <w:pPr>
        <w:pStyle w:val="Notes"/>
      </w:pPr>
      <w:r w:rsidRPr="0062582F">
        <w:t>(iii)</w:t>
      </w:r>
      <w:r w:rsidRPr="0062582F">
        <w:tab/>
        <w:t>These are unsecured loans with a weighted average interest rate of 3.55 per cent (2015: 5 per cent).</w:t>
      </w:r>
    </w:p>
    <w:p w:rsidR="004843DB" w:rsidRPr="0062582F" w:rsidRDefault="004843DB" w:rsidP="004843DB">
      <w:pPr>
        <w:pStyle w:val="Notes"/>
      </w:pPr>
    </w:p>
    <w:p w:rsidR="004843DB" w:rsidRPr="0062582F" w:rsidRDefault="004843DB" w:rsidP="004843DB">
      <w:pPr>
        <w:pStyle w:val="Notes"/>
      </w:pP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0"/>
        <w:rPr>
          <w:rStyle w:val="SmallLineChar"/>
        </w:rPr>
      </w:pPr>
      <w:r w:rsidRPr="0062582F">
        <w:t>AASB 7.39(a)</w:t>
      </w:r>
    </w:p>
    <w:p w:rsidR="004843DB" w:rsidRPr="0062582F" w:rsidRDefault="004843DB" w:rsidP="004843DB">
      <w:pPr>
        <w:pStyle w:val="Heading5"/>
      </w:pPr>
      <w:r w:rsidRPr="0062582F">
        <w:br w:type="column"/>
        <w:t>(a)</w:t>
      </w:r>
      <w:r w:rsidRPr="0062582F">
        <w:tab/>
        <w:t>Maturity analysis of borrowings</w:t>
      </w:r>
    </w:p>
    <w:p w:rsidR="004843DB" w:rsidRPr="0062582F" w:rsidRDefault="004843DB" w:rsidP="004843DB">
      <w:pPr>
        <w:pStyle w:val="NormalIndent2"/>
      </w:pPr>
      <w:r w:rsidRPr="0062582F">
        <w:t>Please refer to Table 33.5 in Note 33 for the maturity analysis of borrowings.</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7.31</w:t>
      </w:r>
    </w:p>
    <w:p w:rsidR="004843DB" w:rsidRPr="0062582F" w:rsidRDefault="004843DB" w:rsidP="004843DB">
      <w:pPr>
        <w:pStyle w:val="Heading5"/>
      </w:pPr>
      <w:r w:rsidRPr="0062582F">
        <w:br w:type="column"/>
        <w:t>(b)</w:t>
      </w:r>
      <w:r w:rsidRPr="0062582F">
        <w:tab/>
        <w:t>Nature and extent of risk arising from borrowings</w:t>
      </w:r>
    </w:p>
    <w:p w:rsidR="004843DB" w:rsidRPr="0062582F" w:rsidRDefault="004843DB" w:rsidP="004843DB">
      <w:pPr>
        <w:pStyle w:val="NormalIndent2"/>
      </w:pPr>
      <w:r w:rsidRPr="0062582F">
        <w:t>Please refer to Note 33 for the nature and extent of risks arising from borrowings.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t>AASB 7.18</w:t>
      </w:r>
    </w:p>
    <w:p w:rsidR="004843DB" w:rsidRPr="0062582F" w:rsidRDefault="004843DB" w:rsidP="004843DB">
      <w:pPr>
        <w:pStyle w:val="Heading5"/>
      </w:pPr>
      <w:r w:rsidRPr="0062582F">
        <w:br w:type="column"/>
        <w:t>(c)</w:t>
      </w:r>
      <w:r w:rsidRPr="0062582F">
        <w:tab/>
        <w:t>Defaults and breaches</w:t>
      </w:r>
    </w:p>
    <w:p w:rsidR="004843DB" w:rsidRPr="0062582F" w:rsidRDefault="004843DB" w:rsidP="004843DB">
      <w:pPr>
        <w:pStyle w:val="NormalIndent2"/>
      </w:pPr>
      <w:r w:rsidRPr="0062582F">
        <w:t>During the current and prior year, there were no defaults and breaches of any of the loans.</w:t>
      </w:r>
    </w:p>
    <w:p w:rsidR="004843DB" w:rsidRPr="0062582F" w:rsidRDefault="004843DB" w:rsidP="004843DB">
      <w:r w:rsidRPr="0062582F">
        <w:br w:type="page"/>
      </w: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Commentary – Borrowings</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top w:val="none" w:sz="0" w:space="0" w:color="auto"/>
          <w:bottom w:val="none" w:sz="0" w:space="0" w:color="auto"/>
        </w:pBdr>
      </w:pPr>
      <w:r w:rsidRPr="0062582F">
        <w:t xml:space="preserve">Defaults and breaches </w:t>
      </w:r>
    </w:p>
    <w:p w:rsidR="004843DB" w:rsidRPr="0062582F" w:rsidRDefault="004843DB" w:rsidP="004843DB">
      <w:pPr>
        <w:pStyle w:val="CommentaryHeading1"/>
        <w:pBdr>
          <w:bottom w:val="none" w:sz="0" w:space="0" w:color="auto"/>
        </w:pBdr>
        <w:rPr>
          <w:rFonts w:ascii="Garamond" w:hAnsi="Garamond" w:cs="Times New Roman"/>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7.18</w:t>
      </w:r>
    </w:p>
    <w:p w:rsidR="004843DB" w:rsidRPr="0062582F" w:rsidRDefault="004843DB" w:rsidP="004843DB">
      <w:pPr>
        <w:pStyle w:val="CommentaryText"/>
        <w:pBdr>
          <w:top w:val="none" w:sz="0" w:space="0" w:color="auto"/>
          <w:bottom w:val="none" w:sz="0" w:space="0" w:color="auto"/>
        </w:pBdr>
      </w:pPr>
      <w:r w:rsidRPr="0062582F">
        <w:br w:type="column"/>
        <w:t xml:space="preserve">For loans payable recognised at the end of the reporting period, an entity shall disclose: </w:t>
      </w:r>
    </w:p>
    <w:p w:rsidR="004843DB" w:rsidRPr="0062582F" w:rsidRDefault="004843DB" w:rsidP="004843DB">
      <w:pPr>
        <w:pStyle w:val="CommentaryTextIndent"/>
        <w:pBdr>
          <w:top w:val="none" w:sz="0" w:space="0" w:color="auto"/>
          <w:bottom w:val="none" w:sz="0" w:space="0" w:color="auto"/>
        </w:pBdr>
      </w:pPr>
      <w:r w:rsidRPr="0062582F">
        <w:t>(i)</w:t>
      </w:r>
      <w:r w:rsidRPr="0062582F">
        <w:tab/>
        <w:t>details of any defaults during the period of principal, interest, sinking fund, or redemption terms of those loans payable;</w:t>
      </w:r>
    </w:p>
    <w:p w:rsidR="004843DB" w:rsidRPr="0062582F" w:rsidRDefault="004843DB" w:rsidP="004843DB">
      <w:pPr>
        <w:pStyle w:val="CommentaryTextIndent"/>
        <w:pBdr>
          <w:top w:val="none" w:sz="0" w:space="0" w:color="auto"/>
          <w:bottom w:val="none" w:sz="0" w:space="0" w:color="auto"/>
        </w:pBdr>
      </w:pPr>
      <w:r w:rsidRPr="0062582F">
        <w:t>(ii)</w:t>
      </w:r>
      <w:r w:rsidRPr="0062582F">
        <w:tab/>
        <w:t>the carrying amount of the loans payable in default at the end of the reporting period; and</w:t>
      </w:r>
    </w:p>
    <w:p w:rsidR="004843DB" w:rsidRPr="0062582F" w:rsidRDefault="004843DB" w:rsidP="004843DB">
      <w:pPr>
        <w:pStyle w:val="CommentaryTextIndent"/>
        <w:pBdr>
          <w:top w:val="none" w:sz="0" w:space="0" w:color="auto"/>
          <w:bottom w:val="none" w:sz="0" w:space="0" w:color="auto"/>
        </w:pBdr>
      </w:pPr>
      <w:r w:rsidRPr="0062582F">
        <w:t>(iii)</w:t>
      </w:r>
      <w:r w:rsidRPr="0062582F">
        <w:tab/>
        <w:t>whether the default was remedied, or the terms of the loans payable was renegotiated, before the financial statements was authorised for issue.</w:t>
      </w:r>
      <w:r w:rsidRPr="0062582F" w:rsidDel="00E55A70">
        <w:t xml:space="preserve"> </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20"/>
      </w:pPr>
      <w:r w:rsidRPr="0062582F">
        <w:t>AASB 7.19</w:t>
      </w:r>
    </w:p>
    <w:p w:rsidR="004843DB" w:rsidRPr="0062582F" w:rsidRDefault="004843DB" w:rsidP="004843DB">
      <w:pPr>
        <w:pStyle w:val="CommentaryText"/>
        <w:pBdr>
          <w:top w:val="none" w:sz="0" w:space="0" w:color="auto"/>
          <w:bottom w:val="none" w:sz="0" w:space="0" w:color="auto"/>
        </w:pBdr>
      </w:pPr>
      <w:r w:rsidRPr="0062582F">
        <w:br w:type="column"/>
        <w:t>If, during the period, there were breaches of loan agreement terms other than those described in paragraph 18 of AASB 7, an entity shall disclose the same information as required by paragraph 18 if those breaches permitted the lender to demand accelerated repayment (unless the breaches were remedied, or the terms of the loan were renegotiated, on or before the end of the reporting period).</w:t>
      </w:r>
    </w:p>
    <w:p w:rsidR="004843DB" w:rsidRPr="0062582F" w:rsidRDefault="004843DB" w:rsidP="004843DB">
      <w:pPr>
        <w:pStyle w:val="CommentaryHeading1"/>
        <w:pBdr>
          <w:top w:val="none" w:sz="0" w:space="0" w:color="auto"/>
          <w:bottom w:val="none" w:sz="0" w:space="0" w:color="auto"/>
        </w:pBdr>
      </w:pPr>
      <w:r w:rsidRPr="0062582F">
        <w:t>Statutory borrowings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20"/>
        <w:rPr>
          <w:lang w:val="en-AU"/>
        </w:rPr>
      </w:pPr>
      <w:r w:rsidRPr="0062582F">
        <w:rPr>
          <w:lang w:val="en-AU"/>
        </w:rPr>
        <w:t>AASB 132.AG12</w:t>
      </w:r>
    </w:p>
    <w:p w:rsidR="004843DB" w:rsidRPr="0062582F" w:rsidRDefault="004843DB" w:rsidP="004843DB">
      <w:pPr>
        <w:pStyle w:val="CommentaryText"/>
        <w:pBdr>
          <w:top w:val="none" w:sz="0" w:space="0" w:color="auto"/>
        </w:pBdr>
      </w:pPr>
      <w:r w:rsidRPr="0062582F">
        <w:br w:type="column"/>
        <w:t>Liabilities that are not contractual (such as liabilities that arise as a result of statutory requirements), are not financial instruments. Therefore, although these liabilities are similar to financial instruments, they are in fact not in the scope of AASB 7. However, entities who wish to apply disclosure requirements similar to those from AASB 7 to such liabilities may do so at their own discretion.</w:t>
      </w:r>
    </w:p>
    <w:p w:rsidR="004843DB" w:rsidRPr="0062582F" w:rsidRDefault="004843DB" w:rsidP="004843DB">
      <w:pPr>
        <w:pStyle w:val="CommentaryHeading1"/>
        <w:pBdr>
          <w:top w:val="none" w:sz="0" w:space="0" w:color="auto"/>
        </w:pBdr>
      </w:pPr>
      <w:r w:rsidRPr="0062582F">
        <w:t>Classification of financial instruments</w:t>
      </w:r>
    </w:p>
    <w:p w:rsidR="004843DB" w:rsidRPr="0062582F" w:rsidRDefault="004843DB" w:rsidP="004843DB">
      <w:pPr>
        <w:pStyle w:val="CommentaryText"/>
        <w:pBdr>
          <w:top w:val="none" w:sz="0" w:space="0" w:color="auto"/>
        </w:pBdr>
      </w:pPr>
      <w:r w:rsidRPr="0062582F">
        <w:t>When the balance sheet</w:t>
      </w:r>
      <w:r w:rsidRPr="0062582F">
        <w:rPr>
          <w:rStyle w:val="CommentaryTextChar"/>
          <w:noProof w:val="0"/>
        </w:rPr>
        <w:t xml:space="preserve"> </w:t>
      </w:r>
      <w:r w:rsidRPr="0062582F">
        <w:t>presentation of a financial instrument differs from the instrument</w:t>
      </w:r>
      <w:r w:rsidR="005A4BB0">
        <w:t>’</w:t>
      </w:r>
      <w:r w:rsidRPr="0062582F">
        <w:t xml:space="preserve">s legal form, it is desirable for an entity to explain in the notes the nature of the financial instrument. </w:t>
      </w:r>
    </w:p>
    <w:p w:rsidR="004843DB" w:rsidRPr="0062582F" w:rsidRDefault="004843DB" w:rsidP="004843DB"/>
    <w:p w:rsidR="004843DB" w:rsidRPr="0062582F" w:rsidRDefault="004843DB" w:rsidP="004843DB">
      <w:pPr>
        <w:pStyle w:val="NoteHeading"/>
      </w:pPr>
      <w:r w:rsidRPr="0062582F">
        <w:br w:type="column"/>
      </w:r>
      <w:r w:rsidRPr="0062582F">
        <w:br w:type="column"/>
      </w:r>
      <w:bookmarkStart w:id="478" w:name="_Toc332019482"/>
      <w:bookmarkStart w:id="479" w:name="_Toc448157203"/>
      <w:r w:rsidRPr="0062582F">
        <w:t>Note 24.</w:t>
      </w:r>
      <w:r w:rsidRPr="0062582F">
        <w:tab/>
        <w:t>Provisions</w:t>
      </w:r>
      <w:bookmarkEnd w:id="478"/>
      <w:bookmarkEnd w:id="479"/>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Red"/>
      </w:pPr>
    </w:p>
    <w:p w:rsidR="004843DB" w:rsidRPr="0062582F" w:rsidRDefault="004843DB" w:rsidP="004843DB">
      <w:pPr>
        <w:pStyle w:val="Reference"/>
        <w:spacing w:before="80"/>
        <w:rPr>
          <w:lang w:val="en-AU"/>
        </w:rPr>
      </w:pPr>
      <w:r w:rsidRPr="0062582F">
        <w:rPr>
          <w:lang w:val="en-AU"/>
        </w:rPr>
        <w:t>AASB 101.61</w:t>
      </w:r>
      <w:r w:rsidRPr="0062582F">
        <w:rPr>
          <w:lang w:val="en-AU"/>
        </w:rPr>
        <w:br/>
        <w:t>AASB 119.8</w:t>
      </w:r>
    </w:p>
    <w:p w:rsidR="004843DB" w:rsidRPr="0062582F" w:rsidRDefault="004843DB" w:rsidP="004843DB">
      <w:pPr>
        <w:pStyle w:val="Reference"/>
        <w:spacing w:before="360"/>
        <w:rPr>
          <w:lang w:val="en-AU"/>
        </w:rPr>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80"/>
      </w:pPr>
      <w:r w:rsidRPr="0062582F">
        <w:t>AASB 101.78(d)</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Reference"/>
        <w:spacing w:before="200"/>
      </w:pPr>
      <w:r w:rsidRPr="0062582F">
        <w:t>AASB 101.61</w:t>
      </w:r>
    </w:p>
    <w:p w:rsidR="004843DB" w:rsidRPr="0062582F" w:rsidRDefault="004843DB" w:rsidP="004843DB">
      <w:pPr>
        <w:pStyle w:val="million"/>
        <w:rPr>
          <w:rFonts w:ascii="Tahoma" w:hAnsi="Tahoma" w:cs="Tahoma"/>
          <w:sz w:val="20"/>
        </w:rPr>
      </w:pPr>
      <w:r w:rsidRPr="0062582F">
        <w:br w:type="column"/>
        <w:t>($ thousand)</w:t>
      </w:r>
    </w:p>
    <w:tbl>
      <w:tblPr>
        <w:tblW w:w="8149" w:type="dxa"/>
        <w:tblLayout w:type="fixed"/>
        <w:tblCellMar>
          <w:left w:w="43" w:type="dxa"/>
          <w:right w:w="43" w:type="dxa"/>
        </w:tblCellMar>
        <w:tblLook w:val="04A0" w:firstRow="1" w:lastRow="0" w:firstColumn="1" w:lastColumn="0" w:noHBand="0" w:noVBand="1"/>
      </w:tblPr>
      <w:tblGrid>
        <w:gridCol w:w="5443"/>
        <w:gridCol w:w="1418"/>
        <w:gridCol w:w="1288"/>
      </w:tblGrid>
      <w:tr w:rsidR="004843DB" w:rsidRPr="0062582F" w:rsidTr="004843DB">
        <w:trPr>
          <w:cantSplit/>
        </w:trPr>
        <w:tc>
          <w:tcPr>
            <w:tcW w:w="544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418"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spacing w:before="20" w:after="20"/>
              <w:rPr>
                <w:sz w:val="17"/>
                <w:szCs w:val="17"/>
              </w:rPr>
            </w:pPr>
            <w:r w:rsidRPr="0062582F">
              <w:rPr>
                <w:sz w:val="17"/>
                <w:szCs w:val="17"/>
              </w:rPr>
              <w:t>2016</w:t>
            </w:r>
          </w:p>
        </w:tc>
        <w:tc>
          <w:tcPr>
            <w:tcW w:w="128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spacing w:before="20" w:after="20"/>
              <w:rPr>
                <w:sz w:val="17"/>
                <w:szCs w:val="17"/>
              </w:rPr>
            </w:pPr>
            <w:r w:rsidRPr="0062582F">
              <w:rPr>
                <w:sz w:val="17"/>
                <w:szCs w:val="17"/>
              </w:rPr>
              <w:t>2015</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Current provisions</w:t>
            </w:r>
          </w:p>
        </w:tc>
        <w:tc>
          <w:tcPr>
            <w:tcW w:w="1418" w:type="dxa"/>
            <w:tcBorders>
              <w:top w:val="nil"/>
              <w:left w:val="nil"/>
              <w:bottom w:val="nil"/>
              <w:right w:val="nil"/>
            </w:tcBorders>
            <w:shd w:val="clear" w:color="000000" w:fill="CCCCCC"/>
            <w:noWrap/>
            <w:hideMark/>
          </w:tcPr>
          <w:p w:rsidR="004843DB" w:rsidRPr="0062582F" w:rsidRDefault="004843DB" w:rsidP="004843DB">
            <w:pPr>
              <w:pStyle w:val="TableofFigures"/>
              <w:rPr>
                <w:b/>
                <w:sz w:val="17"/>
                <w:szCs w:val="17"/>
              </w:rPr>
            </w:pPr>
            <w:r w:rsidRPr="0062582F">
              <w:rPr>
                <w:b/>
                <w:sz w:val="17"/>
                <w:szCs w:val="17"/>
              </w:rPr>
              <w:t xml:space="preserve"> </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b/>
                <w:sz w:val="17"/>
                <w:szCs w:val="17"/>
              </w:rPr>
            </w:pPr>
            <w:r w:rsidRPr="0062582F">
              <w:rPr>
                <w:b/>
                <w:sz w:val="17"/>
                <w:szCs w:val="17"/>
              </w:rPr>
              <w:t xml:space="preserve"> </w:t>
            </w:r>
          </w:p>
        </w:tc>
      </w:tr>
      <w:tr w:rsidR="004843DB" w:rsidRPr="0062582F" w:rsidTr="004843DB">
        <w:trPr>
          <w:cantSplit/>
        </w:trPr>
        <w:tc>
          <w:tcPr>
            <w:tcW w:w="5443" w:type="dxa"/>
            <w:tcBorders>
              <w:top w:val="nil"/>
              <w:left w:val="nil"/>
              <w:bottom w:val="nil"/>
              <w:right w:val="nil"/>
            </w:tcBorders>
            <w:shd w:val="clear" w:color="auto" w:fill="auto"/>
          </w:tcPr>
          <w:p w:rsidR="004843DB" w:rsidRPr="0062582F" w:rsidDel="008E1746" w:rsidRDefault="004843DB" w:rsidP="004843DB">
            <w:pPr>
              <w:pStyle w:val="Tabletext"/>
            </w:pPr>
            <w:r w:rsidRPr="0062582F">
              <w:t>Employee benefits (Note 24(a))</w:t>
            </w:r>
            <w:r w:rsidRPr="0062582F">
              <w:rPr>
                <w:vertAlign w:val="superscript"/>
              </w:rPr>
              <w:t xml:space="preserve"> (i)</w:t>
            </w:r>
          </w:p>
        </w:tc>
        <w:tc>
          <w:tcPr>
            <w:tcW w:w="1418" w:type="dxa"/>
            <w:tcBorders>
              <w:top w:val="nil"/>
              <w:left w:val="nil"/>
              <w:bottom w:val="nil"/>
              <w:right w:val="nil"/>
            </w:tcBorders>
            <w:shd w:val="clear" w:color="00FFFF" w:fill="CCCCCC"/>
            <w:noWrap/>
          </w:tcPr>
          <w:p w:rsidR="004843DB" w:rsidRPr="0062582F" w:rsidRDefault="004843DB" w:rsidP="004843DB">
            <w:pPr>
              <w:pStyle w:val="TableofFigures"/>
              <w:rPr>
                <w:sz w:val="17"/>
                <w:szCs w:val="17"/>
              </w:rPr>
            </w:pPr>
          </w:p>
        </w:tc>
        <w:tc>
          <w:tcPr>
            <w:tcW w:w="1288" w:type="dxa"/>
            <w:tcBorders>
              <w:top w:val="nil"/>
              <w:left w:val="nil"/>
              <w:bottom w:val="nil"/>
              <w:right w:val="nil"/>
            </w:tcBorders>
            <w:shd w:val="clear" w:color="auto" w:fill="auto"/>
            <w:noWrap/>
          </w:tcPr>
          <w:p w:rsidR="004843DB" w:rsidRPr="0062582F" w:rsidRDefault="004843DB" w:rsidP="004843DB">
            <w:pPr>
              <w:pStyle w:val="TableofFigures"/>
              <w:rPr>
                <w:sz w:val="17"/>
                <w:szCs w:val="17"/>
              </w:rPr>
            </w:pP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pPr>
            <w:r w:rsidRPr="0062582F">
              <w:t>Annual leave (Note 24(a)):</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 xml:space="preserve"> </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Indent"/>
            </w:pPr>
            <w:r w:rsidRPr="0062582F">
              <w:t>Unconditional and expected to settle within 12 months</w:t>
            </w:r>
            <w:r w:rsidRPr="0062582F">
              <w:rPr>
                <w:vertAlign w:val="superscript"/>
              </w:rPr>
              <w:t xml:space="preserve"> (ii)</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1 716</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1 438</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Indent"/>
            </w:pPr>
            <w:r w:rsidRPr="0062582F">
              <w:t>Unconditional and expected to settle after 12 months</w:t>
            </w:r>
            <w:r w:rsidRPr="0062582F">
              <w:rPr>
                <w:vertAlign w:val="superscript"/>
              </w:rPr>
              <w:t xml:space="preserve"> (ii)</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 xml:space="preserve"> 636</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 xml:space="preserve"> 795</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pPr>
            <w:r w:rsidRPr="0062582F">
              <w:t>Long service leave (Note 24(a)):</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Indent"/>
            </w:pPr>
            <w:r w:rsidRPr="0062582F">
              <w:t>Unconditional and expected to settle within 12 months</w:t>
            </w:r>
            <w:r w:rsidRPr="0062582F">
              <w:rPr>
                <w:vertAlign w:val="superscript"/>
              </w:rPr>
              <w:t xml:space="preserve"> (ii)</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1 231</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3 002</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Indent"/>
            </w:pPr>
            <w:r w:rsidRPr="0062582F">
              <w:t>Unconditional and expected to settle after 12 months</w:t>
            </w:r>
            <w:r w:rsidRPr="0062582F">
              <w:rPr>
                <w:vertAlign w:val="superscript"/>
              </w:rPr>
              <w:t xml:space="preserve"> (ii)</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1 908</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6 318</w:t>
            </w:r>
          </w:p>
        </w:tc>
      </w:tr>
      <w:tr w:rsidR="004843DB" w:rsidRPr="0062582F" w:rsidTr="004843DB">
        <w:trPr>
          <w:cantSplit/>
        </w:trPr>
        <w:tc>
          <w:tcPr>
            <w:tcW w:w="5443"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418"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5 490</w:t>
            </w:r>
          </w:p>
        </w:tc>
        <w:tc>
          <w:tcPr>
            <w:tcW w:w="1288"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11 554</w:t>
            </w:r>
          </w:p>
        </w:tc>
      </w:tr>
      <w:tr w:rsidR="004843DB" w:rsidRPr="0062582F" w:rsidTr="004843DB">
        <w:trPr>
          <w:cantSplit/>
          <w:trHeight w:hRule="exact" w:val="120"/>
        </w:trPr>
        <w:tc>
          <w:tcPr>
            <w:tcW w:w="544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spacing w:before="0" w:after="0"/>
              <w:rPr>
                <w:sz w:val="17"/>
                <w:szCs w:val="17"/>
              </w:rPr>
            </w:pPr>
            <w:r w:rsidRPr="0062582F">
              <w:rPr>
                <w:sz w:val="17"/>
                <w:szCs w:val="17"/>
              </w:rPr>
              <w:t xml:space="preserve"> </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spacing w:before="0" w:after="0"/>
              <w:rPr>
                <w:sz w:val="17"/>
                <w:szCs w:val="17"/>
              </w:rPr>
            </w:pPr>
            <w:r w:rsidRPr="0062582F">
              <w:rPr>
                <w:sz w:val="17"/>
                <w:szCs w:val="17"/>
              </w:rPr>
              <w:t xml:space="preserve"> </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pPr>
            <w:r w:rsidRPr="0062582F">
              <w:t>Provisions for on</w:t>
            </w:r>
            <w:r w:rsidR="005A4BB0">
              <w:noBreakHyphen/>
            </w:r>
            <w:r w:rsidRPr="0062582F">
              <w:t>costs (Note 24(a) and Note 24(b)):</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 xml:space="preserve"> </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 xml:space="preserve"> </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Indent"/>
            </w:pPr>
            <w:r w:rsidRPr="0062582F">
              <w:t>Unconditional and expected to settle within 12 months</w:t>
            </w:r>
            <w:r w:rsidRPr="0062582F">
              <w:rPr>
                <w:vertAlign w:val="superscript"/>
              </w:rPr>
              <w:t xml:space="preserve"> (ii)</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 xml:space="preserve"> 272</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 xml:space="preserve"> 555</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Indent"/>
            </w:pPr>
            <w:r w:rsidRPr="0062582F">
              <w:t>Unconditional and expected to settle after 12 months</w:t>
            </w:r>
            <w:r w:rsidRPr="0062582F">
              <w:rPr>
                <w:vertAlign w:val="superscript"/>
              </w:rPr>
              <w:t xml:space="preserve"> (ii)</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 xml:space="preserve"> 377</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 xml:space="preserve"> 599</w:t>
            </w:r>
          </w:p>
        </w:tc>
      </w:tr>
      <w:tr w:rsidR="004843DB" w:rsidRPr="0062582F" w:rsidTr="004843DB">
        <w:trPr>
          <w:cantSplit/>
        </w:trPr>
        <w:tc>
          <w:tcPr>
            <w:tcW w:w="5443" w:type="dxa"/>
            <w:tcBorders>
              <w:top w:val="single" w:sz="4" w:space="0" w:color="auto"/>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418"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 xml:space="preserve"> 650</w:t>
            </w:r>
          </w:p>
        </w:tc>
        <w:tc>
          <w:tcPr>
            <w:tcW w:w="1288"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1 154</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pPr>
            <w:r w:rsidRPr="0062582F">
              <w:t>Onerous lease contracts (Note 24(b) &amp; Note 30)</w:t>
            </w:r>
            <w:r w:rsidRPr="0062582F">
              <w:rPr>
                <w:vertAlign w:val="superscript"/>
              </w:rPr>
              <w:t xml:space="preserve"> (iii)</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 xml:space="preserve"> 993</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2 290</w:t>
            </w:r>
          </w:p>
        </w:tc>
      </w:tr>
      <w:tr w:rsidR="004843DB" w:rsidRPr="0062582F" w:rsidTr="004843DB">
        <w:trPr>
          <w:cantSplit/>
        </w:trPr>
        <w:tc>
          <w:tcPr>
            <w:tcW w:w="544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sz w:val="17"/>
                <w:szCs w:val="17"/>
              </w:rPr>
            </w:pPr>
            <w:r w:rsidRPr="0062582F">
              <w:rPr>
                <w:b/>
                <w:sz w:val="17"/>
                <w:szCs w:val="17"/>
              </w:rPr>
              <w:t>Total current provisions</w:t>
            </w:r>
          </w:p>
        </w:tc>
        <w:tc>
          <w:tcPr>
            <w:tcW w:w="1418"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sz w:val="17"/>
                <w:szCs w:val="17"/>
              </w:rPr>
            </w:pPr>
            <w:r w:rsidRPr="0062582F">
              <w:rPr>
                <w:b/>
                <w:sz w:val="17"/>
                <w:szCs w:val="17"/>
              </w:rPr>
              <w:t>7 133</w:t>
            </w:r>
          </w:p>
        </w:tc>
        <w:tc>
          <w:tcPr>
            <w:tcW w:w="128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sz w:val="17"/>
                <w:szCs w:val="17"/>
              </w:rPr>
            </w:pPr>
            <w:r w:rsidRPr="0062582F">
              <w:rPr>
                <w:b/>
                <w:sz w:val="17"/>
                <w:szCs w:val="17"/>
              </w:rPr>
              <w:t>14 998</w:t>
            </w:r>
          </w:p>
        </w:tc>
      </w:tr>
      <w:tr w:rsidR="004843DB" w:rsidRPr="0062582F" w:rsidTr="004843DB">
        <w:trPr>
          <w:cantSplit/>
          <w:trHeight w:hRule="exact" w:val="120"/>
        </w:trPr>
        <w:tc>
          <w:tcPr>
            <w:tcW w:w="5443" w:type="dxa"/>
            <w:tcBorders>
              <w:top w:val="nil"/>
              <w:left w:val="nil"/>
              <w:bottom w:val="nil"/>
              <w:right w:val="nil"/>
            </w:tcBorders>
            <w:shd w:val="clear" w:color="auto" w:fill="auto"/>
          </w:tcPr>
          <w:p w:rsidR="004843DB" w:rsidRPr="0062582F" w:rsidRDefault="004843DB" w:rsidP="004843DB">
            <w:pPr>
              <w:pStyle w:val="Tabletext"/>
            </w:pPr>
          </w:p>
        </w:tc>
        <w:tc>
          <w:tcPr>
            <w:tcW w:w="1418" w:type="dxa"/>
            <w:tcBorders>
              <w:top w:val="nil"/>
              <w:left w:val="nil"/>
              <w:bottom w:val="nil"/>
              <w:right w:val="nil"/>
            </w:tcBorders>
            <w:shd w:val="clear" w:color="00FFFF" w:fill="CCCCCC"/>
            <w:noWrap/>
          </w:tcPr>
          <w:p w:rsidR="004843DB" w:rsidRPr="0062582F" w:rsidRDefault="004843DB" w:rsidP="004843DB">
            <w:pPr>
              <w:pStyle w:val="TableofFigures"/>
              <w:spacing w:before="0" w:after="0"/>
              <w:rPr>
                <w:sz w:val="17"/>
                <w:szCs w:val="17"/>
              </w:rPr>
            </w:pPr>
          </w:p>
        </w:tc>
        <w:tc>
          <w:tcPr>
            <w:tcW w:w="1288" w:type="dxa"/>
            <w:tcBorders>
              <w:top w:val="nil"/>
              <w:left w:val="nil"/>
              <w:bottom w:val="nil"/>
              <w:right w:val="nil"/>
            </w:tcBorders>
            <w:shd w:val="clear" w:color="auto" w:fill="auto"/>
            <w:noWrap/>
          </w:tcPr>
          <w:p w:rsidR="004843DB" w:rsidRPr="0062582F" w:rsidRDefault="004843DB" w:rsidP="004843DB">
            <w:pPr>
              <w:pStyle w:val="TableofFigures"/>
              <w:spacing w:before="0" w:after="0"/>
              <w:rPr>
                <w:sz w:val="17"/>
                <w:szCs w:val="17"/>
              </w:rPr>
            </w:pP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Non</w:t>
            </w:r>
            <w:r w:rsidR="005A4BB0">
              <w:rPr>
                <w:b/>
              </w:rPr>
              <w:noBreakHyphen/>
            </w:r>
            <w:r w:rsidRPr="0062582F">
              <w:rPr>
                <w:b/>
              </w:rPr>
              <w:t>current provisions</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b/>
                <w:sz w:val="17"/>
                <w:szCs w:val="17"/>
              </w:rPr>
            </w:pPr>
            <w:r w:rsidRPr="0062582F">
              <w:rPr>
                <w:b/>
                <w:sz w:val="17"/>
                <w:szCs w:val="17"/>
              </w:rPr>
              <w:t xml:space="preserve"> </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b/>
                <w:sz w:val="17"/>
                <w:szCs w:val="17"/>
              </w:rPr>
            </w:pPr>
            <w:r w:rsidRPr="0062582F">
              <w:rPr>
                <w:b/>
                <w:sz w:val="17"/>
                <w:szCs w:val="17"/>
              </w:rPr>
              <w:t xml:space="preserve"> </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pPr>
            <w:r w:rsidRPr="0062582F">
              <w:t>Employee Benefits (Note 24(a))</w:t>
            </w:r>
            <w:r w:rsidRPr="0062582F">
              <w:rPr>
                <w:vertAlign w:val="superscript"/>
              </w:rPr>
              <w:t xml:space="preserve"> (i)</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3 743</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3 528</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pPr>
            <w:r w:rsidRPr="0062582F">
              <w:t>On</w:t>
            </w:r>
            <w:r w:rsidR="005A4BB0">
              <w:noBreakHyphen/>
            </w:r>
            <w:r w:rsidRPr="0062582F">
              <w:t>costs (Note 24(a) and Note 24(b))</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 xml:space="preserve"> 871</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 xml:space="preserve"> 837</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pPr>
            <w:r w:rsidRPr="0062582F">
              <w:t>Onerous lease contracts (Note 24(b) and Note 30)</w:t>
            </w:r>
            <w:r w:rsidRPr="0062582F">
              <w:rPr>
                <w:vertAlign w:val="superscript"/>
              </w:rPr>
              <w:t xml:space="preserve"> (iii)</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 xml:space="preserve"> 710</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1 273</w:t>
            </w:r>
          </w:p>
        </w:tc>
      </w:tr>
      <w:tr w:rsidR="004843DB" w:rsidRPr="0062582F" w:rsidTr="004843DB">
        <w:trPr>
          <w:cantSplit/>
        </w:trPr>
        <w:tc>
          <w:tcPr>
            <w:tcW w:w="5443" w:type="dxa"/>
            <w:tcBorders>
              <w:top w:val="nil"/>
              <w:left w:val="nil"/>
              <w:bottom w:val="nil"/>
              <w:right w:val="nil"/>
            </w:tcBorders>
            <w:shd w:val="clear" w:color="auto" w:fill="auto"/>
            <w:hideMark/>
          </w:tcPr>
          <w:p w:rsidR="004843DB" w:rsidRPr="0062582F" w:rsidRDefault="004843DB" w:rsidP="004843DB">
            <w:pPr>
              <w:pStyle w:val="Tabletext"/>
            </w:pPr>
            <w:r w:rsidRPr="0062582F">
              <w:t>Make</w:t>
            </w:r>
            <w:r w:rsidR="005A4BB0">
              <w:noBreakHyphen/>
            </w:r>
            <w:r w:rsidRPr="0062582F">
              <w:t>good provision (Note 24(b))</w:t>
            </w:r>
            <w:r w:rsidRPr="0062582F">
              <w:rPr>
                <w:vertAlign w:val="superscript"/>
              </w:rPr>
              <w:t xml:space="preserve"> (iv)</w:t>
            </w:r>
          </w:p>
        </w:tc>
        <w:tc>
          <w:tcPr>
            <w:tcW w:w="1418" w:type="dxa"/>
            <w:tcBorders>
              <w:top w:val="nil"/>
              <w:left w:val="nil"/>
              <w:bottom w:val="nil"/>
              <w:right w:val="nil"/>
            </w:tcBorders>
            <w:shd w:val="clear" w:color="00FFFF" w:fill="CCCCCC"/>
            <w:noWrap/>
            <w:hideMark/>
          </w:tcPr>
          <w:p w:rsidR="004843DB" w:rsidRPr="0062582F" w:rsidRDefault="004843DB" w:rsidP="004843DB">
            <w:pPr>
              <w:pStyle w:val="TableofFigures"/>
              <w:rPr>
                <w:sz w:val="17"/>
                <w:szCs w:val="17"/>
              </w:rPr>
            </w:pPr>
            <w:r w:rsidRPr="0062582F">
              <w:rPr>
                <w:sz w:val="17"/>
                <w:szCs w:val="17"/>
              </w:rPr>
              <w:t xml:space="preserve"> 450</w:t>
            </w:r>
          </w:p>
        </w:tc>
        <w:tc>
          <w:tcPr>
            <w:tcW w:w="1288" w:type="dxa"/>
            <w:tcBorders>
              <w:top w:val="nil"/>
              <w:left w:val="nil"/>
              <w:bottom w:val="nil"/>
              <w:right w:val="nil"/>
            </w:tcBorders>
            <w:shd w:val="clear" w:color="auto" w:fill="auto"/>
            <w:noWrap/>
            <w:hideMark/>
          </w:tcPr>
          <w:p w:rsidR="004843DB" w:rsidRPr="0062582F" w:rsidRDefault="004843DB" w:rsidP="004843DB">
            <w:pPr>
              <w:pStyle w:val="TableofFigures"/>
              <w:rPr>
                <w:sz w:val="17"/>
                <w:szCs w:val="17"/>
              </w:rPr>
            </w:pPr>
            <w:r w:rsidRPr="0062582F">
              <w:rPr>
                <w:sz w:val="17"/>
                <w:szCs w:val="17"/>
              </w:rPr>
              <w:t xml:space="preserve"> 375</w:t>
            </w:r>
          </w:p>
        </w:tc>
      </w:tr>
      <w:tr w:rsidR="004843DB" w:rsidRPr="0062582F" w:rsidTr="004843DB">
        <w:trPr>
          <w:cantSplit/>
        </w:trPr>
        <w:tc>
          <w:tcPr>
            <w:tcW w:w="544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non</w:t>
            </w:r>
            <w:r w:rsidR="005A4BB0">
              <w:rPr>
                <w:b/>
              </w:rPr>
              <w:noBreakHyphen/>
            </w:r>
            <w:r w:rsidRPr="0062582F">
              <w:rPr>
                <w:b/>
              </w:rPr>
              <w:t>current provisions</w:t>
            </w:r>
          </w:p>
        </w:tc>
        <w:tc>
          <w:tcPr>
            <w:tcW w:w="1418"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ofFigures"/>
              <w:rPr>
                <w:b/>
                <w:sz w:val="17"/>
                <w:szCs w:val="17"/>
              </w:rPr>
            </w:pPr>
            <w:r w:rsidRPr="0062582F">
              <w:rPr>
                <w:b/>
                <w:sz w:val="17"/>
                <w:szCs w:val="17"/>
              </w:rPr>
              <w:t>5 773</w:t>
            </w:r>
          </w:p>
        </w:tc>
        <w:tc>
          <w:tcPr>
            <w:tcW w:w="128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sz w:val="17"/>
                <w:szCs w:val="17"/>
              </w:rPr>
            </w:pPr>
            <w:r w:rsidRPr="0062582F">
              <w:rPr>
                <w:b/>
                <w:sz w:val="17"/>
                <w:szCs w:val="17"/>
              </w:rPr>
              <w:t>6 013</w:t>
            </w:r>
          </w:p>
        </w:tc>
      </w:tr>
      <w:tr w:rsidR="004843DB" w:rsidRPr="0062582F" w:rsidTr="004843DB">
        <w:trPr>
          <w:cantSplit/>
        </w:trPr>
        <w:tc>
          <w:tcPr>
            <w:tcW w:w="544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provisions</w:t>
            </w:r>
          </w:p>
        </w:tc>
        <w:tc>
          <w:tcPr>
            <w:tcW w:w="1418"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rPr>
                <w:b/>
                <w:sz w:val="17"/>
                <w:szCs w:val="17"/>
              </w:rPr>
            </w:pPr>
            <w:r w:rsidRPr="0062582F">
              <w:rPr>
                <w:b/>
                <w:sz w:val="17"/>
                <w:szCs w:val="17"/>
              </w:rPr>
              <w:t>12 906</w:t>
            </w:r>
          </w:p>
        </w:tc>
        <w:tc>
          <w:tcPr>
            <w:tcW w:w="1288"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sz w:val="17"/>
                <w:szCs w:val="17"/>
              </w:rPr>
            </w:pPr>
            <w:r w:rsidRPr="0062582F">
              <w:rPr>
                <w:b/>
                <w:sz w:val="17"/>
                <w:szCs w:val="17"/>
              </w:rPr>
              <w:t>21 011</w:t>
            </w:r>
          </w:p>
        </w:tc>
      </w:tr>
    </w:tbl>
    <w:p w:rsidR="004843DB" w:rsidRPr="0062582F" w:rsidRDefault="004843DB" w:rsidP="004843DB">
      <w:pPr>
        <w:pStyle w:val="Notes"/>
        <w:ind w:left="0" w:firstLine="0"/>
      </w:pPr>
      <w:r w:rsidRPr="0062582F">
        <w:t>Notes:</w:t>
      </w:r>
    </w:p>
    <w:p w:rsidR="004843DB" w:rsidRPr="0062582F" w:rsidRDefault="004843DB" w:rsidP="004843DB">
      <w:pPr>
        <w:pStyle w:val="Notes"/>
        <w:ind w:left="0" w:firstLine="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t>AASB 101.57,77,78</w:t>
      </w:r>
    </w:p>
    <w:p w:rsidR="004843DB" w:rsidRPr="0062582F" w:rsidRDefault="004843DB" w:rsidP="004843DB">
      <w:pPr>
        <w:pStyle w:val="Notes"/>
      </w:pPr>
      <w:r w:rsidRPr="0062582F">
        <w:br w:type="column"/>
        <w:t>(i)</w:t>
      </w:r>
      <w:r w:rsidRPr="0062582F">
        <w:tab/>
        <w:t>Employee benefits consist of annual leave and long service leave accrued by employees. On</w:t>
      </w:r>
      <w:r w:rsidR="005A4BB0">
        <w:noBreakHyphen/>
      </w:r>
      <w:r w:rsidRPr="0062582F">
        <w:t>costs such as payroll tax and workers</w:t>
      </w:r>
      <w:r w:rsidR="005A4BB0">
        <w:t>’</w:t>
      </w:r>
      <w:r w:rsidRPr="0062582F">
        <w:t xml:space="preserve"> compensation insurance are not employee benefits and are reflected as a separate provision. </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t>AASB 119.8</w:t>
      </w:r>
    </w:p>
    <w:p w:rsidR="004843DB" w:rsidRPr="0062582F" w:rsidRDefault="004843DB" w:rsidP="004843DB">
      <w:pPr>
        <w:pStyle w:val="Notes"/>
      </w:pPr>
      <w:r w:rsidRPr="0062582F">
        <w:br w:type="column"/>
        <w:t>(ii)</w:t>
      </w:r>
      <w:r w:rsidRPr="0062582F">
        <w:tab/>
        <w:t>Amounts are measured at present values.</w:t>
      </w:r>
    </w:p>
    <w:p w:rsidR="004843DB" w:rsidRPr="0062582F" w:rsidRDefault="004843DB" w:rsidP="004843DB">
      <w:pPr>
        <w:pStyle w:val="Notes"/>
        <w:numPr>
          <w:ilvl w:val="0"/>
          <w:numId w:val="20"/>
        </w:num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40"/>
      </w:pPr>
      <w:r w:rsidRPr="0062582F">
        <w:t>AASB 137.85(a), (b)</w:t>
      </w:r>
    </w:p>
    <w:p w:rsidR="004843DB" w:rsidRPr="0062582F" w:rsidRDefault="004843DB" w:rsidP="004843DB">
      <w:pPr>
        <w:pStyle w:val="Notes"/>
      </w:pPr>
      <w:r w:rsidRPr="0062582F">
        <w:br w:type="column"/>
        <w:t>(iii)</w:t>
      </w:r>
      <w:r w:rsidRPr="0062582F">
        <w:tab/>
        <w:t>The provision for onerous lease contracts represents the present value of the future lease payments that the Department is presently obligated to make in respect of onerous lease contracts under non</w:t>
      </w:r>
      <w:r w:rsidR="005A4BB0">
        <w:noBreakHyphen/>
      </w:r>
      <w:r w:rsidRPr="0062582F">
        <w:t xml:space="preserve">cancellable operating lease agreements, less income expected to be earned on the lease including estimated future sublease income, where applicable. The estimate may vary as a result of changes in utilisation of the leased premises and sublease arrangements where applicable. The unexpired term of the leases range from three to five years. </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
      </w:pPr>
      <w:r w:rsidRPr="0062582F">
        <w:t>AASB 137.85(a), (b)</w:t>
      </w:r>
    </w:p>
    <w:p w:rsidR="004843DB" w:rsidRPr="0062582F" w:rsidRDefault="004843DB" w:rsidP="004843DB">
      <w:pPr>
        <w:pStyle w:val="Notes"/>
      </w:pPr>
      <w:r w:rsidRPr="0062582F">
        <w:br w:type="column"/>
        <w:t>(iv)</w:t>
      </w:r>
      <w:r w:rsidRPr="0062582F">
        <w:tab/>
        <w:t>In accordance with the lease agreement over the warehouse facilities, the Department must remove any leasehold improvements from the leased warehouse and restore the premises to its original condition at the end of the lease term. An additional provision of $50 000 (2015: $32 000) was provided for during the year for this purpose.</w:t>
      </w:r>
    </w:p>
    <w:p w:rsidR="004843DB" w:rsidRPr="0062582F" w:rsidRDefault="004843DB" w:rsidP="004843DB">
      <w:pPr>
        <w:pStyle w:val="NotesBlue"/>
        <w:ind w:left="0" w:firstLine="0"/>
      </w:pPr>
    </w:p>
    <w:p w:rsidR="004843DB" w:rsidRPr="0062582F" w:rsidRDefault="004843DB" w:rsidP="004843DB">
      <w:pPr>
        <w:pStyle w:val="NoteHeadingcontinued"/>
      </w:pPr>
      <w:r w:rsidRPr="0062582F">
        <w:br w:type="column"/>
      </w:r>
    </w:p>
    <w:p w:rsidR="004843DB" w:rsidRPr="0062582F" w:rsidRDefault="004843DB" w:rsidP="004843DB">
      <w:pPr>
        <w:pStyle w:val="Reference"/>
      </w:pPr>
      <w:r w:rsidRPr="0062582F">
        <w:t>AASB 101.</w:t>
      </w:r>
      <w:r w:rsidRPr="0062582F" w:rsidDel="009D7B56">
        <w:t xml:space="preserve"> </w:t>
      </w:r>
      <w:r w:rsidRPr="0062582F">
        <w:t>78(d)</w:t>
      </w:r>
    </w:p>
    <w:p w:rsidR="004843DB" w:rsidRPr="0062582F" w:rsidRDefault="004843DB" w:rsidP="004843DB">
      <w:pPr>
        <w:pStyle w:val="NoteHeadingcontinued"/>
      </w:pPr>
      <w:r w:rsidRPr="0062582F">
        <w:br w:type="column"/>
        <w:t>Note 24.</w:t>
      </w:r>
      <w:r w:rsidRPr="0062582F">
        <w:tab/>
        <w:t xml:space="preserve">Provisions </w:t>
      </w:r>
      <w:r w:rsidRPr="0062582F">
        <w:rPr>
          <w:i/>
        </w:rPr>
        <w:t>(continued)</w:t>
      </w:r>
    </w:p>
    <w:p w:rsidR="004843DB" w:rsidRPr="0062582F" w:rsidRDefault="004843DB" w:rsidP="004843DB">
      <w:pPr>
        <w:pStyle w:val="Heading5"/>
        <w:rPr>
          <w:vertAlign w:val="superscript"/>
        </w:rPr>
      </w:pPr>
      <w:r w:rsidRPr="0062582F">
        <w:t>(a)</w:t>
      </w:r>
      <w:r w:rsidRPr="0062582F">
        <w:tab/>
        <w:t>Employee benefits and on</w:t>
      </w:r>
      <w:r w:rsidR="005A4BB0">
        <w:noBreakHyphen/>
      </w:r>
      <w:r w:rsidRPr="0062582F">
        <w:t>costs</w:t>
      </w:r>
      <w:r w:rsidRPr="0062582F">
        <w:rPr>
          <w:vertAlign w:val="superscript"/>
        </w:rPr>
        <w:t>(i)</w:t>
      </w:r>
    </w:p>
    <w:p w:rsidR="004843DB" w:rsidRPr="0062582F" w:rsidRDefault="004843DB" w:rsidP="004843DB">
      <w:pPr>
        <w:pStyle w:val="Reference"/>
        <w:spacing w:before="0"/>
        <w:rPr>
          <w:i/>
          <w:iCs/>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color w:val="FF0000"/>
        </w:rPr>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20"/>
      </w:pPr>
      <w:r w:rsidRPr="0062582F">
        <w:t>AASB 101.61</w:t>
      </w:r>
    </w:p>
    <w:p w:rsidR="004843DB" w:rsidRPr="0062582F" w:rsidRDefault="004843DB" w:rsidP="004843DB">
      <w:pPr>
        <w:pStyle w:val="SmallLine"/>
      </w:pPr>
    </w:p>
    <w:p w:rsidR="004843DB" w:rsidRPr="0062582F" w:rsidRDefault="004843DB" w:rsidP="004843DB">
      <w:pPr>
        <w:pStyle w:val="SmallLine"/>
      </w:pPr>
      <w:r w:rsidRPr="0062582F">
        <w:br/>
      </w: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Reference"/>
      </w:pPr>
      <w:r w:rsidRPr="0062582F">
        <w:t>AASB 101.61</w:t>
      </w:r>
    </w:p>
    <w:p w:rsidR="004843DB" w:rsidRPr="0062582F" w:rsidRDefault="004843DB" w:rsidP="004843DB">
      <w:pPr>
        <w:pStyle w:val="million"/>
      </w:pPr>
      <w:r w:rsidRPr="0062582F">
        <w:br w:type="column"/>
        <w:t>($ thousand)</w:t>
      </w:r>
    </w:p>
    <w:tbl>
      <w:tblPr>
        <w:tblW w:w="8233" w:type="dxa"/>
        <w:tblLayout w:type="fixed"/>
        <w:tblCellMar>
          <w:left w:w="43" w:type="dxa"/>
          <w:right w:w="43" w:type="dxa"/>
        </w:tblCellMar>
        <w:tblLook w:val="04A0" w:firstRow="1" w:lastRow="0" w:firstColumn="1" w:lastColumn="0" w:noHBand="0" w:noVBand="1"/>
      </w:tblPr>
      <w:tblGrid>
        <w:gridCol w:w="6073"/>
        <w:gridCol w:w="990"/>
        <w:gridCol w:w="1170"/>
      </w:tblGrid>
      <w:tr w:rsidR="004843DB" w:rsidRPr="0062582F" w:rsidTr="004843DB">
        <w:trPr>
          <w:cantSplit/>
        </w:trPr>
        <w:tc>
          <w:tcPr>
            <w:tcW w:w="607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99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17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607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Current employee benefits</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17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607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Annual leave </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2 351</w:t>
            </w:r>
          </w:p>
        </w:tc>
        <w:tc>
          <w:tcPr>
            <w:tcW w:w="117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2 233</w:t>
            </w:r>
          </w:p>
        </w:tc>
      </w:tr>
      <w:tr w:rsidR="004843DB" w:rsidRPr="0062582F" w:rsidTr="004843DB">
        <w:trPr>
          <w:cantSplit/>
        </w:trPr>
        <w:tc>
          <w:tcPr>
            <w:tcW w:w="607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 xml:space="preserve">Long service leave </w:t>
            </w:r>
          </w:p>
        </w:tc>
        <w:tc>
          <w:tcPr>
            <w:tcW w:w="9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3 139</w:t>
            </w:r>
          </w:p>
        </w:tc>
        <w:tc>
          <w:tcPr>
            <w:tcW w:w="117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9 321</w:t>
            </w:r>
          </w:p>
        </w:tc>
      </w:tr>
      <w:tr w:rsidR="004843DB" w:rsidRPr="0062582F" w:rsidTr="004843DB">
        <w:trPr>
          <w:cantSplit/>
        </w:trPr>
        <w:tc>
          <w:tcPr>
            <w:tcW w:w="607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Non</w:t>
            </w:r>
            <w:r w:rsidR="005A4BB0">
              <w:rPr>
                <w:b/>
              </w:rPr>
              <w:noBreakHyphen/>
            </w:r>
            <w:r w:rsidRPr="0062582F">
              <w:rPr>
                <w:b/>
              </w:rPr>
              <w:t>current employee benefits</w:t>
            </w:r>
          </w:p>
        </w:tc>
        <w:tc>
          <w:tcPr>
            <w:tcW w:w="99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17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607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 xml:space="preserve">Long service leave </w:t>
            </w:r>
          </w:p>
        </w:tc>
        <w:tc>
          <w:tcPr>
            <w:tcW w:w="9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3 743</w:t>
            </w:r>
          </w:p>
        </w:tc>
        <w:tc>
          <w:tcPr>
            <w:tcW w:w="117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3 528</w:t>
            </w:r>
          </w:p>
        </w:tc>
      </w:tr>
      <w:tr w:rsidR="004843DB" w:rsidRPr="0062582F" w:rsidTr="004843DB">
        <w:trPr>
          <w:cantSplit/>
        </w:trPr>
        <w:tc>
          <w:tcPr>
            <w:tcW w:w="6073"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employee benefits</w:t>
            </w:r>
          </w:p>
        </w:tc>
        <w:tc>
          <w:tcPr>
            <w:tcW w:w="9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9 233</w:t>
            </w:r>
          </w:p>
        </w:tc>
        <w:tc>
          <w:tcPr>
            <w:tcW w:w="117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15 082</w:t>
            </w:r>
          </w:p>
        </w:tc>
      </w:tr>
      <w:tr w:rsidR="004843DB" w:rsidRPr="0062582F" w:rsidTr="004843DB">
        <w:trPr>
          <w:cantSplit/>
        </w:trPr>
        <w:tc>
          <w:tcPr>
            <w:tcW w:w="6073" w:type="dxa"/>
            <w:tcBorders>
              <w:top w:val="nil"/>
              <w:left w:val="nil"/>
              <w:bottom w:val="nil"/>
              <w:right w:val="nil"/>
            </w:tcBorders>
            <w:shd w:val="clear" w:color="auto" w:fill="auto"/>
            <w:hideMark/>
          </w:tcPr>
          <w:p w:rsidR="004843DB" w:rsidRPr="0062582F" w:rsidRDefault="004843DB" w:rsidP="004843DB">
            <w:pPr>
              <w:pStyle w:val="Tabletext"/>
            </w:pPr>
            <w:r w:rsidRPr="0062582F">
              <w:t>Current on</w:t>
            </w:r>
            <w:r w:rsidR="005A4BB0">
              <w:noBreakHyphen/>
            </w:r>
            <w:r w:rsidRPr="0062582F">
              <w:t>costs</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650</w:t>
            </w:r>
          </w:p>
        </w:tc>
        <w:tc>
          <w:tcPr>
            <w:tcW w:w="117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1 154</w:t>
            </w:r>
          </w:p>
        </w:tc>
      </w:tr>
      <w:tr w:rsidR="004843DB" w:rsidRPr="0062582F" w:rsidTr="004843DB">
        <w:trPr>
          <w:cantSplit/>
        </w:trPr>
        <w:tc>
          <w:tcPr>
            <w:tcW w:w="6073" w:type="dxa"/>
            <w:tcBorders>
              <w:top w:val="nil"/>
              <w:left w:val="nil"/>
              <w:bottom w:val="nil"/>
              <w:right w:val="nil"/>
            </w:tcBorders>
            <w:shd w:val="clear" w:color="auto" w:fill="auto"/>
            <w:hideMark/>
          </w:tcPr>
          <w:p w:rsidR="004843DB" w:rsidRPr="0062582F" w:rsidRDefault="004843DB" w:rsidP="004843DB">
            <w:pPr>
              <w:pStyle w:val="Tabletext"/>
            </w:pPr>
            <w:r w:rsidRPr="0062582F">
              <w:t>Non</w:t>
            </w:r>
            <w:r w:rsidR="005A4BB0">
              <w:noBreakHyphen/>
            </w:r>
            <w:r w:rsidRPr="0062582F">
              <w:t>current on</w:t>
            </w:r>
            <w:r w:rsidR="005A4BB0">
              <w:noBreakHyphen/>
            </w:r>
            <w:r w:rsidRPr="0062582F">
              <w:t>costs</w:t>
            </w:r>
          </w:p>
        </w:tc>
        <w:tc>
          <w:tcPr>
            <w:tcW w:w="9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871</w:t>
            </w:r>
          </w:p>
        </w:tc>
        <w:tc>
          <w:tcPr>
            <w:tcW w:w="117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837</w:t>
            </w:r>
          </w:p>
        </w:tc>
      </w:tr>
      <w:tr w:rsidR="004843DB" w:rsidRPr="0062582F" w:rsidTr="004843DB">
        <w:trPr>
          <w:cantSplit/>
        </w:trPr>
        <w:tc>
          <w:tcPr>
            <w:tcW w:w="607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Total on</w:t>
            </w:r>
            <w:r w:rsidR="005A4BB0">
              <w:rPr>
                <w:b/>
              </w:rPr>
              <w:noBreakHyphen/>
            </w:r>
            <w:r w:rsidRPr="0062582F">
              <w:rPr>
                <w:b/>
              </w:rPr>
              <w:t>costs</w:t>
            </w:r>
          </w:p>
        </w:tc>
        <w:tc>
          <w:tcPr>
            <w:tcW w:w="99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1 520</w:t>
            </w:r>
          </w:p>
        </w:tc>
        <w:tc>
          <w:tcPr>
            <w:tcW w:w="117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1 991</w:t>
            </w:r>
          </w:p>
        </w:tc>
      </w:tr>
      <w:tr w:rsidR="004843DB" w:rsidRPr="0062582F" w:rsidTr="004843DB">
        <w:trPr>
          <w:cantSplit/>
        </w:trPr>
        <w:tc>
          <w:tcPr>
            <w:tcW w:w="607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employee benefits and on</w:t>
            </w:r>
            <w:r w:rsidR="005A4BB0">
              <w:rPr>
                <w:b/>
              </w:rPr>
              <w:noBreakHyphen/>
            </w:r>
            <w:r w:rsidRPr="0062582F">
              <w:rPr>
                <w:b/>
              </w:rPr>
              <w:t>costs</w:t>
            </w:r>
          </w:p>
        </w:tc>
        <w:tc>
          <w:tcPr>
            <w:tcW w:w="9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10 753</w:t>
            </w:r>
          </w:p>
        </w:tc>
        <w:tc>
          <w:tcPr>
            <w:tcW w:w="117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17 073</w:t>
            </w:r>
          </w:p>
        </w:tc>
      </w:tr>
    </w:tbl>
    <w:p w:rsidR="004843DB" w:rsidRPr="0062582F" w:rsidRDefault="004843DB" w:rsidP="004843DB">
      <w:pPr>
        <w:pStyle w:val="Notes"/>
        <w:tabs>
          <w:tab w:val="clear" w:pos="454"/>
          <w:tab w:val="left" w:pos="0"/>
        </w:tabs>
        <w:ind w:left="0" w:firstLine="0"/>
      </w:pPr>
      <w:r w:rsidRPr="0062582F">
        <w:t>Note:</w:t>
      </w:r>
    </w:p>
    <w:p w:rsidR="004843DB" w:rsidRPr="0062582F" w:rsidRDefault="004843DB" w:rsidP="004843DB">
      <w:pPr>
        <w:pStyle w:val="Notes"/>
        <w:tabs>
          <w:tab w:val="clear" w:pos="454"/>
          <w:tab w:val="left" w:pos="0"/>
        </w:tabs>
        <w:ind w:left="0" w:firstLine="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spacing w:before="0"/>
      </w:pPr>
    </w:p>
    <w:p w:rsidR="004843DB" w:rsidRPr="0062582F" w:rsidRDefault="004843DB" w:rsidP="004843DB">
      <w:pPr>
        <w:pStyle w:val="Notes"/>
      </w:pPr>
      <w:r w:rsidRPr="0062582F">
        <w:br w:type="column"/>
        <w:t>(i)</w:t>
      </w:r>
      <w:r w:rsidRPr="0062582F">
        <w:tab/>
        <w:t>Employee benefits consist of annual leave and long service leave accrued by employees. On</w:t>
      </w:r>
      <w:r w:rsidR="005A4BB0">
        <w:noBreakHyphen/>
      </w:r>
      <w:r w:rsidRPr="0062582F">
        <w:t>costs such as payroll tax and workers</w:t>
      </w:r>
      <w:r w:rsidR="005A4BB0">
        <w:t>’</w:t>
      </w:r>
      <w:r w:rsidRPr="0062582F">
        <w:t xml:space="preserve"> compensation insurance are not employee benefits and are recognised as a separate provision. </w:t>
      </w:r>
    </w:p>
    <w:p w:rsidR="004843DB" w:rsidRPr="0062582F" w:rsidRDefault="004843DB" w:rsidP="004843DB"/>
    <w:p w:rsidR="004843DB" w:rsidRPr="0062582F" w:rsidRDefault="004843DB" w:rsidP="004843DB">
      <w:pPr>
        <w:pStyle w:val="Heading5"/>
      </w:pPr>
      <w:r w:rsidRPr="0062582F">
        <w:t>(b)</w:t>
      </w:r>
      <w:r w:rsidRPr="0062582F">
        <w:tab/>
        <w:t>Movement in provisions</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120"/>
      </w:pPr>
      <w:r w:rsidRPr="0062582F">
        <w:t>AASB 137.84(a)</w:t>
      </w:r>
    </w:p>
    <w:p w:rsidR="004843DB" w:rsidRPr="0062582F" w:rsidRDefault="004843DB" w:rsidP="004843DB">
      <w:pPr>
        <w:pStyle w:val="Reference"/>
        <w:spacing w:before="80"/>
        <w:rPr>
          <w:rStyle w:val="SmallLineChar"/>
          <w:sz w:val="16"/>
          <w:szCs w:val="16"/>
        </w:rPr>
      </w:pPr>
      <w:r w:rsidRPr="0062582F">
        <w:t>AASB 137.84(b)</w:t>
      </w:r>
    </w:p>
    <w:p w:rsidR="004843DB" w:rsidRPr="0062582F" w:rsidRDefault="004843DB" w:rsidP="004843DB">
      <w:pPr>
        <w:pStyle w:val="Reference"/>
        <w:spacing w:before="80"/>
        <w:rPr>
          <w:rStyle w:val="SmallLineChar"/>
          <w:sz w:val="16"/>
          <w:szCs w:val="16"/>
        </w:rPr>
      </w:pPr>
      <w:r w:rsidRPr="0062582F">
        <w:t>AASB 137.84(b)</w:t>
      </w:r>
    </w:p>
    <w:p w:rsidR="004843DB" w:rsidRPr="0062582F" w:rsidRDefault="004843DB" w:rsidP="004843DB">
      <w:pPr>
        <w:pStyle w:val="Reference"/>
        <w:spacing w:before="80"/>
        <w:rPr>
          <w:rStyle w:val="SmallLineChar"/>
          <w:sz w:val="16"/>
          <w:szCs w:val="16"/>
        </w:rPr>
      </w:pPr>
      <w:r w:rsidRPr="0062582F">
        <w:t>AASB 137.84(b)</w:t>
      </w:r>
    </w:p>
    <w:p w:rsidR="004843DB" w:rsidRPr="0062582F" w:rsidRDefault="004843DB" w:rsidP="004843DB">
      <w:pPr>
        <w:pStyle w:val="Reference"/>
        <w:spacing w:before="80"/>
      </w:pPr>
      <w:r w:rsidRPr="0062582F">
        <w:t>AASB 137.84(c)</w:t>
      </w:r>
    </w:p>
    <w:p w:rsidR="004843DB" w:rsidRPr="0062582F" w:rsidRDefault="004843DB" w:rsidP="004843DB">
      <w:pPr>
        <w:pStyle w:val="Reference"/>
        <w:spacing w:before="40"/>
      </w:pPr>
    </w:p>
    <w:p w:rsidR="004843DB" w:rsidRPr="0062582F" w:rsidRDefault="004843DB" w:rsidP="004843DB">
      <w:pPr>
        <w:pStyle w:val="Reference"/>
        <w:spacing w:before="80"/>
      </w:pPr>
      <w:r w:rsidRPr="0062582F">
        <w:t>AASB 137.84(d)</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80"/>
      </w:pPr>
      <w:r w:rsidRPr="0062582F">
        <w:t>AASB 137.60, 84(e)</w:t>
      </w:r>
    </w:p>
    <w:p w:rsidR="004843DB" w:rsidRPr="0062582F" w:rsidRDefault="004843DB" w:rsidP="004843DB">
      <w:pPr>
        <w:pStyle w:val="SmallLine"/>
      </w:pPr>
    </w:p>
    <w:p w:rsidR="004843DB" w:rsidRPr="0062582F" w:rsidRDefault="004843DB" w:rsidP="004843DB">
      <w:pPr>
        <w:pStyle w:val="Reference"/>
        <w:spacing w:before="280"/>
      </w:pPr>
      <w:r w:rsidRPr="0062582F">
        <w:t>AASB 137.84(c)</w:t>
      </w:r>
    </w:p>
    <w:p w:rsidR="004843DB" w:rsidRPr="0062582F" w:rsidRDefault="004843DB" w:rsidP="004843DB">
      <w:pPr>
        <w:pStyle w:val="Reference"/>
        <w:spacing w:before="60"/>
      </w:pPr>
      <w:r w:rsidRPr="0062582F">
        <w:t>AASB 137.84(c)</w:t>
      </w:r>
    </w:p>
    <w:p w:rsidR="004843DB" w:rsidRPr="0062582F" w:rsidRDefault="004843DB" w:rsidP="004843DB">
      <w:pPr>
        <w:pStyle w:val="Reference"/>
        <w:spacing w:before="80"/>
      </w:pPr>
      <w:r w:rsidRPr="0062582F">
        <w:t>AASB 137.84(a)</w:t>
      </w:r>
    </w:p>
    <w:p w:rsidR="004843DB" w:rsidRPr="0062582F" w:rsidRDefault="004843DB" w:rsidP="004843DB">
      <w:pPr>
        <w:pStyle w:val="SmallLine"/>
      </w:pPr>
      <w:r w:rsidRPr="0062582F">
        <w:br/>
      </w:r>
      <w:r w:rsidRPr="0062582F">
        <w:br/>
      </w:r>
    </w:p>
    <w:p w:rsidR="004843DB" w:rsidRPr="0062582F" w:rsidRDefault="004843DB" w:rsidP="004843DB">
      <w:pPr>
        <w:pStyle w:val="SmallLine"/>
      </w:pPr>
    </w:p>
    <w:p w:rsidR="004843DB" w:rsidRPr="0062582F" w:rsidRDefault="004843DB" w:rsidP="004843DB">
      <w:pPr>
        <w:pStyle w:val="Reference"/>
        <w:spacing w:before="60"/>
      </w:pPr>
      <w:r w:rsidRPr="0062582F">
        <w:t>AASB 101.61</w:t>
      </w:r>
    </w:p>
    <w:p w:rsidR="004843DB" w:rsidRPr="0062582F" w:rsidRDefault="004843DB" w:rsidP="004843DB">
      <w:pPr>
        <w:pStyle w:val="Reference"/>
        <w:spacing w:before="80"/>
      </w:pPr>
      <w:r w:rsidRPr="0062582F">
        <w:t>AASB 101.61</w:t>
      </w:r>
    </w:p>
    <w:p w:rsidR="004843DB" w:rsidRPr="0062582F" w:rsidRDefault="004843DB" w:rsidP="004843DB">
      <w:pPr>
        <w:pStyle w:val="million"/>
      </w:pPr>
      <w:r w:rsidRPr="0062582F">
        <w:br w:type="column"/>
        <w:t>($ thousand)</w:t>
      </w:r>
    </w:p>
    <w:tbl>
      <w:tblPr>
        <w:tblW w:w="8146" w:type="dxa"/>
        <w:tblLayout w:type="fixed"/>
        <w:tblCellMar>
          <w:left w:w="43" w:type="dxa"/>
          <w:right w:w="43" w:type="dxa"/>
        </w:tblCellMar>
        <w:tblLook w:val="04A0" w:firstRow="1" w:lastRow="0" w:firstColumn="1" w:lastColumn="0" w:noHBand="0" w:noVBand="1"/>
      </w:tblPr>
      <w:tblGrid>
        <w:gridCol w:w="3420"/>
        <w:gridCol w:w="1220"/>
        <w:gridCol w:w="1180"/>
        <w:gridCol w:w="1333"/>
        <w:gridCol w:w="993"/>
      </w:tblGrid>
      <w:tr w:rsidR="004843DB" w:rsidRPr="0062582F" w:rsidTr="004843DB">
        <w:trPr>
          <w:cantSplit/>
        </w:trPr>
        <w:tc>
          <w:tcPr>
            <w:tcW w:w="342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br/>
              <w:t>Make</w:t>
            </w:r>
            <w:r w:rsidR="005A4BB0">
              <w:noBreakHyphen/>
            </w:r>
            <w:r w:rsidRPr="0062582F">
              <w:t>good</w:t>
            </w:r>
          </w:p>
        </w:tc>
        <w:tc>
          <w:tcPr>
            <w:tcW w:w="118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br/>
              <w:t xml:space="preserve"> On</w:t>
            </w:r>
            <w:r w:rsidR="005A4BB0">
              <w:noBreakHyphen/>
            </w:r>
            <w:r w:rsidRPr="0062582F">
              <w:t xml:space="preserve">costs </w:t>
            </w:r>
          </w:p>
        </w:tc>
        <w:tc>
          <w:tcPr>
            <w:tcW w:w="133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Onerous lease contracts</w:t>
            </w:r>
          </w:p>
        </w:tc>
        <w:tc>
          <w:tcPr>
            <w:tcW w:w="993" w:type="dxa"/>
            <w:tcBorders>
              <w:top w:val="single" w:sz="4" w:space="0" w:color="auto"/>
              <w:left w:val="nil"/>
              <w:bottom w:val="single" w:sz="4" w:space="0" w:color="auto"/>
              <w:right w:val="nil"/>
            </w:tcBorders>
            <w:shd w:val="clear" w:color="000000" w:fill="CCCCCC"/>
            <w:hideMark/>
          </w:tcPr>
          <w:p w:rsidR="004843DB" w:rsidRPr="0062582F" w:rsidRDefault="004843DB" w:rsidP="004843DB">
            <w:pPr>
              <w:pStyle w:val="Tabletextheading"/>
            </w:pPr>
            <w:r w:rsidRPr="0062582F">
              <w:br/>
              <w:t>Total</w:t>
            </w:r>
          </w:p>
        </w:tc>
      </w:tr>
      <w:tr w:rsidR="004843DB" w:rsidRPr="0062582F" w:rsidTr="004843DB">
        <w:trPr>
          <w:cantSplit/>
        </w:trPr>
        <w:tc>
          <w:tcPr>
            <w:tcW w:w="3420"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20"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2016</w:t>
            </w:r>
          </w:p>
        </w:tc>
        <w:tc>
          <w:tcPr>
            <w:tcW w:w="1180"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2016</w:t>
            </w:r>
          </w:p>
        </w:tc>
        <w:tc>
          <w:tcPr>
            <w:tcW w:w="1333"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2016</w:t>
            </w:r>
          </w:p>
        </w:tc>
        <w:tc>
          <w:tcPr>
            <w:tcW w:w="993" w:type="dxa"/>
            <w:tcBorders>
              <w:top w:val="nil"/>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r>
      <w:tr w:rsidR="004843DB" w:rsidRPr="0062582F" w:rsidTr="004843DB">
        <w:trPr>
          <w:cantSplit/>
        </w:trPr>
        <w:tc>
          <w:tcPr>
            <w:tcW w:w="3420"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Opening balance</w:t>
            </w:r>
          </w:p>
        </w:tc>
        <w:tc>
          <w:tcPr>
            <w:tcW w:w="122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375</w:t>
            </w:r>
          </w:p>
        </w:tc>
        <w:tc>
          <w:tcPr>
            <w:tcW w:w="118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1 991</w:t>
            </w:r>
          </w:p>
        </w:tc>
        <w:tc>
          <w:tcPr>
            <w:tcW w:w="1333"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3 563</w:t>
            </w:r>
          </w:p>
        </w:tc>
        <w:tc>
          <w:tcPr>
            <w:tcW w:w="993"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5 929</w:t>
            </w:r>
          </w:p>
        </w:tc>
      </w:tr>
      <w:tr w:rsidR="004843DB" w:rsidRPr="0062582F" w:rsidTr="004843DB">
        <w:trPr>
          <w:cantSplit/>
        </w:trPr>
        <w:tc>
          <w:tcPr>
            <w:tcW w:w="3420" w:type="dxa"/>
            <w:tcBorders>
              <w:top w:val="nil"/>
              <w:left w:val="nil"/>
              <w:bottom w:val="nil"/>
              <w:right w:val="nil"/>
            </w:tcBorders>
            <w:shd w:val="clear" w:color="auto" w:fill="auto"/>
            <w:hideMark/>
          </w:tcPr>
          <w:p w:rsidR="004843DB" w:rsidRPr="0062582F" w:rsidRDefault="004843DB" w:rsidP="004843DB">
            <w:pPr>
              <w:pStyle w:val="Tabletext"/>
            </w:pPr>
            <w:r w:rsidRPr="0062582F">
              <w:t>Additional provisions recognised</w:t>
            </w:r>
          </w:p>
        </w:tc>
        <w:tc>
          <w:tcPr>
            <w:tcW w:w="12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50</w:t>
            </w:r>
          </w:p>
        </w:tc>
        <w:tc>
          <w:tcPr>
            <w:tcW w:w="11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451</w:t>
            </w:r>
          </w:p>
        </w:tc>
        <w:tc>
          <w:tcPr>
            <w:tcW w:w="133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426</w:t>
            </w:r>
          </w:p>
        </w:tc>
        <w:tc>
          <w:tcPr>
            <w:tcW w:w="993"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927</w:t>
            </w:r>
          </w:p>
        </w:tc>
      </w:tr>
      <w:tr w:rsidR="004843DB" w:rsidRPr="0062582F" w:rsidTr="004843DB">
        <w:trPr>
          <w:cantSplit/>
        </w:trPr>
        <w:tc>
          <w:tcPr>
            <w:tcW w:w="3420" w:type="dxa"/>
            <w:tcBorders>
              <w:top w:val="nil"/>
              <w:left w:val="nil"/>
              <w:bottom w:val="nil"/>
              <w:right w:val="nil"/>
            </w:tcBorders>
            <w:shd w:val="clear" w:color="auto" w:fill="auto"/>
            <w:hideMark/>
          </w:tcPr>
          <w:p w:rsidR="004843DB" w:rsidRPr="0062582F" w:rsidRDefault="004843DB" w:rsidP="004843DB">
            <w:pPr>
              <w:pStyle w:val="Tabletext"/>
            </w:pPr>
            <w:r w:rsidRPr="0062582F">
              <w:t>Additions due to transfer in</w:t>
            </w:r>
          </w:p>
        </w:tc>
        <w:tc>
          <w:tcPr>
            <w:tcW w:w="12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1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141</w:t>
            </w:r>
          </w:p>
        </w:tc>
        <w:tc>
          <w:tcPr>
            <w:tcW w:w="133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993"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141</w:t>
            </w:r>
          </w:p>
        </w:tc>
      </w:tr>
      <w:tr w:rsidR="004843DB" w:rsidRPr="0062582F" w:rsidTr="004843DB">
        <w:trPr>
          <w:cantSplit/>
        </w:trPr>
        <w:tc>
          <w:tcPr>
            <w:tcW w:w="3420" w:type="dxa"/>
            <w:tcBorders>
              <w:top w:val="nil"/>
              <w:left w:val="nil"/>
              <w:bottom w:val="nil"/>
              <w:right w:val="nil"/>
            </w:tcBorders>
            <w:shd w:val="clear" w:color="auto" w:fill="auto"/>
            <w:hideMark/>
          </w:tcPr>
          <w:p w:rsidR="004843DB" w:rsidRPr="0062582F" w:rsidRDefault="004843DB" w:rsidP="004843DB">
            <w:pPr>
              <w:pStyle w:val="Tabletext"/>
            </w:pPr>
            <w:r w:rsidRPr="0062582F">
              <w:t>Additions due to acquisitions</w:t>
            </w:r>
          </w:p>
        </w:tc>
        <w:tc>
          <w:tcPr>
            <w:tcW w:w="12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1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118</w:t>
            </w:r>
          </w:p>
        </w:tc>
        <w:tc>
          <w:tcPr>
            <w:tcW w:w="133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993"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118</w:t>
            </w:r>
          </w:p>
        </w:tc>
      </w:tr>
      <w:tr w:rsidR="004843DB" w:rsidRPr="0062582F" w:rsidTr="004843DB">
        <w:trPr>
          <w:cantSplit/>
        </w:trPr>
        <w:tc>
          <w:tcPr>
            <w:tcW w:w="3420" w:type="dxa"/>
            <w:tcBorders>
              <w:top w:val="nil"/>
              <w:left w:val="nil"/>
              <w:bottom w:val="nil"/>
              <w:right w:val="nil"/>
            </w:tcBorders>
            <w:shd w:val="clear" w:color="auto" w:fill="auto"/>
            <w:hideMark/>
          </w:tcPr>
          <w:p w:rsidR="004843DB" w:rsidRPr="0062582F" w:rsidRDefault="004843DB" w:rsidP="004843DB">
            <w:pPr>
              <w:pStyle w:val="Tabletext"/>
            </w:pPr>
            <w:r w:rsidRPr="0062582F">
              <w:t>Reductions arising from payments/other sacrifices of future economic benefits</w:t>
            </w:r>
          </w:p>
        </w:tc>
        <w:tc>
          <w:tcPr>
            <w:tcW w:w="12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1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(22)</w:t>
            </w:r>
          </w:p>
        </w:tc>
        <w:tc>
          <w:tcPr>
            <w:tcW w:w="133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(105)</w:t>
            </w:r>
          </w:p>
        </w:tc>
        <w:tc>
          <w:tcPr>
            <w:tcW w:w="993"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(127)</w:t>
            </w:r>
          </w:p>
        </w:tc>
      </w:tr>
      <w:tr w:rsidR="004843DB" w:rsidRPr="0062582F" w:rsidTr="004843DB">
        <w:trPr>
          <w:cantSplit/>
        </w:trPr>
        <w:tc>
          <w:tcPr>
            <w:tcW w:w="3420" w:type="dxa"/>
            <w:tcBorders>
              <w:top w:val="nil"/>
              <w:left w:val="nil"/>
              <w:bottom w:val="nil"/>
              <w:right w:val="nil"/>
            </w:tcBorders>
            <w:shd w:val="clear" w:color="auto" w:fill="auto"/>
            <w:hideMark/>
          </w:tcPr>
          <w:p w:rsidR="004843DB" w:rsidRPr="0062582F" w:rsidRDefault="004843DB" w:rsidP="004843DB">
            <w:pPr>
              <w:pStyle w:val="Tabletext"/>
            </w:pPr>
            <w:r w:rsidRPr="0062582F">
              <w:t>Reductions resulting from re</w:t>
            </w:r>
            <w:r w:rsidR="005A4BB0">
              <w:noBreakHyphen/>
            </w:r>
            <w:r w:rsidRPr="0062582F">
              <w:t>measurement or settlement without cost</w:t>
            </w:r>
          </w:p>
        </w:tc>
        <w:tc>
          <w:tcPr>
            <w:tcW w:w="12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1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( 20)</w:t>
            </w:r>
          </w:p>
        </w:tc>
        <w:tc>
          <w:tcPr>
            <w:tcW w:w="133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993"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( 20)</w:t>
            </w:r>
          </w:p>
        </w:tc>
      </w:tr>
      <w:tr w:rsidR="004843DB" w:rsidRPr="0062582F" w:rsidTr="004843DB">
        <w:trPr>
          <w:cantSplit/>
        </w:trPr>
        <w:tc>
          <w:tcPr>
            <w:tcW w:w="3420" w:type="dxa"/>
            <w:tcBorders>
              <w:top w:val="nil"/>
              <w:left w:val="nil"/>
              <w:bottom w:val="nil"/>
              <w:right w:val="nil"/>
            </w:tcBorders>
            <w:shd w:val="clear" w:color="auto" w:fill="auto"/>
            <w:hideMark/>
          </w:tcPr>
          <w:p w:rsidR="004843DB" w:rsidRPr="0062582F" w:rsidRDefault="004843DB" w:rsidP="004843DB">
            <w:pPr>
              <w:pStyle w:val="Tabletext"/>
            </w:pPr>
            <w:r w:rsidRPr="0062582F">
              <w:t>Unwind of discount and effect of changes in the discount rate</w:t>
            </w:r>
          </w:p>
        </w:tc>
        <w:tc>
          <w:tcPr>
            <w:tcW w:w="12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25</w:t>
            </w:r>
          </w:p>
        </w:tc>
        <w:tc>
          <w:tcPr>
            <w:tcW w:w="11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15</w:t>
            </w:r>
          </w:p>
        </w:tc>
        <w:tc>
          <w:tcPr>
            <w:tcW w:w="133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993"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40</w:t>
            </w:r>
          </w:p>
        </w:tc>
      </w:tr>
      <w:tr w:rsidR="004843DB" w:rsidRPr="0062582F" w:rsidTr="004843DB">
        <w:trPr>
          <w:cantSplit/>
        </w:trPr>
        <w:tc>
          <w:tcPr>
            <w:tcW w:w="3420" w:type="dxa"/>
            <w:tcBorders>
              <w:top w:val="nil"/>
              <w:left w:val="nil"/>
              <w:bottom w:val="nil"/>
              <w:right w:val="nil"/>
            </w:tcBorders>
            <w:shd w:val="clear" w:color="auto" w:fill="auto"/>
            <w:hideMark/>
          </w:tcPr>
          <w:p w:rsidR="004843DB" w:rsidRPr="0062582F" w:rsidRDefault="004843DB" w:rsidP="004843DB">
            <w:pPr>
              <w:pStyle w:val="Tabletext"/>
            </w:pPr>
            <w:r w:rsidRPr="0062582F">
              <w:t>Reduction due to held for sale</w:t>
            </w:r>
          </w:p>
        </w:tc>
        <w:tc>
          <w:tcPr>
            <w:tcW w:w="12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1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(304)</w:t>
            </w:r>
          </w:p>
        </w:tc>
        <w:tc>
          <w:tcPr>
            <w:tcW w:w="133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(1 042)</w:t>
            </w:r>
          </w:p>
        </w:tc>
        <w:tc>
          <w:tcPr>
            <w:tcW w:w="993"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(1 346)</w:t>
            </w:r>
          </w:p>
        </w:tc>
      </w:tr>
      <w:tr w:rsidR="004843DB" w:rsidRPr="0062582F" w:rsidTr="004843DB">
        <w:trPr>
          <w:cantSplit/>
        </w:trPr>
        <w:tc>
          <w:tcPr>
            <w:tcW w:w="3420" w:type="dxa"/>
            <w:tcBorders>
              <w:top w:val="nil"/>
              <w:left w:val="nil"/>
              <w:bottom w:val="nil"/>
              <w:right w:val="nil"/>
            </w:tcBorders>
            <w:shd w:val="clear" w:color="auto" w:fill="auto"/>
            <w:hideMark/>
          </w:tcPr>
          <w:p w:rsidR="004843DB" w:rsidRPr="0062582F" w:rsidRDefault="004843DB" w:rsidP="004843DB">
            <w:pPr>
              <w:pStyle w:val="Tabletext"/>
            </w:pPr>
            <w:r w:rsidRPr="0062582F">
              <w:t>Reduction due to transfer out</w:t>
            </w:r>
          </w:p>
        </w:tc>
        <w:tc>
          <w:tcPr>
            <w:tcW w:w="12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1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(847)</w:t>
            </w:r>
          </w:p>
        </w:tc>
        <w:tc>
          <w:tcPr>
            <w:tcW w:w="133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(1 139)</w:t>
            </w:r>
          </w:p>
        </w:tc>
        <w:tc>
          <w:tcPr>
            <w:tcW w:w="993"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(1 987)</w:t>
            </w:r>
          </w:p>
        </w:tc>
      </w:tr>
      <w:tr w:rsidR="004843DB" w:rsidRPr="0062582F" w:rsidTr="004843DB">
        <w:trPr>
          <w:cantSplit/>
        </w:trPr>
        <w:tc>
          <w:tcPr>
            <w:tcW w:w="342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Closing balance</w:t>
            </w:r>
          </w:p>
        </w:tc>
        <w:tc>
          <w:tcPr>
            <w:tcW w:w="12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450</w:t>
            </w:r>
          </w:p>
        </w:tc>
        <w:tc>
          <w:tcPr>
            <w:tcW w:w="118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1 522</w:t>
            </w:r>
          </w:p>
        </w:tc>
        <w:tc>
          <w:tcPr>
            <w:tcW w:w="1333"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1 703</w:t>
            </w:r>
          </w:p>
        </w:tc>
        <w:tc>
          <w:tcPr>
            <w:tcW w:w="993"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3 675</w:t>
            </w:r>
          </w:p>
        </w:tc>
      </w:tr>
      <w:tr w:rsidR="004843DB" w:rsidRPr="0062582F" w:rsidTr="004843DB">
        <w:trPr>
          <w:cantSplit/>
          <w:trHeight w:hRule="exact" w:val="120"/>
        </w:trPr>
        <w:tc>
          <w:tcPr>
            <w:tcW w:w="3420"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22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180"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333"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993"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w:t>
            </w:r>
          </w:p>
        </w:tc>
      </w:tr>
      <w:tr w:rsidR="004843DB" w:rsidRPr="0062582F" w:rsidTr="004843DB">
        <w:trPr>
          <w:cantSplit/>
        </w:trPr>
        <w:tc>
          <w:tcPr>
            <w:tcW w:w="3420" w:type="dxa"/>
            <w:tcBorders>
              <w:top w:val="nil"/>
              <w:left w:val="nil"/>
              <w:bottom w:val="nil"/>
              <w:right w:val="nil"/>
            </w:tcBorders>
            <w:shd w:val="clear" w:color="auto" w:fill="auto"/>
            <w:hideMark/>
          </w:tcPr>
          <w:p w:rsidR="004843DB" w:rsidRPr="0062582F" w:rsidRDefault="004843DB" w:rsidP="004843DB">
            <w:pPr>
              <w:pStyle w:val="Tabletext"/>
            </w:pPr>
            <w:r w:rsidRPr="0062582F">
              <w:t>Current</w:t>
            </w:r>
          </w:p>
        </w:tc>
        <w:tc>
          <w:tcPr>
            <w:tcW w:w="12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1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650</w:t>
            </w:r>
          </w:p>
        </w:tc>
        <w:tc>
          <w:tcPr>
            <w:tcW w:w="133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993</w:t>
            </w:r>
          </w:p>
        </w:tc>
        <w:tc>
          <w:tcPr>
            <w:tcW w:w="993"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1 643</w:t>
            </w:r>
          </w:p>
        </w:tc>
      </w:tr>
      <w:tr w:rsidR="004843DB" w:rsidRPr="0062582F" w:rsidTr="004843DB">
        <w:trPr>
          <w:cantSplit/>
        </w:trPr>
        <w:tc>
          <w:tcPr>
            <w:tcW w:w="3420"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Non</w:t>
            </w:r>
            <w:r w:rsidR="005A4BB0">
              <w:noBreakHyphen/>
            </w:r>
            <w:r w:rsidRPr="0062582F">
              <w:t>current</w:t>
            </w:r>
          </w:p>
        </w:tc>
        <w:tc>
          <w:tcPr>
            <w:tcW w:w="12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450</w:t>
            </w:r>
          </w:p>
        </w:tc>
        <w:tc>
          <w:tcPr>
            <w:tcW w:w="118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871</w:t>
            </w:r>
          </w:p>
        </w:tc>
        <w:tc>
          <w:tcPr>
            <w:tcW w:w="1333"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710</w:t>
            </w:r>
          </w:p>
        </w:tc>
        <w:tc>
          <w:tcPr>
            <w:tcW w:w="993"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2 030</w:t>
            </w:r>
          </w:p>
        </w:tc>
      </w:tr>
      <w:tr w:rsidR="004843DB" w:rsidRPr="0062582F" w:rsidTr="004843DB">
        <w:trPr>
          <w:cantSplit/>
        </w:trPr>
        <w:tc>
          <w:tcPr>
            <w:tcW w:w="342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 xml:space="preserve"> </w:t>
            </w:r>
          </w:p>
        </w:tc>
        <w:tc>
          <w:tcPr>
            <w:tcW w:w="122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450</w:t>
            </w:r>
          </w:p>
        </w:tc>
        <w:tc>
          <w:tcPr>
            <w:tcW w:w="118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1 520</w:t>
            </w:r>
          </w:p>
        </w:tc>
        <w:tc>
          <w:tcPr>
            <w:tcW w:w="1333"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1 703</w:t>
            </w:r>
          </w:p>
        </w:tc>
        <w:tc>
          <w:tcPr>
            <w:tcW w:w="993"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3 673</w:t>
            </w:r>
          </w:p>
        </w:tc>
      </w:tr>
    </w:tbl>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80"/>
      </w:pPr>
      <w:r w:rsidRPr="0062582F">
        <w:br w:type="column"/>
      </w:r>
    </w:p>
    <w:p w:rsidR="004843DB" w:rsidRPr="0062582F" w:rsidRDefault="004843DB" w:rsidP="004843DB">
      <w:pPr>
        <w:pStyle w:val="Reference"/>
        <w:spacing w:before="80"/>
      </w:pPr>
    </w:p>
    <w:p w:rsidR="004843DB" w:rsidRPr="0062582F" w:rsidRDefault="004843DB" w:rsidP="004843DB">
      <w:pPr>
        <w:pStyle w:val="SmallLine"/>
      </w:pPr>
      <w:r w:rsidRPr="0062582F">
        <w:br w:type="column"/>
      </w:r>
      <w:r w:rsidRPr="0062582F">
        <w:br w:type="column"/>
      </w:r>
    </w:p>
    <w:p w:rsidR="004843DB" w:rsidRPr="0062582F" w:rsidRDefault="004843DB" w:rsidP="004843DB">
      <w:pPr>
        <w:pStyle w:val="CommentaryHeading"/>
        <w:pBdr>
          <w:bottom w:val="none" w:sz="0" w:space="0" w:color="auto"/>
        </w:pBdr>
      </w:pPr>
      <w:r w:rsidRPr="0062582F">
        <w:t>Commentary – Provisions</w:t>
      </w:r>
    </w:p>
    <w:p w:rsidR="004843DB" w:rsidRPr="0062582F" w:rsidRDefault="004843DB" w:rsidP="004843DB">
      <w:pPr>
        <w:pStyle w:val="SmallLineBlue"/>
        <w:pBdr>
          <w:bottom w:val="none" w:sz="0" w:space="0" w:color="auto"/>
        </w:pBdr>
      </w:pPr>
    </w:p>
    <w:p w:rsidR="004843DB" w:rsidRPr="0062582F" w:rsidRDefault="004843DB" w:rsidP="004843DB">
      <w:pPr>
        <w:pStyle w:val="CommentaryText"/>
        <w:pBdr>
          <w:bottom w:val="none" w:sz="0" w:space="0" w:color="auto"/>
        </w:pBdr>
      </w:pPr>
      <w:r w:rsidRPr="0062582F">
        <w:t xml:space="preserve">The Australian Accounting Standard Board (AASB) issued the AASB 119 </w:t>
      </w:r>
      <w:r w:rsidRPr="0062582F">
        <w:rPr>
          <w:i/>
        </w:rPr>
        <w:t xml:space="preserve">Employee Benefits </w:t>
      </w:r>
      <w:r w:rsidRPr="0062582F">
        <w:t>(September, 2012),which became effective since 1 January 2014.</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spacing w:before="240"/>
      </w:pPr>
    </w:p>
    <w:p w:rsidR="004843DB" w:rsidRPr="0062582F" w:rsidRDefault="004843DB" w:rsidP="004843DB">
      <w:pPr>
        <w:pStyle w:val="CommentaryHeading1"/>
        <w:pBdr>
          <w:top w:val="none" w:sz="0" w:space="0" w:color="auto"/>
          <w:bottom w:val="none" w:sz="0" w:space="0" w:color="auto"/>
        </w:pBdr>
      </w:pPr>
      <w:r w:rsidRPr="0062582F">
        <w:br w:type="column"/>
        <w:t>Distinction between short</w:t>
      </w:r>
      <w:r w:rsidR="005A4BB0">
        <w:noBreakHyphen/>
      </w:r>
      <w:r w:rsidRPr="0062582F">
        <w:t>term and long</w:t>
      </w:r>
      <w:r w:rsidR="005A4BB0">
        <w:noBreakHyphen/>
      </w:r>
      <w:r w:rsidRPr="0062582F">
        <w:t>term employee benefits for measurement purposes</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AASB119.8</w:t>
      </w:r>
    </w:p>
    <w:p w:rsidR="004843DB" w:rsidRPr="0062582F" w:rsidRDefault="004843DB" w:rsidP="004843DB">
      <w:pPr>
        <w:pStyle w:val="CommentaryText"/>
        <w:pBdr>
          <w:top w:val="none" w:sz="0" w:space="0" w:color="auto"/>
          <w:bottom w:val="none" w:sz="0" w:space="0" w:color="auto"/>
        </w:pBdr>
      </w:pPr>
      <w:r w:rsidRPr="0062582F">
        <w:br w:type="column"/>
        <w:t>The AASB 119 (September 2012) applies a stricter definition for short</w:t>
      </w:r>
      <w:r w:rsidR="005A4BB0">
        <w:noBreakHyphen/>
      </w:r>
      <w:r w:rsidRPr="0062582F">
        <w:t>term employee benefits. Under this definition, employee benefits are classified as short term when they are expected to be settled wholly within 12 months after the employees render the related services.</w:t>
      </w:r>
    </w:p>
    <w:p w:rsidR="004843DB" w:rsidRPr="0062582F" w:rsidRDefault="004843DB" w:rsidP="004843DB">
      <w:pPr>
        <w:pStyle w:val="CommentaryText"/>
        <w:pBdr>
          <w:top w:val="none" w:sz="0" w:space="0" w:color="auto"/>
          <w:bottom w:val="none" w:sz="0" w:space="0" w:color="auto"/>
        </w:pBdr>
      </w:pPr>
      <w:r w:rsidRPr="0062582F">
        <w:t>As a result, departments should review their current short</w:t>
      </w:r>
      <w:r w:rsidR="005A4BB0">
        <w:noBreakHyphen/>
      </w:r>
      <w:r w:rsidRPr="0062582F">
        <w:t xml:space="preserve">term employee benefits to ensure they still qualify under the definition. If not, they would need to reclassify these employee benefits as </w:t>
      </w:r>
      <w:r w:rsidR="005A4BB0">
        <w:t>‘</w:t>
      </w:r>
      <w:r w:rsidRPr="0062582F">
        <w:t>long</w:t>
      </w:r>
      <w:r w:rsidR="005A4BB0">
        <w:noBreakHyphen/>
      </w:r>
      <w:r w:rsidRPr="0062582F">
        <w:t>term employee benefits</w:t>
      </w:r>
      <w:r w:rsidR="005A4BB0">
        <w:t>’</w:t>
      </w:r>
      <w:r w:rsidRPr="0062582F">
        <w:t>. For example, if it is generally expected that the accrued annual leave will be wholly settled before the end of the next annual reporting period, the provisions will need to be measured at present values (on a discounted basis).</w:t>
      </w:r>
    </w:p>
    <w:p w:rsidR="004843DB" w:rsidRPr="0062582F" w:rsidRDefault="004843DB" w:rsidP="004843DB">
      <w:pPr>
        <w:pStyle w:val="CommentaryText"/>
        <w:pBdr>
          <w:top w:val="none" w:sz="0" w:space="0" w:color="auto"/>
          <w:bottom w:val="none" w:sz="0" w:space="0" w:color="auto"/>
        </w:pBdr>
        <w:jc w:val="both"/>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pPr>
    </w:p>
    <w:p w:rsidR="004843DB" w:rsidRPr="0062582F" w:rsidRDefault="004843DB" w:rsidP="004843DB">
      <w:pPr>
        <w:pStyle w:val="CommentaryHeading1"/>
        <w:pBdr>
          <w:top w:val="none" w:sz="0" w:space="0" w:color="auto"/>
          <w:bottom w:val="none" w:sz="0" w:space="0" w:color="auto"/>
        </w:pBdr>
      </w:pPr>
      <w:r w:rsidRPr="0062582F">
        <w:rPr>
          <w:rFonts w:ascii="Wingdings" w:hAnsi="Wingdings"/>
        </w:rPr>
        <w:br w:type="column"/>
      </w:r>
      <w:r w:rsidRPr="0062582F">
        <w:t>Measurement of short</w:t>
      </w:r>
      <w:r w:rsidR="005A4BB0">
        <w:noBreakHyphen/>
      </w:r>
      <w:r w:rsidRPr="0062582F">
        <w:t>term and long</w:t>
      </w:r>
      <w:r w:rsidR="005A4BB0">
        <w:noBreakHyphen/>
      </w:r>
      <w:r w:rsidRPr="0062582F">
        <w:t>term employee benefits</w:t>
      </w:r>
    </w:p>
    <w:p w:rsidR="004843DB" w:rsidRPr="0062582F" w:rsidRDefault="004843DB" w:rsidP="004843DB">
      <w:pPr>
        <w:pStyle w:val="CommentaryText"/>
        <w:pBdr>
          <w:top w:val="none" w:sz="0" w:space="0" w:color="auto"/>
          <w:bottom w:val="none" w:sz="0" w:space="0" w:color="auto"/>
        </w:pBdr>
      </w:pPr>
      <w:r w:rsidRPr="0062582F">
        <w:t>Short</w:t>
      </w:r>
      <w:r w:rsidR="005A4BB0">
        <w:noBreakHyphen/>
      </w:r>
      <w:r w:rsidRPr="0062582F">
        <w:t>term employee benefits are accounted for on an undiscounted basis in the period in which the related service is rendered. For employee benefits that are classified as long</w:t>
      </w:r>
      <w:r w:rsidR="005A4BB0">
        <w:noBreakHyphen/>
      </w:r>
      <w:r w:rsidRPr="0062582F">
        <w:t xml:space="preserve">term employee benefits, the obligations are measured at present value on a discounted basis. The decision tree below highlights the process considering the </w:t>
      </w:r>
      <w:r w:rsidR="005A4BB0">
        <w:t>‘</w:t>
      </w:r>
      <w:r w:rsidRPr="0062582F">
        <w:t>short</w:t>
      </w:r>
      <w:r w:rsidR="005A4BB0">
        <w:noBreakHyphen/>
      </w:r>
      <w:r w:rsidRPr="0062582F">
        <w:t>term/long</w:t>
      </w:r>
      <w:r w:rsidR="005A4BB0">
        <w:noBreakHyphen/>
      </w:r>
      <w:r w:rsidRPr="0062582F">
        <w:t>term</w:t>
      </w:r>
      <w:r w:rsidR="005A4BB0">
        <w:t>’</w:t>
      </w:r>
      <w:r w:rsidRPr="0062582F">
        <w:t xml:space="preserve"> classification and measurement.</w:t>
      </w:r>
    </w:p>
    <w:p w:rsidR="004843DB" w:rsidRPr="0062582F" w:rsidRDefault="004843DB" w:rsidP="004843DB">
      <w:pPr>
        <w:pStyle w:val="CommentaryText"/>
        <w:pBdr>
          <w:top w:val="none" w:sz="0" w:space="0" w:color="auto"/>
          <w:bottom w:val="none" w:sz="0" w:space="0" w:color="auto"/>
        </w:pBdr>
        <w:rPr>
          <w:sz w:val="4"/>
          <w:szCs w:val="4"/>
        </w:rPr>
      </w:pPr>
    </w:p>
    <w:p w:rsidR="004843DB" w:rsidRPr="0062582F" w:rsidRDefault="004843DB" w:rsidP="004843DB">
      <w:pPr>
        <w:pStyle w:val="CommentaryText"/>
        <w:pBdr>
          <w:top w:val="none" w:sz="0" w:space="0" w:color="auto"/>
          <w:bottom w:val="none" w:sz="0" w:space="0" w:color="auto"/>
        </w:pBdr>
        <w:jc w:val="center"/>
      </w:pPr>
      <w:r w:rsidRPr="0062582F">
        <mc:AlternateContent>
          <mc:Choice Requires="wps">
            <w:drawing>
              <wp:anchor distT="0" distB="0" distL="114300" distR="114300" simplePos="0" relativeHeight="251660288" behindDoc="0" locked="0" layoutInCell="1" allowOverlap="1" wp14:anchorId="4C947CF8" wp14:editId="778B15A0">
                <wp:simplePos x="0" y="0"/>
                <wp:positionH relativeFrom="column">
                  <wp:posOffset>3268345</wp:posOffset>
                </wp:positionH>
                <wp:positionV relativeFrom="paragraph">
                  <wp:posOffset>488619</wp:posOffset>
                </wp:positionV>
                <wp:extent cx="229870" cy="0"/>
                <wp:effectExtent l="0" t="57150" r="36830" b="762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257.35pt;margin-top:38.45pt;width:18.1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46UAIAAKYEAAAOAAAAZHJzL2Uyb0RvYy54bWysVF1v2yAUfZ+0/4B4T22nSZpYdarKTvbS&#10;bZHa/QAKOEbDgIDEiab9913wh9rtZZr2QuDCPffc43Nz/3BpJTpz64RWBc5uUoy4opoJdSzwt5f9&#10;bI2R80QxIrXiBb5yhx+2Hz/cdybnc91oybhFAKJc3pkCN96bPEkcbXhL3I02XMFlrW1LPBztMWGW&#10;dIDeymSepquk05YZqyl3DqJVf4m3Eb+uOfVf69pxj2SBgZuPq43ra1iT7T3Jj5aYRtCBBvkHFi0R&#10;CopOUBXxBJ2s+AOqFdRqp2t/Q3Wb6LoWlMceoJss/a2b54YYHnsBcZyZZHL/D5Z+OR8sEqzAtyCP&#10;Ii18o2dviTg2Hj1aqztUaqVAR20RPAG9OuNySCvVwYaO6UU9mydNvzukdNkQdeSR98vVAFYWMpJ3&#10;KeHgDFR97T5rBm/Iyeso3qW2bYAEWdAlfqPr9I34xSMKwfl8s74DqnS8Skg+5hnr/CeuWxQ2BXZD&#10;H1MDWaxCzk/OB1YkHxNCUaX3QsroB6lQV+DNcr6MCU5LwcJleBadyUtp0ZmAp/ylB5WnFprpY6tl&#10;mg7OgjD4rw/fjmEoPKFEGu8KWH1SLNJoOGG7Ye+JkLBHPqrqrQCdJceBZ8sZRpLD+Lk2qk1yqQJV&#10;kAw6HXa9G39s0s1uvVsvZov5ajdbpFU1e9yXi9lqn90tq9uqLKvsZ+g6W+SNYIyr0Pg4Gdni75w3&#10;zGjv6Wk2JoWT9+hRAyA7/kbS0TPBJr3hXjW7HuzoJRiG+HgY3DBtb8+wf/v3sv0FAAD//wMAUEsD&#10;BBQABgAIAAAAIQBpNXYd3gAAAAkBAAAPAAAAZHJzL2Rvd25yZXYueG1sTI9NT8MwDIbvSPyHyEhc&#10;EEs20XWUptME4sYBBhLilrWmrUicqkm7wK/HiAPc/PHo9eNym5wVM46h96RhuVAgkGrf9NRqeHm+&#10;v9yACNFQY6wn1PCJAbbV6UlpisYf6QnnfWwFh1AojIYuxqGQMtQdOhMWfkDi3bsfnYncjq1sRnPk&#10;cGflSqm1dKYnvtCZAW87rD/2k9PwNifbTwl3q8fXEDcX+deDV3dan5+l3Q2IiCn+wfCjz+pQsdPB&#10;T9QEYTVky6ucUQ35+hoEA1mmuDj8DmRVyv8fVN8AAAD//wMAUEsBAi0AFAAGAAgAAAAhALaDOJL+&#10;AAAA4QEAABMAAAAAAAAAAAAAAAAAAAAAAFtDb250ZW50X1R5cGVzXS54bWxQSwECLQAUAAYACAAA&#10;ACEAOP0h/9YAAACUAQAACwAAAAAAAAAAAAAAAAAvAQAAX3JlbHMvLnJlbHNQSwECLQAUAAYACAAA&#10;ACEAxUWeOlACAACmBAAADgAAAAAAAAAAAAAAAAAuAgAAZHJzL2Uyb0RvYy54bWxQSwECLQAUAAYA&#10;CAAAACEAaTV2Hd4AAAAJAQAADwAAAAAAAAAAAAAAAACqBAAAZHJzL2Rvd25yZXYueG1sUEsFBgAA&#10;AAAEAAQA8wAAALUFAAAAAA==&#10;" strokecolor="#5a5a5a [2109]">
                <v:stroke endarrow="block" endarrowlength="short"/>
              </v:shape>
            </w:pict>
          </mc:Fallback>
        </mc:AlternateContent>
      </w:r>
      <w:r w:rsidRPr="0062582F">
        <w:rPr>
          <w:color w:val="4C4C4C"/>
        </w:rPr>
        <mc:AlternateContent>
          <mc:Choice Requires="wpc">
            <w:drawing>
              <wp:inline distT="0" distB="0" distL="0" distR="0" wp14:anchorId="2DC98BAB" wp14:editId="27FFF25E">
                <wp:extent cx="3331596" cy="3069204"/>
                <wp:effectExtent l="0" t="0" r="2540" b="0"/>
                <wp:docPr id="246" name="Canvas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85000"/>
                          </a:schemeClr>
                        </a:solidFill>
                      </wpc:bg>
                      <wpc:whole/>
                      <wps:wsp>
                        <wps:cNvPr id="31" name="Straight Arrow Connector 31"/>
                        <wps:cNvCnPr>
                          <a:cxnSpLocks noChangeShapeType="1"/>
                        </wps:cNvCnPr>
                        <wps:spPr bwMode="auto">
                          <a:xfrm>
                            <a:off x="2795790" y="484636"/>
                            <a:ext cx="0" cy="1536525"/>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33" name="Straight Arrow Connector 32"/>
                        <wps:cNvCnPr>
                          <a:cxnSpLocks noChangeShapeType="1"/>
                        </wps:cNvCnPr>
                        <wps:spPr bwMode="auto">
                          <a:xfrm>
                            <a:off x="907359" y="2388518"/>
                            <a:ext cx="0" cy="185420"/>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34" name="Flowchart: Alternate Process 34"/>
                        <wps:cNvSpPr>
                          <a:spLocks noChangeArrowheads="1"/>
                        </wps:cNvSpPr>
                        <wps:spPr bwMode="auto">
                          <a:xfrm>
                            <a:off x="2608862" y="308654"/>
                            <a:ext cx="365760" cy="201168"/>
                          </a:xfrm>
                          <a:prstGeom prst="flowChartAlternateProcess">
                            <a:avLst/>
                          </a:prstGeom>
                          <a:solidFill>
                            <a:schemeClr val="bg1">
                              <a:lumMod val="50000"/>
                            </a:schemeClr>
                          </a:solidFill>
                          <a:ln w="9525">
                            <a:solidFill>
                              <a:schemeClr val="tx1">
                                <a:lumMod val="65000"/>
                                <a:lumOff val="35000"/>
                              </a:schemeClr>
                            </a:solidFill>
                            <a:miter lim="800000"/>
                            <a:headEnd type="none" w="med" len="med"/>
                            <a:tailEnd type="none" w="med" len="med"/>
                          </a:ln>
                        </wps:spPr>
                        <wps:txbx>
                          <w:txbxContent>
                            <w:p w:rsidR="00841B85" w:rsidRPr="004676CB" w:rsidRDefault="00841B85" w:rsidP="004843DB">
                              <w:pPr>
                                <w:pStyle w:val="Textboxcentred"/>
                                <w:rPr>
                                  <w:color w:val="FFFFFF" w:themeColor="background1"/>
                                </w:rPr>
                              </w:pPr>
                              <w:r w:rsidRPr="004676CB">
                                <w:rPr>
                                  <w:color w:val="FFFFFF" w:themeColor="background1"/>
                                </w:rPr>
                                <w:t>Yes</w:t>
                              </w:r>
                            </w:p>
                          </w:txbxContent>
                        </wps:txbx>
                        <wps:bodyPr rot="0" vert="horz" wrap="square" lIns="91440" tIns="18288" rIns="91440" bIns="45720" anchor="ctr" anchorCtr="0" upright="1">
                          <a:noAutofit/>
                        </wps:bodyPr>
                      </wps:wsp>
                      <wps:wsp>
                        <wps:cNvPr id="36" name="Flowchart: Alternate Process 36"/>
                        <wps:cNvSpPr>
                          <a:spLocks noChangeArrowheads="1"/>
                        </wps:cNvSpPr>
                        <wps:spPr bwMode="auto">
                          <a:xfrm>
                            <a:off x="438923" y="289925"/>
                            <a:ext cx="366626" cy="201060"/>
                          </a:xfrm>
                          <a:prstGeom prst="flowChartAlternateProcess">
                            <a:avLst/>
                          </a:prstGeom>
                          <a:solidFill>
                            <a:schemeClr val="bg1">
                              <a:lumMod val="50000"/>
                            </a:schemeClr>
                          </a:solidFill>
                          <a:ln w="9525">
                            <a:solidFill>
                              <a:schemeClr val="tx1">
                                <a:lumMod val="65000"/>
                                <a:lumOff val="35000"/>
                              </a:schemeClr>
                            </a:solidFill>
                            <a:miter lim="800000"/>
                            <a:headEnd type="none" w="med" len="med"/>
                            <a:tailEnd type="none" w="med" len="med"/>
                          </a:ln>
                        </wps:spPr>
                        <wps:txbx>
                          <w:txbxContent>
                            <w:p w:rsidR="00841B85" w:rsidRPr="004676CB" w:rsidRDefault="00841B85" w:rsidP="004843DB">
                              <w:pPr>
                                <w:pStyle w:val="Textboxcentred"/>
                                <w:rPr>
                                  <w:color w:val="FFFFFF" w:themeColor="background1"/>
                                </w:rPr>
                              </w:pPr>
                              <w:r w:rsidRPr="004676CB">
                                <w:rPr>
                                  <w:color w:val="FFFFFF" w:themeColor="background1"/>
                                </w:rPr>
                                <w:t>No</w:t>
                              </w:r>
                            </w:p>
                          </w:txbxContent>
                        </wps:txbx>
                        <wps:bodyPr rot="0" vert="horz" wrap="square" lIns="18288" tIns="18288" rIns="18288" bIns="18288" anchor="ctr" anchorCtr="0" upright="1">
                          <a:noAutofit/>
                        </wps:bodyPr>
                      </wps:wsp>
                      <wps:wsp>
                        <wps:cNvPr id="240" name="Rectangle 38"/>
                        <wps:cNvSpPr>
                          <a:spLocks noChangeArrowheads="1"/>
                        </wps:cNvSpPr>
                        <wps:spPr bwMode="auto">
                          <a:xfrm>
                            <a:off x="128063" y="2021384"/>
                            <a:ext cx="1563075" cy="378522"/>
                          </a:xfrm>
                          <a:prstGeom prst="rect">
                            <a:avLst/>
                          </a:prstGeom>
                          <a:solidFill>
                            <a:srgbClr val="FFFFFF"/>
                          </a:solidFill>
                          <a:ln w="9525">
                            <a:solidFill>
                              <a:schemeClr val="tx1">
                                <a:lumMod val="65000"/>
                                <a:lumOff val="35000"/>
                              </a:schemeClr>
                            </a:solidFill>
                            <a:miter lim="800000"/>
                            <a:headEnd/>
                            <a:tailEnd/>
                          </a:ln>
                        </wps:spPr>
                        <wps:txbx>
                          <w:txbxContent>
                            <w:p w:rsidR="00841B85" w:rsidRPr="00B536AC" w:rsidRDefault="00841B85" w:rsidP="004843DB">
                              <w:pPr>
                                <w:pStyle w:val="Textboxcentred"/>
                              </w:pPr>
                              <w:r w:rsidRPr="00B536AC">
                                <w:t>More li</w:t>
                              </w:r>
                              <w:r>
                                <w:t>kely to be classified as long</w:t>
                              </w:r>
                              <w:r>
                                <w:noBreakHyphen/>
                              </w:r>
                              <w:r w:rsidRPr="00B536AC">
                                <w:t>term employee benefits</w:t>
                              </w:r>
                            </w:p>
                          </w:txbxContent>
                        </wps:txbx>
                        <wps:bodyPr rot="0" vert="horz" wrap="square" lIns="91440" tIns="45720" rIns="91440" bIns="45720" anchor="ctr" anchorCtr="0" upright="1">
                          <a:noAutofit/>
                        </wps:bodyPr>
                      </wps:wsp>
                      <wps:wsp>
                        <wps:cNvPr id="39" name="Rectangle 38"/>
                        <wps:cNvSpPr>
                          <a:spLocks noChangeArrowheads="1"/>
                        </wps:cNvSpPr>
                        <wps:spPr bwMode="auto">
                          <a:xfrm>
                            <a:off x="128063" y="2581516"/>
                            <a:ext cx="1563075" cy="370058"/>
                          </a:xfrm>
                          <a:prstGeom prst="rect">
                            <a:avLst/>
                          </a:prstGeom>
                          <a:solidFill>
                            <a:srgbClr val="FFFFFF"/>
                          </a:solidFill>
                          <a:ln w="9525">
                            <a:solidFill>
                              <a:schemeClr val="tx1">
                                <a:lumMod val="65000"/>
                                <a:lumOff val="35000"/>
                              </a:schemeClr>
                            </a:solidFill>
                            <a:miter lim="800000"/>
                            <a:headEnd/>
                            <a:tailEnd/>
                          </a:ln>
                        </wps:spPr>
                        <wps:txbx>
                          <w:txbxContent>
                            <w:p w:rsidR="00841B85" w:rsidRPr="00B536AC" w:rsidRDefault="00841B85" w:rsidP="004843DB">
                              <w:pPr>
                                <w:pStyle w:val="Textboxcentred"/>
                              </w:pPr>
                              <w:r w:rsidRPr="00B536AC">
                                <w:t>Discounting to present value</w:t>
                              </w:r>
                            </w:p>
                          </w:txbxContent>
                        </wps:txbx>
                        <wps:bodyPr rot="0" vert="horz" wrap="square" lIns="91440" tIns="45720" rIns="91440" bIns="45720" anchor="ctr" anchorCtr="0" upright="1">
                          <a:noAutofit/>
                        </wps:bodyPr>
                      </wps:wsp>
                      <wps:wsp>
                        <wps:cNvPr id="241" name="Straight Arrow Connector 40"/>
                        <wps:cNvCnPr>
                          <a:cxnSpLocks noChangeShapeType="1"/>
                        </wps:cNvCnPr>
                        <wps:spPr bwMode="auto">
                          <a:xfrm flipH="1">
                            <a:off x="806879" y="402352"/>
                            <a:ext cx="230505" cy="0"/>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41" name="Straight Arrow Connector 40"/>
                        <wps:cNvCnPr>
                          <a:cxnSpLocks noChangeShapeType="1"/>
                        </wps:cNvCnPr>
                        <wps:spPr bwMode="auto">
                          <a:xfrm>
                            <a:off x="613534" y="492303"/>
                            <a:ext cx="0" cy="579120"/>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242" name="Straight Arrow Connector 41"/>
                        <wps:cNvCnPr>
                          <a:cxnSpLocks noChangeShapeType="1"/>
                        </wps:cNvCnPr>
                        <wps:spPr bwMode="auto">
                          <a:xfrm>
                            <a:off x="612264" y="1470203"/>
                            <a:ext cx="0" cy="541020"/>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43" name="Straight Arrow Connector 42"/>
                        <wps:cNvCnPr>
                          <a:cxnSpLocks noChangeShapeType="1"/>
                        </wps:cNvCnPr>
                        <wps:spPr bwMode="auto">
                          <a:xfrm>
                            <a:off x="2162135" y="1739005"/>
                            <a:ext cx="0" cy="282505"/>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243" name="Straight Arrow Connector 44"/>
                        <wps:cNvCnPr>
                          <a:cxnSpLocks noChangeShapeType="1"/>
                        </wps:cNvCnPr>
                        <wps:spPr bwMode="auto">
                          <a:xfrm>
                            <a:off x="2594199" y="2388884"/>
                            <a:ext cx="0" cy="186055"/>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244" name="Flowchart: Alternate Process 44"/>
                        <wps:cNvSpPr>
                          <a:spLocks noChangeArrowheads="1"/>
                        </wps:cNvSpPr>
                        <wps:spPr bwMode="auto">
                          <a:xfrm>
                            <a:off x="433574" y="1586408"/>
                            <a:ext cx="365760" cy="201168"/>
                          </a:xfrm>
                          <a:prstGeom prst="flowChartAlternateProcess">
                            <a:avLst/>
                          </a:prstGeom>
                          <a:solidFill>
                            <a:schemeClr val="bg1">
                              <a:lumMod val="50000"/>
                            </a:schemeClr>
                          </a:solidFill>
                          <a:ln w="9525">
                            <a:solidFill>
                              <a:schemeClr val="tx1">
                                <a:lumMod val="65000"/>
                                <a:lumOff val="35000"/>
                              </a:schemeClr>
                            </a:solidFill>
                            <a:miter lim="800000"/>
                            <a:headEnd type="none" w="med" len="med"/>
                            <a:tailEnd type="none" w="med" len="med"/>
                          </a:ln>
                        </wps:spPr>
                        <wps:txbx>
                          <w:txbxContent>
                            <w:p w:rsidR="00841B85" w:rsidRPr="004676CB" w:rsidRDefault="00841B85" w:rsidP="004843DB">
                              <w:pPr>
                                <w:pStyle w:val="Textboxcentred"/>
                                <w:rPr>
                                  <w:color w:val="FFFFFF" w:themeColor="background1"/>
                                </w:rPr>
                              </w:pPr>
                              <w:r w:rsidRPr="004676CB">
                                <w:rPr>
                                  <w:color w:val="FFFFFF" w:themeColor="background1"/>
                                </w:rPr>
                                <w:t>No</w:t>
                              </w:r>
                            </w:p>
                          </w:txbxContent>
                        </wps:txbx>
                        <wps:bodyPr rot="0" vert="horz" wrap="square" lIns="91440" tIns="18288" rIns="91440" bIns="45720" anchor="ctr" anchorCtr="0" upright="1">
                          <a:noAutofit/>
                        </wps:bodyPr>
                      </wps:wsp>
                      <wps:wsp>
                        <wps:cNvPr id="245" name="Elbow Connector 237"/>
                        <wps:cNvCnPr/>
                        <wps:spPr>
                          <a:xfrm>
                            <a:off x="1540270" y="1247818"/>
                            <a:ext cx="621372" cy="350154"/>
                          </a:xfrm>
                          <a:prstGeom prst="bentConnector2">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49" name="Rectangle 46"/>
                        <wps:cNvSpPr>
                          <a:spLocks noChangeArrowheads="1"/>
                        </wps:cNvSpPr>
                        <wps:spPr bwMode="auto">
                          <a:xfrm>
                            <a:off x="990494" y="113208"/>
                            <a:ext cx="1371600" cy="514985"/>
                          </a:xfrm>
                          <a:prstGeom prst="rect">
                            <a:avLst/>
                          </a:prstGeom>
                          <a:solidFill>
                            <a:srgbClr val="FFFFFF"/>
                          </a:solidFill>
                          <a:ln w="9525">
                            <a:solidFill>
                              <a:schemeClr val="tx1">
                                <a:lumMod val="65000"/>
                                <a:lumOff val="35000"/>
                              </a:schemeClr>
                            </a:solidFill>
                            <a:miter lim="800000"/>
                            <a:headEnd/>
                            <a:tailEnd/>
                          </a:ln>
                        </wps:spPr>
                        <wps:txbx>
                          <w:txbxContent>
                            <w:p w:rsidR="00841B85" w:rsidRPr="00B536AC" w:rsidRDefault="00841B85" w:rsidP="004843DB">
                              <w:pPr>
                                <w:pStyle w:val="Textboxcentred"/>
                              </w:pPr>
                              <w:r w:rsidRPr="00B536AC">
                                <w:t xml:space="preserve">Are the employee benefits expected to be </w:t>
                              </w:r>
                              <w:r w:rsidRPr="00B536AC">
                                <w:rPr>
                                  <w:b/>
                                  <w:bCs/>
                                </w:rPr>
                                <w:t>wholly settled</w:t>
                              </w:r>
                              <w:r w:rsidRPr="00B536AC">
                                <w:t xml:space="preserve"> within 12 month?</w:t>
                              </w:r>
                            </w:p>
                          </w:txbxContent>
                        </wps:txbx>
                        <wps:bodyPr rot="0" vert="horz" wrap="square" lIns="91440" tIns="45720" rIns="91440" bIns="45720" anchor="ctr" anchorCtr="0" upright="1">
                          <a:noAutofit/>
                        </wps:bodyPr>
                      </wps:wsp>
                      <wps:wsp>
                        <wps:cNvPr id="246" name="Rectangle 239"/>
                        <wps:cNvSpPr>
                          <a:spLocks noChangeArrowheads="1"/>
                        </wps:cNvSpPr>
                        <wps:spPr bwMode="auto">
                          <a:xfrm>
                            <a:off x="128064" y="1071423"/>
                            <a:ext cx="1402715" cy="396875"/>
                          </a:xfrm>
                          <a:prstGeom prst="rect">
                            <a:avLst/>
                          </a:prstGeom>
                          <a:solidFill>
                            <a:srgbClr val="FFFFFF"/>
                          </a:solidFill>
                          <a:ln w="9525">
                            <a:solidFill>
                              <a:schemeClr val="tx1">
                                <a:lumMod val="65000"/>
                                <a:lumOff val="35000"/>
                              </a:schemeClr>
                            </a:solidFill>
                            <a:miter lim="800000"/>
                            <a:headEnd/>
                            <a:tailEnd/>
                          </a:ln>
                        </wps:spPr>
                        <wps:txbx>
                          <w:txbxContent>
                            <w:p w:rsidR="00841B85" w:rsidRPr="00B536AC" w:rsidRDefault="00841B85" w:rsidP="004843DB">
                              <w:pPr>
                                <w:pStyle w:val="Textboxcentred"/>
                              </w:pPr>
                              <w:r w:rsidRPr="00B536AC">
                                <w:t>Is it a temporary expectation of the timing of settlement?</w:t>
                              </w:r>
                            </w:p>
                          </w:txbxContent>
                        </wps:txbx>
                        <wps:bodyPr rot="0" vert="horz" wrap="square" lIns="91440" tIns="45720" rIns="91440" bIns="45720" anchor="ctr" anchorCtr="0" upright="1">
                          <a:noAutofit/>
                        </wps:bodyPr>
                      </wps:wsp>
                      <wps:wsp>
                        <wps:cNvPr id="247" name="Rectangle 50"/>
                        <wps:cNvSpPr>
                          <a:spLocks noChangeArrowheads="1"/>
                        </wps:cNvSpPr>
                        <wps:spPr bwMode="auto">
                          <a:xfrm>
                            <a:off x="1994234" y="2581516"/>
                            <a:ext cx="1197459" cy="370058"/>
                          </a:xfrm>
                          <a:prstGeom prst="rect">
                            <a:avLst/>
                          </a:prstGeom>
                          <a:solidFill>
                            <a:srgbClr val="FFFFFF"/>
                          </a:solidFill>
                          <a:ln w="9525">
                            <a:solidFill>
                              <a:schemeClr val="tx1">
                                <a:lumMod val="65000"/>
                                <a:lumOff val="35000"/>
                              </a:schemeClr>
                            </a:solidFill>
                            <a:miter lim="800000"/>
                            <a:headEnd/>
                            <a:tailEnd/>
                          </a:ln>
                        </wps:spPr>
                        <wps:txbx>
                          <w:txbxContent>
                            <w:p w:rsidR="00841B85" w:rsidRPr="00B536AC" w:rsidRDefault="00841B85" w:rsidP="004843DB">
                              <w:pPr>
                                <w:pStyle w:val="Textboxcentred"/>
                              </w:pPr>
                              <w:r w:rsidRPr="00B536AC">
                                <w:t>Nominal value with no discounting</w:t>
                              </w:r>
                            </w:p>
                          </w:txbxContent>
                        </wps:txbx>
                        <wps:bodyPr rot="0" vert="horz" wrap="square" lIns="91440" tIns="45720" rIns="91440" bIns="45720" anchor="ctr" anchorCtr="0" upright="1">
                          <a:noAutofit/>
                        </wps:bodyPr>
                      </wps:wsp>
                      <wps:wsp>
                        <wps:cNvPr id="248" name="Rectangle 51"/>
                        <wps:cNvSpPr>
                          <a:spLocks noChangeArrowheads="1"/>
                        </wps:cNvSpPr>
                        <wps:spPr bwMode="auto">
                          <a:xfrm>
                            <a:off x="1994234" y="2021384"/>
                            <a:ext cx="1197459" cy="378522"/>
                          </a:xfrm>
                          <a:prstGeom prst="rect">
                            <a:avLst/>
                          </a:prstGeom>
                          <a:solidFill>
                            <a:srgbClr val="FFFFFF"/>
                          </a:solidFill>
                          <a:ln w="9525">
                            <a:solidFill>
                              <a:schemeClr val="tx1">
                                <a:lumMod val="65000"/>
                                <a:lumOff val="35000"/>
                              </a:schemeClr>
                            </a:solidFill>
                            <a:miter lim="800000"/>
                            <a:headEnd/>
                            <a:tailEnd/>
                          </a:ln>
                        </wps:spPr>
                        <wps:txbx>
                          <w:txbxContent>
                            <w:p w:rsidR="00841B85" w:rsidRPr="00B536AC" w:rsidRDefault="00841B85" w:rsidP="004843DB">
                              <w:pPr>
                                <w:pStyle w:val="Textboxcentred"/>
                              </w:pPr>
                              <w:r w:rsidRPr="00B536AC">
                                <w:t>Classified as short term employee benefits</w:t>
                              </w:r>
                            </w:p>
                          </w:txbxContent>
                        </wps:txbx>
                        <wps:bodyPr rot="0" vert="horz" wrap="square" lIns="91440" tIns="45720" rIns="91440" bIns="45720" anchor="ctr" anchorCtr="0" upright="1">
                          <a:noAutofit/>
                        </wps:bodyPr>
                      </wps:wsp>
                      <wps:wsp>
                        <wps:cNvPr id="249" name="Flowchart: Alternate Process 52"/>
                        <wps:cNvSpPr>
                          <a:spLocks noChangeArrowheads="1"/>
                        </wps:cNvSpPr>
                        <wps:spPr bwMode="auto">
                          <a:xfrm>
                            <a:off x="1983844" y="1597972"/>
                            <a:ext cx="365760" cy="201168"/>
                          </a:xfrm>
                          <a:prstGeom prst="flowChartAlternateProcess">
                            <a:avLst/>
                          </a:prstGeom>
                          <a:solidFill>
                            <a:schemeClr val="bg1">
                              <a:lumMod val="50000"/>
                            </a:schemeClr>
                          </a:solidFill>
                          <a:ln w="9525">
                            <a:solidFill>
                              <a:schemeClr val="tx1">
                                <a:lumMod val="65000"/>
                                <a:lumOff val="35000"/>
                              </a:schemeClr>
                            </a:solidFill>
                            <a:miter lim="800000"/>
                            <a:headEnd type="none" w="med" len="med"/>
                            <a:tailEnd type="none" w="med" len="med"/>
                          </a:ln>
                        </wps:spPr>
                        <wps:txbx>
                          <w:txbxContent>
                            <w:p w:rsidR="00841B85" w:rsidRPr="004676CB" w:rsidRDefault="00841B85" w:rsidP="004843DB">
                              <w:pPr>
                                <w:pStyle w:val="Textboxcentred"/>
                                <w:rPr>
                                  <w:color w:val="FFFFFF" w:themeColor="background1"/>
                                </w:rPr>
                              </w:pPr>
                              <w:r w:rsidRPr="004676CB">
                                <w:rPr>
                                  <w:color w:val="FFFFFF" w:themeColor="background1"/>
                                </w:rPr>
                                <w:t>Yes</w:t>
                              </w:r>
                            </w:p>
                          </w:txbxContent>
                        </wps:txbx>
                        <wps:bodyPr rot="0" vert="horz" wrap="square" lIns="91440" tIns="18288" rIns="91440" bIns="45720" anchor="ctr" anchorCtr="0" upright="1">
                          <a:noAutofit/>
                        </wps:bodyPr>
                      </wps:wsp>
                    </wpc:wpc>
                  </a:graphicData>
                </a:graphic>
              </wp:inline>
            </w:drawing>
          </mc:Choice>
          <mc:Fallback>
            <w:pict>
              <v:group id="Canvas 246" o:spid="_x0000_s1047" editas="canvas" style="width:262.35pt;height:241.65pt;mso-position-horizontal-relative:char;mso-position-vertical-relative:line" coordsize="33312,3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hQWQcAAJU7AAAOAAAAZHJzL2Uyb0RvYy54bWzsW+tyozYU/t+ZvgPD/6yREDdPnJ2Mk7Sd&#10;2baZzfYBMAabKSAqSOy003fvOZLANrEdJ6m9uxnywwEjCd0+fd+5+PzjMs+Mh1hUKS9GJvlgmUZc&#10;RHyaFrOR+ceXmzPfNKo6LKZhxot4ZD7Glfnx4scfzhflMKZ8zrNpLAxopKiGi3Jkzuu6HA4GVTSP&#10;87D6wMu4gIcJF3lYw62YDaYiXEDreTagluUOFlxMS8GjuKrg2yv10LyQ7SdJHNW/J0kV10Y2MqFv&#10;tfwU8nOCn4OL83A4E2E5TyPdjfAVvcjDtICXtk1dhXVo3Iv0SVN5Ggle8aT+EPF8wJMkjWI5BhgN&#10;sTqjGYfFQ1jJwUQwO00H4ep/bHcyw35XPEunN2mWyRuc/XicCeMhhHmbzIgcW3af/8qn6jvfsSw5&#10;ewOo2xS/OMe7VUsD6OkQ28f/C1jrGKZ7UcJKV2W75tXbxnI3D8tYTlE1jH57uBVGOh2ZNjGNIsxh&#10;w93VIkxn89q4FIIvjDEvCtgUXBhQRPcGqo2LW4Ejj5bFXfmJR39WRsHH87CYxfIFXx5LaEvWgEHJ&#10;N6kqeFOV8NbJAuYGyoT3NZeztUxEjk3CGhvLkUm9wPEC2IKPI5P5zLVdtffiZW1E8ByeRPCIOLbr&#10;UAefwVw2bZSiqn+KeW7gxcis9Jjawaj1CR8+VbWq2FTADhQc1xW+D4dZYSxGZoAvwNu1pVpbRbXA&#10;9fLporvNokNL9zkASxW1m6/37YVwKPh9MZXdmMfh9Fpf12GawbVRyxmuRQpznsUm9jOPp6aRxXCu&#10;VLmekKzAfsOcwUj1lYLZP4EVXPvXPjtj1L0+Y9bV1dnlzZiduTfEc67sq/H4ivyLoyZsOE+n07jA&#10;WWkgT9hhu1AfPgqsLejbGR5sti7XEDrb/JedlvsHt4yCwoRPH28FrpoGxqkQYj+PEIqzvrHdj4mQ&#10;wPJsJ5AAobbvO8TH18vV3kCI7zDaHD09QHqAwAY9DLwoFbbR7A4KYQ1AbjK+iOahqIfGZVbHogjr&#10;2LhVmsOw2RpI7iSs4SztcIjkHjz1oKcbJKIqHE4iruX7LpUYsS3fdeTLVxAB7vBczSSgJ4grIbSb&#10;SBIYGbCcqNtx6WFJetjBJ/tYY5tUQHZo8LpTKnxlbspTWFcjS/OR6WN3tTDURKXJqQAF2yEmpCh5&#10;SG3S2O6SsBbIYR0SqJeTpdQtRL4Y94PiBUNwJVlBYsPFnIu/oQcgV4ET/7oPBfQn+6WAXRUQxlDf&#10;yhviUx90t1h/MpE3zPHg7DTCIoKmRmZUi+ZmXCtVfF8KlEu4T/HwLfglCJoklbpi1a/T05V7GBql&#10;qsJ+gqg7NhqZ7QcUaBRkG/WDQKm2dTC6LoVuo6xDcQ/ARJrfqep6MGrz45sBY2shvBCMGn9bwKif&#10;KDDqm+8PjBSPGmVefQZjSip2w5ZccyLoEepbroaeRYntd4iQOK5teY4Cn+35DpVadjf4BIzjcNIT&#10;s0lrHd/IPw3tDW78qtbWfhCtc5Y6lPayUmsIvBAIG6ykueddsRKYK98MDhyfOKTjVejgwLKcZxRh&#10;j4N96sxutH6PAyWxtLuNsuf9bcAZcNJofjiSv81IsrT8udGu2vMGTOF7yq/ALGo78jBbyTRqW46l&#10;meIZhdb73Xq/2+He++1uhW8EKWjbaXy4xHbAiyEd02DPWPKQW+FDuxPAeU16t1vH/O/90pvhuhdF&#10;t7bjgzJwbz0TugEMHZ1KNgBCqasAQphn0V0IYQSeaUOgd0z3jmnQOsdwTLPnIzeAoVMChBIXbHDQ&#10;UBjA9OwAzAx8/xMOoT5FqQWPdhvivcbqNdZbNRY9BCLrcZsjmSNrHEKdgJFgFd30ux4rLbOI71pO&#10;D5E+/H/kBBnKDgtvQrEVkxw/oGI7nhZaju8yq5MB0Ic38UR5RerNfmfwCcOb7W56iwPtHYY3KQP1&#10;pKye62yykadGbW8NgshUGpCVTjZoTA1tzhMHvFwe0AmKMco8v5tHg1rNAyML45KQugXl9yuySVzU&#10;baYZ3RckUdlZGzGQNuB/nKyy7eH0qn7MYgmV4nOcQGAd8utUOLvTnTCKYHAqIwMD81AaqyUQiGwr&#10;WnLEeyvq8lg1ljmnL6nc1pBv5kXdVs7Tgottb8fcPCWiE1W+SShQ40Yfq8IXFsI7yLc8UVoZ2xIR&#10;YacMygeBxQLNIcSmXQqBrU9cSO+Qu98hLPCfEVt9QGRfQERO3mq/vS5d5R0GBins+SeRQWoHayf5&#10;scWUDJFrIFgeYZCpAsfByiYnSBOkCZEHECPpkSAnaEt2sjps94bI2zPuLcrmXSLBe4oEZz0WeHQg&#10;BAFsfoUEujVITgKPYeaxVEReHyTvpD9KVOgExwOQ0MrVHgmdIDnkZHazRZz1UMZJkbA1bWoTCX3a&#10;1NuQ0GbE9UjoIKG1Evbm1qtUDZSXJ8jmJYEPaYSN9ynwArCR5cnX/EKr9z6hfPyevU+t/H4LHk/r&#10;fQLzXf70U4bM9O9U8cel6/fSyF/9mvbiPwAAAP//AwBQSwMEFAAGAAgAAAAhAIaeC/zcAAAABQEA&#10;AA8AAABkcnMvZG93bnJldi54bWxMj8FOwzAQRO9I/IO1SNyo07SlJWRTISQQl4Jo+QA33iYR9jqK&#10;3Tb8PQsXuKw0mtHM23I9eqdONMQuMMJ0koEiroPtuEH42D3drEDFZNgaF5gQvijCurq8KE1hw5nf&#10;6bRNjZISjoVBaFPqC61j3ZI3cRJ6YvEOYfAmiRwabQdzlnLvdJ5lt9qbjmWhNT09tlR/bo8e4W3K&#10;ue3d3ebgXsLrZszy5nnhEa+vxod7UInG9BeGH3xBh0qY9uHINiqHII+k3yveIp8vQe0R5qvZDHRV&#10;6v/01TcAAAD//wMAUEsBAi0AFAAGAAgAAAAhALaDOJL+AAAA4QEAABMAAAAAAAAAAAAAAAAAAAAA&#10;AFtDb250ZW50X1R5cGVzXS54bWxQSwECLQAUAAYACAAAACEAOP0h/9YAAACUAQAACwAAAAAAAAAA&#10;AAAAAAAvAQAAX3JlbHMvLnJlbHNQSwECLQAUAAYACAAAACEApW+IUFkHAACVOwAADgAAAAAAAAAA&#10;AAAAAAAuAgAAZHJzL2Uyb0RvYy54bWxQSwECLQAUAAYACAAAACEAhp4L/NwAAAAFAQAADwAAAAAA&#10;AAAAAAAAAACzCQAAZHJzL2Rvd25yZXYueG1sUEsFBgAAAAAEAAQA8wAAALwKAAAAAA==&#10;">
                <v:shape id="_x0000_s1048" type="#_x0000_t75" style="position:absolute;width:33312;height:30689;visibility:visible;mso-wrap-style:square" filled="t" fillcolor="#d8d8d8 [2732]">
                  <v:fill o:detectmouseclick="t"/>
                  <v:path o:connecttype="none"/>
                </v:shape>
                <v:shapetype id="_x0000_t32" coordsize="21600,21600" o:spt="32" o:oned="t" path="m,l21600,21600e" filled="f">
                  <v:path arrowok="t" fillok="f" o:connecttype="none"/>
                  <o:lock v:ext="edit" shapetype="t"/>
                </v:shapetype>
                <v:shape id="Straight Arrow Connector 31" o:spid="_x0000_s1049" type="#_x0000_t32" style="position:absolute;left:27957;top:4846;width:0;height:15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OFMUAAADbAAAADwAAAGRycy9kb3ducmV2LnhtbESPzWrDMBCE74W8g9hALiWR49CQupFN&#10;CDXkEAr56X2xtrYTa2Us1XbevioUehxm55udbTaaRvTUudqyguUiAkFcWF1zqeB6yecbEM4ja2ws&#10;k4IHOcjSydMWE20HPlF/9qUIEHYJKqi8bxMpXVGRQbewLXHwvmxn0AfZlVJ3OAS4aWQcRWtpsObQ&#10;UGFL+4qK+/nbhDfc7bPOX4/x8LzTx5dbb6/vH1ap2XTcvYHwNPr/47/0QStYLeF3SwC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bOFMUAAADbAAAADwAAAAAAAAAA&#10;AAAAAAChAgAAZHJzL2Rvd25yZXYueG1sUEsFBgAAAAAEAAQA+QAAAJMDAAAAAA==&#10;" strokecolor="#5a5a5a [2109]">
                  <v:stroke endarrow="block" endarrowlength="short"/>
                </v:shape>
                <v:shape id="Straight Arrow Connector 32" o:spid="_x0000_s1050" type="#_x0000_t32" style="position:absolute;left:9073;top:23885;width:0;height:1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j1+MUAAADbAAAADwAAAGRycy9kb3ducmV2LnhtbESPzWrDMBCE74G+g9hAL6GRG5PQOJFN&#10;KDX0EAr5uy/WxnZirYyl2u7bV4VCjsPsfLOzzUbTiJ46V1tW8DqPQBAXVtdcKjif8pc3EM4ja2ws&#10;k4IfcpClT5MtJtoOfKD+6EsRIOwSVFB53yZSuqIig25uW+LgXW1n0AfZlVJ3OAS4aeQiilbSYM2h&#10;ocKW3isq7sdvE95wt0udr/eLYbbT++Wtt+ePL6vU83TcbUB4Gv3j+D/9qRXEMfxtCQC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j1+MUAAADbAAAADwAAAAAAAAAA&#10;AAAAAAChAgAAZHJzL2Rvd25yZXYueG1sUEsFBgAAAAAEAAQA+QAAAJMDAAAAAA==&#10;" strokecolor="#5a5a5a [2109]">
                  <v:stroke endarrow="block" endarrowlength="shor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4" o:spid="_x0000_s1051" type="#_x0000_t176" style="position:absolute;left:26088;top:3086;width:3658;height:2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Df8MA&#10;AADbAAAADwAAAGRycy9kb3ducmV2LnhtbESPQWvCQBSE7wX/w/KEXkrdGIuW6CoiCPHYtEKPj+xr&#10;Esy+jbtrEv99Vyj0OMzMN8xmN5pW9OR8Y1nBfJaAIC6tbrhS8PV5fH0H4QOyxtYyKbiTh9128rTB&#10;TNuBP6gvQiUihH2GCuoQukxKX9Zk0M9sRxy9H+sMhihdJbXDIcJNK9MkWUqDDceFGjs61FReiptR&#10;UJxWaXPyeKajfMm/y8PqXl2dUs/Tcb8GEWgM/+G/dq4VLN7g8SX+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eDf8MAAADbAAAADwAAAAAAAAAAAAAAAACYAgAAZHJzL2Rv&#10;d25yZXYueG1sUEsFBgAAAAAEAAQA9QAAAIgDAAAAAA==&#10;" fillcolor="#7f7f7f [1612]" strokecolor="#5a5a5a [2109]">
                  <v:textbox inset=",1.44pt">
                    <w:txbxContent>
                      <w:p w:rsidR="00841B85" w:rsidRPr="004676CB" w:rsidRDefault="00841B85" w:rsidP="004843DB">
                        <w:pPr>
                          <w:pStyle w:val="Textboxcentred"/>
                          <w:rPr>
                            <w:color w:val="FFFFFF" w:themeColor="background1"/>
                          </w:rPr>
                        </w:pPr>
                        <w:r w:rsidRPr="004676CB">
                          <w:rPr>
                            <w:color w:val="FFFFFF" w:themeColor="background1"/>
                          </w:rPr>
                          <w:t>Yes</w:t>
                        </w:r>
                      </w:p>
                    </w:txbxContent>
                  </v:textbox>
                </v:shape>
                <v:shape id="Flowchart: Alternate Process 36" o:spid="_x0000_s1052" type="#_x0000_t176" style="position:absolute;left:4389;top:2899;width:3666;height:2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y1sUA&#10;AADbAAAADwAAAGRycy9kb3ducmV2LnhtbESP3WrCQBSE7wu+w3IKvaubWhGTZiNaaCuIgj94fcie&#10;JsHs2ZBdk9in7wqFXg4z8w2TLgZTi45aV1lW8DKOQBDnVldcKDgdP57nIJxH1lhbJgU3crDIRg8p&#10;Jtr2vKfu4AsRIOwSVFB63yRSurwkg25sG+LgfdvWoA+yLaRusQ9wU8tJFM2kwYrDQokNvZeUXw5X&#10;o2BX9etzJ6faX36+eIg32+vnKlbq6XFYvoHwNPj/8F97rRW8zuD+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rLWxQAAANsAAAAPAAAAAAAAAAAAAAAAAJgCAABkcnMv&#10;ZG93bnJldi54bWxQSwUGAAAAAAQABAD1AAAAigMAAAAA&#10;" fillcolor="#7f7f7f [1612]" strokecolor="#5a5a5a [2109]">
                  <v:textbox inset="1.44pt,1.44pt,1.44pt,1.44pt">
                    <w:txbxContent>
                      <w:p w:rsidR="00841B85" w:rsidRPr="004676CB" w:rsidRDefault="00841B85" w:rsidP="004843DB">
                        <w:pPr>
                          <w:pStyle w:val="Textboxcentred"/>
                          <w:rPr>
                            <w:color w:val="FFFFFF" w:themeColor="background1"/>
                          </w:rPr>
                        </w:pPr>
                        <w:r w:rsidRPr="004676CB">
                          <w:rPr>
                            <w:color w:val="FFFFFF" w:themeColor="background1"/>
                          </w:rPr>
                          <w:t>No</w:t>
                        </w:r>
                      </w:p>
                    </w:txbxContent>
                  </v:textbox>
                </v:shape>
                <v:rect id="Rectangle 38" o:spid="_x0000_s1053" style="position:absolute;left:1280;top:20213;width:15631;height:3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6PrwA&#10;AADcAAAADwAAAGRycy9kb3ducmV2LnhtbERPSwrCMBDdC94hjOBOE4uIVKOIIAjqws8BhmZsq82k&#10;NlHr7c1CcPl4//mytZV4UeNLxxpGQwWCOHOm5FzD5bwZTEH4gGywckwaPuRhueh25pga9+YjvU4h&#10;FzGEfYoaihDqVEqfFWTRD11NHLmrayyGCJtcmgbfMdxWMlFqIi2WHBsKrGldUHY/Pa0Gbre7m6ru&#10;4ZAk49Wnxofan1Hrfq9dzUAEasNf/HNvjYZkHOfHM/EI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eXo+vAAAANwAAAAPAAAAAAAAAAAAAAAAAJgCAABkcnMvZG93bnJldi54&#10;bWxQSwUGAAAAAAQABAD1AAAAgQMAAAAA&#10;" strokecolor="#5a5a5a [2109]">
                  <v:textbox>
                    <w:txbxContent>
                      <w:p w:rsidR="00841B85" w:rsidRPr="00B536AC" w:rsidRDefault="00841B85" w:rsidP="004843DB">
                        <w:pPr>
                          <w:pStyle w:val="Textboxcentred"/>
                        </w:pPr>
                        <w:r w:rsidRPr="00B536AC">
                          <w:t>More li</w:t>
                        </w:r>
                        <w:r>
                          <w:t>kely to be classified as long</w:t>
                        </w:r>
                        <w:r>
                          <w:noBreakHyphen/>
                        </w:r>
                        <w:r w:rsidRPr="00B536AC">
                          <w:t>term employee benefits</w:t>
                        </w:r>
                      </w:p>
                    </w:txbxContent>
                  </v:textbox>
                </v:rect>
                <v:rect id="Rectangle 38" o:spid="_x0000_s1054" style="position:absolute;left:1280;top:25815;width:15631;height:3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bZMMA&#10;AADbAAAADwAAAGRycy9kb3ducmV2LnhtbESP3WoCMRSE7wu+QzhC72ritoiuZhcpFIS2F/48wGFz&#10;3F3dnGyTVNe3bwqCl8PMfMOsysF24kI+tI41TCcKBHHlTMu1hsP+42UOIkRkg51j0nCjAGUxelph&#10;btyVt3TZxVokCIccNTQx9rmUoWrIYpi4njh5R+ctxiR9LY3Ha4LbTmZKzaTFltNCgz29N1Sdd79W&#10;Aw+bz5PqzvE7y97Wtx5/1NcetX4eD+sliEhDfITv7Y3R8LqA/y/p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pbZMMAAADbAAAADwAAAAAAAAAAAAAAAACYAgAAZHJzL2Rv&#10;d25yZXYueG1sUEsFBgAAAAAEAAQA9QAAAIgDAAAAAA==&#10;" strokecolor="#5a5a5a [2109]">
                  <v:textbox>
                    <w:txbxContent>
                      <w:p w:rsidR="00841B85" w:rsidRPr="00B536AC" w:rsidRDefault="00841B85" w:rsidP="004843DB">
                        <w:pPr>
                          <w:pStyle w:val="Textboxcentred"/>
                        </w:pPr>
                        <w:r w:rsidRPr="00B536AC">
                          <w:t>Discounting to present value</w:t>
                        </w:r>
                      </w:p>
                    </w:txbxContent>
                  </v:textbox>
                </v:rect>
                <v:shape id="Straight Arrow Connector 40" o:spid="_x0000_s1055" type="#_x0000_t32" style="position:absolute;left:8068;top:4023;width:23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zQ/sMAAADcAAAADwAAAGRycy9kb3ducmV2LnhtbESPQWsCMRSE74X+h/CE3mp2rdiyGqWK&#10;hV5dC70+Ns9NdPOybKKb/vumUPA4zMw3zGqTXCduNATrWUE5LUAQN15bbhV8HT+e30CEiKyx80wK&#10;fijAZv34sMJK+5EPdKtjKzKEQ4UKTIx9JWVoDDkMU98TZ+/kB4cxy6GVesAxw10nZ0WxkA4t5wWD&#10;Pe0MNZf66hTYsYjb8jxP33v7+uKv9WFnLkmpp0l6X4KIlOI9/N/+1Apm8xL+zu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0P7DAAAA3AAAAA8AAAAAAAAAAAAA&#10;AAAAoQIAAGRycy9kb3ducmV2LnhtbFBLBQYAAAAABAAEAPkAAACRAwAAAAA=&#10;" strokecolor="#5a5a5a [2109]">
                  <v:stroke endarrow="block" endarrowlength="short"/>
                </v:shape>
                <v:shape id="Straight Arrow Connector 40" o:spid="_x0000_s1056" type="#_x0000_t32" style="position:absolute;left:6135;top:4923;width:0;height:5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9acUAAADbAAAADwAAAGRycy9kb3ducmV2LnhtbESPzWrDMBCE74W8g9hALiWRY9KQupFN&#10;CDXkEAr56X2xtrYTa2Us1XbevioUehxm55udbTaaRvTUudqyguUiAkFcWF1zqeB6yecbEM4ja2ws&#10;k4IHOcjSydMWE20HPlF/9qUIEHYJKqi8bxMpXVGRQbewLXHwvmxn0AfZlVJ3OAS4aWQcRWtpsObQ&#10;UGFL+4qK+/nbhDfc7bPOX4/x8LzTx5dbb6/vH1ap2XTcvYHwNPr/47/0QStYLeF3SwC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C9acUAAADbAAAADwAAAAAAAAAA&#10;AAAAAAChAgAAZHJzL2Rvd25yZXYueG1sUEsFBgAAAAAEAAQA+QAAAJMDAAAAAA==&#10;" strokecolor="#5a5a5a [2109]">
                  <v:stroke endarrow="block" endarrowlength="short"/>
                </v:shape>
                <v:shape id="Straight Arrow Connector 41" o:spid="_x0000_s1057" type="#_x0000_t32" style="position:absolute;left:6122;top:14702;width:0;height:5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JWcQAAADcAAAADwAAAGRycy9kb3ducmV2LnhtbESPQYvCMBCF7wv+hzCCF1lTiy5uNYqI&#10;ggcRVt370My21WZSmtjWf28EYY+PN+978xarzpSiodoVlhWMRxEI4tTqgjMFl/PucwbCeWSNpWVS&#10;8CAHq2XvY4GJti3/UHPymQgQdgkqyL2vEildmpNBN7IVcfD+bG3QB1lnUtfYBrgpZRxFX9JgwaEh&#10;x4o2OaW3092EN9z1t9h9H+J2uNaH6bWxl+3RKjXod+s5CE+d/z9+p/daQTyJ4TUmEE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olZxAAAANwAAAAPAAAAAAAAAAAA&#10;AAAAAKECAABkcnMvZG93bnJldi54bWxQSwUGAAAAAAQABAD5AAAAkgMAAAAA&#10;" strokecolor="#5a5a5a [2109]">
                  <v:stroke endarrow="block" endarrowlength="short"/>
                </v:shape>
                <v:shape id="Straight Arrow Connector 42" o:spid="_x0000_s1058" type="#_x0000_t32" style="position:absolute;left:21621;top:17390;width:0;height:2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GhcUAAADbAAAADwAAAGRycy9kb3ducmV2LnhtbESPT2vCQBDF74LfYRnBS9GN6R80dQ1B&#10;GuhBhFq9D9lpEs3Ohuw2Sb99t1Dw+Hjzfm/eNh1NI3rqXG1ZwWoZgSAurK65VHD+zBdrEM4ja2ws&#10;k4IfcpDuppMtJtoO/EH9yZciQNglqKDyvk2kdEVFBt3StsTB+7KdQR9kV0rd4RDgppFxFL1IgzWH&#10;hgpb2ldU3E7fJrzhrpc63xzi4SHTh+drb89vR6vUfDZmryA8jf5+/J9+1wqeHuFvSwC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6GhcUAAADbAAAADwAAAAAAAAAA&#10;AAAAAAChAgAAZHJzL2Rvd25yZXYueG1sUEsFBgAAAAAEAAQA+QAAAJMDAAAAAA==&#10;" strokecolor="#5a5a5a [2109]">
                  <v:stroke endarrow="block" endarrowlength="short"/>
                </v:shape>
                <v:shape id="Straight Arrow Connector 44" o:spid="_x0000_s1059" type="#_x0000_t32" style="position:absolute;left:25941;top:2388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swsUAAADcAAAADwAAAGRycy9kb3ducmV2LnhtbESPQWvCQBCF7wX/wzKCl6IbYy1tdBWR&#10;Ch5EMNX7kB2TaHY2ZLdJ/PduodDj48373rzlujeVaKlxpWUF00kEgjizuuRcwfl7N/4A4Tyyxsoy&#10;KXiQg/Vq8LLERNuOT9SmPhcBwi5BBYX3dSKlywoy6Ca2Jg7e1TYGfZBNLnWDXYCbSsZR9C4Nlhwa&#10;CqxpW1B2T39MeMPdLuXu8xB3rxt9mN9ae/46WqVGw36zAOGp9//Hf+m9VhC/zeB3TCC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oswsUAAADcAAAADwAAAAAAAAAA&#10;AAAAAAChAgAAZHJzL2Rvd25yZXYueG1sUEsFBgAAAAAEAAQA+QAAAJMDAAAAAA==&#10;" strokecolor="#5a5a5a [2109]">
                  <v:stroke endarrow="block" endarrowlength="short"/>
                </v:shape>
                <v:shape id="Flowchart: Alternate Process 44" o:spid="_x0000_s1060" type="#_x0000_t176" style="position:absolute;left:4335;top:15864;width:3658;height:2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KcvcIA&#10;AADcAAAADwAAAGRycy9kb3ducmV2LnhtbESPQYvCMBSE78L+h/AWvIimFrFLNcoiCHrcqrDHR/Ns&#10;i81LN4la/71ZEDwOM/MNs1z3phU3cr6xrGA6SUAQl1Y3XCk4HrbjLxA+IGtsLZOCB3lYrz4GS8y1&#10;vfMP3YpQiQhhn6OCOoQul9KXNRn0E9sRR+9sncEQpaukdniPcNPKNEnm0mDDcaHGjjY1lZfiahQU&#10;+yxt9h5PtJWj3W+5yR7Vn1Nq+Nl/L0AE6sM7/GrvtIJ0NoP/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py9wgAAANwAAAAPAAAAAAAAAAAAAAAAAJgCAABkcnMvZG93&#10;bnJldi54bWxQSwUGAAAAAAQABAD1AAAAhwMAAAAA&#10;" fillcolor="#7f7f7f [1612]" strokecolor="#5a5a5a [2109]">
                  <v:textbox inset=",1.44pt">
                    <w:txbxContent>
                      <w:p w:rsidR="00841B85" w:rsidRPr="004676CB" w:rsidRDefault="00841B85" w:rsidP="004843DB">
                        <w:pPr>
                          <w:pStyle w:val="Textboxcentred"/>
                          <w:rPr>
                            <w:color w:val="FFFFFF" w:themeColor="background1"/>
                          </w:rPr>
                        </w:pPr>
                        <w:r w:rsidRPr="004676CB">
                          <w:rPr>
                            <w:color w:val="FFFFFF" w:themeColor="background1"/>
                          </w:rPr>
                          <w:t>No</w:t>
                        </w:r>
                      </w:p>
                    </w:txbxContent>
                  </v:textbox>
                </v:shape>
                <v:shapetype id="_x0000_t33" coordsize="21600,21600" o:spt="33" o:oned="t" path="m,l21600,r,21600e" filled="f">
                  <v:stroke joinstyle="miter"/>
                  <v:path arrowok="t" fillok="f" o:connecttype="none"/>
                  <o:lock v:ext="edit" shapetype="t"/>
                </v:shapetype>
                <v:shape id="Elbow Connector 237" o:spid="_x0000_s1061" type="#_x0000_t33" style="position:absolute;left:15402;top:12478;width:6214;height:35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P/8MAAADcAAAADwAAAGRycy9kb3ducmV2LnhtbESPQWvCQBSE74X+h+UVequbSJUQXUWs&#10;ikIvant/ZJ9JMPt2yW6T+O9dQehxmJlvmPlyMI3oqPW1ZQXpKAFBXFhdc6ng57z9yED4gKyxsUwK&#10;buRhuXh9mWOubc9H6k6hFBHCPkcFVQgul9IXFRn0I+uIo3exrcEQZVtK3WIf4aaR4ySZSoM1x4UK&#10;Ha0rKq6nP6PA9Vtd/35PD2lwNu2y9Wb3pTdKvb8NqxmIQEP4Dz/be61g/DmBx5l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Gz//DAAAA3AAAAA8AAAAAAAAAAAAA&#10;AAAAoQIAAGRycy9kb3ducmV2LnhtbFBLBQYAAAAABAAEAPkAAACRAwAAAAA=&#10;" strokecolor="#5a5a5a [2109]"/>
                <v:rect id="Rectangle 46" o:spid="_x0000_s1062" style="position:absolute;left:9904;top:1132;width:13716;height:5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oGcMA&#10;AADbAAAADwAAAGRycy9kb3ducmV2LnhtbESP0WrCQBRE3wv+w3KFvjW7hiBt6ipSKAjWhxo/4JK9&#10;JtHs3ZhdNfl7Vyj0cZiZM8xiNdhW3Kj3jWMNs0SBIC6dabjScCi+395B+IBssHVMGkbysFpOXhaY&#10;G3fnX7rtQyUihH2OGuoQulxKX9Zk0SeuI47e0fUWQ5R9JU2P9wi3rUyVmkuLDceFGjv6qqk8769W&#10;Aw+b7Um157BL02w9dnhRPwVq/Tod1p8gAg3hP/zX3hgN2Qc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woGcMAAADbAAAADwAAAAAAAAAAAAAAAACYAgAAZHJzL2Rv&#10;d25yZXYueG1sUEsFBgAAAAAEAAQA9QAAAIgDAAAAAA==&#10;" strokecolor="#5a5a5a [2109]">
                  <v:textbox>
                    <w:txbxContent>
                      <w:p w:rsidR="00841B85" w:rsidRPr="00B536AC" w:rsidRDefault="00841B85" w:rsidP="004843DB">
                        <w:pPr>
                          <w:pStyle w:val="Textboxcentred"/>
                        </w:pPr>
                        <w:r w:rsidRPr="00B536AC">
                          <w:t xml:space="preserve">Are the employee benefits expected to be </w:t>
                        </w:r>
                        <w:r w:rsidRPr="00B536AC">
                          <w:rPr>
                            <w:b/>
                            <w:bCs/>
                          </w:rPr>
                          <w:t>wholly settled</w:t>
                        </w:r>
                        <w:r w:rsidRPr="00B536AC">
                          <w:t xml:space="preserve"> within 12 month?</w:t>
                        </w:r>
                      </w:p>
                    </w:txbxContent>
                  </v:textbox>
                </v:rect>
                <v:rect id="Rectangle 239" o:spid="_x0000_s1063" style="position:absolute;left:1280;top:10714;width:14027;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H0cQA&#10;AADcAAAADwAAAGRycy9kb3ducmV2LnhtbESPwWrDMBBE74X+g9hCb7VUY0xxo5gQCATaHOrkAxZr&#10;azu2Vq6lJPbfV4FCj8PMvGFW5WwHcaXJd441vCYKBHHtTMeNhtNx9/IGwgdkg4Nj0rCQh3L9+LDC&#10;wrgbf9G1Co2IEPYFamhDGAspfd2SRZ+4kTh6326yGKKcGmkmvEW4HWSqVC4tdhwXWhxp21LdVxer&#10;gef9x1kNfTikabZZRvxRn0fU+vlp3ryDCDSH//Bfe280pFkO9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R9HEAAAA3AAAAA8AAAAAAAAAAAAAAAAAmAIAAGRycy9k&#10;b3ducmV2LnhtbFBLBQYAAAAABAAEAPUAAACJAwAAAAA=&#10;" strokecolor="#5a5a5a [2109]">
                  <v:textbox>
                    <w:txbxContent>
                      <w:p w:rsidR="00841B85" w:rsidRPr="00B536AC" w:rsidRDefault="00841B85" w:rsidP="004843DB">
                        <w:pPr>
                          <w:pStyle w:val="Textboxcentred"/>
                        </w:pPr>
                        <w:r w:rsidRPr="00B536AC">
                          <w:t>Is it a temporary expectation of the timing of settlement?</w:t>
                        </w:r>
                      </w:p>
                    </w:txbxContent>
                  </v:textbox>
                </v:rect>
                <v:rect id="Rectangle 50" o:spid="_x0000_s1064" style="position:absolute;left:19942;top:25815;width:11974;height:3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iSsQA&#10;AADcAAAADwAAAGRycy9kb3ducmV2LnhtbESPwWrDMBBE74H+g9hAb7EUY5riRjGhUAi0PTTOByzW&#10;xnZsrVxLTey/rwqFHIeZecNsi8n24kqjbx1rWCcKBHHlTMu1hlP5tnoG4QOywd4xaZjJQ7F7WGwx&#10;N+7GX3Q9hlpECPscNTQhDLmUvmrIok/cQBy9sxsthijHWpoRbxFue5kq9SQtthwXGhzotaGqO/5Y&#10;DTwd3i+q78Jnmmb7ecBv9VGi1o/Laf8CItAU7uH/9sFoSLMN/J2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4krEAAAA3AAAAA8AAAAAAAAAAAAAAAAAmAIAAGRycy9k&#10;b3ducmV2LnhtbFBLBQYAAAAABAAEAPUAAACJAwAAAAA=&#10;" strokecolor="#5a5a5a [2109]">
                  <v:textbox>
                    <w:txbxContent>
                      <w:p w:rsidR="00841B85" w:rsidRPr="00B536AC" w:rsidRDefault="00841B85" w:rsidP="004843DB">
                        <w:pPr>
                          <w:pStyle w:val="Textboxcentred"/>
                        </w:pPr>
                        <w:r w:rsidRPr="00B536AC">
                          <w:t>Nominal value with no discounting</w:t>
                        </w:r>
                      </w:p>
                    </w:txbxContent>
                  </v:textbox>
                </v:rect>
                <v:rect id="Rectangle 51" o:spid="_x0000_s1065" style="position:absolute;left:19942;top:20213;width:11974;height:3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2OLwA&#10;AADcAAAADwAAAGRycy9kb3ducmV2LnhtbERPSwrCMBDdC94hjOBOE4uIVKOIIAjqws8BhmZsq82k&#10;NlHr7c1CcPl4//mytZV4UeNLxxpGQwWCOHOm5FzD5bwZTEH4gGywckwaPuRhueh25pga9+YjvU4h&#10;FzGEfYoaihDqVEqfFWTRD11NHLmrayyGCJtcmgbfMdxWMlFqIi2WHBsKrGldUHY/Pa0Gbre7m6ru&#10;4ZAk49Wnxofan1Hrfq9dzUAEasNf/HNvjYZkHNfGM/EI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D3Y4vAAAANwAAAAPAAAAAAAAAAAAAAAAAJgCAABkcnMvZG93bnJldi54&#10;bWxQSwUGAAAAAAQABAD1AAAAgQMAAAAA&#10;" strokecolor="#5a5a5a [2109]">
                  <v:textbox>
                    <w:txbxContent>
                      <w:p w:rsidR="00841B85" w:rsidRPr="00B536AC" w:rsidRDefault="00841B85" w:rsidP="004843DB">
                        <w:pPr>
                          <w:pStyle w:val="Textboxcentred"/>
                        </w:pPr>
                        <w:r w:rsidRPr="00B536AC">
                          <w:t>Classified as short term employee benefits</w:t>
                        </w:r>
                      </w:p>
                    </w:txbxContent>
                  </v:textbox>
                </v:rect>
                <v:shape id="Flowchart: Alternate Process 52" o:spid="_x0000_s1066" type="#_x0000_t176" style="position:absolute;left:19838;top:15979;width:3658;height:2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zI8MA&#10;AADcAAAADwAAAGRycy9kb3ducmV2LnhtbESPQYvCMBSE78L+h/AWvIimFlG3GmURBD1aXdjjo3nb&#10;FpuXbhK1/nsjCB6HmfmGWa4704grOV9bVjAeJSCIC6trLhWcjtvhHIQPyBoby6TgTh7Wq4/eEjNt&#10;b3ygax5KESHsM1RQhdBmUvqiIoN+ZFvi6P1ZZzBE6UqpHd4i3DQyTZKpNFhzXKiwpU1FxTm/GAX5&#10;fpbWe48/tJWD3W+xmd3Lf6dU/7P7XoAI1IV3+NXeaQXp5Au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MzI8MAAADcAAAADwAAAAAAAAAAAAAAAACYAgAAZHJzL2Rv&#10;d25yZXYueG1sUEsFBgAAAAAEAAQA9QAAAIgDAAAAAA==&#10;" fillcolor="#7f7f7f [1612]" strokecolor="#5a5a5a [2109]">
                  <v:textbox inset=",1.44pt">
                    <w:txbxContent>
                      <w:p w:rsidR="00841B85" w:rsidRPr="004676CB" w:rsidRDefault="00841B85" w:rsidP="004843DB">
                        <w:pPr>
                          <w:pStyle w:val="Textboxcentred"/>
                          <w:rPr>
                            <w:color w:val="FFFFFF" w:themeColor="background1"/>
                          </w:rPr>
                        </w:pPr>
                        <w:r w:rsidRPr="004676CB">
                          <w:rPr>
                            <w:color w:val="FFFFFF" w:themeColor="background1"/>
                          </w:rPr>
                          <w:t>Yes</w:t>
                        </w:r>
                      </w:p>
                    </w:txbxContent>
                  </v:textbox>
                </v:shape>
                <w10:anchorlock/>
              </v:group>
            </w:pict>
          </mc:Fallback>
        </mc:AlternateContent>
      </w:r>
    </w:p>
    <w:p w:rsidR="004843DB" w:rsidRPr="0062582F" w:rsidRDefault="004843DB" w:rsidP="004843DB">
      <w:pPr>
        <w:pStyle w:val="CommentaryText"/>
        <w:pBdr>
          <w:top w:val="none" w:sz="0" w:space="0" w:color="auto"/>
          <w:bottom w:val="none" w:sz="0" w:space="0" w:color="auto"/>
        </w:pBdr>
        <w:jc w:val="cente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pPr>
    </w:p>
    <w:p w:rsidR="004843DB" w:rsidRPr="0062582F" w:rsidRDefault="004843DB" w:rsidP="004843DB">
      <w:pPr>
        <w:pStyle w:val="CommentaryText"/>
        <w:pBdr>
          <w:top w:val="none" w:sz="0" w:space="0" w:color="auto"/>
          <w:bottom w:val="none" w:sz="0" w:space="0" w:color="auto"/>
        </w:pBdr>
        <w:rPr>
          <w:sz w:val="4"/>
          <w:szCs w:val="4"/>
        </w:rPr>
      </w:pPr>
      <w:r w:rsidRPr="0062582F">
        <w:br w:type="column"/>
      </w:r>
    </w:p>
    <w:p w:rsidR="004843DB" w:rsidRPr="0062582F" w:rsidRDefault="004843DB" w:rsidP="004843DB">
      <w:pPr>
        <w:pStyle w:val="CommentaryHeading1"/>
        <w:pBdr>
          <w:top w:val="none" w:sz="0" w:space="0" w:color="auto"/>
        </w:pBdr>
      </w:pPr>
      <w:r w:rsidRPr="0062582F">
        <w:t>Unit of account</w:t>
      </w:r>
    </w:p>
    <w:p w:rsidR="004843DB" w:rsidRPr="0062582F" w:rsidRDefault="004843DB" w:rsidP="004843DB">
      <w:pPr>
        <w:pStyle w:val="CommentaryText"/>
        <w:pBdr>
          <w:top w:val="none" w:sz="0" w:space="0" w:color="auto"/>
        </w:pBdr>
      </w:pPr>
      <w:r w:rsidRPr="0062582F">
        <w:t>The definition of short</w:t>
      </w:r>
      <w:r w:rsidR="005A4BB0">
        <w:noBreakHyphen/>
      </w:r>
      <w:r w:rsidRPr="0062582F">
        <w:t xml:space="preserve">term employee benefits introduces the notion of </w:t>
      </w:r>
      <w:r w:rsidR="005A4BB0">
        <w:t>‘</w:t>
      </w:r>
      <w:r w:rsidRPr="0062582F">
        <w:t>wholly</w:t>
      </w:r>
      <w:r w:rsidR="005A4BB0">
        <w:t>’</w:t>
      </w:r>
      <w:r w:rsidRPr="0062582F">
        <w:t>. The expectation of the timing of settlement is based on entity level, not at the individual level. Therefore, it is unneccesary for departments to obtain detailed information of each employee</w:t>
      </w:r>
      <w:r w:rsidR="005A4BB0">
        <w:t>’</w:t>
      </w:r>
      <w:r w:rsidRPr="0062582F">
        <w:t xml:space="preserve">s anticipated timing for their leave settlement. </w:t>
      </w:r>
    </w:p>
    <w:p w:rsidR="004843DB" w:rsidRPr="0062582F" w:rsidRDefault="004843DB" w:rsidP="004843DB">
      <w:pPr>
        <w:pStyle w:val="CommentaryText"/>
        <w:pBdr>
          <w:top w:val="none" w:sz="0" w:space="0" w:color="auto"/>
        </w:pBdr>
      </w:pPr>
      <w:r w:rsidRPr="0062582F">
        <w:t>For illustration purposes, this Model Report assumes that the annual leave accrued by the Department of Technology as at 30 June 2016 are not expected to be settled wholly within 12 months thereafter. Accordingly, the provision for annual leave in Note 24 is classified as long</w:t>
      </w:r>
      <w:r w:rsidR="005A4BB0">
        <w:noBreakHyphen/>
      </w:r>
      <w:r w:rsidRPr="0062582F">
        <w:t xml:space="preserve">term employee benefits for measurement purposes, and is discounted to its present value. </w:t>
      </w:r>
    </w:p>
    <w:p w:rsidR="004843DB" w:rsidRPr="0062582F" w:rsidRDefault="004843DB" w:rsidP="004843DB">
      <w:pPr>
        <w:pStyle w:val="SmallLine"/>
      </w:pP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pBdr>
          <w:bottom w:val="none" w:sz="0" w:space="0" w:color="auto"/>
        </w:pBdr>
        <w:rPr>
          <w:i/>
        </w:rPr>
      </w:pPr>
      <w:r w:rsidRPr="0062582F">
        <w:t xml:space="preserve">Commentary – Provisions </w:t>
      </w:r>
      <w:r w:rsidRPr="0062582F">
        <w:rPr>
          <w:i/>
        </w:rPr>
        <w:t>(continued)</w:t>
      </w:r>
    </w:p>
    <w:p w:rsidR="004843DB" w:rsidRPr="0062582F" w:rsidRDefault="004843DB" w:rsidP="004843DB">
      <w:pPr>
        <w:pStyle w:val="SmallLineBlue"/>
        <w:pBdr>
          <w:bottom w:val="none" w:sz="0" w:space="0" w:color="auto"/>
        </w:pBdr>
      </w:pPr>
    </w:p>
    <w:p w:rsidR="004843DB" w:rsidRPr="0062582F" w:rsidRDefault="004843DB" w:rsidP="004843DB">
      <w:pPr>
        <w:pStyle w:val="CommentaryText"/>
        <w:pBdr>
          <w:top w:val="none" w:sz="0" w:space="0" w:color="auto"/>
          <w:bottom w:val="none" w:sz="0" w:space="0" w:color="auto"/>
        </w:pBdr>
      </w:pPr>
      <w:r w:rsidRPr="0062582F">
        <w:t xml:space="preserve">Entities should form their own expectations of the timing of annual leave so long as it is reasonable and not temporary in their own context. Where employee benefits are expected to be settled wholly within 12 months, they should be classified as </w:t>
      </w:r>
      <w:r w:rsidR="005A4BB0">
        <w:t>‘</w:t>
      </w:r>
      <w:r w:rsidRPr="0062582F">
        <w:t>short</w:t>
      </w:r>
      <w:r w:rsidR="005A4BB0">
        <w:noBreakHyphen/>
      </w:r>
      <w:r w:rsidRPr="0062582F">
        <w:t>term employee benefits</w:t>
      </w:r>
      <w:r w:rsidR="005A4BB0">
        <w:t>’</w:t>
      </w:r>
      <w:r w:rsidRPr="0062582F">
        <w:t xml:space="preserve"> and measured at nominal values without discounting.</w:t>
      </w:r>
    </w:p>
    <w:p w:rsidR="004843DB" w:rsidRPr="0062582F" w:rsidRDefault="004843DB" w:rsidP="004843DB">
      <w:pPr>
        <w:pStyle w:val="CommentaryText"/>
        <w:pBdr>
          <w:top w:val="none" w:sz="0" w:space="0" w:color="auto"/>
          <w:bottom w:val="none" w:sz="0" w:space="0" w:color="auto"/>
        </w:pBdr>
      </w:pPr>
      <w:r w:rsidRPr="0062582F">
        <w:t>Note that the Model Report assumes the discounting method is done on an annual basis, and entities are encouraged to adopt similar assumptions to ensure the consistency of departmental reports. Refer to Appendix 4 for further guidance on estimating annual leave provisions under AASB 119.</w:t>
      </w:r>
    </w:p>
    <w:p w:rsidR="004843DB" w:rsidRPr="0062582F" w:rsidRDefault="004843DB" w:rsidP="004843DB">
      <w:pPr>
        <w:pStyle w:val="CommentaryText"/>
        <w:pBdr>
          <w:top w:val="none" w:sz="0" w:space="0" w:color="auto"/>
          <w:bottom w:val="none" w:sz="0" w:space="0" w:color="auto"/>
        </w:pBdr>
        <w:spacing w:after="120"/>
        <w:rPr>
          <w:rFonts w:asciiTheme="minorHAnsi" w:hAnsiTheme="minorHAnsi" w:cstheme="minorHAnsi"/>
          <w:b/>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spacing w:before="320"/>
      </w:pPr>
    </w:p>
    <w:p w:rsidR="004843DB" w:rsidRPr="0062582F" w:rsidRDefault="004843DB" w:rsidP="004843DB">
      <w:pPr>
        <w:pStyle w:val="CommentaryHeading1"/>
        <w:pBdr>
          <w:top w:val="none" w:sz="0" w:space="0" w:color="auto"/>
          <w:bottom w:val="none" w:sz="0" w:space="0" w:color="auto"/>
        </w:pBdr>
      </w:pPr>
      <w:r w:rsidRPr="0062582F">
        <w:br w:type="column"/>
        <w:t>Provision for on</w:t>
      </w:r>
      <w:r w:rsidR="005A4BB0">
        <w:noBreakHyphen/>
      </w:r>
      <w:r w:rsidRPr="0062582F">
        <w:t>cost</w:t>
      </w:r>
    </w:p>
    <w:p w:rsidR="004843DB" w:rsidRPr="0062582F" w:rsidRDefault="004843DB" w:rsidP="004843DB">
      <w:pPr>
        <w:pStyle w:val="CommentaryText"/>
        <w:pBdr>
          <w:top w:val="none" w:sz="0" w:space="0" w:color="auto"/>
          <w:bottom w:val="none" w:sz="0" w:space="0" w:color="auto"/>
        </w:pBdr>
        <w:rPr>
          <w:rFonts w:asciiTheme="minorHAnsi" w:hAnsiTheme="minorHAnsi" w:cstheme="minorHAnsi"/>
          <w:b/>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101.78(d)</w:t>
      </w:r>
    </w:p>
    <w:p w:rsidR="004843DB" w:rsidRPr="0062582F" w:rsidRDefault="004843DB" w:rsidP="004843DB">
      <w:pPr>
        <w:pStyle w:val="CommentaryText"/>
        <w:pBdr>
          <w:top w:val="none" w:sz="0" w:space="0" w:color="auto"/>
          <w:bottom w:val="none" w:sz="0" w:space="0" w:color="auto"/>
        </w:pBdr>
      </w:pPr>
      <w:r w:rsidRPr="0062582F">
        <w:br w:type="column"/>
        <w:t>On</w:t>
      </w:r>
      <w:r w:rsidR="005A4BB0">
        <w:noBreakHyphen/>
      </w:r>
      <w:r w:rsidRPr="0062582F">
        <w:t>costs, such as payroll tax and workers</w:t>
      </w:r>
      <w:r w:rsidR="005A4BB0">
        <w:t>’</w:t>
      </w:r>
      <w:r w:rsidRPr="0062582F">
        <w:t xml:space="preserve"> compensation insurance, are recognised as liabilities when the employment to which they relate has occurred. They are a consequence of employing employees, but are not employee benefits. As such, provisions for on</w:t>
      </w:r>
      <w:r w:rsidR="005A4BB0">
        <w:noBreakHyphen/>
      </w:r>
      <w:r w:rsidRPr="0062582F">
        <w:t>costs are to be disclosed seperately from provisions for employee benefits.</w:t>
      </w:r>
    </w:p>
    <w:p w:rsidR="004843DB" w:rsidRPr="0062582F" w:rsidRDefault="004843DB" w:rsidP="004843DB">
      <w:pPr>
        <w:pStyle w:val="CommentaryHeading1"/>
        <w:pBdr>
          <w:top w:val="none" w:sz="0" w:space="0" w:color="auto"/>
          <w:bottom w:val="none" w:sz="0" w:space="0" w:color="auto"/>
        </w:pBdr>
      </w:pPr>
      <w:r w:rsidRPr="0062582F">
        <w:t>Current/non</w:t>
      </w:r>
      <w:r w:rsidR="005A4BB0">
        <w:noBreakHyphen/>
      </w:r>
      <w:r w:rsidRPr="0062582F">
        <w:t>current classification of employee benefits</w:t>
      </w:r>
    </w:p>
    <w:p w:rsidR="004843DB" w:rsidRPr="0062582F" w:rsidRDefault="004843DB" w:rsidP="004843DB">
      <w:pPr>
        <w:pStyle w:val="CommentaryText"/>
        <w:pBdr>
          <w:top w:val="none" w:sz="0" w:space="0" w:color="auto"/>
          <w:bottom w:val="none" w:sz="0" w:space="0" w:color="auto"/>
        </w:pBdr>
        <w:rPr>
          <w:rFonts w:asciiTheme="minorHAnsi" w:hAnsiTheme="minorHAnsi" w:cstheme="minorHAnsi"/>
          <w:b/>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101.69 (d)</w:t>
      </w:r>
    </w:p>
    <w:p w:rsidR="004843DB" w:rsidRPr="0062582F" w:rsidRDefault="004843DB" w:rsidP="004843DB">
      <w:pPr>
        <w:pStyle w:val="CommentaryText"/>
        <w:pBdr>
          <w:top w:val="none" w:sz="0" w:space="0" w:color="auto"/>
          <w:bottom w:val="none" w:sz="0" w:space="0" w:color="auto"/>
        </w:pBdr>
        <w:rPr>
          <w:rFonts w:asciiTheme="minorHAnsi" w:hAnsiTheme="minorHAnsi" w:cstheme="minorHAnsi"/>
          <w:b/>
        </w:rPr>
      </w:pPr>
      <w:r w:rsidRPr="0062582F">
        <w:rPr>
          <w:rFonts w:asciiTheme="minorHAnsi" w:hAnsiTheme="minorHAnsi" w:cstheme="minorHAnsi"/>
          <w:b/>
        </w:rPr>
        <w:br w:type="column"/>
      </w:r>
      <w:r w:rsidRPr="0062582F">
        <w:t>All annual leave and unconditional vested long service leave representing seven or more years of continuous service is disclosed as a current liability. This includes where the agency does not expect to settle the liability wholly within 12 months as it will not have the unconditional right to defer the settlement of the entitlement should an employee take leave within 12 months.</w:t>
      </w:r>
    </w:p>
    <w:p w:rsidR="004843DB" w:rsidRPr="0062582F" w:rsidRDefault="004843DB" w:rsidP="004843DB">
      <w:pPr>
        <w:pStyle w:val="CommentaryText"/>
        <w:pBdr>
          <w:top w:val="none" w:sz="0" w:space="0" w:color="auto"/>
          <w:bottom w:val="none" w:sz="0" w:space="0" w:color="auto"/>
        </w:pBdr>
      </w:pPr>
      <w:r w:rsidRPr="0062582F">
        <w:t>Long service leave representing less than seven years of continuous service is:</w:t>
      </w:r>
    </w:p>
    <w:p w:rsidR="004843DB" w:rsidRPr="0062582F" w:rsidRDefault="004843DB" w:rsidP="004843DB">
      <w:pPr>
        <w:pStyle w:val="CommentaryTextIndent"/>
        <w:pBdr>
          <w:top w:val="none" w:sz="0" w:space="0" w:color="auto"/>
          <w:bottom w:val="none" w:sz="0" w:space="0" w:color="auto"/>
        </w:pBdr>
      </w:pPr>
      <w:r w:rsidRPr="0062582F">
        <w:t>(a)</w:t>
      </w:r>
      <w:r w:rsidRPr="0062582F">
        <w:tab/>
        <w:t>disclosed in accordance with AASB 101 as a non</w:t>
      </w:r>
      <w:r w:rsidR="005A4BB0">
        <w:noBreakHyphen/>
      </w:r>
      <w:r w:rsidRPr="0062582F">
        <w:t>current liability; and</w:t>
      </w:r>
    </w:p>
    <w:p w:rsidR="004843DB" w:rsidRPr="0062582F" w:rsidRDefault="004843DB" w:rsidP="004843DB">
      <w:pPr>
        <w:pStyle w:val="CommentaryTextIndent"/>
        <w:pBdr>
          <w:top w:val="none" w:sz="0" w:space="0" w:color="auto"/>
          <w:bottom w:val="none" w:sz="0" w:space="0" w:color="auto"/>
        </w:pBdr>
      </w:pPr>
      <w:r w:rsidRPr="0062582F">
        <w:t>(b)</w:t>
      </w:r>
      <w:r w:rsidRPr="0062582F">
        <w:tab/>
        <w:t>measured at present value under AASB 119 as the entity does not expect to settle this non</w:t>
      </w:r>
      <w:r w:rsidR="005A4BB0">
        <w:noBreakHyphen/>
      </w:r>
      <w:r w:rsidRPr="0062582F">
        <w:t>current liability wholly within 12 months.</w:t>
      </w:r>
    </w:p>
    <w:p w:rsidR="004843DB" w:rsidRPr="0062582F" w:rsidRDefault="004843DB" w:rsidP="004843DB">
      <w:pPr>
        <w:pStyle w:val="CommentaryText"/>
        <w:pBdr>
          <w:top w:val="none" w:sz="0" w:space="0" w:color="auto"/>
          <w:bottom w:val="none" w:sz="0" w:space="0" w:color="auto"/>
        </w:pBdr>
      </w:pPr>
      <w:r w:rsidRPr="0062582F">
        <w:t>Consideration is given to expected future wage and salary levels, experience of employee, departures and periods of service. Expected future payments are discounted using a single weighted average discount rate based on market yields of national government bonds in Australia that reflects the estimated timing and amount of benefit payments.</w:t>
      </w:r>
    </w:p>
    <w:p w:rsidR="004843DB" w:rsidRPr="0062582F" w:rsidRDefault="004843DB" w:rsidP="004843DB">
      <w:pPr>
        <w:pStyle w:val="CommentaryHeading1"/>
        <w:pBdr>
          <w:top w:val="none" w:sz="0" w:space="0" w:color="auto"/>
          <w:bottom w:val="none" w:sz="0" w:space="0" w:color="auto"/>
        </w:pBdr>
      </w:pPr>
      <w:r w:rsidRPr="0062582F">
        <w:t>Recognition of provisions</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137.14</w:t>
      </w:r>
    </w:p>
    <w:p w:rsidR="004843DB" w:rsidRPr="0062582F" w:rsidRDefault="004843DB" w:rsidP="004843DB">
      <w:pPr>
        <w:pStyle w:val="CommentaryText"/>
        <w:pBdr>
          <w:top w:val="none" w:sz="0" w:space="0" w:color="auto"/>
          <w:bottom w:val="none" w:sz="0" w:space="0" w:color="auto"/>
        </w:pBdr>
      </w:pPr>
      <w:r w:rsidRPr="0062582F">
        <w:br w:type="column"/>
        <w:t>A provision shall be recognised when:</w:t>
      </w:r>
    </w:p>
    <w:p w:rsidR="004843DB" w:rsidRPr="0062582F" w:rsidRDefault="004843DB" w:rsidP="004843DB">
      <w:pPr>
        <w:pStyle w:val="CommentaryTextIndent"/>
        <w:pBdr>
          <w:top w:val="none" w:sz="0" w:space="0" w:color="auto"/>
          <w:bottom w:val="none" w:sz="0" w:space="0" w:color="auto"/>
        </w:pBdr>
      </w:pPr>
      <w:r w:rsidRPr="0062582F">
        <w:t>(a)</w:t>
      </w:r>
      <w:r w:rsidRPr="0062582F">
        <w:tab/>
        <w:t>an entity has a present obligation (legal or constructive) as a result of a past event;</w:t>
      </w:r>
    </w:p>
    <w:p w:rsidR="004843DB" w:rsidRPr="0062582F" w:rsidRDefault="004843DB" w:rsidP="004843DB">
      <w:pPr>
        <w:pStyle w:val="CommentaryTextIndent"/>
        <w:pBdr>
          <w:top w:val="none" w:sz="0" w:space="0" w:color="auto"/>
          <w:bottom w:val="none" w:sz="0" w:space="0" w:color="auto"/>
        </w:pBdr>
      </w:pPr>
      <w:r w:rsidRPr="0062582F">
        <w:t>(b)</w:t>
      </w:r>
      <w:r w:rsidRPr="0062582F">
        <w:tab/>
        <w:t>it is probable that an outflow of resources embodying economic benefits will be required to settle the obligation; and</w:t>
      </w:r>
    </w:p>
    <w:p w:rsidR="004843DB" w:rsidRPr="0062582F" w:rsidRDefault="004843DB" w:rsidP="004843DB">
      <w:pPr>
        <w:pStyle w:val="CommentaryTextIndent"/>
        <w:pBdr>
          <w:top w:val="none" w:sz="0" w:space="0" w:color="auto"/>
          <w:bottom w:val="none" w:sz="0" w:space="0" w:color="auto"/>
        </w:pBdr>
      </w:pPr>
      <w:r w:rsidRPr="0062582F">
        <w:t>(c)</w:t>
      </w:r>
      <w:r w:rsidRPr="0062582F">
        <w:tab/>
        <w:t>a reliable estimate can be made of the amount of the obligation.</w:t>
      </w:r>
    </w:p>
    <w:p w:rsidR="004843DB" w:rsidRPr="0062582F" w:rsidRDefault="004843DB" w:rsidP="004843DB">
      <w:pPr>
        <w:pStyle w:val="CommentaryText"/>
        <w:pBdr>
          <w:top w:val="none" w:sz="0" w:space="0" w:color="auto"/>
          <w:bottom w:val="none" w:sz="0" w:space="0" w:color="auto"/>
        </w:pBdr>
      </w:pPr>
      <w:r w:rsidRPr="0062582F">
        <w:t>If these conditions are not met, no provision shall be recognised.</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137.15</w:t>
      </w:r>
    </w:p>
    <w:p w:rsidR="004843DB" w:rsidRPr="0062582F" w:rsidRDefault="004843DB" w:rsidP="004843DB">
      <w:pPr>
        <w:pStyle w:val="CommentaryText"/>
        <w:pBdr>
          <w:top w:val="none" w:sz="0" w:space="0" w:color="auto"/>
          <w:bottom w:val="none" w:sz="0" w:space="0" w:color="auto"/>
        </w:pBdr>
      </w:pPr>
      <w:r w:rsidRPr="0062582F">
        <w:br w:type="column"/>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137.23</w:t>
      </w:r>
    </w:p>
    <w:p w:rsidR="004843DB" w:rsidRPr="0062582F" w:rsidRDefault="004843DB" w:rsidP="004843DB">
      <w:pPr>
        <w:pStyle w:val="CommentaryText"/>
        <w:pBdr>
          <w:top w:val="none" w:sz="0" w:space="0" w:color="auto"/>
        </w:pBdr>
      </w:pPr>
      <w:r w:rsidRPr="0062582F">
        <w:br w:type="column"/>
        <w:t xml:space="preserve">For a liability to qualify for recognition there must be not only a present obligation but also the probability of an outflow of resources embodying economic benefits to settle that obligation. For the purpose of AASB 137 </w:t>
      </w:r>
      <w:r w:rsidRPr="0062582F">
        <w:rPr>
          <w:i/>
        </w:rPr>
        <w:t>Provisions, Contingent Liabilities and Contingent Assets</w:t>
      </w:r>
      <w:r w:rsidRPr="0062582F">
        <w:t>, an outflow of resources or other event is regarded as probable if the event is more likely than not to occur, that is, the probability that the event will occur is greater than the probability that it will not. Where it is not probable that a present obligation exists, an entity discloses a contingent liability, unless the possibility of an outflow of resources embodying economic benefits is remote.</w:t>
      </w:r>
    </w:p>
    <w:p w:rsidR="004843DB" w:rsidRPr="0062582F" w:rsidRDefault="004843DB" w:rsidP="004843DB">
      <w:pPr>
        <w:pStyle w:val="SmallLine"/>
      </w:pPr>
      <w:r w:rsidRPr="0062582F">
        <w:br w:type="column"/>
      </w:r>
      <w:r w:rsidRPr="0062582F">
        <w:br w:type="column"/>
      </w:r>
    </w:p>
    <w:p w:rsidR="004843DB" w:rsidRPr="0062582F" w:rsidRDefault="004843DB" w:rsidP="004843DB">
      <w:pPr>
        <w:pStyle w:val="CommentaryHeading"/>
        <w:pBdr>
          <w:bottom w:val="none" w:sz="0" w:space="0" w:color="auto"/>
        </w:pBdr>
        <w:rPr>
          <w:i/>
        </w:rPr>
      </w:pPr>
      <w:r w:rsidRPr="0062582F">
        <w:t xml:space="preserve">Commentary – Provisions </w:t>
      </w:r>
      <w:r w:rsidRPr="0062582F">
        <w:rPr>
          <w:i/>
        </w:rPr>
        <w:t>(continued)</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top w:val="none" w:sz="0" w:space="0" w:color="auto"/>
          <w:bottom w:val="none" w:sz="0" w:space="0" w:color="auto"/>
        </w:pBdr>
      </w:pPr>
      <w:r w:rsidRPr="0062582F">
        <w:t>Disclosure</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137.84</w:t>
      </w:r>
    </w:p>
    <w:p w:rsidR="004843DB" w:rsidRPr="0062582F" w:rsidRDefault="004843DB" w:rsidP="004843DB">
      <w:pPr>
        <w:pStyle w:val="CommentaryText"/>
        <w:pBdr>
          <w:top w:val="none" w:sz="0" w:space="0" w:color="auto"/>
          <w:bottom w:val="none" w:sz="0" w:space="0" w:color="auto"/>
        </w:pBdr>
      </w:pPr>
      <w:r w:rsidRPr="0062582F">
        <w:br w:type="column"/>
        <w:t>For each class of provision, an entity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the carrying amount at the beginning and end of the period;</w:t>
      </w:r>
    </w:p>
    <w:p w:rsidR="004843DB" w:rsidRPr="0062582F" w:rsidRDefault="004843DB" w:rsidP="004843DB">
      <w:pPr>
        <w:pStyle w:val="CommentaryTextIndent"/>
        <w:pBdr>
          <w:top w:val="none" w:sz="0" w:space="0" w:color="auto"/>
          <w:bottom w:val="none" w:sz="0" w:space="0" w:color="auto"/>
        </w:pBdr>
      </w:pPr>
      <w:r w:rsidRPr="0062582F">
        <w:t>(b)</w:t>
      </w:r>
      <w:r w:rsidRPr="0062582F">
        <w:tab/>
        <w:t>additional provisions made in the period, including increases to existing provisions;</w:t>
      </w:r>
    </w:p>
    <w:p w:rsidR="004843DB" w:rsidRPr="0062582F" w:rsidRDefault="004843DB" w:rsidP="004843DB">
      <w:pPr>
        <w:pStyle w:val="CommentaryTextIndent"/>
        <w:pBdr>
          <w:top w:val="none" w:sz="0" w:space="0" w:color="auto"/>
          <w:bottom w:val="none" w:sz="0" w:space="0" w:color="auto"/>
        </w:pBdr>
      </w:pPr>
      <w:r w:rsidRPr="0062582F">
        <w:t>(c)</w:t>
      </w:r>
      <w:r w:rsidRPr="0062582F">
        <w:tab/>
        <w:t>amounts used (that is, incurred and charged against the provision) during the period;</w:t>
      </w:r>
    </w:p>
    <w:p w:rsidR="004843DB" w:rsidRPr="0062582F" w:rsidRDefault="004843DB" w:rsidP="004843DB">
      <w:pPr>
        <w:pStyle w:val="CommentaryTextIndent"/>
        <w:pBdr>
          <w:top w:val="none" w:sz="0" w:space="0" w:color="auto"/>
          <w:bottom w:val="none" w:sz="0" w:space="0" w:color="auto"/>
        </w:pBdr>
      </w:pPr>
      <w:r w:rsidRPr="0062582F">
        <w:t>(d)</w:t>
      </w:r>
      <w:r w:rsidRPr="0062582F">
        <w:tab/>
        <w:t>unused amounts reversed during the period; and</w:t>
      </w:r>
    </w:p>
    <w:p w:rsidR="004843DB" w:rsidRPr="0062582F" w:rsidRDefault="004843DB" w:rsidP="004843DB">
      <w:pPr>
        <w:pStyle w:val="CommentaryTextIndent"/>
        <w:pBdr>
          <w:top w:val="none" w:sz="0" w:space="0" w:color="auto"/>
          <w:bottom w:val="none" w:sz="0" w:space="0" w:color="auto"/>
        </w:pBdr>
      </w:pPr>
      <w:r w:rsidRPr="0062582F">
        <w:t>(e)</w:t>
      </w:r>
      <w:r w:rsidRPr="0062582F">
        <w:tab/>
        <w:t>the increase during the period in the discounted amount arising from the passage of time and the effect of any change in the discount rate.</w:t>
      </w:r>
    </w:p>
    <w:p w:rsidR="004843DB" w:rsidRPr="0062582F" w:rsidRDefault="004843DB" w:rsidP="004843DB">
      <w:pPr>
        <w:pStyle w:val="CommentaryText"/>
        <w:pBdr>
          <w:top w:val="none" w:sz="0" w:space="0" w:color="auto"/>
          <w:bottom w:val="none" w:sz="0" w:space="0" w:color="auto"/>
        </w:pBdr>
      </w:pPr>
      <w:r w:rsidRPr="0062582F">
        <w:t>Comparative information is not required.</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137.85</w:t>
      </w:r>
    </w:p>
    <w:p w:rsidR="004843DB" w:rsidRPr="0062582F" w:rsidRDefault="004843DB" w:rsidP="004843DB">
      <w:pPr>
        <w:pStyle w:val="CommentaryText"/>
        <w:pBdr>
          <w:top w:val="none" w:sz="0" w:space="0" w:color="auto"/>
          <w:bottom w:val="none" w:sz="0" w:space="0" w:color="auto"/>
        </w:pBdr>
      </w:pPr>
      <w:r w:rsidRPr="0062582F">
        <w:br w:type="column"/>
        <w:t>An entity shall disclose the following for each class of provision:</w:t>
      </w:r>
    </w:p>
    <w:p w:rsidR="004843DB" w:rsidRPr="0062582F" w:rsidRDefault="004843DB" w:rsidP="004843DB">
      <w:pPr>
        <w:pStyle w:val="CommentaryTextIndent"/>
        <w:pBdr>
          <w:top w:val="none" w:sz="0" w:space="0" w:color="auto"/>
          <w:bottom w:val="none" w:sz="0" w:space="0" w:color="auto"/>
        </w:pBdr>
      </w:pPr>
      <w:r w:rsidRPr="0062582F">
        <w:t>(a)</w:t>
      </w:r>
      <w:r w:rsidRPr="0062582F">
        <w:tab/>
        <w:t>a brief description of the nature of the obligation and the expected timing of any resulting outflows of economic benefits; and</w:t>
      </w:r>
    </w:p>
    <w:p w:rsidR="004843DB" w:rsidRPr="0062582F" w:rsidRDefault="004843DB" w:rsidP="004843DB">
      <w:pPr>
        <w:pStyle w:val="CommentaryTextIndent"/>
        <w:pBdr>
          <w:top w:val="none" w:sz="0" w:space="0" w:color="auto"/>
          <w:bottom w:val="none" w:sz="0" w:space="0" w:color="auto"/>
        </w:pBdr>
      </w:pPr>
      <w:r w:rsidRPr="0062582F">
        <w:t>(b)</w:t>
      </w:r>
      <w:r w:rsidRPr="0062582F">
        <w:tab/>
        <w:t xml:space="preserve">an indication of the uncertainties about the amount or timing of those outflows. Where necessary to provide adequate information, an entity shall disclose the major assumptions made concerning future events. </w:t>
      </w:r>
    </w:p>
    <w:p w:rsidR="004843DB" w:rsidRPr="0062582F" w:rsidRDefault="004843DB" w:rsidP="004843DB">
      <w:pPr>
        <w:pStyle w:val="CommentaryHeading1"/>
        <w:pBdr>
          <w:top w:val="none" w:sz="0" w:space="0" w:color="auto"/>
          <w:bottom w:val="none" w:sz="0" w:space="0" w:color="auto"/>
        </w:pBdr>
      </w:pPr>
      <w:r w:rsidRPr="0062582F">
        <w:t xml:space="preserve">Reimbursements </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137.85(c)</w:t>
      </w:r>
    </w:p>
    <w:p w:rsidR="004843DB" w:rsidRPr="0062582F" w:rsidRDefault="004843DB" w:rsidP="004843DB">
      <w:pPr>
        <w:pStyle w:val="CommentaryText"/>
        <w:pBdr>
          <w:top w:val="none" w:sz="0" w:space="0" w:color="auto"/>
          <w:bottom w:val="none" w:sz="0" w:space="0" w:color="auto"/>
        </w:pBdr>
      </w:pPr>
      <w:r w:rsidRPr="0062582F">
        <w:br w:type="column"/>
        <w:t>In respect of each class of provision the financial statements must disclose the amount of any related reimbursement, stating the amount of any asset recognised for that expected reimbursement.</w:t>
      </w:r>
    </w:p>
    <w:p w:rsidR="004843DB" w:rsidRPr="0062582F" w:rsidRDefault="004843DB" w:rsidP="004843DB">
      <w:pPr>
        <w:pStyle w:val="CommentaryHeading1"/>
        <w:pBdr>
          <w:top w:val="none" w:sz="0" w:space="0" w:color="auto"/>
          <w:bottom w:val="none" w:sz="0" w:space="0" w:color="auto"/>
        </w:pBdr>
      </w:pPr>
      <w:r w:rsidRPr="0062582F">
        <w:t xml:space="preserve">Exemptions </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rPr>
          <w:lang w:val="en-AU"/>
        </w:rPr>
        <w:t>AASB 137.92</w:t>
      </w:r>
    </w:p>
    <w:p w:rsidR="004843DB" w:rsidRPr="0062582F" w:rsidRDefault="004843DB" w:rsidP="004843DB">
      <w:pPr>
        <w:pStyle w:val="CommentaryText"/>
        <w:pBdr>
          <w:top w:val="none" w:sz="0" w:space="0" w:color="auto"/>
          <w:bottom w:val="none" w:sz="0" w:space="0" w:color="auto"/>
        </w:pBdr>
      </w:pPr>
      <w:r w:rsidRPr="0062582F">
        <w:br w:type="column"/>
        <w:t>In extremely rare cases, disclosure of some or all of the information required by AASB 137 can be expected to prejudice seriously the position of the entity in a dispute with other parties on the subject matter of the provision. In such cases, an entity need not disclose the information, but shall disclose the general nature of the dispute, together with the fact that, and reason why, the information has not been disclosed.</w:t>
      </w:r>
    </w:p>
    <w:p w:rsidR="004843DB" w:rsidRPr="0062582F" w:rsidRDefault="004843DB" w:rsidP="004843DB">
      <w:pPr>
        <w:pStyle w:val="CommentaryText"/>
        <w:pBdr>
          <w:top w:val="none" w:sz="0" w:space="0" w:color="auto"/>
          <w:bottom w:val="none" w:sz="0" w:space="0" w:color="auto"/>
        </w:pBdr>
      </w:pPr>
      <w:r w:rsidRPr="0062582F">
        <w:t xml:space="preserve">Regardless of how sensitive certain information about provisions may be, this exemption from disclosure does not affect the requirement to recognise provisions that satisfy the criteria for recognition set out in AASB 137. </w:t>
      </w:r>
    </w:p>
    <w:p w:rsidR="004843DB" w:rsidRPr="0062582F" w:rsidRDefault="004843DB" w:rsidP="004843DB">
      <w:pPr>
        <w:pStyle w:val="CommentaryHeading1"/>
        <w:pBdr>
          <w:top w:val="none" w:sz="0" w:space="0" w:color="auto"/>
          <w:bottom w:val="none" w:sz="0" w:space="0" w:color="auto"/>
        </w:pBdr>
      </w:pPr>
      <w:r w:rsidRPr="0062582F">
        <w:t>Contingent liabilities</w:t>
      </w:r>
    </w:p>
    <w:p w:rsidR="004843DB" w:rsidRPr="0062582F" w:rsidRDefault="004843DB" w:rsidP="004843DB">
      <w:pPr>
        <w:pStyle w:val="CommentaryText"/>
        <w:spacing w:before="60"/>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rPr>
          <w:lang w:val="en-AU"/>
        </w:rPr>
        <w:t>AASB 137.88</w:t>
      </w:r>
    </w:p>
    <w:p w:rsidR="004843DB" w:rsidRPr="0062582F" w:rsidRDefault="004843DB" w:rsidP="004843DB">
      <w:pPr>
        <w:pStyle w:val="CommentaryText"/>
        <w:pBdr>
          <w:top w:val="none" w:sz="0" w:space="0" w:color="auto"/>
        </w:pBdr>
      </w:pPr>
      <w:r w:rsidRPr="0062582F">
        <w:br w:type="column"/>
        <w:t xml:space="preserve">Where a provision and a contingent liability arise from the same set of circumstances, the disclosures in the financial statements should be made in a way that shows the link between the provision and the contingent liability. </w:t>
      </w:r>
      <w:bookmarkEnd w:id="457"/>
    </w:p>
    <w:p w:rsidR="004843DB" w:rsidRPr="0062582F" w:rsidRDefault="004843DB" w:rsidP="004843DB"/>
    <w:p w:rsidR="004843DB" w:rsidRPr="0062582F" w:rsidRDefault="004843DB" w:rsidP="004843DB">
      <w:pPr>
        <w:pStyle w:val="NoteHeading"/>
      </w:pPr>
      <w:bookmarkStart w:id="480" w:name="_Toc332019483"/>
      <w:bookmarkStart w:id="481" w:name="_Toc366843369"/>
      <w:r w:rsidRPr="0062582F">
        <w:br w:type="column"/>
      </w:r>
      <w:r w:rsidRPr="0062582F">
        <w:br w:type="column"/>
      </w:r>
      <w:bookmarkStart w:id="482" w:name="_Toc448157204"/>
      <w:r w:rsidRPr="0062582F">
        <w:t>Note 25.</w:t>
      </w:r>
      <w:r w:rsidRPr="0062582F">
        <w:tab/>
        <w:t>Assets received as collateral</w:t>
      </w:r>
      <w:bookmarkEnd w:id="480"/>
      <w:bookmarkEnd w:id="481"/>
      <w:bookmarkEnd w:id="482"/>
      <w:r w:rsidRPr="0062582F">
        <w:t xml:space="preserve"> </w:t>
      </w:r>
    </w:p>
    <w:p w:rsidR="004843DB" w:rsidRPr="0062582F" w:rsidRDefault="004843DB" w:rsidP="004843DB">
      <w:pPr>
        <w:pStyle w:val="CommentaryHeading"/>
      </w:pPr>
      <w:bookmarkStart w:id="483" w:name="_Toc163448840"/>
      <w:r w:rsidRPr="0062582F">
        <w:t xml:space="preserve">Commentary – </w:t>
      </w:r>
      <w:bookmarkEnd w:id="483"/>
      <w:r w:rsidRPr="0062582F">
        <w:t>Assets received as collateral</w:t>
      </w:r>
    </w:p>
    <w:p w:rsidR="004843DB" w:rsidRPr="0062582F"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7.15</w:t>
      </w: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lang w:val="en-AU"/>
        </w:rPr>
      </w:pPr>
    </w:p>
    <w:p w:rsidR="004843DB" w:rsidRPr="0062582F" w:rsidRDefault="004843DB" w:rsidP="004843DB">
      <w:pPr>
        <w:pStyle w:val="Reference"/>
        <w:rPr>
          <w:sz w:val="2"/>
          <w:lang w:val="en-AU"/>
        </w:rPr>
      </w:pPr>
    </w:p>
    <w:p w:rsidR="004843DB" w:rsidRPr="0062582F" w:rsidRDefault="004843DB" w:rsidP="004843DB">
      <w:pPr>
        <w:pStyle w:val="Reference"/>
      </w:pPr>
      <w:r w:rsidRPr="0062582F">
        <w:t>AASB 139.37</w:t>
      </w:r>
    </w:p>
    <w:p w:rsidR="004843DB" w:rsidRPr="0062582F" w:rsidRDefault="004843DB" w:rsidP="004843DB">
      <w:pPr>
        <w:pStyle w:val="Reference"/>
      </w:pPr>
    </w:p>
    <w:p w:rsidR="004843DB" w:rsidRPr="0062582F" w:rsidRDefault="004843DB" w:rsidP="004843DB">
      <w:pPr>
        <w:pStyle w:val="CommentaryText"/>
        <w:pBdr>
          <w:top w:val="none" w:sz="0" w:space="0" w:color="auto"/>
          <w:bottom w:val="none" w:sz="0" w:space="0" w:color="auto"/>
        </w:pBdr>
      </w:pPr>
      <w:r w:rsidRPr="0062582F">
        <w:br w:type="column"/>
        <w:t>When an entity holds collateral (of financial or non</w:t>
      </w:r>
      <w:r w:rsidR="005A4BB0">
        <w:noBreakHyphen/>
      </w:r>
      <w:r w:rsidRPr="0062582F">
        <w:t>financial assets) and is permitted to sell or repledge the collateral in the absence of default by the owner of the collateral, it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the fair value of the collateral held;</w:t>
      </w:r>
    </w:p>
    <w:p w:rsidR="004843DB" w:rsidRPr="0062582F" w:rsidRDefault="004843DB" w:rsidP="004843DB">
      <w:pPr>
        <w:pStyle w:val="CommentaryTextIndent"/>
        <w:pBdr>
          <w:top w:val="none" w:sz="0" w:space="0" w:color="auto"/>
          <w:bottom w:val="none" w:sz="0" w:space="0" w:color="auto"/>
        </w:pBdr>
      </w:pPr>
      <w:r w:rsidRPr="0062582F">
        <w:t>(b)</w:t>
      </w:r>
      <w:r w:rsidRPr="0062582F">
        <w:tab/>
        <w:t>the fair value of any such collateral sold or repledged and whether the entity has an obligation to return it; and</w:t>
      </w:r>
    </w:p>
    <w:p w:rsidR="004843DB" w:rsidRPr="0062582F" w:rsidRDefault="004843DB" w:rsidP="004843DB">
      <w:pPr>
        <w:pStyle w:val="CommentaryTextIndent"/>
        <w:pBdr>
          <w:top w:val="none" w:sz="0" w:space="0" w:color="auto"/>
          <w:bottom w:val="none" w:sz="0" w:space="0" w:color="auto"/>
        </w:pBdr>
      </w:pPr>
      <w:r w:rsidRPr="0062582F">
        <w:t>(c)</w:t>
      </w:r>
      <w:r w:rsidRPr="0062582F">
        <w:tab/>
        <w:t>the terms and conditions associated with its use of the collateral.</w:t>
      </w:r>
    </w:p>
    <w:p w:rsidR="004843DB" w:rsidRPr="0062582F" w:rsidRDefault="004843DB" w:rsidP="004843DB">
      <w:pPr>
        <w:pStyle w:val="CommentaryText"/>
        <w:pBdr>
          <w:top w:val="none" w:sz="0" w:space="0" w:color="auto"/>
          <w:bottom w:val="none" w:sz="0" w:space="0" w:color="auto"/>
        </w:pBdr>
      </w:pPr>
      <w:r w:rsidRPr="0062582F">
        <w:t>If the owner of the collateral (i.e. transferor) provides non</w:t>
      </w:r>
      <w:r w:rsidR="005A4BB0">
        <w:noBreakHyphen/>
      </w:r>
      <w:r w:rsidRPr="0062582F">
        <w:t>cash collateral (such as debt or equity instruments) to the transferee, the accounting for the collateral by the transferor and the transferee depends on whether the transferee has the right to sell or repledge the collateral and on whether the transferor has defaulted. The transferor and transferee shall account for the collateral as follows:</w:t>
      </w:r>
    </w:p>
    <w:p w:rsidR="004843DB" w:rsidRPr="0062582F" w:rsidRDefault="004843DB" w:rsidP="004843DB">
      <w:pPr>
        <w:pStyle w:val="CommentaryTextIndent"/>
        <w:pBdr>
          <w:top w:val="none" w:sz="0" w:space="0" w:color="auto"/>
          <w:bottom w:val="single" w:sz="4" w:space="1" w:color="auto"/>
        </w:pBdr>
      </w:pPr>
      <w:r w:rsidRPr="0062582F">
        <w:t>(a)</w:t>
      </w:r>
      <w:r w:rsidRPr="0062582F">
        <w:tab/>
        <w:t>If the transferee has the right by contract or custom to sell or repledge the collateral, then the transferor shall reclassify that asset in its statement of financial position (e.g. as a loaned asset, pledged equity instruments or repurchase receivable) separately from other assets.</w:t>
      </w:r>
    </w:p>
    <w:p w:rsidR="004843DB" w:rsidRPr="0062582F" w:rsidRDefault="004843DB" w:rsidP="004843DB">
      <w:pPr>
        <w:pStyle w:val="CommentaryTextIndent"/>
        <w:pBdr>
          <w:top w:val="none" w:sz="0" w:space="0" w:color="auto"/>
          <w:bottom w:val="single" w:sz="4" w:space="1" w:color="auto"/>
        </w:pBdr>
      </w:pPr>
      <w:r w:rsidRPr="0062582F">
        <w:t>(b)</w:t>
      </w:r>
      <w:r w:rsidRPr="0062582F">
        <w:tab/>
        <w:t>If the transferee sells collateral pledged to it, it shall recognise the proceeds from the sale and a liability measured at fair value for its obligation to return the collateral.</w:t>
      </w:r>
    </w:p>
    <w:p w:rsidR="004843DB" w:rsidRPr="0062582F" w:rsidRDefault="004843DB" w:rsidP="004843DB">
      <w:pPr>
        <w:pStyle w:val="CommentaryTextIndent"/>
        <w:pBdr>
          <w:top w:val="none" w:sz="0" w:space="0" w:color="auto"/>
          <w:bottom w:val="single" w:sz="4" w:space="1" w:color="auto"/>
        </w:pBdr>
      </w:pPr>
      <w:r w:rsidRPr="0062582F">
        <w:t>(c)</w:t>
      </w:r>
      <w:r w:rsidRPr="0062582F">
        <w:tab/>
        <w:t>If the transferor defaults under the terms of the contract and is no longer entitled to redeem the collateral, it shall derecognise the collateral, and the transferee shall recognise the collateral as its asset initially measured at fair value or, if it has already sold the collateral, derecognise its obligation to return the collateral.</w:t>
      </w:r>
    </w:p>
    <w:p w:rsidR="004843DB" w:rsidRPr="0062582F" w:rsidRDefault="004843DB" w:rsidP="004843DB">
      <w:pPr>
        <w:pStyle w:val="CommentaryTextIndent"/>
        <w:pBdr>
          <w:top w:val="none" w:sz="0" w:space="0" w:color="auto"/>
          <w:bottom w:val="single" w:sz="4" w:space="1" w:color="auto"/>
        </w:pBdr>
      </w:pPr>
      <w:r w:rsidRPr="0062582F">
        <w:t>(d)</w:t>
      </w:r>
      <w:r w:rsidRPr="0062582F">
        <w:tab/>
        <w:t>Except as provided in (c), the transferor shall continue to carry the collateral as its asset, and the transferee shall not recognise the collateral as an asset.</w:t>
      </w:r>
    </w:p>
    <w:p w:rsidR="004843DB" w:rsidRPr="0062582F" w:rsidRDefault="004843DB" w:rsidP="004843DB">
      <w:bookmarkStart w:id="484" w:name="_Toc132689501"/>
      <w:bookmarkStart w:id="485" w:name="_Toc133138185"/>
      <w:bookmarkStart w:id="486" w:name="_Toc133203905"/>
      <w:bookmarkStart w:id="487" w:name="_Toc154475755"/>
      <w:bookmarkStart w:id="488" w:name="_Toc162327213"/>
      <w:bookmarkStart w:id="489" w:name="_Toc162327934"/>
      <w:bookmarkStart w:id="490" w:name="_Toc192562749"/>
      <w:bookmarkStart w:id="491" w:name="_Toc132689502"/>
      <w:bookmarkStart w:id="492" w:name="_Toc133138186"/>
      <w:bookmarkStart w:id="493" w:name="_Toc133203906"/>
      <w:bookmarkStart w:id="494" w:name="_Toc154475756"/>
      <w:bookmarkStart w:id="495" w:name="_Toc162327214"/>
      <w:bookmarkStart w:id="496" w:name="_Toc162327935"/>
      <w:bookmarkStart w:id="497" w:name="_Toc192562750"/>
    </w:p>
    <w:p w:rsidR="004843DB" w:rsidRPr="0062582F" w:rsidRDefault="004843DB" w:rsidP="004843DB"/>
    <w:p w:rsidR="004843DB" w:rsidRPr="0062582F" w:rsidRDefault="004843DB" w:rsidP="004843DB">
      <w:pPr>
        <w:spacing w:line="240" w:lineRule="atLeast"/>
        <w:rPr>
          <w:rFonts w:ascii="Calibri" w:hAnsi="Calibri" w:cs="Arial"/>
          <w:b/>
          <w:bCs/>
          <w:sz w:val="26"/>
          <w:szCs w:val="28"/>
          <w:lang w:val="en-GB"/>
        </w:rPr>
      </w:pPr>
      <w:bookmarkStart w:id="498" w:name="_Toc332019484"/>
      <w:bookmarkStart w:id="499" w:name="_Toc366843370"/>
      <w:r w:rsidRPr="0062582F">
        <w:br w:type="page"/>
      </w:r>
    </w:p>
    <w:p w:rsidR="004843DB" w:rsidRPr="0062582F" w:rsidRDefault="004843DB" w:rsidP="004843DB">
      <w:pPr>
        <w:pStyle w:val="Reference"/>
      </w:pPr>
    </w:p>
    <w:p w:rsidR="004843DB" w:rsidRPr="0062582F" w:rsidRDefault="004843DB" w:rsidP="004843DB">
      <w:pPr>
        <w:pStyle w:val="Reference"/>
        <w:spacing w:before="200"/>
      </w:pPr>
      <w:r w:rsidRPr="0062582F">
        <w:br/>
        <w:t>AASB 7.14, 116.74(a)</w:t>
      </w:r>
    </w:p>
    <w:p w:rsidR="004843DB" w:rsidRPr="0062582F" w:rsidRDefault="004843DB" w:rsidP="004843DB">
      <w:pPr>
        <w:pStyle w:val="Reference"/>
      </w:pPr>
    </w:p>
    <w:p w:rsidR="004843DB" w:rsidRPr="0062582F" w:rsidRDefault="004843DB" w:rsidP="004843DB">
      <w:pPr>
        <w:pStyle w:val="NoteHeading"/>
      </w:pPr>
      <w:r w:rsidRPr="0062582F">
        <w:br w:type="column"/>
      </w:r>
      <w:bookmarkStart w:id="500" w:name="_Toc448157205"/>
      <w:r w:rsidRPr="0062582F">
        <w:t>Note 26.</w:t>
      </w:r>
      <w:r w:rsidRPr="0062582F">
        <w:tab/>
        <w:t>Assets pledged as security</w:t>
      </w:r>
      <w:bookmarkEnd w:id="484"/>
      <w:bookmarkEnd w:id="485"/>
      <w:bookmarkEnd w:id="486"/>
      <w:bookmarkEnd w:id="487"/>
      <w:bookmarkEnd w:id="488"/>
      <w:bookmarkEnd w:id="489"/>
      <w:bookmarkEnd w:id="490"/>
      <w:bookmarkEnd w:id="498"/>
      <w:bookmarkEnd w:id="499"/>
      <w:bookmarkEnd w:id="500"/>
    </w:p>
    <w:p w:rsidR="004843DB" w:rsidRPr="0062582F" w:rsidRDefault="004843DB" w:rsidP="004843DB">
      <w:pPr>
        <w:pStyle w:val="Notes"/>
        <w:tabs>
          <w:tab w:val="clear" w:pos="454"/>
          <w:tab w:val="left" w:pos="0"/>
        </w:tabs>
        <w:ind w:left="0" w:firstLine="0"/>
      </w:pPr>
      <w:r w:rsidRPr="0062582F">
        <w:rPr>
          <w:rFonts w:ascii="Garamond" w:hAnsi="Garamond"/>
          <w:i w:val="0"/>
          <w:iCs w:val="0"/>
          <w:sz w:val="22"/>
          <w:szCs w:val="22"/>
        </w:rPr>
        <w:t>The Department has secured the leased assets against the non</w:t>
      </w:r>
      <w:r w:rsidR="005A4BB0">
        <w:rPr>
          <w:rFonts w:ascii="Garamond" w:hAnsi="Garamond"/>
          <w:i w:val="0"/>
          <w:iCs w:val="0"/>
          <w:sz w:val="22"/>
          <w:szCs w:val="22"/>
        </w:rPr>
        <w:noBreakHyphen/>
      </w:r>
      <w:r w:rsidRPr="0062582F">
        <w:rPr>
          <w:rFonts w:ascii="Garamond" w:hAnsi="Garamond"/>
          <w:i w:val="0"/>
          <w:iCs w:val="0"/>
          <w:sz w:val="22"/>
          <w:szCs w:val="22"/>
        </w:rPr>
        <w:t>PPP related finance lease liabilities. In the event of default, the rights to the leased assets will revert to the lessor (refer also to Note 23 </w:t>
      </w:r>
      <w:r w:rsidRPr="0062582F">
        <w:rPr>
          <w:rFonts w:ascii="Garamond" w:hAnsi="Garamond"/>
          <w:iCs w:val="0"/>
          <w:sz w:val="22"/>
          <w:szCs w:val="22"/>
        </w:rPr>
        <w:t>Borrowings</w:t>
      </w:r>
      <w:r w:rsidRPr="0062582F">
        <w:rPr>
          <w:rFonts w:ascii="Garamond" w:hAnsi="Garamond"/>
          <w:i w:val="0"/>
          <w:iCs w:val="0"/>
          <w:sz w:val="22"/>
          <w:szCs w:val="22"/>
        </w:rPr>
        <w:t>)</w:t>
      </w:r>
      <w:r w:rsidRPr="0062582F">
        <w:t>.</w:t>
      </w:r>
    </w:p>
    <w:p w:rsidR="004843DB" w:rsidRPr="0062582F" w:rsidRDefault="004843DB" w:rsidP="004843DB"/>
    <w:p w:rsidR="004843DB" w:rsidRPr="0062582F" w:rsidRDefault="004843DB" w:rsidP="004843DB">
      <w:pPr>
        <w:pStyle w:val="CommentaryHeading"/>
        <w:pBdr>
          <w:bottom w:val="none" w:sz="0" w:space="0" w:color="auto"/>
        </w:pBdr>
      </w:pPr>
      <w:bookmarkStart w:id="501" w:name="_Toc163448841"/>
      <w:r w:rsidRPr="0062582F">
        <w:t xml:space="preserve">Commentary – </w:t>
      </w:r>
      <w:bookmarkEnd w:id="501"/>
      <w:r w:rsidRPr="0062582F">
        <w:t>Assets pledged as security</w:t>
      </w:r>
    </w:p>
    <w:p w:rsidR="004843DB" w:rsidRPr="0062582F" w:rsidRDefault="004843DB" w:rsidP="004843DB">
      <w:pPr>
        <w:pStyle w:val="SmallLineBlue"/>
        <w:pBdr>
          <w:bottom w:val="none" w:sz="0" w:space="0" w:color="auto"/>
        </w:pBdr>
      </w:pPr>
    </w:p>
    <w:p w:rsidR="004843DB" w:rsidRPr="0062582F" w:rsidRDefault="004843DB" w:rsidP="004843DB">
      <w:pPr>
        <w:pStyle w:val="CommentaryText"/>
        <w:pBdr>
          <w:bottom w:val="none" w:sz="0" w:space="0" w:color="auto"/>
        </w:pBdr>
      </w:pPr>
      <w:r w:rsidRPr="0062582F">
        <w:t xml:space="preserve">The financial statements shall disclose the following for assets pledged as security: </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102.36(h)</w:t>
      </w:r>
    </w:p>
    <w:p w:rsidR="004843DB" w:rsidRPr="0062582F" w:rsidRDefault="004843DB" w:rsidP="004843DB">
      <w:pPr>
        <w:pStyle w:val="CommentaryTextIndent"/>
        <w:pBdr>
          <w:top w:val="none" w:sz="0" w:space="0" w:color="auto"/>
          <w:bottom w:val="none" w:sz="0" w:space="0" w:color="auto"/>
        </w:pBdr>
      </w:pPr>
      <w:r w:rsidRPr="0062582F">
        <w:br w:type="column"/>
        <w:t>(a)</w:t>
      </w:r>
      <w:r w:rsidRPr="0062582F">
        <w:tab/>
        <w:t xml:space="preserve">the carrying amount of inventories pledged as security for liabilities; </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138.122(d)</w:t>
      </w:r>
    </w:p>
    <w:p w:rsidR="004843DB" w:rsidRPr="0062582F" w:rsidRDefault="004843DB" w:rsidP="004843DB">
      <w:pPr>
        <w:pStyle w:val="CommentaryTextIndent"/>
        <w:pBdr>
          <w:top w:val="none" w:sz="0" w:space="0" w:color="auto"/>
          <w:bottom w:val="none" w:sz="0" w:space="0" w:color="auto"/>
        </w:pBdr>
      </w:pPr>
      <w:r w:rsidRPr="0062582F">
        <w:br w:type="column"/>
        <w:t>(b)</w:t>
      </w:r>
      <w:r w:rsidRPr="0062582F">
        <w:tab/>
        <w:t xml:space="preserve">the existence and carrying amounts of intangible assets whose title is restricted and the carrying amounts of intangible assets pledged as security for liabilities; </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116.74(a)</w:t>
      </w:r>
    </w:p>
    <w:p w:rsidR="004843DB" w:rsidRPr="0062582F" w:rsidRDefault="004843DB" w:rsidP="004843DB">
      <w:pPr>
        <w:pStyle w:val="CommentaryTextIndent"/>
        <w:pBdr>
          <w:top w:val="none" w:sz="0" w:space="0" w:color="auto"/>
          <w:bottom w:val="none" w:sz="0" w:space="0" w:color="auto"/>
        </w:pBdr>
      </w:pPr>
      <w:r w:rsidRPr="0062582F">
        <w:br w:type="column"/>
        <w:t>(c)</w:t>
      </w:r>
      <w:r w:rsidRPr="0062582F">
        <w:tab/>
        <w:t>the carrying amount of the property, plant and equipment pledged and the related existence and amounts of restrictions on title;</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140.75(g)</w:t>
      </w:r>
    </w:p>
    <w:p w:rsidR="004843DB" w:rsidRPr="0062582F" w:rsidRDefault="004843DB" w:rsidP="004843DB">
      <w:pPr>
        <w:pStyle w:val="CommentaryTextIndent"/>
        <w:pBdr>
          <w:top w:val="none" w:sz="0" w:space="0" w:color="auto"/>
          <w:bottom w:val="none" w:sz="0" w:space="0" w:color="auto"/>
        </w:pBdr>
      </w:pPr>
      <w:r w:rsidRPr="0062582F">
        <w:br w:type="column"/>
        <w:t>(d)</w:t>
      </w:r>
      <w:r w:rsidRPr="0062582F">
        <w:tab/>
        <w:t xml:space="preserve">the existence and amounts of restrictions on the realisability of investment property or the remittance of income and proceeds of disposal; and </w:t>
      </w:r>
    </w:p>
    <w:p w:rsidR="004843DB" w:rsidRPr="0062582F" w:rsidRDefault="004843DB" w:rsidP="004843DB">
      <w:pPr>
        <w:pStyle w:val="CommentaryTextInden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7.14</w:t>
      </w:r>
    </w:p>
    <w:p w:rsidR="004843DB" w:rsidRPr="0062582F" w:rsidRDefault="004843DB" w:rsidP="004843DB">
      <w:pPr>
        <w:pStyle w:val="CommentaryTextIndent"/>
        <w:pBdr>
          <w:top w:val="none" w:sz="0" w:space="0" w:color="auto"/>
        </w:pBdr>
      </w:pPr>
      <w:r w:rsidRPr="0062582F">
        <w:br w:type="column"/>
        <w:t>(e)</w:t>
      </w:r>
      <w:r w:rsidRPr="0062582F">
        <w:tab/>
        <w:t>the carrying amount of financial assets pledged as collateral for liabilities or contingent liabilities and any material terms and conditions relating to assets pledged as collateral.</w:t>
      </w:r>
    </w:p>
    <w:p w:rsidR="004843DB" w:rsidRPr="0062582F" w:rsidRDefault="004843DB" w:rsidP="004843DB"/>
    <w:p w:rsidR="004843DB" w:rsidRPr="0062582F" w:rsidRDefault="004843DB" w:rsidP="004843DB">
      <w:pPr>
        <w:pStyle w:val="NoteHeading"/>
      </w:pPr>
      <w:r w:rsidRPr="0062582F">
        <w:br w:type="column"/>
      </w:r>
      <w:r w:rsidRPr="0062582F">
        <w:br w:type="column"/>
      </w:r>
      <w:bookmarkStart w:id="502" w:name="_Toc332019485"/>
      <w:bookmarkStart w:id="503" w:name="_Toc366843371"/>
      <w:bookmarkStart w:id="504" w:name="_Toc448157206"/>
      <w:r w:rsidRPr="0062582F">
        <w:t>Note 27.</w:t>
      </w:r>
      <w:r w:rsidRPr="0062582F">
        <w:tab/>
        <w:t>Derecognition of financial assets</w:t>
      </w:r>
      <w:bookmarkStart w:id="505" w:name="_Toc163448842"/>
      <w:bookmarkEnd w:id="491"/>
      <w:bookmarkEnd w:id="492"/>
      <w:bookmarkEnd w:id="493"/>
      <w:bookmarkEnd w:id="494"/>
      <w:bookmarkEnd w:id="495"/>
      <w:bookmarkEnd w:id="496"/>
      <w:bookmarkEnd w:id="497"/>
      <w:bookmarkEnd w:id="502"/>
      <w:bookmarkEnd w:id="503"/>
      <w:bookmarkEnd w:id="504"/>
    </w:p>
    <w:p w:rsidR="004843DB" w:rsidRPr="0062582F" w:rsidRDefault="004843DB" w:rsidP="004843DB">
      <w:pPr>
        <w:pStyle w:val="CommentaryHeading"/>
      </w:pPr>
      <w:r w:rsidRPr="0062582F">
        <w:t>Commentary – Derecognition of financial assets</w:t>
      </w:r>
      <w:bookmarkEnd w:id="505"/>
    </w:p>
    <w:p w:rsidR="004843DB" w:rsidRPr="0062582F"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7.42A</w:t>
      </w:r>
    </w:p>
    <w:p w:rsidR="004843DB" w:rsidRPr="0062582F" w:rsidRDefault="004843DB" w:rsidP="004843DB">
      <w:pPr>
        <w:pStyle w:val="CommentaryText"/>
        <w:pBdr>
          <w:top w:val="none" w:sz="0" w:space="0" w:color="auto"/>
          <w:bottom w:val="none" w:sz="0" w:space="0" w:color="auto"/>
        </w:pBdr>
        <w:rPr>
          <w:rFonts w:ascii="Calibri" w:hAnsi="Calibri" w:cs="Arial"/>
          <w:b/>
          <w:bCs/>
        </w:rPr>
      </w:pPr>
      <w:r w:rsidRPr="0062582F">
        <w:br w:type="column"/>
      </w:r>
      <w:r w:rsidRPr="0062582F">
        <w:rPr>
          <w:rFonts w:ascii="Calibri" w:hAnsi="Calibri" w:cs="Arial"/>
          <w:b/>
          <w:bCs/>
        </w:rPr>
        <w:t>Decision</w:t>
      </w:r>
      <w:r w:rsidR="005A4BB0">
        <w:rPr>
          <w:rFonts w:ascii="Calibri" w:hAnsi="Calibri" w:cs="Arial"/>
          <w:b/>
          <w:bCs/>
        </w:rPr>
        <w:noBreakHyphen/>
      </w:r>
      <w:r w:rsidRPr="0062582F">
        <w:rPr>
          <w:rFonts w:ascii="Calibri" w:hAnsi="Calibri" w:cs="Arial"/>
          <w:b/>
          <w:bCs/>
        </w:rPr>
        <w:t>tree for derecognition of a financial asset</w:t>
      </w:r>
    </w:p>
    <w:p w:rsidR="004843DB" w:rsidRPr="0062582F" w:rsidRDefault="004843DB" w:rsidP="004843DB">
      <w:pPr>
        <w:pStyle w:val="CommentaryText"/>
        <w:pBdr>
          <w:top w:val="none" w:sz="0" w:space="0" w:color="auto"/>
          <w:bottom w:val="none" w:sz="0" w:space="0" w:color="auto"/>
        </w:pBdr>
      </w:pPr>
      <w:r w:rsidRPr="0062582F">
        <w:t>The following flowchart (extract of AASB 139) illustrates the evaluation of whether and to what extent a financial asset is derecognised.</w:t>
      </w:r>
    </w:p>
    <w:p w:rsidR="004843DB" w:rsidRPr="0062582F" w:rsidRDefault="004843DB" w:rsidP="004843DB">
      <w:pPr>
        <w:pStyle w:val="CommentaryText"/>
        <w:pBdr>
          <w:top w:val="none" w:sz="0" w:space="0" w:color="auto"/>
          <w:bottom w:val="none" w:sz="0" w:space="0" w:color="auto"/>
        </w:pBdr>
        <w:jc w:val="center"/>
      </w:pPr>
      <w:r w:rsidRPr="0062582F">
        <w:drawing>
          <wp:inline distT="0" distB="0" distL="0" distR="0" wp14:anchorId="55AF4DF9" wp14:editId="414F3461">
            <wp:extent cx="4371975" cy="4600575"/>
            <wp:effectExtent l="19050" t="19050" r="28575"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9B0.tmp"/>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4370209" cy="4598717"/>
                    </a:xfrm>
                    <a:prstGeom prst="rect">
                      <a:avLst/>
                    </a:prstGeom>
                    <a:ln>
                      <a:solidFill>
                        <a:schemeClr val="tx1"/>
                      </a:solidFill>
                    </a:ln>
                  </pic:spPr>
                </pic:pic>
              </a:graphicData>
            </a:graphic>
          </wp:inline>
        </w:drawing>
      </w:r>
    </w:p>
    <w:p w:rsidR="004843DB" w:rsidRPr="0062582F" w:rsidRDefault="004843DB" w:rsidP="004843DB">
      <w:pPr>
        <w:pStyle w:val="NotesBlue"/>
        <w:pBdr>
          <w:left w:val="single" w:sz="4" w:space="4" w:color="0000FF"/>
          <w:right w:val="single" w:sz="4" w:space="4" w:color="0000FF"/>
        </w:pBdr>
        <w:spacing w:before="60"/>
        <w:ind w:left="461" w:hanging="461"/>
      </w:pPr>
      <w:r w:rsidRPr="0062582F">
        <w:t xml:space="preserve">Source: AASB 139 </w:t>
      </w:r>
      <w:r w:rsidRPr="0062582F">
        <w:rPr>
          <w:i w:val="0"/>
        </w:rPr>
        <w:t>Financial Instruments: Recognition and Measurement</w:t>
      </w:r>
      <w:r w:rsidRPr="0062582F">
        <w:t xml:space="preserve"> (August 2014)</w:t>
      </w:r>
    </w:p>
    <w:p w:rsidR="004843DB" w:rsidRPr="0062582F" w:rsidRDefault="004843DB" w:rsidP="004843DB">
      <w:pPr>
        <w:pStyle w:val="NotesBlue"/>
        <w:pBdr>
          <w:left w:val="single" w:sz="4" w:space="4" w:color="0000FF"/>
          <w:right w:val="single" w:sz="4" w:space="4" w:color="0000FF"/>
        </w:pBdr>
        <w:spacing w:before="60"/>
        <w:ind w:left="461" w:hanging="461"/>
        <w:rPr>
          <w:rFonts w:ascii="Garamond" w:hAnsi="Garamond"/>
        </w:rPr>
      </w:pPr>
    </w:p>
    <w:p w:rsidR="004843DB" w:rsidRPr="0062582F" w:rsidRDefault="004843DB" w:rsidP="004843DB">
      <w:pPr>
        <w:pStyle w:val="CommentaryText"/>
        <w:pBdr>
          <w:top w:val="none" w:sz="0" w:space="0" w:color="auto"/>
          <w:bottom w:val="none" w:sz="0" w:space="0" w:color="auto"/>
        </w:pBdr>
      </w:pPr>
      <w:r w:rsidRPr="0062582F">
        <w:rPr>
          <w:rFonts w:ascii="Calibri" w:hAnsi="Calibri" w:cs="Arial"/>
          <w:b/>
          <w:bCs/>
        </w:rPr>
        <w:t>Disclosures for transferred assets that are not derecognised in entirety</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 xml:space="preserve">AASB 7.42D </w:t>
      </w:r>
    </w:p>
    <w:p w:rsidR="004843DB" w:rsidRPr="0062582F" w:rsidRDefault="004843DB" w:rsidP="004843DB">
      <w:pPr>
        <w:pStyle w:val="CommentaryText"/>
        <w:pBdr>
          <w:top w:val="none" w:sz="0" w:space="0" w:color="auto"/>
        </w:pBdr>
      </w:pPr>
      <w:r w:rsidRPr="0062582F">
        <w:br w:type="column"/>
        <w:t>An entity may have transferred financial assets in such a way that part or all of the financial assets do not qualify for derecognition. The entity shall disclose for each class of transferred financial assets that are not derecognised in their entirety:</w:t>
      </w:r>
    </w:p>
    <w:p w:rsidR="004843DB" w:rsidRPr="0062582F" w:rsidRDefault="004843DB" w:rsidP="004843DB">
      <w:pPr>
        <w:pStyle w:val="CommentaryTextIndent"/>
        <w:pBdr>
          <w:top w:val="none" w:sz="0" w:space="0" w:color="auto"/>
        </w:pBdr>
      </w:pPr>
      <w:r w:rsidRPr="0062582F">
        <w:t>(a)</w:t>
      </w:r>
      <w:r w:rsidRPr="0062582F">
        <w:tab/>
        <w:t>the nature of the assets;</w:t>
      </w:r>
    </w:p>
    <w:p w:rsidR="004843DB" w:rsidRPr="0062582F" w:rsidRDefault="004843DB" w:rsidP="004843DB">
      <w:pPr>
        <w:pStyle w:val="CommentaryTextIndent"/>
        <w:pBdr>
          <w:top w:val="none" w:sz="0" w:space="0" w:color="auto"/>
        </w:pBdr>
      </w:pPr>
      <w:r w:rsidRPr="0062582F">
        <w:t>(b)</w:t>
      </w:r>
      <w:r w:rsidRPr="0062582F">
        <w:tab/>
        <w:t>the nature of the risks and rewards of ownership to which the entity is exposed;</w:t>
      </w:r>
    </w:p>
    <w:p w:rsidR="004843DB" w:rsidRPr="0062582F" w:rsidRDefault="004843DB" w:rsidP="004843DB">
      <w:pPr>
        <w:pStyle w:val="CommentaryTextIndent"/>
        <w:pBdr>
          <w:top w:val="none" w:sz="0" w:space="0" w:color="auto"/>
        </w:pBdr>
      </w:pPr>
      <w:r w:rsidRPr="0062582F">
        <w:t>(c)</w:t>
      </w:r>
      <w:r w:rsidRPr="0062582F">
        <w:tab/>
        <w:t>a description of the nature of the relationship between the transferred assets and the associated liabilities, including restrictions arising from the transfer on the reporting entity</w:t>
      </w:r>
      <w:r w:rsidR="005A4BB0">
        <w:t>’</w:t>
      </w:r>
      <w:r w:rsidRPr="0062582F">
        <w:t>s use of the transferred assets;</w:t>
      </w:r>
    </w:p>
    <w:p w:rsidR="004843DB" w:rsidRPr="0062582F" w:rsidRDefault="004843DB" w:rsidP="004843DB">
      <w:pPr>
        <w:pStyle w:val="CommentaryTextIndent"/>
        <w:pBdr>
          <w:top w:val="none" w:sz="0" w:space="0" w:color="auto"/>
        </w:pBdr>
      </w:pPr>
      <w:r w:rsidRPr="0062582F">
        <w:t>(d)</w:t>
      </w:r>
      <w:r w:rsidRPr="0062582F">
        <w:tab/>
        <w:t>when the entity continues to recognise all of the asset, the carrying amounts of the asset and of the associated liability; and</w:t>
      </w:r>
    </w:p>
    <w:p w:rsidR="004843DB" w:rsidRPr="0062582F" w:rsidRDefault="004843DB" w:rsidP="004843DB">
      <w:pPr>
        <w:pStyle w:val="CommentaryTextIndent"/>
        <w:pBdr>
          <w:top w:val="none" w:sz="0" w:space="0" w:color="auto"/>
        </w:pBdr>
      </w:pPr>
      <w:r w:rsidRPr="0062582F">
        <w:t>(e)</w:t>
      </w:r>
      <w:r w:rsidRPr="0062582F">
        <w:tab/>
        <w:t>when the entity continues to recognise the asset to the extent of its continuing involvement, the total amount of the asset, the amount of the asset that the entity continues to recognise and the carrying amount of the associated liability.</w:t>
      </w:r>
    </w:p>
    <w:p w:rsidR="004843DB" w:rsidRPr="0062582F" w:rsidRDefault="004843DB" w:rsidP="004843DB">
      <w:pPr>
        <w:pStyle w:val="SmallLine"/>
      </w:pPr>
      <w:bookmarkStart w:id="506" w:name="_Toc132689509"/>
      <w:bookmarkStart w:id="507" w:name="_Toc133138192"/>
      <w:bookmarkStart w:id="508" w:name="_Toc133203912"/>
      <w:bookmarkStart w:id="509" w:name="_Toc154475764"/>
      <w:bookmarkStart w:id="510" w:name="_Toc162327218"/>
      <w:bookmarkStart w:id="511" w:name="_Toc162327939"/>
      <w:bookmarkStart w:id="512" w:name="_Toc192562754"/>
    </w:p>
    <w:p w:rsidR="004843DB" w:rsidRPr="0062582F" w:rsidRDefault="004843DB" w:rsidP="004843DB">
      <w:pPr>
        <w:pStyle w:val="NoteHeading"/>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bookmarkStart w:id="513" w:name="_Toc332019486"/>
      <w:bookmarkStart w:id="514" w:name="_Toc366843372"/>
    </w:p>
    <w:p w:rsidR="004843DB" w:rsidRPr="0062582F" w:rsidRDefault="004843DB" w:rsidP="004843DB">
      <w:pPr>
        <w:pStyle w:val="NoteHeading"/>
        <w:rPr>
          <w:sz w:val="22"/>
          <w:szCs w:val="22"/>
        </w:rPr>
      </w:pPr>
      <w:r w:rsidRPr="0062582F">
        <w:br w:type="column"/>
      </w:r>
      <w:bookmarkStart w:id="515" w:name="_Toc448157207"/>
      <w:r w:rsidRPr="0062582F">
        <w:t>Note 28.</w:t>
      </w:r>
      <w:r w:rsidRPr="0062582F">
        <w:tab/>
        <w:t>Superannuation</w:t>
      </w:r>
      <w:bookmarkEnd w:id="506"/>
      <w:bookmarkEnd w:id="507"/>
      <w:bookmarkEnd w:id="508"/>
      <w:bookmarkEnd w:id="509"/>
      <w:bookmarkEnd w:id="510"/>
      <w:bookmarkEnd w:id="511"/>
      <w:bookmarkEnd w:id="512"/>
      <w:bookmarkEnd w:id="513"/>
      <w:bookmarkEnd w:id="514"/>
      <w:bookmarkEnd w:id="515"/>
    </w:p>
    <w:p w:rsidR="004843DB" w:rsidRPr="0062582F" w:rsidRDefault="004843DB" w:rsidP="004843DB">
      <w:pPr>
        <w:sectPr w:rsidR="004843DB" w:rsidRPr="0062582F" w:rsidSect="00190A01">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FRD </w:t>
      </w:r>
      <w:r w:rsidRPr="0062582F">
        <w:t>112D</w:t>
      </w:r>
    </w:p>
    <w:p w:rsidR="004843DB" w:rsidRPr="0062582F" w:rsidRDefault="004843DB" w:rsidP="004843DB">
      <w:r w:rsidRPr="0062582F">
        <w:br w:type="column"/>
        <w:t>Employees of the Department are entitled to receive superannuation benefits and the Department contributes to both defined benefit and defined contribution plans. The defined benefit plan(s) provides benefits based on years of service and final average salary.</w:t>
      </w:r>
    </w:p>
    <w:p w:rsidR="004843DB" w:rsidRPr="0062582F" w:rsidRDefault="004843DB" w:rsidP="004843DB">
      <w:r w:rsidRPr="0062582F">
        <w:t>The Department does not recognise any defined benefit liability in respect of the plan(s) because the entity has no legal or constructive obligation to pay future benefits relating to its employees; its only obligation is to pay superannuation contributions as they fall due. The Department of Treasury and Finance discloses the State</w:t>
      </w:r>
      <w:r w:rsidR="005A4BB0">
        <w:t>’</w:t>
      </w:r>
      <w:r w:rsidRPr="0062582F">
        <w:t>s defined benefit liabilities in its disclosure for administered items.</w:t>
      </w:r>
    </w:p>
    <w:p w:rsidR="004843DB" w:rsidRPr="0062582F" w:rsidRDefault="004843DB" w:rsidP="004843DB">
      <w:r w:rsidRPr="0062582F">
        <w:t>However, superannuation contributions paid or payable for the reporting period are included as part of employee benefits in the comprehensive operating statement of the Department.</w:t>
      </w:r>
    </w:p>
    <w:p w:rsidR="004843DB" w:rsidRPr="0062582F" w:rsidRDefault="004843DB" w:rsidP="004843DB">
      <w:r w:rsidRPr="0062582F">
        <w:t>The name, details and amounts expensed in relation to the major employee superannuation funds and contributions made by the Department are as follows:</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Reference"/>
        <w:spacing w:before="360"/>
        <w:rPr>
          <w:lang w:val="en-AU"/>
        </w:rPr>
      </w:pPr>
    </w:p>
    <w:p w:rsidR="004843DB" w:rsidRPr="0062582F" w:rsidRDefault="004843DB" w:rsidP="004843DB">
      <w:pPr>
        <w:pStyle w:val="Reference"/>
        <w:spacing w:before="360"/>
        <w:rPr>
          <w:lang w:val="en-AU"/>
        </w:rPr>
      </w:pPr>
    </w:p>
    <w:p w:rsidR="004843DB" w:rsidRPr="0062582F" w:rsidRDefault="004843DB" w:rsidP="004843DB">
      <w:pPr>
        <w:pStyle w:val="Reference"/>
        <w:spacing w:before="360"/>
        <w:rPr>
          <w:lang w:val="en-AU"/>
        </w:rPr>
      </w:pPr>
    </w:p>
    <w:p w:rsidR="004843DB" w:rsidRPr="0062582F" w:rsidRDefault="004843DB" w:rsidP="004843DB">
      <w:pPr>
        <w:pStyle w:val="Reference"/>
        <w:spacing w:before="360"/>
        <w:rPr>
          <w:lang w:val="en-AU"/>
        </w:rPr>
      </w:pPr>
      <w:r w:rsidRPr="0062582F">
        <w:rPr>
          <w:lang w:val="en-AU"/>
        </w:rPr>
        <w:t>AASB 119.53</w:t>
      </w:r>
    </w:p>
    <w:p w:rsidR="004843DB" w:rsidRPr="0062582F" w:rsidRDefault="004843DB" w:rsidP="004843DB">
      <w:pPr>
        <w:pStyle w:val="million"/>
        <w:rPr>
          <w:rFonts w:ascii="Tahoma" w:hAnsi="Tahoma" w:cs="Tahoma"/>
          <w:sz w:val="20"/>
        </w:rPr>
      </w:pPr>
      <w:r w:rsidRPr="0062582F">
        <w:br w:type="column"/>
        <w:t>($ thousand)</w:t>
      </w:r>
    </w:p>
    <w:tbl>
      <w:tblPr>
        <w:tblW w:w="8123" w:type="dxa"/>
        <w:tblLayout w:type="fixed"/>
        <w:tblCellMar>
          <w:left w:w="43" w:type="dxa"/>
          <w:right w:w="43" w:type="dxa"/>
        </w:tblCellMar>
        <w:tblLook w:val="04A0" w:firstRow="1" w:lastRow="0" w:firstColumn="1" w:lastColumn="0" w:noHBand="0" w:noVBand="1"/>
      </w:tblPr>
      <w:tblGrid>
        <w:gridCol w:w="3913"/>
        <w:gridCol w:w="1052"/>
        <w:gridCol w:w="1053"/>
        <w:gridCol w:w="1052"/>
        <w:gridCol w:w="1053"/>
      </w:tblGrid>
      <w:tr w:rsidR="004843DB" w:rsidRPr="0062582F" w:rsidTr="004843DB">
        <w:trPr>
          <w:cantSplit/>
        </w:trPr>
        <w:tc>
          <w:tcPr>
            <w:tcW w:w="39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Left"/>
            </w:pPr>
            <w:r w:rsidRPr="0062582F">
              <w:br/>
              <w:t>Fund</w:t>
            </w:r>
          </w:p>
        </w:tc>
        <w:tc>
          <w:tcPr>
            <w:tcW w:w="2105"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 xml:space="preserve">Paid contribution </w:t>
            </w:r>
            <w:r w:rsidRPr="0062582F">
              <w:br/>
              <w:t>for the year</w:t>
            </w:r>
          </w:p>
        </w:tc>
        <w:tc>
          <w:tcPr>
            <w:tcW w:w="2105"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 xml:space="preserve">Contribution outstanding </w:t>
            </w:r>
            <w:r w:rsidRPr="0062582F">
              <w:br/>
              <w:t>at year end</w:t>
            </w:r>
          </w:p>
        </w:tc>
      </w:tr>
      <w:tr w:rsidR="004843DB" w:rsidRPr="0062582F" w:rsidTr="004843DB">
        <w:trPr>
          <w:cantSplit/>
        </w:trPr>
        <w:tc>
          <w:tcPr>
            <w:tcW w:w="39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 xml:space="preserve"> </w:t>
            </w:r>
          </w:p>
        </w:tc>
        <w:tc>
          <w:tcPr>
            <w:tcW w:w="1052" w:type="dxa"/>
            <w:tcBorders>
              <w:top w:val="single" w:sz="4" w:space="0" w:color="auto"/>
              <w:left w:val="nil"/>
              <w:bottom w:val="single" w:sz="4" w:space="0" w:color="auto"/>
              <w:right w:val="nil"/>
            </w:tcBorders>
            <w:shd w:val="clear" w:color="000000" w:fill="C0C0C0"/>
            <w:hideMark/>
          </w:tcPr>
          <w:p w:rsidR="004843DB" w:rsidRPr="0062582F" w:rsidRDefault="004843DB" w:rsidP="004843DB">
            <w:pPr>
              <w:pStyle w:val="Tabletextheading"/>
            </w:pPr>
            <w:r w:rsidRPr="0062582F">
              <w:t>2016</w:t>
            </w:r>
          </w:p>
        </w:tc>
        <w:tc>
          <w:tcPr>
            <w:tcW w:w="105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2015</w:t>
            </w:r>
          </w:p>
        </w:tc>
        <w:tc>
          <w:tcPr>
            <w:tcW w:w="1052" w:type="dxa"/>
            <w:tcBorders>
              <w:top w:val="single" w:sz="4" w:space="0" w:color="auto"/>
              <w:left w:val="nil"/>
              <w:bottom w:val="single" w:sz="4" w:space="0" w:color="auto"/>
              <w:right w:val="nil"/>
            </w:tcBorders>
            <w:shd w:val="clear" w:color="000000" w:fill="C0C0C0"/>
            <w:hideMark/>
          </w:tcPr>
          <w:p w:rsidR="004843DB" w:rsidRPr="0062582F" w:rsidRDefault="004843DB" w:rsidP="004843DB">
            <w:pPr>
              <w:pStyle w:val="Tabletextheading"/>
            </w:pPr>
            <w:r w:rsidRPr="0062582F">
              <w:t>2016</w:t>
            </w:r>
          </w:p>
        </w:tc>
        <w:tc>
          <w:tcPr>
            <w:tcW w:w="105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2015</w:t>
            </w:r>
          </w:p>
        </w:tc>
      </w:tr>
      <w:tr w:rsidR="004843DB" w:rsidRPr="0062582F" w:rsidTr="004843DB">
        <w:trPr>
          <w:cantSplit/>
        </w:trPr>
        <w:tc>
          <w:tcPr>
            <w:tcW w:w="39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Defined benefit plans:</w:t>
            </w:r>
            <w:r w:rsidRPr="0062582F">
              <w:rPr>
                <w:vertAlign w:val="superscript"/>
              </w:rPr>
              <w:t xml:space="preserve"> (i)</w:t>
            </w:r>
          </w:p>
        </w:tc>
        <w:tc>
          <w:tcPr>
            <w:tcW w:w="105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05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5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05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3913" w:type="dxa"/>
            <w:tcBorders>
              <w:top w:val="nil"/>
              <w:left w:val="nil"/>
              <w:bottom w:val="nil"/>
              <w:right w:val="nil"/>
            </w:tcBorders>
            <w:shd w:val="clear" w:color="auto" w:fill="auto"/>
            <w:hideMark/>
          </w:tcPr>
          <w:p w:rsidR="004843DB" w:rsidRPr="0062582F" w:rsidRDefault="004843DB" w:rsidP="004843DB">
            <w:pPr>
              <w:pStyle w:val="Tabletext"/>
            </w:pPr>
            <w:r w:rsidRPr="0062582F">
              <w:t>State Superannuation Fund</w:t>
            </w:r>
            <w:r w:rsidRPr="0062582F">
              <w:rPr>
                <w:color w:val="0000FF"/>
              </w:rPr>
              <w:t xml:space="preserve"> </w:t>
            </w:r>
            <w:r w:rsidRPr="0062582F">
              <w:t>– and new</w:t>
            </w:r>
          </w:p>
        </w:tc>
        <w:tc>
          <w:tcPr>
            <w:tcW w:w="105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271</w:t>
            </w:r>
          </w:p>
        </w:tc>
        <w:tc>
          <w:tcPr>
            <w:tcW w:w="105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195</w:t>
            </w:r>
          </w:p>
        </w:tc>
        <w:tc>
          <w:tcPr>
            <w:tcW w:w="105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45</w:t>
            </w:r>
          </w:p>
        </w:tc>
        <w:tc>
          <w:tcPr>
            <w:tcW w:w="105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33</w:t>
            </w:r>
          </w:p>
        </w:tc>
      </w:tr>
      <w:tr w:rsidR="004843DB" w:rsidRPr="0062582F" w:rsidTr="004843DB">
        <w:trPr>
          <w:cantSplit/>
        </w:trPr>
        <w:tc>
          <w:tcPr>
            <w:tcW w:w="3913" w:type="dxa"/>
            <w:tcBorders>
              <w:top w:val="nil"/>
              <w:left w:val="nil"/>
              <w:bottom w:val="nil"/>
              <w:right w:val="nil"/>
            </w:tcBorders>
            <w:shd w:val="clear" w:color="auto" w:fill="auto"/>
            <w:hideMark/>
          </w:tcPr>
          <w:p w:rsidR="004843DB" w:rsidRPr="0062582F" w:rsidRDefault="004843DB" w:rsidP="004843DB">
            <w:pPr>
              <w:pStyle w:val="Tabletext"/>
            </w:pPr>
            <w:r w:rsidRPr="0062582F">
              <w:t>Other</w:t>
            </w:r>
          </w:p>
        </w:tc>
        <w:tc>
          <w:tcPr>
            <w:tcW w:w="105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113</w:t>
            </w:r>
          </w:p>
        </w:tc>
        <w:tc>
          <w:tcPr>
            <w:tcW w:w="105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81</w:t>
            </w:r>
          </w:p>
        </w:tc>
        <w:tc>
          <w:tcPr>
            <w:tcW w:w="105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23</w:t>
            </w:r>
          </w:p>
        </w:tc>
        <w:tc>
          <w:tcPr>
            <w:tcW w:w="105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16</w:t>
            </w:r>
          </w:p>
        </w:tc>
      </w:tr>
      <w:tr w:rsidR="004843DB" w:rsidRPr="0062582F" w:rsidTr="004843DB">
        <w:trPr>
          <w:cantSplit/>
        </w:trPr>
        <w:tc>
          <w:tcPr>
            <w:tcW w:w="39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Defined contribution plans:</w:t>
            </w:r>
          </w:p>
        </w:tc>
        <w:tc>
          <w:tcPr>
            <w:tcW w:w="105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05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5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05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3913" w:type="dxa"/>
            <w:tcBorders>
              <w:top w:val="nil"/>
              <w:left w:val="nil"/>
              <w:bottom w:val="nil"/>
              <w:right w:val="nil"/>
            </w:tcBorders>
            <w:shd w:val="clear" w:color="auto" w:fill="auto"/>
            <w:hideMark/>
          </w:tcPr>
          <w:p w:rsidR="004843DB" w:rsidRPr="0062582F" w:rsidRDefault="004843DB" w:rsidP="004843DB">
            <w:pPr>
              <w:pStyle w:val="Tabletext"/>
            </w:pPr>
            <w:r w:rsidRPr="0062582F">
              <w:t>VicSuper</w:t>
            </w:r>
          </w:p>
        </w:tc>
        <w:tc>
          <w:tcPr>
            <w:tcW w:w="105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141</w:t>
            </w:r>
          </w:p>
        </w:tc>
        <w:tc>
          <w:tcPr>
            <w:tcW w:w="105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93</w:t>
            </w:r>
          </w:p>
        </w:tc>
        <w:tc>
          <w:tcPr>
            <w:tcW w:w="105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24</w:t>
            </w:r>
          </w:p>
        </w:tc>
        <w:tc>
          <w:tcPr>
            <w:tcW w:w="105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16</w:t>
            </w:r>
          </w:p>
        </w:tc>
      </w:tr>
      <w:tr w:rsidR="004843DB" w:rsidRPr="0062582F" w:rsidTr="004843DB">
        <w:trPr>
          <w:cantSplit/>
        </w:trPr>
        <w:tc>
          <w:tcPr>
            <w:tcW w:w="391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Other</w:t>
            </w:r>
          </w:p>
        </w:tc>
        <w:tc>
          <w:tcPr>
            <w:tcW w:w="1052"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59</w:t>
            </w:r>
          </w:p>
        </w:tc>
        <w:tc>
          <w:tcPr>
            <w:tcW w:w="1053"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39</w:t>
            </w:r>
          </w:p>
        </w:tc>
        <w:tc>
          <w:tcPr>
            <w:tcW w:w="1052"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12</w:t>
            </w:r>
          </w:p>
        </w:tc>
        <w:tc>
          <w:tcPr>
            <w:tcW w:w="1053"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8</w:t>
            </w:r>
          </w:p>
        </w:tc>
      </w:tr>
      <w:tr w:rsidR="004843DB" w:rsidRPr="0062582F" w:rsidTr="004843DB">
        <w:trPr>
          <w:cantSplit/>
        </w:trPr>
        <w:tc>
          <w:tcPr>
            <w:tcW w:w="391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w:t>
            </w:r>
          </w:p>
        </w:tc>
        <w:tc>
          <w:tcPr>
            <w:tcW w:w="1052"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583</w:t>
            </w:r>
          </w:p>
        </w:tc>
        <w:tc>
          <w:tcPr>
            <w:tcW w:w="1053"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408</w:t>
            </w:r>
          </w:p>
        </w:tc>
        <w:tc>
          <w:tcPr>
            <w:tcW w:w="1052"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103</w:t>
            </w:r>
          </w:p>
        </w:tc>
        <w:tc>
          <w:tcPr>
            <w:tcW w:w="1053"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72</w:t>
            </w:r>
          </w:p>
        </w:tc>
      </w:tr>
    </w:tbl>
    <w:p w:rsidR="004843DB" w:rsidRPr="0062582F" w:rsidRDefault="004843DB" w:rsidP="004843DB">
      <w:pPr>
        <w:pStyle w:val="Notes"/>
        <w:ind w:left="0" w:hanging="11"/>
      </w:pPr>
      <w:r w:rsidRPr="0062582F">
        <w:t>Note:</w:t>
      </w:r>
    </w:p>
    <w:p w:rsidR="004843DB" w:rsidRPr="0062582F" w:rsidRDefault="004843DB" w:rsidP="004843DB">
      <w:pPr>
        <w:pStyle w:val="Notes"/>
      </w:pPr>
      <w:r w:rsidRPr="0062582F">
        <w:t>(i)</w:t>
      </w:r>
      <w:r w:rsidRPr="0062582F">
        <w:tab/>
        <w:t xml:space="preserve">The bases for determining the level of contributions is determined by the various actuaries of the defined benefit superannuation plans. </w:t>
      </w:r>
    </w:p>
    <w:p w:rsidR="004843DB" w:rsidRPr="0062582F" w:rsidRDefault="004843DB" w:rsidP="004843DB">
      <w:pPr>
        <w:pStyle w:val="SmallLine"/>
      </w:pPr>
    </w:p>
    <w:p w:rsidR="004843DB" w:rsidRPr="0062582F" w:rsidRDefault="004843DB" w:rsidP="004843DB">
      <w:pPr>
        <w:pStyle w:val="CommentaryText"/>
        <w:pBdr>
          <w:top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rFonts w:ascii="Garamond" w:hAnsi="Garamond" w:cs="Times New Roman"/>
          <w:lang w:val="en-AU"/>
        </w:rPr>
      </w:pPr>
      <w:r w:rsidRPr="0062582F">
        <w:rPr>
          <w:rFonts w:ascii="Garamond" w:hAnsi="Garamond" w:cs="Times New Roman"/>
          <w:lang w:val="en-AU"/>
        </w:rPr>
        <w:br w:type="column"/>
      </w:r>
    </w:p>
    <w:p w:rsidR="004843DB" w:rsidRPr="0062582F" w:rsidRDefault="004843DB" w:rsidP="004843DB">
      <w:pPr>
        <w:pStyle w:val="CommentaryHeading"/>
      </w:pPr>
      <w:r w:rsidRPr="0062582F">
        <w:t xml:space="preserve">Commentary – Superannuation </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pPr>
      <w:r w:rsidRPr="0062582F">
        <w:t>Defined benefits plan</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rPr>
          <w:rStyle w:val="ReferenceChar"/>
        </w:rPr>
        <w:t>FRD 112D</w:t>
      </w:r>
    </w:p>
    <w:p w:rsidR="004843DB" w:rsidRPr="0062582F" w:rsidRDefault="004843DB" w:rsidP="004843DB">
      <w:pPr>
        <w:pStyle w:val="CommentaryText"/>
        <w:pBdr>
          <w:top w:val="none" w:sz="0" w:space="0" w:color="auto"/>
        </w:pBdr>
      </w:pPr>
      <w:r w:rsidRPr="0062582F">
        <w:br w:type="column"/>
        <w:t>Employee expenses include superannuation expenses which are reported differently depending upon whether employees are members of defined benefit or defined contribution plans. In relation to defined contribution (i.e. accumulation) superannuation plans, the associated expenses are simply the employer contributions that are paid or payable in respect of employees who are members of these plans during the reporting period.</w:t>
      </w:r>
    </w:p>
    <w:p w:rsidR="004843DB" w:rsidRPr="0062582F" w:rsidRDefault="004843DB" w:rsidP="004843DB">
      <w:pPr>
        <w:pStyle w:val="CommentaryText"/>
        <w:pBdr>
          <w:top w:val="none" w:sz="0" w:space="0" w:color="auto"/>
        </w:pBdr>
      </w:pPr>
      <w:r w:rsidRPr="0062582F">
        <w:t xml:space="preserve">Employer superannuation expenses in relation to employees who are members of defined benefit superannuation plans where a department </w:t>
      </w:r>
      <w:r w:rsidRPr="0062582F">
        <w:rPr>
          <w:b/>
        </w:rPr>
        <w:t>is not required</w:t>
      </w:r>
      <w:r w:rsidRPr="0062582F">
        <w:t xml:space="preserve"> to recognise defined benefit superannuation liabilities or surpluses is included in the illustration in Note 28.</w:t>
      </w:r>
    </w:p>
    <w:p w:rsidR="004843DB" w:rsidRPr="0062582F" w:rsidRDefault="004843DB" w:rsidP="004843DB">
      <w:pPr>
        <w:pStyle w:val="CommentaryText"/>
        <w:pBdr>
          <w:top w:val="none" w:sz="0" w:space="0" w:color="auto"/>
        </w:pBdr>
      </w:pPr>
      <w:r w:rsidRPr="0062582F">
        <w:t>FRD 112D requires certain entities, such as the Director of Housing and Victorian Universities, to recognise defined benefit liabilities or surpluses of defined benefit plans in accordance with the requirements of AASB 119. All other entities are exempt from the recognition of the defined benefit liability or surplus of the plans listed in Appendix A. Instead, the entities are to account for contributions to these plans as if they were defined contribution plans under AASB 119.</w:t>
      </w:r>
    </w:p>
    <w:p w:rsidR="004843DB" w:rsidRPr="0062582F" w:rsidRDefault="004843DB" w:rsidP="004843DB">
      <w:pPr>
        <w:pStyle w:val="CommentaryText"/>
        <w:pBdr>
          <w:top w:val="none" w:sz="0" w:space="0" w:color="auto"/>
        </w:pBdr>
      </w:pPr>
      <w:r w:rsidRPr="0062582F">
        <w:t>However, where an entity has employees who are members of defined benefit plans not listed in Appendix A of FRD 112D, it must recognise any associated defined benefit liability or surplus in accordance with the requirements for defined benefit plans under AASB 119.</w:t>
      </w:r>
    </w:p>
    <w:p w:rsidR="004843DB" w:rsidRPr="0062582F" w:rsidRDefault="004843DB" w:rsidP="004843DB">
      <w:pPr>
        <w:pStyle w:val="CommentaryHeading1"/>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p>
    <w:p w:rsidR="004843DB" w:rsidRPr="0062582F" w:rsidRDefault="004843DB" w:rsidP="004843DB">
      <w:pPr>
        <w:pStyle w:val="Reference"/>
      </w:pPr>
      <w:r w:rsidRPr="0062582F">
        <w:br/>
        <w:t>AASB 119.7, 31, 33</w:t>
      </w:r>
      <w:r w:rsidR="005A4BB0">
        <w:noBreakHyphen/>
      </w:r>
      <w:r w:rsidRPr="0062582F">
        <w:t>34</w:t>
      </w:r>
    </w:p>
    <w:p w:rsidR="004843DB" w:rsidRPr="0062582F" w:rsidRDefault="004843DB" w:rsidP="004843DB">
      <w:pPr>
        <w:pStyle w:val="SmallLine"/>
      </w:pPr>
      <w:r w:rsidRPr="0062582F">
        <w:br w:type="column"/>
      </w:r>
    </w:p>
    <w:p w:rsidR="004843DB" w:rsidRPr="0062582F" w:rsidRDefault="004843DB" w:rsidP="004843DB">
      <w:pPr>
        <w:pStyle w:val="SmallLineBlue"/>
      </w:pPr>
    </w:p>
    <w:p w:rsidR="004843DB" w:rsidRPr="0062582F" w:rsidRDefault="004843DB" w:rsidP="004843DB">
      <w:pPr>
        <w:pStyle w:val="CommentaryHeading"/>
      </w:pPr>
      <w:r w:rsidRPr="0062582F">
        <w:t xml:space="preserve">Commentary – Superannuation </w:t>
      </w:r>
      <w:r w:rsidRPr="0062582F">
        <w:rPr>
          <w:i/>
        </w:rPr>
        <w:t>(continued)</w:t>
      </w:r>
    </w:p>
    <w:p w:rsidR="004843DB" w:rsidRPr="0062582F" w:rsidRDefault="004843DB" w:rsidP="004843DB">
      <w:pPr>
        <w:pStyle w:val="SmallLineBlue"/>
      </w:pPr>
    </w:p>
    <w:p w:rsidR="004843DB" w:rsidRPr="0062582F" w:rsidRDefault="004843DB" w:rsidP="004843DB">
      <w:pPr>
        <w:pStyle w:val="CommentaryHeading1"/>
        <w:pBdr>
          <w:top w:val="none" w:sz="0" w:space="0" w:color="auto"/>
          <w:bottom w:val="none" w:sz="0" w:space="0" w:color="auto"/>
        </w:pBdr>
      </w:pPr>
      <w:r w:rsidRPr="0062582F">
        <w:t>Multi employer plans</w:t>
      </w:r>
    </w:p>
    <w:p w:rsidR="004843DB" w:rsidRPr="0062582F" w:rsidRDefault="004843DB" w:rsidP="004843DB">
      <w:pPr>
        <w:pStyle w:val="CommentaryText"/>
        <w:pBdr>
          <w:top w:val="none" w:sz="0" w:space="0" w:color="auto"/>
          <w:bottom w:val="none" w:sz="0" w:space="0" w:color="auto"/>
        </w:pBdr>
      </w:pPr>
      <w:r w:rsidRPr="0062582F">
        <w:t xml:space="preserve">Multi employer plans are defined contribution plans (other than state plans) or defined benefit plans (other than state plans) that: </w:t>
      </w:r>
    </w:p>
    <w:p w:rsidR="004843DB" w:rsidRPr="0062582F" w:rsidRDefault="004843DB" w:rsidP="004843DB">
      <w:pPr>
        <w:pStyle w:val="CommentaryTextIndent"/>
        <w:pBdr>
          <w:top w:val="none" w:sz="0" w:space="0" w:color="auto"/>
          <w:bottom w:val="none" w:sz="0" w:space="0" w:color="auto"/>
        </w:pBdr>
      </w:pPr>
      <w:r w:rsidRPr="0062582F">
        <w:t>(a)</w:t>
      </w:r>
      <w:r w:rsidRPr="0062582F">
        <w:tab/>
        <w:t>pool the assets contributed by various entities that are not under common control; and</w:t>
      </w:r>
    </w:p>
    <w:p w:rsidR="004843DB" w:rsidRPr="0062582F" w:rsidRDefault="004843DB" w:rsidP="004843DB">
      <w:pPr>
        <w:pStyle w:val="CommentaryTextIndent"/>
        <w:pBdr>
          <w:top w:val="none" w:sz="0" w:space="0" w:color="auto"/>
          <w:bottom w:val="none" w:sz="0" w:space="0" w:color="auto"/>
        </w:pBdr>
      </w:pPr>
      <w:r w:rsidRPr="0062582F">
        <w:t>(b)</w:t>
      </w:r>
      <w:r w:rsidRPr="0062582F">
        <w:tab/>
        <w:t>use those assets to provide benefits to employees of more than one entity, on the basis that contribution and benefit levels are determined without regard to the identity of the entity that employs the employees concerned.</w:t>
      </w:r>
    </w:p>
    <w:p w:rsidR="004843DB" w:rsidRPr="0062582F" w:rsidRDefault="004843DB" w:rsidP="004843DB">
      <w:pPr>
        <w:pStyle w:val="CommentaryText"/>
        <w:pBdr>
          <w:top w:val="none" w:sz="0" w:space="0" w:color="auto"/>
          <w:bottom w:val="none" w:sz="0" w:space="0" w:color="auto"/>
        </w:pBdr>
      </w:pPr>
      <w:r w:rsidRPr="0062582F">
        <w:t>Multi employer plans are distinct from group administration plans. Also, defined benefit plans that share risks between various entities under common control, for example, a parent and its subsidiaries, are not multi employer plans.</w:t>
      </w:r>
    </w:p>
    <w:p w:rsidR="004843DB" w:rsidRPr="0062582F" w:rsidRDefault="004843DB" w:rsidP="004843DB">
      <w:pPr>
        <w:pStyle w:val="CommentaryText"/>
        <w:pBdr>
          <w:top w:val="none" w:sz="0" w:space="0" w:color="auto"/>
          <w:bottom w:val="none" w:sz="0" w:space="0" w:color="auto"/>
        </w:pBdr>
      </w:pPr>
      <w:r w:rsidRPr="0062582F">
        <w:t>An example of a defined benefit multi employer plan is one where:</w:t>
      </w:r>
    </w:p>
    <w:p w:rsidR="004843DB" w:rsidRPr="0062582F" w:rsidRDefault="004843DB" w:rsidP="004843DB">
      <w:pPr>
        <w:pStyle w:val="CommentaryTextIndent"/>
        <w:pBdr>
          <w:top w:val="none" w:sz="0" w:space="0" w:color="auto"/>
          <w:bottom w:val="none" w:sz="0" w:space="0" w:color="auto"/>
        </w:pBdr>
      </w:pPr>
      <w:r w:rsidRPr="0062582F">
        <w:t>(a)</w:t>
      </w:r>
      <w:r w:rsidRPr="0062582F">
        <w:tab/>
        <w:t>the plan is financed on a pay</w:t>
      </w:r>
      <w:r w:rsidR="005A4BB0">
        <w:noBreakHyphen/>
      </w:r>
      <w:r w:rsidRPr="0062582F">
        <w:t>as</w:t>
      </w:r>
      <w:r w:rsidR="005A4BB0">
        <w:noBreakHyphen/>
      </w:r>
      <w:r w:rsidRPr="0062582F">
        <w:t>you</w:t>
      </w:r>
      <w:r w:rsidR="005A4BB0">
        <w:noBreakHyphen/>
      </w:r>
      <w:r w:rsidRPr="0062582F">
        <w:t>go basis such that contributions are set at a level that is expected to be sufficient to pay the benefits falling due in the same period and future benefits earned during the current period will be paid out of future contributions; and</w:t>
      </w:r>
    </w:p>
    <w:p w:rsidR="004843DB" w:rsidRPr="0062582F" w:rsidRDefault="004843DB" w:rsidP="004843DB">
      <w:pPr>
        <w:pStyle w:val="CommentaryTextIndent"/>
        <w:pBdr>
          <w:top w:val="none" w:sz="0" w:space="0" w:color="auto"/>
          <w:bottom w:val="none" w:sz="0" w:space="0" w:color="auto"/>
        </w:pBdr>
      </w:pPr>
      <w:r w:rsidRPr="0062582F">
        <w:t>(b)</w:t>
      </w:r>
      <w:r w:rsidRPr="0062582F">
        <w:tab/>
        <w:t>employees</w:t>
      </w:r>
      <w:r w:rsidR="005A4BB0">
        <w:t>’</w:t>
      </w:r>
      <w:r w:rsidRPr="0062582F">
        <w:t xml:space="preserve"> benefits are determined by the length of their service and the participating entities have no realistic means of withdrawing from the plan without paying a contribution for the benefits earned by employees up to the date of withdrawal.</w:t>
      </w:r>
    </w:p>
    <w:p w:rsidR="004843DB" w:rsidRPr="0062582F" w:rsidRDefault="004843DB" w:rsidP="004843DB">
      <w:pPr>
        <w:pStyle w:val="CommentaryText"/>
        <w:rPr>
          <w:noProof w:val="0"/>
        </w:rPr>
        <w:sectPr w:rsidR="004843DB" w:rsidRPr="0062582F" w:rsidSect="00190A01">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0"/>
        <w:rPr>
          <w:lang w:val="en-AU"/>
        </w:rPr>
      </w:pPr>
      <w:r w:rsidRPr="0062582F">
        <w:rPr>
          <w:lang w:val="en-AU"/>
        </w:rPr>
        <w:t>AASB </w:t>
      </w:r>
      <w:r w:rsidRPr="0062582F">
        <w:t>119</w:t>
      </w:r>
      <w:r w:rsidRPr="0062582F">
        <w:rPr>
          <w:lang w:val="en-AU"/>
        </w:rPr>
        <w:t>.30</w:t>
      </w:r>
    </w:p>
    <w:p w:rsidR="004843DB" w:rsidRPr="0062582F" w:rsidRDefault="004843DB" w:rsidP="004843DB">
      <w:pPr>
        <w:pStyle w:val="CommentaryHeading1"/>
        <w:pBdr>
          <w:top w:val="none" w:sz="0" w:space="0" w:color="auto"/>
          <w:bottom w:val="none" w:sz="0" w:space="0" w:color="auto"/>
        </w:pBdr>
      </w:pPr>
      <w:r w:rsidRPr="0062582F">
        <w:br w:type="column"/>
        <w:t>Insufficient information</w:t>
      </w:r>
    </w:p>
    <w:p w:rsidR="004843DB" w:rsidRPr="0062582F" w:rsidRDefault="004843DB" w:rsidP="004843DB">
      <w:pPr>
        <w:pStyle w:val="CommentaryText"/>
        <w:pBdr>
          <w:top w:val="none" w:sz="0" w:space="0" w:color="auto"/>
          <w:bottom w:val="none" w:sz="0" w:space="0" w:color="auto"/>
        </w:pBdr>
      </w:pPr>
      <w:r w:rsidRPr="0062582F">
        <w:t xml:space="preserve">When sufficient information is not available to use defined benefit accounting for a multi employer plan that is a defined benefit plan, an entity shall account for the plan as though it were a defined contribution plan, and disclose in addition to the disclosures illustrated in the </w:t>
      </w:r>
      <w:r w:rsidRPr="0062582F">
        <w:rPr>
          <w:iCs/>
        </w:rPr>
        <w:t>Model</w:t>
      </w:r>
      <w:r w:rsidR="005A4BB0">
        <w:rPr>
          <w:iCs/>
        </w:rPr>
        <w:t>’</w:t>
      </w:r>
      <w:r w:rsidRPr="0062582F">
        <w:rPr>
          <w:iCs/>
        </w:rPr>
        <w:t>s</w:t>
      </w:r>
      <w:r w:rsidRPr="0062582F">
        <w:t xml:space="preserve"> financial statements:</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the fact that the plan is a defined benefit plan; </w:t>
      </w:r>
    </w:p>
    <w:p w:rsidR="004843DB" w:rsidRPr="0062582F" w:rsidRDefault="004843DB" w:rsidP="004843DB">
      <w:pPr>
        <w:pStyle w:val="CommentaryTextIndent"/>
        <w:pBdr>
          <w:top w:val="none" w:sz="0" w:space="0" w:color="auto"/>
          <w:bottom w:val="none" w:sz="0" w:space="0" w:color="auto"/>
        </w:pBdr>
      </w:pPr>
      <w:r w:rsidRPr="0062582F">
        <w:t>(b)</w:t>
      </w:r>
      <w:r w:rsidRPr="0062582F">
        <w:tab/>
        <w:t>the reason why sufficient information is not available to enable the entity to account for the plan as a defined benefit plan; and</w:t>
      </w:r>
    </w:p>
    <w:p w:rsidR="004843DB" w:rsidRPr="0062582F" w:rsidRDefault="004843DB" w:rsidP="004843DB">
      <w:pPr>
        <w:pStyle w:val="CommentaryTextIndent"/>
        <w:pBdr>
          <w:top w:val="none" w:sz="0" w:space="0" w:color="auto"/>
          <w:bottom w:val="none" w:sz="0" w:space="0" w:color="auto"/>
        </w:pBdr>
      </w:pPr>
      <w:bookmarkStart w:id="516" w:name="_Toc132689511"/>
      <w:bookmarkStart w:id="517" w:name="_Toc133138194"/>
      <w:bookmarkStart w:id="518" w:name="_Toc133203913"/>
      <w:bookmarkStart w:id="519" w:name="_Toc154475767"/>
      <w:bookmarkStart w:id="520" w:name="_Toc162327221"/>
      <w:bookmarkStart w:id="521" w:name="_Toc162327940"/>
      <w:bookmarkStart w:id="522" w:name="_Toc192562755"/>
      <w:r w:rsidRPr="0062582F">
        <w:t>(c)</w:t>
      </w:r>
      <w:r w:rsidRPr="0062582F">
        <w:tab/>
        <w:t>to the extent that a surplus or deficit in the plan may affect the amount of future contributions:</w:t>
      </w:r>
    </w:p>
    <w:p w:rsidR="004843DB" w:rsidRPr="0062582F" w:rsidRDefault="004843DB" w:rsidP="004843DB">
      <w:pPr>
        <w:pStyle w:val="CommentaryTextIndent2"/>
        <w:pBdr>
          <w:top w:val="none" w:sz="0" w:space="0" w:color="auto"/>
          <w:bottom w:val="none" w:sz="0" w:space="0" w:color="auto"/>
        </w:pBdr>
      </w:pPr>
      <w:r w:rsidRPr="0062582F">
        <w:tab/>
        <w:t>(i)</w:t>
      </w:r>
      <w:r w:rsidRPr="0062582F">
        <w:tab/>
        <w:t>any available information about that surplus or deficit;</w:t>
      </w:r>
    </w:p>
    <w:p w:rsidR="004843DB" w:rsidRPr="0062582F" w:rsidRDefault="004843DB" w:rsidP="004843DB">
      <w:pPr>
        <w:pStyle w:val="CommentaryTextIndent2"/>
        <w:pBdr>
          <w:top w:val="none" w:sz="0" w:space="0" w:color="auto"/>
        </w:pBdr>
      </w:pPr>
      <w:r w:rsidRPr="0062582F">
        <w:tab/>
        <w:t>(ii)</w:t>
      </w:r>
      <w:r w:rsidRPr="0062582F">
        <w:tab/>
        <w:t>the basis used to determine that surplus or deficit; and</w:t>
      </w:r>
    </w:p>
    <w:p w:rsidR="004843DB" w:rsidRPr="0062582F" w:rsidRDefault="004843DB" w:rsidP="004843DB">
      <w:pPr>
        <w:pStyle w:val="CommentaryTextIndent2"/>
        <w:pBdr>
          <w:top w:val="none" w:sz="0" w:space="0" w:color="auto"/>
        </w:pBdr>
      </w:pPr>
      <w:r w:rsidRPr="0062582F">
        <w:tab/>
        <w:t>(iii)</w:t>
      </w:r>
      <w:r w:rsidRPr="0062582F">
        <w:tab/>
        <w:t>the implications, if any, for the entity.</w:t>
      </w:r>
    </w:p>
    <w:bookmarkEnd w:id="516"/>
    <w:bookmarkEnd w:id="517"/>
    <w:bookmarkEnd w:id="518"/>
    <w:bookmarkEnd w:id="519"/>
    <w:bookmarkEnd w:id="520"/>
    <w:bookmarkEnd w:id="521"/>
    <w:bookmarkEnd w:id="522"/>
    <w:p w:rsidR="004843DB" w:rsidRPr="0062582F" w:rsidRDefault="004843DB" w:rsidP="004843DB"/>
    <w:p w:rsidR="004843DB" w:rsidRPr="0062582F" w:rsidRDefault="004843DB" w:rsidP="004843DB">
      <w:pPr>
        <w:spacing w:before="0" w:line="240" w:lineRule="atLeast"/>
        <w:rPr>
          <w:rFonts w:ascii="Calibri" w:hAnsi="Calibri" w:cs="Arial"/>
          <w:b/>
          <w:bCs/>
          <w:sz w:val="26"/>
          <w:szCs w:val="28"/>
          <w:lang w:val="en-GB"/>
        </w:rPr>
      </w:pPr>
      <w:bookmarkStart w:id="523" w:name="_Toc332019487"/>
      <w:bookmarkStart w:id="524" w:name="_Toc366843373"/>
      <w:r w:rsidRPr="0062582F">
        <w:br w:type="page"/>
      </w:r>
    </w:p>
    <w:p w:rsidR="004843DB" w:rsidRPr="0062582F" w:rsidRDefault="004843DB" w:rsidP="004843DB">
      <w:pPr>
        <w:pStyle w:val="NoteHeading"/>
      </w:pPr>
      <w:r w:rsidRPr="0062582F">
        <w:br w:type="column"/>
      </w:r>
      <w:bookmarkStart w:id="525" w:name="_Toc448157208"/>
      <w:r w:rsidRPr="0062582F">
        <w:t>Note 29.</w:t>
      </w:r>
      <w:r w:rsidRPr="0062582F">
        <w:tab/>
        <w:t>Other asset and liability disclosures</w:t>
      </w:r>
      <w:bookmarkEnd w:id="523"/>
      <w:bookmarkEnd w:id="524"/>
      <w:bookmarkEnd w:id="525"/>
    </w:p>
    <w:p w:rsidR="004843DB" w:rsidRPr="0062582F" w:rsidRDefault="004843DB" w:rsidP="004843DB">
      <w:pPr>
        <w:pStyle w:val="SmallLine"/>
      </w:pPr>
    </w:p>
    <w:p w:rsidR="004843DB" w:rsidRPr="0062582F" w:rsidRDefault="004843DB" w:rsidP="004843DB">
      <w:pPr>
        <w:pStyle w:val="CommentaryHeading"/>
      </w:pPr>
      <w:bookmarkStart w:id="526" w:name="_Toc163448872"/>
      <w:r w:rsidRPr="0062582F">
        <w:t xml:space="preserve">Commentary – </w:t>
      </w:r>
      <w:bookmarkEnd w:id="526"/>
      <w:r w:rsidRPr="0062582F">
        <w:t>Other asset and liability disclosures</w:t>
      </w:r>
    </w:p>
    <w:p w:rsidR="004843DB" w:rsidRPr="0062582F" w:rsidRDefault="004843DB" w:rsidP="004843DB">
      <w:pPr>
        <w:pStyle w:val="SmallLineBlue"/>
      </w:pP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101.61</w:t>
      </w:r>
    </w:p>
    <w:p w:rsidR="004843DB" w:rsidRPr="0062582F" w:rsidRDefault="004843DB" w:rsidP="004843DB">
      <w:pPr>
        <w:pStyle w:val="CommentaryText"/>
        <w:pBdr>
          <w:top w:val="none" w:sz="0" w:space="0" w:color="auto"/>
        </w:pBdr>
      </w:pPr>
      <w:r w:rsidRPr="0062582F">
        <w:br w:type="column"/>
        <w:t>For each asset and liability line item that combines amounts expected to be recovered or settled (a) no more than 12 months after the reporting period, and (b) more than 12 months after the reporting period, an entity shall disclose the amount expected to be recovered or settled after more than 12 months.</w:t>
      </w:r>
    </w:p>
    <w:p w:rsidR="004843DB" w:rsidRPr="0062582F" w:rsidRDefault="004843DB" w:rsidP="004843DB">
      <w:pPr>
        <w:pStyle w:val="CommentaryText"/>
        <w:pBdr>
          <w:top w:val="none" w:sz="0" w:space="0" w:color="auto"/>
        </w:pBdr>
      </w:pPr>
      <w:r w:rsidRPr="0062582F">
        <w:t xml:space="preserve">Instead of disclosing this information in a separate note it may be more appropriate to include such disclosures in the relevant asset and liability notes. An illustrative example of these disclosure items has not been given in the </w:t>
      </w:r>
      <w:r w:rsidRPr="0062582F">
        <w:rPr>
          <w:iCs/>
        </w:rPr>
        <w:t>Model</w:t>
      </w:r>
      <w:r w:rsidRPr="0062582F">
        <w:t xml:space="preserve"> on the basis that the balance sheet and other notes make the required disclosures. If not used, departments should omit this Note and renumber succeeding notes.</w:t>
      </w:r>
    </w:p>
    <w:p w:rsidR="004843DB" w:rsidRPr="0062582F" w:rsidRDefault="004843DB" w:rsidP="004843DB">
      <w:bookmarkStart w:id="527" w:name="_Toc132689516"/>
      <w:bookmarkStart w:id="528" w:name="_Toc133138199"/>
      <w:bookmarkStart w:id="529" w:name="_Toc133203918"/>
      <w:bookmarkStart w:id="530" w:name="_Toc154475773"/>
      <w:bookmarkStart w:id="531" w:name="_Toc162327223"/>
      <w:bookmarkStart w:id="532" w:name="_Toc162327942"/>
      <w:bookmarkStart w:id="533" w:name="_Toc192562756"/>
    </w:p>
    <w:p w:rsidR="004843DB" w:rsidRPr="0062582F" w:rsidRDefault="004843DB" w:rsidP="004843DB"/>
    <w:p w:rsidR="004843DB" w:rsidRPr="0062582F" w:rsidRDefault="004843DB" w:rsidP="004843DB">
      <w:pPr>
        <w:pStyle w:val="NoteHeading"/>
      </w:pPr>
      <w:bookmarkStart w:id="534" w:name="_Toc332019488"/>
      <w:bookmarkStart w:id="535" w:name="_Toc366843374"/>
      <w:bookmarkStart w:id="536" w:name="_Toc448157209"/>
      <w:r w:rsidRPr="0062582F">
        <w:t>Note 30.</w:t>
      </w:r>
      <w:r w:rsidRPr="0062582F">
        <w:tab/>
        <w:t>Leases</w:t>
      </w:r>
      <w:bookmarkEnd w:id="527"/>
      <w:bookmarkEnd w:id="528"/>
      <w:bookmarkEnd w:id="529"/>
      <w:bookmarkEnd w:id="530"/>
      <w:bookmarkEnd w:id="531"/>
      <w:bookmarkEnd w:id="532"/>
      <w:bookmarkEnd w:id="533"/>
      <w:bookmarkEnd w:id="534"/>
      <w:bookmarkEnd w:id="535"/>
      <w:bookmarkEnd w:id="536"/>
    </w:p>
    <w:p w:rsidR="004843DB" w:rsidRPr="0062582F" w:rsidRDefault="004843DB" w:rsidP="004843DB">
      <w:pPr>
        <w:pStyle w:val="NormalBlue"/>
        <w:rPr>
          <w:i/>
        </w:rPr>
      </w:pPr>
      <w:r w:rsidRPr="0062582F">
        <w:rPr>
          <w:i/>
        </w:rPr>
        <w:t>[Please note the narrative illustrations of Note 30(a)–</w:t>
      </w:r>
      <w:r w:rsidRPr="0062582F">
        <w:rPr>
          <w:bCs/>
          <w:i/>
        </w:rPr>
        <w:t>(d) below are based on a fictitious department. Therefore entities should exercise judgement in determining their own disclosure on leases.]</w:t>
      </w:r>
      <w:r w:rsidRPr="0062582F">
        <w:rPr>
          <w:i/>
        </w:rPr>
        <w:t xml:space="preserve"> </w:t>
      </w:r>
    </w:p>
    <w:p w:rsidR="004843DB" w:rsidRPr="0062582F" w:rsidRDefault="004843DB" w:rsidP="004843DB">
      <w:pPr>
        <w:pStyle w:val="Heading4"/>
      </w:pPr>
      <w:bookmarkStart w:id="537" w:name="_Toc163448875"/>
      <w:r w:rsidRPr="0062582F">
        <w:t>(a)</w:t>
      </w:r>
      <w:r w:rsidRPr="0062582F">
        <w:tab/>
        <w:t xml:space="preserve">[Disclosures for lessees – finance leases liabilities] </w:t>
      </w:r>
      <w:bookmarkEnd w:id="537"/>
    </w:p>
    <w:p w:rsidR="004843DB" w:rsidRPr="0062582F" w:rsidRDefault="004843DB" w:rsidP="004843DB">
      <w:pPr>
        <w:pStyle w:val="Heading5"/>
      </w:pPr>
      <w:bookmarkStart w:id="538" w:name="_Toc163448876"/>
      <w:r w:rsidRPr="0062582F">
        <w:t>Leasing arrangements –</w:t>
      </w:r>
      <w:bookmarkEnd w:id="538"/>
      <w:r w:rsidRPr="0062582F">
        <w:t xml:space="preserve"> commissioned public private partnerships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Interpretation 129.6 and 129.7</w:t>
      </w:r>
    </w:p>
    <w:p w:rsidR="004843DB" w:rsidRPr="0062582F" w:rsidRDefault="004843DB" w:rsidP="004843DB">
      <w:r w:rsidRPr="0062582F">
        <w:br w:type="column"/>
        <w:t>The Department entered into a 20 year public private partnership (PPP) arrangement with Project Co Pty Ltd on 21 December 2006. The project was initiated to develop a new Information Technology and Telecommunication (IT&amp;T) system that increases the speed of internet connections in the State of Victoria. Upon completion of the construction, the system commenced operation on 1 July 2010. Under the arrangement, the portion of the total payments to Project Co Pty Ltd that relates to Department</w:t>
      </w:r>
      <w:r w:rsidR="005A4BB0">
        <w:t>’</w:t>
      </w:r>
      <w:r w:rsidRPr="0062582F">
        <w:t xml:space="preserve">s right to use the assets are accounted for as finance leases liabilities, which are disclosed in the table on the next page. In addition, until the end of this PPP arrangement, the Department pays Project Co Pty Ltd for the ongoing operation and maintenance of the system (refer to </w:t>
      </w:r>
      <w:r w:rsidR="005A4BB0">
        <w:t>‘</w:t>
      </w:r>
      <w:r w:rsidRPr="0062582F">
        <w:t>public private partnerships</w:t>
      </w:r>
      <w:r w:rsidR="005A4BB0">
        <w:t>’</w:t>
      </w:r>
      <w:r w:rsidRPr="0062582F">
        <w:t xml:space="preserve"> of Note 31</w:t>
      </w:r>
      <w:r w:rsidRPr="0062582F">
        <w:rPr>
          <w:i/>
        </w:rPr>
        <w:t xml:space="preserve"> Commitments for expenditure</w:t>
      </w:r>
      <w:r w:rsidRPr="0062582F">
        <w:t>).</w:t>
      </w:r>
    </w:p>
    <w:p w:rsidR="004843DB" w:rsidRPr="0062582F" w:rsidDel="008B130B" w:rsidRDefault="004843DB" w:rsidP="004843DB">
      <w:r w:rsidRPr="0062582F">
        <w:t>The business unit of the Department, Gene Sciences Victoria also entered into a 30 year PPP with Rapid Processing Ltd on 15 May 2007 to develop a Biotech Research Centre. Upon completion of the construction, the research centre commenced operation on 15 July 2011. Under the arrangement, the portion of the payments to Rapid Processing Ltd that relates to Department</w:t>
      </w:r>
      <w:r w:rsidR="005A4BB0">
        <w:t>’</w:t>
      </w:r>
      <w:r w:rsidRPr="0062582F">
        <w:t xml:space="preserve">s right to use the assets are accounted for as finance leases liabilities, which are disclosed in the following table. In addition, until the end of this PPP arrangement, the Department pays Rapid Processing Ltd for a standard level of service as part of the ongoing operation and maintenance of the centre (refer to </w:t>
      </w:r>
      <w:r w:rsidR="005A4BB0">
        <w:t>‘</w:t>
      </w:r>
      <w:r w:rsidRPr="0062582F">
        <w:t>public private partnerships</w:t>
      </w:r>
      <w:r w:rsidR="005A4BB0">
        <w:t>’</w:t>
      </w:r>
      <w:r w:rsidRPr="0062582F">
        <w:t xml:space="preserve"> of Note 31).</w:t>
      </w:r>
    </w:p>
    <w:p w:rsidR="004843DB" w:rsidRPr="0062582F" w:rsidDel="008B130B" w:rsidRDefault="004843DB" w:rsidP="004843DB">
      <w:pPr>
        <w:spacing w:after="120"/>
      </w:pPr>
    </w:p>
    <w:p w:rsidR="004843DB" w:rsidRPr="0062582F" w:rsidRDefault="004843DB" w:rsidP="004843DB">
      <w:pPr>
        <w:pStyle w:val="Reference"/>
      </w:pPr>
      <w:r w:rsidRPr="0062582F">
        <w:br w:type="column"/>
      </w:r>
    </w:p>
    <w:p w:rsidR="004843DB" w:rsidRPr="0062582F" w:rsidRDefault="004843DB" w:rsidP="004843DB">
      <w:pPr>
        <w:pStyle w:val="NoteHeadingcontinued"/>
      </w:pPr>
      <w:r w:rsidRPr="0062582F">
        <w:br w:type="column"/>
        <w:t>Note 30.</w:t>
      </w:r>
      <w:r w:rsidRPr="0062582F">
        <w:tab/>
        <w:t xml:space="preserve">Leases </w:t>
      </w:r>
      <w:r w:rsidRPr="0062582F">
        <w:rPr>
          <w:i/>
        </w:rPr>
        <w:t>(continued)</w:t>
      </w:r>
    </w:p>
    <w:p w:rsidR="004843DB" w:rsidRPr="0062582F" w:rsidRDefault="004843DB" w:rsidP="004843DB">
      <w:pPr>
        <w:pStyle w:val="NoteHeadingcontinued"/>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CE56DD" w:rsidRDefault="004843DB" w:rsidP="004843DB">
      <w:pPr>
        <w:pStyle w:val="Reference"/>
        <w:spacing w:before="240"/>
      </w:pPr>
      <w:r w:rsidRPr="00CE56DD">
        <w:t>AASB 117.31(e)(i)</w:t>
      </w:r>
      <w:r w:rsidR="005A4BB0">
        <w:noBreakHyphen/>
      </w:r>
      <w:r w:rsidRPr="00CE56DD">
        <w:t>(iii)</w:t>
      </w:r>
      <w:r w:rsidRPr="00CE56DD">
        <w:br/>
        <w:t>AASB Interpretation 4.6</w:t>
      </w:r>
    </w:p>
    <w:p w:rsidR="004843DB" w:rsidRPr="0062582F" w:rsidRDefault="004843DB" w:rsidP="004843DB">
      <w:r w:rsidRPr="0062582F">
        <w:br w:type="column"/>
        <w:t>The other finance leases entered into by the Department relate to equipment with lease terms of six years. The Department has options to purchase the equipment at the conclusion of the lease agreements. Some leases provide for additional rent payments that are based on changes in a local price index.</w:t>
      </w:r>
    </w:p>
    <w:p w:rsidR="004843DB" w:rsidRPr="0062582F" w:rsidRDefault="004843DB" w:rsidP="004843DB">
      <w:pPr>
        <w:pStyle w:val="NormalBlue"/>
        <w:rPr>
          <w:i/>
        </w:rPr>
      </w:pPr>
      <w:r w:rsidRPr="0062582F">
        <w:rPr>
          <w:i/>
        </w:rPr>
        <w:t>[Insert further details on the leased assets to increase transparency where appropriate.]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million"/>
      </w:pPr>
      <w:r w:rsidRPr="0062582F">
        <w:br w:type="column"/>
        <w:t>($ thousand)</w:t>
      </w:r>
    </w:p>
    <w:tbl>
      <w:tblPr>
        <w:tblW w:w="8170" w:type="dxa"/>
        <w:tblLayout w:type="fixed"/>
        <w:tblCellMar>
          <w:left w:w="43" w:type="dxa"/>
          <w:right w:w="43" w:type="dxa"/>
        </w:tblCellMar>
        <w:tblLook w:val="04A0" w:firstRow="1" w:lastRow="0" w:firstColumn="1" w:lastColumn="0" w:noHBand="0" w:noVBand="1"/>
      </w:tblPr>
      <w:tblGrid>
        <w:gridCol w:w="4093"/>
        <w:gridCol w:w="1019"/>
        <w:gridCol w:w="1019"/>
        <w:gridCol w:w="1019"/>
        <w:gridCol w:w="1020"/>
      </w:tblGrid>
      <w:tr w:rsidR="004843DB" w:rsidRPr="0062582F" w:rsidTr="004843DB">
        <w:trPr>
          <w:cantSplit/>
        </w:trPr>
        <w:tc>
          <w:tcPr>
            <w:tcW w:w="409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pPr>
          </w:p>
        </w:tc>
        <w:tc>
          <w:tcPr>
            <w:tcW w:w="2038"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rPr>
                <w:rFonts w:ascii="Arial" w:hAnsi="Arial"/>
                <w:sz w:val="20"/>
              </w:rPr>
            </w:pPr>
            <w:r w:rsidRPr="0062582F">
              <w:t xml:space="preserve">Minimum future lease payments </w:t>
            </w:r>
            <w:r w:rsidRPr="0062582F">
              <w:rPr>
                <w:vertAlign w:val="superscript"/>
              </w:rPr>
              <w:t>(i)</w:t>
            </w:r>
          </w:p>
        </w:tc>
        <w:tc>
          <w:tcPr>
            <w:tcW w:w="2039"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rPr>
                <w:sz w:val="20"/>
              </w:rPr>
            </w:pPr>
            <w:r w:rsidRPr="0062582F">
              <w:t>Present value of minimum future lease payments</w:t>
            </w:r>
          </w:p>
        </w:tc>
      </w:tr>
      <w:tr w:rsidR="004843DB" w:rsidRPr="0062582F" w:rsidTr="004843DB">
        <w:trPr>
          <w:cantSplit/>
        </w:trPr>
        <w:tc>
          <w:tcPr>
            <w:tcW w:w="409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 xml:space="preserve"> </w:t>
            </w:r>
          </w:p>
        </w:tc>
        <w:tc>
          <w:tcPr>
            <w:tcW w:w="1019"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019"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1019"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02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409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Commissioned PPP related finance lease liabilities payable</w:t>
            </w:r>
          </w:p>
        </w:tc>
        <w:tc>
          <w:tcPr>
            <w:tcW w:w="1019"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019"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c>
          <w:tcPr>
            <w:tcW w:w="1019"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4093" w:type="dxa"/>
            <w:tcBorders>
              <w:top w:val="nil"/>
              <w:left w:val="nil"/>
              <w:bottom w:val="nil"/>
              <w:right w:val="nil"/>
            </w:tcBorders>
            <w:shd w:val="clear" w:color="auto" w:fill="auto"/>
            <w:hideMark/>
          </w:tcPr>
          <w:p w:rsidR="004843DB" w:rsidRPr="0062582F" w:rsidRDefault="004843DB" w:rsidP="004843DB">
            <w:pPr>
              <w:pStyle w:val="Tabletext"/>
            </w:pPr>
            <w:r w:rsidRPr="0062582F">
              <w:t>Not longer than one year</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3 415</w:t>
            </w:r>
          </w:p>
        </w:tc>
        <w:tc>
          <w:tcPr>
            <w:tcW w:w="101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8 606</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2 845</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7 172</w:t>
            </w:r>
          </w:p>
        </w:tc>
      </w:tr>
      <w:tr w:rsidR="004843DB" w:rsidRPr="0062582F" w:rsidTr="004843DB">
        <w:trPr>
          <w:cantSplit/>
        </w:trPr>
        <w:tc>
          <w:tcPr>
            <w:tcW w:w="4093" w:type="dxa"/>
            <w:tcBorders>
              <w:top w:val="nil"/>
              <w:left w:val="nil"/>
              <w:bottom w:val="nil"/>
              <w:right w:val="nil"/>
            </w:tcBorders>
            <w:shd w:val="clear" w:color="auto" w:fill="auto"/>
            <w:hideMark/>
          </w:tcPr>
          <w:p w:rsidR="004843DB" w:rsidRPr="0062582F" w:rsidRDefault="004843DB" w:rsidP="004843DB">
            <w:pPr>
              <w:pStyle w:val="Tabletext"/>
            </w:pPr>
            <w:r w:rsidRPr="0062582F">
              <w:t>Longer than one year but not longer than five years</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960</w:t>
            </w:r>
          </w:p>
        </w:tc>
        <w:tc>
          <w:tcPr>
            <w:tcW w:w="101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2 356</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800</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1 963</w:t>
            </w:r>
          </w:p>
        </w:tc>
      </w:tr>
      <w:tr w:rsidR="004843DB" w:rsidRPr="0062582F" w:rsidTr="004843DB">
        <w:trPr>
          <w:cantSplit/>
        </w:trPr>
        <w:tc>
          <w:tcPr>
            <w:tcW w:w="4093" w:type="dxa"/>
            <w:tcBorders>
              <w:top w:val="nil"/>
              <w:left w:val="nil"/>
              <w:bottom w:val="nil"/>
              <w:right w:val="nil"/>
            </w:tcBorders>
            <w:shd w:val="clear" w:color="auto" w:fill="auto"/>
            <w:hideMark/>
          </w:tcPr>
          <w:p w:rsidR="004843DB" w:rsidRPr="0062582F" w:rsidRDefault="004843DB" w:rsidP="004843DB">
            <w:pPr>
              <w:pStyle w:val="Tabletext"/>
            </w:pPr>
            <w:r w:rsidRPr="0062582F">
              <w:t>Longer than five years</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1 919</w:t>
            </w:r>
          </w:p>
        </w:tc>
        <w:tc>
          <w:tcPr>
            <w:tcW w:w="101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4 712</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1 599</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3 926</w:t>
            </w:r>
          </w:p>
        </w:tc>
      </w:tr>
      <w:tr w:rsidR="004843DB" w:rsidRPr="0062582F" w:rsidTr="004843DB">
        <w:trPr>
          <w:cantSplit/>
        </w:trPr>
        <w:tc>
          <w:tcPr>
            <w:tcW w:w="409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 xml:space="preserve">Other finance lease liabilities payable </w:t>
            </w:r>
            <w:r w:rsidRPr="0062582F">
              <w:rPr>
                <w:rFonts w:cs="Calibri"/>
                <w:b/>
                <w:iCs/>
                <w:vertAlign w:val="superscript"/>
              </w:rPr>
              <w:t>(ii)</w:t>
            </w:r>
          </w:p>
        </w:tc>
        <w:tc>
          <w:tcPr>
            <w:tcW w:w="1019" w:type="dxa"/>
            <w:tcBorders>
              <w:top w:val="nil"/>
              <w:left w:val="nil"/>
              <w:bottom w:val="nil"/>
              <w:right w:val="nil"/>
            </w:tcBorders>
            <w:shd w:val="clear" w:color="000000" w:fill="CCCCCC"/>
            <w:noWrap/>
          </w:tcPr>
          <w:p w:rsidR="004843DB" w:rsidRPr="0062582F" w:rsidRDefault="004843DB" w:rsidP="004843DB">
            <w:pPr>
              <w:pStyle w:val="TableofFigures"/>
              <w:rPr>
                <w:b/>
              </w:rPr>
            </w:pPr>
          </w:p>
        </w:tc>
        <w:tc>
          <w:tcPr>
            <w:tcW w:w="1019" w:type="dxa"/>
            <w:tcBorders>
              <w:top w:val="nil"/>
              <w:left w:val="nil"/>
              <w:bottom w:val="nil"/>
              <w:right w:val="nil"/>
            </w:tcBorders>
            <w:shd w:val="clear" w:color="auto" w:fill="auto"/>
            <w:noWrap/>
          </w:tcPr>
          <w:p w:rsidR="004843DB" w:rsidRPr="0062582F" w:rsidRDefault="004843DB" w:rsidP="004843DB">
            <w:pPr>
              <w:pStyle w:val="TableofFigures"/>
              <w:rPr>
                <w:b/>
              </w:rPr>
            </w:pPr>
          </w:p>
        </w:tc>
        <w:tc>
          <w:tcPr>
            <w:tcW w:w="1019" w:type="dxa"/>
            <w:tcBorders>
              <w:top w:val="nil"/>
              <w:left w:val="nil"/>
              <w:bottom w:val="nil"/>
              <w:right w:val="nil"/>
            </w:tcBorders>
            <w:shd w:val="clear" w:color="000000" w:fill="CCCCCC"/>
            <w:noWrap/>
          </w:tcPr>
          <w:p w:rsidR="004843DB" w:rsidRPr="0062582F" w:rsidRDefault="004843DB" w:rsidP="004843DB">
            <w:pPr>
              <w:pStyle w:val="TableofFigures"/>
              <w:rPr>
                <w:b/>
              </w:rPr>
            </w:pPr>
          </w:p>
        </w:tc>
        <w:tc>
          <w:tcPr>
            <w:tcW w:w="1020" w:type="dxa"/>
            <w:tcBorders>
              <w:top w:val="nil"/>
              <w:left w:val="nil"/>
              <w:bottom w:val="nil"/>
              <w:right w:val="nil"/>
            </w:tcBorders>
            <w:shd w:val="clear" w:color="auto" w:fill="auto"/>
            <w:noWrap/>
          </w:tcPr>
          <w:p w:rsidR="004843DB" w:rsidRPr="0062582F" w:rsidRDefault="004843DB" w:rsidP="004843DB">
            <w:pPr>
              <w:pStyle w:val="TableofFigures"/>
              <w:rPr>
                <w:b/>
              </w:rPr>
            </w:pPr>
          </w:p>
        </w:tc>
      </w:tr>
      <w:tr w:rsidR="004843DB" w:rsidRPr="0062582F" w:rsidTr="004843DB">
        <w:trPr>
          <w:cantSplit/>
        </w:trPr>
        <w:tc>
          <w:tcPr>
            <w:tcW w:w="4093" w:type="dxa"/>
            <w:tcBorders>
              <w:top w:val="nil"/>
              <w:left w:val="nil"/>
              <w:bottom w:val="nil"/>
              <w:right w:val="nil"/>
            </w:tcBorders>
            <w:shd w:val="clear" w:color="auto" w:fill="auto"/>
            <w:hideMark/>
          </w:tcPr>
          <w:p w:rsidR="004843DB" w:rsidRPr="0062582F" w:rsidRDefault="004843DB" w:rsidP="004843DB">
            <w:pPr>
              <w:pStyle w:val="Tabletext"/>
            </w:pPr>
            <w:r w:rsidRPr="0062582F">
              <w:t>Not longer than one year</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1 463</w:t>
            </w:r>
          </w:p>
        </w:tc>
        <w:tc>
          <w:tcPr>
            <w:tcW w:w="101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3 688</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1 220</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3 074</w:t>
            </w:r>
          </w:p>
        </w:tc>
      </w:tr>
      <w:tr w:rsidR="004843DB" w:rsidRPr="0062582F" w:rsidTr="004843DB">
        <w:trPr>
          <w:cantSplit/>
        </w:trPr>
        <w:tc>
          <w:tcPr>
            <w:tcW w:w="4093" w:type="dxa"/>
            <w:tcBorders>
              <w:top w:val="nil"/>
              <w:left w:val="nil"/>
              <w:bottom w:val="nil"/>
              <w:right w:val="nil"/>
            </w:tcBorders>
            <w:shd w:val="clear" w:color="auto" w:fill="auto"/>
            <w:hideMark/>
          </w:tcPr>
          <w:p w:rsidR="004843DB" w:rsidRPr="0062582F" w:rsidRDefault="004843DB" w:rsidP="004843DB">
            <w:pPr>
              <w:pStyle w:val="Tabletext"/>
            </w:pPr>
            <w:r w:rsidRPr="0062582F">
              <w:t>Longer than one year but not longer than five years</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1 440</w:t>
            </w:r>
          </w:p>
        </w:tc>
        <w:tc>
          <w:tcPr>
            <w:tcW w:w="101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3 534</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1 200</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2 945</w:t>
            </w:r>
          </w:p>
        </w:tc>
      </w:tr>
      <w:tr w:rsidR="004843DB" w:rsidRPr="0062582F" w:rsidTr="004843DB">
        <w:trPr>
          <w:cantSplit/>
        </w:trPr>
        <w:tc>
          <w:tcPr>
            <w:tcW w:w="4093" w:type="dxa"/>
            <w:tcBorders>
              <w:top w:val="nil"/>
              <w:left w:val="nil"/>
              <w:bottom w:val="nil"/>
              <w:right w:val="nil"/>
            </w:tcBorders>
            <w:shd w:val="clear" w:color="auto" w:fill="auto"/>
            <w:hideMark/>
          </w:tcPr>
          <w:p w:rsidR="004843DB" w:rsidRPr="0062582F" w:rsidRDefault="004843DB" w:rsidP="004843DB">
            <w:pPr>
              <w:pStyle w:val="Tabletext"/>
            </w:pPr>
            <w:r w:rsidRPr="0062582F">
              <w:t>Longer than five years</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480</w:t>
            </w:r>
          </w:p>
        </w:tc>
        <w:tc>
          <w:tcPr>
            <w:tcW w:w="101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1 178</w:t>
            </w:r>
          </w:p>
        </w:tc>
        <w:tc>
          <w:tcPr>
            <w:tcW w:w="1019"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400</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982</w:t>
            </w:r>
          </w:p>
        </w:tc>
      </w:tr>
      <w:tr w:rsidR="004843DB" w:rsidRPr="0062582F" w:rsidTr="004843DB">
        <w:trPr>
          <w:cantSplit/>
        </w:trPr>
        <w:tc>
          <w:tcPr>
            <w:tcW w:w="4093" w:type="dxa"/>
            <w:tcBorders>
              <w:top w:val="single" w:sz="4"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Minimum future lease payments</w:t>
            </w:r>
          </w:p>
        </w:tc>
        <w:tc>
          <w:tcPr>
            <w:tcW w:w="1019"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9 677</w:t>
            </w:r>
          </w:p>
        </w:tc>
        <w:tc>
          <w:tcPr>
            <w:tcW w:w="1019"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24 074</w:t>
            </w:r>
          </w:p>
        </w:tc>
        <w:tc>
          <w:tcPr>
            <w:tcW w:w="1019"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8 064</w:t>
            </w:r>
          </w:p>
        </w:tc>
        <w:tc>
          <w:tcPr>
            <w:tcW w:w="102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20 062</w:t>
            </w:r>
          </w:p>
        </w:tc>
      </w:tr>
      <w:tr w:rsidR="004843DB" w:rsidRPr="0062582F" w:rsidTr="004843DB">
        <w:trPr>
          <w:cantSplit/>
        </w:trPr>
        <w:tc>
          <w:tcPr>
            <w:tcW w:w="409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Less future finance charges</w:t>
            </w:r>
          </w:p>
        </w:tc>
        <w:tc>
          <w:tcPr>
            <w:tcW w:w="101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(1 613)</w:t>
            </w:r>
          </w:p>
        </w:tc>
        <w:tc>
          <w:tcPr>
            <w:tcW w:w="101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(4 012)</w:t>
            </w:r>
          </w:p>
        </w:tc>
        <w:tc>
          <w:tcPr>
            <w:tcW w:w="101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4093"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Present value of minimum lease payments</w:t>
            </w:r>
          </w:p>
        </w:tc>
        <w:tc>
          <w:tcPr>
            <w:tcW w:w="101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8 064</w:t>
            </w:r>
          </w:p>
        </w:tc>
        <w:tc>
          <w:tcPr>
            <w:tcW w:w="101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20 062</w:t>
            </w:r>
          </w:p>
        </w:tc>
        <w:tc>
          <w:tcPr>
            <w:tcW w:w="101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8 064</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20 062</w:t>
            </w:r>
          </w:p>
        </w:tc>
      </w:tr>
      <w:tr w:rsidR="004843DB" w:rsidRPr="0062582F" w:rsidTr="004843DB">
        <w:trPr>
          <w:cantSplit/>
          <w:trHeight w:hRule="exact" w:val="160"/>
        </w:trPr>
        <w:tc>
          <w:tcPr>
            <w:tcW w:w="409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101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01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1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4093" w:type="dxa"/>
            <w:tcBorders>
              <w:top w:val="nil"/>
              <w:left w:val="nil"/>
              <w:bottom w:val="nil"/>
              <w:right w:val="nil"/>
            </w:tcBorders>
            <w:shd w:val="clear" w:color="auto" w:fill="auto"/>
            <w:hideMark/>
          </w:tcPr>
          <w:p w:rsidR="004843DB" w:rsidRPr="0062582F" w:rsidRDefault="004843DB" w:rsidP="004843DB">
            <w:pPr>
              <w:pStyle w:val="Tabletext"/>
            </w:pPr>
            <w:r w:rsidRPr="0062582F">
              <w:t>Included in the financial statements as:</w:t>
            </w:r>
          </w:p>
        </w:tc>
        <w:tc>
          <w:tcPr>
            <w:tcW w:w="1019" w:type="dxa"/>
            <w:tcBorders>
              <w:top w:val="nil"/>
              <w:left w:val="nil"/>
              <w:bottom w:val="nil"/>
              <w:right w:val="nil"/>
            </w:tcBorders>
            <w:shd w:val="clear" w:color="00FFFF" w:fill="CCCCCC"/>
            <w:noWrap/>
          </w:tcPr>
          <w:p w:rsidR="004843DB" w:rsidRPr="0062582F" w:rsidRDefault="004843DB" w:rsidP="004843DB">
            <w:pPr>
              <w:pStyle w:val="TableofFigures"/>
            </w:pPr>
          </w:p>
        </w:tc>
        <w:tc>
          <w:tcPr>
            <w:tcW w:w="1019" w:type="dxa"/>
            <w:tcBorders>
              <w:top w:val="nil"/>
              <w:left w:val="nil"/>
              <w:bottom w:val="nil"/>
              <w:right w:val="nil"/>
            </w:tcBorders>
            <w:shd w:val="clear" w:color="auto" w:fill="auto"/>
            <w:noWrap/>
          </w:tcPr>
          <w:p w:rsidR="004843DB" w:rsidRPr="0062582F" w:rsidRDefault="004843DB" w:rsidP="004843DB">
            <w:pPr>
              <w:pStyle w:val="TableofFigures"/>
            </w:pPr>
          </w:p>
        </w:tc>
        <w:tc>
          <w:tcPr>
            <w:tcW w:w="1019" w:type="dxa"/>
            <w:tcBorders>
              <w:top w:val="nil"/>
              <w:left w:val="nil"/>
              <w:bottom w:val="nil"/>
              <w:right w:val="nil"/>
            </w:tcBorders>
            <w:shd w:val="clear" w:color="00FFFF" w:fill="CCCCCC"/>
            <w:noWrap/>
          </w:tcPr>
          <w:p w:rsidR="004843DB" w:rsidRPr="0062582F" w:rsidRDefault="004843DB" w:rsidP="004843DB">
            <w:pPr>
              <w:pStyle w:val="TableofFigures"/>
            </w:pPr>
          </w:p>
        </w:tc>
        <w:tc>
          <w:tcPr>
            <w:tcW w:w="1020" w:type="dxa"/>
            <w:tcBorders>
              <w:top w:val="nil"/>
              <w:left w:val="nil"/>
              <w:bottom w:val="nil"/>
              <w:right w:val="nil"/>
            </w:tcBorders>
            <w:shd w:val="clear" w:color="auto" w:fill="auto"/>
            <w:noWrap/>
          </w:tcPr>
          <w:p w:rsidR="004843DB" w:rsidRPr="0062582F" w:rsidRDefault="004843DB" w:rsidP="004843DB">
            <w:pPr>
              <w:pStyle w:val="TableofFigures"/>
            </w:pPr>
          </w:p>
        </w:tc>
      </w:tr>
      <w:tr w:rsidR="004843DB" w:rsidRPr="0062582F" w:rsidTr="004843DB">
        <w:trPr>
          <w:cantSplit/>
        </w:trPr>
        <w:tc>
          <w:tcPr>
            <w:tcW w:w="4093" w:type="dxa"/>
            <w:tcBorders>
              <w:top w:val="nil"/>
              <w:left w:val="nil"/>
              <w:bottom w:val="nil"/>
              <w:right w:val="nil"/>
            </w:tcBorders>
            <w:shd w:val="clear" w:color="auto" w:fill="auto"/>
            <w:hideMark/>
          </w:tcPr>
          <w:p w:rsidR="004843DB" w:rsidRPr="0062582F" w:rsidRDefault="004843DB" w:rsidP="004843DB">
            <w:pPr>
              <w:pStyle w:val="Tabletext"/>
            </w:pPr>
            <w:r w:rsidRPr="0062582F">
              <w:t>Current borrowings lease liabilities (Note 23)</w:t>
            </w:r>
          </w:p>
        </w:tc>
        <w:tc>
          <w:tcPr>
            <w:tcW w:w="101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01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19"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4 065</w:t>
            </w:r>
          </w:p>
        </w:tc>
        <w:tc>
          <w:tcPr>
            <w:tcW w:w="102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10 246</w:t>
            </w:r>
          </w:p>
        </w:tc>
      </w:tr>
      <w:tr w:rsidR="004843DB" w:rsidRPr="0062582F" w:rsidTr="004843DB">
        <w:trPr>
          <w:cantSplit/>
        </w:trPr>
        <w:tc>
          <w:tcPr>
            <w:tcW w:w="409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Non</w:t>
            </w:r>
            <w:r w:rsidR="005A4BB0">
              <w:noBreakHyphen/>
            </w:r>
            <w:r w:rsidRPr="0062582F">
              <w:t>current borrowings lease liabilities (Note 23)</w:t>
            </w:r>
          </w:p>
        </w:tc>
        <w:tc>
          <w:tcPr>
            <w:tcW w:w="101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01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01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3 999</w:t>
            </w:r>
          </w:p>
        </w:tc>
        <w:tc>
          <w:tcPr>
            <w:tcW w:w="102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9 816</w:t>
            </w:r>
          </w:p>
        </w:tc>
      </w:tr>
      <w:tr w:rsidR="004843DB" w:rsidRPr="0062582F" w:rsidTr="004843DB">
        <w:trPr>
          <w:cantSplit/>
        </w:trPr>
        <w:tc>
          <w:tcPr>
            <w:tcW w:w="409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pPr>
            <w:r w:rsidRPr="0062582F">
              <w:t xml:space="preserve"> </w:t>
            </w:r>
          </w:p>
        </w:tc>
        <w:tc>
          <w:tcPr>
            <w:tcW w:w="1019"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1019"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019"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8 064</w:t>
            </w:r>
          </w:p>
        </w:tc>
        <w:tc>
          <w:tcPr>
            <w:tcW w:w="102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20 062</w:t>
            </w:r>
          </w:p>
        </w:tc>
      </w:tr>
    </w:tbl>
    <w:p w:rsidR="004843DB" w:rsidRPr="0062582F" w:rsidRDefault="004843DB" w:rsidP="004843DB">
      <w:pPr>
        <w:pStyle w:val="Notes"/>
      </w:pPr>
      <w:r w:rsidRPr="0062582F">
        <w:t>Notes:</w:t>
      </w:r>
    </w:p>
    <w:p w:rsidR="004843DB" w:rsidRPr="0062582F" w:rsidRDefault="004843DB" w:rsidP="004843DB">
      <w:pPr>
        <w:pStyle w:val="Notes"/>
        <w:numPr>
          <w:ilvl w:val="0"/>
          <w:numId w:val="17"/>
        </w:numPr>
        <w:ind w:hanging="1080"/>
      </w:pPr>
      <w:r w:rsidRPr="0062582F">
        <w:t>Minimum future lease payments include the aggregate of all base payments and any guaranteed residual.</w:t>
      </w:r>
    </w:p>
    <w:p w:rsidR="004843DB" w:rsidRPr="0062582F" w:rsidRDefault="004843DB" w:rsidP="004843DB">
      <w:pPr>
        <w:pStyle w:val="Notes"/>
        <w:numPr>
          <w:ilvl w:val="0"/>
          <w:numId w:val="17"/>
        </w:numPr>
        <w:ind w:left="426" w:hanging="426"/>
      </w:pPr>
      <w:r w:rsidRPr="0062582F">
        <w:t>Other finance lease liabilities include obligations that are recognised on the balance sheet; the future payments related to operating and lease commitments are disclosed in Note 31.</w:t>
      </w:r>
    </w:p>
    <w:p w:rsidR="004843DB" w:rsidRPr="0062582F" w:rsidRDefault="004843DB" w:rsidP="004843DB"/>
    <w:p w:rsidR="004843DB" w:rsidRPr="0062582F" w:rsidRDefault="004843DB" w:rsidP="004843DB">
      <w:pPr>
        <w:pStyle w:val="Heading4"/>
      </w:pPr>
      <w:r w:rsidRPr="0062582F">
        <w:t>(b)</w:t>
      </w:r>
      <w:r w:rsidRPr="0062582F">
        <w:tab/>
        <w:t>[Disclosures for lessees – operating leases]</w:t>
      </w:r>
    </w:p>
    <w:p w:rsidR="004843DB" w:rsidRPr="0062582F" w:rsidRDefault="004843DB" w:rsidP="004843DB">
      <w:r w:rsidRPr="0062582F">
        <w:t>Refer to Note 31(c).</w:t>
      </w:r>
    </w:p>
    <w:p w:rsidR="004843DB" w:rsidRPr="0062582F" w:rsidRDefault="004843DB" w:rsidP="004843DB">
      <w:pPr>
        <w:pStyle w:val="NoteHeadingcontinued"/>
        <w:rPr>
          <w:i/>
        </w:rPr>
      </w:pPr>
      <w:r w:rsidRPr="0062582F">
        <w:br w:type="column"/>
      </w:r>
      <w:r w:rsidRPr="0062582F">
        <w:br w:type="column"/>
        <w:t>Note 30.</w:t>
      </w:r>
      <w:r w:rsidRPr="0062582F">
        <w:tab/>
        <w:t xml:space="preserve">Leases </w:t>
      </w:r>
      <w:r w:rsidRPr="0062582F">
        <w:rPr>
          <w:i/>
        </w:rPr>
        <w:t>(continued)</w:t>
      </w:r>
    </w:p>
    <w:p w:rsidR="004843DB" w:rsidRPr="0062582F" w:rsidRDefault="004843DB" w:rsidP="004843DB">
      <w:pPr>
        <w:pStyle w:val="Heading4"/>
      </w:pPr>
      <w:r w:rsidRPr="0062582F">
        <w:t>(c)</w:t>
      </w:r>
      <w:r w:rsidRPr="0062582F">
        <w:tab/>
        <w:t>[Disclosures for lessors – finance leases]</w:t>
      </w:r>
    </w:p>
    <w:p w:rsidR="004843DB" w:rsidRPr="0062582F" w:rsidRDefault="004843DB" w:rsidP="004843DB">
      <w:pPr>
        <w:pStyle w:val="Heading5"/>
      </w:pPr>
      <w:r w:rsidRPr="0062582F">
        <w:t>Leasing arrangements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117.47(f)</w:t>
      </w:r>
    </w:p>
    <w:p w:rsidR="004843DB" w:rsidRPr="0062582F" w:rsidRDefault="004843DB" w:rsidP="004843DB">
      <w:r w:rsidRPr="0062582F">
        <w:br w:type="column"/>
        <w:t>Finance lease receivables relate to equipment with lease terms of five years. The lessees have options to purchase the equipment for a nominal amount at the conclusion of the lease agreements.</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p>
    <w:p w:rsidR="004843DB" w:rsidRPr="0062582F" w:rsidRDefault="004843DB" w:rsidP="004843DB">
      <w:pPr>
        <w:pStyle w:val="Reference"/>
        <w:spacing w:before="80"/>
        <w:rPr>
          <w:lang w:val="en-AU"/>
        </w:rPr>
      </w:pPr>
      <w:r w:rsidRPr="0062582F">
        <w:rPr>
          <w:lang w:val="en-AU"/>
        </w:rPr>
        <w:t>AASB 117.47(a)</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20"/>
        <w:rPr>
          <w:lang w:val="en-AU"/>
        </w:rPr>
      </w:pPr>
    </w:p>
    <w:p w:rsidR="004843DB" w:rsidRPr="0062582F" w:rsidRDefault="004843DB" w:rsidP="004843DB">
      <w:pPr>
        <w:pStyle w:val="Reference"/>
        <w:spacing w:before="120"/>
        <w:rPr>
          <w:lang w:val="en-AU"/>
        </w:rPr>
      </w:pPr>
    </w:p>
    <w:p w:rsidR="004843DB" w:rsidRPr="0062582F" w:rsidRDefault="004843DB" w:rsidP="004843DB">
      <w:pPr>
        <w:pStyle w:val="Reference"/>
        <w:spacing w:before="120"/>
        <w:rPr>
          <w:lang w:val="en-AU"/>
        </w:rPr>
      </w:pPr>
    </w:p>
    <w:p w:rsidR="004843DB" w:rsidRPr="0062582F" w:rsidRDefault="004843DB" w:rsidP="004843DB">
      <w:pPr>
        <w:pStyle w:val="Reference"/>
        <w:spacing w:before="440"/>
        <w:rPr>
          <w:lang w:val="en-AU"/>
        </w:rPr>
      </w:pPr>
      <w:r w:rsidRPr="0062582F">
        <w:rPr>
          <w:lang w:val="en-AU"/>
        </w:rPr>
        <w:t>AASB 117.47(b)</w:t>
      </w:r>
    </w:p>
    <w:p w:rsidR="004843DB" w:rsidRPr="0062582F" w:rsidRDefault="004843DB" w:rsidP="004843DB">
      <w:pPr>
        <w:pStyle w:val="million"/>
        <w:rPr>
          <w:rFonts w:ascii="Tahoma" w:hAnsi="Tahoma" w:cs="Tahoma"/>
          <w:sz w:val="20"/>
          <w:szCs w:val="20"/>
        </w:rPr>
      </w:pPr>
      <w:r w:rsidRPr="0062582F">
        <w:br w:type="column"/>
        <w:t>($ thousand)</w:t>
      </w:r>
    </w:p>
    <w:tbl>
      <w:tblPr>
        <w:tblW w:w="8132" w:type="dxa"/>
        <w:tblLayout w:type="fixed"/>
        <w:tblCellMar>
          <w:left w:w="43" w:type="dxa"/>
          <w:right w:w="43" w:type="dxa"/>
        </w:tblCellMar>
        <w:tblLook w:val="04A0" w:firstRow="1" w:lastRow="0" w:firstColumn="1" w:lastColumn="0" w:noHBand="0" w:noVBand="1"/>
      </w:tblPr>
      <w:tblGrid>
        <w:gridCol w:w="3913"/>
        <w:gridCol w:w="1054"/>
        <w:gridCol w:w="1030"/>
        <w:gridCol w:w="1080"/>
        <w:gridCol w:w="1055"/>
      </w:tblGrid>
      <w:tr w:rsidR="004843DB" w:rsidRPr="0062582F" w:rsidTr="004843DB">
        <w:trPr>
          <w:cantSplit/>
        </w:trPr>
        <w:tc>
          <w:tcPr>
            <w:tcW w:w="3913" w:type="dxa"/>
            <w:tcBorders>
              <w:top w:val="single" w:sz="4" w:space="0" w:color="auto"/>
              <w:left w:val="nil"/>
              <w:bottom w:val="single" w:sz="4" w:space="0" w:color="auto"/>
              <w:right w:val="nil"/>
            </w:tcBorders>
            <w:shd w:val="clear" w:color="auto" w:fill="auto"/>
          </w:tcPr>
          <w:p w:rsidR="004843DB" w:rsidRPr="0062582F" w:rsidRDefault="004843DB" w:rsidP="004843DB">
            <w:pPr>
              <w:pStyle w:val="TabletextheadingLeft"/>
            </w:pPr>
          </w:p>
        </w:tc>
        <w:tc>
          <w:tcPr>
            <w:tcW w:w="2084" w:type="dxa"/>
            <w:gridSpan w:val="2"/>
            <w:tcBorders>
              <w:top w:val="single" w:sz="4" w:space="0" w:color="auto"/>
              <w:left w:val="nil"/>
              <w:bottom w:val="single" w:sz="4" w:space="0" w:color="auto"/>
              <w:right w:val="nil"/>
            </w:tcBorders>
            <w:shd w:val="clear" w:color="auto" w:fill="auto"/>
            <w:noWrap/>
          </w:tcPr>
          <w:p w:rsidR="004843DB" w:rsidRPr="0062582F" w:rsidRDefault="004843DB" w:rsidP="004843DB">
            <w:pPr>
              <w:pStyle w:val="Tabletextheading"/>
              <w:jc w:val="center"/>
            </w:pPr>
            <w:r w:rsidRPr="0062582F">
              <w:t>Minimum lease receivables </w:t>
            </w:r>
            <w:r w:rsidRPr="0062582F">
              <w:rPr>
                <w:vertAlign w:val="superscript"/>
              </w:rPr>
              <w:t>(i)</w:t>
            </w:r>
          </w:p>
        </w:tc>
        <w:tc>
          <w:tcPr>
            <w:tcW w:w="2135" w:type="dxa"/>
            <w:gridSpan w:val="2"/>
            <w:tcBorders>
              <w:top w:val="single" w:sz="4" w:space="0" w:color="auto"/>
              <w:left w:val="nil"/>
              <w:bottom w:val="single" w:sz="4" w:space="0" w:color="auto"/>
              <w:right w:val="nil"/>
            </w:tcBorders>
            <w:shd w:val="clear" w:color="auto" w:fill="auto"/>
            <w:noWrap/>
          </w:tcPr>
          <w:p w:rsidR="004843DB" w:rsidRPr="0062582F" w:rsidRDefault="004843DB" w:rsidP="004843DB">
            <w:pPr>
              <w:pStyle w:val="Tabletextheading"/>
              <w:jc w:val="center"/>
            </w:pPr>
            <w:r w:rsidRPr="0062582F">
              <w:t>Present value of minimum lease receivables</w:t>
            </w:r>
          </w:p>
        </w:tc>
      </w:tr>
      <w:tr w:rsidR="004843DB" w:rsidRPr="0062582F" w:rsidTr="004843DB">
        <w:trPr>
          <w:cantSplit/>
        </w:trPr>
        <w:tc>
          <w:tcPr>
            <w:tcW w:w="39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 xml:space="preserve"> </w:t>
            </w:r>
          </w:p>
        </w:tc>
        <w:tc>
          <w:tcPr>
            <w:tcW w:w="1054"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03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1080"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textheading"/>
            </w:pPr>
            <w:r w:rsidRPr="0062582F">
              <w:t>2016</w:t>
            </w:r>
          </w:p>
        </w:tc>
        <w:tc>
          <w:tcPr>
            <w:tcW w:w="105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39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Finance lease receivables</w:t>
            </w:r>
          </w:p>
        </w:tc>
        <w:tc>
          <w:tcPr>
            <w:tcW w:w="1054"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03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c>
          <w:tcPr>
            <w:tcW w:w="1080"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055"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3913" w:type="dxa"/>
            <w:tcBorders>
              <w:top w:val="nil"/>
              <w:left w:val="nil"/>
              <w:bottom w:val="nil"/>
              <w:right w:val="nil"/>
            </w:tcBorders>
            <w:shd w:val="clear" w:color="auto" w:fill="auto"/>
            <w:hideMark/>
          </w:tcPr>
          <w:p w:rsidR="004843DB" w:rsidRPr="0062582F" w:rsidRDefault="004843DB" w:rsidP="004843DB">
            <w:pPr>
              <w:pStyle w:val="Tabletext"/>
            </w:pPr>
            <w:r w:rsidRPr="0062582F">
              <w:t>Not longer than one year</w:t>
            </w:r>
          </w:p>
        </w:tc>
        <w:tc>
          <w:tcPr>
            <w:tcW w:w="1054"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270</w:t>
            </w:r>
          </w:p>
        </w:tc>
        <w:tc>
          <w:tcPr>
            <w:tcW w:w="103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46</w:t>
            </w:r>
          </w:p>
        </w:tc>
        <w:tc>
          <w:tcPr>
            <w:tcW w:w="108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225</w:t>
            </w:r>
          </w:p>
        </w:tc>
        <w:tc>
          <w:tcPr>
            <w:tcW w:w="10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38</w:t>
            </w:r>
          </w:p>
        </w:tc>
      </w:tr>
      <w:tr w:rsidR="004843DB" w:rsidRPr="0062582F" w:rsidTr="004843DB">
        <w:trPr>
          <w:cantSplit/>
        </w:trPr>
        <w:tc>
          <w:tcPr>
            <w:tcW w:w="3913" w:type="dxa"/>
            <w:tcBorders>
              <w:top w:val="nil"/>
              <w:left w:val="nil"/>
              <w:bottom w:val="nil"/>
              <w:right w:val="nil"/>
            </w:tcBorders>
            <w:shd w:val="clear" w:color="auto" w:fill="auto"/>
            <w:hideMark/>
          </w:tcPr>
          <w:p w:rsidR="004843DB" w:rsidRPr="0062582F" w:rsidRDefault="004843DB" w:rsidP="004843DB">
            <w:pPr>
              <w:pStyle w:val="Tabletext"/>
            </w:pPr>
            <w:r w:rsidRPr="0062582F">
              <w:t>Longer than one year but not longer than five years</w:t>
            </w:r>
          </w:p>
        </w:tc>
        <w:tc>
          <w:tcPr>
            <w:tcW w:w="1054"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305</w:t>
            </w:r>
          </w:p>
        </w:tc>
        <w:tc>
          <w:tcPr>
            <w:tcW w:w="103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1 016</w:t>
            </w:r>
          </w:p>
        </w:tc>
        <w:tc>
          <w:tcPr>
            <w:tcW w:w="108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254</w:t>
            </w:r>
          </w:p>
        </w:tc>
        <w:tc>
          <w:tcPr>
            <w:tcW w:w="10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847</w:t>
            </w:r>
          </w:p>
        </w:tc>
      </w:tr>
      <w:tr w:rsidR="004843DB" w:rsidRPr="0062582F" w:rsidTr="004843DB">
        <w:trPr>
          <w:cantSplit/>
        </w:trPr>
        <w:tc>
          <w:tcPr>
            <w:tcW w:w="3913" w:type="dxa"/>
            <w:tcBorders>
              <w:top w:val="nil"/>
              <w:left w:val="nil"/>
              <w:bottom w:val="nil"/>
              <w:right w:val="nil"/>
            </w:tcBorders>
            <w:shd w:val="clear" w:color="auto" w:fill="auto"/>
            <w:hideMark/>
          </w:tcPr>
          <w:p w:rsidR="004843DB" w:rsidRPr="0062582F" w:rsidRDefault="004843DB" w:rsidP="004843DB">
            <w:pPr>
              <w:pStyle w:val="Tabletext"/>
            </w:pPr>
            <w:r w:rsidRPr="0062582F">
              <w:t>Longer than five years</w:t>
            </w:r>
          </w:p>
        </w:tc>
        <w:tc>
          <w:tcPr>
            <w:tcW w:w="1054"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124</w:t>
            </w:r>
          </w:p>
        </w:tc>
        <w:tc>
          <w:tcPr>
            <w:tcW w:w="103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420</w:t>
            </w:r>
          </w:p>
        </w:tc>
        <w:tc>
          <w:tcPr>
            <w:tcW w:w="108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102</w:t>
            </w:r>
          </w:p>
        </w:tc>
        <w:tc>
          <w:tcPr>
            <w:tcW w:w="10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346</w:t>
            </w:r>
          </w:p>
        </w:tc>
      </w:tr>
      <w:tr w:rsidR="004843DB" w:rsidRPr="0062582F" w:rsidTr="004843DB">
        <w:trPr>
          <w:cantSplit/>
        </w:trPr>
        <w:tc>
          <w:tcPr>
            <w:tcW w:w="3913" w:type="dxa"/>
            <w:tcBorders>
              <w:top w:val="single" w:sz="4"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Minimum future lease receivables</w:t>
            </w:r>
          </w:p>
        </w:tc>
        <w:tc>
          <w:tcPr>
            <w:tcW w:w="1054"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699</w:t>
            </w:r>
          </w:p>
        </w:tc>
        <w:tc>
          <w:tcPr>
            <w:tcW w:w="103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1 482</w:t>
            </w:r>
          </w:p>
        </w:tc>
        <w:tc>
          <w:tcPr>
            <w:tcW w:w="1080"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581</w:t>
            </w:r>
          </w:p>
        </w:tc>
        <w:tc>
          <w:tcPr>
            <w:tcW w:w="1055"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1 231</w:t>
            </w:r>
          </w:p>
        </w:tc>
      </w:tr>
      <w:tr w:rsidR="004843DB" w:rsidRPr="0062582F" w:rsidTr="004843DB">
        <w:trPr>
          <w:cantSplit/>
        </w:trPr>
        <w:tc>
          <w:tcPr>
            <w:tcW w:w="391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Less unearned finance income</w:t>
            </w:r>
          </w:p>
        </w:tc>
        <w:tc>
          <w:tcPr>
            <w:tcW w:w="1054"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(118)</w:t>
            </w:r>
          </w:p>
        </w:tc>
        <w:tc>
          <w:tcPr>
            <w:tcW w:w="103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(251)</w:t>
            </w:r>
          </w:p>
        </w:tc>
        <w:tc>
          <w:tcPr>
            <w:tcW w:w="10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05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913"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Present value of minimum lease receivables</w:t>
            </w:r>
          </w:p>
        </w:tc>
        <w:tc>
          <w:tcPr>
            <w:tcW w:w="1054"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581</w:t>
            </w:r>
          </w:p>
        </w:tc>
        <w:tc>
          <w:tcPr>
            <w:tcW w:w="103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1 231</w:t>
            </w:r>
          </w:p>
        </w:tc>
        <w:tc>
          <w:tcPr>
            <w:tcW w:w="10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581</w:t>
            </w:r>
          </w:p>
        </w:tc>
        <w:tc>
          <w:tcPr>
            <w:tcW w:w="105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1 231</w:t>
            </w:r>
          </w:p>
        </w:tc>
      </w:tr>
      <w:tr w:rsidR="004843DB" w:rsidRPr="0062582F" w:rsidTr="004843DB">
        <w:trPr>
          <w:cantSplit/>
        </w:trPr>
        <w:tc>
          <w:tcPr>
            <w:tcW w:w="3913" w:type="dxa"/>
            <w:tcBorders>
              <w:top w:val="nil"/>
              <w:left w:val="nil"/>
              <w:bottom w:val="nil"/>
              <w:right w:val="nil"/>
            </w:tcBorders>
            <w:shd w:val="clear" w:color="auto" w:fill="auto"/>
            <w:noWrap/>
            <w:hideMark/>
          </w:tcPr>
          <w:p w:rsidR="004843DB" w:rsidRPr="0062582F" w:rsidRDefault="004843DB" w:rsidP="004843DB">
            <w:pPr>
              <w:pStyle w:val="Tabletext"/>
              <w:rPr>
                <w:b/>
              </w:rPr>
            </w:pPr>
            <w:r w:rsidRPr="0062582F">
              <w:rPr>
                <w:b/>
              </w:rPr>
              <w:t>Included in the financial statements as:</w:t>
            </w:r>
          </w:p>
        </w:tc>
        <w:tc>
          <w:tcPr>
            <w:tcW w:w="1054"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b/>
                <w:bCs/>
              </w:rPr>
            </w:pPr>
            <w:r w:rsidRPr="0062582F">
              <w:rPr>
                <w:rFonts w:ascii="Arial" w:hAnsi="Arial"/>
                <w:b/>
                <w:bCs/>
              </w:rPr>
              <w:t xml:space="preserve"> </w:t>
            </w:r>
          </w:p>
        </w:tc>
        <w:tc>
          <w:tcPr>
            <w:tcW w:w="1030"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b/>
                <w:bCs/>
              </w:rPr>
            </w:pPr>
            <w:r w:rsidRPr="0062582F">
              <w:rPr>
                <w:rFonts w:ascii="Arial" w:hAnsi="Arial"/>
                <w:b/>
                <w:bCs/>
              </w:rPr>
              <w:t xml:space="preserve"> </w:t>
            </w:r>
          </w:p>
        </w:tc>
        <w:tc>
          <w:tcPr>
            <w:tcW w:w="1080" w:type="dxa"/>
            <w:tcBorders>
              <w:top w:val="nil"/>
              <w:left w:val="nil"/>
              <w:bottom w:val="nil"/>
              <w:right w:val="nil"/>
            </w:tcBorders>
            <w:shd w:val="clear" w:color="00FFFF" w:fill="CCCCCC"/>
            <w:noWrap/>
            <w:hideMark/>
          </w:tcPr>
          <w:p w:rsidR="004843DB" w:rsidRPr="0062582F" w:rsidRDefault="004843DB" w:rsidP="004843DB">
            <w:pPr>
              <w:pStyle w:val="TableofFigures"/>
              <w:rPr>
                <w:rFonts w:ascii="Arial" w:hAnsi="Arial"/>
                <w:b/>
                <w:bCs/>
              </w:rPr>
            </w:pPr>
            <w:r w:rsidRPr="0062582F">
              <w:rPr>
                <w:rFonts w:ascii="Arial" w:hAnsi="Arial"/>
                <w:b/>
                <w:bCs/>
              </w:rPr>
              <w:t xml:space="preserve"> </w:t>
            </w:r>
          </w:p>
        </w:tc>
        <w:tc>
          <w:tcPr>
            <w:tcW w:w="1055"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b/>
                <w:bCs/>
              </w:rPr>
            </w:pPr>
            <w:r w:rsidRPr="0062582F">
              <w:rPr>
                <w:rFonts w:ascii="Arial" w:hAnsi="Arial"/>
                <w:b/>
                <w:bCs/>
              </w:rPr>
              <w:t xml:space="preserve"> </w:t>
            </w:r>
          </w:p>
        </w:tc>
      </w:tr>
      <w:tr w:rsidR="004843DB" w:rsidRPr="0062582F" w:rsidTr="004843DB">
        <w:trPr>
          <w:cantSplit/>
        </w:trPr>
        <w:tc>
          <w:tcPr>
            <w:tcW w:w="3913" w:type="dxa"/>
            <w:tcBorders>
              <w:top w:val="nil"/>
              <w:left w:val="nil"/>
              <w:bottom w:val="nil"/>
              <w:right w:val="nil"/>
            </w:tcBorders>
            <w:shd w:val="clear" w:color="auto" w:fill="auto"/>
            <w:noWrap/>
            <w:hideMark/>
          </w:tcPr>
          <w:p w:rsidR="004843DB" w:rsidRPr="0062582F" w:rsidRDefault="004843DB" w:rsidP="004843DB">
            <w:pPr>
              <w:pStyle w:val="Tabletext"/>
            </w:pPr>
            <w:r w:rsidRPr="0062582F">
              <w:t>Current finance lease receivables (Note 11)</w:t>
            </w:r>
          </w:p>
        </w:tc>
        <w:tc>
          <w:tcPr>
            <w:tcW w:w="1054"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rPr>
            </w:pPr>
            <w:r w:rsidRPr="0062582F">
              <w:rPr>
                <w:rFonts w:ascii="Arial" w:hAnsi="Arial"/>
              </w:rPr>
              <w:t xml:space="preserve"> </w:t>
            </w:r>
          </w:p>
        </w:tc>
        <w:tc>
          <w:tcPr>
            <w:tcW w:w="1030" w:type="dxa"/>
            <w:tcBorders>
              <w:top w:val="nil"/>
              <w:left w:val="nil"/>
              <w:bottom w:val="nil"/>
              <w:right w:val="nil"/>
            </w:tcBorders>
            <w:shd w:val="clear" w:color="auto" w:fill="auto"/>
            <w:noWrap/>
            <w:hideMark/>
          </w:tcPr>
          <w:p w:rsidR="004843DB" w:rsidRPr="0062582F" w:rsidRDefault="004843DB" w:rsidP="004843DB">
            <w:pPr>
              <w:pStyle w:val="TableofFigures"/>
              <w:rPr>
                <w:rFonts w:ascii="Arial" w:hAnsi="Arial"/>
              </w:rPr>
            </w:pPr>
            <w:r w:rsidRPr="0062582F">
              <w:rPr>
                <w:rFonts w:ascii="Arial" w:hAnsi="Arial"/>
              </w:rPr>
              <w:t xml:space="preserve"> </w:t>
            </w:r>
          </w:p>
        </w:tc>
        <w:tc>
          <w:tcPr>
            <w:tcW w:w="10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225</w:t>
            </w:r>
          </w:p>
        </w:tc>
        <w:tc>
          <w:tcPr>
            <w:tcW w:w="10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38</w:t>
            </w:r>
          </w:p>
        </w:tc>
      </w:tr>
      <w:tr w:rsidR="004843DB" w:rsidRPr="0062582F" w:rsidTr="004843DB">
        <w:trPr>
          <w:cantSplit/>
        </w:trPr>
        <w:tc>
          <w:tcPr>
            <w:tcW w:w="3913" w:type="dxa"/>
            <w:tcBorders>
              <w:top w:val="nil"/>
              <w:left w:val="nil"/>
              <w:bottom w:val="single" w:sz="4" w:space="0" w:color="auto"/>
              <w:right w:val="nil"/>
            </w:tcBorders>
            <w:shd w:val="clear" w:color="auto" w:fill="auto"/>
            <w:noWrap/>
            <w:hideMark/>
          </w:tcPr>
          <w:p w:rsidR="004843DB" w:rsidRPr="0062582F" w:rsidRDefault="004843DB" w:rsidP="004843DB">
            <w:pPr>
              <w:pStyle w:val="Tabletext"/>
            </w:pPr>
            <w:r w:rsidRPr="0062582F">
              <w:t>Non</w:t>
            </w:r>
            <w:r w:rsidR="005A4BB0">
              <w:noBreakHyphen/>
            </w:r>
            <w:r w:rsidRPr="0062582F">
              <w:t>current finance lease receivables (Note 11)</w:t>
            </w:r>
          </w:p>
        </w:tc>
        <w:tc>
          <w:tcPr>
            <w:tcW w:w="1054"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rFonts w:ascii="Arial" w:hAnsi="Arial"/>
              </w:rPr>
            </w:pPr>
            <w:r w:rsidRPr="0062582F">
              <w:rPr>
                <w:rFonts w:ascii="Arial" w:hAnsi="Arial"/>
              </w:rPr>
              <w:t xml:space="preserve"> </w:t>
            </w:r>
          </w:p>
        </w:tc>
        <w:tc>
          <w:tcPr>
            <w:tcW w:w="103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rFonts w:ascii="Arial" w:hAnsi="Arial"/>
              </w:rPr>
            </w:pPr>
            <w:r w:rsidRPr="0062582F">
              <w:rPr>
                <w:rFonts w:ascii="Arial" w:hAnsi="Arial"/>
              </w:rPr>
              <w:t xml:space="preserve"> </w:t>
            </w:r>
          </w:p>
        </w:tc>
        <w:tc>
          <w:tcPr>
            <w:tcW w:w="10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356</w:t>
            </w:r>
          </w:p>
        </w:tc>
        <w:tc>
          <w:tcPr>
            <w:tcW w:w="105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1 193</w:t>
            </w:r>
          </w:p>
        </w:tc>
      </w:tr>
      <w:tr w:rsidR="004843DB" w:rsidRPr="0062582F" w:rsidTr="004843DB">
        <w:trPr>
          <w:cantSplit/>
        </w:trPr>
        <w:tc>
          <w:tcPr>
            <w:tcW w:w="391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 xml:space="preserve"> </w:t>
            </w:r>
          </w:p>
        </w:tc>
        <w:tc>
          <w:tcPr>
            <w:tcW w:w="105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w:t>
            </w:r>
          </w:p>
        </w:tc>
        <w:tc>
          <w:tcPr>
            <w:tcW w:w="103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w:t>
            </w:r>
          </w:p>
        </w:tc>
        <w:tc>
          <w:tcPr>
            <w:tcW w:w="10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581</w:t>
            </w:r>
          </w:p>
        </w:tc>
        <w:tc>
          <w:tcPr>
            <w:tcW w:w="105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1 231</w:t>
            </w:r>
          </w:p>
        </w:tc>
      </w:tr>
    </w:tbl>
    <w:p w:rsidR="004843DB" w:rsidRPr="0062582F" w:rsidRDefault="004843DB" w:rsidP="004843DB">
      <w:pPr>
        <w:pStyle w:val="Notes"/>
      </w:pPr>
      <w:r w:rsidRPr="0062582F">
        <w:t>Note:</w:t>
      </w:r>
    </w:p>
    <w:p w:rsidR="004843DB" w:rsidRPr="0062582F" w:rsidRDefault="004843DB" w:rsidP="004843DB">
      <w:pPr>
        <w:pStyle w:val="Notes"/>
      </w:pPr>
      <w:r w:rsidRPr="0062582F">
        <w:t>(i)</w:t>
      </w:r>
      <w:r w:rsidRPr="0062582F">
        <w:tab/>
        <w:t xml:space="preserve"> Minimum future lease payments receivable includes the aggregate of all lease payments receivable and any guaranteed residual.</w:t>
      </w:r>
    </w:p>
    <w:p w:rsidR="004843DB" w:rsidRPr="0062582F" w:rsidRDefault="004843DB" w:rsidP="004843DB">
      <w:pPr>
        <w:pStyle w:val="Notes"/>
      </w:pP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117.47(c)</w:t>
      </w:r>
    </w:p>
    <w:p w:rsidR="004843DB" w:rsidRPr="0062582F" w:rsidRDefault="004843DB" w:rsidP="004843DB">
      <w:r w:rsidRPr="0062582F">
        <w:br w:type="column"/>
        <w:t>In relation to the leasing arrangements above, there are unguaranteed residual values of $9 000 in 2015</w:t>
      </w:r>
      <w:r w:rsidR="005A4BB0">
        <w:noBreakHyphen/>
      </w:r>
      <w:r w:rsidRPr="0062582F">
        <w:t>16 ($24 000 in 2014</w:t>
      </w:r>
      <w:r w:rsidR="005A4BB0">
        <w:noBreakHyphen/>
      </w:r>
      <w:r w:rsidRPr="0062582F">
        <w:t>15) that were accrued for the benefit of the Department.</w:t>
      </w:r>
    </w:p>
    <w:p w:rsidR="004843DB" w:rsidRPr="0062582F" w:rsidRDefault="004843DB" w:rsidP="004843DB"/>
    <w:p w:rsidR="004843DB" w:rsidRPr="0062582F" w:rsidRDefault="004843DB" w:rsidP="004843DB">
      <w:pPr>
        <w:pStyle w:val="SmallLine"/>
      </w:pPr>
    </w:p>
    <w:p w:rsidR="004843DB" w:rsidRPr="0062582F" w:rsidRDefault="004843DB" w:rsidP="004843DB">
      <w:pPr>
        <w:pStyle w:val="Heading4"/>
      </w:pPr>
      <w:r w:rsidRPr="0062582F">
        <w:t>(d)</w:t>
      </w:r>
      <w:r w:rsidRPr="0062582F">
        <w:tab/>
        <w:t>[Disclosures for lessors – operating leases]</w:t>
      </w:r>
    </w:p>
    <w:p w:rsidR="004843DB" w:rsidRPr="0062582F" w:rsidRDefault="004843DB" w:rsidP="004843DB">
      <w:pPr>
        <w:pStyle w:val="Heading5"/>
      </w:pPr>
      <w:bookmarkStart w:id="539" w:name="_Toc163448882"/>
      <w:r w:rsidRPr="0062582F">
        <w:t>Leasing arrangements</w:t>
      </w:r>
      <w:bookmarkEnd w:id="539"/>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117.56(c)</w:t>
      </w:r>
    </w:p>
    <w:p w:rsidR="004843DB" w:rsidRPr="0062582F" w:rsidRDefault="004843DB" w:rsidP="004843DB">
      <w:r w:rsidRPr="0062582F">
        <w:br w:type="column"/>
        <w:t>Operating leases relate to the investment property owned by the Department with lease terms between five and 10 years, with an option to extend for a further 10 years. All operating lease contracts contain market review clauses in the event that the lessee exercises its option to renew. The lessee does not have an option to purchase the property at the expiry of the lease period.</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r w:rsidRPr="0062582F">
        <w:br/>
      </w:r>
    </w:p>
    <w:p w:rsidR="004843DB" w:rsidRPr="0062582F" w:rsidRDefault="004843DB" w:rsidP="004843DB">
      <w:pPr>
        <w:pStyle w:val="Reference"/>
      </w:pPr>
    </w:p>
    <w:p w:rsidR="004843DB" w:rsidRPr="0062582F" w:rsidRDefault="004843DB" w:rsidP="004843DB">
      <w:pPr>
        <w:pStyle w:val="Reference"/>
        <w:spacing w:before="240"/>
      </w:pPr>
      <w:r w:rsidRPr="0062582F">
        <w:t>AASB 117.56(a)</w:t>
      </w:r>
    </w:p>
    <w:p w:rsidR="004843DB" w:rsidRPr="0062582F" w:rsidRDefault="004843DB" w:rsidP="004843DB">
      <w:pPr>
        <w:pStyle w:val="million"/>
        <w:rPr>
          <w:rFonts w:ascii="Tahoma" w:hAnsi="Tahoma" w:cs="Tahoma"/>
          <w:sz w:val="20"/>
          <w:szCs w:val="20"/>
        </w:rPr>
      </w:pPr>
      <w:r w:rsidRPr="0062582F">
        <w:br w:type="column"/>
        <w:t>($ thousand)</w:t>
      </w:r>
    </w:p>
    <w:tbl>
      <w:tblPr>
        <w:tblW w:w="8143" w:type="dxa"/>
        <w:tblCellMar>
          <w:left w:w="43" w:type="dxa"/>
          <w:right w:w="43" w:type="dxa"/>
        </w:tblCellMar>
        <w:tblLook w:val="04A0" w:firstRow="1" w:lastRow="0" w:firstColumn="1" w:lastColumn="0" w:noHBand="0" w:noVBand="1"/>
      </w:tblPr>
      <w:tblGrid>
        <w:gridCol w:w="5983"/>
        <w:gridCol w:w="1080"/>
        <w:gridCol w:w="1080"/>
      </w:tblGrid>
      <w:tr w:rsidR="004843DB" w:rsidRPr="0062582F" w:rsidTr="004843DB">
        <w:trPr>
          <w:cantSplit/>
        </w:trPr>
        <w:tc>
          <w:tcPr>
            <w:tcW w:w="5983" w:type="dxa"/>
            <w:tcBorders>
              <w:top w:val="single" w:sz="4" w:space="0" w:color="auto"/>
              <w:left w:val="nil"/>
              <w:bottom w:val="single" w:sz="4" w:space="0" w:color="auto"/>
              <w:right w:val="nil"/>
            </w:tcBorders>
            <w:shd w:val="clear" w:color="auto" w:fill="auto"/>
            <w:vAlign w:val="bottom"/>
            <w:hideMark/>
          </w:tcPr>
          <w:p w:rsidR="004843DB" w:rsidRPr="0062582F" w:rsidRDefault="004843DB" w:rsidP="004843DB">
            <w:pPr>
              <w:pStyle w:val="Tabletextheading"/>
            </w:pPr>
            <w:r w:rsidRPr="0062582F">
              <w:t xml:space="preserve"> </w:t>
            </w:r>
          </w:p>
        </w:tc>
        <w:tc>
          <w:tcPr>
            <w:tcW w:w="108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textheading"/>
            </w:pPr>
            <w:r w:rsidRPr="0062582F">
              <w:t>2016</w:t>
            </w:r>
          </w:p>
        </w:tc>
        <w:tc>
          <w:tcPr>
            <w:tcW w:w="108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983" w:type="dxa"/>
            <w:tcBorders>
              <w:top w:val="nil"/>
              <w:left w:val="nil"/>
              <w:bottom w:val="nil"/>
              <w:right w:val="nil"/>
            </w:tcBorders>
            <w:shd w:val="clear" w:color="auto" w:fill="auto"/>
            <w:vAlign w:val="bottom"/>
            <w:hideMark/>
          </w:tcPr>
          <w:p w:rsidR="004843DB" w:rsidRPr="0062582F" w:rsidRDefault="004843DB" w:rsidP="004843DB">
            <w:pPr>
              <w:pStyle w:val="Tabletext"/>
            </w:pPr>
            <w:r w:rsidRPr="0062582F">
              <w:t>Non</w:t>
            </w:r>
            <w:r w:rsidR="005A4BB0">
              <w:noBreakHyphen/>
            </w:r>
            <w:r w:rsidRPr="0062582F">
              <w:t>cancellable operating lease receivables</w:t>
            </w:r>
          </w:p>
        </w:tc>
        <w:tc>
          <w:tcPr>
            <w:tcW w:w="1080" w:type="dxa"/>
            <w:tcBorders>
              <w:top w:val="nil"/>
              <w:left w:val="nil"/>
              <w:bottom w:val="nil"/>
              <w:right w:val="nil"/>
            </w:tcBorders>
            <w:shd w:val="clear" w:color="000000" w:fill="CCCCCC"/>
            <w:vAlign w:val="bottom"/>
            <w:hideMark/>
          </w:tcPr>
          <w:p w:rsidR="004843DB" w:rsidRPr="0062582F" w:rsidRDefault="004843DB" w:rsidP="004843DB">
            <w:pPr>
              <w:pStyle w:val="TableofFigures"/>
            </w:pPr>
            <w:r w:rsidRPr="0062582F">
              <w:t xml:space="preserve"> </w:t>
            </w:r>
          </w:p>
        </w:tc>
        <w:tc>
          <w:tcPr>
            <w:tcW w:w="1080" w:type="dxa"/>
            <w:tcBorders>
              <w:top w:val="nil"/>
              <w:left w:val="nil"/>
              <w:bottom w:val="nil"/>
              <w:right w:val="nil"/>
            </w:tcBorders>
            <w:shd w:val="clear" w:color="auto" w:fill="auto"/>
            <w:vAlign w:val="bottom"/>
            <w:hideMark/>
          </w:tcPr>
          <w:p w:rsidR="004843DB" w:rsidRPr="0062582F" w:rsidRDefault="004843DB" w:rsidP="004843DB">
            <w:pPr>
              <w:pStyle w:val="TableofFigures"/>
            </w:pPr>
            <w:r w:rsidRPr="0062582F">
              <w:t xml:space="preserve"> </w:t>
            </w:r>
          </w:p>
        </w:tc>
      </w:tr>
      <w:tr w:rsidR="004843DB" w:rsidRPr="0062582F" w:rsidTr="004843DB">
        <w:trPr>
          <w:cantSplit/>
        </w:trPr>
        <w:tc>
          <w:tcPr>
            <w:tcW w:w="5983" w:type="dxa"/>
            <w:tcBorders>
              <w:top w:val="nil"/>
              <w:left w:val="nil"/>
              <w:bottom w:val="nil"/>
              <w:right w:val="nil"/>
            </w:tcBorders>
            <w:shd w:val="clear" w:color="auto" w:fill="auto"/>
            <w:vAlign w:val="bottom"/>
            <w:hideMark/>
          </w:tcPr>
          <w:p w:rsidR="004843DB" w:rsidRPr="0062582F" w:rsidRDefault="004843DB" w:rsidP="004843DB">
            <w:pPr>
              <w:pStyle w:val="Tabletext"/>
            </w:pPr>
            <w:r w:rsidRPr="0062582F">
              <w:t>Not longer than one year</w:t>
            </w:r>
          </w:p>
        </w:tc>
        <w:tc>
          <w:tcPr>
            <w:tcW w:w="1080" w:type="dxa"/>
            <w:tcBorders>
              <w:top w:val="nil"/>
              <w:left w:val="nil"/>
              <w:bottom w:val="nil"/>
              <w:right w:val="nil"/>
            </w:tcBorders>
            <w:shd w:val="clear" w:color="000000" w:fill="CCCCCC"/>
            <w:vAlign w:val="bottom"/>
            <w:hideMark/>
          </w:tcPr>
          <w:p w:rsidR="004843DB" w:rsidRPr="0062582F" w:rsidRDefault="004843DB" w:rsidP="004843DB">
            <w:pPr>
              <w:pStyle w:val="TableofFigures"/>
            </w:pPr>
            <w:r w:rsidRPr="0062582F">
              <w:t xml:space="preserve"> 18</w:t>
            </w:r>
          </w:p>
        </w:tc>
        <w:tc>
          <w:tcPr>
            <w:tcW w:w="1080" w:type="dxa"/>
            <w:tcBorders>
              <w:top w:val="nil"/>
              <w:left w:val="nil"/>
              <w:bottom w:val="nil"/>
              <w:right w:val="nil"/>
            </w:tcBorders>
            <w:shd w:val="clear" w:color="auto" w:fill="auto"/>
            <w:vAlign w:val="bottom"/>
            <w:hideMark/>
          </w:tcPr>
          <w:p w:rsidR="004843DB" w:rsidRPr="0062582F" w:rsidRDefault="004843DB" w:rsidP="004843DB">
            <w:pPr>
              <w:pStyle w:val="TableofFigures"/>
            </w:pPr>
            <w:r w:rsidRPr="0062582F">
              <w:t xml:space="preserve"> 18</w:t>
            </w:r>
          </w:p>
        </w:tc>
      </w:tr>
      <w:tr w:rsidR="004843DB" w:rsidRPr="0062582F" w:rsidTr="004843DB">
        <w:trPr>
          <w:cantSplit/>
        </w:trPr>
        <w:tc>
          <w:tcPr>
            <w:tcW w:w="5983" w:type="dxa"/>
            <w:tcBorders>
              <w:top w:val="nil"/>
              <w:left w:val="nil"/>
              <w:bottom w:val="nil"/>
              <w:right w:val="nil"/>
            </w:tcBorders>
            <w:shd w:val="clear" w:color="auto" w:fill="auto"/>
            <w:vAlign w:val="bottom"/>
            <w:hideMark/>
          </w:tcPr>
          <w:p w:rsidR="004843DB" w:rsidRPr="0062582F" w:rsidRDefault="004843DB" w:rsidP="004843DB">
            <w:pPr>
              <w:pStyle w:val="Tabletext"/>
            </w:pPr>
            <w:r w:rsidRPr="0062582F">
              <w:t>Longer than one year but not longer than five years</w:t>
            </w:r>
          </w:p>
        </w:tc>
        <w:tc>
          <w:tcPr>
            <w:tcW w:w="1080" w:type="dxa"/>
            <w:tcBorders>
              <w:top w:val="nil"/>
              <w:left w:val="nil"/>
              <w:bottom w:val="nil"/>
              <w:right w:val="nil"/>
            </w:tcBorders>
            <w:shd w:val="clear" w:color="000000" w:fill="CCCCCC"/>
            <w:vAlign w:val="bottom"/>
            <w:hideMark/>
          </w:tcPr>
          <w:p w:rsidR="004843DB" w:rsidRPr="0062582F" w:rsidRDefault="004843DB" w:rsidP="004843DB">
            <w:pPr>
              <w:pStyle w:val="TableofFigures"/>
            </w:pPr>
            <w:r w:rsidRPr="0062582F">
              <w:t xml:space="preserve"> 32</w:t>
            </w:r>
          </w:p>
        </w:tc>
        <w:tc>
          <w:tcPr>
            <w:tcW w:w="1080" w:type="dxa"/>
            <w:tcBorders>
              <w:top w:val="nil"/>
              <w:left w:val="nil"/>
              <w:bottom w:val="nil"/>
              <w:right w:val="nil"/>
            </w:tcBorders>
            <w:shd w:val="clear" w:color="auto" w:fill="auto"/>
            <w:vAlign w:val="bottom"/>
            <w:hideMark/>
          </w:tcPr>
          <w:p w:rsidR="004843DB" w:rsidRPr="0062582F" w:rsidRDefault="004843DB" w:rsidP="004843DB">
            <w:pPr>
              <w:pStyle w:val="TableofFigures"/>
            </w:pPr>
            <w:r w:rsidRPr="0062582F">
              <w:t xml:space="preserve"> 47</w:t>
            </w:r>
          </w:p>
        </w:tc>
      </w:tr>
      <w:tr w:rsidR="004843DB" w:rsidRPr="0062582F" w:rsidTr="004843DB">
        <w:trPr>
          <w:cantSplit/>
        </w:trPr>
        <w:tc>
          <w:tcPr>
            <w:tcW w:w="5983"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text"/>
            </w:pPr>
            <w:r w:rsidRPr="0062582F">
              <w:t>Longer than five years</w:t>
            </w:r>
          </w:p>
        </w:tc>
        <w:tc>
          <w:tcPr>
            <w:tcW w:w="1080" w:type="dxa"/>
            <w:tcBorders>
              <w:top w:val="nil"/>
              <w:left w:val="nil"/>
              <w:bottom w:val="single" w:sz="4" w:space="0" w:color="auto"/>
              <w:right w:val="nil"/>
            </w:tcBorders>
            <w:shd w:val="clear" w:color="000000" w:fill="CCCCCC"/>
            <w:vAlign w:val="bottom"/>
            <w:hideMark/>
          </w:tcPr>
          <w:p w:rsidR="004843DB" w:rsidRPr="0062582F" w:rsidRDefault="004843DB" w:rsidP="004843DB">
            <w:pPr>
              <w:pStyle w:val="TableofFigures"/>
            </w:pPr>
            <w:r w:rsidRPr="0062582F">
              <w:t xml:space="preserve"> 22</w:t>
            </w:r>
          </w:p>
        </w:tc>
        <w:tc>
          <w:tcPr>
            <w:tcW w:w="1080"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ofFigures"/>
            </w:pPr>
            <w:r w:rsidRPr="0062582F">
              <w:t xml:space="preserve"> 25</w:t>
            </w:r>
          </w:p>
        </w:tc>
      </w:tr>
      <w:tr w:rsidR="004843DB" w:rsidRPr="0062582F" w:rsidTr="004843DB">
        <w:trPr>
          <w:cantSplit/>
        </w:trPr>
        <w:tc>
          <w:tcPr>
            <w:tcW w:w="5983" w:type="dxa"/>
            <w:tcBorders>
              <w:top w:val="single" w:sz="4" w:space="0" w:color="auto"/>
              <w:left w:val="nil"/>
              <w:bottom w:val="single" w:sz="12" w:space="0" w:color="auto"/>
              <w:right w:val="nil"/>
            </w:tcBorders>
            <w:shd w:val="clear" w:color="auto" w:fill="auto"/>
            <w:vAlign w:val="bottom"/>
            <w:hideMark/>
          </w:tcPr>
          <w:p w:rsidR="004843DB" w:rsidRPr="0062582F" w:rsidRDefault="004843DB" w:rsidP="004843DB">
            <w:pPr>
              <w:pStyle w:val="Tabletext"/>
              <w:rPr>
                <w:b/>
              </w:rPr>
            </w:pPr>
            <w:r w:rsidRPr="0062582F">
              <w:rPr>
                <w:b/>
              </w:rPr>
              <w:t xml:space="preserve"> </w:t>
            </w:r>
          </w:p>
        </w:tc>
        <w:tc>
          <w:tcPr>
            <w:tcW w:w="1080" w:type="dxa"/>
            <w:tcBorders>
              <w:top w:val="single" w:sz="4" w:space="0" w:color="auto"/>
              <w:left w:val="nil"/>
              <w:bottom w:val="single" w:sz="12" w:space="0" w:color="auto"/>
              <w:right w:val="nil"/>
            </w:tcBorders>
            <w:shd w:val="clear" w:color="000000" w:fill="CCCCCC"/>
            <w:vAlign w:val="bottom"/>
            <w:hideMark/>
          </w:tcPr>
          <w:p w:rsidR="004843DB" w:rsidRPr="0062582F" w:rsidRDefault="004843DB" w:rsidP="004843DB">
            <w:pPr>
              <w:pStyle w:val="TableofFigures"/>
              <w:rPr>
                <w:b/>
              </w:rPr>
            </w:pPr>
            <w:r w:rsidRPr="0062582F">
              <w:rPr>
                <w:b/>
              </w:rPr>
              <w:t xml:space="preserve"> 72</w:t>
            </w:r>
          </w:p>
        </w:tc>
        <w:tc>
          <w:tcPr>
            <w:tcW w:w="1080" w:type="dxa"/>
            <w:tcBorders>
              <w:top w:val="single" w:sz="4" w:space="0" w:color="auto"/>
              <w:left w:val="nil"/>
              <w:bottom w:val="single" w:sz="12" w:space="0" w:color="auto"/>
              <w:right w:val="nil"/>
            </w:tcBorders>
            <w:shd w:val="clear" w:color="auto" w:fill="auto"/>
            <w:vAlign w:val="bottom"/>
            <w:hideMark/>
          </w:tcPr>
          <w:p w:rsidR="004843DB" w:rsidRPr="0062582F" w:rsidRDefault="004843DB" w:rsidP="004843DB">
            <w:pPr>
              <w:pStyle w:val="TableofFigures"/>
              <w:rPr>
                <w:b/>
              </w:rPr>
            </w:pPr>
            <w:r w:rsidRPr="0062582F">
              <w:rPr>
                <w:b/>
              </w:rPr>
              <w:t xml:space="preserve"> 90</w:t>
            </w:r>
          </w:p>
        </w:tc>
      </w:tr>
    </w:tbl>
    <w:p w:rsidR="004843DB" w:rsidRPr="0062582F" w:rsidRDefault="004843DB" w:rsidP="004843DB"/>
    <w:p w:rsidR="004843DB" w:rsidRPr="0062582F" w:rsidRDefault="004843DB" w:rsidP="004843DB">
      <w:pPr>
        <w:pStyle w:val="Heading5"/>
        <w:rPr>
          <w:szCs w:val="24"/>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7.31, 39(a)</w:t>
      </w:r>
    </w:p>
    <w:p w:rsidR="004843DB" w:rsidRPr="0062582F" w:rsidRDefault="004843DB" w:rsidP="004843DB">
      <w:r w:rsidRPr="0062582F">
        <w:rPr>
          <w:szCs w:val="24"/>
        </w:rPr>
        <w:br w:type="column"/>
      </w:r>
      <w:r w:rsidRPr="0062582F">
        <w:t>Maturity analysis of finance lease liabilities and the nature and extent of risk arising from finance lease liabilities are disclosed in Note 33.</w:t>
      </w:r>
    </w:p>
    <w:p w:rsidR="004843DB" w:rsidRPr="0062582F" w:rsidRDefault="004843DB" w:rsidP="004843DB">
      <w:pPr>
        <w:pStyle w:val="SmallLine"/>
      </w:pPr>
      <w:bookmarkStart w:id="540" w:name="_Toc163448883"/>
      <w:r w:rsidRPr="0062582F">
        <w:br w:type="column"/>
      </w:r>
      <w:r w:rsidRPr="0062582F">
        <w:br w:type="column"/>
      </w:r>
    </w:p>
    <w:p w:rsidR="004843DB" w:rsidRPr="0062582F" w:rsidRDefault="004843DB" w:rsidP="004843DB">
      <w:pPr>
        <w:pStyle w:val="CommentaryHeading"/>
      </w:pPr>
      <w:r w:rsidRPr="0062582F">
        <w:t xml:space="preserve">Commentary – </w:t>
      </w:r>
      <w:bookmarkEnd w:id="540"/>
      <w:r w:rsidRPr="0062582F">
        <w:t>Leases</w:t>
      </w:r>
    </w:p>
    <w:p w:rsidR="004843DB" w:rsidRPr="0062582F"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CE56DD">
      <w:pPr>
        <w:pStyle w:val="Reference"/>
        <w:spacing w:before="140"/>
        <w:rPr>
          <w:rStyle w:val="ReferenceChar"/>
        </w:rPr>
      </w:pPr>
      <w:r w:rsidRPr="0062582F">
        <w:rPr>
          <w:rStyle w:val="ReferenceChar"/>
        </w:rPr>
        <w:t>AASB Interpretation 4.6</w:t>
      </w:r>
    </w:p>
    <w:p w:rsidR="004843DB" w:rsidRPr="0062582F" w:rsidRDefault="004843DB" w:rsidP="004843DB">
      <w:pPr>
        <w:pStyle w:val="CommentaryText"/>
        <w:pBdr>
          <w:top w:val="none" w:sz="0" w:space="0" w:color="auto"/>
          <w:bottom w:val="none" w:sz="0" w:space="0" w:color="auto"/>
        </w:pBdr>
      </w:pPr>
      <w:r w:rsidRPr="0062582F">
        <w:br w:type="column"/>
        <w:t>Determining whether an arrangement is, or contains, a lease shall be based on the substance of the arrangement and requires an assessment of whether:</w:t>
      </w:r>
    </w:p>
    <w:p w:rsidR="004843DB" w:rsidRPr="0062582F" w:rsidRDefault="004843DB" w:rsidP="004843DB">
      <w:pPr>
        <w:pStyle w:val="CommentaryText"/>
        <w:pBdr>
          <w:top w:val="none" w:sz="0" w:space="0" w:color="auto"/>
          <w:bottom w:val="none" w:sz="0" w:space="0" w:color="auto"/>
        </w:pBdr>
        <w:tabs>
          <w:tab w:val="left" w:pos="426"/>
        </w:tabs>
        <w:spacing w:before="60"/>
        <w:ind w:left="446" w:hanging="446"/>
        <w:rPr>
          <w:noProof w:val="0"/>
        </w:rPr>
      </w:pPr>
      <w:r w:rsidRPr="0062582F">
        <w:rPr>
          <w:noProof w:val="0"/>
        </w:rPr>
        <w:t>(a)</w:t>
      </w:r>
      <w:r w:rsidRPr="0062582F">
        <w:rPr>
          <w:noProof w:val="0"/>
        </w:rPr>
        <w:tab/>
        <w:t>fulfilment of the arrangement is dependent on the use of a specific asset or assets (the asset); and</w:t>
      </w:r>
    </w:p>
    <w:p w:rsidR="004843DB" w:rsidRPr="0062582F" w:rsidRDefault="004843DB" w:rsidP="004843DB">
      <w:pPr>
        <w:pStyle w:val="CommentaryText"/>
        <w:pBdr>
          <w:top w:val="none" w:sz="0" w:space="0" w:color="auto"/>
          <w:bottom w:val="none" w:sz="0" w:space="0" w:color="auto"/>
        </w:pBdr>
        <w:tabs>
          <w:tab w:val="left" w:pos="426"/>
        </w:tabs>
        <w:spacing w:before="60"/>
        <w:ind w:left="446" w:hanging="446"/>
        <w:rPr>
          <w:noProof w:val="0"/>
        </w:rPr>
      </w:pPr>
      <w:r w:rsidRPr="0062582F">
        <w:rPr>
          <w:noProof w:val="0"/>
        </w:rPr>
        <w:t>(b)</w:t>
      </w:r>
      <w:r w:rsidRPr="0062582F">
        <w:rPr>
          <w:noProof w:val="0"/>
        </w:rPr>
        <w:tab/>
        <w:t>the arrangement conveys a right to use the asset.</w:t>
      </w:r>
    </w:p>
    <w:p w:rsidR="004843DB" w:rsidRPr="0062582F" w:rsidRDefault="004843DB" w:rsidP="004843DB">
      <w:pPr>
        <w:pStyle w:val="CommentaryHeading1"/>
        <w:pBdr>
          <w:top w:val="none" w:sz="0" w:space="0" w:color="auto"/>
          <w:bottom w:val="none" w:sz="0" w:space="0" w:color="auto"/>
        </w:pBdr>
      </w:pPr>
      <w:bookmarkStart w:id="541" w:name="_Toc163448884"/>
      <w:r w:rsidRPr="0062582F">
        <w:t>Contingent rentals</w:t>
      </w:r>
      <w:bookmarkEnd w:id="541"/>
    </w:p>
    <w:p w:rsidR="004843DB" w:rsidRPr="0062582F" w:rsidRDefault="004843DB" w:rsidP="004843DB">
      <w:pPr>
        <w:pStyle w:val="CommentaryText"/>
        <w:pBdr>
          <w:top w:val="none" w:sz="0" w:space="0" w:color="auto"/>
          <w:bottom w:val="none" w:sz="0" w:space="0" w:color="auto"/>
        </w:pBdr>
      </w:pPr>
      <w:r w:rsidRPr="0062582F">
        <w:t>If there are future contingent rentals or future rentals relating to executory costs to be met by the lessees which are payable over the remainder of the lease term, they shall not be included as part of the minimum lease payments.</w:t>
      </w:r>
    </w:p>
    <w:p w:rsidR="004843DB" w:rsidRPr="0062582F" w:rsidRDefault="004843DB" w:rsidP="004843DB">
      <w:pPr>
        <w:pStyle w:val="CommentaryHeading1"/>
        <w:pBdr>
          <w:top w:val="none" w:sz="0" w:space="0" w:color="auto"/>
          <w:bottom w:val="none" w:sz="0" w:space="0" w:color="auto"/>
        </w:pBdr>
      </w:pPr>
      <w:r w:rsidRPr="0062582F">
        <w:t>Classification of land and buildings leases</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117.15A</w:t>
      </w:r>
    </w:p>
    <w:p w:rsidR="004843DB" w:rsidRPr="0062582F" w:rsidRDefault="004843DB" w:rsidP="004843DB">
      <w:pPr>
        <w:pStyle w:val="CommentaryText"/>
        <w:pBdr>
          <w:top w:val="none" w:sz="0" w:space="0" w:color="auto"/>
          <w:bottom w:val="none" w:sz="0" w:space="0" w:color="auto"/>
        </w:pBdr>
      </w:pPr>
      <w:r w:rsidRPr="0062582F">
        <w:br w:type="column"/>
        <w:t>The amendment of AASB 117 by AASB 2009</w:t>
      </w:r>
      <w:r w:rsidR="005A4BB0">
        <w:noBreakHyphen/>
      </w:r>
      <w:r w:rsidRPr="0062582F">
        <w:t xml:space="preserve">5 removes the specific guidance on classifying land as an operating lease so that only the general guidance remains. The previous inclusion of the specific guidance resulted in a number of land and building leases being classified as operating and finance leases respectively. The removal of the specific guidance and assessment of land leases based on the general criteria may result in more land leases being classified as finance leases. </w:t>
      </w:r>
    </w:p>
    <w:p w:rsidR="004843DB" w:rsidRPr="0062582F" w:rsidRDefault="004843DB" w:rsidP="004843DB">
      <w:pPr>
        <w:pStyle w:val="CommentaryHeading1"/>
        <w:pBdr>
          <w:top w:val="none" w:sz="0" w:space="0" w:color="auto"/>
          <w:bottom w:val="none" w:sz="0" w:space="0" w:color="auto"/>
        </w:pBdr>
      </w:pPr>
      <w:bookmarkStart w:id="542" w:name="_Toc163448887"/>
      <w:r w:rsidRPr="0062582F">
        <w:t>Sub leases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117.31(d)</w:t>
      </w:r>
    </w:p>
    <w:p w:rsidR="004843DB" w:rsidRPr="0062582F" w:rsidRDefault="004843DB" w:rsidP="004843DB">
      <w:pPr>
        <w:pStyle w:val="CommentaryText"/>
        <w:pBdr>
          <w:top w:val="none" w:sz="0" w:space="0" w:color="auto"/>
          <w:bottom w:val="none" w:sz="0" w:space="0" w:color="auto"/>
        </w:pBdr>
      </w:pPr>
      <w:r w:rsidRPr="0062582F">
        <w:br w:type="column"/>
        <w:t>For non</w:t>
      </w:r>
      <w:r w:rsidR="005A4BB0">
        <w:noBreakHyphen/>
      </w:r>
      <w:r w:rsidRPr="0062582F">
        <w:t>cancellable sub leases, the total of future minimum leases payments expected to be received shall be disclosed.</w:t>
      </w:r>
    </w:p>
    <w:p w:rsidR="004843DB" w:rsidRPr="0062582F" w:rsidRDefault="004843DB" w:rsidP="004843DB">
      <w:pPr>
        <w:pStyle w:val="CommentaryHeading1"/>
        <w:pBdr>
          <w:top w:val="none" w:sz="0" w:space="0" w:color="auto"/>
          <w:bottom w:val="none" w:sz="0" w:space="0" w:color="auto"/>
        </w:pBdr>
      </w:pPr>
      <w:r w:rsidRPr="0062582F">
        <w:t>Disclosure requirements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117.31(e)</w:t>
      </w:r>
    </w:p>
    <w:p w:rsidR="004843DB" w:rsidRPr="0062582F" w:rsidRDefault="004843DB" w:rsidP="004843DB">
      <w:pPr>
        <w:pStyle w:val="CommentaryText"/>
        <w:pBdr>
          <w:top w:val="none" w:sz="0" w:space="0" w:color="auto"/>
          <w:bottom w:val="none" w:sz="0" w:space="0" w:color="auto"/>
        </w:pBdr>
      </w:pPr>
      <w:r w:rsidRPr="0062582F">
        <w:br w:type="column"/>
        <w:t>A general description about the lessee</w:t>
      </w:r>
      <w:r w:rsidR="005A4BB0">
        <w:t>’</w:t>
      </w:r>
      <w:r w:rsidRPr="0062582F">
        <w:t>s material leasing arrangements shall be disclosed, including:</w:t>
      </w:r>
    </w:p>
    <w:p w:rsidR="004843DB" w:rsidRPr="0062582F" w:rsidRDefault="004843DB" w:rsidP="004843DB">
      <w:pPr>
        <w:pStyle w:val="CommentaryTextIndent"/>
        <w:pBdr>
          <w:top w:val="none" w:sz="0" w:space="0" w:color="auto"/>
          <w:bottom w:val="none" w:sz="0" w:space="0" w:color="auto"/>
        </w:pBdr>
      </w:pPr>
      <w:r w:rsidRPr="0062582F">
        <w:t>(a)</w:t>
      </w:r>
      <w:r w:rsidRPr="0062582F">
        <w:tab/>
        <w:t>the basis on which contingent rent payable is determined;</w:t>
      </w:r>
    </w:p>
    <w:p w:rsidR="004843DB" w:rsidRPr="0062582F" w:rsidRDefault="004843DB" w:rsidP="004843DB">
      <w:pPr>
        <w:pStyle w:val="CommentaryTextIndent"/>
        <w:pBdr>
          <w:top w:val="none" w:sz="0" w:space="0" w:color="auto"/>
          <w:bottom w:val="none" w:sz="0" w:space="0" w:color="auto"/>
        </w:pBdr>
      </w:pPr>
      <w:r w:rsidRPr="0062582F">
        <w:t>(b)</w:t>
      </w:r>
      <w:r w:rsidRPr="0062582F">
        <w:tab/>
        <w:t>the existence and terms of renewal or purchase options and escalation clauses; and</w:t>
      </w:r>
    </w:p>
    <w:p w:rsidR="004843DB" w:rsidRPr="0062582F" w:rsidRDefault="004843DB" w:rsidP="004843DB">
      <w:pPr>
        <w:pStyle w:val="CommentaryTextIndent"/>
        <w:pBdr>
          <w:top w:val="none" w:sz="0" w:space="0" w:color="auto"/>
          <w:bottom w:val="none" w:sz="0" w:space="0" w:color="auto"/>
        </w:pBdr>
      </w:pPr>
      <w:r w:rsidRPr="0062582F">
        <w:t>(c)</w:t>
      </w:r>
      <w:r w:rsidRPr="0062582F">
        <w:tab/>
        <w:t>restrictions imposed by lease arrangements such as those concerning dividends, additional debt and further leasing.</w:t>
      </w:r>
    </w:p>
    <w:p w:rsidR="004843DB" w:rsidRPr="0062582F" w:rsidRDefault="004843DB" w:rsidP="004843DB">
      <w:pPr>
        <w:pStyle w:val="CommentaryHeading1"/>
        <w:pBdr>
          <w:top w:val="none" w:sz="0" w:space="0" w:color="auto"/>
          <w:bottom w:val="none" w:sz="0" w:space="0" w:color="auto"/>
        </w:pBdr>
      </w:pPr>
      <w:r w:rsidRPr="0062582F">
        <w:t>Other disclosures</w:t>
      </w:r>
    </w:p>
    <w:p w:rsidR="004843DB" w:rsidRPr="0062582F" w:rsidRDefault="004843DB" w:rsidP="004843DB">
      <w:pPr>
        <w:pStyle w:val="CommentaryHeading1"/>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117.57</w:t>
      </w:r>
    </w:p>
    <w:p w:rsidR="004843DB" w:rsidRPr="0062582F" w:rsidRDefault="004843DB" w:rsidP="004843DB">
      <w:pPr>
        <w:pStyle w:val="CommentaryText"/>
        <w:pBdr>
          <w:top w:val="none" w:sz="0" w:space="0" w:color="auto"/>
          <w:bottom w:val="none" w:sz="0" w:space="0" w:color="auto"/>
        </w:pBdr>
      </w:pPr>
      <w:r w:rsidRPr="0062582F">
        <w:br w:type="column"/>
        <w:t>The disclosure requirements specified by the relevant standards in relation to property, plant and equipment, intangible assets, impairment of assets, investment property and agriculture apply to the lessor for assets provided under operating leases.</w:t>
      </w:r>
    </w:p>
    <w:p w:rsidR="004843DB" w:rsidRPr="0062582F" w:rsidRDefault="004843DB" w:rsidP="004843DB">
      <w:pPr>
        <w:pStyle w:val="CommentaryText"/>
        <w:pBdr>
          <w:top w:val="none" w:sz="0" w:space="0" w:color="auto"/>
          <w:bottom w:val="none" w:sz="0" w:space="0" w:color="auto"/>
        </w:pBdr>
      </w:pPr>
      <w:r w:rsidRPr="0062582F">
        <w:t xml:space="preserve">AASB Interpretation 4 </w:t>
      </w:r>
      <w:r w:rsidRPr="0062582F">
        <w:rPr>
          <w:i/>
        </w:rPr>
        <w:t>Determining whether an Arrangement Contains a Lease</w:t>
      </w:r>
      <w:r w:rsidRPr="0062582F">
        <w:t xml:space="preserve"> requires the lessee to treat all payments under operating lease arrangement as lease payments for the purposes of complying with the disclosure requirements of AASB 117, but:</w:t>
      </w:r>
    </w:p>
    <w:p w:rsidR="004843DB" w:rsidRPr="0062582F" w:rsidRDefault="004843DB" w:rsidP="004843DB">
      <w:pPr>
        <w:pStyle w:val="CommentaryTextIndent"/>
        <w:pBdr>
          <w:top w:val="none" w:sz="0" w:space="0" w:color="auto"/>
          <w:bottom w:val="none" w:sz="0" w:space="0" w:color="auto"/>
        </w:pBdr>
      </w:pPr>
      <w:r w:rsidRPr="0062582F">
        <w:t>(i)</w:t>
      </w:r>
      <w:r w:rsidRPr="0062582F">
        <w:tab/>
        <w:t>disclose those payments separately from minimum lease payments of other arrangements that do not include payments for non</w:t>
      </w:r>
      <w:r w:rsidR="005A4BB0">
        <w:noBreakHyphen/>
      </w:r>
      <w:r w:rsidRPr="0062582F">
        <w:t xml:space="preserve">lease elements; and </w:t>
      </w:r>
    </w:p>
    <w:p w:rsidR="004843DB" w:rsidRPr="0062582F" w:rsidRDefault="004843DB" w:rsidP="004843DB">
      <w:pPr>
        <w:pStyle w:val="CommentaryTextIndent"/>
        <w:pBdr>
          <w:top w:val="none" w:sz="0" w:space="0" w:color="auto"/>
          <w:bottom w:val="none" w:sz="0" w:space="0" w:color="auto"/>
        </w:pBdr>
      </w:pPr>
      <w:r w:rsidRPr="0062582F">
        <w:t>(ii)</w:t>
      </w:r>
      <w:r w:rsidRPr="0062582F">
        <w:tab/>
        <w:t>state that the disclosed payments also include payments for non</w:t>
      </w:r>
      <w:r w:rsidR="005A4BB0">
        <w:noBreakHyphen/>
      </w:r>
      <w:r w:rsidRPr="0062582F">
        <w:t xml:space="preserve">lease elements in the arrangement. </w:t>
      </w:r>
    </w:p>
    <w:p w:rsidR="004843DB" w:rsidRPr="0062582F" w:rsidRDefault="004843DB" w:rsidP="004843DB">
      <w:pPr>
        <w:pStyle w:val="CommentaryText"/>
        <w:pBdr>
          <w:top w:val="none" w:sz="0" w:space="0" w:color="auto"/>
        </w:pBdr>
      </w:pPr>
      <w:r w:rsidRPr="0062582F">
        <w:t>An illustrative example of these disclosure items has not been given in the Model on the basis that such items would normally be incorporated into other existing notes, for example, Note 4 </w:t>
      </w:r>
      <w:r w:rsidRPr="0062582F">
        <w:rPr>
          <w:i/>
        </w:rPr>
        <w:t>Income from transactions</w:t>
      </w:r>
      <w:r w:rsidRPr="0062582F">
        <w:t xml:space="preserve">, Note 5 </w:t>
      </w:r>
      <w:r w:rsidRPr="0062582F">
        <w:rPr>
          <w:i/>
        </w:rPr>
        <w:t>Expenses from transactions</w:t>
      </w:r>
      <w:r w:rsidRPr="0062582F">
        <w:t xml:space="preserve"> and Note 17 </w:t>
      </w:r>
      <w:r w:rsidRPr="0062582F">
        <w:rPr>
          <w:i/>
        </w:rPr>
        <w:t>Property, plant and equipment</w:t>
      </w:r>
      <w:r w:rsidRPr="0062582F">
        <w:t>.</w:t>
      </w:r>
    </w:p>
    <w:p w:rsidR="004843DB" w:rsidRPr="0062582F" w:rsidRDefault="004843DB" w:rsidP="004843DB">
      <w:pPr>
        <w:pStyle w:val="Reference"/>
        <w:rPr>
          <w:rFonts w:ascii="Garamond" w:hAnsi="Garamond"/>
          <w:color w:val="FF0000"/>
          <w:lang w:val="en-AU"/>
        </w:rPr>
      </w:pPr>
      <w:bookmarkStart w:id="543" w:name="_Toc132689514"/>
      <w:bookmarkStart w:id="544" w:name="_Toc133138197"/>
      <w:bookmarkStart w:id="545" w:name="_Toc133203916"/>
      <w:bookmarkStart w:id="546" w:name="_Toc154475771"/>
      <w:bookmarkStart w:id="547" w:name="_Toc162327224"/>
      <w:bookmarkStart w:id="548" w:name="_Toc162327943"/>
      <w:bookmarkStart w:id="549" w:name="_Toc192562757"/>
      <w:bookmarkEnd w:id="542"/>
      <w:r w:rsidRPr="0062582F">
        <w:br w:type="column"/>
      </w:r>
    </w:p>
    <w:p w:rsidR="004843DB" w:rsidRPr="0062582F" w:rsidRDefault="004843DB" w:rsidP="004843DB">
      <w:pPr>
        <w:pStyle w:val="NoteHeading"/>
      </w:pPr>
      <w:r w:rsidRPr="0062582F">
        <w:br w:type="column"/>
      </w:r>
      <w:bookmarkStart w:id="550" w:name="_Toc332019489"/>
      <w:bookmarkStart w:id="551" w:name="_Toc366843375"/>
      <w:bookmarkStart w:id="552" w:name="_Toc448157210"/>
      <w:bookmarkEnd w:id="543"/>
      <w:bookmarkEnd w:id="544"/>
      <w:bookmarkEnd w:id="545"/>
      <w:bookmarkEnd w:id="546"/>
      <w:bookmarkEnd w:id="547"/>
      <w:bookmarkEnd w:id="548"/>
      <w:bookmarkEnd w:id="549"/>
      <w:r w:rsidRPr="0062582F">
        <w:t>Note 31.</w:t>
      </w:r>
      <w:r w:rsidRPr="0062582F">
        <w:tab/>
        <w:t>Commitments for expenditure</w:t>
      </w:r>
      <w:bookmarkEnd w:id="550"/>
      <w:bookmarkEnd w:id="551"/>
      <w:bookmarkEnd w:id="552"/>
    </w:p>
    <w:p w:rsidR="004843DB" w:rsidRPr="0062582F" w:rsidRDefault="004843DB" w:rsidP="004843DB">
      <w:pPr>
        <w:pStyle w:val="Heading5"/>
        <w:rPr>
          <w:i/>
        </w:rPr>
        <w:sectPr w:rsidR="004843DB" w:rsidRPr="0062582F" w:rsidSect="00190A01">
          <w:type w:val="continuous"/>
          <w:pgSz w:w="11906" w:h="16838"/>
          <w:pgMar w:top="1152" w:right="864" w:bottom="1152" w:left="864" w:header="432" w:footer="432" w:gutter="0"/>
          <w:cols w:num="2" w:space="720" w:equalWidth="0">
            <w:col w:w="1440" w:space="360"/>
            <w:col w:w="8090"/>
          </w:cols>
          <w:rtlGutter/>
        </w:sectPr>
      </w:pPr>
    </w:p>
    <w:p w:rsidR="004843DB" w:rsidRPr="0062582F" w:rsidRDefault="004843DB" w:rsidP="004843DB">
      <w:pPr>
        <w:pStyle w:val="Reference"/>
      </w:pPr>
      <w:r w:rsidRPr="0062582F">
        <w:t>To align the table presentation format with the State</w:t>
      </w:r>
      <w:r w:rsidR="005A4BB0">
        <w:t>’</w:t>
      </w:r>
      <w:r w:rsidRPr="0062582F">
        <w:t xml:space="preserve">s Annual Financial Report </w:t>
      </w:r>
    </w:p>
    <w:p w:rsidR="004843DB" w:rsidRPr="0062582F" w:rsidRDefault="004843DB" w:rsidP="004843DB">
      <w:pPr>
        <w:pStyle w:val="Heading5"/>
      </w:pPr>
      <w:r w:rsidRPr="0062582F">
        <w:br w:type="column"/>
        <w:t>(a)</w:t>
      </w:r>
      <w:r w:rsidRPr="0062582F">
        <w:tab/>
        <w:t>Commitments other than public private partnerships</w:t>
      </w:r>
      <w:r w:rsidRPr="0062582F">
        <w:rPr>
          <w:vertAlign w:val="superscript"/>
        </w:rPr>
        <w:t>(i)</w:t>
      </w:r>
    </w:p>
    <w:p w:rsidR="004843DB" w:rsidRPr="0062582F" w:rsidRDefault="004843DB" w:rsidP="004843DB">
      <w:pPr>
        <w:pStyle w:val="million"/>
        <w:rPr>
          <w:bCs/>
          <w:noProof/>
        </w:rPr>
      </w:pPr>
      <w:r w:rsidRPr="0062582F">
        <w:t>($ thousand)</w:t>
      </w:r>
    </w:p>
    <w:tbl>
      <w:tblPr>
        <w:tblW w:w="7832" w:type="dxa"/>
        <w:tblLayout w:type="fixed"/>
        <w:tblCellMar>
          <w:left w:w="43" w:type="dxa"/>
          <w:right w:w="43" w:type="dxa"/>
        </w:tblCellMar>
        <w:tblLook w:val="04A0" w:firstRow="1" w:lastRow="0" w:firstColumn="1" w:lastColumn="0" w:noHBand="0" w:noVBand="1"/>
      </w:tblPr>
      <w:tblGrid>
        <w:gridCol w:w="5443"/>
        <w:gridCol w:w="1198"/>
        <w:gridCol w:w="1191"/>
      </w:tblGrid>
      <w:tr w:rsidR="004843DB" w:rsidRPr="0062582F" w:rsidTr="004843DB">
        <w:trPr>
          <w:cantSplit/>
        </w:trPr>
        <w:tc>
          <w:tcPr>
            <w:tcW w:w="5443" w:type="dxa"/>
            <w:tcBorders>
              <w:top w:val="single" w:sz="4" w:space="0" w:color="auto"/>
              <w:left w:val="nil"/>
              <w:right w:val="nil"/>
            </w:tcBorders>
            <w:vAlign w:val="bottom"/>
          </w:tcPr>
          <w:p w:rsidR="004843DB" w:rsidRPr="0062582F" w:rsidRDefault="004843DB" w:rsidP="004843DB">
            <w:pPr>
              <w:pStyle w:val="Tabletext"/>
            </w:pPr>
          </w:p>
        </w:tc>
        <w:tc>
          <w:tcPr>
            <w:tcW w:w="1198" w:type="dxa"/>
            <w:tcBorders>
              <w:top w:val="single" w:sz="4" w:space="0" w:color="auto"/>
              <w:left w:val="nil"/>
              <w:right w:val="nil"/>
            </w:tcBorders>
            <w:shd w:val="clear" w:color="auto" w:fill="D9D9D9"/>
            <w:hideMark/>
          </w:tcPr>
          <w:p w:rsidR="004843DB" w:rsidRPr="0062582F" w:rsidRDefault="004843DB" w:rsidP="004843DB">
            <w:pPr>
              <w:spacing w:before="20" w:after="20"/>
              <w:jc w:val="right"/>
              <w:rPr>
                <w:rFonts w:ascii="Calibri" w:hAnsi="Calibri" w:cs="Arial"/>
                <w:bCs/>
                <w:i/>
                <w:iCs/>
                <w:noProof/>
                <w:sz w:val="18"/>
                <w:szCs w:val="18"/>
              </w:rPr>
            </w:pPr>
            <w:r w:rsidRPr="0062582F">
              <w:rPr>
                <w:rFonts w:ascii="Calibri" w:hAnsi="Calibri" w:cs="Arial"/>
                <w:bCs/>
                <w:i/>
                <w:iCs/>
                <w:noProof/>
                <w:sz w:val="18"/>
                <w:szCs w:val="18"/>
              </w:rPr>
              <w:t>2016</w:t>
            </w:r>
          </w:p>
        </w:tc>
        <w:tc>
          <w:tcPr>
            <w:tcW w:w="1191" w:type="dxa"/>
            <w:tcBorders>
              <w:top w:val="single" w:sz="4" w:space="0" w:color="auto"/>
              <w:left w:val="nil"/>
              <w:right w:val="nil"/>
            </w:tcBorders>
            <w:hideMark/>
          </w:tcPr>
          <w:p w:rsidR="004843DB" w:rsidRPr="0062582F" w:rsidRDefault="004843DB" w:rsidP="004843DB">
            <w:pPr>
              <w:spacing w:before="20" w:after="20"/>
              <w:jc w:val="right"/>
              <w:rPr>
                <w:rFonts w:ascii="Calibri" w:hAnsi="Calibri" w:cs="Arial"/>
                <w:bCs/>
                <w:i/>
                <w:iCs/>
                <w:noProof/>
                <w:sz w:val="18"/>
                <w:szCs w:val="18"/>
              </w:rPr>
            </w:pPr>
            <w:r w:rsidRPr="0062582F">
              <w:rPr>
                <w:rFonts w:ascii="Calibri" w:hAnsi="Calibri" w:cs="Arial"/>
                <w:bCs/>
                <w:i/>
                <w:iCs/>
                <w:noProof/>
                <w:sz w:val="18"/>
                <w:szCs w:val="18"/>
              </w:rPr>
              <w:t>2015</w:t>
            </w:r>
          </w:p>
        </w:tc>
      </w:tr>
      <w:tr w:rsidR="004843DB" w:rsidRPr="0062582F" w:rsidTr="004843DB">
        <w:trPr>
          <w:cantSplit/>
        </w:trPr>
        <w:tc>
          <w:tcPr>
            <w:tcW w:w="5443" w:type="dxa"/>
            <w:tcBorders>
              <w:left w:val="nil"/>
              <w:bottom w:val="nil"/>
              <w:right w:val="nil"/>
            </w:tcBorders>
            <w:vAlign w:val="center"/>
          </w:tcPr>
          <w:p w:rsidR="004843DB" w:rsidRPr="0062582F" w:rsidRDefault="004843DB" w:rsidP="004843DB">
            <w:pPr>
              <w:pStyle w:val="Tabletext"/>
            </w:pPr>
          </w:p>
        </w:tc>
        <w:tc>
          <w:tcPr>
            <w:tcW w:w="1198" w:type="dxa"/>
            <w:tcBorders>
              <w:left w:val="nil"/>
              <w:bottom w:val="single" w:sz="4" w:space="0" w:color="auto"/>
              <w:right w:val="nil"/>
            </w:tcBorders>
            <w:shd w:val="clear" w:color="auto" w:fill="D9D9D9"/>
            <w:hideMark/>
          </w:tcPr>
          <w:p w:rsidR="004843DB" w:rsidRPr="0062582F" w:rsidRDefault="004843DB" w:rsidP="004843DB">
            <w:pPr>
              <w:pStyle w:val="Tabletextheading"/>
            </w:pPr>
            <w:r w:rsidRPr="0062582F">
              <w:t>Nominal value</w:t>
            </w:r>
          </w:p>
        </w:tc>
        <w:tc>
          <w:tcPr>
            <w:tcW w:w="1191" w:type="dxa"/>
            <w:tcBorders>
              <w:left w:val="nil"/>
              <w:bottom w:val="single" w:sz="4" w:space="0" w:color="auto"/>
              <w:right w:val="nil"/>
            </w:tcBorders>
            <w:hideMark/>
          </w:tcPr>
          <w:p w:rsidR="004843DB" w:rsidRPr="0062582F" w:rsidRDefault="004843DB" w:rsidP="004843DB">
            <w:pPr>
              <w:pStyle w:val="Tabletextheading"/>
              <w:rPr>
                <w:rFonts w:ascii="Tahoma" w:hAnsi="Tahoma"/>
                <w:sz w:val="20"/>
                <w:szCs w:val="20"/>
              </w:rPr>
            </w:pPr>
            <w:r w:rsidRPr="0062582F">
              <w:t>Nominal value</w:t>
            </w:r>
          </w:p>
        </w:tc>
      </w:tr>
      <w:tr w:rsidR="004843DB" w:rsidRPr="0062582F" w:rsidTr="004843DB">
        <w:trPr>
          <w:cantSplit/>
        </w:trPr>
        <w:tc>
          <w:tcPr>
            <w:tcW w:w="5443" w:type="dxa"/>
            <w:tcBorders>
              <w:top w:val="single" w:sz="4" w:space="0" w:color="auto"/>
              <w:left w:val="nil"/>
              <w:bottom w:val="nil"/>
              <w:right w:val="nil"/>
            </w:tcBorders>
            <w:hideMark/>
          </w:tcPr>
          <w:p w:rsidR="004843DB" w:rsidRPr="0062582F" w:rsidRDefault="004843DB" w:rsidP="004843DB">
            <w:pPr>
              <w:pStyle w:val="Tabletext"/>
              <w:rPr>
                <w:b/>
              </w:rPr>
            </w:pPr>
            <w:r w:rsidRPr="0062582F">
              <w:rPr>
                <w:b/>
              </w:rPr>
              <w:t>Capital expenditure commitments</w:t>
            </w:r>
          </w:p>
        </w:tc>
        <w:tc>
          <w:tcPr>
            <w:tcW w:w="1198" w:type="dxa"/>
            <w:tcBorders>
              <w:top w:val="single" w:sz="4" w:space="0" w:color="auto"/>
              <w:left w:val="nil"/>
              <w:bottom w:val="nil"/>
              <w:right w:val="nil"/>
            </w:tcBorders>
            <w:shd w:val="clear" w:color="auto" w:fill="D9D9D9"/>
          </w:tcPr>
          <w:p w:rsidR="004843DB" w:rsidRPr="0062582F" w:rsidRDefault="004843DB" w:rsidP="004843DB">
            <w:pPr>
              <w:pStyle w:val="TableofFigures"/>
              <w:rPr>
                <w:b/>
              </w:rPr>
            </w:pPr>
          </w:p>
        </w:tc>
        <w:tc>
          <w:tcPr>
            <w:tcW w:w="1191" w:type="dxa"/>
            <w:tcBorders>
              <w:top w:val="single" w:sz="4" w:space="0" w:color="auto"/>
              <w:left w:val="nil"/>
              <w:bottom w:val="nil"/>
              <w:right w:val="nil"/>
            </w:tcBorders>
          </w:tcPr>
          <w:p w:rsidR="004843DB" w:rsidRPr="0062582F" w:rsidRDefault="004843DB" w:rsidP="004843DB">
            <w:pPr>
              <w:pStyle w:val="TableofFigures"/>
              <w:rPr>
                <w:rFonts w:ascii="Tahoma" w:hAnsi="Tahoma" w:cs="Tahoma"/>
                <w:b/>
                <w:sz w:val="20"/>
                <w:szCs w:val="20"/>
              </w:rPr>
            </w:pPr>
          </w:p>
        </w:tc>
      </w:tr>
      <w:tr w:rsidR="004843DB" w:rsidRPr="0062582F" w:rsidTr="004843DB">
        <w:trPr>
          <w:cantSplit/>
        </w:trPr>
        <w:tc>
          <w:tcPr>
            <w:tcW w:w="5443" w:type="dxa"/>
            <w:hideMark/>
          </w:tcPr>
          <w:p w:rsidR="004843DB" w:rsidRPr="0062582F" w:rsidRDefault="004843DB" w:rsidP="004843DB">
            <w:pPr>
              <w:pStyle w:val="Tabletext"/>
            </w:pPr>
            <w:r w:rsidRPr="0062582F">
              <w:t>Plant, equipment and vehicles</w:t>
            </w:r>
          </w:p>
        </w:tc>
        <w:tc>
          <w:tcPr>
            <w:tcW w:w="1198" w:type="dxa"/>
            <w:shd w:val="clear" w:color="auto" w:fill="D9D9D9"/>
            <w:hideMark/>
          </w:tcPr>
          <w:p w:rsidR="004843DB" w:rsidRPr="0062582F" w:rsidRDefault="004843DB" w:rsidP="004843DB">
            <w:pPr>
              <w:pStyle w:val="TableofFigures"/>
              <w:rPr>
                <w:rFonts w:cs="Calibri"/>
              </w:rPr>
            </w:pPr>
            <w:r w:rsidRPr="0062582F">
              <w:rPr>
                <w:rFonts w:cs="Calibri"/>
              </w:rPr>
              <w:t>4 856</w:t>
            </w:r>
          </w:p>
        </w:tc>
        <w:tc>
          <w:tcPr>
            <w:tcW w:w="1191" w:type="dxa"/>
            <w:hideMark/>
          </w:tcPr>
          <w:p w:rsidR="004843DB" w:rsidRPr="0062582F" w:rsidRDefault="004843DB" w:rsidP="004843DB">
            <w:pPr>
              <w:pStyle w:val="TableofFigures"/>
              <w:rPr>
                <w:rFonts w:cs="Calibri"/>
              </w:rPr>
            </w:pPr>
            <w:r w:rsidRPr="0062582F">
              <w:rPr>
                <w:rFonts w:cs="Calibri"/>
              </w:rPr>
              <w:t>6 010</w:t>
            </w:r>
          </w:p>
        </w:tc>
      </w:tr>
      <w:tr w:rsidR="004843DB" w:rsidRPr="0062582F" w:rsidTr="004843DB">
        <w:trPr>
          <w:cantSplit/>
        </w:trPr>
        <w:tc>
          <w:tcPr>
            <w:tcW w:w="5443" w:type="dxa"/>
            <w:tcBorders>
              <w:top w:val="single" w:sz="4" w:space="0" w:color="auto"/>
              <w:left w:val="nil"/>
              <w:bottom w:val="single" w:sz="4" w:space="0" w:color="auto"/>
              <w:right w:val="nil"/>
            </w:tcBorders>
            <w:vAlign w:val="center"/>
            <w:hideMark/>
          </w:tcPr>
          <w:p w:rsidR="004843DB" w:rsidRPr="0062582F" w:rsidRDefault="004843DB" w:rsidP="004843DB">
            <w:pPr>
              <w:pStyle w:val="Tabletext"/>
              <w:rPr>
                <w:b/>
              </w:rPr>
            </w:pPr>
            <w:r w:rsidRPr="0062582F">
              <w:rPr>
                <w:b/>
              </w:rPr>
              <w:t>Total capital expenditure commitments</w:t>
            </w:r>
          </w:p>
        </w:tc>
        <w:tc>
          <w:tcPr>
            <w:tcW w:w="1198" w:type="dxa"/>
            <w:tcBorders>
              <w:top w:val="single" w:sz="4" w:space="0" w:color="auto"/>
              <w:left w:val="nil"/>
              <w:bottom w:val="single" w:sz="4" w:space="0" w:color="auto"/>
              <w:right w:val="nil"/>
            </w:tcBorders>
            <w:shd w:val="clear" w:color="auto" w:fill="D9D9D9"/>
            <w:hideMark/>
          </w:tcPr>
          <w:p w:rsidR="004843DB" w:rsidRPr="0062582F" w:rsidRDefault="004843DB" w:rsidP="004843DB">
            <w:pPr>
              <w:pStyle w:val="TableofFigures"/>
              <w:rPr>
                <w:rFonts w:cs="Calibri"/>
                <w:b/>
              </w:rPr>
            </w:pPr>
            <w:r w:rsidRPr="0062582F">
              <w:rPr>
                <w:rFonts w:cs="Calibri"/>
                <w:b/>
              </w:rPr>
              <w:t>4 856</w:t>
            </w:r>
          </w:p>
        </w:tc>
        <w:tc>
          <w:tcPr>
            <w:tcW w:w="1191" w:type="dxa"/>
            <w:tcBorders>
              <w:top w:val="single" w:sz="4" w:space="0" w:color="auto"/>
              <w:left w:val="nil"/>
              <w:bottom w:val="single" w:sz="4" w:space="0" w:color="auto"/>
              <w:right w:val="nil"/>
            </w:tcBorders>
            <w:hideMark/>
          </w:tcPr>
          <w:p w:rsidR="004843DB" w:rsidRPr="0062582F" w:rsidRDefault="004843DB" w:rsidP="004843DB">
            <w:pPr>
              <w:pStyle w:val="TableofFigures"/>
              <w:rPr>
                <w:rFonts w:cs="Calibri"/>
                <w:b/>
              </w:rPr>
            </w:pPr>
            <w:r w:rsidRPr="0062582F">
              <w:rPr>
                <w:rFonts w:cs="Calibri"/>
                <w:b/>
              </w:rPr>
              <w:t>6 010</w:t>
            </w:r>
          </w:p>
        </w:tc>
      </w:tr>
      <w:tr w:rsidR="004843DB" w:rsidRPr="0062582F" w:rsidTr="004843DB">
        <w:trPr>
          <w:cantSplit/>
        </w:trPr>
        <w:tc>
          <w:tcPr>
            <w:tcW w:w="5443" w:type="dxa"/>
            <w:tcBorders>
              <w:top w:val="single" w:sz="4" w:space="0" w:color="auto"/>
              <w:left w:val="nil"/>
              <w:right w:val="nil"/>
            </w:tcBorders>
            <w:vAlign w:val="center"/>
          </w:tcPr>
          <w:p w:rsidR="004843DB" w:rsidRPr="0062582F" w:rsidRDefault="004843DB" w:rsidP="004843DB">
            <w:pPr>
              <w:pStyle w:val="Tabletext"/>
              <w:rPr>
                <w:b/>
              </w:rPr>
            </w:pPr>
            <w:r w:rsidRPr="0062582F">
              <w:rPr>
                <w:b/>
              </w:rPr>
              <w:t>Intangible asset commitments</w:t>
            </w:r>
          </w:p>
        </w:tc>
        <w:tc>
          <w:tcPr>
            <w:tcW w:w="1198" w:type="dxa"/>
            <w:tcBorders>
              <w:top w:val="single" w:sz="4" w:space="0" w:color="auto"/>
              <w:left w:val="nil"/>
              <w:right w:val="nil"/>
            </w:tcBorders>
            <w:shd w:val="clear" w:color="auto" w:fill="D9D9D9"/>
          </w:tcPr>
          <w:p w:rsidR="004843DB" w:rsidRPr="0062582F" w:rsidRDefault="004843DB" w:rsidP="004843DB">
            <w:pPr>
              <w:pStyle w:val="TableofFigures"/>
            </w:pPr>
          </w:p>
        </w:tc>
        <w:tc>
          <w:tcPr>
            <w:tcW w:w="1191" w:type="dxa"/>
            <w:tcBorders>
              <w:top w:val="single" w:sz="4" w:space="0" w:color="auto"/>
              <w:left w:val="nil"/>
              <w:right w:val="nil"/>
            </w:tcBorders>
          </w:tcPr>
          <w:p w:rsidR="004843DB" w:rsidRPr="0062582F" w:rsidRDefault="004843DB" w:rsidP="004843DB">
            <w:pPr>
              <w:pStyle w:val="TableofFigures"/>
            </w:pPr>
          </w:p>
        </w:tc>
      </w:tr>
      <w:tr w:rsidR="004843DB" w:rsidRPr="0062582F" w:rsidTr="004843DB">
        <w:trPr>
          <w:cantSplit/>
        </w:trPr>
        <w:tc>
          <w:tcPr>
            <w:tcW w:w="5443" w:type="dxa"/>
            <w:tcBorders>
              <w:left w:val="nil"/>
              <w:bottom w:val="single" w:sz="4" w:space="0" w:color="auto"/>
              <w:right w:val="nil"/>
            </w:tcBorders>
            <w:vAlign w:val="center"/>
          </w:tcPr>
          <w:p w:rsidR="004843DB" w:rsidRPr="0062582F" w:rsidRDefault="004843DB" w:rsidP="004843DB">
            <w:pPr>
              <w:pStyle w:val="Tabletext"/>
              <w:rPr>
                <w:b/>
              </w:rPr>
            </w:pPr>
            <w:r w:rsidRPr="0062582F">
              <w:t>Patent</w:t>
            </w:r>
          </w:p>
        </w:tc>
        <w:tc>
          <w:tcPr>
            <w:tcW w:w="1198" w:type="dxa"/>
            <w:tcBorders>
              <w:left w:val="nil"/>
              <w:bottom w:val="single" w:sz="4" w:space="0" w:color="auto"/>
              <w:right w:val="nil"/>
            </w:tcBorders>
            <w:shd w:val="clear" w:color="auto" w:fill="D9D9D9"/>
          </w:tcPr>
          <w:p w:rsidR="004843DB" w:rsidRPr="0062582F" w:rsidRDefault="004843DB" w:rsidP="004843DB">
            <w:pPr>
              <w:pStyle w:val="TableofFigures"/>
              <w:rPr>
                <w:rFonts w:cs="Calibri"/>
              </w:rPr>
            </w:pPr>
            <w:r w:rsidRPr="0062582F">
              <w:rPr>
                <w:rFonts w:cs="Calibri"/>
              </w:rPr>
              <w:t>43</w:t>
            </w:r>
          </w:p>
        </w:tc>
        <w:tc>
          <w:tcPr>
            <w:tcW w:w="1191" w:type="dxa"/>
            <w:tcBorders>
              <w:left w:val="nil"/>
              <w:bottom w:val="single" w:sz="4" w:space="0" w:color="auto"/>
              <w:right w:val="nil"/>
            </w:tcBorders>
          </w:tcPr>
          <w:p w:rsidR="004843DB" w:rsidRPr="0062582F" w:rsidRDefault="004843DB" w:rsidP="004843DB">
            <w:pPr>
              <w:pStyle w:val="TableofFigures"/>
              <w:rPr>
                <w:rFonts w:cs="Calibri"/>
              </w:rPr>
            </w:pPr>
            <w:r w:rsidRPr="0062582F">
              <w:rPr>
                <w:rFonts w:cs="Calibri"/>
              </w:rPr>
              <w:t>20</w:t>
            </w:r>
          </w:p>
        </w:tc>
      </w:tr>
      <w:tr w:rsidR="004843DB" w:rsidRPr="0062582F" w:rsidTr="004843DB">
        <w:trPr>
          <w:cantSplit/>
        </w:trPr>
        <w:tc>
          <w:tcPr>
            <w:tcW w:w="5443" w:type="dxa"/>
            <w:tcBorders>
              <w:top w:val="single" w:sz="4" w:space="0" w:color="auto"/>
              <w:left w:val="nil"/>
              <w:bottom w:val="single" w:sz="4" w:space="0" w:color="auto"/>
              <w:right w:val="nil"/>
            </w:tcBorders>
            <w:vAlign w:val="center"/>
          </w:tcPr>
          <w:p w:rsidR="004843DB" w:rsidRPr="0062582F" w:rsidRDefault="004843DB" w:rsidP="004843DB">
            <w:pPr>
              <w:pStyle w:val="Tabletext"/>
              <w:rPr>
                <w:b/>
              </w:rPr>
            </w:pPr>
            <w:r w:rsidRPr="0062582F">
              <w:rPr>
                <w:b/>
              </w:rPr>
              <w:t>Total intangible asset commitments</w:t>
            </w:r>
          </w:p>
        </w:tc>
        <w:tc>
          <w:tcPr>
            <w:tcW w:w="1198" w:type="dxa"/>
            <w:tcBorders>
              <w:top w:val="single" w:sz="4" w:space="0" w:color="auto"/>
              <w:left w:val="nil"/>
              <w:bottom w:val="single" w:sz="4" w:space="0" w:color="auto"/>
              <w:right w:val="nil"/>
            </w:tcBorders>
            <w:shd w:val="clear" w:color="auto" w:fill="D9D9D9"/>
          </w:tcPr>
          <w:p w:rsidR="004843DB" w:rsidRPr="0062582F" w:rsidRDefault="004843DB" w:rsidP="004843DB">
            <w:pPr>
              <w:pStyle w:val="TableofFigures"/>
              <w:rPr>
                <w:rFonts w:cs="Calibri"/>
                <w:b/>
              </w:rPr>
            </w:pPr>
            <w:r w:rsidRPr="0062582F">
              <w:rPr>
                <w:rFonts w:cs="Calibri"/>
                <w:b/>
              </w:rPr>
              <w:t>43</w:t>
            </w:r>
          </w:p>
        </w:tc>
        <w:tc>
          <w:tcPr>
            <w:tcW w:w="1191" w:type="dxa"/>
            <w:tcBorders>
              <w:top w:val="single" w:sz="4" w:space="0" w:color="auto"/>
              <w:left w:val="nil"/>
              <w:bottom w:val="single" w:sz="4" w:space="0" w:color="auto"/>
              <w:right w:val="nil"/>
            </w:tcBorders>
          </w:tcPr>
          <w:p w:rsidR="004843DB" w:rsidRPr="0062582F" w:rsidRDefault="004843DB" w:rsidP="004843DB">
            <w:pPr>
              <w:pStyle w:val="TableofFigures"/>
              <w:rPr>
                <w:rFonts w:cs="Calibri"/>
                <w:b/>
              </w:rPr>
            </w:pPr>
            <w:r w:rsidRPr="0062582F">
              <w:rPr>
                <w:rFonts w:cs="Calibri"/>
                <w:b/>
              </w:rPr>
              <w:t>20</w:t>
            </w:r>
          </w:p>
        </w:tc>
      </w:tr>
      <w:tr w:rsidR="004843DB" w:rsidRPr="0062582F" w:rsidTr="004843DB">
        <w:trPr>
          <w:cantSplit/>
        </w:trPr>
        <w:tc>
          <w:tcPr>
            <w:tcW w:w="5443" w:type="dxa"/>
            <w:tcBorders>
              <w:top w:val="single" w:sz="4" w:space="0" w:color="auto"/>
              <w:left w:val="nil"/>
              <w:right w:val="nil"/>
            </w:tcBorders>
            <w:vAlign w:val="center"/>
          </w:tcPr>
          <w:p w:rsidR="004843DB" w:rsidRPr="0062582F" w:rsidRDefault="004843DB" w:rsidP="004843DB">
            <w:pPr>
              <w:pStyle w:val="Tabletext"/>
              <w:rPr>
                <w:b/>
              </w:rPr>
            </w:pPr>
            <w:r w:rsidRPr="0062582F">
              <w:rPr>
                <w:b/>
              </w:rPr>
              <w:t>Department</w:t>
            </w:r>
            <w:r w:rsidR="005A4BB0">
              <w:rPr>
                <w:b/>
              </w:rPr>
              <w:t>’</w:t>
            </w:r>
            <w:r w:rsidRPr="0062582F">
              <w:rPr>
                <w:b/>
              </w:rPr>
              <w:t>s share of joint ventures</w:t>
            </w:r>
            <w:r w:rsidR="005A4BB0">
              <w:rPr>
                <w:b/>
              </w:rPr>
              <w:t>’</w:t>
            </w:r>
            <w:r w:rsidRPr="0062582F">
              <w:rPr>
                <w:b/>
              </w:rPr>
              <w:t xml:space="preserve"> capital</w:t>
            </w:r>
            <w:r w:rsidR="005A4BB0">
              <w:rPr>
                <w:b/>
              </w:rPr>
              <w:noBreakHyphen/>
            </w:r>
            <w:r w:rsidRPr="0062582F">
              <w:rPr>
                <w:b/>
              </w:rPr>
              <w:t xml:space="preserve">intensive projects commitments </w:t>
            </w:r>
          </w:p>
        </w:tc>
        <w:tc>
          <w:tcPr>
            <w:tcW w:w="1198" w:type="dxa"/>
            <w:tcBorders>
              <w:top w:val="single" w:sz="4" w:space="0" w:color="auto"/>
              <w:left w:val="nil"/>
              <w:right w:val="nil"/>
            </w:tcBorders>
            <w:shd w:val="clear" w:color="auto" w:fill="D9D9D9"/>
          </w:tcPr>
          <w:p w:rsidR="004843DB" w:rsidRPr="0062582F" w:rsidRDefault="004843DB" w:rsidP="004843DB">
            <w:pPr>
              <w:pStyle w:val="TableofFigures"/>
              <w:rPr>
                <w:rFonts w:cs="Calibri"/>
                <w:b/>
              </w:rPr>
            </w:pPr>
          </w:p>
        </w:tc>
        <w:tc>
          <w:tcPr>
            <w:tcW w:w="1191" w:type="dxa"/>
            <w:tcBorders>
              <w:top w:val="single" w:sz="4" w:space="0" w:color="auto"/>
              <w:left w:val="nil"/>
              <w:right w:val="nil"/>
            </w:tcBorders>
          </w:tcPr>
          <w:p w:rsidR="004843DB" w:rsidRPr="0062582F" w:rsidRDefault="004843DB" w:rsidP="004843DB">
            <w:pPr>
              <w:pStyle w:val="TableofFigures"/>
              <w:rPr>
                <w:rFonts w:cs="Calibri"/>
                <w:b/>
              </w:rPr>
            </w:pPr>
          </w:p>
        </w:tc>
      </w:tr>
      <w:tr w:rsidR="004843DB" w:rsidRPr="0062582F" w:rsidTr="004843DB">
        <w:trPr>
          <w:cantSplit/>
        </w:trPr>
        <w:tc>
          <w:tcPr>
            <w:tcW w:w="5443" w:type="dxa"/>
            <w:tcBorders>
              <w:left w:val="nil"/>
              <w:bottom w:val="single" w:sz="4" w:space="0" w:color="auto"/>
              <w:right w:val="nil"/>
            </w:tcBorders>
            <w:vAlign w:val="center"/>
          </w:tcPr>
          <w:p w:rsidR="004843DB" w:rsidRPr="0062582F" w:rsidRDefault="004843DB" w:rsidP="004843DB">
            <w:pPr>
              <w:pStyle w:val="Tabletext"/>
              <w:rPr>
                <w:b/>
              </w:rPr>
            </w:pPr>
            <w:r w:rsidRPr="0062582F">
              <w:t>Plant, equipment and vehicles</w:t>
            </w:r>
          </w:p>
        </w:tc>
        <w:tc>
          <w:tcPr>
            <w:tcW w:w="1198" w:type="dxa"/>
            <w:tcBorders>
              <w:left w:val="nil"/>
              <w:bottom w:val="single" w:sz="4" w:space="0" w:color="auto"/>
              <w:right w:val="nil"/>
            </w:tcBorders>
            <w:shd w:val="clear" w:color="auto" w:fill="D9D9D9"/>
          </w:tcPr>
          <w:p w:rsidR="004843DB" w:rsidRPr="0062582F" w:rsidRDefault="004843DB" w:rsidP="004843DB">
            <w:pPr>
              <w:pStyle w:val="TableofFigures"/>
              <w:rPr>
                <w:rFonts w:cs="Calibri"/>
                <w:noProof/>
              </w:rPr>
            </w:pPr>
            <w:r w:rsidRPr="0062582F">
              <w:rPr>
                <w:rFonts w:cs="Calibri"/>
              </w:rPr>
              <w:t>21</w:t>
            </w:r>
          </w:p>
        </w:tc>
        <w:tc>
          <w:tcPr>
            <w:tcW w:w="1191" w:type="dxa"/>
            <w:tcBorders>
              <w:left w:val="nil"/>
              <w:bottom w:val="single" w:sz="4" w:space="0" w:color="auto"/>
              <w:right w:val="nil"/>
            </w:tcBorders>
          </w:tcPr>
          <w:p w:rsidR="004843DB" w:rsidRPr="0062582F" w:rsidRDefault="004843DB" w:rsidP="004843DB">
            <w:pPr>
              <w:pStyle w:val="TableofFigures"/>
              <w:rPr>
                <w:rFonts w:cs="Calibri"/>
              </w:rPr>
            </w:pPr>
            <w:r w:rsidRPr="0062582F">
              <w:rPr>
                <w:rFonts w:cs="Calibri"/>
              </w:rPr>
              <w:t>21</w:t>
            </w:r>
          </w:p>
        </w:tc>
      </w:tr>
      <w:tr w:rsidR="004843DB" w:rsidRPr="0062582F" w:rsidTr="004843DB">
        <w:trPr>
          <w:cantSplit/>
        </w:trPr>
        <w:tc>
          <w:tcPr>
            <w:tcW w:w="5443" w:type="dxa"/>
            <w:tcBorders>
              <w:top w:val="single" w:sz="4" w:space="0" w:color="auto"/>
              <w:left w:val="nil"/>
              <w:bottom w:val="single" w:sz="4" w:space="0" w:color="auto"/>
              <w:right w:val="nil"/>
            </w:tcBorders>
            <w:vAlign w:val="center"/>
          </w:tcPr>
          <w:p w:rsidR="004843DB" w:rsidRPr="0062582F" w:rsidRDefault="004843DB" w:rsidP="004843DB">
            <w:pPr>
              <w:pStyle w:val="Tabletext"/>
              <w:rPr>
                <w:b/>
              </w:rPr>
            </w:pPr>
            <w:r w:rsidRPr="0062582F">
              <w:rPr>
                <w:b/>
              </w:rPr>
              <w:t>Total department</w:t>
            </w:r>
            <w:r w:rsidR="005A4BB0">
              <w:rPr>
                <w:b/>
              </w:rPr>
              <w:t>’</w:t>
            </w:r>
            <w:r w:rsidRPr="0062582F">
              <w:rPr>
                <w:b/>
              </w:rPr>
              <w:t>s share of joint ventures</w:t>
            </w:r>
            <w:r w:rsidR="005A4BB0">
              <w:rPr>
                <w:b/>
              </w:rPr>
              <w:t>’</w:t>
            </w:r>
            <w:r w:rsidRPr="0062582F">
              <w:rPr>
                <w:b/>
              </w:rPr>
              <w:t xml:space="preserve"> capital</w:t>
            </w:r>
            <w:r w:rsidR="005A4BB0">
              <w:rPr>
                <w:b/>
              </w:rPr>
              <w:noBreakHyphen/>
            </w:r>
            <w:r w:rsidRPr="0062582F">
              <w:rPr>
                <w:b/>
              </w:rPr>
              <w:t xml:space="preserve">intensive projects commitments </w:t>
            </w:r>
          </w:p>
        </w:tc>
        <w:tc>
          <w:tcPr>
            <w:tcW w:w="1198" w:type="dxa"/>
            <w:tcBorders>
              <w:top w:val="single" w:sz="4" w:space="0" w:color="auto"/>
              <w:left w:val="nil"/>
              <w:bottom w:val="single" w:sz="4" w:space="0" w:color="auto"/>
              <w:right w:val="nil"/>
            </w:tcBorders>
            <w:shd w:val="clear" w:color="auto" w:fill="D9D9D9"/>
          </w:tcPr>
          <w:p w:rsidR="004843DB" w:rsidRPr="0062582F" w:rsidRDefault="004843DB" w:rsidP="004843DB">
            <w:pPr>
              <w:pStyle w:val="TableofFigures"/>
              <w:rPr>
                <w:rFonts w:cs="Calibri"/>
                <w:b/>
              </w:rPr>
            </w:pPr>
            <w:r w:rsidRPr="0062582F">
              <w:rPr>
                <w:rFonts w:cs="Calibri"/>
                <w:b/>
              </w:rPr>
              <w:t>21</w:t>
            </w:r>
          </w:p>
        </w:tc>
        <w:tc>
          <w:tcPr>
            <w:tcW w:w="1191" w:type="dxa"/>
            <w:tcBorders>
              <w:top w:val="single" w:sz="4" w:space="0" w:color="auto"/>
              <w:left w:val="nil"/>
              <w:bottom w:val="single" w:sz="4" w:space="0" w:color="auto"/>
              <w:right w:val="nil"/>
            </w:tcBorders>
          </w:tcPr>
          <w:p w:rsidR="004843DB" w:rsidRPr="0062582F" w:rsidRDefault="004843DB" w:rsidP="004843DB">
            <w:pPr>
              <w:pStyle w:val="TableofFigures"/>
              <w:rPr>
                <w:rFonts w:cs="Calibri"/>
                <w:b/>
              </w:rPr>
            </w:pPr>
            <w:r w:rsidRPr="0062582F">
              <w:rPr>
                <w:rFonts w:cs="Calibri"/>
                <w:b/>
              </w:rPr>
              <w:t>21</w:t>
            </w:r>
          </w:p>
        </w:tc>
      </w:tr>
      <w:tr w:rsidR="004843DB" w:rsidRPr="0062582F" w:rsidTr="004843DB">
        <w:trPr>
          <w:cantSplit/>
        </w:trPr>
        <w:tc>
          <w:tcPr>
            <w:tcW w:w="5443" w:type="dxa"/>
            <w:tcBorders>
              <w:left w:val="nil"/>
              <w:right w:val="nil"/>
            </w:tcBorders>
            <w:vAlign w:val="center"/>
          </w:tcPr>
          <w:p w:rsidR="004843DB" w:rsidRPr="0062582F" w:rsidRDefault="004843DB" w:rsidP="004843DB">
            <w:pPr>
              <w:pStyle w:val="Tabletext"/>
              <w:rPr>
                <w:b/>
              </w:rPr>
            </w:pPr>
            <w:r w:rsidRPr="0062582F">
              <w:rPr>
                <w:b/>
              </w:rPr>
              <w:t>Operating and lease commitments</w:t>
            </w:r>
          </w:p>
        </w:tc>
        <w:tc>
          <w:tcPr>
            <w:tcW w:w="1198" w:type="dxa"/>
            <w:tcBorders>
              <w:left w:val="nil"/>
              <w:right w:val="nil"/>
            </w:tcBorders>
            <w:shd w:val="clear" w:color="auto" w:fill="D9D9D9"/>
          </w:tcPr>
          <w:p w:rsidR="004843DB" w:rsidRPr="0062582F" w:rsidRDefault="004843DB" w:rsidP="004843DB">
            <w:pPr>
              <w:pStyle w:val="TableofFigures"/>
              <w:rPr>
                <w:rFonts w:cs="Calibri"/>
                <w:b/>
              </w:rPr>
            </w:pPr>
          </w:p>
        </w:tc>
        <w:tc>
          <w:tcPr>
            <w:tcW w:w="1191" w:type="dxa"/>
            <w:tcBorders>
              <w:left w:val="nil"/>
              <w:right w:val="nil"/>
            </w:tcBorders>
          </w:tcPr>
          <w:p w:rsidR="004843DB" w:rsidRPr="0062582F" w:rsidRDefault="004843DB" w:rsidP="004843DB">
            <w:pPr>
              <w:pStyle w:val="TableofFigures"/>
              <w:rPr>
                <w:rFonts w:cs="Calibri"/>
                <w:b/>
              </w:rPr>
            </w:pPr>
          </w:p>
        </w:tc>
      </w:tr>
      <w:tr w:rsidR="004843DB" w:rsidRPr="0062582F" w:rsidTr="004843DB">
        <w:trPr>
          <w:cantSplit/>
        </w:trPr>
        <w:tc>
          <w:tcPr>
            <w:tcW w:w="5443" w:type="dxa"/>
            <w:tcBorders>
              <w:left w:val="nil"/>
              <w:bottom w:val="single" w:sz="4" w:space="0" w:color="auto"/>
              <w:right w:val="nil"/>
            </w:tcBorders>
            <w:vAlign w:val="center"/>
          </w:tcPr>
          <w:p w:rsidR="004843DB" w:rsidRPr="0062582F" w:rsidRDefault="004843DB" w:rsidP="004843DB">
            <w:pPr>
              <w:pStyle w:val="Tabletext"/>
            </w:pPr>
            <w:r w:rsidRPr="0062582F">
              <w:t>Warehouse facilities</w:t>
            </w:r>
          </w:p>
        </w:tc>
        <w:tc>
          <w:tcPr>
            <w:tcW w:w="1198" w:type="dxa"/>
            <w:tcBorders>
              <w:left w:val="nil"/>
              <w:bottom w:val="single" w:sz="4" w:space="0" w:color="auto"/>
              <w:right w:val="nil"/>
            </w:tcBorders>
            <w:shd w:val="clear" w:color="auto" w:fill="D9D9D9"/>
          </w:tcPr>
          <w:p w:rsidR="004843DB" w:rsidRPr="0062582F" w:rsidRDefault="004843DB" w:rsidP="004843DB">
            <w:pPr>
              <w:pStyle w:val="TableofFigures"/>
              <w:rPr>
                <w:rFonts w:cs="Calibri"/>
              </w:rPr>
            </w:pPr>
            <w:r w:rsidRPr="0062582F">
              <w:rPr>
                <w:rFonts w:cs="Calibri"/>
              </w:rPr>
              <w:t>31</w:t>
            </w:r>
          </w:p>
        </w:tc>
        <w:tc>
          <w:tcPr>
            <w:tcW w:w="1191" w:type="dxa"/>
            <w:tcBorders>
              <w:left w:val="nil"/>
              <w:bottom w:val="single" w:sz="4" w:space="0" w:color="auto"/>
              <w:right w:val="nil"/>
            </w:tcBorders>
          </w:tcPr>
          <w:p w:rsidR="004843DB" w:rsidRPr="0062582F" w:rsidRDefault="004843DB" w:rsidP="004843DB">
            <w:pPr>
              <w:pStyle w:val="TableofFigures"/>
              <w:rPr>
                <w:rFonts w:cs="Calibri"/>
              </w:rPr>
            </w:pPr>
            <w:r w:rsidRPr="0062582F">
              <w:rPr>
                <w:rFonts w:cs="Calibri"/>
              </w:rPr>
              <w:t>28</w:t>
            </w:r>
          </w:p>
        </w:tc>
      </w:tr>
      <w:tr w:rsidR="004843DB" w:rsidRPr="0062582F" w:rsidTr="004843DB">
        <w:trPr>
          <w:cantSplit/>
        </w:trPr>
        <w:tc>
          <w:tcPr>
            <w:tcW w:w="5443" w:type="dxa"/>
            <w:tcBorders>
              <w:left w:val="nil"/>
              <w:bottom w:val="single" w:sz="4" w:space="0" w:color="auto"/>
              <w:right w:val="nil"/>
            </w:tcBorders>
            <w:vAlign w:val="center"/>
          </w:tcPr>
          <w:p w:rsidR="004843DB" w:rsidRPr="0062582F" w:rsidRDefault="004843DB" w:rsidP="004843DB">
            <w:pPr>
              <w:pStyle w:val="Tabletext"/>
              <w:rPr>
                <w:b/>
              </w:rPr>
            </w:pPr>
            <w:r w:rsidRPr="0062582F">
              <w:rPr>
                <w:b/>
              </w:rPr>
              <w:t>Total operating and lease commitments</w:t>
            </w:r>
          </w:p>
        </w:tc>
        <w:tc>
          <w:tcPr>
            <w:tcW w:w="1198" w:type="dxa"/>
            <w:tcBorders>
              <w:left w:val="nil"/>
              <w:bottom w:val="single" w:sz="4" w:space="0" w:color="auto"/>
              <w:right w:val="nil"/>
            </w:tcBorders>
            <w:shd w:val="clear" w:color="auto" w:fill="D9D9D9"/>
          </w:tcPr>
          <w:p w:rsidR="004843DB" w:rsidRPr="0062582F" w:rsidRDefault="004843DB" w:rsidP="004843DB">
            <w:pPr>
              <w:pStyle w:val="TableofFigures"/>
              <w:rPr>
                <w:rFonts w:cs="Calibri"/>
                <w:b/>
              </w:rPr>
            </w:pPr>
            <w:r w:rsidRPr="0062582F">
              <w:rPr>
                <w:rFonts w:cs="Calibri"/>
                <w:b/>
              </w:rPr>
              <w:t>31</w:t>
            </w:r>
          </w:p>
        </w:tc>
        <w:tc>
          <w:tcPr>
            <w:tcW w:w="1191" w:type="dxa"/>
            <w:tcBorders>
              <w:left w:val="nil"/>
              <w:bottom w:val="single" w:sz="4" w:space="0" w:color="auto"/>
              <w:right w:val="nil"/>
            </w:tcBorders>
          </w:tcPr>
          <w:p w:rsidR="004843DB" w:rsidRPr="0062582F" w:rsidRDefault="004843DB" w:rsidP="004843DB">
            <w:pPr>
              <w:pStyle w:val="TableofFigures"/>
              <w:rPr>
                <w:rFonts w:cs="Calibri"/>
                <w:b/>
              </w:rPr>
            </w:pPr>
            <w:r w:rsidRPr="0062582F">
              <w:rPr>
                <w:rFonts w:cs="Calibri"/>
                <w:b/>
              </w:rPr>
              <w:t>28</w:t>
            </w:r>
          </w:p>
        </w:tc>
      </w:tr>
      <w:tr w:rsidR="004843DB" w:rsidRPr="0062582F" w:rsidTr="004843DB">
        <w:trPr>
          <w:cantSplit/>
        </w:trPr>
        <w:tc>
          <w:tcPr>
            <w:tcW w:w="5443" w:type="dxa"/>
            <w:tcBorders>
              <w:top w:val="single" w:sz="4" w:space="0" w:color="auto"/>
              <w:left w:val="nil"/>
              <w:right w:val="nil"/>
            </w:tcBorders>
            <w:hideMark/>
          </w:tcPr>
          <w:p w:rsidR="004843DB" w:rsidRPr="0062582F" w:rsidRDefault="004843DB" w:rsidP="004843DB">
            <w:pPr>
              <w:pStyle w:val="Tabletext"/>
              <w:rPr>
                <w:b/>
              </w:rPr>
            </w:pPr>
            <w:r w:rsidRPr="0062582F">
              <w:rPr>
                <w:b/>
              </w:rPr>
              <w:t>Other commitments</w:t>
            </w:r>
          </w:p>
        </w:tc>
        <w:tc>
          <w:tcPr>
            <w:tcW w:w="1198" w:type="dxa"/>
            <w:tcBorders>
              <w:top w:val="single" w:sz="4" w:space="0" w:color="auto"/>
              <w:left w:val="nil"/>
              <w:right w:val="nil"/>
            </w:tcBorders>
            <w:shd w:val="clear" w:color="auto" w:fill="D9D9D9"/>
            <w:hideMark/>
          </w:tcPr>
          <w:p w:rsidR="004843DB" w:rsidRPr="0062582F" w:rsidRDefault="004843DB" w:rsidP="004843DB">
            <w:pPr>
              <w:pStyle w:val="TableofFigures"/>
              <w:rPr>
                <w:rFonts w:cs="Calibri"/>
                <w:b/>
              </w:rPr>
            </w:pPr>
          </w:p>
        </w:tc>
        <w:tc>
          <w:tcPr>
            <w:tcW w:w="1191" w:type="dxa"/>
            <w:tcBorders>
              <w:top w:val="single" w:sz="4" w:space="0" w:color="auto"/>
              <w:left w:val="nil"/>
              <w:right w:val="nil"/>
            </w:tcBorders>
            <w:hideMark/>
          </w:tcPr>
          <w:p w:rsidR="004843DB" w:rsidRPr="0062582F" w:rsidRDefault="004843DB" w:rsidP="004843DB">
            <w:pPr>
              <w:pStyle w:val="TableofFigures"/>
              <w:rPr>
                <w:rFonts w:cs="Calibri"/>
                <w:b/>
              </w:rPr>
            </w:pPr>
          </w:p>
        </w:tc>
      </w:tr>
      <w:tr w:rsidR="004843DB" w:rsidRPr="0062582F" w:rsidTr="004843DB">
        <w:trPr>
          <w:cantSplit/>
        </w:trPr>
        <w:tc>
          <w:tcPr>
            <w:tcW w:w="5443" w:type="dxa"/>
            <w:tcBorders>
              <w:left w:val="nil"/>
              <w:bottom w:val="single" w:sz="4" w:space="0" w:color="auto"/>
              <w:right w:val="nil"/>
            </w:tcBorders>
          </w:tcPr>
          <w:p w:rsidR="004843DB" w:rsidRPr="0062582F" w:rsidRDefault="004843DB" w:rsidP="004843DB">
            <w:pPr>
              <w:pStyle w:val="Tabletext"/>
            </w:pPr>
            <w:r w:rsidRPr="0062582F">
              <w:t>Outsourcing</w:t>
            </w:r>
          </w:p>
        </w:tc>
        <w:tc>
          <w:tcPr>
            <w:tcW w:w="1198" w:type="dxa"/>
            <w:tcBorders>
              <w:left w:val="nil"/>
              <w:bottom w:val="single" w:sz="4" w:space="0" w:color="auto"/>
              <w:right w:val="nil"/>
            </w:tcBorders>
            <w:shd w:val="clear" w:color="auto" w:fill="D9D9D9"/>
          </w:tcPr>
          <w:p w:rsidR="004843DB" w:rsidRPr="0062582F" w:rsidRDefault="004843DB" w:rsidP="004843DB">
            <w:pPr>
              <w:pStyle w:val="TableofFigures"/>
            </w:pPr>
            <w:r w:rsidRPr="0062582F">
              <w:t>168</w:t>
            </w:r>
          </w:p>
        </w:tc>
        <w:tc>
          <w:tcPr>
            <w:tcW w:w="1191" w:type="dxa"/>
            <w:tcBorders>
              <w:left w:val="nil"/>
              <w:bottom w:val="single" w:sz="4" w:space="0" w:color="auto"/>
              <w:right w:val="nil"/>
            </w:tcBorders>
          </w:tcPr>
          <w:p w:rsidR="004843DB" w:rsidRPr="0062582F" w:rsidRDefault="004843DB" w:rsidP="004843DB">
            <w:pPr>
              <w:pStyle w:val="TableofFigures"/>
            </w:pPr>
            <w:r w:rsidRPr="0062582F">
              <w:t>..</w:t>
            </w:r>
          </w:p>
        </w:tc>
      </w:tr>
      <w:tr w:rsidR="004843DB" w:rsidRPr="0062582F" w:rsidTr="004843DB">
        <w:trPr>
          <w:cantSplit/>
        </w:trPr>
        <w:tc>
          <w:tcPr>
            <w:tcW w:w="5443" w:type="dxa"/>
            <w:tcBorders>
              <w:top w:val="single" w:sz="4" w:space="0" w:color="auto"/>
              <w:left w:val="nil"/>
              <w:bottom w:val="single" w:sz="4" w:space="0" w:color="auto"/>
              <w:right w:val="nil"/>
            </w:tcBorders>
          </w:tcPr>
          <w:p w:rsidR="004843DB" w:rsidRPr="0062582F" w:rsidRDefault="004843DB" w:rsidP="004843DB">
            <w:pPr>
              <w:pStyle w:val="Tabletext"/>
              <w:rPr>
                <w:b/>
              </w:rPr>
            </w:pPr>
            <w:r w:rsidRPr="0062582F">
              <w:rPr>
                <w:b/>
              </w:rPr>
              <w:t>Total other commitments</w:t>
            </w:r>
          </w:p>
        </w:tc>
        <w:tc>
          <w:tcPr>
            <w:tcW w:w="1198" w:type="dxa"/>
            <w:tcBorders>
              <w:top w:val="single" w:sz="4" w:space="0" w:color="auto"/>
              <w:left w:val="nil"/>
              <w:bottom w:val="single" w:sz="4" w:space="0" w:color="auto"/>
              <w:right w:val="nil"/>
            </w:tcBorders>
            <w:shd w:val="clear" w:color="auto" w:fill="D9D9D9"/>
          </w:tcPr>
          <w:p w:rsidR="004843DB" w:rsidRPr="0062582F" w:rsidRDefault="004843DB" w:rsidP="004843DB">
            <w:pPr>
              <w:pStyle w:val="TableofFigures"/>
              <w:rPr>
                <w:b/>
              </w:rPr>
            </w:pPr>
            <w:r w:rsidRPr="0062582F">
              <w:rPr>
                <w:b/>
              </w:rPr>
              <w:t>168</w:t>
            </w:r>
          </w:p>
        </w:tc>
        <w:tc>
          <w:tcPr>
            <w:tcW w:w="1191" w:type="dxa"/>
            <w:tcBorders>
              <w:top w:val="single" w:sz="4" w:space="0" w:color="auto"/>
              <w:left w:val="nil"/>
              <w:bottom w:val="single" w:sz="4" w:space="0" w:color="auto"/>
              <w:right w:val="nil"/>
            </w:tcBorders>
          </w:tcPr>
          <w:p w:rsidR="004843DB" w:rsidRPr="0062582F" w:rsidRDefault="004843DB" w:rsidP="004843DB">
            <w:pPr>
              <w:pStyle w:val="TableofFigures"/>
              <w:rPr>
                <w:b/>
              </w:rPr>
            </w:pPr>
            <w:r w:rsidRPr="0062582F">
              <w:rPr>
                <w:b/>
              </w:rPr>
              <w:t>..</w:t>
            </w:r>
          </w:p>
        </w:tc>
      </w:tr>
      <w:tr w:rsidR="004843DB" w:rsidRPr="0062582F" w:rsidTr="004843DB">
        <w:trPr>
          <w:cantSplit/>
        </w:trPr>
        <w:tc>
          <w:tcPr>
            <w:tcW w:w="5443" w:type="dxa"/>
            <w:tcBorders>
              <w:top w:val="single" w:sz="4" w:space="0" w:color="auto"/>
              <w:bottom w:val="single" w:sz="12" w:space="0" w:color="auto"/>
            </w:tcBorders>
            <w:hideMark/>
          </w:tcPr>
          <w:p w:rsidR="004843DB" w:rsidRPr="0062582F" w:rsidRDefault="004843DB" w:rsidP="004843DB">
            <w:pPr>
              <w:pStyle w:val="Tabletext"/>
              <w:rPr>
                <w:b/>
              </w:rPr>
            </w:pPr>
            <w:r w:rsidRPr="0062582F">
              <w:rPr>
                <w:b/>
              </w:rPr>
              <w:t>Total commitments other than public private partnerships</w:t>
            </w:r>
          </w:p>
        </w:tc>
        <w:tc>
          <w:tcPr>
            <w:tcW w:w="1198" w:type="dxa"/>
            <w:tcBorders>
              <w:top w:val="single" w:sz="4" w:space="0" w:color="auto"/>
              <w:bottom w:val="single" w:sz="12" w:space="0" w:color="auto"/>
            </w:tcBorders>
            <w:shd w:val="clear" w:color="auto" w:fill="D9D9D9"/>
            <w:hideMark/>
          </w:tcPr>
          <w:p w:rsidR="004843DB" w:rsidRPr="0062582F" w:rsidRDefault="004843DB" w:rsidP="004843DB">
            <w:pPr>
              <w:pStyle w:val="TableofFigures"/>
              <w:rPr>
                <w:rFonts w:cs="Calibri"/>
                <w:b/>
              </w:rPr>
            </w:pPr>
            <w:r w:rsidRPr="0062582F">
              <w:rPr>
                <w:rFonts w:cs="Calibri"/>
                <w:b/>
              </w:rPr>
              <w:t>5 119</w:t>
            </w:r>
          </w:p>
        </w:tc>
        <w:tc>
          <w:tcPr>
            <w:tcW w:w="1191" w:type="dxa"/>
            <w:tcBorders>
              <w:top w:val="single" w:sz="4" w:space="0" w:color="auto"/>
              <w:bottom w:val="single" w:sz="12" w:space="0" w:color="auto"/>
            </w:tcBorders>
            <w:hideMark/>
          </w:tcPr>
          <w:p w:rsidR="004843DB" w:rsidRPr="0062582F" w:rsidRDefault="004843DB" w:rsidP="004843DB">
            <w:pPr>
              <w:pStyle w:val="TableofFigures"/>
              <w:rPr>
                <w:rFonts w:cs="Calibri"/>
                <w:b/>
              </w:rPr>
            </w:pPr>
            <w:r w:rsidRPr="0062582F">
              <w:rPr>
                <w:rFonts w:cs="Calibri"/>
                <w:b/>
              </w:rPr>
              <w:t>6 079</w:t>
            </w:r>
          </w:p>
        </w:tc>
      </w:tr>
    </w:tbl>
    <w:p w:rsidR="004843DB" w:rsidRPr="0062582F" w:rsidRDefault="004843DB" w:rsidP="004843DB">
      <w:pPr>
        <w:pStyle w:val="Notes"/>
      </w:pPr>
      <w:r w:rsidRPr="0062582F">
        <w:t xml:space="preserve">Note: </w:t>
      </w:r>
    </w:p>
    <w:p w:rsidR="004843DB" w:rsidRPr="0062582F" w:rsidRDefault="004843DB" w:rsidP="004843DB">
      <w:pPr>
        <w:pStyle w:val="Notes"/>
      </w:pPr>
      <w:r w:rsidRPr="0062582F">
        <w:t xml:space="preserve">(i) </w:t>
      </w:r>
      <w:r w:rsidRPr="0062582F">
        <w:tab/>
        <w:t>The figures presented are inclusive of GST.</w:t>
      </w:r>
    </w:p>
    <w:p w:rsidR="004843DB" w:rsidRPr="0062582F" w:rsidRDefault="004843DB" w:rsidP="004843DB">
      <w:pPr>
        <w:pStyle w:val="ReferenceRed"/>
      </w:pPr>
      <w:r w:rsidRPr="0062582F">
        <w:br w:type="page"/>
      </w:r>
    </w:p>
    <w:p w:rsidR="004843DB" w:rsidRPr="0062582F" w:rsidRDefault="004843DB" w:rsidP="004843DB">
      <w:pPr>
        <w:pStyle w:val="NoteHeadingcontinued"/>
      </w:pPr>
      <w:r w:rsidRPr="0062582F">
        <w:rPr>
          <w:rFonts w:cs="Arial Bold"/>
          <w:szCs w:val="24"/>
        </w:rPr>
        <w:br w:type="column"/>
      </w:r>
      <w:r w:rsidRPr="0062582F">
        <w:t>Note 31.</w:t>
      </w:r>
      <w:r w:rsidRPr="0062582F">
        <w:tab/>
        <w:t xml:space="preserve">Commitments for expenditure </w:t>
      </w:r>
      <w:r w:rsidRPr="0062582F">
        <w:rPr>
          <w:i/>
        </w:rPr>
        <w:t>(continued)</w:t>
      </w:r>
    </w:p>
    <w:p w:rsidR="004843DB" w:rsidRPr="0062582F" w:rsidRDefault="004843DB" w:rsidP="004843DB">
      <w:pPr>
        <w:pStyle w:val="Heading5"/>
      </w:pPr>
      <w:r w:rsidRPr="0062582F">
        <w:t>(b)</w:t>
      </w:r>
      <w:r w:rsidRPr="0062582F">
        <w:tab/>
        <w:t>Public private partnerships</w:t>
      </w:r>
      <w:r w:rsidRPr="0062582F">
        <w:rPr>
          <w:vertAlign w:val="superscript"/>
        </w:rPr>
        <w:t>(i)(ii)</w:t>
      </w:r>
    </w:p>
    <w:p w:rsidR="004843DB" w:rsidRPr="0062582F" w:rsidRDefault="004843DB" w:rsidP="004843DB">
      <w:pPr>
        <w:rPr>
          <w:rFonts w:cs="Arial Bold"/>
          <w:b/>
          <w:bCs/>
          <w:kern w:val="28"/>
          <w:sz w:val="26"/>
          <w:szCs w:val="24"/>
        </w:rPr>
        <w:sectPr w:rsidR="004843DB" w:rsidRPr="0062582F" w:rsidSect="00190A01">
          <w:type w:val="continuous"/>
          <w:pgSz w:w="11906" w:h="16838"/>
          <w:pgMar w:top="1152" w:right="864" w:bottom="1152" w:left="864" w:header="432" w:footer="432" w:gutter="0"/>
          <w:cols w:num="2" w:space="720" w:equalWidth="0">
            <w:col w:w="1440" w:space="360"/>
            <w:col w:w="8090"/>
          </w:cols>
          <w:rtlGutter/>
        </w:sectPr>
      </w:pPr>
    </w:p>
    <w:p w:rsidR="004843DB" w:rsidRPr="0062582F" w:rsidRDefault="004843DB" w:rsidP="004843DB">
      <w:pPr>
        <w:pStyle w:val="Reference"/>
        <w:spacing w:before="360"/>
      </w:pPr>
      <w:r w:rsidRPr="0062582F">
        <w:t>To align the table presentation format with the State</w:t>
      </w:r>
      <w:r w:rsidR="005A4BB0">
        <w:t>’</w:t>
      </w:r>
      <w:r w:rsidRPr="0062582F">
        <w:t>s Annual Financial Report</w:t>
      </w:r>
    </w:p>
    <w:p w:rsidR="004843DB" w:rsidRPr="0062582F" w:rsidRDefault="004843DB" w:rsidP="004843DB">
      <w:pPr>
        <w:pStyle w:val="Reference"/>
        <w:spacing w:before="360"/>
      </w:pPr>
    </w:p>
    <w:p w:rsidR="004843DB" w:rsidRPr="0062582F" w:rsidRDefault="004843DB" w:rsidP="004843DB">
      <w:pPr>
        <w:pStyle w:val="Reference"/>
        <w:spacing w:before="360"/>
      </w:pPr>
    </w:p>
    <w:p w:rsidR="004843DB" w:rsidRPr="0062582F" w:rsidRDefault="004843DB" w:rsidP="004843DB">
      <w:pPr>
        <w:pStyle w:val="Reference"/>
        <w:spacing w:before="360"/>
      </w:pPr>
    </w:p>
    <w:p w:rsidR="004843DB" w:rsidRPr="0062582F" w:rsidRDefault="004843DB" w:rsidP="004843DB">
      <w:pPr>
        <w:pStyle w:val="Reference"/>
        <w:spacing w:before="360"/>
      </w:pPr>
    </w:p>
    <w:p w:rsidR="004843DB" w:rsidRPr="0062582F" w:rsidRDefault="004843DB" w:rsidP="004843DB">
      <w:pPr>
        <w:pStyle w:val="Reference"/>
        <w:spacing w:before="360"/>
      </w:pPr>
    </w:p>
    <w:p w:rsidR="004843DB" w:rsidRPr="0062582F" w:rsidRDefault="004843DB" w:rsidP="004843DB">
      <w:pPr>
        <w:pStyle w:val="Reference"/>
        <w:spacing w:before="360"/>
      </w:pPr>
    </w:p>
    <w:p w:rsidR="004843DB" w:rsidRPr="0062582F" w:rsidRDefault="004843DB" w:rsidP="004843DB">
      <w:pPr>
        <w:pStyle w:val="Reference"/>
        <w:spacing w:before="720"/>
      </w:pPr>
    </w:p>
    <w:p w:rsidR="004843DB" w:rsidRPr="0062582F" w:rsidRDefault="004843DB" w:rsidP="004843DB">
      <w:pPr>
        <w:pStyle w:val="Reference"/>
        <w:spacing w:before="480"/>
        <w:rPr>
          <w:color w:val="FF0000"/>
        </w:rPr>
      </w:pPr>
    </w:p>
    <w:p w:rsidR="004843DB" w:rsidRPr="0062582F" w:rsidRDefault="004843DB" w:rsidP="004843DB">
      <w:pPr>
        <w:pStyle w:val="Reference"/>
        <w:spacing w:before="480"/>
        <w:rPr>
          <w:color w:val="FF0000"/>
        </w:rPr>
      </w:pPr>
    </w:p>
    <w:p w:rsidR="004843DB" w:rsidRPr="0062582F" w:rsidRDefault="004843DB" w:rsidP="004843DB">
      <w:pPr>
        <w:pStyle w:val="Reference"/>
        <w:spacing w:before="840"/>
        <w:rPr>
          <w:color w:val="FF0000"/>
        </w:rPr>
      </w:pPr>
    </w:p>
    <w:p w:rsidR="004843DB" w:rsidRPr="0062582F" w:rsidRDefault="004843DB" w:rsidP="004843DB">
      <w:pPr>
        <w:pStyle w:val="Reference"/>
        <w:spacing w:before="480"/>
        <w:rPr>
          <w:color w:val="FF0000"/>
        </w:rPr>
      </w:pPr>
    </w:p>
    <w:p w:rsidR="004843DB" w:rsidRPr="0062582F" w:rsidRDefault="004843DB" w:rsidP="004843DB">
      <w:pPr>
        <w:pStyle w:val="Reference"/>
        <w:spacing w:before="600"/>
        <w:rPr>
          <w:color w:val="FF0000"/>
        </w:rPr>
      </w:pPr>
      <w:r w:rsidRPr="0062582F">
        <w:rPr>
          <w:color w:val="FF0000"/>
        </w:rPr>
        <w:t>New</w:t>
      </w:r>
    </w:p>
    <w:p w:rsidR="004843DB" w:rsidRPr="0062582F" w:rsidRDefault="004843DB" w:rsidP="004843DB">
      <w:pPr>
        <w:pStyle w:val="Reference"/>
        <w:spacing w:before="480"/>
        <w:rPr>
          <w:color w:val="FF0000"/>
        </w:rPr>
      </w:pPr>
    </w:p>
    <w:p w:rsidR="004843DB" w:rsidRPr="0062582F" w:rsidRDefault="004843DB" w:rsidP="004843DB">
      <w:pPr>
        <w:pStyle w:val="Reference"/>
        <w:spacing w:before="480"/>
        <w:rPr>
          <w:color w:val="FF0000"/>
        </w:rPr>
      </w:pPr>
    </w:p>
    <w:p w:rsidR="004843DB" w:rsidRPr="0062582F" w:rsidRDefault="004843DB" w:rsidP="004843DB">
      <w:pPr>
        <w:pStyle w:val="Reference"/>
        <w:rPr>
          <w:color w:val="FF0000"/>
        </w:rPr>
      </w:pPr>
      <w:r w:rsidRPr="0062582F">
        <w:rPr>
          <w:color w:val="FF0000"/>
        </w:rPr>
        <w:t>New</w:t>
      </w:r>
    </w:p>
    <w:p w:rsidR="004843DB" w:rsidRPr="0062582F" w:rsidRDefault="004843DB" w:rsidP="004843DB">
      <w:pPr>
        <w:pStyle w:val="million"/>
        <w:rPr>
          <w:rFonts w:cs="Calibri"/>
          <w:szCs w:val="16"/>
        </w:rPr>
      </w:pPr>
      <w:r w:rsidRPr="0062582F">
        <w:br w:type="column"/>
        <w:t>($ thousand)</w:t>
      </w:r>
    </w:p>
    <w:tbl>
      <w:tblPr>
        <w:tblW w:w="8250" w:type="dxa"/>
        <w:tblInd w:w="43" w:type="dxa"/>
        <w:tblLayout w:type="fixed"/>
        <w:tblCellMar>
          <w:left w:w="43" w:type="dxa"/>
          <w:right w:w="43" w:type="dxa"/>
        </w:tblCellMar>
        <w:tblLook w:val="04A0" w:firstRow="1" w:lastRow="0" w:firstColumn="1" w:lastColumn="0" w:noHBand="0" w:noVBand="1"/>
      </w:tblPr>
      <w:tblGrid>
        <w:gridCol w:w="1737"/>
        <w:gridCol w:w="1206"/>
        <w:gridCol w:w="999"/>
        <w:gridCol w:w="1053"/>
        <w:gridCol w:w="1215"/>
        <w:gridCol w:w="999"/>
        <w:gridCol w:w="1041"/>
      </w:tblGrid>
      <w:tr w:rsidR="004843DB" w:rsidRPr="0062582F" w:rsidTr="004843DB">
        <w:trPr>
          <w:trHeight w:val="248"/>
        </w:trPr>
        <w:tc>
          <w:tcPr>
            <w:tcW w:w="1737" w:type="dxa"/>
            <w:tcBorders>
              <w:top w:val="single" w:sz="4" w:space="0" w:color="auto"/>
              <w:left w:val="nil"/>
              <w:right w:val="nil"/>
            </w:tcBorders>
          </w:tcPr>
          <w:p w:rsidR="004843DB" w:rsidRPr="0062582F" w:rsidRDefault="004843DB" w:rsidP="004843DB">
            <w:pPr>
              <w:autoSpaceDE w:val="0"/>
              <w:autoSpaceDN w:val="0"/>
              <w:adjustRightInd w:val="0"/>
              <w:jc w:val="center"/>
              <w:rPr>
                <w:rFonts w:ascii="Arial" w:hAnsi="Arial" w:cs="Arial"/>
                <w:sz w:val="16"/>
                <w:szCs w:val="16"/>
              </w:rPr>
            </w:pPr>
          </w:p>
        </w:tc>
        <w:tc>
          <w:tcPr>
            <w:tcW w:w="3258" w:type="dxa"/>
            <w:gridSpan w:val="3"/>
            <w:tcBorders>
              <w:top w:val="single" w:sz="4" w:space="0" w:color="auto"/>
              <w:left w:val="nil"/>
              <w:right w:val="nil"/>
            </w:tcBorders>
            <w:shd w:val="clear" w:color="auto" w:fill="auto"/>
            <w:hideMark/>
          </w:tcPr>
          <w:p w:rsidR="004843DB" w:rsidRPr="0062582F" w:rsidRDefault="004843DB" w:rsidP="004843DB">
            <w:pPr>
              <w:pStyle w:val="TabletextheadingCentred"/>
              <w:ind w:left="1100"/>
            </w:pPr>
            <w:r w:rsidRPr="0062582F">
              <w:t>2016</w:t>
            </w:r>
          </w:p>
        </w:tc>
        <w:tc>
          <w:tcPr>
            <w:tcW w:w="3255" w:type="dxa"/>
            <w:gridSpan w:val="3"/>
            <w:tcBorders>
              <w:top w:val="single" w:sz="4" w:space="0" w:color="auto"/>
              <w:left w:val="nil"/>
              <w:right w:val="nil"/>
            </w:tcBorders>
            <w:hideMark/>
          </w:tcPr>
          <w:p w:rsidR="004843DB" w:rsidRPr="0062582F" w:rsidRDefault="004843DB" w:rsidP="004843DB">
            <w:pPr>
              <w:pStyle w:val="Tabletextheading"/>
              <w:ind w:left="1172"/>
              <w:jc w:val="center"/>
              <w:rPr>
                <w:rFonts w:cs="Calibri"/>
                <w:sz w:val="16"/>
                <w:szCs w:val="16"/>
              </w:rPr>
            </w:pPr>
            <w:r w:rsidRPr="0062582F">
              <w:rPr>
                <w:sz w:val="16"/>
                <w:szCs w:val="16"/>
              </w:rPr>
              <w:t>2015</w:t>
            </w:r>
          </w:p>
        </w:tc>
      </w:tr>
      <w:tr w:rsidR="004843DB" w:rsidRPr="0062582F" w:rsidTr="004843DB">
        <w:trPr>
          <w:cantSplit/>
        </w:trPr>
        <w:tc>
          <w:tcPr>
            <w:tcW w:w="1737" w:type="dxa"/>
            <w:tcBorders>
              <w:top w:val="nil"/>
              <w:left w:val="nil"/>
              <w:right w:val="nil"/>
            </w:tcBorders>
            <w:shd w:val="clear" w:color="auto" w:fill="auto"/>
          </w:tcPr>
          <w:p w:rsidR="004843DB" w:rsidRPr="0062582F" w:rsidRDefault="004843DB" w:rsidP="004843DB">
            <w:pPr>
              <w:pStyle w:val="Tabletextheading"/>
              <w:rPr>
                <w:sz w:val="16"/>
                <w:szCs w:val="16"/>
              </w:rPr>
            </w:pPr>
          </w:p>
        </w:tc>
        <w:tc>
          <w:tcPr>
            <w:tcW w:w="1206" w:type="dxa"/>
            <w:tcBorders>
              <w:top w:val="nil"/>
              <w:left w:val="nil"/>
              <w:right w:val="nil"/>
            </w:tcBorders>
            <w:shd w:val="clear" w:color="auto" w:fill="auto"/>
            <w:hideMark/>
          </w:tcPr>
          <w:p w:rsidR="004843DB" w:rsidRPr="0062582F" w:rsidRDefault="004843DB" w:rsidP="004843DB">
            <w:pPr>
              <w:pStyle w:val="Tabletextheading"/>
              <w:rPr>
                <w:sz w:val="16"/>
                <w:szCs w:val="16"/>
                <w:lang w:val="en-US"/>
              </w:rPr>
            </w:pPr>
          </w:p>
        </w:tc>
        <w:tc>
          <w:tcPr>
            <w:tcW w:w="2052" w:type="dxa"/>
            <w:gridSpan w:val="2"/>
            <w:tcBorders>
              <w:top w:val="nil"/>
              <w:left w:val="nil"/>
              <w:right w:val="nil"/>
            </w:tcBorders>
            <w:shd w:val="clear" w:color="auto" w:fill="D9D9D9"/>
            <w:vAlign w:val="bottom"/>
          </w:tcPr>
          <w:p w:rsidR="004843DB" w:rsidRPr="0062582F" w:rsidRDefault="004843DB" w:rsidP="004843DB">
            <w:pPr>
              <w:pStyle w:val="Tabletextheading"/>
              <w:jc w:val="center"/>
              <w:rPr>
                <w:sz w:val="16"/>
                <w:szCs w:val="16"/>
              </w:rPr>
            </w:pPr>
            <w:r w:rsidRPr="0062582F">
              <w:rPr>
                <w:sz w:val="16"/>
                <w:szCs w:val="16"/>
              </w:rPr>
              <w:t>Other commitments</w:t>
            </w:r>
          </w:p>
        </w:tc>
        <w:tc>
          <w:tcPr>
            <w:tcW w:w="1215" w:type="dxa"/>
            <w:tcBorders>
              <w:top w:val="nil"/>
              <w:left w:val="nil"/>
              <w:right w:val="nil"/>
            </w:tcBorders>
            <w:shd w:val="clear" w:color="auto" w:fill="auto"/>
            <w:vAlign w:val="bottom"/>
          </w:tcPr>
          <w:p w:rsidR="004843DB" w:rsidRPr="0062582F" w:rsidRDefault="004843DB" w:rsidP="004843DB">
            <w:pPr>
              <w:pStyle w:val="Tabletextheading"/>
              <w:rPr>
                <w:sz w:val="16"/>
                <w:szCs w:val="16"/>
              </w:rPr>
            </w:pPr>
          </w:p>
        </w:tc>
        <w:tc>
          <w:tcPr>
            <w:tcW w:w="2040" w:type="dxa"/>
            <w:gridSpan w:val="2"/>
            <w:tcBorders>
              <w:top w:val="nil"/>
              <w:left w:val="nil"/>
              <w:right w:val="nil"/>
            </w:tcBorders>
            <w:shd w:val="clear" w:color="auto" w:fill="auto"/>
            <w:vAlign w:val="bottom"/>
          </w:tcPr>
          <w:p w:rsidR="004843DB" w:rsidRPr="0062582F" w:rsidRDefault="004843DB" w:rsidP="004843DB">
            <w:pPr>
              <w:pStyle w:val="Tabletextheading"/>
              <w:jc w:val="center"/>
              <w:rPr>
                <w:sz w:val="16"/>
                <w:szCs w:val="16"/>
              </w:rPr>
            </w:pPr>
            <w:r w:rsidRPr="0062582F">
              <w:rPr>
                <w:sz w:val="16"/>
                <w:szCs w:val="16"/>
              </w:rPr>
              <w:t>Other commitments</w:t>
            </w:r>
          </w:p>
        </w:tc>
      </w:tr>
      <w:tr w:rsidR="004843DB" w:rsidRPr="0062582F" w:rsidTr="004843DB">
        <w:trPr>
          <w:cantSplit/>
        </w:trPr>
        <w:tc>
          <w:tcPr>
            <w:tcW w:w="1737" w:type="dxa"/>
            <w:tcBorders>
              <w:top w:val="nil"/>
              <w:left w:val="nil"/>
              <w:bottom w:val="single" w:sz="6" w:space="0" w:color="auto"/>
              <w:right w:val="nil"/>
            </w:tcBorders>
            <w:shd w:val="clear" w:color="auto" w:fill="auto"/>
          </w:tcPr>
          <w:p w:rsidR="004843DB" w:rsidRPr="0062582F" w:rsidRDefault="004843DB" w:rsidP="004843DB">
            <w:pPr>
              <w:pStyle w:val="Tabletextheading"/>
              <w:rPr>
                <w:sz w:val="16"/>
                <w:szCs w:val="16"/>
              </w:rPr>
            </w:pPr>
          </w:p>
        </w:tc>
        <w:tc>
          <w:tcPr>
            <w:tcW w:w="1206" w:type="dxa"/>
            <w:tcBorders>
              <w:top w:val="nil"/>
              <w:left w:val="nil"/>
              <w:bottom w:val="single" w:sz="6" w:space="0" w:color="auto"/>
              <w:right w:val="nil"/>
            </w:tcBorders>
            <w:shd w:val="clear" w:color="auto" w:fill="auto"/>
          </w:tcPr>
          <w:p w:rsidR="004843DB" w:rsidRPr="0062582F" w:rsidRDefault="004843DB" w:rsidP="004843DB">
            <w:pPr>
              <w:pStyle w:val="Tabletextheading"/>
              <w:rPr>
                <w:sz w:val="16"/>
                <w:szCs w:val="16"/>
              </w:rPr>
            </w:pPr>
          </w:p>
        </w:tc>
        <w:tc>
          <w:tcPr>
            <w:tcW w:w="999" w:type="dxa"/>
            <w:tcBorders>
              <w:top w:val="nil"/>
              <w:left w:val="nil"/>
              <w:bottom w:val="single" w:sz="6" w:space="0" w:color="auto"/>
              <w:right w:val="nil"/>
            </w:tcBorders>
            <w:shd w:val="clear" w:color="auto" w:fill="D9D9D9"/>
            <w:vAlign w:val="bottom"/>
          </w:tcPr>
          <w:p w:rsidR="004843DB" w:rsidRPr="0062582F" w:rsidRDefault="004843DB" w:rsidP="004843DB">
            <w:pPr>
              <w:pStyle w:val="Tabletextheading"/>
              <w:rPr>
                <w:sz w:val="16"/>
                <w:szCs w:val="16"/>
              </w:rPr>
            </w:pPr>
            <w:r w:rsidRPr="0062582F">
              <w:rPr>
                <w:sz w:val="16"/>
                <w:szCs w:val="16"/>
              </w:rPr>
              <w:t>Present value</w:t>
            </w:r>
          </w:p>
        </w:tc>
        <w:tc>
          <w:tcPr>
            <w:tcW w:w="1053" w:type="dxa"/>
            <w:tcBorders>
              <w:top w:val="nil"/>
              <w:left w:val="nil"/>
              <w:bottom w:val="single" w:sz="6" w:space="0" w:color="auto"/>
              <w:right w:val="nil"/>
            </w:tcBorders>
            <w:shd w:val="clear" w:color="auto" w:fill="D9D9D9"/>
            <w:vAlign w:val="bottom"/>
          </w:tcPr>
          <w:p w:rsidR="004843DB" w:rsidRPr="0062582F" w:rsidRDefault="004843DB" w:rsidP="004843DB">
            <w:pPr>
              <w:pStyle w:val="Tabletextheading"/>
              <w:rPr>
                <w:sz w:val="16"/>
                <w:szCs w:val="16"/>
              </w:rPr>
            </w:pPr>
            <w:r w:rsidRPr="0062582F">
              <w:rPr>
                <w:sz w:val="16"/>
                <w:szCs w:val="16"/>
              </w:rPr>
              <w:t>Nominal value</w:t>
            </w:r>
          </w:p>
        </w:tc>
        <w:tc>
          <w:tcPr>
            <w:tcW w:w="1215" w:type="dxa"/>
            <w:tcBorders>
              <w:top w:val="nil"/>
              <w:left w:val="nil"/>
              <w:bottom w:val="single" w:sz="6" w:space="0" w:color="auto"/>
              <w:right w:val="nil"/>
            </w:tcBorders>
            <w:shd w:val="clear" w:color="auto" w:fill="auto"/>
            <w:vAlign w:val="bottom"/>
          </w:tcPr>
          <w:p w:rsidR="004843DB" w:rsidRPr="0062582F" w:rsidRDefault="004843DB" w:rsidP="004843DB">
            <w:pPr>
              <w:pStyle w:val="Tabletextheading"/>
              <w:rPr>
                <w:sz w:val="16"/>
                <w:szCs w:val="16"/>
              </w:rPr>
            </w:pPr>
          </w:p>
        </w:tc>
        <w:tc>
          <w:tcPr>
            <w:tcW w:w="999" w:type="dxa"/>
            <w:tcBorders>
              <w:top w:val="nil"/>
              <w:left w:val="nil"/>
              <w:bottom w:val="single" w:sz="6" w:space="0" w:color="auto"/>
              <w:right w:val="nil"/>
            </w:tcBorders>
            <w:shd w:val="clear" w:color="auto" w:fill="auto"/>
            <w:vAlign w:val="bottom"/>
          </w:tcPr>
          <w:p w:rsidR="004843DB" w:rsidRPr="0062582F" w:rsidRDefault="004843DB" w:rsidP="004843DB">
            <w:pPr>
              <w:pStyle w:val="Tabletextheading"/>
              <w:rPr>
                <w:sz w:val="16"/>
                <w:szCs w:val="16"/>
              </w:rPr>
            </w:pPr>
            <w:r w:rsidRPr="0062582F">
              <w:rPr>
                <w:sz w:val="16"/>
                <w:szCs w:val="16"/>
              </w:rPr>
              <w:t>Present value</w:t>
            </w:r>
          </w:p>
        </w:tc>
        <w:tc>
          <w:tcPr>
            <w:tcW w:w="1041" w:type="dxa"/>
            <w:tcBorders>
              <w:top w:val="nil"/>
              <w:left w:val="nil"/>
              <w:bottom w:val="single" w:sz="6" w:space="0" w:color="auto"/>
              <w:right w:val="nil"/>
            </w:tcBorders>
            <w:shd w:val="clear" w:color="auto" w:fill="auto"/>
            <w:vAlign w:val="bottom"/>
          </w:tcPr>
          <w:p w:rsidR="004843DB" w:rsidRPr="0062582F" w:rsidRDefault="004843DB" w:rsidP="004843DB">
            <w:pPr>
              <w:pStyle w:val="Tabletextheading"/>
              <w:rPr>
                <w:sz w:val="16"/>
                <w:szCs w:val="16"/>
              </w:rPr>
            </w:pPr>
            <w:r w:rsidRPr="0062582F">
              <w:rPr>
                <w:sz w:val="16"/>
                <w:szCs w:val="16"/>
              </w:rPr>
              <w:t>Nominal value</w:t>
            </w:r>
          </w:p>
        </w:tc>
      </w:tr>
      <w:tr w:rsidR="004843DB" w:rsidRPr="0062582F" w:rsidTr="004843DB">
        <w:tc>
          <w:tcPr>
            <w:tcW w:w="8250" w:type="dxa"/>
            <w:gridSpan w:val="7"/>
            <w:tcBorders>
              <w:top w:val="single" w:sz="6" w:space="0" w:color="auto"/>
              <w:left w:val="nil"/>
              <w:right w:val="nil"/>
            </w:tcBorders>
            <w:shd w:val="clear" w:color="auto" w:fill="auto"/>
          </w:tcPr>
          <w:p w:rsidR="004843DB" w:rsidRPr="0062582F" w:rsidRDefault="004843DB" w:rsidP="004843DB">
            <w:pPr>
              <w:pStyle w:val="TableofFigures"/>
              <w:jc w:val="left"/>
              <w:rPr>
                <w:sz w:val="16"/>
                <w:szCs w:val="16"/>
              </w:rPr>
            </w:pPr>
            <w:r w:rsidRPr="0062582F">
              <w:rPr>
                <w:b/>
                <w:sz w:val="16"/>
                <w:szCs w:val="16"/>
              </w:rPr>
              <w:t xml:space="preserve">Commissioned public private partnerships – other </w:t>
            </w:r>
            <w:r w:rsidRPr="0062582F">
              <w:rPr>
                <w:b/>
                <w:color w:val="000000"/>
                <w:sz w:val="16"/>
                <w:szCs w:val="16"/>
              </w:rPr>
              <w:t>commitments</w:t>
            </w:r>
            <w:r w:rsidRPr="0062582F">
              <w:rPr>
                <w:color w:val="000000"/>
                <w:sz w:val="16"/>
                <w:szCs w:val="16"/>
              </w:rPr>
              <w:t xml:space="preserve"> </w:t>
            </w:r>
            <w:r w:rsidRPr="0062582F">
              <w:rPr>
                <w:rFonts w:cs="Calibri"/>
                <w:color w:val="000000"/>
                <w:sz w:val="16"/>
                <w:szCs w:val="16"/>
                <w:vertAlign w:val="superscript"/>
              </w:rPr>
              <w:t>(iii)(iv)</w:t>
            </w:r>
          </w:p>
        </w:tc>
      </w:tr>
      <w:tr w:rsidR="004843DB" w:rsidRPr="0062582F" w:rsidTr="004843DB">
        <w:tc>
          <w:tcPr>
            <w:tcW w:w="1737" w:type="dxa"/>
            <w:tcBorders>
              <w:left w:val="nil"/>
              <w:right w:val="nil"/>
            </w:tcBorders>
            <w:shd w:val="clear" w:color="auto" w:fill="auto"/>
          </w:tcPr>
          <w:p w:rsidR="004843DB" w:rsidRPr="0062582F" w:rsidRDefault="004843DB" w:rsidP="004843DB">
            <w:pPr>
              <w:pStyle w:val="Tabletext"/>
              <w:rPr>
                <w:sz w:val="16"/>
                <w:szCs w:val="16"/>
              </w:rPr>
            </w:pPr>
            <w:r w:rsidRPr="0062582F">
              <w:rPr>
                <w:sz w:val="16"/>
                <w:szCs w:val="16"/>
              </w:rPr>
              <w:t xml:space="preserve">IT&amp;T system development </w:t>
            </w:r>
            <w:r w:rsidRPr="0062582F">
              <w:rPr>
                <w:rFonts w:cs="Calibri"/>
                <w:sz w:val="16"/>
                <w:szCs w:val="16"/>
                <w:vertAlign w:val="superscript"/>
              </w:rPr>
              <w:t>(v)</w:t>
            </w:r>
          </w:p>
        </w:tc>
        <w:tc>
          <w:tcPr>
            <w:tcW w:w="1206" w:type="dxa"/>
            <w:tcBorders>
              <w:left w:val="nil"/>
              <w:right w:val="nil"/>
            </w:tcBorders>
            <w:shd w:val="clear" w:color="auto" w:fill="auto"/>
          </w:tcPr>
          <w:p w:rsidR="004843DB" w:rsidRPr="0062582F" w:rsidRDefault="004843DB" w:rsidP="004843DB">
            <w:pPr>
              <w:pStyle w:val="TableofFigures"/>
              <w:rPr>
                <w:sz w:val="16"/>
                <w:szCs w:val="16"/>
              </w:rPr>
            </w:pPr>
          </w:p>
        </w:tc>
        <w:tc>
          <w:tcPr>
            <w:tcW w:w="999" w:type="dxa"/>
            <w:tcBorders>
              <w:left w:val="nil"/>
              <w:right w:val="nil"/>
            </w:tcBorders>
            <w:shd w:val="clear" w:color="auto" w:fill="D9D9D9"/>
          </w:tcPr>
          <w:p w:rsidR="004843DB" w:rsidRPr="0062582F" w:rsidRDefault="004843DB" w:rsidP="004843DB">
            <w:pPr>
              <w:pStyle w:val="TableofFigures"/>
              <w:rPr>
                <w:sz w:val="16"/>
                <w:szCs w:val="16"/>
              </w:rPr>
            </w:pPr>
            <w:r w:rsidRPr="0062582F">
              <w:rPr>
                <w:sz w:val="16"/>
                <w:szCs w:val="16"/>
              </w:rPr>
              <w:t>4 605</w:t>
            </w:r>
          </w:p>
        </w:tc>
        <w:tc>
          <w:tcPr>
            <w:tcW w:w="1053" w:type="dxa"/>
            <w:tcBorders>
              <w:left w:val="nil"/>
              <w:right w:val="nil"/>
            </w:tcBorders>
            <w:shd w:val="clear" w:color="auto" w:fill="D9D9D9"/>
          </w:tcPr>
          <w:p w:rsidR="004843DB" w:rsidRPr="0062582F" w:rsidRDefault="004843DB" w:rsidP="004843DB">
            <w:pPr>
              <w:pStyle w:val="TableofFigures"/>
              <w:rPr>
                <w:sz w:val="16"/>
                <w:szCs w:val="16"/>
              </w:rPr>
            </w:pPr>
            <w:r w:rsidRPr="0062582F">
              <w:rPr>
                <w:sz w:val="16"/>
                <w:szCs w:val="16"/>
              </w:rPr>
              <w:t>5 334</w:t>
            </w:r>
          </w:p>
        </w:tc>
        <w:tc>
          <w:tcPr>
            <w:tcW w:w="1215" w:type="dxa"/>
            <w:tcBorders>
              <w:left w:val="nil"/>
              <w:right w:val="nil"/>
            </w:tcBorders>
            <w:shd w:val="clear" w:color="auto" w:fill="auto"/>
            <w:vAlign w:val="bottom"/>
          </w:tcPr>
          <w:p w:rsidR="004843DB" w:rsidRPr="0062582F" w:rsidRDefault="004843DB" w:rsidP="004843DB">
            <w:pPr>
              <w:pStyle w:val="TableofFigures"/>
              <w:rPr>
                <w:sz w:val="16"/>
                <w:szCs w:val="16"/>
              </w:rPr>
            </w:pPr>
          </w:p>
        </w:tc>
        <w:tc>
          <w:tcPr>
            <w:tcW w:w="999" w:type="dxa"/>
            <w:tcBorders>
              <w:left w:val="nil"/>
              <w:right w:val="nil"/>
            </w:tcBorders>
            <w:shd w:val="clear" w:color="auto" w:fill="auto"/>
          </w:tcPr>
          <w:p w:rsidR="004843DB" w:rsidRPr="0062582F" w:rsidRDefault="004843DB" w:rsidP="004843DB">
            <w:pPr>
              <w:pStyle w:val="TableofFigures"/>
              <w:rPr>
                <w:sz w:val="16"/>
                <w:szCs w:val="16"/>
              </w:rPr>
            </w:pPr>
            <w:r w:rsidRPr="0062582F">
              <w:rPr>
                <w:sz w:val="16"/>
                <w:szCs w:val="16"/>
              </w:rPr>
              <w:t>11 449</w:t>
            </w:r>
          </w:p>
        </w:tc>
        <w:tc>
          <w:tcPr>
            <w:tcW w:w="1041" w:type="dxa"/>
            <w:tcBorders>
              <w:left w:val="nil"/>
              <w:right w:val="nil"/>
            </w:tcBorders>
            <w:shd w:val="clear" w:color="auto" w:fill="auto"/>
          </w:tcPr>
          <w:p w:rsidR="004843DB" w:rsidRPr="0062582F" w:rsidRDefault="004843DB" w:rsidP="004843DB">
            <w:pPr>
              <w:pStyle w:val="TableofFigures"/>
              <w:rPr>
                <w:sz w:val="16"/>
                <w:szCs w:val="16"/>
              </w:rPr>
            </w:pPr>
            <w:r w:rsidRPr="0062582F">
              <w:rPr>
                <w:sz w:val="16"/>
                <w:szCs w:val="16"/>
              </w:rPr>
              <w:t>13 737</w:t>
            </w:r>
          </w:p>
        </w:tc>
      </w:tr>
      <w:tr w:rsidR="004843DB" w:rsidRPr="0062582F" w:rsidTr="004843DB">
        <w:tc>
          <w:tcPr>
            <w:tcW w:w="1737" w:type="dxa"/>
            <w:tcBorders>
              <w:left w:val="nil"/>
              <w:bottom w:val="single" w:sz="6" w:space="0" w:color="auto"/>
              <w:right w:val="nil"/>
            </w:tcBorders>
            <w:shd w:val="clear" w:color="auto" w:fill="auto"/>
          </w:tcPr>
          <w:p w:rsidR="004843DB" w:rsidRPr="0062582F" w:rsidRDefault="004843DB" w:rsidP="004843DB">
            <w:pPr>
              <w:pStyle w:val="Tabletext"/>
              <w:rPr>
                <w:sz w:val="16"/>
                <w:szCs w:val="16"/>
              </w:rPr>
            </w:pPr>
            <w:r w:rsidRPr="0062582F">
              <w:rPr>
                <w:sz w:val="16"/>
                <w:szCs w:val="16"/>
              </w:rPr>
              <w:t xml:space="preserve">Biotech Research </w:t>
            </w:r>
            <w:r w:rsidRPr="0062582F">
              <w:rPr>
                <w:sz w:val="16"/>
                <w:szCs w:val="16"/>
              </w:rPr>
              <w:br/>
              <w:t xml:space="preserve">Centre </w:t>
            </w:r>
            <w:r w:rsidRPr="0062582F">
              <w:rPr>
                <w:rFonts w:cs="Calibri"/>
                <w:sz w:val="16"/>
                <w:szCs w:val="16"/>
                <w:vertAlign w:val="superscript"/>
              </w:rPr>
              <w:t>(v)</w:t>
            </w:r>
          </w:p>
        </w:tc>
        <w:tc>
          <w:tcPr>
            <w:tcW w:w="1206" w:type="dxa"/>
            <w:tcBorders>
              <w:left w:val="nil"/>
              <w:bottom w:val="single" w:sz="6" w:space="0" w:color="auto"/>
              <w:right w:val="nil"/>
            </w:tcBorders>
            <w:shd w:val="clear" w:color="auto" w:fill="auto"/>
          </w:tcPr>
          <w:p w:rsidR="004843DB" w:rsidRPr="0062582F" w:rsidRDefault="004843DB" w:rsidP="004843DB">
            <w:pPr>
              <w:pStyle w:val="TableofFigures"/>
              <w:rPr>
                <w:sz w:val="16"/>
                <w:szCs w:val="16"/>
              </w:rPr>
            </w:pPr>
          </w:p>
        </w:tc>
        <w:tc>
          <w:tcPr>
            <w:tcW w:w="999" w:type="dxa"/>
            <w:tcBorders>
              <w:left w:val="nil"/>
              <w:bottom w:val="single" w:sz="6" w:space="0" w:color="auto"/>
              <w:right w:val="nil"/>
            </w:tcBorders>
            <w:shd w:val="clear" w:color="auto" w:fill="D9D9D9"/>
          </w:tcPr>
          <w:p w:rsidR="004843DB" w:rsidRPr="0062582F" w:rsidRDefault="004843DB" w:rsidP="004843DB">
            <w:pPr>
              <w:pStyle w:val="TableofFigures"/>
              <w:rPr>
                <w:sz w:val="16"/>
                <w:szCs w:val="16"/>
              </w:rPr>
            </w:pPr>
            <w:r w:rsidRPr="0062582F">
              <w:rPr>
                <w:sz w:val="16"/>
                <w:szCs w:val="16"/>
              </w:rPr>
              <w:t>3 069</w:t>
            </w:r>
          </w:p>
        </w:tc>
        <w:tc>
          <w:tcPr>
            <w:tcW w:w="1053" w:type="dxa"/>
            <w:tcBorders>
              <w:left w:val="nil"/>
              <w:bottom w:val="single" w:sz="6" w:space="0" w:color="auto"/>
              <w:right w:val="nil"/>
            </w:tcBorders>
            <w:shd w:val="clear" w:color="auto" w:fill="D9D9D9"/>
          </w:tcPr>
          <w:p w:rsidR="004843DB" w:rsidRPr="0062582F" w:rsidRDefault="004843DB" w:rsidP="004843DB">
            <w:pPr>
              <w:pStyle w:val="TableofFigures"/>
              <w:rPr>
                <w:sz w:val="16"/>
                <w:szCs w:val="16"/>
              </w:rPr>
            </w:pPr>
            <w:r w:rsidRPr="0062582F">
              <w:rPr>
                <w:sz w:val="16"/>
                <w:szCs w:val="16"/>
              </w:rPr>
              <w:t>3 556</w:t>
            </w:r>
          </w:p>
        </w:tc>
        <w:tc>
          <w:tcPr>
            <w:tcW w:w="1215" w:type="dxa"/>
            <w:tcBorders>
              <w:left w:val="nil"/>
              <w:bottom w:val="single" w:sz="6" w:space="0" w:color="auto"/>
              <w:right w:val="nil"/>
            </w:tcBorders>
            <w:shd w:val="clear" w:color="auto" w:fill="auto"/>
            <w:vAlign w:val="bottom"/>
          </w:tcPr>
          <w:p w:rsidR="004843DB" w:rsidRPr="0062582F" w:rsidRDefault="004843DB" w:rsidP="004843DB">
            <w:pPr>
              <w:pStyle w:val="TableofFigures"/>
              <w:rPr>
                <w:sz w:val="16"/>
                <w:szCs w:val="16"/>
              </w:rPr>
            </w:pPr>
          </w:p>
        </w:tc>
        <w:tc>
          <w:tcPr>
            <w:tcW w:w="999" w:type="dxa"/>
            <w:tcBorders>
              <w:left w:val="nil"/>
              <w:bottom w:val="single" w:sz="6" w:space="0" w:color="auto"/>
              <w:right w:val="nil"/>
            </w:tcBorders>
            <w:shd w:val="clear" w:color="auto" w:fill="auto"/>
          </w:tcPr>
          <w:p w:rsidR="004843DB" w:rsidRPr="0062582F" w:rsidRDefault="004843DB" w:rsidP="004843DB">
            <w:pPr>
              <w:pStyle w:val="TableofFigures"/>
              <w:rPr>
                <w:sz w:val="16"/>
                <w:szCs w:val="16"/>
              </w:rPr>
            </w:pPr>
            <w:r w:rsidRPr="0062582F">
              <w:rPr>
                <w:sz w:val="16"/>
                <w:szCs w:val="16"/>
              </w:rPr>
              <w:t>7 632</w:t>
            </w:r>
          </w:p>
        </w:tc>
        <w:tc>
          <w:tcPr>
            <w:tcW w:w="1041" w:type="dxa"/>
            <w:tcBorders>
              <w:left w:val="nil"/>
              <w:bottom w:val="single" w:sz="6" w:space="0" w:color="auto"/>
              <w:right w:val="nil"/>
            </w:tcBorders>
            <w:shd w:val="clear" w:color="auto" w:fill="auto"/>
          </w:tcPr>
          <w:p w:rsidR="004843DB" w:rsidRPr="0062582F" w:rsidRDefault="004843DB" w:rsidP="004843DB">
            <w:pPr>
              <w:pStyle w:val="TableofFigures"/>
              <w:rPr>
                <w:sz w:val="16"/>
                <w:szCs w:val="16"/>
              </w:rPr>
            </w:pPr>
            <w:r w:rsidRPr="0062582F">
              <w:rPr>
                <w:sz w:val="16"/>
                <w:szCs w:val="16"/>
              </w:rPr>
              <w:t>9 159</w:t>
            </w:r>
          </w:p>
        </w:tc>
      </w:tr>
      <w:tr w:rsidR="004843DB" w:rsidRPr="0062582F" w:rsidTr="004843DB">
        <w:trPr>
          <w:trHeight w:val="95"/>
        </w:trPr>
        <w:tc>
          <w:tcPr>
            <w:tcW w:w="1737" w:type="dxa"/>
            <w:tcBorders>
              <w:top w:val="single" w:sz="6" w:space="0" w:color="auto"/>
              <w:left w:val="nil"/>
              <w:bottom w:val="single" w:sz="12" w:space="0" w:color="auto"/>
              <w:right w:val="nil"/>
            </w:tcBorders>
            <w:hideMark/>
          </w:tcPr>
          <w:p w:rsidR="004843DB" w:rsidRPr="0062582F" w:rsidRDefault="004843DB" w:rsidP="004843DB">
            <w:pPr>
              <w:pStyle w:val="Tabletext"/>
              <w:rPr>
                <w:b/>
                <w:sz w:val="16"/>
                <w:szCs w:val="16"/>
              </w:rPr>
            </w:pPr>
            <w:r w:rsidRPr="0062582F">
              <w:rPr>
                <w:b/>
                <w:sz w:val="16"/>
                <w:szCs w:val="16"/>
              </w:rPr>
              <w:t>Sub</w:t>
            </w:r>
            <w:r w:rsidR="005A4BB0">
              <w:rPr>
                <w:b/>
                <w:sz w:val="16"/>
                <w:szCs w:val="16"/>
              </w:rPr>
              <w:noBreakHyphen/>
            </w:r>
            <w:r w:rsidRPr="0062582F">
              <w:rPr>
                <w:b/>
                <w:sz w:val="16"/>
                <w:szCs w:val="16"/>
              </w:rPr>
              <w:t>total</w:t>
            </w:r>
          </w:p>
        </w:tc>
        <w:tc>
          <w:tcPr>
            <w:tcW w:w="1206" w:type="dxa"/>
            <w:tcBorders>
              <w:top w:val="single" w:sz="6" w:space="0" w:color="auto"/>
              <w:left w:val="nil"/>
              <w:bottom w:val="single" w:sz="12" w:space="0" w:color="auto"/>
              <w:right w:val="nil"/>
            </w:tcBorders>
            <w:shd w:val="clear" w:color="auto" w:fill="auto"/>
            <w:hideMark/>
          </w:tcPr>
          <w:p w:rsidR="004843DB" w:rsidRPr="0062582F" w:rsidRDefault="004843DB" w:rsidP="004843DB">
            <w:pPr>
              <w:pStyle w:val="TableofFigures"/>
              <w:rPr>
                <w:b/>
                <w:sz w:val="16"/>
                <w:szCs w:val="16"/>
              </w:rPr>
            </w:pPr>
          </w:p>
        </w:tc>
        <w:tc>
          <w:tcPr>
            <w:tcW w:w="999" w:type="dxa"/>
            <w:tcBorders>
              <w:top w:val="single" w:sz="6" w:space="0" w:color="auto"/>
              <w:left w:val="nil"/>
              <w:bottom w:val="single" w:sz="12" w:space="0" w:color="auto"/>
              <w:right w:val="nil"/>
            </w:tcBorders>
            <w:shd w:val="clear" w:color="auto" w:fill="D9D9D9"/>
            <w:hideMark/>
          </w:tcPr>
          <w:p w:rsidR="004843DB" w:rsidRPr="0062582F" w:rsidRDefault="004843DB" w:rsidP="004843DB">
            <w:pPr>
              <w:pStyle w:val="TableofFigures"/>
              <w:rPr>
                <w:b/>
                <w:sz w:val="16"/>
                <w:szCs w:val="16"/>
              </w:rPr>
            </w:pPr>
            <w:r w:rsidRPr="0062582F">
              <w:rPr>
                <w:b/>
                <w:sz w:val="16"/>
                <w:szCs w:val="16"/>
              </w:rPr>
              <w:t>7 674</w:t>
            </w:r>
          </w:p>
        </w:tc>
        <w:tc>
          <w:tcPr>
            <w:tcW w:w="1053" w:type="dxa"/>
            <w:tcBorders>
              <w:top w:val="single" w:sz="6" w:space="0" w:color="auto"/>
              <w:left w:val="nil"/>
              <w:bottom w:val="single" w:sz="12" w:space="0" w:color="auto"/>
              <w:right w:val="nil"/>
            </w:tcBorders>
            <w:shd w:val="clear" w:color="auto" w:fill="D9D9D9"/>
            <w:hideMark/>
          </w:tcPr>
          <w:p w:rsidR="004843DB" w:rsidRPr="0062582F" w:rsidRDefault="004843DB" w:rsidP="004843DB">
            <w:pPr>
              <w:pStyle w:val="TableofFigures"/>
              <w:rPr>
                <w:b/>
                <w:sz w:val="16"/>
                <w:szCs w:val="16"/>
              </w:rPr>
            </w:pPr>
            <w:r w:rsidRPr="0062582F">
              <w:rPr>
                <w:b/>
                <w:sz w:val="16"/>
                <w:szCs w:val="16"/>
              </w:rPr>
              <w:t>8 890</w:t>
            </w:r>
          </w:p>
        </w:tc>
        <w:tc>
          <w:tcPr>
            <w:tcW w:w="1215" w:type="dxa"/>
            <w:tcBorders>
              <w:top w:val="single" w:sz="6" w:space="0" w:color="auto"/>
              <w:left w:val="nil"/>
              <w:bottom w:val="single" w:sz="12" w:space="0" w:color="auto"/>
              <w:right w:val="nil"/>
            </w:tcBorders>
            <w:hideMark/>
          </w:tcPr>
          <w:p w:rsidR="004843DB" w:rsidRPr="0062582F" w:rsidRDefault="004843DB" w:rsidP="004843DB">
            <w:pPr>
              <w:pStyle w:val="TableofFigures"/>
              <w:rPr>
                <w:rFonts w:ascii="Arial" w:hAnsi="Arial"/>
                <w:b/>
                <w:sz w:val="16"/>
                <w:szCs w:val="16"/>
              </w:rPr>
            </w:pPr>
          </w:p>
        </w:tc>
        <w:tc>
          <w:tcPr>
            <w:tcW w:w="999" w:type="dxa"/>
            <w:tcBorders>
              <w:top w:val="single" w:sz="6" w:space="0" w:color="auto"/>
              <w:left w:val="nil"/>
              <w:bottom w:val="single" w:sz="12" w:space="0" w:color="auto"/>
              <w:right w:val="nil"/>
            </w:tcBorders>
            <w:hideMark/>
          </w:tcPr>
          <w:p w:rsidR="004843DB" w:rsidRPr="0062582F" w:rsidRDefault="004843DB" w:rsidP="004843DB">
            <w:pPr>
              <w:pStyle w:val="TableofFigures"/>
              <w:rPr>
                <w:b/>
                <w:sz w:val="16"/>
                <w:szCs w:val="16"/>
              </w:rPr>
            </w:pPr>
            <w:r w:rsidRPr="0062582F">
              <w:rPr>
                <w:b/>
                <w:sz w:val="16"/>
                <w:szCs w:val="16"/>
              </w:rPr>
              <w:t>19 081</w:t>
            </w:r>
          </w:p>
        </w:tc>
        <w:tc>
          <w:tcPr>
            <w:tcW w:w="1041" w:type="dxa"/>
            <w:tcBorders>
              <w:top w:val="single" w:sz="6" w:space="0" w:color="auto"/>
              <w:left w:val="nil"/>
              <w:bottom w:val="single" w:sz="12" w:space="0" w:color="auto"/>
              <w:right w:val="nil"/>
            </w:tcBorders>
            <w:hideMark/>
          </w:tcPr>
          <w:p w:rsidR="004843DB" w:rsidRPr="0062582F" w:rsidRDefault="004843DB" w:rsidP="004843DB">
            <w:pPr>
              <w:pStyle w:val="TableofFigures"/>
              <w:rPr>
                <w:b/>
                <w:sz w:val="16"/>
                <w:szCs w:val="16"/>
              </w:rPr>
            </w:pPr>
            <w:r w:rsidRPr="0062582F">
              <w:rPr>
                <w:b/>
                <w:sz w:val="16"/>
                <w:szCs w:val="16"/>
              </w:rPr>
              <w:t>22 896</w:t>
            </w:r>
          </w:p>
        </w:tc>
      </w:tr>
      <w:tr w:rsidR="004843DB" w:rsidRPr="0062582F" w:rsidTr="004843DB">
        <w:trPr>
          <w:trHeight w:val="257"/>
        </w:trPr>
        <w:tc>
          <w:tcPr>
            <w:tcW w:w="8250" w:type="dxa"/>
            <w:gridSpan w:val="7"/>
            <w:tcBorders>
              <w:top w:val="single" w:sz="12" w:space="0" w:color="auto"/>
              <w:left w:val="nil"/>
              <w:bottom w:val="single" w:sz="6" w:space="0" w:color="auto"/>
              <w:right w:val="nil"/>
            </w:tcBorders>
          </w:tcPr>
          <w:p w:rsidR="004843DB" w:rsidRPr="0062582F" w:rsidRDefault="004843DB" w:rsidP="004843DB">
            <w:pPr>
              <w:pStyle w:val="Tabletext"/>
              <w:rPr>
                <w:sz w:val="16"/>
                <w:szCs w:val="16"/>
              </w:rPr>
            </w:pPr>
          </w:p>
          <w:p w:rsidR="004843DB" w:rsidRPr="0062582F" w:rsidRDefault="004843DB" w:rsidP="004843DB">
            <w:pPr>
              <w:pStyle w:val="Tabletext"/>
              <w:rPr>
                <w:sz w:val="16"/>
                <w:szCs w:val="16"/>
              </w:rPr>
            </w:pPr>
          </w:p>
        </w:tc>
      </w:tr>
      <w:tr w:rsidR="004843DB" w:rsidRPr="0062582F" w:rsidTr="004843DB">
        <w:trPr>
          <w:trHeight w:val="95"/>
        </w:trPr>
        <w:tc>
          <w:tcPr>
            <w:tcW w:w="1737" w:type="dxa"/>
            <w:tcBorders>
              <w:top w:val="single" w:sz="6" w:space="0" w:color="auto"/>
              <w:left w:val="nil"/>
              <w:bottom w:val="single" w:sz="6" w:space="0" w:color="auto"/>
              <w:right w:val="nil"/>
            </w:tcBorders>
            <w:shd w:val="clear" w:color="auto" w:fill="auto"/>
          </w:tcPr>
          <w:p w:rsidR="004843DB" w:rsidRPr="0062582F" w:rsidRDefault="004843DB" w:rsidP="004843DB">
            <w:pPr>
              <w:pStyle w:val="Tabletext"/>
              <w:rPr>
                <w:sz w:val="16"/>
                <w:szCs w:val="16"/>
              </w:rPr>
            </w:pPr>
          </w:p>
        </w:tc>
        <w:tc>
          <w:tcPr>
            <w:tcW w:w="1206" w:type="dxa"/>
            <w:tcBorders>
              <w:top w:val="single" w:sz="6" w:space="0" w:color="auto"/>
              <w:left w:val="nil"/>
              <w:bottom w:val="single" w:sz="6" w:space="0" w:color="auto"/>
              <w:right w:val="nil"/>
            </w:tcBorders>
            <w:shd w:val="clear" w:color="auto" w:fill="D9D9D9"/>
            <w:hideMark/>
          </w:tcPr>
          <w:p w:rsidR="004843DB" w:rsidRPr="0062582F" w:rsidRDefault="004843DB" w:rsidP="004843DB">
            <w:pPr>
              <w:pStyle w:val="Tabletextheading"/>
              <w:rPr>
                <w:sz w:val="16"/>
                <w:szCs w:val="16"/>
              </w:rPr>
            </w:pPr>
            <w:r w:rsidRPr="0062582F">
              <w:rPr>
                <w:sz w:val="16"/>
                <w:szCs w:val="16"/>
              </w:rPr>
              <w:t>Minimum lease payments</w:t>
            </w:r>
          </w:p>
          <w:p w:rsidR="004843DB" w:rsidRPr="0062582F" w:rsidRDefault="004843DB" w:rsidP="004843DB">
            <w:pPr>
              <w:pStyle w:val="Tabletextheading"/>
              <w:rPr>
                <w:sz w:val="8"/>
                <w:szCs w:val="8"/>
              </w:rPr>
            </w:pPr>
          </w:p>
          <w:p w:rsidR="004843DB" w:rsidRPr="0062582F" w:rsidRDefault="004843DB" w:rsidP="004843DB">
            <w:pPr>
              <w:pStyle w:val="Tabletextheading"/>
              <w:rPr>
                <w:sz w:val="16"/>
                <w:szCs w:val="16"/>
              </w:rPr>
            </w:pPr>
            <w:r w:rsidRPr="0062582F">
              <w:rPr>
                <w:sz w:val="16"/>
                <w:szCs w:val="16"/>
              </w:rPr>
              <w:t xml:space="preserve">Discounted value </w:t>
            </w:r>
          </w:p>
        </w:tc>
        <w:tc>
          <w:tcPr>
            <w:tcW w:w="999" w:type="dxa"/>
            <w:tcBorders>
              <w:top w:val="single" w:sz="6" w:space="0" w:color="auto"/>
              <w:left w:val="nil"/>
              <w:bottom w:val="single" w:sz="6" w:space="0" w:color="auto"/>
              <w:right w:val="nil"/>
            </w:tcBorders>
            <w:shd w:val="clear" w:color="auto" w:fill="D9D9D9"/>
            <w:hideMark/>
          </w:tcPr>
          <w:p w:rsidR="004843DB" w:rsidRPr="0062582F" w:rsidRDefault="004843DB" w:rsidP="004843DB">
            <w:pPr>
              <w:pStyle w:val="Tabletextheading"/>
              <w:rPr>
                <w:sz w:val="16"/>
                <w:szCs w:val="16"/>
              </w:rPr>
            </w:pPr>
            <w:r w:rsidRPr="0062582F">
              <w:rPr>
                <w:sz w:val="16"/>
                <w:szCs w:val="16"/>
              </w:rPr>
              <w:t>Other commitments</w:t>
            </w:r>
          </w:p>
          <w:p w:rsidR="004843DB" w:rsidRPr="0062582F" w:rsidRDefault="004843DB" w:rsidP="004843DB">
            <w:pPr>
              <w:pStyle w:val="Tabletextheading"/>
              <w:spacing w:before="0"/>
              <w:rPr>
                <w:sz w:val="8"/>
                <w:szCs w:val="8"/>
              </w:rPr>
            </w:pPr>
          </w:p>
          <w:p w:rsidR="004843DB" w:rsidRPr="0062582F" w:rsidRDefault="004843DB" w:rsidP="004843DB">
            <w:pPr>
              <w:pStyle w:val="Tabletextheading"/>
              <w:rPr>
                <w:sz w:val="16"/>
                <w:szCs w:val="16"/>
              </w:rPr>
            </w:pPr>
            <w:r w:rsidRPr="0062582F">
              <w:rPr>
                <w:sz w:val="16"/>
                <w:szCs w:val="16"/>
              </w:rPr>
              <w:t>Present value</w:t>
            </w:r>
          </w:p>
        </w:tc>
        <w:tc>
          <w:tcPr>
            <w:tcW w:w="1053" w:type="dxa"/>
            <w:tcBorders>
              <w:top w:val="single" w:sz="6" w:space="0" w:color="auto"/>
              <w:left w:val="nil"/>
              <w:bottom w:val="single" w:sz="6" w:space="0" w:color="auto"/>
              <w:right w:val="nil"/>
            </w:tcBorders>
            <w:shd w:val="clear" w:color="auto" w:fill="D9D9D9"/>
            <w:hideMark/>
          </w:tcPr>
          <w:p w:rsidR="004843DB" w:rsidRPr="0062582F" w:rsidRDefault="004843DB" w:rsidP="004843DB">
            <w:pPr>
              <w:pStyle w:val="Tabletextheading"/>
              <w:rPr>
                <w:sz w:val="16"/>
                <w:szCs w:val="16"/>
              </w:rPr>
            </w:pPr>
            <w:r w:rsidRPr="0062582F">
              <w:rPr>
                <w:sz w:val="16"/>
                <w:szCs w:val="16"/>
              </w:rPr>
              <w:t xml:space="preserve">Total </w:t>
            </w:r>
            <w:r w:rsidRPr="0062582F">
              <w:rPr>
                <w:sz w:val="16"/>
                <w:szCs w:val="16"/>
              </w:rPr>
              <w:br/>
              <w:t>commitments</w:t>
            </w:r>
          </w:p>
          <w:p w:rsidR="004843DB" w:rsidRPr="0062582F" w:rsidRDefault="004843DB" w:rsidP="004843DB">
            <w:pPr>
              <w:pStyle w:val="Tabletextheading"/>
              <w:rPr>
                <w:sz w:val="8"/>
                <w:szCs w:val="8"/>
              </w:rPr>
            </w:pPr>
          </w:p>
          <w:p w:rsidR="004843DB" w:rsidRPr="0062582F" w:rsidRDefault="004843DB" w:rsidP="004843DB">
            <w:pPr>
              <w:pStyle w:val="Tabletextheading"/>
              <w:spacing w:after="60"/>
              <w:rPr>
                <w:sz w:val="16"/>
                <w:szCs w:val="16"/>
              </w:rPr>
            </w:pPr>
            <w:r w:rsidRPr="0062582F">
              <w:rPr>
                <w:sz w:val="16"/>
                <w:szCs w:val="16"/>
              </w:rPr>
              <w:t>Nominal value</w:t>
            </w:r>
          </w:p>
        </w:tc>
        <w:tc>
          <w:tcPr>
            <w:tcW w:w="1215"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
              <w:rPr>
                <w:sz w:val="16"/>
                <w:szCs w:val="16"/>
              </w:rPr>
            </w:pPr>
            <w:r w:rsidRPr="0062582F">
              <w:rPr>
                <w:sz w:val="16"/>
                <w:szCs w:val="16"/>
              </w:rPr>
              <w:t>Minimum lease payments</w:t>
            </w:r>
          </w:p>
          <w:p w:rsidR="004843DB" w:rsidRPr="0062582F" w:rsidRDefault="004843DB" w:rsidP="004843DB">
            <w:pPr>
              <w:pStyle w:val="Tabletextheading"/>
              <w:rPr>
                <w:sz w:val="8"/>
                <w:szCs w:val="8"/>
              </w:rPr>
            </w:pPr>
          </w:p>
          <w:p w:rsidR="004843DB" w:rsidRPr="0062582F" w:rsidRDefault="004843DB" w:rsidP="004843DB">
            <w:pPr>
              <w:pStyle w:val="Tabletextheading"/>
              <w:rPr>
                <w:sz w:val="16"/>
                <w:szCs w:val="16"/>
              </w:rPr>
            </w:pPr>
            <w:r w:rsidRPr="0062582F">
              <w:rPr>
                <w:sz w:val="16"/>
                <w:szCs w:val="16"/>
              </w:rPr>
              <w:t>Discounted value</w:t>
            </w:r>
          </w:p>
        </w:tc>
        <w:tc>
          <w:tcPr>
            <w:tcW w:w="999"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
              <w:rPr>
                <w:sz w:val="16"/>
                <w:szCs w:val="16"/>
              </w:rPr>
            </w:pPr>
            <w:r w:rsidRPr="0062582F">
              <w:rPr>
                <w:sz w:val="16"/>
                <w:szCs w:val="16"/>
              </w:rPr>
              <w:t>Other commitments</w:t>
            </w:r>
          </w:p>
          <w:p w:rsidR="004843DB" w:rsidRPr="0062582F" w:rsidRDefault="004843DB" w:rsidP="004843DB">
            <w:pPr>
              <w:pStyle w:val="Tabletextheading"/>
              <w:rPr>
                <w:sz w:val="8"/>
                <w:szCs w:val="8"/>
              </w:rPr>
            </w:pPr>
          </w:p>
          <w:p w:rsidR="004843DB" w:rsidRPr="0062582F" w:rsidRDefault="004843DB" w:rsidP="004843DB">
            <w:pPr>
              <w:pStyle w:val="Tabletextheading"/>
              <w:rPr>
                <w:sz w:val="16"/>
                <w:szCs w:val="16"/>
              </w:rPr>
            </w:pPr>
            <w:r w:rsidRPr="0062582F">
              <w:rPr>
                <w:sz w:val="16"/>
                <w:szCs w:val="16"/>
              </w:rPr>
              <w:t>Present value</w:t>
            </w:r>
          </w:p>
        </w:tc>
        <w:tc>
          <w:tcPr>
            <w:tcW w:w="1041"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
              <w:rPr>
                <w:sz w:val="16"/>
                <w:szCs w:val="16"/>
              </w:rPr>
            </w:pPr>
            <w:r w:rsidRPr="0062582F">
              <w:rPr>
                <w:sz w:val="16"/>
                <w:szCs w:val="16"/>
              </w:rPr>
              <w:t>Total commitments</w:t>
            </w:r>
          </w:p>
          <w:p w:rsidR="004843DB" w:rsidRPr="0062582F" w:rsidRDefault="004843DB" w:rsidP="004843DB">
            <w:pPr>
              <w:pStyle w:val="Tabletextheading"/>
              <w:rPr>
                <w:sz w:val="8"/>
                <w:szCs w:val="8"/>
              </w:rPr>
            </w:pPr>
          </w:p>
          <w:p w:rsidR="004843DB" w:rsidRPr="0062582F" w:rsidRDefault="004843DB" w:rsidP="004843DB">
            <w:pPr>
              <w:pStyle w:val="Tabletextheading"/>
              <w:rPr>
                <w:sz w:val="16"/>
                <w:szCs w:val="16"/>
              </w:rPr>
            </w:pPr>
            <w:r w:rsidRPr="0062582F">
              <w:rPr>
                <w:sz w:val="16"/>
                <w:szCs w:val="16"/>
              </w:rPr>
              <w:t>Nominal value</w:t>
            </w:r>
          </w:p>
        </w:tc>
      </w:tr>
      <w:tr w:rsidR="004843DB" w:rsidRPr="0062582F" w:rsidTr="004843DB">
        <w:trPr>
          <w:trHeight w:val="95"/>
        </w:trPr>
        <w:tc>
          <w:tcPr>
            <w:tcW w:w="8250" w:type="dxa"/>
            <w:gridSpan w:val="7"/>
            <w:tcBorders>
              <w:top w:val="single" w:sz="6" w:space="0" w:color="auto"/>
              <w:left w:val="nil"/>
              <w:right w:val="nil"/>
            </w:tcBorders>
          </w:tcPr>
          <w:p w:rsidR="004843DB" w:rsidRPr="0062582F" w:rsidRDefault="004843DB" w:rsidP="004843DB">
            <w:pPr>
              <w:pStyle w:val="TableofFigures"/>
              <w:jc w:val="left"/>
              <w:rPr>
                <w:sz w:val="16"/>
                <w:szCs w:val="16"/>
              </w:rPr>
            </w:pPr>
            <w:r w:rsidRPr="0062582F">
              <w:rPr>
                <w:b/>
                <w:sz w:val="16"/>
                <w:szCs w:val="16"/>
              </w:rPr>
              <w:t>Uncommissioned public private partnerships – total commitments</w:t>
            </w:r>
            <w:r w:rsidRPr="0062582F">
              <w:rPr>
                <w:sz w:val="16"/>
                <w:szCs w:val="16"/>
              </w:rPr>
              <w:t xml:space="preserve"> </w:t>
            </w:r>
            <w:r w:rsidRPr="0062582F">
              <w:rPr>
                <w:rFonts w:cs="Calibri"/>
                <w:sz w:val="16"/>
                <w:szCs w:val="16"/>
                <w:vertAlign w:val="superscript"/>
              </w:rPr>
              <w:t>(vi)(vii)(viii)(ix)</w:t>
            </w:r>
          </w:p>
        </w:tc>
      </w:tr>
      <w:tr w:rsidR="004843DB" w:rsidRPr="0062582F" w:rsidTr="004843DB">
        <w:trPr>
          <w:trHeight w:val="95"/>
        </w:trPr>
        <w:tc>
          <w:tcPr>
            <w:tcW w:w="1737" w:type="dxa"/>
            <w:tcBorders>
              <w:left w:val="nil"/>
              <w:right w:val="nil"/>
            </w:tcBorders>
            <w:hideMark/>
          </w:tcPr>
          <w:p w:rsidR="004843DB" w:rsidRPr="0062582F" w:rsidRDefault="004843DB" w:rsidP="004843DB">
            <w:pPr>
              <w:pStyle w:val="Tabletext"/>
              <w:rPr>
                <w:sz w:val="16"/>
                <w:szCs w:val="16"/>
              </w:rPr>
            </w:pPr>
            <w:r w:rsidRPr="0062582F">
              <w:rPr>
                <w:sz w:val="16"/>
                <w:szCs w:val="16"/>
              </w:rPr>
              <w:t xml:space="preserve">IT training schools </w:t>
            </w:r>
            <w:r w:rsidRPr="0062582F">
              <w:rPr>
                <w:rFonts w:cs="Calibri"/>
                <w:sz w:val="16"/>
                <w:szCs w:val="16"/>
                <w:vertAlign w:val="superscript"/>
              </w:rPr>
              <w:t>(ix)</w:t>
            </w:r>
          </w:p>
        </w:tc>
        <w:tc>
          <w:tcPr>
            <w:tcW w:w="1206" w:type="dxa"/>
            <w:tcBorders>
              <w:left w:val="nil"/>
              <w:right w:val="nil"/>
            </w:tcBorders>
            <w:shd w:val="clear" w:color="auto" w:fill="D9D9D9"/>
            <w:hideMark/>
          </w:tcPr>
          <w:p w:rsidR="004843DB" w:rsidRPr="0062582F" w:rsidRDefault="004843DB" w:rsidP="004843DB">
            <w:pPr>
              <w:pStyle w:val="TableofFigures"/>
              <w:rPr>
                <w:sz w:val="16"/>
                <w:szCs w:val="16"/>
              </w:rPr>
            </w:pPr>
            <w:r w:rsidRPr="0062582F">
              <w:rPr>
                <w:sz w:val="16"/>
                <w:szCs w:val="16"/>
              </w:rPr>
              <w:t>3 329</w:t>
            </w:r>
          </w:p>
        </w:tc>
        <w:tc>
          <w:tcPr>
            <w:tcW w:w="999" w:type="dxa"/>
            <w:tcBorders>
              <w:left w:val="nil"/>
              <w:right w:val="nil"/>
            </w:tcBorders>
            <w:shd w:val="clear" w:color="auto" w:fill="D9D9D9"/>
            <w:hideMark/>
          </w:tcPr>
          <w:p w:rsidR="004843DB" w:rsidRPr="0062582F" w:rsidRDefault="004843DB" w:rsidP="004843DB">
            <w:pPr>
              <w:pStyle w:val="TableofFigures"/>
              <w:rPr>
                <w:sz w:val="16"/>
                <w:szCs w:val="16"/>
              </w:rPr>
            </w:pPr>
            <w:r w:rsidRPr="0062582F">
              <w:rPr>
                <w:sz w:val="16"/>
                <w:szCs w:val="16"/>
              </w:rPr>
              <w:t>1 569</w:t>
            </w:r>
          </w:p>
        </w:tc>
        <w:tc>
          <w:tcPr>
            <w:tcW w:w="1053" w:type="dxa"/>
            <w:tcBorders>
              <w:left w:val="nil"/>
              <w:right w:val="nil"/>
            </w:tcBorders>
            <w:shd w:val="clear" w:color="auto" w:fill="D9D9D9"/>
            <w:hideMark/>
          </w:tcPr>
          <w:p w:rsidR="004843DB" w:rsidRPr="0062582F" w:rsidRDefault="004843DB" w:rsidP="004843DB">
            <w:pPr>
              <w:pStyle w:val="TableofFigures"/>
              <w:rPr>
                <w:sz w:val="16"/>
                <w:szCs w:val="16"/>
              </w:rPr>
            </w:pPr>
            <w:r w:rsidRPr="0062582F">
              <w:rPr>
                <w:sz w:val="16"/>
                <w:szCs w:val="16"/>
              </w:rPr>
              <w:t>11 901</w:t>
            </w:r>
          </w:p>
        </w:tc>
        <w:tc>
          <w:tcPr>
            <w:tcW w:w="1215" w:type="dxa"/>
            <w:tcBorders>
              <w:left w:val="nil"/>
              <w:right w:val="nil"/>
            </w:tcBorders>
            <w:hideMark/>
          </w:tcPr>
          <w:p w:rsidR="004843DB" w:rsidRPr="0062582F" w:rsidRDefault="004843DB" w:rsidP="004843DB">
            <w:pPr>
              <w:pStyle w:val="TableofFigures"/>
              <w:rPr>
                <w:sz w:val="16"/>
                <w:szCs w:val="16"/>
              </w:rPr>
            </w:pPr>
            <w:r w:rsidRPr="0062582F">
              <w:rPr>
                <w:sz w:val="16"/>
                <w:szCs w:val="16"/>
              </w:rPr>
              <w:t>3 329</w:t>
            </w:r>
          </w:p>
        </w:tc>
        <w:tc>
          <w:tcPr>
            <w:tcW w:w="999" w:type="dxa"/>
            <w:tcBorders>
              <w:left w:val="nil"/>
              <w:right w:val="nil"/>
            </w:tcBorders>
            <w:hideMark/>
          </w:tcPr>
          <w:p w:rsidR="004843DB" w:rsidRPr="0062582F" w:rsidRDefault="004843DB" w:rsidP="004843DB">
            <w:pPr>
              <w:pStyle w:val="TableofFigures"/>
              <w:rPr>
                <w:sz w:val="16"/>
                <w:szCs w:val="16"/>
              </w:rPr>
            </w:pPr>
            <w:r w:rsidRPr="0062582F">
              <w:rPr>
                <w:sz w:val="16"/>
                <w:szCs w:val="16"/>
              </w:rPr>
              <w:t>1 458</w:t>
            </w:r>
          </w:p>
        </w:tc>
        <w:tc>
          <w:tcPr>
            <w:tcW w:w="1041" w:type="dxa"/>
            <w:tcBorders>
              <w:left w:val="nil"/>
              <w:right w:val="nil"/>
            </w:tcBorders>
            <w:hideMark/>
          </w:tcPr>
          <w:p w:rsidR="004843DB" w:rsidRPr="0062582F" w:rsidRDefault="004843DB" w:rsidP="004843DB">
            <w:pPr>
              <w:pStyle w:val="TableofFigures"/>
              <w:rPr>
                <w:sz w:val="16"/>
                <w:szCs w:val="16"/>
              </w:rPr>
            </w:pPr>
            <w:r w:rsidRPr="0062582F">
              <w:rPr>
                <w:sz w:val="16"/>
                <w:szCs w:val="16"/>
              </w:rPr>
              <w:t>11 901</w:t>
            </w:r>
          </w:p>
        </w:tc>
      </w:tr>
      <w:tr w:rsidR="004843DB" w:rsidRPr="0062582F" w:rsidTr="004843DB">
        <w:trPr>
          <w:trHeight w:val="95"/>
        </w:trPr>
        <w:tc>
          <w:tcPr>
            <w:tcW w:w="1737" w:type="dxa"/>
            <w:tcBorders>
              <w:top w:val="nil"/>
              <w:left w:val="nil"/>
              <w:bottom w:val="single" w:sz="4" w:space="0" w:color="auto"/>
              <w:right w:val="nil"/>
            </w:tcBorders>
            <w:hideMark/>
          </w:tcPr>
          <w:p w:rsidR="004843DB" w:rsidRPr="0062582F" w:rsidRDefault="004843DB" w:rsidP="004843DB">
            <w:pPr>
              <w:pStyle w:val="Tabletext"/>
              <w:rPr>
                <w:sz w:val="16"/>
                <w:szCs w:val="16"/>
              </w:rPr>
            </w:pPr>
            <w:r w:rsidRPr="0062582F">
              <w:rPr>
                <w:sz w:val="16"/>
                <w:szCs w:val="16"/>
              </w:rPr>
              <w:t xml:space="preserve">Climate Change Research Centre </w:t>
            </w:r>
            <w:r w:rsidRPr="0062582F">
              <w:rPr>
                <w:rFonts w:cs="Calibri"/>
                <w:sz w:val="16"/>
                <w:szCs w:val="16"/>
                <w:vertAlign w:val="superscript"/>
              </w:rPr>
              <w:t>(x)</w:t>
            </w:r>
          </w:p>
        </w:tc>
        <w:tc>
          <w:tcPr>
            <w:tcW w:w="1206" w:type="dxa"/>
            <w:tcBorders>
              <w:top w:val="nil"/>
              <w:left w:val="nil"/>
              <w:bottom w:val="single" w:sz="4" w:space="0" w:color="auto"/>
              <w:right w:val="nil"/>
            </w:tcBorders>
            <w:shd w:val="clear" w:color="auto" w:fill="D9D9D9"/>
            <w:hideMark/>
          </w:tcPr>
          <w:p w:rsidR="004843DB" w:rsidRPr="0062582F" w:rsidRDefault="004843DB" w:rsidP="004843DB">
            <w:pPr>
              <w:pStyle w:val="TableofFigures"/>
              <w:rPr>
                <w:sz w:val="16"/>
                <w:szCs w:val="16"/>
              </w:rPr>
            </w:pPr>
            <w:r w:rsidRPr="0062582F">
              <w:rPr>
                <w:sz w:val="16"/>
                <w:szCs w:val="16"/>
              </w:rPr>
              <w:t>1 685</w:t>
            </w:r>
          </w:p>
        </w:tc>
        <w:tc>
          <w:tcPr>
            <w:tcW w:w="999" w:type="dxa"/>
            <w:tcBorders>
              <w:top w:val="nil"/>
              <w:left w:val="nil"/>
              <w:bottom w:val="single" w:sz="4" w:space="0" w:color="auto"/>
              <w:right w:val="nil"/>
            </w:tcBorders>
            <w:shd w:val="clear" w:color="auto" w:fill="D9D9D9"/>
            <w:hideMark/>
          </w:tcPr>
          <w:p w:rsidR="004843DB" w:rsidRPr="0062582F" w:rsidRDefault="004843DB" w:rsidP="004843DB">
            <w:pPr>
              <w:pStyle w:val="TableofFigures"/>
              <w:rPr>
                <w:sz w:val="16"/>
                <w:szCs w:val="16"/>
              </w:rPr>
            </w:pPr>
            <w:r w:rsidRPr="0062582F">
              <w:rPr>
                <w:sz w:val="16"/>
                <w:szCs w:val="16"/>
              </w:rPr>
              <w:t>579</w:t>
            </w:r>
          </w:p>
        </w:tc>
        <w:tc>
          <w:tcPr>
            <w:tcW w:w="1053" w:type="dxa"/>
            <w:tcBorders>
              <w:top w:val="nil"/>
              <w:left w:val="nil"/>
              <w:bottom w:val="single" w:sz="4" w:space="0" w:color="auto"/>
              <w:right w:val="nil"/>
            </w:tcBorders>
            <w:shd w:val="clear" w:color="auto" w:fill="D9D9D9"/>
            <w:hideMark/>
          </w:tcPr>
          <w:p w:rsidR="004843DB" w:rsidRPr="0062582F" w:rsidRDefault="004843DB" w:rsidP="004843DB">
            <w:pPr>
              <w:pStyle w:val="TableofFigures"/>
              <w:rPr>
                <w:sz w:val="16"/>
                <w:szCs w:val="16"/>
              </w:rPr>
            </w:pPr>
            <w:r w:rsidRPr="0062582F">
              <w:rPr>
                <w:sz w:val="16"/>
                <w:szCs w:val="16"/>
              </w:rPr>
              <w:t>8 035</w:t>
            </w:r>
          </w:p>
        </w:tc>
        <w:tc>
          <w:tcPr>
            <w:tcW w:w="1215" w:type="dxa"/>
            <w:tcBorders>
              <w:top w:val="nil"/>
              <w:left w:val="nil"/>
              <w:bottom w:val="single" w:sz="4" w:space="0" w:color="auto"/>
              <w:right w:val="nil"/>
            </w:tcBorders>
            <w:hideMark/>
          </w:tcPr>
          <w:p w:rsidR="004843DB" w:rsidRPr="0062582F" w:rsidRDefault="004843DB" w:rsidP="004843DB">
            <w:pPr>
              <w:pStyle w:val="TableofFigures"/>
              <w:rPr>
                <w:sz w:val="16"/>
                <w:szCs w:val="16"/>
              </w:rPr>
            </w:pPr>
            <w:r w:rsidRPr="0062582F">
              <w:rPr>
                <w:sz w:val="16"/>
                <w:szCs w:val="16"/>
              </w:rPr>
              <w:t>1 685</w:t>
            </w:r>
          </w:p>
        </w:tc>
        <w:tc>
          <w:tcPr>
            <w:tcW w:w="999" w:type="dxa"/>
            <w:tcBorders>
              <w:top w:val="nil"/>
              <w:left w:val="nil"/>
              <w:bottom w:val="single" w:sz="4" w:space="0" w:color="auto"/>
              <w:right w:val="nil"/>
            </w:tcBorders>
            <w:hideMark/>
          </w:tcPr>
          <w:p w:rsidR="004843DB" w:rsidRPr="0062582F" w:rsidRDefault="004843DB" w:rsidP="004843DB">
            <w:pPr>
              <w:pStyle w:val="TableofFigures"/>
              <w:rPr>
                <w:sz w:val="16"/>
                <w:szCs w:val="16"/>
              </w:rPr>
            </w:pPr>
            <w:r w:rsidRPr="0062582F">
              <w:rPr>
                <w:sz w:val="16"/>
                <w:szCs w:val="16"/>
              </w:rPr>
              <w:t>534</w:t>
            </w:r>
          </w:p>
        </w:tc>
        <w:tc>
          <w:tcPr>
            <w:tcW w:w="1041" w:type="dxa"/>
            <w:tcBorders>
              <w:top w:val="nil"/>
              <w:left w:val="nil"/>
              <w:bottom w:val="single" w:sz="4" w:space="0" w:color="auto"/>
              <w:right w:val="nil"/>
            </w:tcBorders>
            <w:hideMark/>
          </w:tcPr>
          <w:p w:rsidR="004843DB" w:rsidRPr="0062582F" w:rsidRDefault="004843DB" w:rsidP="004843DB">
            <w:pPr>
              <w:pStyle w:val="TableofFigures"/>
              <w:rPr>
                <w:sz w:val="16"/>
                <w:szCs w:val="16"/>
              </w:rPr>
            </w:pPr>
            <w:r w:rsidRPr="0062582F">
              <w:rPr>
                <w:sz w:val="16"/>
                <w:szCs w:val="16"/>
              </w:rPr>
              <w:t>8 035</w:t>
            </w:r>
          </w:p>
        </w:tc>
      </w:tr>
      <w:tr w:rsidR="004843DB" w:rsidRPr="0062582F" w:rsidTr="004843DB">
        <w:trPr>
          <w:trHeight w:val="95"/>
        </w:trPr>
        <w:tc>
          <w:tcPr>
            <w:tcW w:w="1737" w:type="dxa"/>
            <w:tcBorders>
              <w:top w:val="single" w:sz="4" w:space="0" w:color="auto"/>
              <w:left w:val="nil"/>
              <w:bottom w:val="single" w:sz="6" w:space="0" w:color="auto"/>
              <w:right w:val="nil"/>
            </w:tcBorders>
            <w:hideMark/>
          </w:tcPr>
          <w:p w:rsidR="004843DB" w:rsidRPr="0062582F" w:rsidRDefault="004843DB" w:rsidP="004843DB">
            <w:pPr>
              <w:pStyle w:val="Tabletext"/>
              <w:rPr>
                <w:rFonts w:cs="Calibri"/>
                <w:b/>
                <w:sz w:val="16"/>
                <w:szCs w:val="16"/>
              </w:rPr>
            </w:pPr>
            <w:r w:rsidRPr="0062582F">
              <w:rPr>
                <w:b/>
                <w:sz w:val="16"/>
                <w:szCs w:val="16"/>
              </w:rPr>
              <w:t>Sub</w:t>
            </w:r>
            <w:r w:rsidR="005A4BB0">
              <w:rPr>
                <w:b/>
                <w:sz w:val="16"/>
                <w:szCs w:val="16"/>
              </w:rPr>
              <w:noBreakHyphen/>
            </w:r>
            <w:r w:rsidRPr="0062582F">
              <w:rPr>
                <w:b/>
                <w:sz w:val="16"/>
                <w:szCs w:val="16"/>
              </w:rPr>
              <w:t>total</w:t>
            </w:r>
          </w:p>
        </w:tc>
        <w:tc>
          <w:tcPr>
            <w:tcW w:w="1206" w:type="dxa"/>
            <w:tcBorders>
              <w:top w:val="single" w:sz="4" w:space="0" w:color="auto"/>
              <w:left w:val="nil"/>
              <w:bottom w:val="single" w:sz="6" w:space="0" w:color="auto"/>
              <w:right w:val="nil"/>
            </w:tcBorders>
            <w:shd w:val="clear" w:color="auto" w:fill="D9D9D9"/>
            <w:hideMark/>
          </w:tcPr>
          <w:p w:rsidR="004843DB" w:rsidRPr="0062582F" w:rsidRDefault="004843DB" w:rsidP="004843DB">
            <w:pPr>
              <w:pStyle w:val="TableofFigures"/>
              <w:rPr>
                <w:rFonts w:cs="Calibri"/>
                <w:b/>
                <w:sz w:val="16"/>
                <w:szCs w:val="16"/>
              </w:rPr>
            </w:pPr>
            <w:r w:rsidRPr="0062582F">
              <w:rPr>
                <w:rFonts w:cs="Calibri"/>
                <w:b/>
                <w:i/>
                <w:iCs/>
                <w:sz w:val="16"/>
                <w:szCs w:val="16"/>
              </w:rPr>
              <w:t>..</w:t>
            </w:r>
          </w:p>
        </w:tc>
        <w:tc>
          <w:tcPr>
            <w:tcW w:w="999" w:type="dxa"/>
            <w:tcBorders>
              <w:top w:val="single" w:sz="4" w:space="0" w:color="auto"/>
              <w:left w:val="nil"/>
              <w:bottom w:val="single" w:sz="6" w:space="0" w:color="auto"/>
              <w:right w:val="nil"/>
            </w:tcBorders>
            <w:shd w:val="clear" w:color="auto" w:fill="D9D9D9"/>
            <w:hideMark/>
          </w:tcPr>
          <w:p w:rsidR="004843DB" w:rsidRPr="0062582F" w:rsidRDefault="004843DB" w:rsidP="004843DB">
            <w:pPr>
              <w:pStyle w:val="TableofFigures"/>
              <w:rPr>
                <w:b/>
                <w:sz w:val="16"/>
                <w:szCs w:val="16"/>
              </w:rPr>
            </w:pPr>
            <w:r w:rsidRPr="0062582F">
              <w:rPr>
                <w:b/>
                <w:sz w:val="16"/>
                <w:szCs w:val="16"/>
              </w:rPr>
              <w:t>2 148</w:t>
            </w:r>
          </w:p>
        </w:tc>
        <w:tc>
          <w:tcPr>
            <w:tcW w:w="1053" w:type="dxa"/>
            <w:tcBorders>
              <w:top w:val="single" w:sz="4" w:space="0" w:color="auto"/>
              <w:left w:val="nil"/>
              <w:bottom w:val="single" w:sz="6" w:space="0" w:color="auto"/>
              <w:right w:val="nil"/>
            </w:tcBorders>
            <w:shd w:val="clear" w:color="auto" w:fill="D9D9D9"/>
            <w:hideMark/>
          </w:tcPr>
          <w:p w:rsidR="004843DB" w:rsidRPr="0062582F" w:rsidRDefault="004843DB" w:rsidP="004843DB">
            <w:pPr>
              <w:pStyle w:val="TableofFigures"/>
              <w:rPr>
                <w:b/>
                <w:sz w:val="16"/>
                <w:szCs w:val="16"/>
              </w:rPr>
            </w:pPr>
            <w:r w:rsidRPr="0062582F">
              <w:rPr>
                <w:b/>
                <w:sz w:val="16"/>
                <w:szCs w:val="16"/>
              </w:rPr>
              <w:t>19 936</w:t>
            </w:r>
          </w:p>
        </w:tc>
        <w:tc>
          <w:tcPr>
            <w:tcW w:w="1215" w:type="dxa"/>
            <w:tcBorders>
              <w:top w:val="single" w:sz="4" w:space="0" w:color="auto"/>
              <w:left w:val="nil"/>
              <w:bottom w:val="single" w:sz="6" w:space="0" w:color="auto"/>
              <w:right w:val="nil"/>
            </w:tcBorders>
            <w:hideMark/>
          </w:tcPr>
          <w:p w:rsidR="004843DB" w:rsidRPr="0062582F" w:rsidRDefault="004843DB" w:rsidP="004843DB">
            <w:pPr>
              <w:pStyle w:val="TableofFigures"/>
              <w:rPr>
                <w:rFonts w:cs="Calibri"/>
                <w:b/>
                <w:sz w:val="16"/>
                <w:szCs w:val="16"/>
              </w:rPr>
            </w:pPr>
            <w:r w:rsidRPr="0062582F">
              <w:rPr>
                <w:rFonts w:ascii="Arial" w:hAnsi="Arial"/>
                <w:b/>
                <w:sz w:val="16"/>
                <w:szCs w:val="16"/>
              </w:rPr>
              <w:t>..</w:t>
            </w:r>
          </w:p>
        </w:tc>
        <w:tc>
          <w:tcPr>
            <w:tcW w:w="999" w:type="dxa"/>
            <w:tcBorders>
              <w:top w:val="single" w:sz="4" w:space="0" w:color="auto"/>
              <w:left w:val="nil"/>
              <w:bottom w:val="single" w:sz="6" w:space="0" w:color="auto"/>
              <w:right w:val="nil"/>
            </w:tcBorders>
            <w:hideMark/>
          </w:tcPr>
          <w:p w:rsidR="004843DB" w:rsidRPr="0062582F" w:rsidRDefault="004843DB" w:rsidP="004843DB">
            <w:pPr>
              <w:pStyle w:val="TableofFigures"/>
              <w:rPr>
                <w:b/>
                <w:sz w:val="16"/>
                <w:szCs w:val="16"/>
              </w:rPr>
            </w:pPr>
            <w:r w:rsidRPr="0062582F">
              <w:rPr>
                <w:b/>
                <w:sz w:val="16"/>
                <w:szCs w:val="16"/>
              </w:rPr>
              <w:t>1 992</w:t>
            </w:r>
          </w:p>
        </w:tc>
        <w:tc>
          <w:tcPr>
            <w:tcW w:w="1041" w:type="dxa"/>
            <w:tcBorders>
              <w:top w:val="single" w:sz="4" w:space="0" w:color="auto"/>
              <w:left w:val="nil"/>
              <w:bottom w:val="single" w:sz="6" w:space="0" w:color="auto"/>
              <w:right w:val="nil"/>
            </w:tcBorders>
            <w:hideMark/>
          </w:tcPr>
          <w:p w:rsidR="004843DB" w:rsidRPr="0062582F" w:rsidRDefault="004843DB" w:rsidP="004843DB">
            <w:pPr>
              <w:pStyle w:val="TableofFigures"/>
              <w:rPr>
                <w:b/>
                <w:sz w:val="16"/>
                <w:szCs w:val="16"/>
              </w:rPr>
            </w:pPr>
            <w:r w:rsidRPr="0062582F">
              <w:rPr>
                <w:b/>
                <w:sz w:val="16"/>
                <w:szCs w:val="16"/>
              </w:rPr>
              <w:t>19 936</w:t>
            </w:r>
          </w:p>
        </w:tc>
      </w:tr>
      <w:tr w:rsidR="004843DB" w:rsidRPr="0062582F" w:rsidTr="004843DB">
        <w:trPr>
          <w:trHeight w:val="95"/>
        </w:trPr>
        <w:tc>
          <w:tcPr>
            <w:tcW w:w="1737" w:type="dxa"/>
            <w:tcBorders>
              <w:top w:val="single" w:sz="6" w:space="0" w:color="auto"/>
              <w:left w:val="nil"/>
              <w:bottom w:val="single" w:sz="12" w:space="0" w:color="auto"/>
              <w:right w:val="nil"/>
            </w:tcBorders>
            <w:hideMark/>
          </w:tcPr>
          <w:p w:rsidR="004843DB" w:rsidRPr="0062582F" w:rsidRDefault="004843DB" w:rsidP="004843DB">
            <w:pPr>
              <w:pStyle w:val="Tabletext"/>
              <w:rPr>
                <w:b/>
                <w:sz w:val="16"/>
                <w:szCs w:val="16"/>
              </w:rPr>
            </w:pPr>
            <w:r w:rsidRPr="0062582F">
              <w:rPr>
                <w:b/>
                <w:sz w:val="16"/>
                <w:szCs w:val="16"/>
              </w:rPr>
              <w:t>Total commitments for public private partnerships</w:t>
            </w:r>
          </w:p>
        </w:tc>
        <w:tc>
          <w:tcPr>
            <w:tcW w:w="1206"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rFonts w:cs="Calibri"/>
                <w:b/>
                <w:sz w:val="16"/>
                <w:szCs w:val="16"/>
              </w:rPr>
            </w:pPr>
          </w:p>
        </w:tc>
        <w:tc>
          <w:tcPr>
            <w:tcW w:w="999" w:type="dxa"/>
            <w:tcBorders>
              <w:top w:val="single" w:sz="6" w:space="0" w:color="auto"/>
              <w:left w:val="nil"/>
              <w:bottom w:val="single" w:sz="12" w:space="0" w:color="auto"/>
              <w:right w:val="nil"/>
            </w:tcBorders>
            <w:shd w:val="clear" w:color="auto" w:fill="D9D9D9"/>
            <w:hideMark/>
          </w:tcPr>
          <w:p w:rsidR="004843DB" w:rsidRPr="0062582F" w:rsidRDefault="004843DB" w:rsidP="004843DB">
            <w:pPr>
              <w:pStyle w:val="TableofFigures"/>
              <w:rPr>
                <w:b/>
                <w:sz w:val="16"/>
                <w:szCs w:val="16"/>
              </w:rPr>
            </w:pPr>
            <w:r w:rsidRPr="0062582F">
              <w:rPr>
                <w:b/>
                <w:sz w:val="16"/>
                <w:szCs w:val="16"/>
              </w:rPr>
              <w:t>9 822</w:t>
            </w:r>
          </w:p>
        </w:tc>
        <w:tc>
          <w:tcPr>
            <w:tcW w:w="1053" w:type="dxa"/>
            <w:tcBorders>
              <w:top w:val="single" w:sz="6" w:space="0" w:color="auto"/>
              <w:left w:val="nil"/>
              <w:bottom w:val="single" w:sz="12" w:space="0" w:color="auto"/>
              <w:right w:val="nil"/>
            </w:tcBorders>
            <w:shd w:val="clear" w:color="auto" w:fill="D9D9D9"/>
            <w:hideMark/>
          </w:tcPr>
          <w:p w:rsidR="004843DB" w:rsidRPr="0062582F" w:rsidRDefault="004843DB" w:rsidP="004843DB">
            <w:pPr>
              <w:pStyle w:val="TableofFigures"/>
              <w:rPr>
                <w:b/>
                <w:sz w:val="16"/>
                <w:szCs w:val="16"/>
              </w:rPr>
            </w:pPr>
            <w:r w:rsidRPr="0062582F">
              <w:rPr>
                <w:b/>
                <w:sz w:val="16"/>
                <w:szCs w:val="16"/>
              </w:rPr>
              <w:t>28 826</w:t>
            </w:r>
          </w:p>
        </w:tc>
        <w:tc>
          <w:tcPr>
            <w:tcW w:w="1215" w:type="dxa"/>
            <w:tcBorders>
              <w:top w:val="single" w:sz="6" w:space="0" w:color="auto"/>
              <w:left w:val="nil"/>
              <w:bottom w:val="single" w:sz="12" w:space="0" w:color="auto"/>
              <w:right w:val="nil"/>
            </w:tcBorders>
          </w:tcPr>
          <w:p w:rsidR="004843DB" w:rsidRPr="0062582F" w:rsidRDefault="004843DB" w:rsidP="004843DB">
            <w:pPr>
              <w:pStyle w:val="TableofFigures"/>
              <w:rPr>
                <w:b/>
                <w:sz w:val="16"/>
                <w:szCs w:val="16"/>
              </w:rPr>
            </w:pPr>
          </w:p>
        </w:tc>
        <w:tc>
          <w:tcPr>
            <w:tcW w:w="999" w:type="dxa"/>
            <w:tcBorders>
              <w:top w:val="single" w:sz="6" w:space="0" w:color="auto"/>
              <w:left w:val="nil"/>
              <w:bottom w:val="single" w:sz="12" w:space="0" w:color="auto"/>
              <w:right w:val="nil"/>
            </w:tcBorders>
            <w:hideMark/>
          </w:tcPr>
          <w:p w:rsidR="004843DB" w:rsidRPr="0062582F" w:rsidRDefault="004843DB" w:rsidP="004843DB">
            <w:pPr>
              <w:pStyle w:val="TableofFigures"/>
              <w:rPr>
                <w:b/>
                <w:sz w:val="16"/>
                <w:szCs w:val="16"/>
              </w:rPr>
            </w:pPr>
            <w:r w:rsidRPr="0062582F">
              <w:rPr>
                <w:b/>
                <w:sz w:val="16"/>
                <w:szCs w:val="16"/>
              </w:rPr>
              <w:t>21 073</w:t>
            </w:r>
          </w:p>
        </w:tc>
        <w:tc>
          <w:tcPr>
            <w:tcW w:w="1041" w:type="dxa"/>
            <w:tcBorders>
              <w:top w:val="single" w:sz="6" w:space="0" w:color="auto"/>
              <w:left w:val="nil"/>
              <w:bottom w:val="single" w:sz="12" w:space="0" w:color="auto"/>
              <w:right w:val="nil"/>
            </w:tcBorders>
            <w:hideMark/>
          </w:tcPr>
          <w:p w:rsidR="004843DB" w:rsidRPr="0062582F" w:rsidRDefault="004843DB" w:rsidP="004843DB">
            <w:pPr>
              <w:pStyle w:val="TableofFigures"/>
              <w:rPr>
                <w:b/>
                <w:sz w:val="16"/>
                <w:szCs w:val="16"/>
              </w:rPr>
            </w:pPr>
            <w:r w:rsidRPr="0062582F">
              <w:rPr>
                <w:b/>
                <w:sz w:val="16"/>
                <w:szCs w:val="16"/>
              </w:rPr>
              <w:t>42 832</w:t>
            </w:r>
          </w:p>
        </w:tc>
      </w:tr>
    </w:tbl>
    <w:p w:rsidR="004843DB" w:rsidRPr="0062582F" w:rsidRDefault="004843DB" w:rsidP="004843DB">
      <w:pPr>
        <w:pStyle w:val="Notes"/>
      </w:pPr>
      <w:r w:rsidRPr="0062582F">
        <w:t xml:space="preserve">Notes: </w:t>
      </w:r>
    </w:p>
    <w:p w:rsidR="004843DB" w:rsidRPr="0062582F" w:rsidRDefault="004843DB" w:rsidP="004843DB">
      <w:pPr>
        <w:pStyle w:val="Notes"/>
        <w:rPr>
          <w:color w:val="0000FF"/>
        </w:rPr>
      </w:pPr>
      <w:r w:rsidRPr="0062582F">
        <w:t xml:space="preserve">(i) </w:t>
      </w:r>
      <w:r w:rsidRPr="0062582F">
        <w:tab/>
        <w:t xml:space="preserve">The present values of the minimum lease payments for commissioned public private partnerships (PPPs) are recognised on the balance sheet and are not disclosed as commitments. </w:t>
      </w:r>
    </w:p>
    <w:p w:rsidR="004843DB" w:rsidRPr="0062582F" w:rsidRDefault="004843DB" w:rsidP="004843DB">
      <w:pPr>
        <w:pStyle w:val="Notes"/>
      </w:pPr>
      <w:r w:rsidRPr="0062582F">
        <w:t xml:space="preserve">(ii) </w:t>
      </w:r>
      <w:r w:rsidRPr="0062582F">
        <w:tab/>
        <w:t>The discounted values of the minimum lease payments for uncommissioned PPPs have been discounted to the projects</w:t>
      </w:r>
      <w:r w:rsidR="005A4BB0">
        <w:t>’</w:t>
      </w:r>
      <w:r w:rsidRPr="0062582F">
        <w:t xml:space="preserve"> expected dates of commissioning, and the present values of other commitments have been discounted to 30 June of the respective financial years. After adjusting for GST, the discounted values of minimum lease payments reflect the expected impact on the balance sheet when the PPPs are commissioned.</w:t>
      </w:r>
    </w:p>
    <w:p w:rsidR="004843DB" w:rsidRPr="0062582F" w:rsidRDefault="004843DB" w:rsidP="004843DB">
      <w:pPr>
        <w:pStyle w:val="Notes"/>
      </w:pPr>
      <w:r w:rsidRPr="0062582F">
        <w:t>(iii)</w:t>
      </w:r>
      <w:r w:rsidRPr="0062582F">
        <w:tab/>
        <w:t>The year on year reduction in the nominal amounts of the other commitments reflects the payments made.</w:t>
      </w:r>
    </w:p>
    <w:p w:rsidR="004843DB" w:rsidRPr="0062582F" w:rsidRDefault="004843DB" w:rsidP="004843DB">
      <w:pPr>
        <w:pStyle w:val="Notes"/>
      </w:pPr>
      <w:r w:rsidRPr="0062582F">
        <w:t>(iv)</w:t>
      </w:r>
      <w:r w:rsidRPr="0062582F">
        <w:tab/>
        <w:t>The year on year reduction in the present values of the other commitments mainly reflects the payments made, offset by the impact of the discounting period being one year shorter.</w:t>
      </w:r>
    </w:p>
    <w:p w:rsidR="004843DB" w:rsidRPr="0062582F" w:rsidRDefault="004843DB" w:rsidP="004843DB">
      <w:pPr>
        <w:pStyle w:val="Notes"/>
      </w:pPr>
      <w:r w:rsidRPr="0062582F">
        <w:t>(v)</w:t>
      </w:r>
      <w:r w:rsidRPr="0062582F">
        <w:tab/>
        <w:t>Refer to Note 30 for further details on the Information Technology and Telecommunication (IT&amp;T) system development project and the Biotech Research Centre project. This Note discloses only other operating and maintenance commitments of these projects.</w:t>
      </w:r>
    </w:p>
    <w:p w:rsidR="004843DB" w:rsidRPr="0062582F" w:rsidRDefault="004843DB" w:rsidP="004843DB">
      <w:pPr>
        <w:pStyle w:val="Notes"/>
      </w:pPr>
      <w:r w:rsidRPr="0062582F">
        <w:t>(vi)</w:t>
      </w:r>
      <w:r w:rsidRPr="0062582F">
        <w:tab/>
        <w:t>The discounted values of the minimum lease payments have not been totalled for the uncommissioned PPPs due to individual PPPs having different expected dates of commissioning.</w:t>
      </w:r>
    </w:p>
    <w:p w:rsidR="004843DB" w:rsidRPr="0062582F" w:rsidRDefault="004843DB" w:rsidP="004843DB">
      <w:pPr>
        <w:pStyle w:val="Notes"/>
      </w:pPr>
      <w:r w:rsidRPr="0062582F">
        <w:t>(vii)</w:t>
      </w:r>
      <w:r w:rsidRPr="0062582F">
        <w:tab/>
        <w:t>The year on year increase in the present values of the other commitments for uncommissioned projects is due to discounting period being one year shorter.</w:t>
      </w:r>
    </w:p>
    <w:p w:rsidR="004843DB" w:rsidRPr="0062582F" w:rsidRDefault="004843DB" w:rsidP="004843DB">
      <w:pPr>
        <w:pStyle w:val="Notes"/>
      </w:pPr>
      <w:r w:rsidRPr="0062582F">
        <w:t>(viii)</w:t>
      </w:r>
      <w:r w:rsidRPr="0062582F">
        <w:tab/>
        <w:t>Please note that the total commitments will not equal the sum of the minimum lease payments and other commitments because they are discounted, whereas total commitments are at nominal value.</w:t>
      </w:r>
    </w:p>
    <w:p w:rsidR="004843DB" w:rsidRPr="0062582F" w:rsidRDefault="004843DB" w:rsidP="004843DB">
      <w:pPr>
        <w:pStyle w:val="Notes"/>
      </w:pPr>
      <w:r w:rsidRPr="0062582F">
        <w:t>(ix</w:t>
      </w:r>
      <w:r w:rsidR="00045957">
        <w:t>)</w:t>
      </w:r>
      <w:r w:rsidR="00045957">
        <w:tab/>
      </w:r>
      <w:r w:rsidRPr="0062582F">
        <w:t xml:space="preserve">On 16 September 2015, the Department entered into a contract with IT Solutions Ltd to construct and maintain new IT training schools. The contract term is 30 years. </w:t>
      </w:r>
    </w:p>
    <w:p w:rsidR="004843DB" w:rsidRPr="0062582F" w:rsidRDefault="004843DB" w:rsidP="004843DB">
      <w:pPr>
        <w:pStyle w:val="Notes"/>
        <w:rPr>
          <w:rFonts w:cs="Calibri"/>
          <w:b/>
          <w:bCs/>
          <w:sz w:val="20"/>
        </w:rPr>
      </w:pPr>
      <w:r w:rsidRPr="0062582F">
        <w:t>(x)</w:t>
      </w:r>
      <w:r w:rsidRPr="0062582F">
        <w:tab/>
        <w:t>On 1 March 2016, the Department entered into a contract with Plenary Environment Ltd to construct and maintain a Climate Change Research Centre. The contract term is 15 years.</w:t>
      </w:r>
    </w:p>
    <w:p w:rsidR="004843DB" w:rsidRDefault="004843DB" w:rsidP="004843DB">
      <w:pPr>
        <w:pStyle w:val="Notes"/>
      </w:pPr>
    </w:p>
    <w:p w:rsidR="00045957" w:rsidRPr="0062582F" w:rsidRDefault="00045957" w:rsidP="004843DB">
      <w:pPr>
        <w:pStyle w:val="Notes"/>
      </w:pPr>
    </w:p>
    <w:p w:rsidR="00045957" w:rsidRDefault="004843DB" w:rsidP="00045957">
      <w:r w:rsidRPr="0062582F">
        <w:t>[Note: The minimum lease payments of uncommissioned PPPs includes the government capital contributions. If the government capital contributions are made upfront, the amount represents the nominal value of the payments that will be made when the project is commissioned.]</w:t>
      </w:r>
    </w:p>
    <w:p w:rsidR="00D2136E" w:rsidRDefault="004843DB" w:rsidP="00D2136E">
      <w:pPr>
        <w:pStyle w:val="Smallline0"/>
      </w:pPr>
      <w:r w:rsidRPr="0062582F">
        <w:br w:type="column"/>
      </w:r>
    </w:p>
    <w:p w:rsidR="004843DB" w:rsidRPr="0062582F" w:rsidRDefault="004843DB" w:rsidP="00D2136E">
      <w:pPr>
        <w:pStyle w:val="Reference"/>
        <w:spacing w:before="40"/>
        <w:rPr>
          <w:i/>
        </w:rPr>
      </w:pPr>
      <w:r w:rsidRPr="0062582F">
        <w:t>To align the table presentation format with the State</w:t>
      </w:r>
      <w:r w:rsidR="005A4BB0">
        <w:t>’</w:t>
      </w:r>
      <w:r w:rsidRPr="0062582F">
        <w:t xml:space="preserve">s Annual Financial Report </w:t>
      </w:r>
    </w:p>
    <w:p w:rsidR="004843DB" w:rsidRPr="0062582F" w:rsidRDefault="004843DB" w:rsidP="004843DB">
      <w:pPr>
        <w:pStyle w:val="Reference"/>
      </w:pPr>
    </w:p>
    <w:p w:rsidR="004843DB" w:rsidRPr="0062582F" w:rsidRDefault="004843DB" w:rsidP="004843DB">
      <w:pPr>
        <w:pStyle w:val="Reference"/>
      </w:pPr>
      <w:r w:rsidRPr="0062582F">
        <w:t>AASB 116.74(c)</w:t>
      </w: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p>
    <w:p w:rsidR="004843DB" w:rsidRPr="0062582F" w:rsidRDefault="004843DB" w:rsidP="004843DB">
      <w:pPr>
        <w:pStyle w:val="Reference"/>
      </w:pPr>
      <w:r w:rsidRPr="0062582F">
        <w:t>AASB 117.35(a)</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120"/>
      </w:pPr>
      <w:r w:rsidRPr="0062582F">
        <w:t>AASB 138.122(e)</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keepNext/>
        <w:tabs>
          <w:tab w:val="left" w:pos="0"/>
        </w:tabs>
        <w:spacing w:after="120"/>
        <w:outlineLvl w:val="4"/>
        <w:rPr>
          <w:rFonts w:ascii="Calibri" w:hAnsi="Calibri" w:cs="Arial Narrow"/>
          <w:color w:val="0000FF"/>
          <w:sz w:val="16"/>
          <w:szCs w:val="16"/>
          <w:lang w:val="en-GB"/>
        </w:rPr>
      </w:pPr>
    </w:p>
    <w:p w:rsidR="004843DB" w:rsidRPr="0062582F" w:rsidRDefault="004843DB" w:rsidP="004843DB">
      <w:pPr>
        <w:keepNext/>
        <w:tabs>
          <w:tab w:val="left" w:pos="0"/>
        </w:tabs>
        <w:spacing w:after="120"/>
        <w:outlineLvl w:val="4"/>
        <w:rPr>
          <w:rFonts w:ascii="Calibri" w:hAnsi="Calibri" w:cs="Arial Narrow"/>
          <w:color w:val="0000FF"/>
          <w:sz w:val="16"/>
          <w:szCs w:val="16"/>
          <w:lang w:val="en-GB"/>
        </w:rPr>
      </w:pPr>
    </w:p>
    <w:p w:rsidR="004843DB" w:rsidRPr="0062582F" w:rsidRDefault="004843DB" w:rsidP="004843DB">
      <w:pPr>
        <w:keepNext/>
        <w:tabs>
          <w:tab w:val="left" w:pos="0"/>
        </w:tabs>
        <w:spacing w:before="0" w:after="120"/>
        <w:outlineLvl w:val="4"/>
        <w:rPr>
          <w:rFonts w:ascii="Calibri" w:hAnsi="Calibri" w:cs="Arial Narrow"/>
          <w:color w:val="0000FF"/>
          <w:sz w:val="16"/>
          <w:szCs w:val="16"/>
          <w:lang w:val="en-GB"/>
        </w:rPr>
      </w:pPr>
      <w:r w:rsidRPr="0062582F">
        <w:rPr>
          <w:rFonts w:ascii="Calibri" w:hAnsi="Calibri" w:cs="Arial Narrow"/>
          <w:color w:val="0000FF"/>
          <w:sz w:val="16"/>
          <w:szCs w:val="16"/>
          <w:lang w:val="en-GB"/>
        </w:rPr>
        <w:t>AASB 12.23(b), B19(a)(ii)</w:t>
      </w:r>
    </w:p>
    <w:p w:rsidR="004843DB" w:rsidRPr="0062582F" w:rsidRDefault="004843DB" w:rsidP="004843DB">
      <w:pPr>
        <w:pStyle w:val="NoteHeadingcontinued"/>
      </w:pPr>
      <w:r w:rsidRPr="0062582F">
        <w:br w:type="column"/>
        <w:t>Note 31.</w:t>
      </w:r>
      <w:r w:rsidRPr="0062582F">
        <w:tab/>
        <w:t xml:space="preserve">Commitments for expenditure </w:t>
      </w:r>
      <w:r w:rsidRPr="0062582F">
        <w:rPr>
          <w:i/>
        </w:rPr>
        <w:t>(continued)</w:t>
      </w:r>
    </w:p>
    <w:p w:rsidR="004843DB" w:rsidRPr="0062582F" w:rsidRDefault="004843DB" w:rsidP="004843DB">
      <w:pPr>
        <w:pStyle w:val="Heading5"/>
        <w:spacing w:before="240"/>
      </w:pPr>
      <w:r w:rsidRPr="0062582F">
        <w:t>(c)</w:t>
      </w:r>
      <w:r w:rsidRPr="0062582F">
        <w:tab/>
        <w:t>Commitments payable</w:t>
      </w:r>
      <w:r w:rsidRPr="0062582F">
        <w:rPr>
          <w:vertAlign w:val="superscript"/>
        </w:rPr>
        <w:t>(i)</w:t>
      </w:r>
    </w:p>
    <w:p w:rsidR="004843DB" w:rsidRPr="0062582F" w:rsidRDefault="004843DB" w:rsidP="004843DB">
      <w:pPr>
        <w:pStyle w:val="million"/>
      </w:pPr>
      <w:r w:rsidRPr="0062582F">
        <w:t>($ thousand)</w:t>
      </w:r>
    </w:p>
    <w:tbl>
      <w:tblPr>
        <w:tblW w:w="8143" w:type="dxa"/>
        <w:tblLayout w:type="fixed"/>
        <w:tblCellMar>
          <w:left w:w="43" w:type="dxa"/>
          <w:right w:w="43" w:type="dxa"/>
        </w:tblCellMar>
        <w:tblLook w:val="04A0" w:firstRow="1" w:lastRow="0" w:firstColumn="1" w:lastColumn="0" w:noHBand="0" w:noVBand="1"/>
      </w:tblPr>
      <w:tblGrid>
        <w:gridCol w:w="6131"/>
        <w:gridCol w:w="998"/>
        <w:gridCol w:w="1002"/>
        <w:gridCol w:w="12"/>
      </w:tblGrid>
      <w:tr w:rsidR="004843DB" w:rsidRPr="0062582F" w:rsidTr="004843DB">
        <w:trPr>
          <w:cantSplit/>
        </w:trPr>
        <w:tc>
          <w:tcPr>
            <w:tcW w:w="6132" w:type="dxa"/>
            <w:tcBorders>
              <w:top w:val="single" w:sz="4" w:space="0" w:color="auto"/>
              <w:left w:val="nil"/>
              <w:bottom w:val="single" w:sz="4" w:space="0" w:color="auto"/>
              <w:right w:val="nil"/>
            </w:tcBorders>
            <w:vAlign w:val="center"/>
            <w:hideMark/>
          </w:tcPr>
          <w:p w:rsidR="004843DB" w:rsidRPr="0062582F" w:rsidRDefault="004843DB" w:rsidP="004843DB">
            <w:pPr>
              <w:pStyle w:val="TabletextheadingLeft"/>
            </w:pPr>
            <w:r w:rsidRPr="0062582F">
              <w:t>Nominal values</w:t>
            </w:r>
          </w:p>
        </w:tc>
        <w:tc>
          <w:tcPr>
            <w:tcW w:w="999" w:type="dxa"/>
            <w:tcBorders>
              <w:top w:val="single" w:sz="4" w:space="0" w:color="auto"/>
              <w:left w:val="nil"/>
              <w:bottom w:val="single" w:sz="4" w:space="0" w:color="auto"/>
              <w:right w:val="nil"/>
            </w:tcBorders>
            <w:shd w:val="clear" w:color="auto" w:fill="D9D9D9"/>
            <w:vAlign w:val="bottom"/>
            <w:hideMark/>
          </w:tcPr>
          <w:p w:rsidR="004843DB" w:rsidRPr="0062582F" w:rsidRDefault="004843DB" w:rsidP="004843DB">
            <w:pPr>
              <w:pStyle w:val="Tabletextheading"/>
            </w:pPr>
            <w:r w:rsidRPr="0062582F">
              <w:t>2016</w:t>
            </w:r>
          </w:p>
        </w:tc>
        <w:tc>
          <w:tcPr>
            <w:tcW w:w="1012" w:type="dxa"/>
            <w:gridSpan w:val="2"/>
            <w:tcBorders>
              <w:top w:val="single" w:sz="4" w:space="0" w:color="auto"/>
              <w:left w:val="nil"/>
              <w:bottom w:val="single" w:sz="4" w:space="0" w:color="auto"/>
              <w:right w:val="nil"/>
            </w:tcBorders>
            <w:vAlign w:val="bottom"/>
            <w:hideMark/>
          </w:tcPr>
          <w:p w:rsidR="004843DB" w:rsidRPr="0062582F" w:rsidRDefault="004843DB" w:rsidP="004843DB">
            <w:pPr>
              <w:pStyle w:val="Tabletextheading"/>
            </w:pPr>
            <w:r w:rsidRPr="0062582F">
              <w:t>2015</w:t>
            </w:r>
          </w:p>
        </w:tc>
      </w:tr>
      <w:tr w:rsidR="004843DB" w:rsidRPr="0062582F" w:rsidTr="004843DB">
        <w:trPr>
          <w:cantSplit/>
        </w:trPr>
        <w:tc>
          <w:tcPr>
            <w:tcW w:w="6136" w:type="dxa"/>
            <w:tcBorders>
              <w:top w:val="single" w:sz="4" w:space="0" w:color="auto"/>
              <w:left w:val="nil"/>
              <w:bottom w:val="nil"/>
              <w:right w:val="nil"/>
            </w:tcBorders>
            <w:vAlign w:val="center"/>
            <w:hideMark/>
          </w:tcPr>
          <w:p w:rsidR="004843DB" w:rsidRPr="0062582F" w:rsidRDefault="004843DB" w:rsidP="004843DB">
            <w:pPr>
              <w:pStyle w:val="Tabletext"/>
              <w:rPr>
                <w:b/>
              </w:rPr>
            </w:pPr>
            <w:r w:rsidRPr="0062582F">
              <w:rPr>
                <w:b/>
              </w:rPr>
              <w:t>Capital expenditure commitments payable</w:t>
            </w:r>
          </w:p>
        </w:tc>
        <w:tc>
          <w:tcPr>
            <w:tcW w:w="999" w:type="dxa"/>
            <w:tcBorders>
              <w:top w:val="single" w:sz="4" w:space="0" w:color="auto"/>
              <w:left w:val="nil"/>
              <w:bottom w:val="nil"/>
              <w:right w:val="nil"/>
            </w:tcBorders>
            <w:shd w:val="clear" w:color="auto" w:fill="D9D9D9"/>
            <w:vAlign w:val="bottom"/>
          </w:tcPr>
          <w:p w:rsidR="004843DB" w:rsidRPr="0062582F" w:rsidRDefault="004843DB" w:rsidP="004843DB">
            <w:pPr>
              <w:pStyle w:val="TableofFigures"/>
              <w:rPr>
                <w:b/>
              </w:rPr>
            </w:pPr>
          </w:p>
        </w:tc>
        <w:tc>
          <w:tcPr>
            <w:tcW w:w="1003" w:type="dxa"/>
            <w:gridSpan w:val="2"/>
            <w:tcBorders>
              <w:top w:val="single" w:sz="4" w:space="0" w:color="auto"/>
              <w:left w:val="nil"/>
              <w:bottom w:val="nil"/>
              <w:right w:val="nil"/>
            </w:tcBorders>
            <w:vAlign w:val="bottom"/>
          </w:tcPr>
          <w:p w:rsidR="004843DB" w:rsidRPr="0062582F" w:rsidRDefault="004843DB" w:rsidP="004843DB">
            <w:pPr>
              <w:pStyle w:val="TableofFigures"/>
              <w:rPr>
                <w:b/>
              </w:rPr>
            </w:pPr>
          </w:p>
        </w:tc>
      </w:tr>
      <w:tr w:rsidR="004843DB" w:rsidRPr="0062582F" w:rsidTr="004843DB">
        <w:trPr>
          <w:cantSplit/>
          <w:trHeight w:val="20"/>
        </w:trPr>
        <w:tc>
          <w:tcPr>
            <w:tcW w:w="6136" w:type="dxa"/>
            <w:vAlign w:val="bottom"/>
            <w:hideMark/>
          </w:tcPr>
          <w:p w:rsidR="004843DB" w:rsidRPr="0062582F" w:rsidRDefault="004843DB" w:rsidP="004843DB">
            <w:pPr>
              <w:pStyle w:val="Tabletext"/>
            </w:pPr>
            <w:r w:rsidRPr="0062582F">
              <w:t>Less than 1 year</w:t>
            </w:r>
          </w:p>
        </w:tc>
        <w:tc>
          <w:tcPr>
            <w:tcW w:w="999" w:type="dxa"/>
            <w:shd w:val="clear" w:color="auto" w:fill="D9D9D9"/>
            <w:vAlign w:val="bottom"/>
            <w:hideMark/>
          </w:tcPr>
          <w:p w:rsidR="004843DB" w:rsidRPr="0062582F" w:rsidRDefault="004843DB" w:rsidP="004843DB">
            <w:pPr>
              <w:pStyle w:val="TableofFigures"/>
            </w:pPr>
            <w:r w:rsidRPr="0062582F">
              <w:t>4 782</w:t>
            </w:r>
          </w:p>
        </w:tc>
        <w:tc>
          <w:tcPr>
            <w:tcW w:w="1003" w:type="dxa"/>
            <w:gridSpan w:val="2"/>
            <w:vAlign w:val="bottom"/>
            <w:hideMark/>
          </w:tcPr>
          <w:p w:rsidR="004843DB" w:rsidRPr="0062582F" w:rsidRDefault="004843DB" w:rsidP="004843DB">
            <w:pPr>
              <w:pStyle w:val="TableofFigures"/>
            </w:pPr>
            <w:r w:rsidRPr="0062582F">
              <w:t>5 812</w:t>
            </w:r>
          </w:p>
        </w:tc>
      </w:tr>
      <w:tr w:rsidR="004843DB" w:rsidRPr="0062582F" w:rsidTr="004843DB">
        <w:trPr>
          <w:cantSplit/>
          <w:trHeight w:val="20"/>
        </w:trPr>
        <w:tc>
          <w:tcPr>
            <w:tcW w:w="6136" w:type="dxa"/>
            <w:vAlign w:val="bottom"/>
            <w:hideMark/>
          </w:tcPr>
          <w:p w:rsidR="004843DB" w:rsidRPr="0062582F" w:rsidRDefault="004843DB" w:rsidP="004843DB">
            <w:pPr>
              <w:pStyle w:val="Tabletext"/>
            </w:pPr>
            <w:r w:rsidRPr="0062582F">
              <w:t>Longer than 1 year but not longer than 5 years</w:t>
            </w:r>
          </w:p>
        </w:tc>
        <w:tc>
          <w:tcPr>
            <w:tcW w:w="999" w:type="dxa"/>
            <w:shd w:val="clear" w:color="auto" w:fill="D9D9D9"/>
            <w:vAlign w:val="bottom"/>
            <w:hideMark/>
          </w:tcPr>
          <w:p w:rsidR="004843DB" w:rsidRPr="0062582F" w:rsidRDefault="004843DB" w:rsidP="004843DB">
            <w:pPr>
              <w:pStyle w:val="TableofFigures"/>
            </w:pPr>
            <w:r w:rsidRPr="0062582F">
              <w:t>74</w:t>
            </w:r>
          </w:p>
        </w:tc>
        <w:tc>
          <w:tcPr>
            <w:tcW w:w="1003" w:type="dxa"/>
            <w:gridSpan w:val="2"/>
            <w:vAlign w:val="bottom"/>
            <w:hideMark/>
          </w:tcPr>
          <w:p w:rsidR="004843DB" w:rsidRPr="0062582F" w:rsidRDefault="004843DB" w:rsidP="004843DB">
            <w:pPr>
              <w:pStyle w:val="TableofFigures"/>
            </w:pPr>
            <w:r w:rsidRPr="0062582F">
              <w:t>198</w:t>
            </w:r>
          </w:p>
        </w:tc>
      </w:tr>
      <w:tr w:rsidR="004843DB" w:rsidRPr="0062582F" w:rsidTr="004843DB">
        <w:trPr>
          <w:cantSplit/>
          <w:trHeight w:val="20"/>
        </w:trPr>
        <w:tc>
          <w:tcPr>
            <w:tcW w:w="6136" w:type="dxa"/>
            <w:tcBorders>
              <w:top w:val="nil"/>
              <w:left w:val="nil"/>
              <w:bottom w:val="single" w:sz="4" w:space="0" w:color="auto"/>
              <w:right w:val="nil"/>
            </w:tcBorders>
            <w:vAlign w:val="bottom"/>
            <w:hideMark/>
          </w:tcPr>
          <w:p w:rsidR="004843DB" w:rsidRPr="0062582F" w:rsidRDefault="004843DB" w:rsidP="004843DB">
            <w:pPr>
              <w:pStyle w:val="Tabletext"/>
            </w:pPr>
            <w:r w:rsidRPr="0062582F">
              <w:t>5 years or more</w:t>
            </w:r>
          </w:p>
        </w:tc>
        <w:tc>
          <w:tcPr>
            <w:tcW w:w="999" w:type="dxa"/>
            <w:tcBorders>
              <w:top w:val="nil"/>
              <w:left w:val="nil"/>
              <w:bottom w:val="single" w:sz="4" w:space="0" w:color="auto"/>
              <w:right w:val="nil"/>
            </w:tcBorders>
            <w:shd w:val="clear" w:color="auto" w:fill="D9D9D9"/>
            <w:vAlign w:val="bottom"/>
            <w:hideMark/>
          </w:tcPr>
          <w:p w:rsidR="004843DB" w:rsidRPr="0062582F" w:rsidRDefault="004843DB" w:rsidP="004843DB">
            <w:pPr>
              <w:pStyle w:val="TableofFigures"/>
            </w:pPr>
            <w:r w:rsidRPr="0062582F">
              <w:t>..</w:t>
            </w:r>
          </w:p>
        </w:tc>
        <w:tc>
          <w:tcPr>
            <w:tcW w:w="1003" w:type="dxa"/>
            <w:gridSpan w:val="2"/>
            <w:tcBorders>
              <w:top w:val="nil"/>
              <w:left w:val="nil"/>
              <w:bottom w:val="single" w:sz="4" w:space="0" w:color="auto"/>
              <w:right w:val="nil"/>
            </w:tcBorders>
            <w:vAlign w:val="bottom"/>
            <w:hideMark/>
          </w:tcPr>
          <w:p w:rsidR="004843DB" w:rsidRPr="0062582F" w:rsidRDefault="004843DB" w:rsidP="004843DB">
            <w:pPr>
              <w:pStyle w:val="TableofFigures"/>
            </w:pPr>
            <w:r w:rsidRPr="0062582F">
              <w:t>..</w:t>
            </w:r>
          </w:p>
        </w:tc>
      </w:tr>
      <w:tr w:rsidR="004843DB" w:rsidRPr="0062582F" w:rsidTr="004843DB">
        <w:trPr>
          <w:gridAfter w:val="1"/>
          <w:wAfter w:w="13" w:type="dxa"/>
          <w:cantSplit/>
        </w:trPr>
        <w:tc>
          <w:tcPr>
            <w:tcW w:w="6136" w:type="dxa"/>
            <w:tcBorders>
              <w:top w:val="single" w:sz="4" w:space="0" w:color="auto"/>
              <w:left w:val="nil"/>
              <w:bottom w:val="nil"/>
              <w:right w:val="nil"/>
            </w:tcBorders>
            <w:vAlign w:val="bottom"/>
          </w:tcPr>
          <w:p w:rsidR="004843DB" w:rsidRPr="0062582F" w:rsidRDefault="004843DB" w:rsidP="004843DB">
            <w:pPr>
              <w:pStyle w:val="Tabletext"/>
              <w:rPr>
                <w:b/>
              </w:rPr>
            </w:pPr>
            <w:r w:rsidRPr="0062582F">
              <w:rPr>
                <w:b/>
              </w:rPr>
              <w:t>Total capital expenditure commitments</w:t>
            </w:r>
          </w:p>
        </w:tc>
        <w:tc>
          <w:tcPr>
            <w:tcW w:w="991" w:type="dxa"/>
            <w:tcBorders>
              <w:top w:val="single" w:sz="4" w:space="0" w:color="auto"/>
              <w:left w:val="nil"/>
              <w:bottom w:val="nil"/>
              <w:right w:val="nil"/>
            </w:tcBorders>
            <w:shd w:val="clear" w:color="auto" w:fill="D9D9D9"/>
            <w:vAlign w:val="bottom"/>
            <w:hideMark/>
          </w:tcPr>
          <w:p w:rsidR="004843DB" w:rsidRPr="0062582F" w:rsidRDefault="004843DB" w:rsidP="004843DB">
            <w:pPr>
              <w:pStyle w:val="TableofFigures"/>
              <w:rPr>
                <w:b/>
              </w:rPr>
            </w:pPr>
            <w:r w:rsidRPr="0062582F">
              <w:rPr>
                <w:b/>
              </w:rPr>
              <w:t>4 856</w:t>
            </w:r>
          </w:p>
        </w:tc>
        <w:tc>
          <w:tcPr>
            <w:tcW w:w="1003" w:type="dxa"/>
            <w:tcBorders>
              <w:top w:val="single" w:sz="4" w:space="0" w:color="auto"/>
              <w:left w:val="nil"/>
              <w:bottom w:val="nil"/>
              <w:right w:val="nil"/>
            </w:tcBorders>
            <w:vAlign w:val="bottom"/>
            <w:hideMark/>
          </w:tcPr>
          <w:p w:rsidR="004843DB" w:rsidRPr="0062582F" w:rsidRDefault="004843DB" w:rsidP="004843DB">
            <w:pPr>
              <w:pStyle w:val="TableofFigures"/>
              <w:rPr>
                <w:b/>
              </w:rPr>
            </w:pPr>
            <w:r w:rsidRPr="0062582F">
              <w:rPr>
                <w:b/>
              </w:rPr>
              <w:t>6 010</w:t>
            </w:r>
          </w:p>
        </w:tc>
      </w:tr>
      <w:tr w:rsidR="004843DB" w:rsidRPr="0062582F" w:rsidTr="004843DB">
        <w:trPr>
          <w:cantSplit/>
        </w:trPr>
        <w:tc>
          <w:tcPr>
            <w:tcW w:w="6136" w:type="dxa"/>
            <w:tcBorders>
              <w:left w:val="nil"/>
              <w:bottom w:val="nil"/>
              <w:right w:val="nil"/>
            </w:tcBorders>
            <w:vAlign w:val="center"/>
            <w:hideMark/>
          </w:tcPr>
          <w:p w:rsidR="004843DB" w:rsidRPr="0062582F" w:rsidRDefault="004843DB" w:rsidP="004843DB">
            <w:pPr>
              <w:pStyle w:val="Tabletext"/>
              <w:rPr>
                <w:b/>
              </w:rPr>
            </w:pPr>
            <w:r w:rsidRPr="0062582F">
              <w:rPr>
                <w:b/>
              </w:rPr>
              <w:t xml:space="preserve">Operating and lease commitments payable </w:t>
            </w:r>
            <w:r w:rsidRPr="0062582F">
              <w:rPr>
                <w:rFonts w:cs="Calibri"/>
                <w:b/>
                <w:color w:val="000000"/>
                <w:sz w:val="20"/>
                <w:szCs w:val="20"/>
                <w:vertAlign w:val="superscript"/>
              </w:rPr>
              <w:t>(ii)</w:t>
            </w:r>
          </w:p>
        </w:tc>
        <w:tc>
          <w:tcPr>
            <w:tcW w:w="999" w:type="dxa"/>
            <w:tcBorders>
              <w:left w:val="nil"/>
              <w:bottom w:val="nil"/>
              <w:right w:val="nil"/>
            </w:tcBorders>
            <w:shd w:val="clear" w:color="auto" w:fill="D9D9D9"/>
            <w:vAlign w:val="bottom"/>
          </w:tcPr>
          <w:p w:rsidR="004843DB" w:rsidRPr="0062582F" w:rsidRDefault="004843DB" w:rsidP="004843DB">
            <w:pPr>
              <w:pStyle w:val="TableofFigures"/>
              <w:rPr>
                <w:b/>
                <w:noProof/>
              </w:rPr>
            </w:pPr>
          </w:p>
        </w:tc>
        <w:tc>
          <w:tcPr>
            <w:tcW w:w="1003" w:type="dxa"/>
            <w:gridSpan w:val="2"/>
            <w:tcBorders>
              <w:left w:val="nil"/>
              <w:bottom w:val="nil"/>
              <w:right w:val="nil"/>
            </w:tcBorders>
            <w:vAlign w:val="bottom"/>
          </w:tcPr>
          <w:p w:rsidR="004843DB" w:rsidRPr="0062582F" w:rsidRDefault="004843DB" w:rsidP="004843DB">
            <w:pPr>
              <w:pStyle w:val="TableofFigures"/>
              <w:rPr>
                <w:b/>
                <w:i/>
                <w:noProof/>
              </w:rPr>
            </w:pPr>
          </w:p>
        </w:tc>
      </w:tr>
      <w:tr w:rsidR="004843DB" w:rsidRPr="0062582F" w:rsidTr="004843DB">
        <w:trPr>
          <w:cantSplit/>
          <w:trHeight w:val="20"/>
        </w:trPr>
        <w:tc>
          <w:tcPr>
            <w:tcW w:w="6136" w:type="dxa"/>
            <w:vAlign w:val="bottom"/>
            <w:hideMark/>
          </w:tcPr>
          <w:p w:rsidR="004843DB" w:rsidRPr="0062582F" w:rsidRDefault="004843DB" w:rsidP="004843DB">
            <w:pPr>
              <w:pStyle w:val="Tabletext"/>
            </w:pPr>
            <w:r w:rsidRPr="0062582F">
              <w:t>Less than 1 year</w:t>
            </w:r>
          </w:p>
        </w:tc>
        <w:tc>
          <w:tcPr>
            <w:tcW w:w="999" w:type="dxa"/>
            <w:shd w:val="clear" w:color="auto" w:fill="D9D9D9"/>
            <w:vAlign w:val="bottom"/>
            <w:hideMark/>
          </w:tcPr>
          <w:p w:rsidR="004843DB" w:rsidRPr="0062582F" w:rsidRDefault="004843DB" w:rsidP="004843DB">
            <w:pPr>
              <w:pStyle w:val="TableofFigures"/>
            </w:pPr>
            <w:r w:rsidRPr="0062582F">
              <w:t>..</w:t>
            </w:r>
          </w:p>
        </w:tc>
        <w:tc>
          <w:tcPr>
            <w:tcW w:w="1003" w:type="dxa"/>
            <w:gridSpan w:val="2"/>
            <w:vAlign w:val="bottom"/>
            <w:hideMark/>
          </w:tcPr>
          <w:p w:rsidR="004843DB" w:rsidRPr="0062582F" w:rsidRDefault="004843DB" w:rsidP="004843DB">
            <w:pPr>
              <w:pStyle w:val="TableofFigures"/>
            </w:pPr>
            <w:r w:rsidRPr="0062582F">
              <w:t>28</w:t>
            </w:r>
          </w:p>
        </w:tc>
      </w:tr>
      <w:tr w:rsidR="004843DB" w:rsidRPr="0062582F" w:rsidTr="004843DB">
        <w:trPr>
          <w:cantSplit/>
          <w:trHeight w:val="20"/>
        </w:trPr>
        <w:tc>
          <w:tcPr>
            <w:tcW w:w="6136" w:type="dxa"/>
            <w:vAlign w:val="bottom"/>
            <w:hideMark/>
          </w:tcPr>
          <w:p w:rsidR="004843DB" w:rsidRPr="0062582F" w:rsidRDefault="004843DB" w:rsidP="004843DB">
            <w:pPr>
              <w:pStyle w:val="Tabletext"/>
            </w:pPr>
            <w:r w:rsidRPr="0062582F">
              <w:t>Longer than 1 year but not longer than 5 years</w:t>
            </w:r>
          </w:p>
        </w:tc>
        <w:tc>
          <w:tcPr>
            <w:tcW w:w="999" w:type="dxa"/>
            <w:shd w:val="clear" w:color="auto" w:fill="D9D9D9"/>
            <w:vAlign w:val="bottom"/>
            <w:hideMark/>
          </w:tcPr>
          <w:p w:rsidR="004843DB" w:rsidRPr="0062582F" w:rsidRDefault="004843DB" w:rsidP="004843DB">
            <w:pPr>
              <w:pStyle w:val="TableofFigures"/>
            </w:pPr>
            <w:r w:rsidRPr="0062582F">
              <w:t>31</w:t>
            </w:r>
          </w:p>
        </w:tc>
        <w:tc>
          <w:tcPr>
            <w:tcW w:w="1003" w:type="dxa"/>
            <w:gridSpan w:val="2"/>
            <w:vAlign w:val="bottom"/>
            <w:hideMark/>
          </w:tcPr>
          <w:p w:rsidR="004843DB" w:rsidRPr="0062582F" w:rsidRDefault="004843DB" w:rsidP="004843DB">
            <w:pPr>
              <w:pStyle w:val="TableofFigures"/>
            </w:pPr>
            <w:r w:rsidRPr="0062582F">
              <w:t>..</w:t>
            </w:r>
          </w:p>
        </w:tc>
      </w:tr>
      <w:tr w:rsidR="004843DB" w:rsidRPr="0062582F" w:rsidTr="004843DB">
        <w:trPr>
          <w:cantSplit/>
          <w:trHeight w:val="20"/>
        </w:trPr>
        <w:tc>
          <w:tcPr>
            <w:tcW w:w="6136" w:type="dxa"/>
            <w:tcBorders>
              <w:top w:val="nil"/>
              <w:left w:val="nil"/>
              <w:bottom w:val="single" w:sz="4" w:space="0" w:color="auto"/>
              <w:right w:val="nil"/>
            </w:tcBorders>
            <w:vAlign w:val="bottom"/>
            <w:hideMark/>
          </w:tcPr>
          <w:p w:rsidR="004843DB" w:rsidRPr="0062582F" w:rsidRDefault="004843DB" w:rsidP="004843DB">
            <w:pPr>
              <w:pStyle w:val="Tabletext"/>
            </w:pPr>
            <w:r w:rsidRPr="0062582F">
              <w:t>5 years or more</w:t>
            </w:r>
          </w:p>
        </w:tc>
        <w:tc>
          <w:tcPr>
            <w:tcW w:w="999" w:type="dxa"/>
            <w:tcBorders>
              <w:top w:val="nil"/>
              <w:left w:val="nil"/>
              <w:bottom w:val="single" w:sz="4" w:space="0" w:color="auto"/>
              <w:right w:val="nil"/>
            </w:tcBorders>
            <w:shd w:val="clear" w:color="auto" w:fill="D9D9D9"/>
            <w:vAlign w:val="bottom"/>
            <w:hideMark/>
          </w:tcPr>
          <w:p w:rsidR="004843DB" w:rsidRPr="0062582F" w:rsidRDefault="004843DB" w:rsidP="004843DB">
            <w:pPr>
              <w:pStyle w:val="TableofFigures"/>
            </w:pPr>
            <w:r w:rsidRPr="0062582F">
              <w:t>..</w:t>
            </w:r>
          </w:p>
        </w:tc>
        <w:tc>
          <w:tcPr>
            <w:tcW w:w="1003" w:type="dxa"/>
            <w:gridSpan w:val="2"/>
            <w:tcBorders>
              <w:top w:val="nil"/>
              <w:left w:val="nil"/>
              <w:bottom w:val="single" w:sz="4" w:space="0" w:color="auto"/>
              <w:right w:val="nil"/>
            </w:tcBorders>
            <w:vAlign w:val="bottom"/>
            <w:hideMark/>
          </w:tcPr>
          <w:p w:rsidR="004843DB" w:rsidRPr="0062582F" w:rsidRDefault="004843DB" w:rsidP="004843DB">
            <w:pPr>
              <w:pStyle w:val="TableofFigures"/>
            </w:pPr>
            <w:r w:rsidRPr="0062582F">
              <w:t>..</w:t>
            </w:r>
          </w:p>
        </w:tc>
      </w:tr>
      <w:tr w:rsidR="004843DB" w:rsidRPr="0062582F" w:rsidTr="004843DB">
        <w:trPr>
          <w:cantSplit/>
        </w:trPr>
        <w:tc>
          <w:tcPr>
            <w:tcW w:w="6136" w:type="dxa"/>
            <w:tcBorders>
              <w:top w:val="single" w:sz="4" w:space="0" w:color="auto"/>
              <w:left w:val="nil"/>
              <w:bottom w:val="nil"/>
              <w:right w:val="nil"/>
            </w:tcBorders>
            <w:vAlign w:val="bottom"/>
          </w:tcPr>
          <w:p w:rsidR="004843DB" w:rsidRPr="0062582F" w:rsidRDefault="004843DB" w:rsidP="004843DB">
            <w:pPr>
              <w:pStyle w:val="Tabletext"/>
              <w:rPr>
                <w:b/>
              </w:rPr>
            </w:pPr>
            <w:r w:rsidRPr="0062582F">
              <w:rPr>
                <w:b/>
              </w:rPr>
              <w:t>Total operating and lease commitments</w:t>
            </w:r>
          </w:p>
        </w:tc>
        <w:tc>
          <w:tcPr>
            <w:tcW w:w="991" w:type="dxa"/>
            <w:tcBorders>
              <w:top w:val="single" w:sz="4" w:space="0" w:color="auto"/>
              <w:left w:val="nil"/>
              <w:bottom w:val="nil"/>
              <w:right w:val="nil"/>
            </w:tcBorders>
            <w:shd w:val="clear" w:color="auto" w:fill="D9D9D9"/>
            <w:vAlign w:val="bottom"/>
            <w:hideMark/>
          </w:tcPr>
          <w:p w:rsidR="004843DB" w:rsidRPr="0062582F" w:rsidRDefault="004843DB" w:rsidP="004843DB">
            <w:pPr>
              <w:pStyle w:val="TableofFigures"/>
              <w:rPr>
                <w:b/>
              </w:rPr>
            </w:pPr>
            <w:r w:rsidRPr="0062582F">
              <w:rPr>
                <w:b/>
              </w:rPr>
              <w:t>31</w:t>
            </w:r>
          </w:p>
        </w:tc>
        <w:tc>
          <w:tcPr>
            <w:tcW w:w="1011" w:type="dxa"/>
            <w:gridSpan w:val="2"/>
            <w:tcBorders>
              <w:top w:val="single" w:sz="4" w:space="0" w:color="auto"/>
              <w:left w:val="nil"/>
              <w:bottom w:val="nil"/>
              <w:right w:val="nil"/>
            </w:tcBorders>
            <w:vAlign w:val="bottom"/>
            <w:hideMark/>
          </w:tcPr>
          <w:p w:rsidR="004843DB" w:rsidRPr="0062582F" w:rsidRDefault="004843DB" w:rsidP="004843DB">
            <w:pPr>
              <w:pStyle w:val="TableofFigures"/>
              <w:rPr>
                <w:b/>
              </w:rPr>
            </w:pPr>
            <w:r w:rsidRPr="0062582F">
              <w:rPr>
                <w:b/>
              </w:rPr>
              <w:t>28</w:t>
            </w: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rPr>
                <w:b/>
              </w:rPr>
            </w:pPr>
            <w:r w:rsidRPr="0062582F">
              <w:rPr>
                <w:b/>
              </w:rPr>
              <w:t>Public private partnership commitments</w:t>
            </w:r>
          </w:p>
        </w:tc>
        <w:tc>
          <w:tcPr>
            <w:tcW w:w="992" w:type="dxa"/>
            <w:shd w:val="clear" w:color="auto" w:fill="D9D9D9"/>
            <w:vAlign w:val="bottom"/>
          </w:tcPr>
          <w:p w:rsidR="004843DB" w:rsidRPr="0062582F" w:rsidRDefault="004843DB" w:rsidP="004843DB">
            <w:pPr>
              <w:pStyle w:val="TableofFigures"/>
              <w:rPr>
                <w:b/>
              </w:rPr>
            </w:pPr>
          </w:p>
        </w:tc>
        <w:tc>
          <w:tcPr>
            <w:tcW w:w="1003" w:type="dxa"/>
            <w:vAlign w:val="bottom"/>
          </w:tcPr>
          <w:p w:rsidR="004843DB" w:rsidRPr="0062582F" w:rsidRDefault="004843DB" w:rsidP="004843DB">
            <w:pPr>
              <w:pStyle w:val="TableofFigures"/>
              <w:rPr>
                <w:b/>
              </w:rPr>
            </w:pP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pPr>
            <w:r w:rsidRPr="0062582F">
              <w:t>Less than 1 year</w:t>
            </w:r>
          </w:p>
        </w:tc>
        <w:tc>
          <w:tcPr>
            <w:tcW w:w="992" w:type="dxa"/>
            <w:shd w:val="clear" w:color="auto" w:fill="D9D9D9"/>
            <w:vAlign w:val="bottom"/>
            <w:hideMark/>
          </w:tcPr>
          <w:p w:rsidR="004843DB" w:rsidRPr="0062582F" w:rsidRDefault="004843DB" w:rsidP="004843DB">
            <w:pPr>
              <w:pStyle w:val="TableofFigures"/>
            </w:pPr>
            <w:r w:rsidRPr="0062582F">
              <w:t>5 600</w:t>
            </w:r>
          </w:p>
        </w:tc>
        <w:tc>
          <w:tcPr>
            <w:tcW w:w="1003" w:type="dxa"/>
            <w:vAlign w:val="bottom"/>
            <w:hideMark/>
          </w:tcPr>
          <w:p w:rsidR="004843DB" w:rsidRPr="0062582F" w:rsidRDefault="004843DB" w:rsidP="004843DB">
            <w:pPr>
              <w:pStyle w:val="TableofFigures"/>
            </w:pPr>
            <w:r w:rsidRPr="0062582F">
              <w:t>17 230</w:t>
            </w: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pPr>
            <w:r w:rsidRPr="0062582F">
              <w:t>Longer than 1 year but not longer than 5 years</w:t>
            </w:r>
          </w:p>
        </w:tc>
        <w:tc>
          <w:tcPr>
            <w:tcW w:w="992" w:type="dxa"/>
            <w:shd w:val="clear" w:color="auto" w:fill="D9D9D9"/>
            <w:vAlign w:val="bottom"/>
            <w:hideMark/>
          </w:tcPr>
          <w:p w:rsidR="004843DB" w:rsidRPr="0062582F" w:rsidRDefault="004843DB" w:rsidP="004843DB">
            <w:pPr>
              <w:pStyle w:val="TableofFigures"/>
            </w:pPr>
            <w:r w:rsidRPr="0062582F">
              <w:t>5 190</w:t>
            </w:r>
          </w:p>
        </w:tc>
        <w:tc>
          <w:tcPr>
            <w:tcW w:w="1003" w:type="dxa"/>
            <w:vAlign w:val="bottom"/>
            <w:hideMark/>
          </w:tcPr>
          <w:p w:rsidR="004843DB" w:rsidRPr="0062582F" w:rsidRDefault="004843DB" w:rsidP="004843DB">
            <w:pPr>
              <w:pStyle w:val="TableofFigures"/>
            </w:pPr>
            <w:r w:rsidRPr="0062582F">
              <w:t>14 440</w:t>
            </w:r>
          </w:p>
        </w:tc>
      </w:tr>
      <w:tr w:rsidR="004843DB" w:rsidRPr="0062582F" w:rsidTr="004843DB">
        <w:trPr>
          <w:gridAfter w:val="1"/>
          <w:wAfter w:w="12" w:type="dxa"/>
          <w:cantSplit/>
          <w:trHeight w:val="20"/>
        </w:trPr>
        <w:tc>
          <w:tcPr>
            <w:tcW w:w="6136" w:type="dxa"/>
            <w:tcBorders>
              <w:top w:val="nil"/>
              <w:left w:val="nil"/>
              <w:bottom w:val="single" w:sz="4" w:space="0" w:color="auto"/>
              <w:right w:val="nil"/>
            </w:tcBorders>
            <w:vAlign w:val="bottom"/>
            <w:hideMark/>
          </w:tcPr>
          <w:p w:rsidR="004843DB" w:rsidRPr="0062582F" w:rsidRDefault="004843DB" w:rsidP="004843DB">
            <w:pPr>
              <w:pStyle w:val="Tabletext"/>
            </w:pPr>
            <w:r w:rsidRPr="0062582F">
              <w:t>5 years or more</w:t>
            </w:r>
          </w:p>
        </w:tc>
        <w:tc>
          <w:tcPr>
            <w:tcW w:w="992" w:type="dxa"/>
            <w:tcBorders>
              <w:top w:val="nil"/>
              <w:left w:val="nil"/>
              <w:bottom w:val="single" w:sz="4" w:space="0" w:color="auto"/>
              <w:right w:val="nil"/>
            </w:tcBorders>
            <w:shd w:val="clear" w:color="auto" w:fill="D9D9D9"/>
            <w:vAlign w:val="bottom"/>
            <w:hideMark/>
          </w:tcPr>
          <w:p w:rsidR="004843DB" w:rsidRPr="0062582F" w:rsidRDefault="004843DB" w:rsidP="004843DB">
            <w:pPr>
              <w:pStyle w:val="TableofFigures"/>
            </w:pPr>
            <w:r w:rsidRPr="0062582F">
              <w:t>18 036</w:t>
            </w:r>
          </w:p>
        </w:tc>
        <w:tc>
          <w:tcPr>
            <w:tcW w:w="1003" w:type="dxa"/>
            <w:tcBorders>
              <w:top w:val="nil"/>
              <w:left w:val="nil"/>
              <w:bottom w:val="single" w:sz="4" w:space="0" w:color="auto"/>
              <w:right w:val="nil"/>
            </w:tcBorders>
            <w:vAlign w:val="bottom"/>
            <w:hideMark/>
          </w:tcPr>
          <w:p w:rsidR="004843DB" w:rsidRPr="0062582F" w:rsidRDefault="004843DB" w:rsidP="004843DB">
            <w:pPr>
              <w:pStyle w:val="TableofFigures"/>
            </w:pPr>
            <w:r w:rsidRPr="0062582F">
              <w:t>1 162</w:t>
            </w:r>
          </w:p>
        </w:tc>
      </w:tr>
      <w:tr w:rsidR="004843DB" w:rsidRPr="0062582F" w:rsidTr="004843DB">
        <w:trPr>
          <w:gridAfter w:val="1"/>
          <w:wAfter w:w="12" w:type="dxa"/>
          <w:cantSplit/>
          <w:trHeight w:val="20"/>
        </w:trPr>
        <w:tc>
          <w:tcPr>
            <w:tcW w:w="6136" w:type="dxa"/>
            <w:tcBorders>
              <w:top w:val="single" w:sz="4" w:space="0" w:color="auto"/>
              <w:left w:val="nil"/>
              <w:bottom w:val="nil"/>
              <w:right w:val="nil"/>
            </w:tcBorders>
            <w:vAlign w:val="bottom"/>
            <w:hideMark/>
          </w:tcPr>
          <w:p w:rsidR="004843DB" w:rsidRPr="0062582F" w:rsidRDefault="004843DB" w:rsidP="004843DB">
            <w:pPr>
              <w:pStyle w:val="Tabletext"/>
              <w:rPr>
                <w:b/>
              </w:rPr>
            </w:pPr>
            <w:r w:rsidRPr="0062582F">
              <w:rPr>
                <w:b/>
              </w:rPr>
              <w:t>Total public private partnership commitments</w:t>
            </w:r>
          </w:p>
        </w:tc>
        <w:tc>
          <w:tcPr>
            <w:tcW w:w="992" w:type="dxa"/>
            <w:tcBorders>
              <w:top w:val="single" w:sz="4" w:space="0" w:color="auto"/>
              <w:left w:val="nil"/>
              <w:bottom w:val="nil"/>
              <w:right w:val="nil"/>
            </w:tcBorders>
            <w:shd w:val="clear" w:color="auto" w:fill="D9D9D9"/>
            <w:vAlign w:val="bottom"/>
            <w:hideMark/>
          </w:tcPr>
          <w:p w:rsidR="004843DB" w:rsidRPr="0062582F" w:rsidRDefault="004843DB" w:rsidP="004843DB">
            <w:pPr>
              <w:pStyle w:val="TableofFigures"/>
              <w:rPr>
                <w:b/>
              </w:rPr>
            </w:pPr>
            <w:r w:rsidRPr="0062582F">
              <w:rPr>
                <w:b/>
              </w:rPr>
              <w:t>28 826</w:t>
            </w:r>
          </w:p>
        </w:tc>
        <w:tc>
          <w:tcPr>
            <w:tcW w:w="1003" w:type="dxa"/>
            <w:tcBorders>
              <w:top w:val="single" w:sz="4" w:space="0" w:color="auto"/>
              <w:left w:val="nil"/>
              <w:bottom w:val="nil"/>
              <w:right w:val="nil"/>
            </w:tcBorders>
            <w:vAlign w:val="bottom"/>
            <w:hideMark/>
          </w:tcPr>
          <w:p w:rsidR="004843DB" w:rsidRPr="0062582F" w:rsidRDefault="004843DB" w:rsidP="004843DB">
            <w:pPr>
              <w:pStyle w:val="TableofFigures"/>
              <w:rPr>
                <w:b/>
              </w:rPr>
            </w:pPr>
            <w:r w:rsidRPr="0062582F">
              <w:rPr>
                <w:b/>
              </w:rPr>
              <w:t>42 832</w:t>
            </w: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rPr>
                <w:b/>
              </w:rPr>
            </w:pPr>
            <w:r w:rsidRPr="0062582F">
              <w:rPr>
                <w:b/>
              </w:rPr>
              <w:t>Intangible assets commitments payable</w:t>
            </w:r>
          </w:p>
        </w:tc>
        <w:tc>
          <w:tcPr>
            <w:tcW w:w="992" w:type="dxa"/>
            <w:shd w:val="clear" w:color="auto" w:fill="D9D9D9"/>
            <w:vAlign w:val="bottom"/>
          </w:tcPr>
          <w:p w:rsidR="004843DB" w:rsidRPr="0062582F" w:rsidRDefault="004843DB" w:rsidP="004843DB">
            <w:pPr>
              <w:pStyle w:val="TableofFigures"/>
              <w:rPr>
                <w:b/>
                <w:sz w:val="17"/>
                <w:szCs w:val="17"/>
              </w:rPr>
            </w:pPr>
          </w:p>
        </w:tc>
        <w:tc>
          <w:tcPr>
            <w:tcW w:w="1003" w:type="dxa"/>
            <w:vAlign w:val="bottom"/>
          </w:tcPr>
          <w:p w:rsidR="004843DB" w:rsidRPr="0062582F" w:rsidRDefault="004843DB" w:rsidP="004843DB">
            <w:pPr>
              <w:pStyle w:val="TableofFigures"/>
              <w:rPr>
                <w:b/>
                <w:sz w:val="17"/>
                <w:szCs w:val="17"/>
              </w:rPr>
            </w:pP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pPr>
            <w:r w:rsidRPr="0062582F">
              <w:t>Less than 1 year</w:t>
            </w:r>
          </w:p>
        </w:tc>
        <w:tc>
          <w:tcPr>
            <w:tcW w:w="992" w:type="dxa"/>
            <w:shd w:val="clear" w:color="auto" w:fill="D9D9D9"/>
            <w:vAlign w:val="bottom"/>
          </w:tcPr>
          <w:p w:rsidR="004843DB" w:rsidRPr="0062582F" w:rsidRDefault="004843DB" w:rsidP="004843DB">
            <w:pPr>
              <w:pStyle w:val="TableofFigures"/>
            </w:pPr>
            <w:r w:rsidRPr="0062582F">
              <w:t>23</w:t>
            </w:r>
          </w:p>
        </w:tc>
        <w:tc>
          <w:tcPr>
            <w:tcW w:w="1003" w:type="dxa"/>
            <w:vAlign w:val="bottom"/>
          </w:tcPr>
          <w:p w:rsidR="004843DB" w:rsidRPr="0062582F" w:rsidRDefault="004843DB" w:rsidP="004843DB">
            <w:pPr>
              <w:pStyle w:val="TableofFigures"/>
            </w:pPr>
            <w:r w:rsidRPr="0062582F">
              <w:t>15</w:t>
            </w: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pPr>
            <w:r w:rsidRPr="0062582F">
              <w:t>Longer than 1 year but not longer than 5 years</w:t>
            </w:r>
          </w:p>
        </w:tc>
        <w:tc>
          <w:tcPr>
            <w:tcW w:w="992" w:type="dxa"/>
            <w:shd w:val="clear" w:color="auto" w:fill="D9D9D9"/>
            <w:vAlign w:val="bottom"/>
          </w:tcPr>
          <w:p w:rsidR="004843DB" w:rsidRPr="0062582F" w:rsidRDefault="004843DB" w:rsidP="004843DB">
            <w:pPr>
              <w:pStyle w:val="TableofFigures"/>
            </w:pPr>
            <w:r w:rsidRPr="0062582F">
              <w:t>..</w:t>
            </w:r>
          </w:p>
        </w:tc>
        <w:tc>
          <w:tcPr>
            <w:tcW w:w="1003" w:type="dxa"/>
            <w:vAlign w:val="bottom"/>
          </w:tcPr>
          <w:p w:rsidR="004843DB" w:rsidRPr="0062582F" w:rsidRDefault="004843DB" w:rsidP="004843DB">
            <w:pPr>
              <w:pStyle w:val="TableofFigures"/>
            </w:pPr>
            <w:r w:rsidRPr="0062582F">
              <w:t>5</w:t>
            </w:r>
          </w:p>
        </w:tc>
      </w:tr>
      <w:tr w:rsidR="004843DB" w:rsidRPr="0062582F" w:rsidTr="004843DB">
        <w:trPr>
          <w:gridAfter w:val="1"/>
          <w:wAfter w:w="12" w:type="dxa"/>
          <w:cantSplit/>
          <w:trHeight w:val="20"/>
        </w:trPr>
        <w:tc>
          <w:tcPr>
            <w:tcW w:w="6136" w:type="dxa"/>
            <w:tcBorders>
              <w:top w:val="nil"/>
              <w:left w:val="nil"/>
              <w:bottom w:val="single" w:sz="4" w:space="0" w:color="auto"/>
              <w:right w:val="nil"/>
            </w:tcBorders>
            <w:vAlign w:val="bottom"/>
            <w:hideMark/>
          </w:tcPr>
          <w:p w:rsidR="004843DB" w:rsidRPr="0062582F" w:rsidRDefault="004843DB" w:rsidP="004843DB">
            <w:pPr>
              <w:pStyle w:val="Tabletext"/>
            </w:pPr>
            <w:r w:rsidRPr="0062582F">
              <w:t>5 years or more</w:t>
            </w:r>
          </w:p>
        </w:tc>
        <w:tc>
          <w:tcPr>
            <w:tcW w:w="992" w:type="dxa"/>
            <w:tcBorders>
              <w:top w:val="nil"/>
              <w:left w:val="nil"/>
              <w:bottom w:val="single" w:sz="4" w:space="0" w:color="auto"/>
              <w:right w:val="nil"/>
            </w:tcBorders>
            <w:shd w:val="clear" w:color="auto" w:fill="D9D9D9"/>
            <w:vAlign w:val="bottom"/>
          </w:tcPr>
          <w:p w:rsidR="004843DB" w:rsidRPr="0062582F" w:rsidRDefault="004843DB" w:rsidP="004843DB">
            <w:pPr>
              <w:pStyle w:val="TableofFigures"/>
            </w:pPr>
            <w:r w:rsidRPr="0062582F">
              <w:t>20</w:t>
            </w:r>
          </w:p>
        </w:tc>
        <w:tc>
          <w:tcPr>
            <w:tcW w:w="1003" w:type="dxa"/>
            <w:tcBorders>
              <w:top w:val="nil"/>
              <w:left w:val="nil"/>
              <w:bottom w:val="single" w:sz="4" w:space="0" w:color="auto"/>
              <w:right w:val="nil"/>
            </w:tcBorders>
            <w:vAlign w:val="bottom"/>
          </w:tcPr>
          <w:p w:rsidR="004843DB" w:rsidRPr="0062582F" w:rsidRDefault="004843DB" w:rsidP="004843DB">
            <w:pPr>
              <w:pStyle w:val="TableofFigures"/>
            </w:pPr>
            <w:r w:rsidRPr="0062582F">
              <w:t>..</w:t>
            </w:r>
          </w:p>
        </w:tc>
      </w:tr>
      <w:tr w:rsidR="004843DB" w:rsidRPr="0062582F" w:rsidTr="004843DB">
        <w:trPr>
          <w:gridAfter w:val="1"/>
          <w:wAfter w:w="12" w:type="dxa"/>
          <w:cantSplit/>
          <w:trHeight w:val="20"/>
        </w:trPr>
        <w:tc>
          <w:tcPr>
            <w:tcW w:w="6136" w:type="dxa"/>
            <w:tcBorders>
              <w:top w:val="single" w:sz="4" w:space="0" w:color="auto"/>
              <w:left w:val="nil"/>
              <w:bottom w:val="nil"/>
              <w:right w:val="nil"/>
            </w:tcBorders>
            <w:vAlign w:val="bottom"/>
            <w:hideMark/>
          </w:tcPr>
          <w:p w:rsidR="004843DB" w:rsidRPr="0062582F" w:rsidRDefault="004843DB" w:rsidP="004843DB">
            <w:pPr>
              <w:pStyle w:val="Tabletext"/>
              <w:rPr>
                <w:b/>
              </w:rPr>
            </w:pPr>
            <w:r w:rsidRPr="0062582F">
              <w:rPr>
                <w:b/>
              </w:rPr>
              <w:t>Total intangible assets commitments</w:t>
            </w:r>
          </w:p>
        </w:tc>
        <w:tc>
          <w:tcPr>
            <w:tcW w:w="992" w:type="dxa"/>
            <w:tcBorders>
              <w:top w:val="single" w:sz="4" w:space="0" w:color="auto"/>
              <w:left w:val="nil"/>
              <w:bottom w:val="nil"/>
              <w:right w:val="nil"/>
            </w:tcBorders>
            <w:shd w:val="clear" w:color="auto" w:fill="D9D9D9"/>
            <w:vAlign w:val="bottom"/>
          </w:tcPr>
          <w:p w:rsidR="004843DB" w:rsidRPr="0062582F" w:rsidRDefault="004843DB" w:rsidP="004843DB">
            <w:pPr>
              <w:pStyle w:val="TableofFigures"/>
              <w:rPr>
                <w:b/>
              </w:rPr>
            </w:pPr>
            <w:r w:rsidRPr="0062582F">
              <w:rPr>
                <w:b/>
              </w:rPr>
              <w:t>43</w:t>
            </w:r>
          </w:p>
        </w:tc>
        <w:tc>
          <w:tcPr>
            <w:tcW w:w="1003" w:type="dxa"/>
            <w:tcBorders>
              <w:top w:val="single" w:sz="4" w:space="0" w:color="auto"/>
              <w:left w:val="nil"/>
              <w:bottom w:val="nil"/>
              <w:right w:val="nil"/>
            </w:tcBorders>
            <w:vAlign w:val="bottom"/>
          </w:tcPr>
          <w:p w:rsidR="004843DB" w:rsidRPr="0062582F" w:rsidRDefault="004843DB" w:rsidP="004843DB">
            <w:pPr>
              <w:pStyle w:val="TableofFigures"/>
              <w:rPr>
                <w:b/>
                <w:bCs/>
              </w:rPr>
            </w:pPr>
            <w:r w:rsidRPr="0062582F">
              <w:rPr>
                <w:b/>
                <w:bCs/>
              </w:rPr>
              <w:t>20</w:t>
            </w: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rPr>
                <w:b/>
              </w:rPr>
            </w:pPr>
            <w:r w:rsidRPr="0062582F">
              <w:rPr>
                <w:b/>
              </w:rPr>
              <w:t>Department</w:t>
            </w:r>
            <w:r w:rsidR="005A4BB0">
              <w:rPr>
                <w:b/>
              </w:rPr>
              <w:t>’</w:t>
            </w:r>
            <w:r w:rsidRPr="0062582F">
              <w:rPr>
                <w:b/>
              </w:rPr>
              <w:t>s share of joint ventures</w:t>
            </w:r>
            <w:r w:rsidR="005A4BB0">
              <w:rPr>
                <w:b/>
              </w:rPr>
              <w:t>’</w:t>
            </w:r>
            <w:r w:rsidRPr="0062582F">
              <w:rPr>
                <w:b/>
              </w:rPr>
              <w:t xml:space="preserve"> capital</w:t>
            </w:r>
            <w:r w:rsidR="005A4BB0">
              <w:rPr>
                <w:b/>
              </w:rPr>
              <w:noBreakHyphen/>
            </w:r>
            <w:r w:rsidRPr="0062582F">
              <w:rPr>
                <w:b/>
              </w:rPr>
              <w:t>intensive projects commitments payable</w:t>
            </w:r>
          </w:p>
        </w:tc>
        <w:tc>
          <w:tcPr>
            <w:tcW w:w="992" w:type="dxa"/>
            <w:shd w:val="clear" w:color="auto" w:fill="D9D9D9"/>
            <w:vAlign w:val="bottom"/>
          </w:tcPr>
          <w:p w:rsidR="004843DB" w:rsidRPr="0062582F" w:rsidRDefault="004843DB" w:rsidP="004843DB">
            <w:pPr>
              <w:pStyle w:val="TableofFigures"/>
              <w:rPr>
                <w:b/>
                <w:bCs/>
                <w:sz w:val="17"/>
                <w:szCs w:val="17"/>
              </w:rPr>
            </w:pPr>
          </w:p>
        </w:tc>
        <w:tc>
          <w:tcPr>
            <w:tcW w:w="1003" w:type="dxa"/>
            <w:vAlign w:val="bottom"/>
          </w:tcPr>
          <w:p w:rsidR="004843DB" w:rsidRPr="0062582F" w:rsidRDefault="004843DB" w:rsidP="004843DB">
            <w:pPr>
              <w:pStyle w:val="TableofFigures"/>
              <w:rPr>
                <w:b/>
                <w:bCs/>
                <w:sz w:val="17"/>
                <w:szCs w:val="17"/>
              </w:rPr>
            </w:pP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pPr>
            <w:r w:rsidRPr="0062582F">
              <w:t>Less than 1 year</w:t>
            </w:r>
          </w:p>
        </w:tc>
        <w:tc>
          <w:tcPr>
            <w:tcW w:w="992" w:type="dxa"/>
            <w:shd w:val="clear" w:color="auto" w:fill="D9D9D9"/>
            <w:vAlign w:val="bottom"/>
          </w:tcPr>
          <w:p w:rsidR="004843DB" w:rsidRPr="0062582F" w:rsidRDefault="004843DB" w:rsidP="004843DB">
            <w:pPr>
              <w:pStyle w:val="TableofFigures"/>
            </w:pPr>
            <w:r w:rsidRPr="0062582F">
              <w:t>..</w:t>
            </w:r>
          </w:p>
        </w:tc>
        <w:tc>
          <w:tcPr>
            <w:tcW w:w="1003" w:type="dxa"/>
            <w:vAlign w:val="bottom"/>
          </w:tcPr>
          <w:p w:rsidR="004843DB" w:rsidRPr="0062582F" w:rsidRDefault="004843DB" w:rsidP="004843DB">
            <w:pPr>
              <w:pStyle w:val="TableofFigures"/>
            </w:pPr>
            <w:r w:rsidRPr="0062582F">
              <w:t>..</w:t>
            </w: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pPr>
            <w:r w:rsidRPr="0062582F">
              <w:t>Longer than 1 year but not longer than 5 years</w:t>
            </w:r>
          </w:p>
        </w:tc>
        <w:tc>
          <w:tcPr>
            <w:tcW w:w="992" w:type="dxa"/>
            <w:shd w:val="clear" w:color="auto" w:fill="D9D9D9"/>
            <w:vAlign w:val="bottom"/>
          </w:tcPr>
          <w:p w:rsidR="004843DB" w:rsidRPr="0062582F" w:rsidRDefault="004843DB" w:rsidP="004843DB">
            <w:pPr>
              <w:pStyle w:val="TableofFigures"/>
            </w:pPr>
            <w:r w:rsidRPr="0062582F">
              <w:t>8</w:t>
            </w:r>
          </w:p>
        </w:tc>
        <w:tc>
          <w:tcPr>
            <w:tcW w:w="1003" w:type="dxa"/>
            <w:vAlign w:val="bottom"/>
          </w:tcPr>
          <w:p w:rsidR="004843DB" w:rsidRPr="0062582F" w:rsidRDefault="004843DB" w:rsidP="004843DB">
            <w:pPr>
              <w:pStyle w:val="TableofFigures"/>
            </w:pPr>
            <w:r w:rsidRPr="0062582F">
              <w:t>8</w:t>
            </w:r>
          </w:p>
        </w:tc>
      </w:tr>
      <w:tr w:rsidR="004843DB" w:rsidRPr="0062582F" w:rsidTr="004843DB">
        <w:trPr>
          <w:gridAfter w:val="1"/>
          <w:wAfter w:w="12" w:type="dxa"/>
          <w:cantSplit/>
          <w:trHeight w:val="20"/>
        </w:trPr>
        <w:tc>
          <w:tcPr>
            <w:tcW w:w="6136" w:type="dxa"/>
            <w:tcBorders>
              <w:top w:val="nil"/>
              <w:left w:val="nil"/>
              <w:bottom w:val="single" w:sz="4" w:space="0" w:color="auto"/>
              <w:right w:val="nil"/>
            </w:tcBorders>
            <w:vAlign w:val="bottom"/>
            <w:hideMark/>
          </w:tcPr>
          <w:p w:rsidR="004843DB" w:rsidRPr="0062582F" w:rsidRDefault="004843DB" w:rsidP="004843DB">
            <w:pPr>
              <w:pStyle w:val="Tabletext"/>
            </w:pPr>
            <w:r w:rsidRPr="0062582F">
              <w:t>5 years or more</w:t>
            </w:r>
          </w:p>
        </w:tc>
        <w:tc>
          <w:tcPr>
            <w:tcW w:w="992" w:type="dxa"/>
            <w:tcBorders>
              <w:top w:val="nil"/>
              <w:left w:val="nil"/>
              <w:bottom w:val="single" w:sz="4" w:space="0" w:color="auto"/>
              <w:right w:val="nil"/>
            </w:tcBorders>
            <w:shd w:val="clear" w:color="auto" w:fill="D9D9D9"/>
            <w:vAlign w:val="bottom"/>
          </w:tcPr>
          <w:p w:rsidR="004843DB" w:rsidRPr="0062582F" w:rsidRDefault="004843DB" w:rsidP="004843DB">
            <w:pPr>
              <w:pStyle w:val="TableofFigures"/>
            </w:pPr>
            <w:r w:rsidRPr="0062582F">
              <w:t>13</w:t>
            </w:r>
          </w:p>
        </w:tc>
        <w:tc>
          <w:tcPr>
            <w:tcW w:w="1003" w:type="dxa"/>
            <w:tcBorders>
              <w:top w:val="nil"/>
              <w:left w:val="nil"/>
              <w:bottom w:val="single" w:sz="4" w:space="0" w:color="auto"/>
              <w:right w:val="nil"/>
            </w:tcBorders>
            <w:vAlign w:val="bottom"/>
          </w:tcPr>
          <w:p w:rsidR="004843DB" w:rsidRPr="0062582F" w:rsidRDefault="004843DB" w:rsidP="004843DB">
            <w:pPr>
              <w:pStyle w:val="TableofFigures"/>
            </w:pPr>
            <w:r w:rsidRPr="0062582F">
              <w:t>13</w:t>
            </w:r>
          </w:p>
        </w:tc>
      </w:tr>
      <w:tr w:rsidR="004843DB" w:rsidRPr="0062582F" w:rsidTr="004843DB">
        <w:trPr>
          <w:gridAfter w:val="1"/>
          <w:wAfter w:w="12" w:type="dxa"/>
          <w:cantSplit/>
          <w:trHeight w:val="20"/>
        </w:trPr>
        <w:tc>
          <w:tcPr>
            <w:tcW w:w="6136" w:type="dxa"/>
            <w:tcBorders>
              <w:top w:val="single" w:sz="4" w:space="0" w:color="auto"/>
              <w:left w:val="nil"/>
              <w:bottom w:val="nil"/>
              <w:right w:val="nil"/>
            </w:tcBorders>
            <w:vAlign w:val="bottom"/>
            <w:hideMark/>
          </w:tcPr>
          <w:p w:rsidR="004843DB" w:rsidRPr="0062582F" w:rsidRDefault="004843DB" w:rsidP="004843DB">
            <w:pPr>
              <w:pStyle w:val="Tabletext"/>
              <w:rPr>
                <w:b/>
              </w:rPr>
            </w:pPr>
            <w:r w:rsidRPr="0062582F">
              <w:rPr>
                <w:b/>
              </w:rPr>
              <w:t>Total department</w:t>
            </w:r>
            <w:r w:rsidR="005A4BB0">
              <w:rPr>
                <w:b/>
              </w:rPr>
              <w:t>’</w:t>
            </w:r>
            <w:r w:rsidRPr="0062582F">
              <w:rPr>
                <w:b/>
              </w:rPr>
              <w:t>s share of joint ventures</w:t>
            </w:r>
            <w:r w:rsidR="005A4BB0">
              <w:rPr>
                <w:b/>
              </w:rPr>
              <w:t>’</w:t>
            </w:r>
            <w:r w:rsidRPr="0062582F">
              <w:rPr>
                <w:b/>
              </w:rPr>
              <w:t xml:space="preserve"> capital</w:t>
            </w:r>
            <w:r w:rsidR="005A4BB0">
              <w:rPr>
                <w:b/>
              </w:rPr>
              <w:noBreakHyphen/>
            </w:r>
            <w:r w:rsidRPr="0062582F">
              <w:rPr>
                <w:b/>
              </w:rPr>
              <w:t>intensive projects commitments</w:t>
            </w:r>
          </w:p>
        </w:tc>
        <w:tc>
          <w:tcPr>
            <w:tcW w:w="992" w:type="dxa"/>
            <w:tcBorders>
              <w:top w:val="single" w:sz="4" w:space="0" w:color="auto"/>
              <w:left w:val="nil"/>
              <w:bottom w:val="nil"/>
              <w:right w:val="nil"/>
            </w:tcBorders>
            <w:shd w:val="clear" w:color="auto" w:fill="D9D9D9"/>
            <w:vAlign w:val="bottom"/>
          </w:tcPr>
          <w:p w:rsidR="004843DB" w:rsidRPr="0062582F" w:rsidRDefault="004843DB" w:rsidP="004843DB">
            <w:pPr>
              <w:pStyle w:val="TableofFigures"/>
              <w:rPr>
                <w:b/>
              </w:rPr>
            </w:pPr>
            <w:r w:rsidRPr="0062582F">
              <w:rPr>
                <w:b/>
              </w:rPr>
              <w:t>21</w:t>
            </w:r>
          </w:p>
        </w:tc>
        <w:tc>
          <w:tcPr>
            <w:tcW w:w="1003" w:type="dxa"/>
            <w:tcBorders>
              <w:top w:val="single" w:sz="4" w:space="0" w:color="auto"/>
              <w:left w:val="nil"/>
              <w:bottom w:val="nil"/>
              <w:right w:val="nil"/>
            </w:tcBorders>
            <w:vAlign w:val="bottom"/>
          </w:tcPr>
          <w:p w:rsidR="004843DB" w:rsidRPr="0062582F" w:rsidRDefault="004843DB" w:rsidP="004843DB">
            <w:pPr>
              <w:pStyle w:val="TableofFigures"/>
              <w:rPr>
                <w:b/>
              </w:rPr>
            </w:pPr>
            <w:r w:rsidRPr="0062582F">
              <w:rPr>
                <w:b/>
              </w:rPr>
              <w:t>21</w:t>
            </w: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rPr>
                <w:b/>
              </w:rPr>
            </w:pPr>
            <w:r w:rsidRPr="0062582F">
              <w:rPr>
                <w:b/>
              </w:rPr>
              <w:t>Other commitments payable</w:t>
            </w:r>
          </w:p>
        </w:tc>
        <w:tc>
          <w:tcPr>
            <w:tcW w:w="992" w:type="dxa"/>
            <w:shd w:val="clear" w:color="auto" w:fill="D9D9D9"/>
            <w:vAlign w:val="bottom"/>
            <w:hideMark/>
          </w:tcPr>
          <w:p w:rsidR="004843DB" w:rsidRPr="0062582F" w:rsidRDefault="004843DB" w:rsidP="004843DB">
            <w:pPr>
              <w:pStyle w:val="TableofFigures"/>
              <w:rPr>
                <w:rFonts w:eastAsia="Calibri"/>
                <w:b/>
                <w:sz w:val="20"/>
                <w:szCs w:val="20"/>
              </w:rPr>
            </w:pPr>
          </w:p>
        </w:tc>
        <w:tc>
          <w:tcPr>
            <w:tcW w:w="1003" w:type="dxa"/>
            <w:vAlign w:val="bottom"/>
            <w:hideMark/>
          </w:tcPr>
          <w:p w:rsidR="004843DB" w:rsidRPr="0062582F" w:rsidRDefault="004843DB" w:rsidP="004843DB">
            <w:pPr>
              <w:pStyle w:val="TableofFigures"/>
              <w:rPr>
                <w:rFonts w:eastAsia="Calibri"/>
                <w:b/>
                <w:sz w:val="20"/>
                <w:szCs w:val="20"/>
              </w:rPr>
            </w:pP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pPr>
            <w:r w:rsidRPr="0062582F">
              <w:t>Less than 1 year</w:t>
            </w:r>
          </w:p>
        </w:tc>
        <w:tc>
          <w:tcPr>
            <w:tcW w:w="992" w:type="dxa"/>
            <w:shd w:val="clear" w:color="auto" w:fill="D9D9D9"/>
            <w:vAlign w:val="bottom"/>
            <w:hideMark/>
          </w:tcPr>
          <w:p w:rsidR="004843DB" w:rsidRPr="0062582F" w:rsidRDefault="004843DB" w:rsidP="004843DB">
            <w:pPr>
              <w:pStyle w:val="TableofFigures"/>
            </w:pPr>
            <w:r w:rsidRPr="0062582F">
              <w:t>56</w:t>
            </w:r>
          </w:p>
        </w:tc>
        <w:tc>
          <w:tcPr>
            <w:tcW w:w="1003" w:type="dxa"/>
            <w:vAlign w:val="bottom"/>
            <w:hideMark/>
          </w:tcPr>
          <w:p w:rsidR="004843DB" w:rsidRPr="0062582F" w:rsidRDefault="004843DB" w:rsidP="004843DB">
            <w:pPr>
              <w:pStyle w:val="TableofFigures"/>
            </w:pPr>
            <w:r w:rsidRPr="0062582F">
              <w:t>..</w:t>
            </w:r>
          </w:p>
        </w:tc>
      </w:tr>
      <w:tr w:rsidR="004843DB" w:rsidRPr="0062582F" w:rsidTr="004843DB">
        <w:trPr>
          <w:gridAfter w:val="1"/>
          <w:wAfter w:w="12" w:type="dxa"/>
          <w:cantSplit/>
          <w:trHeight w:val="20"/>
        </w:trPr>
        <w:tc>
          <w:tcPr>
            <w:tcW w:w="6136" w:type="dxa"/>
            <w:vAlign w:val="bottom"/>
            <w:hideMark/>
          </w:tcPr>
          <w:p w:rsidR="004843DB" w:rsidRPr="0062582F" w:rsidRDefault="004843DB" w:rsidP="004843DB">
            <w:pPr>
              <w:pStyle w:val="Tabletext"/>
            </w:pPr>
            <w:r w:rsidRPr="0062582F">
              <w:t>Longer than 1 year but not longer than 5 years</w:t>
            </w:r>
          </w:p>
        </w:tc>
        <w:tc>
          <w:tcPr>
            <w:tcW w:w="992" w:type="dxa"/>
            <w:shd w:val="clear" w:color="auto" w:fill="D9D9D9"/>
            <w:vAlign w:val="bottom"/>
            <w:hideMark/>
          </w:tcPr>
          <w:p w:rsidR="004843DB" w:rsidRPr="0062582F" w:rsidRDefault="004843DB" w:rsidP="004843DB">
            <w:pPr>
              <w:pStyle w:val="TableofFigures"/>
            </w:pPr>
            <w:r w:rsidRPr="0062582F">
              <w:t>112</w:t>
            </w:r>
          </w:p>
        </w:tc>
        <w:tc>
          <w:tcPr>
            <w:tcW w:w="1003" w:type="dxa"/>
            <w:vAlign w:val="bottom"/>
            <w:hideMark/>
          </w:tcPr>
          <w:p w:rsidR="004843DB" w:rsidRPr="0062582F" w:rsidRDefault="004843DB" w:rsidP="004843DB">
            <w:pPr>
              <w:pStyle w:val="TableofFigures"/>
            </w:pPr>
            <w:r w:rsidRPr="0062582F">
              <w:t>..</w:t>
            </w:r>
          </w:p>
        </w:tc>
      </w:tr>
      <w:tr w:rsidR="004843DB" w:rsidRPr="0062582F" w:rsidTr="004843DB">
        <w:trPr>
          <w:gridAfter w:val="1"/>
          <w:wAfter w:w="12" w:type="dxa"/>
          <w:cantSplit/>
          <w:trHeight w:val="20"/>
        </w:trPr>
        <w:tc>
          <w:tcPr>
            <w:tcW w:w="6136" w:type="dxa"/>
            <w:tcBorders>
              <w:top w:val="nil"/>
              <w:left w:val="nil"/>
              <w:bottom w:val="single" w:sz="6" w:space="0" w:color="auto"/>
              <w:right w:val="nil"/>
            </w:tcBorders>
            <w:vAlign w:val="bottom"/>
            <w:hideMark/>
          </w:tcPr>
          <w:p w:rsidR="004843DB" w:rsidRPr="0062582F" w:rsidRDefault="004843DB" w:rsidP="004843DB">
            <w:pPr>
              <w:pStyle w:val="Tabletext"/>
            </w:pPr>
            <w:r w:rsidRPr="0062582F">
              <w:t>5 years or more</w:t>
            </w:r>
          </w:p>
        </w:tc>
        <w:tc>
          <w:tcPr>
            <w:tcW w:w="992" w:type="dxa"/>
            <w:tcBorders>
              <w:top w:val="nil"/>
              <w:left w:val="nil"/>
              <w:bottom w:val="single" w:sz="6" w:space="0" w:color="auto"/>
              <w:right w:val="nil"/>
            </w:tcBorders>
            <w:shd w:val="clear" w:color="auto" w:fill="D9D9D9"/>
            <w:vAlign w:val="bottom"/>
            <w:hideMark/>
          </w:tcPr>
          <w:p w:rsidR="004843DB" w:rsidRPr="0062582F" w:rsidRDefault="004843DB" w:rsidP="004843DB">
            <w:pPr>
              <w:pStyle w:val="TableofFigures"/>
            </w:pPr>
            <w:r w:rsidRPr="0062582F">
              <w:t>..</w:t>
            </w:r>
          </w:p>
        </w:tc>
        <w:tc>
          <w:tcPr>
            <w:tcW w:w="1003" w:type="dxa"/>
            <w:tcBorders>
              <w:top w:val="nil"/>
              <w:left w:val="nil"/>
              <w:bottom w:val="single" w:sz="6" w:space="0" w:color="auto"/>
              <w:right w:val="nil"/>
            </w:tcBorders>
            <w:vAlign w:val="bottom"/>
            <w:hideMark/>
          </w:tcPr>
          <w:p w:rsidR="004843DB" w:rsidRPr="0062582F" w:rsidRDefault="004843DB" w:rsidP="004843DB">
            <w:pPr>
              <w:pStyle w:val="TableofFigures"/>
            </w:pPr>
            <w:r w:rsidRPr="0062582F">
              <w:t>..</w:t>
            </w:r>
          </w:p>
        </w:tc>
      </w:tr>
      <w:tr w:rsidR="004843DB" w:rsidRPr="0062582F" w:rsidTr="004843DB">
        <w:trPr>
          <w:gridAfter w:val="1"/>
          <w:wAfter w:w="12" w:type="dxa"/>
          <w:cantSplit/>
          <w:trHeight w:val="20"/>
        </w:trPr>
        <w:tc>
          <w:tcPr>
            <w:tcW w:w="6136" w:type="dxa"/>
            <w:tcBorders>
              <w:top w:val="single" w:sz="6" w:space="0" w:color="auto"/>
              <w:left w:val="nil"/>
              <w:bottom w:val="single" w:sz="6" w:space="0" w:color="auto"/>
              <w:right w:val="nil"/>
            </w:tcBorders>
            <w:vAlign w:val="bottom"/>
            <w:hideMark/>
          </w:tcPr>
          <w:p w:rsidR="004843DB" w:rsidRPr="0062582F" w:rsidRDefault="004843DB" w:rsidP="004843DB">
            <w:pPr>
              <w:pStyle w:val="Tabletext"/>
              <w:rPr>
                <w:b/>
              </w:rPr>
            </w:pPr>
            <w:r w:rsidRPr="0062582F">
              <w:rPr>
                <w:b/>
              </w:rPr>
              <w:t>Total other commitments</w:t>
            </w:r>
          </w:p>
        </w:tc>
        <w:tc>
          <w:tcPr>
            <w:tcW w:w="992" w:type="dxa"/>
            <w:tcBorders>
              <w:top w:val="single" w:sz="6" w:space="0" w:color="auto"/>
              <w:left w:val="nil"/>
              <w:bottom w:val="single" w:sz="6" w:space="0" w:color="auto"/>
              <w:right w:val="nil"/>
            </w:tcBorders>
            <w:shd w:val="clear" w:color="auto" w:fill="D9D9D9"/>
            <w:vAlign w:val="bottom"/>
            <w:hideMark/>
          </w:tcPr>
          <w:p w:rsidR="004843DB" w:rsidRPr="0062582F" w:rsidRDefault="004843DB" w:rsidP="004843DB">
            <w:pPr>
              <w:pStyle w:val="TableofFigures"/>
              <w:rPr>
                <w:b/>
              </w:rPr>
            </w:pPr>
            <w:r w:rsidRPr="0062582F">
              <w:rPr>
                <w:b/>
              </w:rPr>
              <w:t>168</w:t>
            </w:r>
          </w:p>
        </w:tc>
        <w:tc>
          <w:tcPr>
            <w:tcW w:w="1003" w:type="dxa"/>
            <w:tcBorders>
              <w:top w:val="single" w:sz="6" w:space="0" w:color="auto"/>
              <w:left w:val="nil"/>
              <w:bottom w:val="single" w:sz="6" w:space="0" w:color="auto"/>
              <w:right w:val="nil"/>
            </w:tcBorders>
            <w:vAlign w:val="bottom"/>
            <w:hideMark/>
          </w:tcPr>
          <w:p w:rsidR="004843DB" w:rsidRPr="0062582F" w:rsidRDefault="004843DB" w:rsidP="004843DB">
            <w:pPr>
              <w:pStyle w:val="TableofFigures"/>
              <w:rPr>
                <w:b/>
              </w:rPr>
            </w:pPr>
            <w:r w:rsidRPr="0062582F">
              <w:rPr>
                <w:b/>
              </w:rPr>
              <w:t>..</w:t>
            </w:r>
          </w:p>
        </w:tc>
      </w:tr>
      <w:tr w:rsidR="004843DB" w:rsidRPr="0062582F" w:rsidTr="004843DB">
        <w:trPr>
          <w:gridAfter w:val="1"/>
          <w:wAfter w:w="12" w:type="dxa"/>
          <w:cantSplit/>
          <w:trHeight w:val="20"/>
        </w:trPr>
        <w:tc>
          <w:tcPr>
            <w:tcW w:w="6136" w:type="dxa"/>
            <w:tcBorders>
              <w:top w:val="single" w:sz="6" w:space="0" w:color="auto"/>
              <w:left w:val="nil"/>
              <w:bottom w:val="single" w:sz="6" w:space="0" w:color="auto"/>
              <w:right w:val="nil"/>
            </w:tcBorders>
            <w:vAlign w:val="bottom"/>
            <w:hideMark/>
          </w:tcPr>
          <w:p w:rsidR="004843DB" w:rsidRPr="0062582F" w:rsidRDefault="004843DB" w:rsidP="004843DB">
            <w:pPr>
              <w:pStyle w:val="Tabletext"/>
              <w:rPr>
                <w:b/>
              </w:rPr>
            </w:pPr>
            <w:r w:rsidRPr="0062582F">
              <w:rPr>
                <w:b/>
              </w:rPr>
              <w:t>Total commitments (inclusive of GST)</w:t>
            </w:r>
          </w:p>
        </w:tc>
        <w:tc>
          <w:tcPr>
            <w:tcW w:w="992" w:type="dxa"/>
            <w:tcBorders>
              <w:top w:val="single" w:sz="6" w:space="0" w:color="auto"/>
              <w:left w:val="nil"/>
              <w:bottom w:val="single" w:sz="6" w:space="0" w:color="auto"/>
              <w:right w:val="nil"/>
            </w:tcBorders>
            <w:shd w:val="clear" w:color="auto" w:fill="D9D9D9"/>
            <w:vAlign w:val="bottom"/>
            <w:hideMark/>
          </w:tcPr>
          <w:p w:rsidR="004843DB" w:rsidRPr="0062582F" w:rsidRDefault="004843DB" w:rsidP="004843DB">
            <w:pPr>
              <w:pStyle w:val="TableofFigures"/>
              <w:rPr>
                <w:b/>
              </w:rPr>
            </w:pPr>
            <w:r w:rsidRPr="0062582F">
              <w:rPr>
                <w:b/>
              </w:rPr>
              <w:t>33 945</w:t>
            </w:r>
          </w:p>
        </w:tc>
        <w:tc>
          <w:tcPr>
            <w:tcW w:w="1003" w:type="dxa"/>
            <w:tcBorders>
              <w:top w:val="single" w:sz="6" w:space="0" w:color="auto"/>
              <w:left w:val="nil"/>
              <w:bottom w:val="single" w:sz="6" w:space="0" w:color="auto"/>
              <w:right w:val="nil"/>
            </w:tcBorders>
            <w:vAlign w:val="bottom"/>
            <w:hideMark/>
          </w:tcPr>
          <w:p w:rsidR="004843DB" w:rsidRPr="0062582F" w:rsidRDefault="004843DB" w:rsidP="004843DB">
            <w:pPr>
              <w:pStyle w:val="TableofFigures"/>
              <w:rPr>
                <w:b/>
              </w:rPr>
            </w:pPr>
            <w:r w:rsidRPr="0062582F">
              <w:rPr>
                <w:b/>
              </w:rPr>
              <w:t>48 911</w:t>
            </w:r>
          </w:p>
        </w:tc>
      </w:tr>
      <w:tr w:rsidR="004843DB" w:rsidRPr="0062582F" w:rsidTr="004843DB">
        <w:trPr>
          <w:gridAfter w:val="1"/>
          <w:wAfter w:w="12" w:type="dxa"/>
          <w:cantSplit/>
          <w:trHeight w:val="20"/>
        </w:trPr>
        <w:tc>
          <w:tcPr>
            <w:tcW w:w="6136" w:type="dxa"/>
            <w:tcBorders>
              <w:top w:val="single" w:sz="6" w:space="0" w:color="auto"/>
              <w:left w:val="nil"/>
              <w:bottom w:val="single" w:sz="6" w:space="0" w:color="auto"/>
              <w:right w:val="nil"/>
            </w:tcBorders>
          </w:tcPr>
          <w:p w:rsidR="004843DB" w:rsidRPr="0062582F" w:rsidRDefault="004843DB" w:rsidP="004843DB">
            <w:pPr>
              <w:pStyle w:val="Tabletext"/>
              <w:rPr>
                <w:b/>
              </w:rPr>
            </w:pPr>
            <w:r w:rsidRPr="0062582F">
              <w:t>Less GST recoverable from the Australian Tax Office</w:t>
            </w:r>
          </w:p>
        </w:tc>
        <w:tc>
          <w:tcPr>
            <w:tcW w:w="992" w:type="dxa"/>
            <w:tcBorders>
              <w:top w:val="single" w:sz="6" w:space="0" w:color="auto"/>
              <w:left w:val="nil"/>
              <w:bottom w:val="single" w:sz="6" w:space="0" w:color="auto"/>
              <w:right w:val="nil"/>
            </w:tcBorders>
            <w:shd w:val="clear" w:color="auto" w:fill="D9D9D9"/>
          </w:tcPr>
          <w:p w:rsidR="004843DB" w:rsidRPr="0062582F" w:rsidRDefault="004843DB" w:rsidP="004843DB">
            <w:pPr>
              <w:pStyle w:val="TableofFigures"/>
            </w:pPr>
            <w:r w:rsidRPr="0062582F">
              <w:t>2 586</w:t>
            </w:r>
          </w:p>
        </w:tc>
        <w:tc>
          <w:tcPr>
            <w:tcW w:w="1003" w:type="dxa"/>
            <w:tcBorders>
              <w:top w:val="single" w:sz="6" w:space="0" w:color="auto"/>
              <w:left w:val="nil"/>
              <w:bottom w:val="single" w:sz="6" w:space="0" w:color="auto"/>
              <w:right w:val="nil"/>
            </w:tcBorders>
          </w:tcPr>
          <w:p w:rsidR="004843DB" w:rsidRPr="0062582F" w:rsidRDefault="004843DB" w:rsidP="004843DB">
            <w:pPr>
              <w:pStyle w:val="TableofFigures"/>
            </w:pPr>
            <w:r w:rsidRPr="0062582F">
              <w:t>3 284</w:t>
            </w:r>
          </w:p>
        </w:tc>
      </w:tr>
      <w:tr w:rsidR="004843DB" w:rsidRPr="0062582F" w:rsidTr="004843DB">
        <w:trPr>
          <w:gridAfter w:val="1"/>
          <w:wAfter w:w="12" w:type="dxa"/>
          <w:cantSplit/>
          <w:trHeight w:val="20"/>
        </w:trPr>
        <w:tc>
          <w:tcPr>
            <w:tcW w:w="6136" w:type="dxa"/>
            <w:tcBorders>
              <w:top w:val="single" w:sz="6" w:space="0" w:color="auto"/>
              <w:left w:val="nil"/>
              <w:bottom w:val="single" w:sz="12" w:space="0" w:color="auto"/>
              <w:right w:val="nil"/>
            </w:tcBorders>
          </w:tcPr>
          <w:p w:rsidR="004843DB" w:rsidRPr="0062582F" w:rsidRDefault="004843DB" w:rsidP="004843DB">
            <w:pPr>
              <w:pStyle w:val="Tabletext"/>
              <w:rPr>
                <w:b/>
              </w:rPr>
            </w:pPr>
            <w:r w:rsidRPr="0062582F">
              <w:rPr>
                <w:b/>
              </w:rPr>
              <w:t>Total commitments (exclusive of GST)</w:t>
            </w:r>
          </w:p>
        </w:tc>
        <w:tc>
          <w:tcPr>
            <w:tcW w:w="992"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31 359</w:t>
            </w:r>
          </w:p>
        </w:tc>
        <w:tc>
          <w:tcPr>
            <w:tcW w:w="1003"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45 627</w:t>
            </w:r>
          </w:p>
        </w:tc>
      </w:tr>
    </w:tbl>
    <w:p w:rsidR="004843DB" w:rsidRPr="0062582F" w:rsidRDefault="004843DB" w:rsidP="004843DB">
      <w:pPr>
        <w:pStyle w:val="Notes"/>
      </w:pPr>
      <w:r w:rsidRPr="0062582F">
        <w:t>Notes:</w:t>
      </w:r>
    </w:p>
    <w:p w:rsidR="004843DB" w:rsidRPr="0062582F" w:rsidRDefault="004843DB" w:rsidP="004843DB">
      <w:pPr>
        <w:pStyle w:val="Notes"/>
      </w:pPr>
      <w:r w:rsidRPr="0062582F">
        <w:t>(i)</w:t>
      </w:r>
      <w:r w:rsidRPr="0062582F">
        <w:tab/>
        <w:t>For future finance lease and non</w:t>
      </w:r>
      <w:r w:rsidR="005A4BB0">
        <w:noBreakHyphen/>
      </w:r>
      <w:r w:rsidRPr="0062582F">
        <w:t xml:space="preserve">cancellable operating lease payments that are recognised on the balance sheet, refer to Note 30 </w:t>
      </w:r>
      <w:r w:rsidRPr="0062582F">
        <w:rPr>
          <w:i w:val="0"/>
        </w:rPr>
        <w:t>Leases</w:t>
      </w:r>
      <w:r w:rsidRPr="0062582F">
        <w:t>.</w:t>
      </w:r>
    </w:p>
    <w:p w:rsidR="004843DB" w:rsidRPr="0062582F" w:rsidRDefault="004843DB" w:rsidP="004843DB">
      <w:pPr>
        <w:pStyle w:val="Notes"/>
      </w:pPr>
      <w:r w:rsidRPr="0062582F">
        <w:t>(ii)</w:t>
      </w:r>
      <w:r w:rsidRPr="0062582F">
        <w:tab/>
        <w:t>Operating lease commitments relate to warehouse facilities with lease terms between three and seven years. These contracts do not allow the Department to purchase the facilities after the lease ends, but the Department can renew the lease for a further three years.</w:t>
      </w:r>
    </w:p>
    <w:p w:rsidR="004843DB" w:rsidRPr="0062582F" w:rsidRDefault="004843DB" w:rsidP="004843DB">
      <w:pPr>
        <w:pStyle w:val="SmallLine"/>
      </w:pPr>
    </w:p>
    <w:p w:rsidR="004843DB" w:rsidRPr="0062582F" w:rsidRDefault="004843DB" w:rsidP="004843DB">
      <w:pPr>
        <w:pStyle w:val="NotesBlue"/>
      </w:pPr>
      <w:r w:rsidRPr="0062582F">
        <w:tab/>
        <w:t xml:space="preserve">[In the above table (c) commitments payable, commitments relating to </w:t>
      </w:r>
      <w:r w:rsidR="005A4BB0">
        <w:t>‘</w:t>
      </w:r>
      <w:r w:rsidRPr="0062582F">
        <w:t>intangible assets</w:t>
      </w:r>
      <w:r w:rsidR="005A4BB0">
        <w:t>’</w:t>
      </w:r>
      <w:r w:rsidRPr="0062582F">
        <w:t xml:space="preserve"> and </w:t>
      </w:r>
      <w:r w:rsidR="005A4BB0">
        <w:t>‘</w:t>
      </w:r>
      <w:r w:rsidRPr="0062582F">
        <w:t>Department</w:t>
      </w:r>
      <w:r w:rsidR="005A4BB0">
        <w:t>’</w:t>
      </w:r>
      <w:r w:rsidRPr="0062582F">
        <w:t>s share of joint ventures</w:t>
      </w:r>
      <w:r w:rsidR="005A4BB0">
        <w:t>’</w:t>
      </w:r>
      <w:r w:rsidRPr="0062582F">
        <w:t xml:space="preserve"> capital expenditure are immaterial in the Annual Financial Report of the State, and are therefore aggregated into </w:t>
      </w:r>
      <w:r w:rsidR="005A4BB0">
        <w:t>‘</w:t>
      </w:r>
      <w:r w:rsidRPr="0062582F">
        <w:t>total other commitments payable</w:t>
      </w:r>
      <w:r w:rsidR="005A4BB0">
        <w:t>’</w:t>
      </w:r>
      <w:r w:rsidRPr="0062582F">
        <w:t xml:space="preserve">. If these groups are also immaterial for departments, then they could also be aggregated into </w:t>
      </w:r>
      <w:r w:rsidR="005A4BB0">
        <w:t>‘</w:t>
      </w:r>
      <w:r w:rsidRPr="0062582F">
        <w:t>total other commitments payable</w:t>
      </w:r>
      <w:r w:rsidR="005A4BB0">
        <w:t>’</w:t>
      </w:r>
      <w:r w:rsidRPr="0062582F">
        <w:t xml:space="preserve"> and deleted from the above table format.]</w:t>
      </w:r>
    </w:p>
    <w:p w:rsidR="004843DB" w:rsidRPr="0062582F" w:rsidRDefault="004843DB" w:rsidP="004843DB">
      <w:pPr>
        <w:pStyle w:val="SmallLine"/>
        <w:sectPr w:rsidR="004843DB" w:rsidRPr="0062582F" w:rsidSect="00190A01">
          <w:type w:val="continuous"/>
          <w:pgSz w:w="11906" w:h="16838"/>
          <w:pgMar w:top="1152" w:right="864" w:bottom="1152" w:left="864" w:header="432" w:footer="432" w:gutter="0"/>
          <w:cols w:num="2" w:space="720" w:equalWidth="0">
            <w:col w:w="1440" w:space="360"/>
            <w:col w:w="8090"/>
          </w:cols>
          <w:rtlGutter/>
        </w:sectPr>
      </w:pPr>
    </w:p>
    <w:p w:rsidR="004843DB" w:rsidRPr="0062582F" w:rsidRDefault="004843DB" w:rsidP="004843DB">
      <w:pPr>
        <w:pStyle w:val="SmallLine"/>
      </w:pPr>
      <w:r w:rsidRPr="0062582F">
        <w:br w:type="column"/>
      </w:r>
      <w:r w:rsidRPr="0062582F">
        <w:br w:type="column"/>
      </w:r>
      <w:r w:rsidRPr="0062582F">
        <w:br w:type="column"/>
      </w:r>
    </w:p>
    <w:p w:rsidR="004843DB" w:rsidRPr="0062582F" w:rsidRDefault="004843DB" w:rsidP="004843DB">
      <w:pPr>
        <w:pStyle w:val="CommentaryHeading"/>
        <w:pBdr>
          <w:bottom w:val="none" w:sz="0" w:space="0" w:color="auto"/>
        </w:pBdr>
      </w:pPr>
      <w:r w:rsidRPr="0062582F">
        <w:t>Commentary – Commitments for expenditure</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bottom w:val="none" w:sz="0" w:space="0" w:color="auto"/>
        </w:pBdr>
      </w:pPr>
      <w:r w:rsidRPr="0062582F">
        <w:t>Contracted capital commitment</w:t>
      </w:r>
    </w:p>
    <w:p w:rsidR="004843DB" w:rsidRPr="0062582F" w:rsidRDefault="004843DB" w:rsidP="004843DB">
      <w:pPr>
        <w:pStyle w:val="CommentaryText"/>
        <w:pBdr>
          <w:bottom w:val="none" w:sz="0" w:space="0" w:color="auto"/>
        </w:pBdr>
      </w:pPr>
      <w:r w:rsidRPr="0062582F">
        <w:t>Capital commitments and other expenditure commitments contracted for as at the end of the reporting period do not require disclosure where the commitments are for the supply of inventories and have been recognised as liabilities in the balance sheet.</w:t>
      </w:r>
    </w:p>
    <w:p w:rsidR="004843DB" w:rsidRPr="0062582F" w:rsidRDefault="004843DB" w:rsidP="004843DB">
      <w:pPr>
        <w:pStyle w:val="CommentaryHeading1"/>
        <w:pBdr>
          <w:top w:val="none" w:sz="0" w:space="0" w:color="auto"/>
          <w:bottom w:val="none" w:sz="0" w:space="0" w:color="auto"/>
        </w:pBdr>
      </w:pPr>
      <w:r w:rsidRPr="0062582F">
        <w:t>GST</w:t>
      </w:r>
    </w:p>
    <w:p w:rsidR="004843DB" w:rsidRPr="0062582F" w:rsidRDefault="004843DB" w:rsidP="004843DB">
      <w:pPr>
        <w:pStyle w:val="CommentaryText"/>
        <w:pBdr>
          <w:top w:val="none" w:sz="0" w:space="0" w:color="auto"/>
          <w:bottom w:val="none" w:sz="0" w:space="0" w:color="auto"/>
        </w:pBdr>
      </w:pPr>
      <w:r w:rsidRPr="0062582F">
        <w:t>The purpose of the commitment note disclosure is to inform users of the outstanding commitments for payments from a cash flow perspective. GST should be included for the</w:t>
      </w:r>
      <w:r w:rsidRPr="0062582F">
        <w:rPr>
          <w:b/>
        </w:rPr>
        <w:t xml:space="preserve"> applicable</w:t>
      </w:r>
      <w:r w:rsidRPr="0062582F">
        <w:t xml:space="preserve"> components of these commitments.</w:t>
      </w:r>
    </w:p>
    <w:p w:rsidR="004843DB" w:rsidRPr="0062582F" w:rsidRDefault="004843DB" w:rsidP="004843DB">
      <w:pPr>
        <w:pStyle w:val="CommentaryText"/>
        <w:pBdr>
          <w:top w:val="none" w:sz="0" w:space="0" w:color="auto"/>
          <w:bottom w:val="none" w:sz="0" w:space="0" w:color="auto"/>
        </w:pBdr>
      </w:pPr>
      <w:r w:rsidRPr="0062582F">
        <w:t>Where the invoices for commitment related payments separately identify a financing component, GST is not required to be added to this component. However, where invoices do not separate the finance component, GST should be included on all components for the purposes of the commitment disclosure.</w:t>
      </w:r>
    </w:p>
    <w:p w:rsidR="004843DB" w:rsidRPr="0062582F" w:rsidRDefault="004843DB" w:rsidP="004843DB">
      <w:pPr>
        <w:pStyle w:val="CommentaryHeading1"/>
        <w:pBdr>
          <w:top w:val="none" w:sz="0" w:space="0" w:color="auto"/>
          <w:bottom w:val="none" w:sz="0" w:space="0" w:color="auto"/>
        </w:pBdr>
        <w:rPr>
          <w:rFonts w:ascii="Cambria" w:hAnsi="Cambria" w:cs="Arial Bold"/>
          <w:sz w:val="32"/>
          <w:szCs w:val="28"/>
        </w:rPr>
      </w:pPr>
      <w:r w:rsidRPr="0062582F">
        <w:t>Specific guidances for public private partnerships</w:t>
      </w: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Red"/>
        <w:spacing w:before="200"/>
      </w:pPr>
    </w:p>
    <w:p w:rsidR="004843DB" w:rsidRPr="0062582F" w:rsidRDefault="004843DB" w:rsidP="004843DB">
      <w:pPr>
        <w:pStyle w:val="CommentaryHeading2"/>
      </w:pPr>
      <w:r w:rsidRPr="0062582F">
        <w:br w:type="column"/>
        <w:t>Commissioned and uncommissioned PPPs</w:t>
      </w:r>
    </w:p>
    <w:p w:rsidR="004843DB" w:rsidRPr="0062582F" w:rsidRDefault="004843DB" w:rsidP="004843DB">
      <w:pPr>
        <w:pStyle w:val="CommentaryText"/>
        <w:pBdr>
          <w:top w:val="none" w:sz="0" w:space="0" w:color="auto"/>
          <w:bottom w:val="none" w:sz="0" w:space="0" w:color="auto"/>
        </w:pBdr>
      </w:pPr>
      <w:r w:rsidRPr="0062582F">
        <w:t>Commissioned PPPs are construction projects that are completed as per government</w:t>
      </w:r>
      <w:r w:rsidR="005A4BB0">
        <w:t>’</w:t>
      </w:r>
      <w:r w:rsidRPr="0062582F">
        <w:t>s requirements and are ready for operation. Commissioning generally occurs from the date of commercial acceptance. The public sector entity pays the private sector operators over the period of the PPP arrangement in the form of quarterly service payments. Uncommissioned PPPs are construction projects that are yet to commence or are still in progress.</w:t>
      </w:r>
    </w:p>
    <w:p w:rsidR="004843DB" w:rsidRPr="0062582F" w:rsidRDefault="004843DB" w:rsidP="004843DB">
      <w:pPr>
        <w:pStyle w:val="CommentaryText"/>
        <w:pBdr>
          <w:top w:val="none" w:sz="0" w:space="0" w:color="auto"/>
          <w:bottom w:val="none" w:sz="0" w:space="0" w:color="auto"/>
        </w:pBdr>
      </w:pPr>
      <w:r w:rsidRPr="0062582F">
        <w:t xml:space="preserve">Commissioned and uncommissioned PPPs need to be disclosed separately. For commissioned PPPs, the expenditure component relating to capital/finance is recognised as a </w:t>
      </w:r>
      <w:r w:rsidR="005A4BB0">
        <w:t>‘</w:t>
      </w:r>
      <w:r w:rsidRPr="0062582F">
        <w:t>finance lease liability</w:t>
      </w:r>
      <w:r w:rsidR="005A4BB0">
        <w:t>’</w:t>
      </w:r>
      <w:r w:rsidRPr="0062582F">
        <w:t xml:space="preserve"> on the balance sheet, and only the future service related component is recognised as an </w:t>
      </w:r>
      <w:r w:rsidR="005A4BB0">
        <w:t>‘</w:t>
      </w:r>
      <w:r w:rsidRPr="0062582F">
        <w:t>other commitment</w:t>
      </w:r>
      <w:r w:rsidR="005A4BB0">
        <w:t>’</w:t>
      </w:r>
      <w:r w:rsidRPr="0062582F">
        <w:t xml:space="preserve"> and disclosed in the commitment note. In contrast, for uncommissioned PPPs, both the capital finance component (termed as </w:t>
      </w:r>
      <w:r w:rsidR="005A4BB0">
        <w:t>‘</w:t>
      </w:r>
      <w:r w:rsidRPr="0062582F">
        <w:t>minimum lease payment</w:t>
      </w:r>
      <w:r w:rsidR="005A4BB0">
        <w:t>’</w:t>
      </w:r>
      <w:r w:rsidRPr="0062582F">
        <w:t xml:space="preserve">) and the </w:t>
      </w:r>
      <w:r w:rsidR="005A4BB0">
        <w:t>‘</w:t>
      </w:r>
      <w:r w:rsidRPr="0062582F">
        <w:t>other commitments</w:t>
      </w:r>
      <w:r w:rsidR="005A4BB0">
        <w:t>’</w:t>
      </w:r>
      <w:r w:rsidRPr="0062582F">
        <w:t xml:space="preserve"> component are disclosed in the commitments note. </w:t>
      </w:r>
    </w:p>
    <w:p w:rsidR="004843DB" w:rsidRPr="0062582F" w:rsidRDefault="004843DB" w:rsidP="004843DB">
      <w:pPr>
        <w:pStyle w:val="CommentaryHeading2"/>
      </w:pPr>
      <w:r w:rsidRPr="0062582F">
        <w:t>Outstanding PPP contractual payments</w:t>
      </w:r>
    </w:p>
    <w:p w:rsidR="004843DB" w:rsidRPr="0062582F" w:rsidRDefault="004843DB" w:rsidP="004843DB">
      <w:pPr>
        <w:pStyle w:val="CommentaryText"/>
        <w:pBdr>
          <w:top w:val="none" w:sz="0" w:space="0" w:color="auto"/>
        </w:pBdr>
      </w:pPr>
      <w:r w:rsidRPr="0062582F">
        <w:t>Information on the accounting treatment of the State</w:t>
      </w:r>
      <w:r w:rsidR="005A4BB0">
        <w:t>’</w:t>
      </w:r>
      <w:r w:rsidRPr="0062582F">
        <w:t>s right to receive assets from service concession or PPP arrangements is provided in Note 1(S).</w:t>
      </w:r>
    </w:p>
    <w:p w:rsidR="004843DB" w:rsidRPr="0062582F" w:rsidRDefault="004843DB" w:rsidP="004843DB">
      <w:pPr>
        <w:pStyle w:val="CommentaryText"/>
        <w:pBdr>
          <w:top w:val="none" w:sz="0" w:space="0" w:color="auto"/>
        </w:pBdr>
      </w:pPr>
      <w:r w:rsidRPr="0062582F">
        <w:t xml:space="preserve">The purpose of the commitment note is to provide users with discounted or present value information about outstanding PPP contractual payments for individual projects that are not recognised as liabilities on the balance sheet. For commissioned PPP finance lease information, refer to Note 30 </w:t>
      </w:r>
      <w:r w:rsidRPr="0062582F">
        <w:rPr>
          <w:i/>
        </w:rPr>
        <w:t>Leases</w:t>
      </w:r>
      <w:r w:rsidRPr="0062582F">
        <w:t>. Contractual payment streams often comprise several components and are paid as a bundle through quarterly service payments (QSPs). Typically QSPs may include payments related to finance leases, operating and maintenance contracts, asset upgrades and contingent rentals.</w:t>
      </w:r>
    </w:p>
    <w:p w:rsidR="004843DB" w:rsidRPr="0062582F" w:rsidRDefault="004843DB" w:rsidP="004843DB">
      <w:pPr>
        <w:pStyle w:val="CommentaryText"/>
        <w:pBdr>
          <w:top w:val="none" w:sz="0" w:space="0" w:color="auto"/>
        </w:pBdr>
      </w:pPr>
      <w:r w:rsidRPr="0062582F">
        <w:t>Projects are expected to be disclosed separately where appropriate and where QSP information is readily available. Where a contract and QSPs may relate to several like assets, e.g. upgrade and maintenance of several schools, disclosure would not be expected at the individual school level. Confirmation of individual PPP projects for separate disclosure, either commissioned or uncommissioned, that are controlled by the entity at the reporting and/or comparative reporting date, should be confirmed with the relevant Commercial Advisory Services team of DTF.</w:t>
      </w:r>
    </w:p>
    <w:p w:rsidR="004843DB" w:rsidRPr="0062582F" w:rsidRDefault="004843DB" w:rsidP="004843DB">
      <w:pPr>
        <w:rPr>
          <w:noProof/>
        </w:rPr>
      </w:pPr>
    </w:p>
    <w:p w:rsidR="004843DB" w:rsidRPr="0062582F" w:rsidRDefault="004843DB" w:rsidP="004843DB">
      <w:pPr>
        <w:pStyle w:val="SmallLine"/>
      </w:pPr>
    </w:p>
    <w:p w:rsidR="004843DB" w:rsidRPr="0062582F" w:rsidRDefault="004843DB" w:rsidP="004843DB">
      <w:pPr>
        <w:pStyle w:val="CommentaryHeading"/>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BE3440">
      <w:pPr>
        <w:pStyle w:val="SmallLine"/>
      </w:pPr>
      <w:r w:rsidRPr="0062582F">
        <w:br w:type="column"/>
      </w:r>
      <w:r w:rsidRPr="0062582F">
        <w:br w:type="column"/>
      </w:r>
    </w:p>
    <w:p w:rsidR="004843DB" w:rsidRPr="0062582F" w:rsidRDefault="004843DB" w:rsidP="00BE3440">
      <w:pPr>
        <w:pStyle w:val="Reference"/>
      </w:pPr>
    </w:p>
    <w:p w:rsidR="004843DB" w:rsidRPr="0062582F" w:rsidRDefault="004843DB" w:rsidP="004843DB">
      <w:pPr>
        <w:pStyle w:val="SmallLine"/>
      </w:pPr>
      <w:r w:rsidRPr="0062582F">
        <w:br w:type="column"/>
      </w:r>
    </w:p>
    <w:p w:rsidR="004843DB" w:rsidRPr="0062582F" w:rsidRDefault="004843DB" w:rsidP="004843DB">
      <w:pPr>
        <w:pStyle w:val="CommentaryHeading"/>
        <w:rPr>
          <w:i/>
          <w:iCs/>
        </w:rPr>
      </w:pPr>
      <w:r w:rsidRPr="0062582F">
        <w:t xml:space="preserve">Commentary – Commitments for expenditure </w:t>
      </w:r>
      <w:r w:rsidRPr="0062582F">
        <w:rPr>
          <w:i/>
          <w:iCs/>
        </w:rPr>
        <w:t>(continued)</w:t>
      </w:r>
    </w:p>
    <w:p w:rsidR="004843DB" w:rsidRPr="0062582F" w:rsidRDefault="004843DB" w:rsidP="004843DB">
      <w:pPr>
        <w:pStyle w:val="SmallLineBlue"/>
      </w:pPr>
    </w:p>
    <w:p w:rsidR="004843DB" w:rsidRPr="0062582F" w:rsidRDefault="004843DB" w:rsidP="004843DB">
      <w:pPr>
        <w:pStyle w:val="CommentaryHeading2"/>
      </w:pPr>
      <w:r w:rsidRPr="0062582F">
        <w:t>Contingent rents</w:t>
      </w:r>
    </w:p>
    <w:p w:rsidR="004843DB" w:rsidRPr="0062582F" w:rsidRDefault="004843DB" w:rsidP="004843DB">
      <w:pPr>
        <w:pBdr>
          <w:left w:val="single" w:sz="4" w:space="4" w:color="0000FF"/>
          <w:right w:val="single" w:sz="4" w:space="4" w:color="0000FF"/>
        </w:pBdr>
        <w:rPr>
          <w:noProof/>
          <w:color w:val="0000FF"/>
        </w:rPr>
      </w:pPr>
      <w:r w:rsidRPr="0062582F">
        <w:rPr>
          <w:noProof/>
          <w:color w:val="0000FF"/>
        </w:rPr>
        <w:t>The estimated QSP cash flows attributable to the PPPs shall not be adjusted for contingent rents that are not fixed in amount, but based on the future amount of a factor other than with the passage of time (e.g. percentage of future sales, amount of future use, future price amount of future use, future price indicies or future market rates of interest). Rather, contingent rents shall be charged as expenses in the periods in which they are incurred.</w:t>
      </w:r>
    </w:p>
    <w:p w:rsidR="004843DB" w:rsidRPr="0062582F" w:rsidRDefault="004843DB" w:rsidP="004843DB">
      <w:pPr>
        <w:pStyle w:val="CommentaryHeading2"/>
      </w:pPr>
      <w:r w:rsidRPr="0062582F">
        <w:t>Discount dates</w:t>
      </w:r>
    </w:p>
    <w:p w:rsidR="004843DB" w:rsidRPr="0062582F" w:rsidRDefault="004843DB" w:rsidP="004843DB">
      <w:pPr>
        <w:pBdr>
          <w:left w:val="single" w:sz="4" w:space="4" w:color="0000FF"/>
          <w:right w:val="single" w:sz="4" w:space="4" w:color="0000FF"/>
        </w:pBdr>
        <w:rPr>
          <w:rFonts w:cs="Calibri"/>
          <w:noProof/>
          <w:color w:val="0000FF"/>
        </w:rPr>
      </w:pPr>
      <w:r w:rsidRPr="0062582F">
        <w:rPr>
          <w:rFonts w:cs="Calibri"/>
          <w:noProof/>
          <w:color w:val="0000FF"/>
        </w:rPr>
        <w:t xml:space="preserve">In calculating the discounted value of the </w:t>
      </w:r>
      <w:r w:rsidR="005A4BB0">
        <w:rPr>
          <w:rFonts w:cs="Calibri"/>
          <w:noProof/>
          <w:color w:val="0000FF"/>
        </w:rPr>
        <w:t>‘</w:t>
      </w:r>
      <w:r w:rsidRPr="0062582F">
        <w:rPr>
          <w:rFonts w:cs="Calibri"/>
          <w:noProof/>
          <w:color w:val="0000FF"/>
        </w:rPr>
        <w:t>minimum lease payments</w:t>
      </w:r>
      <w:r w:rsidR="005A4BB0">
        <w:rPr>
          <w:rFonts w:cs="Calibri"/>
          <w:noProof/>
          <w:color w:val="0000FF"/>
        </w:rPr>
        <w:t>’</w:t>
      </w:r>
      <w:r w:rsidRPr="0062582F">
        <w:rPr>
          <w:rFonts w:cs="Calibri"/>
          <w:noProof/>
          <w:color w:val="0000FF"/>
        </w:rPr>
        <w:t xml:space="preserve"> of commitments for uncommissioned (still under construction) PPPs, the payments shall be discounted to the expected date of commissioning.</w:t>
      </w:r>
    </w:p>
    <w:p w:rsidR="004843DB" w:rsidRPr="0062582F" w:rsidRDefault="004843DB" w:rsidP="004843DB">
      <w:pPr>
        <w:pBdr>
          <w:left w:val="single" w:sz="4" w:space="4" w:color="0000FF"/>
          <w:right w:val="single" w:sz="4" w:space="4" w:color="0000FF"/>
        </w:pBdr>
        <w:rPr>
          <w:rFonts w:cs="Calibri"/>
          <w:noProof/>
          <w:color w:val="0000FF"/>
        </w:rPr>
      </w:pPr>
      <w:r w:rsidRPr="0062582F">
        <w:rPr>
          <w:rFonts w:cs="Calibri"/>
          <w:noProof/>
          <w:color w:val="0000FF"/>
        </w:rPr>
        <w:t xml:space="preserve">In calculating the present value of </w:t>
      </w:r>
      <w:r w:rsidR="005A4BB0">
        <w:rPr>
          <w:rFonts w:cs="Calibri"/>
          <w:noProof/>
          <w:color w:val="0000FF"/>
        </w:rPr>
        <w:t>‘</w:t>
      </w:r>
      <w:r w:rsidRPr="0062582F">
        <w:rPr>
          <w:rFonts w:cs="Calibri"/>
          <w:noProof/>
          <w:color w:val="0000FF"/>
        </w:rPr>
        <w:t>other commitments</w:t>
      </w:r>
      <w:r w:rsidR="005A4BB0">
        <w:rPr>
          <w:rFonts w:cs="Calibri"/>
          <w:noProof/>
          <w:color w:val="0000FF"/>
        </w:rPr>
        <w:t>’</w:t>
      </w:r>
      <w:r w:rsidRPr="0062582F">
        <w:rPr>
          <w:rFonts w:cs="Calibri"/>
          <w:noProof/>
          <w:color w:val="0000FF"/>
        </w:rPr>
        <w:t xml:space="preserve"> associated with both commissioned and uncommissioned PPPs, the payments shall be discounted to the 30 June of the reporting period and the comparative period respectively. </w:t>
      </w:r>
    </w:p>
    <w:p w:rsidR="004843DB" w:rsidRPr="0062582F" w:rsidRDefault="004843DB" w:rsidP="004843DB">
      <w:pPr>
        <w:pBdr>
          <w:left w:val="single" w:sz="4" w:space="4" w:color="0000FF"/>
          <w:right w:val="single" w:sz="4" w:space="4" w:color="0000FF"/>
        </w:pBdr>
        <w:rPr>
          <w:rFonts w:cs="Calibri"/>
          <w:noProof/>
          <w:color w:val="0000FF"/>
        </w:rPr>
      </w:pPr>
      <w:r w:rsidRPr="0062582F">
        <w:rPr>
          <w:rFonts w:cs="Calibri"/>
          <w:noProof/>
          <w:color w:val="0000FF"/>
        </w:rPr>
        <w:t xml:space="preserve">As uncommissioned minimum lease payment projects will be discounted to the expected commissioning date, the reference is to </w:t>
      </w:r>
      <w:r w:rsidR="005A4BB0">
        <w:rPr>
          <w:rFonts w:cs="Calibri"/>
          <w:noProof/>
          <w:color w:val="0000FF"/>
        </w:rPr>
        <w:t>‘</w:t>
      </w:r>
      <w:r w:rsidRPr="0062582F">
        <w:rPr>
          <w:rFonts w:cs="Calibri"/>
          <w:noProof/>
          <w:color w:val="0000FF"/>
        </w:rPr>
        <w:t>discounted values</w:t>
      </w:r>
      <w:r w:rsidR="005A4BB0">
        <w:rPr>
          <w:rFonts w:cs="Calibri"/>
          <w:noProof/>
          <w:color w:val="0000FF"/>
        </w:rPr>
        <w:t>’</w:t>
      </w:r>
      <w:r w:rsidRPr="0062582F">
        <w:rPr>
          <w:rFonts w:cs="Calibri"/>
          <w:noProof/>
          <w:color w:val="0000FF"/>
        </w:rPr>
        <w:t xml:space="preserve"> rather than </w:t>
      </w:r>
      <w:r w:rsidR="005A4BB0">
        <w:rPr>
          <w:rFonts w:cs="Calibri"/>
          <w:noProof/>
          <w:color w:val="0000FF"/>
        </w:rPr>
        <w:t>‘</w:t>
      </w:r>
      <w:r w:rsidRPr="0062582F">
        <w:rPr>
          <w:rFonts w:cs="Calibri"/>
          <w:noProof/>
          <w:color w:val="0000FF"/>
        </w:rPr>
        <w:t>present values</w:t>
      </w:r>
      <w:r w:rsidR="005A4BB0">
        <w:rPr>
          <w:rFonts w:cs="Calibri"/>
          <w:noProof/>
          <w:color w:val="0000FF"/>
        </w:rPr>
        <w:t>’</w:t>
      </w:r>
      <w:r w:rsidRPr="0062582F">
        <w:rPr>
          <w:rFonts w:cs="Calibri"/>
          <w:noProof/>
          <w:color w:val="0000FF"/>
        </w:rPr>
        <w:t>, as the latter implies discounting to balance sheet date.</w:t>
      </w:r>
    </w:p>
    <w:p w:rsidR="004843DB" w:rsidRPr="0062582F" w:rsidRDefault="004843DB" w:rsidP="004843DB">
      <w:pPr>
        <w:pStyle w:val="CommentaryHeading2"/>
      </w:pPr>
      <w:r w:rsidRPr="0062582F">
        <w:t>Discounted value of PPP minimum lease payment commitments</w:t>
      </w:r>
    </w:p>
    <w:p w:rsidR="004843DB" w:rsidRPr="0062582F" w:rsidRDefault="004843DB" w:rsidP="004843DB">
      <w:pPr>
        <w:pBdr>
          <w:left w:val="single" w:sz="4" w:space="4" w:color="0000FF"/>
          <w:right w:val="single" w:sz="4" w:space="4" w:color="0000FF"/>
        </w:pBdr>
        <w:rPr>
          <w:rFonts w:cs="Calibri"/>
          <w:noProof/>
          <w:color w:val="0000FF"/>
        </w:rPr>
      </w:pPr>
      <w:r w:rsidRPr="0062582F">
        <w:rPr>
          <w:rFonts w:cs="Calibri"/>
          <w:noProof/>
          <w:color w:val="0000FF"/>
        </w:rPr>
        <w:t xml:space="preserve">The discounted values of the </w:t>
      </w:r>
      <w:r w:rsidR="005A4BB0">
        <w:rPr>
          <w:rFonts w:cs="Calibri"/>
          <w:noProof/>
          <w:color w:val="0000FF"/>
        </w:rPr>
        <w:t>‘</w:t>
      </w:r>
      <w:r w:rsidRPr="0062582F">
        <w:rPr>
          <w:rFonts w:cs="Calibri"/>
          <w:noProof/>
          <w:color w:val="0000FF"/>
        </w:rPr>
        <w:t>minimum lease payments</w:t>
      </w:r>
      <w:r w:rsidR="005A4BB0">
        <w:rPr>
          <w:rFonts w:cs="Calibri"/>
          <w:noProof/>
          <w:color w:val="0000FF"/>
        </w:rPr>
        <w:t>’</w:t>
      </w:r>
      <w:r w:rsidRPr="0062582F">
        <w:rPr>
          <w:rFonts w:cs="Calibri"/>
          <w:noProof/>
          <w:color w:val="0000FF"/>
        </w:rPr>
        <w:t xml:space="preserve"> are only disclosed as a commitment for uncommissioned PPPs, as the </w:t>
      </w:r>
      <w:r w:rsidR="005A4BB0">
        <w:rPr>
          <w:rFonts w:cs="Calibri"/>
          <w:noProof/>
          <w:color w:val="0000FF"/>
        </w:rPr>
        <w:t>‘</w:t>
      </w:r>
      <w:r w:rsidRPr="0062582F">
        <w:rPr>
          <w:rFonts w:cs="Calibri"/>
          <w:noProof/>
          <w:color w:val="0000FF"/>
        </w:rPr>
        <w:t>minimum lease payments</w:t>
      </w:r>
      <w:r w:rsidR="005A4BB0">
        <w:rPr>
          <w:rFonts w:cs="Calibri"/>
          <w:noProof/>
          <w:color w:val="0000FF"/>
        </w:rPr>
        <w:t>’</w:t>
      </w:r>
      <w:r w:rsidRPr="0062582F">
        <w:rPr>
          <w:rFonts w:cs="Calibri"/>
          <w:noProof/>
          <w:color w:val="0000FF"/>
        </w:rPr>
        <w:t xml:space="preserve"> for commissioned PPPs will be recognised as liabilities on the balance sheet, and no longer classified as commitments. </w:t>
      </w:r>
    </w:p>
    <w:p w:rsidR="00BE3440" w:rsidRDefault="004843DB" w:rsidP="004843DB">
      <w:pPr>
        <w:pBdr>
          <w:left w:val="single" w:sz="4" w:space="4" w:color="0000FF"/>
          <w:right w:val="single" w:sz="4" w:space="4" w:color="0000FF"/>
        </w:pBdr>
        <w:rPr>
          <w:rFonts w:cs="Calibri"/>
          <w:noProof/>
          <w:color w:val="0000FF"/>
        </w:rPr>
        <w:sectPr w:rsidR="00BE3440" w:rsidSect="00190A01">
          <w:type w:val="continuous"/>
          <w:pgSz w:w="11906" w:h="16838" w:code="9"/>
          <w:pgMar w:top="1152" w:right="864" w:bottom="1152" w:left="864" w:header="432" w:footer="432" w:gutter="0"/>
          <w:cols w:num="2" w:space="360" w:equalWidth="0">
            <w:col w:w="1440" w:space="360"/>
            <w:col w:w="8090"/>
          </w:cols>
          <w:rtlGutter/>
        </w:sectPr>
      </w:pPr>
      <w:r w:rsidRPr="0062582F">
        <w:rPr>
          <w:rFonts w:cs="Calibri"/>
          <w:noProof/>
          <w:color w:val="0000FF"/>
        </w:rPr>
        <w:t xml:space="preserve">For uncommissioned projects, the discounted values of the </w:t>
      </w:r>
      <w:r w:rsidR="005A4BB0">
        <w:rPr>
          <w:rFonts w:cs="Calibri"/>
          <w:noProof/>
          <w:color w:val="0000FF"/>
        </w:rPr>
        <w:t>‘</w:t>
      </w:r>
      <w:r w:rsidRPr="0062582F">
        <w:rPr>
          <w:rFonts w:cs="Calibri"/>
          <w:noProof/>
          <w:color w:val="0000FF"/>
        </w:rPr>
        <w:t>minimum lease payment</w:t>
      </w:r>
      <w:r w:rsidR="005A4BB0">
        <w:rPr>
          <w:rFonts w:cs="Calibri"/>
          <w:noProof/>
          <w:color w:val="0000FF"/>
        </w:rPr>
        <w:t>’</w:t>
      </w:r>
      <w:r w:rsidRPr="0062582F">
        <w:rPr>
          <w:rFonts w:cs="Calibri"/>
          <w:noProof/>
          <w:color w:val="0000FF"/>
        </w:rPr>
        <w:t xml:space="preserve"> commitments are derived by proxy, being the nominal sum of the total capital costs and any other allowable capitalised expenses, including capitalised interest, during the development and construction phase of a project as reflected in the contracted financial model. This nominal sum is deemed as the fair value of the leased asset for the purpose of AASB 117 </w:t>
      </w:r>
      <w:r w:rsidRPr="0062582F">
        <w:rPr>
          <w:rFonts w:cs="Calibri"/>
          <w:i/>
          <w:noProof/>
          <w:color w:val="0000FF"/>
        </w:rPr>
        <w:t xml:space="preserve">Leases </w:t>
      </w:r>
      <w:r w:rsidRPr="0062582F">
        <w:rPr>
          <w:rFonts w:cs="Calibri"/>
          <w:noProof/>
          <w:color w:val="0000FF"/>
        </w:rPr>
        <w:t xml:space="preserve">and will equate to the discounted values of the </w:t>
      </w:r>
      <w:r w:rsidR="005A4BB0">
        <w:rPr>
          <w:rFonts w:cs="Calibri"/>
          <w:noProof/>
          <w:color w:val="0000FF"/>
        </w:rPr>
        <w:t>‘</w:t>
      </w:r>
      <w:r w:rsidRPr="0062582F">
        <w:rPr>
          <w:rFonts w:cs="Calibri"/>
          <w:noProof/>
          <w:color w:val="0000FF"/>
        </w:rPr>
        <w:t>minimum lease payment</w:t>
      </w:r>
      <w:r w:rsidR="005A4BB0">
        <w:rPr>
          <w:rFonts w:cs="Calibri"/>
          <w:noProof/>
          <w:color w:val="0000FF"/>
        </w:rPr>
        <w:t>’</w:t>
      </w:r>
      <w:r w:rsidRPr="0062582F">
        <w:rPr>
          <w:rFonts w:cs="Calibri"/>
          <w:noProof/>
          <w:color w:val="0000FF"/>
        </w:rPr>
        <w:t xml:space="preserve"> commitments. </w:t>
      </w:r>
    </w:p>
    <w:p w:rsidR="00BE3440" w:rsidRPr="00BE3440" w:rsidRDefault="00BE3440" w:rsidP="00BE3440">
      <w:pPr>
        <w:pStyle w:val="ReferenceRed"/>
        <w:spacing w:before="200"/>
      </w:pPr>
      <w:r w:rsidRPr="00BE3440">
        <w:rPr>
          <w:rStyle w:val="ReferenceRedChar"/>
        </w:rPr>
        <w:t>N</w:t>
      </w:r>
      <w:r w:rsidRPr="0062582F">
        <w:t>ew</w:t>
      </w:r>
    </w:p>
    <w:p w:rsidR="004843DB" w:rsidRPr="0062582F" w:rsidRDefault="00BE3440" w:rsidP="00BE3440">
      <w:pPr>
        <w:pStyle w:val="CommentaryHeading2"/>
      </w:pPr>
      <w:r>
        <w:rPr>
          <w:rFonts w:cs="Calibri"/>
        </w:rPr>
        <w:br w:type="column"/>
      </w:r>
      <w:r w:rsidR="004843DB" w:rsidRPr="0062582F">
        <w:t>Government capital contributions</w:t>
      </w:r>
    </w:p>
    <w:p w:rsidR="004843DB" w:rsidRPr="0062582F" w:rsidRDefault="004843DB" w:rsidP="004843DB">
      <w:pPr>
        <w:pBdr>
          <w:left w:val="single" w:sz="4" w:space="4" w:color="0000FF"/>
          <w:right w:val="single" w:sz="4" w:space="4" w:color="0000FF"/>
        </w:pBdr>
        <w:rPr>
          <w:rFonts w:cs="Calibri"/>
          <w:noProof/>
          <w:color w:val="0000FF"/>
        </w:rPr>
      </w:pPr>
      <w:r w:rsidRPr="0062582F">
        <w:rPr>
          <w:rFonts w:cs="Calibri"/>
          <w:noProof/>
          <w:color w:val="0000FF"/>
        </w:rPr>
        <w:t>The government may make a capital contribution in a PPP arrangement. The government capital contribution should be included in the minimum lease payments of uncommissioned PPPs. The minimum lease payments are the sum of the government capital contribution and the present value of future cash flows relating to capital expenditures. In general if the government capital contribution is made upfront, the amount represents the nominal value of the payments that will be made when the project is commissioned.</w:t>
      </w:r>
    </w:p>
    <w:p w:rsidR="004843DB" w:rsidRPr="0062582F" w:rsidRDefault="004843DB" w:rsidP="004843DB">
      <w:pPr>
        <w:pStyle w:val="CommentaryHeading2"/>
      </w:pPr>
      <w:r w:rsidRPr="0062582F">
        <w:t>Present values of PPP other commitments</w:t>
      </w:r>
    </w:p>
    <w:p w:rsidR="004843DB" w:rsidRPr="0062582F" w:rsidRDefault="004843DB" w:rsidP="004843DB">
      <w:pPr>
        <w:pBdr>
          <w:left w:val="single" w:sz="4" w:space="4" w:color="0000FF"/>
          <w:right w:val="single" w:sz="4" w:space="4" w:color="0000FF"/>
        </w:pBdr>
        <w:rPr>
          <w:rFonts w:cs="Calibri"/>
          <w:noProof/>
          <w:color w:val="0000FF"/>
        </w:rPr>
      </w:pPr>
      <w:r w:rsidRPr="0062582F">
        <w:rPr>
          <w:rFonts w:cs="Calibri"/>
          <w:noProof/>
          <w:color w:val="0000FF"/>
        </w:rPr>
        <w:t xml:space="preserve">For the disclosure of both commissioned and uncommissioned present values of other commitments, DTF will provide further guidance on the appropriate discount rate to be applied separately from the Model. </w:t>
      </w:r>
    </w:p>
    <w:p w:rsidR="004843DB" w:rsidRPr="0062582F" w:rsidRDefault="004843DB" w:rsidP="004843DB">
      <w:pPr>
        <w:pStyle w:val="CommentaryHeading2"/>
      </w:pPr>
      <w:r w:rsidRPr="0062582F">
        <w:t>GST for PPPs</w:t>
      </w:r>
    </w:p>
    <w:p w:rsidR="004843DB" w:rsidRPr="0062582F" w:rsidRDefault="004843DB" w:rsidP="004843DB">
      <w:pPr>
        <w:pBdr>
          <w:left w:val="single" w:sz="4" w:space="4" w:color="0000FF"/>
          <w:bottom w:val="single" w:sz="4" w:space="1" w:color="0000FF"/>
          <w:right w:val="single" w:sz="4" w:space="4" w:color="0000FF"/>
        </w:pBdr>
        <w:spacing w:before="160"/>
        <w:rPr>
          <w:rFonts w:cs="Arial"/>
          <w:bCs/>
          <w:noProof/>
          <w:color w:val="0000FF"/>
        </w:rPr>
      </w:pPr>
      <w:r w:rsidRPr="0062582F">
        <w:rPr>
          <w:rFonts w:cs="Arial"/>
          <w:bCs/>
          <w:noProof/>
          <w:color w:val="0000FF"/>
        </w:rPr>
        <w:t>The purpose of the commitment note is to inform users of the outstanding contractual payments amounts from a cash flow perspective. GST should be included where applicable to the components of the QSPs.</w:t>
      </w:r>
    </w:p>
    <w:p w:rsidR="004843DB" w:rsidRPr="0062582F" w:rsidRDefault="004843DB" w:rsidP="004843DB">
      <w:pPr>
        <w:pBdr>
          <w:left w:val="single" w:sz="4" w:space="4" w:color="0000FF"/>
          <w:bottom w:val="single" w:sz="4" w:space="1" w:color="0000FF"/>
          <w:right w:val="single" w:sz="4" w:space="4" w:color="0000FF"/>
        </w:pBdr>
        <w:rPr>
          <w:noProof/>
          <w:color w:val="0000FF"/>
        </w:rPr>
      </w:pPr>
      <w:r w:rsidRPr="0062582F">
        <w:rPr>
          <w:noProof/>
          <w:color w:val="0000FF"/>
        </w:rPr>
        <w:t>Where there is evidence of invoices for the QSPs that separately identify the financing components, GST is not required to be added in respect of the financing component. However, where the invoices do not separately indentify the financing component, the total QSP amounts for the commitment disclosure should be inclusive of GST.</w:t>
      </w:r>
    </w:p>
    <w:p w:rsidR="004843DB" w:rsidRPr="0062582F" w:rsidRDefault="004843DB" w:rsidP="004843DB"/>
    <w:p w:rsidR="004843DB" w:rsidRPr="0062582F" w:rsidRDefault="004843DB" w:rsidP="004843DB">
      <w:pPr>
        <w:pStyle w:val="SmallLine"/>
      </w:pPr>
      <w:r w:rsidRPr="0062582F">
        <w:br w:type="column"/>
      </w:r>
    </w:p>
    <w:p w:rsidR="004843DB" w:rsidRPr="0062582F" w:rsidRDefault="004843DB" w:rsidP="004843DB">
      <w:pPr>
        <w:pStyle w:val="Reference"/>
        <w:rPr>
          <w:rFonts w:ascii="Garamond" w:hAnsi="Garamond" w:cs="Times New Roman"/>
          <w:lang w:val="en-AU"/>
        </w:rPr>
      </w:pPr>
    </w:p>
    <w:p w:rsidR="004843DB" w:rsidRPr="0062582F" w:rsidRDefault="004843DB" w:rsidP="004843DB">
      <w:pPr>
        <w:pStyle w:val="NoteHeading"/>
      </w:pPr>
      <w:r w:rsidRPr="0062582F">
        <w:br w:type="column"/>
      </w:r>
      <w:bookmarkStart w:id="553" w:name="_Toc132689515"/>
      <w:bookmarkStart w:id="554" w:name="_Toc133138198"/>
      <w:bookmarkStart w:id="555" w:name="_Toc133203917"/>
      <w:bookmarkStart w:id="556" w:name="_Toc154475772"/>
      <w:bookmarkStart w:id="557" w:name="_Toc162327226"/>
      <w:bookmarkStart w:id="558" w:name="_Toc162327944"/>
      <w:bookmarkStart w:id="559" w:name="_Toc192562758"/>
      <w:bookmarkStart w:id="560" w:name="_Toc332019490"/>
      <w:bookmarkStart w:id="561" w:name="_Toc366843376"/>
      <w:bookmarkStart w:id="562" w:name="_Toc448157211"/>
      <w:r w:rsidRPr="0062582F">
        <w:t>Note 32.</w:t>
      </w:r>
      <w:r w:rsidRPr="0062582F">
        <w:tab/>
        <w:t>Contingent assets and contingent liabilities</w:t>
      </w:r>
      <w:bookmarkEnd w:id="553"/>
      <w:bookmarkEnd w:id="554"/>
      <w:bookmarkEnd w:id="555"/>
      <w:bookmarkEnd w:id="556"/>
      <w:bookmarkEnd w:id="557"/>
      <w:bookmarkEnd w:id="558"/>
      <w:bookmarkEnd w:id="559"/>
      <w:bookmarkEnd w:id="560"/>
      <w:bookmarkEnd w:id="561"/>
      <w:bookmarkEnd w:id="562"/>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r w:rsidRPr="0062582F">
        <w:br/>
      </w:r>
    </w:p>
    <w:p w:rsidR="004843DB" w:rsidRPr="0062582F" w:rsidRDefault="004843DB" w:rsidP="004843DB">
      <w:pPr>
        <w:pStyle w:val="Reference"/>
        <w:rPr>
          <w:lang w:val="en-AU"/>
        </w:rPr>
      </w:pPr>
      <w:r w:rsidRPr="0062582F">
        <w:rPr>
          <w:lang w:val="en-AU"/>
        </w:rPr>
        <w:t>AASB 137.89</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40"/>
        <w:rPr>
          <w:lang w:val="en-AU"/>
        </w:rPr>
      </w:pPr>
      <w:r w:rsidRPr="0062582F">
        <w:rPr>
          <w:lang w:val="en-AU"/>
        </w:rPr>
        <w:t>AASB 137.86(a)</w:t>
      </w:r>
    </w:p>
    <w:p w:rsidR="004843DB" w:rsidRPr="0062582F" w:rsidRDefault="004843DB" w:rsidP="004843DB">
      <w:pPr>
        <w:pStyle w:val="SmallLine"/>
      </w:pPr>
      <w:r w:rsidRPr="0062582F">
        <w:br/>
      </w:r>
    </w:p>
    <w:p w:rsidR="004843DB" w:rsidRPr="0062582F" w:rsidRDefault="004843DB" w:rsidP="004843DB">
      <w:pPr>
        <w:pStyle w:val="Reference"/>
        <w:spacing w:before="0"/>
        <w:rPr>
          <w:lang w:val="en-AU"/>
        </w:rPr>
      </w:pPr>
      <w:r w:rsidRPr="0062582F">
        <w:rPr>
          <w:lang w:val="en-AU"/>
        </w:rPr>
        <w:t>AASB 12.23(b)</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p>
    <w:p w:rsidR="004843DB" w:rsidRPr="0062582F" w:rsidRDefault="004843DB" w:rsidP="004843DB">
      <w:pPr>
        <w:pStyle w:val="SmallLine"/>
      </w:pPr>
    </w:p>
    <w:p w:rsidR="004843DB" w:rsidRPr="0062582F" w:rsidRDefault="004843DB" w:rsidP="004843DB">
      <w:pPr>
        <w:pStyle w:val="Reference"/>
        <w:spacing w:before="80"/>
        <w:rPr>
          <w:lang w:val="en-AU"/>
        </w:rPr>
      </w:pPr>
      <w:r w:rsidRPr="0062582F">
        <w:rPr>
          <w:lang w:val="en-AU"/>
        </w:rPr>
        <w:t>AASB 12.23(b)</w:t>
      </w:r>
    </w:p>
    <w:p w:rsidR="004843DB" w:rsidRPr="0062582F" w:rsidRDefault="004843DB" w:rsidP="004843DB">
      <w:pPr>
        <w:pStyle w:val="million"/>
      </w:pPr>
      <w:r w:rsidRPr="0062582F">
        <w:br w:type="column"/>
        <w:t>($ thousand)</w:t>
      </w:r>
    </w:p>
    <w:tbl>
      <w:tblPr>
        <w:tblW w:w="8235" w:type="dxa"/>
        <w:tblInd w:w="43" w:type="dxa"/>
        <w:tblLayout w:type="fixed"/>
        <w:tblCellMar>
          <w:left w:w="43" w:type="dxa"/>
          <w:right w:w="43" w:type="dxa"/>
        </w:tblCellMar>
        <w:tblLook w:val="0000" w:firstRow="0" w:lastRow="0" w:firstColumn="0" w:lastColumn="0" w:noHBand="0" w:noVBand="0"/>
      </w:tblPr>
      <w:tblGrid>
        <w:gridCol w:w="5895"/>
        <w:gridCol w:w="1170"/>
        <w:gridCol w:w="1170"/>
      </w:tblGrid>
      <w:tr w:rsidR="004843DB" w:rsidRPr="0062582F" w:rsidTr="004843DB">
        <w:trPr>
          <w:cantSplit/>
          <w:trHeight w:val="20"/>
        </w:trPr>
        <w:tc>
          <w:tcPr>
            <w:tcW w:w="5895" w:type="dxa"/>
            <w:tcBorders>
              <w:top w:val="single" w:sz="6" w:space="0" w:color="auto"/>
              <w:bottom w:val="single" w:sz="6" w:space="0" w:color="auto"/>
            </w:tcBorders>
            <w:shd w:val="clear" w:color="auto" w:fill="auto"/>
            <w:vAlign w:val="bottom"/>
          </w:tcPr>
          <w:p w:rsidR="004843DB" w:rsidRPr="0062582F" w:rsidRDefault="004843DB" w:rsidP="004843DB">
            <w:pPr>
              <w:pStyle w:val="Tabletext"/>
            </w:pPr>
          </w:p>
        </w:tc>
        <w:tc>
          <w:tcPr>
            <w:tcW w:w="1170" w:type="dxa"/>
            <w:tcBorders>
              <w:top w:val="single" w:sz="6" w:space="0" w:color="auto"/>
              <w:bottom w:val="single" w:sz="6" w:space="0" w:color="auto"/>
            </w:tcBorders>
            <w:shd w:val="clear" w:color="auto" w:fill="D9D9D9"/>
            <w:vAlign w:val="bottom"/>
          </w:tcPr>
          <w:p w:rsidR="004843DB" w:rsidRPr="0062582F" w:rsidRDefault="004843DB" w:rsidP="004843DB">
            <w:pPr>
              <w:pStyle w:val="Tabletextheading"/>
            </w:pPr>
            <w:r w:rsidRPr="0062582F">
              <w:t>2016</w:t>
            </w:r>
          </w:p>
        </w:tc>
        <w:tc>
          <w:tcPr>
            <w:tcW w:w="1170" w:type="dxa"/>
            <w:tcBorders>
              <w:top w:val="single" w:sz="6" w:space="0" w:color="auto"/>
              <w:bottom w:val="single" w:sz="6" w:space="0" w:color="auto"/>
            </w:tcBorders>
            <w:vAlign w:val="bottom"/>
          </w:tcPr>
          <w:p w:rsidR="004843DB" w:rsidRPr="0062582F" w:rsidRDefault="004843DB" w:rsidP="004843DB">
            <w:pPr>
              <w:pStyle w:val="Tabletextheading"/>
            </w:pPr>
            <w:r w:rsidRPr="0062582F">
              <w:t>2015</w:t>
            </w:r>
          </w:p>
        </w:tc>
      </w:tr>
      <w:tr w:rsidR="004843DB" w:rsidRPr="0062582F" w:rsidTr="004843DB">
        <w:trPr>
          <w:cantSplit/>
          <w:trHeight w:val="20"/>
        </w:trPr>
        <w:tc>
          <w:tcPr>
            <w:tcW w:w="5895" w:type="dxa"/>
            <w:tcBorders>
              <w:top w:val="single" w:sz="6" w:space="0" w:color="auto"/>
            </w:tcBorders>
            <w:shd w:val="clear" w:color="auto" w:fill="auto"/>
            <w:vAlign w:val="bottom"/>
          </w:tcPr>
          <w:p w:rsidR="004843DB" w:rsidRPr="0062582F" w:rsidRDefault="004843DB" w:rsidP="004843DB">
            <w:pPr>
              <w:pStyle w:val="Tabletext"/>
              <w:rPr>
                <w:b/>
              </w:rPr>
            </w:pPr>
            <w:r w:rsidRPr="0062582F">
              <w:rPr>
                <w:b/>
              </w:rPr>
              <w:t>Contingent assets</w:t>
            </w:r>
          </w:p>
        </w:tc>
        <w:tc>
          <w:tcPr>
            <w:tcW w:w="1170" w:type="dxa"/>
            <w:tcBorders>
              <w:top w:val="single" w:sz="6" w:space="0" w:color="auto"/>
            </w:tcBorders>
            <w:shd w:val="clear" w:color="auto" w:fill="D9D9D9"/>
            <w:vAlign w:val="bottom"/>
          </w:tcPr>
          <w:p w:rsidR="004843DB" w:rsidRPr="0062582F" w:rsidRDefault="004843DB" w:rsidP="004843DB">
            <w:pPr>
              <w:pStyle w:val="TableofFigures"/>
              <w:rPr>
                <w:b/>
              </w:rPr>
            </w:pPr>
          </w:p>
        </w:tc>
        <w:tc>
          <w:tcPr>
            <w:tcW w:w="1170" w:type="dxa"/>
            <w:tcBorders>
              <w:top w:val="single" w:sz="6" w:space="0" w:color="auto"/>
            </w:tcBorders>
            <w:vAlign w:val="bottom"/>
          </w:tcPr>
          <w:p w:rsidR="004843DB" w:rsidRPr="0062582F" w:rsidRDefault="004843DB" w:rsidP="004843DB">
            <w:pPr>
              <w:pStyle w:val="TableofFigures"/>
              <w:rPr>
                <w:b/>
              </w:rPr>
            </w:pPr>
          </w:p>
        </w:tc>
      </w:tr>
      <w:tr w:rsidR="004843DB" w:rsidRPr="0062582F" w:rsidTr="004843DB">
        <w:trPr>
          <w:cantSplit/>
          <w:trHeight w:val="20"/>
        </w:trPr>
        <w:tc>
          <w:tcPr>
            <w:tcW w:w="5895" w:type="dxa"/>
            <w:shd w:val="clear" w:color="auto" w:fill="auto"/>
            <w:vAlign w:val="bottom"/>
          </w:tcPr>
          <w:p w:rsidR="004843DB" w:rsidRPr="0062582F" w:rsidRDefault="004843DB" w:rsidP="004843DB">
            <w:pPr>
              <w:pStyle w:val="Tabletext"/>
            </w:pPr>
            <w:r w:rsidRPr="0062582F">
              <w:t xml:space="preserve">Guarantees </w:t>
            </w:r>
            <w:r w:rsidRPr="0062582F">
              <w:rPr>
                <w:vertAlign w:val="superscript"/>
              </w:rPr>
              <w:t>(i)</w:t>
            </w:r>
          </w:p>
        </w:tc>
        <w:tc>
          <w:tcPr>
            <w:tcW w:w="1170" w:type="dxa"/>
            <w:shd w:val="clear" w:color="auto" w:fill="D9D9D9"/>
            <w:vAlign w:val="bottom"/>
          </w:tcPr>
          <w:p w:rsidR="004843DB" w:rsidRPr="0062582F" w:rsidRDefault="004843DB" w:rsidP="004843DB">
            <w:pPr>
              <w:pStyle w:val="TableofFigures"/>
            </w:pPr>
            <w:r w:rsidRPr="0062582F">
              <w:t>140</w:t>
            </w:r>
          </w:p>
        </w:tc>
        <w:tc>
          <w:tcPr>
            <w:tcW w:w="1170" w:type="dxa"/>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5895" w:type="dxa"/>
            <w:tcBorders>
              <w:bottom w:val="single" w:sz="6" w:space="0" w:color="auto"/>
            </w:tcBorders>
            <w:shd w:val="clear" w:color="auto" w:fill="auto"/>
            <w:vAlign w:val="bottom"/>
          </w:tcPr>
          <w:p w:rsidR="004843DB" w:rsidRPr="0062582F" w:rsidRDefault="004843DB" w:rsidP="004843DB">
            <w:pPr>
              <w:pStyle w:val="Tabletext"/>
            </w:pPr>
            <w:r w:rsidRPr="0062582F">
              <w:t>Early termination of contractual arrangement</w:t>
            </w:r>
          </w:p>
        </w:tc>
        <w:tc>
          <w:tcPr>
            <w:tcW w:w="1170" w:type="dxa"/>
            <w:tcBorders>
              <w:bottom w:val="single" w:sz="6" w:space="0" w:color="auto"/>
            </w:tcBorders>
            <w:shd w:val="clear" w:color="auto" w:fill="D9D9D9"/>
            <w:vAlign w:val="bottom"/>
          </w:tcPr>
          <w:p w:rsidR="004843DB" w:rsidRPr="0062582F" w:rsidRDefault="004843DB" w:rsidP="004843DB">
            <w:pPr>
              <w:pStyle w:val="TableofFigures"/>
            </w:pPr>
            <w:r w:rsidRPr="0062582F">
              <w:t>..</w:t>
            </w:r>
          </w:p>
        </w:tc>
        <w:tc>
          <w:tcPr>
            <w:tcW w:w="1170" w:type="dxa"/>
            <w:tcBorders>
              <w:bottom w:val="single" w:sz="6" w:space="0" w:color="auto"/>
            </w:tcBorders>
            <w:vAlign w:val="bottom"/>
          </w:tcPr>
          <w:p w:rsidR="004843DB" w:rsidRPr="0062582F" w:rsidDel="00C22320" w:rsidRDefault="004843DB" w:rsidP="004843DB">
            <w:pPr>
              <w:pStyle w:val="TableofFigures"/>
            </w:pPr>
            <w:r w:rsidRPr="0062582F">
              <w:t>..</w:t>
            </w:r>
          </w:p>
        </w:tc>
      </w:tr>
      <w:tr w:rsidR="004843DB" w:rsidRPr="0062582F" w:rsidTr="004843DB">
        <w:trPr>
          <w:cantSplit/>
          <w:trHeight w:val="20"/>
        </w:trPr>
        <w:tc>
          <w:tcPr>
            <w:tcW w:w="5895" w:type="dxa"/>
            <w:tcBorders>
              <w:top w:val="single" w:sz="6" w:space="0" w:color="auto"/>
            </w:tcBorders>
            <w:shd w:val="clear" w:color="auto" w:fill="auto"/>
            <w:vAlign w:val="bottom"/>
          </w:tcPr>
          <w:p w:rsidR="004843DB" w:rsidRPr="0062582F" w:rsidRDefault="004843DB" w:rsidP="004843DB">
            <w:pPr>
              <w:pStyle w:val="Tabletext"/>
            </w:pPr>
          </w:p>
        </w:tc>
        <w:tc>
          <w:tcPr>
            <w:tcW w:w="1170" w:type="dxa"/>
            <w:tcBorders>
              <w:top w:val="single" w:sz="6" w:space="0" w:color="auto"/>
            </w:tcBorders>
            <w:shd w:val="clear" w:color="auto" w:fill="D9D9D9"/>
            <w:vAlign w:val="bottom"/>
          </w:tcPr>
          <w:p w:rsidR="004843DB" w:rsidRPr="0062582F" w:rsidRDefault="004843DB" w:rsidP="004843DB">
            <w:pPr>
              <w:pStyle w:val="TableofFigures"/>
            </w:pPr>
            <w:r w:rsidRPr="0062582F">
              <w:t>140</w:t>
            </w:r>
          </w:p>
        </w:tc>
        <w:tc>
          <w:tcPr>
            <w:tcW w:w="1170" w:type="dxa"/>
            <w:tcBorders>
              <w:top w:val="single" w:sz="6" w:space="0" w:color="auto"/>
            </w:tcBorders>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5895" w:type="dxa"/>
            <w:shd w:val="clear" w:color="auto" w:fill="auto"/>
            <w:vAlign w:val="bottom"/>
          </w:tcPr>
          <w:p w:rsidR="004843DB" w:rsidRPr="0062582F" w:rsidRDefault="004843DB" w:rsidP="004843DB">
            <w:pPr>
              <w:pStyle w:val="Tabletext"/>
              <w:rPr>
                <w:b/>
              </w:rPr>
            </w:pPr>
            <w:r w:rsidRPr="0062582F">
              <w:rPr>
                <w:b/>
              </w:rPr>
              <w:t>Contingent liabilities</w:t>
            </w:r>
          </w:p>
        </w:tc>
        <w:tc>
          <w:tcPr>
            <w:tcW w:w="1170" w:type="dxa"/>
            <w:shd w:val="clear" w:color="auto" w:fill="D9D9D9"/>
            <w:vAlign w:val="bottom"/>
          </w:tcPr>
          <w:p w:rsidR="004843DB" w:rsidRPr="0062582F" w:rsidRDefault="004843DB" w:rsidP="004843DB">
            <w:pPr>
              <w:pStyle w:val="TableofFigures"/>
              <w:rPr>
                <w:b/>
              </w:rPr>
            </w:pPr>
          </w:p>
        </w:tc>
        <w:tc>
          <w:tcPr>
            <w:tcW w:w="1170" w:type="dxa"/>
            <w:vAlign w:val="bottom"/>
          </w:tcPr>
          <w:p w:rsidR="004843DB" w:rsidRPr="0062582F" w:rsidRDefault="004843DB" w:rsidP="004843DB">
            <w:pPr>
              <w:pStyle w:val="TableofFigures"/>
              <w:rPr>
                <w:b/>
              </w:rPr>
            </w:pPr>
          </w:p>
        </w:tc>
      </w:tr>
      <w:tr w:rsidR="004843DB" w:rsidRPr="0062582F" w:rsidTr="004843DB">
        <w:trPr>
          <w:cantSplit/>
          <w:trHeight w:val="20"/>
        </w:trPr>
        <w:tc>
          <w:tcPr>
            <w:tcW w:w="5895" w:type="dxa"/>
            <w:shd w:val="clear" w:color="auto" w:fill="auto"/>
            <w:vAlign w:val="bottom"/>
          </w:tcPr>
          <w:p w:rsidR="004843DB" w:rsidRPr="0062582F" w:rsidRDefault="004843DB" w:rsidP="004843DB">
            <w:pPr>
              <w:pStyle w:val="Tabletext"/>
            </w:pPr>
            <w:r w:rsidRPr="0062582F">
              <w:t xml:space="preserve">Legal proceedings and disputes </w:t>
            </w:r>
            <w:r w:rsidRPr="0062582F">
              <w:rPr>
                <w:vertAlign w:val="superscript"/>
              </w:rPr>
              <w:t>(ii)</w:t>
            </w:r>
          </w:p>
        </w:tc>
        <w:tc>
          <w:tcPr>
            <w:tcW w:w="1170" w:type="dxa"/>
            <w:shd w:val="clear" w:color="auto" w:fill="D9D9D9"/>
            <w:vAlign w:val="bottom"/>
          </w:tcPr>
          <w:p w:rsidR="004843DB" w:rsidRPr="0062582F" w:rsidRDefault="004843DB" w:rsidP="004843DB">
            <w:pPr>
              <w:pStyle w:val="TableofFigures"/>
            </w:pPr>
            <w:r w:rsidRPr="0062582F">
              <w:t>250</w:t>
            </w:r>
          </w:p>
        </w:tc>
        <w:tc>
          <w:tcPr>
            <w:tcW w:w="1170" w:type="dxa"/>
            <w:vAlign w:val="bottom"/>
          </w:tcPr>
          <w:p w:rsidR="004843DB" w:rsidRPr="0062582F" w:rsidRDefault="004843DB" w:rsidP="004843DB">
            <w:pPr>
              <w:pStyle w:val="TableofFigures"/>
            </w:pPr>
            <w:r w:rsidRPr="0062582F">
              <w:t>210</w:t>
            </w:r>
          </w:p>
        </w:tc>
      </w:tr>
      <w:tr w:rsidR="004843DB" w:rsidRPr="0062582F" w:rsidTr="004843DB">
        <w:trPr>
          <w:cantSplit/>
          <w:trHeight w:val="20"/>
        </w:trPr>
        <w:tc>
          <w:tcPr>
            <w:tcW w:w="5895" w:type="dxa"/>
            <w:shd w:val="clear" w:color="auto" w:fill="auto"/>
            <w:vAlign w:val="bottom"/>
          </w:tcPr>
          <w:p w:rsidR="004843DB" w:rsidRPr="0062582F" w:rsidRDefault="004843DB" w:rsidP="004843DB">
            <w:pPr>
              <w:pStyle w:val="Tabletext"/>
            </w:pPr>
            <w:r w:rsidRPr="0062582F">
              <w:t>Share of an associate</w:t>
            </w:r>
            <w:r w:rsidR="005A4BB0">
              <w:t>’</w:t>
            </w:r>
            <w:r w:rsidRPr="0062582F">
              <w:t xml:space="preserve">s contingent liabilities </w:t>
            </w:r>
            <w:r w:rsidRPr="0062582F">
              <w:rPr>
                <w:vertAlign w:val="superscript"/>
              </w:rPr>
              <w:t>(iii)</w:t>
            </w:r>
          </w:p>
        </w:tc>
        <w:tc>
          <w:tcPr>
            <w:tcW w:w="1170" w:type="dxa"/>
            <w:shd w:val="clear" w:color="auto" w:fill="D9D9D9"/>
            <w:vAlign w:val="bottom"/>
          </w:tcPr>
          <w:p w:rsidR="004843DB" w:rsidRPr="0062582F" w:rsidRDefault="004843DB" w:rsidP="004843DB">
            <w:pPr>
              <w:pStyle w:val="TableofFigures"/>
            </w:pPr>
            <w:r w:rsidRPr="0062582F">
              <w:t>..</w:t>
            </w:r>
          </w:p>
        </w:tc>
        <w:tc>
          <w:tcPr>
            <w:tcW w:w="1170" w:type="dxa"/>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5895" w:type="dxa"/>
            <w:shd w:val="clear" w:color="auto" w:fill="auto"/>
            <w:vAlign w:val="bottom"/>
          </w:tcPr>
          <w:p w:rsidR="004843DB" w:rsidRPr="0062582F" w:rsidRDefault="004843DB" w:rsidP="004843DB">
            <w:pPr>
              <w:pStyle w:val="Tabletext"/>
            </w:pPr>
            <w:r w:rsidRPr="0062582F">
              <w:t>Share of a joint ventures</w:t>
            </w:r>
            <w:r w:rsidR="005A4BB0">
              <w:t>’</w:t>
            </w:r>
            <w:r w:rsidRPr="0062582F">
              <w:t xml:space="preserve"> contingent liabilities</w:t>
            </w:r>
          </w:p>
        </w:tc>
        <w:tc>
          <w:tcPr>
            <w:tcW w:w="1170" w:type="dxa"/>
            <w:shd w:val="clear" w:color="auto" w:fill="D9D9D9"/>
            <w:vAlign w:val="bottom"/>
          </w:tcPr>
          <w:p w:rsidR="004843DB" w:rsidRPr="0062582F" w:rsidRDefault="004843DB" w:rsidP="004843DB">
            <w:pPr>
              <w:pStyle w:val="TableofFigures"/>
            </w:pPr>
            <w:r w:rsidRPr="0062582F">
              <w:t>..</w:t>
            </w:r>
          </w:p>
        </w:tc>
        <w:tc>
          <w:tcPr>
            <w:tcW w:w="1170" w:type="dxa"/>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5895" w:type="dxa"/>
            <w:tcBorders>
              <w:bottom w:val="single" w:sz="6" w:space="0" w:color="auto"/>
            </w:tcBorders>
            <w:shd w:val="clear" w:color="auto" w:fill="auto"/>
            <w:vAlign w:val="bottom"/>
          </w:tcPr>
          <w:p w:rsidR="004843DB" w:rsidRPr="0062582F" w:rsidRDefault="004843DB" w:rsidP="004843DB">
            <w:pPr>
              <w:pStyle w:val="Tabletext"/>
            </w:pPr>
            <w:r w:rsidRPr="0062582F">
              <w:t xml:space="preserve">Guarantees for loans to other entities </w:t>
            </w:r>
            <w:r w:rsidRPr="0062582F">
              <w:rPr>
                <w:vertAlign w:val="superscript"/>
              </w:rPr>
              <w:t>(iv)</w:t>
            </w:r>
          </w:p>
        </w:tc>
        <w:tc>
          <w:tcPr>
            <w:tcW w:w="1170" w:type="dxa"/>
            <w:tcBorders>
              <w:bottom w:val="single" w:sz="6" w:space="0" w:color="auto"/>
            </w:tcBorders>
            <w:shd w:val="clear" w:color="auto" w:fill="D9D9D9"/>
            <w:vAlign w:val="bottom"/>
          </w:tcPr>
          <w:p w:rsidR="004843DB" w:rsidRPr="0062582F" w:rsidRDefault="004843DB" w:rsidP="004843DB">
            <w:pPr>
              <w:pStyle w:val="TableofFigures"/>
            </w:pPr>
            <w:r w:rsidRPr="0062582F">
              <w:t>200</w:t>
            </w:r>
          </w:p>
        </w:tc>
        <w:tc>
          <w:tcPr>
            <w:tcW w:w="1170" w:type="dxa"/>
            <w:tcBorders>
              <w:bottom w:val="single" w:sz="6" w:space="0" w:color="auto"/>
            </w:tcBorders>
            <w:vAlign w:val="bottom"/>
          </w:tcPr>
          <w:p w:rsidR="004843DB" w:rsidRPr="0062582F" w:rsidRDefault="004843DB" w:rsidP="004843DB">
            <w:pPr>
              <w:pStyle w:val="TableofFigures"/>
            </w:pPr>
            <w:r w:rsidRPr="0062582F">
              <w:t>200</w:t>
            </w:r>
          </w:p>
        </w:tc>
      </w:tr>
      <w:tr w:rsidR="004843DB" w:rsidRPr="0062582F" w:rsidTr="004843DB">
        <w:trPr>
          <w:cantSplit/>
          <w:trHeight w:val="20"/>
        </w:trPr>
        <w:tc>
          <w:tcPr>
            <w:tcW w:w="5895" w:type="dxa"/>
            <w:tcBorders>
              <w:top w:val="single" w:sz="6" w:space="0" w:color="auto"/>
              <w:bottom w:val="single" w:sz="6" w:space="0" w:color="auto"/>
            </w:tcBorders>
            <w:shd w:val="clear" w:color="auto" w:fill="auto"/>
            <w:vAlign w:val="bottom"/>
          </w:tcPr>
          <w:p w:rsidR="004843DB" w:rsidRPr="0062582F" w:rsidRDefault="004843DB" w:rsidP="004843DB">
            <w:pPr>
              <w:pStyle w:val="Tabletext"/>
            </w:pPr>
          </w:p>
        </w:tc>
        <w:tc>
          <w:tcPr>
            <w:tcW w:w="1170" w:type="dxa"/>
            <w:tcBorders>
              <w:top w:val="single" w:sz="6" w:space="0" w:color="auto"/>
              <w:bottom w:val="single" w:sz="6" w:space="0" w:color="auto"/>
            </w:tcBorders>
            <w:shd w:val="clear" w:color="auto" w:fill="D9D9D9"/>
            <w:vAlign w:val="bottom"/>
          </w:tcPr>
          <w:p w:rsidR="004843DB" w:rsidRPr="0062582F" w:rsidRDefault="004843DB" w:rsidP="004843DB">
            <w:pPr>
              <w:pStyle w:val="TableofFigures"/>
              <w:rPr>
                <w:b/>
              </w:rPr>
            </w:pPr>
            <w:r w:rsidRPr="0062582F">
              <w:rPr>
                <w:b/>
              </w:rPr>
              <w:t>450</w:t>
            </w:r>
          </w:p>
        </w:tc>
        <w:tc>
          <w:tcPr>
            <w:tcW w:w="1170" w:type="dxa"/>
            <w:tcBorders>
              <w:top w:val="single" w:sz="6" w:space="0" w:color="auto"/>
              <w:bottom w:val="single" w:sz="6" w:space="0" w:color="auto"/>
            </w:tcBorders>
            <w:vAlign w:val="bottom"/>
          </w:tcPr>
          <w:p w:rsidR="004843DB" w:rsidRPr="0062582F" w:rsidRDefault="004843DB" w:rsidP="004843DB">
            <w:pPr>
              <w:pStyle w:val="TableofFigures"/>
              <w:rPr>
                <w:b/>
              </w:rPr>
            </w:pPr>
            <w:r w:rsidRPr="0062582F">
              <w:rPr>
                <w:b/>
              </w:rPr>
              <w:t>410</w:t>
            </w:r>
          </w:p>
        </w:tc>
      </w:tr>
      <w:tr w:rsidR="004843DB" w:rsidRPr="0062582F" w:rsidTr="004843DB">
        <w:trPr>
          <w:cantSplit/>
          <w:trHeight w:val="20"/>
        </w:trPr>
        <w:tc>
          <w:tcPr>
            <w:tcW w:w="5895" w:type="dxa"/>
            <w:tcBorders>
              <w:top w:val="single" w:sz="6" w:space="0" w:color="auto"/>
              <w:bottom w:val="single" w:sz="12" w:space="0" w:color="auto"/>
            </w:tcBorders>
            <w:shd w:val="clear" w:color="auto" w:fill="auto"/>
            <w:vAlign w:val="bottom"/>
          </w:tcPr>
          <w:p w:rsidR="004843DB" w:rsidRPr="0062582F" w:rsidRDefault="004843DB" w:rsidP="004843DB">
            <w:pPr>
              <w:pStyle w:val="Tabletext"/>
            </w:pPr>
            <w:r w:rsidRPr="0062582F">
              <w:t xml:space="preserve">The Department is severally liable for all/part of the liabilities of an associate, </w:t>
            </w:r>
            <w:r w:rsidRPr="0062582F">
              <w:rPr>
                <w:color w:val="0000FF"/>
              </w:rPr>
              <w:t>[name]</w:t>
            </w:r>
            <w:r w:rsidRPr="0062582F">
              <w:rPr>
                <w:vertAlign w:val="superscript"/>
              </w:rPr>
              <w:t xml:space="preserve"> (v)</w:t>
            </w:r>
          </w:p>
        </w:tc>
        <w:tc>
          <w:tcPr>
            <w:tcW w:w="1170" w:type="dxa"/>
            <w:tcBorders>
              <w:top w:val="single" w:sz="6" w:space="0" w:color="auto"/>
              <w:bottom w:val="single" w:sz="12" w:space="0" w:color="auto"/>
            </w:tcBorders>
            <w:shd w:val="clear" w:color="auto" w:fill="D9D9D9"/>
            <w:vAlign w:val="bottom"/>
          </w:tcPr>
          <w:p w:rsidR="004843DB" w:rsidRPr="0062582F" w:rsidRDefault="004843DB" w:rsidP="004843DB">
            <w:pPr>
              <w:pStyle w:val="TableofFigures"/>
            </w:pPr>
          </w:p>
        </w:tc>
        <w:tc>
          <w:tcPr>
            <w:tcW w:w="1170" w:type="dxa"/>
            <w:tcBorders>
              <w:top w:val="single" w:sz="6" w:space="0" w:color="auto"/>
              <w:bottom w:val="single" w:sz="12" w:space="0" w:color="auto"/>
            </w:tcBorders>
            <w:vAlign w:val="bottom"/>
          </w:tcPr>
          <w:p w:rsidR="004843DB" w:rsidRPr="0062582F" w:rsidRDefault="004843DB" w:rsidP="004843DB">
            <w:pPr>
              <w:pStyle w:val="TableofFigures"/>
            </w:pPr>
          </w:p>
        </w:tc>
      </w:tr>
    </w:tbl>
    <w:p w:rsidR="004843DB" w:rsidRPr="0062582F" w:rsidRDefault="004843DB" w:rsidP="004843DB">
      <w:pPr>
        <w:pStyle w:val="Notes"/>
      </w:pPr>
      <w:r w:rsidRPr="0062582F">
        <w:t>Notes:</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t>AASB 137.86(b)</w:t>
      </w:r>
    </w:p>
    <w:p w:rsidR="004843DB" w:rsidRPr="0062582F" w:rsidRDefault="004843DB" w:rsidP="004843DB">
      <w:pPr>
        <w:pStyle w:val="Notes"/>
      </w:pPr>
      <w:r w:rsidRPr="0062582F">
        <w:br w:type="column"/>
        <w:t>(i)</w:t>
      </w:r>
      <w:r w:rsidRPr="0062582F">
        <w:tab/>
        <w:t>The Department has a claim outstanding against a supplier for the supply of faulty products. Based on negotiations to date management believe that it may be possible to recover this amount.</w:t>
      </w:r>
    </w:p>
    <w:p w:rsidR="004843DB" w:rsidRPr="0062582F" w:rsidRDefault="004843DB" w:rsidP="004843DB">
      <w:pPr>
        <w:pStyle w:val="Notes"/>
      </w:pPr>
      <w:r w:rsidRPr="0062582F">
        <w:t>(ii)</w:t>
      </w:r>
      <w:r w:rsidRPr="0062582F">
        <w:tab/>
        <w:t>Claims for damages were lodged during the year against the Department and certain staff in relation to alleged non</w:t>
      </w:r>
      <w:r w:rsidR="005A4BB0">
        <w:noBreakHyphen/>
      </w:r>
      <w:r w:rsidRPr="0062582F">
        <w:t>performance under a technology contract. The Department has disclaimed liability and is defending the action.</w:t>
      </w:r>
    </w:p>
    <w:p w:rsidR="004843DB" w:rsidRPr="0062582F" w:rsidRDefault="004843DB" w:rsidP="004843DB">
      <w:pPr>
        <w:pStyle w:val="Notes"/>
      </w:pPr>
      <w:r w:rsidRPr="0062582F">
        <w:t>(iii)</w:t>
      </w:r>
      <w:r w:rsidRPr="0062582F">
        <w:tab/>
        <w:t>The extent to which an outflow of funds will be required is dependent on the future operations of the associate being more or less favourable than currently expected.</w:t>
      </w:r>
    </w:p>
    <w:p w:rsidR="004843DB" w:rsidRPr="0062582F" w:rsidRDefault="004843DB" w:rsidP="004843DB">
      <w:pPr>
        <w:pStyle w:val="Notes"/>
      </w:pPr>
      <w:r w:rsidRPr="0062582F">
        <w:t>(iv)</w:t>
      </w:r>
      <w:r w:rsidRPr="0062582F">
        <w:tab/>
        <w:t>The amount disclosed for financial guarantee in this note is the nominal amount of the underlying loan that is guaranteed by the Department, not the fair value of the financial guarantee. The Department has reviewed its financial guarantees and determined that there is no material liability to be recognised for financial guarantee contracts at 30 June 2016.</w:t>
      </w:r>
    </w:p>
    <w:p w:rsidR="004843DB" w:rsidRPr="0062582F" w:rsidRDefault="004843DB" w:rsidP="004843DB">
      <w:pPr>
        <w:pStyle w:val="Notes"/>
      </w:pPr>
      <w:r w:rsidRPr="0062582F">
        <w:t>(v)</w:t>
      </w:r>
      <w:r w:rsidRPr="0062582F">
        <w:tab/>
        <w:t>The Department</w:t>
      </w:r>
      <w:r w:rsidR="005A4BB0">
        <w:t>’</w:t>
      </w:r>
      <w:r w:rsidRPr="0062582F">
        <w:t xml:space="preserve">s joint and several liabilities for the liabilities of </w:t>
      </w:r>
      <w:r w:rsidRPr="0062582F">
        <w:rPr>
          <w:iCs w:val="0"/>
          <w:color w:val="0000FF"/>
        </w:rPr>
        <w:t xml:space="preserve">[name] </w:t>
      </w:r>
      <w:r w:rsidRPr="0062582F">
        <w:t xml:space="preserve">will only be called upon in the event of default by </w:t>
      </w:r>
      <w:r w:rsidRPr="0062582F">
        <w:rPr>
          <w:iCs w:val="0"/>
          <w:color w:val="0000FF"/>
        </w:rPr>
        <w:t>[name]</w:t>
      </w:r>
      <w:r w:rsidRPr="0062582F">
        <w:t xml:space="preserve">. The term of this arrangement is indefinite. The amount disclosed as a contingent liability is the aggregate liabilities of </w:t>
      </w:r>
      <w:r w:rsidRPr="0062582F">
        <w:rPr>
          <w:iCs w:val="0"/>
          <w:color w:val="0000FF"/>
        </w:rPr>
        <w:t>[name]</w:t>
      </w:r>
      <w:r w:rsidRPr="0062582F">
        <w:rPr>
          <w:vertAlign w:val="superscript"/>
        </w:rPr>
        <w:t xml:space="preserve"> </w:t>
      </w:r>
      <w:r w:rsidRPr="0062582F">
        <w:t xml:space="preserve">as at 30 June 2016. The extent to which an outflow of funds will be required is dependent on the future operations of </w:t>
      </w:r>
      <w:r w:rsidRPr="0062582F">
        <w:rPr>
          <w:iCs w:val="0"/>
          <w:color w:val="0000FF"/>
        </w:rPr>
        <w:t>[name]</w:t>
      </w:r>
      <w:r w:rsidRPr="0062582F">
        <w:rPr>
          <w:vertAlign w:val="superscript"/>
        </w:rPr>
        <w:t xml:space="preserve"> </w:t>
      </w:r>
      <w:r w:rsidRPr="0062582F">
        <w:t xml:space="preserve">being more or less favourable than currently expected. </w:t>
      </w:r>
    </w:p>
    <w:p w:rsidR="004843DB" w:rsidRPr="0062582F" w:rsidRDefault="004843DB" w:rsidP="004843DB">
      <w:pPr>
        <w:spacing w:line="240" w:lineRule="atLeast"/>
      </w:pPr>
      <w:r w:rsidRPr="0062582F">
        <w:br w:type="page"/>
      </w:r>
    </w:p>
    <w:p w:rsidR="004843DB" w:rsidRPr="0062582F" w:rsidRDefault="004843DB" w:rsidP="004843DB">
      <w:pPr>
        <w:ind w:left="445" w:hanging="445"/>
      </w:pPr>
    </w:p>
    <w:p w:rsidR="004843DB" w:rsidRPr="0062582F" w:rsidRDefault="004843DB" w:rsidP="004843DB">
      <w:pPr>
        <w:pStyle w:val="SmallLine"/>
      </w:pPr>
      <w:bookmarkStart w:id="563" w:name="_Toc163448892"/>
    </w:p>
    <w:p w:rsidR="004843DB" w:rsidRPr="0062582F" w:rsidRDefault="004843DB" w:rsidP="004843DB">
      <w:pPr>
        <w:pStyle w:val="CommentaryHeading"/>
      </w:pPr>
      <w:r w:rsidRPr="0062582F">
        <w:t xml:space="preserve">Commentary – </w:t>
      </w:r>
      <w:bookmarkEnd w:id="563"/>
      <w:r w:rsidRPr="0062582F">
        <w:t>Contingent assets and contingent liabilities</w:t>
      </w:r>
    </w:p>
    <w:p w:rsidR="004843DB" w:rsidRPr="0062582F" w:rsidRDefault="004843DB" w:rsidP="004843DB">
      <w:pPr>
        <w:pStyle w:val="SmallLineBlue"/>
      </w:pPr>
      <w:bookmarkStart w:id="564" w:name="_Toc163448893"/>
    </w:p>
    <w:p w:rsidR="004843DB" w:rsidRPr="0062582F" w:rsidRDefault="004843DB" w:rsidP="004843DB">
      <w:pPr>
        <w:pStyle w:val="CommentaryHeading1"/>
        <w:pBdr>
          <w:top w:val="none" w:sz="0" w:space="0" w:color="auto"/>
          <w:bottom w:val="none" w:sz="0" w:space="0" w:color="auto"/>
        </w:pBdr>
      </w:pPr>
      <w:r w:rsidRPr="0062582F">
        <w:t>Contingent assets</w:t>
      </w:r>
      <w:bookmarkEnd w:id="564"/>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137.89, 91</w:t>
      </w:r>
    </w:p>
    <w:p w:rsidR="004843DB" w:rsidRPr="0062582F" w:rsidRDefault="004843DB" w:rsidP="004843DB">
      <w:pPr>
        <w:pStyle w:val="CommentaryText"/>
        <w:pBdr>
          <w:top w:val="none" w:sz="0" w:space="0" w:color="auto"/>
          <w:bottom w:val="none" w:sz="0" w:space="0" w:color="auto"/>
        </w:pBdr>
      </w:pPr>
      <w:r w:rsidRPr="0062582F">
        <w:br w:type="column"/>
        <w:t>Where an inflow of economic benefits is probable, an entity shall disclose a brief description of the nature of the contingent assets at the end of the reporting period, and where practicable, an estimate of their financial effect. Where any of this information is not disclosed because it is not practicable to do so, that fact shall be stated.</w:t>
      </w:r>
    </w:p>
    <w:p w:rsidR="004843DB" w:rsidRPr="0062582F" w:rsidRDefault="004843DB" w:rsidP="004843DB">
      <w:pPr>
        <w:pStyle w:val="CommentaryText"/>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137.90</w:t>
      </w:r>
    </w:p>
    <w:p w:rsidR="004843DB" w:rsidRPr="0062582F" w:rsidRDefault="004843DB" w:rsidP="004843DB">
      <w:pPr>
        <w:pStyle w:val="CommentaryText"/>
        <w:pBdr>
          <w:top w:val="none" w:sz="0" w:space="0" w:color="auto"/>
          <w:bottom w:val="none" w:sz="0" w:space="0" w:color="auto"/>
        </w:pBdr>
      </w:pPr>
      <w:r w:rsidRPr="0062582F">
        <w:br w:type="column"/>
        <w:t xml:space="preserve">It is important that disclosures for contingent assets avoid giving misleading indications of the likelihood of income arising. </w:t>
      </w:r>
    </w:p>
    <w:p w:rsidR="004843DB" w:rsidRPr="0062582F" w:rsidRDefault="004843DB" w:rsidP="004843DB">
      <w:pPr>
        <w:pStyle w:val="CommentaryText"/>
        <w:pBdr>
          <w:top w:val="none" w:sz="0" w:space="0" w:color="auto"/>
          <w:bottom w:val="none" w:sz="0" w:space="0" w:color="auto"/>
        </w:pBdr>
      </w:pPr>
      <w:r w:rsidRPr="0062582F">
        <w:t>For the purposes of providing illustrative disclosures that will assist users in preparing financial statements, the disclosures of contingent assets have been illustrated irrespective of whether a situation might give rise to future economic benefits which are considered to be not probable.</w:t>
      </w: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bookmarkStart w:id="565" w:name="_Toc163448894"/>
    </w:p>
    <w:p w:rsidR="004843DB" w:rsidRPr="0062582F" w:rsidRDefault="004843DB" w:rsidP="004843DB">
      <w:pPr>
        <w:pStyle w:val="Reference"/>
        <w:spacing w:before="200"/>
      </w:pPr>
      <w:r w:rsidRPr="0062582F">
        <w:t>AASB 137.92</w:t>
      </w:r>
    </w:p>
    <w:p w:rsidR="004843DB" w:rsidRPr="0062582F" w:rsidRDefault="004843DB" w:rsidP="004843DB">
      <w:pPr>
        <w:pStyle w:val="CommentaryHeading1"/>
        <w:pBdr>
          <w:top w:val="none" w:sz="0" w:space="0" w:color="auto"/>
          <w:bottom w:val="none" w:sz="0" w:space="0" w:color="auto"/>
        </w:pBdr>
      </w:pPr>
      <w:r w:rsidRPr="0062582F">
        <w:br w:type="column"/>
        <w:t>Exemptions</w:t>
      </w:r>
      <w:bookmarkEnd w:id="565"/>
    </w:p>
    <w:p w:rsidR="004843DB" w:rsidRPr="0062582F" w:rsidRDefault="004843DB" w:rsidP="004843DB">
      <w:pPr>
        <w:pStyle w:val="CommentaryText"/>
        <w:pBdr>
          <w:top w:val="none" w:sz="0" w:space="0" w:color="auto"/>
          <w:bottom w:val="none" w:sz="0" w:space="0" w:color="auto"/>
        </w:pBdr>
      </w:pPr>
      <w:r w:rsidRPr="0062582F">
        <w:t>In extremely rare cases, disclosure of some or all of the information illustrated above would be expected to seriously prejudice the position of the entity in a dispute with other parties on the subject matter of the contingent liability or contingent asset. In such cases, an entity need not disclose the information, but shall disclose the general nature of the dispute, together with the fact that, and reason why, the information has not been disclosed.</w:t>
      </w: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bookmarkStart w:id="566" w:name="_Toc163448895"/>
    </w:p>
    <w:p w:rsidR="004843DB" w:rsidRPr="0062582F" w:rsidRDefault="004843DB" w:rsidP="004843DB">
      <w:pPr>
        <w:pStyle w:val="Reference"/>
        <w:spacing w:before="200"/>
      </w:pPr>
      <w:r w:rsidRPr="0062582F">
        <w:t>AASB 137.88</w:t>
      </w:r>
    </w:p>
    <w:p w:rsidR="004843DB" w:rsidRPr="0062582F" w:rsidRDefault="004843DB" w:rsidP="004843DB">
      <w:pPr>
        <w:pStyle w:val="CommentaryHeading1"/>
        <w:pBdr>
          <w:top w:val="none" w:sz="0" w:space="0" w:color="auto"/>
          <w:bottom w:val="none" w:sz="0" w:space="0" w:color="auto"/>
        </w:pBdr>
      </w:pPr>
      <w:r w:rsidRPr="0062582F">
        <w:br w:type="column"/>
        <w:t>Provisions</w:t>
      </w:r>
      <w:bookmarkEnd w:id="566"/>
    </w:p>
    <w:p w:rsidR="004843DB" w:rsidRPr="0062582F" w:rsidRDefault="004843DB" w:rsidP="004843DB">
      <w:pPr>
        <w:pStyle w:val="CommentaryText"/>
        <w:pBdr>
          <w:top w:val="none" w:sz="0" w:space="0" w:color="auto"/>
          <w:bottom w:val="none" w:sz="0" w:space="0" w:color="auto"/>
        </w:pBdr>
      </w:pPr>
      <w:r w:rsidRPr="0062582F">
        <w:t xml:space="preserve">Where a provision and a contingent liability arise from the same set of circumstances, an entity makes the required disclosures in a way that shows the link between the provision and the contingent liability. </w:t>
      </w:r>
    </w:p>
    <w:p w:rsidR="004843DB" w:rsidRPr="0062582F" w:rsidRDefault="004843DB" w:rsidP="004843DB">
      <w:pPr>
        <w:pStyle w:val="CommentaryHeading1"/>
        <w:pBdr>
          <w:top w:val="none" w:sz="0" w:space="0" w:color="auto"/>
          <w:bottom w:val="none" w:sz="0" w:space="0" w:color="auto"/>
        </w:pBdr>
      </w:pPr>
      <w:bookmarkStart w:id="567" w:name="_Toc163448897"/>
      <w:r w:rsidRPr="0062582F">
        <w:t>Contingent liabilities</w:t>
      </w:r>
      <w:bookmarkEnd w:id="567"/>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137.86</w:t>
      </w:r>
    </w:p>
    <w:p w:rsidR="004843DB" w:rsidRPr="0062582F" w:rsidRDefault="004843DB" w:rsidP="004843DB">
      <w:pPr>
        <w:pStyle w:val="CommentaryText"/>
        <w:pBdr>
          <w:top w:val="none" w:sz="0" w:space="0" w:color="auto"/>
          <w:bottom w:val="none" w:sz="0" w:space="0" w:color="auto"/>
        </w:pBdr>
      </w:pPr>
      <w:r w:rsidRPr="0062582F">
        <w:br w:type="column"/>
        <w:t xml:space="preserve">Unless the possibility of any outflow in settlement is remote, an entity shall disclose for each class of contingent liability at the end of the reporting period a brief description of the nature of the contingent liability and, where practicable: </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an estimate of its financial effect; </w:t>
      </w:r>
    </w:p>
    <w:p w:rsidR="004843DB" w:rsidRPr="0062582F" w:rsidRDefault="004843DB" w:rsidP="004843DB">
      <w:pPr>
        <w:pStyle w:val="CommentaryTextIndent"/>
        <w:pBdr>
          <w:top w:val="none" w:sz="0" w:space="0" w:color="auto"/>
          <w:bottom w:val="none" w:sz="0" w:space="0" w:color="auto"/>
        </w:pBdr>
      </w:pPr>
      <w:r w:rsidRPr="0062582F">
        <w:t>(b)</w:t>
      </w:r>
      <w:r w:rsidRPr="0062582F">
        <w:tab/>
        <w:t>an indication of the uncertainties relating to the amount or timing of any outflow; and</w:t>
      </w:r>
    </w:p>
    <w:p w:rsidR="004843DB" w:rsidRPr="0062582F" w:rsidRDefault="004843DB" w:rsidP="004843DB">
      <w:pPr>
        <w:pStyle w:val="CommentaryTextIndent"/>
        <w:pBdr>
          <w:top w:val="none" w:sz="0" w:space="0" w:color="auto"/>
          <w:bottom w:val="none" w:sz="0" w:space="0" w:color="auto"/>
        </w:pBdr>
      </w:pPr>
      <w:r w:rsidRPr="0062582F">
        <w:t>(c)</w:t>
      </w:r>
      <w:r w:rsidRPr="0062582F">
        <w:tab/>
        <w:t xml:space="preserve">the possibility of any reimbursement. </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137.91</w:t>
      </w:r>
    </w:p>
    <w:p w:rsidR="004843DB" w:rsidRPr="0062582F" w:rsidRDefault="004843DB" w:rsidP="004843DB">
      <w:pPr>
        <w:pStyle w:val="CommentaryText"/>
        <w:pBdr>
          <w:top w:val="none" w:sz="0" w:space="0" w:color="auto"/>
          <w:bottom w:val="none" w:sz="0" w:space="0" w:color="auto"/>
        </w:pBdr>
      </w:pPr>
      <w:r w:rsidRPr="0062582F">
        <w:br w:type="column"/>
        <w:t>Where any of the information above is not disclosed because it is not practicable to do so, that fact shall be stated.</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137.87</w:t>
      </w:r>
    </w:p>
    <w:p w:rsidR="004843DB" w:rsidRPr="0062582F" w:rsidRDefault="004843DB" w:rsidP="004843DB">
      <w:pPr>
        <w:pStyle w:val="CommentaryText"/>
        <w:pBdr>
          <w:top w:val="none" w:sz="0" w:space="0" w:color="auto"/>
          <w:bottom w:val="none" w:sz="0" w:space="0" w:color="auto"/>
        </w:pBdr>
      </w:pPr>
      <w:r w:rsidRPr="0062582F">
        <w:br w:type="column"/>
        <w:t xml:space="preserve">In determining which contingent liabilities may be aggregated to form a class, it is necessary to consider whether the nature of the items is sufficiently similar for a single statement about them to fulfil the requirements of AASB 137.86(a) and (b) above. </w:t>
      </w:r>
    </w:p>
    <w:p w:rsidR="004843DB" w:rsidRPr="0062582F" w:rsidRDefault="004843DB" w:rsidP="004843DB">
      <w:pPr>
        <w:pStyle w:val="CommentaryText"/>
        <w:pBdr>
          <w:top w:val="none" w:sz="0" w:space="0" w:color="auto"/>
          <w:bottom w:val="none" w:sz="0" w:space="0" w:color="auto"/>
        </w:pBdr>
      </w:pPr>
      <w:r w:rsidRPr="0062582F">
        <w:t>For the purposes of providing illustrative disclosures that will assist users in preparing financial statements, the disclosures of contingent liabilities have been illustrated irrespective of whether a situation might give rise to future economic sacrifices, which are considered to be remote.</w:t>
      </w:r>
    </w:p>
    <w:p w:rsidR="004843DB" w:rsidRPr="0062582F" w:rsidRDefault="004843DB" w:rsidP="004843DB">
      <w:pPr>
        <w:pStyle w:val="CommentaryHeading1"/>
        <w:pBdr>
          <w:top w:val="none" w:sz="0" w:space="0" w:color="auto"/>
        </w:pBdr>
      </w:pPr>
      <w:r w:rsidRPr="0062582F">
        <w:t>Financial guarantee</w:t>
      </w:r>
    </w:p>
    <w:p w:rsidR="004843DB" w:rsidRPr="0062582F" w:rsidRDefault="004843DB" w:rsidP="004843DB">
      <w:pPr>
        <w:pStyle w:val="CommentaryText"/>
        <w:pBdr>
          <w:top w:val="none" w:sz="0" w:space="0" w:color="auto"/>
        </w:pBdr>
        <w:rPr>
          <w:i/>
          <w:iCs/>
        </w:rPr>
      </w:pPr>
      <w:r w:rsidRPr="0062582F">
        <w:t>Entities are encouraged to disclose the underlying nominal amounts of any loan, for which it provided financial guarantees, in this note under contingent liabilities.</w:t>
      </w:r>
    </w:p>
    <w:p w:rsidR="004843DB" w:rsidRPr="0062582F" w:rsidRDefault="004843DB" w:rsidP="004843DB">
      <w:pPr>
        <w:pStyle w:val="SmallLine"/>
      </w:pPr>
    </w:p>
    <w:p w:rsidR="004843DB" w:rsidRPr="0062582F" w:rsidRDefault="004843DB" w:rsidP="004843DB">
      <w:pPr>
        <w:pStyle w:val="SmallLine"/>
      </w:pPr>
      <w:r w:rsidRPr="0062582F">
        <w:br w:type="column"/>
      </w:r>
    </w:p>
    <w:p w:rsidR="004843DB" w:rsidRPr="0062582F" w:rsidRDefault="004843DB" w:rsidP="004843DB">
      <w:pPr>
        <w:pStyle w:val="Reference"/>
      </w:pPr>
    </w:p>
    <w:p w:rsidR="004843DB" w:rsidRPr="0062582F" w:rsidRDefault="004843DB" w:rsidP="004843DB">
      <w:pPr>
        <w:pStyle w:val="NoteHeading"/>
      </w:pPr>
      <w:r w:rsidRPr="0062582F">
        <w:br w:type="column"/>
      </w:r>
      <w:bookmarkStart w:id="568" w:name="_Toc332019491"/>
      <w:bookmarkStart w:id="569" w:name="_Toc366843377"/>
      <w:bookmarkStart w:id="570" w:name="_Toc448157212"/>
      <w:r w:rsidRPr="0062582F">
        <w:t>Note 33.</w:t>
      </w:r>
      <w:r w:rsidRPr="0062582F">
        <w:tab/>
        <w:t>Financial instruments</w:t>
      </w:r>
      <w:bookmarkEnd w:id="568"/>
      <w:bookmarkEnd w:id="569"/>
      <w:bookmarkEnd w:id="570"/>
    </w:p>
    <w:p w:rsidR="004843DB" w:rsidRPr="0062582F" w:rsidRDefault="004843DB" w:rsidP="004843DB">
      <w:pPr>
        <w:pStyle w:val="CommentaryHeading"/>
      </w:pPr>
      <w:r w:rsidRPr="0062582F">
        <w:t>Commentary – Financial instruments</w:t>
      </w:r>
    </w:p>
    <w:p w:rsidR="004843DB" w:rsidRPr="0062582F"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7.7</w:t>
      </w:r>
    </w:p>
    <w:p w:rsidR="004843DB" w:rsidRPr="0062582F" w:rsidRDefault="004843DB" w:rsidP="004843DB">
      <w:pPr>
        <w:pStyle w:val="CommentaryHeading1"/>
        <w:pBdr>
          <w:top w:val="none" w:sz="0" w:space="0" w:color="auto"/>
          <w:bottom w:val="none" w:sz="0" w:space="0" w:color="auto"/>
        </w:pBdr>
      </w:pPr>
      <w:r w:rsidRPr="0062582F">
        <w:br w:type="column"/>
        <w:t>Introduction to financial instruments</w:t>
      </w:r>
    </w:p>
    <w:p w:rsidR="004843DB" w:rsidRPr="0062582F" w:rsidRDefault="004843DB" w:rsidP="004843DB">
      <w:pPr>
        <w:pStyle w:val="CommentaryText"/>
        <w:pBdr>
          <w:top w:val="none" w:sz="0" w:space="0" w:color="auto"/>
          <w:bottom w:val="none" w:sz="0" w:space="0" w:color="auto"/>
        </w:pBdr>
      </w:pPr>
      <w:r w:rsidRPr="0062582F">
        <w:t>An entity shall disclose information that enables users of its financial statements to evaluate the significance of financial instruments for its financial position and performance.</w:t>
      </w:r>
    </w:p>
    <w:p w:rsidR="004843DB" w:rsidRPr="0062582F" w:rsidRDefault="004843DB" w:rsidP="004843DB">
      <w:pPr>
        <w:pStyle w:val="CommentaryText"/>
        <w:pBdr>
          <w:top w:val="none" w:sz="0" w:space="0" w:color="auto"/>
          <w:bottom w:val="none" w:sz="0" w:space="0" w:color="auto"/>
        </w:pBdr>
      </w:pPr>
      <w:r w:rsidRPr="0062582F">
        <w:t xml:space="preserve">AASB 7 requires that an entity discloses information used by </w:t>
      </w:r>
      <w:r w:rsidRPr="0062582F">
        <w:rPr>
          <w:b/>
        </w:rPr>
        <w:t>key management personnel</w:t>
      </w:r>
      <w:r w:rsidRPr="0062582F">
        <w:t xml:space="preserve"> to measure and manage risk. An entity shall decide, in the light of its circumstances, how much detail it provides to satisfy the requirements of this Standard, how much emphasis it places on different aspects of the requirements and how it aggregates information to display the overall picture without combining information with different characteristics.</w:t>
      </w:r>
    </w:p>
    <w:p w:rsidR="004843DB" w:rsidRPr="0062582F" w:rsidRDefault="004843DB" w:rsidP="004843DB">
      <w:pPr>
        <w:pStyle w:val="CommentaryText"/>
        <w:pBdr>
          <w:top w:val="none" w:sz="0" w:space="0" w:color="auto"/>
          <w:bottom w:val="none" w:sz="0" w:space="0" w:color="auto"/>
        </w:pBdr>
      </w:pPr>
      <w:r w:rsidRPr="0062582F">
        <w:t xml:space="preserve">The minimum disclosures set out in this note of the Model are provided by way of example only. They do not necessarily represent the only disclosures, which may be appropriate for particular financial instruments and do not cover all financial instruments that may be used in practice, or importantly, reflect the manner in which an entity reports internally to its key management personnel. </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Text"/>
        <w:pBdr>
          <w:top w:val="none" w:sz="0" w:space="0" w:color="auto"/>
          <w:bottom w:val="none" w:sz="0" w:space="0" w:color="auto"/>
        </w:pBdr>
        <w:rPr>
          <w:b/>
          <w:color w:val="C00000"/>
        </w:rPr>
      </w:pPr>
      <w:r w:rsidRPr="0062582F">
        <w:br w:type="column"/>
      </w:r>
      <w:r w:rsidRPr="0062582F">
        <w:rPr>
          <w:b/>
          <w:color w:val="C00000"/>
        </w:rPr>
        <w:t xml:space="preserve">Entities should exercise judgement in determining their own disclosure on financial instruments, and use the Model </w:t>
      </w:r>
      <w:r w:rsidRPr="0062582F">
        <w:rPr>
          <w:b/>
          <w:color w:val="C00000"/>
          <w:u w:val="single"/>
        </w:rPr>
        <w:t>only</w:t>
      </w:r>
      <w:r w:rsidRPr="0062582F">
        <w:rPr>
          <w:b/>
          <w:color w:val="C00000"/>
        </w:rPr>
        <w:t xml:space="preserve"> as a guide to interpreting the disclosure requirements of AASB 7. Some sections and/or tables in Note 33 may not be relevant to all entities and therefore should not be included, e.g. tables with zero balances should be omitted.</w:t>
      </w:r>
    </w:p>
    <w:p w:rsidR="004843DB" w:rsidRPr="0062582F" w:rsidRDefault="004843DB" w:rsidP="004843DB">
      <w:pPr>
        <w:pStyle w:val="CommentaryHeading1"/>
        <w:pBdr>
          <w:top w:val="none" w:sz="0" w:space="0" w:color="auto"/>
          <w:bottom w:val="none" w:sz="0" w:space="0" w:color="auto"/>
        </w:pBdr>
      </w:pPr>
      <w:r w:rsidRPr="0062582F">
        <w:t>Statutory receivables and payables</w:t>
      </w:r>
    </w:p>
    <w:p w:rsidR="004843DB" w:rsidRPr="0062582F" w:rsidRDefault="004843DB" w:rsidP="004843DB">
      <w:pPr>
        <w:pStyle w:val="CommentaryText"/>
        <w:pBdr>
          <w:top w:val="none" w:sz="0" w:space="0" w:color="auto"/>
          <w:bottom w:val="none" w:sz="0" w:space="0" w:color="auto"/>
        </w:pBdr>
        <w:sectPr w:rsidR="004843DB" w:rsidRPr="0062582F" w:rsidSect="00190A01">
          <w:headerReference w:type="even" r:id="rId298"/>
          <w:headerReference w:type="default" r:id="rId299"/>
          <w:footerReference w:type="even" r:id="rId300"/>
          <w:footerReference w:type="default" r:id="rId301"/>
          <w:headerReference w:type="first" r:id="rId302"/>
          <w:footerReference w:type="first" r:id="rId303"/>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132.AG12</w:t>
      </w:r>
    </w:p>
    <w:p w:rsidR="004843DB" w:rsidRPr="0062582F" w:rsidRDefault="004843DB" w:rsidP="004843DB">
      <w:pPr>
        <w:pStyle w:val="CommentaryText"/>
        <w:pBdr>
          <w:top w:val="none" w:sz="0" w:space="0" w:color="auto"/>
          <w:bottom w:val="none" w:sz="0" w:space="0" w:color="auto"/>
        </w:pBdr>
      </w:pPr>
      <w:r w:rsidRPr="0062582F">
        <w:br w:type="column"/>
        <w:t>Financial assets or financial liabilities that are not contractual (such as receivables or payables that arise as a result of statutory requirements), are not financial instruments. Therefore, these financial assets or financial liabilities are not in the scope of AASB 7. However, entities who wish to apply disclosure requirements from AASB 7 to such financial assets or financial liabilities may do so at their own discretion.</w:t>
      </w:r>
    </w:p>
    <w:p w:rsidR="004843DB" w:rsidRPr="0062582F" w:rsidRDefault="004843DB" w:rsidP="004843DB">
      <w:pPr>
        <w:pStyle w:val="CommentaryText"/>
        <w:pBdr>
          <w:top w:val="none" w:sz="0" w:space="0" w:color="auto"/>
          <w:bottom w:val="none" w:sz="0" w:space="0" w:color="auto"/>
        </w:pBdr>
      </w:pPr>
      <w:r w:rsidRPr="0062582F">
        <w:t>For example, a department should exclude all statutory receivables from the Victorian Government including receivable balances related to:</w:t>
      </w:r>
    </w:p>
    <w:p w:rsidR="004843DB" w:rsidRPr="00462FBD" w:rsidRDefault="004843DB" w:rsidP="004843DB">
      <w:pPr>
        <w:pStyle w:val="CommentaryBullet"/>
      </w:pPr>
      <w:r w:rsidRPr="0062582F">
        <w:t xml:space="preserve">the </w:t>
      </w:r>
      <w:r w:rsidRPr="00462FBD">
        <w:t>consolidated fund – State Administration Unit (SAU) SRIMS account codes 45000, 47000 and 48xxx; and</w:t>
      </w:r>
    </w:p>
    <w:p w:rsidR="004843DB" w:rsidRPr="00462FBD" w:rsidRDefault="004843DB" w:rsidP="004843DB">
      <w:pPr>
        <w:pStyle w:val="CommentaryBullet"/>
      </w:pPr>
      <w:r w:rsidRPr="00462FBD">
        <w:t>all appropriated funding.</w:t>
      </w:r>
    </w:p>
    <w:p w:rsidR="004843DB" w:rsidRPr="0062582F" w:rsidRDefault="004843DB" w:rsidP="004843DB">
      <w:pPr>
        <w:pStyle w:val="CommentaryHeading1"/>
        <w:pBdr>
          <w:top w:val="none" w:sz="0" w:space="0" w:color="auto"/>
          <w:bottom w:val="none" w:sz="0" w:space="0" w:color="auto"/>
        </w:pBdr>
      </w:pPr>
      <w:r w:rsidRPr="0062582F">
        <w:t xml:space="preserve">Finance lease liabilities payable </w:t>
      </w:r>
    </w:p>
    <w:p w:rsidR="004843DB" w:rsidRPr="0062582F" w:rsidRDefault="004843DB" w:rsidP="004843DB">
      <w:pPr>
        <w:pStyle w:val="CommentaryHeading1"/>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Bullet"/>
        <w:pBdr>
          <w:bottom w:val="single" w:sz="4" w:space="1" w:color="0000FF"/>
        </w:pBdr>
      </w:pPr>
      <w:r w:rsidRPr="0062582F">
        <w:br w:type="column"/>
      </w:r>
      <w:r w:rsidRPr="0062582F">
        <w:rPr>
          <w:noProof/>
        </w:rPr>
        <w:t>Finance lease liabilities payable include commissioned PPP finance lease liabilities and other non</w:t>
      </w:r>
      <w:r w:rsidR="005A4BB0">
        <w:rPr>
          <w:noProof/>
        </w:rPr>
        <w:noBreakHyphen/>
      </w:r>
      <w:r w:rsidRPr="0062582F">
        <w:rPr>
          <w:noProof/>
        </w:rPr>
        <w:t>PPP related finance leases.</w:t>
      </w:r>
    </w:p>
    <w:p w:rsidR="004843DB" w:rsidRPr="0062582F" w:rsidRDefault="004843DB" w:rsidP="004843DB"/>
    <w:p w:rsidR="004843DB" w:rsidRPr="0062582F" w:rsidRDefault="004843DB" w:rsidP="004843DB">
      <w:pPr>
        <w:pStyle w:val="Reference"/>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w:t>
      </w:r>
      <w:r w:rsidRPr="0062582F">
        <w:rPr>
          <w:lang w:val="en-AU"/>
        </w:rPr>
        <w:t>7.21</w:t>
      </w:r>
    </w:p>
    <w:p w:rsidR="004843DB" w:rsidRPr="0062582F" w:rsidRDefault="004843DB" w:rsidP="004843DB">
      <w:pPr>
        <w:pStyle w:val="NoteHeadingcontinued"/>
      </w:pPr>
      <w:r w:rsidRPr="0062582F">
        <w:br w:type="column"/>
        <w:t>Note 33.</w:t>
      </w:r>
      <w:r w:rsidRPr="0062582F">
        <w:tab/>
        <w:t xml:space="preserve">Financial instruments </w:t>
      </w:r>
      <w:r w:rsidRPr="0062582F">
        <w:rPr>
          <w:i/>
        </w:rPr>
        <w:t>(continued)</w:t>
      </w:r>
    </w:p>
    <w:p w:rsidR="004843DB" w:rsidRPr="0062582F" w:rsidRDefault="004843DB" w:rsidP="004843DB">
      <w:pPr>
        <w:pStyle w:val="Heading5"/>
      </w:pPr>
      <w:r w:rsidRPr="0062582F">
        <w:t>(a)</w:t>
      </w:r>
      <w:r w:rsidRPr="0062582F">
        <w:tab/>
        <w:t>Financial risk management objectives and policies</w:t>
      </w:r>
    </w:p>
    <w:p w:rsidR="004843DB" w:rsidRPr="0062582F" w:rsidRDefault="004843DB" w:rsidP="004843DB">
      <w:r w:rsidRPr="0062582F">
        <w:t>The Department</w:t>
      </w:r>
      <w:r w:rsidR="005A4BB0">
        <w:t>’</w:t>
      </w:r>
      <w:r w:rsidRPr="0062582F">
        <w:t>s principal financial instruments comprise:</w:t>
      </w:r>
    </w:p>
    <w:p w:rsidR="004843DB" w:rsidRPr="0062582F" w:rsidRDefault="004843DB" w:rsidP="004843DB">
      <w:pPr>
        <w:pStyle w:val="Bullet"/>
      </w:pPr>
      <w:r w:rsidRPr="0062582F">
        <w:t>cash and deposits;</w:t>
      </w:r>
    </w:p>
    <w:p w:rsidR="004843DB" w:rsidRPr="0062582F" w:rsidRDefault="004843DB" w:rsidP="004843DB">
      <w:pPr>
        <w:pStyle w:val="Bullet"/>
      </w:pPr>
      <w:r w:rsidRPr="0062582F">
        <w:t>term deposits;</w:t>
      </w:r>
    </w:p>
    <w:p w:rsidR="004843DB" w:rsidRPr="0062582F" w:rsidRDefault="004843DB" w:rsidP="004843DB">
      <w:pPr>
        <w:pStyle w:val="Bullet"/>
      </w:pPr>
      <w:r w:rsidRPr="0062582F">
        <w:t>receivables (excluding statutory receivables);</w:t>
      </w:r>
    </w:p>
    <w:p w:rsidR="004843DB" w:rsidRPr="0062582F" w:rsidRDefault="004843DB" w:rsidP="004843DB">
      <w:pPr>
        <w:pStyle w:val="Bullet"/>
      </w:pPr>
      <w:r w:rsidRPr="0062582F">
        <w:t>investments in equities and managed investment schemes;</w:t>
      </w:r>
    </w:p>
    <w:p w:rsidR="004843DB" w:rsidRPr="0062582F" w:rsidRDefault="004843DB" w:rsidP="004843DB">
      <w:pPr>
        <w:pStyle w:val="Bullet"/>
      </w:pPr>
      <w:r w:rsidRPr="0062582F">
        <w:t>debt securities;</w:t>
      </w:r>
    </w:p>
    <w:p w:rsidR="004843DB" w:rsidRPr="0062582F" w:rsidRDefault="004843DB" w:rsidP="004843DB">
      <w:pPr>
        <w:pStyle w:val="Bullet"/>
      </w:pPr>
      <w:r w:rsidRPr="0062582F">
        <w:t>payables (excluding statutory payables);</w:t>
      </w:r>
    </w:p>
    <w:p w:rsidR="004843DB" w:rsidRPr="0062582F" w:rsidRDefault="004843DB" w:rsidP="004843DB">
      <w:pPr>
        <w:pStyle w:val="Bullet"/>
      </w:pPr>
      <w:r w:rsidRPr="0062582F">
        <w:t>borrowings; and</w:t>
      </w:r>
    </w:p>
    <w:p w:rsidR="004843DB" w:rsidRPr="0062582F" w:rsidRDefault="004843DB" w:rsidP="004843DB">
      <w:pPr>
        <w:pStyle w:val="Bullet"/>
      </w:pPr>
      <w:r w:rsidRPr="0062582F">
        <w:t>finance lease liabilities payable.</w:t>
      </w:r>
    </w:p>
    <w:p w:rsidR="004843DB" w:rsidRPr="0062582F" w:rsidRDefault="004843DB" w:rsidP="004843DB">
      <w:r w:rsidRPr="0062582F">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1 to the financial statements.</w:t>
      </w:r>
    </w:p>
    <w:p w:rsidR="004843DB" w:rsidRPr="0062582F" w:rsidRDefault="004843DB" w:rsidP="004843DB">
      <w:pPr>
        <w:sectPr w:rsidR="004843DB" w:rsidRPr="0062582F" w:rsidSect="004843DB">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7.33(a), (b)</w:t>
      </w:r>
    </w:p>
    <w:p w:rsidR="004843DB" w:rsidRPr="0062582F" w:rsidRDefault="004843DB" w:rsidP="004843DB">
      <w:r w:rsidRPr="0062582F">
        <w:br w:type="column"/>
        <w:t>The main purpose in holding financial instruments is to prudentially manage the Department</w:t>
      </w:r>
      <w:r w:rsidR="005A4BB0">
        <w:t>’</w:t>
      </w:r>
      <w:r w:rsidRPr="0062582F">
        <w:t>s financial risks in the government policy parameters.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7.33(a), (b)</w:t>
      </w:r>
    </w:p>
    <w:p w:rsidR="004843DB" w:rsidRPr="0062582F" w:rsidRDefault="004843DB" w:rsidP="004843DB">
      <w:r w:rsidRPr="0062582F">
        <w:br w:type="column"/>
        <w:t>The Department</w:t>
      </w:r>
      <w:r w:rsidR="005A4BB0">
        <w:t>’</w:t>
      </w:r>
      <w:r w:rsidRPr="0062582F">
        <w:t xml:space="preserve">s main financial risks include credit risk, liquidity risk, interest rate risk, foreign currency risk and equity price risk. The Department manages these financial risks in accordance with its financial risk management policy. </w:t>
      </w:r>
    </w:p>
    <w:p w:rsidR="004843DB" w:rsidRPr="0062582F" w:rsidRDefault="004843DB" w:rsidP="004843DB">
      <w:r w:rsidRPr="0062582F">
        <w:t>The Department uses different methods to measure and manage the different risks to which it is exposed. Primary responsibility for the identification and management of financial risks rests with the financial risk management committee of the Department.</w:t>
      </w:r>
    </w:p>
    <w:p w:rsidR="004843DB" w:rsidRPr="0062582F" w:rsidRDefault="004843DB" w:rsidP="004843DB">
      <w:r w:rsidRPr="0062582F">
        <w:t>Investments in associates or joint ventures are disclosed separately in Note 13.</w:t>
      </w:r>
    </w:p>
    <w:p w:rsidR="004843DB" w:rsidRPr="0062582F" w:rsidRDefault="004843DB" w:rsidP="004843DB">
      <w:pPr>
        <w:spacing w:line="240" w:lineRule="atLeast"/>
      </w:pPr>
      <w:r w:rsidRPr="0062582F">
        <w:br w:type="page"/>
      </w:r>
    </w:p>
    <w:p w:rsidR="004843DB" w:rsidRPr="0062582F" w:rsidRDefault="004843DB" w:rsidP="004843DB"/>
    <w:p w:rsidR="004843DB" w:rsidRPr="0062582F" w:rsidRDefault="004843DB" w:rsidP="004843DB">
      <w:pPr>
        <w:pStyle w:val="SmallLine"/>
      </w:pPr>
      <w:bookmarkStart w:id="571" w:name="_Toc188261564"/>
      <w:bookmarkStart w:id="572" w:name="_Toc191270267"/>
      <w:bookmarkStart w:id="573" w:name="_Toc191867041"/>
      <w:bookmarkStart w:id="574" w:name="_Toc191876325"/>
      <w:bookmarkStart w:id="575" w:name="_Toc191876488"/>
      <w:bookmarkStart w:id="576" w:name="_Toc192039926"/>
      <w:bookmarkStart w:id="577" w:name="_Toc192040070"/>
    </w:p>
    <w:p w:rsidR="004843DB" w:rsidRPr="0062582F" w:rsidRDefault="004843DB" w:rsidP="004843DB">
      <w:pPr>
        <w:pStyle w:val="CommentaryHeading"/>
      </w:pPr>
      <w:r w:rsidRPr="0062582F">
        <w:t xml:space="preserve">Commentary – </w:t>
      </w:r>
      <w:bookmarkEnd w:id="571"/>
      <w:bookmarkEnd w:id="572"/>
      <w:bookmarkEnd w:id="573"/>
      <w:bookmarkEnd w:id="574"/>
      <w:bookmarkEnd w:id="575"/>
      <w:bookmarkEnd w:id="576"/>
      <w:bookmarkEnd w:id="577"/>
      <w:r w:rsidRPr="0062582F">
        <w:t>Financial risk management objectives and policies</w:t>
      </w:r>
    </w:p>
    <w:p w:rsidR="004843DB" w:rsidRPr="0062582F"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7.21</w:t>
      </w:r>
    </w:p>
    <w:p w:rsidR="004843DB" w:rsidRPr="0062582F" w:rsidRDefault="004843DB" w:rsidP="004843DB">
      <w:pPr>
        <w:pStyle w:val="CommentaryText"/>
        <w:pBdr>
          <w:top w:val="none" w:sz="0" w:space="0" w:color="auto"/>
          <w:bottom w:val="none" w:sz="0" w:space="0" w:color="auto"/>
        </w:pBdr>
      </w:pPr>
      <w:r w:rsidRPr="0062582F">
        <w:br w:type="column"/>
        <w:t xml:space="preserve">In accordance with paragraph 117 of AASB 101 </w:t>
      </w:r>
      <w:r w:rsidRPr="0062582F">
        <w:rPr>
          <w:i/>
          <w:iCs/>
        </w:rPr>
        <w:t>Presentation of Financial Statements</w:t>
      </w:r>
      <w:r w:rsidRPr="0062582F">
        <w:t>, an entity discloses, in the summary of significant accounting policies, the measurement basis (or bases) used in preparing the financial statements and the other accounting policies used that are relevant to an understanding of the financial statements.</w:t>
      </w:r>
    </w:p>
    <w:p w:rsidR="004843DB" w:rsidRPr="0062582F" w:rsidRDefault="004843DB" w:rsidP="004843DB">
      <w:pPr>
        <w:pStyle w:val="CommentaryText"/>
        <w:pBdr>
          <w:top w:val="none" w:sz="0" w:space="0" w:color="auto"/>
        </w:pBdr>
        <w:rPr>
          <w:noProof w:val="0"/>
        </w:rPr>
      </w:pPr>
      <w:r w:rsidRPr="0062582F">
        <w:rPr>
          <w:noProof w:val="0"/>
        </w:rPr>
        <w:t>AASB 7 requires comprehensive disclosure requirements for financial instruments including, but not limited to, the following:</w:t>
      </w:r>
    </w:p>
    <w:p w:rsidR="004843DB" w:rsidRPr="0062582F" w:rsidRDefault="004843DB" w:rsidP="004843DB">
      <w:pPr>
        <w:pStyle w:val="CommentaryTextIndent"/>
        <w:pBdr>
          <w:top w:val="none" w:sz="0" w:space="0" w:color="auto"/>
        </w:pBdr>
      </w:pPr>
      <w:r w:rsidRPr="0062582F">
        <w:t>(a)</w:t>
      </w:r>
      <w:r w:rsidRPr="0062582F">
        <w:tab/>
        <w:t>the measurement basis (bases) and the criteria used to determine classification for different types of financial instruments;</w:t>
      </w:r>
    </w:p>
    <w:p w:rsidR="004843DB" w:rsidRPr="0062582F" w:rsidRDefault="004843DB" w:rsidP="004843DB">
      <w:pPr>
        <w:pStyle w:val="CommentaryTextIndent"/>
        <w:pBdr>
          <w:top w:val="none" w:sz="0" w:space="0" w:color="auto"/>
        </w:pBdr>
      </w:pPr>
      <w:r w:rsidRPr="0062582F">
        <w:t>(b)</w:t>
      </w:r>
      <w:r w:rsidRPr="0062582F">
        <w:tab/>
        <w:t>the movements in fair value for financial instruments classified as fair value through profit or loss;</w:t>
      </w:r>
    </w:p>
    <w:p w:rsidR="004843DB" w:rsidRPr="0062582F" w:rsidRDefault="004843DB" w:rsidP="004843DB">
      <w:pPr>
        <w:pStyle w:val="CommentaryTextIndent"/>
        <w:pBdr>
          <w:top w:val="none" w:sz="0" w:space="0" w:color="auto"/>
        </w:pBdr>
      </w:pPr>
      <w:r w:rsidRPr="0062582F">
        <w:t>(c)</w:t>
      </w:r>
      <w:r w:rsidRPr="0062582F">
        <w:tab/>
        <w:t>an entity</w:t>
      </w:r>
      <w:r w:rsidR="005A4BB0">
        <w:t>’</w:t>
      </w:r>
      <w:r w:rsidRPr="0062582F">
        <w:t>s objectives, policies and processes for managing capital; and</w:t>
      </w:r>
    </w:p>
    <w:p w:rsidR="004843DB" w:rsidRPr="0062582F" w:rsidRDefault="004843DB" w:rsidP="004843DB">
      <w:pPr>
        <w:pStyle w:val="CommentaryTextIndent"/>
        <w:pBdr>
          <w:top w:val="none" w:sz="0" w:space="0" w:color="auto"/>
        </w:pBdr>
      </w:pPr>
      <w:r w:rsidRPr="0062582F">
        <w:t>(d)</w:t>
      </w:r>
      <w:r w:rsidRPr="0062582F">
        <w:tab/>
        <w:t>the qualitative and quantitative disclosures for each type of risk (e.g. credit risk, liquidity risk, and market risk) that the entity is exposed to.</w:t>
      </w:r>
    </w:p>
    <w:p w:rsidR="004843DB" w:rsidRPr="0062582F" w:rsidRDefault="004843DB" w:rsidP="004843DB"/>
    <w:p w:rsidR="004843DB" w:rsidRPr="0062582F" w:rsidRDefault="004843DB" w:rsidP="004843DB">
      <w:pPr>
        <w:pStyle w:val="NoteHeadingcontinued"/>
        <w:rPr>
          <w:i/>
        </w:rPr>
      </w:pPr>
      <w:r w:rsidRPr="0062582F">
        <w:br w:type="column"/>
      </w:r>
      <w:r w:rsidRPr="0062582F">
        <w:br w:type="column"/>
        <w:t>Note 33.</w:t>
      </w:r>
      <w:r w:rsidRPr="0062582F">
        <w:tab/>
        <w:t xml:space="preserve">Financial instruments </w:t>
      </w:r>
      <w:r w:rsidRPr="0062582F">
        <w:rPr>
          <w:i/>
        </w:rPr>
        <w:t>(continued)</w:t>
      </w:r>
    </w:p>
    <w:p w:rsidR="004843DB" w:rsidRPr="0062582F" w:rsidRDefault="004843DB" w:rsidP="004843DB">
      <w:r w:rsidRPr="0062582F">
        <w:t>The carrying amounts of the Department</w:t>
      </w:r>
      <w:r w:rsidR="005A4BB0">
        <w:t>’</w:t>
      </w:r>
      <w:r w:rsidRPr="0062582F">
        <w:t>s contractual financial assets and financial liabilities by category are disclosed in Table 33.1 below.</w:t>
      </w:r>
    </w:p>
    <w:p w:rsidR="004843DB" w:rsidRPr="0062582F" w:rsidRDefault="004843DB" w:rsidP="00E348C3">
      <w:pPr>
        <w:pStyle w:val="Tableheading"/>
      </w:pPr>
      <w:r w:rsidRPr="0062582F">
        <w:t>Table 33.1:</w:t>
      </w:r>
      <w:r w:rsidRPr="0062582F">
        <w:tab/>
        <w:t>Categorisation of financial instruments</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rPr>
          <w:rStyle w:val="ReferenceChar"/>
        </w:rPr>
      </w:pPr>
    </w:p>
    <w:p w:rsidR="004843DB" w:rsidRPr="0062582F" w:rsidRDefault="004843DB" w:rsidP="004843DB">
      <w:pPr>
        <w:pStyle w:val="Reference"/>
        <w:spacing w:before="240"/>
        <w:rPr>
          <w:rStyle w:val="ReferenceChar"/>
        </w:rPr>
      </w:pPr>
      <w:r w:rsidRPr="0062582F">
        <w:rPr>
          <w:rStyle w:val="ReferenceChar"/>
        </w:rPr>
        <w:t>AASB 7.8</w:t>
      </w:r>
    </w:p>
    <w:p w:rsidR="004843DB" w:rsidRPr="0062582F" w:rsidRDefault="004843DB" w:rsidP="004843DB">
      <w:pPr>
        <w:pStyle w:val="million"/>
        <w:rPr>
          <w:rFonts w:ascii="Tahoma" w:hAnsi="Tahoma" w:cs="Tahoma"/>
          <w:sz w:val="20"/>
          <w:szCs w:val="20"/>
        </w:rPr>
      </w:pPr>
      <w:r w:rsidRPr="0062582F">
        <w:br w:type="column"/>
        <w:t>($ thousand)</w:t>
      </w:r>
    </w:p>
    <w:tbl>
      <w:tblPr>
        <w:tblW w:w="7823" w:type="dxa"/>
        <w:tblCellMar>
          <w:left w:w="29" w:type="dxa"/>
          <w:right w:w="29" w:type="dxa"/>
        </w:tblCellMar>
        <w:tblLook w:val="04A0" w:firstRow="1" w:lastRow="0" w:firstColumn="1" w:lastColumn="0" w:noHBand="0" w:noVBand="1"/>
      </w:tblPr>
      <w:tblGrid>
        <w:gridCol w:w="3881"/>
        <w:gridCol w:w="1962"/>
        <w:gridCol w:w="1980"/>
      </w:tblGrid>
      <w:tr w:rsidR="004843DB" w:rsidRPr="0062582F" w:rsidTr="004843DB">
        <w:trPr>
          <w:cantSplit/>
        </w:trPr>
        <w:tc>
          <w:tcPr>
            <w:tcW w:w="3881" w:type="dxa"/>
            <w:tcBorders>
              <w:top w:val="single" w:sz="4" w:space="0" w:color="auto"/>
              <w:left w:val="nil"/>
              <w:bottom w:val="single" w:sz="4" w:space="0" w:color="auto"/>
              <w:right w:val="nil"/>
            </w:tcBorders>
            <w:shd w:val="clear" w:color="auto" w:fill="auto"/>
            <w:vAlign w:val="bottom"/>
            <w:hideMark/>
          </w:tcPr>
          <w:p w:rsidR="004843DB" w:rsidRPr="0062582F" w:rsidRDefault="004843DB" w:rsidP="004843DB">
            <w:pPr>
              <w:pStyle w:val="Tabletextheading"/>
              <w:jc w:val="left"/>
            </w:pPr>
            <w:r w:rsidRPr="0062582F">
              <w:br/>
            </w:r>
            <w:r w:rsidRPr="0062582F">
              <w:br/>
              <w:t>2016</w:t>
            </w:r>
          </w:p>
        </w:tc>
        <w:tc>
          <w:tcPr>
            <w:tcW w:w="1962" w:type="dxa"/>
            <w:tcBorders>
              <w:top w:val="single" w:sz="4" w:space="0" w:color="auto"/>
              <w:left w:val="nil"/>
              <w:bottom w:val="single" w:sz="4" w:space="0" w:color="auto"/>
              <w:right w:val="nil"/>
            </w:tcBorders>
            <w:shd w:val="clear" w:color="00FFFF" w:fill="CCCCCC"/>
            <w:hideMark/>
          </w:tcPr>
          <w:p w:rsidR="004843DB" w:rsidRPr="0062582F" w:rsidRDefault="004843DB" w:rsidP="004843DB">
            <w:pPr>
              <w:pStyle w:val="Tabletextheading"/>
            </w:pPr>
            <w:r w:rsidRPr="0062582F">
              <w:t>Contractual financial assets/liabilities designated at fair value through profit/loss</w:t>
            </w:r>
          </w:p>
        </w:tc>
        <w:tc>
          <w:tcPr>
            <w:tcW w:w="198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Contractual financial assets/liabilities held</w:t>
            </w:r>
            <w:r w:rsidR="005A4BB0">
              <w:noBreakHyphen/>
            </w:r>
            <w:r w:rsidRPr="0062582F">
              <w:t>for</w:t>
            </w:r>
            <w:r w:rsidR="005A4BB0">
              <w:noBreakHyphen/>
            </w:r>
            <w:r w:rsidRPr="0062582F">
              <w:t>trading at fair value through profit/loss</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Contractual financial assets</w:t>
            </w:r>
          </w:p>
        </w:tc>
        <w:tc>
          <w:tcPr>
            <w:tcW w:w="1962"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Cash and deposits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
            </w:pPr>
            <w:r w:rsidRPr="0062582F">
              <w:rPr>
                <w:b/>
              </w:rPr>
              <w:t>Receivables</w:t>
            </w:r>
            <w:r w:rsidRPr="0062582F">
              <w:t xml:space="preserve"> </w:t>
            </w:r>
            <w:r w:rsidRPr="0062582F">
              <w:rPr>
                <w:rFonts w:ascii="Arial" w:hAnsi="Arial"/>
                <w:vertAlign w:val="superscript"/>
              </w:rPr>
              <w:t>(i)</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Finance lease receivables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Sale of goods and services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Loans to third parties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Accrued investment income</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Other receivables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
            </w:pPr>
            <w:r w:rsidRPr="0062582F">
              <w:rPr>
                <w:b/>
              </w:rPr>
              <w:t>Investments and other contractual financial assets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Equities and managed investment schemes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Term deposits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single" w:sz="4" w:space="0" w:color="auto"/>
              <w:right w:val="nil"/>
            </w:tcBorders>
            <w:shd w:val="clear" w:color="auto" w:fill="auto"/>
            <w:hideMark/>
          </w:tcPr>
          <w:p w:rsidR="004843DB" w:rsidRPr="0062582F" w:rsidRDefault="004843DB" w:rsidP="004843DB">
            <w:pPr>
              <w:pStyle w:val="TabletextIndent"/>
            </w:pPr>
            <w:r w:rsidRPr="0062582F">
              <w:t>Debt securities</w:t>
            </w:r>
          </w:p>
        </w:tc>
        <w:tc>
          <w:tcPr>
            <w:tcW w:w="1962"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3 823</w:t>
            </w:r>
          </w:p>
        </w:tc>
        <w:tc>
          <w:tcPr>
            <w:tcW w:w="198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contractual financial assets</w:t>
            </w:r>
          </w:p>
        </w:tc>
        <w:tc>
          <w:tcPr>
            <w:tcW w:w="1962"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3 823</w:t>
            </w:r>
          </w:p>
        </w:tc>
        <w:tc>
          <w:tcPr>
            <w:tcW w:w="198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r>
      <w:tr w:rsidR="004843DB" w:rsidRPr="0062582F" w:rsidTr="004843DB">
        <w:trPr>
          <w:cantSplit/>
        </w:trPr>
        <w:tc>
          <w:tcPr>
            <w:tcW w:w="3881" w:type="dxa"/>
            <w:tcBorders>
              <w:top w:val="single" w:sz="12"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Contractual financial liabilities</w:t>
            </w:r>
          </w:p>
        </w:tc>
        <w:tc>
          <w:tcPr>
            <w:tcW w:w="1962"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98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
            </w:pPr>
            <w:r w:rsidRPr="0062582F">
              <w:rPr>
                <w:b/>
              </w:rPr>
              <w:t>Payables</w:t>
            </w:r>
            <w:r w:rsidRPr="0062582F">
              <w:rPr>
                <w:vertAlign w:val="superscript"/>
              </w:rPr>
              <w:t xml:space="preserve"> (i)</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Supplies and services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Amounts payable to government and agencies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Other payables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
            </w:pPr>
            <w:r w:rsidRPr="0062582F">
              <w:rPr>
                <w:b/>
              </w:rPr>
              <w:t>Borrowings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Bank overdrafts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Finance lease liabilities</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nil"/>
              <w:right w:val="nil"/>
            </w:tcBorders>
            <w:shd w:val="clear" w:color="auto" w:fill="auto"/>
            <w:hideMark/>
          </w:tcPr>
          <w:p w:rsidR="004843DB" w:rsidRPr="0062582F" w:rsidRDefault="004843DB" w:rsidP="004843DB">
            <w:pPr>
              <w:pStyle w:val="TabletextIndent"/>
            </w:pPr>
            <w:r w:rsidRPr="0062582F">
              <w:t>Advances from government</w:t>
            </w:r>
          </w:p>
        </w:tc>
        <w:tc>
          <w:tcPr>
            <w:tcW w:w="196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nil"/>
              <w:left w:val="nil"/>
              <w:bottom w:val="single" w:sz="4" w:space="0" w:color="auto"/>
              <w:right w:val="nil"/>
            </w:tcBorders>
            <w:shd w:val="clear" w:color="auto" w:fill="auto"/>
            <w:hideMark/>
          </w:tcPr>
          <w:p w:rsidR="004843DB" w:rsidRPr="0062582F" w:rsidRDefault="004843DB" w:rsidP="004843DB">
            <w:pPr>
              <w:pStyle w:val="TabletextIndent"/>
            </w:pPr>
            <w:r w:rsidRPr="0062582F">
              <w:t>Loans from TCV</w:t>
            </w:r>
          </w:p>
        </w:tc>
        <w:tc>
          <w:tcPr>
            <w:tcW w:w="1962"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98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81"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contractual financial liabilities</w:t>
            </w:r>
          </w:p>
        </w:tc>
        <w:tc>
          <w:tcPr>
            <w:tcW w:w="1962"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198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r>
    </w:tbl>
    <w:p w:rsidR="004843DB" w:rsidRPr="0062582F" w:rsidRDefault="004843DB" w:rsidP="004843DB">
      <w:pPr>
        <w:pStyle w:val="Notes"/>
      </w:pPr>
      <w:r w:rsidRPr="0062582F">
        <w:t>Note:</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rPr>
          <w:rStyle w:val="ReferenceChar"/>
          <w:rFonts w:cs="Arial"/>
          <w:color w:val="auto"/>
          <w:sz w:val="18"/>
          <w:lang w:val="en-AU"/>
        </w:rPr>
      </w:pPr>
      <w:r w:rsidRPr="0062582F">
        <w:rPr>
          <w:rStyle w:val="ReferenceChar"/>
        </w:rPr>
        <w:t>AASB 132.AG12</w:t>
      </w:r>
    </w:p>
    <w:p w:rsidR="004843DB" w:rsidRPr="0062582F" w:rsidRDefault="004843DB" w:rsidP="004843DB">
      <w:pPr>
        <w:pStyle w:val="Notes"/>
      </w:pPr>
      <w:r w:rsidRPr="0062582F">
        <w:br w:type="column"/>
        <w:t>(i)</w:t>
      </w:r>
      <w:r w:rsidRPr="0062582F">
        <w:tab/>
        <w:t>The total amounts disclosed here exclude statutory amounts (e.g. amounts owing from Victorian government and GST input tax credit recoverable and taxes payable).</w:t>
      </w:r>
    </w:p>
    <w:p w:rsidR="004843DB" w:rsidRPr="0062582F" w:rsidRDefault="004843DB" w:rsidP="004843DB"/>
    <w:p w:rsidR="004843DB" w:rsidRPr="0062582F" w:rsidRDefault="004843DB" w:rsidP="004843DB">
      <w:pPr>
        <w:pStyle w:val="million"/>
        <w:rPr>
          <w:rFonts w:ascii="Garamond" w:hAnsi="Garamond" w:cs="Times New Roman"/>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Headingcontinued"/>
      </w:pPr>
    </w:p>
    <w:p w:rsidR="004843DB" w:rsidRPr="0062582F" w:rsidRDefault="004843DB" w:rsidP="004843DB">
      <w:r w:rsidRPr="0062582F">
        <w:br/>
      </w:r>
    </w:p>
    <w:p w:rsidR="004843DB" w:rsidRPr="0062582F" w:rsidRDefault="004843DB" w:rsidP="004843DB"/>
    <w:p w:rsidR="004843DB" w:rsidRPr="0062582F" w:rsidRDefault="004843DB" w:rsidP="004843DB">
      <w:pPr>
        <w:pStyle w:val="million"/>
        <w:spacing w:after="40"/>
      </w:pPr>
    </w:p>
    <w:tbl>
      <w:tblPr>
        <w:tblW w:w="7873" w:type="dxa"/>
        <w:tblLayout w:type="fixed"/>
        <w:tblCellMar>
          <w:left w:w="43" w:type="dxa"/>
          <w:right w:w="43" w:type="dxa"/>
        </w:tblCellMar>
        <w:tblLook w:val="04A0" w:firstRow="1" w:lastRow="0" w:firstColumn="1" w:lastColumn="0" w:noHBand="0" w:noVBand="1"/>
      </w:tblPr>
      <w:tblGrid>
        <w:gridCol w:w="1968"/>
        <w:gridCol w:w="1968"/>
        <w:gridCol w:w="1968"/>
        <w:gridCol w:w="1969"/>
      </w:tblGrid>
      <w:tr w:rsidR="004843DB" w:rsidRPr="0062582F" w:rsidTr="004843DB">
        <w:trPr>
          <w:cantSplit/>
        </w:trPr>
        <w:tc>
          <w:tcPr>
            <w:tcW w:w="1968" w:type="dxa"/>
            <w:tcBorders>
              <w:top w:val="single" w:sz="4" w:space="0" w:color="auto"/>
              <w:left w:val="nil"/>
              <w:bottom w:val="single" w:sz="4" w:space="0" w:color="auto"/>
              <w:right w:val="nil"/>
            </w:tcBorders>
            <w:shd w:val="clear" w:color="00FFFF" w:fill="CCCCCC"/>
            <w:hideMark/>
          </w:tcPr>
          <w:p w:rsidR="004843DB" w:rsidRPr="0062582F" w:rsidRDefault="004843DB" w:rsidP="004843DB">
            <w:pPr>
              <w:pStyle w:val="Tabletextheading"/>
            </w:pPr>
            <w:r w:rsidRPr="0062582F">
              <w:br/>
              <w:t>Contractual financial assets – loans and receivables</w:t>
            </w:r>
          </w:p>
        </w:tc>
        <w:tc>
          <w:tcPr>
            <w:tcW w:w="1968"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br/>
              <w:t xml:space="preserve">Contractual </w:t>
            </w:r>
            <w:r w:rsidRPr="0062582F">
              <w:br/>
              <w:t>financial assets – available</w:t>
            </w:r>
            <w:r w:rsidR="005A4BB0">
              <w:noBreakHyphen/>
            </w:r>
            <w:r w:rsidRPr="0062582F">
              <w:t>for</w:t>
            </w:r>
            <w:r w:rsidR="005A4BB0">
              <w:noBreakHyphen/>
            </w:r>
            <w:r w:rsidRPr="0062582F">
              <w:t>sale</w:t>
            </w:r>
          </w:p>
        </w:tc>
        <w:tc>
          <w:tcPr>
            <w:tcW w:w="1968" w:type="dxa"/>
            <w:tcBorders>
              <w:top w:val="single" w:sz="4" w:space="0" w:color="auto"/>
              <w:left w:val="nil"/>
              <w:bottom w:val="single" w:sz="4" w:space="0" w:color="auto"/>
              <w:right w:val="nil"/>
            </w:tcBorders>
            <w:shd w:val="clear" w:color="00FFFF" w:fill="CCCCCC"/>
            <w:hideMark/>
          </w:tcPr>
          <w:p w:rsidR="004843DB" w:rsidRPr="0062582F" w:rsidRDefault="004843DB" w:rsidP="004843DB">
            <w:pPr>
              <w:pStyle w:val="Tabletextheading"/>
            </w:pPr>
            <w:r w:rsidRPr="0062582F">
              <w:br/>
              <w:t xml:space="preserve">Contractual financial liabilities at </w:t>
            </w:r>
            <w:r w:rsidRPr="0062582F">
              <w:br/>
              <w:t>amortised cost</w:t>
            </w:r>
          </w:p>
        </w:tc>
        <w:tc>
          <w:tcPr>
            <w:tcW w:w="1969"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br/>
            </w:r>
            <w:r w:rsidRPr="0062582F">
              <w:br/>
            </w:r>
            <w:r w:rsidRPr="0062582F">
              <w:br/>
              <w:t>Total</w:t>
            </w:r>
          </w:p>
        </w:tc>
      </w:tr>
      <w:tr w:rsidR="004843DB" w:rsidRPr="0062582F" w:rsidTr="004843DB">
        <w:trPr>
          <w:cantSplit/>
        </w:trPr>
        <w:tc>
          <w:tcPr>
            <w:tcW w:w="1968"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968"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59 528</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59 528</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581</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581</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1 253</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1 253</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146</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146</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1 864</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1 864</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334</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334</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2 065</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2 065</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2 890</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2 890</w:t>
            </w:r>
          </w:p>
        </w:tc>
      </w:tr>
      <w:tr w:rsidR="004843DB" w:rsidRPr="0062582F" w:rsidTr="004843DB">
        <w:trPr>
          <w:cantSplit/>
        </w:trPr>
        <w:tc>
          <w:tcPr>
            <w:tcW w:w="1968"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5 198</w:t>
            </w:r>
          </w:p>
        </w:tc>
        <w:tc>
          <w:tcPr>
            <w:tcW w:w="1968"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96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9 021</w:t>
            </w:r>
          </w:p>
        </w:tc>
      </w:tr>
      <w:tr w:rsidR="004843DB" w:rsidRPr="0062582F" w:rsidTr="004843DB">
        <w:trPr>
          <w:cantSplit/>
        </w:trPr>
        <w:tc>
          <w:tcPr>
            <w:tcW w:w="1968"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71 793</w:t>
            </w:r>
          </w:p>
        </w:tc>
        <w:tc>
          <w:tcPr>
            <w:tcW w:w="1968"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2 065</w:t>
            </w:r>
          </w:p>
        </w:tc>
        <w:tc>
          <w:tcPr>
            <w:tcW w:w="1968"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1969"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77 681</w:t>
            </w:r>
          </w:p>
        </w:tc>
      </w:tr>
      <w:tr w:rsidR="004843DB" w:rsidRPr="0062582F" w:rsidTr="004843DB">
        <w:trPr>
          <w:cantSplit/>
        </w:trPr>
        <w:tc>
          <w:tcPr>
            <w:tcW w:w="1968"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968"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c>
          <w:tcPr>
            <w:tcW w:w="1968"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969"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4 466</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4 466</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10 890</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10 890</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1 962</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1 962</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8 064</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8 064</w:t>
            </w:r>
          </w:p>
        </w:tc>
      </w:tr>
      <w:tr w:rsidR="004843DB" w:rsidRPr="0062582F" w:rsidTr="004843DB">
        <w:trPr>
          <w:cantSplit/>
        </w:trPr>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5 314</w:t>
            </w:r>
          </w:p>
        </w:tc>
        <w:tc>
          <w:tcPr>
            <w:tcW w:w="1969"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5 314</w:t>
            </w:r>
          </w:p>
        </w:tc>
      </w:tr>
      <w:tr w:rsidR="004843DB" w:rsidRPr="0062582F" w:rsidTr="004843DB">
        <w:trPr>
          <w:cantSplit/>
        </w:trPr>
        <w:tc>
          <w:tcPr>
            <w:tcW w:w="1968"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968"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968"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48 696</w:t>
            </w:r>
          </w:p>
        </w:tc>
        <w:tc>
          <w:tcPr>
            <w:tcW w:w="196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48 696</w:t>
            </w:r>
          </w:p>
        </w:tc>
      </w:tr>
      <w:tr w:rsidR="004843DB" w:rsidRPr="0062582F" w:rsidTr="004843DB">
        <w:trPr>
          <w:cantSplit/>
        </w:trPr>
        <w:tc>
          <w:tcPr>
            <w:tcW w:w="1968"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1968"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968"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79 392</w:t>
            </w:r>
          </w:p>
        </w:tc>
        <w:tc>
          <w:tcPr>
            <w:tcW w:w="1969"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79 392</w:t>
            </w:r>
          </w:p>
        </w:tc>
      </w:tr>
    </w:tbl>
    <w:p w:rsidR="004843DB" w:rsidRPr="0062582F" w:rsidRDefault="004843DB" w:rsidP="004843DB">
      <w:pPr>
        <w:rPr>
          <w:rStyle w:val="NotesChar"/>
        </w:rPr>
      </w:pPr>
    </w:p>
    <w:p w:rsidR="004843DB" w:rsidRPr="0062582F" w:rsidRDefault="004843DB" w:rsidP="004843DB">
      <w:pPr>
        <w:rPr>
          <w:rStyle w:val="NotesChar"/>
        </w:rPr>
      </w:pPr>
    </w:p>
    <w:p w:rsidR="004843DB" w:rsidRPr="0062582F" w:rsidRDefault="004843DB" w:rsidP="004843DB">
      <w:pPr>
        <w:pStyle w:val="million"/>
        <w:rPr>
          <w:rStyle w:val="NotesChar"/>
          <w:rFonts w:cs="Times New Roman"/>
        </w:rPr>
        <w:sectPr w:rsidR="004843DB" w:rsidRPr="0062582F" w:rsidSect="00190A01">
          <w:headerReference w:type="even" r:id="rId304"/>
          <w:headerReference w:type="default" r:id="rId305"/>
          <w:footerReference w:type="even" r:id="rId306"/>
          <w:footerReference w:type="default" r:id="rId307"/>
          <w:headerReference w:type="first" r:id="rId308"/>
          <w:pgSz w:w="11906" w:h="16838" w:code="9"/>
          <w:pgMar w:top="1152" w:right="864" w:bottom="1152" w:left="864" w:header="432" w:footer="432" w:gutter="0"/>
          <w:cols w:space="360"/>
          <w:rtlGutter/>
        </w:sectPr>
      </w:pPr>
    </w:p>
    <w:p w:rsidR="004843DB" w:rsidRPr="0062582F" w:rsidRDefault="004843DB" w:rsidP="004843DB">
      <w:pPr>
        <w:pStyle w:val="NoteHeadingcontinued"/>
      </w:pPr>
    </w:p>
    <w:p w:rsidR="004843DB" w:rsidRPr="0062582F" w:rsidRDefault="004843DB" w:rsidP="004843DB">
      <w:pPr>
        <w:spacing w:before="0" w:line="240" w:lineRule="atLeast"/>
        <w:rPr>
          <w:rStyle w:val="NotesChar"/>
          <w:rFonts w:cs="Times New Roman"/>
          <w:i w:val="0"/>
          <w:iCs w:val="0"/>
          <w:color w:val="0000FF"/>
          <w:lang w:val="en-GB"/>
        </w:rPr>
      </w:pPr>
      <w:r w:rsidRPr="0062582F">
        <w:rPr>
          <w:rStyle w:val="NotesChar"/>
          <w:rFonts w:cs="Times New Roman"/>
          <w:i w:val="0"/>
          <w:iCs w:val="0"/>
        </w:rPr>
        <w:br w:type="page"/>
      </w:r>
    </w:p>
    <w:p w:rsidR="004843DB" w:rsidRPr="0062582F" w:rsidRDefault="004843DB" w:rsidP="004843DB">
      <w:pPr>
        <w:pStyle w:val="Reference"/>
        <w:spacing w:before="120"/>
        <w:rPr>
          <w:rStyle w:val="NotesChar"/>
          <w:rFonts w:cs="Times New Roman"/>
          <w:i w:val="0"/>
          <w:iCs w:val="0"/>
        </w:rPr>
      </w:pPr>
    </w:p>
    <w:p w:rsidR="004843DB" w:rsidRPr="0062582F" w:rsidRDefault="004843DB" w:rsidP="004843DB">
      <w:pPr>
        <w:pStyle w:val="SmallLine"/>
        <w:rPr>
          <w:rStyle w:val="NotesChar"/>
          <w:rFonts w:ascii="Garamond" w:hAnsi="Garamond"/>
          <w:i w:val="0"/>
          <w:iCs w:val="0"/>
          <w:sz w:val="4"/>
          <w:szCs w:val="4"/>
        </w:rPr>
      </w:pPr>
    </w:p>
    <w:p w:rsidR="004843DB" w:rsidRPr="0062582F" w:rsidRDefault="004843DB" w:rsidP="004843DB">
      <w:pPr>
        <w:pStyle w:val="SmallLine"/>
        <w:rPr>
          <w:rStyle w:val="NotesChar"/>
          <w:rFonts w:ascii="Garamond" w:hAnsi="Garamond"/>
          <w:i w:val="0"/>
          <w:iCs w:val="0"/>
          <w:sz w:val="4"/>
          <w:szCs w:val="4"/>
        </w:rPr>
      </w:pPr>
    </w:p>
    <w:p w:rsidR="004843DB" w:rsidRPr="0062582F" w:rsidRDefault="004843DB" w:rsidP="004843DB">
      <w:pPr>
        <w:pStyle w:val="SmallLine"/>
        <w:rPr>
          <w:rStyle w:val="NotesChar"/>
          <w:rFonts w:ascii="Garamond" w:hAnsi="Garamond"/>
          <w:i w:val="0"/>
          <w:iCs w:val="0"/>
          <w:sz w:val="4"/>
          <w:szCs w:val="4"/>
        </w:rPr>
      </w:pPr>
    </w:p>
    <w:p w:rsidR="004843DB" w:rsidRPr="0062582F" w:rsidRDefault="004843DB" w:rsidP="004843DB">
      <w:pPr>
        <w:pStyle w:val="Reference"/>
        <w:spacing w:before="120"/>
        <w:rPr>
          <w:rStyle w:val="ReferenceChar"/>
        </w:rPr>
      </w:pPr>
      <w:r w:rsidRPr="0062582F">
        <w:rPr>
          <w:rStyle w:val="ReferenceChar"/>
        </w:rPr>
        <w:t>AASB 7.20(a)</w:t>
      </w:r>
      <w:r w:rsidR="005A4BB0">
        <w:rPr>
          <w:rStyle w:val="ReferenceChar"/>
        </w:rPr>
        <w:noBreakHyphen/>
      </w:r>
      <w:r w:rsidRPr="0062582F">
        <w:rPr>
          <w:rStyle w:val="ReferenceChar"/>
        </w:rPr>
        <w:t>(e)</w:t>
      </w:r>
    </w:p>
    <w:p w:rsidR="004843DB" w:rsidRPr="0062582F" w:rsidRDefault="004843DB" w:rsidP="004843DB">
      <w:pPr>
        <w:pStyle w:val="SmallLine"/>
      </w:pPr>
    </w:p>
    <w:p w:rsidR="004843DB" w:rsidRPr="0062582F" w:rsidRDefault="004843DB" w:rsidP="004843DB">
      <w:pPr>
        <w:pStyle w:val="NoteHeadingcontinued"/>
        <w:rPr>
          <w:i/>
        </w:rPr>
      </w:pPr>
      <w:r w:rsidRPr="0062582F">
        <w:br w:type="column"/>
        <w:t>Note 33.</w:t>
      </w:r>
      <w:r w:rsidRPr="0062582F">
        <w:tab/>
        <w:t xml:space="preserve">Financial instruments </w:t>
      </w:r>
      <w:r w:rsidRPr="0062582F">
        <w:rPr>
          <w:i/>
        </w:rPr>
        <w:t>(continued)</w:t>
      </w:r>
    </w:p>
    <w:p w:rsidR="004843DB" w:rsidRPr="0062582F" w:rsidRDefault="004843DB" w:rsidP="00E348C3">
      <w:pPr>
        <w:pStyle w:val="Tableheading"/>
      </w:pPr>
      <w:r w:rsidRPr="0062582F">
        <w:t>Table 33.2:</w:t>
      </w:r>
      <w:r w:rsidRPr="0062582F">
        <w:tab/>
        <w:t>Net holding gain/(loss) on financial instruments by category</w:t>
      </w:r>
      <w:r w:rsidRPr="0062582F">
        <w:rPr>
          <w:vertAlign w:val="superscript"/>
        </w:rPr>
        <w:t>(i)</w:t>
      </w:r>
    </w:p>
    <w:p w:rsidR="004843DB" w:rsidRPr="0062582F" w:rsidRDefault="004843DB" w:rsidP="004843DB">
      <w:pPr>
        <w:pStyle w:val="million"/>
        <w:rPr>
          <w:rFonts w:ascii="Tahoma" w:hAnsi="Tahoma" w:cs="Tahoma"/>
          <w:sz w:val="20"/>
          <w:szCs w:val="20"/>
        </w:rPr>
      </w:pPr>
      <w:r w:rsidRPr="0062582F">
        <w:t>($ thousand)</w:t>
      </w:r>
    </w:p>
    <w:tbl>
      <w:tblPr>
        <w:tblW w:w="8341" w:type="dxa"/>
        <w:tblLayout w:type="fixed"/>
        <w:tblCellMar>
          <w:left w:w="43" w:type="dxa"/>
          <w:right w:w="43" w:type="dxa"/>
        </w:tblCellMar>
        <w:tblLook w:val="04A0" w:firstRow="1" w:lastRow="0" w:firstColumn="1" w:lastColumn="0" w:noHBand="0" w:noVBand="1"/>
      </w:tblPr>
      <w:tblGrid>
        <w:gridCol w:w="5533"/>
        <w:gridCol w:w="1404"/>
        <w:gridCol w:w="1404"/>
      </w:tblGrid>
      <w:tr w:rsidR="004843DB" w:rsidRPr="0062582F" w:rsidTr="004843DB">
        <w:trPr>
          <w:cantSplit/>
        </w:trPr>
        <w:tc>
          <w:tcPr>
            <w:tcW w:w="553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jc w:val="left"/>
            </w:pPr>
            <w:r w:rsidRPr="0062582F">
              <w:br/>
              <w:t>2016</w:t>
            </w:r>
          </w:p>
        </w:tc>
        <w:tc>
          <w:tcPr>
            <w:tcW w:w="1404" w:type="dxa"/>
            <w:tcBorders>
              <w:top w:val="single" w:sz="4" w:space="0" w:color="auto"/>
              <w:left w:val="nil"/>
              <w:bottom w:val="single" w:sz="4" w:space="0" w:color="auto"/>
              <w:right w:val="nil"/>
            </w:tcBorders>
            <w:shd w:val="clear" w:color="00FFFF" w:fill="CCCCCC"/>
            <w:hideMark/>
          </w:tcPr>
          <w:p w:rsidR="004843DB" w:rsidRPr="0062582F" w:rsidRDefault="004843DB" w:rsidP="004843DB">
            <w:pPr>
              <w:pStyle w:val="Tabletextheading"/>
            </w:pPr>
            <w:r w:rsidRPr="0062582F">
              <w:t>Net holding gain/(loss)</w:t>
            </w:r>
          </w:p>
        </w:tc>
        <w:tc>
          <w:tcPr>
            <w:tcW w:w="1404"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Total interest income/(expense)</w:t>
            </w:r>
          </w:p>
        </w:tc>
      </w:tr>
      <w:tr w:rsidR="004843DB" w:rsidRPr="0062582F" w:rsidTr="004843DB">
        <w:trPr>
          <w:cantSplit/>
        </w:trPr>
        <w:tc>
          <w:tcPr>
            <w:tcW w:w="553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Contractual financial assets</w:t>
            </w:r>
          </w:p>
        </w:tc>
        <w:tc>
          <w:tcPr>
            <w:tcW w:w="1404"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404"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533" w:type="dxa"/>
            <w:tcBorders>
              <w:top w:val="nil"/>
              <w:left w:val="nil"/>
              <w:bottom w:val="nil"/>
              <w:right w:val="nil"/>
            </w:tcBorders>
            <w:shd w:val="clear" w:color="auto" w:fill="auto"/>
            <w:hideMark/>
          </w:tcPr>
          <w:p w:rsidR="004843DB" w:rsidRPr="0062582F" w:rsidRDefault="004843DB" w:rsidP="004843DB">
            <w:pPr>
              <w:pStyle w:val="Tabletext"/>
            </w:pPr>
            <w:r w:rsidRPr="0062582F">
              <w:t>Financial assets designated at fair value through profit/loss</w:t>
            </w:r>
          </w:p>
        </w:tc>
        <w:tc>
          <w:tcPr>
            <w:tcW w:w="140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65</w:t>
            </w:r>
          </w:p>
        </w:tc>
        <w:tc>
          <w:tcPr>
            <w:tcW w:w="1404"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1 689</w:t>
            </w:r>
          </w:p>
        </w:tc>
      </w:tr>
      <w:tr w:rsidR="004843DB" w:rsidRPr="0062582F" w:rsidTr="004843DB">
        <w:trPr>
          <w:cantSplit/>
        </w:trPr>
        <w:tc>
          <w:tcPr>
            <w:tcW w:w="5533" w:type="dxa"/>
            <w:tcBorders>
              <w:top w:val="nil"/>
              <w:left w:val="nil"/>
              <w:bottom w:val="nil"/>
              <w:right w:val="nil"/>
            </w:tcBorders>
            <w:shd w:val="clear" w:color="auto" w:fill="auto"/>
            <w:hideMark/>
          </w:tcPr>
          <w:p w:rsidR="004843DB" w:rsidRPr="0062582F" w:rsidRDefault="004843DB" w:rsidP="004843DB">
            <w:pPr>
              <w:pStyle w:val="Tabletext"/>
            </w:pPr>
            <w:r w:rsidRPr="0062582F">
              <w:t>Financial assets – loans and receivables</w:t>
            </w:r>
          </w:p>
        </w:tc>
        <w:tc>
          <w:tcPr>
            <w:tcW w:w="140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(396)</w:t>
            </w:r>
          </w:p>
        </w:tc>
        <w:tc>
          <w:tcPr>
            <w:tcW w:w="1404"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2 175</w:t>
            </w:r>
          </w:p>
        </w:tc>
      </w:tr>
      <w:tr w:rsidR="004843DB" w:rsidRPr="0062582F" w:rsidTr="004843DB">
        <w:trPr>
          <w:cantSplit/>
        </w:trPr>
        <w:tc>
          <w:tcPr>
            <w:tcW w:w="5533" w:type="dxa"/>
            <w:tcBorders>
              <w:top w:val="nil"/>
              <w:left w:val="nil"/>
              <w:bottom w:val="nil"/>
              <w:right w:val="nil"/>
            </w:tcBorders>
            <w:shd w:val="clear" w:color="auto" w:fill="auto"/>
            <w:hideMark/>
          </w:tcPr>
          <w:p w:rsidR="004843DB" w:rsidRPr="0062582F" w:rsidRDefault="004843DB" w:rsidP="004843DB">
            <w:pPr>
              <w:pStyle w:val="Tabletext"/>
            </w:pPr>
            <w:r w:rsidRPr="0062582F">
              <w:t>Financial assets available</w:t>
            </w:r>
            <w:r w:rsidR="005A4BB0">
              <w:noBreakHyphen/>
            </w:r>
            <w:r w:rsidRPr="0062582F">
              <w:t>for</w:t>
            </w:r>
            <w:r w:rsidR="005A4BB0">
              <w:noBreakHyphen/>
            </w:r>
            <w:r w:rsidRPr="0062582F">
              <w:t>sale recognised in net result</w:t>
            </w:r>
          </w:p>
        </w:tc>
        <w:tc>
          <w:tcPr>
            <w:tcW w:w="140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404"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53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Financial assets available</w:t>
            </w:r>
            <w:r w:rsidR="005A4BB0">
              <w:noBreakHyphen/>
            </w:r>
            <w:r w:rsidRPr="0062582F">
              <w:t>for</w:t>
            </w:r>
            <w:r w:rsidR="005A4BB0">
              <w:noBreakHyphen/>
            </w:r>
            <w:r w:rsidRPr="0062582F">
              <w:t>sale recognised in other comprehensive result</w:t>
            </w:r>
          </w:p>
        </w:tc>
        <w:tc>
          <w:tcPr>
            <w:tcW w:w="1404"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(1 523)</w:t>
            </w:r>
          </w:p>
        </w:tc>
        <w:tc>
          <w:tcPr>
            <w:tcW w:w="1404"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53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contractual financial assets</w:t>
            </w:r>
          </w:p>
        </w:tc>
        <w:tc>
          <w:tcPr>
            <w:tcW w:w="1404"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(1 854)</w:t>
            </w:r>
          </w:p>
        </w:tc>
        <w:tc>
          <w:tcPr>
            <w:tcW w:w="140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3 864</w:t>
            </w:r>
          </w:p>
        </w:tc>
      </w:tr>
      <w:tr w:rsidR="004843DB" w:rsidRPr="0062582F" w:rsidTr="004843DB">
        <w:trPr>
          <w:cantSplit/>
          <w:trHeight w:hRule="exact" w:val="160"/>
        </w:trPr>
        <w:tc>
          <w:tcPr>
            <w:tcW w:w="5533" w:type="dxa"/>
            <w:tcBorders>
              <w:top w:val="single" w:sz="12" w:space="0" w:color="auto"/>
              <w:left w:val="nil"/>
              <w:bottom w:val="nil"/>
              <w:right w:val="nil"/>
            </w:tcBorders>
            <w:shd w:val="clear" w:color="auto" w:fill="auto"/>
            <w:hideMark/>
          </w:tcPr>
          <w:p w:rsidR="004843DB" w:rsidRPr="0062582F" w:rsidRDefault="004843DB" w:rsidP="004843DB">
            <w:pPr>
              <w:pStyle w:val="Tabletext"/>
              <w:rPr>
                <w:b/>
              </w:rPr>
            </w:pPr>
          </w:p>
        </w:tc>
        <w:tc>
          <w:tcPr>
            <w:tcW w:w="1404"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404"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53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Contractual financial liabilities</w:t>
            </w:r>
          </w:p>
        </w:tc>
        <w:tc>
          <w:tcPr>
            <w:tcW w:w="1404"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404"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533" w:type="dxa"/>
            <w:tcBorders>
              <w:top w:val="nil"/>
              <w:left w:val="nil"/>
              <w:bottom w:val="nil"/>
              <w:right w:val="nil"/>
            </w:tcBorders>
            <w:shd w:val="clear" w:color="auto" w:fill="auto"/>
            <w:hideMark/>
          </w:tcPr>
          <w:p w:rsidR="004843DB" w:rsidRPr="0062582F" w:rsidRDefault="004843DB" w:rsidP="004843DB">
            <w:pPr>
              <w:pStyle w:val="Tabletext"/>
            </w:pPr>
            <w:r w:rsidRPr="0062582F">
              <w:t>Financial liabilities at amortised cost</w:t>
            </w:r>
          </w:p>
        </w:tc>
        <w:tc>
          <w:tcPr>
            <w:tcW w:w="140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2 270</w:t>
            </w:r>
          </w:p>
        </w:tc>
        <w:tc>
          <w:tcPr>
            <w:tcW w:w="1404"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(1 789)</w:t>
            </w:r>
          </w:p>
        </w:tc>
      </w:tr>
      <w:tr w:rsidR="004843DB" w:rsidRPr="0062582F" w:rsidTr="004843DB">
        <w:trPr>
          <w:cantSplit/>
        </w:trPr>
        <w:tc>
          <w:tcPr>
            <w:tcW w:w="553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Financial liabilities designated at fair value through profit/loss</w:t>
            </w:r>
          </w:p>
        </w:tc>
        <w:tc>
          <w:tcPr>
            <w:tcW w:w="1404"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404"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53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contractual financial liabilities</w:t>
            </w:r>
          </w:p>
        </w:tc>
        <w:tc>
          <w:tcPr>
            <w:tcW w:w="1404"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2 270</w:t>
            </w:r>
          </w:p>
        </w:tc>
        <w:tc>
          <w:tcPr>
            <w:tcW w:w="140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(1 789)</w:t>
            </w:r>
          </w:p>
        </w:tc>
      </w:tr>
      <w:tr w:rsidR="004843DB" w:rsidRPr="0062582F" w:rsidTr="004843DB">
        <w:trPr>
          <w:cantSplit/>
          <w:trHeight w:hRule="exact" w:val="120"/>
        </w:trPr>
        <w:tc>
          <w:tcPr>
            <w:tcW w:w="5533" w:type="dxa"/>
            <w:tcBorders>
              <w:top w:val="single" w:sz="12" w:space="0" w:color="auto"/>
              <w:left w:val="nil"/>
              <w:bottom w:val="single" w:sz="4" w:space="0" w:color="auto"/>
              <w:right w:val="nil"/>
            </w:tcBorders>
            <w:shd w:val="clear" w:color="auto" w:fill="auto"/>
          </w:tcPr>
          <w:p w:rsidR="004843DB" w:rsidRPr="0062582F" w:rsidDel="000C6415" w:rsidRDefault="004843DB" w:rsidP="004843DB">
            <w:pPr>
              <w:pStyle w:val="TabletextheadingLeft"/>
            </w:pPr>
          </w:p>
        </w:tc>
        <w:tc>
          <w:tcPr>
            <w:tcW w:w="1404" w:type="dxa"/>
            <w:tcBorders>
              <w:top w:val="single" w:sz="12" w:space="0" w:color="auto"/>
              <w:left w:val="nil"/>
              <w:bottom w:val="single" w:sz="4" w:space="0" w:color="auto"/>
              <w:right w:val="nil"/>
            </w:tcBorders>
            <w:shd w:val="clear" w:color="00FFFF" w:fill="CCCCCC"/>
          </w:tcPr>
          <w:p w:rsidR="004843DB" w:rsidRPr="0062582F" w:rsidRDefault="004843DB" w:rsidP="004843DB">
            <w:pPr>
              <w:pStyle w:val="TableofFigures"/>
              <w:rPr>
                <w:i/>
              </w:rPr>
            </w:pPr>
          </w:p>
        </w:tc>
        <w:tc>
          <w:tcPr>
            <w:tcW w:w="1404" w:type="dxa"/>
            <w:tcBorders>
              <w:top w:val="single" w:sz="12" w:space="0" w:color="auto"/>
              <w:left w:val="nil"/>
              <w:bottom w:val="single" w:sz="4" w:space="0" w:color="auto"/>
              <w:right w:val="nil"/>
            </w:tcBorders>
            <w:shd w:val="clear" w:color="auto" w:fill="auto"/>
          </w:tcPr>
          <w:p w:rsidR="004843DB" w:rsidRPr="0062582F" w:rsidRDefault="004843DB" w:rsidP="004843DB">
            <w:pPr>
              <w:pStyle w:val="TableofFigures"/>
              <w:rPr>
                <w:i/>
              </w:rPr>
            </w:pPr>
          </w:p>
        </w:tc>
      </w:tr>
      <w:tr w:rsidR="004843DB" w:rsidRPr="0062582F" w:rsidTr="004843DB">
        <w:trPr>
          <w:cantSplit/>
          <w:trHeight w:val="220"/>
        </w:trPr>
        <w:tc>
          <w:tcPr>
            <w:tcW w:w="5533" w:type="dxa"/>
            <w:tcBorders>
              <w:top w:val="single" w:sz="4" w:space="0" w:color="auto"/>
              <w:left w:val="nil"/>
              <w:right w:val="nil"/>
            </w:tcBorders>
            <w:shd w:val="clear" w:color="auto" w:fill="auto"/>
            <w:hideMark/>
          </w:tcPr>
          <w:p w:rsidR="004843DB" w:rsidRPr="0062582F" w:rsidRDefault="004843DB" w:rsidP="004843DB">
            <w:pPr>
              <w:pStyle w:val="TabletextheadingLeft"/>
            </w:pPr>
            <w:r w:rsidRPr="0062582F">
              <w:t>2015</w:t>
            </w:r>
          </w:p>
        </w:tc>
        <w:tc>
          <w:tcPr>
            <w:tcW w:w="1404" w:type="dxa"/>
            <w:tcBorders>
              <w:top w:val="single" w:sz="4" w:space="0" w:color="auto"/>
              <w:left w:val="nil"/>
              <w:right w:val="nil"/>
            </w:tcBorders>
            <w:shd w:val="clear" w:color="00FFFF" w:fill="CCCCCC"/>
            <w:hideMark/>
          </w:tcPr>
          <w:p w:rsidR="004843DB" w:rsidRPr="0062582F" w:rsidRDefault="004843DB" w:rsidP="004843DB">
            <w:pPr>
              <w:pStyle w:val="TableofFigures"/>
              <w:rPr>
                <w:i/>
              </w:rPr>
            </w:pPr>
          </w:p>
        </w:tc>
        <w:tc>
          <w:tcPr>
            <w:tcW w:w="1404" w:type="dxa"/>
            <w:tcBorders>
              <w:top w:val="single" w:sz="4" w:space="0" w:color="auto"/>
              <w:left w:val="nil"/>
              <w:right w:val="nil"/>
            </w:tcBorders>
            <w:shd w:val="clear" w:color="auto" w:fill="auto"/>
            <w:hideMark/>
          </w:tcPr>
          <w:p w:rsidR="004843DB" w:rsidRPr="0062582F" w:rsidRDefault="004843DB" w:rsidP="004843DB">
            <w:pPr>
              <w:pStyle w:val="TableofFigures"/>
              <w:rPr>
                <w:i/>
              </w:rPr>
            </w:pPr>
          </w:p>
        </w:tc>
      </w:tr>
      <w:tr w:rsidR="004843DB" w:rsidRPr="0062582F" w:rsidTr="004843DB">
        <w:trPr>
          <w:cantSplit/>
          <w:trHeight w:val="220"/>
        </w:trPr>
        <w:tc>
          <w:tcPr>
            <w:tcW w:w="5533" w:type="dxa"/>
            <w:tcBorders>
              <w:left w:val="nil"/>
              <w:bottom w:val="nil"/>
              <w:right w:val="nil"/>
            </w:tcBorders>
            <w:shd w:val="clear" w:color="auto" w:fill="auto"/>
            <w:hideMark/>
          </w:tcPr>
          <w:p w:rsidR="004843DB" w:rsidRPr="0062582F" w:rsidRDefault="004843DB" w:rsidP="004843DB">
            <w:pPr>
              <w:pStyle w:val="Tabletext"/>
              <w:rPr>
                <w:b/>
              </w:rPr>
            </w:pPr>
            <w:r w:rsidRPr="0062582F">
              <w:rPr>
                <w:b/>
              </w:rPr>
              <w:t>Contractual financial assets</w:t>
            </w:r>
          </w:p>
        </w:tc>
        <w:tc>
          <w:tcPr>
            <w:tcW w:w="1404" w:type="dxa"/>
            <w:tcBorders>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w:t>
            </w:r>
          </w:p>
        </w:tc>
        <w:tc>
          <w:tcPr>
            <w:tcW w:w="1404" w:type="dxa"/>
            <w:tcBorders>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Height w:val="220"/>
        </w:trPr>
        <w:tc>
          <w:tcPr>
            <w:tcW w:w="5533" w:type="dxa"/>
            <w:tcBorders>
              <w:top w:val="nil"/>
              <w:left w:val="nil"/>
              <w:bottom w:val="nil"/>
              <w:right w:val="nil"/>
            </w:tcBorders>
            <w:shd w:val="clear" w:color="auto" w:fill="auto"/>
            <w:hideMark/>
          </w:tcPr>
          <w:p w:rsidR="004843DB" w:rsidRPr="0062582F" w:rsidRDefault="004843DB" w:rsidP="004843DB">
            <w:pPr>
              <w:pStyle w:val="Tabletext"/>
            </w:pPr>
            <w:r w:rsidRPr="0062582F">
              <w:t>Financial assets designated at fair value through profit/loss</w:t>
            </w:r>
          </w:p>
        </w:tc>
        <w:tc>
          <w:tcPr>
            <w:tcW w:w="140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400</w:t>
            </w:r>
          </w:p>
        </w:tc>
        <w:tc>
          <w:tcPr>
            <w:tcW w:w="1404"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1 262</w:t>
            </w:r>
          </w:p>
        </w:tc>
      </w:tr>
      <w:tr w:rsidR="004843DB" w:rsidRPr="0062582F" w:rsidTr="004843DB">
        <w:trPr>
          <w:cantSplit/>
          <w:trHeight w:val="220"/>
        </w:trPr>
        <w:tc>
          <w:tcPr>
            <w:tcW w:w="5533" w:type="dxa"/>
            <w:tcBorders>
              <w:top w:val="nil"/>
              <w:left w:val="nil"/>
              <w:bottom w:val="nil"/>
              <w:right w:val="nil"/>
            </w:tcBorders>
            <w:shd w:val="clear" w:color="auto" w:fill="auto"/>
            <w:hideMark/>
          </w:tcPr>
          <w:p w:rsidR="004843DB" w:rsidRPr="0062582F" w:rsidRDefault="004843DB" w:rsidP="004843DB">
            <w:pPr>
              <w:pStyle w:val="Tabletext"/>
            </w:pPr>
            <w:r w:rsidRPr="0062582F">
              <w:t>Financial assets – loans and receivables</w:t>
            </w:r>
          </w:p>
        </w:tc>
        <w:tc>
          <w:tcPr>
            <w:tcW w:w="140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210</w:t>
            </w:r>
          </w:p>
        </w:tc>
        <w:tc>
          <w:tcPr>
            <w:tcW w:w="1404"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1 635</w:t>
            </w:r>
          </w:p>
        </w:tc>
      </w:tr>
      <w:tr w:rsidR="004843DB" w:rsidRPr="0062582F" w:rsidTr="004843DB">
        <w:trPr>
          <w:cantSplit/>
          <w:trHeight w:val="220"/>
        </w:trPr>
        <w:tc>
          <w:tcPr>
            <w:tcW w:w="5533" w:type="dxa"/>
            <w:tcBorders>
              <w:top w:val="nil"/>
              <w:left w:val="nil"/>
              <w:bottom w:val="nil"/>
              <w:right w:val="nil"/>
            </w:tcBorders>
            <w:shd w:val="clear" w:color="auto" w:fill="auto"/>
            <w:hideMark/>
          </w:tcPr>
          <w:p w:rsidR="004843DB" w:rsidRPr="0062582F" w:rsidRDefault="004843DB" w:rsidP="004843DB">
            <w:pPr>
              <w:pStyle w:val="Tabletext"/>
            </w:pPr>
            <w:r w:rsidRPr="0062582F">
              <w:t>Financial assets available</w:t>
            </w:r>
            <w:r w:rsidR="005A4BB0">
              <w:noBreakHyphen/>
            </w:r>
            <w:r w:rsidRPr="0062582F">
              <w:t>for</w:t>
            </w:r>
            <w:r w:rsidR="005A4BB0">
              <w:noBreakHyphen/>
            </w:r>
            <w:r w:rsidRPr="0062582F">
              <w:t>sale recognised in net result</w:t>
            </w:r>
          </w:p>
        </w:tc>
        <w:tc>
          <w:tcPr>
            <w:tcW w:w="140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404"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val="220"/>
        </w:trPr>
        <w:tc>
          <w:tcPr>
            <w:tcW w:w="553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Financial assets available</w:t>
            </w:r>
            <w:r w:rsidR="005A4BB0">
              <w:noBreakHyphen/>
            </w:r>
            <w:r w:rsidRPr="0062582F">
              <w:t>for</w:t>
            </w:r>
            <w:r w:rsidR="005A4BB0">
              <w:noBreakHyphen/>
            </w:r>
            <w:r w:rsidRPr="0062582F">
              <w:t>sale recognised in other comprehensive result</w:t>
            </w:r>
          </w:p>
        </w:tc>
        <w:tc>
          <w:tcPr>
            <w:tcW w:w="1404"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1 146</w:t>
            </w:r>
          </w:p>
        </w:tc>
        <w:tc>
          <w:tcPr>
            <w:tcW w:w="1404"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val="220"/>
        </w:trPr>
        <w:tc>
          <w:tcPr>
            <w:tcW w:w="553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contractual financial assets</w:t>
            </w:r>
          </w:p>
        </w:tc>
        <w:tc>
          <w:tcPr>
            <w:tcW w:w="1404"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1 756</w:t>
            </w:r>
          </w:p>
        </w:tc>
        <w:tc>
          <w:tcPr>
            <w:tcW w:w="140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2 897</w:t>
            </w:r>
          </w:p>
        </w:tc>
      </w:tr>
      <w:tr w:rsidR="004843DB" w:rsidRPr="0062582F" w:rsidTr="004843DB">
        <w:trPr>
          <w:cantSplit/>
          <w:trHeight w:hRule="exact" w:val="120"/>
        </w:trPr>
        <w:tc>
          <w:tcPr>
            <w:tcW w:w="5533" w:type="dxa"/>
            <w:tcBorders>
              <w:top w:val="single" w:sz="12" w:space="0" w:color="auto"/>
              <w:left w:val="nil"/>
              <w:bottom w:val="nil"/>
              <w:right w:val="nil"/>
            </w:tcBorders>
            <w:shd w:val="clear" w:color="auto" w:fill="auto"/>
            <w:hideMark/>
          </w:tcPr>
          <w:p w:rsidR="004843DB" w:rsidRPr="0062582F" w:rsidRDefault="004843DB" w:rsidP="004843DB">
            <w:pPr>
              <w:pStyle w:val="Tabletext"/>
            </w:pPr>
          </w:p>
        </w:tc>
        <w:tc>
          <w:tcPr>
            <w:tcW w:w="1404"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404"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Height w:val="220"/>
        </w:trPr>
        <w:tc>
          <w:tcPr>
            <w:tcW w:w="553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Contractual financial liabilities</w:t>
            </w:r>
          </w:p>
        </w:tc>
        <w:tc>
          <w:tcPr>
            <w:tcW w:w="1404"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404"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Height w:val="220"/>
        </w:trPr>
        <w:tc>
          <w:tcPr>
            <w:tcW w:w="5533" w:type="dxa"/>
            <w:tcBorders>
              <w:top w:val="nil"/>
              <w:left w:val="nil"/>
              <w:bottom w:val="nil"/>
              <w:right w:val="nil"/>
            </w:tcBorders>
            <w:shd w:val="clear" w:color="auto" w:fill="auto"/>
            <w:hideMark/>
          </w:tcPr>
          <w:p w:rsidR="004843DB" w:rsidRPr="0062582F" w:rsidRDefault="004843DB" w:rsidP="004843DB">
            <w:pPr>
              <w:pStyle w:val="Tabletext"/>
            </w:pPr>
            <w:r w:rsidRPr="0062582F">
              <w:t>Financial liabilities at amortised cost</w:t>
            </w:r>
          </w:p>
        </w:tc>
        <w:tc>
          <w:tcPr>
            <w:tcW w:w="1404"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2 025</w:t>
            </w:r>
          </w:p>
        </w:tc>
        <w:tc>
          <w:tcPr>
            <w:tcW w:w="1404"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(1 904)</w:t>
            </w:r>
          </w:p>
        </w:tc>
      </w:tr>
      <w:tr w:rsidR="004843DB" w:rsidRPr="0062582F" w:rsidTr="004843DB">
        <w:trPr>
          <w:cantSplit/>
          <w:trHeight w:val="220"/>
        </w:trPr>
        <w:tc>
          <w:tcPr>
            <w:tcW w:w="553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Financial liabilities designated at fair value through profit/loss</w:t>
            </w:r>
          </w:p>
        </w:tc>
        <w:tc>
          <w:tcPr>
            <w:tcW w:w="1404"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404"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Height w:val="220"/>
        </w:trPr>
        <w:tc>
          <w:tcPr>
            <w:tcW w:w="553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contractual financial liabilities</w:t>
            </w:r>
          </w:p>
        </w:tc>
        <w:tc>
          <w:tcPr>
            <w:tcW w:w="1404"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2 025</w:t>
            </w:r>
          </w:p>
        </w:tc>
        <w:tc>
          <w:tcPr>
            <w:tcW w:w="140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(1 904)</w:t>
            </w:r>
          </w:p>
        </w:tc>
      </w:tr>
    </w:tbl>
    <w:p w:rsidR="004843DB" w:rsidRPr="0062582F" w:rsidRDefault="004843DB" w:rsidP="004843DB">
      <w:pPr>
        <w:pStyle w:val="Notes"/>
      </w:pPr>
      <w:r w:rsidRPr="0062582F">
        <w:t>Note:</w:t>
      </w:r>
    </w:p>
    <w:p w:rsidR="004843DB" w:rsidRPr="0062582F" w:rsidRDefault="004843DB" w:rsidP="004843DB">
      <w:pPr>
        <w:pStyle w:val="Notes"/>
      </w:pPr>
      <w:r w:rsidRPr="0062582F">
        <w:t>(i)</w:t>
      </w:r>
      <w:r w:rsidRPr="0062582F">
        <w:tab/>
        <w:t>Amounts disclosed in this table exclude holding gains and losses related to statutory financial assets and liabilities.</w:t>
      </w:r>
    </w:p>
    <w:p w:rsidR="004843DB" w:rsidRPr="0062582F" w:rsidRDefault="004843DB" w:rsidP="004843DB"/>
    <w:p w:rsidR="004843DB" w:rsidRPr="0062582F" w:rsidRDefault="004843DB" w:rsidP="004843DB">
      <w:pPr>
        <w:pStyle w:val="million"/>
        <w:rPr>
          <w:rFonts w:ascii="Garamond" w:hAnsi="Garamond" w:cs="Times New Roman"/>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6B63CC">
      <w:pPr>
        <w:pStyle w:val="NoteHeadingcontinued"/>
        <w:spacing w:before="200" w:after="140"/>
      </w:pPr>
    </w:p>
    <w:p w:rsidR="004843DB" w:rsidRPr="0062582F" w:rsidRDefault="004843DB" w:rsidP="00E348C3">
      <w:pPr>
        <w:pStyle w:val="Tableheading"/>
      </w:pPr>
    </w:p>
    <w:p w:rsidR="004843DB" w:rsidRPr="0062582F" w:rsidRDefault="004843DB" w:rsidP="004843DB">
      <w:pPr>
        <w:pStyle w:val="million"/>
        <w:spacing w:before="0"/>
      </w:pPr>
    </w:p>
    <w:tbl>
      <w:tblPr>
        <w:tblW w:w="0" w:type="auto"/>
        <w:tblInd w:w="108" w:type="dxa"/>
        <w:tblLayout w:type="fixed"/>
        <w:tblLook w:val="04A0" w:firstRow="1" w:lastRow="0" w:firstColumn="1" w:lastColumn="0" w:noHBand="0" w:noVBand="1"/>
      </w:tblPr>
      <w:tblGrid>
        <w:gridCol w:w="1590"/>
        <w:gridCol w:w="1590"/>
        <w:gridCol w:w="1590"/>
      </w:tblGrid>
      <w:tr w:rsidR="004843DB" w:rsidRPr="0062582F" w:rsidTr="004843DB">
        <w:trPr>
          <w:cantSplit/>
          <w:trHeight w:val="220"/>
        </w:trPr>
        <w:tc>
          <w:tcPr>
            <w:tcW w:w="1590" w:type="dxa"/>
            <w:tcBorders>
              <w:top w:val="single" w:sz="4" w:space="0" w:color="auto"/>
              <w:left w:val="nil"/>
              <w:bottom w:val="single" w:sz="4" w:space="0" w:color="auto"/>
              <w:right w:val="nil"/>
            </w:tcBorders>
            <w:shd w:val="clear" w:color="00FFFF" w:fill="CCCCCC"/>
            <w:hideMark/>
          </w:tcPr>
          <w:p w:rsidR="004843DB" w:rsidRPr="0062582F" w:rsidRDefault="004843DB" w:rsidP="004843DB">
            <w:pPr>
              <w:pStyle w:val="Tabletextheading"/>
            </w:pPr>
            <w:r w:rsidRPr="0062582F">
              <w:t>Fee income/(expense)</w:t>
            </w:r>
          </w:p>
        </w:tc>
        <w:tc>
          <w:tcPr>
            <w:tcW w:w="1590"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br/>
              <w:t>Impairment loss</w:t>
            </w:r>
          </w:p>
        </w:tc>
        <w:tc>
          <w:tcPr>
            <w:tcW w:w="1590" w:type="dxa"/>
            <w:tcBorders>
              <w:top w:val="single" w:sz="4" w:space="0" w:color="auto"/>
              <w:left w:val="nil"/>
              <w:bottom w:val="single" w:sz="4" w:space="0" w:color="auto"/>
              <w:right w:val="nil"/>
            </w:tcBorders>
            <w:shd w:val="clear" w:color="00FFFF" w:fill="CCCCCC"/>
            <w:hideMark/>
          </w:tcPr>
          <w:p w:rsidR="004843DB" w:rsidRPr="0062582F" w:rsidRDefault="004843DB" w:rsidP="004843DB">
            <w:pPr>
              <w:pStyle w:val="Tabletextheading"/>
            </w:pPr>
            <w:r w:rsidRPr="0062582F">
              <w:br/>
              <w:t>Total</w:t>
            </w:r>
          </w:p>
        </w:tc>
      </w:tr>
      <w:tr w:rsidR="004843DB" w:rsidRPr="0062582F" w:rsidTr="004843DB">
        <w:trPr>
          <w:cantSplit/>
          <w:trHeight w:val="220"/>
        </w:trPr>
        <w:tc>
          <w:tcPr>
            <w:tcW w:w="159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5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590"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r>
      <w:tr w:rsidR="004843DB" w:rsidRPr="0062582F" w:rsidTr="004843DB">
        <w:trPr>
          <w:cantSplit/>
          <w:trHeight w:val="220"/>
        </w:trPr>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5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1 754</w:t>
            </w:r>
          </w:p>
        </w:tc>
      </w:tr>
      <w:tr w:rsidR="004843DB" w:rsidRPr="0062582F" w:rsidTr="004843DB">
        <w:trPr>
          <w:cantSplit/>
          <w:trHeight w:val="220"/>
        </w:trPr>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5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(380)</w:t>
            </w:r>
          </w:p>
        </w:tc>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1 399</w:t>
            </w:r>
          </w:p>
        </w:tc>
      </w:tr>
      <w:tr w:rsidR="004843DB" w:rsidRPr="0062582F" w:rsidTr="004843DB">
        <w:trPr>
          <w:cantSplit/>
          <w:trHeight w:val="220"/>
        </w:trPr>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5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(920)</w:t>
            </w:r>
          </w:p>
        </w:tc>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(920)</w:t>
            </w:r>
          </w:p>
        </w:tc>
      </w:tr>
      <w:tr w:rsidR="004843DB" w:rsidRPr="0062582F" w:rsidTr="004843DB">
        <w:trPr>
          <w:cantSplit/>
          <w:trHeight w:val="220"/>
        </w:trPr>
        <w:tc>
          <w:tcPr>
            <w:tcW w:w="15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r w:rsidRPr="0062582F">
              <w:br/>
            </w:r>
          </w:p>
        </w:tc>
        <w:tc>
          <w:tcPr>
            <w:tcW w:w="159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5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(1 523)</w:t>
            </w:r>
          </w:p>
        </w:tc>
      </w:tr>
      <w:tr w:rsidR="004843DB" w:rsidRPr="0062582F" w:rsidTr="004843DB">
        <w:trPr>
          <w:cantSplit/>
          <w:trHeight w:val="220"/>
        </w:trPr>
        <w:tc>
          <w:tcPr>
            <w:tcW w:w="15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159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(1 300)</w:t>
            </w:r>
          </w:p>
        </w:tc>
        <w:tc>
          <w:tcPr>
            <w:tcW w:w="15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710</w:t>
            </w:r>
          </w:p>
        </w:tc>
      </w:tr>
      <w:tr w:rsidR="004843DB" w:rsidRPr="0062582F" w:rsidTr="004843DB">
        <w:trPr>
          <w:cantSplit/>
          <w:trHeight w:hRule="exact" w:val="120"/>
        </w:trPr>
        <w:tc>
          <w:tcPr>
            <w:tcW w:w="1590"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59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590"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r>
      <w:tr w:rsidR="004843DB" w:rsidRPr="0062582F" w:rsidTr="004843DB">
        <w:trPr>
          <w:cantSplit/>
          <w:trHeight w:val="220"/>
        </w:trPr>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5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r>
      <w:tr w:rsidR="004843DB" w:rsidRPr="0062582F" w:rsidTr="004843DB">
        <w:trPr>
          <w:cantSplit/>
          <w:trHeight w:val="220"/>
        </w:trPr>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307</w:t>
            </w:r>
          </w:p>
        </w:tc>
        <w:tc>
          <w:tcPr>
            <w:tcW w:w="15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788</w:t>
            </w:r>
          </w:p>
        </w:tc>
      </w:tr>
      <w:tr w:rsidR="004843DB" w:rsidRPr="0062582F" w:rsidTr="004843DB">
        <w:trPr>
          <w:cantSplit/>
          <w:trHeight w:val="220"/>
        </w:trPr>
        <w:tc>
          <w:tcPr>
            <w:tcW w:w="15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59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5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r>
      <w:tr w:rsidR="004843DB" w:rsidRPr="0062582F" w:rsidTr="004843DB">
        <w:trPr>
          <w:cantSplit/>
          <w:trHeight w:val="220"/>
        </w:trPr>
        <w:tc>
          <w:tcPr>
            <w:tcW w:w="15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307</w:t>
            </w:r>
          </w:p>
        </w:tc>
        <w:tc>
          <w:tcPr>
            <w:tcW w:w="159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5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788</w:t>
            </w:r>
          </w:p>
        </w:tc>
      </w:tr>
      <w:tr w:rsidR="004843DB" w:rsidRPr="0062582F" w:rsidTr="004843DB">
        <w:trPr>
          <w:cantSplit/>
          <w:trHeight w:hRule="exact" w:val="120"/>
        </w:trPr>
        <w:tc>
          <w:tcPr>
            <w:tcW w:w="1590" w:type="dxa"/>
            <w:tcBorders>
              <w:top w:val="single" w:sz="12" w:space="0" w:color="auto"/>
              <w:left w:val="nil"/>
              <w:bottom w:val="single" w:sz="4" w:space="0" w:color="auto"/>
              <w:right w:val="nil"/>
            </w:tcBorders>
            <w:shd w:val="clear" w:color="000000" w:fill="CCCCCC"/>
            <w:noWrap/>
            <w:hideMark/>
          </w:tcPr>
          <w:p w:rsidR="004843DB" w:rsidRPr="0062582F" w:rsidRDefault="004843DB" w:rsidP="004843DB">
            <w:pPr>
              <w:pStyle w:val="TableofFigures"/>
            </w:pPr>
            <w:r w:rsidRPr="0062582F">
              <w:t xml:space="preserve"> </w:t>
            </w:r>
          </w:p>
        </w:tc>
        <w:tc>
          <w:tcPr>
            <w:tcW w:w="1590" w:type="dxa"/>
            <w:tcBorders>
              <w:top w:val="single" w:sz="12" w:space="0" w:color="auto"/>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w:t>
            </w:r>
          </w:p>
        </w:tc>
        <w:tc>
          <w:tcPr>
            <w:tcW w:w="1590" w:type="dxa"/>
            <w:tcBorders>
              <w:top w:val="single" w:sz="12" w:space="0" w:color="auto"/>
              <w:left w:val="nil"/>
              <w:bottom w:val="single" w:sz="4" w:space="0" w:color="auto"/>
              <w:right w:val="nil"/>
            </w:tcBorders>
            <w:shd w:val="clear" w:color="000000" w:fill="CCCCCC"/>
            <w:noWrap/>
            <w:hideMark/>
          </w:tcPr>
          <w:p w:rsidR="004843DB" w:rsidRPr="0062582F" w:rsidRDefault="004843DB" w:rsidP="004843DB">
            <w:pPr>
              <w:pStyle w:val="TableofFigures"/>
            </w:pPr>
            <w:r w:rsidRPr="0062582F">
              <w:t xml:space="preserve"> </w:t>
            </w:r>
          </w:p>
        </w:tc>
      </w:tr>
      <w:tr w:rsidR="004843DB" w:rsidRPr="0062582F" w:rsidTr="004843DB">
        <w:trPr>
          <w:cantSplit/>
          <w:trHeight w:val="220"/>
        </w:trPr>
        <w:tc>
          <w:tcPr>
            <w:tcW w:w="1590" w:type="dxa"/>
            <w:tcBorders>
              <w:top w:val="single" w:sz="4"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59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590" w:type="dxa"/>
            <w:tcBorders>
              <w:top w:val="single" w:sz="4"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r>
      <w:tr w:rsidR="004843DB" w:rsidRPr="0062582F" w:rsidTr="004843DB">
        <w:trPr>
          <w:cantSplit/>
          <w:trHeight w:val="220"/>
        </w:trPr>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5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1 662</w:t>
            </w:r>
          </w:p>
        </w:tc>
      </w:tr>
      <w:tr w:rsidR="004843DB" w:rsidRPr="0062582F" w:rsidTr="004843DB">
        <w:trPr>
          <w:cantSplit/>
          <w:trHeight w:val="220"/>
        </w:trPr>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5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(276)</w:t>
            </w:r>
          </w:p>
        </w:tc>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1 569</w:t>
            </w:r>
          </w:p>
        </w:tc>
      </w:tr>
      <w:tr w:rsidR="004843DB" w:rsidRPr="0062582F" w:rsidTr="004843DB">
        <w:trPr>
          <w:cantSplit/>
          <w:trHeight w:val="220"/>
        </w:trPr>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5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r>
      <w:tr w:rsidR="004843DB" w:rsidRPr="0062582F" w:rsidTr="004843DB">
        <w:trPr>
          <w:cantSplit/>
          <w:trHeight w:val="220"/>
        </w:trPr>
        <w:tc>
          <w:tcPr>
            <w:tcW w:w="15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r w:rsidRPr="0062582F">
              <w:br/>
            </w:r>
            <w:r>
              <w:br/>
            </w:r>
          </w:p>
        </w:tc>
        <w:tc>
          <w:tcPr>
            <w:tcW w:w="159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5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1 146</w:t>
            </w:r>
          </w:p>
        </w:tc>
      </w:tr>
      <w:tr w:rsidR="004843DB" w:rsidRPr="0062582F" w:rsidTr="004843DB">
        <w:trPr>
          <w:cantSplit/>
          <w:trHeight w:val="220"/>
        </w:trPr>
        <w:tc>
          <w:tcPr>
            <w:tcW w:w="15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159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(276)</w:t>
            </w:r>
          </w:p>
        </w:tc>
        <w:tc>
          <w:tcPr>
            <w:tcW w:w="15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4 377</w:t>
            </w:r>
          </w:p>
        </w:tc>
      </w:tr>
      <w:tr w:rsidR="004843DB" w:rsidRPr="0062582F" w:rsidTr="004843DB">
        <w:trPr>
          <w:cantSplit/>
          <w:trHeight w:hRule="exact" w:val="120"/>
        </w:trPr>
        <w:tc>
          <w:tcPr>
            <w:tcW w:w="1590"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59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590"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r>
      <w:tr w:rsidR="004843DB" w:rsidRPr="0062582F" w:rsidTr="004843DB">
        <w:trPr>
          <w:cantSplit/>
          <w:trHeight w:val="220"/>
        </w:trPr>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5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r>
      <w:tr w:rsidR="004843DB" w:rsidRPr="0062582F" w:rsidTr="004843DB">
        <w:trPr>
          <w:cantSplit/>
          <w:trHeight w:val="220"/>
        </w:trPr>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144</w:t>
            </w:r>
          </w:p>
        </w:tc>
        <w:tc>
          <w:tcPr>
            <w:tcW w:w="159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59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265</w:t>
            </w:r>
          </w:p>
        </w:tc>
      </w:tr>
      <w:tr w:rsidR="004843DB" w:rsidRPr="0062582F" w:rsidTr="004843DB">
        <w:trPr>
          <w:cantSplit/>
          <w:trHeight w:val="220"/>
        </w:trPr>
        <w:tc>
          <w:tcPr>
            <w:tcW w:w="15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59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59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r>
      <w:tr w:rsidR="004843DB" w:rsidRPr="0062582F" w:rsidTr="004843DB">
        <w:trPr>
          <w:cantSplit/>
          <w:trHeight w:val="220"/>
        </w:trPr>
        <w:tc>
          <w:tcPr>
            <w:tcW w:w="15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144</w:t>
            </w:r>
          </w:p>
        </w:tc>
        <w:tc>
          <w:tcPr>
            <w:tcW w:w="159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159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265</w:t>
            </w:r>
          </w:p>
        </w:tc>
      </w:tr>
    </w:tbl>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Pr>
        <w:pStyle w:val="Heading5"/>
        <w:rPr>
          <w:rFonts w:ascii="Garamond" w:hAnsi="Garamond" w:cs="Times New Roman"/>
        </w:rPr>
        <w:sectPr w:rsidR="004843DB" w:rsidRPr="0062582F" w:rsidSect="00190A01">
          <w:headerReference w:type="even" r:id="rId309"/>
          <w:headerReference w:type="default" r:id="rId310"/>
          <w:footerReference w:type="even" r:id="rId311"/>
          <w:footerReference w:type="default" r:id="rId312"/>
          <w:headerReference w:type="first" r:id="rId313"/>
          <w:pgSz w:w="11906" w:h="16838" w:code="9"/>
          <w:pgMar w:top="1152" w:right="864" w:bottom="1152" w:left="864" w:header="432" w:footer="432" w:gutter="0"/>
          <w:cols w:space="360"/>
          <w:rtlGutter/>
        </w:sectPr>
      </w:pPr>
    </w:p>
    <w:p w:rsidR="004843DB" w:rsidRPr="0062582F" w:rsidRDefault="004843DB" w:rsidP="004843DB">
      <w:pPr>
        <w:pStyle w:val="NoteHeadingcontinued"/>
      </w:pPr>
      <w:r w:rsidRPr="0062582F">
        <w:br w:type="column"/>
        <w:t>Note 33.</w:t>
      </w:r>
      <w:r w:rsidRPr="0062582F">
        <w:tab/>
        <w:t xml:space="preserve">Financial instruments </w:t>
      </w:r>
      <w:r w:rsidRPr="0062582F">
        <w:rPr>
          <w:i/>
        </w:rPr>
        <w:t>(continued)</w:t>
      </w:r>
    </w:p>
    <w:p w:rsidR="004843DB" w:rsidRPr="0062582F" w:rsidRDefault="004843DB" w:rsidP="004843DB">
      <w:r w:rsidRPr="0062582F">
        <w:t>The net holding gains or losses disclosed above are determined as follows:</w:t>
      </w:r>
    </w:p>
    <w:p w:rsidR="004843DB" w:rsidRPr="0062582F" w:rsidRDefault="004843DB" w:rsidP="004843DB">
      <w:pPr>
        <w:pStyle w:val="Bullet"/>
      </w:pPr>
      <w:r w:rsidRPr="0062582F">
        <w:t>for cash and cash equivalents, loans or receivables and available</w:t>
      </w:r>
      <w:r w:rsidR="005A4BB0">
        <w:noBreakHyphen/>
      </w:r>
      <w:r w:rsidRPr="0062582F">
        <w:t>for</w:t>
      </w:r>
      <w:r w:rsidR="005A4BB0">
        <w:noBreakHyphen/>
      </w:r>
      <w:r w:rsidRPr="0062582F">
        <w:t>sale financial assets, the net gain or loss is calculated by taking the movement in the fair value of the asset, the interest income, plus or minus foreign exchange gains or losses arising from revaluation of the financial assets, and minus any impairment recognised in the net result;</w:t>
      </w:r>
    </w:p>
    <w:p w:rsidR="004843DB" w:rsidRPr="0062582F" w:rsidRDefault="004843DB" w:rsidP="004843DB">
      <w:pPr>
        <w:pStyle w:val="Bullet"/>
      </w:pPr>
      <w:r w:rsidRPr="0062582F">
        <w:t>for financial liabilities measured at amortised cost, the net gain or loss is calculated by taking the interest expense, plus or minus foreign exchange gains or losses arising from the revaluation of financial liabilities measured at amortised cost; and</w:t>
      </w:r>
    </w:p>
    <w:p w:rsidR="004843DB" w:rsidRPr="0062582F" w:rsidRDefault="004843DB" w:rsidP="004843DB">
      <w:pPr>
        <w:pStyle w:val="Bullet"/>
      </w:pPr>
      <w:r w:rsidRPr="0062582F">
        <w:t>for financial asset and liabilities that are held for trading or designated at fair value through profit or loss, the net gain or loss is calculated by taking the movement in the fair value of the financial asset or liability.</w:t>
      </w:r>
    </w:p>
    <w:p w:rsidR="004843DB" w:rsidRPr="0062582F" w:rsidRDefault="004843DB" w:rsidP="004843DB"/>
    <w:p w:rsidR="004843DB" w:rsidRPr="0062582F" w:rsidRDefault="004843DB" w:rsidP="004843DB">
      <w:pPr>
        <w:pStyle w:val="CommentaryHeading"/>
      </w:pPr>
      <w:r w:rsidRPr="0062582F">
        <w:t>Commentary – Categorisation of financial instruments</w:t>
      </w:r>
    </w:p>
    <w:p w:rsidR="004843DB" w:rsidRPr="0062582F" w:rsidRDefault="004843DB" w:rsidP="004843DB">
      <w:pPr>
        <w:pStyle w:val="SmallLineBlue"/>
        <w:pBdr>
          <w:bottom w:val="none" w:sz="0" w:space="0" w:color="auto"/>
        </w:pBdr>
      </w:pPr>
    </w:p>
    <w:p w:rsidR="004843DB" w:rsidRPr="0062582F" w:rsidRDefault="004843DB" w:rsidP="004843DB">
      <w:pPr>
        <w:pStyle w:val="SmallLine"/>
        <w:sectPr w:rsidR="004843DB" w:rsidRPr="0062582F" w:rsidSect="00190A01">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0"/>
        <w:rPr>
          <w:lang w:val="en-AU"/>
        </w:rPr>
      </w:pPr>
      <w:r w:rsidRPr="0062582F">
        <w:rPr>
          <w:lang w:val="en-AU"/>
        </w:rPr>
        <w:t>AASB 7.8</w:t>
      </w:r>
    </w:p>
    <w:p w:rsidR="004843DB" w:rsidRPr="0062582F" w:rsidRDefault="004843DB" w:rsidP="004843DB">
      <w:pPr>
        <w:pStyle w:val="CommentaryHeading1"/>
        <w:pBdr>
          <w:top w:val="none" w:sz="0" w:space="0" w:color="auto"/>
          <w:bottom w:val="none" w:sz="0" w:space="0" w:color="auto"/>
        </w:pBdr>
        <w:rPr>
          <w:color w:val="3366FF"/>
        </w:rPr>
      </w:pPr>
      <w:r w:rsidRPr="0062582F">
        <w:br w:type="column"/>
        <w:t>Categories of financial instruments</w:t>
      </w:r>
    </w:p>
    <w:p w:rsidR="004843DB" w:rsidRPr="0062582F" w:rsidRDefault="004843DB" w:rsidP="004843DB">
      <w:pPr>
        <w:pStyle w:val="CommentaryText"/>
        <w:pBdr>
          <w:top w:val="none" w:sz="0" w:space="0" w:color="auto"/>
          <w:bottom w:val="none" w:sz="0" w:space="0" w:color="auto"/>
        </w:pBdr>
      </w:pPr>
      <w:r w:rsidRPr="0062582F">
        <w:t>An entity shall disclose the carrying amounts of the following categories either in the balance sheet or in the notes:</w:t>
      </w:r>
    </w:p>
    <w:p w:rsidR="004843DB" w:rsidRPr="0062582F" w:rsidRDefault="004843DB" w:rsidP="004843DB">
      <w:pPr>
        <w:pStyle w:val="CommentaryTextIndent"/>
        <w:pBdr>
          <w:top w:val="none" w:sz="0" w:space="0" w:color="auto"/>
          <w:bottom w:val="none" w:sz="0" w:space="0" w:color="auto"/>
        </w:pBdr>
      </w:pPr>
      <w:r w:rsidRPr="0062582F">
        <w:t>(a)</w:t>
      </w:r>
      <w:r w:rsidRPr="0062582F">
        <w:tab/>
        <w:t>financial instruments (contractual financial assets or financial liabilities) at fair value through profit or loss, showing separately: (i) those designated as such upon initial recognition; and (ii) those classified as held for trading in accordance with AASB 139;</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139.52</w:t>
      </w:r>
      <w:r w:rsidRPr="0062582F">
        <w:rPr>
          <w:lang w:val="en-AU"/>
        </w:rPr>
        <w:br/>
        <w:t>FRD 114A</w:t>
      </w:r>
    </w:p>
    <w:p w:rsidR="004843DB" w:rsidRPr="0062582F" w:rsidRDefault="004843DB" w:rsidP="004843DB">
      <w:pPr>
        <w:pStyle w:val="CommentaryTextIndent"/>
        <w:pBdr>
          <w:top w:val="none" w:sz="0" w:space="0" w:color="auto"/>
          <w:bottom w:val="none" w:sz="0" w:space="0" w:color="auto"/>
        </w:pBdr>
      </w:pPr>
      <w:r w:rsidRPr="0062582F">
        <w:br w:type="column"/>
        <w:t>(b)</w:t>
      </w:r>
      <w:r w:rsidRPr="0062582F">
        <w:tab/>
        <w:t>held</w:t>
      </w:r>
      <w:r w:rsidR="005A4BB0">
        <w:noBreakHyphen/>
      </w:r>
      <w:r w:rsidRPr="0062582F">
        <w:t>to</w:t>
      </w:r>
      <w:r w:rsidR="005A4BB0">
        <w:noBreakHyphen/>
      </w:r>
      <w:r w:rsidRPr="0062582F">
        <w:t>maturity investments;</w:t>
      </w:r>
    </w:p>
    <w:p w:rsidR="004843DB" w:rsidRPr="0062582F" w:rsidRDefault="004843DB" w:rsidP="004843DB">
      <w:pPr>
        <w:pStyle w:val="CommentaryTextIndent"/>
        <w:pBdr>
          <w:top w:val="none" w:sz="0" w:space="0" w:color="auto"/>
          <w:bottom w:val="none" w:sz="0" w:space="0" w:color="auto"/>
        </w:pBdr>
        <w:rPr>
          <w:b/>
        </w:rPr>
      </w:pPr>
      <w:r w:rsidRPr="0062582F">
        <w:tab/>
        <w:t>(</w:t>
      </w:r>
      <w:r w:rsidRPr="0062582F">
        <w:rPr>
          <w:b/>
        </w:rPr>
        <w:t>due to the risk of tainting and for consistency with the Government</w:t>
      </w:r>
      <w:r w:rsidR="005A4BB0">
        <w:rPr>
          <w:b/>
        </w:rPr>
        <w:t>’</w:t>
      </w:r>
      <w:r w:rsidRPr="0062582F">
        <w:rPr>
          <w:b/>
        </w:rPr>
        <w:t>s requirement to comply with AASB 1049, this category is only used in rare and exceptional circumstances);</w:t>
      </w:r>
    </w:p>
    <w:p w:rsidR="004843DB" w:rsidRPr="0062582F" w:rsidRDefault="004843DB" w:rsidP="004843DB">
      <w:pPr>
        <w:pStyle w:val="CommentaryTextIndent"/>
        <w:pBdr>
          <w:top w:val="none" w:sz="0" w:space="0" w:color="auto"/>
          <w:bottom w:val="none" w:sz="0" w:space="0" w:color="auto"/>
        </w:pBdr>
      </w:pPr>
      <w:r w:rsidRPr="0062582F">
        <w:t>(c)</w:t>
      </w:r>
      <w:r w:rsidRPr="0062582F">
        <w:tab/>
        <w:t>loans and receivables;</w:t>
      </w:r>
    </w:p>
    <w:p w:rsidR="004843DB" w:rsidRPr="0062582F" w:rsidRDefault="004843DB" w:rsidP="004843DB">
      <w:pPr>
        <w:pStyle w:val="CommentaryTextIndent"/>
        <w:pBdr>
          <w:top w:val="none" w:sz="0" w:space="0" w:color="auto"/>
          <w:bottom w:val="none" w:sz="0" w:space="0" w:color="auto"/>
        </w:pBdr>
      </w:pPr>
      <w:r w:rsidRPr="0062582F">
        <w:t>(d)</w:t>
      </w:r>
      <w:r w:rsidRPr="0062582F">
        <w:tab/>
        <w:t>available</w:t>
      </w:r>
      <w:r w:rsidR="005A4BB0">
        <w:noBreakHyphen/>
      </w:r>
      <w:r w:rsidRPr="0062582F">
        <w:t>for</w:t>
      </w:r>
      <w:r w:rsidR="005A4BB0">
        <w:noBreakHyphen/>
      </w:r>
      <w:r w:rsidRPr="0062582F">
        <w:t>sale financial assets; and</w:t>
      </w:r>
    </w:p>
    <w:p w:rsidR="004843DB" w:rsidRPr="0062582F" w:rsidRDefault="004843DB" w:rsidP="004843DB">
      <w:pPr>
        <w:pStyle w:val="CommentaryTextIndent"/>
        <w:pBdr>
          <w:top w:val="none" w:sz="0" w:space="0" w:color="auto"/>
          <w:bottom w:val="none" w:sz="0" w:space="0" w:color="auto"/>
        </w:pBdr>
      </w:pPr>
      <w:r w:rsidRPr="0062582F">
        <w:t xml:space="preserve">(e) </w:t>
      </w:r>
      <w:r w:rsidRPr="0062582F">
        <w:tab/>
        <w:t>financial liabilities measured at amortised cost.</w:t>
      </w:r>
    </w:p>
    <w:p w:rsidR="004843DB" w:rsidRPr="0062582F" w:rsidRDefault="004843DB" w:rsidP="004843DB">
      <w:pPr>
        <w:pStyle w:val="CommentaryText"/>
        <w:pBdr>
          <w:top w:val="none" w:sz="0" w:space="0" w:color="auto"/>
          <w:bottom w:val="none" w:sz="0" w:space="0" w:color="auto"/>
        </w:pBdr>
      </w:pPr>
      <w:r w:rsidRPr="0062582F">
        <w:t>Entities in the general government sector and public non</w:t>
      </w:r>
      <w:r w:rsidR="005A4BB0">
        <w:noBreakHyphen/>
      </w:r>
      <w:r w:rsidRPr="0062582F">
        <w:t>financial corporations sector can refer to FRD 114A for further guidance on the categorisation of financial instruments (FRD 116 for entities in the public financial corporations sector).</w:t>
      </w:r>
    </w:p>
    <w:p w:rsidR="004843DB" w:rsidRPr="0062582F" w:rsidRDefault="004843DB" w:rsidP="004843DB">
      <w:pPr>
        <w:pStyle w:val="CommentaryText"/>
        <w:pBdr>
          <w:top w:val="none" w:sz="0" w:space="0" w:color="auto"/>
          <w:bottom w:val="none" w:sz="0" w:space="0" w:color="auto"/>
        </w:pBdr>
      </w:pPr>
      <w:r w:rsidRPr="0062582F">
        <w:t xml:space="preserve">In relation to the illustrative example in Table 33.1, for departments, all trust balances in the Public Account should be included in the category </w:t>
      </w:r>
      <w:r w:rsidR="005A4BB0">
        <w:t>‘</w:t>
      </w:r>
      <w:r w:rsidRPr="0062582F">
        <w:t>cash and deposit</w:t>
      </w:r>
      <w:r w:rsidR="005A4BB0">
        <w:t>’</w:t>
      </w:r>
      <w:r w:rsidRPr="0062582F">
        <w:t>.</w:t>
      </w:r>
    </w:p>
    <w:p w:rsidR="004843DB" w:rsidRPr="0062582F" w:rsidRDefault="004843DB" w:rsidP="004843DB">
      <w:pPr>
        <w:pStyle w:val="CommentaryHeading1"/>
        <w:pBdr>
          <w:top w:val="none" w:sz="0" w:space="0" w:color="auto"/>
          <w:bottom w:val="none" w:sz="0" w:space="0" w:color="auto"/>
        </w:pBdr>
        <w:rPr>
          <w:lang w:val="fr-FR"/>
        </w:rPr>
      </w:pPr>
      <w:r w:rsidRPr="0062582F">
        <w:rPr>
          <w:lang w:val="fr-FR"/>
        </w:rPr>
        <w:t>Capital management objectives</w:t>
      </w:r>
    </w:p>
    <w:p w:rsidR="004843DB" w:rsidRPr="0062582F" w:rsidRDefault="004843DB" w:rsidP="004843DB">
      <w:pPr>
        <w:pStyle w:val="CommentaryText"/>
        <w:pBdr>
          <w:top w:val="none" w:sz="0" w:space="0" w:color="auto"/>
        </w:pBdr>
        <w:rPr>
          <w:lang w:val="fr-FR"/>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fr-FR"/>
        </w:rPr>
      </w:pPr>
      <w:r w:rsidRPr="0062582F">
        <w:rPr>
          <w:lang w:val="fr-FR"/>
        </w:rPr>
        <w:t>AASB 101.Aus1.7</w:t>
      </w:r>
    </w:p>
    <w:p w:rsidR="004843DB" w:rsidRPr="0062582F" w:rsidRDefault="004843DB" w:rsidP="004843DB">
      <w:pPr>
        <w:pStyle w:val="CommentaryText"/>
        <w:pBdr>
          <w:top w:val="none" w:sz="0" w:space="0" w:color="auto"/>
        </w:pBdr>
      </w:pPr>
      <w:r w:rsidRPr="0062582F">
        <w:br w:type="column"/>
        <w:t>Not</w:t>
      </w:r>
      <w:r w:rsidR="005A4BB0">
        <w:noBreakHyphen/>
      </w:r>
      <w:r w:rsidRPr="0062582F">
        <w:t>for</w:t>
      </w:r>
      <w:r w:rsidR="005A4BB0">
        <w:noBreakHyphen/>
      </w:r>
      <w:r w:rsidRPr="0062582F">
        <w:t>profit entities are exempt from the disclosure requirements of AASB 101.134</w:t>
      </w:r>
      <w:r w:rsidR="005A4BB0">
        <w:noBreakHyphen/>
      </w:r>
      <w:r w:rsidRPr="0062582F">
        <w:t>136, which would otherwise require an entity to disclose information that enables users of its financial statements to evaluate the entiy</w:t>
      </w:r>
      <w:r w:rsidR="005A4BB0">
        <w:t>’</w:t>
      </w:r>
      <w:r w:rsidRPr="0062582F">
        <w:t>s objectives, policies and processes for managing capital.</w:t>
      </w:r>
    </w:p>
    <w:p w:rsidR="004843DB" w:rsidRPr="0062582F" w:rsidRDefault="004843DB" w:rsidP="004843DB">
      <w:pPr>
        <w:pStyle w:val="CommentaryText"/>
        <w:rPr>
          <w:b/>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Headingcontinued"/>
      </w:pPr>
      <w:r w:rsidRPr="0062582F">
        <w:rPr>
          <w:rStyle w:val="ReferenceChar"/>
          <w:rFonts w:ascii="Garamond" w:hAnsi="Garamond"/>
        </w:rPr>
        <w:br w:type="page"/>
      </w:r>
      <w:r w:rsidRPr="0062582F">
        <w:rPr>
          <w:rStyle w:val="ReferenceChar"/>
          <w:rFonts w:ascii="Garamond" w:hAnsi="Garamond"/>
        </w:rPr>
        <w:br w:type="column"/>
      </w:r>
      <w:r w:rsidRPr="0062582F">
        <w:t>Note 33.</w:t>
      </w:r>
      <w:r w:rsidRPr="0062582F">
        <w:tab/>
        <w:t xml:space="preserve">Financial instruments </w:t>
      </w:r>
      <w:r w:rsidRPr="0062582F">
        <w:rPr>
          <w:i/>
        </w:rPr>
        <w:t>(continued)</w:t>
      </w:r>
    </w:p>
    <w:p w:rsidR="004843DB" w:rsidRPr="0062582F" w:rsidRDefault="004843DB" w:rsidP="004843DB">
      <w:pPr>
        <w:pStyle w:val="Heading5"/>
      </w:pPr>
      <w:r w:rsidRPr="0062582F">
        <w:t>(b)</w:t>
      </w:r>
      <w:r w:rsidRPr="0062582F">
        <w:tab/>
        <w:t>Credit risk</w:t>
      </w:r>
    </w:p>
    <w:p w:rsidR="004843DB" w:rsidRPr="0062582F" w:rsidRDefault="004843DB" w:rsidP="004843DB">
      <w:pPr>
        <w:sectPr w:rsidR="004843DB" w:rsidRPr="0062582F" w:rsidSect="00190A01">
          <w:headerReference w:type="default" r:id="rId314"/>
          <w:type w:val="continuous"/>
          <w:pgSz w:w="11906" w:h="16838" w:code="9"/>
          <w:pgMar w:top="1151" w:right="862" w:bottom="1151" w:left="862" w:header="431" w:footer="431" w:gutter="0"/>
          <w:cols w:num="2" w:space="360" w:equalWidth="0">
            <w:col w:w="1442" w:space="360"/>
            <w:col w:w="8092"/>
          </w:cols>
        </w:sectPr>
      </w:pPr>
    </w:p>
    <w:p w:rsidR="004843DB" w:rsidRPr="0062582F" w:rsidRDefault="004843DB" w:rsidP="004843DB">
      <w:pPr>
        <w:pStyle w:val="Reference"/>
        <w:rPr>
          <w:rStyle w:val="ReferenceChar"/>
        </w:rPr>
      </w:pPr>
      <w:r w:rsidRPr="0062582F">
        <w:rPr>
          <w:rStyle w:val="ReferenceChar"/>
        </w:rPr>
        <w:t>AASB 7.7, 33</w:t>
      </w:r>
    </w:p>
    <w:p w:rsidR="004843DB" w:rsidRPr="0062582F" w:rsidRDefault="004843DB" w:rsidP="004843DB">
      <w:r w:rsidRPr="0062582F">
        <w:br w:type="column"/>
        <w:t>Credit risk arises from the contractual financial assets of the Department, which comprise cash and deposits, non</w:t>
      </w:r>
      <w:r w:rsidR="005A4BB0">
        <w:noBreakHyphen/>
      </w:r>
      <w:r w:rsidRPr="0062582F">
        <w:t>statutory receivables, available</w:t>
      </w:r>
      <w:r w:rsidR="005A4BB0">
        <w:noBreakHyphen/>
      </w:r>
      <w:r w:rsidRPr="0062582F">
        <w:t>for</w:t>
      </w:r>
      <w:r w:rsidR="005A4BB0">
        <w:noBreakHyphen/>
      </w:r>
      <w:r w:rsidRPr="0062582F">
        <w:t>sale contractual financial assets and derivative instruments. The Department</w:t>
      </w:r>
      <w:r w:rsidR="005A4BB0">
        <w:t>’</w:t>
      </w:r>
      <w:r w:rsidRPr="0062582F">
        <w:t>s exposure to credit risk arises from the potential default of a counter party on their contractual obligations resulting in financial loss to the Department. Credit risk is measured at fair value and is monitored on a regular basis.</w:t>
      </w:r>
    </w:p>
    <w:p w:rsidR="004843DB" w:rsidRPr="0062582F" w:rsidRDefault="004843DB" w:rsidP="004843DB">
      <w:r w:rsidRPr="0062582F">
        <w:t>Credit risk associated with the Department</w:t>
      </w:r>
      <w:r w:rsidR="005A4BB0">
        <w:t>’</w:t>
      </w:r>
      <w:r w:rsidRPr="0062582F">
        <w:t>s contractual financial assets is minimal because the main debtor is the Victorian Government. For debtors other than the Government, it is the Department</w:t>
      </w:r>
      <w:r w:rsidR="005A4BB0">
        <w:t>’</w:t>
      </w:r>
      <w:r w:rsidRPr="0062582F">
        <w:t>s policy to only deal with entities with high credit ratings of a minimum triple</w:t>
      </w:r>
      <w:r w:rsidR="005A4BB0">
        <w:noBreakHyphen/>
      </w:r>
      <w:r w:rsidRPr="0062582F">
        <w:t>B rating and to obtain sufficient collateral or credit enhancements, where appropriate.</w:t>
      </w:r>
    </w:p>
    <w:p w:rsidR="004843DB" w:rsidRPr="0062582F" w:rsidRDefault="004843DB" w:rsidP="004843DB">
      <w:r w:rsidRPr="0062582F">
        <w:t>In addition, the Department does not engage in hedging for its contractual financial assets and mainly obtains contractual financial assets that are on fixed interest, except for cash and deposits, which are mainly cash at bank. As with the policy for debtors, the Department</w:t>
      </w:r>
      <w:r w:rsidR="005A4BB0">
        <w:t>’</w:t>
      </w:r>
      <w:r w:rsidRPr="0062582F">
        <w:t>s policy is to only deal with banks with high credit ratings.</w:t>
      </w:r>
    </w:p>
    <w:p w:rsidR="004843DB" w:rsidRPr="0062582F" w:rsidRDefault="004843DB" w:rsidP="004843DB">
      <w:r w:rsidRPr="0062582F">
        <w:t xml:space="preserve">Provision of impairment for contractual financial assets is recognised when there is objective evidence that the Department will not be able to collect a receivable. Objective evidence includes financial difficulties of the debtor, default payments, debts which are more than 60 days overdue, and changes in debtor credit ratings. </w:t>
      </w:r>
    </w:p>
    <w:p w:rsidR="004843DB" w:rsidRPr="0062582F" w:rsidRDefault="004843DB" w:rsidP="004843DB">
      <w:r w:rsidRPr="0062582F">
        <w:t>Except as otherwise detailed in the following table, the carrying amount of contractual financial assets recorded in the financial statements, net of any allowances for losses, represents the Department</w:t>
      </w:r>
      <w:r w:rsidR="005A4BB0">
        <w:t>’</w:t>
      </w:r>
      <w:r w:rsidRPr="0062582F">
        <w:t>s maximum exposure to credit risk without taking account of the value of any collateral obtained.</w:t>
      </w:r>
    </w:p>
    <w:p w:rsidR="004843DB" w:rsidRPr="0062582F" w:rsidRDefault="004843DB" w:rsidP="004843DB">
      <w:pPr>
        <w:pStyle w:val="Notes"/>
      </w:pPr>
    </w:p>
    <w:p w:rsidR="004843DB" w:rsidRPr="0062582F" w:rsidRDefault="004843DB" w:rsidP="00E348C3">
      <w:pPr>
        <w:pStyle w:val="Tableheading"/>
      </w:pPr>
      <w:r w:rsidRPr="0062582F">
        <w:t xml:space="preserve">Table 33.3: </w:t>
      </w:r>
      <w:r w:rsidRPr="0062582F">
        <w:tab/>
        <w:t>Credit quality of contractual financial assets that are neither past due nor impaired</w:t>
      </w:r>
      <w:r w:rsidRPr="0062582F">
        <w:rPr>
          <w:vertAlign w:val="superscript"/>
        </w:rPr>
        <w:t>(i)(ii)</w:t>
      </w:r>
    </w:p>
    <w:p w:rsidR="004843DB" w:rsidRPr="0062582F" w:rsidRDefault="004843DB" w:rsidP="00E348C3">
      <w:pPr>
        <w:pStyle w:val="Tableheading"/>
        <w:sectPr w:rsidR="004843DB" w:rsidRPr="0062582F" w:rsidSect="00190A01">
          <w:type w:val="continuous"/>
          <w:pgSz w:w="11906" w:h="16838" w:code="9"/>
          <w:pgMar w:top="1151" w:right="862" w:bottom="1151" w:left="862" w:header="431" w:footer="431" w:gutter="0"/>
          <w:cols w:num="2" w:space="360" w:equalWidth="0">
            <w:col w:w="1442" w:space="360"/>
            <w:col w:w="8092"/>
          </w:cols>
        </w:sectPr>
      </w:pPr>
    </w:p>
    <w:p w:rsidR="004843DB" w:rsidRPr="0062582F" w:rsidRDefault="004843DB" w:rsidP="004843DB">
      <w:pPr>
        <w:pStyle w:val="SmallLine"/>
      </w:pPr>
      <w:r w:rsidRPr="0062582F">
        <w:br/>
      </w: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pPr>
      <w:r w:rsidRPr="0062582F">
        <w:t>AASB 7.36(c)</w:t>
      </w:r>
    </w:p>
    <w:p w:rsidR="004843DB" w:rsidRPr="0062582F" w:rsidRDefault="004843DB" w:rsidP="004843DB">
      <w:pPr>
        <w:pStyle w:val="million"/>
        <w:rPr>
          <w:rFonts w:ascii="Tahoma" w:hAnsi="Tahoma" w:cs="Tahoma"/>
          <w:sz w:val="20"/>
          <w:szCs w:val="20"/>
        </w:rPr>
      </w:pPr>
      <w:r w:rsidRPr="0062582F">
        <w:br w:type="column"/>
        <w:t>($ thousand)</w:t>
      </w:r>
    </w:p>
    <w:tbl>
      <w:tblPr>
        <w:tblW w:w="8233" w:type="dxa"/>
        <w:tblLayout w:type="fixed"/>
        <w:tblCellMar>
          <w:left w:w="43" w:type="dxa"/>
          <w:right w:w="43" w:type="dxa"/>
        </w:tblCellMar>
        <w:tblLook w:val="04A0" w:firstRow="1" w:lastRow="0" w:firstColumn="1" w:lastColumn="0" w:noHBand="0" w:noVBand="1"/>
      </w:tblPr>
      <w:tblGrid>
        <w:gridCol w:w="2743"/>
        <w:gridCol w:w="1098"/>
        <w:gridCol w:w="1098"/>
        <w:gridCol w:w="1098"/>
        <w:gridCol w:w="1098"/>
        <w:gridCol w:w="1098"/>
      </w:tblGrid>
      <w:tr w:rsidR="004843DB" w:rsidRPr="0062582F" w:rsidTr="004843DB">
        <w:trPr>
          <w:cantSplit/>
        </w:trPr>
        <w:tc>
          <w:tcPr>
            <w:tcW w:w="2743" w:type="dxa"/>
            <w:tcBorders>
              <w:top w:val="single" w:sz="4" w:space="0" w:color="auto"/>
              <w:left w:val="nil"/>
              <w:bottom w:val="single" w:sz="4" w:space="0" w:color="auto"/>
              <w:right w:val="nil"/>
            </w:tcBorders>
            <w:shd w:val="clear" w:color="auto" w:fill="auto"/>
            <w:vAlign w:val="bottom"/>
            <w:hideMark/>
          </w:tcPr>
          <w:p w:rsidR="004843DB" w:rsidRPr="0062582F" w:rsidRDefault="004843DB" w:rsidP="004843DB">
            <w:pPr>
              <w:pStyle w:val="TabletextheadingLeft"/>
            </w:pPr>
            <w:r w:rsidRPr="0062582F">
              <w:t>2016</w:t>
            </w:r>
          </w:p>
        </w:tc>
        <w:tc>
          <w:tcPr>
            <w:tcW w:w="1098" w:type="dxa"/>
            <w:tcBorders>
              <w:top w:val="single" w:sz="4" w:space="0" w:color="auto"/>
              <w:left w:val="nil"/>
              <w:bottom w:val="single" w:sz="4" w:space="0" w:color="auto"/>
              <w:right w:val="nil"/>
            </w:tcBorders>
            <w:shd w:val="clear" w:color="000000" w:fill="CCCCCC"/>
            <w:hideMark/>
          </w:tcPr>
          <w:p w:rsidR="004843DB" w:rsidRPr="0062582F" w:rsidRDefault="004843DB" w:rsidP="004843DB">
            <w:pPr>
              <w:pStyle w:val="Tabletextheading"/>
            </w:pPr>
            <w:r w:rsidRPr="0062582F">
              <w:t>Financial institutions</w:t>
            </w:r>
            <w:r w:rsidRPr="0062582F">
              <w:br/>
              <w:t>(triple</w:t>
            </w:r>
            <w:r w:rsidR="005A4BB0">
              <w:noBreakHyphen/>
            </w:r>
            <w:r w:rsidRPr="0062582F">
              <w:t>A credit rating)</w:t>
            </w:r>
          </w:p>
        </w:tc>
        <w:tc>
          <w:tcPr>
            <w:tcW w:w="1098"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Government agencies</w:t>
            </w:r>
            <w:r w:rsidRPr="0062582F">
              <w:br/>
              <w:t>(triple</w:t>
            </w:r>
            <w:r w:rsidR="005A4BB0">
              <w:noBreakHyphen/>
            </w:r>
            <w:r w:rsidRPr="0062582F">
              <w:t>A credit rating)</w:t>
            </w:r>
          </w:p>
        </w:tc>
        <w:tc>
          <w:tcPr>
            <w:tcW w:w="1098" w:type="dxa"/>
            <w:tcBorders>
              <w:top w:val="single" w:sz="4" w:space="0" w:color="auto"/>
              <w:left w:val="nil"/>
              <w:bottom w:val="single" w:sz="4" w:space="0" w:color="auto"/>
              <w:right w:val="nil"/>
            </w:tcBorders>
            <w:shd w:val="clear" w:color="000000" w:fill="CCCCCC"/>
            <w:hideMark/>
          </w:tcPr>
          <w:p w:rsidR="004843DB" w:rsidRPr="0062582F" w:rsidRDefault="004843DB" w:rsidP="004843DB">
            <w:pPr>
              <w:pStyle w:val="Tabletextheading"/>
            </w:pPr>
            <w:r w:rsidRPr="0062582F">
              <w:t>Government agencies</w:t>
            </w:r>
            <w:r w:rsidRPr="0062582F">
              <w:br/>
              <w:t>(triple</w:t>
            </w:r>
            <w:r w:rsidR="005A4BB0">
              <w:noBreakHyphen/>
            </w:r>
            <w:r w:rsidRPr="0062582F">
              <w:t>B credit rating)</w:t>
            </w:r>
          </w:p>
        </w:tc>
        <w:tc>
          <w:tcPr>
            <w:tcW w:w="1098"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br/>
              <w:t xml:space="preserve">Other </w:t>
            </w:r>
            <w:r w:rsidRPr="0062582F">
              <w:br/>
              <w:t>(min triple</w:t>
            </w:r>
            <w:r w:rsidR="005A4BB0">
              <w:noBreakHyphen/>
            </w:r>
            <w:r w:rsidRPr="0062582F">
              <w:t>B credit rating)</w:t>
            </w:r>
          </w:p>
        </w:tc>
        <w:tc>
          <w:tcPr>
            <w:tcW w:w="1098" w:type="dxa"/>
            <w:tcBorders>
              <w:top w:val="single" w:sz="4" w:space="0" w:color="auto"/>
              <w:left w:val="nil"/>
              <w:bottom w:val="single" w:sz="4" w:space="0" w:color="auto"/>
              <w:right w:val="nil"/>
            </w:tcBorders>
            <w:shd w:val="clear" w:color="000000" w:fill="CCCCCC"/>
            <w:hideMark/>
          </w:tcPr>
          <w:p w:rsidR="004843DB" w:rsidRPr="0062582F" w:rsidRDefault="004843DB" w:rsidP="004843DB">
            <w:pPr>
              <w:pStyle w:val="Tabletextheading"/>
            </w:pPr>
            <w:r w:rsidRPr="0062582F">
              <w:br/>
            </w:r>
            <w:r w:rsidRPr="0062582F">
              <w:br/>
            </w:r>
            <w:r w:rsidRPr="0062582F">
              <w:br/>
              <w:t>Total</w:t>
            </w:r>
          </w:p>
        </w:tc>
      </w:tr>
      <w:tr w:rsidR="004843DB" w:rsidRPr="0062582F" w:rsidTr="004843DB">
        <w:trPr>
          <w:cantSplit/>
        </w:trPr>
        <w:tc>
          <w:tcPr>
            <w:tcW w:w="2743" w:type="dxa"/>
            <w:tcBorders>
              <w:top w:val="nil"/>
              <w:left w:val="nil"/>
              <w:bottom w:val="nil"/>
              <w:right w:val="nil"/>
            </w:tcBorders>
            <w:shd w:val="clear" w:color="auto" w:fill="auto"/>
            <w:hideMark/>
          </w:tcPr>
          <w:p w:rsidR="004843DB" w:rsidRPr="0062582F" w:rsidRDefault="004843DB" w:rsidP="004843DB">
            <w:pPr>
              <w:pStyle w:val="Tabletext"/>
            </w:pPr>
            <w:r w:rsidRPr="0062582F">
              <w:t>Cash and deposits</w:t>
            </w:r>
          </w:p>
        </w:tc>
        <w:tc>
          <w:tcPr>
            <w:tcW w:w="109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23 911</w:t>
            </w:r>
          </w:p>
        </w:tc>
        <w:tc>
          <w:tcPr>
            <w:tcW w:w="109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23 711</w:t>
            </w:r>
          </w:p>
        </w:tc>
        <w:tc>
          <w:tcPr>
            <w:tcW w:w="109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8 929</w:t>
            </w:r>
          </w:p>
        </w:tc>
        <w:tc>
          <w:tcPr>
            <w:tcW w:w="109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2 976</w:t>
            </w:r>
          </w:p>
        </w:tc>
        <w:tc>
          <w:tcPr>
            <w:tcW w:w="1098" w:type="dxa"/>
            <w:tcBorders>
              <w:top w:val="nil"/>
              <w:left w:val="nil"/>
              <w:bottom w:val="nil"/>
              <w:right w:val="nil"/>
            </w:tcBorders>
            <w:shd w:val="clear" w:color="CCCCCC" w:fill="CCCCCC"/>
            <w:hideMark/>
          </w:tcPr>
          <w:p w:rsidR="004843DB" w:rsidRPr="0062582F" w:rsidRDefault="004843DB" w:rsidP="004843DB">
            <w:pPr>
              <w:pStyle w:val="TableofFigures"/>
            </w:pPr>
            <w:r w:rsidRPr="0062582F">
              <w:t>59 528</w:t>
            </w:r>
          </w:p>
        </w:tc>
      </w:tr>
      <w:tr w:rsidR="004843DB" w:rsidRPr="0062582F" w:rsidTr="004843DB">
        <w:trPr>
          <w:cantSplit/>
        </w:trPr>
        <w:tc>
          <w:tcPr>
            <w:tcW w:w="274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Receivables </w:t>
            </w:r>
            <w:r w:rsidRPr="0062582F">
              <w:rPr>
                <w:vertAlign w:val="superscript"/>
              </w:rPr>
              <w:t>(i)</w:t>
            </w:r>
          </w:p>
        </w:tc>
        <w:tc>
          <w:tcPr>
            <w:tcW w:w="109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1 694</w:t>
            </w:r>
          </w:p>
        </w:tc>
        <w:tc>
          <w:tcPr>
            <w:tcW w:w="109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1 294</w:t>
            </w:r>
          </w:p>
        </w:tc>
        <w:tc>
          <w:tcPr>
            <w:tcW w:w="109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560</w:t>
            </w:r>
          </w:p>
        </w:tc>
        <w:tc>
          <w:tcPr>
            <w:tcW w:w="109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187</w:t>
            </w:r>
          </w:p>
        </w:tc>
        <w:tc>
          <w:tcPr>
            <w:tcW w:w="1098" w:type="dxa"/>
            <w:tcBorders>
              <w:top w:val="nil"/>
              <w:left w:val="nil"/>
              <w:bottom w:val="nil"/>
              <w:right w:val="nil"/>
            </w:tcBorders>
            <w:shd w:val="clear" w:color="CCCCCC" w:fill="CCCCCC"/>
            <w:hideMark/>
          </w:tcPr>
          <w:p w:rsidR="004843DB" w:rsidRPr="0062582F" w:rsidRDefault="004843DB" w:rsidP="004843DB">
            <w:pPr>
              <w:pStyle w:val="TableofFigures"/>
            </w:pPr>
            <w:r w:rsidRPr="0062582F">
              <w:t>3 735</w:t>
            </w:r>
          </w:p>
        </w:tc>
      </w:tr>
      <w:tr w:rsidR="004843DB" w:rsidRPr="0062582F" w:rsidTr="004843DB">
        <w:trPr>
          <w:cantSplit/>
        </w:trPr>
        <w:tc>
          <w:tcPr>
            <w:tcW w:w="274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Investments and other financial assets</w:t>
            </w:r>
          </w:p>
        </w:tc>
        <w:tc>
          <w:tcPr>
            <w:tcW w:w="1098"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5 750</w:t>
            </w:r>
          </w:p>
        </w:tc>
        <w:tc>
          <w:tcPr>
            <w:tcW w:w="1098"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5 430</w:t>
            </w:r>
          </w:p>
        </w:tc>
        <w:tc>
          <w:tcPr>
            <w:tcW w:w="1098"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2 096</w:t>
            </w:r>
          </w:p>
        </w:tc>
        <w:tc>
          <w:tcPr>
            <w:tcW w:w="1098"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699</w:t>
            </w:r>
          </w:p>
        </w:tc>
        <w:tc>
          <w:tcPr>
            <w:tcW w:w="1098" w:type="dxa"/>
            <w:tcBorders>
              <w:top w:val="nil"/>
              <w:left w:val="nil"/>
              <w:bottom w:val="single" w:sz="4" w:space="0" w:color="auto"/>
              <w:right w:val="nil"/>
            </w:tcBorders>
            <w:shd w:val="clear" w:color="CCCCCC" w:fill="CCCCCC"/>
            <w:hideMark/>
          </w:tcPr>
          <w:p w:rsidR="004843DB" w:rsidRPr="0062582F" w:rsidRDefault="004843DB" w:rsidP="004843DB">
            <w:pPr>
              <w:pStyle w:val="TableofFigures"/>
            </w:pPr>
            <w:r w:rsidRPr="0062582F">
              <w:t>13 976</w:t>
            </w:r>
          </w:p>
        </w:tc>
      </w:tr>
      <w:tr w:rsidR="004843DB" w:rsidRPr="0062582F" w:rsidTr="004843DB">
        <w:trPr>
          <w:cantSplit/>
        </w:trPr>
        <w:tc>
          <w:tcPr>
            <w:tcW w:w="274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contractual financial assets</w:t>
            </w:r>
          </w:p>
        </w:tc>
        <w:tc>
          <w:tcPr>
            <w:tcW w:w="1098"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31 355</w:t>
            </w:r>
          </w:p>
        </w:tc>
        <w:tc>
          <w:tcPr>
            <w:tcW w:w="1098"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30 435</w:t>
            </w:r>
          </w:p>
        </w:tc>
        <w:tc>
          <w:tcPr>
            <w:tcW w:w="1098"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11 586</w:t>
            </w:r>
          </w:p>
        </w:tc>
        <w:tc>
          <w:tcPr>
            <w:tcW w:w="1098"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3 862</w:t>
            </w:r>
          </w:p>
        </w:tc>
        <w:tc>
          <w:tcPr>
            <w:tcW w:w="1098"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77 238</w:t>
            </w:r>
          </w:p>
        </w:tc>
      </w:tr>
      <w:tr w:rsidR="004843DB" w:rsidRPr="0062582F" w:rsidTr="004843DB">
        <w:trPr>
          <w:cantSplit/>
          <w:trHeight w:hRule="exact" w:val="120"/>
        </w:trPr>
        <w:tc>
          <w:tcPr>
            <w:tcW w:w="2743" w:type="dxa"/>
            <w:tcBorders>
              <w:top w:val="single" w:sz="12" w:space="0" w:color="auto"/>
              <w:left w:val="nil"/>
              <w:bottom w:val="single" w:sz="4" w:space="0" w:color="auto"/>
              <w:right w:val="nil"/>
            </w:tcBorders>
            <w:shd w:val="clear" w:color="auto" w:fill="auto"/>
          </w:tcPr>
          <w:p w:rsidR="004843DB" w:rsidRPr="0062582F" w:rsidDel="000C6415" w:rsidRDefault="004843DB" w:rsidP="004843DB">
            <w:pPr>
              <w:pStyle w:val="TabletextheadingLeft"/>
            </w:pPr>
          </w:p>
        </w:tc>
        <w:tc>
          <w:tcPr>
            <w:tcW w:w="1098" w:type="dxa"/>
            <w:tcBorders>
              <w:top w:val="single" w:sz="12" w:space="0" w:color="auto"/>
              <w:left w:val="nil"/>
              <w:bottom w:val="single" w:sz="4" w:space="0" w:color="auto"/>
              <w:right w:val="nil"/>
            </w:tcBorders>
            <w:shd w:val="clear" w:color="00FFFF" w:fill="CCCCCC"/>
            <w:noWrap/>
          </w:tcPr>
          <w:p w:rsidR="004843DB" w:rsidRPr="0062582F" w:rsidRDefault="004843DB" w:rsidP="004843DB">
            <w:pPr>
              <w:pStyle w:val="TableofFigures"/>
            </w:pPr>
          </w:p>
        </w:tc>
        <w:tc>
          <w:tcPr>
            <w:tcW w:w="1098" w:type="dxa"/>
            <w:tcBorders>
              <w:top w:val="single" w:sz="12" w:space="0" w:color="auto"/>
              <w:left w:val="nil"/>
              <w:bottom w:val="single" w:sz="4" w:space="0" w:color="auto"/>
              <w:right w:val="nil"/>
            </w:tcBorders>
            <w:shd w:val="clear" w:color="auto" w:fill="auto"/>
            <w:noWrap/>
          </w:tcPr>
          <w:p w:rsidR="004843DB" w:rsidRPr="0062582F" w:rsidRDefault="004843DB" w:rsidP="004843DB">
            <w:pPr>
              <w:pStyle w:val="TableofFigures"/>
            </w:pPr>
          </w:p>
        </w:tc>
        <w:tc>
          <w:tcPr>
            <w:tcW w:w="1098" w:type="dxa"/>
            <w:tcBorders>
              <w:top w:val="single" w:sz="12" w:space="0" w:color="auto"/>
              <w:left w:val="nil"/>
              <w:bottom w:val="single" w:sz="4" w:space="0" w:color="auto"/>
              <w:right w:val="nil"/>
            </w:tcBorders>
            <w:shd w:val="clear" w:color="00FFFF" w:fill="CCCCCC"/>
            <w:noWrap/>
          </w:tcPr>
          <w:p w:rsidR="004843DB" w:rsidRPr="0062582F" w:rsidRDefault="004843DB" w:rsidP="004843DB">
            <w:pPr>
              <w:pStyle w:val="TableofFigures"/>
            </w:pPr>
          </w:p>
        </w:tc>
        <w:tc>
          <w:tcPr>
            <w:tcW w:w="1098" w:type="dxa"/>
            <w:tcBorders>
              <w:top w:val="single" w:sz="12" w:space="0" w:color="auto"/>
              <w:left w:val="nil"/>
              <w:bottom w:val="single" w:sz="4" w:space="0" w:color="auto"/>
              <w:right w:val="nil"/>
            </w:tcBorders>
            <w:shd w:val="clear" w:color="auto" w:fill="auto"/>
            <w:noWrap/>
          </w:tcPr>
          <w:p w:rsidR="004843DB" w:rsidRPr="0062582F" w:rsidRDefault="004843DB" w:rsidP="004843DB">
            <w:pPr>
              <w:pStyle w:val="TableofFigures"/>
            </w:pPr>
          </w:p>
        </w:tc>
        <w:tc>
          <w:tcPr>
            <w:tcW w:w="1098" w:type="dxa"/>
            <w:tcBorders>
              <w:top w:val="single" w:sz="12" w:space="0" w:color="auto"/>
              <w:left w:val="nil"/>
              <w:bottom w:val="single" w:sz="4" w:space="0" w:color="auto"/>
              <w:right w:val="nil"/>
            </w:tcBorders>
            <w:shd w:val="clear" w:color="00FFFF" w:fill="CCCCCC"/>
            <w:noWrap/>
          </w:tcPr>
          <w:p w:rsidR="004843DB" w:rsidRPr="0062582F" w:rsidRDefault="004843DB" w:rsidP="004843DB">
            <w:pPr>
              <w:pStyle w:val="TableofFigures"/>
            </w:pPr>
          </w:p>
        </w:tc>
      </w:tr>
      <w:tr w:rsidR="004843DB" w:rsidRPr="0062582F" w:rsidTr="004843DB">
        <w:trPr>
          <w:cantSplit/>
        </w:trPr>
        <w:tc>
          <w:tcPr>
            <w:tcW w:w="2743" w:type="dxa"/>
            <w:tcBorders>
              <w:top w:val="single" w:sz="4" w:space="0" w:color="auto"/>
              <w:left w:val="nil"/>
              <w:bottom w:val="nil"/>
              <w:right w:val="nil"/>
            </w:tcBorders>
            <w:shd w:val="clear" w:color="auto" w:fill="auto"/>
            <w:hideMark/>
          </w:tcPr>
          <w:p w:rsidR="004843DB" w:rsidRPr="0062582F" w:rsidRDefault="004843DB" w:rsidP="004843DB">
            <w:pPr>
              <w:pStyle w:val="TabletextheadingLeft"/>
            </w:pPr>
            <w:r w:rsidRPr="0062582F">
              <w:t>2015</w:t>
            </w:r>
          </w:p>
        </w:tc>
        <w:tc>
          <w:tcPr>
            <w:tcW w:w="1098"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098"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98"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098"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098"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2743" w:type="dxa"/>
            <w:tcBorders>
              <w:top w:val="nil"/>
              <w:left w:val="nil"/>
              <w:bottom w:val="nil"/>
              <w:right w:val="nil"/>
            </w:tcBorders>
            <w:shd w:val="clear" w:color="auto" w:fill="auto"/>
            <w:hideMark/>
          </w:tcPr>
          <w:p w:rsidR="004843DB" w:rsidRPr="0062582F" w:rsidRDefault="004843DB" w:rsidP="004843DB">
            <w:pPr>
              <w:pStyle w:val="Tabletext"/>
            </w:pPr>
            <w:r w:rsidRPr="0062582F">
              <w:t>Cash and deposits</w:t>
            </w:r>
          </w:p>
        </w:tc>
        <w:tc>
          <w:tcPr>
            <w:tcW w:w="109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20 694</w:t>
            </w:r>
          </w:p>
        </w:tc>
        <w:tc>
          <w:tcPr>
            <w:tcW w:w="109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18 224</w:t>
            </w:r>
          </w:p>
        </w:tc>
        <w:tc>
          <w:tcPr>
            <w:tcW w:w="109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7 297</w:t>
            </w:r>
          </w:p>
        </w:tc>
        <w:tc>
          <w:tcPr>
            <w:tcW w:w="109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2 432</w:t>
            </w:r>
          </w:p>
        </w:tc>
        <w:tc>
          <w:tcPr>
            <w:tcW w:w="1098" w:type="dxa"/>
            <w:tcBorders>
              <w:top w:val="nil"/>
              <w:left w:val="nil"/>
              <w:bottom w:val="nil"/>
              <w:right w:val="nil"/>
            </w:tcBorders>
            <w:shd w:val="clear" w:color="CCCCCC" w:fill="CCCCCC"/>
            <w:hideMark/>
          </w:tcPr>
          <w:p w:rsidR="004843DB" w:rsidRPr="0062582F" w:rsidRDefault="004843DB" w:rsidP="004843DB">
            <w:pPr>
              <w:pStyle w:val="TableofFigures"/>
            </w:pPr>
            <w:r w:rsidRPr="0062582F">
              <w:t>48 648</w:t>
            </w:r>
          </w:p>
        </w:tc>
      </w:tr>
      <w:tr w:rsidR="004843DB" w:rsidRPr="0062582F" w:rsidTr="004843DB">
        <w:trPr>
          <w:cantSplit/>
        </w:trPr>
        <w:tc>
          <w:tcPr>
            <w:tcW w:w="274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Receivables </w:t>
            </w:r>
            <w:r w:rsidRPr="0062582F">
              <w:rPr>
                <w:rFonts w:ascii="Arial" w:hAnsi="Arial"/>
                <w:vertAlign w:val="superscript"/>
              </w:rPr>
              <w:t>(i)</w:t>
            </w:r>
          </w:p>
        </w:tc>
        <w:tc>
          <w:tcPr>
            <w:tcW w:w="109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1 531</w:t>
            </w:r>
          </w:p>
        </w:tc>
        <w:tc>
          <w:tcPr>
            <w:tcW w:w="109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1 215</w:t>
            </w:r>
          </w:p>
        </w:tc>
        <w:tc>
          <w:tcPr>
            <w:tcW w:w="1098"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515</w:t>
            </w:r>
          </w:p>
        </w:tc>
        <w:tc>
          <w:tcPr>
            <w:tcW w:w="1098"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172</w:t>
            </w:r>
          </w:p>
        </w:tc>
        <w:tc>
          <w:tcPr>
            <w:tcW w:w="1098" w:type="dxa"/>
            <w:tcBorders>
              <w:top w:val="nil"/>
              <w:left w:val="nil"/>
              <w:bottom w:val="nil"/>
              <w:right w:val="nil"/>
            </w:tcBorders>
            <w:shd w:val="clear" w:color="CCCCCC" w:fill="CCCCCC"/>
            <w:hideMark/>
          </w:tcPr>
          <w:p w:rsidR="004843DB" w:rsidRPr="0062582F" w:rsidRDefault="004843DB" w:rsidP="004843DB">
            <w:pPr>
              <w:pStyle w:val="TableofFigures"/>
            </w:pPr>
            <w:r w:rsidRPr="0062582F">
              <w:t>3 432</w:t>
            </w:r>
          </w:p>
        </w:tc>
      </w:tr>
      <w:tr w:rsidR="004843DB" w:rsidRPr="0062582F" w:rsidTr="004843DB">
        <w:trPr>
          <w:cantSplit/>
        </w:trPr>
        <w:tc>
          <w:tcPr>
            <w:tcW w:w="274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Investments and other financial assets</w:t>
            </w:r>
          </w:p>
        </w:tc>
        <w:tc>
          <w:tcPr>
            <w:tcW w:w="1098"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6 457</w:t>
            </w:r>
          </w:p>
        </w:tc>
        <w:tc>
          <w:tcPr>
            <w:tcW w:w="1098"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6 927</w:t>
            </w:r>
          </w:p>
        </w:tc>
        <w:tc>
          <w:tcPr>
            <w:tcW w:w="1098"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2 510</w:t>
            </w:r>
          </w:p>
        </w:tc>
        <w:tc>
          <w:tcPr>
            <w:tcW w:w="1098"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837</w:t>
            </w:r>
          </w:p>
        </w:tc>
        <w:tc>
          <w:tcPr>
            <w:tcW w:w="1098" w:type="dxa"/>
            <w:tcBorders>
              <w:top w:val="nil"/>
              <w:left w:val="nil"/>
              <w:bottom w:val="single" w:sz="4" w:space="0" w:color="auto"/>
              <w:right w:val="nil"/>
            </w:tcBorders>
            <w:shd w:val="clear" w:color="CCCCCC" w:fill="CCCCCC"/>
            <w:hideMark/>
          </w:tcPr>
          <w:p w:rsidR="004843DB" w:rsidRPr="0062582F" w:rsidRDefault="004843DB" w:rsidP="004843DB">
            <w:pPr>
              <w:pStyle w:val="TableofFigures"/>
            </w:pPr>
            <w:r w:rsidRPr="0062582F">
              <w:t>16 731</w:t>
            </w:r>
          </w:p>
        </w:tc>
      </w:tr>
      <w:tr w:rsidR="004843DB" w:rsidRPr="0062582F" w:rsidTr="004843DB">
        <w:trPr>
          <w:cantSplit/>
        </w:trPr>
        <w:tc>
          <w:tcPr>
            <w:tcW w:w="274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 contractual financial assets</w:t>
            </w:r>
          </w:p>
        </w:tc>
        <w:tc>
          <w:tcPr>
            <w:tcW w:w="1098"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28 682</w:t>
            </w:r>
          </w:p>
        </w:tc>
        <w:tc>
          <w:tcPr>
            <w:tcW w:w="1098"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26 366</w:t>
            </w:r>
          </w:p>
        </w:tc>
        <w:tc>
          <w:tcPr>
            <w:tcW w:w="1098"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10 322</w:t>
            </w:r>
          </w:p>
        </w:tc>
        <w:tc>
          <w:tcPr>
            <w:tcW w:w="1098"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3 441</w:t>
            </w:r>
          </w:p>
        </w:tc>
        <w:tc>
          <w:tcPr>
            <w:tcW w:w="1098"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68 811</w:t>
            </w:r>
          </w:p>
        </w:tc>
      </w:tr>
    </w:tbl>
    <w:p w:rsidR="004843DB" w:rsidRPr="0062582F" w:rsidRDefault="004843DB" w:rsidP="004843DB">
      <w:pPr>
        <w:pStyle w:val="Notes"/>
        <w:rPr>
          <w:sz w:val="20"/>
          <w:szCs w:val="20"/>
        </w:rPr>
      </w:pPr>
      <w:r w:rsidRPr="0062582F">
        <w:t>Notes:</w:t>
      </w:r>
    </w:p>
    <w:p w:rsidR="004843DB" w:rsidRPr="0062582F" w:rsidRDefault="004843DB" w:rsidP="004843DB">
      <w:pPr>
        <w:pStyle w:val="Notes"/>
        <w:sectPr w:rsidR="004843DB" w:rsidRPr="0062582F" w:rsidSect="00190A01">
          <w:type w:val="continuous"/>
          <w:pgSz w:w="11906" w:h="16838" w:code="9"/>
          <w:pgMar w:top="1151" w:right="862" w:bottom="1151" w:left="862" w:header="431" w:footer="431" w:gutter="0"/>
          <w:cols w:num="2" w:space="360" w:equalWidth="0">
            <w:col w:w="1442" w:space="360"/>
            <w:col w:w="8092"/>
          </w:cols>
        </w:sectPr>
      </w:pPr>
    </w:p>
    <w:p w:rsidR="004843DB" w:rsidRPr="0062582F" w:rsidRDefault="004843DB" w:rsidP="004843DB">
      <w:pPr>
        <w:pStyle w:val="Reference"/>
        <w:spacing w:before="0"/>
      </w:pPr>
      <w:r w:rsidRPr="0062582F">
        <w:t>AASB 132.AG12</w:t>
      </w:r>
    </w:p>
    <w:p w:rsidR="004843DB" w:rsidRPr="0062582F" w:rsidRDefault="004843DB" w:rsidP="004843DB">
      <w:pPr>
        <w:pStyle w:val="Notes"/>
      </w:pPr>
      <w:r w:rsidRPr="0062582F">
        <w:br w:type="column"/>
        <w:t>(i)</w:t>
      </w:r>
      <w:r w:rsidRPr="0062582F">
        <w:tab/>
        <w:t>The total amounts disclosed here exclude statutory amounts (e.g. amounts owing from Victorian government and GST input tax credit recoverable).</w:t>
      </w:r>
    </w:p>
    <w:p w:rsidR="004843DB" w:rsidRPr="0062582F" w:rsidRDefault="004843DB" w:rsidP="004843DB">
      <w:pPr>
        <w:pStyle w:val="Notes"/>
        <w:sectPr w:rsidR="004843DB" w:rsidRPr="0062582F" w:rsidSect="00190A01">
          <w:type w:val="continuous"/>
          <w:pgSz w:w="11906" w:h="16838" w:code="9"/>
          <w:pgMar w:top="1151" w:right="862" w:bottom="1151" w:left="862" w:header="431" w:footer="431" w:gutter="0"/>
          <w:cols w:num="2" w:space="360" w:equalWidth="0">
            <w:col w:w="1442" w:space="360"/>
            <w:col w:w="8092"/>
          </w:cols>
        </w:sectPr>
      </w:pPr>
    </w:p>
    <w:p w:rsidR="004843DB" w:rsidRPr="0062582F" w:rsidRDefault="004843DB" w:rsidP="004843DB">
      <w:pPr>
        <w:pStyle w:val="Reference"/>
        <w:spacing w:before="0"/>
      </w:pPr>
      <w:r w:rsidRPr="0062582F">
        <w:t>AASB 132.AG12</w:t>
      </w:r>
    </w:p>
    <w:p w:rsidR="004843DB" w:rsidRPr="0062582F" w:rsidRDefault="004843DB" w:rsidP="004843DB">
      <w:pPr>
        <w:pStyle w:val="Notes"/>
      </w:pPr>
      <w:r w:rsidRPr="0062582F">
        <w:br w:type="column"/>
      </w:r>
      <w:r w:rsidRPr="0072430C">
        <w:rPr>
          <w:color w:val="0000FF"/>
        </w:rPr>
        <w:t>(ii)</w:t>
      </w:r>
      <w:r w:rsidRPr="0062582F">
        <w:tab/>
      </w:r>
      <w:r w:rsidRPr="0062582F">
        <w:rPr>
          <w:color w:val="0000FF"/>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w:t>
      </w:r>
      <w:r w:rsidR="005A4BB0">
        <w:rPr>
          <w:color w:val="0000FF"/>
        </w:rPr>
        <w:t>’</w:t>
      </w:r>
      <w:r w:rsidRPr="0062582F">
        <w:rPr>
          <w:color w:val="0000FF"/>
        </w:rPr>
        <w:t>s own creditor profile.]</w:t>
      </w:r>
    </w:p>
    <w:p w:rsidR="004843DB" w:rsidRPr="0062582F" w:rsidRDefault="004843DB" w:rsidP="004843DB">
      <w:pPr>
        <w:pStyle w:val="Notes"/>
        <w:ind w:left="0" w:firstLine="0"/>
        <w:sectPr w:rsidR="004843DB" w:rsidRPr="0062582F" w:rsidSect="00190A01">
          <w:type w:val="continuous"/>
          <w:pgSz w:w="11906" w:h="16838" w:code="9"/>
          <w:pgMar w:top="1151" w:right="862" w:bottom="1151" w:left="862" w:header="431" w:footer="431" w:gutter="0"/>
          <w:cols w:num="2" w:space="360" w:equalWidth="0">
            <w:col w:w="1442" w:space="360"/>
            <w:col w:w="8092"/>
          </w:cols>
        </w:sectPr>
      </w:pPr>
    </w:p>
    <w:p w:rsidR="004843DB" w:rsidRPr="0062582F" w:rsidRDefault="004843DB" w:rsidP="004843DB">
      <w:pPr>
        <w:pStyle w:val="Notes"/>
      </w:pPr>
    </w:p>
    <w:p w:rsidR="004843DB" w:rsidRPr="0062582F" w:rsidRDefault="004843DB" w:rsidP="004843DB">
      <w:pPr>
        <w:pStyle w:val="NoteHeadingcontinued"/>
      </w:pPr>
      <w:r w:rsidRPr="0062582F">
        <w:br w:type="column"/>
        <w:t>Note 33.</w:t>
      </w:r>
      <w:r w:rsidRPr="0062582F">
        <w:tab/>
        <w:t xml:space="preserve">Financial instruments </w:t>
      </w:r>
      <w:r w:rsidRPr="0062582F">
        <w:rPr>
          <w:i/>
        </w:rPr>
        <w:t>(continued)</w:t>
      </w:r>
    </w:p>
    <w:p w:rsidR="004843DB" w:rsidRPr="0062582F" w:rsidRDefault="004843DB" w:rsidP="00E348C3">
      <w:pPr>
        <w:pStyle w:val="Tableheading"/>
      </w:pPr>
      <w:r w:rsidRPr="0062582F">
        <w:t>Table 33.4:</w:t>
      </w:r>
      <w:r w:rsidRPr="0062582F">
        <w:tab/>
        <w:t>Ageing analysis of contractual financial assets</w:t>
      </w:r>
    </w:p>
    <w:p w:rsidR="004843DB" w:rsidRPr="0062582F" w:rsidRDefault="004843DB" w:rsidP="004843DB">
      <w:pPr>
        <w:pStyle w:val="million"/>
        <w:sectPr w:rsidR="004843DB" w:rsidRPr="0062582F" w:rsidSect="00190A01">
          <w:footerReference w:type="even" r:id="rId315"/>
          <w:footerReference w:type="default" r:id="rId316"/>
          <w:headerReference w:type="first" r:id="rId317"/>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SmallLine"/>
        <w:rPr>
          <w:rStyle w:val="ReferenceChar"/>
          <w:rFonts w:ascii="Garamond" w:hAnsi="Garamond" w:cs="Tahoma"/>
          <w:color w:val="auto"/>
          <w:sz w:val="4"/>
          <w:szCs w:val="4"/>
          <w:lang w:val="en-AU"/>
        </w:rPr>
      </w:pPr>
    </w:p>
    <w:p w:rsidR="004843DB" w:rsidRPr="0062582F" w:rsidRDefault="004843DB" w:rsidP="004843DB">
      <w:pPr>
        <w:pStyle w:val="SmallLine"/>
        <w:rPr>
          <w:rStyle w:val="ReferenceChar"/>
          <w:rFonts w:ascii="Garamond" w:hAnsi="Garamond" w:cs="Tahoma"/>
          <w:color w:val="auto"/>
          <w:sz w:val="4"/>
          <w:szCs w:val="4"/>
          <w:lang w:val="en-AU"/>
        </w:rPr>
      </w:pPr>
    </w:p>
    <w:p w:rsidR="004843DB" w:rsidRPr="0062582F" w:rsidRDefault="004843DB" w:rsidP="004843DB">
      <w:pPr>
        <w:pStyle w:val="SmallLine"/>
        <w:rPr>
          <w:rStyle w:val="ReferenceChar"/>
          <w:rFonts w:ascii="Garamond" w:hAnsi="Garamond" w:cs="Tahoma"/>
          <w:color w:val="auto"/>
          <w:sz w:val="4"/>
          <w:szCs w:val="4"/>
          <w:lang w:val="en-AU"/>
        </w:rPr>
      </w:pPr>
    </w:p>
    <w:p w:rsidR="004843DB" w:rsidRPr="0062582F" w:rsidRDefault="004843DB" w:rsidP="004843DB">
      <w:pPr>
        <w:pStyle w:val="SmallLine"/>
        <w:rPr>
          <w:rStyle w:val="ReferenceChar"/>
          <w:rFonts w:ascii="Garamond" w:hAnsi="Garamond" w:cs="Tahoma"/>
          <w:color w:val="auto"/>
          <w:sz w:val="4"/>
          <w:szCs w:val="4"/>
          <w:lang w:val="en-AU"/>
        </w:rPr>
      </w:pPr>
    </w:p>
    <w:p w:rsidR="004843DB" w:rsidRPr="0062582F" w:rsidRDefault="004843DB" w:rsidP="004843DB">
      <w:pPr>
        <w:pStyle w:val="SmallLine"/>
        <w:rPr>
          <w:rStyle w:val="ReferenceChar"/>
          <w:rFonts w:ascii="Garamond" w:hAnsi="Garamond" w:cs="Tahoma"/>
          <w:color w:val="auto"/>
          <w:sz w:val="4"/>
          <w:szCs w:val="4"/>
          <w:lang w:val="en-AU"/>
        </w:rPr>
      </w:pPr>
    </w:p>
    <w:p w:rsidR="004843DB" w:rsidRPr="0062582F" w:rsidRDefault="004843DB" w:rsidP="004843DB">
      <w:pPr>
        <w:pStyle w:val="Reference"/>
        <w:rPr>
          <w:rStyle w:val="ReferenceChar"/>
        </w:rPr>
      </w:pPr>
      <w:r w:rsidRPr="0062582F">
        <w:rPr>
          <w:rStyle w:val="ReferenceChar"/>
        </w:rPr>
        <w:t>AASB 7.33(a), 34(a), and 37(a)</w:t>
      </w:r>
      <w:r w:rsidR="005A4BB0">
        <w:rPr>
          <w:rStyle w:val="ReferenceChar"/>
        </w:rPr>
        <w:noBreakHyphen/>
      </w:r>
      <w:r w:rsidRPr="0062582F">
        <w:rPr>
          <w:rStyle w:val="ReferenceChar"/>
        </w:rPr>
        <w:t>(b)</w:t>
      </w:r>
    </w:p>
    <w:p w:rsidR="004843DB" w:rsidRPr="0062582F" w:rsidRDefault="004843DB" w:rsidP="004843DB">
      <w:pPr>
        <w:pStyle w:val="million"/>
      </w:pPr>
      <w:r w:rsidRPr="0062582F">
        <w:br w:type="column"/>
        <w:t>($ thousand)</w:t>
      </w:r>
    </w:p>
    <w:tbl>
      <w:tblPr>
        <w:tblW w:w="8184" w:type="dxa"/>
        <w:tblLayout w:type="fixed"/>
        <w:tblCellMar>
          <w:left w:w="43" w:type="dxa"/>
          <w:right w:w="43" w:type="dxa"/>
        </w:tblCellMar>
        <w:tblLook w:val="04A0" w:firstRow="1" w:lastRow="0" w:firstColumn="1" w:lastColumn="0" w:noHBand="0" w:noVBand="1"/>
      </w:tblPr>
      <w:tblGrid>
        <w:gridCol w:w="5623"/>
        <w:gridCol w:w="1280"/>
        <w:gridCol w:w="1281"/>
      </w:tblGrid>
      <w:tr w:rsidR="004843DB" w:rsidRPr="0062582F" w:rsidTr="004843DB">
        <w:trPr>
          <w:cantSplit/>
        </w:trPr>
        <w:tc>
          <w:tcPr>
            <w:tcW w:w="5623" w:type="dxa"/>
            <w:tcBorders>
              <w:top w:val="single" w:sz="6" w:space="0" w:color="auto"/>
              <w:left w:val="nil"/>
              <w:bottom w:val="single" w:sz="6" w:space="0" w:color="auto"/>
              <w:right w:val="nil"/>
            </w:tcBorders>
            <w:shd w:val="clear" w:color="auto" w:fill="auto"/>
            <w:vAlign w:val="bottom"/>
            <w:hideMark/>
          </w:tcPr>
          <w:p w:rsidR="004843DB" w:rsidRPr="0062582F" w:rsidRDefault="004843DB" w:rsidP="004843DB">
            <w:pPr>
              <w:pStyle w:val="TabletextheadingLeft"/>
            </w:pPr>
            <w:r w:rsidRPr="0062582F">
              <w:t>2016</w:t>
            </w:r>
          </w:p>
        </w:tc>
        <w:tc>
          <w:tcPr>
            <w:tcW w:w="1280" w:type="dxa"/>
            <w:tcBorders>
              <w:top w:val="single" w:sz="6" w:space="0" w:color="auto"/>
              <w:left w:val="nil"/>
              <w:bottom w:val="single" w:sz="6" w:space="0" w:color="auto"/>
              <w:right w:val="nil"/>
            </w:tcBorders>
            <w:shd w:val="clear" w:color="00FFFF" w:fill="CCCCCC"/>
            <w:hideMark/>
          </w:tcPr>
          <w:p w:rsidR="004843DB" w:rsidRPr="0062582F" w:rsidRDefault="004843DB" w:rsidP="004843DB">
            <w:pPr>
              <w:pStyle w:val="Tabletextheading"/>
            </w:pPr>
            <w:r w:rsidRPr="0062582F">
              <w:br/>
              <w:t>Carrying amount</w:t>
            </w:r>
          </w:p>
        </w:tc>
        <w:tc>
          <w:tcPr>
            <w:tcW w:w="1281"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
            </w:pPr>
            <w:r w:rsidRPr="0062582F">
              <w:t>Not past due and not impaired</w:t>
            </w:r>
          </w:p>
        </w:tc>
      </w:tr>
      <w:tr w:rsidR="004843DB" w:rsidRPr="0062582F" w:rsidTr="004843DB">
        <w:trPr>
          <w:cantSplit/>
        </w:trPr>
        <w:tc>
          <w:tcPr>
            <w:tcW w:w="5623" w:type="dxa"/>
            <w:tcBorders>
              <w:top w:val="single" w:sz="6"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Receivables</w:t>
            </w:r>
            <w:r w:rsidRPr="0062582F">
              <w:rPr>
                <w:vertAlign w:val="superscript"/>
              </w:rPr>
              <w:t xml:space="preserve"> (i)</w:t>
            </w:r>
          </w:p>
        </w:tc>
        <w:tc>
          <w:tcPr>
            <w:tcW w:w="1280"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28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Finance lease receivables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581</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523</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Sale of goods and services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1 253</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908</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Loans to third parties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146</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106</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Accrued investment income</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1 864</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1 864</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Other receivables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334</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334</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Investments and other contractual financial assets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Equities and managed investment schemes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2 065</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2 065</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Term deposits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2 890</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2 890</w:t>
            </w:r>
          </w:p>
        </w:tc>
      </w:tr>
      <w:tr w:rsidR="004843DB" w:rsidRPr="0062582F" w:rsidTr="004843DB">
        <w:trPr>
          <w:cantSplit/>
        </w:trPr>
        <w:tc>
          <w:tcPr>
            <w:tcW w:w="562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Debt securities</w:t>
            </w:r>
          </w:p>
        </w:tc>
        <w:tc>
          <w:tcPr>
            <w:tcW w:w="12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9 021</w:t>
            </w:r>
          </w:p>
        </w:tc>
        <w:tc>
          <w:tcPr>
            <w:tcW w:w="128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9 021</w:t>
            </w:r>
          </w:p>
        </w:tc>
      </w:tr>
      <w:tr w:rsidR="004843DB" w:rsidRPr="0062582F" w:rsidTr="004843DB">
        <w:trPr>
          <w:cantSplit/>
        </w:trPr>
        <w:tc>
          <w:tcPr>
            <w:tcW w:w="562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w:t>
            </w:r>
          </w:p>
        </w:tc>
        <w:tc>
          <w:tcPr>
            <w:tcW w:w="12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18 153</w:t>
            </w:r>
          </w:p>
        </w:tc>
        <w:tc>
          <w:tcPr>
            <w:tcW w:w="128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17 710</w:t>
            </w:r>
          </w:p>
        </w:tc>
      </w:tr>
      <w:tr w:rsidR="004843DB" w:rsidRPr="0062582F" w:rsidTr="004843DB">
        <w:trPr>
          <w:cantSplit/>
        </w:trPr>
        <w:tc>
          <w:tcPr>
            <w:tcW w:w="5623" w:type="dxa"/>
            <w:tcBorders>
              <w:top w:val="single" w:sz="12" w:space="0" w:color="auto"/>
              <w:left w:val="nil"/>
              <w:bottom w:val="nil"/>
              <w:right w:val="nil"/>
            </w:tcBorders>
            <w:shd w:val="clear" w:color="auto" w:fill="auto"/>
            <w:hideMark/>
          </w:tcPr>
          <w:p w:rsidR="004843DB" w:rsidRPr="0062582F" w:rsidRDefault="004843DB" w:rsidP="004843DB">
            <w:pPr>
              <w:pStyle w:val="TabletextheadingLeft"/>
            </w:pPr>
            <w:r w:rsidRPr="0062582F">
              <w:t>2015</w:t>
            </w:r>
          </w:p>
        </w:tc>
        <w:tc>
          <w:tcPr>
            <w:tcW w:w="1280"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81"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Receivables</w:t>
            </w:r>
            <w:r w:rsidRPr="0062582F">
              <w:rPr>
                <w:vertAlign w:val="superscript"/>
              </w:rPr>
              <w:t xml:space="preserve"> (i)</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Finance lease receivables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1 231</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1 108</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Sale of goods and services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902</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654</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Loans to third parties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241</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175</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Accrued investment income</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1 058</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1 058</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Other receivables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438</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438</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Investments and other contractual financial assets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Equities and managed investment schemes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4 179</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4 179</w:t>
            </w:r>
          </w:p>
        </w:tc>
      </w:tr>
      <w:tr w:rsidR="004843DB" w:rsidRPr="0062582F" w:rsidTr="004843DB">
        <w:trPr>
          <w:cantSplit/>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Term deposits</w:t>
            </w:r>
          </w:p>
        </w:tc>
        <w:tc>
          <w:tcPr>
            <w:tcW w:w="12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5 130</w:t>
            </w:r>
          </w:p>
        </w:tc>
        <w:tc>
          <w:tcPr>
            <w:tcW w:w="128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5 130</w:t>
            </w:r>
          </w:p>
        </w:tc>
      </w:tr>
      <w:tr w:rsidR="004843DB" w:rsidRPr="0062582F" w:rsidTr="004843DB">
        <w:trPr>
          <w:cantSplit/>
        </w:trPr>
        <w:tc>
          <w:tcPr>
            <w:tcW w:w="562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Debt securities</w:t>
            </w:r>
          </w:p>
        </w:tc>
        <w:tc>
          <w:tcPr>
            <w:tcW w:w="12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7 422</w:t>
            </w:r>
          </w:p>
        </w:tc>
        <w:tc>
          <w:tcPr>
            <w:tcW w:w="128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7 422</w:t>
            </w:r>
          </w:p>
        </w:tc>
      </w:tr>
      <w:tr w:rsidR="004843DB" w:rsidRPr="0062582F" w:rsidTr="004843DB">
        <w:trPr>
          <w:cantSplit/>
        </w:trPr>
        <w:tc>
          <w:tcPr>
            <w:tcW w:w="562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w:t>
            </w:r>
          </w:p>
        </w:tc>
        <w:tc>
          <w:tcPr>
            <w:tcW w:w="12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20 601</w:t>
            </w:r>
          </w:p>
        </w:tc>
        <w:tc>
          <w:tcPr>
            <w:tcW w:w="128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20 163</w:t>
            </w:r>
          </w:p>
        </w:tc>
      </w:tr>
    </w:tbl>
    <w:p w:rsidR="004843DB" w:rsidRPr="0062582F" w:rsidRDefault="004843DB" w:rsidP="004843DB">
      <w:pPr>
        <w:pStyle w:val="Notes"/>
      </w:pPr>
      <w:r w:rsidRPr="0062582F">
        <w:t>Note:</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0"/>
      </w:pPr>
      <w:r w:rsidRPr="0062582F">
        <w:t>AASB 132.AG12</w:t>
      </w:r>
    </w:p>
    <w:p w:rsidR="004843DB" w:rsidRPr="0062582F" w:rsidRDefault="004843DB" w:rsidP="004843DB">
      <w:pPr>
        <w:pStyle w:val="Notes"/>
      </w:pPr>
      <w:r w:rsidRPr="0062582F">
        <w:br w:type="column"/>
        <w:t>(i)</w:t>
      </w:r>
      <w:r w:rsidRPr="0062582F">
        <w:tab/>
        <w:t>The carrying amounts disclosed here exclude statutory amounts (e.g. amounts owing from Victorian government and GST input tax credit recoverable).</w:t>
      </w:r>
    </w:p>
    <w:p w:rsidR="004843DB" w:rsidRPr="0062582F" w:rsidRDefault="004843DB" w:rsidP="004843DB">
      <w:pPr>
        <w:pStyle w:val="Notes"/>
      </w:pPr>
    </w:p>
    <w:p w:rsidR="004843DB" w:rsidRPr="0062582F" w:rsidRDefault="004843DB" w:rsidP="004843DB">
      <w:pPr>
        <w:pStyle w:val="million"/>
        <w:rPr>
          <w:rFonts w:ascii="Garamond" w:hAnsi="Garamond" w:cs="Times New Roman"/>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Headingcontinued"/>
        <w:spacing w:after="140"/>
      </w:pPr>
    </w:p>
    <w:p w:rsidR="004843DB" w:rsidRPr="0062582F" w:rsidRDefault="004843DB" w:rsidP="00E348C3">
      <w:pPr>
        <w:pStyle w:val="Tableheading"/>
      </w:pPr>
    </w:p>
    <w:p w:rsidR="004843DB" w:rsidRPr="0062582F" w:rsidRDefault="004843DB" w:rsidP="004843DB">
      <w:pPr>
        <w:pStyle w:val="million"/>
      </w:pPr>
    </w:p>
    <w:tbl>
      <w:tblPr>
        <w:tblW w:w="6523" w:type="dxa"/>
        <w:tblLayout w:type="fixed"/>
        <w:tblCellMar>
          <w:left w:w="43" w:type="dxa"/>
          <w:right w:w="43" w:type="dxa"/>
        </w:tblCellMar>
        <w:tblLook w:val="04A0" w:firstRow="1" w:lastRow="0" w:firstColumn="1" w:lastColumn="0" w:noHBand="0" w:noVBand="1"/>
      </w:tblPr>
      <w:tblGrid>
        <w:gridCol w:w="1630"/>
        <w:gridCol w:w="1631"/>
        <w:gridCol w:w="1631"/>
        <w:gridCol w:w="1631"/>
      </w:tblGrid>
      <w:tr w:rsidR="004843DB" w:rsidRPr="0062582F" w:rsidTr="004843DB">
        <w:trPr>
          <w:cantSplit/>
        </w:trPr>
        <w:tc>
          <w:tcPr>
            <w:tcW w:w="6523" w:type="dxa"/>
            <w:gridSpan w:val="4"/>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 xml:space="preserve">Past due but not impaired </w:t>
            </w:r>
          </w:p>
        </w:tc>
      </w:tr>
      <w:tr w:rsidR="004843DB" w:rsidRPr="0062582F" w:rsidTr="004843DB">
        <w:trPr>
          <w:cantSplit/>
          <w:trHeight w:val="365"/>
        </w:trPr>
        <w:tc>
          <w:tcPr>
            <w:tcW w:w="1630" w:type="dxa"/>
            <w:tcBorders>
              <w:top w:val="single" w:sz="4" w:space="0" w:color="auto"/>
              <w:left w:val="nil"/>
              <w:bottom w:val="single" w:sz="6" w:space="0" w:color="auto"/>
              <w:right w:val="nil"/>
            </w:tcBorders>
            <w:shd w:val="clear" w:color="00FFFF" w:fill="CCCCCC"/>
            <w:hideMark/>
          </w:tcPr>
          <w:p w:rsidR="004843DB" w:rsidRPr="0062582F" w:rsidRDefault="004843DB" w:rsidP="004843DB">
            <w:pPr>
              <w:pStyle w:val="Tabletextheading"/>
            </w:pPr>
            <w:r w:rsidRPr="0062582F">
              <w:t xml:space="preserve">Less than </w:t>
            </w:r>
            <w:r w:rsidRPr="0062582F">
              <w:br/>
              <w:t>1 month</w:t>
            </w:r>
          </w:p>
        </w:tc>
        <w:tc>
          <w:tcPr>
            <w:tcW w:w="1631" w:type="dxa"/>
            <w:tcBorders>
              <w:top w:val="single" w:sz="4" w:space="0" w:color="auto"/>
              <w:left w:val="nil"/>
              <w:bottom w:val="single" w:sz="6" w:space="0" w:color="auto"/>
              <w:right w:val="nil"/>
            </w:tcBorders>
            <w:shd w:val="clear" w:color="auto" w:fill="auto"/>
            <w:hideMark/>
          </w:tcPr>
          <w:p w:rsidR="004843DB" w:rsidRPr="0062582F" w:rsidRDefault="004843DB" w:rsidP="004843DB">
            <w:pPr>
              <w:pStyle w:val="Tabletextheading"/>
            </w:pPr>
            <w:r w:rsidRPr="0062582F">
              <w:br/>
              <w:t>1</w:t>
            </w:r>
            <w:r w:rsidR="005A4BB0">
              <w:noBreakHyphen/>
            </w:r>
            <w:r w:rsidRPr="0062582F">
              <w:t>3 months</w:t>
            </w:r>
          </w:p>
        </w:tc>
        <w:tc>
          <w:tcPr>
            <w:tcW w:w="1631" w:type="dxa"/>
            <w:tcBorders>
              <w:top w:val="single" w:sz="4" w:space="0" w:color="auto"/>
              <w:left w:val="nil"/>
              <w:bottom w:val="single" w:sz="6" w:space="0" w:color="auto"/>
              <w:right w:val="nil"/>
            </w:tcBorders>
            <w:shd w:val="clear" w:color="00FFFF" w:fill="CCCCCC"/>
            <w:hideMark/>
          </w:tcPr>
          <w:p w:rsidR="004843DB" w:rsidRPr="0062582F" w:rsidRDefault="004843DB" w:rsidP="004843DB">
            <w:pPr>
              <w:pStyle w:val="Tabletextheading"/>
            </w:pPr>
            <w:r w:rsidRPr="0062582F">
              <w:br/>
              <w:t>3 months – 1 year</w:t>
            </w:r>
          </w:p>
        </w:tc>
        <w:tc>
          <w:tcPr>
            <w:tcW w:w="1631" w:type="dxa"/>
            <w:tcBorders>
              <w:top w:val="single" w:sz="4" w:space="0" w:color="auto"/>
              <w:left w:val="nil"/>
              <w:bottom w:val="single" w:sz="6" w:space="0" w:color="auto"/>
              <w:right w:val="nil"/>
            </w:tcBorders>
            <w:shd w:val="clear" w:color="auto" w:fill="auto"/>
            <w:hideMark/>
          </w:tcPr>
          <w:p w:rsidR="004843DB" w:rsidRPr="0062582F" w:rsidRDefault="004843DB" w:rsidP="004843DB">
            <w:pPr>
              <w:pStyle w:val="Tabletextheading"/>
            </w:pPr>
            <w:r w:rsidRPr="0062582F">
              <w:br/>
              <w:t>1</w:t>
            </w:r>
            <w:r w:rsidR="005A4BB0">
              <w:noBreakHyphen/>
            </w:r>
            <w:r w:rsidRPr="0062582F">
              <w:t xml:space="preserve"> 5 years</w:t>
            </w:r>
          </w:p>
        </w:tc>
      </w:tr>
      <w:tr w:rsidR="004843DB" w:rsidRPr="0062582F" w:rsidTr="004843DB">
        <w:trPr>
          <w:cantSplit/>
        </w:trPr>
        <w:tc>
          <w:tcPr>
            <w:tcW w:w="1630"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63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31"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631"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58</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125</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94</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63</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63</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15</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11</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7</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7</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198</w:t>
            </w:r>
          </w:p>
        </w:tc>
        <w:tc>
          <w:tcPr>
            <w:tcW w:w="163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105</w:t>
            </w:r>
          </w:p>
        </w:tc>
        <w:tc>
          <w:tcPr>
            <w:tcW w:w="163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70</w:t>
            </w:r>
          </w:p>
        </w:tc>
        <w:tc>
          <w:tcPr>
            <w:tcW w:w="163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70</w:t>
            </w:r>
          </w:p>
        </w:tc>
      </w:tr>
      <w:tr w:rsidR="004843DB" w:rsidRPr="0062582F" w:rsidTr="004843DB">
        <w:trPr>
          <w:cantSplit/>
        </w:trPr>
        <w:tc>
          <w:tcPr>
            <w:tcW w:w="1630"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31"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31"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31"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123</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90</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68</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45</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45</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24</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18</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12</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12</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631"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63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163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237</w:t>
            </w:r>
          </w:p>
        </w:tc>
        <w:tc>
          <w:tcPr>
            <w:tcW w:w="163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86</w:t>
            </w:r>
          </w:p>
        </w:tc>
        <w:tc>
          <w:tcPr>
            <w:tcW w:w="1631"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57</w:t>
            </w:r>
          </w:p>
        </w:tc>
        <w:tc>
          <w:tcPr>
            <w:tcW w:w="163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57</w:t>
            </w:r>
          </w:p>
        </w:tc>
      </w:tr>
    </w:tbl>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Pr>
        <w:pStyle w:val="SmallLine"/>
        <w:sectPr w:rsidR="004843DB" w:rsidRPr="0062582F" w:rsidSect="00190A01">
          <w:headerReference w:type="even" r:id="rId318"/>
          <w:headerReference w:type="default" r:id="rId319"/>
          <w:footerReference w:type="even" r:id="rId320"/>
          <w:headerReference w:type="first" r:id="rId321"/>
          <w:pgSz w:w="11906" w:h="16838" w:code="9"/>
          <w:pgMar w:top="1152" w:right="864" w:bottom="1152" w:left="864" w:header="432" w:footer="432" w:gutter="0"/>
          <w:cols w:space="360"/>
        </w:sectPr>
      </w:pPr>
    </w:p>
    <w:p w:rsidR="004843DB" w:rsidRPr="0062582F" w:rsidRDefault="004843DB" w:rsidP="004843DB">
      <w:pPr>
        <w:pStyle w:val="NoteHeadingcontinued"/>
      </w:pPr>
      <w:r w:rsidRPr="0062582F">
        <w:br w:type="column"/>
        <w:t>Note 33.</w:t>
      </w:r>
      <w:r w:rsidRPr="0062582F">
        <w:tab/>
        <w:t xml:space="preserve">Financial instruments </w:t>
      </w:r>
      <w:r w:rsidRPr="0062582F">
        <w:rPr>
          <w:i/>
        </w:rPr>
        <w:t>(continued)</w:t>
      </w:r>
    </w:p>
    <w:p w:rsidR="004843DB" w:rsidRPr="0062582F" w:rsidRDefault="004843DB" w:rsidP="004843DB">
      <w:pPr>
        <w:pStyle w:val="Heading5"/>
      </w:pPr>
      <w:r w:rsidRPr="0062582F">
        <w:t>Contractual financial assets that are either past due or impaired</w:t>
      </w:r>
    </w:p>
    <w:p w:rsidR="004843DB" w:rsidRPr="0062582F" w:rsidRDefault="004843DB" w:rsidP="004843DB">
      <w:pPr>
        <w:sectPr w:rsidR="004843DB" w:rsidRPr="0062582F" w:rsidSect="000374D1">
          <w:headerReference w:type="even" r:id="rId322"/>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7.36(b)</w:t>
      </w:r>
    </w:p>
    <w:p w:rsidR="004843DB" w:rsidRPr="0062582F" w:rsidRDefault="004843DB" w:rsidP="004843DB">
      <w:r w:rsidRPr="0062582F">
        <w:br w:type="column"/>
        <w:t>There are no material financial assets which are individually determined to be impaired. Currently the Department does not hold any collateral as security nor credit enhancements relating to any of its financial assets.</w:t>
      </w:r>
    </w:p>
    <w:p w:rsidR="004843DB" w:rsidRPr="0062582F" w:rsidRDefault="004843DB" w:rsidP="004843DB">
      <w:pPr>
        <w:pStyle w:val="NormalBlue"/>
        <w:rPr>
          <w:i/>
        </w:rPr>
      </w:pPr>
      <w:r w:rsidRPr="0062582F">
        <w:rPr>
          <w:i/>
        </w:rPr>
        <w:t>[An entity with impaired financial assets may use the format of the table of ageing analysis above to disclose the analysis of its impaired financial assets in under a separate additional column, in accordance with the requirement of AASB 7.37(b).]</w:t>
      </w:r>
    </w:p>
    <w:p w:rsidR="004843DB" w:rsidRPr="0062582F" w:rsidRDefault="004843DB" w:rsidP="004843DB">
      <w:r w:rsidRPr="0062582F">
        <w:t>There are no financial assets that have had their terms renegotiated so as to prevent them from being past due or impaired, and they are stated at the carrying amounts as indicated. The ageing analysis table above discloses the ageing only of contractual financial assets that are past due but not impaired.</w:t>
      </w:r>
    </w:p>
    <w:p w:rsidR="004843DB" w:rsidRPr="0062582F" w:rsidRDefault="004843DB" w:rsidP="004843DB">
      <w:pPr>
        <w:pStyle w:val="ReferenceRed"/>
        <w:spacing w:before="240"/>
        <w:rPr>
          <w:lang w:val="en-AU"/>
        </w:rPr>
      </w:pPr>
      <w:r w:rsidRPr="0062582F">
        <w:br w:type="column"/>
      </w:r>
    </w:p>
    <w:p w:rsidR="004843DB" w:rsidRPr="0062582F" w:rsidRDefault="004843DB" w:rsidP="004843DB">
      <w:pPr>
        <w:pStyle w:val="NoteHeadingcontinued"/>
      </w:pPr>
      <w:r w:rsidRPr="0062582F">
        <w:br w:type="column"/>
        <w:t>Note 33.</w:t>
      </w:r>
      <w:r w:rsidRPr="0062582F">
        <w:tab/>
        <w:t xml:space="preserve">Financial instruments </w:t>
      </w:r>
      <w:r w:rsidRPr="0062582F">
        <w:rPr>
          <w:i/>
        </w:rPr>
        <w:t>(continued)</w:t>
      </w:r>
    </w:p>
    <w:p w:rsidR="004843DB" w:rsidRPr="0062582F" w:rsidRDefault="004843DB" w:rsidP="004843DB">
      <w:pPr>
        <w:pStyle w:val="Heading5"/>
        <w:sectPr w:rsidR="004843DB" w:rsidRPr="0062582F" w:rsidSect="00190A01">
          <w:headerReference w:type="default" r:id="rId323"/>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20"/>
      </w:pPr>
      <w:r w:rsidRPr="0062582F">
        <w:t>AASB 7.33, 39</w:t>
      </w:r>
    </w:p>
    <w:p w:rsidR="004843DB" w:rsidRPr="0062582F" w:rsidRDefault="004843DB" w:rsidP="004843DB">
      <w:pPr>
        <w:pStyle w:val="Heading5"/>
      </w:pPr>
      <w:r w:rsidRPr="0062582F">
        <w:br w:type="column"/>
        <w:t>(c)</w:t>
      </w:r>
      <w:r w:rsidRPr="0062582F">
        <w:tab/>
        <w:t>Liquidity risk</w:t>
      </w:r>
    </w:p>
    <w:p w:rsidR="004843DB" w:rsidRPr="0062582F" w:rsidRDefault="004843DB" w:rsidP="004843DB">
      <w:r w:rsidRPr="0062582F">
        <w:t xml:space="preserve">Liquidity risk is the risk that the Department would be unable to meet its financial obligations as and when they fall due. The Department operates under the Government fair payments policy of settling financial obligations within 30 days and in the event of a dispute, making payments within 30 days from the date of resolution. </w:t>
      </w:r>
    </w:p>
    <w:p w:rsidR="004843DB" w:rsidRPr="0062582F" w:rsidRDefault="004843DB" w:rsidP="004843DB">
      <w:r w:rsidRPr="0062582F">
        <w:t>The Department</w:t>
      </w:r>
      <w:r w:rsidR="005A4BB0">
        <w:t>’</w:t>
      </w:r>
      <w:r w:rsidRPr="0062582F">
        <w:t>s maximum exposure to liquidity risk is the carrying amounts of financial liabilities as disclosed in the face of the balance sheet and the amounts related to financial guarantees disclosed in Note 32. The Department manages its liquidity risk by:</w:t>
      </w:r>
    </w:p>
    <w:p w:rsidR="004843DB" w:rsidRPr="0062582F" w:rsidRDefault="004843DB" w:rsidP="004843DB">
      <w:pPr>
        <w:pStyle w:val="Bullet"/>
      </w:pPr>
      <w:r w:rsidRPr="0062582F">
        <w:t>close monitoring of its short</w:t>
      </w:r>
      <w:r w:rsidR="005A4BB0">
        <w:noBreakHyphen/>
      </w:r>
      <w:r w:rsidRPr="0062582F">
        <w:t>term and long</w:t>
      </w:r>
      <w:r w:rsidR="005A4BB0">
        <w:noBreakHyphen/>
      </w:r>
      <w:r w:rsidRPr="0062582F">
        <w:t>term borrowings by senior management, including monthly reviews on current and future borrowing levels and requirements;</w:t>
      </w:r>
    </w:p>
    <w:p w:rsidR="004843DB" w:rsidRPr="0062582F" w:rsidRDefault="004843DB" w:rsidP="004843DB">
      <w:pPr>
        <w:pStyle w:val="Bullet"/>
      </w:pPr>
      <w:r w:rsidRPr="0062582F">
        <w:t>maintaining an adequate level of uncommitted funds that can be drawn at short notice to meet its short</w:t>
      </w:r>
      <w:r w:rsidR="005A4BB0">
        <w:noBreakHyphen/>
      </w:r>
      <w:r w:rsidRPr="0062582F">
        <w:t>term obligations;</w:t>
      </w:r>
    </w:p>
    <w:p w:rsidR="004843DB" w:rsidRPr="0062582F" w:rsidRDefault="004843DB" w:rsidP="004843DB">
      <w:pPr>
        <w:pStyle w:val="Bullet"/>
      </w:pPr>
      <w:r w:rsidRPr="0062582F">
        <w:t>holding investments and other contractual financial assets that are readily tradeable in the financial markets;</w:t>
      </w:r>
    </w:p>
    <w:p w:rsidR="004843DB" w:rsidRPr="0062582F" w:rsidRDefault="004843DB" w:rsidP="004843DB">
      <w:pPr>
        <w:pStyle w:val="Bullet"/>
      </w:pPr>
      <w:r w:rsidRPr="0062582F">
        <w:t>careful maturity planning of its financial obligations based on forecasts of future cash flows; and</w:t>
      </w:r>
    </w:p>
    <w:p w:rsidR="004843DB" w:rsidRPr="0062582F" w:rsidRDefault="004843DB" w:rsidP="004843DB">
      <w:pPr>
        <w:pStyle w:val="Bullet"/>
      </w:pPr>
      <w:r w:rsidRPr="0062582F">
        <w:t>a high credit rating for the State of Victoria (Moody</w:t>
      </w:r>
      <w:r w:rsidR="005A4BB0">
        <w:t>’</w:t>
      </w:r>
      <w:r w:rsidRPr="0062582F">
        <w:t>s Investor Services and Standard &amp; Poor</w:t>
      </w:r>
      <w:r w:rsidR="005A4BB0">
        <w:t>’</w:t>
      </w:r>
      <w:r w:rsidRPr="0062582F">
        <w:t>s triple</w:t>
      </w:r>
      <w:r w:rsidR="005A4BB0">
        <w:noBreakHyphen/>
      </w:r>
      <w:r w:rsidRPr="0062582F">
        <w:t>A, which assists in accessing debt market at a lower interest rate).</w:t>
      </w:r>
    </w:p>
    <w:p w:rsidR="004843DB" w:rsidRPr="0062582F" w:rsidRDefault="004843DB" w:rsidP="004843DB">
      <w:r w:rsidRPr="0062582F">
        <w:t>The Department</w:t>
      </w:r>
      <w:r w:rsidR="005A4BB0">
        <w:t>’</w:t>
      </w:r>
      <w:r w:rsidRPr="0062582F">
        <w:t>s exposure to liquidity risk is deemed insignificant based on prior periods</w:t>
      </w:r>
      <w:r w:rsidR="005A4BB0">
        <w:t>’</w:t>
      </w:r>
      <w:r w:rsidRPr="0062582F">
        <w:t xml:space="preserve"> data and current assessment of risk. Cash for unexpected events is generally sourced from liquidation of available</w:t>
      </w:r>
      <w:r w:rsidR="005A4BB0">
        <w:noBreakHyphen/>
      </w:r>
      <w:r w:rsidRPr="0062582F">
        <w:t>for</w:t>
      </w:r>
      <w:r w:rsidR="005A4BB0">
        <w:noBreakHyphen/>
      </w:r>
      <w:r w:rsidRPr="0062582F">
        <w:t>sale financial investments.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7.4</w:t>
      </w:r>
    </w:p>
    <w:p w:rsidR="004843DB" w:rsidRPr="0062582F" w:rsidRDefault="004843DB" w:rsidP="004843DB">
      <w:r w:rsidRPr="0062582F">
        <w:br w:type="column"/>
        <w:t>The carrying amount detailed in the following table of contractual financial liabilities recorded in the financial statements, and $200 000 (2015: $200 000) in relation to financial guarantees granted for loans to other entities (refer to Note 32), represents the Department</w:t>
      </w:r>
      <w:r w:rsidR="005A4BB0">
        <w:t>’</w:t>
      </w:r>
      <w:r w:rsidRPr="0062582F">
        <w:t>s maximum exposure to liquidity risk.</w:t>
      </w:r>
    </w:p>
    <w:p w:rsidR="004843DB" w:rsidRPr="0062582F" w:rsidRDefault="004843DB" w:rsidP="004843DB">
      <w:r w:rsidRPr="0062582F">
        <w:t>The following table discloses the contractual maturity analysis for the Department</w:t>
      </w:r>
      <w:r w:rsidR="005A4BB0">
        <w:t>’</w:t>
      </w:r>
      <w:r w:rsidRPr="0062582F">
        <w:t>s contractual financial liabilities.</w:t>
      </w:r>
    </w:p>
    <w:p w:rsidR="004843DB" w:rsidRPr="0062582F" w:rsidRDefault="004843DB" w:rsidP="004843DB">
      <w:pPr>
        <w:ind w:left="426"/>
      </w:pPr>
    </w:p>
    <w:p w:rsidR="004843DB" w:rsidRPr="0062582F" w:rsidRDefault="004843DB" w:rsidP="004843DB">
      <w:pPr>
        <w:pStyle w:val="Reference"/>
        <w:spacing w:before="120"/>
        <w:jc w:val="both"/>
        <w:rPr>
          <w:rFonts w:ascii="Garamond" w:hAnsi="Garamond" w:cs="Times New Roman"/>
          <w:lang w:val="en-AU"/>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20"/>
        <w:jc w:val="both"/>
        <w:rPr>
          <w:rFonts w:ascii="Garamond" w:hAnsi="Garamond" w:cs="Times New Roman"/>
          <w:lang w:val="en-AU"/>
        </w:rPr>
      </w:pPr>
    </w:p>
    <w:p w:rsidR="004843DB" w:rsidRPr="0062582F" w:rsidRDefault="004843DB" w:rsidP="004843DB">
      <w:pPr>
        <w:pStyle w:val="NoteHeadingcontinued"/>
      </w:pPr>
      <w:r w:rsidRPr="0062582F">
        <w:rPr>
          <w:rFonts w:ascii="Garamond" w:hAnsi="Garamond"/>
        </w:rPr>
        <w:br w:type="column"/>
      </w:r>
      <w:r w:rsidRPr="0062582F">
        <w:t>Note 33.</w:t>
      </w:r>
      <w:r w:rsidRPr="0062582F">
        <w:tab/>
        <w:t xml:space="preserve">Financial instruments </w:t>
      </w:r>
      <w:r w:rsidRPr="0062582F">
        <w:rPr>
          <w:i/>
        </w:rPr>
        <w:t>(continued)</w:t>
      </w:r>
    </w:p>
    <w:p w:rsidR="004843DB" w:rsidRPr="0062582F" w:rsidRDefault="004843DB" w:rsidP="00E348C3">
      <w:pPr>
        <w:pStyle w:val="Tableheading"/>
      </w:pPr>
      <w:r w:rsidRPr="0062582F">
        <w:t>Table 33.5: Maturity analysis of contractual financial liabilities</w:t>
      </w:r>
      <w:r w:rsidRPr="0062582F">
        <w:rPr>
          <w:vertAlign w:val="superscript"/>
        </w:rPr>
        <w:t>(i)</w:t>
      </w:r>
    </w:p>
    <w:p w:rsidR="004843DB" w:rsidRPr="0062582F" w:rsidRDefault="004843DB" w:rsidP="004843DB">
      <w:pPr>
        <w:pStyle w:val="million"/>
        <w:sectPr w:rsidR="004843DB" w:rsidRPr="0062582F" w:rsidSect="00190A01">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SmallLine"/>
        <w:rPr>
          <w:rStyle w:val="ReferenceRedChar"/>
          <w:sz w:val="4"/>
          <w:szCs w:val="4"/>
        </w:rPr>
      </w:pPr>
    </w:p>
    <w:p w:rsidR="004843DB" w:rsidRPr="0062582F" w:rsidRDefault="004843DB" w:rsidP="004843DB">
      <w:pPr>
        <w:pStyle w:val="SmallLine"/>
        <w:rPr>
          <w:rStyle w:val="ReferenceRedChar"/>
          <w:sz w:val="4"/>
          <w:szCs w:val="4"/>
        </w:rPr>
      </w:pPr>
    </w:p>
    <w:p w:rsidR="004843DB" w:rsidRPr="0062582F" w:rsidRDefault="004843DB" w:rsidP="004843DB">
      <w:pPr>
        <w:pStyle w:val="SmallLine"/>
        <w:rPr>
          <w:rStyle w:val="ReferenceRedChar"/>
          <w:sz w:val="4"/>
          <w:szCs w:val="4"/>
        </w:rPr>
      </w:pPr>
      <w:r w:rsidRPr="0062582F">
        <w:rPr>
          <w:rStyle w:val="ReferenceRedChar"/>
          <w:sz w:val="4"/>
          <w:szCs w:val="4"/>
        </w:rPr>
        <w:br/>
      </w:r>
    </w:p>
    <w:p w:rsidR="004843DB" w:rsidRPr="0062582F" w:rsidRDefault="004843DB" w:rsidP="004843DB">
      <w:pPr>
        <w:pStyle w:val="Reference"/>
        <w:rPr>
          <w:rStyle w:val="ReferenceChar"/>
        </w:rPr>
      </w:pPr>
      <w:r w:rsidRPr="0062582F">
        <w:rPr>
          <w:rStyle w:val="ReferenceChar"/>
        </w:rPr>
        <w:t>AASB 7.31, 34, 39(a)</w:t>
      </w:r>
    </w:p>
    <w:p w:rsidR="004843DB" w:rsidRPr="0062582F" w:rsidRDefault="004843DB" w:rsidP="004843DB">
      <w:pPr>
        <w:pStyle w:val="million"/>
        <w:rPr>
          <w:rFonts w:ascii="Tahoma" w:hAnsi="Tahoma" w:cs="Tahoma"/>
          <w:sz w:val="20"/>
          <w:szCs w:val="20"/>
        </w:rPr>
      </w:pPr>
      <w:r w:rsidRPr="0062582F">
        <w:br w:type="column"/>
        <w:t>($ thousand)</w:t>
      </w:r>
    </w:p>
    <w:tbl>
      <w:tblPr>
        <w:tblW w:w="8215" w:type="dxa"/>
        <w:tblInd w:w="7" w:type="dxa"/>
        <w:tblLayout w:type="fixed"/>
        <w:tblCellMar>
          <w:left w:w="43" w:type="dxa"/>
          <w:right w:w="43" w:type="dxa"/>
        </w:tblCellMar>
        <w:tblLook w:val="04A0" w:firstRow="1" w:lastRow="0" w:firstColumn="1" w:lastColumn="0" w:noHBand="0" w:noVBand="1"/>
      </w:tblPr>
      <w:tblGrid>
        <w:gridCol w:w="4795"/>
        <w:gridCol w:w="1580"/>
        <w:gridCol w:w="1840"/>
      </w:tblGrid>
      <w:tr w:rsidR="004843DB" w:rsidRPr="0062582F" w:rsidTr="004843DB">
        <w:trPr>
          <w:cantSplit/>
        </w:trPr>
        <w:tc>
          <w:tcPr>
            <w:tcW w:w="4795" w:type="dxa"/>
            <w:tcBorders>
              <w:top w:val="single" w:sz="4" w:space="0" w:color="auto"/>
              <w:left w:val="nil"/>
              <w:right w:val="nil"/>
            </w:tcBorders>
            <w:shd w:val="clear" w:color="auto" w:fill="auto"/>
            <w:hideMark/>
          </w:tcPr>
          <w:p w:rsidR="004843DB" w:rsidRPr="0062582F" w:rsidRDefault="004843DB" w:rsidP="004843DB">
            <w:pPr>
              <w:pStyle w:val="TabletextheadingLeft"/>
            </w:pPr>
          </w:p>
        </w:tc>
        <w:tc>
          <w:tcPr>
            <w:tcW w:w="1580" w:type="dxa"/>
            <w:tcBorders>
              <w:top w:val="single" w:sz="4" w:space="0" w:color="auto"/>
              <w:left w:val="nil"/>
              <w:right w:val="nil"/>
            </w:tcBorders>
            <w:shd w:val="clear" w:color="00FFFF" w:fill="CCCCCC"/>
          </w:tcPr>
          <w:p w:rsidR="004843DB" w:rsidRPr="0062582F" w:rsidRDefault="004843DB" w:rsidP="004843DB">
            <w:pPr>
              <w:pStyle w:val="Tabletextheading"/>
            </w:pPr>
          </w:p>
        </w:tc>
        <w:tc>
          <w:tcPr>
            <w:tcW w:w="1840" w:type="dxa"/>
            <w:tcBorders>
              <w:top w:val="single" w:sz="4" w:space="0" w:color="auto"/>
              <w:left w:val="nil"/>
              <w:right w:val="nil"/>
            </w:tcBorders>
            <w:shd w:val="clear" w:color="auto" w:fill="auto"/>
            <w:hideMark/>
          </w:tcPr>
          <w:p w:rsidR="004843DB" w:rsidRPr="0062582F" w:rsidRDefault="004843DB" w:rsidP="004843DB">
            <w:pPr>
              <w:pStyle w:val="Tabletextheading"/>
              <w:spacing w:after="0"/>
            </w:pPr>
            <w:r w:rsidRPr="0062582F">
              <w:br/>
              <w:t xml:space="preserve">Nominal </w:t>
            </w:r>
          </w:p>
        </w:tc>
      </w:tr>
      <w:tr w:rsidR="004843DB" w:rsidRPr="0062582F" w:rsidTr="004843DB">
        <w:trPr>
          <w:cantSplit/>
        </w:trPr>
        <w:tc>
          <w:tcPr>
            <w:tcW w:w="4795" w:type="dxa"/>
            <w:tcBorders>
              <w:left w:val="nil"/>
              <w:bottom w:val="single" w:sz="4" w:space="0" w:color="auto"/>
              <w:right w:val="nil"/>
            </w:tcBorders>
            <w:shd w:val="clear" w:color="auto" w:fill="auto"/>
          </w:tcPr>
          <w:p w:rsidR="004843DB" w:rsidRPr="0062582F" w:rsidRDefault="004843DB" w:rsidP="004843DB">
            <w:pPr>
              <w:pStyle w:val="TabletextheadingLeft"/>
            </w:pPr>
            <w:r w:rsidRPr="0062582F">
              <w:t>2016</w:t>
            </w:r>
          </w:p>
        </w:tc>
        <w:tc>
          <w:tcPr>
            <w:tcW w:w="1580" w:type="dxa"/>
            <w:tcBorders>
              <w:left w:val="nil"/>
              <w:bottom w:val="single" w:sz="4" w:space="0" w:color="auto"/>
              <w:right w:val="nil"/>
            </w:tcBorders>
            <w:shd w:val="clear" w:color="00FFFF" w:fill="CCCCCC"/>
          </w:tcPr>
          <w:p w:rsidR="004843DB" w:rsidRPr="0062582F" w:rsidRDefault="004843DB" w:rsidP="004843DB">
            <w:pPr>
              <w:pStyle w:val="Tabletextheading"/>
            </w:pPr>
            <w:r w:rsidRPr="0062582F">
              <w:t>Carrying amount</w:t>
            </w:r>
          </w:p>
        </w:tc>
        <w:tc>
          <w:tcPr>
            <w:tcW w:w="1840" w:type="dxa"/>
            <w:tcBorders>
              <w:left w:val="nil"/>
              <w:bottom w:val="single" w:sz="4" w:space="0" w:color="auto"/>
              <w:right w:val="nil"/>
            </w:tcBorders>
            <w:shd w:val="clear" w:color="auto" w:fill="auto"/>
          </w:tcPr>
          <w:p w:rsidR="004843DB" w:rsidRPr="0062582F" w:rsidRDefault="004843DB" w:rsidP="004843DB">
            <w:pPr>
              <w:pStyle w:val="Tabletextheading"/>
              <w:spacing w:after="40"/>
            </w:pPr>
            <w:r w:rsidRPr="0062582F">
              <w:t>amount</w:t>
            </w:r>
          </w:p>
        </w:tc>
      </w:tr>
      <w:tr w:rsidR="004843DB" w:rsidRPr="0062582F" w:rsidTr="004843DB">
        <w:trPr>
          <w:cantSplit/>
        </w:trPr>
        <w:tc>
          <w:tcPr>
            <w:tcW w:w="4795" w:type="dxa"/>
            <w:tcBorders>
              <w:top w:val="single" w:sz="4"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Payables</w:t>
            </w:r>
            <w:r w:rsidRPr="0062582F">
              <w:rPr>
                <w:vertAlign w:val="superscript"/>
              </w:rPr>
              <w:t xml:space="preserve"> (ii)</w:t>
            </w:r>
          </w:p>
        </w:tc>
        <w:tc>
          <w:tcPr>
            <w:tcW w:w="1580" w:type="dxa"/>
            <w:tcBorders>
              <w:top w:val="single" w:sz="4" w:space="0" w:color="auto"/>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840"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Supplies and services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4 466</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4 466</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Amounts payable to government and agencies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10 890</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10 890</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Other payables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1 962</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1 962</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Borrowings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Bank overdrafts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Finance lease liabilities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8 064</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9 677</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Advances from government</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5 314</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5 630</w:t>
            </w:r>
          </w:p>
        </w:tc>
      </w:tr>
      <w:tr w:rsidR="004843DB" w:rsidRPr="0062582F" w:rsidTr="004843DB">
        <w:trPr>
          <w:cantSplit/>
        </w:trPr>
        <w:tc>
          <w:tcPr>
            <w:tcW w:w="4795"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Loans from TCV</w:t>
            </w:r>
          </w:p>
        </w:tc>
        <w:tc>
          <w:tcPr>
            <w:tcW w:w="15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48 696</w:t>
            </w:r>
          </w:p>
        </w:tc>
        <w:tc>
          <w:tcPr>
            <w:tcW w:w="184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48 696</w:t>
            </w:r>
          </w:p>
        </w:tc>
      </w:tr>
      <w:tr w:rsidR="004843DB" w:rsidRPr="0062582F" w:rsidTr="004843DB">
        <w:trPr>
          <w:cantSplit/>
        </w:trPr>
        <w:tc>
          <w:tcPr>
            <w:tcW w:w="4795"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w:t>
            </w:r>
          </w:p>
        </w:tc>
        <w:tc>
          <w:tcPr>
            <w:tcW w:w="15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79 392</w:t>
            </w:r>
          </w:p>
        </w:tc>
        <w:tc>
          <w:tcPr>
            <w:tcW w:w="18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81 321</w:t>
            </w:r>
          </w:p>
        </w:tc>
      </w:tr>
      <w:tr w:rsidR="004843DB" w:rsidRPr="0062582F" w:rsidTr="004843DB">
        <w:trPr>
          <w:cantSplit/>
        </w:trPr>
        <w:tc>
          <w:tcPr>
            <w:tcW w:w="4795" w:type="dxa"/>
            <w:tcBorders>
              <w:top w:val="single" w:sz="12" w:space="0" w:color="auto"/>
              <w:left w:val="nil"/>
              <w:bottom w:val="nil"/>
              <w:right w:val="nil"/>
            </w:tcBorders>
            <w:shd w:val="clear" w:color="auto" w:fill="auto"/>
            <w:hideMark/>
          </w:tcPr>
          <w:p w:rsidR="004843DB" w:rsidRPr="0062582F" w:rsidRDefault="004843DB" w:rsidP="004843DB">
            <w:pPr>
              <w:pStyle w:val="TabletextheadingLeft"/>
            </w:pPr>
            <w:r w:rsidRPr="0062582F">
              <w:t>2015</w:t>
            </w:r>
          </w:p>
        </w:tc>
        <w:tc>
          <w:tcPr>
            <w:tcW w:w="1580"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840"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rPr>
                <w:b/>
              </w:rPr>
              <w:t>Payables</w:t>
            </w:r>
            <w:r w:rsidRPr="0062582F">
              <w:rPr>
                <w:vertAlign w:val="superscript"/>
              </w:rPr>
              <w:t xml:space="preserve"> (ii)</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Supplies and services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5 330</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5 330</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Amounts payable to government and agencies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7 874</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7 874</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Other payables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2 938</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2 938</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Borrowings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Bank overdrafts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5 437</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5 437</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Finance lease liabilities</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20 062</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24 074</w:t>
            </w:r>
          </w:p>
        </w:tc>
      </w:tr>
      <w:tr w:rsidR="004843DB" w:rsidRPr="0062582F" w:rsidTr="004843DB">
        <w:trPr>
          <w:cantSplit/>
        </w:trPr>
        <w:tc>
          <w:tcPr>
            <w:tcW w:w="4795" w:type="dxa"/>
            <w:tcBorders>
              <w:top w:val="nil"/>
              <w:left w:val="nil"/>
              <w:bottom w:val="nil"/>
              <w:right w:val="nil"/>
            </w:tcBorders>
            <w:shd w:val="clear" w:color="auto" w:fill="auto"/>
            <w:hideMark/>
          </w:tcPr>
          <w:p w:rsidR="004843DB" w:rsidRPr="0062582F" w:rsidRDefault="004843DB" w:rsidP="004843DB">
            <w:pPr>
              <w:pStyle w:val="Tabletext"/>
            </w:pPr>
            <w:r w:rsidRPr="0062582F">
              <w:t>Advances from government</w:t>
            </w:r>
          </w:p>
        </w:tc>
        <w:tc>
          <w:tcPr>
            <w:tcW w:w="158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12 344</w:t>
            </w:r>
          </w:p>
        </w:tc>
        <w:tc>
          <w:tcPr>
            <w:tcW w:w="184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11 315</w:t>
            </w:r>
          </w:p>
        </w:tc>
      </w:tr>
      <w:tr w:rsidR="004843DB" w:rsidRPr="0062582F" w:rsidTr="004843DB">
        <w:trPr>
          <w:cantSplit/>
        </w:trPr>
        <w:tc>
          <w:tcPr>
            <w:tcW w:w="4795"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Loans from TCV</w:t>
            </w:r>
          </w:p>
        </w:tc>
        <w:tc>
          <w:tcPr>
            <w:tcW w:w="158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27 705</w:t>
            </w:r>
          </w:p>
        </w:tc>
        <w:tc>
          <w:tcPr>
            <w:tcW w:w="184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27 705</w:t>
            </w:r>
          </w:p>
        </w:tc>
      </w:tr>
      <w:tr w:rsidR="004843DB" w:rsidRPr="0062582F" w:rsidTr="004843DB">
        <w:trPr>
          <w:cantSplit/>
        </w:trPr>
        <w:tc>
          <w:tcPr>
            <w:tcW w:w="4795"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w:t>
            </w:r>
          </w:p>
        </w:tc>
        <w:tc>
          <w:tcPr>
            <w:tcW w:w="158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81 689</w:t>
            </w:r>
          </w:p>
        </w:tc>
        <w:tc>
          <w:tcPr>
            <w:tcW w:w="184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84 673</w:t>
            </w:r>
          </w:p>
        </w:tc>
      </w:tr>
    </w:tbl>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s"/>
      </w:pPr>
      <w:r w:rsidRPr="0062582F">
        <w:br w:type="column"/>
        <w:t>Notes:</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0"/>
      </w:pPr>
      <w:r w:rsidRPr="0062582F">
        <w:t>AASB 132.AG12</w:t>
      </w:r>
    </w:p>
    <w:p w:rsidR="004843DB" w:rsidRPr="0062582F" w:rsidRDefault="004843DB" w:rsidP="004843DB">
      <w:pPr>
        <w:pStyle w:val="Notes"/>
      </w:pPr>
      <w:r w:rsidRPr="0062582F">
        <w:br w:type="column"/>
        <w:t>(i)</w:t>
      </w:r>
      <w:r w:rsidRPr="0062582F">
        <w:tab/>
        <w:t>Maturity analysis is presented using the contractual undiscounted cash flows.</w:t>
      </w:r>
    </w:p>
    <w:p w:rsidR="004843DB" w:rsidRPr="0062582F" w:rsidRDefault="004843DB" w:rsidP="004843DB">
      <w:pPr>
        <w:pStyle w:val="Notes"/>
      </w:pPr>
      <w:r w:rsidRPr="0062582F">
        <w:t>(ii)</w:t>
      </w:r>
      <w:r w:rsidRPr="0062582F">
        <w:tab/>
        <w:t xml:space="preserve">The carrying amounts disclosed exclude statutory amounts (e.g. GST payables). </w:t>
      </w:r>
    </w:p>
    <w:p w:rsidR="004843DB" w:rsidRPr="0062582F" w:rsidRDefault="004843DB" w:rsidP="004843DB">
      <w:pPr>
        <w:pStyle w:val="Notes"/>
      </w:pP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Headingcontinued"/>
      </w:pPr>
    </w:p>
    <w:p w:rsidR="004843DB" w:rsidRPr="0062582F" w:rsidRDefault="004843DB" w:rsidP="00E348C3">
      <w:pPr>
        <w:pStyle w:val="Tableheading"/>
      </w:pPr>
    </w:p>
    <w:p w:rsidR="004843DB" w:rsidRPr="0062582F" w:rsidRDefault="004843DB" w:rsidP="004843DB">
      <w:pPr>
        <w:pStyle w:val="million"/>
        <w:spacing w:before="140"/>
      </w:pPr>
    </w:p>
    <w:tbl>
      <w:tblPr>
        <w:tblW w:w="8363" w:type="dxa"/>
        <w:tblLayout w:type="fixed"/>
        <w:tblLook w:val="04A0" w:firstRow="1" w:lastRow="0" w:firstColumn="1" w:lastColumn="0" w:noHBand="0" w:noVBand="1"/>
      </w:tblPr>
      <w:tblGrid>
        <w:gridCol w:w="1672"/>
        <w:gridCol w:w="1673"/>
        <w:gridCol w:w="1672"/>
        <w:gridCol w:w="1661"/>
        <w:gridCol w:w="1685"/>
      </w:tblGrid>
      <w:tr w:rsidR="004843DB" w:rsidRPr="0062582F" w:rsidTr="004843DB">
        <w:tc>
          <w:tcPr>
            <w:tcW w:w="6678" w:type="dxa"/>
            <w:gridSpan w:val="4"/>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Centred"/>
            </w:pPr>
            <w:r w:rsidRPr="0062582F">
              <w:t>Maturity dates</w:t>
            </w:r>
          </w:p>
        </w:tc>
        <w:tc>
          <w:tcPr>
            <w:tcW w:w="168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 </w:t>
            </w:r>
          </w:p>
        </w:tc>
      </w:tr>
      <w:tr w:rsidR="004843DB" w:rsidRPr="0062582F" w:rsidTr="004843DB">
        <w:tc>
          <w:tcPr>
            <w:tcW w:w="1672" w:type="dxa"/>
            <w:tcBorders>
              <w:top w:val="nil"/>
              <w:left w:val="nil"/>
              <w:bottom w:val="single" w:sz="4" w:space="0" w:color="auto"/>
              <w:right w:val="nil"/>
            </w:tcBorders>
            <w:shd w:val="clear" w:color="00FFFF" w:fill="CCCCCC"/>
            <w:hideMark/>
          </w:tcPr>
          <w:p w:rsidR="004843DB" w:rsidRPr="0062582F" w:rsidRDefault="004843DB" w:rsidP="004843DB">
            <w:pPr>
              <w:pStyle w:val="Tabletextheading"/>
            </w:pPr>
            <w:r w:rsidRPr="0062582F">
              <w:br/>
              <w:t>Less than 1 month</w:t>
            </w:r>
          </w:p>
        </w:tc>
        <w:tc>
          <w:tcPr>
            <w:tcW w:w="1673" w:type="dxa"/>
            <w:tcBorders>
              <w:top w:val="nil"/>
              <w:left w:val="nil"/>
              <w:bottom w:val="single" w:sz="4" w:space="0" w:color="auto"/>
              <w:right w:val="nil"/>
            </w:tcBorders>
            <w:shd w:val="clear" w:color="auto" w:fill="auto"/>
            <w:hideMark/>
          </w:tcPr>
          <w:p w:rsidR="004843DB" w:rsidRPr="0062582F" w:rsidRDefault="004843DB" w:rsidP="004843DB">
            <w:pPr>
              <w:pStyle w:val="Tabletextheading"/>
            </w:pPr>
            <w:r w:rsidRPr="0062582F">
              <w:br/>
              <w:t>1</w:t>
            </w:r>
            <w:r w:rsidR="005A4BB0">
              <w:noBreakHyphen/>
            </w:r>
            <w:r w:rsidRPr="0062582F">
              <w:t>3 months</w:t>
            </w:r>
          </w:p>
        </w:tc>
        <w:tc>
          <w:tcPr>
            <w:tcW w:w="1672" w:type="dxa"/>
            <w:tcBorders>
              <w:top w:val="nil"/>
              <w:left w:val="nil"/>
              <w:bottom w:val="single" w:sz="4" w:space="0" w:color="auto"/>
              <w:right w:val="nil"/>
            </w:tcBorders>
            <w:shd w:val="clear" w:color="00FFFF" w:fill="CCCCCC"/>
            <w:hideMark/>
          </w:tcPr>
          <w:p w:rsidR="004843DB" w:rsidRPr="0062582F" w:rsidRDefault="004843DB" w:rsidP="004843DB">
            <w:pPr>
              <w:pStyle w:val="Tabletextheading"/>
            </w:pPr>
            <w:r w:rsidRPr="0062582F">
              <w:br/>
              <w:t>3 months – 1 year</w:t>
            </w:r>
          </w:p>
        </w:tc>
        <w:tc>
          <w:tcPr>
            <w:tcW w:w="1661" w:type="dxa"/>
            <w:tcBorders>
              <w:top w:val="nil"/>
              <w:left w:val="nil"/>
              <w:bottom w:val="single" w:sz="4" w:space="0" w:color="auto"/>
              <w:right w:val="nil"/>
            </w:tcBorders>
            <w:shd w:val="clear" w:color="auto" w:fill="auto"/>
            <w:hideMark/>
          </w:tcPr>
          <w:p w:rsidR="004843DB" w:rsidRPr="0062582F" w:rsidRDefault="004843DB" w:rsidP="004843DB">
            <w:pPr>
              <w:pStyle w:val="Tabletextheading"/>
            </w:pPr>
            <w:r w:rsidRPr="0062582F">
              <w:br/>
              <w:t>1</w:t>
            </w:r>
            <w:r w:rsidR="005A4BB0">
              <w:noBreakHyphen/>
            </w:r>
            <w:r w:rsidRPr="0062582F">
              <w:t xml:space="preserve"> 5 years</w:t>
            </w:r>
          </w:p>
        </w:tc>
        <w:tc>
          <w:tcPr>
            <w:tcW w:w="1685" w:type="dxa"/>
            <w:tcBorders>
              <w:top w:val="nil"/>
              <w:left w:val="nil"/>
              <w:bottom w:val="single" w:sz="4" w:space="0" w:color="auto"/>
              <w:right w:val="nil"/>
            </w:tcBorders>
            <w:shd w:val="clear" w:color="000000" w:fill="C0C0C0"/>
            <w:hideMark/>
          </w:tcPr>
          <w:p w:rsidR="004843DB" w:rsidRPr="0062582F" w:rsidRDefault="004843DB" w:rsidP="004843DB">
            <w:pPr>
              <w:pStyle w:val="Tabletextheading"/>
            </w:pPr>
            <w:r w:rsidRPr="0062582F">
              <w:t>5+</w:t>
            </w:r>
            <w:r w:rsidRPr="0062582F">
              <w:br/>
              <w:t>years</w:t>
            </w:r>
          </w:p>
        </w:tc>
      </w:tr>
      <w:tr w:rsidR="004843DB" w:rsidRPr="0062582F" w:rsidTr="004843DB">
        <w:trPr>
          <w:trHeight w:val="255"/>
        </w:trPr>
        <w:tc>
          <w:tcPr>
            <w:tcW w:w="1672"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72"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 xml:space="preserve"> </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1 786</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2 680</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5 633</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1 610</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805</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2 843</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1 330</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380</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190</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62</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 xml:space="preserve"> </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3 252</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1 220</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407</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2 399</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2 399</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512</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768</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4 351</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trHeight w:val="255"/>
        </w:trPr>
        <w:tc>
          <w:tcPr>
            <w:tcW w:w="1672"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673"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672"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66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19 478</w:t>
            </w:r>
          </w:p>
        </w:tc>
        <w:tc>
          <w:tcPr>
            <w:tcW w:w="1685" w:type="dxa"/>
            <w:tcBorders>
              <w:top w:val="nil"/>
              <w:left w:val="nil"/>
              <w:bottom w:val="single" w:sz="4" w:space="0" w:color="auto"/>
              <w:right w:val="nil"/>
            </w:tcBorders>
            <w:shd w:val="clear" w:color="000000" w:fill="C0C0C0"/>
            <w:noWrap/>
            <w:hideMark/>
          </w:tcPr>
          <w:p w:rsidR="004843DB" w:rsidRPr="0062582F" w:rsidRDefault="004843DB" w:rsidP="004843DB">
            <w:pPr>
              <w:pStyle w:val="TableofFigures"/>
            </w:pPr>
            <w:r w:rsidRPr="0062582F">
              <w:t>29 218</w:t>
            </w:r>
          </w:p>
        </w:tc>
      </w:tr>
      <w:tr w:rsidR="004843DB" w:rsidRPr="0062582F" w:rsidTr="004843DB">
        <w:trPr>
          <w:trHeight w:val="255"/>
        </w:trPr>
        <w:tc>
          <w:tcPr>
            <w:tcW w:w="1672"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12 514</w:t>
            </w:r>
          </w:p>
        </w:tc>
        <w:tc>
          <w:tcPr>
            <w:tcW w:w="1673"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6 656</w:t>
            </w:r>
          </w:p>
        </w:tc>
        <w:tc>
          <w:tcPr>
            <w:tcW w:w="1672"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5 752</w:t>
            </w:r>
          </w:p>
        </w:tc>
        <w:tc>
          <w:tcPr>
            <w:tcW w:w="166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24 783</w:t>
            </w:r>
          </w:p>
        </w:tc>
        <w:tc>
          <w:tcPr>
            <w:tcW w:w="1685" w:type="dxa"/>
            <w:tcBorders>
              <w:top w:val="single" w:sz="4" w:space="0" w:color="auto"/>
              <w:left w:val="nil"/>
              <w:bottom w:val="single" w:sz="12" w:space="0" w:color="auto"/>
              <w:right w:val="nil"/>
            </w:tcBorders>
            <w:shd w:val="clear" w:color="000000" w:fill="C0C0C0"/>
            <w:noWrap/>
            <w:hideMark/>
          </w:tcPr>
          <w:p w:rsidR="004843DB" w:rsidRPr="0062582F" w:rsidRDefault="004843DB" w:rsidP="004843DB">
            <w:pPr>
              <w:pStyle w:val="TableofFigures"/>
              <w:rPr>
                <w:b/>
              </w:rPr>
            </w:pPr>
            <w:r w:rsidRPr="0062582F">
              <w:rPr>
                <w:b/>
              </w:rPr>
              <w:t>31 617</w:t>
            </w:r>
          </w:p>
        </w:tc>
      </w:tr>
      <w:tr w:rsidR="004843DB" w:rsidRPr="0062582F" w:rsidTr="004843DB">
        <w:trPr>
          <w:trHeight w:val="255"/>
        </w:trPr>
        <w:tc>
          <w:tcPr>
            <w:tcW w:w="1672"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73"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72"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61"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85" w:type="dxa"/>
            <w:tcBorders>
              <w:top w:val="single" w:sz="12" w:space="0" w:color="auto"/>
              <w:left w:val="nil"/>
              <w:bottom w:val="nil"/>
              <w:right w:val="nil"/>
            </w:tcBorders>
            <w:shd w:val="clear" w:color="000000" w:fill="C0C0C0"/>
            <w:noWrap/>
            <w:hideMark/>
          </w:tcPr>
          <w:p w:rsidR="004843DB" w:rsidRPr="0062582F" w:rsidRDefault="004843DB" w:rsidP="004843DB">
            <w:pPr>
              <w:pStyle w:val="TableofFigures"/>
            </w:pPr>
            <w:r w:rsidRPr="0062582F">
              <w:t xml:space="preserve"> </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 xml:space="preserve"> </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2 132</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3 198</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4 452</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1 272</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636</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1 514</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1 676</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479</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239</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543</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 xml:space="preserve"> </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5 437</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8 197</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3 074</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1 025</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5 890</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5 890</w:t>
            </w:r>
          </w:p>
        </w:tc>
      </w:tr>
      <w:tr w:rsidR="004843DB" w:rsidRPr="0062582F" w:rsidTr="004843DB">
        <w:trPr>
          <w:trHeight w:val="255"/>
        </w:trPr>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1 029</w:t>
            </w:r>
          </w:p>
        </w:tc>
        <w:tc>
          <w:tcPr>
            <w:tcW w:w="1673"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1 543</w:t>
            </w:r>
          </w:p>
        </w:tc>
        <w:tc>
          <w:tcPr>
            <w:tcW w:w="1672"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8 744</w:t>
            </w:r>
          </w:p>
        </w:tc>
        <w:tc>
          <w:tcPr>
            <w:tcW w:w="166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685" w:type="dxa"/>
            <w:tcBorders>
              <w:top w:val="nil"/>
              <w:left w:val="nil"/>
              <w:bottom w:val="nil"/>
              <w:right w:val="nil"/>
            </w:tcBorders>
            <w:shd w:val="clear" w:color="000000" w:fill="C0C0C0"/>
            <w:noWrap/>
            <w:hideMark/>
          </w:tcPr>
          <w:p w:rsidR="004843DB" w:rsidRPr="0062582F" w:rsidRDefault="004843DB" w:rsidP="004843DB">
            <w:pPr>
              <w:pStyle w:val="TableofFigures"/>
            </w:pPr>
            <w:r w:rsidRPr="0062582F">
              <w:t>..</w:t>
            </w:r>
          </w:p>
        </w:tc>
      </w:tr>
      <w:tr w:rsidR="004843DB" w:rsidRPr="0062582F" w:rsidTr="004843DB">
        <w:trPr>
          <w:trHeight w:val="255"/>
        </w:trPr>
        <w:tc>
          <w:tcPr>
            <w:tcW w:w="1672"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673"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672"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w:t>
            </w:r>
          </w:p>
        </w:tc>
        <w:tc>
          <w:tcPr>
            <w:tcW w:w="166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11 082</w:t>
            </w:r>
          </w:p>
        </w:tc>
        <w:tc>
          <w:tcPr>
            <w:tcW w:w="1685" w:type="dxa"/>
            <w:tcBorders>
              <w:top w:val="nil"/>
              <w:left w:val="nil"/>
              <w:bottom w:val="single" w:sz="4" w:space="0" w:color="auto"/>
              <w:right w:val="nil"/>
            </w:tcBorders>
            <w:shd w:val="clear" w:color="000000" w:fill="C0C0C0"/>
            <w:noWrap/>
            <w:hideMark/>
          </w:tcPr>
          <w:p w:rsidR="004843DB" w:rsidRPr="0062582F" w:rsidRDefault="004843DB" w:rsidP="004843DB">
            <w:pPr>
              <w:pStyle w:val="TableofFigures"/>
            </w:pPr>
            <w:r w:rsidRPr="0062582F">
              <w:t>16 623</w:t>
            </w:r>
          </w:p>
        </w:tc>
      </w:tr>
      <w:tr w:rsidR="004843DB" w:rsidRPr="0062582F" w:rsidTr="004843DB">
        <w:trPr>
          <w:trHeight w:val="255"/>
        </w:trPr>
        <w:tc>
          <w:tcPr>
            <w:tcW w:w="1672"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22 922</w:t>
            </w:r>
          </w:p>
        </w:tc>
        <w:tc>
          <w:tcPr>
            <w:tcW w:w="1673"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9 566</w:t>
            </w:r>
          </w:p>
        </w:tc>
        <w:tc>
          <w:tcPr>
            <w:tcW w:w="1672"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10 644</w:t>
            </w:r>
          </w:p>
        </w:tc>
        <w:tc>
          <w:tcPr>
            <w:tcW w:w="166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19 028</w:t>
            </w:r>
          </w:p>
        </w:tc>
        <w:tc>
          <w:tcPr>
            <w:tcW w:w="1685" w:type="dxa"/>
            <w:tcBorders>
              <w:top w:val="single" w:sz="4" w:space="0" w:color="auto"/>
              <w:left w:val="nil"/>
              <w:bottom w:val="single" w:sz="12" w:space="0" w:color="auto"/>
              <w:right w:val="nil"/>
            </w:tcBorders>
            <w:shd w:val="clear" w:color="000000" w:fill="C0C0C0"/>
            <w:noWrap/>
            <w:hideMark/>
          </w:tcPr>
          <w:p w:rsidR="004843DB" w:rsidRPr="0062582F" w:rsidRDefault="004843DB" w:rsidP="004843DB">
            <w:pPr>
              <w:pStyle w:val="TableofFigures"/>
              <w:rPr>
                <w:b/>
              </w:rPr>
            </w:pPr>
            <w:r w:rsidRPr="0062582F">
              <w:rPr>
                <w:b/>
              </w:rPr>
              <w:t>22 512</w:t>
            </w:r>
          </w:p>
        </w:tc>
      </w:tr>
    </w:tbl>
    <w:p w:rsidR="004843DB" w:rsidRPr="0062582F" w:rsidRDefault="004843DB" w:rsidP="004843DB">
      <w:pPr>
        <w:pStyle w:val="Notes"/>
      </w:pPr>
    </w:p>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Pr>
        <w:sectPr w:rsidR="004843DB" w:rsidRPr="0062582F" w:rsidSect="00190A01">
          <w:headerReference w:type="even" r:id="rId324"/>
          <w:headerReference w:type="default" r:id="rId325"/>
          <w:headerReference w:type="first" r:id="rId326"/>
          <w:pgSz w:w="11906" w:h="16838" w:code="9"/>
          <w:pgMar w:top="1152" w:right="864" w:bottom="1152" w:left="864" w:header="432" w:footer="432" w:gutter="0"/>
          <w:cols w:space="360"/>
        </w:sectPr>
      </w:pPr>
    </w:p>
    <w:p w:rsidR="004843DB" w:rsidRPr="0062582F" w:rsidRDefault="004843DB" w:rsidP="004843DB">
      <w:pPr>
        <w:pStyle w:val="NoteHeadingcontinued"/>
      </w:pPr>
      <w:r w:rsidRPr="0062582F">
        <w:rPr>
          <w:rFonts w:ascii="Garamond" w:hAnsi="Garamond"/>
        </w:rPr>
        <w:br w:type="column"/>
      </w:r>
      <w:r w:rsidRPr="0062582F">
        <w:t>Note 33.</w:t>
      </w:r>
      <w:r w:rsidRPr="0062582F">
        <w:tab/>
        <w:t xml:space="preserve">Financial instruments </w:t>
      </w:r>
      <w:r w:rsidRPr="0062582F">
        <w:rPr>
          <w:i/>
        </w:rPr>
        <w:t>(continued)</w:t>
      </w:r>
    </w:p>
    <w:p w:rsidR="004843DB" w:rsidRPr="0062582F" w:rsidRDefault="004843DB" w:rsidP="004843DB">
      <w:pPr>
        <w:pStyle w:val="Heading5"/>
      </w:pPr>
      <w:r w:rsidRPr="0062582F">
        <w:t>(d)</w:t>
      </w:r>
      <w:r w:rsidRPr="0062582F">
        <w:tab/>
        <w:t>Market risk</w:t>
      </w:r>
    </w:p>
    <w:p w:rsidR="004843DB" w:rsidRPr="0062582F" w:rsidRDefault="004843DB" w:rsidP="004843DB">
      <w:r w:rsidRPr="0062582F">
        <w:t>The Department</w:t>
      </w:r>
      <w:r w:rsidR="005A4BB0">
        <w:t>’</w:t>
      </w:r>
      <w:r w:rsidRPr="0062582F">
        <w:t>s exposures to market risk are primarily through foreign currency risk, interest rate risk and equity price risks. Objectives, policies and processes used to manage each of these risks are disclosed below.</w:t>
      </w:r>
    </w:p>
    <w:p w:rsidR="004843DB" w:rsidRPr="0062582F" w:rsidRDefault="004843DB" w:rsidP="004843DB">
      <w:pPr>
        <w:pStyle w:val="Heading5a"/>
      </w:pPr>
      <w:r w:rsidRPr="0062582F">
        <w:t>Foreign currency risk</w:t>
      </w:r>
    </w:p>
    <w:p w:rsidR="004843DB" w:rsidRPr="0062582F" w:rsidRDefault="004843DB" w:rsidP="004843DB">
      <w:pPr>
        <w:sectPr w:rsidR="004843DB" w:rsidRPr="0062582F" w:rsidSect="00190A01">
          <w:headerReference w:type="even" r:id="rId327"/>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7.33, 40(b)</w:t>
      </w:r>
    </w:p>
    <w:p w:rsidR="004843DB" w:rsidRPr="0062582F" w:rsidRDefault="004843DB" w:rsidP="004843DB">
      <w:r w:rsidRPr="0062582F">
        <w:br w:type="column"/>
        <w:t>The Department is exposed to foreign currency risk mainly through its foreign currency term deposits, other receivables relating to the hire of the Department</w:t>
      </w:r>
      <w:r w:rsidR="005A4BB0">
        <w:t>’</w:t>
      </w:r>
      <w:r w:rsidRPr="0062582F">
        <w:t>s venue by overseas clients, and payables relating to purchases of supplies and consumables from overseas. This is because of a limited amount of transactions denominated in foreign currencies and a relatively short timeframe between commitment and settlement.</w:t>
      </w:r>
    </w:p>
    <w:p w:rsidR="004843DB" w:rsidRPr="0062582F" w:rsidRDefault="004843DB" w:rsidP="004843DB">
      <w:r w:rsidRPr="0062582F">
        <w:t>The Department exposures are mainly against the US dollar (USD) and are managed through continuous monitoring of movements in exchange rates against the USD, and by ensuring availability of funds through rigorous cash flow planning and monitoring. Based on past and current assessment of economic outlook, it is deemed unnecessary for the Department to enter into any hedging arrangements to manage the risk.</w:t>
      </w:r>
    </w:p>
    <w:p w:rsidR="004843DB" w:rsidRPr="0062582F" w:rsidRDefault="004843DB" w:rsidP="004843DB">
      <w:r w:rsidRPr="0062582F">
        <w:t>The Department</w:t>
      </w:r>
      <w:r w:rsidR="005A4BB0">
        <w:t>’</w:t>
      </w:r>
      <w:r w:rsidRPr="0062582F">
        <w:t>s sensitivity to foreign currency movements is set out in Table 33.7(a).</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20"/>
      </w:pPr>
      <w:r w:rsidRPr="0062582F">
        <w:t>AASB 7.33</w:t>
      </w:r>
    </w:p>
    <w:p w:rsidR="004843DB" w:rsidRPr="0062582F" w:rsidRDefault="004843DB" w:rsidP="004843DB">
      <w:pPr>
        <w:pStyle w:val="Heading5a"/>
      </w:pPr>
      <w:r w:rsidRPr="0062582F">
        <w:br w:type="column"/>
        <w:t>Interest rate risk</w:t>
      </w:r>
    </w:p>
    <w:p w:rsidR="004843DB" w:rsidRPr="0062582F" w:rsidRDefault="004843DB" w:rsidP="004843DB">
      <w:r w:rsidRPr="0062582F">
        <w:t>Fair value interest rate risk is the risk that the fair value of a financial instrument will fluctuate because of changes in market interest rates. The Department does not hold any interest bearing financial instruments that are measured at fair value, and therefore has no exposure to fair value interest rate risk.</w:t>
      </w:r>
    </w:p>
    <w:p w:rsidR="004843DB" w:rsidRPr="0062582F" w:rsidRDefault="004843DB" w:rsidP="004843DB">
      <w:r w:rsidRPr="0062582F">
        <w:t>Cash flow interest rate risk is the risk that the future cash flows of a financial instrument will fluctuate because of changes in market interest rates.</w:t>
      </w:r>
    </w:p>
    <w:p w:rsidR="004843DB" w:rsidRPr="0062582F" w:rsidRDefault="004843DB" w:rsidP="004843DB">
      <w:r w:rsidRPr="0062582F">
        <w:t xml:space="preserve">The Department has minimal exposure to cash flow interest rate risks through its cash and deposits, term deposits and bank overdrafts that are at floating rate. </w:t>
      </w:r>
    </w:p>
    <w:p w:rsidR="004843DB" w:rsidRPr="0062582F" w:rsidRDefault="004843DB" w:rsidP="004843DB">
      <w:r w:rsidRPr="0062582F">
        <w:t>The Department manages this risk by mainly undertaking fixed rate or non</w:t>
      </w:r>
      <w:r w:rsidR="005A4BB0">
        <w:noBreakHyphen/>
      </w:r>
      <w:r w:rsidRPr="0062582F">
        <w:t xml:space="preserve">interest 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Department to significant bad risk, management monitors movement in interest rates on a daily basis. </w:t>
      </w:r>
    </w:p>
    <w:p w:rsidR="004843DB" w:rsidRPr="0062582F" w:rsidRDefault="004843DB" w:rsidP="004843DB">
      <w:r w:rsidRPr="0062582F">
        <w:t>The carrying amounts of financial assets and financial liabilities that are exposed to interest rates are set out in Table 33.6. In addition, the Department</w:t>
      </w:r>
      <w:r w:rsidR="005A4BB0">
        <w:t>’</w:t>
      </w:r>
      <w:r w:rsidRPr="0062582F">
        <w:t>s sensitivity to interest rate risk is set out in Table 33.7(b).</w:t>
      </w:r>
    </w:p>
    <w:p w:rsidR="004843DB" w:rsidRPr="0062582F" w:rsidRDefault="004843DB" w:rsidP="004843DB"/>
    <w:p w:rsidR="004843DB" w:rsidRPr="0062582F" w:rsidRDefault="004843DB" w:rsidP="004843DB">
      <w:pPr>
        <w:pStyle w:val="NoteHeadingcontinued"/>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Headingcontinued"/>
      </w:pPr>
      <w:r w:rsidRPr="0062582F">
        <w:br w:type="page"/>
      </w:r>
      <w:r w:rsidRPr="0062582F">
        <w:br w:type="column"/>
        <w:t>Note 33.</w:t>
      </w:r>
      <w:r w:rsidRPr="0062582F">
        <w:tab/>
        <w:t xml:space="preserve">Financial instruments </w:t>
      </w:r>
      <w:r w:rsidRPr="0062582F">
        <w:rPr>
          <w:i/>
        </w:rPr>
        <w:t>(continued)</w:t>
      </w:r>
    </w:p>
    <w:p w:rsidR="004843DB" w:rsidRPr="0062582F" w:rsidRDefault="004843DB" w:rsidP="004843DB">
      <w:pPr>
        <w:pStyle w:val="Reference"/>
        <w:sectPr w:rsidR="004843DB" w:rsidRPr="0062582F" w:rsidSect="00190A01">
          <w:headerReference w:type="default" r:id="rId328"/>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0" w:after="120"/>
        <w:outlineLvl w:val="4"/>
      </w:pPr>
      <w:r w:rsidRPr="0062582F">
        <w:t>AASB 7.33</w:t>
      </w:r>
    </w:p>
    <w:p w:rsidR="004843DB" w:rsidRPr="0062582F" w:rsidRDefault="004843DB" w:rsidP="004843DB">
      <w:pPr>
        <w:pStyle w:val="Heading5a"/>
        <w:spacing w:before="0"/>
      </w:pPr>
      <w:r w:rsidRPr="0062582F">
        <w:br w:type="column"/>
        <w:t>Equity price risk</w:t>
      </w:r>
    </w:p>
    <w:p w:rsidR="004843DB" w:rsidRPr="0062582F" w:rsidRDefault="004843DB" w:rsidP="004843DB">
      <w:r w:rsidRPr="0062582F">
        <w:t>The Department is exposed to equity price risk through its investments in listed and unlisted shares and managed investment schemes. Such investments are allocated and traded to match the investment objectives appropriate for the Department</w:t>
      </w:r>
      <w:r w:rsidR="005A4BB0">
        <w:t>’</w:t>
      </w:r>
      <w:r w:rsidRPr="0062582F">
        <w:t>s liabilities. The Department appointed a state organisation to manage its investment portfolio in accordance with the Investment Risk Management Plan approved by the Treasurer. The fund manager on behalf of the Department closely monitors performance and manages the equity price risk through diversification of its investment portfolio.</w:t>
      </w:r>
    </w:p>
    <w:p w:rsidR="004843DB" w:rsidRPr="0062582F" w:rsidRDefault="004843DB" w:rsidP="004843DB">
      <w:r w:rsidRPr="0062582F">
        <w:t>The Department</w:t>
      </w:r>
      <w:r w:rsidR="005A4BB0">
        <w:t>’</w:t>
      </w:r>
      <w:r w:rsidRPr="0062582F">
        <w:t>s sensitivity to equity price risk is set out in Table 33.7(c).</w:t>
      </w:r>
    </w:p>
    <w:p w:rsidR="004843DB" w:rsidRPr="0062582F" w:rsidRDefault="004843DB" w:rsidP="004843DB"/>
    <w:p w:rsidR="004843DB" w:rsidRPr="0062582F" w:rsidRDefault="004843DB" w:rsidP="004843DB">
      <w:pPr>
        <w:rPr>
          <w:rStyle w:val="ReferenceRedChar"/>
        </w:r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Headingcontinued"/>
      </w:pPr>
      <w:r w:rsidRPr="0062582F">
        <w:rPr>
          <w:rFonts w:ascii="Garamond" w:hAnsi="Garamond"/>
        </w:rPr>
        <w:br w:type="column"/>
      </w:r>
      <w:r w:rsidRPr="0062582F">
        <w:t>Note 33.</w:t>
      </w:r>
      <w:r w:rsidRPr="0062582F">
        <w:tab/>
        <w:t xml:space="preserve">Financial instruments </w:t>
      </w:r>
      <w:r w:rsidRPr="0062582F">
        <w:rPr>
          <w:i/>
        </w:rPr>
        <w:t>(continued)</w:t>
      </w:r>
    </w:p>
    <w:p w:rsidR="004843DB" w:rsidRPr="0062582F" w:rsidRDefault="004843DB" w:rsidP="00E348C3">
      <w:pPr>
        <w:pStyle w:val="Tableheading"/>
        <w:sectPr w:rsidR="004843DB" w:rsidRPr="0062582F" w:rsidSect="00190A01">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7.34(a)</w:t>
      </w:r>
    </w:p>
    <w:p w:rsidR="004843DB" w:rsidRPr="0062582F" w:rsidRDefault="004843DB" w:rsidP="00E348C3">
      <w:pPr>
        <w:pStyle w:val="Tableheading"/>
      </w:pPr>
      <w:r w:rsidRPr="0062582F">
        <w:br w:type="column"/>
      </w:r>
      <w:r w:rsidRPr="0062582F">
        <w:rPr>
          <w:rStyle w:val="TableheadingChar"/>
          <w:b/>
          <w:bCs/>
        </w:rPr>
        <w:t>Table 33.6: Interest rate exposure of financial instruments</w:t>
      </w:r>
    </w:p>
    <w:p w:rsidR="004843DB" w:rsidRPr="0062582F" w:rsidRDefault="004843DB" w:rsidP="004843DB">
      <w:pPr>
        <w:pStyle w:val="million"/>
      </w:pPr>
      <w:r w:rsidRPr="0062582F">
        <w:t>($ thousand)</w:t>
      </w:r>
    </w:p>
    <w:tbl>
      <w:tblPr>
        <w:tblW w:w="8308" w:type="dxa"/>
        <w:tblLayout w:type="fixed"/>
        <w:tblCellMar>
          <w:left w:w="43" w:type="dxa"/>
          <w:right w:w="43" w:type="dxa"/>
        </w:tblCellMar>
        <w:tblLook w:val="04A0" w:firstRow="1" w:lastRow="0" w:firstColumn="1" w:lastColumn="0" w:noHBand="0" w:noVBand="1"/>
      </w:tblPr>
      <w:tblGrid>
        <w:gridCol w:w="4810"/>
        <w:gridCol w:w="1579"/>
        <w:gridCol w:w="1919"/>
      </w:tblGrid>
      <w:tr w:rsidR="004843DB" w:rsidRPr="0062582F" w:rsidTr="004843DB">
        <w:trPr>
          <w:cantSplit/>
        </w:trPr>
        <w:tc>
          <w:tcPr>
            <w:tcW w:w="4810" w:type="dxa"/>
            <w:tcBorders>
              <w:top w:val="single" w:sz="6" w:space="0" w:color="auto"/>
              <w:bottom w:val="single" w:sz="6" w:space="0" w:color="auto"/>
            </w:tcBorders>
            <w:shd w:val="clear" w:color="auto" w:fill="auto"/>
            <w:noWrap/>
            <w:hideMark/>
          </w:tcPr>
          <w:p w:rsidR="004843DB" w:rsidRPr="0062582F" w:rsidRDefault="004843DB" w:rsidP="004843DB">
            <w:pPr>
              <w:pStyle w:val="Tabletextheading"/>
              <w:spacing w:before="10" w:after="10"/>
              <w:jc w:val="left"/>
              <w:rPr>
                <w:sz w:val="17"/>
                <w:szCs w:val="17"/>
              </w:rPr>
            </w:pPr>
            <w:r w:rsidRPr="0062582F">
              <w:rPr>
                <w:sz w:val="17"/>
                <w:szCs w:val="17"/>
              </w:rPr>
              <w:br/>
              <w:t>2016</w:t>
            </w:r>
          </w:p>
        </w:tc>
        <w:tc>
          <w:tcPr>
            <w:tcW w:w="1579" w:type="dxa"/>
            <w:tcBorders>
              <w:top w:val="single" w:sz="6" w:space="0" w:color="auto"/>
              <w:bottom w:val="single" w:sz="6" w:space="0" w:color="auto"/>
            </w:tcBorders>
            <w:shd w:val="clear" w:color="000000" w:fill="CCCCCC"/>
            <w:noWrap/>
            <w:hideMark/>
          </w:tcPr>
          <w:p w:rsidR="004843DB" w:rsidRPr="0062582F" w:rsidRDefault="004843DB" w:rsidP="004843DB">
            <w:pPr>
              <w:pStyle w:val="Tabletextheading"/>
              <w:spacing w:before="10" w:after="10"/>
              <w:rPr>
                <w:sz w:val="17"/>
                <w:szCs w:val="17"/>
              </w:rPr>
            </w:pPr>
            <w:r w:rsidRPr="0062582F">
              <w:rPr>
                <w:sz w:val="17"/>
                <w:szCs w:val="17"/>
              </w:rPr>
              <w:t>Weighted average interest rate %</w:t>
            </w:r>
          </w:p>
        </w:tc>
        <w:tc>
          <w:tcPr>
            <w:tcW w:w="1916" w:type="dxa"/>
            <w:tcBorders>
              <w:top w:val="single" w:sz="6" w:space="0" w:color="auto"/>
              <w:bottom w:val="single" w:sz="6" w:space="0" w:color="auto"/>
            </w:tcBorders>
            <w:shd w:val="clear" w:color="auto" w:fill="auto"/>
            <w:noWrap/>
            <w:hideMark/>
          </w:tcPr>
          <w:p w:rsidR="004843DB" w:rsidRPr="0062582F" w:rsidRDefault="004843DB" w:rsidP="004843DB">
            <w:pPr>
              <w:pStyle w:val="Tabletextheading"/>
              <w:spacing w:before="10" w:after="10"/>
              <w:rPr>
                <w:sz w:val="17"/>
                <w:szCs w:val="17"/>
              </w:rPr>
            </w:pPr>
            <w:r w:rsidRPr="0062582F">
              <w:rPr>
                <w:sz w:val="17"/>
                <w:szCs w:val="17"/>
              </w:rPr>
              <w:t xml:space="preserve">Carrying </w:t>
            </w:r>
            <w:r w:rsidRPr="0062582F">
              <w:rPr>
                <w:sz w:val="17"/>
                <w:szCs w:val="17"/>
              </w:rPr>
              <w:br/>
              <w:t>amount</w:t>
            </w:r>
          </w:p>
        </w:tc>
      </w:tr>
      <w:tr w:rsidR="004843DB" w:rsidRPr="0062582F" w:rsidTr="004843DB">
        <w:trPr>
          <w:cantSplit/>
        </w:trPr>
        <w:tc>
          <w:tcPr>
            <w:tcW w:w="4810" w:type="dxa"/>
            <w:tcBorders>
              <w:top w:val="single" w:sz="6" w:space="0" w:color="auto"/>
              <w:left w:val="nil"/>
              <w:bottom w:val="nil"/>
              <w:right w:val="nil"/>
            </w:tcBorders>
            <w:shd w:val="clear" w:color="auto" w:fill="auto"/>
            <w:noWrap/>
            <w:hideMark/>
          </w:tcPr>
          <w:p w:rsidR="004843DB" w:rsidRPr="0062582F" w:rsidRDefault="004843DB" w:rsidP="004843DB">
            <w:pPr>
              <w:pStyle w:val="Tabletext"/>
              <w:spacing w:before="10" w:after="10"/>
              <w:rPr>
                <w:b/>
                <w:sz w:val="17"/>
                <w:szCs w:val="17"/>
              </w:rPr>
            </w:pPr>
            <w:r w:rsidRPr="0062582F">
              <w:rPr>
                <w:b/>
                <w:sz w:val="17"/>
                <w:szCs w:val="17"/>
              </w:rPr>
              <w:t>Financial assets</w:t>
            </w:r>
          </w:p>
        </w:tc>
        <w:tc>
          <w:tcPr>
            <w:tcW w:w="1579"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spacing w:before="10" w:after="10"/>
              <w:rPr>
                <w:b/>
                <w:sz w:val="17"/>
                <w:szCs w:val="17"/>
              </w:rPr>
            </w:pPr>
            <w:r w:rsidRPr="0062582F">
              <w:rPr>
                <w:b/>
                <w:sz w:val="17"/>
                <w:szCs w:val="17"/>
              </w:rPr>
              <w:t xml:space="preserve"> </w:t>
            </w:r>
          </w:p>
        </w:tc>
        <w:tc>
          <w:tcPr>
            <w:tcW w:w="1916"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spacing w:before="10" w:after="10"/>
              <w:rPr>
                <w:b/>
                <w:sz w:val="17"/>
                <w:szCs w:val="17"/>
              </w:rPr>
            </w:pPr>
            <w:r w:rsidRPr="0062582F">
              <w:rPr>
                <w:b/>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noWrap/>
            <w:hideMark/>
          </w:tcPr>
          <w:p w:rsidR="004843DB" w:rsidRPr="0062582F" w:rsidRDefault="004843DB" w:rsidP="004843DB">
            <w:pPr>
              <w:pStyle w:val="Tabletext"/>
              <w:spacing w:before="10" w:after="10"/>
              <w:rPr>
                <w:sz w:val="17"/>
                <w:szCs w:val="17"/>
              </w:rPr>
            </w:pPr>
            <w:r w:rsidRPr="0062582F">
              <w:rPr>
                <w:sz w:val="17"/>
                <w:szCs w:val="17"/>
              </w:rPr>
              <w:t>Cash and deposits</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2.50%</w:t>
            </w:r>
          </w:p>
        </w:tc>
        <w:tc>
          <w:tcPr>
            <w:tcW w:w="1916"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59 528</w:t>
            </w:r>
          </w:p>
        </w:tc>
      </w:tr>
      <w:tr w:rsidR="004843DB" w:rsidRPr="0062582F" w:rsidTr="004843DB">
        <w:trPr>
          <w:cantSplit/>
        </w:trPr>
        <w:tc>
          <w:tcPr>
            <w:tcW w:w="4810" w:type="dxa"/>
            <w:tcBorders>
              <w:top w:val="nil"/>
              <w:left w:val="nil"/>
              <w:bottom w:val="nil"/>
              <w:right w:val="nil"/>
            </w:tcBorders>
            <w:shd w:val="clear" w:color="auto" w:fill="auto"/>
            <w:noWrap/>
            <w:hideMark/>
          </w:tcPr>
          <w:p w:rsidR="004843DB" w:rsidRPr="0062582F" w:rsidRDefault="004843DB" w:rsidP="004843DB">
            <w:pPr>
              <w:pStyle w:val="Tabletext"/>
              <w:spacing w:before="10" w:after="10"/>
              <w:rPr>
                <w:sz w:val="17"/>
                <w:szCs w:val="17"/>
              </w:rPr>
            </w:pPr>
            <w:r w:rsidRPr="0062582F">
              <w:rPr>
                <w:sz w:val="17"/>
                <w:szCs w:val="17"/>
              </w:rPr>
              <w:t>Receivables</w:t>
            </w:r>
            <w:r w:rsidRPr="0062582F">
              <w:rPr>
                <w:sz w:val="17"/>
                <w:szCs w:val="17"/>
                <w:vertAlign w:val="superscript"/>
              </w:rPr>
              <w:t xml:space="preserve"> (i)</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1916"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Finance lease receivables</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4.55%</w:t>
            </w: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581</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Sale of goods and services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1 253</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Loans to third parties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146</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Accrued investment income</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1 864</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Other receivables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334</w:t>
            </w:r>
          </w:p>
        </w:tc>
      </w:tr>
      <w:tr w:rsidR="004843DB" w:rsidRPr="0062582F" w:rsidTr="004843DB">
        <w:trPr>
          <w:cantSplit/>
        </w:trPr>
        <w:tc>
          <w:tcPr>
            <w:tcW w:w="4810" w:type="dxa"/>
            <w:tcBorders>
              <w:top w:val="nil"/>
              <w:left w:val="nil"/>
              <w:bottom w:val="nil"/>
              <w:right w:val="nil"/>
            </w:tcBorders>
            <w:shd w:val="clear" w:color="auto" w:fill="auto"/>
            <w:noWrap/>
            <w:hideMark/>
          </w:tcPr>
          <w:p w:rsidR="004843DB" w:rsidRPr="0062582F" w:rsidRDefault="004843DB" w:rsidP="004843DB">
            <w:pPr>
              <w:pStyle w:val="Tabletext"/>
              <w:spacing w:before="10" w:after="10"/>
              <w:rPr>
                <w:sz w:val="17"/>
                <w:szCs w:val="17"/>
              </w:rPr>
            </w:pPr>
            <w:r w:rsidRPr="0062582F">
              <w:rPr>
                <w:sz w:val="17"/>
                <w:szCs w:val="17"/>
              </w:rPr>
              <w:t>Investments and other contractual financial assets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Equities and managed investment schemes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2 065</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Term deposits</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3.65%</w:t>
            </w: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2 890</w:t>
            </w:r>
          </w:p>
        </w:tc>
      </w:tr>
      <w:tr w:rsidR="004843DB" w:rsidRPr="0062582F" w:rsidTr="004843DB">
        <w:trPr>
          <w:cantSplit/>
        </w:trPr>
        <w:tc>
          <w:tcPr>
            <w:tcW w:w="4810" w:type="dxa"/>
            <w:tcBorders>
              <w:top w:val="nil"/>
              <w:left w:val="nil"/>
              <w:bottom w:val="single" w:sz="4" w:space="0" w:color="auto"/>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Debt securities</w:t>
            </w:r>
          </w:p>
        </w:tc>
        <w:tc>
          <w:tcPr>
            <w:tcW w:w="157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4.57%</w:t>
            </w:r>
          </w:p>
        </w:tc>
        <w:tc>
          <w:tcPr>
            <w:tcW w:w="191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9 021</w:t>
            </w:r>
          </w:p>
        </w:tc>
      </w:tr>
      <w:tr w:rsidR="004843DB" w:rsidRPr="0062582F" w:rsidTr="004843DB">
        <w:trPr>
          <w:cantSplit/>
        </w:trPr>
        <w:tc>
          <w:tcPr>
            <w:tcW w:w="481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spacing w:before="10" w:after="10"/>
              <w:rPr>
                <w:b/>
                <w:sz w:val="17"/>
                <w:szCs w:val="17"/>
              </w:rPr>
            </w:pPr>
            <w:r w:rsidRPr="0062582F">
              <w:rPr>
                <w:b/>
                <w:sz w:val="17"/>
                <w:szCs w:val="17"/>
              </w:rPr>
              <w:t>Total financial assets</w:t>
            </w:r>
          </w:p>
        </w:tc>
        <w:tc>
          <w:tcPr>
            <w:tcW w:w="1579"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spacing w:before="10" w:after="10"/>
              <w:rPr>
                <w:b/>
                <w:sz w:val="17"/>
                <w:szCs w:val="17"/>
              </w:rPr>
            </w:pPr>
          </w:p>
        </w:tc>
        <w:tc>
          <w:tcPr>
            <w:tcW w:w="1919"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10" w:after="10"/>
              <w:rPr>
                <w:b/>
                <w:sz w:val="17"/>
                <w:szCs w:val="17"/>
              </w:rPr>
            </w:pPr>
            <w:r w:rsidRPr="0062582F">
              <w:rPr>
                <w:b/>
                <w:sz w:val="17"/>
                <w:szCs w:val="17"/>
              </w:rPr>
              <w:t>77 681</w:t>
            </w:r>
          </w:p>
        </w:tc>
      </w:tr>
      <w:tr w:rsidR="004843DB" w:rsidRPr="0062582F" w:rsidTr="004843DB">
        <w:trPr>
          <w:cantSplit/>
        </w:trPr>
        <w:tc>
          <w:tcPr>
            <w:tcW w:w="4810" w:type="dxa"/>
            <w:tcBorders>
              <w:top w:val="single" w:sz="12" w:space="0" w:color="auto"/>
              <w:left w:val="nil"/>
              <w:bottom w:val="nil"/>
              <w:right w:val="nil"/>
            </w:tcBorders>
            <w:shd w:val="clear" w:color="auto" w:fill="auto"/>
            <w:noWrap/>
            <w:hideMark/>
          </w:tcPr>
          <w:p w:rsidR="004843DB" w:rsidRPr="0062582F" w:rsidRDefault="004843DB" w:rsidP="004843DB">
            <w:pPr>
              <w:pStyle w:val="Tabletext"/>
              <w:spacing w:before="10" w:after="10"/>
              <w:rPr>
                <w:b/>
                <w:sz w:val="17"/>
                <w:szCs w:val="17"/>
              </w:rPr>
            </w:pPr>
            <w:r w:rsidRPr="0062582F">
              <w:rPr>
                <w:b/>
                <w:sz w:val="17"/>
                <w:szCs w:val="17"/>
              </w:rPr>
              <w:t>Financial liabilities</w:t>
            </w:r>
          </w:p>
        </w:tc>
        <w:tc>
          <w:tcPr>
            <w:tcW w:w="1579"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spacing w:before="10" w:after="10"/>
              <w:rPr>
                <w:rFonts w:ascii="Arial" w:hAnsi="Arial"/>
                <w:b/>
                <w:sz w:val="17"/>
                <w:szCs w:val="17"/>
              </w:rPr>
            </w:pPr>
            <w:r w:rsidRPr="0062582F">
              <w:rPr>
                <w:rFonts w:ascii="Arial" w:hAnsi="Arial"/>
                <w:b/>
                <w:sz w:val="17"/>
                <w:szCs w:val="17"/>
              </w:rPr>
              <w:t xml:space="preserve"> </w:t>
            </w:r>
          </w:p>
        </w:tc>
        <w:tc>
          <w:tcPr>
            <w:tcW w:w="1919"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spacing w:before="10" w:after="10"/>
              <w:rPr>
                <w:b/>
                <w:sz w:val="17"/>
                <w:szCs w:val="17"/>
              </w:rPr>
            </w:pPr>
            <w:r w:rsidRPr="0062582F">
              <w:rPr>
                <w:b/>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noWrap/>
            <w:hideMark/>
          </w:tcPr>
          <w:p w:rsidR="004843DB" w:rsidRPr="0062582F" w:rsidRDefault="004843DB" w:rsidP="004843DB">
            <w:pPr>
              <w:pStyle w:val="Tabletext"/>
              <w:spacing w:before="10" w:after="10"/>
              <w:rPr>
                <w:sz w:val="17"/>
                <w:szCs w:val="17"/>
              </w:rPr>
            </w:pPr>
            <w:r w:rsidRPr="0062582F">
              <w:rPr>
                <w:sz w:val="17"/>
                <w:szCs w:val="17"/>
              </w:rPr>
              <w:t>Payables</w:t>
            </w:r>
            <w:r w:rsidRPr="0062582F">
              <w:rPr>
                <w:sz w:val="17"/>
                <w:szCs w:val="17"/>
                <w:vertAlign w:val="superscript"/>
              </w:rPr>
              <w:t xml:space="preserve"> (i)</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rFonts w:ascii="Arial" w:hAnsi="Arial"/>
                <w:sz w:val="17"/>
                <w:szCs w:val="17"/>
              </w:rPr>
            </w:pPr>
            <w:r w:rsidRPr="0062582F">
              <w:rPr>
                <w:rFonts w:ascii="Arial" w:hAnsi="Arial"/>
                <w:sz w:val="17"/>
                <w:szCs w:val="17"/>
              </w:rPr>
              <w:t xml:space="preserve"> </w:t>
            </w: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Supplies and services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rFonts w:ascii="Arial" w:hAnsi="Arial"/>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4 466</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Amounts payable to government and agencies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rFonts w:ascii="Arial" w:hAnsi="Arial"/>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10 890</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Other payables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rFonts w:ascii="Arial" w:hAnsi="Arial"/>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1 962</w:t>
            </w:r>
          </w:p>
        </w:tc>
      </w:tr>
      <w:tr w:rsidR="004843DB" w:rsidRPr="0062582F" w:rsidTr="004843DB">
        <w:trPr>
          <w:cantSplit/>
        </w:trPr>
        <w:tc>
          <w:tcPr>
            <w:tcW w:w="4810" w:type="dxa"/>
            <w:tcBorders>
              <w:top w:val="nil"/>
              <w:left w:val="nil"/>
              <w:bottom w:val="nil"/>
              <w:right w:val="nil"/>
            </w:tcBorders>
            <w:shd w:val="clear" w:color="auto" w:fill="auto"/>
            <w:noWrap/>
            <w:hideMark/>
          </w:tcPr>
          <w:p w:rsidR="004843DB" w:rsidRPr="0062582F" w:rsidRDefault="004843DB" w:rsidP="004843DB">
            <w:pPr>
              <w:pStyle w:val="Tabletext"/>
              <w:spacing w:before="10" w:after="10"/>
              <w:rPr>
                <w:sz w:val="17"/>
                <w:szCs w:val="17"/>
              </w:rPr>
            </w:pPr>
            <w:r w:rsidRPr="0062582F">
              <w:rPr>
                <w:sz w:val="17"/>
                <w:szCs w:val="17"/>
              </w:rPr>
              <w:t>Borrowings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rFonts w:ascii="Arial" w:hAnsi="Arial"/>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Finance lease liabilities</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4.52%</w:t>
            </w: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8 064</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Advances from government</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5 314</w:t>
            </w:r>
          </w:p>
        </w:tc>
      </w:tr>
      <w:tr w:rsidR="004843DB" w:rsidRPr="0062582F" w:rsidTr="004843DB">
        <w:trPr>
          <w:cantSplit/>
        </w:trPr>
        <w:tc>
          <w:tcPr>
            <w:tcW w:w="4810" w:type="dxa"/>
            <w:tcBorders>
              <w:top w:val="nil"/>
              <w:left w:val="nil"/>
              <w:bottom w:val="single" w:sz="4" w:space="0" w:color="auto"/>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Loans from TCV</w:t>
            </w:r>
          </w:p>
        </w:tc>
        <w:tc>
          <w:tcPr>
            <w:tcW w:w="157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3.55%</w:t>
            </w:r>
          </w:p>
        </w:tc>
        <w:tc>
          <w:tcPr>
            <w:tcW w:w="191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48 696</w:t>
            </w:r>
          </w:p>
        </w:tc>
      </w:tr>
      <w:tr w:rsidR="004843DB" w:rsidRPr="0062582F" w:rsidTr="004843DB">
        <w:trPr>
          <w:cantSplit/>
        </w:trPr>
        <w:tc>
          <w:tcPr>
            <w:tcW w:w="481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spacing w:before="10" w:after="10"/>
              <w:rPr>
                <w:b/>
                <w:sz w:val="17"/>
                <w:szCs w:val="17"/>
              </w:rPr>
            </w:pPr>
            <w:r w:rsidRPr="0062582F">
              <w:rPr>
                <w:b/>
                <w:sz w:val="17"/>
                <w:szCs w:val="17"/>
              </w:rPr>
              <w:t>Total financial liabilities</w:t>
            </w:r>
          </w:p>
        </w:tc>
        <w:tc>
          <w:tcPr>
            <w:tcW w:w="1579"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spacing w:before="10" w:after="10"/>
              <w:rPr>
                <w:b/>
                <w:sz w:val="17"/>
                <w:szCs w:val="17"/>
              </w:rPr>
            </w:pPr>
          </w:p>
        </w:tc>
        <w:tc>
          <w:tcPr>
            <w:tcW w:w="1919"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10" w:after="10"/>
              <w:rPr>
                <w:b/>
                <w:sz w:val="17"/>
                <w:szCs w:val="17"/>
              </w:rPr>
            </w:pPr>
            <w:r w:rsidRPr="0062582F">
              <w:rPr>
                <w:b/>
                <w:sz w:val="17"/>
                <w:szCs w:val="17"/>
              </w:rPr>
              <w:t>79 392</w:t>
            </w:r>
          </w:p>
        </w:tc>
      </w:tr>
      <w:tr w:rsidR="004843DB" w:rsidRPr="0062582F" w:rsidTr="004843DB">
        <w:trPr>
          <w:cantSplit/>
        </w:trPr>
        <w:tc>
          <w:tcPr>
            <w:tcW w:w="4810" w:type="dxa"/>
            <w:tcBorders>
              <w:top w:val="single" w:sz="12" w:space="0" w:color="auto"/>
              <w:left w:val="nil"/>
              <w:bottom w:val="nil"/>
              <w:right w:val="nil"/>
            </w:tcBorders>
            <w:shd w:val="clear" w:color="auto" w:fill="auto"/>
            <w:noWrap/>
            <w:hideMark/>
          </w:tcPr>
          <w:p w:rsidR="004843DB" w:rsidRPr="0062582F" w:rsidRDefault="004843DB" w:rsidP="004843DB">
            <w:pPr>
              <w:pStyle w:val="TabletextheadingLeft"/>
              <w:spacing w:before="10" w:after="10"/>
              <w:rPr>
                <w:sz w:val="17"/>
                <w:szCs w:val="17"/>
              </w:rPr>
            </w:pPr>
            <w:r w:rsidRPr="0062582F">
              <w:rPr>
                <w:sz w:val="17"/>
                <w:szCs w:val="17"/>
              </w:rPr>
              <w:t>2015</w:t>
            </w:r>
          </w:p>
        </w:tc>
        <w:tc>
          <w:tcPr>
            <w:tcW w:w="1579" w:type="dxa"/>
            <w:tcBorders>
              <w:top w:val="single" w:sz="12" w:space="0" w:color="auto"/>
              <w:left w:val="nil"/>
              <w:bottom w:val="nil"/>
              <w:right w:val="nil"/>
            </w:tcBorders>
            <w:shd w:val="clear" w:color="000000" w:fill="CCCCCC"/>
            <w:noWrap/>
            <w:vAlign w:val="bottom"/>
            <w:hideMark/>
          </w:tcPr>
          <w:p w:rsidR="004843DB" w:rsidRPr="0062582F" w:rsidRDefault="004843DB" w:rsidP="004843DB">
            <w:pPr>
              <w:pStyle w:val="TabletextheadingLeft"/>
              <w:spacing w:before="10" w:after="10"/>
              <w:rPr>
                <w:sz w:val="17"/>
                <w:szCs w:val="17"/>
              </w:rPr>
            </w:pPr>
            <w:r w:rsidRPr="0062582F">
              <w:rPr>
                <w:sz w:val="17"/>
                <w:szCs w:val="17"/>
              </w:rPr>
              <w:t> </w:t>
            </w:r>
          </w:p>
        </w:tc>
        <w:tc>
          <w:tcPr>
            <w:tcW w:w="1919" w:type="dxa"/>
            <w:tcBorders>
              <w:top w:val="single" w:sz="12" w:space="0" w:color="auto"/>
              <w:left w:val="nil"/>
              <w:bottom w:val="nil"/>
              <w:right w:val="nil"/>
            </w:tcBorders>
            <w:shd w:val="clear" w:color="auto" w:fill="auto"/>
            <w:noWrap/>
            <w:vAlign w:val="bottom"/>
            <w:hideMark/>
          </w:tcPr>
          <w:p w:rsidR="004843DB" w:rsidRPr="0062582F" w:rsidRDefault="004843DB" w:rsidP="004843DB">
            <w:pPr>
              <w:pStyle w:val="TabletextheadingLeft"/>
              <w:spacing w:before="10" w:after="10"/>
              <w:rPr>
                <w:sz w:val="17"/>
                <w:szCs w:val="17"/>
              </w:rPr>
            </w:pPr>
          </w:p>
        </w:tc>
      </w:tr>
      <w:tr w:rsidR="004843DB" w:rsidRPr="0062582F" w:rsidTr="004843DB">
        <w:trPr>
          <w:cantSplit/>
        </w:trPr>
        <w:tc>
          <w:tcPr>
            <w:tcW w:w="4810" w:type="dxa"/>
            <w:tcBorders>
              <w:top w:val="single" w:sz="4" w:space="0" w:color="auto"/>
              <w:left w:val="nil"/>
              <w:bottom w:val="nil"/>
              <w:right w:val="nil"/>
            </w:tcBorders>
            <w:shd w:val="clear" w:color="auto" w:fill="auto"/>
            <w:noWrap/>
            <w:hideMark/>
          </w:tcPr>
          <w:p w:rsidR="004843DB" w:rsidRPr="0062582F" w:rsidRDefault="004843DB" w:rsidP="004843DB">
            <w:pPr>
              <w:pStyle w:val="Tabletext"/>
              <w:spacing w:before="10" w:after="10"/>
              <w:rPr>
                <w:b/>
                <w:sz w:val="17"/>
                <w:szCs w:val="17"/>
              </w:rPr>
            </w:pPr>
            <w:r w:rsidRPr="0062582F">
              <w:rPr>
                <w:b/>
                <w:sz w:val="17"/>
                <w:szCs w:val="17"/>
              </w:rPr>
              <w:t>Financial assets</w:t>
            </w:r>
          </w:p>
        </w:tc>
        <w:tc>
          <w:tcPr>
            <w:tcW w:w="1579" w:type="dxa"/>
            <w:tcBorders>
              <w:top w:val="single" w:sz="4" w:space="0" w:color="auto"/>
              <w:left w:val="nil"/>
              <w:bottom w:val="nil"/>
              <w:right w:val="nil"/>
            </w:tcBorders>
            <w:shd w:val="clear" w:color="00FFFF" w:fill="CCCCCC"/>
            <w:noWrap/>
            <w:hideMark/>
          </w:tcPr>
          <w:p w:rsidR="004843DB" w:rsidRPr="0062582F" w:rsidRDefault="004843DB" w:rsidP="004843DB">
            <w:pPr>
              <w:pStyle w:val="TableofFigures"/>
              <w:spacing w:before="10" w:after="10"/>
              <w:rPr>
                <w:b/>
                <w:sz w:val="17"/>
                <w:szCs w:val="17"/>
              </w:rPr>
            </w:pPr>
            <w:r w:rsidRPr="0062582F">
              <w:rPr>
                <w:b/>
                <w:sz w:val="17"/>
                <w:szCs w:val="17"/>
              </w:rPr>
              <w:t xml:space="preserve"> </w:t>
            </w:r>
          </w:p>
        </w:tc>
        <w:tc>
          <w:tcPr>
            <w:tcW w:w="1919" w:type="dxa"/>
            <w:tcBorders>
              <w:top w:val="single" w:sz="4" w:space="0" w:color="auto"/>
              <w:left w:val="nil"/>
              <w:bottom w:val="nil"/>
              <w:right w:val="nil"/>
            </w:tcBorders>
            <w:shd w:val="clear" w:color="auto" w:fill="auto"/>
            <w:noWrap/>
            <w:hideMark/>
          </w:tcPr>
          <w:p w:rsidR="004843DB" w:rsidRPr="0062582F" w:rsidRDefault="004843DB" w:rsidP="004843DB">
            <w:pPr>
              <w:pStyle w:val="TableofFigures"/>
              <w:spacing w:before="10" w:after="10"/>
              <w:rPr>
                <w:b/>
                <w:sz w:val="17"/>
                <w:szCs w:val="17"/>
              </w:rPr>
            </w:pPr>
            <w:r w:rsidRPr="0062582F">
              <w:rPr>
                <w:b/>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noWrap/>
            <w:hideMark/>
          </w:tcPr>
          <w:p w:rsidR="004843DB" w:rsidRPr="0062582F" w:rsidRDefault="004843DB" w:rsidP="004843DB">
            <w:pPr>
              <w:pStyle w:val="Tabletext"/>
              <w:spacing w:before="10" w:after="10"/>
              <w:rPr>
                <w:sz w:val="17"/>
                <w:szCs w:val="17"/>
              </w:rPr>
            </w:pPr>
            <w:r w:rsidRPr="0062582F">
              <w:rPr>
                <w:sz w:val="17"/>
                <w:szCs w:val="17"/>
              </w:rPr>
              <w:t>Cash and deposits</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3.55%</w:t>
            </w: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48 648</w:t>
            </w:r>
          </w:p>
        </w:tc>
      </w:tr>
      <w:tr w:rsidR="004843DB" w:rsidRPr="0062582F" w:rsidTr="004843DB">
        <w:trPr>
          <w:cantSplit/>
        </w:trPr>
        <w:tc>
          <w:tcPr>
            <w:tcW w:w="4810" w:type="dxa"/>
            <w:tcBorders>
              <w:top w:val="nil"/>
              <w:left w:val="nil"/>
              <w:bottom w:val="nil"/>
              <w:right w:val="nil"/>
            </w:tcBorders>
            <w:shd w:val="clear" w:color="auto" w:fill="auto"/>
            <w:noWrap/>
            <w:hideMark/>
          </w:tcPr>
          <w:p w:rsidR="004843DB" w:rsidRPr="0062582F" w:rsidRDefault="004843DB" w:rsidP="004843DB">
            <w:pPr>
              <w:pStyle w:val="Tabletext"/>
              <w:spacing w:before="10" w:after="10"/>
              <w:rPr>
                <w:sz w:val="17"/>
                <w:szCs w:val="17"/>
              </w:rPr>
            </w:pPr>
            <w:r w:rsidRPr="0062582F">
              <w:rPr>
                <w:sz w:val="17"/>
                <w:szCs w:val="17"/>
              </w:rPr>
              <w:t>Receivables</w:t>
            </w:r>
            <w:r w:rsidRPr="0062582F">
              <w:rPr>
                <w:rFonts w:ascii="Arial" w:hAnsi="Arial"/>
                <w:sz w:val="17"/>
                <w:szCs w:val="17"/>
                <w:vertAlign w:val="superscript"/>
              </w:rPr>
              <w:t xml:space="preserve"> (i)</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Finance lease receivables</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4.05%</w:t>
            </w: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1 231</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Sale of goods and services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902</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Loans to third parties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241</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Accrued investment income</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1 058</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Other receivables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438</w:t>
            </w:r>
          </w:p>
        </w:tc>
      </w:tr>
      <w:tr w:rsidR="004843DB" w:rsidRPr="0062582F" w:rsidTr="004843DB">
        <w:trPr>
          <w:cantSplit/>
        </w:trPr>
        <w:tc>
          <w:tcPr>
            <w:tcW w:w="4810" w:type="dxa"/>
            <w:tcBorders>
              <w:top w:val="nil"/>
              <w:left w:val="nil"/>
              <w:bottom w:val="nil"/>
              <w:right w:val="nil"/>
            </w:tcBorders>
            <w:shd w:val="clear" w:color="auto" w:fill="auto"/>
            <w:noWrap/>
            <w:hideMark/>
          </w:tcPr>
          <w:p w:rsidR="004843DB" w:rsidRPr="0062582F" w:rsidRDefault="004843DB" w:rsidP="004843DB">
            <w:pPr>
              <w:pStyle w:val="Tabletext"/>
              <w:spacing w:before="10" w:after="10"/>
              <w:rPr>
                <w:sz w:val="17"/>
                <w:szCs w:val="17"/>
              </w:rPr>
            </w:pPr>
            <w:r w:rsidRPr="0062582F">
              <w:rPr>
                <w:sz w:val="17"/>
                <w:szCs w:val="17"/>
              </w:rPr>
              <w:t>Investments and other contractual financial assets: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Equities and managed investment schemes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ind w:left="577" w:hanging="577"/>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ind w:left="577" w:hanging="577"/>
              <w:rPr>
                <w:sz w:val="17"/>
                <w:szCs w:val="17"/>
              </w:rPr>
            </w:pPr>
            <w:r w:rsidRPr="0062582F">
              <w:rPr>
                <w:sz w:val="17"/>
                <w:szCs w:val="17"/>
              </w:rPr>
              <w:t>4 179</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Term deposits</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ind w:left="577" w:hanging="577"/>
              <w:rPr>
                <w:sz w:val="17"/>
                <w:szCs w:val="17"/>
              </w:rPr>
            </w:pPr>
            <w:r w:rsidRPr="0062582F">
              <w:rPr>
                <w:sz w:val="17"/>
                <w:szCs w:val="17"/>
              </w:rPr>
              <w:t>4.05%</w:t>
            </w: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ind w:left="577" w:hanging="577"/>
              <w:rPr>
                <w:sz w:val="17"/>
                <w:szCs w:val="17"/>
              </w:rPr>
            </w:pPr>
            <w:r w:rsidRPr="0062582F">
              <w:rPr>
                <w:sz w:val="17"/>
                <w:szCs w:val="17"/>
              </w:rPr>
              <w:t>5 130</w:t>
            </w:r>
          </w:p>
        </w:tc>
      </w:tr>
      <w:tr w:rsidR="004843DB" w:rsidRPr="0062582F" w:rsidTr="004843DB">
        <w:trPr>
          <w:cantSplit/>
        </w:trPr>
        <w:tc>
          <w:tcPr>
            <w:tcW w:w="4810" w:type="dxa"/>
            <w:tcBorders>
              <w:top w:val="nil"/>
              <w:left w:val="nil"/>
              <w:bottom w:val="single" w:sz="4" w:space="0" w:color="auto"/>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Debt securities</w:t>
            </w:r>
          </w:p>
        </w:tc>
        <w:tc>
          <w:tcPr>
            <w:tcW w:w="157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0" w:after="10"/>
              <w:ind w:left="577" w:hanging="577"/>
              <w:rPr>
                <w:sz w:val="17"/>
                <w:szCs w:val="17"/>
              </w:rPr>
            </w:pPr>
            <w:r w:rsidRPr="0062582F">
              <w:rPr>
                <w:sz w:val="17"/>
                <w:szCs w:val="17"/>
              </w:rPr>
              <w:t>4.57%</w:t>
            </w:r>
          </w:p>
        </w:tc>
        <w:tc>
          <w:tcPr>
            <w:tcW w:w="191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spacing w:before="10" w:after="10"/>
              <w:ind w:left="577" w:hanging="577"/>
              <w:rPr>
                <w:sz w:val="17"/>
                <w:szCs w:val="17"/>
              </w:rPr>
            </w:pPr>
            <w:r w:rsidRPr="0062582F">
              <w:rPr>
                <w:sz w:val="17"/>
                <w:szCs w:val="17"/>
              </w:rPr>
              <w:t>7 422</w:t>
            </w:r>
          </w:p>
        </w:tc>
      </w:tr>
      <w:tr w:rsidR="004843DB" w:rsidRPr="0062582F" w:rsidTr="004843DB">
        <w:trPr>
          <w:cantSplit/>
        </w:trPr>
        <w:tc>
          <w:tcPr>
            <w:tcW w:w="481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spacing w:before="10" w:after="10"/>
              <w:rPr>
                <w:b/>
                <w:sz w:val="17"/>
                <w:szCs w:val="17"/>
              </w:rPr>
            </w:pPr>
            <w:r w:rsidRPr="0062582F">
              <w:rPr>
                <w:b/>
                <w:sz w:val="17"/>
                <w:szCs w:val="17"/>
              </w:rPr>
              <w:t>Total financial assets</w:t>
            </w:r>
          </w:p>
        </w:tc>
        <w:tc>
          <w:tcPr>
            <w:tcW w:w="1579" w:type="dxa"/>
            <w:tcBorders>
              <w:top w:val="single" w:sz="4" w:space="0" w:color="auto"/>
              <w:left w:val="nil"/>
              <w:bottom w:val="single" w:sz="12" w:space="0" w:color="auto"/>
              <w:right w:val="nil"/>
            </w:tcBorders>
            <w:shd w:val="clear" w:color="000000" w:fill="CCCCCC"/>
            <w:noWrap/>
          </w:tcPr>
          <w:p w:rsidR="004843DB" w:rsidRPr="0062582F" w:rsidRDefault="004843DB" w:rsidP="004843DB">
            <w:pPr>
              <w:pStyle w:val="TableofFigures"/>
              <w:spacing w:before="10" w:after="10"/>
              <w:ind w:left="577" w:hanging="577"/>
              <w:rPr>
                <w:b/>
                <w:sz w:val="17"/>
                <w:szCs w:val="17"/>
              </w:rPr>
            </w:pPr>
          </w:p>
        </w:tc>
        <w:tc>
          <w:tcPr>
            <w:tcW w:w="1919"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10" w:after="10"/>
              <w:ind w:left="577" w:hanging="577"/>
              <w:rPr>
                <w:b/>
                <w:sz w:val="17"/>
                <w:szCs w:val="17"/>
              </w:rPr>
            </w:pPr>
            <w:r w:rsidRPr="0062582F">
              <w:rPr>
                <w:b/>
                <w:sz w:val="17"/>
                <w:szCs w:val="17"/>
              </w:rPr>
              <w:t>69 249</w:t>
            </w:r>
          </w:p>
        </w:tc>
      </w:tr>
      <w:tr w:rsidR="004843DB" w:rsidRPr="0062582F" w:rsidTr="004843DB">
        <w:trPr>
          <w:cantSplit/>
        </w:trPr>
        <w:tc>
          <w:tcPr>
            <w:tcW w:w="4810" w:type="dxa"/>
            <w:tcBorders>
              <w:top w:val="single" w:sz="12" w:space="0" w:color="auto"/>
              <w:left w:val="nil"/>
              <w:bottom w:val="nil"/>
              <w:right w:val="nil"/>
            </w:tcBorders>
            <w:shd w:val="clear" w:color="auto" w:fill="auto"/>
            <w:noWrap/>
            <w:hideMark/>
          </w:tcPr>
          <w:p w:rsidR="004843DB" w:rsidRPr="0062582F" w:rsidRDefault="004843DB" w:rsidP="004843DB">
            <w:pPr>
              <w:pStyle w:val="Tabletext"/>
              <w:spacing w:before="10" w:after="10"/>
              <w:rPr>
                <w:b/>
                <w:sz w:val="17"/>
                <w:szCs w:val="17"/>
              </w:rPr>
            </w:pPr>
            <w:r w:rsidRPr="0062582F">
              <w:rPr>
                <w:b/>
                <w:sz w:val="17"/>
                <w:szCs w:val="17"/>
              </w:rPr>
              <w:t>Financial liabilities</w:t>
            </w:r>
          </w:p>
        </w:tc>
        <w:tc>
          <w:tcPr>
            <w:tcW w:w="1579" w:type="dxa"/>
            <w:tcBorders>
              <w:top w:val="single" w:sz="12" w:space="0" w:color="auto"/>
              <w:left w:val="nil"/>
              <w:bottom w:val="nil"/>
              <w:right w:val="nil"/>
            </w:tcBorders>
            <w:shd w:val="clear" w:color="00FFFF" w:fill="CCCCCC"/>
            <w:noWrap/>
          </w:tcPr>
          <w:p w:rsidR="004843DB" w:rsidRPr="0062582F" w:rsidRDefault="004843DB" w:rsidP="004843DB">
            <w:pPr>
              <w:pStyle w:val="TableofFigures"/>
              <w:spacing w:before="10" w:after="10"/>
              <w:rPr>
                <w:b/>
                <w:sz w:val="17"/>
                <w:szCs w:val="17"/>
              </w:rPr>
            </w:pPr>
          </w:p>
        </w:tc>
        <w:tc>
          <w:tcPr>
            <w:tcW w:w="1919"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spacing w:before="10" w:after="10"/>
              <w:rPr>
                <w:b/>
                <w:sz w:val="17"/>
                <w:szCs w:val="17"/>
              </w:rPr>
            </w:pPr>
            <w:r w:rsidRPr="0062582F">
              <w:rPr>
                <w:b/>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noWrap/>
            <w:hideMark/>
          </w:tcPr>
          <w:p w:rsidR="004843DB" w:rsidRPr="0062582F" w:rsidRDefault="004843DB" w:rsidP="004843DB">
            <w:pPr>
              <w:pStyle w:val="Tabletext"/>
              <w:spacing w:before="10" w:after="10"/>
              <w:rPr>
                <w:sz w:val="17"/>
                <w:szCs w:val="17"/>
              </w:rPr>
            </w:pPr>
            <w:r w:rsidRPr="0062582F">
              <w:rPr>
                <w:sz w:val="17"/>
                <w:szCs w:val="17"/>
              </w:rPr>
              <w:t>Payables</w:t>
            </w:r>
            <w:r w:rsidRPr="0062582F">
              <w:rPr>
                <w:rFonts w:ascii="Arial" w:hAnsi="Arial"/>
                <w:sz w:val="17"/>
                <w:szCs w:val="17"/>
                <w:vertAlign w:val="superscript"/>
              </w:rPr>
              <w:t xml:space="preserve"> (i)</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Supplies and services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5 330</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Amounts payable to government and agencies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7 874</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Other payables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2 938</w:t>
            </w:r>
          </w:p>
        </w:tc>
      </w:tr>
      <w:tr w:rsidR="004843DB" w:rsidRPr="0062582F" w:rsidTr="004843DB">
        <w:trPr>
          <w:cantSplit/>
        </w:trPr>
        <w:tc>
          <w:tcPr>
            <w:tcW w:w="4810" w:type="dxa"/>
            <w:tcBorders>
              <w:top w:val="nil"/>
              <w:left w:val="nil"/>
              <w:bottom w:val="nil"/>
              <w:right w:val="nil"/>
            </w:tcBorders>
            <w:shd w:val="clear" w:color="auto" w:fill="auto"/>
            <w:noWrap/>
            <w:hideMark/>
          </w:tcPr>
          <w:p w:rsidR="004843DB" w:rsidRPr="0062582F" w:rsidRDefault="004843DB" w:rsidP="004843DB">
            <w:pPr>
              <w:pStyle w:val="Tabletext"/>
              <w:spacing w:before="10" w:after="10"/>
              <w:rPr>
                <w:sz w:val="17"/>
                <w:szCs w:val="17"/>
              </w:rPr>
            </w:pPr>
            <w:r w:rsidRPr="0062582F">
              <w:rPr>
                <w:sz w:val="17"/>
                <w:szCs w:val="17"/>
              </w:rPr>
              <w:t>Borrowings</w:t>
            </w:r>
          </w:p>
        </w:tc>
        <w:tc>
          <w:tcPr>
            <w:tcW w:w="1579" w:type="dxa"/>
            <w:tcBorders>
              <w:top w:val="nil"/>
              <w:left w:val="nil"/>
              <w:bottom w:val="nil"/>
              <w:right w:val="nil"/>
            </w:tcBorders>
            <w:shd w:val="clear" w:color="00FFFF" w:fill="CCCCCC"/>
            <w:noWrap/>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Bank overdrafts</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10.25%</w:t>
            </w: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5 437</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Finance lease liabilities</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4.52%</w:t>
            </w: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20 062</w:t>
            </w:r>
          </w:p>
        </w:tc>
      </w:tr>
      <w:tr w:rsidR="004843DB" w:rsidRPr="0062582F" w:rsidTr="004843DB">
        <w:trPr>
          <w:cantSplit/>
        </w:trPr>
        <w:tc>
          <w:tcPr>
            <w:tcW w:w="4810" w:type="dxa"/>
            <w:tcBorders>
              <w:top w:val="nil"/>
              <w:left w:val="nil"/>
              <w:bottom w:val="nil"/>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Advances from government</w:t>
            </w:r>
          </w:p>
        </w:tc>
        <w:tc>
          <w:tcPr>
            <w:tcW w:w="1579"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12 344</w:t>
            </w:r>
          </w:p>
        </w:tc>
      </w:tr>
      <w:tr w:rsidR="004843DB" w:rsidRPr="0062582F" w:rsidTr="004843DB">
        <w:trPr>
          <w:cantSplit/>
        </w:trPr>
        <w:tc>
          <w:tcPr>
            <w:tcW w:w="4810" w:type="dxa"/>
            <w:tcBorders>
              <w:top w:val="nil"/>
              <w:left w:val="nil"/>
              <w:bottom w:val="single" w:sz="4" w:space="0" w:color="auto"/>
              <w:right w:val="nil"/>
            </w:tcBorders>
            <w:shd w:val="clear" w:color="auto" w:fill="auto"/>
            <w:hideMark/>
          </w:tcPr>
          <w:p w:rsidR="004843DB" w:rsidRPr="0062582F" w:rsidRDefault="004843DB" w:rsidP="004843DB">
            <w:pPr>
              <w:pStyle w:val="TabletextIndent"/>
              <w:spacing w:before="10" w:after="10"/>
              <w:rPr>
                <w:sz w:val="17"/>
                <w:szCs w:val="17"/>
              </w:rPr>
            </w:pPr>
            <w:r w:rsidRPr="0062582F">
              <w:rPr>
                <w:sz w:val="17"/>
                <w:szCs w:val="17"/>
              </w:rPr>
              <w:t>Loans from TCV</w:t>
            </w:r>
          </w:p>
        </w:tc>
        <w:tc>
          <w:tcPr>
            <w:tcW w:w="1579"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5.00%</w:t>
            </w:r>
          </w:p>
        </w:tc>
        <w:tc>
          <w:tcPr>
            <w:tcW w:w="1919"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27 705</w:t>
            </w:r>
          </w:p>
        </w:tc>
      </w:tr>
      <w:tr w:rsidR="004843DB" w:rsidRPr="0062582F" w:rsidTr="004843DB">
        <w:trPr>
          <w:cantSplit/>
        </w:trPr>
        <w:tc>
          <w:tcPr>
            <w:tcW w:w="4810"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spacing w:before="10" w:after="10"/>
              <w:rPr>
                <w:b/>
                <w:sz w:val="17"/>
                <w:szCs w:val="17"/>
              </w:rPr>
            </w:pPr>
            <w:r w:rsidRPr="0062582F">
              <w:rPr>
                <w:b/>
                <w:sz w:val="17"/>
                <w:szCs w:val="17"/>
              </w:rPr>
              <w:t>Total financial liabilities</w:t>
            </w:r>
          </w:p>
        </w:tc>
        <w:tc>
          <w:tcPr>
            <w:tcW w:w="1579"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spacing w:before="10" w:after="10"/>
              <w:rPr>
                <w:b/>
                <w:sz w:val="17"/>
                <w:szCs w:val="17"/>
              </w:rPr>
            </w:pPr>
          </w:p>
        </w:tc>
        <w:tc>
          <w:tcPr>
            <w:tcW w:w="1919"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10" w:after="10"/>
              <w:rPr>
                <w:b/>
                <w:sz w:val="17"/>
                <w:szCs w:val="17"/>
              </w:rPr>
            </w:pPr>
            <w:r w:rsidRPr="0062582F">
              <w:rPr>
                <w:b/>
                <w:sz w:val="17"/>
                <w:szCs w:val="17"/>
              </w:rPr>
              <w:t>81 689</w:t>
            </w:r>
          </w:p>
        </w:tc>
      </w:tr>
    </w:tbl>
    <w:p w:rsidR="004843DB" w:rsidRPr="0062582F" w:rsidRDefault="004843DB" w:rsidP="004843DB">
      <w:pPr>
        <w:pStyle w:val="Notes"/>
      </w:pPr>
      <w:r w:rsidRPr="0062582F">
        <w:t>Note:</w:t>
      </w:r>
    </w:p>
    <w:p w:rsidR="004843DB" w:rsidRPr="0062582F" w:rsidRDefault="004843DB" w:rsidP="004843DB">
      <w:pPr>
        <w:pStyle w:val="Notes"/>
        <w:sectPr w:rsidR="004843DB" w:rsidRPr="0062582F" w:rsidSect="00190A01">
          <w:type w:val="continuous"/>
          <w:pgSz w:w="11906" w:h="16838" w:code="9"/>
          <w:pgMar w:top="1151" w:right="862" w:bottom="1151" w:left="862" w:header="431" w:footer="431" w:gutter="0"/>
          <w:cols w:num="2" w:space="360" w:equalWidth="0">
            <w:col w:w="1442" w:space="360"/>
            <w:col w:w="8092"/>
          </w:cols>
        </w:sectPr>
      </w:pPr>
    </w:p>
    <w:p w:rsidR="004843DB" w:rsidRPr="0062582F" w:rsidRDefault="004843DB" w:rsidP="004843DB">
      <w:pPr>
        <w:pStyle w:val="Reference"/>
        <w:spacing w:before="0"/>
        <w:rPr>
          <w:rStyle w:val="ReferenceChar"/>
        </w:rPr>
      </w:pPr>
      <w:r w:rsidRPr="0062582F">
        <w:rPr>
          <w:rStyle w:val="ReferenceChar"/>
        </w:rPr>
        <w:t>AASB 132.AG12</w:t>
      </w:r>
    </w:p>
    <w:p w:rsidR="004843DB" w:rsidRPr="0062582F" w:rsidRDefault="004843DB" w:rsidP="004843DB">
      <w:pPr>
        <w:pStyle w:val="Notes"/>
      </w:pPr>
      <w:r w:rsidRPr="0062582F">
        <w:br w:type="column"/>
        <w:t>(i)</w:t>
      </w:r>
      <w:r w:rsidRPr="0062582F">
        <w:tab/>
        <w:t>The carrying amounts disclosed here exclude statutory amounts (e.g. amounts owing from Victorian government, GST input tax credit recoverable, and GST payables).</w:t>
      </w:r>
    </w:p>
    <w:p w:rsidR="004843DB" w:rsidRPr="0062582F" w:rsidRDefault="004843DB" w:rsidP="004843DB">
      <w:pPr>
        <w:pStyle w:val="Notes"/>
        <w:sectPr w:rsidR="004843DB" w:rsidRPr="0062582F" w:rsidSect="00190A01">
          <w:type w:val="continuous"/>
          <w:pgSz w:w="11906" w:h="16838" w:code="9"/>
          <w:pgMar w:top="1151" w:right="862" w:bottom="1151" w:left="862" w:header="431" w:footer="431" w:gutter="0"/>
          <w:cols w:num="2" w:space="360" w:equalWidth="0">
            <w:col w:w="1442" w:space="360"/>
            <w:col w:w="8092"/>
          </w:cols>
        </w:sectPr>
      </w:pPr>
    </w:p>
    <w:p w:rsidR="004843DB" w:rsidRPr="0062582F" w:rsidRDefault="004843DB" w:rsidP="004843DB">
      <w:pPr>
        <w:pStyle w:val="NoteHeadingcontinued"/>
      </w:pPr>
    </w:p>
    <w:p w:rsidR="004843DB" w:rsidRPr="0062582F" w:rsidRDefault="004843DB" w:rsidP="00D25DB6">
      <w:pPr>
        <w:pStyle w:val="Tableheading"/>
        <w:spacing w:before="220"/>
      </w:pPr>
    </w:p>
    <w:p w:rsidR="004843DB" w:rsidRPr="0062582F" w:rsidRDefault="004843DB" w:rsidP="004843DB">
      <w:pPr>
        <w:pStyle w:val="million"/>
      </w:pPr>
    </w:p>
    <w:tbl>
      <w:tblPr>
        <w:tblW w:w="6883" w:type="dxa"/>
        <w:tblLayout w:type="fixed"/>
        <w:tblCellMar>
          <w:left w:w="43" w:type="dxa"/>
          <w:right w:w="43" w:type="dxa"/>
        </w:tblCellMar>
        <w:tblLook w:val="04A0" w:firstRow="1" w:lastRow="0" w:firstColumn="1" w:lastColumn="0" w:noHBand="0" w:noVBand="1"/>
      </w:tblPr>
      <w:tblGrid>
        <w:gridCol w:w="2294"/>
        <w:gridCol w:w="2294"/>
        <w:gridCol w:w="2295"/>
      </w:tblGrid>
      <w:tr w:rsidR="004843DB" w:rsidRPr="0062582F" w:rsidTr="004843DB">
        <w:trPr>
          <w:cantSplit/>
        </w:trPr>
        <w:tc>
          <w:tcPr>
            <w:tcW w:w="6883" w:type="dxa"/>
            <w:gridSpan w:val="3"/>
            <w:tcBorders>
              <w:top w:val="single" w:sz="6" w:space="0" w:color="auto"/>
              <w:left w:val="nil"/>
              <w:bottom w:val="single" w:sz="4" w:space="0" w:color="000000"/>
              <w:right w:val="nil"/>
            </w:tcBorders>
            <w:shd w:val="clear" w:color="auto" w:fill="auto"/>
            <w:hideMark/>
          </w:tcPr>
          <w:p w:rsidR="004843DB" w:rsidRPr="0062582F" w:rsidRDefault="004843DB" w:rsidP="004843DB">
            <w:pPr>
              <w:pStyle w:val="TabletextheadingCentred"/>
              <w:spacing w:before="10" w:after="10"/>
              <w:rPr>
                <w:sz w:val="17"/>
                <w:szCs w:val="17"/>
              </w:rPr>
            </w:pPr>
            <w:r w:rsidRPr="0062582F">
              <w:rPr>
                <w:sz w:val="17"/>
                <w:szCs w:val="17"/>
              </w:rPr>
              <w:t>Interest rate exposure</w:t>
            </w:r>
          </w:p>
        </w:tc>
      </w:tr>
      <w:tr w:rsidR="004843DB" w:rsidRPr="0062582F" w:rsidTr="004843DB">
        <w:trPr>
          <w:cantSplit/>
        </w:trPr>
        <w:tc>
          <w:tcPr>
            <w:tcW w:w="2294" w:type="dxa"/>
            <w:tcBorders>
              <w:top w:val="single" w:sz="4" w:space="0" w:color="000000"/>
              <w:left w:val="nil"/>
              <w:bottom w:val="single" w:sz="6" w:space="0" w:color="auto"/>
              <w:right w:val="nil"/>
            </w:tcBorders>
            <w:shd w:val="clear" w:color="00FFFF" w:fill="CCCCCC"/>
            <w:hideMark/>
          </w:tcPr>
          <w:p w:rsidR="004843DB" w:rsidRPr="0062582F" w:rsidRDefault="004843DB" w:rsidP="004843DB">
            <w:pPr>
              <w:pStyle w:val="Tabletextheading"/>
              <w:spacing w:before="10" w:after="10"/>
              <w:rPr>
                <w:sz w:val="17"/>
                <w:szCs w:val="17"/>
              </w:rPr>
            </w:pPr>
            <w:r w:rsidRPr="0062582F">
              <w:rPr>
                <w:sz w:val="17"/>
                <w:szCs w:val="17"/>
              </w:rPr>
              <w:t>Fixed interest rate</w:t>
            </w:r>
          </w:p>
        </w:tc>
        <w:tc>
          <w:tcPr>
            <w:tcW w:w="2294" w:type="dxa"/>
            <w:tcBorders>
              <w:top w:val="single" w:sz="4" w:space="0" w:color="000000"/>
              <w:left w:val="nil"/>
              <w:bottom w:val="single" w:sz="6" w:space="0" w:color="auto"/>
              <w:right w:val="nil"/>
            </w:tcBorders>
            <w:shd w:val="clear" w:color="auto" w:fill="auto"/>
            <w:hideMark/>
          </w:tcPr>
          <w:p w:rsidR="004843DB" w:rsidRPr="0062582F" w:rsidRDefault="004843DB" w:rsidP="004843DB">
            <w:pPr>
              <w:pStyle w:val="Tabletextheading"/>
              <w:spacing w:before="10" w:after="10"/>
              <w:rPr>
                <w:sz w:val="17"/>
                <w:szCs w:val="17"/>
              </w:rPr>
            </w:pPr>
            <w:r w:rsidRPr="0062582F">
              <w:rPr>
                <w:sz w:val="17"/>
                <w:szCs w:val="17"/>
              </w:rPr>
              <w:t>Variable interest rate</w:t>
            </w:r>
          </w:p>
        </w:tc>
        <w:tc>
          <w:tcPr>
            <w:tcW w:w="2295" w:type="dxa"/>
            <w:tcBorders>
              <w:top w:val="single" w:sz="4" w:space="0" w:color="000000"/>
              <w:left w:val="nil"/>
              <w:bottom w:val="single" w:sz="6" w:space="0" w:color="auto"/>
              <w:right w:val="nil"/>
            </w:tcBorders>
            <w:shd w:val="clear" w:color="00FFFF" w:fill="CCCCCC"/>
            <w:hideMark/>
          </w:tcPr>
          <w:p w:rsidR="004843DB" w:rsidRPr="0062582F" w:rsidRDefault="004843DB" w:rsidP="004843DB">
            <w:pPr>
              <w:pStyle w:val="Tabletextheading"/>
              <w:spacing w:before="10" w:after="10"/>
              <w:rPr>
                <w:sz w:val="17"/>
                <w:szCs w:val="17"/>
              </w:rPr>
            </w:pPr>
            <w:r w:rsidRPr="0062582F">
              <w:rPr>
                <w:sz w:val="17"/>
                <w:szCs w:val="17"/>
              </w:rPr>
              <w:t>Non</w:t>
            </w:r>
            <w:r w:rsidR="005A4BB0">
              <w:rPr>
                <w:sz w:val="17"/>
                <w:szCs w:val="17"/>
              </w:rPr>
              <w:noBreakHyphen/>
            </w:r>
            <w:r w:rsidRPr="0062582F">
              <w:rPr>
                <w:sz w:val="17"/>
                <w:szCs w:val="17"/>
              </w:rPr>
              <w:t>interest bearing</w:t>
            </w:r>
          </w:p>
        </w:tc>
      </w:tr>
      <w:tr w:rsidR="004843DB" w:rsidRPr="0062582F" w:rsidTr="004843DB">
        <w:trPr>
          <w:cantSplit/>
        </w:trPr>
        <w:tc>
          <w:tcPr>
            <w:tcW w:w="2294"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5" w:type="dxa"/>
            <w:tcBorders>
              <w:top w:val="single" w:sz="6" w:space="0" w:color="auto"/>
              <w:left w:val="nil"/>
              <w:bottom w:val="nil"/>
              <w:right w:val="nil"/>
            </w:tcBorders>
            <w:shd w:val="clear" w:color="000000"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59 528</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581</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1 253</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146</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1 864</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334</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2 065</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2 890</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5 198</w:t>
            </w:r>
          </w:p>
        </w:tc>
        <w:tc>
          <w:tcPr>
            <w:tcW w:w="2294"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3 823</w:t>
            </w:r>
          </w:p>
        </w:tc>
        <w:tc>
          <w:tcPr>
            <w:tcW w:w="229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spacing w:before="10" w:after="10"/>
              <w:rPr>
                <w:b/>
                <w:sz w:val="17"/>
                <w:szCs w:val="17"/>
              </w:rPr>
            </w:pPr>
            <w:r w:rsidRPr="0062582F">
              <w:rPr>
                <w:b/>
                <w:sz w:val="17"/>
                <w:szCs w:val="17"/>
              </w:rPr>
              <w:t>5 779</w:t>
            </w:r>
          </w:p>
        </w:tc>
        <w:tc>
          <w:tcPr>
            <w:tcW w:w="229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10" w:after="10"/>
              <w:rPr>
                <w:b/>
                <w:sz w:val="17"/>
                <w:szCs w:val="17"/>
              </w:rPr>
            </w:pPr>
            <w:r w:rsidRPr="0062582F">
              <w:rPr>
                <w:b/>
                <w:sz w:val="17"/>
                <w:szCs w:val="17"/>
              </w:rPr>
              <w:t>66 241</w:t>
            </w:r>
          </w:p>
        </w:tc>
        <w:tc>
          <w:tcPr>
            <w:tcW w:w="2295"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spacing w:before="10" w:after="10"/>
              <w:rPr>
                <w:b/>
                <w:sz w:val="17"/>
                <w:szCs w:val="17"/>
              </w:rPr>
            </w:pPr>
            <w:r w:rsidRPr="0062582F">
              <w:rPr>
                <w:b/>
                <w:sz w:val="17"/>
                <w:szCs w:val="17"/>
              </w:rPr>
              <w:t>5 662</w:t>
            </w:r>
          </w:p>
        </w:tc>
      </w:tr>
      <w:tr w:rsidR="004843DB" w:rsidRPr="0062582F" w:rsidTr="004843DB">
        <w:trPr>
          <w:cantSplit/>
        </w:trPr>
        <w:tc>
          <w:tcPr>
            <w:tcW w:w="2294"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5"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4 466</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10 890</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1 962</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8 064</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5 314</w:t>
            </w:r>
          </w:p>
        </w:tc>
      </w:tr>
      <w:tr w:rsidR="004843DB" w:rsidRPr="0062582F" w:rsidTr="004843DB">
        <w:trPr>
          <w:cantSplit/>
        </w:trPr>
        <w:tc>
          <w:tcPr>
            <w:tcW w:w="2294"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48 696</w:t>
            </w:r>
          </w:p>
        </w:tc>
        <w:tc>
          <w:tcPr>
            <w:tcW w:w="2294"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spacing w:before="10" w:after="10"/>
              <w:rPr>
                <w:b/>
                <w:sz w:val="17"/>
                <w:szCs w:val="17"/>
              </w:rPr>
            </w:pPr>
            <w:r w:rsidRPr="0062582F">
              <w:rPr>
                <w:b/>
                <w:sz w:val="17"/>
                <w:szCs w:val="17"/>
              </w:rPr>
              <w:t>56 760</w:t>
            </w:r>
          </w:p>
        </w:tc>
        <w:tc>
          <w:tcPr>
            <w:tcW w:w="229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10" w:after="10"/>
              <w:rPr>
                <w:b/>
                <w:sz w:val="17"/>
                <w:szCs w:val="17"/>
              </w:rPr>
            </w:pPr>
            <w:r w:rsidRPr="0062582F">
              <w:rPr>
                <w:b/>
                <w:sz w:val="17"/>
                <w:szCs w:val="17"/>
              </w:rPr>
              <w:t>..</w:t>
            </w:r>
          </w:p>
        </w:tc>
        <w:tc>
          <w:tcPr>
            <w:tcW w:w="2295"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spacing w:before="10" w:after="10"/>
              <w:rPr>
                <w:b/>
                <w:sz w:val="17"/>
                <w:szCs w:val="17"/>
              </w:rPr>
            </w:pPr>
            <w:r w:rsidRPr="0062582F">
              <w:rPr>
                <w:b/>
                <w:sz w:val="17"/>
                <w:szCs w:val="17"/>
              </w:rPr>
              <w:t>22 632</w:t>
            </w:r>
          </w:p>
        </w:tc>
      </w:tr>
      <w:tr w:rsidR="004843DB" w:rsidRPr="0062582F" w:rsidTr="004843DB">
        <w:trPr>
          <w:cantSplit/>
        </w:trPr>
        <w:tc>
          <w:tcPr>
            <w:tcW w:w="2294" w:type="dxa"/>
            <w:tcBorders>
              <w:top w:val="single" w:sz="12" w:space="0" w:color="auto"/>
              <w:left w:val="nil"/>
              <w:bottom w:val="single" w:sz="12" w:space="0" w:color="auto"/>
              <w:right w:val="nil"/>
            </w:tcBorders>
            <w:shd w:val="clear" w:color="000000" w:fill="CCCCCC"/>
            <w:hideMark/>
          </w:tcPr>
          <w:p w:rsidR="004843DB" w:rsidRPr="0062582F" w:rsidRDefault="004843DB" w:rsidP="004843DB">
            <w:pPr>
              <w:pStyle w:val="TableofFigures"/>
              <w:spacing w:before="10" w:after="10"/>
              <w:rPr>
                <w:sz w:val="17"/>
                <w:szCs w:val="17"/>
              </w:rPr>
            </w:pPr>
            <w:bookmarkStart w:id="578" w:name="RANGE!I34:K58"/>
            <w:r w:rsidRPr="0062582F">
              <w:rPr>
                <w:sz w:val="17"/>
                <w:szCs w:val="17"/>
              </w:rPr>
              <w:t> </w:t>
            </w:r>
            <w:bookmarkEnd w:id="578"/>
          </w:p>
        </w:tc>
        <w:tc>
          <w:tcPr>
            <w:tcW w:w="2294" w:type="dxa"/>
            <w:tcBorders>
              <w:top w:val="single" w:sz="12" w:space="0" w:color="auto"/>
              <w:left w:val="nil"/>
              <w:bottom w:val="single" w:sz="12" w:space="0" w:color="auto"/>
              <w:right w:val="nil"/>
            </w:tcBorders>
            <w:shd w:val="clear" w:color="auto" w:fill="auto"/>
            <w:vAlign w:val="bottom"/>
            <w:hideMark/>
          </w:tcPr>
          <w:p w:rsidR="004843DB" w:rsidRPr="0062582F" w:rsidRDefault="004843DB" w:rsidP="004843DB">
            <w:pPr>
              <w:pStyle w:val="TableofFigures"/>
              <w:spacing w:before="10" w:after="10"/>
              <w:rPr>
                <w:sz w:val="17"/>
                <w:szCs w:val="17"/>
              </w:rPr>
            </w:pPr>
            <w:r w:rsidRPr="0062582F">
              <w:rPr>
                <w:sz w:val="17"/>
                <w:szCs w:val="17"/>
              </w:rPr>
              <w:t> </w:t>
            </w:r>
          </w:p>
        </w:tc>
        <w:tc>
          <w:tcPr>
            <w:tcW w:w="2295" w:type="dxa"/>
            <w:tcBorders>
              <w:top w:val="single" w:sz="12" w:space="0" w:color="auto"/>
              <w:left w:val="nil"/>
              <w:bottom w:val="single" w:sz="12" w:space="0" w:color="auto"/>
              <w:right w:val="nil"/>
            </w:tcBorders>
            <w:shd w:val="clear" w:color="000000" w:fill="CCCCCC"/>
            <w:vAlign w:val="bottom"/>
            <w:hideMark/>
          </w:tcPr>
          <w:p w:rsidR="004843DB" w:rsidRPr="0062582F" w:rsidRDefault="004843DB" w:rsidP="004843DB">
            <w:pPr>
              <w:pStyle w:val="TableofFigures"/>
              <w:spacing w:before="10" w:after="10"/>
              <w:rPr>
                <w:sz w:val="17"/>
                <w:szCs w:val="17"/>
              </w:rPr>
            </w:pPr>
            <w:r w:rsidRPr="0062582F">
              <w:rPr>
                <w:sz w:val="17"/>
                <w:szCs w:val="17"/>
              </w:rPr>
              <w:t> </w:t>
            </w:r>
          </w:p>
        </w:tc>
      </w:tr>
      <w:tr w:rsidR="004843DB" w:rsidRPr="0062582F" w:rsidTr="004843DB">
        <w:trPr>
          <w:cantSplit/>
        </w:trPr>
        <w:tc>
          <w:tcPr>
            <w:tcW w:w="2294" w:type="dxa"/>
            <w:tcBorders>
              <w:top w:val="single" w:sz="12" w:space="0" w:color="auto"/>
              <w:left w:val="nil"/>
              <w:bottom w:val="nil"/>
              <w:right w:val="nil"/>
            </w:tcBorders>
            <w:shd w:val="clear" w:color="000000"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5" w:type="dxa"/>
            <w:tcBorders>
              <w:top w:val="single" w:sz="12" w:space="0" w:color="auto"/>
              <w:left w:val="nil"/>
              <w:bottom w:val="nil"/>
              <w:right w:val="nil"/>
            </w:tcBorders>
            <w:shd w:val="clear" w:color="000000"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48 648</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1 231</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902</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241</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1 058</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438</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4 179</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5 130</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5 013</w:t>
            </w:r>
          </w:p>
        </w:tc>
        <w:tc>
          <w:tcPr>
            <w:tcW w:w="2294"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2 409</w:t>
            </w:r>
          </w:p>
        </w:tc>
        <w:tc>
          <w:tcPr>
            <w:tcW w:w="229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spacing w:before="10" w:after="10"/>
              <w:rPr>
                <w:b/>
                <w:sz w:val="17"/>
                <w:szCs w:val="17"/>
              </w:rPr>
            </w:pPr>
            <w:r w:rsidRPr="0062582F">
              <w:rPr>
                <w:b/>
                <w:sz w:val="17"/>
                <w:szCs w:val="17"/>
              </w:rPr>
              <w:t>6 244</w:t>
            </w:r>
          </w:p>
        </w:tc>
        <w:tc>
          <w:tcPr>
            <w:tcW w:w="2294"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spacing w:before="10" w:after="10"/>
              <w:rPr>
                <w:b/>
                <w:sz w:val="17"/>
                <w:szCs w:val="17"/>
              </w:rPr>
            </w:pPr>
            <w:r w:rsidRPr="0062582F">
              <w:rPr>
                <w:b/>
                <w:sz w:val="17"/>
                <w:szCs w:val="17"/>
              </w:rPr>
              <w:t>56 186</w:t>
            </w:r>
          </w:p>
        </w:tc>
        <w:tc>
          <w:tcPr>
            <w:tcW w:w="2295"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spacing w:before="10" w:after="10"/>
              <w:rPr>
                <w:b/>
                <w:sz w:val="17"/>
                <w:szCs w:val="17"/>
              </w:rPr>
            </w:pPr>
            <w:r w:rsidRPr="0062582F">
              <w:rPr>
                <w:b/>
                <w:sz w:val="17"/>
                <w:szCs w:val="17"/>
              </w:rPr>
              <w:t>6 818</w:t>
            </w:r>
          </w:p>
        </w:tc>
      </w:tr>
      <w:tr w:rsidR="004843DB" w:rsidRPr="0062582F" w:rsidTr="004843DB">
        <w:trPr>
          <w:cantSplit/>
        </w:trPr>
        <w:tc>
          <w:tcPr>
            <w:tcW w:w="2294"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single" w:sz="12" w:space="0" w:color="auto"/>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5" w:type="dxa"/>
            <w:tcBorders>
              <w:top w:val="single" w:sz="12" w:space="0" w:color="auto"/>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5 330</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7 874</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2 938</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 xml:space="preserve"> </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5 437</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20 062</w:t>
            </w:r>
          </w:p>
        </w:tc>
        <w:tc>
          <w:tcPr>
            <w:tcW w:w="2294" w:type="dxa"/>
            <w:tcBorders>
              <w:top w:val="nil"/>
              <w:left w:val="nil"/>
              <w:bottom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nil"/>
              <w:left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4" w:type="dxa"/>
            <w:tcBorders>
              <w:top w:val="nil"/>
              <w:left w:val="nil"/>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12 344</w:t>
            </w:r>
          </w:p>
        </w:tc>
      </w:tr>
      <w:tr w:rsidR="004843DB" w:rsidRPr="0062582F" w:rsidTr="004843DB">
        <w:trPr>
          <w:cantSplit/>
        </w:trPr>
        <w:tc>
          <w:tcPr>
            <w:tcW w:w="2294"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27 705</w:t>
            </w:r>
          </w:p>
        </w:tc>
        <w:tc>
          <w:tcPr>
            <w:tcW w:w="2294"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spacing w:before="10" w:after="10"/>
              <w:rPr>
                <w:sz w:val="17"/>
                <w:szCs w:val="17"/>
              </w:rPr>
            </w:pPr>
            <w:r w:rsidRPr="0062582F">
              <w:rPr>
                <w:sz w:val="17"/>
                <w:szCs w:val="17"/>
              </w:rPr>
              <w:t>..</w:t>
            </w:r>
          </w:p>
        </w:tc>
        <w:tc>
          <w:tcPr>
            <w:tcW w:w="2295"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spacing w:before="10" w:after="10"/>
              <w:rPr>
                <w:sz w:val="17"/>
                <w:szCs w:val="17"/>
              </w:rPr>
            </w:pPr>
            <w:r w:rsidRPr="0062582F">
              <w:rPr>
                <w:sz w:val="17"/>
                <w:szCs w:val="17"/>
              </w:rPr>
              <w:t>..</w:t>
            </w:r>
          </w:p>
        </w:tc>
      </w:tr>
      <w:tr w:rsidR="004843DB" w:rsidRPr="0062582F" w:rsidTr="004843DB">
        <w:trPr>
          <w:cantSplit/>
        </w:trPr>
        <w:tc>
          <w:tcPr>
            <w:tcW w:w="2294" w:type="dxa"/>
            <w:tcBorders>
              <w:top w:val="single" w:sz="6" w:space="0" w:color="auto"/>
              <w:left w:val="nil"/>
              <w:bottom w:val="single" w:sz="12" w:space="0" w:color="auto"/>
              <w:right w:val="nil"/>
            </w:tcBorders>
            <w:shd w:val="clear" w:color="00FFFF" w:fill="CCCCCC"/>
            <w:noWrap/>
          </w:tcPr>
          <w:p w:rsidR="004843DB" w:rsidRPr="0062582F" w:rsidRDefault="004843DB" w:rsidP="004843DB">
            <w:pPr>
              <w:pStyle w:val="TableofFigures"/>
              <w:spacing w:before="10" w:after="10"/>
              <w:rPr>
                <w:b/>
                <w:sz w:val="17"/>
                <w:szCs w:val="17"/>
              </w:rPr>
            </w:pPr>
            <w:r w:rsidRPr="0062582F">
              <w:rPr>
                <w:b/>
                <w:sz w:val="17"/>
                <w:szCs w:val="17"/>
              </w:rPr>
              <w:t>47 767</w:t>
            </w:r>
          </w:p>
        </w:tc>
        <w:tc>
          <w:tcPr>
            <w:tcW w:w="2294" w:type="dxa"/>
            <w:tcBorders>
              <w:top w:val="single" w:sz="6" w:space="0" w:color="auto"/>
              <w:left w:val="nil"/>
              <w:bottom w:val="single" w:sz="12" w:space="0" w:color="auto"/>
              <w:right w:val="nil"/>
            </w:tcBorders>
            <w:shd w:val="clear" w:color="auto" w:fill="auto"/>
            <w:noWrap/>
          </w:tcPr>
          <w:p w:rsidR="004843DB" w:rsidRPr="0062582F" w:rsidRDefault="004843DB" w:rsidP="004843DB">
            <w:pPr>
              <w:pStyle w:val="TableofFigures"/>
              <w:spacing w:before="10" w:after="10"/>
              <w:rPr>
                <w:b/>
                <w:sz w:val="17"/>
                <w:szCs w:val="17"/>
              </w:rPr>
            </w:pPr>
            <w:r w:rsidRPr="0062582F">
              <w:rPr>
                <w:b/>
                <w:sz w:val="17"/>
                <w:szCs w:val="17"/>
              </w:rPr>
              <w:t>5 437</w:t>
            </w:r>
          </w:p>
        </w:tc>
        <w:tc>
          <w:tcPr>
            <w:tcW w:w="2295" w:type="dxa"/>
            <w:tcBorders>
              <w:top w:val="single" w:sz="6" w:space="0" w:color="auto"/>
              <w:left w:val="nil"/>
              <w:bottom w:val="single" w:sz="12" w:space="0" w:color="auto"/>
              <w:right w:val="nil"/>
            </w:tcBorders>
            <w:shd w:val="clear" w:color="00FFFF" w:fill="CCCCCC"/>
            <w:noWrap/>
          </w:tcPr>
          <w:p w:rsidR="004843DB" w:rsidRPr="0062582F" w:rsidRDefault="004843DB" w:rsidP="004843DB">
            <w:pPr>
              <w:pStyle w:val="TableofFigures"/>
              <w:spacing w:before="10" w:after="10"/>
              <w:rPr>
                <w:b/>
                <w:sz w:val="17"/>
                <w:szCs w:val="17"/>
              </w:rPr>
            </w:pPr>
            <w:r w:rsidRPr="0062582F">
              <w:rPr>
                <w:b/>
                <w:sz w:val="17"/>
                <w:szCs w:val="17"/>
              </w:rPr>
              <w:t>28 486</w:t>
            </w:r>
          </w:p>
        </w:tc>
      </w:tr>
    </w:tbl>
    <w:p w:rsidR="004843DB" w:rsidRPr="0062582F" w:rsidRDefault="004843DB" w:rsidP="004843DB"/>
    <w:p w:rsidR="004843DB" w:rsidRPr="0062582F" w:rsidRDefault="004843DB" w:rsidP="004843DB">
      <w:pPr>
        <w:sectPr w:rsidR="004843DB" w:rsidRPr="0062582F" w:rsidSect="00190A01">
          <w:headerReference w:type="even" r:id="rId329"/>
          <w:headerReference w:type="default" r:id="rId330"/>
          <w:footerReference w:type="even" r:id="rId331"/>
          <w:footerReference w:type="default" r:id="rId332"/>
          <w:headerReference w:type="first" r:id="rId333"/>
          <w:pgSz w:w="11906" w:h="16838" w:code="9"/>
          <w:pgMar w:top="1152" w:right="864" w:bottom="1152" w:left="864" w:header="432" w:footer="432" w:gutter="0"/>
          <w:cols w:space="360"/>
        </w:sectPr>
      </w:pPr>
    </w:p>
    <w:p w:rsidR="004843DB" w:rsidRPr="0062582F" w:rsidRDefault="004843DB" w:rsidP="004843DB">
      <w:pPr>
        <w:pStyle w:val="Reference"/>
        <w:spacing w:before="200"/>
        <w:rPr>
          <w:rFonts w:ascii="Garamond" w:hAnsi="Garamond" w:cs="Times New Roman"/>
          <w:lang w:val="en-AU"/>
        </w:rPr>
      </w:pPr>
    </w:p>
    <w:p w:rsidR="004843DB" w:rsidRPr="0062582F" w:rsidRDefault="004843DB" w:rsidP="004843DB">
      <w:pPr>
        <w:pStyle w:val="NoteHeadingcontinued"/>
      </w:pPr>
      <w:r w:rsidRPr="0062582F">
        <w:rPr>
          <w:rFonts w:ascii="Garamond" w:hAnsi="Garamond"/>
          <w:i/>
          <w:iCs/>
          <w:color w:val="0000FF"/>
        </w:rPr>
        <w:br w:type="column"/>
      </w:r>
      <w:r w:rsidRPr="0062582F">
        <w:t>Note 33.</w:t>
      </w:r>
      <w:r w:rsidRPr="0062582F">
        <w:tab/>
        <w:t xml:space="preserve">Financial instruments </w:t>
      </w:r>
      <w:r w:rsidRPr="0062582F">
        <w:rPr>
          <w:i/>
        </w:rPr>
        <w:t>(continued)</w:t>
      </w:r>
    </w:p>
    <w:p w:rsidR="004843DB" w:rsidRPr="0062582F" w:rsidRDefault="004843DB" w:rsidP="004843DB">
      <w:pPr>
        <w:pStyle w:val="NoteHeadingcontinued"/>
        <w:sectPr w:rsidR="004843DB" w:rsidRPr="0062582F" w:rsidSect="00190A01">
          <w:pgSz w:w="11906" w:h="16838" w:code="9"/>
          <w:pgMar w:top="1152" w:right="864" w:bottom="1152" w:left="864" w:header="432" w:footer="432" w:gutter="0"/>
          <w:cols w:num="2" w:space="360" w:equalWidth="0">
            <w:col w:w="1440" w:space="360"/>
            <w:col w:w="8378"/>
          </w:cols>
        </w:sectPr>
      </w:pPr>
    </w:p>
    <w:p w:rsidR="004843DB" w:rsidRPr="0062582F" w:rsidRDefault="004843DB" w:rsidP="004843DB">
      <w:pPr>
        <w:pStyle w:val="Reference"/>
        <w:spacing w:before="340"/>
      </w:pPr>
      <w:r w:rsidRPr="0062582F">
        <w:t>AASB 7.40(b), 41, B17</w:t>
      </w:r>
      <w:r w:rsidR="005A4BB0">
        <w:noBreakHyphen/>
      </w:r>
      <w:r w:rsidRPr="0062582F">
        <w:t>B21</w:t>
      </w:r>
    </w:p>
    <w:p w:rsidR="004843DB" w:rsidRPr="0062582F" w:rsidRDefault="004843DB" w:rsidP="004843DB">
      <w:pPr>
        <w:pStyle w:val="Heading5a"/>
      </w:pPr>
      <w:r w:rsidRPr="0062582F">
        <w:br w:type="column"/>
        <w:t>Sensitivity disclosure analysis and assumptions</w:t>
      </w:r>
    </w:p>
    <w:p w:rsidR="004843DB" w:rsidRPr="0062582F" w:rsidRDefault="004843DB" w:rsidP="004843DB">
      <w:r w:rsidRPr="0062582F">
        <w:t>The Department</w:t>
      </w:r>
      <w:r w:rsidR="005A4BB0">
        <w:t>’</w:t>
      </w:r>
      <w:r w:rsidRPr="0062582F">
        <w:t>s sensitivity to market risk is determined based on the observed range of actual historical data for the preceding five year period, with all variables other than the primary risk variable held constant. The Department</w:t>
      </w:r>
      <w:r w:rsidR="005A4BB0">
        <w:t>’</w:t>
      </w:r>
      <w:r w:rsidRPr="0062582F">
        <w:t xml:space="preserve">s fund managers cannot be expected to predict movements in market rates and prices. Sensitivity analyses shown are for illustrative purposes only. The following movements are </w:t>
      </w:r>
      <w:r w:rsidR="005A4BB0">
        <w:t>‘</w:t>
      </w:r>
      <w:r w:rsidRPr="0062582F">
        <w:t>reasonably possible</w:t>
      </w:r>
      <w:r w:rsidR="005A4BB0">
        <w:t>’</w:t>
      </w:r>
      <w:r w:rsidRPr="0062582F">
        <w:t xml:space="preserve"> over the next 12 months: </w:t>
      </w:r>
    </w:p>
    <w:p w:rsidR="004843DB" w:rsidRPr="0062582F" w:rsidRDefault="004843DB" w:rsidP="004843DB">
      <w:pPr>
        <w:pStyle w:val="Bullet"/>
      </w:pPr>
      <w:r w:rsidRPr="0062582F">
        <w:t>a movement of 100 basis points up and down (100 basis points up and down) in market interest rates (AUD);</w:t>
      </w:r>
    </w:p>
    <w:p w:rsidR="004843DB" w:rsidRPr="0062582F" w:rsidRDefault="004843DB" w:rsidP="004843DB">
      <w:pPr>
        <w:pStyle w:val="Bullet"/>
      </w:pPr>
      <w:r w:rsidRPr="0062582F">
        <w:t>proportional exchange rate movement of 15 per cent down (2015: 15 per cent, depreciation of AUD) and 15 per cent up (2015: 15 per cent, appreciation of AUD) against the USD, from the year</w:t>
      </w:r>
      <w:r w:rsidR="005A4BB0">
        <w:noBreakHyphen/>
      </w:r>
      <w:r w:rsidRPr="0062582F">
        <w:t>end rate of 0.90 (2015: 0.90); and</w:t>
      </w:r>
    </w:p>
    <w:p w:rsidR="004843DB" w:rsidRPr="0062582F" w:rsidRDefault="004843DB" w:rsidP="004843DB">
      <w:pPr>
        <w:pStyle w:val="Bullet"/>
      </w:pPr>
      <w:r w:rsidRPr="0062582F">
        <w:t>a movement of 15 per cent up and down (2015: 15 per cent) for the top ASX 200 index.</w:t>
      </w:r>
    </w:p>
    <w:p w:rsidR="004843DB" w:rsidRPr="0062582F" w:rsidRDefault="004843DB" w:rsidP="004843DB">
      <w:r w:rsidRPr="0062582F">
        <w:t>Table 33.7 over the following pages shows the impact on the Department</w:t>
      </w:r>
      <w:r w:rsidR="005A4BB0">
        <w:t>’</w:t>
      </w:r>
      <w:r w:rsidRPr="0062582F">
        <w:t>s net result and equity for each category of financial instrument held by the Department at the end of the reporting period as presented to key management personnel, if the above movements were to occur.</w:t>
      </w:r>
    </w:p>
    <w:p w:rsidR="004843DB" w:rsidRPr="0062582F" w:rsidRDefault="004843DB" w:rsidP="004843DB">
      <w:pPr>
        <w:pStyle w:val="NormalBlue"/>
        <w:rPr>
          <w:i/>
        </w:rPr>
      </w:pPr>
      <w:r w:rsidRPr="0062582F">
        <w:rPr>
          <w:i/>
        </w:rPr>
        <w:t>[Entities should use basis points (interest rates) or percentages (foreign exchange and for equities/managed investment funds) that are relevant to their own situation at the end of the financial year to be used in their sensitivity analyses.]</w:t>
      </w:r>
    </w:p>
    <w:p w:rsidR="004843DB" w:rsidRPr="0062582F" w:rsidRDefault="004843DB" w:rsidP="004843DB">
      <w:pPr>
        <w:pStyle w:val="NormalBlue"/>
        <w:rPr>
          <w:i/>
        </w:rPr>
      </w:pPr>
    </w:p>
    <w:p w:rsidR="004843DB" w:rsidRPr="0062582F" w:rsidRDefault="004843DB" w:rsidP="004843DB">
      <w:pPr>
        <w:pStyle w:val="NormalBlue"/>
        <w:rPr>
          <w:i/>
        </w:rPr>
        <w:sectPr w:rsidR="004843DB" w:rsidRPr="0062582F" w:rsidSect="00190A01">
          <w:type w:val="continuous"/>
          <w:pgSz w:w="11906" w:h="16838" w:code="9"/>
          <w:pgMar w:top="1152" w:right="864" w:bottom="1152" w:left="864" w:header="720" w:footer="720" w:gutter="0"/>
          <w:cols w:num="2" w:space="360" w:equalWidth="0">
            <w:col w:w="1440" w:space="360"/>
            <w:col w:w="8378"/>
          </w:cols>
        </w:sectPr>
      </w:pPr>
    </w:p>
    <w:p w:rsidR="004843DB" w:rsidRPr="0062582F" w:rsidRDefault="004843DB" w:rsidP="004843DB">
      <w:pPr>
        <w:pStyle w:val="NoteHeadingcontinued"/>
      </w:pPr>
      <w:r w:rsidRPr="0062582F">
        <w:rPr>
          <w:rFonts w:ascii="Garamond" w:hAnsi="Garamond"/>
          <w:i/>
          <w:iCs/>
          <w:color w:val="0000FF"/>
        </w:rPr>
        <w:br w:type="column"/>
      </w:r>
      <w:r w:rsidRPr="0062582F">
        <w:rPr>
          <w:rFonts w:ascii="Garamond" w:hAnsi="Garamond"/>
          <w:i/>
          <w:iCs/>
          <w:color w:val="0000FF"/>
        </w:rPr>
        <w:br w:type="column"/>
      </w:r>
      <w:r w:rsidRPr="0062582F">
        <w:rPr>
          <w:rFonts w:ascii="Garamond" w:hAnsi="Garamond"/>
          <w:i/>
          <w:iCs/>
          <w:color w:val="0000FF"/>
        </w:rPr>
        <w:br w:type="column"/>
      </w:r>
      <w:r w:rsidRPr="0062582F">
        <w:t>Note 33.</w:t>
      </w:r>
      <w:r w:rsidRPr="0062582F">
        <w:tab/>
        <w:t xml:space="preserve">Financial instruments </w:t>
      </w:r>
      <w:r w:rsidRPr="0062582F">
        <w:rPr>
          <w:i/>
        </w:rPr>
        <w:t>(continued)</w:t>
      </w:r>
    </w:p>
    <w:p w:rsidR="004843DB" w:rsidRPr="0062582F" w:rsidRDefault="004843DB" w:rsidP="00E348C3">
      <w:pPr>
        <w:pStyle w:val="Tableheading"/>
        <w:sectPr w:rsidR="004843DB" w:rsidRPr="0062582F" w:rsidSect="00190A01">
          <w:headerReference w:type="default" r:id="rId334"/>
          <w:type w:val="continuous"/>
          <w:pgSz w:w="11906" w:h="16838" w:code="9"/>
          <w:pgMar w:top="1152" w:right="864" w:bottom="1152" w:left="864" w:header="432" w:footer="432" w:gutter="0"/>
          <w:cols w:num="2" w:space="360" w:equalWidth="0">
            <w:col w:w="1440" w:space="360"/>
            <w:col w:w="8378"/>
          </w:cols>
        </w:sectPr>
      </w:pPr>
    </w:p>
    <w:p w:rsidR="004843DB" w:rsidRPr="0062582F" w:rsidRDefault="004843DB" w:rsidP="004843DB">
      <w:pPr>
        <w:pStyle w:val="Reference"/>
        <w:spacing w:before="180"/>
        <w:rPr>
          <w:rStyle w:val="ReferenceChar"/>
        </w:rPr>
      </w:pPr>
      <w:r w:rsidRPr="0062582F">
        <w:rPr>
          <w:rStyle w:val="ReferenceChar"/>
        </w:rPr>
        <w:t>AASB 7.31, 34, 40(a)</w:t>
      </w:r>
    </w:p>
    <w:p w:rsidR="004843DB" w:rsidRPr="0062582F" w:rsidRDefault="004843DB" w:rsidP="00E348C3">
      <w:pPr>
        <w:pStyle w:val="Tableheading"/>
      </w:pPr>
      <w:r w:rsidRPr="0062582F">
        <w:br w:type="column"/>
        <w:t>Table 33.7(a): Foreign exchange risk sensitivity</w:t>
      </w:r>
    </w:p>
    <w:p w:rsidR="004843DB" w:rsidRPr="0062582F" w:rsidRDefault="004843DB" w:rsidP="004843DB">
      <w:pPr>
        <w:pStyle w:val="million"/>
      </w:pPr>
      <w:r w:rsidRPr="0062582F">
        <w:t>($ thousand)</w:t>
      </w:r>
    </w:p>
    <w:tbl>
      <w:tblPr>
        <w:tblW w:w="8413" w:type="dxa"/>
        <w:tblLayout w:type="fixed"/>
        <w:tblCellMar>
          <w:left w:w="43" w:type="dxa"/>
          <w:right w:w="43" w:type="dxa"/>
        </w:tblCellMar>
        <w:tblLook w:val="0000" w:firstRow="0" w:lastRow="0" w:firstColumn="0" w:lastColumn="0" w:noHBand="0" w:noVBand="0"/>
      </w:tblPr>
      <w:tblGrid>
        <w:gridCol w:w="2923"/>
        <w:gridCol w:w="1080"/>
        <w:gridCol w:w="1102"/>
        <w:gridCol w:w="1103"/>
        <w:gridCol w:w="1102"/>
        <w:gridCol w:w="1103"/>
      </w:tblGrid>
      <w:tr w:rsidR="004843DB" w:rsidRPr="0062582F" w:rsidTr="007E0B3D">
        <w:trPr>
          <w:cantSplit/>
        </w:trPr>
        <w:tc>
          <w:tcPr>
            <w:tcW w:w="2923" w:type="dxa"/>
            <w:tcBorders>
              <w:top w:val="single" w:sz="6" w:space="0" w:color="auto"/>
              <w:left w:val="nil"/>
              <w:bottom w:val="nil"/>
              <w:right w:val="nil"/>
            </w:tcBorders>
          </w:tcPr>
          <w:p w:rsidR="004843DB" w:rsidRPr="0062582F" w:rsidRDefault="004843DB" w:rsidP="004843DB">
            <w:pPr>
              <w:pStyle w:val="Tabletext"/>
            </w:pPr>
            <w:r w:rsidRPr="0062582F">
              <w:t xml:space="preserve"> </w:t>
            </w:r>
          </w:p>
        </w:tc>
        <w:tc>
          <w:tcPr>
            <w:tcW w:w="1080" w:type="dxa"/>
            <w:tcBorders>
              <w:top w:val="single" w:sz="6" w:space="0" w:color="auto"/>
              <w:left w:val="nil"/>
              <w:bottom w:val="nil"/>
              <w:right w:val="nil"/>
            </w:tcBorders>
            <w:shd w:val="clear" w:color="auto" w:fill="auto"/>
          </w:tcPr>
          <w:p w:rsidR="004843DB" w:rsidRPr="0062582F" w:rsidRDefault="004843DB" w:rsidP="004843DB">
            <w:pPr>
              <w:pStyle w:val="Tabletext"/>
            </w:pPr>
            <w:r w:rsidRPr="0062582F">
              <w:t xml:space="preserve"> </w:t>
            </w:r>
          </w:p>
        </w:tc>
        <w:tc>
          <w:tcPr>
            <w:tcW w:w="4410" w:type="dxa"/>
            <w:gridSpan w:val="4"/>
            <w:tcBorders>
              <w:top w:val="single" w:sz="6" w:space="0" w:color="auto"/>
              <w:left w:val="nil"/>
              <w:bottom w:val="single" w:sz="6" w:space="0" w:color="auto"/>
              <w:right w:val="nil"/>
            </w:tcBorders>
          </w:tcPr>
          <w:p w:rsidR="004843DB" w:rsidRPr="0062582F" w:rsidRDefault="004843DB" w:rsidP="004843DB">
            <w:pPr>
              <w:pStyle w:val="TabletextheadingCentred"/>
            </w:pPr>
            <w:r w:rsidRPr="0062582F">
              <w:t>Foreign exchange</w:t>
            </w:r>
          </w:p>
        </w:tc>
      </w:tr>
      <w:tr w:rsidR="004843DB" w:rsidRPr="0062582F" w:rsidTr="007E0B3D">
        <w:trPr>
          <w:cantSplit/>
        </w:trPr>
        <w:tc>
          <w:tcPr>
            <w:tcW w:w="2923" w:type="dxa"/>
            <w:tcBorders>
              <w:top w:val="nil"/>
              <w:left w:val="nil"/>
              <w:bottom w:val="nil"/>
              <w:right w:val="nil"/>
            </w:tcBorders>
          </w:tcPr>
          <w:p w:rsidR="004843DB" w:rsidRPr="0062582F" w:rsidRDefault="004843DB" w:rsidP="004843DB">
            <w:pPr>
              <w:pStyle w:val="Tabletext"/>
            </w:pPr>
            <w:r w:rsidRPr="0062582F">
              <w:t xml:space="preserve"> </w:t>
            </w:r>
          </w:p>
        </w:tc>
        <w:tc>
          <w:tcPr>
            <w:tcW w:w="1080" w:type="dxa"/>
            <w:tcBorders>
              <w:top w:val="nil"/>
              <w:left w:val="nil"/>
              <w:bottom w:val="nil"/>
              <w:right w:val="nil"/>
            </w:tcBorders>
            <w:shd w:val="clear" w:color="auto" w:fill="auto"/>
          </w:tcPr>
          <w:p w:rsidR="004843DB" w:rsidRPr="0062582F" w:rsidRDefault="004843DB" w:rsidP="004843DB">
            <w:pPr>
              <w:pStyle w:val="Tabletext"/>
            </w:pPr>
            <w:r w:rsidRPr="0062582F">
              <w:t xml:space="preserve"> </w:t>
            </w:r>
          </w:p>
        </w:tc>
        <w:tc>
          <w:tcPr>
            <w:tcW w:w="2205" w:type="dxa"/>
            <w:gridSpan w:val="2"/>
            <w:tcBorders>
              <w:top w:val="single" w:sz="6" w:space="0" w:color="auto"/>
              <w:left w:val="nil"/>
              <w:bottom w:val="single" w:sz="6" w:space="0" w:color="auto"/>
              <w:right w:val="nil"/>
            </w:tcBorders>
          </w:tcPr>
          <w:p w:rsidR="004843DB" w:rsidRPr="0062582F" w:rsidRDefault="005A4BB0" w:rsidP="004843DB">
            <w:pPr>
              <w:pStyle w:val="Tabletextheading"/>
              <w:jc w:val="center"/>
            </w:pPr>
            <w:r>
              <w:noBreakHyphen/>
            </w:r>
            <w:r w:rsidR="004843DB" w:rsidRPr="0062582F">
              <w:t>15%</w:t>
            </w:r>
          </w:p>
        </w:tc>
        <w:tc>
          <w:tcPr>
            <w:tcW w:w="2205" w:type="dxa"/>
            <w:gridSpan w:val="2"/>
            <w:tcBorders>
              <w:top w:val="single" w:sz="6" w:space="0" w:color="auto"/>
              <w:left w:val="nil"/>
              <w:bottom w:val="single" w:sz="6" w:space="0" w:color="auto"/>
              <w:right w:val="nil"/>
            </w:tcBorders>
          </w:tcPr>
          <w:p w:rsidR="004843DB" w:rsidRPr="0062582F" w:rsidRDefault="004843DB" w:rsidP="004843DB">
            <w:pPr>
              <w:pStyle w:val="Tabletextheading"/>
              <w:jc w:val="center"/>
            </w:pPr>
            <w:r w:rsidRPr="0062582F">
              <w:t>+15%</w:t>
            </w:r>
          </w:p>
        </w:tc>
      </w:tr>
      <w:tr w:rsidR="004843DB" w:rsidRPr="0062582F" w:rsidTr="007E0B3D">
        <w:trPr>
          <w:cantSplit/>
        </w:trPr>
        <w:tc>
          <w:tcPr>
            <w:tcW w:w="2923" w:type="dxa"/>
            <w:tcBorders>
              <w:top w:val="nil"/>
              <w:left w:val="nil"/>
              <w:bottom w:val="single" w:sz="6" w:space="0" w:color="auto"/>
              <w:right w:val="nil"/>
            </w:tcBorders>
            <w:vAlign w:val="bottom"/>
          </w:tcPr>
          <w:p w:rsidR="004843DB" w:rsidRPr="0062582F" w:rsidRDefault="004843DB" w:rsidP="004843DB">
            <w:pPr>
              <w:pStyle w:val="TabletextheadingLeft"/>
            </w:pPr>
            <w:r w:rsidRPr="0062582F">
              <w:t>2016</w:t>
            </w:r>
          </w:p>
        </w:tc>
        <w:tc>
          <w:tcPr>
            <w:tcW w:w="1080" w:type="dxa"/>
            <w:tcBorders>
              <w:top w:val="nil"/>
              <w:left w:val="nil"/>
              <w:bottom w:val="single" w:sz="6" w:space="0" w:color="auto"/>
              <w:right w:val="nil"/>
            </w:tcBorders>
            <w:shd w:val="clear" w:color="auto" w:fill="D9D9D9"/>
          </w:tcPr>
          <w:p w:rsidR="004843DB" w:rsidRPr="0062582F" w:rsidRDefault="004843DB" w:rsidP="004843DB">
            <w:pPr>
              <w:pStyle w:val="Tabletextheading"/>
            </w:pPr>
            <w:r w:rsidRPr="0062582F">
              <w:br/>
            </w:r>
            <w:r w:rsidRPr="0062582F">
              <w:br/>
              <w:t>Carrying amount</w:t>
            </w:r>
          </w:p>
        </w:tc>
        <w:tc>
          <w:tcPr>
            <w:tcW w:w="1102"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br/>
            </w:r>
            <w:r w:rsidRPr="0062582F">
              <w:br/>
            </w:r>
            <w:r w:rsidRPr="0062582F">
              <w:br/>
              <w:t>Net result</w:t>
            </w:r>
          </w:p>
        </w:tc>
        <w:tc>
          <w:tcPr>
            <w:tcW w:w="1103" w:type="dxa"/>
            <w:tcBorders>
              <w:top w:val="single" w:sz="6" w:space="0" w:color="auto"/>
              <w:left w:val="nil"/>
              <w:bottom w:val="single" w:sz="6" w:space="0" w:color="auto"/>
              <w:right w:val="nil"/>
            </w:tcBorders>
            <w:shd w:val="clear" w:color="auto" w:fill="D9D9D9"/>
          </w:tcPr>
          <w:p w:rsidR="004843DB" w:rsidRPr="0062582F" w:rsidRDefault="004843DB" w:rsidP="004843DB">
            <w:pPr>
              <w:pStyle w:val="Tabletextheading"/>
            </w:pPr>
            <w:r w:rsidRPr="0062582F">
              <w:t>Available</w:t>
            </w:r>
            <w:r w:rsidR="005A4BB0">
              <w:noBreakHyphen/>
            </w:r>
            <w:r w:rsidRPr="0062582F">
              <w:br/>
              <w:t>for</w:t>
            </w:r>
            <w:r w:rsidR="005A4BB0">
              <w:noBreakHyphen/>
            </w:r>
            <w:r w:rsidRPr="0062582F">
              <w:t>sale revaluation surplus</w:t>
            </w:r>
          </w:p>
        </w:tc>
        <w:tc>
          <w:tcPr>
            <w:tcW w:w="1102"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br/>
            </w:r>
            <w:r w:rsidRPr="0062582F">
              <w:br/>
            </w:r>
            <w:r w:rsidRPr="0062582F">
              <w:br/>
              <w:t>Net result</w:t>
            </w:r>
          </w:p>
        </w:tc>
        <w:tc>
          <w:tcPr>
            <w:tcW w:w="1103" w:type="dxa"/>
            <w:tcBorders>
              <w:top w:val="single" w:sz="6" w:space="0" w:color="auto"/>
              <w:left w:val="nil"/>
              <w:bottom w:val="single" w:sz="6" w:space="0" w:color="auto"/>
              <w:right w:val="nil"/>
            </w:tcBorders>
            <w:shd w:val="clear" w:color="auto" w:fill="D9D9D9"/>
          </w:tcPr>
          <w:p w:rsidR="004843DB" w:rsidRPr="0062582F" w:rsidRDefault="004843DB" w:rsidP="004843DB">
            <w:pPr>
              <w:pStyle w:val="Tabletextheading"/>
            </w:pPr>
            <w:r w:rsidRPr="0062582F">
              <w:t>Available</w:t>
            </w:r>
            <w:r w:rsidR="005A4BB0">
              <w:noBreakHyphen/>
            </w:r>
            <w:r w:rsidRPr="0062582F">
              <w:br/>
              <w:t>for</w:t>
            </w:r>
            <w:r w:rsidR="005A4BB0">
              <w:noBreakHyphen/>
            </w:r>
            <w:r w:rsidRPr="0062582F">
              <w:t>sale revaluation surplus</w:t>
            </w:r>
          </w:p>
        </w:tc>
      </w:tr>
      <w:tr w:rsidR="004843DB" w:rsidRPr="0062582F" w:rsidTr="007E0B3D">
        <w:trPr>
          <w:cantSplit/>
        </w:trPr>
        <w:tc>
          <w:tcPr>
            <w:tcW w:w="2923" w:type="dxa"/>
            <w:tcBorders>
              <w:top w:val="single" w:sz="6" w:space="0" w:color="auto"/>
              <w:left w:val="nil"/>
              <w:bottom w:val="nil"/>
              <w:right w:val="nil"/>
            </w:tcBorders>
          </w:tcPr>
          <w:p w:rsidR="004843DB" w:rsidRPr="0062582F" w:rsidRDefault="004843DB" w:rsidP="004843DB">
            <w:pPr>
              <w:pStyle w:val="Tabletext"/>
              <w:rPr>
                <w:b/>
              </w:rPr>
            </w:pPr>
            <w:r w:rsidRPr="0062582F">
              <w:rPr>
                <w:b/>
              </w:rPr>
              <w:t>Contractual financial assets</w:t>
            </w:r>
          </w:p>
        </w:tc>
        <w:tc>
          <w:tcPr>
            <w:tcW w:w="1080" w:type="dxa"/>
            <w:tcBorders>
              <w:top w:val="single" w:sz="6"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1103" w:type="dxa"/>
            <w:tcBorders>
              <w:top w:val="single" w:sz="6"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1103" w:type="dxa"/>
            <w:tcBorders>
              <w:top w:val="single" w:sz="6"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r>
      <w:tr w:rsidR="004843DB" w:rsidRPr="0062582F" w:rsidTr="007E0B3D">
        <w:trPr>
          <w:cantSplit/>
        </w:trPr>
        <w:tc>
          <w:tcPr>
            <w:tcW w:w="2923" w:type="dxa"/>
            <w:tcBorders>
              <w:top w:val="nil"/>
              <w:left w:val="nil"/>
              <w:bottom w:val="nil"/>
              <w:right w:val="nil"/>
            </w:tcBorders>
          </w:tcPr>
          <w:p w:rsidR="004843DB" w:rsidRPr="0062582F" w:rsidRDefault="004843DB" w:rsidP="004843DB">
            <w:pPr>
              <w:pStyle w:val="Tabletext"/>
            </w:pPr>
            <w:r w:rsidRPr="0062582F">
              <w:t xml:space="preserve">Cash and deposits </w:t>
            </w:r>
            <w:r w:rsidRPr="0062582F">
              <w:rPr>
                <w:vertAlign w:val="superscript"/>
              </w:rPr>
              <w:t>(ii)</w:t>
            </w:r>
          </w:p>
        </w:tc>
        <w:tc>
          <w:tcPr>
            <w:tcW w:w="1080" w:type="dxa"/>
            <w:tcBorders>
              <w:top w:val="nil"/>
              <w:left w:val="nil"/>
              <w:bottom w:val="nil"/>
              <w:right w:val="nil"/>
            </w:tcBorders>
            <w:shd w:val="clear" w:color="auto" w:fill="D9D9D9"/>
          </w:tcPr>
          <w:p w:rsidR="004843DB" w:rsidRPr="0062582F" w:rsidRDefault="004843DB" w:rsidP="004843DB">
            <w:pPr>
              <w:pStyle w:val="TableofFigures"/>
            </w:pPr>
            <w:r w:rsidRPr="0062582F">
              <w:t>59 528</w:t>
            </w:r>
          </w:p>
        </w:tc>
        <w:tc>
          <w:tcPr>
            <w:tcW w:w="1102" w:type="dxa"/>
            <w:tcBorders>
              <w:top w:val="nil"/>
              <w:left w:val="nil"/>
              <w:bottom w:val="nil"/>
              <w:right w:val="nil"/>
            </w:tcBorders>
          </w:tcPr>
          <w:p w:rsidR="004843DB" w:rsidRPr="0062582F" w:rsidRDefault="004843DB" w:rsidP="004843DB">
            <w:pPr>
              <w:pStyle w:val="TableofFigures"/>
            </w:pPr>
            <w:r w:rsidRPr="0062582F">
              <w:t>1 714</w:t>
            </w:r>
          </w:p>
        </w:tc>
        <w:tc>
          <w:tcPr>
            <w:tcW w:w="1103" w:type="dxa"/>
            <w:tcBorders>
              <w:top w:val="nil"/>
              <w:left w:val="nil"/>
              <w:bottom w:val="nil"/>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bottom w:val="nil"/>
              <w:right w:val="nil"/>
            </w:tcBorders>
          </w:tcPr>
          <w:p w:rsidR="004843DB" w:rsidRPr="0062582F" w:rsidRDefault="004843DB" w:rsidP="004843DB">
            <w:pPr>
              <w:pStyle w:val="TableofFigures"/>
            </w:pPr>
            <w:r w:rsidRPr="0062582F">
              <w:t>(1 267)</w:t>
            </w:r>
          </w:p>
        </w:tc>
        <w:tc>
          <w:tcPr>
            <w:tcW w:w="1103" w:type="dxa"/>
            <w:tcBorders>
              <w:top w:val="nil"/>
              <w:left w:val="nil"/>
              <w:bottom w:val="nil"/>
              <w:right w:val="nil"/>
            </w:tcBorders>
            <w:shd w:val="clear" w:color="auto" w:fill="D9D9D9"/>
          </w:tcPr>
          <w:p w:rsidR="004843DB" w:rsidRPr="0062582F" w:rsidRDefault="004843DB" w:rsidP="004843DB">
            <w:pPr>
              <w:pStyle w:val="TableofFigures"/>
            </w:pPr>
            <w:r w:rsidRPr="0062582F">
              <w:t>..</w:t>
            </w:r>
          </w:p>
        </w:tc>
      </w:tr>
      <w:tr w:rsidR="004843DB" w:rsidRPr="0062582F" w:rsidTr="007E0B3D">
        <w:trPr>
          <w:cantSplit/>
        </w:trPr>
        <w:tc>
          <w:tcPr>
            <w:tcW w:w="2923" w:type="dxa"/>
            <w:tcBorders>
              <w:top w:val="nil"/>
              <w:left w:val="nil"/>
              <w:right w:val="nil"/>
            </w:tcBorders>
          </w:tcPr>
          <w:p w:rsidR="004843DB" w:rsidRPr="0062582F" w:rsidRDefault="004843DB" w:rsidP="004843DB">
            <w:pPr>
              <w:pStyle w:val="Tabletext"/>
            </w:pPr>
            <w:r w:rsidRPr="0062582F">
              <w:t xml:space="preserve">Receivables </w:t>
            </w:r>
            <w:r w:rsidRPr="0062582F">
              <w:rPr>
                <w:vertAlign w:val="superscript"/>
              </w:rPr>
              <w:t>(i)(iii)</w:t>
            </w:r>
          </w:p>
        </w:tc>
        <w:tc>
          <w:tcPr>
            <w:tcW w:w="1080" w:type="dxa"/>
            <w:tcBorders>
              <w:top w:val="nil"/>
              <w:left w:val="nil"/>
              <w:right w:val="nil"/>
            </w:tcBorders>
            <w:shd w:val="clear" w:color="auto" w:fill="D9D9D9"/>
          </w:tcPr>
          <w:p w:rsidR="004843DB" w:rsidRPr="0062582F" w:rsidRDefault="004843DB" w:rsidP="004843DB">
            <w:pPr>
              <w:pStyle w:val="TableofFigures"/>
            </w:pPr>
            <w:r w:rsidRPr="0062582F">
              <w:t>4 178</w:t>
            </w:r>
          </w:p>
        </w:tc>
        <w:tc>
          <w:tcPr>
            <w:tcW w:w="1102" w:type="dxa"/>
            <w:tcBorders>
              <w:top w:val="nil"/>
              <w:left w:val="nil"/>
              <w:right w:val="nil"/>
            </w:tcBorders>
          </w:tcPr>
          <w:p w:rsidR="004843DB" w:rsidRPr="0062582F" w:rsidRDefault="004843DB" w:rsidP="004843DB">
            <w:pPr>
              <w:pStyle w:val="TableofFigures"/>
            </w:pPr>
            <w:r w:rsidRPr="0062582F">
              <w:t xml:space="preserve"> 90</w:t>
            </w:r>
          </w:p>
        </w:tc>
        <w:tc>
          <w:tcPr>
            <w:tcW w:w="1103" w:type="dxa"/>
            <w:tcBorders>
              <w:top w:val="nil"/>
              <w:left w:val="nil"/>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right w:val="nil"/>
            </w:tcBorders>
          </w:tcPr>
          <w:p w:rsidR="004843DB" w:rsidRPr="0062582F" w:rsidRDefault="004843DB" w:rsidP="004843DB">
            <w:pPr>
              <w:pStyle w:val="TableofFigures"/>
            </w:pPr>
            <w:r w:rsidRPr="0062582F">
              <w:t>(66)</w:t>
            </w:r>
          </w:p>
        </w:tc>
        <w:tc>
          <w:tcPr>
            <w:tcW w:w="1103" w:type="dxa"/>
            <w:tcBorders>
              <w:top w:val="nil"/>
              <w:left w:val="nil"/>
              <w:right w:val="nil"/>
            </w:tcBorders>
            <w:shd w:val="clear" w:color="auto" w:fill="D9D9D9"/>
          </w:tcPr>
          <w:p w:rsidR="004843DB" w:rsidRPr="0062582F" w:rsidRDefault="004843DB" w:rsidP="004843DB">
            <w:pPr>
              <w:pStyle w:val="TableofFigures"/>
            </w:pPr>
            <w:r w:rsidRPr="0062582F">
              <w:t>..</w:t>
            </w:r>
          </w:p>
        </w:tc>
      </w:tr>
      <w:tr w:rsidR="004843DB" w:rsidRPr="0062582F" w:rsidTr="007E0B3D">
        <w:trPr>
          <w:cantSplit/>
        </w:trPr>
        <w:tc>
          <w:tcPr>
            <w:tcW w:w="2923" w:type="dxa"/>
            <w:tcBorders>
              <w:top w:val="nil"/>
              <w:left w:val="nil"/>
              <w:bottom w:val="single" w:sz="6" w:space="0" w:color="auto"/>
              <w:right w:val="nil"/>
            </w:tcBorders>
          </w:tcPr>
          <w:p w:rsidR="004843DB" w:rsidRPr="0062582F" w:rsidRDefault="004843DB" w:rsidP="004843DB">
            <w:pPr>
              <w:pStyle w:val="Tabletext"/>
            </w:pPr>
            <w:r w:rsidRPr="0062582F">
              <w:t xml:space="preserve">Investments and other contractual financial assets </w:t>
            </w:r>
            <w:r w:rsidRPr="0062582F">
              <w:rPr>
                <w:vertAlign w:val="superscript"/>
              </w:rPr>
              <w:t>(iii)</w:t>
            </w:r>
          </w:p>
        </w:tc>
        <w:tc>
          <w:tcPr>
            <w:tcW w:w="1080"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13 976</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 xml:space="preserve"> 176</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(130)</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r>
      <w:tr w:rsidR="004843DB" w:rsidRPr="0062582F" w:rsidTr="007E0B3D">
        <w:trPr>
          <w:cantSplit/>
        </w:trPr>
        <w:tc>
          <w:tcPr>
            <w:tcW w:w="2923" w:type="dxa"/>
            <w:tcBorders>
              <w:top w:val="single" w:sz="6" w:space="0" w:color="auto"/>
              <w:left w:val="nil"/>
              <w:bottom w:val="single" w:sz="12" w:space="0" w:color="auto"/>
              <w:right w:val="nil"/>
            </w:tcBorders>
          </w:tcPr>
          <w:p w:rsidR="004843DB" w:rsidRPr="0062582F" w:rsidRDefault="004843DB" w:rsidP="004843DB">
            <w:pPr>
              <w:pStyle w:val="Tabletext"/>
              <w:rPr>
                <w:b/>
              </w:rPr>
            </w:pPr>
            <w:r w:rsidRPr="0062582F">
              <w:rPr>
                <w:b/>
              </w:rPr>
              <w:t>Total impact</w:t>
            </w:r>
          </w:p>
        </w:tc>
        <w:tc>
          <w:tcPr>
            <w:tcW w:w="1080"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 xml:space="preserve"> </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 xml:space="preserve"> 1 980</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(1 463)</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r>
      <w:tr w:rsidR="004843DB" w:rsidRPr="0062582F" w:rsidTr="007E0B3D">
        <w:trPr>
          <w:cantSplit/>
        </w:trPr>
        <w:tc>
          <w:tcPr>
            <w:tcW w:w="2923" w:type="dxa"/>
            <w:tcBorders>
              <w:top w:val="single" w:sz="12" w:space="0" w:color="auto"/>
              <w:left w:val="nil"/>
              <w:bottom w:val="nil"/>
              <w:right w:val="nil"/>
            </w:tcBorders>
          </w:tcPr>
          <w:p w:rsidR="004843DB" w:rsidRPr="0062582F" w:rsidRDefault="004843DB" w:rsidP="004843DB">
            <w:pPr>
              <w:pStyle w:val="Tabletext"/>
              <w:rPr>
                <w:b/>
              </w:rPr>
            </w:pPr>
            <w:r w:rsidRPr="0062582F">
              <w:rPr>
                <w:b/>
              </w:rPr>
              <w:t>Contractual financial liabilities</w:t>
            </w:r>
          </w:p>
        </w:tc>
        <w:tc>
          <w:tcPr>
            <w:tcW w:w="1080" w:type="dxa"/>
            <w:tcBorders>
              <w:top w:val="single" w:sz="12"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12" w:space="0" w:color="auto"/>
              <w:left w:val="nil"/>
              <w:bottom w:val="nil"/>
              <w:right w:val="nil"/>
            </w:tcBorders>
          </w:tcPr>
          <w:p w:rsidR="004843DB" w:rsidRPr="0062582F" w:rsidRDefault="004843DB" w:rsidP="004843DB">
            <w:pPr>
              <w:pStyle w:val="TableofFigures"/>
            </w:pPr>
            <w:r w:rsidRPr="0062582F">
              <w:t xml:space="preserve"> </w:t>
            </w:r>
          </w:p>
        </w:tc>
        <w:tc>
          <w:tcPr>
            <w:tcW w:w="1103" w:type="dxa"/>
            <w:tcBorders>
              <w:top w:val="single" w:sz="12"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12" w:space="0" w:color="auto"/>
              <w:left w:val="nil"/>
              <w:bottom w:val="nil"/>
              <w:right w:val="nil"/>
            </w:tcBorders>
          </w:tcPr>
          <w:p w:rsidR="004843DB" w:rsidRPr="0062582F" w:rsidRDefault="004843DB" w:rsidP="004843DB">
            <w:pPr>
              <w:pStyle w:val="TableofFigures"/>
            </w:pPr>
            <w:r w:rsidRPr="0062582F">
              <w:t xml:space="preserve"> </w:t>
            </w:r>
          </w:p>
        </w:tc>
        <w:tc>
          <w:tcPr>
            <w:tcW w:w="1103" w:type="dxa"/>
            <w:tcBorders>
              <w:top w:val="single" w:sz="12"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r>
      <w:tr w:rsidR="004843DB" w:rsidRPr="0062582F" w:rsidTr="007E0B3D">
        <w:trPr>
          <w:cantSplit/>
        </w:trPr>
        <w:tc>
          <w:tcPr>
            <w:tcW w:w="2923" w:type="dxa"/>
            <w:tcBorders>
              <w:top w:val="nil"/>
              <w:left w:val="nil"/>
              <w:right w:val="nil"/>
            </w:tcBorders>
          </w:tcPr>
          <w:p w:rsidR="004843DB" w:rsidRPr="0062582F" w:rsidRDefault="004843DB" w:rsidP="004843DB">
            <w:pPr>
              <w:pStyle w:val="Tabletext"/>
            </w:pPr>
            <w:r w:rsidRPr="0062582F">
              <w:t xml:space="preserve">Payables </w:t>
            </w:r>
            <w:r w:rsidRPr="0062582F">
              <w:rPr>
                <w:vertAlign w:val="superscript"/>
              </w:rPr>
              <w:t>(i)(iii)</w:t>
            </w:r>
          </w:p>
        </w:tc>
        <w:tc>
          <w:tcPr>
            <w:tcW w:w="1080" w:type="dxa"/>
            <w:tcBorders>
              <w:top w:val="nil"/>
              <w:left w:val="nil"/>
              <w:right w:val="nil"/>
            </w:tcBorders>
            <w:shd w:val="clear" w:color="auto" w:fill="D9D9D9"/>
          </w:tcPr>
          <w:p w:rsidR="004843DB" w:rsidRPr="0062582F" w:rsidRDefault="004843DB" w:rsidP="004843DB">
            <w:pPr>
              <w:pStyle w:val="TableofFigures"/>
            </w:pPr>
            <w:r w:rsidRPr="0062582F">
              <w:t>17 318</w:t>
            </w:r>
          </w:p>
        </w:tc>
        <w:tc>
          <w:tcPr>
            <w:tcW w:w="1102" w:type="dxa"/>
            <w:tcBorders>
              <w:top w:val="nil"/>
              <w:left w:val="nil"/>
              <w:right w:val="nil"/>
            </w:tcBorders>
          </w:tcPr>
          <w:p w:rsidR="004843DB" w:rsidRPr="0062582F" w:rsidRDefault="004843DB" w:rsidP="004843DB">
            <w:pPr>
              <w:pStyle w:val="TableofFigures"/>
            </w:pPr>
            <w:r w:rsidRPr="0062582F">
              <w:t>(129)</w:t>
            </w:r>
          </w:p>
        </w:tc>
        <w:tc>
          <w:tcPr>
            <w:tcW w:w="1103" w:type="dxa"/>
            <w:tcBorders>
              <w:top w:val="nil"/>
              <w:left w:val="nil"/>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right w:val="nil"/>
            </w:tcBorders>
          </w:tcPr>
          <w:p w:rsidR="004843DB" w:rsidRPr="0062582F" w:rsidRDefault="004843DB" w:rsidP="004843DB">
            <w:pPr>
              <w:pStyle w:val="TableofFigures"/>
            </w:pPr>
            <w:r w:rsidRPr="0062582F">
              <w:t xml:space="preserve"> 95</w:t>
            </w:r>
          </w:p>
        </w:tc>
        <w:tc>
          <w:tcPr>
            <w:tcW w:w="1103" w:type="dxa"/>
            <w:tcBorders>
              <w:top w:val="nil"/>
              <w:left w:val="nil"/>
              <w:right w:val="nil"/>
            </w:tcBorders>
            <w:shd w:val="clear" w:color="auto" w:fill="D9D9D9"/>
          </w:tcPr>
          <w:p w:rsidR="004843DB" w:rsidRPr="0062582F" w:rsidRDefault="004843DB" w:rsidP="004843DB">
            <w:pPr>
              <w:pStyle w:val="TableofFigures"/>
            </w:pPr>
            <w:r w:rsidRPr="0062582F">
              <w:t>..</w:t>
            </w:r>
          </w:p>
        </w:tc>
      </w:tr>
      <w:tr w:rsidR="004843DB" w:rsidRPr="0062582F" w:rsidTr="007E0B3D">
        <w:trPr>
          <w:cantSplit/>
        </w:trPr>
        <w:tc>
          <w:tcPr>
            <w:tcW w:w="2923" w:type="dxa"/>
            <w:tcBorders>
              <w:top w:val="nil"/>
              <w:left w:val="nil"/>
              <w:bottom w:val="single" w:sz="6" w:space="0" w:color="auto"/>
              <w:right w:val="nil"/>
            </w:tcBorders>
          </w:tcPr>
          <w:p w:rsidR="004843DB" w:rsidRPr="0062582F" w:rsidRDefault="004843DB" w:rsidP="004843DB">
            <w:pPr>
              <w:pStyle w:val="Tabletext"/>
            </w:pPr>
            <w:r w:rsidRPr="0062582F">
              <w:t>Borrowings</w:t>
            </w:r>
          </w:p>
        </w:tc>
        <w:tc>
          <w:tcPr>
            <w:tcW w:w="1080"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62 074</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r>
      <w:tr w:rsidR="004843DB" w:rsidRPr="0062582F" w:rsidTr="007E0B3D">
        <w:trPr>
          <w:cantSplit/>
        </w:trPr>
        <w:tc>
          <w:tcPr>
            <w:tcW w:w="2923" w:type="dxa"/>
            <w:tcBorders>
              <w:top w:val="single" w:sz="6" w:space="0" w:color="auto"/>
              <w:left w:val="nil"/>
              <w:bottom w:val="single" w:sz="12" w:space="0" w:color="auto"/>
              <w:right w:val="nil"/>
            </w:tcBorders>
          </w:tcPr>
          <w:p w:rsidR="004843DB" w:rsidRPr="0062582F" w:rsidRDefault="004843DB" w:rsidP="004843DB">
            <w:pPr>
              <w:pStyle w:val="Tabletext"/>
              <w:rPr>
                <w:b/>
              </w:rPr>
            </w:pPr>
            <w:r w:rsidRPr="0062582F">
              <w:rPr>
                <w:b/>
              </w:rPr>
              <w:t>Total impact</w:t>
            </w:r>
          </w:p>
        </w:tc>
        <w:tc>
          <w:tcPr>
            <w:tcW w:w="1080"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 xml:space="preserve"> </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(129)</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 xml:space="preserve"> 95</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r>
      <w:tr w:rsidR="004843DB" w:rsidRPr="0062582F" w:rsidTr="007E0B3D">
        <w:trPr>
          <w:cantSplit/>
        </w:trPr>
        <w:tc>
          <w:tcPr>
            <w:tcW w:w="2923" w:type="dxa"/>
            <w:tcBorders>
              <w:top w:val="single" w:sz="12" w:space="0" w:color="auto"/>
              <w:left w:val="nil"/>
              <w:bottom w:val="nil"/>
              <w:right w:val="nil"/>
            </w:tcBorders>
          </w:tcPr>
          <w:p w:rsidR="004843DB" w:rsidRPr="0062582F" w:rsidRDefault="004843DB" w:rsidP="004843DB">
            <w:pPr>
              <w:pStyle w:val="TabletextheadingLeft"/>
            </w:pPr>
            <w:r w:rsidRPr="0062582F">
              <w:t>2015</w:t>
            </w:r>
          </w:p>
        </w:tc>
        <w:tc>
          <w:tcPr>
            <w:tcW w:w="1080" w:type="dxa"/>
            <w:tcBorders>
              <w:top w:val="single" w:sz="12" w:space="0" w:color="auto"/>
              <w:left w:val="nil"/>
              <w:bottom w:val="nil"/>
              <w:right w:val="nil"/>
            </w:tcBorders>
            <w:shd w:val="clear" w:color="auto" w:fill="D9D9D9"/>
          </w:tcPr>
          <w:p w:rsidR="004843DB" w:rsidRPr="0062582F" w:rsidRDefault="004843DB" w:rsidP="004843DB">
            <w:pPr>
              <w:pStyle w:val="TableofFigures"/>
              <w:rPr>
                <w:i/>
              </w:rPr>
            </w:pPr>
          </w:p>
        </w:tc>
        <w:tc>
          <w:tcPr>
            <w:tcW w:w="2205" w:type="dxa"/>
            <w:gridSpan w:val="2"/>
            <w:tcBorders>
              <w:top w:val="single" w:sz="12" w:space="0" w:color="auto"/>
              <w:left w:val="nil"/>
              <w:bottom w:val="single" w:sz="6" w:space="0" w:color="auto"/>
              <w:right w:val="nil"/>
            </w:tcBorders>
            <w:shd w:val="clear" w:color="auto" w:fill="auto"/>
          </w:tcPr>
          <w:p w:rsidR="004843DB" w:rsidRPr="0062582F" w:rsidRDefault="005A4BB0" w:rsidP="004843DB">
            <w:pPr>
              <w:pStyle w:val="TableofFigures"/>
              <w:jc w:val="center"/>
            </w:pPr>
            <w:r>
              <w:noBreakHyphen/>
            </w:r>
            <w:r w:rsidR="004843DB" w:rsidRPr="0062582F">
              <w:t>15%</w:t>
            </w:r>
          </w:p>
        </w:tc>
        <w:tc>
          <w:tcPr>
            <w:tcW w:w="2205" w:type="dxa"/>
            <w:gridSpan w:val="2"/>
            <w:tcBorders>
              <w:top w:val="single" w:sz="12" w:space="0" w:color="auto"/>
              <w:left w:val="nil"/>
              <w:bottom w:val="single" w:sz="6" w:space="0" w:color="auto"/>
              <w:right w:val="nil"/>
            </w:tcBorders>
            <w:shd w:val="clear" w:color="auto" w:fill="auto"/>
          </w:tcPr>
          <w:p w:rsidR="004843DB" w:rsidRPr="0062582F" w:rsidRDefault="004843DB" w:rsidP="004843DB">
            <w:pPr>
              <w:pStyle w:val="TableofFigures"/>
              <w:jc w:val="center"/>
            </w:pPr>
            <w:r w:rsidRPr="0062582F">
              <w:t>+15%</w:t>
            </w:r>
          </w:p>
        </w:tc>
      </w:tr>
      <w:tr w:rsidR="004843DB" w:rsidRPr="0062582F" w:rsidTr="007E0B3D">
        <w:trPr>
          <w:cantSplit/>
        </w:trPr>
        <w:tc>
          <w:tcPr>
            <w:tcW w:w="2923" w:type="dxa"/>
            <w:tcBorders>
              <w:top w:val="nil"/>
              <w:left w:val="nil"/>
              <w:bottom w:val="nil"/>
              <w:right w:val="nil"/>
            </w:tcBorders>
          </w:tcPr>
          <w:p w:rsidR="004843DB" w:rsidRPr="0062582F" w:rsidRDefault="004843DB" w:rsidP="004843DB">
            <w:pPr>
              <w:pStyle w:val="Tabletext"/>
              <w:rPr>
                <w:b/>
              </w:rPr>
            </w:pPr>
            <w:r w:rsidRPr="0062582F">
              <w:rPr>
                <w:b/>
              </w:rPr>
              <w:t>Contractual financial assets</w:t>
            </w:r>
          </w:p>
        </w:tc>
        <w:tc>
          <w:tcPr>
            <w:tcW w:w="1080" w:type="dxa"/>
            <w:tcBorders>
              <w:top w:val="nil"/>
              <w:left w:val="nil"/>
              <w:bottom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1103" w:type="dxa"/>
            <w:tcBorders>
              <w:top w:val="single" w:sz="6"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6" w:space="0" w:color="auto"/>
              <w:left w:val="nil"/>
              <w:bottom w:val="nil"/>
              <w:right w:val="nil"/>
            </w:tcBorders>
          </w:tcPr>
          <w:p w:rsidR="004843DB" w:rsidRPr="0062582F" w:rsidRDefault="004843DB" w:rsidP="004843DB">
            <w:pPr>
              <w:pStyle w:val="TableofFigures"/>
            </w:pPr>
          </w:p>
        </w:tc>
        <w:tc>
          <w:tcPr>
            <w:tcW w:w="1103" w:type="dxa"/>
            <w:tcBorders>
              <w:top w:val="single" w:sz="6"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r>
      <w:tr w:rsidR="004843DB" w:rsidRPr="0062582F" w:rsidTr="007E0B3D">
        <w:trPr>
          <w:cantSplit/>
        </w:trPr>
        <w:tc>
          <w:tcPr>
            <w:tcW w:w="2923" w:type="dxa"/>
            <w:tcBorders>
              <w:top w:val="nil"/>
              <w:left w:val="nil"/>
              <w:bottom w:val="nil"/>
              <w:right w:val="nil"/>
            </w:tcBorders>
          </w:tcPr>
          <w:p w:rsidR="004843DB" w:rsidRPr="0062582F" w:rsidRDefault="004843DB" w:rsidP="004843DB">
            <w:pPr>
              <w:pStyle w:val="Tabletext"/>
            </w:pPr>
            <w:r w:rsidRPr="0062582F">
              <w:t xml:space="preserve">Cash and deposits </w:t>
            </w:r>
            <w:r w:rsidRPr="0062582F">
              <w:rPr>
                <w:vertAlign w:val="superscript"/>
              </w:rPr>
              <w:t>(ii)</w:t>
            </w:r>
          </w:p>
        </w:tc>
        <w:tc>
          <w:tcPr>
            <w:tcW w:w="1080" w:type="dxa"/>
            <w:tcBorders>
              <w:top w:val="nil"/>
              <w:left w:val="nil"/>
              <w:bottom w:val="nil"/>
              <w:right w:val="nil"/>
            </w:tcBorders>
            <w:shd w:val="clear" w:color="auto" w:fill="D9D9D9"/>
          </w:tcPr>
          <w:p w:rsidR="004843DB" w:rsidRPr="0062582F" w:rsidRDefault="004843DB" w:rsidP="004843DB">
            <w:pPr>
              <w:pStyle w:val="TableofFigures"/>
            </w:pPr>
            <w:r w:rsidRPr="0062582F">
              <w:t>48 648</w:t>
            </w:r>
          </w:p>
        </w:tc>
        <w:tc>
          <w:tcPr>
            <w:tcW w:w="1102" w:type="dxa"/>
            <w:tcBorders>
              <w:top w:val="nil"/>
              <w:left w:val="nil"/>
              <w:bottom w:val="nil"/>
              <w:right w:val="nil"/>
            </w:tcBorders>
          </w:tcPr>
          <w:p w:rsidR="004843DB" w:rsidRPr="0062582F" w:rsidRDefault="004843DB" w:rsidP="004843DB">
            <w:pPr>
              <w:pStyle w:val="TableofFigures"/>
            </w:pPr>
            <w:r w:rsidRPr="0062582F">
              <w:t xml:space="preserve"> 1 401</w:t>
            </w:r>
          </w:p>
        </w:tc>
        <w:tc>
          <w:tcPr>
            <w:tcW w:w="1103" w:type="dxa"/>
            <w:tcBorders>
              <w:top w:val="nil"/>
              <w:left w:val="nil"/>
              <w:bottom w:val="nil"/>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bottom w:val="nil"/>
              <w:right w:val="nil"/>
            </w:tcBorders>
          </w:tcPr>
          <w:p w:rsidR="004843DB" w:rsidRPr="0062582F" w:rsidRDefault="004843DB" w:rsidP="004843DB">
            <w:pPr>
              <w:pStyle w:val="TableofFigures"/>
            </w:pPr>
            <w:r w:rsidRPr="0062582F">
              <w:t>(1 035)</w:t>
            </w:r>
          </w:p>
        </w:tc>
        <w:tc>
          <w:tcPr>
            <w:tcW w:w="1103" w:type="dxa"/>
            <w:tcBorders>
              <w:top w:val="nil"/>
              <w:left w:val="nil"/>
              <w:bottom w:val="nil"/>
              <w:right w:val="nil"/>
            </w:tcBorders>
            <w:shd w:val="clear" w:color="auto" w:fill="D9D9D9"/>
          </w:tcPr>
          <w:p w:rsidR="004843DB" w:rsidRPr="0062582F" w:rsidRDefault="004843DB" w:rsidP="004843DB">
            <w:pPr>
              <w:pStyle w:val="TableofFigures"/>
            </w:pPr>
            <w:r w:rsidRPr="0062582F">
              <w:t>..</w:t>
            </w:r>
          </w:p>
        </w:tc>
      </w:tr>
      <w:tr w:rsidR="004843DB" w:rsidRPr="0062582F" w:rsidTr="007E0B3D">
        <w:trPr>
          <w:cantSplit/>
        </w:trPr>
        <w:tc>
          <w:tcPr>
            <w:tcW w:w="2923" w:type="dxa"/>
            <w:tcBorders>
              <w:top w:val="nil"/>
              <w:left w:val="nil"/>
              <w:right w:val="nil"/>
            </w:tcBorders>
          </w:tcPr>
          <w:p w:rsidR="004843DB" w:rsidRPr="0062582F" w:rsidRDefault="004843DB" w:rsidP="004843DB">
            <w:pPr>
              <w:pStyle w:val="Tabletext"/>
            </w:pPr>
            <w:r w:rsidRPr="0062582F">
              <w:t xml:space="preserve">Receivables </w:t>
            </w:r>
            <w:r w:rsidRPr="0062582F">
              <w:rPr>
                <w:vertAlign w:val="superscript"/>
              </w:rPr>
              <w:t>(i)(iii)</w:t>
            </w:r>
          </w:p>
        </w:tc>
        <w:tc>
          <w:tcPr>
            <w:tcW w:w="1080" w:type="dxa"/>
            <w:tcBorders>
              <w:top w:val="nil"/>
              <w:left w:val="nil"/>
              <w:right w:val="nil"/>
            </w:tcBorders>
            <w:shd w:val="clear" w:color="auto" w:fill="D9D9D9"/>
          </w:tcPr>
          <w:p w:rsidR="004843DB" w:rsidRPr="0062582F" w:rsidRDefault="004843DB" w:rsidP="004843DB">
            <w:pPr>
              <w:pStyle w:val="TableofFigures"/>
            </w:pPr>
            <w:r w:rsidRPr="0062582F">
              <w:t>3 870</w:t>
            </w:r>
          </w:p>
        </w:tc>
        <w:tc>
          <w:tcPr>
            <w:tcW w:w="1102" w:type="dxa"/>
            <w:tcBorders>
              <w:top w:val="nil"/>
              <w:left w:val="nil"/>
              <w:right w:val="nil"/>
            </w:tcBorders>
          </w:tcPr>
          <w:p w:rsidR="004843DB" w:rsidRPr="0062582F" w:rsidRDefault="004843DB" w:rsidP="004843DB">
            <w:pPr>
              <w:pStyle w:val="TableofFigures"/>
            </w:pPr>
            <w:r w:rsidRPr="0062582F">
              <w:t xml:space="preserve"> 56</w:t>
            </w:r>
          </w:p>
        </w:tc>
        <w:tc>
          <w:tcPr>
            <w:tcW w:w="1103" w:type="dxa"/>
            <w:tcBorders>
              <w:top w:val="nil"/>
              <w:left w:val="nil"/>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right w:val="nil"/>
            </w:tcBorders>
          </w:tcPr>
          <w:p w:rsidR="004843DB" w:rsidRPr="0062582F" w:rsidRDefault="004843DB" w:rsidP="004843DB">
            <w:pPr>
              <w:pStyle w:val="TableofFigures"/>
            </w:pPr>
            <w:r w:rsidRPr="0062582F">
              <w:t>(42</w:t>
            </w:r>
          </w:p>
        </w:tc>
        <w:tc>
          <w:tcPr>
            <w:tcW w:w="1103" w:type="dxa"/>
            <w:tcBorders>
              <w:top w:val="nil"/>
              <w:left w:val="nil"/>
              <w:right w:val="nil"/>
            </w:tcBorders>
            <w:shd w:val="clear" w:color="auto" w:fill="D9D9D9"/>
          </w:tcPr>
          <w:p w:rsidR="004843DB" w:rsidRPr="0062582F" w:rsidRDefault="004843DB" w:rsidP="004843DB">
            <w:pPr>
              <w:pStyle w:val="TableofFigures"/>
            </w:pPr>
            <w:r w:rsidRPr="0062582F">
              <w:t>..</w:t>
            </w:r>
          </w:p>
        </w:tc>
      </w:tr>
      <w:tr w:rsidR="004843DB" w:rsidRPr="0062582F" w:rsidTr="007E0B3D">
        <w:trPr>
          <w:cantSplit/>
        </w:trPr>
        <w:tc>
          <w:tcPr>
            <w:tcW w:w="2923" w:type="dxa"/>
            <w:tcBorders>
              <w:top w:val="nil"/>
              <w:left w:val="nil"/>
              <w:bottom w:val="single" w:sz="6" w:space="0" w:color="auto"/>
              <w:right w:val="nil"/>
            </w:tcBorders>
          </w:tcPr>
          <w:p w:rsidR="004843DB" w:rsidRPr="0062582F" w:rsidRDefault="004843DB" w:rsidP="004843DB">
            <w:pPr>
              <w:pStyle w:val="Tabletext"/>
            </w:pPr>
            <w:r w:rsidRPr="0062582F">
              <w:t xml:space="preserve">Investments and other contractual financial assets </w:t>
            </w:r>
            <w:r w:rsidRPr="0062582F">
              <w:rPr>
                <w:vertAlign w:val="superscript"/>
              </w:rPr>
              <w:t>(iii)</w:t>
            </w:r>
          </w:p>
        </w:tc>
        <w:tc>
          <w:tcPr>
            <w:tcW w:w="1080"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16 731</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 xml:space="preserve"> 132</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(98)</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r>
      <w:tr w:rsidR="004843DB" w:rsidRPr="0062582F" w:rsidTr="007E0B3D">
        <w:trPr>
          <w:cantSplit/>
        </w:trPr>
        <w:tc>
          <w:tcPr>
            <w:tcW w:w="2923" w:type="dxa"/>
            <w:tcBorders>
              <w:top w:val="single" w:sz="6" w:space="0" w:color="auto"/>
              <w:left w:val="nil"/>
              <w:bottom w:val="single" w:sz="12" w:space="0" w:color="auto"/>
              <w:right w:val="nil"/>
            </w:tcBorders>
          </w:tcPr>
          <w:p w:rsidR="004843DB" w:rsidRPr="0062582F" w:rsidRDefault="004843DB" w:rsidP="004843DB">
            <w:pPr>
              <w:pStyle w:val="Tabletext"/>
              <w:rPr>
                <w:b/>
              </w:rPr>
            </w:pPr>
            <w:r w:rsidRPr="0062582F">
              <w:rPr>
                <w:b/>
              </w:rPr>
              <w:t>Total impact</w:t>
            </w:r>
          </w:p>
        </w:tc>
        <w:tc>
          <w:tcPr>
            <w:tcW w:w="1080"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 xml:space="preserve"> </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1 589</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(1 175)</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r>
      <w:tr w:rsidR="004843DB" w:rsidRPr="0062582F" w:rsidTr="007E0B3D">
        <w:trPr>
          <w:cantSplit/>
        </w:trPr>
        <w:tc>
          <w:tcPr>
            <w:tcW w:w="2923" w:type="dxa"/>
            <w:tcBorders>
              <w:top w:val="single" w:sz="12" w:space="0" w:color="auto"/>
              <w:left w:val="nil"/>
              <w:right w:val="nil"/>
            </w:tcBorders>
          </w:tcPr>
          <w:p w:rsidR="004843DB" w:rsidRPr="0062582F" w:rsidRDefault="004843DB" w:rsidP="004843DB">
            <w:pPr>
              <w:pStyle w:val="Tabletext"/>
              <w:rPr>
                <w:b/>
              </w:rPr>
            </w:pPr>
            <w:r w:rsidRPr="0062582F">
              <w:rPr>
                <w:b/>
              </w:rPr>
              <w:t>Contractual financial liabilities</w:t>
            </w:r>
          </w:p>
        </w:tc>
        <w:tc>
          <w:tcPr>
            <w:tcW w:w="1080" w:type="dxa"/>
            <w:tcBorders>
              <w:top w:val="single" w:sz="12" w:space="0" w:color="auto"/>
              <w:left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12" w:space="0" w:color="auto"/>
              <w:left w:val="nil"/>
              <w:right w:val="nil"/>
            </w:tcBorders>
          </w:tcPr>
          <w:p w:rsidR="004843DB" w:rsidRPr="0062582F" w:rsidRDefault="004843DB" w:rsidP="004843DB">
            <w:pPr>
              <w:pStyle w:val="TableofFigures"/>
            </w:pPr>
            <w:r w:rsidRPr="0062582F">
              <w:t xml:space="preserve"> </w:t>
            </w:r>
          </w:p>
        </w:tc>
        <w:tc>
          <w:tcPr>
            <w:tcW w:w="1103" w:type="dxa"/>
            <w:tcBorders>
              <w:top w:val="single" w:sz="12" w:space="0" w:color="auto"/>
              <w:left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12" w:space="0" w:color="auto"/>
              <w:left w:val="nil"/>
              <w:right w:val="nil"/>
            </w:tcBorders>
          </w:tcPr>
          <w:p w:rsidR="004843DB" w:rsidRPr="0062582F" w:rsidRDefault="004843DB" w:rsidP="004843DB">
            <w:pPr>
              <w:pStyle w:val="TableofFigures"/>
            </w:pPr>
            <w:r w:rsidRPr="0062582F">
              <w:t xml:space="preserve"> </w:t>
            </w:r>
          </w:p>
        </w:tc>
        <w:tc>
          <w:tcPr>
            <w:tcW w:w="1103" w:type="dxa"/>
            <w:tcBorders>
              <w:top w:val="single" w:sz="12" w:space="0" w:color="auto"/>
              <w:left w:val="nil"/>
              <w:right w:val="nil"/>
            </w:tcBorders>
            <w:shd w:val="clear" w:color="auto" w:fill="D9D9D9"/>
          </w:tcPr>
          <w:p w:rsidR="004843DB" w:rsidRPr="0062582F" w:rsidRDefault="004843DB" w:rsidP="004843DB">
            <w:pPr>
              <w:pStyle w:val="TableofFigures"/>
            </w:pPr>
            <w:r w:rsidRPr="0062582F">
              <w:t xml:space="preserve"> </w:t>
            </w:r>
          </w:p>
        </w:tc>
      </w:tr>
      <w:tr w:rsidR="004843DB" w:rsidRPr="0062582F" w:rsidTr="007E0B3D">
        <w:trPr>
          <w:cantSplit/>
        </w:trPr>
        <w:tc>
          <w:tcPr>
            <w:tcW w:w="2923" w:type="dxa"/>
            <w:tcBorders>
              <w:top w:val="nil"/>
              <w:left w:val="nil"/>
              <w:bottom w:val="single" w:sz="6" w:space="0" w:color="auto"/>
              <w:right w:val="nil"/>
            </w:tcBorders>
          </w:tcPr>
          <w:p w:rsidR="004843DB" w:rsidRPr="0062582F" w:rsidRDefault="004843DB" w:rsidP="004843DB">
            <w:pPr>
              <w:pStyle w:val="Tabletext"/>
            </w:pPr>
            <w:r w:rsidRPr="0062582F">
              <w:t xml:space="preserve">Payables </w:t>
            </w:r>
            <w:r w:rsidRPr="0062582F">
              <w:rPr>
                <w:vertAlign w:val="superscript"/>
              </w:rPr>
              <w:t>(i)(iii)</w:t>
            </w:r>
          </w:p>
        </w:tc>
        <w:tc>
          <w:tcPr>
            <w:tcW w:w="1080"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16 141</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(153)</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 xml:space="preserve"> 113</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r>
      <w:tr w:rsidR="004843DB" w:rsidRPr="0062582F" w:rsidTr="007E0B3D">
        <w:trPr>
          <w:cantSplit/>
        </w:trPr>
        <w:tc>
          <w:tcPr>
            <w:tcW w:w="2923" w:type="dxa"/>
            <w:tcBorders>
              <w:top w:val="single" w:sz="6" w:space="0" w:color="auto"/>
              <w:left w:val="nil"/>
              <w:bottom w:val="single" w:sz="12" w:space="0" w:color="auto"/>
              <w:right w:val="nil"/>
            </w:tcBorders>
          </w:tcPr>
          <w:p w:rsidR="004843DB" w:rsidRPr="0062582F" w:rsidRDefault="004843DB" w:rsidP="004843DB">
            <w:pPr>
              <w:pStyle w:val="Tabletext"/>
              <w:rPr>
                <w:b/>
              </w:rPr>
            </w:pPr>
            <w:r w:rsidRPr="0062582F">
              <w:rPr>
                <w:b/>
              </w:rPr>
              <w:t>Total impact</w:t>
            </w:r>
          </w:p>
        </w:tc>
        <w:tc>
          <w:tcPr>
            <w:tcW w:w="1080"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 xml:space="preserve"> </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(153)</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 xml:space="preserve"> 113</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r>
    </w:tbl>
    <w:p w:rsidR="004843DB" w:rsidRPr="0062582F" w:rsidRDefault="004843DB" w:rsidP="004843DB">
      <w:pPr>
        <w:pStyle w:val="Notes"/>
        <w:tabs>
          <w:tab w:val="clear" w:pos="454"/>
          <w:tab w:val="left" w:pos="1134"/>
        </w:tabs>
        <w:ind w:left="0" w:firstLine="0"/>
        <w:sectPr w:rsidR="004843DB" w:rsidRPr="0062582F" w:rsidSect="00190A01">
          <w:type w:val="continuous"/>
          <w:pgSz w:w="11906" w:h="16838" w:code="9"/>
          <w:pgMar w:top="1152" w:right="864" w:bottom="1152" w:left="864" w:header="720" w:footer="720" w:gutter="0"/>
          <w:cols w:num="2" w:space="360" w:equalWidth="0">
            <w:col w:w="1440" w:space="360"/>
            <w:col w:w="8378"/>
          </w:cols>
        </w:sectPr>
      </w:pPr>
    </w:p>
    <w:p w:rsidR="004843DB" w:rsidRPr="0062582F" w:rsidRDefault="004843DB" w:rsidP="004843DB">
      <w:pPr>
        <w:pStyle w:val="Notes"/>
        <w:rPr>
          <w:i w:val="0"/>
          <w:iCs w:val="0"/>
          <w:sz w:val="20"/>
          <w:szCs w:val="20"/>
        </w:rPr>
      </w:pPr>
      <w:r w:rsidRPr="0062582F">
        <w:br w:type="column"/>
        <w:t>Notes:</w:t>
      </w:r>
    </w:p>
    <w:p w:rsidR="004843DB" w:rsidRPr="0062582F" w:rsidRDefault="004843DB" w:rsidP="004843DB">
      <w:pPr>
        <w:pStyle w:val="Notes"/>
        <w:sectPr w:rsidR="004843DB" w:rsidRPr="0062582F" w:rsidSect="00190A01">
          <w:type w:val="continuous"/>
          <w:pgSz w:w="11906" w:h="16838" w:code="9"/>
          <w:pgMar w:top="1152" w:right="864" w:bottom="1152" w:left="864" w:header="720" w:footer="720" w:gutter="0"/>
          <w:cols w:num="2" w:space="360" w:equalWidth="0">
            <w:col w:w="1440" w:space="360"/>
            <w:col w:w="8378"/>
          </w:cols>
        </w:sectPr>
      </w:pPr>
    </w:p>
    <w:p w:rsidR="004843DB" w:rsidRPr="0062582F" w:rsidRDefault="004843DB" w:rsidP="004843DB">
      <w:pPr>
        <w:pStyle w:val="Reference"/>
        <w:spacing w:before="0"/>
        <w:rPr>
          <w:rStyle w:val="ReferenceChar"/>
        </w:rPr>
      </w:pPr>
      <w:r w:rsidRPr="0062582F">
        <w:rPr>
          <w:rStyle w:val="ReferenceChar"/>
        </w:rPr>
        <w:t>AASB 132.AG12</w:t>
      </w:r>
    </w:p>
    <w:p w:rsidR="004843DB" w:rsidRPr="0062582F" w:rsidRDefault="004843DB" w:rsidP="004843DB">
      <w:pPr>
        <w:pStyle w:val="Notes"/>
      </w:pPr>
      <w:r w:rsidRPr="0062582F">
        <w:br w:type="column"/>
        <w:t>(i)</w:t>
      </w:r>
      <w:r w:rsidRPr="0062582F">
        <w:tab/>
        <w:t>The carrying amounts disclosed here exclude statutory amounts (e.g. amounts owing from the Victorian Government, GST input tax credit recoverable, and GST payables).</w:t>
      </w:r>
    </w:p>
    <w:p w:rsidR="004843DB" w:rsidRPr="0062582F" w:rsidRDefault="004843DB" w:rsidP="004843DB">
      <w:pPr>
        <w:pStyle w:val="Notes"/>
        <w:sectPr w:rsidR="004843DB" w:rsidRPr="0062582F" w:rsidSect="00190A01">
          <w:type w:val="continuous"/>
          <w:pgSz w:w="11906" w:h="16838" w:code="9"/>
          <w:pgMar w:top="1152" w:right="864" w:bottom="1152" w:left="864" w:header="720" w:footer="720" w:gutter="0"/>
          <w:cols w:num="2" w:space="360" w:equalWidth="0">
            <w:col w:w="1440" w:space="360"/>
            <w:col w:w="8378"/>
          </w:cols>
        </w:sectPr>
      </w:pPr>
    </w:p>
    <w:p w:rsidR="004843DB" w:rsidRPr="0062582F" w:rsidRDefault="004843DB" w:rsidP="004843DB">
      <w:pPr>
        <w:pStyle w:val="Reference"/>
        <w:spacing w:before="0"/>
        <w:rPr>
          <w:rStyle w:val="ReferenceChar"/>
        </w:rPr>
      </w:pPr>
      <w:r w:rsidRPr="0062582F">
        <w:rPr>
          <w:rStyle w:val="ReferenceChar"/>
        </w:rPr>
        <w:t>AASB 7.40(b)</w:t>
      </w:r>
    </w:p>
    <w:p w:rsidR="004843DB" w:rsidRPr="0062582F" w:rsidRDefault="004843DB" w:rsidP="004843DB">
      <w:pPr>
        <w:pStyle w:val="Notes"/>
      </w:pPr>
      <w:r w:rsidRPr="0062582F">
        <w:br w:type="column"/>
        <w:t>(ii)</w:t>
      </w:r>
      <w:r w:rsidRPr="0062582F">
        <w:tab/>
        <w:t>Cash and deposits includes a deposit of $9 712 thousand (2015: $7 936 thousand) that is exposed to USD foreign currency movements. Sensitivities to these movements are calculated as follows:</w:t>
      </w:r>
    </w:p>
    <w:p w:rsidR="004843DB" w:rsidRPr="0062582F" w:rsidRDefault="004843DB" w:rsidP="004843DB">
      <w:pPr>
        <w:pStyle w:val="Notes"/>
        <w:numPr>
          <w:ilvl w:val="0"/>
          <w:numId w:val="15"/>
        </w:numPr>
        <w:tabs>
          <w:tab w:val="clear" w:pos="454"/>
          <w:tab w:val="clear" w:pos="1260"/>
          <w:tab w:val="left" w:pos="720"/>
        </w:tabs>
        <w:ind w:left="720" w:hanging="258"/>
      </w:pPr>
      <w:r w:rsidRPr="0062582F">
        <w:t>2016: [$9 712 thousand x 0.9/(0.9(1</w:t>
      </w:r>
      <w:r w:rsidR="005A4BB0">
        <w:noBreakHyphen/>
      </w:r>
      <w:r w:rsidRPr="0062582F">
        <w:t xml:space="preserve">0.15))] – $9 712 thousand = $1 714 thousand; and [$9 712 thousand x 0.9/(0.9(1+0.15))] – $9 712 thousand = </w:t>
      </w:r>
      <w:r w:rsidR="005A4BB0">
        <w:noBreakHyphen/>
      </w:r>
      <w:r w:rsidRPr="0062582F">
        <w:t>$1 267 thousand; and</w:t>
      </w:r>
    </w:p>
    <w:p w:rsidR="004843DB" w:rsidRPr="0062582F" w:rsidRDefault="004843DB" w:rsidP="004843DB">
      <w:pPr>
        <w:pStyle w:val="Notes"/>
        <w:numPr>
          <w:ilvl w:val="0"/>
          <w:numId w:val="15"/>
        </w:numPr>
        <w:tabs>
          <w:tab w:val="clear" w:pos="454"/>
          <w:tab w:val="clear" w:pos="1260"/>
          <w:tab w:val="left" w:pos="720"/>
        </w:tabs>
        <w:ind w:left="720" w:hanging="258"/>
      </w:pPr>
      <w:r w:rsidRPr="0062582F">
        <w:t>2015: [$7 936 thousand x 0.9/(0.9(1</w:t>
      </w:r>
      <w:r w:rsidR="005A4BB0">
        <w:noBreakHyphen/>
      </w:r>
      <w:r w:rsidRPr="0062582F">
        <w:t>0.15))] – $7 936 thousand = $1401 thousand; and [$7 936 thousand x 0.9/(0.9(1+0.1))] – $7 936 thousand = – $1 035 thousand.</w:t>
      </w:r>
    </w:p>
    <w:p w:rsidR="004843DB" w:rsidRPr="0062582F" w:rsidRDefault="004843DB" w:rsidP="004843DB">
      <w:pPr>
        <w:pStyle w:val="NotesBlue"/>
      </w:pPr>
      <w:r w:rsidRPr="0062582F">
        <w:t>(iii)</w:t>
      </w:r>
      <w:r w:rsidRPr="0062582F">
        <w:tab/>
        <w:t>[Disclosures on amounts exposed to movements in foreign currencies and the method of calculations as per note (i)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4843DB" w:rsidRPr="0062582F" w:rsidRDefault="004843DB" w:rsidP="004843DB">
      <w:pPr>
        <w:pStyle w:val="ReferenceRed"/>
        <w:rPr>
          <w:rStyle w:val="ReferenceChar"/>
          <w:rFonts w:ascii="Garamond" w:hAnsi="Garamond" w:cs="Times New Roman"/>
        </w:rPr>
      </w:pPr>
      <w:r w:rsidRPr="0062582F">
        <w:br w:type="column"/>
      </w:r>
    </w:p>
    <w:p w:rsidR="004843DB" w:rsidRPr="0062582F" w:rsidRDefault="004843DB" w:rsidP="004843DB">
      <w:pPr>
        <w:pStyle w:val="NoteHeadingcontinued"/>
      </w:pPr>
      <w:r w:rsidRPr="0062582F">
        <w:rPr>
          <w:rFonts w:ascii="Garamond" w:hAnsi="Garamond"/>
        </w:rPr>
        <w:br w:type="column"/>
      </w:r>
      <w:r w:rsidRPr="0062582F">
        <w:t>Note 33.</w:t>
      </w:r>
      <w:r w:rsidRPr="0062582F">
        <w:tab/>
        <w:t xml:space="preserve">Financial instruments </w:t>
      </w:r>
      <w:r w:rsidRPr="0062582F">
        <w:rPr>
          <w:i/>
        </w:rPr>
        <w:t>(continued)</w:t>
      </w:r>
    </w:p>
    <w:p w:rsidR="004843DB" w:rsidRPr="0062582F" w:rsidRDefault="004843DB" w:rsidP="00E348C3">
      <w:pPr>
        <w:pStyle w:val="Tableheading"/>
        <w:sectPr w:rsidR="004843DB" w:rsidRPr="0062582F" w:rsidSect="00190A01">
          <w:type w:val="continuous"/>
          <w:pgSz w:w="11906" w:h="16838" w:code="9"/>
          <w:pgMar w:top="1152" w:right="864" w:bottom="1152" w:left="864" w:header="432" w:footer="432" w:gutter="0"/>
          <w:cols w:num="2" w:space="360" w:equalWidth="0">
            <w:col w:w="1440" w:space="360"/>
            <w:col w:w="8378"/>
          </w:cols>
        </w:sectPr>
      </w:pPr>
    </w:p>
    <w:p w:rsidR="004843DB" w:rsidRPr="0062582F" w:rsidRDefault="004843DB" w:rsidP="004843DB">
      <w:pPr>
        <w:pStyle w:val="Reference"/>
        <w:spacing w:before="180"/>
        <w:rPr>
          <w:rStyle w:val="ReferenceChar"/>
        </w:rPr>
      </w:pPr>
      <w:r w:rsidRPr="0062582F">
        <w:rPr>
          <w:rStyle w:val="ReferenceChar"/>
        </w:rPr>
        <w:t>AASB 7.31, 34, 40(a)</w:t>
      </w:r>
    </w:p>
    <w:p w:rsidR="004843DB" w:rsidRPr="0062582F" w:rsidRDefault="004843DB" w:rsidP="00E348C3">
      <w:pPr>
        <w:pStyle w:val="Tableheading"/>
      </w:pPr>
      <w:r w:rsidRPr="0062582F">
        <w:br w:type="column"/>
        <w:t>Table 33.7(b): Interest rate risk sensitivity</w:t>
      </w:r>
    </w:p>
    <w:p w:rsidR="004843DB" w:rsidRPr="0062582F" w:rsidRDefault="004843DB" w:rsidP="004843DB">
      <w:pPr>
        <w:pStyle w:val="million"/>
        <w:rPr>
          <w:rFonts w:ascii="Tahoma" w:hAnsi="Tahoma" w:cs="Tahoma"/>
          <w:sz w:val="20"/>
          <w:szCs w:val="20"/>
        </w:rPr>
      </w:pPr>
      <w:r w:rsidRPr="0062582F">
        <w:t>($ thousand)</w:t>
      </w:r>
    </w:p>
    <w:tbl>
      <w:tblPr>
        <w:tblW w:w="8413" w:type="dxa"/>
        <w:tblLayout w:type="fixed"/>
        <w:tblCellMar>
          <w:left w:w="43" w:type="dxa"/>
          <w:right w:w="43" w:type="dxa"/>
        </w:tblCellMar>
        <w:tblLook w:val="0000" w:firstRow="0" w:lastRow="0" w:firstColumn="0" w:lastColumn="0" w:noHBand="0" w:noVBand="0"/>
      </w:tblPr>
      <w:tblGrid>
        <w:gridCol w:w="2923"/>
        <w:gridCol w:w="1080"/>
        <w:gridCol w:w="1102"/>
        <w:gridCol w:w="1103"/>
        <w:gridCol w:w="1102"/>
        <w:gridCol w:w="1103"/>
      </w:tblGrid>
      <w:tr w:rsidR="004843DB" w:rsidRPr="0062582F" w:rsidTr="004843DB">
        <w:trPr>
          <w:cantSplit/>
        </w:trPr>
        <w:tc>
          <w:tcPr>
            <w:tcW w:w="2923" w:type="dxa"/>
            <w:tcBorders>
              <w:top w:val="single" w:sz="6" w:space="0" w:color="auto"/>
              <w:left w:val="nil"/>
              <w:bottom w:val="nil"/>
              <w:right w:val="nil"/>
            </w:tcBorders>
          </w:tcPr>
          <w:p w:rsidR="004843DB" w:rsidRPr="0062582F" w:rsidRDefault="004843DB" w:rsidP="004843DB">
            <w:pPr>
              <w:pStyle w:val="Tabletext"/>
            </w:pPr>
            <w:r w:rsidRPr="0062582F">
              <w:t xml:space="preserve"> </w:t>
            </w:r>
          </w:p>
        </w:tc>
        <w:tc>
          <w:tcPr>
            <w:tcW w:w="1080" w:type="dxa"/>
            <w:tcBorders>
              <w:top w:val="single" w:sz="6" w:space="0" w:color="auto"/>
              <w:left w:val="nil"/>
              <w:bottom w:val="nil"/>
              <w:right w:val="nil"/>
            </w:tcBorders>
            <w:shd w:val="clear" w:color="auto" w:fill="auto"/>
          </w:tcPr>
          <w:p w:rsidR="004843DB" w:rsidRPr="0062582F" w:rsidRDefault="004843DB" w:rsidP="004843DB">
            <w:pPr>
              <w:pStyle w:val="Tabletext"/>
            </w:pPr>
            <w:r w:rsidRPr="0062582F">
              <w:t xml:space="preserve"> </w:t>
            </w:r>
          </w:p>
        </w:tc>
        <w:tc>
          <w:tcPr>
            <w:tcW w:w="4410" w:type="dxa"/>
            <w:gridSpan w:val="4"/>
            <w:tcBorders>
              <w:top w:val="single" w:sz="6" w:space="0" w:color="auto"/>
              <w:left w:val="nil"/>
              <w:bottom w:val="single" w:sz="6" w:space="0" w:color="auto"/>
              <w:right w:val="nil"/>
            </w:tcBorders>
          </w:tcPr>
          <w:p w:rsidR="004843DB" w:rsidRPr="0062582F" w:rsidRDefault="004843DB" w:rsidP="004843DB">
            <w:pPr>
              <w:pStyle w:val="TabletextheadingCentred"/>
            </w:pPr>
            <w:r w:rsidRPr="0062582F">
              <w:t>Interest rate</w:t>
            </w:r>
          </w:p>
        </w:tc>
      </w:tr>
      <w:tr w:rsidR="004843DB" w:rsidRPr="0062582F" w:rsidTr="004843DB">
        <w:trPr>
          <w:cantSplit/>
        </w:trPr>
        <w:tc>
          <w:tcPr>
            <w:tcW w:w="2923" w:type="dxa"/>
            <w:tcBorders>
              <w:top w:val="nil"/>
              <w:left w:val="nil"/>
              <w:bottom w:val="nil"/>
              <w:right w:val="nil"/>
            </w:tcBorders>
          </w:tcPr>
          <w:p w:rsidR="004843DB" w:rsidRPr="0062582F" w:rsidRDefault="004843DB" w:rsidP="004843DB">
            <w:pPr>
              <w:pStyle w:val="Tabletext"/>
            </w:pPr>
            <w:r w:rsidRPr="0062582F">
              <w:t xml:space="preserve"> </w:t>
            </w:r>
          </w:p>
        </w:tc>
        <w:tc>
          <w:tcPr>
            <w:tcW w:w="1080" w:type="dxa"/>
            <w:tcBorders>
              <w:top w:val="nil"/>
              <w:left w:val="nil"/>
              <w:bottom w:val="nil"/>
              <w:right w:val="nil"/>
            </w:tcBorders>
            <w:shd w:val="clear" w:color="auto" w:fill="auto"/>
          </w:tcPr>
          <w:p w:rsidR="004843DB" w:rsidRPr="0062582F" w:rsidRDefault="004843DB" w:rsidP="004843DB">
            <w:pPr>
              <w:pStyle w:val="Tabletext"/>
            </w:pPr>
            <w:r w:rsidRPr="0062582F">
              <w:t xml:space="preserve"> </w:t>
            </w:r>
          </w:p>
        </w:tc>
        <w:tc>
          <w:tcPr>
            <w:tcW w:w="2205" w:type="dxa"/>
            <w:gridSpan w:val="2"/>
            <w:tcBorders>
              <w:top w:val="single" w:sz="6" w:space="0" w:color="auto"/>
              <w:left w:val="nil"/>
              <w:bottom w:val="single" w:sz="6" w:space="0" w:color="auto"/>
              <w:right w:val="nil"/>
            </w:tcBorders>
          </w:tcPr>
          <w:p w:rsidR="004843DB" w:rsidRPr="0062582F" w:rsidRDefault="005A4BB0" w:rsidP="004843DB">
            <w:pPr>
              <w:pStyle w:val="Tabletextheading"/>
              <w:jc w:val="center"/>
            </w:pPr>
            <w:r>
              <w:noBreakHyphen/>
            </w:r>
            <w:r w:rsidR="004843DB" w:rsidRPr="0062582F">
              <w:t>100 basis points</w:t>
            </w:r>
          </w:p>
        </w:tc>
        <w:tc>
          <w:tcPr>
            <w:tcW w:w="2205" w:type="dxa"/>
            <w:gridSpan w:val="2"/>
            <w:tcBorders>
              <w:top w:val="single" w:sz="6" w:space="0" w:color="auto"/>
              <w:left w:val="nil"/>
              <w:bottom w:val="single" w:sz="6" w:space="0" w:color="auto"/>
              <w:right w:val="nil"/>
            </w:tcBorders>
          </w:tcPr>
          <w:p w:rsidR="004843DB" w:rsidRPr="0062582F" w:rsidRDefault="004843DB" w:rsidP="004843DB">
            <w:pPr>
              <w:pStyle w:val="Tabletextheading"/>
              <w:jc w:val="center"/>
            </w:pPr>
            <w:r w:rsidRPr="0062582F">
              <w:t>+100 basis points</w:t>
            </w:r>
          </w:p>
        </w:tc>
      </w:tr>
      <w:tr w:rsidR="004843DB" w:rsidRPr="0062582F" w:rsidTr="004843DB">
        <w:trPr>
          <w:cantSplit/>
        </w:trPr>
        <w:tc>
          <w:tcPr>
            <w:tcW w:w="2923" w:type="dxa"/>
            <w:tcBorders>
              <w:top w:val="nil"/>
              <w:left w:val="nil"/>
              <w:bottom w:val="single" w:sz="6" w:space="0" w:color="auto"/>
              <w:right w:val="nil"/>
            </w:tcBorders>
          </w:tcPr>
          <w:p w:rsidR="004843DB" w:rsidRPr="0062582F" w:rsidRDefault="004843DB" w:rsidP="004843DB">
            <w:pPr>
              <w:pStyle w:val="TabletextheadingLeft"/>
            </w:pPr>
            <w:r w:rsidRPr="0062582F">
              <w:br/>
            </w:r>
            <w:r w:rsidRPr="0062582F">
              <w:br/>
            </w:r>
            <w:r w:rsidRPr="0062582F">
              <w:br/>
              <w:t>2016</w:t>
            </w:r>
          </w:p>
        </w:tc>
        <w:tc>
          <w:tcPr>
            <w:tcW w:w="1080" w:type="dxa"/>
            <w:tcBorders>
              <w:top w:val="nil"/>
              <w:left w:val="nil"/>
              <w:bottom w:val="single" w:sz="6" w:space="0" w:color="auto"/>
              <w:right w:val="nil"/>
            </w:tcBorders>
            <w:shd w:val="solid" w:color="CCCCCC" w:fill="00FFFF"/>
          </w:tcPr>
          <w:p w:rsidR="004843DB" w:rsidRPr="0062582F" w:rsidRDefault="004843DB" w:rsidP="004843DB">
            <w:pPr>
              <w:pStyle w:val="Tabletextheading"/>
            </w:pPr>
            <w:r w:rsidRPr="0062582F">
              <w:br/>
            </w:r>
            <w:r w:rsidRPr="0062582F">
              <w:br/>
              <w:t>Carrying amount</w:t>
            </w:r>
          </w:p>
        </w:tc>
        <w:tc>
          <w:tcPr>
            <w:tcW w:w="1102"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br/>
            </w:r>
            <w:r w:rsidRPr="0062582F">
              <w:br/>
            </w:r>
            <w:r w:rsidRPr="0062582F">
              <w:br/>
              <w:t>Net result</w:t>
            </w:r>
          </w:p>
        </w:tc>
        <w:tc>
          <w:tcPr>
            <w:tcW w:w="1103" w:type="dxa"/>
            <w:tcBorders>
              <w:top w:val="single" w:sz="6" w:space="0" w:color="auto"/>
              <w:left w:val="nil"/>
              <w:bottom w:val="single" w:sz="6" w:space="0" w:color="auto"/>
              <w:right w:val="nil"/>
            </w:tcBorders>
            <w:shd w:val="clear" w:color="auto" w:fill="D9D9D9"/>
          </w:tcPr>
          <w:p w:rsidR="004843DB" w:rsidRPr="0062582F" w:rsidRDefault="004843DB" w:rsidP="004843DB">
            <w:pPr>
              <w:pStyle w:val="Tabletextheading"/>
            </w:pPr>
            <w:r w:rsidRPr="0062582F">
              <w:t>Available</w:t>
            </w:r>
            <w:r w:rsidR="005A4BB0">
              <w:noBreakHyphen/>
            </w:r>
            <w:r w:rsidRPr="0062582F">
              <w:br/>
              <w:t>for</w:t>
            </w:r>
            <w:r w:rsidR="005A4BB0">
              <w:noBreakHyphen/>
            </w:r>
            <w:r w:rsidRPr="0062582F">
              <w:t>sale revaluation surplus</w:t>
            </w:r>
          </w:p>
        </w:tc>
        <w:tc>
          <w:tcPr>
            <w:tcW w:w="1102"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br/>
            </w:r>
            <w:r w:rsidRPr="0062582F">
              <w:br/>
            </w:r>
            <w:r w:rsidRPr="0062582F">
              <w:br/>
              <w:t>Net result</w:t>
            </w:r>
          </w:p>
        </w:tc>
        <w:tc>
          <w:tcPr>
            <w:tcW w:w="1103" w:type="dxa"/>
            <w:tcBorders>
              <w:top w:val="single" w:sz="6" w:space="0" w:color="auto"/>
              <w:left w:val="nil"/>
              <w:bottom w:val="single" w:sz="6" w:space="0" w:color="auto"/>
              <w:right w:val="nil"/>
            </w:tcBorders>
            <w:shd w:val="clear" w:color="auto" w:fill="D9D9D9"/>
          </w:tcPr>
          <w:p w:rsidR="004843DB" w:rsidRPr="0062582F" w:rsidRDefault="004843DB" w:rsidP="004843DB">
            <w:pPr>
              <w:pStyle w:val="Tabletextheading"/>
            </w:pPr>
            <w:r w:rsidRPr="0062582F">
              <w:t>Available</w:t>
            </w:r>
            <w:r w:rsidR="005A4BB0">
              <w:noBreakHyphen/>
            </w:r>
            <w:r w:rsidRPr="0062582F">
              <w:br/>
              <w:t>for</w:t>
            </w:r>
            <w:r w:rsidR="005A4BB0">
              <w:noBreakHyphen/>
            </w:r>
            <w:r w:rsidRPr="0062582F">
              <w:t>sale revaluation surplus</w:t>
            </w:r>
          </w:p>
        </w:tc>
      </w:tr>
      <w:tr w:rsidR="004843DB" w:rsidRPr="0062582F" w:rsidTr="004843DB">
        <w:trPr>
          <w:cantSplit/>
        </w:trPr>
        <w:tc>
          <w:tcPr>
            <w:tcW w:w="2923" w:type="dxa"/>
            <w:tcBorders>
              <w:top w:val="single" w:sz="6" w:space="0" w:color="auto"/>
              <w:left w:val="nil"/>
              <w:bottom w:val="nil"/>
              <w:right w:val="nil"/>
            </w:tcBorders>
          </w:tcPr>
          <w:p w:rsidR="004843DB" w:rsidRPr="0062582F" w:rsidRDefault="004843DB" w:rsidP="004843DB">
            <w:pPr>
              <w:pStyle w:val="Tabletext"/>
              <w:rPr>
                <w:b/>
              </w:rPr>
            </w:pPr>
            <w:r w:rsidRPr="0062582F">
              <w:rPr>
                <w:b/>
              </w:rPr>
              <w:t>Contractual financial assets</w:t>
            </w:r>
          </w:p>
        </w:tc>
        <w:tc>
          <w:tcPr>
            <w:tcW w:w="1080" w:type="dxa"/>
            <w:tcBorders>
              <w:top w:val="single" w:sz="6" w:space="0" w:color="auto"/>
              <w:left w:val="nil"/>
              <w:bottom w:val="nil"/>
              <w:right w:val="nil"/>
            </w:tcBorders>
            <w:shd w:val="solid" w:color="CCCCCC" w:fill="auto"/>
          </w:tcPr>
          <w:p w:rsidR="004843DB" w:rsidRPr="0062582F" w:rsidRDefault="004843DB" w:rsidP="004843DB">
            <w:pPr>
              <w:pStyle w:val="TableofFigures"/>
            </w:pPr>
            <w:r w:rsidRPr="0062582F">
              <w:t xml:space="preserve"> </w:t>
            </w:r>
          </w:p>
        </w:tc>
        <w:tc>
          <w:tcPr>
            <w:tcW w:w="1102"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1103" w:type="dxa"/>
            <w:tcBorders>
              <w:top w:val="single" w:sz="6"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1103" w:type="dxa"/>
            <w:tcBorders>
              <w:top w:val="single" w:sz="6"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r>
      <w:tr w:rsidR="004843DB" w:rsidRPr="0062582F" w:rsidTr="004843DB">
        <w:trPr>
          <w:cantSplit/>
        </w:trPr>
        <w:tc>
          <w:tcPr>
            <w:tcW w:w="2923" w:type="dxa"/>
            <w:tcBorders>
              <w:top w:val="nil"/>
              <w:left w:val="nil"/>
              <w:right w:val="nil"/>
            </w:tcBorders>
          </w:tcPr>
          <w:p w:rsidR="004843DB" w:rsidRPr="0062582F" w:rsidRDefault="004843DB" w:rsidP="004843DB">
            <w:pPr>
              <w:pStyle w:val="Tabletext"/>
            </w:pPr>
            <w:r w:rsidRPr="0062582F">
              <w:t xml:space="preserve">Cash and deposits </w:t>
            </w:r>
            <w:r w:rsidRPr="0062582F">
              <w:rPr>
                <w:vertAlign w:val="superscript"/>
              </w:rPr>
              <w:t>(i)</w:t>
            </w:r>
          </w:p>
        </w:tc>
        <w:tc>
          <w:tcPr>
            <w:tcW w:w="1080" w:type="dxa"/>
            <w:tcBorders>
              <w:top w:val="nil"/>
              <w:left w:val="nil"/>
              <w:right w:val="nil"/>
            </w:tcBorders>
            <w:shd w:val="solid" w:color="CCCCCC" w:fill="00FFFF"/>
          </w:tcPr>
          <w:p w:rsidR="004843DB" w:rsidRPr="0062582F" w:rsidRDefault="004843DB" w:rsidP="004843DB">
            <w:pPr>
              <w:pStyle w:val="TableofFigures"/>
            </w:pPr>
            <w:r w:rsidRPr="0062582F">
              <w:t>59 528</w:t>
            </w:r>
          </w:p>
        </w:tc>
        <w:tc>
          <w:tcPr>
            <w:tcW w:w="1102" w:type="dxa"/>
            <w:tcBorders>
              <w:top w:val="nil"/>
              <w:left w:val="nil"/>
              <w:right w:val="nil"/>
            </w:tcBorders>
          </w:tcPr>
          <w:p w:rsidR="004843DB" w:rsidRPr="0062582F" w:rsidRDefault="004843DB" w:rsidP="004843DB">
            <w:pPr>
              <w:pStyle w:val="TableofFigures"/>
            </w:pPr>
            <w:r w:rsidRPr="0062582F">
              <w:t>(595)</w:t>
            </w:r>
          </w:p>
        </w:tc>
        <w:tc>
          <w:tcPr>
            <w:tcW w:w="1103" w:type="dxa"/>
            <w:tcBorders>
              <w:top w:val="nil"/>
              <w:left w:val="nil"/>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right w:val="nil"/>
            </w:tcBorders>
          </w:tcPr>
          <w:p w:rsidR="004843DB" w:rsidRPr="0062582F" w:rsidRDefault="004843DB" w:rsidP="004843DB">
            <w:pPr>
              <w:pStyle w:val="TableofFigures"/>
            </w:pPr>
            <w:r w:rsidRPr="0062582F">
              <w:t>595</w:t>
            </w:r>
          </w:p>
        </w:tc>
        <w:tc>
          <w:tcPr>
            <w:tcW w:w="1103" w:type="dxa"/>
            <w:tcBorders>
              <w:top w:val="nil"/>
              <w:left w:val="nil"/>
              <w:right w:val="nil"/>
            </w:tcBorders>
            <w:shd w:val="clear" w:color="auto" w:fill="D9D9D9"/>
          </w:tcPr>
          <w:p w:rsidR="004843DB" w:rsidRPr="0062582F" w:rsidRDefault="004843DB" w:rsidP="004843DB">
            <w:pPr>
              <w:pStyle w:val="TableofFigures"/>
            </w:pPr>
            <w:r w:rsidRPr="0062582F">
              <w:t>..</w:t>
            </w:r>
          </w:p>
        </w:tc>
      </w:tr>
      <w:tr w:rsidR="004843DB" w:rsidRPr="0062582F" w:rsidTr="004843DB">
        <w:trPr>
          <w:cantSplit/>
        </w:trPr>
        <w:tc>
          <w:tcPr>
            <w:tcW w:w="2923" w:type="dxa"/>
            <w:tcBorders>
              <w:top w:val="nil"/>
              <w:left w:val="nil"/>
              <w:bottom w:val="single" w:sz="6" w:space="0" w:color="auto"/>
              <w:right w:val="nil"/>
            </w:tcBorders>
          </w:tcPr>
          <w:p w:rsidR="004843DB" w:rsidRPr="0062582F" w:rsidRDefault="004843DB" w:rsidP="004843DB">
            <w:pPr>
              <w:pStyle w:val="Tabletext"/>
            </w:pPr>
            <w:r w:rsidRPr="0062582F">
              <w:t xml:space="preserve">Investments and other contractual financial assets </w:t>
            </w:r>
            <w:r w:rsidRPr="0062582F">
              <w:rPr>
                <w:vertAlign w:val="superscript"/>
              </w:rPr>
              <w:t>(ii)</w:t>
            </w:r>
          </w:p>
        </w:tc>
        <w:tc>
          <w:tcPr>
            <w:tcW w:w="1080" w:type="dxa"/>
            <w:tcBorders>
              <w:top w:val="nil"/>
              <w:left w:val="nil"/>
              <w:bottom w:val="single" w:sz="6" w:space="0" w:color="auto"/>
              <w:right w:val="nil"/>
            </w:tcBorders>
            <w:shd w:val="solid" w:color="CCCCCC" w:fill="auto"/>
          </w:tcPr>
          <w:p w:rsidR="004843DB" w:rsidRPr="0062582F" w:rsidRDefault="004843DB" w:rsidP="004843DB">
            <w:pPr>
              <w:pStyle w:val="TableofFigures"/>
            </w:pPr>
            <w:r w:rsidRPr="0062582F">
              <w:t>13 976</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(67)</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 xml:space="preserve"> 67</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r>
      <w:tr w:rsidR="004843DB" w:rsidRPr="0062582F" w:rsidTr="004843DB">
        <w:trPr>
          <w:cantSplit/>
        </w:trPr>
        <w:tc>
          <w:tcPr>
            <w:tcW w:w="2923" w:type="dxa"/>
            <w:tcBorders>
              <w:top w:val="single" w:sz="6" w:space="0" w:color="auto"/>
              <w:left w:val="nil"/>
              <w:bottom w:val="single" w:sz="12" w:space="0" w:color="auto"/>
              <w:right w:val="nil"/>
            </w:tcBorders>
          </w:tcPr>
          <w:p w:rsidR="004843DB" w:rsidRPr="0062582F" w:rsidRDefault="004843DB" w:rsidP="004843DB">
            <w:pPr>
              <w:pStyle w:val="Tabletext"/>
              <w:rPr>
                <w:b/>
              </w:rPr>
            </w:pPr>
            <w:r w:rsidRPr="0062582F">
              <w:rPr>
                <w:b/>
              </w:rPr>
              <w:t>Total impact</w:t>
            </w:r>
          </w:p>
        </w:tc>
        <w:tc>
          <w:tcPr>
            <w:tcW w:w="1080" w:type="dxa"/>
            <w:tcBorders>
              <w:top w:val="single" w:sz="6" w:space="0" w:color="auto"/>
              <w:left w:val="nil"/>
              <w:bottom w:val="single" w:sz="12" w:space="0" w:color="auto"/>
              <w:right w:val="nil"/>
            </w:tcBorders>
            <w:shd w:val="solid" w:color="CCCCCC" w:fill="00FFFF"/>
          </w:tcPr>
          <w:p w:rsidR="004843DB" w:rsidRPr="0062582F" w:rsidRDefault="004843DB" w:rsidP="004843DB">
            <w:pPr>
              <w:pStyle w:val="TableofFigures"/>
              <w:rPr>
                <w:b/>
              </w:rPr>
            </w:pPr>
            <w:r w:rsidRPr="0062582F">
              <w:rPr>
                <w:b/>
              </w:rPr>
              <w:t xml:space="preserve"> </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(662)</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662</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r>
      <w:tr w:rsidR="004843DB" w:rsidRPr="0062582F" w:rsidTr="004843DB">
        <w:trPr>
          <w:cantSplit/>
        </w:trPr>
        <w:tc>
          <w:tcPr>
            <w:tcW w:w="2923" w:type="dxa"/>
            <w:tcBorders>
              <w:top w:val="single" w:sz="12" w:space="0" w:color="auto"/>
              <w:left w:val="nil"/>
              <w:bottom w:val="nil"/>
              <w:right w:val="nil"/>
            </w:tcBorders>
          </w:tcPr>
          <w:p w:rsidR="004843DB" w:rsidRPr="0062582F" w:rsidRDefault="004843DB" w:rsidP="004843DB">
            <w:pPr>
              <w:pStyle w:val="TabletextheadingLeft"/>
            </w:pPr>
            <w:r w:rsidRPr="0062582F">
              <w:t>2015</w:t>
            </w:r>
          </w:p>
        </w:tc>
        <w:tc>
          <w:tcPr>
            <w:tcW w:w="1080" w:type="dxa"/>
            <w:tcBorders>
              <w:top w:val="single" w:sz="12" w:space="0" w:color="auto"/>
              <w:left w:val="nil"/>
              <w:bottom w:val="nil"/>
              <w:right w:val="nil"/>
            </w:tcBorders>
            <w:shd w:val="solid" w:color="CCCCCC" w:fill="auto"/>
          </w:tcPr>
          <w:p w:rsidR="004843DB" w:rsidRPr="0062582F" w:rsidRDefault="004843DB" w:rsidP="004843DB">
            <w:pPr>
              <w:pStyle w:val="TabletextheadingLeft"/>
            </w:pPr>
          </w:p>
        </w:tc>
        <w:tc>
          <w:tcPr>
            <w:tcW w:w="2205" w:type="dxa"/>
            <w:gridSpan w:val="2"/>
            <w:tcBorders>
              <w:top w:val="single" w:sz="12" w:space="0" w:color="auto"/>
              <w:left w:val="nil"/>
              <w:bottom w:val="single" w:sz="6" w:space="0" w:color="auto"/>
              <w:right w:val="nil"/>
            </w:tcBorders>
          </w:tcPr>
          <w:p w:rsidR="004843DB" w:rsidRPr="0062582F" w:rsidRDefault="005A4BB0" w:rsidP="004843DB">
            <w:pPr>
              <w:pStyle w:val="Tabletextheading"/>
              <w:jc w:val="center"/>
            </w:pPr>
            <w:r>
              <w:noBreakHyphen/>
            </w:r>
            <w:r w:rsidR="004843DB" w:rsidRPr="0062582F">
              <w:t>100 basis points</w:t>
            </w:r>
          </w:p>
        </w:tc>
        <w:tc>
          <w:tcPr>
            <w:tcW w:w="2205" w:type="dxa"/>
            <w:gridSpan w:val="2"/>
            <w:tcBorders>
              <w:top w:val="single" w:sz="12" w:space="0" w:color="auto"/>
              <w:left w:val="nil"/>
              <w:bottom w:val="single" w:sz="6" w:space="0" w:color="auto"/>
              <w:right w:val="nil"/>
            </w:tcBorders>
          </w:tcPr>
          <w:p w:rsidR="004843DB" w:rsidRPr="0062582F" w:rsidRDefault="004843DB" w:rsidP="004843DB">
            <w:pPr>
              <w:pStyle w:val="Tabletextheading"/>
              <w:jc w:val="center"/>
            </w:pPr>
            <w:r w:rsidRPr="0062582F">
              <w:t>+100 basis points</w:t>
            </w:r>
          </w:p>
        </w:tc>
      </w:tr>
      <w:tr w:rsidR="004843DB" w:rsidRPr="0062582F" w:rsidTr="004843DB">
        <w:trPr>
          <w:cantSplit/>
        </w:trPr>
        <w:tc>
          <w:tcPr>
            <w:tcW w:w="2923" w:type="dxa"/>
            <w:tcBorders>
              <w:top w:val="nil"/>
              <w:left w:val="nil"/>
              <w:bottom w:val="nil"/>
              <w:right w:val="nil"/>
            </w:tcBorders>
          </w:tcPr>
          <w:p w:rsidR="004843DB" w:rsidRPr="0062582F" w:rsidRDefault="004843DB" w:rsidP="004843DB">
            <w:pPr>
              <w:pStyle w:val="Tabletext"/>
              <w:rPr>
                <w:b/>
              </w:rPr>
            </w:pPr>
            <w:r w:rsidRPr="0062582F">
              <w:rPr>
                <w:b/>
              </w:rPr>
              <w:t>Contractual financial assets</w:t>
            </w:r>
          </w:p>
        </w:tc>
        <w:tc>
          <w:tcPr>
            <w:tcW w:w="1080" w:type="dxa"/>
            <w:tcBorders>
              <w:top w:val="nil"/>
              <w:left w:val="nil"/>
              <w:bottom w:val="nil"/>
              <w:right w:val="nil"/>
            </w:tcBorders>
            <w:shd w:val="solid" w:color="CCCCCC" w:fill="auto"/>
          </w:tcPr>
          <w:p w:rsidR="004843DB" w:rsidRPr="0062582F" w:rsidRDefault="004843DB" w:rsidP="004843DB">
            <w:pPr>
              <w:pStyle w:val="TableofFigures"/>
            </w:pPr>
            <w:r w:rsidRPr="0062582F">
              <w:t xml:space="preserve"> </w:t>
            </w:r>
          </w:p>
        </w:tc>
        <w:tc>
          <w:tcPr>
            <w:tcW w:w="1102" w:type="dxa"/>
            <w:tcBorders>
              <w:top w:val="single" w:sz="6" w:space="0" w:color="auto"/>
              <w:left w:val="nil"/>
              <w:bottom w:val="nil"/>
              <w:right w:val="nil"/>
            </w:tcBorders>
          </w:tcPr>
          <w:p w:rsidR="004843DB" w:rsidRPr="0062582F" w:rsidRDefault="004843DB" w:rsidP="004843DB">
            <w:pPr>
              <w:pStyle w:val="TableofFigures"/>
            </w:pPr>
          </w:p>
        </w:tc>
        <w:tc>
          <w:tcPr>
            <w:tcW w:w="1103" w:type="dxa"/>
            <w:tcBorders>
              <w:top w:val="single" w:sz="6"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1103" w:type="dxa"/>
            <w:tcBorders>
              <w:top w:val="single" w:sz="6"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r>
      <w:tr w:rsidR="004843DB" w:rsidRPr="0062582F" w:rsidTr="004843DB">
        <w:trPr>
          <w:cantSplit/>
        </w:trPr>
        <w:tc>
          <w:tcPr>
            <w:tcW w:w="2923" w:type="dxa"/>
            <w:tcBorders>
              <w:top w:val="nil"/>
              <w:left w:val="nil"/>
              <w:right w:val="nil"/>
            </w:tcBorders>
          </w:tcPr>
          <w:p w:rsidR="004843DB" w:rsidRPr="0062582F" w:rsidRDefault="004843DB" w:rsidP="004843DB">
            <w:pPr>
              <w:pStyle w:val="Tabletext"/>
            </w:pPr>
            <w:r w:rsidRPr="0062582F">
              <w:t xml:space="preserve">Cash and deposits </w:t>
            </w:r>
            <w:r w:rsidRPr="0062582F">
              <w:rPr>
                <w:vertAlign w:val="superscript"/>
              </w:rPr>
              <w:t>(i)</w:t>
            </w:r>
          </w:p>
        </w:tc>
        <w:tc>
          <w:tcPr>
            <w:tcW w:w="1080" w:type="dxa"/>
            <w:tcBorders>
              <w:top w:val="nil"/>
              <w:left w:val="nil"/>
              <w:right w:val="nil"/>
            </w:tcBorders>
            <w:shd w:val="solid" w:color="CCCCCC" w:fill="00FFFF"/>
          </w:tcPr>
          <w:p w:rsidR="004843DB" w:rsidRPr="0062582F" w:rsidRDefault="004843DB" w:rsidP="004843DB">
            <w:pPr>
              <w:pStyle w:val="TableofFigures"/>
            </w:pPr>
            <w:r w:rsidRPr="0062582F">
              <w:t>48 648</w:t>
            </w:r>
          </w:p>
        </w:tc>
        <w:tc>
          <w:tcPr>
            <w:tcW w:w="1102" w:type="dxa"/>
            <w:tcBorders>
              <w:top w:val="nil"/>
              <w:left w:val="nil"/>
              <w:right w:val="nil"/>
            </w:tcBorders>
          </w:tcPr>
          <w:p w:rsidR="004843DB" w:rsidRPr="0062582F" w:rsidRDefault="004843DB" w:rsidP="004843DB">
            <w:pPr>
              <w:pStyle w:val="TableofFigures"/>
            </w:pPr>
            <w:r w:rsidRPr="0062582F">
              <w:t>(486)</w:t>
            </w:r>
          </w:p>
        </w:tc>
        <w:tc>
          <w:tcPr>
            <w:tcW w:w="1103" w:type="dxa"/>
            <w:tcBorders>
              <w:top w:val="nil"/>
              <w:left w:val="nil"/>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right w:val="nil"/>
            </w:tcBorders>
          </w:tcPr>
          <w:p w:rsidR="004843DB" w:rsidRPr="0062582F" w:rsidRDefault="004843DB" w:rsidP="004843DB">
            <w:pPr>
              <w:pStyle w:val="TableofFigures"/>
            </w:pPr>
            <w:r w:rsidRPr="0062582F">
              <w:t xml:space="preserve"> 486</w:t>
            </w:r>
          </w:p>
        </w:tc>
        <w:tc>
          <w:tcPr>
            <w:tcW w:w="1103" w:type="dxa"/>
            <w:tcBorders>
              <w:top w:val="nil"/>
              <w:left w:val="nil"/>
              <w:right w:val="nil"/>
            </w:tcBorders>
            <w:shd w:val="clear" w:color="auto" w:fill="D9D9D9"/>
          </w:tcPr>
          <w:p w:rsidR="004843DB" w:rsidRPr="0062582F" w:rsidRDefault="004843DB" w:rsidP="004843DB">
            <w:pPr>
              <w:pStyle w:val="TableofFigures"/>
            </w:pPr>
            <w:r w:rsidRPr="0062582F">
              <w:t>..</w:t>
            </w:r>
          </w:p>
        </w:tc>
      </w:tr>
      <w:tr w:rsidR="004843DB" w:rsidRPr="0062582F" w:rsidTr="004843DB">
        <w:trPr>
          <w:cantSplit/>
        </w:trPr>
        <w:tc>
          <w:tcPr>
            <w:tcW w:w="2923" w:type="dxa"/>
            <w:tcBorders>
              <w:top w:val="nil"/>
              <w:left w:val="nil"/>
              <w:bottom w:val="single" w:sz="6" w:space="0" w:color="auto"/>
              <w:right w:val="nil"/>
            </w:tcBorders>
          </w:tcPr>
          <w:p w:rsidR="004843DB" w:rsidRPr="0062582F" w:rsidRDefault="004843DB" w:rsidP="004843DB">
            <w:pPr>
              <w:pStyle w:val="Tabletext"/>
            </w:pPr>
            <w:r w:rsidRPr="0062582F">
              <w:t xml:space="preserve">Investments and other contractual financial assets </w:t>
            </w:r>
            <w:r w:rsidRPr="0062582F">
              <w:rPr>
                <w:vertAlign w:val="superscript"/>
              </w:rPr>
              <w:t>(ii)</w:t>
            </w:r>
          </w:p>
        </w:tc>
        <w:tc>
          <w:tcPr>
            <w:tcW w:w="1080" w:type="dxa"/>
            <w:tcBorders>
              <w:top w:val="nil"/>
              <w:left w:val="nil"/>
              <w:bottom w:val="single" w:sz="6" w:space="0" w:color="auto"/>
              <w:right w:val="nil"/>
            </w:tcBorders>
            <w:shd w:val="solid" w:color="CCCCCC" w:fill="auto"/>
          </w:tcPr>
          <w:p w:rsidR="004843DB" w:rsidRPr="0062582F" w:rsidRDefault="004843DB" w:rsidP="004843DB">
            <w:pPr>
              <w:pStyle w:val="TableofFigures"/>
            </w:pPr>
            <w:r w:rsidRPr="0062582F">
              <w:t>16 731</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(75)</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 xml:space="preserve"> 75</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r>
      <w:tr w:rsidR="004843DB" w:rsidRPr="0062582F" w:rsidTr="004843DB">
        <w:trPr>
          <w:cantSplit/>
        </w:trPr>
        <w:tc>
          <w:tcPr>
            <w:tcW w:w="2923" w:type="dxa"/>
            <w:tcBorders>
              <w:top w:val="single" w:sz="6" w:space="0" w:color="auto"/>
              <w:left w:val="nil"/>
              <w:bottom w:val="single" w:sz="12" w:space="0" w:color="auto"/>
              <w:right w:val="nil"/>
            </w:tcBorders>
          </w:tcPr>
          <w:p w:rsidR="004843DB" w:rsidRPr="0062582F" w:rsidRDefault="004843DB" w:rsidP="004843DB">
            <w:pPr>
              <w:pStyle w:val="Tabletext"/>
              <w:rPr>
                <w:b/>
              </w:rPr>
            </w:pPr>
            <w:r w:rsidRPr="0062582F">
              <w:rPr>
                <w:b/>
              </w:rPr>
              <w:t>Total impact</w:t>
            </w:r>
          </w:p>
        </w:tc>
        <w:tc>
          <w:tcPr>
            <w:tcW w:w="1080" w:type="dxa"/>
            <w:tcBorders>
              <w:top w:val="single" w:sz="6" w:space="0" w:color="auto"/>
              <w:left w:val="nil"/>
              <w:bottom w:val="single" w:sz="12" w:space="0" w:color="auto"/>
              <w:right w:val="nil"/>
            </w:tcBorders>
            <w:shd w:val="solid" w:color="CCCCCC" w:fill="00FFFF"/>
          </w:tcPr>
          <w:p w:rsidR="004843DB" w:rsidRPr="0062582F" w:rsidRDefault="004843DB" w:rsidP="004843DB">
            <w:pPr>
              <w:pStyle w:val="TableofFigures"/>
              <w:rPr>
                <w:b/>
                <w:bCs/>
              </w:rPr>
            </w:pP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(562)</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 xml:space="preserve"> 562</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r>
      <w:tr w:rsidR="004843DB" w:rsidRPr="0062582F" w:rsidTr="004843DB">
        <w:trPr>
          <w:cantSplit/>
        </w:trPr>
        <w:tc>
          <w:tcPr>
            <w:tcW w:w="2923" w:type="dxa"/>
            <w:tcBorders>
              <w:top w:val="single" w:sz="12" w:space="0" w:color="auto"/>
              <w:left w:val="nil"/>
              <w:right w:val="nil"/>
            </w:tcBorders>
          </w:tcPr>
          <w:p w:rsidR="004843DB" w:rsidRPr="0062582F" w:rsidRDefault="004843DB" w:rsidP="004843DB">
            <w:pPr>
              <w:pStyle w:val="Tabletext"/>
              <w:rPr>
                <w:b/>
              </w:rPr>
            </w:pPr>
            <w:r w:rsidRPr="0062582F">
              <w:rPr>
                <w:b/>
              </w:rPr>
              <w:t>Contractual financial liabilities</w:t>
            </w:r>
          </w:p>
        </w:tc>
        <w:tc>
          <w:tcPr>
            <w:tcW w:w="1080" w:type="dxa"/>
            <w:tcBorders>
              <w:top w:val="single" w:sz="12" w:space="0" w:color="auto"/>
              <w:left w:val="nil"/>
              <w:right w:val="nil"/>
            </w:tcBorders>
            <w:shd w:val="solid" w:color="CCCCCC" w:fill="auto"/>
          </w:tcPr>
          <w:p w:rsidR="004843DB" w:rsidRPr="0062582F" w:rsidRDefault="004843DB" w:rsidP="004843DB">
            <w:pPr>
              <w:pStyle w:val="TableofFigures"/>
            </w:pPr>
            <w:r w:rsidRPr="0062582F">
              <w:t xml:space="preserve"> </w:t>
            </w:r>
          </w:p>
        </w:tc>
        <w:tc>
          <w:tcPr>
            <w:tcW w:w="1102" w:type="dxa"/>
            <w:tcBorders>
              <w:top w:val="single" w:sz="12" w:space="0" w:color="auto"/>
              <w:left w:val="nil"/>
              <w:right w:val="nil"/>
            </w:tcBorders>
          </w:tcPr>
          <w:p w:rsidR="004843DB" w:rsidRPr="0062582F" w:rsidRDefault="004843DB" w:rsidP="004843DB">
            <w:pPr>
              <w:pStyle w:val="TableofFigures"/>
            </w:pPr>
            <w:r w:rsidRPr="0062582F">
              <w:t xml:space="preserve"> </w:t>
            </w:r>
          </w:p>
        </w:tc>
        <w:tc>
          <w:tcPr>
            <w:tcW w:w="1103" w:type="dxa"/>
            <w:tcBorders>
              <w:top w:val="single" w:sz="12" w:space="0" w:color="auto"/>
              <w:left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12" w:space="0" w:color="auto"/>
              <w:left w:val="nil"/>
              <w:right w:val="nil"/>
            </w:tcBorders>
          </w:tcPr>
          <w:p w:rsidR="004843DB" w:rsidRPr="0062582F" w:rsidRDefault="004843DB" w:rsidP="004843DB">
            <w:pPr>
              <w:pStyle w:val="TableofFigures"/>
            </w:pPr>
            <w:r w:rsidRPr="0062582F">
              <w:t xml:space="preserve"> </w:t>
            </w:r>
          </w:p>
        </w:tc>
        <w:tc>
          <w:tcPr>
            <w:tcW w:w="1103" w:type="dxa"/>
            <w:tcBorders>
              <w:top w:val="single" w:sz="12" w:space="0" w:color="auto"/>
              <w:left w:val="nil"/>
              <w:right w:val="nil"/>
            </w:tcBorders>
            <w:shd w:val="clear" w:color="auto" w:fill="D9D9D9"/>
          </w:tcPr>
          <w:p w:rsidR="004843DB" w:rsidRPr="0062582F" w:rsidRDefault="004843DB" w:rsidP="004843DB">
            <w:pPr>
              <w:pStyle w:val="TableofFigures"/>
            </w:pPr>
            <w:r w:rsidRPr="0062582F">
              <w:t xml:space="preserve"> </w:t>
            </w:r>
          </w:p>
        </w:tc>
      </w:tr>
      <w:tr w:rsidR="004843DB" w:rsidRPr="0062582F" w:rsidTr="004843DB">
        <w:trPr>
          <w:cantSplit/>
        </w:trPr>
        <w:tc>
          <w:tcPr>
            <w:tcW w:w="2923" w:type="dxa"/>
            <w:tcBorders>
              <w:top w:val="nil"/>
              <w:left w:val="nil"/>
              <w:bottom w:val="single" w:sz="6" w:space="0" w:color="auto"/>
              <w:right w:val="nil"/>
            </w:tcBorders>
          </w:tcPr>
          <w:p w:rsidR="004843DB" w:rsidRPr="0062582F" w:rsidRDefault="004843DB" w:rsidP="004843DB">
            <w:pPr>
              <w:pStyle w:val="Tabletext"/>
            </w:pPr>
            <w:r w:rsidRPr="0062582F">
              <w:t xml:space="preserve">Borrowings </w:t>
            </w:r>
            <w:r w:rsidRPr="0062582F">
              <w:rPr>
                <w:vertAlign w:val="superscript"/>
              </w:rPr>
              <w:t>(ii)</w:t>
            </w:r>
          </w:p>
        </w:tc>
        <w:tc>
          <w:tcPr>
            <w:tcW w:w="1080" w:type="dxa"/>
            <w:tcBorders>
              <w:top w:val="nil"/>
              <w:left w:val="nil"/>
              <w:bottom w:val="single" w:sz="6" w:space="0" w:color="auto"/>
              <w:right w:val="nil"/>
            </w:tcBorders>
            <w:shd w:val="solid" w:color="CCCCCC" w:fill="auto"/>
          </w:tcPr>
          <w:p w:rsidR="004843DB" w:rsidRPr="0062582F" w:rsidRDefault="004843DB" w:rsidP="004843DB">
            <w:pPr>
              <w:pStyle w:val="TableofFigures"/>
            </w:pPr>
            <w:r w:rsidRPr="0062582F">
              <w:t>65 548</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 xml:space="preserve"> 54</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(54)</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w:t>
            </w:r>
          </w:p>
        </w:tc>
      </w:tr>
      <w:tr w:rsidR="004843DB" w:rsidRPr="0062582F" w:rsidTr="004843DB">
        <w:trPr>
          <w:cantSplit/>
        </w:trPr>
        <w:tc>
          <w:tcPr>
            <w:tcW w:w="2923" w:type="dxa"/>
            <w:tcBorders>
              <w:top w:val="single" w:sz="6" w:space="0" w:color="auto"/>
              <w:left w:val="nil"/>
              <w:bottom w:val="single" w:sz="12" w:space="0" w:color="auto"/>
              <w:right w:val="nil"/>
            </w:tcBorders>
          </w:tcPr>
          <w:p w:rsidR="004843DB" w:rsidRPr="0062582F" w:rsidRDefault="004843DB" w:rsidP="004843DB">
            <w:pPr>
              <w:pStyle w:val="Tabletext"/>
              <w:rPr>
                <w:b/>
              </w:rPr>
            </w:pPr>
            <w:r w:rsidRPr="0062582F">
              <w:rPr>
                <w:b/>
              </w:rPr>
              <w:t>Total impact</w:t>
            </w:r>
          </w:p>
        </w:tc>
        <w:tc>
          <w:tcPr>
            <w:tcW w:w="1080" w:type="dxa"/>
            <w:tcBorders>
              <w:top w:val="single" w:sz="6" w:space="0" w:color="auto"/>
              <w:left w:val="nil"/>
              <w:bottom w:val="single" w:sz="12" w:space="0" w:color="auto"/>
              <w:right w:val="nil"/>
            </w:tcBorders>
            <w:shd w:val="solid" w:color="CCCCCC" w:fill="00FFFF"/>
          </w:tcPr>
          <w:p w:rsidR="004843DB" w:rsidRPr="0062582F" w:rsidRDefault="004843DB" w:rsidP="004843DB">
            <w:pPr>
              <w:pStyle w:val="TableofFigures"/>
              <w:rPr>
                <w:b/>
              </w:rPr>
            </w:pPr>
            <w:r w:rsidRPr="0062582F">
              <w:rPr>
                <w:b/>
              </w:rPr>
              <w:t xml:space="preserve"> </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 xml:space="preserve"> 54</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(54)</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r>
    </w:tbl>
    <w:p w:rsidR="004843DB" w:rsidRPr="0062582F" w:rsidRDefault="004843DB" w:rsidP="004843DB">
      <w:pPr>
        <w:pStyle w:val="Notes"/>
      </w:pPr>
      <w:r w:rsidRPr="0062582F">
        <w:t>Notes:</w:t>
      </w:r>
    </w:p>
    <w:p w:rsidR="004843DB" w:rsidRPr="0062582F" w:rsidRDefault="004843DB" w:rsidP="004843DB">
      <w:pPr>
        <w:pStyle w:val="Notes"/>
        <w:ind w:left="810"/>
        <w:jc w:val="both"/>
        <w:sectPr w:rsidR="004843DB" w:rsidRPr="0062582F" w:rsidSect="00190A01">
          <w:type w:val="continuous"/>
          <w:pgSz w:w="11906" w:h="16838" w:code="9"/>
          <w:pgMar w:top="1152" w:right="864" w:bottom="1152" w:left="864" w:header="720" w:footer="720" w:gutter="0"/>
          <w:cols w:num="2" w:space="360" w:equalWidth="0">
            <w:col w:w="1440" w:space="360"/>
            <w:col w:w="8378"/>
          </w:cols>
        </w:sectPr>
      </w:pPr>
    </w:p>
    <w:p w:rsidR="004843DB" w:rsidRPr="0062582F" w:rsidRDefault="004843DB" w:rsidP="004843DB">
      <w:pPr>
        <w:pStyle w:val="Reference"/>
        <w:spacing w:before="0"/>
        <w:rPr>
          <w:rStyle w:val="ReferenceChar"/>
        </w:rPr>
      </w:pPr>
      <w:r w:rsidRPr="0062582F">
        <w:rPr>
          <w:rStyle w:val="ReferenceChar"/>
        </w:rPr>
        <w:t>AASB 7.40(b)</w:t>
      </w:r>
    </w:p>
    <w:p w:rsidR="004843DB" w:rsidRPr="0062582F" w:rsidRDefault="004843DB" w:rsidP="004843DB">
      <w:pPr>
        <w:pStyle w:val="Notes"/>
      </w:pPr>
      <w:r w:rsidRPr="0062582F">
        <w:br w:type="column"/>
        <w:t>(i)</w:t>
      </w:r>
      <w:r w:rsidRPr="0062582F">
        <w:tab/>
        <w:t>Cash and deposits includes a deposit of $59 528 thousand (2014: $48 648 thousand) that is exposed to floating rates movements. Sensitivities to these movements are calculated as follows:</w:t>
      </w:r>
    </w:p>
    <w:p w:rsidR="004843DB" w:rsidRPr="0062582F" w:rsidRDefault="004843DB" w:rsidP="004843DB">
      <w:pPr>
        <w:pStyle w:val="Notes"/>
        <w:numPr>
          <w:ilvl w:val="0"/>
          <w:numId w:val="16"/>
        </w:numPr>
        <w:tabs>
          <w:tab w:val="clear" w:pos="454"/>
          <w:tab w:val="clear" w:pos="1260"/>
          <w:tab w:val="num" w:pos="720"/>
        </w:tabs>
        <w:ind w:left="720" w:hanging="270"/>
      </w:pPr>
      <w:r w:rsidRPr="0062582F">
        <w:t xml:space="preserve">2016: $59 528 thousand x </w:t>
      </w:r>
      <w:r w:rsidR="005A4BB0">
        <w:noBreakHyphen/>
      </w:r>
      <w:r w:rsidRPr="0062582F">
        <w:t xml:space="preserve">0.01 = </w:t>
      </w:r>
      <w:r w:rsidR="005A4BB0">
        <w:noBreakHyphen/>
      </w:r>
      <w:r w:rsidRPr="0062582F">
        <w:t>$595 thousand; and $59 528 thousand x 0.01 = $595 thousand; and</w:t>
      </w:r>
    </w:p>
    <w:p w:rsidR="004843DB" w:rsidRPr="0062582F" w:rsidRDefault="004843DB" w:rsidP="004843DB">
      <w:pPr>
        <w:pStyle w:val="Notes"/>
        <w:numPr>
          <w:ilvl w:val="0"/>
          <w:numId w:val="16"/>
        </w:numPr>
        <w:tabs>
          <w:tab w:val="clear" w:pos="454"/>
          <w:tab w:val="clear" w:pos="1260"/>
          <w:tab w:val="num" w:pos="720"/>
        </w:tabs>
        <w:ind w:left="720" w:hanging="270"/>
      </w:pPr>
      <w:r w:rsidRPr="0062582F">
        <w:t xml:space="preserve">2015: $48 648 thousand x </w:t>
      </w:r>
      <w:r w:rsidR="005A4BB0">
        <w:noBreakHyphen/>
      </w:r>
      <w:r w:rsidRPr="0062582F">
        <w:t xml:space="preserve">0.01 = </w:t>
      </w:r>
      <w:r w:rsidR="005A4BB0">
        <w:noBreakHyphen/>
      </w:r>
      <w:r w:rsidRPr="0062582F">
        <w:t>$486 thousand; and $48 648 thousand x 0.01 = $486 thousand.</w:t>
      </w:r>
    </w:p>
    <w:p w:rsidR="004843DB" w:rsidRPr="0062582F" w:rsidRDefault="004843DB" w:rsidP="004843DB">
      <w:pPr>
        <w:pStyle w:val="NotesBlue"/>
      </w:pPr>
      <w:r w:rsidRPr="0062582F">
        <w:t>(ii)</w:t>
      </w:r>
      <w:r w:rsidRPr="0062582F">
        <w:tab/>
        <w:t>[Disclosures on amounts exposed to movements in foreign currencies and the method of calculations as per note (i)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4843DB" w:rsidRPr="0062582F" w:rsidRDefault="004843DB" w:rsidP="004843DB">
      <w:pPr>
        <w:pStyle w:val="NotesBlue"/>
        <w:rPr>
          <w:rStyle w:val="ReferenceRedChar"/>
        </w:rPr>
      </w:pPr>
      <w:r w:rsidRPr="0062582F">
        <w:br w:type="page"/>
      </w:r>
    </w:p>
    <w:p w:rsidR="004843DB" w:rsidRPr="0062582F" w:rsidRDefault="004843DB" w:rsidP="004843DB">
      <w:pPr>
        <w:pStyle w:val="NoteHeadingcontinued"/>
      </w:pPr>
      <w:r w:rsidRPr="0062582F">
        <w:br w:type="column"/>
        <w:t>Note 33.</w:t>
      </w:r>
      <w:r w:rsidRPr="0062582F">
        <w:tab/>
        <w:t xml:space="preserve">Financial instruments </w:t>
      </w:r>
      <w:r w:rsidRPr="0062582F">
        <w:rPr>
          <w:i/>
        </w:rPr>
        <w:t>(continued)</w:t>
      </w:r>
    </w:p>
    <w:p w:rsidR="004843DB" w:rsidRPr="0062582F" w:rsidRDefault="004843DB" w:rsidP="00E348C3">
      <w:pPr>
        <w:pStyle w:val="Tableheading"/>
        <w:sectPr w:rsidR="004843DB" w:rsidRPr="0062582F" w:rsidSect="00190A01">
          <w:type w:val="continuous"/>
          <w:pgSz w:w="11906" w:h="16838" w:code="9"/>
          <w:pgMar w:top="1152" w:right="864" w:bottom="1152" w:left="864" w:header="432" w:footer="432" w:gutter="0"/>
          <w:cols w:num="2" w:space="360" w:equalWidth="0">
            <w:col w:w="1440" w:space="360"/>
            <w:col w:w="8378"/>
          </w:cols>
        </w:sectPr>
      </w:pPr>
    </w:p>
    <w:p w:rsidR="004843DB" w:rsidRPr="0062582F" w:rsidRDefault="004843DB" w:rsidP="004843DB">
      <w:pPr>
        <w:pStyle w:val="Reference"/>
        <w:spacing w:before="180"/>
        <w:rPr>
          <w:rStyle w:val="ReferenceChar"/>
        </w:rPr>
      </w:pPr>
      <w:r w:rsidRPr="0062582F">
        <w:rPr>
          <w:rStyle w:val="ReferenceChar"/>
        </w:rPr>
        <w:t>AASB 7.31, 34, 40(a)</w:t>
      </w:r>
    </w:p>
    <w:p w:rsidR="004843DB" w:rsidRPr="0062582F" w:rsidRDefault="004843DB" w:rsidP="00E348C3">
      <w:pPr>
        <w:pStyle w:val="Tableheading"/>
      </w:pPr>
      <w:r w:rsidRPr="0062582F">
        <w:br w:type="column"/>
        <w:t>Table 33.7(c): Other price risk sensitivity</w:t>
      </w:r>
    </w:p>
    <w:p w:rsidR="004843DB" w:rsidRPr="0062582F" w:rsidRDefault="004843DB" w:rsidP="004843DB">
      <w:pPr>
        <w:pStyle w:val="million"/>
      </w:pPr>
      <w:r w:rsidRPr="0062582F">
        <w:t>($ thousand)</w:t>
      </w:r>
    </w:p>
    <w:tbl>
      <w:tblPr>
        <w:tblW w:w="8413" w:type="dxa"/>
        <w:tblLayout w:type="fixed"/>
        <w:tblCellMar>
          <w:left w:w="43" w:type="dxa"/>
          <w:right w:w="43" w:type="dxa"/>
        </w:tblCellMar>
        <w:tblLook w:val="0000" w:firstRow="0" w:lastRow="0" w:firstColumn="0" w:lastColumn="0" w:noHBand="0" w:noVBand="0"/>
      </w:tblPr>
      <w:tblGrid>
        <w:gridCol w:w="2923"/>
        <w:gridCol w:w="1080"/>
        <w:gridCol w:w="1102"/>
        <w:gridCol w:w="1103"/>
        <w:gridCol w:w="1102"/>
        <w:gridCol w:w="1103"/>
      </w:tblGrid>
      <w:tr w:rsidR="004843DB" w:rsidRPr="0062582F" w:rsidTr="007E0B3D">
        <w:trPr>
          <w:cantSplit/>
        </w:trPr>
        <w:tc>
          <w:tcPr>
            <w:tcW w:w="2923" w:type="dxa"/>
            <w:tcBorders>
              <w:top w:val="single" w:sz="6" w:space="0" w:color="auto"/>
              <w:left w:val="nil"/>
              <w:bottom w:val="nil"/>
              <w:right w:val="nil"/>
            </w:tcBorders>
          </w:tcPr>
          <w:p w:rsidR="004843DB" w:rsidRPr="0062582F" w:rsidRDefault="004843DB" w:rsidP="004843DB">
            <w:pPr>
              <w:pStyle w:val="Tabletext"/>
            </w:pPr>
          </w:p>
        </w:tc>
        <w:tc>
          <w:tcPr>
            <w:tcW w:w="1080" w:type="dxa"/>
            <w:tcBorders>
              <w:top w:val="single" w:sz="6" w:space="0" w:color="auto"/>
              <w:left w:val="nil"/>
              <w:bottom w:val="nil"/>
              <w:right w:val="nil"/>
            </w:tcBorders>
            <w:shd w:val="clear" w:color="auto" w:fill="auto"/>
          </w:tcPr>
          <w:p w:rsidR="004843DB" w:rsidRPr="0062582F" w:rsidRDefault="004843DB" w:rsidP="004843DB">
            <w:pPr>
              <w:pStyle w:val="Tabletextheading"/>
            </w:pPr>
          </w:p>
        </w:tc>
        <w:tc>
          <w:tcPr>
            <w:tcW w:w="4410" w:type="dxa"/>
            <w:gridSpan w:val="4"/>
            <w:tcBorders>
              <w:top w:val="single" w:sz="6" w:space="0" w:color="auto"/>
              <w:left w:val="nil"/>
              <w:bottom w:val="single" w:sz="6" w:space="0" w:color="auto"/>
              <w:right w:val="nil"/>
            </w:tcBorders>
          </w:tcPr>
          <w:p w:rsidR="004843DB" w:rsidRPr="0062582F" w:rsidRDefault="004843DB" w:rsidP="004843DB">
            <w:pPr>
              <w:pStyle w:val="TabletextheadingCentred"/>
            </w:pPr>
            <w:r w:rsidRPr="0062582F">
              <w:t>Other price</w:t>
            </w:r>
          </w:p>
        </w:tc>
      </w:tr>
      <w:tr w:rsidR="004843DB" w:rsidRPr="0062582F" w:rsidTr="007E0B3D">
        <w:trPr>
          <w:cantSplit/>
        </w:trPr>
        <w:tc>
          <w:tcPr>
            <w:tcW w:w="2923" w:type="dxa"/>
            <w:tcBorders>
              <w:top w:val="nil"/>
              <w:left w:val="nil"/>
              <w:bottom w:val="nil"/>
              <w:right w:val="nil"/>
            </w:tcBorders>
          </w:tcPr>
          <w:p w:rsidR="004843DB" w:rsidRPr="0062582F" w:rsidRDefault="004843DB" w:rsidP="004843DB">
            <w:pPr>
              <w:pStyle w:val="Tabletext"/>
            </w:pPr>
            <w:r w:rsidRPr="0062582F">
              <w:t xml:space="preserve"> </w:t>
            </w:r>
          </w:p>
        </w:tc>
        <w:tc>
          <w:tcPr>
            <w:tcW w:w="1080" w:type="dxa"/>
            <w:tcBorders>
              <w:top w:val="nil"/>
              <w:left w:val="nil"/>
              <w:bottom w:val="nil"/>
              <w:right w:val="nil"/>
            </w:tcBorders>
            <w:shd w:val="clear" w:color="auto" w:fill="auto"/>
          </w:tcPr>
          <w:p w:rsidR="004843DB" w:rsidRPr="0062582F" w:rsidRDefault="004843DB" w:rsidP="004843DB">
            <w:pPr>
              <w:pStyle w:val="Tabletextheading"/>
            </w:pPr>
          </w:p>
        </w:tc>
        <w:tc>
          <w:tcPr>
            <w:tcW w:w="2205" w:type="dxa"/>
            <w:gridSpan w:val="2"/>
            <w:tcBorders>
              <w:top w:val="single" w:sz="6" w:space="0" w:color="auto"/>
              <w:left w:val="nil"/>
              <w:bottom w:val="single" w:sz="6" w:space="0" w:color="auto"/>
              <w:right w:val="nil"/>
            </w:tcBorders>
          </w:tcPr>
          <w:p w:rsidR="004843DB" w:rsidRPr="0062582F" w:rsidRDefault="005A4BB0" w:rsidP="004843DB">
            <w:pPr>
              <w:pStyle w:val="Tabletextheading"/>
              <w:jc w:val="center"/>
            </w:pPr>
            <w:r>
              <w:noBreakHyphen/>
            </w:r>
            <w:r w:rsidR="004843DB" w:rsidRPr="0062582F">
              <w:t>15%</w:t>
            </w:r>
          </w:p>
        </w:tc>
        <w:tc>
          <w:tcPr>
            <w:tcW w:w="2205" w:type="dxa"/>
            <w:gridSpan w:val="2"/>
            <w:tcBorders>
              <w:top w:val="single" w:sz="6" w:space="0" w:color="auto"/>
              <w:left w:val="nil"/>
              <w:bottom w:val="single" w:sz="6" w:space="0" w:color="auto"/>
              <w:right w:val="nil"/>
            </w:tcBorders>
          </w:tcPr>
          <w:p w:rsidR="004843DB" w:rsidRPr="0062582F" w:rsidRDefault="004843DB" w:rsidP="004843DB">
            <w:pPr>
              <w:pStyle w:val="Tabletextheading"/>
              <w:jc w:val="center"/>
            </w:pPr>
            <w:r w:rsidRPr="0062582F">
              <w:t>+15%</w:t>
            </w:r>
          </w:p>
        </w:tc>
      </w:tr>
      <w:tr w:rsidR="004843DB" w:rsidRPr="0062582F" w:rsidTr="007E0B3D">
        <w:trPr>
          <w:cantSplit/>
        </w:trPr>
        <w:tc>
          <w:tcPr>
            <w:tcW w:w="2923" w:type="dxa"/>
            <w:tcBorders>
              <w:top w:val="nil"/>
              <w:left w:val="nil"/>
              <w:bottom w:val="single" w:sz="6" w:space="0" w:color="auto"/>
              <w:right w:val="nil"/>
            </w:tcBorders>
          </w:tcPr>
          <w:p w:rsidR="004843DB" w:rsidRPr="0062582F" w:rsidRDefault="004843DB" w:rsidP="004843DB">
            <w:pPr>
              <w:pStyle w:val="TabletextheadingLeft"/>
            </w:pPr>
            <w:r w:rsidRPr="0062582F">
              <w:br/>
            </w:r>
            <w:r w:rsidRPr="0062582F">
              <w:br/>
            </w:r>
            <w:r w:rsidRPr="0062582F">
              <w:br/>
              <w:t>2016</w:t>
            </w:r>
          </w:p>
        </w:tc>
        <w:tc>
          <w:tcPr>
            <w:tcW w:w="1080" w:type="dxa"/>
            <w:tcBorders>
              <w:top w:val="nil"/>
              <w:left w:val="nil"/>
              <w:bottom w:val="single" w:sz="6" w:space="0" w:color="auto"/>
              <w:right w:val="nil"/>
            </w:tcBorders>
            <w:shd w:val="clear" w:color="auto" w:fill="D9D9D9"/>
          </w:tcPr>
          <w:p w:rsidR="004843DB" w:rsidRPr="0062582F" w:rsidRDefault="004843DB" w:rsidP="004843DB">
            <w:pPr>
              <w:pStyle w:val="Tabletextheading"/>
            </w:pPr>
            <w:r w:rsidRPr="0062582F">
              <w:br/>
            </w:r>
            <w:r w:rsidRPr="0062582F">
              <w:br/>
              <w:t>Carrying amount</w:t>
            </w:r>
          </w:p>
        </w:tc>
        <w:tc>
          <w:tcPr>
            <w:tcW w:w="1102"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br/>
            </w:r>
            <w:r w:rsidRPr="0062582F">
              <w:br/>
            </w:r>
            <w:r w:rsidRPr="0062582F">
              <w:br/>
              <w:t>Net result</w:t>
            </w:r>
          </w:p>
        </w:tc>
        <w:tc>
          <w:tcPr>
            <w:tcW w:w="1103" w:type="dxa"/>
            <w:tcBorders>
              <w:top w:val="single" w:sz="6" w:space="0" w:color="auto"/>
              <w:left w:val="nil"/>
              <w:bottom w:val="single" w:sz="6" w:space="0" w:color="auto"/>
              <w:right w:val="nil"/>
            </w:tcBorders>
            <w:shd w:val="clear" w:color="auto" w:fill="D9D9D9"/>
          </w:tcPr>
          <w:p w:rsidR="004843DB" w:rsidRPr="0062582F" w:rsidRDefault="004843DB" w:rsidP="004843DB">
            <w:pPr>
              <w:pStyle w:val="Tabletextheading"/>
            </w:pPr>
            <w:r w:rsidRPr="0062582F">
              <w:t>Available</w:t>
            </w:r>
            <w:r w:rsidR="005A4BB0">
              <w:noBreakHyphen/>
            </w:r>
            <w:r w:rsidRPr="0062582F">
              <w:br/>
              <w:t>for</w:t>
            </w:r>
            <w:r w:rsidR="005A4BB0">
              <w:noBreakHyphen/>
            </w:r>
            <w:r w:rsidRPr="0062582F">
              <w:t>sale revaluation surplus</w:t>
            </w:r>
          </w:p>
        </w:tc>
        <w:tc>
          <w:tcPr>
            <w:tcW w:w="1102"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br/>
            </w:r>
            <w:r w:rsidRPr="0062582F">
              <w:br/>
            </w:r>
            <w:r w:rsidRPr="0062582F">
              <w:br/>
              <w:t>Net result</w:t>
            </w:r>
          </w:p>
        </w:tc>
        <w:tc>
          <w:tcPr>
            <w:tcW w:w="1103" w:type="dxa"/>
            <w:tcBorders>
              <w:top w:val="single" w:sz="6" w:space="0" w:color="auto"/>
              <w:left w:val="nil"/>
              <w:bottom w:val="single" w:sz="6" w:space="0" w:color="auto"/>
              <w:right w:val="nil"/>
            </w:tcBorders>
            <w:shd w:val="clear" w:color="auto" w:fill="D9D9D9"/>
          </w:tcPr>
          <w:p w:rsidR="004843DB" w:rsidRPr="0062582F" w:rsidRDefault="004843DB" w:rsidP="004843DB">
            <w:pPr>
              <w:pStyle w:val="Tabletextheading"/>
            </w:pPr>
            <w:r w:rsidRPr="0062582F">
              <w:t>Available</w:t>
            </w:r>
            <w:r w:rsidR="005A4BB0">
              <w:noBreakHyphen/>
            </w:r>
            <w:r w:rsidRPr="0062582F">
              <w:br/>
              <w:t>for</w:t>
            </w:r>
            <w:r w:rsidR="005A4BB0">
              <w:noBreakHyphen/>
            </w:r>
            <w:r w:rsidRPr="0062582F">
              <w:t>sale revaluation surplus</w:t>
            </w:r>
          </w:p>
        </w:tc>
      </w:tr>
      <w:tr w:rsidR="004843DB" w:rsidRPr="0062582F" w:rsidTr="007E0B3D">
        <w:trPr>
          <w:cantSplit/>
        </w:trPr>
        <w:tc>
          <w:tcPr>
            <w:tcW w:w="2923" w:type="dxa"/>
            <w:tcBorders>
              <w:top w:val="single" w:sz="6" w:space="0" w:color="auto"/>
              <w:left w:val="nil"/>
              <w:bottom w:val="nil"/>
              <w:right w:val="nil"/>
            </w:tcBorders>
          </w:tcPr>
          <w:p w:rsidR="004843DB" w:rsidRPr="0062582F" w:rsidRDefault="004843DB" w:rsidP="004843DB">
            <w:pPr>
              <w:pStyle w:val="Tabletext"/>
              <w:rPr>
                <w:b/>
              </w:rPr>
            </w:pPr>
            <w:r w:rsidRPr="0062582F">
              <w:rPr>
                <w:b/>
              </w:rPr>
              <w:t>Contractual financial assets</w:t>
            </w:r>
          </w:p>
        </w:tc>
        <w:tc>
          <w:tcPr>
            <w:tcW w:w="1080" w:type="dxa"/>
            <w:tcBorders>
              <w:top w:val="single" w:sz="6" w:space="0" w:color="auto"/>
              <w:left w:val="nil"/>
              <w:bottom w:val="nil"/>
              <w:right w:val="nil"/>
            </w:tcBorders>
            <w:shd w:val="clear" w:color="auto" w:fill="D9D9D9"/>
          </w:tcPr>
          <w:p w:rsidR="004843DB" w:rsidRPr="0062582F" w:rsidRDefault="004843DB" w:rsidP="004843DB">
            <w:pPr>
              <w:pStyle w:val="TableofFigures"/>
            </w:pPr>
          </w:p>
        </w:tc>
        <w:tc>
          <w:tcPr>
            <w:tcW w:w="1102"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1103" w:type="dxa"/>
            <w:tcBorders>
              <w:top w:val="single" w:sz="6"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1103" w:type="dxa"/>
            <w:tcBorders>
              <w:top w:val="single" w:sz="6" w:space="0" w:color="auto"/>
              <w:left w:val="nil"/>
              <w:bottom w:val="nil"/>
              <w:right w:val="nil"/>
            </w:tcBorders>
            <w:shd w:val="clear" w:color="auto" w:fill="D9D9D9"/>
          </w:tcPr>
          <w:p w:rsidR="004843DB" w:rsidRPr="0062582F" w:rsidRDefault="004843DB" w:rsidP="004843DB">
            <w:pPr>
              <w:pStyle w:val="TableofFigures"/>
            </w:pPr>
            <w:r w:rsidRPr="0062582F">
              <w:t xml:space="preserve"> </w:t>
            </w:r>
          </w:p>
        </w:tc>
      </w:tr>
      <w:tr w:rsidR="004843DB" w:rsidRPr="0062582F" w:rsidTr="007E0B3D">
        <w:trPr>
          <w:cantSplit/>
        </w:trPr>
        <w:tc>
          <w:tcPr>
            <w:tcW w:w="2923" w:type="dxa"/>
            <w:tcBorders>
              <w:top w:val="nil"/>
              <w:left w:val="nil"/>
              <w:bottom w:val="single" w:sz="6" w:space="0" w:color="auto"/>
              <w:right w:val="nil"/>
            </w:tcBorders>
          </w:tcPr>
          <w:p w:rsidR="004843DB" w:rsidRPr="0062582F" w:rsidRDefault="004843DB" w:rsidP="004843DB">
            <w:pPr>
              <w:pStyle w:val="Tabletext"/>
            </w:pPr>
            <w:r w:rsidRPr="0062582F">
              <w:t>Investments and other contractual financial assets</w:t>
            </w:r>
          </w:p>
        </w:tc>
        <w:tc>
          <w:tcPr>
            <w:tcW w:w="1080"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13 976</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(310)</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 xml:space="preserve"> 310</w:t>
            </w:r>
          </w:p>
        </w:tc>
      </w:tr>
      <w:tr w:rsidR="004843DB" w:rsidRPr="0062582F" w:rsidTr="007E0B3D">
        <w:trPr>
          <w:cantSplit/>
        </w:trPr>
        <w:tc>
          <w:tcPr>
            <w:tcW w:w="2923" w:type="dxa"/>
            <w:tcBorders>
              <w:top w:val="single" w:sz="6" w:space="0" w:color="auto"/>
              <w:left w:val="nil"/>
              <w:bottom w:val="single" w:sz="12" w:space="0" w:color="auto"/>
              <w:right w:val="nil"/>
            </w:tcBorders>
          </w:tcPr>
          <w:p w:rsidR="004843DB" w:rsidRPr="0062582F" w:rsidRDefault="004843DB" w:rsidP="004843DB">
            <w:pPr>
              <w:pStyle w:val="Tabletext"/>
              <w:rPr>
                <w:b/>
              </w:rPr>
            </w:pPr>
            <w:r w:rsidRPr="0062582F">
              <w:rPr>
                <w:b/>
              </w:rPr>
              <w:t>Total impact</w:t>
            </w:r>
          </w:p>
        </w:tc>
        <w:tc>
          <w:tcPr>
            <w:tcW w:w="1080"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bCs/>
              </w:rPr>
            </w:pP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(310)</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 xml:space="preserve"> 310</w:t>
            </w:r>
          </w:p>
        </w:tc>
      </w:tr>
      <w:tr w:rsidR="004843DB" w:rsidRPr="0062582F" w:rsidTr="007E0B3D">
        <w:trPr>
          <w:cantSplit/>
        </w:trPr>
        <w:tc>
          <w:tcPr>
            <w:tcW w:w="2923" w:type="dxa"/>
            <w:tcBorders>
              <w:top w:val="single" w:sz="12" w:space="0" w:color="auto"/>
              <w:left w:val="nil"/>
              <w:right w:val="nil"/>
            </w:tcBorders>
          </w:tcPr>
          <w:p w:rsidR="004843DB" w:rsidRPr="0062582F" w:rsidRDefault="004843DB" w:rsidP="004843DB">
            <w:pPr>
              <w:pStyle w:val="TabletextheadingLeft"/>
            </w:pPr>
          </w:p>
        </w:tc>
        <w:tc>
          <w:tcPr>
            <w:tcW w:w="1080" w:type="dxa"/>
            <w:tcBorders>
              <w:top w:val="single" w:sz="12" w:space="0" w:color="auto"/>
              <w:left w:val="nil"/>
              <w:right w:val="nil"/>
            </w:tcBorders>
            <w:shd w:val="clear" w:color="auto" w:fill="D9D9D9"/>
          </w:tcPr>
          <w:p w:rsidR="004843DB" w:rsidRPr="0062582F" w:rsidRDefault="004843DB" w:rsidP="004843DB">
            <w:pPr>
              <w:pStyle w:val="TableofFigures"/>
            </w:pPr>
          </w:p>
        </w:tc>
        <w:tc>
          <w:tcPr>
            <w:tcW w:w="2205" w:type="dxa"/>
            <w:gridSpan w:val="2"/>
            <w:tcBorders>
              <w:top w:val="single" w:sz="12" w:space="0" w:color="auto"/>
              <w:left w:val="nil"/>
              <w:bottom w:val="single" w:sz="6" w:space="0" w:color="auto"/>
              <w:right w:val="nil"/>
            </w:tcBorders>
          </w:tcPr>
          <w:p w:rsidR="004843DB" w:rsidRPr="0062582F" w:rsidRDefault="005A4BB0" w:rsidP="004843DB">
            <w:pPr>
              <w:pStyle w:val="Tabletextheading"/>
              <w:jc w:val="center"/>
            </w:pPr>
            <w:r>
              <w:noBreakHyphen/>
            </w:r>
            <w:r w:rsidR="004843DB" w:rsidRPr="0062582F">
              <w:t>15%</w:t>
            </w:r>
          </w:p>
        </w:tc>
        <w:tc>
          <w:tcPr>
            <w:tcW w:w="2205" w:type="dxa"/>
            <w:gridSpan w:val="2"/>
            <w:tcBorders>
              <w:top w:val="single" w:sz="12" w:space="0" w:color="auto"/>
              <w:left w:val="nil"/>
              <w:bottom w:val="single" w:sz="6" w:space="0" w:color="auto"/>
              <w:right w:val="nil"/>
            </w:tcBorders>
          </w:tcPr>
          <w:p w:rsidR="004843DB" w:rsidRPr="0062582F" w:rsidRDefault="004843DB" w:rsidP="004843DB">
            <w:pPr>
              <w:pStyle w:val="Tabletextheading"/>
              <w:jc w:val="center"/>
            </w:pPr>
            <w:r w:rsidRPr="0062582F">
              <w:t>+15%</w:t>
            </w:r>
          </w:p>
        </w:tc>
      </w:tr>
      <w:tr w:rsidR="004843DB" w:rsidRPr="0062582F" w:rsidTr="007E0B3D">
        <w:trPr>
          <w:cantSplit/>
        </w:trPr>
        <w:tc>
          <w:tcPr>
            <w:tcW w:w="2923" w:type="dxa"/>
            <w:tcBorders>
              <w:left w:val="nil"/>
              <w:bottom w:val="nil"/>
              <w:right w:val="nil"/>
            </w:tcBorders>
          </w:tcPr>
          <w:p w:rsidR="004843DB" w:rsidRPr="0062582F" w:rsidRDefault="004843DB" w:rsidP="004843DB">
            <w:pPr>
              <w:pStyle w:val="TabletextheadingLeft"/>
              <w:rPr>
                <w:b/>
              </w:rPr>
            </w:pPr>
            <w:r w:rsidRPr="0062582F">
              <w:t>2015</w:t>
            </w:r>
          </w:p>
        </w:tc>
        <w:tc>
          <w:tcPr>
            <w:tcW w:w="1080" w:type="dxa"/>
            <w:tcBorders>
              <w:left w:val="nil"/>
              <w:bottom w:val="nil"/>
              <w:right w:val="nil"/>
            </w:tcBorders>
            <w:shd w:val="clear" w:color="auto" w:fill="D9D9D9"/>
          </w:tcPr>
          <w:p w:rsidR="004843DB" w:rsidRPr="0062582F" w:rsidRDefault="004843DB" w:rsidP="004843DB">
            <w:pPr>
              <w:pStyle w:val="TableofFigures"/>
            </w:pPr>
          </w:p>
        </w:tc>
        <w:tc>
          <w:tcPr>
            <w:tcW w:w="1102" w:type="dxa"/>
            <w:tcBorders>
              <w:top w:val="single" w:sz="6" w:space="0" w:color="auto"/>
              <w:left w:val="nil"/>
              <w:right w:val="nil"/>
            </w:tcBorders>
          </w:tcPr>
          <w:p w:rsidR="004843DB" w:rsidRPr="0062582F" w:rsidRDefault="004843DB" w:rsidP="004843DB">
            <w:pPr>
              <w:pStyle w:val="TableofFigures"/>
            </w:pPr>
          </w:p>
        </w:tc>
        <w:tc>
          <w:tcPr>
            <w:tcW w:w="1103" w:type="dxa"/>
            <w:tcBorders>
              <w:top w:val="single" w:sz="6" w:space="0" w:color="auto"/>
              <w:left w:val="nil"/>
              <w:right w:val="nil"/>
            </w:tcBorders>
            <w:shd w:val="clear" w:color="auto" w:fill="D9D9D9"/>
          </w:tcPr>
          <w:p w:rsidR="004843DB" w:rsidRPr="0062582F" w:rsidRDefault="004843DB" w:rsidP="004843DB">
            <w:pPr>
              <w:pStyle w:val="TableofFigures"/>
            </w:pPr>
          </w:p>
        </w:tc>
        <w:tc>
          <w:tcPr>
            <w:tcW w:w="1102" w:type="dxa"/>
            <w:tcBorders>
              <w:top w:val="single" w:sz="6" w:space="0" w:color="auto"/>
              <w:left w:val="nil"/>
              <w:right w:val="nil"/>
            </w:tcBorders>
          </w:tcPr>
          <w:p w:rsidR="004843DB" w:rsidRPr="0062582F" w:rsidRDefault="004843DB" w:rsidP="004843DB">
            <w:pPr>
              <w:pStyle w:val="TableofFigures"/>
            </w:pPr>
          </w:p>
        </w:tc>
        <w:tc>
          <w:tcPr>
            <w:tcW w:w="1103" w:type="dxa"/>
            <w:tcBorders>
              <w:top w:val="single" w:sz="6" w:space="0" w:color="auto"/>
              <w:left w:val="nil"/>
              <w:right w:val="nil"/>
            </w:tcBorders>
            <w:shd w:val="clear" w:color="auto" w:fill="D9D9D9"/>
          </w:tcPr>
          <w:p w:rsidR="004843DB" w:rsidRPr="0062582F" w:rsidRDefault="004843DB" w:rsidP="004843DB">
            <w:pPr>
              <w:pStyle w:val="TableofFigures"/>
            </w:pPr>
          </w:p>
        </w:tc>
      </w:tr>
      <w:tr w:rsidR="004843DB" w:rsidRPr="0062582F" w:rsidTr="007E0B3D">
        <w:trPr>
          <w:cantSplit/>
        </w:trPr>
        <w:tc>
          <w:tcPr>
            <w:tcW w:w="2923" w:type="dxa"/>
            <w:tcBorders>
              <w:left w:val="nil"/>
              <w:bottom w:val="nil"/>
              <w:right w:val="nil"/>
            </w:tcBorders>
          </w:tcPr>
          <w:p w:rsidR="004843DB" w:rsidRPr="0062582F" w:rsidRDefault="004843DB" w:rsidP="004843DB">
            <w:pPr>
              <w:pStyle w:val="Tabletext"/>
            </w:pPr>
            <w:r w:rsidRPr="0062582F">
              <w:rPr>
                <w:b/>
              </w:rPr>
              <w:t>Contractual financial assets</w:t>
            </w:r>
          </w:p>
        </w:tc>
        <w:tc>
          <w:tcPr>
            <w:tcW w:w="1080" w:type="dxa"/>
            <w:tcBorders>
              <w:left w:val="nil"/>
              <w:bottom w:val="nil"/>
              <w:right w:val="nil"/>
            </w:tcBorders>
            <w:shd w:val="clear" w:color="auto" w:fill="D9D9D9"/>
          </w:tcPr>
          <w:p w:rsidR="004843DB" w:rsidRPr="0062582F" w:rsidRDefault="004843DB" w:rsidP="004843DB">
            <w:pPr>
              <w:pStyle w:val="TableofFigures"/>
            </w:pPr>
          </w:p>
        </w:tc>
        <w:tc>
          <w:tcPr>
            <w:tcW w:w="1102" w:type="dxa"/>
            <w:tcBorders>
              <w:left w:val="nil"/>
              <w:bottom w:val="nil"/>
              <w:right w:val="nil"/>
            </w:tcBorders>
          </w:tcPr>
          <w:p w:rsidR="004843DB" w:rsidRPr="0062582F" w:rsidRDefault="004843DB" w:rsidP="004843DB">
            <w:pPr>
              <w:pStyle w:val="TableofFigures"/>
            </w:pPr>
            <w:r w:rsidRPr="0062582F">
              <w:t xml:space="preserve"> </w:t>
            </w:r>
          </w:p>
        </w:tc>
        <w:tc>
          <w:tcPr>
            <w:tcW w:w="1103" w:type="dxa"/>
            <w:tcBorders>
              <w:left w:val="nil"/>
              <w:bottom w:val="nil"/>
              <w:right w:val="nil"/>
            </w:tcBorders>
            <w:shd w:val="clear" w:color="auto" w:fill="D9D9D9"/>
          </w:tcPr>
          <w:p w:rsidR="004843DB" w:rsidRPr="0062582F" w:rsidRDefault="004843DB" w:rsidP="004843DB">
            <w:pPr>
              <w:pStyle w:val="TableofFigures"/>
            </w:pPr>
            <w:r w:rsidRPr="0062582F">
              <w:t xml:space="preserve"> </w:t>
            </w:r>
          </w:p>
        </w:tc>
        <w:tc>
          <w:tcPr>
            <w:tcW w:w="1102" w:type="dxa"/>
            <w:tcBorders>
              <w:left w:val="nil"/>
              <w:bottom w:val="nil"/>
              <w:right w:val="nil"/>
            </w:tcBorders>
          </w:tcPr>
          <w:p w:rsidR="004843DB" w:rsidRPr="0062582F" w:rsidRDefault="004843DB" w:rsidP="004843DB">
            <w:pPr>
              <w:pStyle w:val="TableofFigures"/>
            </w:pPr>
            <w:r w:rsidRPr="0062582F">
              <w:t xml:space="preserve"> </w:t>
            </w:r>
          </w:p>
        </w:tc>
        <w:tc>
          <w:tcPr>
            <w:tcW w:w="1103" w:type="dxa"/>
            <w:tcBorders>
              <w:left w:val="nil"/>
              <w:bottom w:val="nil"/>
              <w:right w:val="nil"/>
            </w:tcBorders>
            <w:shd w:val="clear" w:color="auto" w:fill="D9D9D9"/>
          </w:tcPr>
          <w:p w:rsidR="004843DB" w:rsidRPr="0062582F" w:rsidRDefault="004843DB" w:rsidP="004843DB">
            <w:pPr>
              <w:pStyle w:val="TableofFigures"/>
            </w:pPr>
            <w:r w:rsidRPr="0062582F">
              <w:t xml:space="preserve"> </w:t>
            </w:r>
          </w:p>
        </w:tc>
      </w:tr>
      <w:tr w:rsidR="004843DB" w:rsidRPr="0062582F" w:rsidTr="007E0B3D">
        <w:trPr>
          <w:cantSplit/>
        </w:trPr>
        <w:tc>
          <w:tcPr>
            <w:tcW w:w="2923" w:type="dxa"/>
            <w:tcBorders>
              <w:top w:val="nil"/>
              <w:left w:val="nil"/>
              <w:bottom w:val="single" w:sz="6" w:space="0" w:color="auto"/>
              <w:right w:val="nil"/>
            </w:tcBorders>
          </w:tcPr>
          <w:p w:rsidR="004843DB" w:rsidRPr="0062582F" w:rsidRDefault="004843DB" w:rsidP="004843DB">
            <w:pPr>
              <w:pStyle w:val="Tabletext"/>
            </w:pPr>
            <w:r w:rsidRPr="0062582F">
              <w:t>Investments and other contractual financial assets</w:t>
            </w:r>
          </w:p>
        </w:tc>
        <w:tc>
          <w:tcPr>
            <w:tcW w:w="1080"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16 731</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(627)</w:t>
            </w:r>
          </w:p>
        </w:tc>
        <w:tc>
          <w:tcPr>
            <w:tcW w:w="1102" w:type="dxa"/>
            <w:tcBorders>
              <w:top w:val="nil"/>
              <w:left w:val="nil"/>
              <w:bottom w:val="single" w:sz="6" w:space="0" w:color="auto"/>
              <w:right w:val="nil"/>
            </w:tcBorders>
          </w:tcPr>
          <w:p w:rsidR="004843DB" w:rsidRPr="0062582F" w:rsidRDefault="004843DB" w:rsidP="004843DB">
            <w:pPr>
              <w:pStyle w:val="TableofFigures"/>
            </w:pPr>
            <w:r w:rsidRPr="0062582F">
              <w:t>..</w:t>
            </w:r>
          </w:p>
        </w:tc>
        <w:tc>
          <w:tcPr>
            <w:tcW w:w="1103" w:type="dxa"/>
            <w:tcBorders>
              <w:top w:val="nil"/>
              <w:left w:val="nil"/>
              <w:bottom w:val="single" w:sz="6" w:space="0" w:color="auto"/>
              <w:right w:val="nil"/>
            </w:tcBorders>
            <w:shd w:val="clear" w:color="auto" w:fill="D9D9D9"/>
          </w:tcPr>
          <w:p w:rsidR="004843DB" w:rsidRPr="0062582F" w:rsidRDefault="004843DB" w:rsidP="004843DB">
            <w:pPr>
              <w:pStyle w:val="TableofFigures"/>
            </w:pPr>
            <w:r w:rsidRPr="0062582F">
              <w:t xml:space="preserve"> 627</w:t>
            </w:r>
          </w:p>
        </w:tc>
      </w:tr>
      <w:tr w:rsidR="004843DB" w:rsidRPr="0062582F" w:rsidTr="007E0B3D">
        <w:trPr>
          <w:cantSplit/>
        </w:trPr>
        <w:tc>
          <w:tcPr>
            <w:tcW w:w="2923" w:type="dxa"/>
            <w:tcBorders>
              <w:top w:val="single" w:sz="6" w:space="0" w:color="auto"/>
              <w:left w:val="nil"/>
              <w:bottom w:val="single" w:sz="12" w:space="0" w:color="auto"/>
              <w:right w:val="nil"/>
            </w:tcBorders>
          </w:tcPr>
          <w:p w:rsidR="004843DB" w:rsidRPr="0062582F" w:rsidRDefault="004843DB" w:rsidP="004843DB">
            <w:pPr>
              <w:pStyle w:val="Tabletext"/>
              <w:rPr>
                <w:b/>
              </w:rPr>
            </w:pPr>
            <w:r w:rsidRPr="0062582F">
              <w:rPr>
                <w:b/>
              </w:rPr>
              <w:t>Total impact</w:t>
            </w:r>
          </w:p>
        </w:tc>
        <w:tc>
          <w:tcPr>
            <w:tcW w:w="1080"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(627)</w:t>
            </w:r>
          </w:p>
        </w:tc>
        <w:tc>
          <w:tcPr>
            <w:tcW w:w="1102" w:type="dxa"/>
            <w:tcBorders>
              <w:top w:val="single" w:sz="6" w:space="0" w:color="auto"/>
              <w:left w:val="nil"/>
              <w:bottom w:val="single" w:sz="12" w:space="0" w:color="auto"/>
              <w:right w:val="nil"/>
            </w:tcBorders>
          </w:tcPr>
          <w:p w:rsidR="004843DB" w:rsidRPr="0062582F" w:rsidRDefault="004843DB" w:rsidP="004843DB">
            <w:pPr>
              <w:pStyle w:val="TableofFigures"/>
              <w:rPr>
                <w:b/>
              </w:rPr>
            </w:pPr>
            <w:r w:rsidRPr="0062582F">
              <w:rPr>
                <w:b/>
              </w:rPr>
              <w:t>..</w:t>
            </w:r>
          </w:p>
        </w:tc>
        <w:tc>
          <w:tcPr>
            <w:tcW w:w="1103" w:type="dxa"/>
            <w:tcBorders>
              <w:top w:val="single" w:sz="6" w:space="0" w:color="auto"/>
              <w:left w:val="nil"/>
              <w:bottom w:val="single" w:sz="12" w:space="0" w:color="auto"/>
              <w:right w:val="nil"/>
            </w:tcBorders>
            <w:shd w:val="clear" w:color="auto" w:fill="D9D9D9"/>
          </w:tcPr>
          <w:p w:rsidR="004843DB" w:rsidRPr="0062582F" w:rsidRDefault="004843DB" w:rsidP="004843DB">
            <w:pPr>
              <w:pStyle w:val="TableofFigures"/>
              <w:rPr>
                <w:b/>
              </w:rPr>
            </w:pPr>
            <w:r w:rsidRPr="0062582F">
              <w:rPr>
                <w:b/>
              </w:rPr>
              <w:t xml:space="preserve"> 627</w:t>
            </w:r>
          </w:p>
        </w:tc>
      </w:tr>
    </w:tbl>
    <w:p w:rsidR="004843DB" w:rsidRPr="0062582F" w:rsidRDefault="004843DB" w:rsidP="004843DB">
      <w:pPr>
        <w:pStyle w:val="Notes"/>
        <w:rPr>
          <w:i w:val="0"/>
          <w:iCs w:val="0"/>
          <w:sz w:val="20"/>
          <w:szCs w:val="20"/>
        </w:rPr>
      </w:pPr>
      <w:r w:rsidRPr="0062582F">
        <w:t>Notes:</w:t>
      </w:r>
    </w:p>
    <w:p w:rsidR="004843DB" w:rsidRPr="0062582F" w:rsidRDefault="004843DB" w:rsidP="004843DB">
      <w:pPr>
        <w:pStyle w:val="Notes"/>
        <w:tabs>
          <w:tab w:val="clear" w:pos="454"/>
          <w:tab w:val="left" w:pos="990"/>
        </w:tabs>
        <w:ind w:left="990"/>
        <w:jc w:val="both"/>
        <w:sectPr w:rsidR="004843DB" w:rsidRPr="0062582F" w:rsidSect="00190A01">
          <w:type w:val="continuous"/>
          <w:pgSz w:w="11906" w:h="16838" w:code="9"/>
          <w:pgMar w:top="1152" w:right="864" w:bottom="1152" w:left="864" w:header="720" w:footer="720" w:gutter="0"/>
          <w:cols w:num="2" w:space="360" w:equalWidth="0">
            <w:col w:w="1440" w:space="360"/>
            <w:col w:w="8378"/>
          </w:cols>
        </w:sectPr>
      </w:pPr>
    </w:p>
    <w:p w:rsidR="004843DB" w:rsidRPr="0062582F" w:rsidRDefault="004843DB" w:rsidP="004843DB">
      <w:pPr>
        <w:pStyle w:val="Reference"/>
        <w:spacing w:before="0"/>
      </w:pPr>
      <w:r w:rsidRPr="0062582F">
        <w:t>AASB 7.40(b)</w:t>
      </w:r>
    </w:p>
    <w:p w:rsidR="004843DB" w:rsidRPr="0062582F" w:rsidRDefault="004843DB" w:rsidP="004843DB">
      <w:pPr>
        <w:pStyle w:val="Notes"/>
      </w:pPr>
      <w:r w:rsidRPr="0062582F">
        <w:br w:type="column"/>
        <w:t>(i)</w:t>
      </w:r>
      <w:r w:rsidRPr="0062582F">
        <w:tab/>
        <w:t>Investments and other contractual financial assets includes equities and managed investment schemes to the value of $2 065 thousand (2014: $4 179 thousand) that are exposed to movements in equity prices. Sensitivities to these movements are calculated as follows:</w:t>
      </w:r>
    </w:p>
    <w:p w:rsidR="004843DB" w:rsidRPr="0062582F" w:rsidRDefault="004843DB" w:rsidP="004843DB">
      <w:pPr>
        <w:pStyle w:val="Notes"/>
        <w:numPr>
          <w:ilvl w:val="0"/>
          <w:numId w:val="16"/>
        </w:numPr>
        <w:tabs>
          <w:tab w:val="clear" w:pos="454"/>
          <w:tab w:val="clear" w:pos="1260"/>
          <w:tab w:val="num" w:pos="728"/>
        </w:tabs>
        <w:ind w:left="728" w:hanging="267"/>
      </w:pPr>
      <w:r w:rsidRPr="0062582F">
        <w:t xml:space="preserve">2016: $2 065 thousand x </w:t>
      </w:r>
      <w:r w:rsidR="005A4BB0">
        <w:noBreakHyphen/>
      </w:r>
      <w:r w:rsidRPr="0062582F">
        <w:t xml:space="preserve">0.15 = </w:t>
      </w:r>
      <w:r w:rsidR="005A4BB0">
        <w:noBreakHyphen/>
      </w:r>
      <w:r w:rsidRPr="0062582F">
        <w:t xml:space="preserve">$310 thousand; and $2065 thousand x 0.15 = $310 thousand; and </w:t>
      </w:r>
    </w:p>
    <w:p w:rsidR="004843DB" w:rsidRPr="0062582F" w:rsidRDefault="004843DB" w:rsidP="004843DB">
      <w:pPr>
        <w:pStyle w:val="Notes"/>
        <w:numPr>
          <w:ilvl w:val="0"/>
          <w:numId w:val="16"/>
        </w:numPr>
        <w:tabs>
          <w:tab w:val="clear" w:pos="454"/>
          <w:tab w:val="clear" w:pos="1260"/>
          <w:tab w:val="num" w:pos="728"/>
        </w:tabs>
        <w:ind w:left="728" w:hanging="267"/>
      </w:pPr>
      <w:r w:rsidRPr="0062582F">
        <w:t xml:space="preserve">2015: $4 179 thousand x </w:t>
      </w:r>
      <w:r w:rsidR="005A4BB0">
        <w:noBreakHyphen/>
      </w:r>
      <w:r w:rsidRPr="0062582F">
        <w:t>0.15 = – $627 thousand; and $4 179 thousand x 0.15 = $627 thousand.</w:t>
      </w:r>
    </w:p>
    <w:p w:rsidR="004843DB" w:rsidRPr="0062582F" w:rsidRDefault="004843DB" w:rsidP="004843DB">
      <w:pPr>
        <w:pStyle w:val="NotesBlue"/>
      </w:pPr>
      <w:r w:rsidRPr="0062582F">
        <w:t>(ii)</w:t>
      </w:r>
      <w:r w:rsidRPr="0062582F">
        <w:tab/>
        <w:t>[Disclosures on amounts exposed to movements in foreign currencies and the method of calculations as per note (i)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4843DB" w:rsidRPr="0062582F" w:rsidRDefault="004843DB" w:rsidP="004843DB">
      <w:pPr>
        <w:pStyle w:val="NormalBlue"/>
        <w:rPr>
          <w:i/>
        </w:rPr>
      </w:pPr>
      <w:r w:rsidRPr="0062582F">
        <w:rPr>
          <w:i/>
        </w:rPr>
        <w:t xml:space="preserve">[The balances for these calculations are to be gross of any income tax equivalents.] </w:t>
      </w:r>
    </w:p>
    <w:p w:rsidR="004843DB" w:rsidRPr="0062582F" w:rsidRDefault="004843DB" w:rsidP="004843DB"/>
    <w:p w:rsidR="004843DB" w:rsidRPr="0062582F" w:rsidRDefault="004843DB" w:rsidP="004843DB">
      <w:pPr>
        <w:rPr>
          <w:i/>
          <w:iCs/>
          <w:color w:val="0000FF"/>
        </w:rPr>
        <w:sectPr w:rsidR="004843DB" w:rsidRPr="0062582F" w:rsidSect="00190A01">
          <w:type w:val="continuous"/>
          <w:pgSz w:w="11906" w:h="16838" w:code="9"/>
          <w:pgMar w:top="1152" w:right="864" w:bottom="1152" w:left="864" w:header="720" w:footer="720" w:gutter="0"/>
          <w:cols w:num="2" w:space="360" w:equalWidth="0">
            <w:col w:w="1440" w:space="360"/>
            <w:col w:w="8378"/>
          </w:cols>
        </w:sectPr>
      </w:pPr>
    </w:p>
    <w:p w:rsidR="004843DB" w:rsidRPr="0062582F" w:rsidRDefault="004843DB" w:rsidP="004843DB">
      <w:pPr>
        <w:pStyle w:val="NoteHeadingcontinued"/>
      </w:pPr>
      <w:r w:rsidRPr="0062582F">
        <w:rPr>
          <w:rFonts w:ascii="Garamond" w:hAnsi="Garamond"/>
        </w:rPr>
        <w:br w:type="column"/>
      </w:r>
      <w:r w:rsidRPr="0062582F">
        <w:rPr>
          <w:rFonts w:ascii="Garamond" w:hAnsi="Garamond"/>
        </w:rPr>
        <w:br w:type="column"/>
      </w:r>
      <w:r w:rsidRPr="0062582F">
        <w:rPr>
          <w:rFonts w:ascii="Garamond" w:hAnsi="Garamond"/>
        </w:rPr>
        <w:br w:type="column"/>
      </w:r>
      <w:r w:rsidRPr="0062582F">
        <w:t>Note 33.</w:t>
      </w:r>
      <w:r w:rsidRPr="0062582F">
        <w:tab/>
        <w:t xml:space="preserve">Financial instruments </w:t>
      </w:r>
      <w:r w:rsidRPr="0062582F">
        <w:rPr>
          <w:i/>
        </w:rPr>
        <w:t>(continued)</w:t>
      </w:r>
    </w:p>
    <w:p w:rsidR="004843DB" w:rsidRPr="0062582F" w:rsidRDefault="004843DB" w:rsidP="004843DB">
      <w:pPr>
        <w:pStyle w:val="SmallLine"/>
      </w:pPr>
    </w:p>
    <w:p w:rsidR="004843DB" w:rsidRPr="0062582F" w:rsidRDefault="004843DB" w:rsidP="004843DB">
      <w:pPr>
        <w:pStyle w:val="CommentaryHeading"/>
        <w:pBdr>
          <w:top w:val="none" w:sz="0" w:space="0" w:color="auto"/>
          <w:bottom w:val="none" w:sz="0" w:space="0" w:color="auto"/>
        </w:pBdr>
      </w:pPr>
      <w:r w:rsidRPr="0062582F">
        <w:t>Commentary – Nature and extent of risk disclosures</w:t>
      </w:r>
    </w:p>
    <w:p w:rsidR="004843DB" w:rsidRPr="001175E0" w:rsidRDefault="004843DB" w:rsidP="004843DB">
      <w:pPr>
        <w:pStyle w:val="SmallLineBlue"/>
      </w:pPr>
    </w:p>
    <w:p w:rsidR="004843DB" w:rsidRPr="0062582F" w:rsidDel="001058D9" w:rsidRDefault="004843DB" w:rsidP="004843DB">
      <w:pPr>
        <w:pStyle w:val="CommentaryText"/>
        <w:pBdr>
          <w:top w:val="none" w:sz="0" w:space="0" w:color="auto"/>
          <w:bottom w:val="none" w:sz="0" w:space="0" w:color="auto"/>
        </w:pBdr>
      </w:pPr>
      <w:r w:rsidRPr="0062582F">
        <w:t>AASB 7 requires that an entity provides qualitative and quantitative disclosures for each type of risk arising from financial instruments.</w:t>
      </w:r>
    </w:p>
    <w:p w:rsidR="004843DB" w:rsidRPr="0062582F" w:rsidRDefault="004843DB" w:rsidP="004843DB">
      <w:pPr>
        <w:pStyle w:val="CommentaryText"/>
        <w:sectPr w:rsidR="004843DB" w:rsidRPr="0062582F" w:rsidSect="00190A01">
          <w:footerReference w:type="even" r:id="rId335"/>
          <w:footerReference w:type="default" r:id="rId336"/>
          <w:headerReference w:type="first" r:id="rId337"/>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180"/>
        <w:rPr>
          <w:lang w:val="en-AU"/>
        </w:rPr>
      </w:pPr>
      <w:r w:rsidRPr="0062582F">
        <w:rPr>
          <w:lang w:val="en-AU"/>
        </w:rPr>
        <w:t>AASB 7.31</w:t>
      </w:r>
    </w:p>
    <w:p w:rsidR="004843DB" w:rsidRPr="0062582F" w:rsidRDefault="004843DB" w:rsidP="004843DB">
      <w:pPr>
        <w:pStyle w:val="CommentaryText"/>
        <w:pBdr>
          <w:top w:val="none" w:sz="0" w:space="0" w:color="auto"/>
          <w:bottom w:val="none" w:sz="0" w:space="0" w:color="auto"/>
        </w:pBdr>
      </w:pPr>
      <w:r w:rsidRPr="0062582F">
        <w:br w:type="column"/>
        <w:t>An entity shall disclose information that enables users of its financial statements to evaluate the nature and extent of risks arising from financial instruments to which the entity is exposed at the end of the reporting period.</w:t>
      </w:r>
    </w:p>
    <w:p w:rsidR="004843DB" w:rsidRPr="0062582F" w:rsidRDefault="004843DB" w:rsidP="004843DB">
      <w:pPr>
        <w:pStyle w:val="CommentaryText"/>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rPr>
          <w:lang w:val="en-AU"/>
        </w:rPr>
        <w:t>AASB 7.33</w:t>
      </w:r>
    </w:p>
    <w:p w:rsidR="004843DB" w:rsidRPr="0062582F" w:rsidRDefault="004843DB" w:rsidP="004843DB">
      <w:pPr>
        <w:pStyle w:val="CommentaryHeading1"/>
        <w:pBdr>
          <w:top w:val="none" w:sz="0" w:space="0" w:color="auto"/>
          <w:bottom w:val="none" w:sz="0" w:space="0" w:color="auto"/>
        </w:pBdr>
      </w:pPr>
      <w:r w:rsidRPr="0062582F">
        <w:br w:type="column"/>
        <w:t>Qualitative disclosure</w:t>
      </w:r>
    </w:p>
    <w:p w:rsidR="004843DB" w:rsidRPr="0062582F" w:rsidRDefault="004843DB" w:rsidP="004843DB">
      <w:pPr>
        <w:pStyle w:val="CommentaryText"/>
        <w:pBdr>
          <w:top w:val="none" w:sz="0" w:space="0" w:color="auto"/>
          <w:bottom w:val="none" w:sz="0" w:space="0" w:color="auto"/>
        </w:pBdr>
      </w:pPr>
      <w:r w:rsidRPr="0062582F">
        <w:t>For each type of risk arising from financial instruments, an entity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the exposures to risk and how they arise;</w:t>
      </w:r>
    </w:p>
    <w:p w:rsidR="004843DB" w:rsidRPr="0062582F" w:rsidRDefault="004843DB" w:rsidP="004843DB">
      <w:pPr>
        <w:pStyle w:val="CommentaryTextIndent"/>
        <w:pBdr>
          <w:top w:val="none" w:sz="0" w:space="0" w:color="auto"/>
          <w:bottom w:val="none" w:sz="0" w:space="0" w:color="auto"/>
        </w:pBdr>
      </w:pPr>
      <w:r w:rsidRPr="0062582F">
        <w:t>(b)</w:t>
      </w:r>
      <w:r w:rsidRPr="0062582F">
        <w:tab/>
        <w:t>its objectives, policies and processes for managing the risk and the methods used to measure the risk; and</w:t>
      </w:r>
    </w:p>
    <w:p w:rsidR="004843DB" w:rsidRPr="0062582F" w:rsidRDefault="004843DB" w:rsidP="004843DB">
      <w:pPr>
        <w:pStyle w:val="CommentaryTextIndent"/>
        <w:pBdr>
          <w:top w:val="none" w:sz="0" w:space="0" w:color="auto"/>
          <w:bottom w:val="none" w:sz="0" w:space="0" w:color="auto"/>
        </w:pBdr>
      </w:pPr>
      <w:r w:rsidRPr="0062582F">
        <w:t>(c)</w:t>
      </w:r>
      <w:r w:rsidRPr="0062582F">
        <w:tab/>
        <w:t>any changes in (a) or (b) from the previous reporting period.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7.34</w:t>
      </w:r>
      <w:r w:rsidR="005A4BB0">
        <w:noBreakHyphen/>
      </w:r>
      <w:r w:rsidRPr="0062582F">
        <w:t>35</w:t>
      </w:r>
    </w:p>
    <w:p w:rsidR="004843DB" w:rsidRPr="0062582F" w:rsidRDefault="004843DB" w:rsidP="004843DB">
      <w:pPr>
        <w:pStyle w:val="CommentaryHeading1"/>
        <w:pBdr>
          <w:top w:val="none" w:sz="0" w:space="0" w:color="auto"/>
          <w:bottom w:val="none" w:sz="0" w:space="0" w:color="auto"/>
        </w:pBdr>
      </w:pPr>
      <w:r w:rsidRPr="0062582F">
        <w:br w:type="column"/>
        <w:t xml:space="preserve">Quantitative disclosure </w:t>
      </w:r>
    </w:p>
    <w:p w:rsidR="004843DB" w:rsidRPr="0062582F" w:rsidRDefault="004843DB" w:rsidP="004843DB">
      <w:pPr>
        <w:pStyle w:val="CommentaryText"/>
        <w:pBdr>
          <w:top w:val="none" w:sz="0" w:space="0" w:color="auto"/>
          <w:bottom w:val="none" w:sz="0" w:space="0" w:color="auto"/>
        </w:pBdr>
      </w:pPr>
      <w:r w:rsidRPr="0062582F">
        <w:t>For each type of risk arising from financial instruments, an entity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summary quantitative data about its exposure to that risk at the end of the reporting period. This disclosure shall be based on the information provided internally to key management personnel of the entity (as defined in AASB 124 </w:t>
      </w:r>
      <w:r w:rsidRPr="0062582F">
        <w:rPr>
          <w:i/>
        </w:rPr>
        <w:t>Related Party Disclosures</w:t>
      </w:r>
      <w:r w:rsidRPr="0062582F">
        <w:t>); and</w:t>
      </w:r>
    </w:p>
    <w:p w:rsidR="004843DB" w:rsidRPr="0062582F" w:rsidRDefault="004843DB" w:rsidP="004843DB">
      <w:pPr>
        <w:pStyle w:val="CommentaryTextIndent"/>
        <w:pBdr>
          <w:top w:val="none" w:sz="0" w:space="0" w:color="auto"/>
          <w:bottom w:val="none" w:sz="0" w:space="0" w:color="auto"/>
        </w:pBdr>
      </w:pPr>
      <w:r w:rsidRPr="0062582F">
        <w:t>(b)</w:t>
      </w:r>
      <w:r w:rsidRPr="0062582F">
        <w:tab/>
        <w:t>specific disclosures as required for each type of risk (see credit, liquidity and market risks), to the extent not provided in (a), unless the risk is not material.</w:t>
      </w:r>
    </w:p>
    <w:p w:rsidR="004843DB" w:rsidRPr="0062582F" w:rsidRDefault="004843DB" w:rsidP="004843DB">
      <w:pPr>
        <w:pStyle w:val="CommentaryText"/>
        <w:pBdr>
          <w:top w:val="none" w:sz="0" w:space="0" w:color="auto"/>
          <w:bottom w:val="none" w:sz="0" w:space="0" w:color="auto"/>
        </w:pBdr>
        <w:rPr>
          <w:b/>
        </w:rPr>
      </w:pPr>
      <w:r w:rsidRPr="0062582F">
        <w:rPr>
          <w:b/>
        </w:rPr>
        <w:t xml:space="preserve">Disclosures provided in this </w:t>
      </w:r>
      <w:r w:rsidRPr="0062582F">
        <w:rPr>
          <w:b/>
          <w:iCs/>
        </w:rPr>
        <w:t>Model</w:t>
      </w:r>
      <w:r w:rsidRPr="0062582F">
        <w:rPr>
          <w:b/>
        </w:rPr>
        <w:t xml:space="preserve"> only cover credit risk, liquidity risk, and market risk. Entities should consider whether there may be other type of risks that they may need to disclose, specific to their own circumstances.</w:t>
      </w:r>
    </w:p>
    <w:p w:rsidR="004843DB" w:rsidRPr="0062582F" w:rsidRDefault="004843DB" w:rsidP="004843DB">
      <w:pPr>
        <w:pStyle w:val="CommentaryText"/>
        <w:rPr>
          <w:b/>
          <w:bCs/>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7.36</w:t>
      </w:r>
    </w:p>
    <w:p w:rsidR="004843DB" w:rsidRPr="0062582F" w:rsidRDefault="004843DB" w:rsidP="004843DB">
      <w:pPr>
        <w:pStyle w:val="CommentaryHeading2"/>
      </w:pPr>
      <w:r w:rsidRPr="0062582F">
        <w:br w:type="column"/>
        <w:t>Credit risk</w:t>
      </w:r>
    </w:p>
    <w:p w:rsidR="004843DB" w:rsidRPr="0062582F" w:rsidRDefault="004843DB" w:rsidP="004843DB">
      <w:pPr>
        <w:pStyle w:val="CommentaryText"/>
        <w:pBdr>
          <w:top w:val="none" w:sz="0" w:space="0" w:color="auto"/>
          <w:bottom w:val="none" w:sz="0" w:space="0" w:color="auto"/>
        </w:pBdr>
      </w:pPr>
      <w:r w:rsidRPr="0062582F">
        <w:t>In addition to the required quantitative disclosure above, an entity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the amount that best represents its maximum exposure to credit risk at the end of the reporting period without taking account of any collateral held or other credit enhancements (e.g. netting agreements that do not qualify for offset in accordance with AASB 132), either in narrative or tabular format;</w:t>
      </w:r>
    </w:p>
    <w:p w:rsidR="004843DB" w:rsidRPr="0062582F" w:rsidRDefault="004843DB" w:rsidP="004843DB">
      <w:pPr>
        <w:pStyle w:val="CommentaryTextIndent"/>
        <w:pBdr>
          <w:top w:val="none" w:sz="0" w:space="0" w:color="auto"/>
          <w:bottom w:val="none" w:sz="0" w:space="0" w:color="auto"/>
        </w:pBdr>
      </w:pPr>
      <w:r w:rsidRPr="0062582F">
        <w:t>(b)</w:t>
      </w:r>
      <w:r w:rsidRPr="0062582F">
        <w:tab/>
        <w:t>in respect of the amount disclosed in (a), a description of collateral held as security and other credit enhancements;</w:t>
      </w:r>
    </w:p>
    <w:p w:rsidR="004843DB" w:rsidRPr="0062582F" w:rsidRDefault="004843DB" w:rsidP="004843DB">
      <w:pPr>
        <w:pStyle w:val="CommentaryTextIndent"/>
        <w:pBdr>
          <w:top w:val="none" w:sz="0" w:space="0" w:color="auto"/>
          <w:bottom w:val="none" w:sz="0" w:space="0" w:color="auto"/>
        </w:pBdr>
      </w:pPr>
      <w:r w:rsidRPr="0062582F">
        <w:t>(c)</w:t>
      </w:r>
      <w:r w:rsidRPr="0062582F">
        <w:tab/>
        <w:t xml:space="preserve">information about the credit quality of contractual financial assets that are neither past due nor impaired; and </w:t>
      </w:r>
    </w:p>
    <w:p w:rsidR="004843DB" w:rsidRPr="0062582F" w:rsidRDefault="004843DB" w:rsidP="004843DB">
      <w:pPr>
        <w:pStyle w:val="CommentaryTextIndent"/>
        <w:pBdr>
          <w:top w:val="none" w:sz="0" w:space="0" w:color="auto"/>
          <w:bottom w:val="none" w:sz="0" w:space="0" w:color="auto"/>
        </w:pBdr>
      </w:pPr>
      <w:r w:rsidRPr="0062582F">
        <w:t>(d)</w:t>
      </w:r>
      <w:r w:rsidRPr="0062582F">
        <w:tab/>
        <w:t>the carrying amount of contractual financial assets that would otherwise be past due or impaired whose terms have been renegotiated.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40"/>
      </w:pPr>
      <w:r w:rsidRPr="0062582F">
        <w:t>AASB 7.37</w:t>
      </w:r>
    </w:p>
    <w:p w:rsidR="004843DB" w:rsidRPr="0062582F" w:rsidRDefault="004843DB" w:rsidP="004843DB">
      <w:pPr>
        <w:pStyle w:val="CommentaryHeading2"/>
      </w:pPr>
      <w:r w:rsidRPr="0062582F">
        <w:br w:type="column"/>
        <w:t>Contractual financial assets that are either past due or impaired</w:t>
      </w:r>
    </w:p>
    <w:p w:rsidR="004843DB" w:rsidRPr="0062582F" w:rsidRDefault="004843DB" w:rsidP="004843DB">
      <w:pPr>
        <w:pStyle w:val="CommentaryText"/>
        <w:pBdr>
          <w:top w:val="none" w:sz="0" w:space="0" w:color="auto"/>
          <w:bottom w:val="none" w:sz="0" w:space="0" w:color="auto"/>
        </w:pBdr>
      </w:pPr>
      <w:r w:rsidRPr="0062582F">
        <w:t>An entity shall disclose by class of contractual financial asset:</w:t>
      </w:r>
    </w:p>
    <w:p w:rsidR="004843DB" w:rsidRPr="0062582F" w:rsidRDefault="004843DB" w:rsidP="004843DB">
      <w:pPr>
        <w:pStyle w:val="CommentaryTextIndent"/>
        <w:pBdr>
          <w:top w:val="none" w:sz="0" w:space="0" w:color="auto"/>
          <w:bottom w:val="none" w:sz="0" w:space="0" w:color="auto"/>
        </w:pBdr>
      </w:pPr>
      <w:r w:rsidRPr="0062582F">
        <w:t>(a)</w:t>
      </w:r>
      <w:r w:rsidRPr="0062582F">
        <w:tab/>
        <w:t>an analysis of the age of financial assets that are past due as at the end of the reporting period but not impaired;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7.20(e)</w:t>
      </w:r>
    </w:p>
    <w:p w:rsidR="004843DB" w:rsidRPr="0062582F" w:rsidRDefault="004843DB" w:rsidP="004843DB">
      <w:pPr>
        <w:pStyle w:val="CommentaryTextIndent"/>
        <w:pBdr>
          <w:top w:val="none" w:sz="0" w:space="0" w:color="auto"/>
        </w:pBdr>
      </w:pPr>
      <w:r w:rsidRPr="0062582F">
        <w:br w:type="column"/>
        <w:t>(b)</w:t>
      </w:r>
      <w:r w:rsidRPr="0062582F">
        <w:tab/>
        <w:t xml:space="preserve">the amount of any impairment loss (please see Note 6 for sample disclosure of this AASB 7 requirement); </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r w:rsidRPr="0062582F">
        <w:br w:type="column"/>
      </w:r>
    </w:p>
    <w:p w:rsidR="004843DB" w:rsidRPr="0062582F" w:rsidRDefault="004843DB" w:rsidP="004843DB">
      <w:pPr>
        <w:pStyle w:val="SmallLine"/>
      </w:pPr>
      <w:r w:rsidRPr="0062582F">
        <w:br w:type="column"/>
      </w:r>
      <w:r w:rsidRPr="0062582F">
        <w:br w:type="column"/>
      </w:r>
    </w:p>
    <w:p w:rsidR="004843DB" w:rsidRPr="001175E0" w:rsidRDefault="004843DB" w:rsidP="004843DB">
      <w:pPr>
        <w:pStyle w:val="CommentaryHeading"/>
        <w:rPr>
          <w:i/>
          <w:iCs/>
        </w:rPr>
      </w:pPr>
      <w:r w:rsidRPr="0062582F">
        <w:t xml:space="preserve">Commentary – Nature and extent of risk disclosures </w:t>
      </w:r>
      <w:r w:rsidRPr="0062582F">
        <w:rPr>
          <w:i/>
          <w:iCs/>
        </w:rPr>
        <w:t>(continued)</w:t>
      </w:r>
    </w:p>
    <w:p w:rsidR="004843DB" w:rsidRPr="001175E0"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7.37</w:t>
      </w:r>
    </w:p>
    <w:p w:rsidR="004843DB" w:rsidRPr="0062582F" w:rsidRDefault="004843DB" w:rsidP="004843DB">
      <w:pPr>
        <w:pStyle w:val="CommentaryTextIndent"/>
        <w:pBdr>
          <w:top w:val="none" w:sz="0" w:space="0" w:color="auto"/>
          <w:bottom w:val="none" w:sz="0" w:space="0" w:color="auto"/>
        </w:pBdr>
      </w:pPr>
      <w:r w:rsidRPr="0062582F">
        <w:br w:type="column"/>
        <w:t>(c)</w:t>
      </w:r>
      <w:r w:rsidRPr="0062582F">
        <w:tab/>
        <w:t>an analysis of financial assets that are individually determined to be impaired as at the end of the reporting period, including the factors the entity considered in determining that they are impaired; and</w:t>
      </w:r>
    </w:p>
    <w:p w:rsidR="004843DB" w:rsidRPr="0062582F" w:rsidRDefault="004843DB" w:rsidP="004843DB">
      <w:pPr>
        <w:pStyle w:val="CommentaryTextIndent"/>
        <w:pBdr>
          <w:top w:val="none" w:sz="0" w:space="0" w:color="auto"/>
          <w:bottom w:val="none" w:sz="0" w:space="0" w:color="auto"/>
        </w:pBdr>
      </w:pPr>
      <w:r w:rsidRPr="0062582F">
        <w:t>(d)</w:t>
      </w:r>
      <w:r w:rsidRPr="0062582F">
        <w:tab/>
        <w:t>for the amounts disclosed in (a) and (b), a description of collateral held by the entity as security and other credit enhancements and, unless impracticable, an estimate of their fair value.</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7.38</w:t>
      </w:r>
    </w:p>
    <w:p w:rsidR="004843DB" w:rsidRPr="0062582F" w:rsidRDefault="004843DB" w:rsidP="004843DB">
      <w:pPr>
        <w:pStyle w:val="CommentaryHeading2"/>
      </w:pPr>
      <w:r w:rsidRPr="0062582F">
        <w:br w:type="column"/>
        <w:t>Collateral and other credit enhancements obtained</w:t>
      </w:r>
    </w:p>
    <w:p w:rsidR="004843DB" w:rsidRPr="0062582F" w:rsidRDefault="004843DB" w:rsidP="004843DB">
      <w:pPr>
        <w:pStyle w:val="CommentaryText"/>
        <w:pBdr>
          <w:top w:val="none" w:sz="0" w:space="0" w:color="auto"/>
          <w:bottom w:val="none" w:sz="0" w:space="0" w:color="auto"/>
        </w:pBdr>
      </w:pPr>
      <w:r w:rsidRPr="0062582F">
        <w:t>When an entity obtains financial instruments or non</w:t>
      </w:r>
      <w:r w:rsidR="005A4BB0">
        <w:noBreakHyphen/>
      </w:r>
      <w:r w:rsidRPr="0062582F">
        <w:t>financial assets during the period by taking possession of collateral it holds as security or calling on other credit enhancements (e.g. guarantees), and such assets meet the recognition criteria in other AASs, an entity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the nature and carrying amount of the assets obtained; and</w:t>
      </w:r>
    </w:p>
    <w:p w:rsidR="004843DB" w:rsidRPr="0062582F" w:rsidRDefault="004843DB" w:rsidP="004843DB">
      <w:pPr>
        <w:pStyle w:val="CommentaryTextIndent"/>
        <w:pBdr>
          <w:top w:val="none" w:sz="0" w:space="0" w:color="auto"/>
          <w:bottom w:val="none" w:sz="0" w:space="0" w:color="auto"/>
        </w:pBdr>
      </w:pPr>
      <w:r w:rsidRPr="0062582F">
        <w:t>(b)</w:t>
      </w:r>
      <w:r w:rsidRPr="0062582F">
        <w:tab/>
        <w:t>when the assets are not readily convertible into cash, its policies for disposing of such assets or for using them in its operations.</w:t>
      </w:r>
    </w:p>
    <w:p w:rsidR="004843DB" w:rsidRPr="0062582F" w:rsidRDefault="004843DB" w:rsidP="004843DB">
      <w:pPr>
        <w:pStyle w:val="CommentaryHeading2"/>
      </w:pPr>
      <w:r w:rsidRPr="0062582F">
        <w:t>Financial instruments at fair value through profit or loss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t>AASB 7.9</w:t>
      </w:r>
    </w:p>
    <w:p w:rsidR="004843DB" w:rsidRPr="0062582F" w:rsidRDefault="004843DB" w:rsidP="004843DB">
      <w:pPr>
        <w:pStyle w:val="CommentaryText"/>
        <w:pBdr>
          <w:top w:val="none" w:sz="0" w:space="0" w:color="auto"/>
          <w:bottom w:val="none" w:sz="0" w:space="0" w:color="auto"/>
        </w:pBdr>
      </w:pPr>
      <w:r w:rsidRPr="0062582F">
        <w:br w:type="column"/>
        <w:t>If the entity has designated a loan or receivable as at fair value through profit or loss, it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the maximum exposure to </w:t>
      </w:r>
      <w:r w:rsidRPr="0062582F">
        <w:rPr>
          <w:iCs/>
        </w:rPr>
        <w:t>credit risk</w:t>
      </w:r>
      <w:r w:rsidRPr="0062582F">
        <w:t xml:space="preserve"> of the contractual financial asset at the end of the reporting period;</w:t>
      </w:r>
    </w:p>
    <w:p w:rsidR="004843DB" w:rsidRPr="0062582F" w:rsidRDefault="004843DB" w:rsidP="004843DB">
      <w:pPr>
        <w:pStyle w:val="CommentaryTextIndent"/>
        <w:pBdr>
          <w:top w:val="none" w:sz="0" w:space="0" w:color="auto"/>
          <w:bottom w:val="none" w:sz="0" w:space="0" w:color="auto"/>
        </w:pBdr>
      </w:pPr>
      <w:r w:rsidRPr="0062582F">
        <w:t>(b)</w:t>
      </w:r>
      <w:r w:rsidRPr="0062582F">
        <w:tab/>
        <w:t>the amount by which any related credit derivatives or similar instruments mitigate that maximum exposure to credit risk;</w:t>
      </w:r>
    </w:p>
    <w:p w:rsidR="004843DB" w:rsidRPr="0062582F" w:rsidRDefault="004843DB" w:rsidP="004843DB">
      <w:pPr>
        <w:pStyle w:val="CommentaryTextIndent"/>
        <w:pBdr>
          <w:top w:val="none" w:sz="0" w:space="0" w:color="auto"/>
          <w:bottom w:val="none" w:sz="0" w:space="0" w:color="auto"/>
        </w:pBdr>
      </w:pPr>
      <w:r w:rsidRPr="0062582F">
        <w:t>(c)</w:t>
      </w:r>
      <w:r w:rsidRPr="0062582F">
        <w:tab/>
        <w:t>the amount of change, during the period and cumulatively, in the fair value of the financial asset that is attributable to changes in the credit risk of the contractual financial asset determined either:</w:t>
      </w:r>
    </w:p>
    <w:p w:rsidR="004843DB" w:rsidRPr="0062582F" w:rsidRDefault="004843DB" w:rsidP="004843DB">
      <w:pPr>
        <w:pStyle w:val="CommentaryTextIndent2"/>
        <w:pBdr>
          <w:top w:val="none" w:sz="0" w:space="0" w:color="auto"/>
          <w:bottom w:val="none" w:sz="0" w:space="0" w:color="auto"/>
        </w:pBdr>
      </w:pPr>
      <w:r w:rsidRPr="0062582F">
        <w:tab/>
        <w:t>(i)</w:t>
      </w:r>
      <w:r w:rsidRPr="0062582F">
        <w:tab/>
        <w:t>as the amount of change in its fair value that is not attributable to changes in market conditions that give rise to market risk; or</w:t>
      </w:r>
    </w:p>
    <w:p w:rsidR="004843DB" w:rsidRPr="0062582F" w:rsidRDefault="004843DB" w:rsidP="004843DB">
      <w:pPr>
        <w:pStyle w:val="CommentaryTextIndent2"/>
        <w:pBdr>
          <w:top w:val="none" w:sz="0" w:space="0" w:color="auto"/>
          <w:bottom w:val="none" w:sz="0" w:space="0" w:color="auto"/>
        </w:pBdr>
      </w:pPr>
      <w:r w:rsidRPr="0062582F">
        <w:tab/>
        <w:t>(ii)</w:t>
      </w:r>
      <w:r w:rsidRPr="0062582F">
        <w:tab/>
        <w:t>using an alternative method the entity believes more faithfully represents the amount of change in its fair value that is attributable to changes in the credit risk of the asset.</w:t>
      </w:r>
    </w:p>
    <w:p w:rsidR="004843DB" w:rsidRPr="0062582F" w:rsidRDefault="004843DB" w:rsidP="004843DB">
      <w:pPr>
        <w:pStyle w:val="CommentaryTextIndent"/>
        <w:pBdr>
          <w:top w:val="none" w:sz="0" w:space="0" w:color="auto"/>
          <w:bottom w:val="none" w:sz="0" w:space="0" w:color="auto"/>
        </w:pBdr>
      </w:pPr>
      <w:r w:rsidRPr="0062582F">
        <w:tab/>
        <w:t>Changes in market conditions that give rise to market risk include changes in an observed (benchmark) interest rate, commodity price, foreign exchange rate or index of prices or rates; and</w:t>
      </w:r>
    </w:p>
    <w:p w:rsidR="004843DB" w:rsidRPr="0062582F" w:rsidRDefault="004843DB" w:rsidP="004843DB">
      <w:pPr>
        <w:pStyle w:val="CommentaryTextIndent"/>
        <w:pBdr>
          <w:top w:val="none" w:sz="0" w:space="0" w:color="auto"/>
          <w:bottom w:val="none" w:sz="0" w:space="0" w:color="auto"/>
        </w:pBdr>
      </w:pPr>
      <w:r w:rsidRPr="0062582F">
        <w:t>(d)</w:t>
      </w:r>
      <w:r w:rsidRPr="0062582F">
        <w:tab/>
        <w:t>the amount of the change in the fair value of any related credit derivatives or similar instruments that has occurred during the period and cumulatively since the loan or receivable was designated.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t>AASB </w:t>
      </w:r>
      <w:r w:rsidRPr="0062582F">
        <w:rPr>
          <w:lang w:val="en-AU"/>
        </w:rPr>
        <w:t>7.10</w:t>
      </w:r>
    </w:p>
    <w:p w:rsidR="004843DB" w:rsidRPr="0062582F" w:rsidRDefault="004843DB" w:rsidP="004843DB">
      <w:pPr>
        <w:pStyle w:val="CommentaryText"/>
        <w:pBdr>
          <w:top w:val="none" w:sz="0" w:space="0" w:color="auto"/>
          <w:bottom w:val="none" w:sz="0" w:space="0" w:color="auto"/>
        </w:pBdr>
      </w:pPr>
      <w:r w:rsidRPr="0062582F">
        <w:br w:type="column"/>
        <w:t>If the entity has designated a financial liability as at fair value through profit or loss in accordance with paragraph 9 of AASB 139, it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the amount of change, during the period and cumulatively, in the fair value of the financial liability that is attributable to changes in the credit risk of that liability determined either:</w:t>
      </w:r>
    </w:p>
    <w:p w:rsidR="004843DB" w:rsidRPr="0062582F" w:rsidRDefault="004843DB" w:rsidP="004843DB">
      <w:pPr>
        <w:pStyle w:val="CommentaryTextIndent2"/>
        <w:pBdr>
          <w:top w:val="none" w:sz="0" w:space="0" w:color="auto"/>
        </w:pBdr>
      </w:pPr>
      <w:r w:rsidRPr="0062582F">
        <w:tab/>
        <w:t>(i)</w:t>
      </w:r>
      <w:r w:rsidRPr="0062582F">
        <w:tab/>
        <w:t>as the amount of change in its fair value that is not attributable to changes in market conditions that give rise to market risk; or</w:t>
      </w:r>
    </w:p>
    <w:p w:rsidR="004843DB" w:rsidRPr="0062582F" w:rsidRDefault="004843DB" w:rsidP="004843DB">
      <w:pPr>
        <w:pStyle w:val="CommentaryTextIndent2"/>
        <w:pBdr>
          <w:top w:val="none" w:sz="0" w:space="0" w:color="auto"/>
        </w:pBdr>
      </w:pPr>
      <w:r w:rsidRPr="0062582F">
        <w:tab/>
        <w:t>(ii)</w:t>
      </w:r>
      <w:r w:rsidRPr="0062582F">
        <w:tab/>
        <w:t>using an alternative method the entity believes more faithfully represents the amount of change in its fair value that is attributable to changes in the credit risk of the liability.</w:t>
      </w:r>
    </w:p>
    <w:p w:rsidR="004843DB" w:rsidRPr="0062582F" w:rsidRDefault="004843DB" w:rsidP="004843DB">
      <w:pPr>
        <w:pStyle w:val="Reference"/>
      </w:pP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rPr>
          <w:i/>
          <w:iCs/>
        </w:rPr>
      </w:pPr>
      <w:r w:rsidRPr="0062582F">
        <w:t xml:space="preserve">Commentary – Nature and extent of risk disclosures </w:t>
      </w:r>
      <w:r w:rsidRPr="0062582F">
        <w:rPr>
          <w:i/>
          <w:iCs/>
        </w:rPr>
        <w:t>(continued)</w:t>
      </w:r>
    </w:p>
    <w:p w:rsidR="004843DB" w:rsidRPr="001175E0" w:rsidRDefault="004843DB" w:rsidP="004843DB">
      <w:pPr>
        <w:pStyle w:val="SmallLineBlue"/>
      </w:pPr>
    </w:p>
    <w:p w:rsidR="004843DB" w:rsidRPr="0062582F" w:rsidRDefault="004843DB" w:rsidP="004843DB">
      <w:pPr>
        <w:pStyle w:val="CommentaryTextIndent"/>
        <w:pBdr>
          <w:top w:val="none" w:sz="0" w:space="0" w:color="auto"/>
          <w:bottom w:val="none" w:sz="0" w:space="0" w:color="auto"/>
        </w:pBdr>
      </w:pPr>
      <w:r w:rsidRPr="0062582F">
        <w:tab/>
        <w:t>Changes in market conditions that give rise to market risk include changes in a benchmark interest rate, the price of another entity</w:t>
      </w:r>
      <w:r w:rsidR="005A4BB0">
        <w:t>’</w:t>
      </w:r>
      <w:r w:rsidRPr="0062582F">
        <w:t>s financial instrument, a commodity price, a foreign exchange rate or an index of prices or rates. For contracts that include a unit</w:t>
      </w:r>
      <w:r w:rsidR="005A4BB0">
        <w:noBreakHyphen/>
      </w:r>
      <w:r w:rsidRPr="0062582F">
        <w:t>linking feature, changes in market conditions include changes in the performance of the related internal or external investment fund; and</w:t>
      </w:r>
    </w:p>
    <w:p w:rsidR="004843DB" w:rsidRPr="0062582F" w:rsidRDefault="004843DB" w:rsidP="004843DB">
      <w:pPr>
        <w:pStyle w:val="CommentaryTextIndent"/>
        <w:pBdr>
          <w:top w:val="none" w:sz="0" w:space="0" w:color="auto"/>
          <w:bottom w:val="none" w:sz="0" w:space="0" w:color="auto"/>
        </w:pBdr>
      </w:pPr>
      <w:r w:rsidRPr="0062582F">
        <w:t>(b)</w:t>
      </w:r>
      <w:r w:rsidRPr="0062582F">
        <w:tab/>
        <w:t>the difference between the financial liability</w:t>
      </w:r>
      <w:r w:rsidR="005A4BB0">
        <w:t>’</w:t>
      </w:r>
      <w:r w:rsidRPr="0062582F">
        <w:t>s carrying amount and the amount the entity would be contractually required to pay at maturity to the holder of the obligation.</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7.11(a)</w:t>
      </w:r>
    </w:p>
    <w:p w:rsidR="004843DB" w:rsidRPr="0062582F" w:rsidRDefault="004843DB" w:rsidP="004843DB">
      <w:pPr>
        <w:pStyle w:val="CommentaryText"/>
        <w:pBdr>
          <w:top w:val="none" w:sz="0" w:space="0" w:color="auto"/>
          <w:bottom w:val="none" w:sz="0" w:space="0" w:color="auto"/>
        </w:pBdr>
      </w:pPr>
      <w:r w:rsidRPr="0062582F">
        <w:br w:type="column"/>
        <w:t>In complying with AASB 7 paragraphs 9(c) and 10(a), the entity shall also disclose the method used to determine the amount of change in fair value.</w:t>
      </w:r>
    </w:p>
    <w:p w:rsidR="004843DB" w:rsidRPr="0062582F" w:rsidRDefault="004843DB" w:rsidP="004843DB">
      <w:pPr>
        <w:pStyle w:val="CommentaryText"/>
        <w:pBdr>
          <w:top w:val="none" w:sz="0" w:space="0" w:color="auto"/>
          <w:bottom w:val="none" w:sz="0" w:space="0" w:color="auto"/>
        </w:pBdr>
      </w:pPr>
      <w:r w:rsidRPr="0062582F">
        <w:t>If the entity has designated a financial instrument liability as at fair value through profit or loss in accordance with paragraph 9 of AASB 139, it shall provide disclosure as per (c) above for the financial instrument liability. In addition, it shall also disclose the difference between the financial liability</w:t>
      </w:r>
      <w:r w:rsidR="005A4BB0">
        <w:t>’</w:t>
      </w:r>
      <w:r w:rsidRPr="0062582F">
        <w:t>s carrying amount and the amount the entity would be contractually required to pay at maturity to the holder of the obligation.</w:t>
      </w:r>
    </w:p>
    <w:p w:rsidR="004843DB" w:rsidRPr="0062582F" w:rsidRDefault="004843DB" w:rsidP="004843DB">
      <w:pPr>
        <w:pStyle w:val="CommentaryHeading2"/>
      </w:pPr>
      <w:r w:rsidRPr="0062582F">
        <w:t>Liquidity risk</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rPr>
          <w:lang w:val="en-AU"/>
        </w:rPr>
        <w:t>AASB 7.39</w:t>
      </w:r>
    </w:p>
    <w:p w:rsidR="004843DB" w:rsidRPr="0062582F" w:rsidRDefault="004843DB" w:rsidP="004843DB">
      <w:pPr>
        <w:pStyle w:val="CommentaryText"/>
        <w:pBdr>
          <w:top w:val="none" w:sz="0" w:space="0" w:color="auto"/>
          <w:bottom w:val="none" w:sz="0" w:space="0" w:color="auto"/>
        </w:pBdr>
      </w:pPr>
      <w:r w:rsidRPr="0062582F">
        <w:br w:type="column"/>
        <w:t>An entity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a maturity analysis for non</w:t>
      </w:r>
      <w:r w:rsidR="005A4BB0">
        <w:noBreakHyphen/>
      </w:r>
      <w:r w:rsidRPr="0062582F">
        <w:t xml:space="preserve">derivative financial instrument liabilities (including issued financial guarantee contracts) that shows the remaining contractual maturities; </w:t>
      </w:r>
    </w:p>
    <w:p w:rsidR="004843DB" w:rsidRPr="0062582F" w:rsidRDefault="004843DB" w:rsidP="004843DB">
      <w:pPr>
        <w:pStyle w:val="CommentaryTextIndent"/>
        <w:pBdr>
          <w:top w:val="none" w:sz="0" w:space="0" w:color="auto"/>
          <w:bottom w:val="none" w:sz="0" w:space="0" w:color="auto"/>
        </w:pBdr>
      </w:pPr>
      <w:r w:rsidRPr="0062582F">
        <w:t>(b)</w:t>
      </w:r>
      <w:r w:rsidRPr="0062582F">
        <w:tab/>
        <w:t>a maturity analysis for derivative financial instrument liabilities. The maturity analysis shall include the remaining contractual maturities for those derivative financial instrument liabilities for which contractual maturities are essential for an understanding of the timing of the cash flows; and</w:t>
      </w:r>
    </w:p>
    <w:p w:rsidR="004843DB" w:rsidRPr="0062582F" w:rsidRDefault="004843DB" w:rsidP="004843DB">
      <w:pPr>
        <w:pStyle w:val="CommentaryTextIndent"/>
        <w:pBdr>
          <w:top w:val="none" w:sz="0" w:space="0" w:color="auto"/>
          <w:bottom w:val="none" w:sz="0" w:space="0" w:color="auto"/>
        </w:pBdr>
      </w:pPr>
      <w:r w:rsidRPr="0062582F">
        <w:t>(c)</w:t>
      </w:r>
      <w:r w:rsidRPr="0062582F">
        <w:tab/>
        <w:t>a description of how it manages the liquidity risk inherent in (a) and (b).</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7.B11</w:t>
      </w:r>
    </w:p>
    <w:p w:rsidR="004843DB" w:rsidRPr="0062582F" w:rsidRDefault="004843DB" w:rsidP="004843DB">
      <w:pPr>
        <w:pStyle w:val="CommentaryText"/>
        <w:pBdr>
          <w:top w:val="none" w:sz="0" w:space="0" w:color="auto"/>
          <w:bottom w:val="none" w:sz="0" w:space="0" w:color="auto"/>
        </w:pBdr>
      </w:pPr>
      <w:r w:rsidRPr="0062582F">
        <w:br w:type="column"/>
        <w:t>The amounts disclosed in the maturity analysis are the contractual undiscounted cash flows. An entity shall use its judgement to determine an appropriate number of time bands. For example, an entity might determine that the following time bands are appropriate:</w:t>
      </w:r>
    </w:p>
    <w:p w:rsidR="004843DB" w:rsidRPr="0062582F" w:rsidRDefault="004843DB" w:rsidP="004843DB">
      <w:pPr>
        <w:pStyle w:val="CommentaryTextIndent"/>
        <w:pBdr>
          <w:top w:val="none" w:sz="0" w:space="0" w:color="auto"/>
          <w:bottom w:val="none" w:sz="0" w:space="0" w:color="auto"/>
        </w:pBdr>
      </w:pPr>
      <w:r w:rsidRPr="0062582F">
        <w:t>(a)</w:t>
      </w:r>
      <w:r w:rsidRPr="0062582F">
        <w:tab/>
        <w:t>not later than one month;</w:t>
      </w:r>
    </w:p>
    <w:p w:rsidR="004843DB" w:rsidRPr="0062582F" w:rsidRDefault="004843DB" w:rsidP="004843DB">
      <w:pPr>
        <w:pStyle w:val="CommentaryTextIndent"/>
        <w:pBdr>
          <w:top w:val="none" w:sz="0" w:space="0" w:color="auto"/>
          <w:bottom w:val="none" w:sz="0" w:space="0" w:color="auto"/>
        </w:pBdr>
      </w:pPr>
      <w:r w:rsidRPr="0062582F">
        <w:t>(b)</w:t>
      </w:r>
      <w:r w:rsidRPr="0062582F">
        <w:tab/>
        <w:t>later than one month and not later than three months;</w:t>
      </w:r>
    </w:p>
    <w:p w:rsidR="004843DB" w:rsidRPr="0062582F" w:rsidRDefault="004843DB" w:rsidP="004843DB">
      <w:pPr>
        <w:pStyle w:val="CommentaryTextIndent"/>
        <w:pBdr>
          <w:top w:val="none" w:sz="0" w:space="0" w:color="auto"/>
          <w:bottom w:val="none" w:sz="0" w:space="0" w:color="auto"/>
        </w:pBdr>
      </w:pPr>
      <w:r w:rsidRPr="0062582F">
        <w:t>(c)</w:t>
      </w:r>
      <w:r w:rsidRPr="0062582F">
        <w:tab/>
        <w:t xml:space="preserve">later than three months and not later than one year; </w:t>
      </w:r>
    </w:p>
    <w:p w:rsidR="004843DB" w:rsidRPr="0062582F" w:rsidRDefault="004843DB" w:rsidP="004843DB">
      <w:pPr>
        <w:pStyle w:val="CommentaryTextIndent"/>
        <w:pBdr>
          <w:top w:val="none" w:sz="0" w:space="0" w:color="auto"/>
          <w:bottom w:val="none" w:sz="0" w:space="0" w:color="auto"/>
        </w:pBdr>
      </w:pPr>
      <w:r w:rsidRPr="0062582F">
        <w:t>(d)</w:t>
      </w:r>
      <w:r w:rsidRPr="0062582F">
        <w:tab/>
        <w:t>later than one year and not later than five years, and</w:t>
      </w:r>
    </w:p>
    <w:p w:rsidR="004843DB" w:rsidRPr="0062582F" w:rsidRDefault="004843DB" w:rsidP="004843DB">
      <w:pPr>
        <w:pStyle w:val="CommentaryTextIndent"/>
        <w:pBdr>
          <w:top w:val="none" w:sz="0" w:space="0" w:color="auto"/>
          <w:bottom w:val="none" w:sz="0" w:space="0" w:color="auto"/>
        </w:pBdr>
      </w:pPr>
      <w:r w:rsidRPr="0062582F">
        <w:t>(e)</w:t>
      </w:r>
      <w:r w:rsidRPr="0062582F">
        <w:tab/>
        <w:t>greater than five years.</w:t>
      </w:r>
    </w:p>
    <w:p w:rsidR="004843DB" w:rsidRPr="0062582F" w:rsidRDefault="004843DB" w:rsidP="004843DB">
      <w:pPr>
        <w:pStyle w:val="CommentaryText"/>
        <w:pBdr>
          <w:top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7.B11C</w:t>
      </w:r>
    </w:p>
    <w:p w:rsidR="004843DB" w:rsidRPr="0062582F" w:rsidRDefault="004843DB" w:rsidP="004843DB">
      <w:pPr>
        <w:pStyle w:val="CommentaryText"/>
        <w:pBdr>
          <w:top w:val="none" w:sz="0" w:space="0" w:color="auto"/>
        </w:pBdr>
        <w:rPr>
          <w:noProof w:val="0"/>
        </w:rPr>
      </w:pPr>
      <w:r w:rsidRPr="0062582F">
        <w:rPr>
          <w:noProof w:val="0"/>
        </w:rPr>
        <w:br w:type="column"/>
        <w:t>An entity is required to disclose maturity analysis for financial liabilities that shows the remaining contractual maturities for some financial liabilities. In this disclosure:</w:t>
      </w:r>
    </w:p>
    <w:p w:rsidR="004843DB" w:rsidRPr="0062582F" w:rsidRDefault="004843DB" w:rsidP="004843DB">
      <w:pPr>
        <w:pStyle w:val="CommentaryTextIndent"/>
        <w:pBdr>
          <w:top w:val="none" w:sz="0" w:space="0" w:color="auto"/>
        </w:pBdr>
      </w:pPr>
      <w:r w:rsidRPr="0062582F">
        <w:t>(</w:t>
      </w:r>
      <w:r w:rsidRPr="0062582F">
        <w:rPr>
          <w:rStyle w:val="CommentaryTextIndentChar"/>
        </w:rPr>
        <w:t xml:space="preserve">a) </w:t>
      </w:r>
      <w:r w:rsidRPr="0062582F">
        <w:rPr>
          <w:rStyle w:val="CommentaryTextIndentChar"/>
        </w:rPr>
        <w:tab/>
        <w:t>when a counterparty has a choice of when an amount is paid, the liability is allocated to the earliest period in which the entity can be required to pay. For example, financial liabilities that an entity can be required to repay on demand (e.g.</w:t>
      </w:r>
      <w:r w:rsidRPr="0062582F">
        <w:t xml:space="preserve"> demand deposits) are included in the earliest time band;</w:t>
      </w:r>
    </w:p>
    <w:p w:rsidR="004843DB" w:rsidRPr="0062582F" w:rsidRDefault="004843DB" w:rsidP="004843DB">
      <w:pPr>
        <w:pStyle w:val="CommentaryTextIndent"/>
        <w:pBdr>
          <w:top w:val="none" w:sz="0" w:space="0" w:color="auto"/>
        </w:pBdr>
      </w:pPr>
      <w:r w:rsidRPr="0062582F">
        <w:t xml:space="preserve">(b) </w:t>
      </w:r>
      <w:r w:rsidRPr="0062582F">
        <w:tab/>
        <w:t>when an entity is committed to make amounts available in instalments, each instalment is allocated to the earliest period in which the entity can be required to pay. For example, an undrawn loan commitment is included in the time band containing the earliest date it can be drawn down; and</w:t>
      </w:r>
    </w:p>
    <w:p w:rsidR="004843DB" w:rsidRPr="0062582F" w:rsidRDefault="004843DB" w:rsidP="004843DB">
      <w:pPr>
        <w:pStyle w:val="CommentaryTextIndent"/>
        <w:pBdr>
          <w:top w:val="none" w:sz="0" w:space="0" w:color="auto"/>
        </w:pBdr>
      </w:pPr>
      <w:r w:rsidRPr="0062582F">
        <w:t xml:space="preserve">(c) </w:t>
      </w:r>
      <w:r w:rsidRPr="0062582F">
        <w:tab/>
        <w:t>for issued financial guarantee contracts, the maximum amount of the guarantee is allocated to the earliest period in which the guarantee could be called.</w:t>
      </w:r>
    </w:p>
    <w:p w:rsidR="004843DB" w:rsidRPr="0062582F" w:rsidRDefault="004843DB" w:rsidP="004843DB">
      <w:pPr>
        <w:pStyle w:val="Reference"/>
      </w:pP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rPr>
          <w:i/>
          <w:iCs/>
        </w:rPr>
      </w:pPr>
      <w:r w:rsidRPr="0062582F">
        <w:t xml:space="preserve">Commentary – Nature and extent of risk disclosures </w:t>
      </w:r>
      <w:r w:rsidRPr="0062582F">
        <w:rPr>
          <w:i/>
          <w:iCs/>
        </w:rPr>
        <w:t>(continued)</w:t>
      </w:r>
    </w:p>
    <w:p w:rsidR="004843DB" w:rsidRPr="0062582F"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t xml:space="preserve">AASB 7 .B11D </w:t>
      </w:r>
    </w:p>
    <w:p w:rsidR="004843DB" w:rsidRPr="0062582F" w:rsidRDefault="004843DB" w:rsidP="004843DB">
      <w:pPr>
        <w:pStyle w:val="CommentaryText"/>
        <w:pBdr>
          <w:top w:val="none" w:sz="0" w:space="0" w:color="auto"/>
          <w:bottom w:val="none" w:sz="0" w:space="0" w:color="auto"/>
        </w:pBdr>
      </w:pPr>
      <w:r w:rsidRPr="0062582F">
        <w:br w:type="column"/>
        <w:t>The contractual amounts disclosed in the maturity analysis are the contractual undiscounted cash flows, for example:</w:t>
      </w:r>
    </w:p>
    <w:p w:rsidR="004843DB" w:rsidRPr="0062582F" w:rsidRDefault="004843DB" w:rsidP="004843DB">
      <w:pPr>
        <w:pStyle w:val="CommentaryTextIndent"/>
        <w:pBdr>
          <w:top w:val="none" w:sz="0" w:space="0" w:color="auto"/>
          <w:bottom w:val="none" w:sz="0" w:space="0" w:color="auto"/>
        </w:pBdr>
      </w:pPr>
      <w:r w:rsidRPr="0062582F">
        <w:t xml:space="preserve">(a) </w:t>
      </w:r>
      <w:r w:rsidRPr="0062582F">
        <w:tab/>
        <w:t>gross finance lease obligations (before deducting finance charges);</w:t>
      </w:r>
    </w:p>
    <w:p w:rsidR="004843DB" w:rsidRPr="0062582F" w:rsidRDefault="004843DB" w:rsidP="004843DB">
      <w:pPr>
        <w:pStyle w:val="CommentaryTextIndent"/>
        <w:pBdr>
          <w:top w:val="none" w:sz="0" w:space="0" w:color="auto"/>
          <w:bottom w:val="none" w:sz="0" w:space="0" w:color="auto"/>
        </w:pBdr>
      </w:pPr>
      <w:r w:rsidRPr="0062582F">
        <w:t xml:space="preserve">(b) </w:t>
      </w:r>
      <w:r w:rsidRPr="0062582F">
        <w:tab/>
        <w:t>prices specified in forward agreements to purchase financial assets for cash;</w:t>
      </w:r>
    </w:p>
    <w:p w:rsidR="004843DB" w:rsidRPr="0062582F" w:rsidRDefault="004843DB" w:rsidP="004843DB">
      <w:pPr>
        <w:pStyle w:val="CommentaryTextIndent"/>
        <w:pBdr>
          <w:top w:val="none" w:sz="0" w:space="0" w:color="auto"/>
          <w:bottom w:val="none" w:sz="0" w:space="0" w:color="auto"/>
        </w:pBdr>
      </w:pPr>
      <w:r w:rsidRPr="0062582F">
        <w:t xml:space="preserve">(c) </w:t>
      </w:r>
      <w:r w:rsidRPr="0062582F">
        <w:tab/>
        <w:t>net amounts for pay</w:t>
      </w:r>
      <w:r w:rsidR="005A4BB0">
        <w:noBreakHyphen/>
      </w:r>
      <w:r w:rsidRPr="0062582F">
        <w:t>floating/receive</w:t>
      </w:r>
      <w:r w:rsidR="005A4BB0">
        <w:noBreakHyphen/>
      </w:r>
      <w:r w:rsidRPr="0062582F">
        <w:t>fixed interest rate swaps for which net cash flows are exchanged;</w:t>
      </w:r>
    </w:p>
    <w:p w:rsidR="004843DB" w:rsidRPr="0062582F" w:rsidRDefault="004843DB" w:rsidP="004843DB">
      <w:pPr>
        <w:pStyle w:val="CommentaryTextIndent"/>
        <w:pBdr>
          <w:top w:val="none" w:sz="0" w:space="0" w:color="auto"/>
          <w:bottom w:val="none" w:sz="0" w:space="0" w:color="auto"/>
        </w:pBdr>
      </w:pPr>
      <w:r w:rsidRPr="0062582F">
        <w:t xml:space="preserve">(d) </w:t>
      </w:r>
      <w:r w:rsidRPr="0062582F">
        <w:tab/>
        <w:t>contractual amounts to be exchanged in a derivative financial instrument (e.g. a currency swap) for which gross cash flows are exchanged; and</w:t>
      </w:r>
    </w:p>
    <w:p w:rsidR="004843DB" w:rsidRPr="0062582F" w:rsidRDefault="004843DB" w:rsidP="004843DB">
      <w:pPr>
        <w:pStyle w:val="CommentaryTextIndent"/>
        <w:pBdr>
          <w:top w:val="none" w:sz="0" w:space="0" w:color="auto"/>
          <w:bottom w:val="none" w:sz="0" w:space="0" w:color="auto"/>
        </w:pBdr>
      </w:pPr>
      <w:r w:rsidRPr="0062582F">
        <w:t xml:space="preserve">(e) </w:t>
      </w:r>
      <w:r w:rsidRPr="0062582F">
        <w:tab/>
        <w:t>gross loan commitments.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80"/>
        <w:rPr>
          <w:lang w:val="en-AU"/>
        </w:rPr>
      </w:pPr>
      <w:r w:rsidRPr="0062582F">
        <w:rPr>
          <w:lang w:val="en-AU"/>
        </w:rPr>
        <w:t>AASB 7.40</w:t>
      </w:r>
    </w:p>
    <w:p w:rsidR="004843DB" w:rsidRPr="0062582F" w:rsidRDefault="004843DB" w:rsidP="004843DB">
      <w:pPr>
        <w:pStyle w:val="CommentaryHeading2"/>
      </w:pPr>
      <w:r w:rsidRPr="0062582F">
        <w:br w:type="column"/>
        <w:t>Market risk</w:t>
      </w:r>
    </w:p>
    <w:p w:rsidR="004843DB" w:rsidRPr="0062582F" w:rsidRDefault="004843DB" w:rsidP="004843DB">
      <w:pPr>
        <w:pStyle w:val="CommentaryText"/>
        <w:pBdr>
          <w:top w:val="none" w:sz="0" w:space="0" w:color="auto"/>
          <w:bottom w:val="none" w:sz="0" w:space="0" w:color="auto"/>
        </w:pBdr>
      </w:pPr>
      <w:r w:rsidRPr="0062582F">
        <w:t xml:space="preserve">Market risk comprises foreign currency risk, interest rate risk, and other price risk. </w:t>
      </w:r>
    </w:p>
    <w:p w:rsidR="004843DB" w:rsidRPr="0062582F" w:rsidDel="001058D9" w:rsidRDefault="004843DB" w:rsidP="004843DB">
      <w:pPr>
        <w:pStyle w:val="CommentaryText"/>
        <w:pBdr>
          <w:top w:val="none" w:sz="0" w:space="0" w:color="auto"/>
          <w:bottom w:val="none" w:sz="0" w:space="0" w:color="auto"/>
        </w:pBdr>
      </w:pPr>
      <w:r w:rsidRPr="0062582F">
        <w:t>Unless an entity prepares a sensitivity analysis, such as value</w:t>
      </w:r>
      <w:r w:rsidR="005A4BB0">
        <w:noBreakHyphen/>
      </w:r>
      <w:r w:rsidRPr="0062582F">
        <w:t>at</w:t>
      </w:r>
      <w:r w:rsidR="005A4BB0">
        <w:noBreakHyphen/>
      </w:r>
      <w:r w:rsidRPr="0062582F">
        <w:t>risk, that reflects interdependencies between risk variables (e.g. interest rates and exchange rates) and uses it to manage financial risks, an entity shall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a sensitivity analysis for each type of market risk to which the entity is exposed at the end of the reporting period, showing how profit or loss and equity would have been affected by changes in the relevant risk variable that were reasonably possible at that date;</w:t>
      </w:r>
    </w:p>
    <w:p w:rsidR="004843DB" w:rsidRPr="0062582F" w:rsidRDefault="004843DB" w:rsidP="004843DB">
      <w:pPr>
        <w:pStyle w:val="CommentaryTextIndent"/>
        <w:pBdr>
          <w:top w:val="none" w:sz="0" w:space="0" w:color="auto"/>
          <w:bottom w:val="none" w:sz="0" w:space="0" w:color="auto"/>
        </w:pBdr>
      </w:pPr>
      <w:r w:rsidRPr="0062582F">
        <w:t>(b)</w:t>
      </w:r>
      <w:r w:rsidRPr="0062582F">
        <w:tab/>
        <w:t>the methods and assumptions used in preparing the sensitivity analysis; and</w:t>
      </w:r>
    </w:p>
    <w:p w:rsidR="004843DB" w:rsidRPr="0062582F" w:rsidRDefault="004843DB" w:rsidP="004843DB">
      <w:pPr>
        <w:pStyle w:val="CommentaryTextIndent"/>
        <w:pBdr>
          <w:top w:val="none" w:sz="0" w:space="0" w:color="auto"/>
          <w:bottom w:val="none" w:sz="0" w:space="0" w:color="auto"/>
        </w:pBdr>
      </w:pPr>
      <w:r w:rsidRPr="0062582F">
        <w:t>(c)</w:t>
      </w:r>
      <w:r w:rsidRPr="0062582F">
        <w:tab/>
        <w:t>changes from the previous period in the methods and assumptions used, and the reasons for such changes.</w:t>
      </w:r>
    </w:p>
    <w:p w:rsidR="004843DB" w:rsidRPr="0062582F" w:rsidRDefault="004843DB" w:rsidP="004843DB">
      <w:pPr>
        <w:pStyle w:val="CommentaryHeading1"/>
        <w:pBdr>
          <w:top w:val="none" w:sz="0" w:space="0" w:color="auto"/>
          <w:bottom w:val="none" w:sz="0" w:space="0" w:color="auto"/>
        </w:pBdr>
      </w:pPr>
      <w:r w:rsidRPr="0062582F">
        <w:t>Further guidance for preparation of sensitivity analysis</w:t>
      </w:r>
    </w:p>
    <w:p w:rsidR="004843DB" w:rsidRPr="0062582F" w:rsidRDefault="004843DB" w:rsidP="004843DB">
      <w:pPr>
        <w:pStyle w:val="CommentaryHeading2"/>
      </w:pPr>
      <w:r w:rsidRPr="0062582F">
        <w:t>Interest rate risk sensitivity</w:t>
      </w:r>
    </w:p>
    <w:p w:rsidR="004843DB" w:rsidRPr="0062582F" w:rsidRDefault="004843DB" w:rsidP="004843DB">
      <w:pPr>
        <w:pStyle w:val="CommentaryBullet"/>
      </w:pPr>
      <w:r w:rsidRPr="0062582F">
        <w:t>The carrying value of a floating rate interest</w:t>
      </w:r>
      <w:r w:rsidR="005A4BB0">
        <w:noBreakHyphen/>
      </w:r>
      <w:r w:rsidRPr="0062582F">
        <w:t>bearing instrument valued at fair value would not be impacted by a change in interest rates, however the change in interest rates would result in a change in the interest earned (if interest rates increase, the interest earned on the instrument would also increase).</w:t>
      </w:r>
    </w:p>
    <w:p w:rsidR="004843DB" w:rsidRPr="0062582F" w:rsidRDefault="004843DB" w:rsidP="004843DB">
      <w:pPr>
        <w:pStyle w:val="CommentaryBullet"/>
      </w:pPr>
      <w:r w:rsidRPr="0062582F">
        <w:t xml:space="preserve">The carrying value of a fixed rate interest bearing instrument valued at fair value would be impacted by a change in interest rates (if interest rates increase, the carrying value of the instrument would decrease, but the interest earned would not be impacted). </w:t>
      </w:r>
    </w:p>
    <w:p w:rsidR="004843DB" w:rsidRPr="0062582F" w:rsidRDefault="004843DB" w:rsidP="004843DB">
      <w:pPr>
        <w:pStyle w:val="CommentaryBullet"/>
      </w:pPr>
      <w:r w:rsidRPr="0062582F">
        <w:t xml:space="preserve">The carrying value of a fixed rate interest bearing instrument valued at amortised cost would not be impacted by a change in interest rates and neither would the interest earned. </w:t>
      </w:r>
    </w:p>
    <w:p w:rsidR="004843DB" w:rsidRPr="0062582F" w:rsidRDefault="004843DB" w:rsidP="004843DB">
      <w:pPr>
        <w:pStyle w:val="CommentaryBullet"/>
      </w:pPr>
      <w:r w:rsidRPr="0062582F">
        <w:t>The impacts resulting from the above will change to the extent that interest rate risk was hedged.</w:t>
      </w:r>
    </w:p>
    <w:p w:rsidR="004843DB" w:rsidRPr="0062582F" w:rsidRDefault="004843DB" w:rsidP="004843DB">
      <w:pPr>
        <w:pStyle w:val="CommentaryText"/>
        <w:pBdr>
          <w:top w:val="none" w:sz="0" w:space="0" w:color="auto"/>
        </w:pBdr>
      </w:pPr>
      <w:r w:rsidRPr="0062582F">
        <w:t>The tables in the following page provide a summary of these impacts for both an increase and a decrease in interest rates with examples for cash deposits, term deposits and finance leases. Please note some PPPs have been classified as finance leases.</w:t>
      </w:r>
    </w:p>
    <w:p w:rsidR="004843DB" w:rsidRPr="0062582F" w:rsidRDefault="004843DB" w:rsidP="004843DB">
      <w:pPr>
        <w:pStyle w:val="Reference"/>
      </w:pP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rPr>
          <w:i/>
          <w:iCs/>
        </w:rPr>
      </w:pPr>
      <w:r w:rsidRPr="0062582F">
        <w:t xml:space="preserve">Commentary – Nature and extent of risk disclosures </w:t>
      </w:r>
      <w:r w:rsidRPr="0062582F">
        <w:rPr>
          <w:i/>
          <w:iCs/>
        </w:rPr>
        <w:t>(continued)</w:t>
      </w:r>
    </w:p>
    <w:p w:rsidR="004843DB" w:rsidRPr="0062582F" w:rsidRDefault="004843DB" w:rsidP="004843DB">
      <w:pPr>
        <w:pStyle w:val="SmallLineBlue"/>
        <w:pBdr>
          <w:bottom w:val="none" w:sz="0" w:space="0" w:color="auto"/>
        </w:pBdr>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7.42</w:t>
      </w:r>
    </w:p>
    <w:p w:rsidR="004843DB" w:rsidRPr="0062582F" w:rsidRDefault="004843DB" w:rsidP="004843DB">
      <w:pPr>
        <w:pStyle w:val="CommentaryText"/>
        <w:pBdr>
          <w:top w:val="none" w:sz="0" w:space="0" w:color="auto"/>
          <w:bottom w:val="none" w:sz="0" w:space="0" w:color="auto"/>
        </w:pBdr>
        <w:rPr>
          <w:rStyle w:val="NormalBlueChar"/>
        </w:rPr>
      </w:pPr>
      <w:r w:rsidRPr="0062582F">
        <w:br w:type="column"/>
        <w:t xml:space="preserve">The balances to </w:t>
      </w:r>
      <w:r w:rsidRPr="0062582F">
        <w:rPr>
          <w:rStyle w:val="NormalBlueChar"/>
        </w:rPr>
        <w:t>be used for the interest rate sensitivity analysis should be the period end balances. Where the year end balances are not reflective of the balance held through the year, narrative explaining this and the impact on the sensitivity analysis should be included as an additional disclosure.</w:t>
      </w:r>
    </w:p>
    <w:p w:rsidR="004843DB" w:rsidRPr="0062582F" w:rsidRDefault="004843DB" w:rsidP="004843DB">
      <w:pPr>
        <w:pStyle w:val="Notes"/>
        <w:pBdr>
          <w:left w:val="single" w:sz="4" w:space="4" w:color="0000FF"/>
          <w:right w:val="single" w:sz="4" w:space="4" w:color="0000FF"/>
        </w:pBdr>
        <w:rPr>
          <w:rStyle w:val="NormalBlueChar"/>
          <w:color w:val="auto"/>
        </w:rPr>
      </w:pPr>
    </w:p>
    <w:bookmarkStart w:id="579" w:name="_MON_1394457586"/>
    <w:bookmarkStart w:id="580" w:name="_MON_1329291807"/>
    <w:bookmarkStart w:id="581" w:name="_MON_1329291870"/>
    <w:bookmarkStart w:id="582" w:name="_MON_1360652471"/>
    <w:bookmarkEnd w:id="579"/>
    <w:bookmarkEnd w:id="580"/>
    <w:bookmarkEnd w:id="581"/>
    <w:bookmarkEnd w:id="582"/>
    <w:bookmarkStart w:id="583" w:name="_MON_1363010126"/>
    <w:bookmarkEnd w:id="583"/>
    <w:p w:rsidR="004843DB" w:rsidRPr="0062582F" w:rsidRDefault="004843DB" w:rsidP="004843DB">
      <w:pPr>
        <w:pStyle w:val="CommentaryTextIndent"/>
        <w:pBdr>
          <w:top w:val="none" w:sz="0" w:space="0" w:color="auto"/>
          <w:bottom w:val="none" w:sz="0" w:space="0" w:color="auto"/>
        </w:pBdr>
      </w:pPr>
      <w:r w:rsidRPr="0062582F">
        <w:object w:dxaOrig="11748" w:dyaOrig="10149">
          <v:shape id="_x0000_i1031" type="#_x0000_t75" style="width:394.5pt;height:341.25pt" o:ole="">
            <v:imagedata r:id="rId338" o:title=""/>
          </v:shape>
          <o:OLEObject Type="Embed" ProgID="Excel.Sheet.8" ShapeID="_x0000_i1031" DrawAspect="Content" ObjectID="_1578397778" r:id="rId339"/>
        </w:object>
      </w:r>
    </w:p>
    <w:p w:rsidR="004843DB" w:rsidRPr="0062582F" w:rsidRDefault="004843DB" w:rsidP="004843DB">
      <w:pPr>
        <w:pStyle w:val="Notes"/>
        <w:pBdr>
          <w:left w:val="single" w:sz="4" w:space="4" w:color="0000FF"/>
          <w:right w:val="single" w:sz="4" w:space="4" w:color="0000FF"/>
        </w:pBdr>
      </w:pPr>
    </w:p>
    <w:p w:rsidR="004843DB" w:rsidRPr="0062582F" w:rsidRDefault="004843DB" w:rsidP="004843DB">
      <w:pPr>
        <w:pStyle w:val="CommentaryHeading2"/>
      </w:pPr>
      <w:r w:rsidRPr="0062582F">
        <w:t>Foreign currency risk sensitivity</w:t>
      </w:r>
    </w:p>
    <w:p w:rsidR="004843DB" w:rsidRPr="0062582F" w:rsidRDefault="004843DB" w:rsidP="004843DB">
      <w:pPr>
        <w:pStyle w:val="CommentaryText"/>
        <w:pBdr>
          <w:top w:val="none" w:sz="0" w:space="0" w:color="auto"/>
          <w:bottom w:val="none" w:sz="0" w:space="0" w:color="auto"/>
        </w:pBdr>
      </w:pPr>
      <w:r w:rsidRPr="0062582F">
        <w:t xml:space="preserve">The sensitivity analysis on foreign currency risk should include foreign currency denominated investments items, and adjust their translation at the period end by the percentage of change in foreign currency rates determined to be reasonably possible. </w:t>
      </w:r>
    </w:p>
    <w:p w:rsidR="004843DB" w:rsidRPr="0062582F" w:rsidRDefault="004843DB" w:rsidP="004843DB">
      <w:pPr>
        <w:pStyle w:val="CommentaryText"/>
        <w:pBdr>
          <w:top w:val="none" w:sz="0" w:space="0" w:color="auto"/>
          <w:bottom w:val="none" w:sz="0" w:space="0" w:color="auto"/>
        </w:pBdr>
      </w:pPr>
      <w:r w:rsidRPr="0062582F">
        <w:t>A positive number indicates an increase in the net result where the Australian dollar strengthens against the respective currency.</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7.42</w:t>
      </w:r>
    </w:p>
    <w:p w:rsidR="004843DB" w:rsidRPr="0062582F" w:rsidRDefault="004843DB" w:rsidP="004843DB">
      <w:pPr>
        <w:pStyle w:val="CommentaryText"/>
        <w:pBdr>
          <w:top w:val="none" w:sz="0" w:space="0" w:color="auto"/>
        </w:pBdr>
      </w:pPr>
      <w:r w:rsidRPr="0062582F">
        <w:br w:type="column"/>
        <w:t xml:space="preserve">The balances to be used for the foreign currency sensitivity analysis should be the </w:t>
      </w:r>
      <w:r w:rsidRPr="0062582F">
        <w:rPr>
          <w:b/>
          <w:bCs/>
        </w:rPr>
        <w:t>period end balances</w:t>
      </w:r>
      <w:r w:rsidRPr="0062582F">
        <w:t>. Where the year end balances are not reflective of the balance held through the year, narrative explaining this and the impact on the sensitivity analysis should be included as an additional disclosure.</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r w:rsidRPr="0062582F">
        <w:br w:type="column"/>
      </w: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pBdr>
          <w:bottom w:val="none" w:sz="0" w:space="0" w:color="auto"/>
        </w:pBdr>
        <w:rPr>
          <w:i/>
          <w:iCs/>
        </w:rPr>
      </w:pPr>
      <w:r w:rsidRPr="0062582F">
        <w:t xml:space="preserve">Commentary – Nature and extent of risk disclosures </w:t>
      </w:r>
      <w:r w:rsidRPr="0062582F">
        <w:rPr>
          <w:i/>
          <w:iCs/>
        </w:rPr>
        <w:t>(continued)</w:t>
      </w:r>
    </w:p>
    <w:p w:rsidR="004843DB" w:rsidRPr="001175E0" w:rsidRDefault="004843DB" w:rsidP="004843DB">
      <w:pPr>
        <w:pStyle w:val="SmallLineBlue"/>
      </w:pPr>
    </w:p>
    <w:p w:rsidR="004843DB" w:rsidRPr="0062582F" w:rsidRDefault="004843DB" w:rsidP="004843DB">
      <w:pPr>
        <w:pStyle w:val="CommentaryHeading2"/>
      </w:pPr>
      <w:r w:rsidRPr="0062582F">
        <w:t>Other price risk sensitivity</w:t>
      </w:r>
    </w:p>
    <w:p w:rsidR="004843DB" w:rsidRPr="0062582F" w:rsidRDefault="004843DB" w:rsidP="004843DB">
      <w:pPr>
        <w:pStyle w:val="CommentaryText"/>
        <w:pBdr>
          <w:top w:val="none" w:sz="0" w:space="0" w:color="auto"/>
          <w:bottom w:val="none" w:sz="0" w:space="0" w:color="auto"/>
        </w:pBdr>
      </w:pPr>
      <w:r w:rsidRPr="0062582F">
        <w:t xml:space="preserve">Equity price risk arises from equity investments (comprising both shares and investments in managed investment schemes). This price risk arises from listed and/or unlisted Australian and/or overseas securities. </w:t>
      </w:r>
    </w:p>
    <w:p w:rsidR="004843DB" w:rsidRPr="0062582F" w:rsidRDefault="004843DB" w:rsidP="004843DB">
      <w:pPr>
        <w:pStyle w:val="CommentaryText"/>
        <w:pBdr>
          <w:top w:val="none" w:sz="0" w:space="0" w:color="auto"/>
          <w:bottom w:val="none" w:sz="0" w:space="0" w:color="auto"/>
        </w:pBdr>
      </w:pPr>
      <w:r w:rsidRPr="0062582F">
        <w:t>The sensitivity data collection for price risk is based on the:</w:t>
      </w:r>
    </w:p>
    <w:p w:rsidR="004843DB" w:rsidRPr="0062582F" w:rsidRDefault="004843DB" w:rsidP="004843DB">
      <w:pPr>
        <w:pStyle w:val="CommentaryBullet"/>
      </w:pPr>
      <w:r w:rsidRPr="0062582F">
        <w:t>exposure to the prices of listed equities (including managed investment schemes), and also unlisted equities (including managed investment schemes) both in Australia and overseas markets, at the end of the reporting period; and</w:t>
      </w:r>
    </w:p>
    <w:p w:rsidR="004843DB" w:rsidRPr="0062582F" w:rsidRDefault="004843DB" w:rsidP="004843DB">
      <w:pPr>
        <w:pStyle w:val="CommentaryBullet"/>
      </w:pPr>
      <w:r w:rsidRPr="0062582F">
        <w:t>the stipulated change taking place at the beginning of the financial year and held constant throughout the reporting period.</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7.42</w:t>
      </w:r>
    </w:p>
    <w:p w:rsidR="004843DB" w:rsidRPr="0062582F" w:rsidRDefault="004843DB" w:rsidP="004843DB">
      <w:pPr>
        <w:pStyle w:val="CommentaryText"/>
        <w:pBdr>
          <w:top w:val="none" w:sz="0" w:space="0" w:color="auto"/>
          <w:bottom w:val="none" w:sz="0" w:space="0" w:color="auto"/>
        </w:pBdr>
      </w:pPr>
      <w:r w:rsidRPr="0062582F">
        <w:br w:type="column"/>
        <w:t xml:space="preserve">The balances to be used for the other price risk sensitivity analysis should be the </w:t>
      </w:r>
      <w:r w:rsidRPr="0062582F">
        <w:rPr>
          <w:b/>
          <w:bCs/>
        </w:rPr>
        <w:t>period end balances</w:t>
      </w:r>
      <w:r w:rsidRPr="0062582F">
        <w:t>. Where the year end balances do not reflect the balance held through the year, narrative explaining this and the impact on the sensitivity analysis should be included as an additional disclosure.</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40"/>
      </w:pPr>
      <w:r w:rsidRPr="0062582F">
        <w:t>AASB 7.41</w:t>
      </w:r>
    </w:p>
    <w:p w:rsidR="004843DB" w:rsidRPr="0062582F" w:rsidRDefault="004843DB" w:rsidP="004843DB">
      <w:pPr>
        <w:pStyle w:val="CommentaryHeading1"/>
        <w:pBdr>
          <w:top w:val="none" w:sz="0" w:space="0" w:color="auto"/>
          <w:bottom w:val="none" w:sz="0" w:space="0" w:color="auto"/>
        </w:pBdr>
      </w:pPr>
      <w:r w:rsidRPr="0062582F">
        <w:br w:type="column"/>
        <w:t>Value</w:t>
      </w:r>
      <w:r w:rsidR="005A4BB0">
        <w:noBreakHyphen/>
      </w:r>
      <w:r w:rsidRPr="0062582F">
        <w:t>at</w:t>
      </w:r>
      <w:r w:rsidR="005A4BB0">
        <w:noBreakHyphen/>
      </w:r>
      <w:r w:rsidRPr="0062582F">
        <w:t>risk</w:t>
      </w:r>
    </w:p>
    <w:p w:rsidR="004843DB" w:rsidRPr="0062582F" w:rsidRDefault="004843DB" w:rsidP="004843DB">
      <w:pPr>
        <w:pStyle w:val="CommentaryText"/>
        <w:pBdr>
          <w:top w:val="none" w:sz="0" w:space="0" w:color="auto"/>
          <w:bottom w:val="none" w:sz="0" w:space="0" w:color="auto"/>
        </w:pBdr>
      </w:pPr>
      <w:r w:rsidRPr="0062582F">
        <w:t>If an entity uses value</w:t>
      </w:r>
      <w:r w:rsidR="005A4BB0">
        <w:noBreakHyphen/>
      </w:r>
      <w:r w:rsidRPr="0062582F">
        <w:t>at</w:t>
      </w:r>
      <w:r w:rsidR="005A4BB0">
        <w:noBreakHyphen/>
      </w:r>
      <w:r w:rsidRPr="0062582F">
        <w:t>risk for its sensitivity analysis, which reflects interdependencies between risk variables, and uses it to manage financial risks, it may use that sensitivity analysis in place of the analysis specified above. The entity shall also disclose:</w:t>
      </w:r>
    </w:p>
    <w:p w:rsidR="004843DB" w:rsidRPr="0062582F" w:rsidRDefault="004843DB" w:rsidP="004843DB">
      <w:pPr>
        <w:pStyle w:val="CommentaryTextIndent"/>
        <w:pBdr>
          <w:top w:val="none" w:sz="0" w:space="0" w:color="auto"/>
          <w:bottom w:val="none" w:sz="0" w:space="0" w:color="auto"/>
        </w:pBdr>
      </w:pPr>
      <w:r w:rsidRPr="0062582F">
        <w:t>(a)</w:t>
      </w:r>
      <w:r w:rsidRPr="0062582F">
        <w:tab/>
        <w:t>an explanation of the method used in preparing such a sensitivity analysis, and of the main parameters and assumptions underlying the data provided; and</w:t>
      </w:r>
    </w:p>
    <w:p w:rsidR="004843DB" w:rsidRPr="0062582F" w:rsidRDefault="004843DB" w:rsidP="004843DB">
      <w:pPr>
        <w:pStyle w:val="CommentaryTextIndent"/>
        <w:pBdr>
          <w:top w:val="none" w:sz="0" w:space="0" w:color="auto"/>
          <w:bottom w:val="none" w:sz="0" w:space="0" w:color="auto"/>
        </w:pBdr>
      </w:pPr>
      <w:r w:rsidRPr="0062582F">
        <w:t>(b)</w:t>
      </w:r>
      <w:r w:rsidRPr="0062582F">
        <w:tab/>
        <w:t>an explanation of the objective of the method used and of limitations that may result in the information not fully reflecting the fair value of the assets and liabilities involved.</w:t>
      </w:r>
    </w:p>
    <w:p w:rsidR="004843DB" w:rsidRPr="0062582F" w:rsidRDefault="004843DB" w:rsidP="004843DB">
      <w:pPr>
        <w:pStyle w:val="CommentaryHeading1"/>
        <w:pBdr>
          <w:top w:val="none" w:sz="0" w:space="0" w:color="auto"/>
          <w:bottom w:val="none" w:sz="0" w:space="0" w:color="auto"/>
        </w:pBdr>
      </w:pPr>
      <w:r w:rsidRPr="0062582F">
        <w:t>Investments held through trusts or managed investments</w:t>
      </w:r>
    </w:p>
    <w:p w:rsidR="004843DB" w:rsidRPr="0062582F" w:rsidRDefault="004843DB" w:rsidP="004843DB">
      <w:pPr>
        <w:pStyle w:val="CommentaryText"/>
        <w:pBdr>
          <w:top w:val="none" w:sz="0" w:space="0" w:color="auto"/>
        </w:pBdr>
      </w:pPr>
      <w:r w:rsidRPr="0062582F">
        <w:t>Entities are not required to prepare sensitivity analyses for such investments on a look</w:t>
      </w:r>
      <w:r w:rsidR="005A4BB0">
        <w:noBreakHyphen/>
      </w:r>
      <w:r w:rsidRPr="0062582F">
        <w:t>through basis. Sensitivity for these investments may be prepared on the price per unit level only, not on the individual investments in the trust or portfolio, and disclosed as other price risk sensitivity.</w:t>
      </w:r>
    </w:p>
    <w:p w:rsidR="004843DB" w:rsidRPr="0062582F" w:rsidRDefault="004843DB" w:rsidP="004843DB">
      <w:pPr>
        <w:pStyle w:val="CommentaryText"/>
        <w:pBdr>
          <w:top w:val="none" w:sz="0" w:space="0" w:color="auto"/>
        </w:pBdr>
      </w:pPr>
      <w:r w:rsidRPr="0062582F">
        <w:t xml:space="preserve">However, an entity that holds investments in </w:t>
      </w:r>
      <w:r w:rsidRPr="0062582F">
        <w:rPr>
          <w:b/>
        </w:rPr>
        <w:t xml:space="preserve">unlisted bond trusts </w:t>
      </w:r>
      <w:r w:rsidRPr="0062582F">
        <w:t>shall disclose the fact that the market values of such investments are impacted by market expectations of future interest rate changes and changes to official interest rates. The entity</w:t>
      </w:r>
      <w:r w:rsidR="005A4BB0">
        <w:t>’</w:t>
      </w:r>
      <w:r w:rsidRPr="0062582F">
        <w:t>s other price risk sensitivity analysis shall account for potential interest rate changes and the related impact on unit market price.</w:t>
      </w:r>
    </w:p>
    <w:p w:rsidR="004843DB" w:rsidRPr="0062582F" w:rsidRDefault="004843DB" w:rsidP="004843DB"/>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Headingcontinued"/>
      </w:pPr>
      <w:r w:rsidRPr="0062582F">
        <w:rPr>
          <w:rStyle w:val="ReferenceRedChar"/>
        </w:rPr>
        <w:br w:type="page"/>
      </w:r>
      <w:r w:rsidRPr="0062582F">
        <w:rPr>
          <w:rStyle w:val="ReferenceRedChar"/>
        </w:rPr>
        <w:br w:type="column"/>
      </w:r>
      <w:r w:rsidRPr="0062582F">
        <w:t>Note 33.</w:t>
      </w:r>
      <w:r w:rsidRPr="0062582F">
        <w:tab/>
        <w:t xml:space="preserve">Financial instruments </w:t>
      </w:r>
      <w:r w:rsidRPr="0062582F">
        <w:rPr>
          <w:i/>
        </w:rPr>
        <w:t>(continued)</w:t>
      </w:r>
    </w:p>
    <w:p w:rsidR="004843DB" w:rsidRPr="0062582F" w:rsidRDefault="004843DB" w:rsidP="004843DB">
      <w:pPr>
        <w:pStyle w:val="Heading5"/>
      </w:pPr>
      <w:r w:rsidRPr="0062582F">
        <w:t>(e)</w:t>
      </w:r>
      <w:r w:rsidRPr="0062582F">
        <w:tab/>
        <w:t>Fair value</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20"/>
      </w:pPr>
      <w:r w:rsidRPr="0062582F">
        <w:t>AASB 13.93(a)(b)</w:t>
      </w:r>
    </w:p>
    <w:p w:rsidR="004843DB" w:rsidRPr="0062582F" w:rsidRDefault="004843DB" w:rsidP="004843DB">
      <w:r w:rsidRPr="0062582F">
        <w:br w:type="column"/>
        <w:t xml:space="preserve">The fair values and net fair values of financial instrument assets and liabilities are determined as follows: </w:t>
      </w:r>
    </w:p>
    <w:p w:rsidR="004843DB" w:rsidRPr="0062582F" w:rsidRDefault="004843DB" w:rsidP="004843DB">
      <w:pPr>
        <w:pStyle w:val="Bullet"/>
      </w:pPr>
      <w:r w:rsidRPr="0062582F">
        <w:t>Level 1 – the fair value of financial instrument with standard terms and conditions and traded in active liquid markets are determined with reference to quoted market prices;</w:t>
      </w:r>
    </w:p>
    <w:p w:rsidR="004843DB" w:rsidRPr="0062582F" w:rsidRDefault="004843DB" w:rsidP="004843DB">
      <w:pPr>
        <w:pStyle w:val="Bullet"/>
      </w:pPr>
      <w:r w:rsidRPr="0062582F">
        <w:t>Level 2 – the fair value is determined using inputs other than quoted prices that are observable for the financial asset or liability, either directly or indirectly; and</w:t>
      </w:r>
    </w:p>
    <w:p w:rsidR="004843DB" w:rsidRPr="0062582F" w:rsidRDefault="004843DB" w:rsidP="004843DB">
      <w:pPr>
        <w:pStyle w:val="Bullet"/>
        <w:rPr>
          <w:rStyle w:val="NotesChar"/>
        </w:rPr>
      </w:pPr>
      <w:r w:rsidRPr="0062582F">
        <w:t>Level 3 – the fair value is determined in accordance with generally accepted pricing models based on discounted cash flow analysis using unobservable market inputs.</w:t>
      </w:r>
      <w:r w:rsidRPr="0062582F">
        <w:br/>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40"/>
      </w:pPr>
      <w:r w:rsidRPr="0062582F">
        <w:t>AASB 7.29(a)</w:t>
      </w:r>
    </w:p>
    <w:p w:rsidR="004843DB" w:rsidRPr="0062582F" w:rsidRDefault="004843DB" w:rsidP="004843DB"/>
    <w:p w:rsidR="004843DB" w:rsidRPr="0062582F" w:rsidRDefault="004843DB" w:rsidP="004843DB"/>
    <w:p w:rsidR="004843DB" w:rsidRPr="0062582F" w:rsidRDefault="004843DB" w:rsidP="004843DB">
      <w:pPr>
        <w:pStyle w:val="Reference"/>
        <w:spacing w:before="100"/>
      </w:pPr>
      <w:r w:rsidRPr="0062582F">
        <w:br/>
        <w:t>AASB 7.25</w:t>
      </w:r>
    </w:p>
    <w:p w:rsidR="004843DB" w:rsidRPr="0062582F" w:rsidRDefault="004843DB" w:rsidP="004843DB">
      <w:pPr>
        <w:spacing w:before="0"/>
      </w:pPr>
      <w:r w:rsidRPr="0062582F">
        <w:br w:type="column"/>
        <w:t>The Department currently holds a range of financial instruments that are recorded in the financial statements where the carrying amounts are a reasonable approximation of fair value, either due to their short</w:t>
      </w:r>
      <w:r w:rsidR="005A4BB0">
        <w:noBreakHyphen/>
      </w:r>
      <w:r w:rsidRPr="0062582F">
        <w:t>term nature or with the expectation that they will be paid in full by the end of the 2015</w:t>
      </w:r>
      <w:r w:rsidR="005A4BB0">
        <w:noBreakHyphen/>
      </w:r>
      <w:r w:rsidRPr="0062582F">
        <w:t>16 reporting period. These financial instruments include:</w:t>
      </w:r>
    </w:p>
    <w:p w:rsidR="004843DB" w:rsidRPr="0062582F" w:rsidRDefault="004843DB" w:rsidP="004843DB">
      <w:pPr>
        <w:pStyle w:val="Notes"/>
      </w:pPr>
    </w:p>
    <w:tbl>
      <w:tblPr>
        <w:tblStyle w:val="TableGrid"/>
        <w:tblW w:w="8097" w:type="dxa"/>
        <w:tblInd w:w="108" w:type="dxa"/>
        <w:tblBorders>
          <w:left w:val="none" w:sz="0" w:space="0" w:color="auto"/>
          <w:right w:val="none" w:sz="0" w:space="0" w:color="auto"/>
          <w:insideH w:val="none" w:sz="0" w:space="0" w:color="auto"/>
        </w:tblBorders>
        <w:tblLook w:val="04A0" w:firstRow="1" w:lastRow="0" w:firstColumn="1" w:lastColumn="0" w:noHBand="0" w:noVBand="1"/>
      </w:tblPr>
      <w:tblGrid>
        <w:gridCol w:w="3985"/>
        <w:gridCol w:w="4112"/>
      </w:tblGrid>
      <w:tr w:rsidR="004843DB" w:rsidRPr="0062582F" w:rsidTr="004843DB">
        <w:trPr>
          <w:trHeight w:val="149"/>
        </w:trPr>
        <w:tc>
          <w:tcPr>
            <w:tcW w:w="3985" w:type="dxa"/>
            <w:tcBorders>
              <w:top w:val="single" w:sz="4" w:space="0" w:color="auto"/>
              <w:bottom w:val="single" w:sz="4" w:space="0" w:color="auto"/>
              <w:right w:val="nil"/>
            </w:tcBorders>
          </w:tcPr>
          <w:p w:rsidR="004843DB" w:rsidRPr="0062582F" w:rsidRDefault="004843DB" w:rsidP="004843DB">
            <w:pPr>
              <w:pStyle w:val="TabletextheadingLeft"/>
              <w:rPr>
                <w:rFonts w:cs="Times New Roman"/>
              </w:rPr>
            </w:pPr>
            <w:r w:rsidRPr="0062582F">
              <w:t>Financial assets</w:t>
            </w:r>
          </w:p>
        </w:tc>
        <w:tc>
          <w:tcPr>
            <w:tcW w:w="4112" w:type="dxa"/>
            <w:tcBorders>
              <w:top w:val="single" w:sz="4" w:space="0" w:color="auto"/>
              <w:left w:val="nil"/>
              <w:bottom w:val="single" w:sz="4" w:space="0" w:color="auto"/>
            </w:tcBorders>
          </w:tcPr>
          <w:p w:rsidR="004843DB" w:rsidRPr="0062582F" w:rsidRDefault="004843DB" w:rsidP="004843DB">
            <w:pPr>
              <w:pStyle w:val="TabletextheadingLeft"/>
              <w:rPr>
                <w:rFonts w:cs="Times New Roman"/>
              </w:rPr>
            </w:pPr>
            <w:r w:rsidRPr="0062582F">
              <w:t>Financial liabilities</w:t>
            </w:r>
          </w:p>
        </w:tc>
      </w:tr>
      <w:tr w:rsidR="004843DB" w:rsidRPr="0062582F" w:rsidTr="004843DB">
        <w:trPr>
          <w:trHeight w:val="1817"/>
        </w:trPr>
        <w:tc>
          <w:tcPr>
            <w:tcW w:w="3985" w:type="dxa"/>
            <w:tcBorders>
              <w:top w:val="single" w:sz="4" w:space="0" w:color="auto"/>
              <w:bottom w:val="single" w:sz="12" w:space="0" w:color="auto"/>
              <w:right w:val="nil"/>
            </w:tcBorders>
          </w:tcPr>
          <w:p w:rsidR="004843DB" w:rsidRPr="0062582F" w:rsidRDefault="004843DB" w:rsidP="004843DB">
            <w:pPr>
              <w:pStyle w:val="Tabletext"/>
              <w:rPr>
                <w:rFonts w:cs="Times New Roman"/>
              </w:rPr>
            </w:pPr>
            <w:r w:rsidRPr="0062582F">
              <w:t>Cash and deposits</w:t>
            </w:r>
          </w:p>
          <w:p w:rsidR="004843DB" w:rsidRPr="0062582F" w:rsidRDefault="004843DB" w:rsidP="004843DB">
            <w:pPr>
              <w:pStyle w:val="Tabletext"/>
              <w:rPr>
                <w:rFonts w:cs="Times New Roman"/>
              </w:rPr>
            </w:pPr>
            <w:r w:rsidRPr="0062582F">
              <w:t xml:space="preserve">Receivables: </w:t>
            </w:r>
          </w:p>
          <w:p w:rsidR="004843DB" w:rsidRPr="0062582F" w:rsidRDefault="004843DB" w:rsidP="004843DB">
            <w:pPr>
              <w:pStyle w:val="TableBullet"/>
              <w:ind w:left="266" w:hanging="266"/>
            </w:pPr>
            <w:r w:rsidRPr="0062582F">
              <w:t xml:space="preserve">Sale of goods and services </w:t>
            </w:r>
          </w:p>
          <w:p w:rsidR="004843DB" w:rsidRPr="0062582F" w:rsidRDefault="004843DB" w:rsidP="004843DB">
            <w:pPr>
              <w:pStyle w:val="TableBullet"/>
              <w:ind w:left="266" w:hanging="266"/>
            </w:pPr>
            <w:r w:rsidRPr="0062582F">
              <w:t xml:space="preserve">Accrued investment income </w:t>
            </w:r>
          </w:p>
          <w:p w:rsidR="004843DB" w:rsidRPr="0062582F" w:rsidRDefault="004843DB" w:rsidP="004843DB">
            <w:pPr>
              <w:pStyle w:val="TableBullet"/>
              <w:ind w:left="266" w:hanging="266"/>
            </w:pPr>
            <w:r w:rsidRPr="0062582F">
              <w:t xml:space="preserve">Other receivables </w:t>
            </w:r>
          </w:p>
          <w:p w:rsidR="004843DB" w:rsidRPr="0062582F" w:rsidRDefault="004843DB" w:rsidP="004843DB">
            <w:pPr>
              <w:pStyle w:val="Tabletext"/>
              <w:rPr>
                <w:rFonts w:ascii="Garamond" w:hAnsi="Garamond" w:cs="Tahoma"/>
              </w:rPr>
            </w:pPr>
            <w:r w:rsidRPr="0062582F">
              <w:t xml:space="preserve">Investments and other contractual financial assets: </w:t>
            </w:r>
          </w:p>
          <w:p w:rsidR="004843DB" w:rsidRPr="0062582F" w:rsidRDefault="004843DB" w:rsidP="004843DB">
            <w:pPr>
              <w:pStyle w:val="TableBullet"/>
              <w:ind w:left="266" w:hanging="266"/>
            </w:pPr>
            <w:r w:rsidRPr="0062582F">
              <w:t>Term deposits</w:t>
            </w:r>
          </w:p>
        </w:tc>
        <w:tc>
          <w:tcPr>
            <w:tcW w:w="4112" w:type="dxa"/>
            <w:tcBorders>
              <w:top w:val="single" w:sz="4" w:space="0" w:color="auto"/>
              <w:left w:val="nil"/>
              <w:bottom w:val="single" w:sz="12" w:space="0" w:color="auto"/>
            </w:tcBorders>
          </w:tcPr>
          <w:p w:rsidR="004843DB" w:rsidRPr="0062582F" w:rsidRDefault="004843DB" w:rsidP="004843DB">
            <w:pPr>
              <w:pStyle w:val="Tabletext"/>
            </w:pPr>
            <w:r w:rsidRPr="0062582F">
              <w:t>Payables:</w:t>
            </w:r>
          </w:p>
          <w:p w:rsidR="004843DB" w:rsidRPr="0062582F" w:rsidRDefault="004843DB" w:rsidP="004843DB">
            <w:pPr>
              <w:pStyle w:val="TableBullet"/>
              <w:ind w:left="266" w:hanging="266"/>
            </w:pPr>
            <w:r w:rsidRPr="0062582F">
              <w:t xml:space="preserve">For supplies and services </w:t>
            </w:r>
          </w:p>
          <w:p w:rsidR="004843DB" w:rsidRPr="0062582F" w:rsidRDefault="004843DB" w:rsidP="004843DB">
            <w:pPr>
              <w:pStyle w:val="TableBullet"/>
              <w:ind w:left="266" w:hanging="266"/>
            </w:pPr>
            <w:r w:rsidRPr="0062582F">
              <w:t xml:space="preserve">Amounts payable to government and agencies </w:t>
            </w:r>
          </w:p>
          <w:p w:rsidR="004843DB" w:rsidRPr="0062582F" w:rsidRDefault="004843DB" w:rsidP="004843DB">
            <w:pPr>
              <w:pStyle w:val="TableBullet"/>
              <w:ind w:left="266" w:hanging="266"/>
            </w:pPr>
            <w:r w:rsidRPr="0062582F">
              <w:t xml:space="preserve">Other payables </w:t>
            </w:r>
          </w:p>
          <w:p w:rsidR="004843DB" w:rsidRPr="0062582F" w:rsidRDefault="004843DB" w:rsidP="004843DB">
            <w:pPr>
              <w:pStyle w:val="Tabletext"/>
              <w:rPr>
                <w:rFonts w:ascii="Garamond" w:hAnsi="Garamond" w:cs="Tahoma"/>
              </w:rPr>
            </w:pPr>
            <w:r w:rsidRPr="0062582F">
              <w:t xml:space="preserve">Borrowings: </w:t>
            </w:r>
          </w:p>
          <w:p w:rsidR="004843DB" w:rsidRPr="0062582F" w:rsidRDefault="004843DB" w:rsidP="004843DB">
            <w:pPr>
              <w:pStyle w:val="TableBullet"/>
              <w:ind w:left="266" w:hanging="266"/>
            </w:pPr>
            <w:r w:rsidRPr="0062582F">
              <w:t xml:space="preserve">Bank overdraft </w:t>
            </w:r>
          </w:p>
        </w:tc>
      </w:tr>
    </w:tbl>
    <w:p w:rsidR="004843DB" w:rsidRPr="0062582F" w:rsidRDefault="004843DB" w:rsidP="004843DB">
      <w:pPr>
        <w:spacing w:before="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br/>
        <w:t>Where the fair value of the financial instruments is different from the carrying amounts, the following information has been included to disclose the difference.</w:t>
      </w:r>
    </w:p>
    <w:p w:rsidR="004843DB" w:rsidRPr="0062582F" w:rsidRDefault="005F6817" w:rsidP="00E348C3">
      <w:pPr>
        <w:pStyle w:val="Tableheading"/>
        <w:rPr>
          <w:rFonts w:ascii="Garamond" w:hAnsi="Garamond"/>
          <w:i/>
          <w:iCs/>
          <w:sz w:val="22"/>
          <w:szCs w:val="22"/>
        </w:rPr>
      </w:pPr>
      <w:r>
        <w:br w:type="column"/>
      </w:r>
      <w:r w:rsidR="004843DB" w:rsidRPr="0062582F">
        <w:t>Table 33.8:</w:t>
      </w:r>
      <w:r w:rsidR="004843DB" w:rsidRPr="0062582F">
        <w:tab/>
        <w:t>Fair value of financial instruments measured at amortised cost</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r w:rsidRPr="0062582F">
        <w:br/>
      </w:r>
    </w:p>
    <w:p w:rsidR="004843DB" w:rsidRPr="0062582F" w:rsidRDefault="004843DB" w:rsidP="004843DB">
      <w:pPr>
        <w:pStyle w:val="Reference"/>
        <w:spacing w:before="120"/>
      </w:pPr>
      <w:r w:rsidRPr="0062582F">
        <w:br/>
      </w:r>
      <w:r w:rsidRPr="0062582F">
        <w:br/>
      </w:r>
      <w:r w:rsidRPr="0062582F">
        <w:br/>
      </w:r>
      <w:r w:rsidRPr="0062582F">
        <w:br/>
      </w:r>
      <w:r w:rsidRPr="0062582F">
        <w:br/>
      </w:r>
      <w:r w:rsidRPr="0062582F">
        <w:br/>
      </w:r>
      <w:r w:rsidRPr="0062582F">
        <w:br/>
      </w:r>
      <w:r w:rsidRPr="0062582F">
        <w:br/>
      </w:r>
      <w:r w:rsidRPr="0062582F">
        <w:br/>
      </w:r>
      <w:r w:rsidRPr="0062582F">
        <w:br/>
      </w:r>
      <w:r w:rsidRPr="0062582F">
        <w:br/>
      </w:r>
      <w:r w:rsidRPr="0062582F">
        <w:br/>
      </w:r>
      <w:r w:rsidRPr="0062582F">
        <w:br/>
      </w:r>
      <w:r w:rsidRPr="0062582F">
        <w:br/>
        <w:t>AASB 13.93(b)(d)</w:t>
      </w:r>
    </w:p>
    <w:p w:rsidR="004843DB" w:rsidRPr="0062582F" w:rsidRDefault="004843DB" w:rsidP="004843DB">
      <w:pPr>
        <w:pStyle w:val="million"/>
        <w:rPr>
          <w:rFonts w:ascii="Tahoma" w:hAnsi="Tahoma" w:cs="Tahoma"/>
          <w:sz w:val="20"/>
          <w:szCs w:val="20"/>
        </w:rPr>
      </w:pPr>
      <w:r w:rsidRPr="0062582F">
        <w:br w:type="column"/>
        <w:t>($ thousand)</w:t>
      </w:r>
    </w:p>
    <w:tbl>
      <w:tblPr>
        <w:tblW w:w="7952" w:type="dxa"/>
        <w:tblLayout w:type="fixed"/>
        <w:tblCellMar>
          <w:left w:w="43" w:type="dxa"/>
          <w:right w:w="43" w:type="dxa"/>
        </w:tblCellMar>
        <w:tblLook w:val="04A0" w:firstRow="1" w:lastRow="0" w:firstColumn="1" w:lastColumn="0" w:noHBand="0" w:noVBand="1"/>
      </w:tblPr>
      <w:tblGrid>
        <w:gridCol w:w="3860"/>
        <w:gridCol w:w="10"/>
        <w:gridCol w:w="980"/>
        <w:gridCol w:w="10"/>
        <w:gridCol w:w="980"/>
        <w:gridCol w:w="10"/>
        <w:gridCol w:w="980"/>
        <w:gridCol w:w="10"/>
        <w:gridCol w:w="1102"/>
        <w:gridCol w:w="10"/>
      </w:tblGrid>
      <w:tr w:rsidR="004843DB" w:rsidRPr="0062582F" w:rsidTr="004843DB">
        <w:trPr>
          <w:gridAfter w:val="1"/>
          <w:wAfter w:w="10" w:type="dxa"/>
          <w:cantSplit/>
        </w:trPr>
        <w:tc>
          <w:tcPr>
            <w:tcW w:w="3860" w:type="dxa"/>
            <w:tcBorders>
              <w:top w:val="single" w:sz="4" w:space="0" w:color="auto"/>
              <w:left w:val="nil"/>
              <w:bottom w:val="nil"/>
              <w:right w:val="nil"/>
            </w:tcBorders>
            <w:shd w:val="clear" w:color="auto" w:fill="auto"/>
            <w:vAlign w:val="bottom"/>
            <w:hideMark/>
          </w:tcPr>
          <w:p w:rsidR="004843DB" w:rsidRPr="0062582F" w:rsidRDefault="004843DB" w:rsidP="004843DB">
            <w:pPr>
              <w:pStyle w:val="TabletextheadingLeft"/>
            </w:pPr>
            <w:r w:rsidRPr="0062582F">
              <w:t xml:space="preserve"> </w:t>
            </w:r>
          </w:p>
        </w:tc>
        <w:tc>
          <w:tcPr>
            <w:tcW w:w="990"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Carrying amount</w:t>
            </w:r>
          </w:p>
        </w:tc>
        <w:tc>
          <w:tcPr>
            <w:tcW w:w="990"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br/>
              <w:t>Fair value</w:t>
            </w:r>
          </w:p>
        </w:tc>
        <w:tc>
          <w:tcPr>
            <w:tcW w:w="990"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Carrying amount</w:t>
            </w:r>
          </w:p>
        </w:tc>
        <w:tc>
          <w:tcPr>
            <w:tcW w:w="1112" w:type="dxa"/>
            <w:gridSpan w:val="2"/>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br/>
              <w:t>Fair value</w:t>
            </w:r>
          </w:p>
        </w:tc>
      </w:tr>
      <w:tr w:rsidR="004843DB" w:rsidRPr="0062582F" w:rsidTr="004843DB">
        <w:trPr>
          <w:gridAfter w:val="1"/>
          <w:wAfter w:w="10" w:type="dxa"/>
          <w:cantSplit/>
        </w:trPr>
        <w:tc>
          <w:tcPr>
            <w:tcW w:w="3860" w:type="dxa"/>
            <w:tcBorders>
              <w:top w:val="nil"/>
              <w:left w:val="nil"/>
              <w:bottom w:val="single" w:sz="4" w:space="0" w:color="auto"/>
              <w:right w:val="nil"/>
            </w:tcBorders>
            <w:shd w:val="clear" w:color="auto" w:fill="auto"/>
            <w:vAlign w:val="bottom"/>
            <w:hideMark/>
          </w:tcPr>
          <w:p w:rsidR="004843DB" w:rsidRPr="0062582F" w:rsidRDefault="004843DB" w:rsidP="004843DB">
            <w:pPr>
              <w:pStyle w:val="TabletextheadingLeft"/>
            </w:pPr>
            <w:r w:rsidRPr="0062582F">
              <w:t xml:space="preserve"> </w:t>
            </w:r>
          </w:p>
        </w:tc>
        <w:tc>
          <w:tcPr>
            <w:tcW w:w="990" w:type="dxa"/>
            <w:gridSpan w:val="2"/>
            <w:tcBorders>
              <w:top w:val="nil"/>
              <w:left w:val="nil"/>
              <w:bottom w:val="single" w:sz="4" w:space="0" w:color="auto"/>
              <w:right w:val="nil"/>
            </w:tcBorders>
            <w:shd w:val="clear" w:color="000000" w:fill="CCCCCC"/>
            <w:noWrap/>
            <w:vAlign w:val="bottom"/>
            <w:hideMark/>
          </w:tcPr>
          <w:p w:rsidR="004843DB" w:rsidRPr="0062582F" w:rsidRDefault="004843DB" w:rsidP="004843DB">
            <w:pPr>
              <w:pStyle w:val="Tabletextheading"/>
            </w:pPr>
            <w:r w:rsidRPr="0062582F">
              <w:t>2016</w:t>
            </w:r>
          </w:p>
        </w:tc>
        <w:tc>
          <w:tcPr>
            <w:tcW w:w="990" w:type="dxa"/>
            <w:gridSpan w:val="2"/>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textheading"/>
            </w:pPr>
            <w:r w:rsidRPr="0062582F">
              <w:t>2016</w:t>
            </w:r>
          </w:p>
        </w:tc>
        <w:tc>
          <w:tcPr>
            <w:tcW w:w="990" w:type="dxa"/>
            <w:gridSpan w:val="2"/>
            <w:tcBorders>
              <w:top w:val="nil"/>
              <w:left w:val="nil"/>
              <w:bottom w:val="single" w:sz="4" w:space="0" w:color="auto"/>
              <w:right w:val="nil"/>
            </w:tcBorders>
            <w:shd w:val="clear" w:color="000000" w:fill="CCCCCC"/>
            <w:noWrap/>
            <w:vAlign w:val="bottom"/>
            <w:hideMark/>
          </w:tcPr>
          <w:p w:rsidR="004843DB" w:rsidRPr="0062582F" w:rsidRDefault="004843DB" w:rsidP="004843DB">
            <w:pPr>
              <w:pStyle w:val="Tabletextheading"/>
            </w:pPr>
            <w:r w:rsidRPr="0062582F">
              <w:t>2015</w:t>
            </w:r>
          </w:p>
        </w:tc>
        <w:tc>
          <w:tcPr>
            <w:tcW w:w="1112" w:type="dxa"/>
            <w:gridSpan w:val="2"/>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textheading"/>
            </w:pPr>
            <w:r w:rsidRPr="0062582F">
              <w:t>2015</w:t>
            </w:r>
          </w:p>
        </w:tc>
      </w:tr>
      <w:tr w:rsidR="004843DB" w:rsidRPr="0062582F" w:rsidTr="004843DB">
        <w:trPr>
          <w:gridAfter w:val="1"/>
          <w:wAfter w:w="10" w:type="dxa"/>
          <w:cantSplit/>
        </w:trPr>
        <w:tc>
          <w:tcPr>
            <w:tcW w:w="3860" w:type="dxa"/>
            <w:tcBorders>
              <w:top w:val="nil"/>
              <w:left w:val="nil"/>
              <w:bottom w:val="nil"/>
              <w:right w:val="nil"/>
            </w:tcBorders>
            <w:shd w:val="clear" w:color="auto" w:fill="auto"/>
            <w:vAlign w:val="bottom"/>
            <w:hideMark/>
          </w:tcPr>
          <w:p w:rsidR="004843DB" w:rsidRPr="0062582F" w:rsidRDefault="004843DB" w:rsidP="004843DB">
            <w:pPr>
              <w:pStyle w:val="Tabletext"/>
              <w:rPr>
                <w:b/>
              </w:rPr>
            </w:pPr>
            <w:r w:rsidRPr="0062582F">
              <w:rPr>
                <w:b/>
              </w:rPr>
              <w:t>Financial assets</w:t>
            </w:r>
          </w:p>
        </w:tc>
        <w:tc>
          <w:tcPr>
            <w:tcW w:w="990" w:type="dxa"/>
            <w:gridSpan w:val="2"/>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990" w:type="dxa"/>
            <w:gridSpan w:val="2"/>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c>
          <w:tcPr>
            <w:tcW w:w="990" w:type="dxa"/>
            <w:gridSpan w:val="2"/>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1112" w:type="dxa"/>
            <w:gridSpan w:val="2"/>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r>
      <w:tr w:rsidR="004843DB" w:rsidRPr="0062582F" w:rsidTr="004843DB">
        <w:trPr>
          <w:gridAfter w:val="1"/>
          <w:wAfter w:w="10" w:type="dxa"/>
          <w:cantSplit/>
        </w:trPr>
        <w:tc>
          <w:tcPr>
            <w:tcW w:w="3860" w:type="dxa"/>
            <w:tcBorders>
              <w:top w:val="nil"/>
              <w:left w:val="nil"/>
              <w:bottom w:val="nil"/>
              <w:right w:val="nil"/>
            </w:tcBorders>
            <w:shd w:val="clear" w:color="auto" w:fill="auto"/>
            <w:vAlign w:val="bottom"/>
            <w:hideMark/>
          </w:tcPr>
          <w:p w:rsidR="004843DB" w:rsidRPr="0062582F" w:rsidRDefault="004843DB" w:rsidP="004843DB">
            <w:pPr>
              <w:pStyle w:val="Tabletext"/>
              <w:rPr>
                <w:b/>
              </w:rPr>
            </w:pPr>
            <w:r w:rsidRPr="0062582F">
              <w:rPr>
                <w:b/>
              </w:rPr>
              <w:t xml:space="preserve">Receivables </w:t>
            </w:r>
            <w:r w:rsidRPr="0062582F">
              <w:rPr>
                <w:vertAlign w:val="superscript"/>
              </w:rPr>
              <w:t>(i)</w:t>
            </w:r>
          </w:p>
        </w:tc>
        <w:tc>
          <w:tcPr>
            <w:tcW w:w="990" w:type="dxa"/>
            <w:gridSpan w:val="2"/>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990" w:type="dxa"/>
            <w:gridSpan w:val="2"/>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c>
          <w:tcPr>
            <w:tcW w:w="990" w:type="dxa"/>
            <w:gridSpan w:val="2"/>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1112" w:type="dxa"/>
            <w:gridSpan w:val="2"/>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r>
      <w:tr w:rsidR="004843DB" w:rsidRPr="0062582F" w:rsidTr="004843DB">
        <w:trPr>
          <w:cantSplit/>
        </w:trPr>
        <w:tc>
          <w:tcPr>
            <w:tcW w:w="3870" w:type="dxa"/>
            <w:gridSpan w:val="2"/>
            <w:tcBorders>
              <w:top w:val="nil"/>
              <w:left w:val="nil"/>
              <w:bottom w:val="nil"/>
              <w:right w:val="nil"/>
            </w:tcBorders>
            <w:shd w:val="clear" w:color="auto" w:fill="auto"/>
            <w:vAlign w:val="bottom"/>
            <w:hideMark/>
          </w:tcPr>
          <w:p w:rsidR="004843DB" w:rsidRPr="0062582F" w:rsidRDefault="004843DB" w:rsidP="004843DB">
            <w:pPr>
              <w:pStyle w:val="TabletextIndent"/>
            </w:pPr>
            <w:r w:rsidRPr="0062582F">
              <w:t>Finance lease receivables</w:t>
            </w:r>
          </w:p>
        </w:tc>
        <w:tc>
          <w:tcPr>
            <w:tcW w:w="990" w:type="dxa"/>
            <w:gridSpan w:val="2"/>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581</w:t>
            </w:r>
          </w:p>
        </w:tc>
        <w:tc>
          <w:tcPr>
            <w:tcW w:w="990" w:type="dxa"/>
            <w:gridSpan w:val="2"/>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590 </w:t>
            </w:r>
          </w:p>
        </w:tc>
        <w:tc>
          <w:tcPr>
            <w:tcW w:w="990" w:type="dxa"/>
            <w:gridSpan w:val="2"/>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1 231</w:t>
            </w:r>
          </w:p>
        </w:tc>
        <w:tc>
          <w:tcPr>
            <w:tcW w:w="1112" w:type="dxa"/>
            <w:gridSpan w:val="2"/>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1 450 </w:t>
            </w:r>
          </w:p>
        </w:tc>
      </w:tr>
      <w:tr w:rsidR="004843DB" w:rsidRPr="0062582F" w:rsidTr="004843DB">
        <w:trPr>
          <w:cantSplit/>
        </w:trPr>
        <w:tc>
          <w:tcPr>
            <w:tcW w:w="3870" w:type="dxa"/>
            <w:gridSpan w:val="2"/>
            <w:tcBorders>
              <w:top w:val="nil"/>
              <w:left w:val="nil"/>
              <w:bottom w:val="nil"/>
              <w:right w:val="nil"/>
            </w:tcBorders>
            <w:shd w:val="clear" w:color="auto" w:fill="auto"/>
            <w:vAlign w:val="bottom"/>
            <w:hideMark/>
          </w:tcPr>
          <w:p w:rsidR="004843DB" w:rsidRPr="0062582F" w:rsidRDefault="004843DB" w:rsidP="004843DB">
            <w:pPr>
              <w:pStyle w:val="TabletextIndent"/>
            </w:pPr>
            <w:r w:rsidRPr="0062582F">
              <w:t>Loans to third parties</w:t>
            </w:r>
          </w:p>
        </w:tc>
        <w:tc>
          <w:tcPr>
            <w:tcW w:w="990" w:type="dxa"/>
            <w:gridSpan w:val="2"/>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146</w:t>
            </w:r>
          </w:p>
        </w:tc>
        <w:tc>
          <w:tcPr>
            <w:tcW w:w="990" w:type="dxa"/>
            <w:gridSpan w:val="2"/>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159</w:t>
            </w:r>
          </w:p>
        </w:tc>
        <w:tc>
          <w:tcPr>
            <w:tcW w:w="990" w:type="dxa"/>
            <w:gridSpan w:val="2"/>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241</w:t>
            </w:r>
          </w:p>
        </w:tc>
        <w:tc>
          <w:tcPr>
            <w:tcW w:w="1112" w:type="dxa"/>
            <w:gridSpan w:val="2"/>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250</w:t>
            </w:r>
          </w:p>
        </w:tc>
      </w:tr>
      <w:tr w:rsidR="004843DB" w:rsidRPr="0062582F" w:rsidTr="004843DB">
        <w:trPr>
          <w:cantSplit/>
        </w:trPr>
        <w:tc>
          <w:tcPr>
            <w:tcW w:w="3870" w:type="dxa"/>
            <w:gridSpan w:val="2"/>
            <w:tcBorders>
              <w:top w:val="nil"/>
              <w:left w:val="nil"/>
              <w:bottom w:val="single" w:sz="4" w:space="0" w:color="auto"/>
              <w:right w:val="nil"/>
            </w:tcBorders>
            <w:shd w:val="clear" w:color="auto" w:fill="auto"/>
            <w:vAlign w:val="bottom"/>
            <w:hideMark/>
          </w:tcPr>
          <w:p w:rsidR="004843DB" w:rsidRPr="0062582F" w:rsidRDefault="004843DB" w:rsidP="004843DB">
            <w:pPr>
              <w:pStyle w:val="TabletextIndent"/>
            </w:pPr>
            <w:r w:rsidRPr="0062582F">
              <w:t>Debt securities</w:t>
            </w:r>
            <w:r w:rsidRPr="0062582F">
              <w:rPr>
                <w:vertAlign w:val="superscript"/>
              </w:rPr>
              <w:t xml:space="preserve"> (i)</w:t>
            </w:r>
          </w:p>
        </w:tc>
        <w:tc>
          <w:tcPr>
            <w:tcW w:w="990" w:type="dxa"/>
            <w:gridSpan w:val="2"/>
            <w:tcBorders>
              <w:top w:val="nil"/>
              <w:left w:val="nil"/>
              <w:bottom w:val="single" w:sz="4" w:space="0" w:color="auto"/>
              <w:right w:val="nil"/>
            </w:tcBorders>
            <w:shd w:val="clear" w:color="000000" w:fill="CCCCCC"/>
            <w:noWrap/>
            <w:vAlign w:val="bottom"/>
            <w:hideMark/>
          </w:tcPr>
          <w:p w:rsidR="004843DB" w:rsidRPr="0062582F" w:rsidRDefault="004843DB" w:rsidP="004843DB">
            <w:pPr>
              <w:pStyle w:val="TableofFigures"/>
            </w:pPr>
            <w:r w:rsidRPr="0062582F">
              <w:t>5 198</w:t>
            </w:r>
          </w:p>
        </w:tc>
        <w:tc>
          <w:tcPr>
            <w:tcW w:w="990" w:type="dxa"/>
            <w:gridSpan w:val="2"/>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pPr>
            <w:r w:rsidRPr="0062582F">
              <w:t>5 222</w:t>
            </w:r>
          </w:p>
        </w:tc>
        <w:tc>
          <w:tcPr>
            <w:tcW w:w="990" w:type="dxa"/>
            <w:gridSpan w:val="2"/>
            <w:tcBorders>
              <w:top w:val="nil"/>
              <w:left w:val="nil"/>
              <w:bottom w:val="single" w:sz="4" w:space="0" w:color="auto"/>
              <w:right w:val="nil"/>
            </w:tcBorders>
            <w:shd w:val="clear" w:color="000000" w:fill="CCCCCC"/>
            <w:noWrap/>
            <w:vAlign w:val="bottom"/>
            <w:hideMark/>
          </w:tcPr>
          <w:p w:rsidR="004843DB" w:rsidRPr="0062582F" w:rsidRDefault="004843DB" w:rsidP="004843DB">
            <w:pPr>
              <w:pStyle w:val="TableofFigures"/>
            </w:pPr>
            <w:r w:rsidRPr="0062582F">
              <w:t>5 013</w:t>
            </w:r>
          </w:p>
        </w:tc>
        <w:tc>
          <w:tcPr>
            <w:tcW w:w="1112" w:type="dxa"/>
            <w:gridSpan w:val="2"/>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rPr>
                <w:noProof/>
              </w:rPr>
            </w:pPr>
            <w:r w:rsidRPr="0062582F">
              <w:t>5 155</w:t>
            </w:r>
          </w:p>
        </w:tc>
      </w:tr>
      <w:tr w:rsidR="004843DB" w:rsidRPr="0062582F" w:rsidTr="004843DB">
        <w:trPr>
          <w:gridAfter w:val="1"/>
          <w:wAfter w:w="10" w:type="dxa"/>
          <w:cantSplit/>
        </w:trPr>
        <w:tc>
          <w:tcPr>
            <w:tcW w:w="3860" w:type="dxa"/>
            <w:tcBorders>
              <w:top w:val="single" w:sz="12" w:space="0" w:color="auto"/>
              <w:left w:val="nil"/>
              <w:bottom w:val="nil"/>
              <w:right w:val="nil"/>
            </w:tcBorders>
            <w:shd w:val="clear" w:color="auto" w:fill="auto"/>
            <w:vAlign w:val="bottom"/>
            <w:hideMark/>
          </w:tcPr>
          <w:p w:rsidR="004843DB" w:rsidRPr="0062582F" w:rsidRDefault="004843DB" w:rsidP="004843DB">
            <w:pPr>
              <w:pStyle w:val="Tabletext"/>
              <w:rPr>
                <w:b/>
              </w:rPr>
            </w:pPr>
            <w:r w:rsidRPr="0062582F">
              <w:rPr>
                <w:b/>
              </w:rPr>
              <w:t>Financial liabilities</w:t>
            </w:r>
          </w:p>
        </w:tc>
        <w:tc>
          <w:tcPr>
            <w:tcW w:w="990" w:type="dxa"/>
            <w:gridSpan w:val="2"/>
            <w:tcBorders>
              <w:top w:val="single" w:sz="12" w:space="0" w:color="auto"/>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990" w:type="dxa"/>
            <w:gridSpan w:val="2"/>
            <w:tcBorders>
              <w:top w:val="single" w:sz="12" w:space="0" w:color="auto"/>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c>
          <w:tcPr>
            <w:tcW w:w="990" w:type="dxa"/>
            <w:gridSpan w:val="2"/>
            <w:tcBorders>
              <w:top w:val="single" w:sz="12" w:space="0" w:color="auto"/>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1112" w:type="dxa"/>
            <w:gridSpan w:val="2"/>
            <w:tcBorders>
              <w:top w:val="single" w:sz="12" w:space="0" w:color="auto"/>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r>
      <w:tr w:rsidR="004843DB" w:rsidRPr="0062582F" w:rsidTr="004843DB">
        <w:trPr>
          <w:cantSplit/>
        </w:trPr>
        <w:tc>
          <w:tcPr>
            <w:tcW w:w="3870" w:type="dxa"/>
            <w:gridSpan w:val="2"/>
            <w:tcBorders>
              <w:top w:val="nil"/>
              <w:left w:val="nil"/>
              <w:bottom w:val="nil"/>
              <w:right w:val="nil"/>
            </w:tcBorders>
            <w:shd w:val="clear" w:color="auto" w:fill="auto"/>
            <w:vAlign w:val="bottom"/>
            <w:hideMark/>
          </w:tcPr>
          <w:p w:rsidR="004843DB" w:rsidRPr="0062582F" w:rsidRDefault="004843DB" w:rsidP="004843DB">
            <w:pPr>
              <w:pStyle w:val="TabletextIndent"/>
            </w:pPr>
            <w:r w:rsidRPr="0062582F">
              <w:t>Finance lease liabilities</w:t>
            </w:r>
          </w:p>
        </w:tc>
        <w:tc>
          <w:tcPr>
            <w:tcW w:w="990" w:type="dxa"/>
            <w:gridSpan w:val="2"/>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8 064</w:t>
            </w:r>
          </w:p>
        </w:tc>
        <w:tc>
          <w:tcPr>
            <w:tcW w:w="990" w:type="dxa"/>
            <w:gridSpan w:val="2"/>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8 110 </w:t>
            </w:r>
          </w:p>
        </w:tc>
        <w:tc>
          <w:tcPr>
            <w:tcW w:w="990" w:type="dxa"/>
            <w:gridSpan w:val="2"/>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20 062</w:t>
            </w:r>
          </w:p>
        </w:tc>
        <w:tc>
          <w:tcPr>
            <w:tcW w:w="1112" w:type="dxa"/>
            <w:gridSpan w:val="2"/>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21 500 </w:t>
            </w:r>
          </w:p>
        </w:tc>
      </w:tr>
      <w:tr w:rsidR="004843DB" w:rsidRPr="0062582F" w:rsidTr="004843DB">
        <w:trPr>
          <w:cantSplit/>
        </w:trPr>
        <w:tc>
          <w:tcPr>
            <w:tcW w:w="3870" w:type="dxa"/>
            <w:gridSpan w:val="2"/>
            <w:tcBorders>
              <w:top w:val="nil"/>
              <w:left w:val="nil"/>
              <w:bottom w:val="single" w:sz="4" w:space="0" w:color="auto"/>
              <w:right w:val="nil"/>
            </w:tcBorders>
            <w:shd w:val="clear" w:color="auto" w:fill="auto"/>
            <w:vAlign w:val="bottom"/>
            <w:hideMark/>
          </w:tcPr>
          <w:p w:rsidR="004843DB" w:rsidRPr="0062582F" w:rsidRDefault="004843DB" w:rsidP="004843DB">
            <w:pPr>
              <w:pStyle w:val="TabletextIndent"/>
            </w:pPr>
            <w:r w:rsidRPr="0062582F">
              <w:t>Advances from government</w:t>
            </w:r>
            <w:r w:rsidRPr="0062582F">
              <w:rPr>
                <w:vertAlign w:val="superscript"/>
              </w:rPr>
              <w:t xml:space="preserve"> (ii)</w:t>
            </w:r>
          </w:p>
        </w:tc>
        <w:tc>
          <w:tcPr>
            <w:tcW w:w="990" w:type="dxa"/>
            <w:gridSpan w:val="2"/>
            <w:tcBorders>
              <w:top w:val="nil"/>
              <w:left w:val="nil"/>
              <w:bottom w:val="single" w:sz="4" w:space="0" w:color="auto"/>
              <w:right w:val="nil"/>
            </w:tcBorders>
            <w:shd w:val="clear" w:color="000000" w:fill="CCCCCC"/>
            <w:noWrap/>
            <w:vAlign w:val="bottom"/>
            <w:hideMark/>
          </w:tcPr>
          <w:p w:rsidR="004843DB" w:rsidRPr="0062582F" w:rsidRDefault="004843DB" w:rsidP="004843DB">
            <w:pPr>
              <w:pStyle w:val="TableofFigures"/>
            </w:pPr>
            <w:r w:rsidRPr="0062582F">
              <w:t>5 314</w:t>
            </w:r>
          </w:p>
        </w:tc>
        <w:tc>
          <w:tcPr>
            <w:tcW w:w="990" w:type="dxa"/>
            <w:gridSpan w:val="2"/>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pPr>
            <w:r w:rsidRPr="0062582F">
              <w:t>5 579</w:t>
            </w:r>
          </w:p>
        </w:tc>
        <w:tc>
          <w:tcPr>
            <w:tcW w:w="990" w:type="dxa"/>
            <w:gridSpan w:val="2"/>
            <w:tcBorders>
              <w:top w:val="nil"/>
              <w:left w:val="nil"/>
              <w:bottom w:val="single" w:sz="4" w:space="0" w:color="auto"/>
              <w:right w:val="nil"/>
            </w:tcBorders>
            <w:shd w:val="clear" w:color="000000" w:fill="CCCCCC"/>
            <w:noWrap/>
            <w:vAlign w:val="bottom"/>
            <w:hideMark/>
          </w:tcPr>
          <w:p w:rsidR="004843DB" w:rsidRPr="0062582F" w:rsidRDefault="004843DB" w:rsidP="004843DB">
            <w:pPr>
              <w:pStyle w:val="TableofFigures"/>
            </w:pPr>
            <w:r w:rsidRPr="0062582F">
              <w:t>12 344</w:t>
            </w:r>
          </w:p>
        </w:tc>
        <w:tc>
          <w:tcPr>
            <w:tcW w:w="1112" w:type="dxa"/>
            <w:gridSpan w:val="2"/>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pPr>
            <w:r w:rsidRPr="0062582F">
              <w:t>12 961</w:t>
            </w:r>
          </w:p>
        </w:tc>
      </w:tr>
      <w:tr w:rsidR="004843DB" w:rsidRPr="0062582F" w:rsidTr="004843DB">
        <w:trPr>
          <w:cantSplit/>
        </w:trPr>
        <w:tc>
          <w:tcPr>
            <w:tcW w:w="3870" w:type="dxa"/>
            <w:gridSpan w:val="2"/>
            <w:tcBorders>
              <w:top w:val="single" w:sz="4" w:space="0" w:color="auto"/>
              <w:bottom w:val="single" w:sz="12" w:space="0" w:color="auto"/>
            </w:tcBorders>
            <w:shd w:val="clear" w:color="auto" w:fill="auto"/>
            <w:vAlign w:val="bottom"/>
            <w:hideMark/>
          </w:tcPr>
          <w:p w:rsidR="004843DB" w:rsidRPr="0062582F" w:rsidRDefault="004843DB" w:rsidP="004843DB">
            <w:pPr>
              <w:pStyle w:val="TabletextIndent"/>
            </w:pPr>
            <w:r w:rsidRPr="0062582F">
              <w:t>Loans from TCV</w:t>
            </w:r>
          </w:p>
        </w:tc>
        <w:tc>
          <w:tcPr>
            <w:tcW w:w="990" w:type="dxa"/>
            <w:gridSpan w:val="2"/>
            <w:tcBorders>
              <w:top w:val="single" w:sz="4" w:space="0" w:color="auto"/>
              <w:bottom w:val="single" w:sz="12" w:space="0" w:color="auto"/>
            </w:tcBorders>
            <w:shd w:val="clear" w:color="000000" w:fill="CCCCCC"/>
            <w:noWrap/>
            <w:vAlign w:val="bottom"/>
            <w:hideMark/>
          </w:tcPr>
          <w:p w:rsidR="004843DB" w:rsidRPr="0062582F" w:rsidRDefault="004843DB" w:rsidP="004843DB">
            <w:pPr>
              <w:pStyle w:val="TableofFigures"/>
            </w:pPr>
            <w:r w:rsidRPr="0062582F">
              <w:t>48 696</w:t>
            </w:r>
          </w:p>
        </w:tc>
        <w:tc>
          <w:tcPr>
            <w:tcW w:w="990" w:type="dxa"/>
            <w:gridSpan w:val="2"/>
            <w:tcBorders>
              <w:top w:val="single" w:sz="4" w:space="0" w:color="auto"/>
              <w:bottom w:val="single" w:sz="12" w:space="0" w:color="auto"/>
            </w:tcBorders>
            <w:shd w:val="clear" w:color="auto" w:fill="auto"/>
            <w:noWrap/>
            <w:vAlign w:val="bottom"/>
            <w:hideMark/>
          </w:tcPr>
          <w:p w:rsidR="004843DB" w:rsidRPr="0062582F" w:rsidRDefault="004843DB" w:rsidP="004843DB">
            <w:pPr>
              <w:pStyle w:val="TableofFigures"/>
            </w:pPr>
            <w:r w:rsidRPr="0062582F">
              <w:t xml:space="preserve">47500 </w:t>
            </w:r>
          </w:p>
        </w:tc>
        <w:tc>
          <w:tcPr>
            <w:tcW w:w="990" w:type="dxa"/>
            <w:gridSpan w:val="2"/>
            <w:tcBorders>
              <w:top w:val="single" w:sz="4" w:space="0" w:color="auto"/>
              <w:bottom w:val="single" w:sz="12" w:space="0" w:color="auto"/>
            </w:tcBorders>
            <w:shd w:val="clear" w:color="000000" w:fill="CCCCCC"/>
            <w:noWrap/>
            <w:vAlign w:val="bottom"/>
            <w:hideMark/>
          </w:tcPr>
          <w:p w:rsidR="004843DB" w:rsidRPr="0062582F" w:rsidRDefault="004843DB" w:rsidP="004843DB">
            <w:pPr>
              <w:pStyle w:val="TableofFigures"/>
            </w:pPr>
            <w:r w:rsidRPr="0062582F">
              <w:t>27 705</w:t>
            </w:r>
          </w:p>
        </w:tc>
        <w:tc>
          <w:tcPr>
            <w:tcW w:w="1112" w:type="dxa"/>
            <w:gridSpan w:val="2"/>
            <w:tcBorders>
              <w:top w:val="single" w:sz="4" w:space="0" w:color="auto"/>
              <w:bottom w:val="single" w:sz="12" w:space="0" w:color="auto"/>
              <w:right w:val="nil"/>
            </w:tcBorders>
            <w:shd w:val="clear" w:color="auto" w:fill="auto"/>
            <w:noWrap/>
            <w:vAlign w:val="bottom"/>
            <w:hideMark/>
          </w:tcPr>
          <w:p w:rsidR="004843DB" w:rsidRPr="0062582F" w:rsidRDefault="004843DB" w:rsidP="004843DB">
            <w:pPr>
              <w:pStyle w:val="TableofFigures"/>
            </w:pPr>
            <w:r w:rsidRPr="0062582F">
              <w:t xml:space="preserve">23 000 </w:t>
            </w:r>
          </w:p>
        </w:tc>
      </w:tr>
    </w:tbl>
    <w:p w:rsidR="004843DB" w:rsidRPr="0062582F" w:rsidRDefault="004843DB" w:rsidP="004843DB">
      <w:pPr>
        <w:pStyle w:val="Notes"/>
        <w:tabs>
          <w:tab w:val="clear" w:pos="454"/>
          <w:tab w:val="left" w:pos="0"/>
        </w:tabs>
      </w:pPr>
      <w:r w:rsidRPr="0062582F">
        <w:t xml:space="preserve">Notes: </w:t>
      </w:r>
    </w:p>
    <w:p w:rsidR="004843DB" w:rsidRPr="0062582F" w:rsidRDefault="004843DB" w:rsidP="004843DB">
      <w:pPr>
        <w:pStyle w:val="Notes"/>
      </w:pPr>
      <w:r w:rsidRPr="0062582F">
        <w:t>(i)</w:t>
      </w:r>
      <w:r w:rsidRPr="0062582F">
        <w:tab/>
        <w:t>Debt securities include a five</w:t>
      </w:r>
      <w:r w:rsidR="005A4BB0">
        <w:noBreakHyphen/>
      </w:r>
      <w:r w:rsidRPr="0062582F">
        <w:t>year government bond that is intended to be held until maturity. Therefore it has been measured at amortised cost with the carrying amount of $5 198. The remaining portion of debt securities ($3 823) is designated as fair value through profit and loss.</w:t>
      </w:r>
    </w:p>
    <w:p w:rsidR="004843DB" w:rsidRPr="0062582F" w:rsidRDefault="004843DB" w:rsidP="004843DB">
      <w:pPr>
        <w:pStyle w:val="Notes"/>
      </w:pPr>
      <w:r w:rsidRPr="0062582F">
        <w:t>(ii)</w:t>
      </w:r>
      <w:r w:rsidRPr="0062582F">
        <w:tab/>
        <w:t>The fair value of advances from government is based on cash flows discounted using a rate based on the borrowing rate of 7.5 per cent (2015: 7.2 per cent). The discount rate equals to LIBOR plus appropriate credit rating. The fair value is within level 2 of the fair value hierarchy.</w:t>
      </w:r>
    </w:p>
    <w:p w:rsidR="004843DB" w:rsidRPr="0062582F" w:rsidRDefault="004843DB" w:rsidP="004843DB">
      <w:pPr>
        <w:pStyle w:val="Notes"/>
        <w:tabs>
          <w:tab w:val="clear" w:pos="454"/>
          <w:tab w:val="left" w:pos="0"/>
        </w:tabs>
        <w:ind w:left="0" w:firstLine="0"/>
      </w:pP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s"/>
        <w:ind w:left="0" w:firstLine="0"/>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r w:rsidRPr="0062582F">
        <w:br w:type="column"/>
      </w:r>
    </w:p>
    <w:p w:rsidR="005F6817" w:rsidRDefault="005F6817" w:rsidP="005F6817">
      <w:pPr>
        <w:pStyle w:val="NoteHeadingcontinued"/>
      </w:pPr>
    </w:p>
    <w:p w:rsidR="005F6817" w:rsidRDefault="005F6817" w:rsidP="005F6817">
      <w:pPr>
        <w:pStyle w:val="Reference"/>
      </w:pPr>
    </w:p>
    <w:p w:rsidR="004843DB" w:rsidRPr="0062582F" w:rsidRDefault="004843DB" w:rsidP="005F6817">
      <w:pPr>
        <w:pStyle w:val="NoteHeadingcontinued"/>
      </w:pPr>
      <w:r w:rsidRPr="0062582F">
        <w:br w:type="column"/>
        <w:t>Note 33.</w:t>
      </w:r>
      <w:r w:rsidRPr="0062582F">
        <w:tab/>
        <w:t xml:space="preserve">Financial instruments </w:t>
      </w:r>
      <w:r w:rsidRPr="0062582F">
        <w:rPr>
          <w:i/>
        </w:rPr>
        <w:t>(continued)</w:t>
      </w:r>
    </w:p>
    <w:p w:rsidR="004843DB" w:rsidRPr="0062582F" w:rsidRDefault="004843DB" w:rsidP="004843DB">
      <w:pPr>
        <w:pStyle w:val="ReferenceRed"/>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Red"/>
      </w:pPr>
    </w:p>
    <w:p w:rsidR="004843DB" w:rsidRPr="0062582F" w:rsidRDefault="004843DB" w:rsidP="004843DB">
      <w:pPr>
        <w:pStyle w:val="SmallLine"/>
      </w:pPr>
      <w:r w:rsidRPr="0062582F">
        <w:br/>
      </w:r>
    </w:p>
    <w:p w:rsidR="004843DB" w:rsidRPr="0062582F" w:rsidRDefault="004843DB" w:rsidP="004843DB">
      <w:pPr>
        <w:pStyle w:val="Reference"/>
        <w:spacing w:before="240"/>
        <w:rPr>
          <w:lang w:val="en-AU"/>
        </w:rPr>
      </w:pPr>
      <w:r w:rsidRPr="0062582F">
        <w:rPr>
          <w:lang w:val="en-AU"/>
        </w:rPr>
        <w:t>AASB 7.27B(a)</w:t>
      </w:r>
    </w:p>
    <w:p w:rsidR="004843DB" w:rsidRPr="0062582F" w:rsidRDefault="004843DB" w:rsidP="00E348C3">
      <w:pPr>
        <w:pStyle w:val="Tableheading"/>
      </w:pPr>
      <w:r w:rsidRPr="0062582F">
        <w:br w:type="column"/>
        <w:t>Table 33.9:</w:t>
      </w:r>
      <w:r w:rsidRPr="0062582F">
        <w:tab/>
        <w:t>Financial assets measured at fair value</w:t>
      </w:r>
      <w:r w:rsidRPr="0062582F">
        <w:rPr>
          <w:vertAlign w:val="superscript"/>
        </w:rPr>
        <w:t>(i)</w:t>
      </w:r>
    </w:p>
    <w:p w:rsidR="004843DB" w:rsidRPr="0062582F" w:rsidRDefault="004843DB" w:rsidP="004843DB">
      <w:pPr>
        <w:pStyle w:val="million"/>
        <w:rPr>
          <w:rFonts w:ascii="Tahoma" w:hAnsi="Tahoma" w:cs="Tahoma"/>
          <w:sz w:val="20"/>
          <w:szCs w:val="20"/>
        </w:rPr>
      </w:pPr>
      <w:r w:rsidRPr="0062582F">
        <w:t>($ thousand)</w:t>
      </w:r>
    </w:p>
    <w:tbl>
      <w:tblPr>
        <w:tblW w:w="8143" w:type="dxa"/>
        <w:tblLayout w:type="fixed"/>
        <w:tblCellMar>
          <w:left w:w="43" w:type="dxa"/>
          <w:right w:w="43" w:type="dxa"/>
        </w:tblCellMar>
        <w:tblLook w:val="04A0" w:firstRow="1" w:lastRow="0" w:firstColumn="1" w:lastColumn="0" w:noHBand="0" w:noVBand="1"/>
      </w:tblPr>
      <w:tblGrid>
        <w:gridCol w:w="3193"/>
        <w:gridCol w:w="1260"/>
        <w:gridCol w:w="1215"/>
        <w:gridCol w:w="1237"/>
        <w:gridCol w:w="1238"/>
      </w:tblGrid>
      <w:tr w:rsidR="004843DB" w:rsidRPr="0062582F" w:rsidTr="004843DB">
        <w:trPr>
          <w:cantSplit/>
        </w:trPr>
        <w:tc>
          <w:tcPr>
            <w:tcW w:w="3193" w:type="dxa"/>
            <w:vMerge w:val="restart"/>
            <w:tcBorders>
              <w:top w:val="single" w:sz="4" w:space="0" w:color="auto"/>
              <w:left w:val="nil"/>
              <w:bottom w:val="single" w:sz="4" w:space="0" w:color="000000"/>
              <w:right w:val="nil"/>
            </w:tcBorders>
            <w:shd w:val="clear" w:color="auto" w:fill="auto"/>
            <w:vAlign w:val="bottom"/>
            <w:hideMark/>
          </w:tcPr>
          <w:p w:rsidR="004843DB" w:rsidRPr="0062582F" w:rsidRDefault="004843DB" w:rsidP="004843DB">
            <w:pPr>
              <w:pStyle w:val="TabletextheadingLeft"/>
            </w:pPr>
            <w:r w:rsidRPr="0062582F">
              <w:t>2016</w:t>
            </w:r>
          </w:p>
        </w:tc>
        <w:tc>
          <w:tcPr>
            <w:tcW w:w="1260" w:type="dxa"/>
            <w:vMerge w:val="restart"/>
            <w:tcBorders>
              <w:top w:val="single" w:sz="4" w:space="0" w:color="auto"/>
              <w:left w:val="nil"/>
              <w:right w:val="nil"/>
            </w:tcBorders>
            <w:shd w:val="clear" w:color="000000" w:fill="CCCCCC"/>
            <w:noWrap/>
            <w:hideMark/>
          </w:tcPr>
          <w:p w:rsidR="004843DB" w:rsidRPr="0062582F" w:rsidRDefault="004843DB" w:rsidP="004843DB">
            <w:pPr>
              <w:pStyle w:val="TabletextheadingCentred"/>
            </w:pPr>
            <w:r w:rsidRPr="0062582F">
              <w:t>Carrying amount as at</w:t>
            </w:r>
            <w:r w:rsidRPr="0062582F">
              <w:br/>
              <w:t>30 June 2016</w:t>
            </w:r>
          </w:p>
        </w:tc>
        <w:tc>
          <w:tcPr>
            <w:tcW w:w="3690" w:type="dxa"/>
            <w:gridSpan w:val="3"/>
            <w:tcBorders>
              <w:top w:val="single" w:sz="4" w:space="0" w:color="auto"/>
              <w:left w:val="nil"/>
              <w:bottom w:val="nil"/>
              <w:right w:val="nil"/>
            </w:tcBorders>
            <w:shd w:val="clear" w:color="auto" w:fill="auto"/>
            <w:hideMark/>
          </w:tcPr>
          <w:p w:rsidR="004843DB" w:rsidRPr="0062582F" w:rsidRDefault="004843DB" w:rsidP="004843DB">
            <w:pPr>
              <w:pStyle w:val="TabletextheadingCentred"/>
            </w:pPr>
            <w:r w:rsidRPr="0062582F">
              <w:t>Fair value measurement at end of reporting</w:t>
            </w:r>
            <w:r w:rsidRPr="0062582F">
              <w:rPr>
                <w:sz w:val="16"/>
              </w:rPr>
              <w:t> </w:t>
            </w:r>
            <w:r w:rsidRPr="0062582F">
              <w:t>period using:</w:t>
            </w:r>
          </w:p>
        </w:tc>
      </w:tr>
      <w:tr w:rsidR="004843DB" w:rsidRPr="0062582F" w:rsidTr="004843DB">
        <w:trPr>
          <w:cantSplit/>
        </w:trPr>
        <w:tc>
          <w:tcPr>
            <w:tcW w:w="3193" w:type="dxa"/>
            <w:vMerge/>
            <w:tcBorders>
              <w:top w:val="single" w:sz="4" w:space="0" w:color="auto"/>
              <w:left w:val="nil"/>
              <w:bottom w:val="single" w:sz="4" w:space="0" w:color="000000"/>
              <w:right w:val="nil"/>
            </w:tcBorders>
            <w:vAlign w:val="center"/>
            <w:hideMark/>
          </w:tcPr>
          <w:p w:rsidR="004843DB" w:rsidRPr="0062582F" w:rsidRDefault="004843DB" w:rsidP="004843DB">
            <w:pPr>
              <w:rPr>
                <w:rFonts w:ascii="Arial" w:hAnsi="Arial" w:cs="Arial"/>
                <w:i/>
                <w:iCs/>
                <w:sz w:val="18"/>
                <w:szCs w:val="18"/>
              </w:rPr>
            </w:pPr>
          </w:p>
        </w:tc>
        <w:tc>
          <w:tcPr>
            <w:tcW w:w="1260" w:type="dxa"/>
            <w:vMerge/>
            <w:tcBorders>
              <w:left w:val="nil"/>
              <w:bottom w:val="single" w:sz="4" w:space="0" w:color="auto"/>
              <w:right w:val="nil"/>
            </w:tcBorders>
            <w:shd w:val="clear" w:color="000000" w:fill="CCCCCC"/>
            <w:noWrap/>
            <w:hideMark/>
          </w:tcPr>
          <w:p w:rsidR="004843DB" w:rsidRPr="0062582F" w:rsidRDefault="004843DB" w:rsidP="004843DB"/>
        </w:tc>
        <w:tc>
          <w:tcPr>
            <w:tcW w:w="121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 xml:space="preserve">Level 1 </w:t>
            </w:r>
            <w:r w:rsidRPr="0062582F">
              <w:rPr>
                <w:vertAlign w:val="superscript"/>
              </w:rPr>
              <w:t>(ii)</w:t>
            </w:r>
          </w:p>
        </w:tc>
        <w:tc>
          <w:tcPr>
            <w:tcW w:w="1237"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textheading"/>
            </w:pPr>
            <w:r w:rsidRPr="0062582F">
              <w:t xml:space="preserve">Level 2 </w:t>
            </w:r>
            <w:r w:rsidRPr="0062582F">
              <w:rPr>
                <w:vertAlign w:val="superscript"/>
              </w:rPr>
              <w:t>(ii)</w:t>
            </w:r>
          </w:p>
        </w:tc>
        <w:tc>
          <w:tcPr>
            <w:tcW w:w="1238"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Level 3</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
            </w:pPr>
            <w:r w:rsidRPr="0062582F">
              <w:t>Financial assets at fair value through profit or loss</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
            </w:pPr>
            <w:r w:rsidRPr="0062582F">
              <w:t>Debt securities – five year government bonds</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3 823</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3 823</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
            </w:pPr>
            <w:r w:rsidRPr="0062582F">
              <w:t>Available</w:t>
            </w:r>
            <w:r w:rsidR="005A4BB0">
              <w:noBreakHyphen/>
            </w:r>
            <w:r w:rsidRPr="0062582F">
              <w:t>for</w:t>
            </w:r>
            <w:r w:rsidR="005A4BB0">
              <w:noBreakHyphen/>
            </w:r>
            <w:r w:rsidRPr="0062582F">
              <w:t>sale securities</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Indent"/>
            </w:pPr>
            <w:r w:rsidRPr="0062582F">
              <w:t>Listed securities</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1 614</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1 614</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Indent"/>
            </w:pPr>
            <w:r w:rsidRPr="0062582F">
              <w:t>Unlisted securities</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222</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222</w:t>
            </w:r>
          </w:p>
        </w:tc>
      </w:tr>
      <w:tr w:rsidR="004843DB" w:rsidRPr="0062582F" w:rsidTr="004843DB">
        <w:trPr>
          <w:cantSplit/>
        </w:trPr>
        <w:tc>
          <w:tcPr>
            <w:tcW w:w="319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Managed investment schemes</w:t>
            </w:r>
          </w:p>
        </w:tc>
        <w:tc>
          <w:tcPr>
            <w:tcW w:w="1260" w:type="dxa"/>
            <w:tcBorders>
              <w:top w:val="nil"/>
              <w:left w:val="nil"/>
              <w:bottom w:val="single" w:sz="4" w:space="0" w:color="auto"/>
              <w:right w:val="nil"/>
            </w:tcBorders>
            <w:shd w:val="clear" w:color="000000" w:fill="CCCCCC"/>
            <w:noWrap/>
            <w:vAlign w:val="bottom"/>
            <w:hideMark/>
          </w:tcPr>
          <w:p w:rsidR="004843DB" w:rsidRPr="0062582F" w:rsidRDefault="004843DB" w:rsidP="004843DB">
            <w:pPr>
              <w:pStyle w:val="TableofFigures"/>
            </w:pPr>
            <w:r w:rsidRPr="0062582F">
              <w:t xml:space="preserve"> 229</w:t>
            </w:r>
          </w:p>
        </w:tc>
        <w:tc>
          <w:tcPr>
            <w:tcW w:w="1215"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pPr>
            <w:r w:rsidRPr="0062582F">
              <w:t>..</w:t>
            </w:r>
          </w:p>
        </w:tc>
        <w:tc>
          <w:tcPr>
            <w:tcW w:w="1237" w:type="dxa"/>
            <w:tcBorders>
              <w:top w:val="nil"/>
              <w:left w:val="nil"/>
              <w:bottom w:val="single" w:sz="4" w:space="0" w:color="auto"/>
              <w:right w:val="nil"/>
            </w:tcBorders>
            <w:shd w:val="clear" w:color="000000" w:fill="CCCCCC"/>
            <w:noWrap/>
            <w:vAlign w:val="bottom"/>
            <w:hideMark/>
          </w:tcPr>
          <w:p w:rsidR="004843DB" w:rsidRPr="0062582F" w:rsidRDefault="004843DB" w:rsidP="004843DB">
            <w:pPr>
              <w:pStyle w:val="TableofFigures"/>
            </w:pPr>
            <w:r w:rsidRPr="0062582F">
              <w:t xml:space="preserve"> 229</w:t>
            </w:r>
          </w:p>
        </w:tc>
        <w:tc>
          <w:tcPr>
            <w:tcW w:w="1238"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pPr>
            <w:r w:rsidRPr="0062582F">
              <w:t>..</w:t>
            </w:r>
          </w:p>
        </w:tc>
      </w:tr>
      <w:tr w:rsidR="004843DB" w:rsidRPr="0062582F" w:rsidTr="004843DB">
        <w:trPr>
          <w:cantSplit/>
        </w:trPr>
        <w:tc>
          <w:tcPr>
            <w:tcW w:w="319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w:t>
            </w:r>
          </w:p>
        </w:tc>
        <w:tc>
          <w:tcPr>
            <w:tcW w:w="1260" w:type="dxa"/>
            <w:tcBorders>
              <w:top w:val="single" w:sz="4" w:space="0" w:color="auto"/>
              <w:left w:val="nil"/>
              <w:bottom w:val="single" w:sz="12" w:space="0" w:color="auto"/>
              <w:right w:val="nil"/>
            </w:tcBorders>
            <w:shd w:val="clear" w:color="000000" w:fill="CCCCCC"/>
            <w:noWrap/>
            <w:vAlign w:val="bottom"/>
            <w:hideMark/>
          </w:tcPr>
          <w:p w:rsidR="004843DB" w:rsidRPr="0062582F" w:rsidRDefault="004843DB" w:rsidP="004843DB">
            <w:pPr>
              <w:pStyle w:val="TableofFigures"/>
              <w:rPr>
                <w:b/>
              </w:rPr>
            </w:pPr>
            <w:r w:rsidRPr="0062582F">
              <w:rPr>
                <w:b/>
              </w:rPr>
              <w:t>5 888</w:t>
            </w:r>
          </w:p>
        </w:tc>
        <w:tc>
          <w:tcPr>
            <w:tcW w:w="1215"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rPr>
            </w:pPr>
            <w:r w:rsidRPr="0062582F">
              <w:rPr>
                <w:b/>
              </w:rPr>
              <w:t>1 614</w:t>
            </w:r>
          </w:p>
        </w:tc>
        <w:tc>
          <w:tcPr>
            <w:tcW w:w="1237" w:type="dxa"/>
            <w:tcBorders>
              <w:top w:val="single" w:sz="4" w:space="0" w:color="auto"/>
              <w:left w:val="nil"/>
              <w:bottom w:val="single" w:sz="12" w:space="0" w:color="auto"/>
              <w:right w:val="nil"/>
            </w:tcBorders>
            <w:shd w:val="clear" w:color="000000" w:fill="CCCCCC"/>
            <w:noWrap/>
            <w:vAlign w:val="bottom"/>
            <w:hideMark/>
          </w:tcPr>
          <w:p w:rsidR="004843DB" w:rsidRPr="0062582F" w:rsidRDefault="004843DB" w:rsidP="004843DB">
            <w:pPr>
              <w:pStyle w:val="TableofFigures"/>
              <w:rPr>
                <w:b/>
              </w:rPr>
            </w:pPr>
            <w:r w:rsidRPr="0062582F">
              <w:rPr>
                <w:b/>
              </w:rPr>
              <w:t>4 052</w:t>
            </w:r>
          </w:p>
        </w:tc>
        <w:tc>
          <w:tcPr>
            <w:tcW w:w="1238"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rPr>
            </w:pPr>
            <w:r w:rsidRPr="0062582F">
              <w:rPr>
                <w:b/>
              </w:rPr>
              <w:t xml:space="preserve"> 222</w:t>
            </w:r>
          </w:p>
        </w:tc>
      </w:tr>
      <w:tr w:rsidR="004843DB" w:rsidRPr="0062582F" w:rsidTr="004843DB">
        <w:trPr>
          <w:cantSplit/>
        </w:trPr>
        <w:tc>
          <w:tcPr>
            <w:tcW w:w="3193" w:type="dxa"/>
            <w:vMerge w:val="restart"/>
            <w:tcBorders>
              <w:top w:val="single" w:sz="12" w:space="0" w:color="auto"/>
              <w:left w:val="nil"/>
              <w:bottom w:val="single" w:sz="4" w:space="0" w:color="000000"/>
              <w:right w:val="nil"/>
            </w:tcBorders>
            <w:shd w:val="clear" w:color="auto" w:fill="auto"/>
            <w:vAlign w:val="bottom"/>
            <w:hideMark/>
          </w:tcPr>
          <w:p w:rsidR="004843DB" w:rsidRPr="0062582F" w:rsidRDefault="004843DB" w:rsidP="004843DB">
            <w:pPr>
              <w:pStyle w:val="TabletextheadingLeft"/>
              <w:rPr>
                <w:rFonts w:ascii="Arial" w:hAnsi="Arial"/>
              </w:rPr>
            </w:pPr>
            <w:r w:rsidRPr="0062582F">
              <w:t>2015</w:t>
            </w:r>
          </w:p>
        </w:tc>
        <w:tc>
          <w:tcPr>
            <w:tcW w:w="1260" w:type="dxa"/>
            <w:vMerge w:val="restart"/>
            <w:tcBorders>
              <w:top w:val="single" w:sz="12" w:space="0" w:color="auto"/>
              <w:left w:val="nil"/>
              <w:right w:val="nil"/>
            </w:tcBorders>
            <w:shd w:val="clear" w:color="000000" w:fill="CCCCCC"/>
            <w:noWrap/>
            <w:vAlign w:val="bottom"/>
            <w:hideMark/>
          </w:tcPr>
          <w:p w:rsidR="004843DB" w:rsidRPr="0062582F" w:rsidRDefault="004843DB" w:rsidP="004843DB">
            <w:pPr>
              <w:pStyle w:val="TabletextheadingCentred"/>
            </w:pPr>
            <w:r w:rsidRPr="0062582F">
              <w:t>Carrying amount as at</w:t>
            </w:r>
            <w:r w:rsidRPr="0062582F">
              <w:br/>
              <w:t>30 June 2015</w:t>
            </w:r>
          </w:p>
        </w:tc>
        <w:tc>
          <w:tcPr>
            <w:tcW w:w="3690" w:type="dxa"/>
            <w:gridSpan w:val="3"/>
            <w:tcBorders>
              <w:top w:val="single" w:sz="12" w:space="0" w:color="auto"/>
              <w:left w:val="nil"/>
              <w:bottom w:val="single" w:sz="4" w:space="0" w:color="auto"/>
              <w:right w:val="nil"/>
            </w:tcBorders>
            <w:shd w:val="clear" w:color="auto" w:fill="auto"/>
            <w:noWrap/>
            <w:vAlign w:val="bottom"/>
            <w:hideMark/>
          </w:tcPr>
          <w:p w:rsidR="004843DB" w:rsidRPr="0062582F" w:rsidRDefault="004843DB" w:rsidP="004843DB">
            <w:pPr>
              <w:pStyle w:val="TabletextheadingCentred"/>
            </w:pPr>
            <w:r w:rsidRPr="0062582F">
              <w:t>Fair value measurement at end of reporting period using:</w:t>
            </w:r>
          </w:p>
        </w:tc>
      </w:tr>
      <w:tr w:rsidR="004843DB" w:rsidRPr="0062582F" w:rsidTr="004843DB">
        <w:trPr>
          <w:cantSplit/>
        </w:trPr>
        <w:tc>
          <w:tcPr>
            <w:tcW w:w="3193" w:type="dxa"/>
            <w:vMerge/>
            <w:tcBorders>
              <w:top w:val="nil"/>
              <w:left w:val="nil"/>
              <w:bottom w:val="single" w:sz="4" w:space="0" w:color="000000"/>
              <w:right w:val="nil"/>
            </w:tcBorders>
            <w:vAlign w:val="center"/>
            <w:hideMark/>
          </w:tcPr>
          <w:p w:rsidR="004843DB" w:rsidRPr="0062582F" w:rsidRDefault="004843DB" w:rsidP="004843DB">
            <w:pPr>
              <w:rPr>
                <w:rFonts w:ascii="Arial" w:hAnsi="Arial" w:cs="Arial"/>
                <w:i/>
                <w:iCs/>
                <w:sz w:val="18"/>
                <w:szCs w:val="18"/>
              </w:rPr>
            </w:pPr>
          </w:p>
        </w:tc>
        <w:tc>
          <w:tcPr>
            <w:tcW w:w="1260" w:type="dxa"/>
            <w:vMerge/>
            <w:tcBorders>
              <w:left w:val="nil"/>
              <w:bottom w:val="single" w:sz="4" w:space="0" w:color="auto"/>
              <w:right w:val="nil"/>
            </w:tcBorders>
            <w:shd w:val="clear" w:color="000000" w:fill="CCCCCC"/>
            <w:noWrap/>
            <w:vAlign w:val="bottom"/>
            <w:hideMark/>
          </w:tcPr>
          <w:p w:rsidR="004843DB" w:rsidRPr="0062582F" w:rsidRDefault="004843DB" w:rsidP="004843DB"/>
        </w:tc>
        <w:tc>
          <w:tcPr>
            <w:tcW w:w="1215"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textheading"/>
            </w:pPr>
            <w:r w:rsidRPr="0062582F">
              <w:t xml:space="preserve">Level 1 </w:t>
            </w:r>
            <w:r w:rsidRPr="0062582F">
              <w:rPr>
                <w:vertAlign w:val="superscript"/>
              </w:rPr>
              <w:t>(ii)</w:t>
            </w:r>
          </w:p>
        </w:tc>
        <w:tc>
          <w:tcPr>
            <w:tcW w:w="1237" w:type="dxa"/>
            <w:tcBorders>
              <w:top w:val="nil"/>
              <w:left w:val="nil"/>
              <w:bottom w:val="single" w:sz="4" w:space="0" w:color="auto"/>
              <w:right w:val="nil"/>
            </w:tcBorders>
            <w:shd w:val="clear" w:color="000000" w:fill="CCCCCC"/>
            <w:noWrap/>
            <w:vAlign w:val="bottom"/>
            <w:hideMark/>
          </w:tcPr>
          <w:p w:rsidR="004843DB" w:rsidRPr="0062582F" w:rsidRDefault="004843DB" w:rsidP="004843DB">
            <w:pPr>
              <w:pStyle w:val="Tabletextheading"/>
            </w:pPr>
            <w:r w:rsidRPr="0062582F">
              <w:t xml:space="preserve">Level 2 </w:t>
            </w:r>
            <w:r w:rsidRPr="0062582F">
              <w:rPr>
                <w:vertAlign w:val="superscript"/>
              </w:rPr>
              <w:t>(i)</w:t>
            </w:r>
          </w:p>
        </w:tc>
        <w:tc>
          <w:tcPr>
            <w:tcW w:w="1238"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textheading"/>
            </w:pPr>
            <w:r w:rsidRPr="0062582F">
              <w:t>Level 3</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
            </w:pPr>
            <w:r w:rsidRPr="0062582F">
              <w:t>Financial assets at fair value through profit or loss</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
            </w:pPr>
            <w:r w:rsidRPr="0062582F">
              <w:t>Debt securities – five year government bonds</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2 409</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rPr>
                <w:noProof/>
              </w:rPr>
            </w:pPr>
            <w:r w:rsidRPr="0062582F">
              <w:t>2 409</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
            </w:pPr>
            <w:r w:rsidRPr="0062582F">
              <w:t>Available</w:t>
            </w:r>
            <w:r w:rsidR="005A4BB0">
              <w:noBreakHyphen/>
            </w:r>
            <w:r w:rsidRPr="0062582F">
              <w:t>for</w:t>
            </w:r>
            <w:r w:rsidR="005A4BB0">
              <w:noBreakHyphen/>
            </w:r>
            <w:r w:rsidRPr="0062582F">
              <w:t>sale securities</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Indent"/>
            </w:pPr>
            <w:r w:rsidRPr="0062582F">
              <w:t>Listed securities</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1 492</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1 492</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w:t>
            </w:r>
          </w:p>
        </w:tc>
      </w:tr>
      <w:tr w:rsidR="004843DB" w:rsidRPr="0062582F" w:rsidTr="004843DB">
        <w:trPr>
          <w:cantSplit/>
        </w:trPr>
        <w:tc>
          <w:tcPr>
            <w:tcW w:w="3193" w:type="dxa"/>
            <w:tcBorders>
              <w:top w:val="nil"/>
              <w:left w:val="nil"/>
              <w:bottom w:val="nil"/>
              <w:right w:val="nil"/>
            </w:tcBorders>
            <w:shd w:val="clear" w:color="auto" w:fill="auto"/>
            <w:hideMark/>
          </w:tcPr>
          <w:p w:rsidR="004843DB" w:rsidRPr="0062582F" w:rsidRDefault="004843DB" w:rsidP="004843DB">
            <w:pPr>
              <w:pStyle w:val="TabletextIndent"/>
            </w:pPr>
            <w:r w:rsidRPr="0062582F">
              <w:t>Unlisted securities</w:t>
            </w:r>
          </w:p>
        </w:tc>
        <w:tc>
          <w:tcPr>
            <w:tcW w:w="1260"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 xml:space="preserve"> 538</w:t>
            </w:r>
          </w:p>
        </w:tc>
        <w:tc>
          <w:tcPr>
            <w:tcW w:w="1215"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w:t>
            </w:r>
          </w:p>
        </w:tc>
        <w:tc>
          <w:tcPr>
            <w:tcW w:w="1237" w:type="dxa"/>
            <w:tcBorders>
              <w:top w:val="nil"/>
              <w:left w:val="nil"/>
              <w:bottom w:val="nil"/>
              <w:right w:val="nil"/>
            </w:tcBorders>
            <w:shd w:val="clear" w:color="000000" w:fill="CCCCCC"/>
            <w:noWrap/>
            <w:vAlign w:val="bottom"/>
            <w:hideMark/>
          </w:tcPr>
          <w:p w:rsidR="004843DB" w:rsidRPr="0062582F" w:rsidRDefault="004843DB" w:rsidP="004843DB">
            <w:pPr>
              <w:pStyle w:val="TableofFigures"/>
            </w:pPr>
            <w:r w:rsidRPr="0062582F">
              <w:t>..</w:t>
            </w:r>
          </w:p>
        </w:tc>
        <w:tc>
          <w:tcPr>
            <w:tcW w:w="1238" w:type="dxa"/>
            <w:tcBorders>
              <w:top w:val="nil"/>
              <w:left w:val="nil"/>
              <w:bottom w:val="nil"/>
              <w:right w:val="nil"/>
            </w:tcBorders>
            <w:shd w:val="clear" w:color="auto" w:fill="auto"/>
            <w:noWrap/>
            <w:vAlign w:val="bottom"/>
            <w:hideMark/>
          </w:tcPr>
          <w:p w:rsidR="004843DB" w:rsidRPr="0062582F" w:rsidRDefault="004843DB" w:rsidP="004843DB">
            <w:pPr>
              <w:pStyle w:val="TableofFigures"/>
            </w:pPr>
            <w:r w:rsidRPr="0062582F">
              <w:t xml:space="preserve"> 538</w:t>
            </w:r>
          </w:p>
        </w:tc>
      </w:tr>
      <w:tr w:rsidR="004843DB" w:rsidRPr="0062582F" w:rsidTr="004843DB">
        <w:trPr>
          <w:cantSplit/>
        </w:trPr>
        <w:tc>
          <w:tcPr>
            <w:tcW w:w="319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Equities and managed investment schemes</w:t>
            </w:r>
          </w:p>
        </w:tc>
        <w:tc>
          <w:tcPr>
            <w:tcW w:w="1260" w:type="dxa"/>
            <w:tcBorders>
              <w:top w:val="nil"/>
              <w:left w:val="nil"/>
              <w:bottom w:val="single" w:sz="4" w:space="0" w:color="auto"/>
              <w:right w:val="nil"/>
            </w:tcBorders>
            <w:shd w:val="clear" w:color="000000" w:fill="CCCCCC"/>
            <w:noWrap/>
            <w:vAlign w:val="bottom"/>
            <w:hideMark/>
          </w:tcPr>
          <w:p w:rsidR="004843DB" w:rsidRPr="0062582F" w:rsidRDefault="004843DB" w:rsidP="004843DB">
            <w:pPr>
              <w:pStyle w:val="TableofFigures"/>
            </w:pPr>
            <w:r w:rsidRPr="0062582F">
              <w:t>2 149</w:t>
            </w:r>
          </w:p>
        </w:tc>
        <w:tc>
          <w:tcPr>
            <w:tcW w:w="1215"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pPr>
            <w:r w:rsidRPr="0062582F">
              <w:t>..</w:t>
            </w:r>
          </w:p>
        </w:tc>
        <w:tc>
          <w:tcPr>
            <w:tcW w:w="1237" w:type="dxa"/>
            <w:tcBorders>
              <w:top w:val="nil"/>
              <w:left w:val="nil"/>
              <w:bottom w:val="single" w:sz="4" w:space="0" w:color="auto"/>
              <w:right w:val="nil"/>
            </w:tcBorders>
            <w:shd w:val="clear" w:color="000000" w:fill="CCCCCC"/>
            <w:noWrap/>
            <w:vAlign w:val="bottom"/>
            <w:hideMark/>
          </w:tcPr>
          <w:p w:rsidR="004843DB" w:rsidRPr="0062582F" w:rsidRDefault="004843DB" w:rsidP="004843DB">
            <w:pPr>
              <w:pStyle w:val="TableofFigures"/>
            </w:pPr>
            <w:r w:rsidRPr="0062582F">
              <w:t>2 149</w:t>
            </w:r>
          </w:p>
        </w:tc>
        <w:tc>
          <w:tcPr>
            <w:tcW w:w="1238" w:type="dxa"/>
            <w:tcBorders>
              <w:top w:val="nil"/>
              <w:left w:val="nil"/>
              <w:bottom w:val="single" w:sz="4" w:space="0" w:color="auto"/>
              <w:right w:val="nil"/>
            </w:tcBorders>
            <w:shd w:val="clear" w:color="auto" w:fill="auto"/>
            <w:noWrap/>
            <w:vAlign w:val="bottom"/>
            <w:hideMark/>
          </w:tcPr>
          <w:p w:rsidR="004843DB" w:rsidRPr="0062582F" w:rsidRDefault="004843DB" w:rsidP="004843DB">
            <w:pPr>
              <w:pStyle w:val="TableofFigures"/>
            </w:pPr>
            <w:r w:rsidRPr="0062582F">
              <w:t>..</w:t>
            </w:r>
          </w:p>
        </w:tc>
      </w:tr>
      <w:tr w:rsidR="004843DB" w:rsidRPr="0062582F" w:rsidTr="004843DB">
        <w:trPr>
          <w:cantSplit/>
        </w:trPr>
        <w:tc>
          <w:tcPr>
            <w:tcW w:w="319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Total</w:t>
            </w:r>
          </w:p>
        </w:tc>
        <w:tc>
          <w:tcPr>
            <w:tcW w:w="1260" w:type="dxa"/>
            <w:tcBorders>
              <w:top w:val="single" w:sz="4" w:space="0" w:color="auto"/>
              <w:left w:val="nil"/>
              <w:bottom w:val="single" w:sz="12" w:space="0" w:color="auto"/>
              <w:right w:val="nil"/>
            </w:tcBorders>
            <w:shd w:val="clear" w:color="000000" w:fill="CCCCCC"/>
            <w:noWrap/>
            <w:vAlign w:val="bottom"/>
            <w:hideMark/>
          </w:tcPr>
          <w:p w:rsidR="004843DB" w:rsidRPr="0062582F" w:rsidRDefault="004843DB" w:rsidP="004843DB">
            <w:pPr>
              <w:pStyle w:val="TableofFigures"/>
              <w:rPr>
                <w:b/>
              </w:rPr>
            </w:pPr>
            <w:r w:rsidRPr="0062582F">
              <w:rPr>
                <w:b/>
              </w:rPr>
              <w:t>6 589</w:t>
            </w:r>
          </w:p>
        </w:tc>
        <w:tc>
          <w:tcPr>
            <w:tcW w:w="1215"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rPr>
            </w:pPr>
            <w:r w:rsidRPr="0062582F">
              <w:rPr>
                <w:b/>
              </w:rPr>
              <w:t>3 901</w:t>
            </w:r>
          </w:p>
        </w:tc>
        <w:tc>
          <w:tcPr>
            <w:tcW w:w="1237" w:type="dxa"/>
            <w:tcBorders>
              <w:top w:val="single" w:sz="4" w:space="0" w:color="auto"/>
              <w:left w:val="nil"/>
              <w:bottom w:val="single" w:sz="12" w:space="0" w:color="auto"/>
              <w:right w:val="nil"/>
            </w:tcBorders>
            <w:shd w:val="clear" w:color="000000" w:fill="CCCCCC"/>
            <w:noWrap/>
            <w:vAlign w:val="bottom"/>
            <w:hideMark/>
          </w:tcPr>
          <w:p w:rsidR="004843DB" w:rsidRPr="0062582F" w:rsidRDefault="004843DB" w:rsidP="004843DB">
            <w:pPr>
              <w:pStyle w:val="TableofFigures"/>
              <w:rPr>
                <w:b/>
              </w:rPr>
            </w:pPr>
            <w:r w:rsidRPr="0062582F">
              <w:rPr>
                <w:b/>
              </w:rPr>
              <w:t>2 149</w:t>
            </w:r>
          </w:p>
        </w:tc>
        <w:tc>
          <w:tcPr>
            <w:tcW w:w="1238" w:type="dxa"/>
            <w:tcBorders>
              <w:top w:val="single" w:sz="4" w:space="0" w:color="auto"/>
              <w:left w:val="nil"/>
              <w:bottom w:val="single" w:sz="12" w:space="0" w:color="auto"/>
              <w:right w:val="nil"/>
            </w:tcBorders>
            <w:shd w:val="clear" w:color="auto" w:fill="auto"/>
            <w:noWrap/>
            <w:vAlign w:val="bottom"/>
            <w:hideMark/>
          </w:tcPr>
          <w:p w:rsidR="004843DB" w:rsidRPr="0062582F" w:rsidRDefault="004843DB" w:rsidP="004843DB">
            <w:pPr>
              <w:pStyle w:val="TableofFigures"/>
              <w:rPr>
                <w:b/>
              </w:rPr>
            </w:pPr>
            <w:r w:rsidRPr="0062582F">
              <w:rPr>
                <w:b/>
              </w:rPr>
              <w:t xml:space="preserve"> 538</w:t>
            </w:r>
          </w:p>
        </w:tc>
      </w:tr>
    </w:tbl>
    <w:p w:rsidR="004843DB" w:rsidRPr="0062582F" w:rsidRDefault="004843DB" w:rsidP="004843DB">
      <w:pPr>
        <w:pStyle w:val="Notes"/>
        <w:ind w:left="0" w:firstLine="0"/>
      </w:pPr>
      <w:r w:rsidRPr="0062582F">
        <w:t>Notes:</w:t>
      </w:r>
    </w:p>
    <w:p w:rsidR="004843DB" w:rsidRPr="0062582F" w:rsidRDefault="004843DB" w:rsidP="004843DB">
      <w:pPr>
        <w:pStyle w:val="Notes"/>
        <w:numPr>
          <w:ilvl w:val="0"/>
          <w:numId w:val="14"/>
        </w:numPr>
        <w:tabs>
          <w:tab w:val="clear" w:pos="454"/>
          <w:tab w:val="clear" w:pos="1080"/>
          <w:tab w:val="num" w:pos="284"/>
          <w:tab w:val="num" w:pos="2280"/>
        </w:tabs>
        <w:ind w:left="284" w:hanging="295"/>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0"/>
        <w:rPr>
          <w:lang w:val="en-AU"/>
        </w:rPr>
      </w:pPr>
      <w:r w:rsidRPr="0062582F">
        <w:rPr>
          <w:lang w:val="en-AU"/>
        </w:rPr>
        <w:t>AASB 7.27B(b)</w:t>
      </w:r>
    </w:p>
    <w:p w:rsidR="004843DB" w:rsidRPr="0062582F" w:rsidRDefault="004843DB" w:rsidP="004843DB">
      <w:pPr>
        <w:pStyle w:val="NotesBlue"/>
      </w:pPr>
      <w:r w:rsidRPr="0062582F">
        <w:br w:type="column"/>
        <w:t>(i)</w:t>
      </w:r>
      <w:r w:rsidRPr="0062582F">
        <w:tab/>
        <w:t>[The fair value hierarchy disclosures shall be disclosed by class of financial instrument where class is the lowest level disclosed in the financial statements or notes, and is distinct from a category of financial instrument as specified in AASB 139 paragraph 9.]</w:t>
      </w:r>
    </w:p>
    <w:p w:rsidR="004843DB" w:rsidRPr="0062582F" w:rsidRDefault="004843DB" w:rsidP="004843DB">
      <w:pPr>
        <w:pStyle w:val="Notes"/>
      </w:pPr>
      <w:r w:rsidRPr="0062582F">
        <w:t>(ii)</w:t>
      </w:r>
      <w:r w:rsidRPr="0062582F">
        <w:tab/>
        <w:t>There is no significant transfer between Level 1 and Level 2.</w:t>
      </w:r>
    </w:p>
    <w:p w:rsidR="004843DB" w:rsidRPr="0062582F" w:rsidRDefault="004843DB" w:rsidP="004843DB">
      <w:pPr>
        <w:pStyle w:val="NoteHeadingcontinued"/>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SmallLine"/>
      </w:pPr>
    </w:p>
    <w:p w:rsidR="004843DB" w:rsidRPr="0062582F" w:rsidRDefault="004843DB" w:rsidP="004843DB">
      <w:pPr>
        <w:pStyle w:val="Reference"/>
        <w:spacing w:before="140"/>
      </w:pPr>
      <w:r w:rsidRPr="0062582F">
        <w:br/>
        <w:t>AASB 13.93(c)</w:t>
      </w:r>
    </w:p>
    <w:p w:rsidR="004843DB" w:rsidRPr="0062582F" w:rsidRDefault="004843DB" w:rsidP="004843DB">
      <w:pPr>
        <w:pStyle w:val="Reference"/>
        <w:spacing w:before="180"/>
      </w:pPr>
      <w:r w:rsidRPr="0062582F">
        <w:t>AASB 13.93(d)</w:t>
      </w:r>
    </w:p>
    <w:p w:rsidR="004843DB" w:rsidRPr="0062582F" w:rsidRDefault="004843DB" w:rsidP="004843DB">
      <w:pPr>
        <w:pStyle w:val="SmallLine"/>
      </w:pPr>
      <w:r w:rsidRPr="0062582F">
        <w:br w:type="column"/>
      </w:r>
    </w:p>
    <w:p w:rsidR="004843DB" w:rsidRPr="0062582F" w:rsidRDefault="004843DB" w:rsidP="004843DB">
      <w:pPr>
        <w:pStyle w:val="Notes"/>
      </w:pPr>
    </w:p>
    <w:p w:rsidR="004843DB" w:rsidRPr="0062582F" w:rsidRDefault="004843DB" w:rsidP="004843DB">
      <w:r w:rsidRPr="0062582F">
        <w:t>There have been no transfers between levels during the period.</w:t>
      </w:r>
    </w:p>
    <w:p w:rsidR="004843DB" w:rsidRPr="0062582F" w:rsidRDefault="004843DB" w:rsidP="004843DB">
      <w:r w:rsidRPr="0062582F">
        <w:t>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w:t>
      </w:r>
    </w:p>
    <w:p w:rsidR="004843DB" w:rsidRPr="0062582F" w:rsidRDefault="004843DB" w:rsidP="004843DB">
      <w:pPr>
        <w:pStyle w:val="Heading4"/>
        <w:rPr>
          <w:b/>
          <w:bCs/>
        </w:rPr>
      </w:pPr>
      <w:r w:rsidRPr="0062582F">
        <w:t>Listed securities</w:t>
      </w:r>
    </w:p>
    <w:p w:rsidR="004843DB" w:rsidRPr="0062582F" w:rsidRDefault="004843DB" w:rsidP="004843DB">
      <w:r w:rsidRPr="0062582F">
        <w:t>The listed share assets are valued at fair value with reference to a quoted (unadjusted) market price from an active market. The Department categorises these instruments as Level 1.</w:t>
      </w:r>
    </w:p>
    <w:p w:rsidR="004843DB" w:rsidRPr="0062582F" w:rsidRDefault="004843DB" w:rsidP="004843DB">
      <w:pPr>
        <w:pStyle w:val="Heading4"/>
      </w:pPr>
      <w:r w:rsidRPr="0062582F">
        <w:t xml:space="preserve">Debt securities </w:t>
      </w:r>
    </w:p>
    <w:p w:rsidR="004843DB" w:rsidRPr="0062582F" w:rsidRDefault="004843DB" w:rsidP="004843DB">
      <w:r w:rsidRPr="0062582F">
        <w:t>In the absence of an active market, the fair value of the Department</w:t>
      </w:r>
      <w:r w:rsidR="005A4BB0">
        <w:t>’</w:t>
      </w:r>
      <w:r w:rsidRPr="0062582F">
        <w:t>s debt securities and government bonds are valued using observable inputs such as recently executed transaction prices in securities of the issuer or comparable issuers and yield curves. Adjustments are made to the valuations when necessary to recognise differences in the instrument</w:t>
      </w:r>
      <w:r w:rsidR="005A4BB0">
        <w:t>’</w:t>
      </w:r>
      <w:r w:rsidRPr="0062582F">
        <w:t>s terms. To the extent that the significant inputs are observable, the Department categorises these investments as Level 2.</w:t>
      </w:r>
    </w:p>
    <w:p w:rsidR="004843DB" w:rsidRPr="0062582F" w:rsidRDefault="004843DB" w:rsidP="004843DB">
      <w:pPr>
        <w:pStyle w:val="ReferenceRed"/>
        <w:spacing w:before="360"/>
      </w:pPr>
      <w:r w:rsidRPr="0062582F">
        <w:br w:type="column"/>
      </w:r>
    </w:p>
    <w:p w:rsidR="004843DB" w:rsidRPr="0062582F" w:rsidRDefault="004843DB" w:rsidP="004843DB">
      <w:pPr>
        <w:pStyle w:val="NoteHeadingcontinued"/>
      </w:pPr>
      <w:r w:rsidRPr="0062582F">
        <w:br w:type="column"/>
        <w:t>Note 33.</w:t>
      </w:r>
      <w:r w:rsidRPr="0062582F">
        <w:tab/>
        <w:t xml:space="preserve">Financial instruments </w:t>
      </w:r>
      <w:r w:rsidRPr="0062582F">
        <w:rPr>
          <w:i/>
        </w:rPr>
        <w:t>(continued)</w:t>
      </w:r>
    </w:p>
    <w:p w:rsidR="004843DB" w:rsidRPr="0062582F" w:rsidRDefault="004843DB" w:rsidP="004843DB">
      <w:pPr>
        <w:pStyle w:val="Heading4"/>
      </w:pPr>
      <w:r w:rsidRPr="0062582F">
        <w:t>Unlisted securities</w:t>
      </w:r>
    </w:p>
    <w:p w:rsidR="004843DB" w:rsidRPr="0062582F" w:rsidRDefault="004843DB" w:rsidP="004843DB">
      <w:r w:rsidRPr="0062582F">
        <w:t>The fair value of unlisted securities is based on the discounted cash flow method. Significant inputs in applying this technique include growth rates applied for future cash flows and discount rates utilised. To the extent that the significant inputs are unobservable, the Department categorises these investments as level 3.</w:t>
      </w:r>
    </w:p>
    <w:p w:rsidR="004843DB" w:rsidRPr="0062582F" w:rsidRDefault="004843DB" w:rsidP="004843DB">
      <w:pPr>
        <w:pStyle w:val="Heading4"/>
      </w:pPr>
      <w:r w:rsidRPr="0062582F">
        <w:t>Managed investment schemes</w:t>
      </w:r>
    </w:p>
    <w:p w:rsidR="004843DB" w:rsidRPr="0062582F" w:rsidRDefault="004843DB" w:rsidP="004843DB">
      <w:r w:rsidRPr="0062582F">
        <w:t>The Department invests in managed funds which are not quoted in an active market and which may be subject to restrictions on redemptions such as lock</w:t>
      </w:r>
      <w:r w:rsidR="005A4BB0">
        <w:noBreakHyphen/>
      </w:r>
      <w:r w:rsidRPr="0062582F">
        <w:t>up periods, redemption gates and side pockets. The Department considers the valuation techniques and inputs used in valuing these funds as part of its due diligence prior to investment, to ensure they are reasonable and appropriate and therefore the net asset value (NAV) of these funds may be used as an input into measuring their fair value. In measuring this fair value, the NAV of the funds is adjusted, as necessary, to reflect restrictions and redemptions, future commitments and other specific factors of the fund. In measuring fair value, consideration is also paid to any transactions in the shares of the fund. Depending on the nature and level of adjustments needed to the NAV and the level of trading of the Department, the Department classifies these funds as either level 2 or level 3.</w:t>
      </w:r>
    </w:p>
    <w:p w:rsidR="004843DB" w:rsidRPr="0062582F" w:rsidRDefault="004843DB" w:rsidP="004843DB">
      <w:pPr>
        <w:pStyle w:val="Notes"/>
      </w:pPr>
    </w:p>
    <w:p w:rsidR="004843DB" w:rsidRPr="0062582F" w:rsidRDefault="004843DB" w:rsidP="00E348C3">
      <w:pPr>
        <w:pStyle w:val="Tableheading"/>
      </w:pPr>
      <w:r w:rsidRPr="0062582F">
        <w:t>Table 33.10:</w:t>
      </w:r>
      <w:r w:rsidRPr="0062582F">
        <w:tab/>
        <w:t>Reconciliation of level 3 fair value movements</w:t>
      </w:r>
      <w:r w:rsidRPr="0062582F">
        <w:rPr>
          <w:vertAlign w:val="superscript"/>
        </w:rPr>
        <w:t>(i)</w:t>
      </w:r>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SmallLine"/>
      </w:pPr>
      <w:r w:rsidRPr="0062582F">
        <w:br/>
      </w:r>
      <w:r w:rsidRPr="0062582F">
        <w:br/>
      </w:r>
    </w:p>
    <w:p w:rsidR="004843DB" w:rsidRPr="0062582F" w:rsidRDefault="004843DB" w:rsidP="004843DB">
      <w:pPr>
        <w:pStyle w:val="Reference"/>
        <w:spacing w:before="240"/>
      </w:pPr>
      <w:r w:rsidRPr="0062582F">
        <w:t>AASB 7.27B(c)</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480"/>
      </w:pPr>
      <w:r w:rsidRPr="0062582F">
        <w:t>AASB 7.27B(d)</w:t>
      </w:r>
    </w:p>
    <w:p w:rsidR="004843DB" w:rsidRPr="0062582F" w:rsidRDefault="004843DB" w:rsidP="004843DB">
      <w:pPr>
        <w:pStyle w:val="million"/>
        <w:rPr>
          <w:rFonts w:ascii="Tahoma" w:hAnsi="Tahoma" w:cs="Tahoma"/>
          <w:sz w:val="20"/>
          <w:szCs w:val="20"/>
        </w:rPr>
      </w:pPr>
      <w:r w:rsidRPr="0062582F">
        <w:br w:type="column"/>
        <w:t>($ thousand)</w:t>
      </w:r>
    </w:p>
    <w:tbl>
      <w:tblPr>
        <w:tblW w:w="8078" w:type="dxa"/>
        <w:tblLayout w:type="fixed"/>
        <w:tblCellMar>
          <w:left w:w="43" w:type="dxa"/>
          <w:right w:w="43" w:type="dxa"/>
        </w:tblCellMar>
        <w:tblLook w:val="04A0" w:firstRow="1" w:lastRow="0" w:firstColumn="1" w:lastColumn="0" w:noHBand="0" w:noVBand="1"/>
      </w:tblPr>
      <w:tblGrid>
        <w:gridCol w:w="3823"/>
        <w:gridCol w:w="1071"/>
        <w:gridCol w:w="1071"/>
        <w:gridCol w:w="1056"/>
        <w:gridCol w:w="1057"/>
      </w:tblGrid>
      <w:tr w:rsidR="004843DB" w:rsidRPr="0062582F" w:rsidTr="004843DB">
        <w:trPr>
          <w:cantSplit/>
        </w:trPr>
        <w:tc>
          <w:tcPr>
            <w:tcW w:w="3823" w:type="dxa"/>
            <w:tcBorders>
              <w:top w:val="single" w:sz="6" w:space="0" w:color="auto"/>
              <w:bottom w:val="single" w:sz="6" w:space="0" w:color="auto"/>
            </w:tcBorders>
            <w:shd w:val="clear" w:color="auto" w:fill="auto"/>
            <w:hideMark/>
          </w:tcPr>
          <w:p w:rsidR="004843DB" w:rsidRPr="0062582F" w:rsidRDefault="004843DB" w:rsidP="004843DB">
            <w:pPr>
              <w:pStyle w:val="TabletextheadingLeft"/>
            </w:pPr>
          </w:p>
        </w:tc>
        <w:tc>
          <w:tcPr>
            <w:tcW w:w="2142" w:type="dxa"/>
            <w:gridSpan w:val="2"/>
            <w:tcBorders>
              <w:top w:val="single" w:sz="6" w:space="0" w:color="auto"/>
              <w:bottom w:val="single" w:sz="6" w:space="0" w:color="auto"/>
            </w:tcBorders>
            <w:shd w:val="clear" w:color="auto" w:fill="auto"/>
            <w:noWrap/>
            <w:hideMark/>
          </w:tcPr>
          <w:p w:rsidR="004843DB" w:rsidRPr="0062582F" w:rsidRDefault="004843DB" w:rsidP="004843DB">
            <w:pPr>
              <w:pStyle w:val="TabletextheadingCentred"/>
            </w:pPr>
            <w:r w:rsidRPr="0062582F">
              <w:t>Available</w:t>
            </w:r>
            <w:r w:rsidR="005A4BB0">
              <w:noBreakHyphen/>
            </w:r>
            <w:r w:rsidRPr="0062582F">
              <w:t>for</w:t>
            </w:r>
            <w:r w:rsidR="005A4BB0">
              <w:noBreakHyphen/>
            </w:r>
            <w:r w:rsidRPr="0062582F">
              <w:t xml:space="preserve">sale </w:t>
            </w:r>
            <w:r w:rsidRPr="0062582F">
              <w:br/>
              <w:t>financial assets</w:t>
            </w:r>
          </w:p>
        </w:tc>
        <w:tc>
          <w:tcPr>
            <w:tcW w:w="2113" w:type="dxa"/>
            <w:gridSpan w:val="2"/>
            <w:tcBorders>
              <w:top w:val="single" w:sz="6" w:space="0" w:color="auto"/>
              <w:bottom w:val="single" w:sz="6" w:space="0" w:color="auto"/>
            </w:tcBorders>
            <w:shd w:val="clear" w:color="auto" w:fill="auto"/>
            <w:noWrap/>
            <w:hideMark/>
          </w:tcPr>
          <w:p w:rsidR="004843DB" w:rsidRPr="0062582F" w:rsidRDefault="004843DB" w:rsidP="004843DB">
            <w:pPr>
              <w:pStyle w:val="TabletextheadingCentred"/>
            </w:pPr>
            <w:r w:rsidRPr="0062582F">
              <w:br/>
              <w:t>Total</w:t>
            </w:r>
          </w:p>
        </w:tc>
      </w:tr>
      <w:tr w:rsidR="004843DB" w:rsidRPr="0062582F" w:rsidTr="004843DB">
        <w:trPr>
          <w:cantSplit/>
        </w:trPr>
        <w:tc>
          <w:tcPr>
            <w:tcW w:w="3823"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Left"/>
            </w:pPr>
            <w:r w:rsidRPr="0062582F">
              <w:t xml:space="preserve"> </w:t>
            </w:r>
          </w:p>
        </w:tc>
        <w:tc>
          <w:tcPr>
            <w:tcW w:w="2142" w:type="dxa"/>
            <w:gridSpan w:val="2"/>
            <w:tcBorders>
              <w:top w:val="single" w:sz="6" w:space="0" w:color="auto"/>
              <w:left w:val="nil"/>
              <w:bottom w:val="single" w:sz="6" w:space="0" w:color="auto"/>
              <w:right w:val="nil"/>
            </w:tcBorders>
            <w:shd w:val="clear" w:color="auto" w:fill="auto"/>
            <w:noWrap/>
            <w:vAlign w:val="bottom"/>
            <w:hideMark/>
          </w:tcPr>
          <w:p w:rsidR="004843DB" w:rsidRPr="0062582F" w:rsidRDefault="004843DB" w:rsidP="004843DB">
            <w:pPr>
              <w:pStyle w:val="TabletextheadingCentred"/>
            </w:pPr>
            <w:r w:rsidRPr="0062582F">
              <w:t>Unlisted securities</w:t>
            </w:r>
          </w:p>
        </w:tc>
        <w:tc>
          <w:tcPr>
            <w:tcW w:w="1056" w:type="dxa"/>
            <w:tcBorders>
              <w:top w:val="single" w:sz="6" w:space="0" w:color="auto"/>
              <w:left w:val="nil"/>
              <w:bottom w:val="single" w:sz="6" w:space="0" w:color="auto"/>
              <w:right w:val="nil"/>
            </w:tcBorders>
            <w:shd w:val="clear" w:color="auto" w:fill="auto"/>
            <w:noWrap/>
            <w:vAlign w:val="bottom"/>
            <w:hideMark/>
          </w:tcPr>
          <w:p w:rsidR="004843DB" w:rsidRPr="0062582F" w:rsidRDefault="004843DB" w:rsidP="004843DB">
            <w:pPr>
              <w:pStyle w:val="TabletextheadingCentred"/>
              <w:rPr>
                <w:rFonts w:ascii="Arial" w:hAnsi="Arial"/>
                <w:sz w:val="20"/>
              </w:rPr>
            </w:pPr>
            <w:r w:rsidRPr="0062582F">
              <w:rPr>
                <w:rFonts w:ascii="Arial" w:hAnsi="Arial"/>
                <w:sz w:val="20"/>
              </w:rPr>
              <w:t xml:space="preserve"> </w:t>
            </w:r>
          </w:p>
        </w:tc>
        <w:tc>
          <w:tcPr>
            <w:tcW w:w="1057" w:type="dxa"/>
            <w:tcBorders>
              <w:top w:val="single" w:sz="6" w:space="0" w:color="auto"/>
              <w:left w:val="nil"/>
              <w:bottom w:val="single" w:sz="6" w:space="0" w:color="auto"/>
              <w:right w:val="nil"/>
            </w:tcBorders>
            <w:shd w:val="clear" w:color="auto" w:fill="auto"/>
            <w:noWrap/>
            <w:vAlign w:val="bottom"/>
            <w:hideMark/>
          </w:tcPr>
          <w:p w:rsidR="004843DB" w:rsidRPr="0062582F" w:rsidRDefault="004843DB" w:rsidP="004843DB">
            <w:pPr>
              <w:pStyle w:val="TabletextheadingCentred"/>
              <w:rPr>
                <w:rFonts w:ascii="Arial" w:hAnsi="Arial"/>
                <w:szCs w:val="18"/>
              </w:rPr>
            </w:pPr>
            <w:r w:rsidRPr="0062582F">
              <w:rPr>
                <w:rFonts w:ascii="Arial" w:hAnsi="Arial"/>
                <w:szCs w:val="18"/>
              </w:rPr>
              <w:t xml:space="preserve"> </w:t>
            </w:r>
          </w:p>
        </w:tc>
      </w:tr>
      <w:tr w:rsidR="004843DB" w:rsidRPr="0062582F" w:rsidTr="004843DB">
        <w:trPr>
          <w:cantSplit/>
        </w:trPr>
        <w:tc>
          <w:tcPr>
            <w:tcW w:w="3823" w:type="dxa"/>
            <w:tcBorders>
              <w:top w:val="single" w:sz="6" w:space="0" w:color="auto"/>
              <w:left w:val="nil"/>
              <w:bottom w:val="single" w:sz="4" w:space="0" w:color="auto"/>
              <w:right w:val="nil"/>
            </w:tcBorders>
            <w:shd w:val="clear" w:color="auto" w:fill="auto"/>
            <w:hideMark/>
          </w:tcPr>
          <w:p w:rsidR="004843DB" w:rsidRPr="0062582F" w:rsidRDefault="004843DB" w:rsidP="004843DB">
            <w:pPr>
              <w:pStyle w:val="TabletextheadingLeft"/>
            </w:pPr>
            <w:r w:rsidRPr="0062582F">
              <w:t xml:space="preserve"> </w:t>
            </w:r>
          </w:p>
        </w:tc>
        <w:tc>
          <w:tcPr>
            <w:tcW w:w="1071" w:type="dxa"/>
            <w:tcBorders>
              <w:top w:val="single" w:sz="6" w:space="0" w:color="auto"/>
              <w:left w:val="nil"/>
              <w:bottom w:val="single" w:sz="4" w:space="0" w:color="auto"/>
              <w:right w:val="nil"/>
            </w:tcBorders>
            <w:shd w:val="clear" w:color="000000" w:fill="CCCCCC"/>
            <w:noWrap/>
            <w:hideMark/>
          </w:tcPr>
          <w:p w:rsidR="004843DB" w:rsidRPr="0062582F" w:rsidRDefault="004843DB" w:rsidP="004843DB">
            <w:pPr>
              <w:pStyle w:val="Tabletextheading"/>
            </w:pPr>
            <w:r w:rsidRPr="0062582F">
              <w:t>2016</w:t>
            </w:r>
          </w:p>
        </w:tc>
        <w:tc>
          <w:tcPr>
            <w:tcW w:w="1071" w:type="dxa"/>
            <w:tcBorders>
              <w:top w:val="single" w:sz="6"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c>
          <w:tcPr>
            <w:tcW w:w="1056" w:type="dxa"/>
            <w:tcBorders>
              <w:top w:val="single" w:sz="6" w:space="0" w:color="auto"/>
              <w:left w:val="nil"/>
              <w:bottom w:val="single" w:sz="4" w:space="0" w:color="auto"/>
              <w:right w:val="nil"/>
            </w:tcBorders>
            <w:shd w:val="clear" w:color="000000" w:fill="CCCCCC"/>
            <w:noWrap/>
            <w:hideMark/>
          </w:tcPr>
          <w:p w:rsidR="004843DB" w:rsidRPr="0062582F" w:rsidRDefault="004843DB" w:rsidP="004843DB">
            <w:pPr>
              <w:pStyle w:val="Tabletextheading"/>
            </w:pPr>
            <w:r w:rsidRPr="0062582F">
              <w:t>2016</w:t>
            </w:r>
          </w:p>
        </w:tc>
        <w:tc>
          <w:tcPr>
            <w:tcW w:w="1057" w:type="dxa"/>
            <w:tcBorders>
              <w:top w:val="single" w:sz="6"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382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Opening balance</w:t>
            </w:r>
          </w:p>
        </w:tc>
        <w:tc>
          <w:tcPr>
            <w:tcW w:w="1071"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538</w:t>
            </w:r>
          </w:p>
        </w:tc>
        <w:tc>
          <w:tcPr>
            <w:tcW w:w="1071"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509</w:t>
            </w:r>
          </w:p>
        </w:tc>
        <w:tc>
          <w:tcPr>
            <w:tcW w:w="1056" w:type="dxa"/>
            <w:tcBorders>
              <w:top w:val="nil"/>
              <w:left w:val="nil"/>
              <w:bottom w:val="nil"/>
              <w:right w:val="nil"/>
            </w:tcBorders>
            <w:shd w:val="clear" w:color="000000" w:fill="CCCCCC"/>
            <w:noWrap/>
            <w:hideMark/>
          </w:tcPr>
          <w:p w:rsidR="004843DB" w:rsidRPr="0062582F" w:rsidRDefault="004843DB" w:rsidP="004843DB">
            <w:pPr>
              <w:pStyle w:val="TableofFigures"/>
              <w:rPr>
                <w:b/>
              </w:rPr>
            </w:pPr>
            <w:r w:rsidRPr="0062582F">
              <w:rPr>
                <w:b/>
              </w:rPr>
              <w:t xml:space="preserve"> 538</w:t>
            </w:r>
          </w:p>
        </w:tc>
        <w:tc>
          <w:tcPr>
            <w:tcW w:w="1057"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509</w:t>
            </w:r>
          </w:p>
        </w:tc>
      </w:tr>
      <w:tr w:rsidR="004843DB" w:rsidRPr="0062582F" w:rsidTr="004843DB">
        <w:trPr>
          <w:cantSplit/>
        </w:trPr>
        <w:tc>
          <w:tcPr>
            <w:tcW w:w="3823" w:type="dxa"/>
            <w:tcBorders>
              <w:top w:val="nil"/>
              <w:left w:val="nil"/>
              <w:bottom w:val="nil"/>
              <w:right w:val="nil"/>
            </w:tcBorders>
            <w:shd w:val="clear" w:color="auto" w:fill="auto"/>
            <w:hideMark/>
          </w:tcPr>
          <w:p w:rsidR="004843DB" w:rsidRPr="0062582F" w:rsidRDefault="004843DB" w:rsidP="004843DB">
            <w:pPr>
              <w:pStyle w:val="Tabletext"/>
            </w:pPr>
            <w:r w:rsidRPr="0062582F">
              <w:t>Total gains or losses recognised in:</w:t>
            </w:r>
          </w:p>
        </w:tc>
        <w:tc>
          <w:tcPr>
            <w:tcW w:w="1071"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w:t>
            </w:r>
          </w:p>
        </w:tc>
        <w:tc>
          <w:tcPr>
            <w:tcW w:w="1071" w:type="dxa"/>
            <w:tcBorders>
              <w:top w:val="nil"/>
              <w:left w:val="nil"/>
              <w:bottom w:val="nil"/>
              <w:right w:val="nil"/>
            </w:tcBorders>
            <w:shd w:val="clear" w:color="auto" w:fill="auto"/>
            <w:noWrap/>
            <w:hideMark/>
          </w:tcPr>
          <w:p w:rsidR="004843DB" w:rsidRPr="0062582F" w:rsidRDefault="004843DB" w:rsidP="004843DB">
            <w:pPr>
              <w:pStyle w:val="TableofFigures"/>
            </w:pPr>
          </w:p>
        </w:tc>
        <w:tc>
          <w:tcPr>
            <w:tcW w:w="1056"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w:t>
            </w:r>
          </w:p>
        </w:tc>
        <w:tc>
          <w:tcPr>
            <w:tcW w:w="1057"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cantSplit/>
        </w:trPr>
        <w:tc>
          <w:tcPr>
            <w:tcW w:w="3823" w:type="dxa"/>
            <w:tcBorders>
              <w:top w:val="nil"/>
              <w:left w:val="nil"/>
              <w:bottom w:val="nil"/>
              <w:right w:val="nil"/>
            </w:tcBorders>
            <w:shd w:val="clear" w:color="auto" w:fill="auto"/>
            <w:hideMark/>
          </w:tcPr>
          <w:p w:rsidR="004843DB" w:rsidRPr="0062582F" w:rsidRDefault="004843DB" w:rsidP="004843DB">
            <w:pPr>
              <w:pStyle w:val="TableBullet"/>
              <w:ind w:left="266" w:hanging="266"/>
            </w:pPr>
            <w:r w:rsidRPr="0062582F">
              <w:t>net result</w:t>
            </w:r>
          </w:p>
        </w:tc>
        <w:tc>
          <w:tcPr>
            <w:tcW w:w="1071"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7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56"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5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23" w:type="dxa"/>
            <w:tcBorders>
              <w:top w:val="nil"/>
              <w:left w:val="nil"/>
              <w:bottom w:val="nil"/>
              <w:right w:val="nil"/>
            </w:tcBorders>
            <w:shd w:val="clear" w:color="auto" w:fill="auto"/>
            <w:hideMark/>
          </w:tcPr>
          <w:p w:rsidR="004843DB" w:rsidRPr="0062582F" w:rsidRDefault="004843DB" w:rsidP="004843DB">
            <w:pPr>
              <w:pStyle w:val="TableBullet"/>
              <w:ind w:left="266" w:hanging="266"/>
            </w:pPr>
            <w:r w:rsidRPr="0062582F">
              <w:t>other comprehensive income</w:t>
            </w:r>
          </w:p>
        </w:tc>
        <w:tc>
          <w:tcPr>
            <w:tcW w:w="1071"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7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56"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5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23" w:type="dxa"/>
            <w:tcBorders>
              <w:top w:val="nil"/>
              <w:left w:val="nil"/>
              <w:bottom w:val="nil"/>
              <w:right w:val="nil"/>
            </w:tcBorders>
            <w:shd w:val="clear" w:color="auto" w:fill="auto"/>
            <w:hideMark/>
          </w:tcPr>
          <w:p w:rsidR="004843DB" w:rsidRPr="0062582F" w:rsidRDefault="004843DB" w:rsidP="004843DB">
            <w:pPr>
              <w:pStyle w:val="Tabletext"/>
            </w:pPr>
            <w:r w:rsidRPr="0062582F">
              <w:t>Purchases</w:t>
            </w:r>
          </w:p>
        </w:tc>
        <w:tc>
          <w:tcPr>
            <w:tcW w:w="1071"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349</w:t>
            </w:r>
          </w:p>
        </w:tc>
        <w:tc>
          <w:tcPr>
            <w:tcW w:w="107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202</w:t>
            </w:r>
          </w:p>
        </w:tc>
        <w:tc>
          <w:tcPr>
            <w:tcW w:w="1056"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349</w:t>
            </w:r>
          </w:p>
        </w:tc>
        <w:tc>
          <w:tcPr>
            <w:tcW w:w="105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202</w:t>
            </w:r>
          </w:p>
        </w:tc>
      </w:tr>
      <w:tr w:rsidR="004843DB" w:rsidRPr="0062582F" w:rsidTr="004843DB">
        <w:trPr>
          <w:cantSplit/>
        </w:trPr>
        <w:tc>
          <w:tcPr>
            <w:tcW w:w="3823" w:type="dxa"/>
            <w:tcBorders>
              <w:top w:val="nil"/>
              <w:left w:val="nil"/>
              <w:bottom w:val="nil"/>
              <w:right w:val="nil"/>
            </w:tcBorders>
            <w:shd w:val="clear" w:color="auto" w:fill="auto"/>
            <w:hideMark/>
          </w:tcPr>
          <w:p w:rsidR="004843DB" w:rsidRPr="0062582F" w:rsidRDefault="004843DB" w:rsidP="004843DB">
            <w:pPr>
              <w:pStyle w:val="Tabletext"/>
            </w:pPr>
            <w:r w:rsidRPr="0062582F">
              <w:t>Machinery of government transfer in</w:t>
            </w:r>
          </w:p>
        </w:tc>
        <w:tc>
          <w:tcPr>
            <w:tcW w:w="1071"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108</w:t>
            </w:r>
          </w:p>
        </w:tc>
        <w:tc>
          <w:tcPr>
            <w:tcW w:w="107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56"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xml:space="preserve"> 108</w:t>
            </w:r>
          </w:p>
        </w:tc>
        <w:tc>
          <w:tcPr>
            <w:tcW w:w="105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23" w:type="dxa"/>
            <w:tcBorders>
              <w:top w:val="nil"/>
              <w:left w:val="nil"/>
              <w:bottom w:val="nil"/>
              <w:right w:val="nil"/>
            </w:tcBorders>
            <w:shd w:val="clear" w:color="auto" w:fill="auto"/>
            <w:hideMark/>
          </w:tcPr>
          <w:p w:rsidR="004843DB" w:rsidRPr="0062582F" w:rsidRDefault="004843DB" w:rsidP="004843DB">
            <w:pPr>
              <w:pStyle w:val="Tabletext"/>
            </w:pPr>
            <w:r w:rsidRPr="0062582F">
              <w:t>Machinery of government transfer out</w:t>
            </w:r>
          </w:p>
        </w:tc>
        <w:tc>
          <w:tcPr>
            <w:tcW w:w="1071"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( 406)</w:t>
            </w:r>
          </w:p>
        </w:tc>
        <w:tc>
          <w:tcPr>
            <w:tcW w:w="107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56"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( 406)</w:t>
            </w:r>
          </w:p>
        </w:tc>
        <w:tc>
          <w:tcPr>
            <w:tcW w:w="105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23" w:type="dxa"/>
            <w:tcBorders>
              <w:top w:val="nil"/>
              <w:left w:val="nil"/>
              <w:bottom w:val="nil"/>
              <w:right w:val="nil"/>
            </w:tcBorders>
            <w:shd w:val="clear" w:color="auto" w:fill="auto"/>
            <w:hideMark/>
          </w:tcPr>
          <w:p w:rsidR="004843DB" w:rsidRPr="0062582F" w:rsidRDefault="004843DB" w:rsidP="004843DB">
            <w:pPr>
              <w:pStyle w:val="Tabletext"/>
            </w:pPr>
            <w:r w:rsidRPr="0062582F">
              <w:t>Settlements</w:t>
            </w:r>
          </w:p>
        </w:tc>
        <w:tc>
          <w:tcPr>
            <w:tcW w:w="1071"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( 330)</w:t>
            </w:r>
          </w:p>
        </w:tc>
        <w:tc>
          <w:tcPr>
            <w:tcW w:w="107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( 173)</w:t>
            </w:r>
          </w:p>
        </w:tc>
        <w:tc>
          <w:tcPr>
            <w:tcW w:w="1056"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( 330)</w:t>
            </w:r>
          </w:p>
        </w:tc>
        <w:tc>
          <w:tcPr>
            <w:tcW w:w="105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( 173)</w:t>
            </w:r>
          </w:p>
        </w:tc>
      </w:tr>
      <w:tr w:rsidR="004843DB" w:rsidRPr="0062582F" w:rsidTr="004843DB">
        <w:trPr>
          <w:cantSplit/>
        </w:trPr>
        <w:tc>
          <w:tcPr>
            <w:tcW w:w="3823" w:type="dxa"/>
            <w:tcBorders>
              <w:top w:val="nil"/>
              <w:left w:val="nil"/>
              <w:bottom w:val="nil"/>
              <w:right w:val="nil"/>
            </w:tcBorders>
            <w:shd w:val="clear" w:color="auto" w:fill="auto"/>
            <w:hideMark/>
          </w:tcPr>
          <w:p w:rsidR="004843DB" w:rsidRPr="0062582F" w:rsidRDefault="004843DB" w:rsidP="004843DB">
            <w:pPr>
              <w:pStyle w:val="Tabletext"/>
            </w:pPr>
            <w:r w:rsidRPr="0062582F">
              <w:t>Transfers from other categories</w:t>
            </w:r>
          </w:p>
        </w:tc>
        <w:tc>
          <w:tcPr>
            <w:tcW w:w="1071"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7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1056"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w:t>
            </w:r>
          </w:p>
        </w:tc>
        <w:tc>
          <w:tcPr>
            <w:tcW w:w="1057"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2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 xml:space="preserve">Transfers out of level 3 </w:t>
            </w:r>
            <w:r w:rsidRPr="0062582F">
              <w:rPr>
                <w:vertAlign w:val="superscript"/>
              </w:rPr>
              <w:t>(ii)</w:t>
            </w:r>
          </w:p>
        </w:tc>
        <w:tc>
          <w:tcPr>
            <w:tcW w:w="1071"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( 37)</w:t>
            </w:r>
          </w:p>
        </w:tc>
        <w:tc>
          <w:tcPr>
            <w:tcW w:w="107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c>
          <w:tcPr>
            <w:tcW w:w="1056"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( 37)</w:t>
            </w:r>
          </w:p>
        </w:tc>
        <w:tc>
          <w:tcPr>
            <w:tcW w:w="1057"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3823" w:type="dxa"/>
            <w:tcBorders>
              <w:top w:val="nil"/>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Closing balance</w:t>
            </w:r>
          </w:p>
        </w:tc>
        <w:tc>
          <w:tcPr>
            <w:tcW w:w="1071"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 xml:space="preserve"> 222</w:t>
            </w:r>
          </w:p>
        </w:tc>
        <w:tc>
          <w:tcPr>
            <w:tcW w:w="107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538</w:t>
            </w:r>
          </w:p>
        </w:tc>
        <w:tc>
          <w:tcPr>
            <w:tcW w:w="1056"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rPr>
                <w:b/>
              </w:rPr>
            </w:pPr>
            <w:r w:rsidRPr="0062582F">
              <w:rPr>
                <w:b/>
              </w:rPr>
              <w:t xml:space="preserve"> 222</w:t>
            </w:r>
          </w:p>
        </w:tc>
        <w:tc>
          <w:tcPr>
            <w:tcW w:w="1057"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538</w:t>
            </w:r>
          </w:p>
        </w:tc>
      </w:tr>
      <w:tr w:rsidR="004843DB" w:rsidRPr="0062582F" w:rsidTr="004843DB">
        <w:trPr>
          <w:cantSplit/>
        </w:trPr>
        <w:tc>
          <w:tcPr>
            <w:tcW w:w="382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pPr>
            <w:r w:rsidRPr="0062582F">
              <w:t>Total gains or losses for the period included in profit or loss for assets held at the end of the period</w:t>
            </w:r>
          </w:p>
        </w:tc>
        <w:tc>
          <w:tcPr>
            <w:tcW w:w="1071"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rPr>
                <w:rFonts w:ascii="Arial" w:hAnsi="Arial"/>
              </w:rPr>
            </w:pPr>
            <w:r w:rsidRPr="0062582F">
              <w:rPr>
                <w:rFonts w:ascii="Arial" w:hAnsi="Arial"/>
              </w:rPr>
              <w:t>..</w:t>
            </w:r>
          </w:p>
        </w:tc>
        <w:tc>
          <w:tcPr>
            <w:tcW w:w="1071"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rFonts w:ascii="Arial" w:hAnsi="Arial"/>
              </w:rPr>
            </w:pPr>
            <w:r w:rsidRPr="0062582F">
              <w:rPr>
                <w:rFonts w:ascii="Arial" w:hAnsi="Arial"/>
              </w:rPr>
              <w:t>..</w:t>
            </w:r>
          </w:p>
        </w:tc>
        <w:tc>
          <w:tcPr>
            <w:tcW w:w="1056" w:type="dxa"/>
            <w:tcBorders>
              <w:top w:val="single" w:sz="4" w:space="0" w:color="auto"/>
              <w:left w:val="nil"/>
              <w:bottom w:val="single" w:sz="12" w:space="0" w:color="auto"/>
              <w:right w:val="nil"/>
            </w:tcBorders>
            <w:shd w:val="clear" w:color="000000" w:fill="CCCCCC"/>
            <w:noWrap/>
            <w:hideMark/>
          </w:tcPr>
          <w:p w:rsidR="004843DB" w:rsidRPr="0062582F" w:rsidRDefault="004843DB" w:rsidP="004843DB">
            <w:pPr>
              <w:pStyle w:val="TableofFigures"/>
              <w:rPr>
                <w:rFonts w:ascii="Arial" w:hAnsi="Arial"/>
              </w:rPr>
            </w:pPr>
            <w:r w:rsidRPr="0062582F">
              <w:rPr>
                <w:rFonts w:ascii="Arial" w:hAnsi="Arial"/>
              </w:rPr>
              <w:t>..</w:t>
            </w:r>
          </w:p>
        </w:tc>
        <w:tc>
          <w:tcPr>
            <w:tcW w:w="1057"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rFonts w:ascii="Arial" w:hAnsi="Arial"/>
              </w:rPr>
            </w:pPr>
            <w:r w:rsidRPr="0062582F">
              <w:rPr>
                <w:rFonts w:ascii="Arial" w:hAnsi="Arial"/>
              </w:rPr>
              <w:t>..</w:t>
            </w:r>
          </w:p>
        </w:tc>
      </w:tr>
    </w:tbl>
    <w:p w:rsidR="004843DB" w:rsidRPr="0062582F" w:rsidRDefault="004843DB" w:rsidP="004843DB">
      <w:pPr>
        <w:pStyle w:val="Notes"/>
        <w:rPr>
          <w:i w:val="0"/>
          <w:iCs w:val="0"/>
          <w:sz w:val="20"/>
          <w:szCs w:val="20"/>
        </w:rPr>
      </w:pPr>
      <w:r w:rsidRPr="0062582F">
        <w:t xml:space="preserve">Notes: </w:t>
      </w:r>
    </w:p>
    <w:p w:rsidR="004843DB" w:rsidRPr="0062582F" w:rsidRDefault="004843DB" w:rsidP="004843DB">
      <w:pPr>
        <w:pStyle w:val="Notes"/>
        <w:tabs>
          <w:tab w:val="clear" w:pos="454"/>
          <w:tab w:val="left" w:pos="720"/>
        </w:tabs>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0"/>
        <w:rPr>
          <w:lang w:val="en-AU"/>
        </w:rPr>
      </w:pPr>
      <w:r w:rsidRPr="0062582F">
        <w:rPr>
          <w:lang w:val="en-AU"/>
        </w:rPr>
        <w:t>AASB 7.27B</w:t>
      </w:r>
    </w:p>
    <w:p w:rsidR="004843DB" w:rsidRPr="0062582F" w:rsidRDefault="004843DB" w:rsidP="004843DB">
      <w:pPr>
        <w:pStyle w:val="Notes"/>
        <w:tabs>
          <w:tab w:val="clear" w:pos="454"/>
          <w:tab w:val="left" w:pos="720"/>
        </w:tabs>
      </w:pPr>
      <w:r w:rsidRPr="0062582F">
        <w:br w:type="column"/>
      </w:r>
      <w:r w:rsidRPr="009F7FEB">
        <w:rPr>
          <w:color w:val="0000FF"/>
        </w:rPr>
        <w:t>(i)</w:t>
      </w:r>
      <w:r w:rsidRPr="0062582F">
        <w:tab/>
      </w:r>
      <w:r w:rsidRPr="0062582F">
        <w:rPr>
          <w:color w:val="0000FF"/>
        </w:rPr>
        <w:t>[Where significant transfers have occurred during the period, provide disclosure of such transfers and the reasons thereof.]</w:t>
      </w:r>
    </w:p>
    <w:p w:rsidR="004843DB" w:rsidRPr="0062582F" w:rsidRDefault="004843DB" w:rsidP="004843DB">
      <w:pPr>
        <w:pStyle w:val="Notes"/>
      </w:pPr>
      <w:r w:rsidRPr="0062582F">
        <w:t>(ii)</w:t>
      </w:r>
      <w:r w:rsidRPr="0062582F">
        <w:tab/>
        <w:t>This transfer is due to transfer to assets held for sale category.</w:t>
      </w:r>
    </w:p>
    <w:p w:rsidR="004843DB" w:rsidRPr="0062582F" w:rsidRDefault="004843DB" w:rsidP="004843DB"/>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t>AASB 7.27B(e)</w:t>
      </w:r>
    </w:p>
    <w:p w:rsidR="004843DB" w:rsidRPr="0062582F" w:rsidRDefault="004843DB" w:rsidP="004843DB">
      <w:r w:rsidRPr="0062582F">
        <w:br w:type="column"/>
        <w:t>The fair value of unlisted investments is based on the discounted cash flow technique. Significant inputs in applying this technique include growth rates applied for cash flows and discount rates used. An increase in the growth rates applied to cash flows by 1 per cent would result in a change in the fair value of the unlisted investments by $50 000. An increase in the discount rates used of 50 basis points would result in a decrease in the fair value of the investments by $66 000.</w:t>
      </w:r>
    </w:p>
    <w:p w:rsidR="004843DB" w:rsidRPr="0062582F" w:rsidRDefault="004843DB" w:rsidP="004843DB">
      <w:pPr>
        <w:spacing w:before="0" w:line="240" w:lineRule="atLeast"/>
      </w:pPr>
      <w:r w:rsidRPr="0062582F">
        <w:br w:type="page"/>
      </w:r>
    </w:p>
    <w:p w:rsidR="004843DB" w:rsidRPr="0062582F" w:rsidRDefault="004843DB" w:rsidP="004843DB">
      <w:pPr>
        <w:pStyle w:val="Reference"/>
      </w:pPr>
    </w:p>
    <w:p w:rsidR="004843DB" w:rsidRPr="0062582F" w:rsidRDefault="004843DB" w:rsidP="004843DB">
      <w:pPr>
        <w:pStyle w:val="Reference"/>
        <w:spacing w:before="60"/>
      </w:pPr>
    </w:p>
    <w:p w:rsidR="004843DB" w:rsidRPr="0062582F" w:rsidRDefault="004843DB" w:rsidP="004843DB">
      <w:pPr>
        <w:pStyle w:val="Reference"/>
      </w:pPr>
      <w:r w:rsidRPr="0062582F">
        <w:t>AASB 13.93(d)</w:t>
      </w:r>
    </w:p>
    <w:p w:rsidR="004843DB" w:rsidRPr="0062582F" w:rsidRDefault="004843DB" w:rsidP="004843DB">
      <w:pPr>
        <w:pStyle w:val="Reference"/>
        <w:spacing w:before="0"/>
      </w:pPr>
      <w:r w:rsidRPr="0062582F">
        <w:t>AASB 13.93(h)(ii)</w:t>
      </w:r>
    </w:p>
    <w:p w:rsidR="004843DB" w:rsidRPr="0062582F" w:rsidRDefault="004843DB" w:rsidP="004843DB">
      <w:pPr>
        <w:pStyle w:val="NoteHeadingcontinued"/>
        <w:rPr>
          <w:i/>
        </w:rPr>
      </w:pPr>
      <w:r w:rsidRPr="0062582F">
        <w:br w:type="column"/>
        <w:t>Note 33.</w:t>
      </w:r>
      <w:r w:rsidRPr="0062582F">
        <w:tab/>
        <w:t xml:space="preserve">Financial instruments </w:t>
      </w:r>
      <w:r w:rsidRPr="0062582F">
        <w:rPr>
          <w:i/>
        </w:rPr>
        <w:t>(continued)</w:t>
      </w:r>
    </w:p>
    <w:p w:rsidR="004843DB" w:rsidRPr="0062582F" w:rsidRDefault="004843DB" w:rsidP="00E348C3">
      <w:pPr>
        <w:pStyle w:val="Tableheading"/>
        <w:rPr>
          <w:lang w:val="en-GB" w:eastAsia="en-US"/>
        </w:rPr>
      </w:pPr>
      <w:r w:rsidRPr="0062582F">
        <w:rPr>
          <w:lang w:val="en-GB" w:eastAsia="en-US"/>
        </w:rPr>
        <w:t>Table 33.11:</w:t>
      </w:r>
      <w:r w:rsidRPr="0062582F">
        <w:rPr>
          <w:lang w:val="en-GB" w:eastAsia="en-US"/>
        </w:rPr>
        <w:tab/>
      </w:r>
      <w:r w:rsidRPr="0062582F">
        <w:t>Description</w:t>
      </w:r>
      <w:r w:rsidRPr="0062582F">
        <w:rPr>
          <w:lang w:val="en-GB" w:eastAsia="en-US"/>
        </w:rPr>
        <w:t xml:space="preserve"> of Level 3 valuation techniques used and key inputs to valuation</w:t>
      </w:r>
    </w:p>
    <w:tbl>
      <w:tblPr>
        <w:tblW w:w="0" w:type="auto"/>
        <w:tblCellMar>
          <w:left w:w="43" w:type="dxa"/>
          <w:right w:w="43" w:type="dxa"/>
        </w:tblCellMar>
        <w:tblLook w:val="04A0" w:firstRow="1" w:lastRow="0" w:firstColumn="1" w:lastColumn="0" w:noHBand="0" w:noVBand="1"/>
      </w:tblPr>
      <w:tblGrid>
        <w:gridCol w:w="319"/>
        <w:gridCol w:w="287"/>
        <w:gridCol w:w="324"/>
        <w:gridCol w:w="264"/>
        <w:gridCol w:w="332"/>
      </w:tblGrid>
      <w:tr w:rsidR="004843DB" w:rsidRPr="0062582F" w:rsidTr="004843DB">
        <w:trPr>
          <w:trHeight w:val="547"/>
        </w:trPr>
        <w:tc>
          <w:tcPr>
            <w:tcW w:w="711" w:type="pct"/>
            <w:shd w:val="pct15" w:color="auto" w:fill="auto"/>
          </w:tcPr>
          <w:p w:rsidR="004843DB" w:rsidRPr="0062582F" w:rsidRDefault="004843DB" w:rsidP="004843DB">
            <w:pPr>
              <w:pStyle w:val="Tabletext"/>
            </w:pPr>
          </w:p>
        </w:tc>
        <w:tc>
          <w:tcPr>
            <w:tcW w:w="628" w:type="pct"/>
            <w:shd w:val="pct15" w:color="auto" w:fill="auto"/>
          </w:tcPr>
          <w:p w:rsidR="004843DB" w:rsidRPr="0062582F" w:rsidRDefault="004843DB" w:rsidP="004843DB">
            <w:pPr>
              <w:pStyle w:val="Tabletextheading"/>
              <w:jc w:val="left"/>
            </w:pPr>
            <w:r w:rsidRPr="0062582F">
              <w:br/>
              <w:t xml:space="preserve">Valuation technique </w:t>
            </w:r>
            <w:r w:rsidRPr="0062582F">
              <w:rPr>
                <w:vertAlign w:val="superscript"/>
              </w:rPr>
              <w:t>(i)</w:t>
            </w:r>
          </w:p>
        </w:tc>
        <w:tc>
          <w:tcPr>
            <w:tcW w:w="746" w:type="pct"/>
            <w:shd w:val="pct15" w:color="auto" w:fill="auto"/>
          </w:tcPr>
          <w:p w:rsidR="004843DB" w:rsidRPr="0062582F" w:rsidRDefault="004843DB" w:rsidP="004843DB">
            <w:pPr>
              <w:pStyle w:val="Tabletextheading"/>
              <w:jc w:val="left"/>
            </w:pPr>
            <w:r w:rsidRPr="0062582F">
              <w:t xml:space="preserve">Significant unobservable inputs </w:t>
            </w:r>
            <w:r w:rsidRPr="0062582F">
              <w:rPr>
                <w:vertAlign w:val="superscript"/>
              </w:rPr>
              <w:t>(i)</w:t>
            </w:r>
          </w:p>
        </w:tc>
        <w:tc>
          <w:tcPr>
            <w:tcW w:w="798" w:type="pct"/>
            <w:shd w:val="pct15" w:color="auto" w:fill="auto"/>
          </w:tcPr>
          <w:p w:rsidR="004843DB" w:rsidRPr="0062582F" w:rsidRDefault="004843DB" w:rsidP="004843DB">
            <w:pPr>
              <w:pStyle w:val="Tabletextheading"/>
              <w:jc w:val="left"/>
            </w:pPr>
            <w:r w:rsidRPr="0062582F">
              <w:t xml:space="preserve">Range (weighted average) </w:t>
            </w:r>
            <w:r w:rsidRPr="0062582F">
              <w:rPr>
                <w:vertAlign w:val="superscript"/>
              </w:rPr>
              <w:t>(i)</w:t>
            </w:r>
          </w:p>
        </w:tc>
        <w:tc>
          <w:tcPr>
            <w:tcW w:w="2117" w:type="pct"/>
            <w:shd w:val="pct15" w:color="auto" w:fill="auto"/>
          </w:tcPr>
          <w:p w:rsidR="004843DB" w:rsidRPr="0062582F" w:rsidRDefault="004843DB" w:rsidP="004843DB">
            <w:pPr>
              <w:pStyle w:val="Tabletextheading"/>
              <w:jc w:val="left"/>
            </w:pPr>
            <w:r w:rsidRPr="0062582F">
              <w:br/>
              <w:t xml:space="preserve">Sensitivity of fair value measurement to changes in significant unobservable inputs </w:t>
            </w:r>
            <w:r w:rsidRPr="0062582F">
              <w:rPr>
                <w:vertAlign w:val="superscript"/>
              </w:rPr>
              <w:t>(ii)</w:t>
            </w:r>
          </w:p>
        </w:tc>
      </w:tr>
      <w:tr w:rsidR="004843DB" w:rsidRPr="0062582F" w:rsidTr="004843DB">
        <w:trPr>
          <w:trHeight w:val="1087"/>
        </w:trPr>
        <w:tc>
          <w:tcPr>
            <w:tcW w:w="711" w:type="pct"/>
            <w:tcBorders>
              <w:bottom w:val="nil"/>
            </w:tcBorders>
          </w:tcPr>
          <w:p w:rsidR="004843DB" w:rsidRPr="0062582F" w:rsidRDefault="004843DB" w:rsidP="004843DB">
            <w:pPr>
              <w:pStyle w:val="Tabletext"/>
              <w:rPr>
                <w:rFonts w:ascii="Garamond" w:hAnsi="Garamond" w:cs="Tahoma"/>
                <w:lang w:val="en-GB" w:eastAsia="en-US"/>
              </w:rPr>
            </w:pPr>
            <w:r w:rsidRPr="0062582F">
              <w:rPr>
                <w:lang w:val="en-GB" w:eastAsia="en-US"/>
              </w:rPr>
              <w:t xml:space="preserve">Unlisted securities </w:t>
            </w:r>
          </w:p>
        </w:tc>
        <w:tc>
          <w:tcPr>
            <w:tcW w:w="628" w:type="pct"/>
            <w:tcBorders>
              <w:bottom w:val="nil"/>
            </w:tcBorders>
          </w:tcPr>
          <w:p w:rsidR="004843DB" w:rsidRPr="0062582F" w:rsidRDefault="004843DB" w:rsidP="004843DB">
            <w:pPr>
              <w:pStyle w:val="Tabletext"/>
              <w:rPr>
                <w:rFonts w:ascii="Garamond" w:hAnsi="Garamond" w:cs="Tahoma"/>
                <w:lang w:val="en-GB" w:eastAsia="en-US"/>
              </w:rPr>
            </w:pPr>
            <w:r w:rsidRPr="0062582F">
              <w:rPr>
                <w:lang w:val="en-GB" w:eastAsia="en-US"/>
              </w:rPr>
              <w:t>Discounted cash flow method</w:t>
            </w:r>
          </w:p>
        </w:tc>
        <w:tc>
          <w:tcPr>
            <w:tcW w:w="746" w:type="pct"/>
            <w:tcBorders>
              <w:bottom w:val="nil"/>
            </w:tcBorders>
          </w:tcPr>
          <w:p w:rsidR="004843DB" w:rsidRPr="0062582F" w:rsidRDefault="004843DB" w:rsidP="004843DB">
            <w:pPr>
              <w:pStyle w:val="Tabletext"/>
              <w:rPr>
                <w:rFonts w:ascii="Garamond" w:hAnsi="Garamond" w:cs="Tahoma"/>
                <w:lang w:val="en-GB" w:eastAsia="en-US"/>
              </w:rPr>
            </w:pPr>
            <w:r w:rsidRPr="0062582F">
              <w:rPr>
                <w:lang w:val="en-GB" w:eastAsia="en-US"/>
              </w:rPr>
              <w:t>Long</w:t>
            </w:r>
            <w:r w:rsidR="005A4BB0">
              <w:rPr>
                <w:lang w:val="en-GB" w:eastAsia="en-US"/>
              </w:rPr>
              <w:noBreakHyphen/>
            </w:r>
            <w:r w:rsidRPr="0062582F">
              <w:rPr>
                <w:lang w:val="en-GB" w:eastAsia="en-US"/>
              </w:rPr>
              <w:t>term growth rate for cash flows for subsequent years</w:t>
            </w:r>
          </w:p>
        </w:tc>
        <w:tc>
          <w:tcPr>
            <w:tcW w:w="798" w:type="pct"/>
            <w:tcBorders>
              <w:bottom w:val="nil"/>
            </w:tcBorders>
          </w:tcPr>
          <w:p w:rsidR="004843DB" w:rsidRPr="0062582F" w:rsidRDefault="004843DB" w:rsidP="004843DB">
            <w:pPr>
              <w:pStyle w:val="Tabletext"/>
              <w:rPr>
                <w:rFonts w:ascii="Garamond" w:hAnsi="Garamond" w:cs="Tahoma"/>
                <w:lang w:val="en-GB" w:eastAsia="en-US"/>
              </w:rPr>
            </w:pPr>
            <w:r w:rsidRPr="0062582F">
              <w:rPr>
                <w:lang w:val="en-GB" w:eastAsia="en-US"/>
              </w:rPr>
              <w:t>4.4%–6.1% (5.3%)</w:t>
            </w:r>
          </w:p>
        </w:tc>
        <w:tc>
          <w:tcPr>
            <w:tcW w:w="2117" w:type="pct"/>
            <w:tcBorders>
              <w:bottom w:val="nil"/>
            </w:tcBorders>
          </w:tcPr>
          <w:p w:rsidR="004843DB" w:rsidRPr="0062582F" w:rsidRDefault="004843DB" w:rsidP="004843DB">
            <w:pPr>
              <w:pStyle w:val="Tabletext"/>
              <w:rPr>
                <w:rFonts w:ascii="Garamond" w:hAnsi="Garamond" w:cs="Tahoma"/>
                <w:lang w:val="en-GB" w:eastAsia="en-US"/>
              </w:rPr>
            </w:pPr>
            <w:r w:rsidRPr="0062582F">
              <w:rPr>
                <w:lang w:val="en-GB" w:eastAsia="en-US"/>
              </w:rPr>
              <w:t>1 per cent increase or decrease in the growth rate would result in an increase or decrease in fair value by $23 000</w:t>
            </w:r>
          </w:p>
        </w:tc>
      </w:tr>
      <w:tr w:rsidR="004843DB" w:rsidRPr="0062582F" w:rsidTr="004843DB">
        <w:trPr>
          <w:trHeight w:val="663"/>
        </w:trPr>
        <w:tc>
          <w:tcPr>
            <w:tcW w:w="711" w:type="pct"/>
            <w:tcBorders>
              <w:top w:val="nil"/>
              <w:bottom w:val="nil"/>
            </w:tcBorders>
          </w:tcPr>
          <w:p w:rsidR="004843DB" w:rsidRPr="0062582F" w:rsidRDefault="004843DB" w:rsidP="004843DB">
            <w:pPr>
              <w:pStyle w:val="Tabletext"/>
              <w:rPr>
                <w:lang w:val="en-GB" w:eastAsia="en-US"/>
              </w:rPr>
            </w:pPr>
          </w:p>
        </w:tc>
        <w:tc>
          <w:tcPr>
            <w:tcW w:w="628" w:type="pct"/>
            <w:tcBorders>
              <w:top w:val="nil"/>
              <w:bottom w:val="nil"/>
            </w:tcBorders>
          </w:tcPr>
          <w:p w:rsidR="004843DB" w:rsidRPr="0062582F" w:rsidRDefault="004843DB" w:rsidP="004843DB">
            <w:pPr>
              <w:pStyle w:val="Tabletext"/>
              <w:rPr>
                <w:lang w:val="en-GB" w:eastAsia="en-US"/>
              </w:rPr>
            </w:pPr>
          </w:p>
        </w:tc>
        <w:tc>
          <w:tcPr>
            <w:tcW w:w="746" w:type="pct"/>
            <w:tcBorders>
              <w:top w:val="nil"/>
              <w:bottom w:val="nil"/>
            </w:tcBorders>
          </w:tcPr>
          <w:p w:rsidR="004843DB" w:rsidRPr="0062582F" w:rsidRDefault="004843DB" w:rsidP="004843DB">
            <w:pPr>
              <w:pStyle w:val="Tabletext"/>
              <w:rPr>
                <w:lang w:val="en-GB" w:eastAsia="en-US"/>
              </w:rPr>
            </w:pPr>
            <w:r w:rsidRPr="0062582F">
              <w:rPr>
                <w:lang w:val="en-GB" w:eastAsia="en-US"/>
              </w:rPr>
              <w:t>Long</w:t>
            </w:r>
            <w:r w:rsidR="005A4BB0">
              <w:rPr>
                <w:lang w:val="en-GB" w:eastAsia="en-US"/>
              </w:rPr>
              <w:noBreakHyphen/>
            </w:r>
            <w:r w:rsidRPr="0062582F">
              <w:rPr>
                <w:lang w:val="en-GB" w:eastAsia="en-US"/>
              </w:rPr>
              <w:t>term operating margin</w:t>
            </w:r>
          </w:p>
        </w:tc>
        <w:tc>
          <w:tcPr>
            <w:tcW w:w="798" w:type="pct"/>
            <w:tcBorders>
              <w:top w:val="nil"/>
              <w:bottom w:val="nil"/>
            </w:tcBorders>
          </w:tcPr>
          <w:p w:rsidR="004843DB" w:rsidRPr="0062582F" w:rsidRDefault="004843DB" w:rsidP="004843DB">
            <w:pPr>
              <w:pStyle w:val="Tabletext"/>
              <w:rPr>
                <w:lang w:val="en-GB" w:eastAsia="en-US"/>
              </w:rPr>
            </w:pPr>
            <w:r w:rsidRPr="0062582F">
              <w:rPr>
                <w:lang w:val="en-GB" w:eastAsia="en-US"/>
              </w:rPr>
              <w:t>10.0%–16.1%</w:t>
            </w:r>
          </w:p>
          <w:p w:rsidR="004843DB" w:rsidRPr="0062582F" w:rsidRDefault="004843DB" w:rsidP="004843DB">
            <w:pPr>
              <w:pStyle w:val="Tabletext"/>
              <w:rPr>
                <w:lang w:val="en-GB" w:eastAsia="en-US"/>
              </w:rPr>
            </w:pPr>
            <w:r w:rsidRPr="0062582F">
              <w:rPr>
                <w:lang w:val="en-GB" w:eastAsia="en-US"/>
              </w:rPr>
              <w:t>(14.3%)</w:t>
            </w:r>
          </w:p>
        </w:tc>
        <w:tc>
          <w:tcPr>
            <w:tcW w:w="2117" w:type="pct"/>
            <w:tcBorders>
              <w:top w:val="nil"/>
              <w:bottom w:val="nil"/>
            </w:tcBorders>
          </w:tcPr>
          <w:p w:rsidR="004843DB" w:rsidRPr="0062582F" w:rsidRDefault="004843DB" w:rsidP="004843DB">
            <w:pPr>
              <w:pStyle w:val="Tabletext"/>
              <w:rPr>
                <w:lang w:val="en-GB" w:eastAsia="en-US"/>
              </w:rPr>
            </w:pPr>
            <w:r w:rsidRPr="0062582F">
              <w:rPr>
                <w:lang w:val="en-GB" w:eastAsia="en-US"/>
              </w:rPr>
              <w:t>1 per cent increase or decrease in the margin would result in an increase or decrease in fair value by $12 000</w:t>
            </w:r>
          </w:p>
        </w:tc>
      </w:tr>
      <w:tr w:rsidR="004843DB" w:rsidRPr="0062582F" w:rsidTr="004843DB">
        <w:trPr>
          <w:trHeight w:val="663"/>
        </w:trPr>
        <w:tc>
          <w:tcPr>
            <w:tcW w:w="711" w:type="pct"/>
            <w:tcBorders>
              <w:top w:val="nil"/>
              <w:bottom w:val="nil"/>
            </w:tcBorders>
          </w:tcPr>
          <w:p w:rsidR="004843DB" w:rsidRPr="0062582F" w:rsidRDefault="004843DB" w:rsidP="004843DB">
            <w:pPr>
              <w:pStyle w:val="Tabletext"/>
              <w:rPr>
                <w:lang w:val="en-GB" w:eastAsia="en-US"/>
              </w:rPr>
            </w:pPr>
          </w:p>
        </w:tc>
        <w:tc>
          <w:tcPr>
            <w:tcW w:w="628" w:type="pct"/>
            <w:tcBorders>
              <w:top w:val="nil"/>
              <w:bottom w:val="nil"/>
            </w:tcBorders>
          </w:tcPr>
          <w:p w:rsidR="004843DB" w:rsidRPr="0062582F" w:rsidRDefault="004843DB" w:rsidP="004843DB">
            <w:pPr>
              <w:pStyle w:val="Tabletext"/>
              <w:rPr>
                <w:lang w:val="en-GB" w:eastAsia="en-US"/>
              </w:rPr>
            </w:pPr>
          </w:p>
        </w:tc>
        <w:tc>
          <w:tcPr>
            <w:tcW w:w="746" w:type="pct"/>
            <w:tcBorders>
              <w:top w:val="nil"/>
              <w:bottom w:val="nil"/>
            </w:tcBorders>
          </w:tcPr>
          <w:p w:rsidR="004843DB" w:rsidRPr="0062582F" w:rsidRDefault="004843DB" w:rsidP="004843DB">
            <w:pPr>
              <w:pStyle w:val="Tabletext"/>
              <w:rPr>
                <w:lang w:val="en-GB" w:eastAsia="en-US"/>
              </w:rPr>
            </w:pPr>
            <w:r w:rsidRPr="0062582F">
              <w:rPr>
                <w:lang w:val="en-GB" w:eastAsia="en-US"/>
              </w:rPr>
              <w:t>WACC</w:t>
            </w:r>
          </w:p>
        </w:tc>
        <w:tc>
          <w:tcPr>
            <w:tcW w:w="798" w:type="pct"/>
            <w:tcBorders>
              <w:top w:val="nil"/>
              <w:bottom w:val="nil"/>
            </w:tcBorders>
          </w:tcPr>
          <w:p w:rsidR="004843DB" w:rsidRPr="0062582F" w:rsidRDefault="004843DB" w:rsidP="004843DB">
            <w:pPr>
              <w:pStyle w:val="Tabletext"/>
              <w:rPr>
                <w:lang w:val="en-GB" w:eastAsia="en-US"/>
              </w:rPr>
            </w:pPr>
            <w:r w:rsidRPr="0062582F">
              <w:rPr>
                <w:lang w:val="en-GB" w:eastAsia="en-US"/>
              </w:rPr>
              <w:t>12.1%–16.7%</w:t>
            </w:r>
          </w:p>
          <w:p w:rsidR="004843DB" w:rsidRPr="0062582F" w:rsidRDefault="004843DB" w:rsidP="004843DB">
            <w:pPr>
              <w:pStyle w:val="Tabletext"/>
              <w:rPr>
                <w:lang w:val="en-GB" w:eastAsia="en-US"/>
              </w:rPr>
            </w:pPr>
            <w:r w:rsidRPr="0062582F">
              <w:rPr>
                <w:lang w:val="en-GB" w:eastAsia="en-US"/>
              </w:rPr>
              <w:t>(13.2%)</w:t>
            </w:r>
          </w:p>
        </w:tc>
        <w:tc>
          <w:tcPr>
            <w:tcW w:w="2117" w:type="pct"/>
            <w:tcBorders>
              <w:top w:val="nil"/>
              <w:bottom w:val="nil"/>
            </w:tcBorders>
          </w:tcPr>
          <w:p w:rsidR="004843DB" w:rsidRPr="0062582F" w:rsidRDefault="004843DB" w:rsidP="004843DB">
            <w:pPr>
              <w:pStyle w:val="Tabletext"/>
              <w:rPr>
                <w:lang w:val="en-GB" w:eastAsia="en-US"/>
              </w:rPr>
            </w:pPr>
            <w:r w:rsidRPr="0062582F">
              <w:rPr>
                <w:lang w:val="en-GB" w:eastAsia="en-US"/>
              </w:rPr>
              <w:t>1 per cent increase or decrease in the WACC would result in a decrease or increase in fair value by $21 000</w:t>
            </w:r>
          </w:p>
        </w:tc>
      </w:tr>
      <w:tr w:rsidR="004843DB" w:rsidRPr="0062582F" w:rsidTr="004843DB">
        <w:trPr>
          <w:trHeight w:val="663"/>
        </w:trPr>
        <w:tc>
          <w:tcPr>
            <w:tcW w:w="711" w:type="pct"/>
            <w:tcBorders>
              <w:top w:val="nil"/>
              <w:bottom w:val="single" w:sz="4" w:space="0" w:color="auto"/>
            </w:tcBorders>
          </w:tcPr>
          <w:p w:rsidR="004843DB" w:rsidRPr="0062582F" w:rsidRDefault="004843DB" w:rsidP="004843DB">
            <w:pPr>
              <w:pStyle w:val="Tabletext"/>
              <w:rPr>
                <w:lang w:val="en-GB" w:eastAsia="en-US"/>
              </w:rPr>
            </w:pPr>
          </w:p>
        </w:tc>
        <w:tc>
          <w:tcPr>
            <w:tcW w:w="628" w:type="pct"/>
            <w:tcBorders>
              <w:top w:val="nil"/>
              <w:bottom w:val="single" w:sz="4" w:space="0" w:color="auto"/>
            </w:tcBorders>
          </w:tcPr>
          <w:p w:rsidR="004843DB" w:rsidRPr="0062582F" w:rsidRDefault="004843DB" w:rsidP="004843DB">
            <w:pPr>
              <w:pStyle w:val="Tabletext"/>
              <w:rPr>
                <w:lang w:val="en-GB" w:eastAsia="en-US"/>
              </w:rPr>
            </w:pPr>
          </w:p>
        </w:tc>
        <w:tc>
          <w:tcPr>
            <w:tcW w:w="746" w:type="pct"/>
            <w:tcBorders>
              <w:top w:val="nil"/>
              <w:bottom w:val="single" w:sz="4" w:space="0" w:color="auto"/>
            </w:tcBorders>
          </w:tcPr>
          <w:p w:rsidR="004843DB" w:rsidRPr="0062582F" w:rsidRDefault="004843DB" w:rsidP="004843DB">
            <w:pPr>
              <w:pStyle w:val="Tabletext"/>
              <w:rPr>
                <w:lang w:val="en-GB" w:eastAsia="en-US"/>
              </w:rPr>
            </w:pPr>
            <w:r w:rsidRPr="0062582F">
              <w:rPr>
                <w:lang w:val="en-GB" w:eastAsia="en-US"/>
              </w:rPr>
              <w:t>Discount for lack of marketability</w:t>
            </w:r>
          </w:p>
        </w:tc>
        <w:tc>
          <w:tcPr>
            <w:tcW w:w="798" w:type="pct"/>
            <w:tcBorders>
              <w:top w:val="nil"/>
              <w:bottom w:val="single" w:sz="4" w:space="0" w:color="auto"/>
            </w:tcBorders>
          </w:tcPr>
          <w:p w:rsidR="004843DB" w:rsidRPr="0062582F" w:rsidRDefault="004843DB" w:rsidP="004843DB">
            <w:pPr>
              <w:pStyle w:val="Tabletext"/>
              <w:rPr>
                <w:lang w:val="en-GB" w:eastAsia="en-US"/>
              </w:rPr>
            </w:pPr>
            <w:r w:rsidRPr="0062582F">
              <w:rPr>
                <w:lang w:val="en-GB" w:eastAsia="en-US"/>
              </w:rPr>
              <w:t>5.1%–20.2%</w:t>
            </w:r>
          </w:p>
          <w:p w:rsidR="004843DB" w:rsidRPr="0062582F" w:rsidRDefault="004843DB" w:rsidP="004843DB">
            <w:pPr>
              <w:pStyle w:val="Tabletext"/>
              <w:rPr>
                <w:lang w:val="en-GB" w:eastAsia="en-US"/>
              </w:rPr>
            </w:pPr>
            <w:r w:rsidRPr="0062582F">
              <w:rPr>
                <w:lang w:val="en-GB" w:eastAsia="en-US"/>
              </w:rPr>
              <w:t>(16.3%)</w:t>
            </w:r>
          </w:p>
        </w:tc>
        <w:tc>
          <w:tcPr>
            <w:tcW w:w="2117" w:type="pct"/>
            <w:tcBorders>
              <w:top w:val="nil"/>
              <w:bottom w:val="single" w:sz="4" w:space="0" w:color="auto"/>
            </w:tcBorders>
          </w:tcPr>
          <w:p w:rsidR="004843DB" w:rsidRPr="0062582F" w:rsidRDefault="004843DB" w:rsidP="004843DB">
            <w:pPr>
              <w:pStyle w:val="Tabletext"/>
              <w:rPr>
                <w:lang w:val="en-GB" w:eastAsia="en-US"/>
              </w:rPr>
            </w:pPr>
            <w:r w:rsidRPr="0062582F">
              <w:rPr>
                <w:lang w:val="en-GB" w:eastAsia="en-US"/>
              </w:rPr>
              <w:t>1 per cent increase or decrease in the discount would result in a decrease or increase in fair value by $34 000</w:t>
            </w:r>
          </w:p>
        </w:tc>
      </w:tr>
      <w:tr w:rsidR="004843DB" w:rsidRPr="0062582F" w:rsidTr="004843DB">
        <w:trPr>
          <w:trHeight w:val="1100"/>
        </w:trPr>
        <w:tc>
          <w:tcPr>
            <w:tcW w:w="711" w:type="pct"/>
            <w:tcBorders>
              <w:bottom w:val="nil"/>
            </w:tcBorders>
          </w:tcPr>
          <w:p w:rsidR="004843DB" w:rsidRPr="0062582F" w:rsidRDefault="004843DB" w:rsidP="004843DB">
            <w:pPr>
              <w:pStyle w:val="Tabletext"/>
              <w:rPr>
                <w:rFonts w:ascii="Garamond" w:hAnsi="Garamond" w:cs="Tahoma"/>
                <w:lang w:val="en-GB" w:eastAsia="en-US"/>
              </w:rPr>
            </w:pPr>
            <w:r w:rsidRPr="0062582F">
              <w:rPr>
                <w:lang w:val="en-GB" w:eastAsia="en-US"/>
              </w:rPr>
              <w:t xml:space="preserve">Discontinued operation – unlisted securities </w:t>
            </w:r>
          </w:p>
          <w:p w:rsidR="004843DB" w:rsidRPr="0062582F" w:rsidRDefault="004843DB" w:rsidP="004843DB">
            <w:pPr>
              <w:pStyle w:val="Tabletext"/>
              <w:rPr>
                <w:rFonts w:ascii="Garamond" w:hAnsi="Garamond" w:cs="Tahoma"/>
                <w:lang w:val="en-GB" w:eastAsia="en-US"/>
              </w:rPr>
            </w:pPr>
            <w:r w:rsidRPr="0062582F">
              <w:rPr>
                <w:lang w:val="en-GB" w:eastAsia="en-US"/>
              </w:rPr>
              <w:t>Note 15(c)</w:t>
            </w:r>
          </w:p>
        </w:tc>
        <w:tc>
          <w:tcPr>
            <w:tcW w:w="628" w:type="pct"/>
            <w:tcBorders>
              <w:bottom w:val="nil"/>
            </w:tcBorders>
          </w:tcPr>
          <w:p w:rsidR="004843DB" w:rsidRPr="0062582F" w:rsidRDefault="004843DB" w:rsidP="004843DB">
            <w:pPr>
              <w:pStyle w:val="Tabletext"/>
              <w:rPr>
                <w:rFonts w:ascii="Garamond" w:hAnsi="Garamond" w:cs="Tahoma"/>
                <w:lang w:val="en-GB" w:eastAsia="en-US"/>
              </w:rPr>
            </w:pPr>
            <w:r w:rsidRPr="0062582F">
              <w:rPr>
                <w:lang w:val="en-GB" w:eastAsia="en-US"/>
              </w:rPr>
              <w:t>Discounted cash flow method</w:t>
            </w:r>
          </w:p>
        </w:tc>
        <w:tc>
          <w:tcPr>
            <w:tcW w:w="746" w:type="pct"/>
            <w:tcBorders>
              <w:bottom w:val="nil"/>
            </w:tcBorders>
          </w:tcPr>
          <w:p w:rsidR="004843DB" w:rsidRPr="0062582F" w:rsidRDefault="004843DB" w:rsidP="004843DB">
            <w:pPr>
              <w:pStyle w:val="Tabletext"/>
              <w:rPr>
                <w:lang w:val="en-GB" w:eastAsia="en-US"/>
              </w:rPr>
            </w:pPr>
            <w:r w:rsidRPr="0062582F">
              <w:rPr>
                <w:lang w:val="en-GB" w:eastAsia="en-US"/>
              </w:rPr>
              <w:t>Long</w:t>
            </w:r>
            <w:r w:rsidR="005A4BB0">
              <w:rPr>
                <w:lang w:val="en-GB" w:eastAsia="en-US"/>
              </w:rPr>
              <w:noBreakHyphen/>
            </w:r>
            <w:r w:rsidRPr="0062582F">
              <w:rPr>
                <w:lang w:val="en-GB" w:eastAsia="en-US"/>
              </w:rPr>
              <w:t>term growth rate for cash flows for subsequent years</w:t>
            </w:r>
          </w:p>
        </w:tc>
        <w:tc>
          <w:tcPr>
            <w:tcW w:w="798" w:type="pct"/>
            <w:tcBorders>
              <w:bottom w:val="nil"/>
            </w:tcBorders>
          </w:tcPr>
          <w:p w:rsidR="004843DB" w:rsidRPr="0062582F" w:rsidRDefault="004843DB" w:rsidP="004843DB">
            <w:pPr>
              <w:pStyle w:val="Tabletext"/>
              <w:rPr>
                <w:rFonts w:ascii="Garamond" w:hAnsi="Garamond" w:cs="Tahoma"/>
                <w:lang w:val="en-GB" w:eastAsia="en-US"/>
              </w:rPr>
            </w:pPr>
            <w:r w:rsidRPr="0062582F">
              <w:rPr>
                <w:lang w:val="en-GB" w:eastAsia="en-US"/>
              </w:rPr>
              <w:t>3.6%–4.6% (4.1%)</w:t>
            </w:r>
          </w:p>
        </w:tc>
        <w:tc>
          <w:tcPr>
            <w:tcW w:w="2117" w:type="pct"/>
            <w:tcBorders>
              <w:bottom w:val="nil"/>
            </w:tcBorders>
          </w:tcPr>
          <w:p w:rsidR="004843DB" w:rsidRPr="0062582F" w:rsidRDefault="004843DB" w:rsidP="004843DB">
            <w:pPr>
              <w:pStyle w:val="Tabletext"/>
              <w:rPr>
                <w:rFonts w:ascii="Garamond" w:hAnsi="Garamond" w:cs="Tahoma"/>
                <w:lang w:val="en-GB" w:eastAsia="en-US"/>
              </w:rPr>
            </w:pPr>
            <w:r w:rsidRPr="0062582F">
              <w:rPr>
                <w:lang w:val="en-GB" w:eastAsia="en-US"/>
              </w:rPr>
              <w:t>1 per cent increase or decrease in the growth rate would result in an increase or decrease in fair value by $165 000</w:t>
            </w:r>
          </w:p>
        </w:tc>
      </w:tr>
      <w:tr w:rsidR="004843DB" w:rsidRPr="0062582F" w:rsidTr="004843DB">
        <w:trPr>
          <w:trHeight w:val="749"/>
        </w:trPr>
        <w:tc>
          <w:tcPr>
            <w:tcW w:w="711" w:type="pct"/>
            <w:tcBorders>
              <w:top w:val="nil"/>
              <w:bottom w:val="nil"/>
            </w:tcBorders>
          </w:tcPr>
          <w:p w:rsidR="004843DB" w:rsidRPr="0062582F" w:rsidRDefault="004843DB" w:rsidP="004843DB">
            <w:pPr>
              <w:pStyle w:val="Tabletext"/>
              <w:rPr>
                <w:lang w:val="en-GB" w:eastAsia="en-US"/>
              </w:rPr>
            </w:pPr>
          </w:p>
        </w:tc>
        <w:tc>
          <w:tcPr>
            <w:tcW w:w="628" w:type="pct"/>
            <w:tcBorders>
              <w:top w:val="nil"/>
              <w:bottom w:val="nil"/>
            </w:tcBorders>
          </w:tcPr>
          <w:p w:rsidR="004843DB" w:rsidRPr="0062582F" w:rsidRDefault="004843DB" w:rsidP="004843DB">
            <w:pPr>
              <w:pStyle w:val="Tabletext"/>
              <w:rPr>
                <w:lang w:val="en-GB" w:eastAsia="en-US"/>
              </w:rPr>
            </w:pPr>
          </w:p>
        </w:tc>
        <w:tc>
          <w:tcPr>
            <w:tcW w:w="746" w:type="pct"/>
            <w:tcBorders>
              <w:top w:val="nil"/>
              <w:bottom w:val="nil"/>
            </w:tcBorders>
          </w:tcPr>
          <w:p w:rsidR="004843DB" w:rsidRPr="0062582F" w:rsidRDefault="004843DB" w:rsidP="004843DB">
            <w:pPr>
              <w:pStyle w:val="Tabletext"/>
              <w:rPr>
                <w:lang w:val="en-GB" w:eastAsia="en-US"/>
              </w:rPr>
            </w:pPr>
            <w:r w:rsidRPr="0062582F">
              <w:rPr>
                <w:lang w:val="en-GB" w:eastAsia="en-US"/>
              </w:rPr>
              <w:t>Long</w:t>
            </w:r>
            <w:r w:rsidR="005A4BB0">
              <w:rPr>
                <w:lang w:val="en-GB" w:eastAsia="en-US"/>
              </w:rPr>
              <w:noBreakHyphen/>
            </w:r>
            <w:r w:rsidRPr="0062582F">
              <w:rPr>
                <w:lang w:val="en-GB" w:eastAsia="en-US"/>
              </w:rPr>
              <w:t>term operating margin</w:t>
            </w:r>
          </w:p>
        </w:tc>
        <w:tc>
          <w:tcPr>
            <w:tcW w:w="798" w:type="pct"/>
            <w:tcBorders>
              <w:top w:val="nil"/>
              <w:bottom w:val="nil"/>
            </w:tcBorders>
          </w:tcPr>
          <w:p w:rsidR="004843DB" w:rsidRPr="0062582F" w:rsidRDefault="004843DB" w:rsidP="004843DB">
            <w:pPr>
              <w:pStyle w:val="Tabletext"/>
              <w:rPr>
                <w:lang w:val="en-GB" w:eastAsia="en-US"/>
              </w:rPr>
            </w:pPr>
            <w:r w:rsidRPr="0062582F">
              <w:rPr>
                <w:lang w:val="en-GB" w:eastAsia="en-US"/>
              </w:rPr>
              <w:t>12.0%–21.1%</w:t>
            </w:r>
            <w:r w:rsidRPr="0062582F">
              <w:rPr>
                <w:lang w:val="en-GB" w:eastAsia="en-US"/>
              </w:rPr>
              <w:br/>
              <w:t>(19.3%)</w:t>
            </w:r>
          </w:p>
        </w:tc>
        <w:tc>
          <w:tcPr>
            <w:tcW w:w="2117" w:type="pct"/>
            <w:tcBorders>
              <w:top w:val="nil"/>
              <w:bottom w:val="nil"/>
            </w:tcBorders>
          </w:tcPr>
          <w:p w:rsidR="004843DB" w:rsidRPr="0062582F" w:rsidRDefault="004843DB" w:rsidP="004843DB">
            <w:pPr>
              <w:pStyle w:val="Tabletext"/>
              <w:rPr>
                <w:lang w:val="en-GB" w:eastAsia="en-US"/>
              </w:rPr>
            </w:pPr>
            <w:r w:rsidRPr="0062582F">
              <w:rPr>
                <w:lang w:val="en-GB" w:eastAsia="en-US"/>
              </w:rPr>
              <w:t>1 per cent increase or decrease in the margin would result in an increase or decrease in fair value by $97 000</w:t>
            </w:r>
          </w:p>
        </w:tc>
      </w:tr>
      <w:tr w:rsidR="004843DB" w:rsidRPr="0062582F" w:rsidTr="004843DB">
        <w:trPr>
          <w:trHeight w:val="749"/>
        </w:trPr>
        <w:tc>
          <w:tcPr>
            <w:tcW w:w="711" w:type="pct"/>
            <w:tcBorders>
              <w:top w:val="nil"/>
            </w:tcBorders>
          </w:tcPr>
          <w:p w:rsidR="004843DB" w:rsidRPr="0062582F" w:rsidRDefault="004843DB" w:rsidP="004843DB">
            <w:pPr>
              <w:pStyle w:val="Tabletext"/>
              <w:rPr>
                <w:lang w:val="en-GB" w:eastAsia="en-US"/>
              </w:rPr>
            </w:pPr>
          </w:p>
        </w:tc>
        <w:tc>
          <w:tcPr>
            <w:tcW w:w="628" w:type="pct"/>
            <w:tcBorders>
              <w:top w:val="nil"/>
            </w:tcBorders>
          </w:tcPr>
          <w:p w:rsidR="004843DB" w:rsidRPr="0062582F" w:rsidRDefault="004843DB" w:rsidP="004843DB">
            <w:pPr>
              <w:pStyle w:val="Tabletext"/>
              <w:rPr>
                <w:lang w:val="en-GB" w:eastAsia="en-US"/>
              </w:rPr>
            </w:pPr>
          </w:p>
        </w:tc>
        <w:tc>
          <w:tcPr>
            <w:tcW w:w="746" w:type="pct"/>
            <w:tcBorders>
              <w:top w:val="nil"/>
            </w:tcBorders>
          </w:tcPr>
          <w:p w:rsidR="004843DB" w:rsidRPr="0062582F" w:rsidRDefault="004843DB" w:rsidP="004843DB">
            <w:pPr>
              <w:pStyle w:val="Tabletext"/>
              <w:rPr>
                <w:lang w:val="en-GB" w:eastAsia="en-US"/>
              </w:rPr>
            </w:pPr>
            <w:r w:rsidRPr="0062582F">
              <w:rPr>
                <w:lang w:val="en-GB" w:eastAsia="en-US"/>
              </w:rPr>
              <w:t>WACC</w:t>
            </w:r>
          </w:p>
        </w:tc>
        <w:tc>
          <w:tcPr>
            <w:tcW w:w="798" w:type="pct"/>
            <w:tcBorders>
              <w:top w:val="nil"/>
            </w:tcBorders>
          </w:tcPr>
          <w:p w:rsidR="004843DB" w:rsidRPr="0062582F" w:rsidRDefault="004843DB" w:rsidP="004843DB">
            <w:pPr>
              <w:pStyle w:val="Tabletext"/>
              <w:rPr>
                <w:lang w:val="en-GB" w:eastAsia="en-US"/>
              </w:rPr>
            </w:pPr>
            <w:r w:rsidRPr="0062582F">
              <w:rPr>
                <w:lang w:val="en-GB" w:eastAsia="en-US"/>
              </w:rPr>
              <w:t>10.1%–14.7%</w:t>
            </w:r>
            <w:r w:rsidRPr="0062582F">
              <w:rPr>
                <w:lang w:val="en-GB" w:eastAsia="en-US"/>
              </w:rPr>
              <w:br/>
              <w:t>(11.2%)</w:t>
            </w:r>
          </w:p>
        </w:tc>
        <w:tc>
          <w:tcPr>
            <w:tcW w:w="2117" w:type="pct"/>
            <w:tcBorders>
              <w:top w:val="nil"/>
            </w:tcBorders>
          </w:tcPr>
          <w:p w:rsidR="004843DB" w:rsidRPr="0062582F" w:rsidRDefault="004843DB" w:rsidP="004843DB">
            <w:pPr>
              <w:pStyle w:val="Tabletext"/>
              <w:rPr>
                <w:lang w:val="en-GB" w:eastAsia="en-US"/>
              </w:rPr>
            </w:pPr>
            <w:r w:rsidRPr="0062582F">
              <w:rPr>
                <w:lang w:val="en-GB" w:eastAsia="en-US"/>
              </w:rPr>
              <w:t>1 per cent increase or decrease in the WACC would result in a decrease or increase in fair value by $85 000</w:t>
            </w:r>
          </w:p>
        </w:tc>
      </w:tr>
      <w:tr w:rsidR="004843DB" w:rsidRPr="0062582F" w:rsidTr="004843DB">
        <w:trPr>
          <w:trHeight w:val="749"/>
        </w:trPr>
        <w:tc>
          <w:tcPr>
            <w:tcW w:w="711" w:type="pct"/>
            <w:tcBorders>
              <w:top w:val="nil"/>
              <w:bottom w:val="single" w:sz="12" w:space="0" w:color="auto"/>
            </w:tcBorders>
          </w:tcPr>
          <w:p w:rsidR="004843DB" w:rsidRPr="0062582F" w:rsidRDefault="004843DB" w:rsidP="004843DB">
            <w:pPr>
              <w:pStyle w:val="Tabletext"/>
              <w:rPr>
                <w:lang w:val="en-GB" w:eastAsia="en-US"/>
              </w:rPr>
            </w:pPr>
          </w:p>
        </w:tc>
        <w:tc>
          <w:tcPr>
            <w:tcW w:w="628" w:type="pct"/>
            <w:tcBorders>
              <w:top w:val="nil"/>
              <w:bottom w:val="single" w:sz="12" w:space="0" w:color="auto"/>
            </w:tcBorders>
          </w:tcPr>
          <w:p w:rsidR="004843DB" w:rsidRPr="0062582F" w:rsidRDefault="004843DB" w:rsidP="004843DB">
            <w:pPr>
              <w:pStyle w:val="Tabletext"/>
              <w:rPr>
                <w:lang w:val="en-GB" w:eastAsia="en-US"/>
              </w:rPr>
            </w:pPr>
          </w:p>
        </w:tc>
        <w:tc>
          <w:tcPr>
            <w:tcW w:w="746" w:type="pct"/>
            <w:tcBorders>
              <w:top w:val="nil"/>
              <w:bottom w:val="single" w:sz="12" w:space="0" w:color="auto"/>
            </w:tcBorders>
          </w:tcPr>
          <w:p w:rsidR="004843DB" w:rsidRPr="0062582F" w:rsidRDefault="004843DB" w:rsidP="004843DB">
            <w:pPr>
              <w:pStyle w:val="Tabletext"/>
              <w:rPr>
                <w:lang w:val="en-GB" w:eastAsia="en-US"/>
              </w:rPr>
            </w:pPr>
            <w:r w:rsidRPr="0062582F">
              <w:rPr>
                <w:lang w:val="en-GB" w:eastAsia="en-US"/>
              </w:rPr>
              <w:t>Discount for lack of marketability</w:t>
            </w:r>
          </w:p>
        </w:tc>
        <w:tc>
          <w:tcPr>
            <w:tcW w:w="798" w:type="pct"/>
            <w:tcBorders>
              <w:top w:val="nil"/>
              <w:bottom w:val="single" w:sz="12" w:space="0" w:color="auto"/>
            </w:tcBorders>
          </w:tcPr>
          <w:p w:rsidR="004843DB" w:rsidRPr="0062582F" w:rsidRDefault="004843DB" w:rsidP="004843DB">
            <w:pPr>
              <w:pStyle w:val="Tabletext"/>
              <w:rPr>
                <w:lang w:val="en-GB" w:eastAsia="en-US"/>
              </w:rPr>
            </w:pPr>
            <w:r w:rsidRPr="0062582F">
              <w:rPr>
                <w:lang w:val="en-GB" w:eastAsia="en-US"/>
              </w:rPr>
              <w:t>6.1%–21.2%</w:t>
            </w:r>
            <w:r w:rsidRPr="0062582F">
              <w:rPr>
                <w:lang w:val="en-GB" w:eastAsia="en-US"/>
              </w:rPr>
              <w:br/>
              <w:t>(17.3%)</w:t>
            </w:r>
          </w:p>
        </w:tc>
        <w:tc>
          <w:tcPr>
            <w:tcW w:w="2117" w:type="pct"/>
            <w:tcBorders>
              <w:top w:val="nil"/>
              <w:bottom w:val="single" w:sz="12" w:space="0" w:color="auto"/>
            </w:tcBorders>
          </w:tcPr>
          <w:p w:rsidR="004843DB" w:rsidRPr="0062582F" w:rsidRDefault="004843DB" w:rsidP="004843DB">
            <w:pPr>
              <w:pStyle w:val="Tabletext"/>
              <w:rPr>
                <w:lang w:val="en-GB" w:eastAsia="en-US"/>
              </w:rPr>
            </w:pPr>
            <w:r w:rsidRPr="0062582F">
              <w:rPr>
                <w:lang w:val="en-GB" w:eastAsia="en-US"/>
              </w:rPr>
              <w:t>1 per cent increase or decrease in the discount would result in a decrease or increase in fair value by $20 000</w:t>
            </w:r>
          </w:p>
        </w:tc>
      </w:tr>
    </w:tbl>
    <w:p w:rsidR="004843DB" w:rsidRPr="0062582F" w:rsidRDefault="004843DB" w:rsidP="004843DB">
      <w:pPr>
        <w:pStyle w:val="NotesBlue"/>
        <w:rPr>
          <w:lang w:val="en-GB" w:eastAsia="en-US"/>
        </w:rPr>
      </w:pPr>
      <w:r w:rsidRPr="0062582F">
        <w:rPr>
          <w:lang w:val="en-GB" w:eastAsia="en-US"/>
        </w:rPr>
        <w:t>Notes:</w:t>
      </w:r>
    </w:p>
    <w:p w:rsidR="004843DB" w:rsidRPr="0062582F" w:rsidRDefault="004843DB" w:rsidP="004843DB">
      <w:pPr>
        <w:pStyle w:val="NotesBlue"/>
        <w:tabs>
          <w:tab w:val="clear" w:pos="454"/>
          <w:tab w:val="left" w:pos="142"/>
        </w:tabs>
        <w:ind w:left="284" w:hanging="284"/>
        <w:rPr>
          <w:color w:val="FF0000"/>
        </w:rPr>
      </w:pPr>
      <w:r w:rsidRPr="0062582F">
        <w:rPr>
          <w:color w:val="FF0000"/>
        </w:rPr>
        <w:t>(i)</w:t>
      </w:r>
      <w:r w:rsidRPr="0062582F">
        <w:rPr>
          <w:color w:val="FF0000"/>
        </w:rPr>
        <w:tab/>
      </w:r>
      <w:r w:rsidRPr="0062582F">
        <w:rPr>
          <w:color w:val="FF0000"/>
        </w:rPr>
        <w:tab/>
        <w:t>Illustrations on the valuation techniques, significant unobservable inputs and the related quantitative range of those inputs are indicative and should not be directly used without consultation with entities</w:t>
      </w:r>
      <w:r w:rsidR="005A4BB0">
        <w:rPr>
          <w:color w:val="FF0000"/>
        </w:rPr>
        <w:t>’</w:t>
      </w:r>
      <w:r w:rsidRPr="0062582F">
        <w:rPr>
          <w:color w:val="FF0000"/>
        </w:rPr>
        <w:t xml:space="preserve"> independent valuer.</w:t>
      </w:r>
    </w:p>
    <w:p w:rsidR="004843DB" w:rsidRPr="0062582F" w:rsidRDefault="004843DB" w:rsidP="004843DB">
      <w:pPr>
        <w:pStyle w:val="NotesBlue"/>
        <w:tabs>
          <w:tab w:val="clear" w:pos="454"/>
          <w:tab w:val="left" w:pos="142"/>
        </w:tabs>
        <w:ind w:left="284" w:hanging="284"/>
        <w:rPr>
          <w:rFonts w:asciiTheme="minorHAnsi" w:eastAsia="Times New Roman" w:hAnsiTheme="minorHAnsi" w:cstheme="minorHAnsi"/>
          <w:b/>
          <w:lang w:val="en-GB" w:eastAsia="en-US"/>
        </w:rPr>
      </w:pPr>
      <w:r w:rsidRPr="0062582F">
        <w:t>(ii)</w:t>
      </w:r>
      <w:r w:rsidRPr="0062582F">
        <w:tab/>
        <w:t>In addition to providing a narrative description of the sensitivity of recurring level 3 fair value measurements to changes in the unobservable inputs used, entities are required to describe any interrelationships between the unobservable inputs and discuss how they might magnify or mitigate the effect of changes on the fair value measurement. For example, if WACC has increased due to changes in assumptions used in the risk profile, we need to examine the impact of this change on the long</w:t>
      </w:r>
      <w:r w:rsidR="005A4BB0">
        <w:noBreakHyphen/>
      </w:r>
      <w:r w:rsidRPr="0062582F">
        <w:t>term growth rates and operating margins, and whether the change impacts the assumptions used and sensitivity of the inputs to fair value.</w:t>
      </w:r>
    </w:p>
    <w:p w:rsidR="004843DB" w:rsidRPr="0062582F" w:rsidRDefault="004843DB" w:rsidP="004843DB">
      <w:pPr>
        <w:rPr>
          <w:b/>
        </w:rPr>
      </w:pPr>
    </w:p>
    <w:p w:rsidR="004843DB" w:rsidRPr="0062582F" w:rsidRDefault="004843DB" w:rsidP="004843DB">
      <w:pPr>
        <w:pStyle w:val="ReferenceRed"/>
      </w:pPr>
      <w:r w:rsidRPr="0062582F">
        <w:br w:type="column"/>
      </w:r>
    </w:p>
    <w:p w:rsidR="004843DB" w:rsidRPr="0062582F" w:rsidRDefault="004843DB" w:rsidP="004843DB">
      <w:pPr>
        <w:pStyle w:val="Reference"/>
        <w:spacing w:before="0"/>
      </w:pPr>
      <w:r w:rsidRPr="0062582F">
        <w:t>AASB 2013</w:t>
      </w:r>
      <w:r w:rsidR="005A4BB0">
        <w:noBreakHyphen/>
      </w:r>
      <w:r w:rsidRPr="0062582F">
        <w:t>2</w:t>
      </w:r>
    </w:p>
    <w:p w:rsidR="004843DB" w:rsidRPr="0062582F" w:rsidRDefault="004843DB" w:rsidP="004843DB">
      <w:pPr>
        <w:pStyle w:val="Reference"/>
        <w:spacing w:before="0"/>
      </w:pPr>
      <w:r w:rsidRPr="0062582F">
        <w:t>AASB 2013</w:t>
      </w:r>
      <w:r w:rsidR="005A4BB0">
        <w:noBreakHyphen/>
      </w:r>
      <w:r w:rsidRPr="0062582F">
        <w:t>3</w:t>
      </w: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Commentary – Offsetting financial assets and financial liabilities</w:t>
      </w:r>
    </w:p>
    <w:p w:rsidR="004843DB" w:rsidRPr="0062582F" w:rsidRDefault="004843DB" w:rsidP="004843DB">
      <w:pPr>
        <w:pStyle w:val="SmallLineBlue"/>
      </w:pPr>
    </w:p>
    <w:p w:rsidR="004843DB" w:rsidRPr="0062582F" w:rsidRDefault="004843DB" w:rsidP="004843DB">
      <w:pPr>
        <w:pStyle w:val="CommentaryHeading1"/>
      </w:pPr>
      <w:r w:rsidRPr="0062582F">
        <w:t>Master netting or similar arrangements</w:t>
      </w:r>
    </w:p>
    <w:p w:rsidR="004843DB" w:rsidRPr="0062582F" w:rsidRDefault="004843DB" w:rsidP="004843DB">
      <w:pPr>
        <w:pStyle w:val="CommentaryText"/>
        <w:spacing w:before="80"/>
      </w:pPr>
      <w:r w:rsidRPr="0062582F">
        <w:t xml:space="preserve">An entity might further restrict its exposure to credit losses by entering into master netting arrangements with counterparties with which it undertakes a significant volume of transactions. </w:t>
      </w:r>
    </w:p>
    <w:p w:rsidR="004843DB" w:rsidRPr="0062582F" w:rsidRDefault="004843DB" w:rsidP="004843DB">
      <w:pPr>
        <w:pStyle w:val="CommentaryText"/>
        <w:spacing w:before="80"/>
      </w:pPr>
      <w:r w:rsidRPr="0062582F">
        <w:t>It should be noted that some master netting arrangements do not result in an offset of balance sheet assets and liabilities where they are settled on a gross basis. However, the credit risk associated with favourable contracts is reduced with a master netting arrangement to the extent that if a counterparty failed to meet its obligations in accordance with the agreed terms, all amounts with the counterparty are terminated and settled on a net basis.</w:t>
      </w:r>
    </w:p>
    <w:p w:rsidR="004843DB" w:rsidRPr="0062582F" w:rsidRDefault="004843DB" w:rsidP="004843DB">
      <w:pPr>
        <w:pStyle w:val="CommentaryText"/>
        <w:spacing w:before="80"/>
      </w:pPr>
      <w:r w:rsidRPr="0062582F">
        <w:t>In other instances, the entity enters into derivative transactions under International Swaps and Derivatives Association (ISDA) master netting arrangements. In general, under such agreements the amounts owed by each counterparty on a single day in respect of all transactions outstanding in the same currency are aggregated into a single net amount that is payable by one party to the other. In certain circumstances when a credit event such as a default occurs, all outstanding transactions under the agreement are terminated, and the termination value is assessed and only a single net amount is payable in settlement of all transactions.</w:t>
      </w:r>
    </w:p>
    <w:p w:rsidR="004843DB" w:rsidRPr="0062582F" w:rsidRDefault="004843DB" w:rsidP="004843DB">
      <w:pPr>
        <w:pStyle w:val="CommentaryText"/>
        <w:spacing w:before="80"/>
      </w:pPr>
      <w:r w:rsidRPr="0062582F">
        <w:t>In instances where the entity can settle amounts in a manner such that the outcome is in effect equivalent to the net settlement, the entity will meet the net settlement criteria. This will occur if, and only if, the gross settlement mechanism has features that eliminate or result, in insignificant credit and liquidity risk, and that will process receivables and payables in a single settlement process or cycle.</w:t>
      </w:r>
    </w:p>
    <w:p w:rsidR="004843DB" w:rsidRPr="0062582F" w:rsidRDefault="004843DB" w:rsidP="004843DB">
      <w:pPr>
        <w:pStyle w:val="CommentaryText"/>
        <w:spacing w:before="80"/>
      </w:pPr>
      <w:r w:rsidRPr="0062582F">
        <w:t>To the extent that these arrangements meet the criteria for offsetting in the statement of financial position, they are reported on a net basis.</w:t>
      </w:r>
    </w:p>
    <w:p w:rsidR="004843DB" w:rsidRPr="0062582F" w:rsidRDefault="004843DB" w:rsidP="004843DB">
      <w:pPr>
        <w:pStyle w:val="CommentaryText"/>
        <w:spacing w:before="80"/>
      </w:pPr>
      <w:r w:rsidRPr="0062582F">
        <w:t>Where the entity does not have a legally enforceable right to offset recognised amounts, because the right to offset is enforceable only on the occurrence of future events such as a default on the bank loans or other credit events, they are reported on a gross basis.</w:t>
      </w:r>
    </w:p>
    <w:p w:rsidR="004843DB" w:rsidRPr="0062582F" w:rsidRDefault="004843DB" w:rsidP="004843DB">
      <w:pPr>
        <w:pStyle w:val="CommentaryText"/>
        <w:spacing w:before="80"/>
      </w:pPr>
      <w:r w:rsidRPr="0062582F">
        <w:t>The following table sets out the carrying amounts of recognised financial instruments that are subject to the above agreements:</w:t>
      </w:r>
    </w:p>
    <w:p w:rsidR="004843DB" w:rsidRPr="0062582F" w:rsidRDefault="004843DB" w:rsidP="004843DB">
      <w:pPr>
        <w:spacing w:before="40"/>
        <w:rPr>
          <w:sz w:val="16"/>
          <w:szCs w:val="16"/>
        </w:rPr>
      </w:pPr>
    </w:p>
    <w:tbl>
      <w:tblPr>
        <w:tblStyle w:val="TableGrid"/>
        <w:tblW w:w="8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1960"/>
        <w:gridCol w:w="1413"/>
        <w:gridCol w:w="1440"/>
        <w:gridCol w:w="1440"/>
        <w:gridCol w:w="1350"/>
        <w:gridCol w:w="659"/>
      </w:tblGrid>
      <w:tr w:rsidR="004843DB" w:rsidRPr="0062582F" w:rsidTr="004843DB">
        <w:tc>
          <w:tcPr>
            <w:tcW w:w="1960" w:type="dxa"/>
            <w:tcBorders>
              <w:top w:val="single" w:sz="6" w:space="0" w:color="0000FF"/>
              <w:bottom w:val="single" w:sz="6" w:space="0" w:color="0000FF"/>
            </w:tcBorders>
          </w:tcPr>
          <w:p w:rsidR="004843DB" w:rsidRPr="0062582F" w:rsidRDefault="004843DB" w:rsidP="004843DB">
            <w:pPr>
              <w:pStyle w:val="Tabletext"/>
              <w:spacing w:before="20" w:after="20"/>
              <w:rPr>
                <w:color w:val="0000FF"/>
              </w:rPr>
            </w:pPr>
          </w:p>
        </w:tc>
        <w:tc>
          <w:tcPr>
            <w:tcW w:w="1413" w:type="dxa"/>
            <w:tcBorders>
              <w:top w:val="single" w:sz="6" w:space="0" w:color="0000FF"/>
              <w:bottom w:val="single" w:sz="6" w:space="0" w:color="0000FF"/>
            </w:tcBorders>
          </w:tcPr>
          <w:p w:rsidR="004843DB" w:rsidRPr="0062582F" w:rsidRDefault="004843DB" w:rsidP="004843DB">
            <w:pPr>
              <w:pStyle w:val="Tabletextheading"/>
              <w:spacing w:before="20" w:after="20"/>
              <w:rPr>
                <w:color w:val="0000FF"/>
              </w:rPr>
            </w:pPr>
            <w:r w:rsidRPr="0062582F">
              <w:rPr>
                <w:color w:val="0000FF"/>
              </w:rPr>
              <w:t>Gross amounts of financial instruments in the balance sheet</w:t>
            </w:r>
          </w:p>
        </w:tc>
        <w:tc>
          <w:tcPr>
            <w:tcW w:w="1440" w:type="dxa"/>
            <w:tcBorders>
              <w:top w:val="single" w:sz="6" w:space="0" w:color="0000FF"/>
              <w:bottom w:val="single" w:sz="6" w:space="0" w:color="0000FF"/>
            </w:tcBorders>
          </w:tcPr>
          <w:p w:rsidR="004843DB" w:rsidRPr="0062582F" w:rsidRDefault="004843DB" w:rsidP="004843DB">
            <w:pPr>
              <w:pStyle w:val="Tabletextheading"/>
              <w:spacing w:before="20" w:after="20"/>
              <w:rPr>
                <w:color w:val="0000FF"/>
              </w:rPr>
            </w:pPr>
            <w:r w:rsidRPr="0062582F">
              <w:rPr>
                <w:color w:val="0000FF"/>
              </w:rPr>
              <w:t>Amounts offset when determining net amounts in balance sheet</w:t>
            </w:r>
          </w:p>
        </w:tc>
        <w:tc>
          <w:tcPr>
            <w:tcW w:w="1440" w:type="dxa"/>
            <w:tcBorders>
              <w:top w:val="single" w:sz="6" w:space="0" w:color="0000FF"/>
              <w:bottom w:val="single" w:sz="6" w:space="0" w:color="0000FF"/>
            </w:tcBorders>
          </w:tcPr>
          <w:p w:rsidR="004843DB" w:rsidRPr="0062582F" w:rsidRDefault="004843DB" w:rsidP="004843DB">
            <w:pPr>
              <w:pStyle w:val="Tabletextheading"/>
              <w:spacing w:before="20" w:after="20"/>
              <w:rPr>
                <w:color w:val="0000FF"/>
              </w:rPr>
            </w:pPr>
            <w:r w:rsidRPr="0062582F">
              <w:rPr>
                <w:color w:val="0000FF"/>
              </w:rPr>
              <w:t>Net amounts of financial instruments in the balance sheet</w:t>
            </w:r>
          </w:p>
        </w:tc>
        <w:tc>
          <w:tcPr>
            <w:tcW w:w="1350" w:type="dxa"/>
            <w:tcBorders>
              <w:top w:val="single" w:sz="6" w:space="0" w:color="0000FF"/>
              <w:bottom w:val="single" w:sz="6" w:space="0" w:color="0000FF"/>
            </w:tcBorders>
          </w:tcPr>
          <w:p w:rsidR="004843DB" w:rsidRPr="0062582F" w:rsidRDefault="004843DB" w:rsidP="004843DB">
            <w:pPr>
              <w:pStyle w:val="Tabletextheading"/>
              <w:spacing w:before="20" w:after="20"/>
              <w:rPr>
                <w:color w:val="0000FF"/>
              </w:rPr>
            </w:pPr>
            <w:r w:rsidRPr="0062582F">
              <w:rPr>
                <w:color w:val="0000FF"/>
              </w:rPr>
              <w:br/>
              <w:t>Related financial instruments that are not offset</w:t>
            </w:r>
          </w:p>
        </w:tc>
        <w:tc>
          <w:tcPr>
            <w:tcW w:w="659" w:type="dxa"/>
            <w:tcBorders>
              <w:top w:val="single" w:sz="6" w:space="0" w:color="0000FF"/>
              <w:bottom w:val="single" w:sz="6" w:space="0" w:color="0000FF"/>
            </w:tcBorders>
          </w:tcPr>
          <w:p w:rsidR="004843DB" w:rsidRPr="0062582F" w:rsidRDefault="004843DB" w:rsidP="004843DB">
            <w:pPr>
              <w:pStyle w:val="Tabletextheading"/>
              <w:spacing w:before="20" w:after="20"/>
              <w:rPr>
                <w:color w:val="0000FF"/>
              </w:rPr>
            </w:pPr>
            <w:r w:rsidRPr="0062582F">
              <w:rPr>
                <w:color w:val="0000FF"/>
              </w:rPr>
              <w:br/>
            </w:r>
            <w:r w:rsidRPr="0062582F">
              <w:rPr>
                <w:color w:val="0000FF"/>
              </w:rPr>
              <w:br/>
              <w:t>Net amount</w:t>
            </w:r>
          </w:p>
        </w:tc>
      </w:tr>
      <w:tr w:rsidR="004843DB" w:rsidRPr="0062582F" w:rsidTr="004843DB">
        <w:tc>
          <w:tcPr>
            <w:tcW w:w="1960" w:type="dxa"/>
            <w:tcBorders>
              <w:top w:val="single" w:sz="6" w:space="0" w:color="0000FF"/>
            </w:tcBorders>
          </w:tcPr>
          <w:p w:rsidR="004843DB" w:rsidRPr="0062582F" w:rsidRDefault="004843DB" w:rsidP="004843DB">
            <w:pPr>
              <w:pStyle w:val="Tabletext"/>
              <w:spacing w:before="20" w:after="20"/>
              <w:rPr>
                <w:b/>
                <w:color w:val="0000FF"/>
              </w:rPr>
            </w:pPr>
            <w:r w:rsidRPr="0062582F">
              <w:rPr>
                <w:b/>
                <w:color w:val="0000FF"/>
              </w:rPr>
              <w:t xml:space="preserve">30 June 2016 </w:t>
            </w:r>
            <w:r w:rsidRPr="0062582F">
              <w:rPr>
                <w:color w:val="0000FF"/>
                <w:vertAlign w:val="superscript"/>
              </w:rPr>
              <w:t>(i)</w:t>
            </w:r>
          </w:p>
        </w:tc>
        <w:tc>
          <w:tcPr>
            <w:tcW w:w="1413" w:type="dxa"/>
            <w:tcBorders>
              <w:top w:val="single" w:sz="6" w:space="0" w:color="0000FF"/>
            </w:tcBorders>
          </w:tcPr>
          <w:p w:rsidR="004843DB" w:rsidRPr="0062582F" w:rsidRDefault="004843DB" w:rsidP="004843DB">
            <w:pPr>
              <w:pStyle w:val="TableofFigures"/>
              <w:spacing w:before="20" w:after="20"/>
              <w:rPr>
                <w:color w:val="0000FF"/>
              </w:rPr>
            </w:pPr>
          </w:p>
        </w:tc>
        <w:tc>
          <w:tcPr>
            <w:tcW w:w="1440" w:type="dxa"/>
            <w:tcBorders>
              <w:top w:val="single" w:sz="6" w:space="0" w:color="0000FF"/>
            </w:tcBorders>
          </w:tcPr>
          <w:p w:rsidR="004843DB" w:rsidRPr="0062582F" w:rsidRDefault="004843DB" w:rsidP="004843DB">
            <w:pPr>
              <w:pStyle w:val="TableofFigures"/>
              <w:spacing w:before="20" w:after="20"/>
              <w:rPr>
                <w:color w:val="0000FF"/>
              </w:rPr>
            </w:pPr>
          </w:p>
        </w:tc>
        <w:tc>
          <w:tcPr>
            <w:tcW w:w="1440" w:type="dxa"/>
            <w:tcBorders>
              <w:top w:val="single" w:sz="6" w:space="0" w:color="0000FF"/>
            </w:tcBorders>
          </w:tcPr>
          <w:p w:rsidR="004843DB" w:rsidRPr="0062582F" w:rsidRDefault="004843DB" w:rsidP="004843DB">
            <w:pPr>
              <w:pStyle w:val="TableofFigures"/>
              <w:spacing w:before="20" w:after="20"/>
              <w:rPr>
                <w:color w:val="0000FF"/>
              </w:rPr>
            </w:pPr>
          </w:p>
        </w:tc>
        <w:tc>
          <w:tcPr>
            <w:tcW w:w="1350" w:type="dxa"/>
            <w:tcBorders>
              <w:top w:val="single" w:sz="6" w:space="0" w:color="0000FF"/>
            </w:tcBorders>
          </w:tcPr>
          <w:p w:rsidR="004843DB" w:rsidRPr="0062582F" w:rsidRDefault="004843DB" w:rsidP="004843DB">
            <w:pPr>
              <w:pStyle w:val="TableofFigures"/>
              <w:spacing w:before="20" w:after="20"/>
              <w:rPr>
                <w:color w:val="0000FF"/>
              </w:rPr>
            </w:pPr>
          </w:p>
        </w:tc>
        <w:tc>
          <w:tcPr>
            <w:tcW w:w="659" w:type="dxa"/>
            <w:tcBorders>
              <w:top w:val="single" w:sz="6" w:space="0" w:color="0000FF"/>
            </w:tcBorders>
          </w:tcPr>
          <w:p w:rsidR="004843DB" w:rsidRPr="0062582F" w:rsidRDefault="004843DB" w:rsidP="004843DB">
            <w:pPr>
              <w:pStyle w:val="TableofFigures"/>
              <w:spacing w:before="20" w:after="20"/>
              <w:rPr>
                <w:color w:val="0000FF"/>
              </w:rPr>
            </w:pPr>
          </w:p>
        </w:tc>
      </w:tr>
      <w:tr w:rsidR="004843DB" w:rsidRPr="0062582F" w:rsidTr="004843DB">
        <w:tc>
          <w:tcPr>
            <w:tcW w:w="1960" w:type="dxa"/>
          </w:tcPr>
          <w:p w:rsidR="004843DB" w:rsidRPr="0062582F" w:rsidRDefault="004843DB" w:rsidP="004843DB">
            <w:pPr>
              <w:pStyle w:val="Tabletext"/>
              <w:spacing w:before="20" w:after="20"/>
              <w:rPr>
                <w:b/>
                <w:color w:val="0000FF"/>
              </w:rPr>
            </w:pPr>
            <w:r w:rsidRPr="0062582F">
              <w:rPr>
                <w:b/>
                <w:color w:val="0000FF"/>
              </w:rPr>
              <w:t>Financial assets</w:t>
            </w:r>
          </w:p>
        </w:tc>
        <w:tc>
          <w:tcPr>
            <w:tcW w:w="1413" w:type="dxa"/>
          </w:tcPr>
          <w:p w:rsidR="004843DB" w:rsidRPr="0062582F" w:rsidRDefault="004843DB" w:rsidP="004843DB">
            <w:pPr>
              <w:pStyle w:val="TableofFigures"/>
              <w:spacing w:before="20" w:after="20"/>
              <w:rPr>
                <w:color w:val="0000FF"/>
              </w:rPr>
            </w:pPr>
          </w:p>
        </w:tc>
        <w:tc>
          <w:tcPr>
            <w:tcW w:w="1440" w:type="dxa"/>
          </w:tcPr>
          <w:p w:rsidR="004843DB" w:rsidRPr="0062582F" w:rsidRDefault="004843DB" w:rsidP="004843DB">
            <w:pPr>
              <w:pStyle w:val="TableofFigures"/>
              <w:spacing w:before="20" w:after="20"/>
              <w:rPr>
                <w:color w:val="0000FF"/>
              </w:rPr>
            </w:pPr>
          </w:p>
        </w:tc>
        <w:tc>
          <w:tcPr>
            <w:tcW w:w="1440" w:type="dxa"/>
          </w:tcPr>
          <w:p w:rsidR="004843DB" w:rsidRPr="0062582F" w:rsidRDefault="004843DB" w:rsidP="004843DB">
            <w:pPr>
              <w:pStyle w:val="TableofFigures"/>
              <w:spacing w:before="20" w:after="20"/>
              <w:rPr>
                <w:color w:val="0000FF"/>
              </w:rPr>
            </w:pPr>
          </w:p>
        </w:tc>
        <w:tc>
          <w:tcPr>
            <w:tcW w:w="1350" w:type="dxa"/>
          </w:tcPr>
          <w:p w:rsidR="004843DB" w:rsidRPr="0062582F" w:rsidRDefault="004843DB" w:rsidP="004843DB">
            <w:pPr>
              <w:pStyle w:val="TableofFigures"/>
              <w:spacing w:before="20" w:after="20"/>
              <w:rPr>
                <w:color w:val="0000FF"/>
              </w:rPr>
            </w:pPr>
          </w:p>
        </w:tc>
        <w:tc>
          <w:tcPr>
            <w:tcW w:w="659" w:type="dxa"/>
          </w:tcPr>
          <w:p w:rsidR="004843DB" w:rsidRPr="0062582F" w:rsidRDefault="004843DB" w:rsidP="004843DB">
            <w:pPr>
              <w:pStyle w:val="TableofFigures"/>
              <w:spacing w:before="20" w:after="20"/>
              <w:rPr>
                <w:color w:val="0000FF"/>
              </w:rPr>
            </w:pPr>
          </w:p>
        </w:tc>
      </w:tr>
      <w:tr w:rsidR="004843DB" w:rsidRPr="0062582F" w:rsidTr="004843DB">
        <w:tc>
          <w:tcPr>
            <w:tcW w:w="1960" w:type="dxa"/>
          </w:tcPr>
          <w:p w:rsidR="004843DB" w:rsidRPr="0062582F" w:rsidRDefault="004843DB" w:rsidP="004843DB">
            <w:pPr>
              <w:pStyle w:val="Tabletext"/>
              <w:spacing w:before="20" w:after="20"/>
              <w:rPr>
                <w:color w:val="0000FF"/>
              </w:rPr>
            </w:pPr>
            <w:r w:rsidRPr="0062582F">
              <w:rPr>
                <w:color w:val="0000FF"/>
              </w:rPr>
              <w:t>Other investments, including derivatives</w:t>
            </w:r>
          </w:p>
        </w:tc>
        <w:tc>
          <w:tcPr>
            <w:tcW w:w="1413" w:type="dxa"/>
          </w:tcPr>
          <w:p w:rsidR="004843DB" w:rsidRPr="0062582F" w:rsidRDefault="004843DB" w:rsidP="004843DB">
            <w:pPr>
              <w:pStyle w:val="TableofFigures"/>
              <w:spacing w:before="20" w:after="20"/>
              <w:rPr>
                <w:color w:val="0000FF"/>
              </w:rPr>
            </w:pPr>
            <w:r w:rsidRPr="0062582F">
              <w:rPr>
                <w:color w:val="0000FF"/>
              </w:rPr>
              <w:t>[$XXX]</w:t>
            </w:r>
          </w:p>
        </w:tc>
        <w:tc>
          <w:tcPr>
            <w:tcW w:w="1440" w:type="dxa"/>
          </w:tcPr>
          <w:p w:rsidR="004843DB" w:rsidRPr="0062582F" w:rsidRDefault="004843DB" w:rsidP="004843DB">
            <w:pPr>
              <w:pStyle w:val="TableofFigures"/>
              <w:spacing w:before="20" w:after="20"/>
              <w:rPr>
                <w:color w:val="0000FF"/>
              </w:rPr>
            </w:pPr>
            <w:r w:rsidRPr="0062582F">
              <w:rPr>
                <w:color w:val="0000FF"/>
              </w:rPr>
              <w:t>[$XXX]</w:t>
            </w:r>
          </w:p>
        </w:tc>
        <w:tc>
          <w:tcPr>
            <w:tcW w:w="1440" w:type="dxa"/>
          </w:tcPr>
          <w:p w:rsidR="004843DB" w:rsidRPr="0062582F" w:rsidRDefault="004843DB" w:rsidP="004843DB">
            <w:pPr>
              <w:pStyle w:val="TableofFigures"/>
              <w:spacing w:before="20" w:after="20"/>
              <w:rPr>
                <w:color w:val="0000FF"/>
              </w:rPr>
            </w:pPr>
            <w:r w:rsidRPr="0062582F">
              <w:rPr>
                <w:color w:val="0000FF"/>
              </w:rPr>
              <w:t>[$XXX]</w:t>
            </w:r>
          </w:p>
        </w:tc>
        <w:tc>
          <w:tcPr>
            <w:tcW w:w="1350" w:type="dxa"/>
          </w:tcPr>
          <w:p w:rsidR="004843DB" w:rsidRPr="0062582F" w:rsidRDefault="004843DB" w:rsidP="004843DB">
            <w:pPr>
              <w:pStyle w:val="TableofFigures"/>
              <w:spacing w:before="20" w:after="20"/>
              <w:rPr>
                <w:color w:val="0000FF"/>
              </w:rPr>
            </w:pPr>
            <w:r w:rsidRPr="0062582F">
              <w:rPr>
                <w:color w:val="0000FF"/>
              </w:rPr>
              <w:t>[$XXX]</w:t>
            </w:r>
          </w:p>
        </w:tc>
        <w:tc>
          <w:tcPr>
            <w:tcW w:w="659" w:type="dxa"/>
          </w:tcPr>
          <w:p w:rsidR="004843DB" w:rsidRPr="0062582F" w:rsidRDefault="004843DB" w:rsidP="004843DB">
            <w:pPr>
              <w:pStyle w:val="TableofFigures"/>
              <w:spacing w:before="20" w:after="20"/>
              <w:rPr>
                <w:color w:val="0000FF"/>
              </w:rPr>
            </w:pPr>
            <w:r w:rsidRPr="0062582F">
              <w:rPr>
                <w:color w:val="0000FF"/>
              </w:rPr>
              <w:t>[$XXX]</w:t>
            </w:r>
          </w:p>
        </w:tc>
      </w:tr>
      <w:tr w:rsidR="004843DB" w:rsidRPr="0062582F" w:rsidTr="004843DB">
        <w:tc>
          <w:tcPr>
            <w:tcW w:w="1960" w:type="dxa"/>
          </w:tcPr>
          <w:p w:rsidR="004843DB" w:rsidRPr="0062582F" w:rsidRDefault="004843DB" w:rsidP="004843DB">
            <w:pPr>
              <w:pStyle w:val="Tabletext"/>
              <w:spacing w:before="20" w:after="20"/>
              <w:rPr>
                <w:color w:val="0000FF"/>
              </w:rPr>
            </w:pPr>
            <w:r w:rsidRPr="0062582F">
              <w:rPr>
                <w:color w:val="0000FF"/>
              </w:rPr>
              <w:t>Interest rate swaps used for hedging</w:t>
            </w:r>
          </w:p>
        </w:tc>
        <w:tc>
          <w:tcPr>
            <w:tcW w:w="1413" w:type="dxa"/>
          </w:tcPr>
          <w:p w:rsidR="004843DB" w:rsidRPr="0062582F" w:rsidRDefault="004843DB" w:rsidP="004843DB">
            <w:pPr>
              <w:pStyle w:val="TableofFigures"/>
              <w:spacing w:before="20" w:after="20"/>
              <w:rPr>
                <w:color w:val="0000FF"/>
              </w:rPr>
            </w:pPr>
            <w:r w:rsidRPr="0062582F">
              <w:rPr>
                <w:color w:val="0000FF"/>
              </w:rPr>
              <w:t>[$XXX]</w:t>
            </w:r>
          </w:p>
        </w:tc>
        <w:tc>
          <w:tcPr>
            <w:tcW w:w="1440" w:type="dxa"/>
          </w:tcPr>
          <w:p w:rsidR="004843DB" w:rsidRPr="0062582F" w:rsidRDefault="004843DB" w:rsidP="004843DB">
            <w:pPr>
              <w:pStyle w:val="TableofFigures"/>
              <w:spacing w:before="20" w:after="20"/>
              <w:rPr>
                <w:color w:val="0000FF"/>
              </w:rPr>
            </w:pPr>
            <w:r w:rsidRPr="0062582F">
              <w:rPr>
                <w:color w:val="0000FF"/>
              </w:rPr>
              <w:t>[$XXX]</w:t>
            </w:r>
          </w:p>
        </w:tc>
        <w:tc>
          <w:tcPr>
            <w:tcW w:w="1440" w:type="dxa"/>
          </w:tcPr>
          <w:p w:rsidR="004843DB" w:rsidRPr="0062582F" w:rsidRDefault="004843DB" w:rsidP="004843DB">
            <w:pPr>
              <w:pStyle w:val="TableofFigures"/>
              <w:spacing w:before="20" w:after="20"/>
              <w:rPr>
                <w:color w:val="0000FF"/>
              </w:rPr>
            </w:pPr>
            <w:r w:rsidRPr="0062582F">
              <w:rPr>
                <w:color w:val="0000FF"/>
              </w:rPr>
              <w:t>[$XXX]</w:t>
            </w:r>
          </w:p>
        </w:tc>
        <w:tc>
          <w:tcPr>
            <w:tcW w:w="1350" w:type="dxa"/>
          </w:tcPr>
          <w:p w:rsidR="004843DB" w:rsidRPr="0062582F" w:rsidRDefault="004843DB" w:rsidP="004843DB">
            <w:pPr>
              <w:pStyle w:val="TableofFigures"/>
              <w:spacing w:before="20" w:after="20"/>
              <w:rPr>
                <w:color w:val="0000FF"/>
              </w:rPr>
            </w:pPr>
            <w:r w:rsidRPr="0062582F">
              <w:rPr>
                <w:color w:val="0000FF"/>
              </w:rPr>
              <w:t>[$XXX]</w:t>
            </w:r>
          </w:p>
        </w:tc>
        <w:tc>
          <w:tcPr>
            <w:tcW w:w="659" w:type="dxa"/>
          </w:tcPr>
          <w:p w:rsidR="004843DB" w:rsidRPr="0062582F" w:rsidRDefault="004843DB" w:rsidP="004843DB">
            <w:pPr>
              <w:pStyle w:val="TableofFigures"/>
              <w:spacing w:before="20" w:after="20"/>
              <w:rPr>
                <w:color w:val="0000FF"/>
              </w:rPr>
            </w:pPr>
            <w:r w:rsidRPr="0062582F">
              <w:rPr>
                <w:color w:val="0000FF"/>
              </w:rPr>
              <w:t>[$XXX]</w:t>
            </w:r>
          </w:p>
        </w:tc>
      </w:tr>
      <w:tr w:rsidR="004843DB" w:rsidRPr="0062582F" w:rsidTr="004843DB">
        <w:tc>
          <w:tcPr>
            <w:tcW w:w="1960" w:type="dxa"/>
          </w:tcPr>
          <w:p w:rsidR="004843DB" w:rsidRPr="0062582F" w:rsidRDefault="004843DB" w:rsidP="004843DB">
            <w:pPr>
              <w:pStyle w:val="Tabletext"/>
              <w:spacing w:before="20" w:after="20"/>
              <w:rPr>
                <w:color w:val="0000FF"/>
              </w:rPr>
            </w:pPr>
            <w:r w:rsidRPr="0062582F">
              <w:rPr>
                <w:color w:val="0000FF"/>
              </w:rPr>
              <w:t>Forward exchange contracts used for hedging</w:t>
            </w:r>
          </w:p>
        </w:tc>
        <w:tc>
          <w:tcPr>
            <w:tcW w:w="1413" w:type="dxa"/>
          </w:tcPr>
          <w:p w:rsidR="004843DB" w:rsidRPr="0062582F" w:rsidRDefault="004843DB" w:rsidP="004843DB">
            <w:pPr>
              <w:pStyle w:val="TableofFigures"/>
              <w:spacing w:before="20" w:after="20"/>
              <w:rPr>
                <w:color w:val="0000FF"/>
              </w:rPr>
            </w:pPr>
            <w:r w:rsidRPr="0062582F">
              <w:rPr>
                <w:color w:val="0000FF"/>
              </w:rPr>
              <w:t>[$XXX]</w:t>
            </w:r>
          </w:p>
        </w:tc>
        <w:tc>
          <w:tcPr>
            <w:tcW w:w="1440" w:type="dxa"/>
          </w:tcPr>
          <w:p w:rsidR="004843DB" w:rsidRPr="0062582F" w:rsidRDefault="004843DB" w:rsidP="004843DB">
            <w:pPr>
              <w:pStyle w:val="TableofFigures"/>
              <w:spacing w:before="20" w:after="20"/>
              <w:rPr>
                <w:color w:val="0000FF"/>
              </w:rPr>
            </w:pPr>
            <w:r w:rsidRPr="0062582F">
              <w:rPr>
                <w:color w:val="0000FF"/>
              </w:rPr>
              <w:t>[$XXX]</w:t>
            </w:r>
          </w:p>
        </w:tc>
        <w:tc>
          <w:tcPr>
            <w:tcW w:w="1440" w:type="dxa"/>
          </w:tcPr>
          <w:p w:rsidR="004843DB" w:rsidRPr="0062582F" w:rsidRDefault="004843DB" w:rsidP="004843DB">
            <w:pPr>
              <w:pStyle w:val="TableofFigures"/>
              <w:spacing w:before="20" w:after="20"/>
              <w:rPr>
                <w:color w:val="0000FF"/>
              </w:rPr>
            </w:pPr>
            <w:r w:rsidRPr="0062582F">
              <w:rPr>
                <w:color w:val="0000FF"/>
              </w:rPr>
              <w:t>[$XXX]</w:t>
            </w:r>
          </w:p>
        </w:tc>
        <w:tc>
          <w:tcPr>
            <w:tcW w:w="1350" w:type="dxa"/>
          </w:tcPr>
          <w:p w:rsidR="004843DB" w:rsidRPr="0062582F" w:rsidRDefault="004843DB" w:rsidP="004843DB">
            <w:pPr>
              <w:pStyle w:val="TableofFigures"/>
              <w:spacing w:before="20" w:after="20"/>
              <w:rPr>
                <w:color w:val="0000FF"/>
              </w:rPr>
            </w:pPr>
            <w:r w:rsidRPr="0062582F">
              <w:rPr>
                <w:color w:val="0000FF"/>
              </w:rPr>
              <w:t>[$XXX]</w:t>
            </w:r>
          </w:p>
        </w:tc>
        <w:tc>
          <w:tcPr>
            <w:tcW w:w="659" w:type="dxa"/>
          </w:tcPr>
          <w:p w:rsidR="004843DB" w:rsidRPr="0062582F" w:rsidRDefault="004843DB" w:rsidP="004843DB">
            <w:pPr>
              <w:pStyle w:val="TableofFigures"/>
              <w:spacing w:before="20" w:after="20"/>
              <w:rPr>
                <w:color w:val="0000FF"/>
              </w:rPr>
            </w:pPr>
            <w:r w:rsidRPr="0062582F">
              <w:rPr>
                <w:color w:val="0000FF"/>
              </w:rPr>
              <w:t>[$XXX]</w:t>
            </w:r>
          </w:p>
        </w:tc>
      </w:tr>
      <w:tr w:rsidR="004843DB" w:rsidRPr="0062582F" w:rsidTr="004843DB">
        <w:tc>
          <w:tcPr>
            <w:tcW w:w="1960" w:type="dxa"/>
            <w:tcBorders>
              <w:bottom w:val="single" w:sz="6" w:space="0" w:color="0000FF"/>
            </w:tcBorders>
          </w:tcPr>
          <w:p w:rsidR="004843DB" w:rsidRPr="0062582F" w:rsidRDefault="004843DB" w:rsidP="004843DB">
            <w:pPr>
              <w:pStyle w:val="Tabletext"/>
              <w:spacing w:before="20" w:after="20"/>
              <w:rPr>
                <w:color w:val="0000FF"/>
              </w:rPr>
            </w:pPr>
            <w:r w:rsidRPr="0062582F">
              <w:rPr>
                <w:color w:val="0000FF"/>
              </w:rPr>
              <w:t>Other forward exchange contracts</w:t>
            </w:r>
          </w:p>
        </w:tc>
        <w:tc>
          <w:tcPr>
            <w:tcW w:w="1413" w:type="dxa"/>
            <w:tcBorders>
              <w:bottom w:val="single" w:sz="6" w:space="0" w:color="0000FF"/>
            </w:tcBorders>
          </w:tcPr>
          <w:p w:rsidR="004843DB" w:rsidRPr="0062582F" w:rsidRDefault="004843DB" w:rsidP="004843DB">
            <w:pPr>
              <w:pStyle w:val="TableofFigures"/>
              <w:spacing w:before="20" w:after="20"/>
              <w:rPr>
                <w:color w:val="0000FF"/>
              </w:rPr>
            </w:pPr>
            <w:r w:rsidRPr="0062582F">
              <w:rPr>
                <w:color w:val="0000FF"/>
              </w:rPr>
              <w:t>[$XXX]</w:t>
            </w:r>
          </w:p>
        </w:tc>
        <w:tc>
          <w:tcPr>
            <w:tcW w:w="1440" w:type="dxa"/>
            <w:tcBorders>
              <w:bottom w:val="single" w:sz="6" w:space="0" w:color="0000FF"/>
            </w:tcBorders>
          </w:tcPr>
          <w:p w:rsidR="004843DB" w:rsidRPr="0062582F" w:rsidRDefault="004843DB" w:rsidP="004843DB">
            <w:pPr>
              <w:pStyle w:val="TableofFigures"/>
              <w:spacing w:before="20" w:after="20"/>
              <w:rPr>
                <w:color w:val="0000FF"/>
              </w:rPr>
            </w:pPr>
            <w:r w:rsidRPr="0062582F">
              <w:rPr>
                <w:color w:val="0000FF"/>
              </w:rPr>
              <w:t>[$XXX]</w:t>
            </w:r>
          </w:p>
        </w:tc>
        <w:tc>
          <w:tcPr>
            <w:tcW w:w="1440" w:type="dxa"/>
            <w:tcBorders>
              <w:bottom w:val="single" w:sz="6" w:space="0" w:color="0000FF"/>
            </w:tcBorders>
          </w:tcPr>
          <w:p w:rsidR="004843DB" w:rsidRPr="0062582F" w:rsidRDefault="004843DB" w:rsidP="004843DB">
            <w:pPr>
              <w:pStyle w:val="TableofFigures"/>
              <w:spacing w:before="20" w:after="20"/>
              <w:rPr>
                <w:color w:val="0000FF"/>
              </w:rPr>
            </w:pPr>
            <w:r w:rsidRPr="0062582F">
              <w:rPr>
                <w:color w:val="0000FF"/>
              </w:rPr>
              <w:t>[$XXX]</w:t>
            </w:r>
          </w:p>
        </w:tc>
        <w:tc>
          <w:tcPr>
            <w:tcW w:w="1350" w:type="dxa"/>
            <w:tcBorders>
              <w:bottom w:val="single" w:sz="6" w:space="0" w:color="0000FF"/>
            </w:tcBorders>
          </w:tcPr>
          <w:p w:rsidR="004843DB" w:rsidRPr="0062582F" w:rsidRDefault="004843DB" w:rsidP="004843DB">
            <w:pPr>
              <w:pStyle w:val="TableofFigures"/>
              <w:spacing w:before="20" w:after="20"/>
              <w:rPr>
                <w:color w:val="0000FF"/>
              </w:rPr>
            </w:pPr>
            <w:r w:rsidRPr="0062582F">
              <w:rPr>
                <w:color w:val="0000FF"/>
              </w:rPr>
              <w:t>[$XXX]</w:t>
            </w:r>
          </w:p>
        </w:tc>
        <w:tc>
          <w:tcPr>
            <w:tcW w:w="659" w:type="dxa"/>
            <w:tcBorders>
              <w:bottom w:val="single" w:sz="6" w:space="0" w:color="0000FF"/>
            </w:tcBorders>
          </w:tcPr>
          <w:p w:rsidR="004843DB" w:rsidRPr="0062582F" w:rsidRDefault="004843DB" w:rsidP="004843DB">
            <w:pPr>
              <w:pStyle w:val="TableofFigures"/>
              <w:spacing w:before="20" w:after="20"/>
              <w:rPr>
                <w:color w:val="0000FF"/>
              </w:rPr>
            </w:pPr>
            <w:r w:rsidRPr="0062582F">
              <w:rPr>
                <w:color w:val="0000FF"/>
              </w:rPr>
              <w:t>[$XXX]</w:t>
            </w:r>
          </w:p>
        </w:tc>
      </w:tr>
      <w:tr w:rsidR="004843DB" w:rsidRPr="0062582F" w:rsidTr="004843DB">
        <w:tc>
          <w:tcPr>
            <w:tcW w:w="1960" w:type="dxa"/>
            <w:tcBorders>
              <w:top w:val="single" w:sz="6" w:space="0" w:color="0000FF"/>
            </w:tcBorders>
          </w:tcPr>
          <w:p w:rsidR="004843DB" w:rsidRPr="0062582F" w:rsidRDefault="004843DB" w:rsidP="004843DB">
            <w:pPr>
              <w:pStyle w:val="Tabletext"/>
              <w:spacing w:before="20" w:after="20"/>
              <w:rPr>
                <w:b/>
                <w:color w:val="0000FF"/>
              </w:rPr>
            </w:pPr>
            <w:r w:rsidRPr="0062582F">
              <w:rPr>
                <w:b/>
                <w:color w:val="0000FF"/>
              </w:rPr>
              <w:t>Financial liabilities</w:t>
            </w:r>
          </w:p>
        </w:tc>
        <w:tc>
          <w:tcPr>
            <w:tcW w:w="1413" w:type="dxa"/>
            <w:tcBorders>
              <w:top w:val="single" w:sz="6" w:space="0" w:color="0000FF"/>
            </w:tcBorders>
          </w:tcPr>
          <w:p w:rsidR="004843DB" w:rsidRPr="0062582F" w:rsidRDefault="004843DB" w:rsidP="004843DB">
            <w:pPr>
              <w:pStyle w:val="TableofFigures"/>
              <w:spacing w:before="20" w:after="20"/>
              <w:rPr>
                <w:color w:val="0000FF"/>
              </w:rPr>
            </w:pPr>
          </w:p>
        </w:tc>
        <w:tc>
          <w:tcPr>
            <w:tcW w:w="1440" w:type="dxa"/>
            <w:tcBorders>
              <w:top w:val="single" w:sz="6" w:space="0" w:color="0000FF"/>
            </w:tcBorders>
          </w:tcPr>
          <w:p w:rsidR="004843DB" w:rsidRPr="0062582F" w:rsidRDefault="004843DB" w:rsidP="004843DB">
            <w:pPr>
              <w:pStyle w:val="TableofFigures"/>
              <w:spacing w:before="20" w:after="20"/>
              <w:rPr>
                <w:color w:val="0000FF"/>
              </w:rPr>
            </w:pPr>
          </w:p>
        </w:tc>
        <w:tc>
          <w:tcPr>
            <w:tcW w:w="1440" w:type="dxa"/>
            <w:tcBorders>
              <w:top w:val="single" w:sz="6" w:space="0" w:color="0000FF"/>
            </w:tcBorders>
          </w:tcPr>
          <w:p w:rsidR="004843DB" w:rsidRPr="0062582F" w:rsidRDefault="004843DB" w:rsidP="004843DB">
            <w:pPr>
              <w:pStyle w:val="TableofFigures"/>
              <w:spacing w:before="20" w:after="20"/>
              <w:rPr>
                <w:color w:val="0000FF"/>
              </w:rPr>
            </w:pPr>
          </w:p>
        </w:tc>
        <w:tc>
          <w:tcPr>
            <w:tcW w:w="1350" w:type="dxa"/>
            <w:tcBorders>
              <w:top w:val="single" w:sz="6" w:space="0" w:color="0000FF"/>
            </w:tcBorders>
          </w:tcPr>
          <w:p w:rsidR="004843DB" w:rsidRPr="0062582F" w:rsidRDefault="004843DB" w:rsidP="004843DB">
            <w:pPr>
              <w:pStyle w:val="TableofFigures"/>
              <w:spacing w:before="20" w:after="20"/>
              <w:rPr>
                <w:color w:val="0000FF"/>
              </w:rPr>
            </w:pPr>
          </w:p>
        </w:tc>
        <w:tc>
          <w:tcPr>
            <w:tcW w:w="659" w:type="dxa"/>
            <w:tcBorders>
              <w:top w:val="single" w:sz="6" w:space="0" w:color="0000FF"/>
            </w:tcBorders>
          </w:tcPr>
          <w:p w:rsidR="004843DB" w:rsidRPr="0062582F" w:rsidRDefault="004843DB" w:rsidP="004843DB">
            <w:pPr>
              <w:pStyle w:val="TableofFigures"/>
              <w:spacing w:before="20" w:after="20"/>
              <w:rPr>
                <w:color w:val="0000FF"/>
              </w:rPr>
            </w:pPr>
          </w:p>
        </w:tc>
      </w:tr>
      <w:tr w:rsidR="004843DB" w:rsidRPr="0062582F" w:rsidTr="004843DB">
        <w:tc>
          <w:tcPr>
            <w:tcW w:w="1960" w:type="dxa"/>
          </w:tcPr>
          <w:p w:rsidR="004843DB" w:rsidRPr="0062582F" w:rsidRDefault="004843DB" w:rsidP="004843DB">
            <w:pPr>
              <w:pStyle w:val="Tabletext"/>
              <w:spacing w:before="20" w:after="20"/>
              <w:rPr>
                <w:color w:val="0000FF"/>
              </w:rPr>
            </w:pPr>
            <w:r w:rsidRPr="0062582F">
              <w:rPr>
                <w:color w:val="0000FF"/>
              </w:rPr>
              <w:t>Trade and other payables</w:t>
            </w:r>
          </w:p>
        </w:tc>
        <w:tc>
          <w:tcPr>
            <w:tcW w:w="1413" w:type="dxa"/>
          </w:tcPr>
          <w:p w:rsidR="004843DB" w:rsidRPr="0062582F" w:rsidRDefault="004843DB" w:rsidP="004843DB">
            <w:pPr>
              <w:pStyle w:val="TableofFigures"/>
              <w:spacing w:before="20" w:after="20"/>
              <w:rPr>
                <w:color w:val="0000FF"/>
              </w:rPr>
            </w:pPr>
            <w:r w:rsidRPr="0062582F">
              <w:rPr>
                <w:color w:val="0000FF"/>
              </w:rPr>
              <w:t>[$XXX]</w:t>
            </w:r>
          </w:p>
        </w:tc>
        <w:tc>
          <w:tcPr>
            <w:tcW w:w="1440" w:type="dxa"/>
          </w:tcPr>
          <w:p w:rsidR="004843DB" w:rsidRPr="0062582F" w:rsidRDefault="004843DB" w:rsidP="004843DB">
            <w:pPr>
              <w:pStyle w:val="TableofFigures"/>
              <w:spacing w:before="20" w:after="20"/>
              <w:rPr>
                <w:color w:val="0000FF"/>
              </w:rPr>
            </w:pPr>
            <w:r w:rsidRPr="0062582F">
              <w:rPr>
                <w:color w:val="0000FF"/>
              </w:rPr>
              <w:t>[$XXX]</w:t>
            </w:r>
          </w:p>
        </w:tc>
        <w:tc>
          <w:tcPr>
            <w:tcW w:w="1440" w:type="dxa"/>
          </w:tcPr>
          <w:p w:rsidR="004843DB" w:rsidRPr="0062582F" w:rsidRDefault="004843DB" w:rsidP="004843DB">
            <w:pPr>
              <w:pStyle w:val="TableofFigures"/>
              <w:spacing w:before="20" w:after="20"/>
              <w:rPr>
                <w:color w:val="0000FF"/>
              </w:rPr>
            </w:pPr>
            <w:r w:rsidRPr="0062582F">
              <w:rPr>
                <w:color w:val="0000FF"/>
              </w:rPr>
              <w:t>[$XXX]</w:t>
            </w:r>
          </w:p>
        </w:tc>
        <w:tc>
          <w:tcPr>
            <w:tcW w:w="1350" w:type="dxa"/>
          </w:tcPr>
          <w:p w:rsidR="004843DB" w:rsidRPr="0062582F" w:rsidRDefault="004843DB" w:rsidP="004843DB">
            <w:pPr>
              <w:pStyle w:val="TableofFigures"/>
              <w:spacing w:before="20" w:after="20"/>
              <w:rPr>
                <w:color w:val="0000FF"/>
              </w:rPr>
            </w:pPr>
            <w:r w:rsidRPr="0062582F">
              <w:rPr>
                <w:color w:val="0000FF"/>
              </w:rPr>
              <w:t>[$XXX]</w:t>
            </w:r>
          </w:p>
        </w:tc>
        <w:tc>
          <w:tcPr>
            <w:tcW w:w="659" w:type="dxa"/>
          </w:tcPr>
          <w:p w:rsidR="004843DB" w:rsidRPr="0062582F" w:rsidRDefault="004843DB" w:rsidP="004843DB">
            <w:pPr>
              <w:pStyle w:val="TableofFigures"/>
              <w:spacing w:before="20" w:after="20"/>
              <w:rPr>
                <w:color w:val="0000FF"/>
              </w:rPr>
            </w:pPr>
            <w:r w:rsidRPr="0062582F">
              <w:rPr>
                <w:color w:val="0000FF"/>
              </w:rPr>
              <w:t>[$XXX]</w:t>
            </w:r>
          </w:p>
        </w:tc>
      </w:tr>
      <w:tr w:rsidR="004843DB" w:rsidRPr="0062582F" w:rsidTr="004843DB">
        <w:tc>
          <w:tcPr>
            <w:tcW w:w="1960" w:type="dxa"/>
          </w:tcPr>
          <w:p w:rsidR="004843DB" w:rsidRPr="0062582F" w:rsidRDefault="004843DB" w:rsidP="004843DB">
            <w:pPr>
              <w:pStyle w:val="Tabletext"/>
              <w:spacing w:before="20" w:after="20"/>
              <w:rPr>
                <w:color w:val="0000FF"/>
              </w:rPr>
            </w:pPr>
            <w:r w:rsidRPr="0062582F">
              <w:rPr>
                <w:color w:val="0000FF"/>
              </w:rPr>
              <w:t>Interest rate swaps used for hedging</w:t>
            </w:r>
          </w:p>
        </w:tc>
        <w:tc>
          <w:tcPr>
            <w:tcW w:w="1413" w:type="dxa"/>
          </w:tcPr>
          <w:p w:rsidR="004843DB" w:rsidRPr="0062582F" w:rsidRDefault="004843DB" w:rsidP="004843DB">
            <w:pPr>
              <w:pStyle w:val="TableofFigures"/>
              <w:spacing w:before="20" w:after="20"/>
              <w:rPr>
                <w:color w:val="0000FF"/>
              </w:rPr>
            </w:pPr>
            <w:r w:rsidRPr="0062582F">
              <w:rPr>
                <w:color w:val="0000FF"/>
              </w:rPr>
              <w:t>[$XXX]</w:t>
            </w:r>
          </w:p>
        </w:tc>
        <w:tc>
          <w:tcPr>
            <w:tcW w:w="1440" w:type="dxa"/>
          </w:tcPr>
          <w:p w:rsidR="004843DB" w:rsidRPr="0062582F" w:rsidRDefault="004843DB" w:rsidP="004843DB">
            <w:pPr>
              <w:pStyle w:val="TableofFigures"/>
              <w:spacing w:before="20" w:after="20"/>
              <w:rPr>
                <w:color w:val="0000FF"/>
              </w:rPr>
            </w:pPr>
            <w:r w:rsidRPr="0062582F">
              <w:rPr>
                <w:color w:val="0000FF"/>
              </w:rPr>
              <w:t>[$XXX]</w:t>
            </w:r>
          </w:p>
        </w:tc>
        <w:tc>
          <w:tcPr>
            <w:tcW w:w="1440" w:type="dxa"/>
          </w:tcPr>
          <w:p w:rsidR="004843DB" w:rsidRPr="0062582F" w:rsidRDefault="004843DB" w:rsidP="004843DB">
            <w:pPr>
              <w:pStyle w:val="TableofFigures"/>
              <w:spacing w:before="20" w:after="20"/>
              <w:rPr>
                <w:color w:val="0000FF"/>
              </w:rPr>
            </w:pPr>
            <w:r w:rsidRPr="0062582F">
              <w:rPr>
                <w:color w:val="0000FF"/>
              </w:rPr>
              <w:t>[$XXX]</w:t>
            </w:r>
          </w:p>
        </w:tc>
        <w:tc>
          <w:tcPr>
            <w:tcW w:w="1350" w:type="dxa"/>
          </w:tcPr>
          <w:p w:rsidR="004843DB" w:rsidRPr="0062582F" w:rsidRDefault="004843DB" w:rsidP="004843DB">
            <w:pPr>
              <w:pStyle w:val="TableofFigures"/>
              <w:spacing w:before="20" w:after="20"/>
              <w:rPr>
                <w:color w:val="0000FF"/>
              </w:rPr>
            </w:pPr>
            <w:r w:rsidRPr="0062582F">
              <w:rPr>
                <w:color w:val="0000FF"/>
              </w:rPr>
              <w:t>[$XXX]</w:t>
            </w:r>
          </w:p>
        </w:tc>
        <w:tc>
          <w:tcPr>
            <w:tcW w:w="659" w:type="dxa"/>
          </w:tcPr>
          <w:p w:rsidR="004843DB" w:rsidRPr="0062582F" w:rsidRDefault="004843DB" w:rsidP="004843DB">
            <w:pPr>
              <w:pStyle w:val="TableofFigures"/>
              <w:spacing w:before="20" w:after="20"/>
              <w:rPr>
                <w:color w:val="0000FF"/>
              </w:rPr>
            </w:pPr>
            <w:r w:rsidRPr="0062582F">
              <w:rPr>
                <w:color w:val="0000FF"/>
              </w:rPr>
              <w:t>[$XXX]</w:t>
            </w:r>
          </w:p>
        </w:tc>
      </w:tr>
      <w:tr w:rsidR="004843DB" w:rsidRPr="0062582F" w:rsidTr="004843DB">
        <w:tc>
          <w:tcPr>
            <w:tcW w:w="1960" w:type="dxa"/>
            <w:tcBorders>
              <w:bottom w:val="single" w:sz="12" w:space="0" w:color="0000FF"/>
            </w:tcBorders>
          </w:tcPr>
          <w:p w:rsidR="004843DB" w:rsidRPr="0062582F" w:rsidRDefault="004843DB" w:rsidP="004843DB">
            <w:pPr>
              <w:pStyle w:val="Tabletext"/>
              <w:spacing w:before="20" w:after="20"/>
              <w:rPr>
                <w:color w:val="0000FF"/>
              </w:rPr>
            </w:pPr>
            <w:r w:rsidRPr="0062582F">
              <w:rPr>
                <w:color w:val="0000FF"/>
              </w:rPr>
              <w:t>Forward exchange contracts used for hedging</w:t>
            </w:r>
          </w:p>
        </w:tc>
        <w:tc>
          <w:tcPr>
            <w:tcW w:w="1413" w:type="dxa"/>
            <w:tcBorders>
              <w:bottom w:val="single" w:sz="12" w:space="0" w:color="0000FF"/>
            </w:tcBorders>
          </w:tcPr>
          <w:p w:rsidR="004843DB" w:rsidRPr="0062582F" w:rsidRDefault="004843DB" w:rsidP="004843DB">
            <w:pPr>
              <w:pStyle w:val="TableofFigures"/>
              <w:spacing w:before="20" w:after="20"/>
              <w:rPr>
                <w:color w:val="0000FF"/>
              </w:rPr>
            </w:pPr>
            <w:r w:rsidRPr="0062582F">
              <w:rPr>
                <w:color w:val="0000FF"/>
              </w:rPr>
              <w:t>[$XXX]</w:t>
            </w:r>
          </w:p>
        </w:tc>
        <w:tc>
          <w:tcPr>
            <w:tcW w:w="1440" w:type="dxa"/>
            <w:tcBorders>
              <w:bottom w:val="single" w:sz="12" w:space="0" w:color="0000FF"/>
            </w:tcBorders>
          </w:tcPr>
          <w:p w:rsidR="004843DB" w:rsidRPr="0062582F" w:rsidRDefault="004843DB" w:rsidP="004843DB">
            <w:pPr>
              <w:pStyle w:val="TableofFigures"/>
              <w:spacing w:before="20" w:after="20"/>
              <w:rPr>
                <w:color w:val="0000FF"/>
              </w:rPr>
            </w:pPr>
            <w:r w:rsidRPr="0062582F">
              <w:rPr>
                <w:color w:val="0000FF"/>
              </w:rPr>
              <w:t>[$XXX]</w:t>
            </w:r>
          </w:p>
        </w:tc>
        <w:tc>
          <w:tcPr>
            <w:tcW w:w="1440" w:type="dxa"/>
            <w:tcBorders>
              <w:bottom w:val="single" w:sz="12" w:space="0" w:color="0000FF"/>
            </w:tcBorders>
          </w:tcPr>
          <w:p w:rsidR="004843DB" w:rsidRPr="0062582F" w:rsidRDefault="004843DB" w:rsidP="004843DB">
            <w:pPr>
              <w:pStyle w:val="TableofFigures"/>
              <w:spacing w:before="20" w:after="20"/>
              <w:rPr>
                <w:color w:val="0000FF"/>
              </w:rPr>
            </w:pPr>
            <w:r w:rsidRPr="0062582F">
              <w:rPr>
                <w:color w:val="0000FF"/>
              </w:rPr>
              <w:t>[$XXX]</w:t>
            </w:r>
          </w:p>
        </w:tc>
        <w:tc>
          <w:tcPr>
            <w:tcW w:w="1350" w:type="dxa"/>
            <w:tcBorders>
              <w:bottom w:val="single" w:sz="12" w:space="0" w:color="0000FF"/>
            </w:tcBorders>
          </w:tcPr>
          <w:p w:rsidR="004843DB" w:rsidRPr="0062582F" w:rsidRDefault="004843DB" w:rsidP="004843DB">
            <w:pPr>
              <w:pStyle w:val="TableofFigures"/>
              <w:spacing w:before="20" w:after="20"/>
              <w:rPr>
                <w:color w:val="0000FF"/>
              </w:rPr>
            </w:pPr>
            <w:r w:rsidRPr="0062582F">
              <w:rPr>
                <w:color w:val="0000FF"/>
              </w:rPr>
              <w:t>[$XXX]</w:t>
            </w:r>
          </w:p>
        </w:tc>
        <w:tc>
          <w:tcPr>
            <w:tcW w:w="659" w:type="dxa"/>
            <w:tcBorders>
              <w:bottom w:val="single" w:sz="12" w:space="0" w:color="0000FF"/>
            </w:tcBorders>
          </w:tcPr>
          <w:p w:rsidR="004843DB" w:rsidRPr="0062582F" w:rsidRDefault="004843DB" w:rsidP="004843DB">
            <w:pPr>
              <w:pStyle w:val="TableofFigures"/>
              <w:spacing w:before="20" w:after="20"/>
              <w:rPr>
                <w:color w:val="0000FF"/>
              </w:rPr>
            </w:pPr>
            <w:r w:rsidRPr="0062582F">
              <w:rPr>
                <w:color w:val="0000FF"/>
              </w:rPr>
              <w:t>[$XXX]</w:t>
            </w:r>
          </w:p>
        </w:tc>
      </w:tr>
    </w:tbl>
    <w:p w:rsidR="004843DB" w:rsidRPr="0062582F" w:rsidRDefault="004843DB" w:rsidP="004843DB">
      <w:pPr>
        <w:pStyle w:val="NotesBlue"/>
      </w:pPr>
      <w:r w:rsidRPr="0062582F">
        <w:t>Note:</w:t>
      </w:r>
    </w:p>
    <w:p w:rsidR="004843DB" w:rsidRPr="0062582F" w:rsidRDefault="004843DB" w:rsidP="004843DB">
      <w:pPr>
        <w:pStyle w:val="NotesBlue"/>
      </w:pPr>
      <w:r w:rsidRPr="0062582F">
        <w:t>(i)</w:t>
      </w:r>
      <w:r w:rsidRPr="0062582F">
        <w:tab/>
        <w:t xml:space="preserve">Comparatives will be required for disclosure. </w:t>
      </w:r>
    </w:p>
    <w:p w:rsidR="004843DB" w:rsidRPr="0062582F" w:rsidRDefault="004843DB" w:rsidP="004843DB">
      <w:pPr>
        <w:ind w:left="-182"/>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Headingcontinued"/>
      </w:pPr>
      <w:r w:rsidRPr="0062582F">
        <w:rPr>
          <w:rFonts w:ascii="Garamond" w:hAnsi="Garamond"/>
        </w:rPr>
        <w:br w:type="column"/>
      </w:r>
      <w:r w:rsidRPr="0062582F">
        <w:rPr>
          <w:rFonts w:ascii="Garamond" w:hAnsi="Garamond"/>
        </w:rPr>
        <w:br w:type="column"/>
      </w:r>
      <w:r w:rsidRPr="0062582F">
        <w:rPr>
          <w:rFonts w:ascii="Garamond" w:hAnsi="Garamond"/>
        </w:rPr>
        <w:br w:type="column"/>
      </w:r>
      <w:r w:rsidRPr="0062582F">
        <w:t>Note 33.</w:t>
      </w:r>
      <w:r w:rsidRPr="0062582F">
        <w:tab/>
        <w:t xml:space="preserve">Financial instruments </w:t>
      </w:r>
      <w:r w:rsidRPr="0062582F">
        <w:rPr>
          <w:i/>
        </w:rPr>
        <w:t>(continued)</w:t>
      </w:r>
    </w:p>
    <w:p w:rsidR="004843DB" w:rsidRPr="0062582F" w:rsidRDefault="004843DB" w:rsidP="004843DB">
      <w:pPr>
        <w:pStyle w:val="SmallLine"/>
      </w:pPr>
      <w:bookmarkStart w:id="584" w:name="_Toc163448911"/>
    </w:p>
    <w:p w:rsidR="004843DB" w:rsidRPr="0062582F" w:rsidRDefault="004843DB" w:rsidP="004843DB">
      <w:pPr>
        <w:pStyle w:val="CommentaryHeading"/>
      </w:pPr>
      <w:r w:rsidRPr="0062582F">
        <w:t xml:space="preserve">Commentary – </w:t>
      </w:r>
      <w:bookmarkEnd w:id="584"/>
      <w:r w:rsidRPr="0062582F">
        <w:t>Fair value</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top w:val="none" w:sz="0" w:space="0" w:color="auto"/>
          <w:bottom w:val="none" w:sz="0" w:space="0" w:color="auto"/>
        </w:pBdr>
      </w:pPr>
      <w:r w:rsidRPr="0062582F">
        <w:t>Carrying amount and fair value disclosure</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7.25</w:t>
      </w:r>
    </w:p>
    <w:p w:rsidR="004843DB" w:rsidRPr="0062582F" w:rsidRDefault="004843DB" w:rsidP="004843DB">
      <w:pPr>
        <w:pStyle w:val="CommentaryText"/>
        <w:pBdr>
          <w:top w:val="none" w:sz="0" w:space="0" w:color="auto"/>
          <w:left w:val="single" w:sz="6" w:space="4" w:color="0000FF"/>
          <w:bottom w:val="none" w:sz="0" w:space="0" w:color="auto"/>
          <w:right w:val="single" w:sz="6" w:space="4" w:color="0000FF"/>
        </w:pBdr>
      </w:pPr>
      <w:r w:rsidRPr="0062582F">
        <w:br w:type="column"/>
        <w:t xml:space="preserve">If management considers that the carrying amount of contractual financial assets and liabilities recorded in the financial statements does not approximate their fair values, or as set out in AASB 7.29, for each class of financial instruments, an entity shall disclose the fair value of that class of assets and liabilities in a way that permits it to be compared with the corresponding carrying amount in the balance sheet (AASB 139 provides guidance for determining fair value). In addition, for </w:t>
      </w:r>
      <w:r w:rsidRPr="0062582F">
        <w:rPr>
          <w:b/>
        </w:rPr>
        <w:t>each</w:t>
      </w:r>
      <w:r w:rsidRPr="0062582F">
        <w:t xml:space="preserve"> class of financial instrument that is recognised on the balance sheet at fair value, the entity shall disclose:</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7.27B(a)</w:t>
      </w:r>
    </w:p>
    <w:p w:rsidR="004843DB" w:rsidRPr="0062582F" w:rsidRDefault="004843DB" w:rsidP="004843DB">
      <w:pPr>
        <w:pStyle w:val="CommentaryTextIndent"/>
        <w:pBdr>
          <w:top w:val="none" w:sz="0" w:space="0" w:color="auto"/>
          <w:bottom w:val="none" w:sz="0" w:space="0" w:color="auto"/>
        </w:pBdr>
      </w:pPr>
      <w:r w:rsidRPr="0062582F">
        <w:br w:type="column"/>
        <w:t>(a)</w:t>
      </w:r>
      <w:r w:rsidRPr="0062582F">
        <w:tab/>
        <w:t>the level in the fair value hierarchy in accordance with the levels defined in AASB 7.27A;</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7.27B(b)</w:t>
      </w:r>
    </w:p>
    <w:p w:rsidR="004843DB" w:rsidRPr="0062582F" w:rsidRDefault="004843DB" w:rsidP="004843DB">
      <w:pPr>
        <w:pStyle w:val="CommentaryTextIndent"/>
        <w:pBdr>
          <w:top w:val="none" w:sz="0" w:space="0" w:color="auto"/>
          <w:bottom w:val="none" w:sz="0" w:space="0" w:color="auto"/>
        </w:pBdr>
      </w:pPr>
      <w:r w:rsidRPr="0062582F">
        <w:br w:type="column"/>
        <w:t>(b)</w:t>
      </w:r>
      <w:r w:rsidRPr="0062582F">
        <w:tab/>
        <w:t xml:space="preserve">any significant transfers in and transfers out between level 1 and level 2 of the fair value hierarchy and the reasons for those transfers. Transfers into each level shall be disclosed and discussed separately from transfers out of each level; </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7.27B(c)</w:t>
      </w:r>
    </w:p>
    <w:p w:rsidR="004843DB" w:rsidRPr="0062582F" w:rsidRDefault="004843DB" w:rsidP="004843DB">
      <w:pPr>
        <w:pStyle w:val="CommentaryTextIndent"/>
        <w:pBdr>
          <w:top w:val="none" w:sz="0" w:space="0" w:color="auto"/>
          <w:bottom w:val="none" w:sz="0" w:space="0" w:color="auto"/>
        </w:pBdr>
      </w:pPr>
      <w:r w:rsidRPr="0062582F">
        <w:br w:type="column"/>
        <w:t>(c)</w:t>
      </w:r>
      <w:r w:rsidRPr="0062582F">
        <w:tab/>
        <w:t>for level 3 of the fair value hierarchy, a reconciliation of opening balances to closing balances shown separately:</w:t>
      </w:r>
    </w:p>
    <w:p w:rsidR="004843DB" w:rsidRPr="0062582F" w:rsidRDefault="004843DB" w:rsidP="004843DB">
      <w:pPr>
        <w:pStyle w:val="CommentaryDashBlue"/>
      </w:pPr>
      <w:r w:rsidRPr="0062582F">
        <w:tab/>
        <w:t>–</w:t>
      </w:r>
      <w:r w:rsidRPr="0062582F">
        <w:tab/>
        <w:t xml:space="preserve">total gains or losses for the period recognised in profit or loss, and a description of where they are presented in the comprehensive operating statement (if presented); </w:t>
      </w:r>
    </w:p>
    <w:p w:rsidR="004843DB" w:rsidRPr="0062582F" w:rsidRDefault="004843DB" w:rsidP="004843DB">
      <w:pPr>
        <w:pStyle w:val="CommentaryDashBlue"/>
      </w:pPr>
      <w:r w:rsidRPr="0062582F">
        <w:tab/>
        <w:t>–</w:t>
      </w:r>
      <w:r w:rsidRPr="0062582F">
        <w:tab/>
        <w:t>total gains or losses recognised in other comprehensive income;</w:t>
      </w:r>
    </w:p>
    <w:p w:rsidR="004843DB" w:rsidRPr="0062582F" w:rsidRDefault="004843DB" w:rsidP="004843DB">
      <w:pPr>
        <w:pStyle w:val="CommentaryDashBlue"/>
      </w:pPr>
      <w:r w:rsidRPr="0062582F">
        <w:tab/>
        <w:t>–</w:t>
      </w:r>
      <w:r w:rsidRPr="0062582F">
        <w:tab/>
        <w:t xml:space="preserve">purchases, sales, issues and settlements (each type of movement disclosed separately); </w:t>
      </w:r>
    </w:p>
    <w:p w:rsidR="004843DB" w:rsidRPr="0062582F" w:rsidRDefault="004843DB" w:rsidP="004843DB">
      <w:pPr>
        <w:pStyle w:val="CommentaryDashBlue"/>
      </w:pPr>
      <w:r w:rsidRPr="0062582F">
        <w:tab/>
        <w:t>–</w:t>
      </w:r>
      <w:r w:rsidRPr="0062582F">
        <w:tab/>
        <w:t>transfers into or out of level 3 (e.g. transfers attributable to changes in the observability of market data) and the reasons for those transfers. For significant transfers, transfers into level 3 shall be disclosed and discussed separately from transfers out of level 3;</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7.27B(d)</w:t>
      </w:r>
    </w:p>
    <w:p w:rsidR="004843DB" w:rsidRPr="0062582F" w:rsidRDefault="004843DB" w:rsidP="004843DB">
      <w:pPr>
        <w:pStyle w:val="CommentaryTextIndent"/>
        <w:pBdr>
          <w:top w:val="none" w:sz="0" w:space="0" w:color="auto"/>
          <w:bottom w:val="none" w:sz="0" w:space="0" w:color="auto"/>
        </w:pBdr>
      </w:pPr>
      <w:r w:rsidRPr="0062582F">
        <w:br w:type="column"/>
        <w:t>(d)</w:t>
      </w:r>
      <w:r w:rsidRPr="0062582F">
        <w:tab/>
        <w:t xml:space="preserve">the amount of total gains or losses for the period that are recognised in profit or loss that are attributable to gains or losses relating to those assets and liabilities held at the end of the reporting period and a description of where those gains or losses are presented in the comprehensive statement (if presented); and </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7.27B(e)</w:t>
      </w:r>
    </w:p>
    <w:p w:rsidR="004843DB" w:rsidRPr="0062582F" w:rsidRDefault="004843DB" w:rsidP="004843DB">
      <w:pPr>
        <w:pStyle w:val="CommentaryTextIndent"/>
        <w:pBdr>
          <w:top w:val="none" w:sz="0" w:space="0" w:color="auto"/>
          <w:bottom w:val="none" w:sz="0" w:space="0" w:color="auto"/>
        </w:pBdr>
      </w:pPr>
      <w:r w:rsidRPr="0062582F">
        <w:br w:type="column"/>
        <w:t>(e)</w:t>
      </w:r>
      <w:r w:rsidRPr="0062582F">
        <w:tab/>
        <w:t>if changing one or more of the inputs to reasonably possible alternative assumptions would change fair value significantly, the entity shall state that fact, disclose the effect of those changes and how the effect was calculated.</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7.27A</w:t>
      </w:r>
    </w:p>
    <w:p w:rsidR="004843DB" w:rsidRPr="0062582F" w:rsidRDefault="004843DB" w:rsidP="004843DB">
      <w:pPr>
        <w:pStyle w:val="CommentaryText"/>
        <w:pBdr>
          <w:top w:val="none" w:sz="0" w:space="0" w:color="auto"/>
        </w:pBdr>
      </w:pPr>
      <w:r w:rsidRPr="0062582F">
        <w:br w:type="column"/>
        <w:t>The level in the fair value hierarchy in which the fair value measurement is categorised in its entirety shall be determined based on the lowest level input that is significant to the fair value measurement in its entirety. For this purpose, the significance of an input is assessed against the fair value measurement in its entirety. If a fair value measurement uses observable inputs that require significant adjustment based on unobservable inputs, that measurement is a level 3 measurement. Assessing the significance of a particular input to the fair value measurement in its entirety requires judgement, considering factors specific to the asset or liability.</w:t>
      </w:r>
    </w:p>
    <w:p w:rsidR="004843DB" w:rsidRPr="0062582F" w:rsidRDefault="004843DB" w:rsidP="004843DB">
      <w:pPr>
        <w:pStyle w:val="CommentaryText"/>
        <w:pBdr>
          <w:top w:val="none" w:sz="0" w:space="0" w:color="auto"/>
        </w:pBdr>
      </w:pPr>
      <w:r w:rsidRPr="0062582F">
        <w:t>A department shall present the quantitative fair value disclosures stated above in tabular format unless another format is more appropriate.</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r w:rsidRPr="0062582F">
        <w:br w:type="column"/>
      </w: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rPr>
          <w:i/>
        </w:rPr>
      </w:pPr>
      <w:r w:rsidRPr="0062582F">
        <w:t xml:space="preserve">Commentary – Fair value </w:t>
      </w:r>
      <w:r w:rsidRPr="0062582F">
        <w:rPr>
          <w:i/>
        </w:rPr>
        <w:t>(continued)</w:t>
      </w:r>
    </w:p>
    <w:p w:rsidR="004843DB" w:rsidRPr="0062582F" w:rsidRDefault="004843DB" w:rsidP="004843DB">
      <w:pPr>
        <w:pStyle w:val="SmallLineBlue"/>
        <w:pBdr>
          <w:bottom w:val="none" w:sz="0" w:space="0" w:color="auto"/>
        </w:pBdr>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1"/>
        <w:pBdr>
          <w:top w:val="none" w:sz="0" w:space="0" w:color="auto"/>
          <w:bottom w:val="none" w:sz="0" w:space="0" w:color="auto"/>
        </w:pBdr>
      </w:pPr>
      <w:r w:rsidRPr="0062582F">
        <w:br w:type="column"/>
        <w:t>Fair value determined using valuation techniques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t>AASB </w:t>
      </w:r>
      <w:r w:rsidRPr="0062582F">
        <w:rPr>
          <w:lang w:val="en-AU"/>
        </w:rPr>
        <w:t>7.27</w:t>
      </w:r>
    </w:p>
    <w:p w:rsidR="004843DB" w:rsidRPr="0062582F" w:rsidRDefault="004843DB" w:rsidP="004843DB">
      <w:pPr>
        <w:pStyle w:val="CommentaryText"/>
        <w:pBdr>
          <w:top w:val="none" w:sz="0" w:space="0" w:color="auto"/>
          <w:bottom w:val="none" w:sz="0" w:space="0" w:color="auto"/>
        </w:pBdr>
      </w:pPr>
      <w:r w:rsidRPr="0062582F">
        <w:br w:type="column"/>
        <w:t>The fair value hierarchy and the reconciliation of those financial instruments whose fair value is measured based on unobservable inputs (level 3) are required by class. Class of financial instrument is distinct from the categories of financial instruments specified in AASB 139 (which determines how financial instruments are measured and where changes in the fair value are recognised). The class of financial instrument is determined by the entity based on whether the financial instruments have similar characteristics, such as the valuation techniques, inputs or other matters.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7.27B(e)</w:t>
      </w:r>
    </w:p>
    <w:p w:rsidR="004843DB" w:rsidRPr="0062582F" w:rsidRDefault="004843DB" w:rsidP="004843DB">
      <w:pPr>
        <w:pStyle w:val="CommentaryText"/>
        <w:pBdr>
          <w:top w:val="none" w:sz="0" w:space="0" w:color="auto"/>
          <w:bottom w:val="none" w:sz="0" w:space="0" w:color="auto"/>
        </w:pBdr>
      </w:pPr>
      <w:r w:rsidRPr="0062582F">
        <w:br w:type="column"/>
        <w:t>Entities are required to disclose the effect of a reasonably possible alternative assumption, if this would change the fair value significantly. Disclosures about the effect of reasonably possible alternative unobservable inputs is likely to provide useful and transparent information if the analysis is provided at a disaggregated level.</w:t>
      </w:r>
    </w:p>
    <w:p w:rsidR="004843DB" w:rsidRPr="0062582F" w:rsidRDefault="004843DB" w:rsidP="004843DB">
      <w:pPr>
        <w:pStyle w:val="CommentaryText"/>
        <w:pBdr>
          <w:top w:val="none" w:sz="0" w:space="0" w:color="auto"/>
          <w:bottom w:val="none" w:sz="0" w:space="0" w:color="auto"/>
        </w:pBdr>
      </w:pPr>
      <w:r w:rsidRPr="0062582F">
        <w:t xml:space="preserve">Disclosures about the effect of reasonably possible alternative unobservable inputs could be enhanced through disclosure of how the effect has been calculated, allowing users to understand better the disclosure and what it represents. Entities might consider explaining: </w:t>
      </w:r>
    </w:p>
    <w:p w:rsidR="004843DB" w:rsidRPr="0062582F" w:rsidRDefault="004843DB" w:rsidP="004843DB">
      <w:pPr>
        <w:pStyle w:val="CommentaryBullet"/>
      </w:pPr>
      <w:r w:rsidRPr="0062582F">
        <w:t xml:space="preserve">what the entity regards as a reasonably possible alternative assumption; </w:t>
      </w:r>
    </w:p>
    <w:p w:rsidR="004843DB" w:rsidRPr="0062582F" w:rsidRDefault="004843DB" w:rsidP="004843DB">
      <w:pPr>
        <w:pStyle w:val="CommentaryBullet"/>
      </w:pPr>
      <w:r w:rsidRPr="0062582F">
        <w:t>how the entity calculated the effect disclosed;</w:t>
      </w:r>
    </w:p>
    <w:p w:rsidR="004843DB" w:rsidRPr="0062582F" w:rsidRDefault="004843DB" w:rsidP="004843DB">
      <w:pPr>
        <w:pStyle w:val="CommentaryBullet"/>
      </w:pPr>
      <w:r w:rsidRPr="0062582F">
        <w:t>whether the disclosure takes into account any offsetting or hedged positions; and</w:t>
      </w:r>
    </w:p>
    <w:p w:rsidR="004843DB" w:rsidRPr="0062582F" w:rsidRDefault="004843DB" w:rsidP="004843DB">
      <w:pPr>
        <w:pStyle w:val="CommentaryBullet"/>
      </w:pPr>
      <w:r w:rsidRPr="0062582F">
        <w:t xml:space="preserve">whether the effect disclosed represents the movement in a single input or a movement in all unobservable inputs. </w:t>
      </w:r>
    </w:p>
    <w:p w:rsidR="004843DB" w:rsidRPr="0062582F" w:rsidRDefault="004843DB" w:rsidP="004843DB">
      <w:pPr>
        <w:pStyle w:val="CommentaryHeading1"/>
        <w:pBdr>
          <w:top w:val="none" w:sz="0" w:space="0" w:color="auto"/>
          <w:bottom w:val="none" w:sz="0" w:space="0" w:color="auto"/>
        </w:pBdr>
      </w:pPr>
      <w:r w:rsidRPr="0062582F">
        <w:t>Fair value Level 3 financial asset and liability disclosure</w:t>
      </w:r>
    </w:p>
    <w:p w:rsidR="004843DB" w:rsidRPr="0062582F" w:rsidRDefault="004843DB" w:rsidP="004843DB">
      <w:pPr>
        <w:pStyle w:val="CommentaryText"/>
        <w:pBdr>
          <w:top w:val="none" w:sz="0" w:space="0" w:color="auto"/>
          <w:bottom w:val="none" w:sz="0" w:space="0" w:color="auto"/>
        </w:pBdr>
      </w:pPr>
      <w:r w:rsidRPr="0062582F">
        <w:t>AASB 13.93(h)(ii) requires a quantitative sensitivity analysis for financial assets and financial liabilities that are measured at fair value on a recurring basis. For all other recurring fair value measurements that are categorised within Level 3 of the fair value hierarchy, an entity is required to provide:</w:t>
      </w:r>
    </w:p>
    <w:p w:rsidR="004843DB" w:rsidRPr="0062582F" w:rsidRDefault="004843DB" w:rsidP="004843DB">
      <w:pPr>
        <w:pStyle w:val="CommentaryBullet"/>
        <w:rPr>
          <w:noProof/>
        </w:rPr>
      </w:pPr>
      <w:r w:rsidRPr="0062582F">
        <w:rPr>
          <w:noProof/>
        </w:rPr>
        <w:t xml:space="preserve">if changing one or more of the unobservable inputs to reflect reasonably possible alternative assumptions would change fair value significantly, an entity shall state that fact and disclose the effect of those changes; and </w:t>
      </w:r>
    </w:p>
    <w:p w:rsidR="004843DB" w:rsidRPr="0062582F" w:rsidRDefault="004843DB" w:rsidP="004843DB">
      <w:pPr>
        <w:pStyle w:val="CommentaryBullet"/>
        <w:rPr>
          <w:noProof/>
        </w:rPr>
      </w:pPr>
      <w:r w:rsidRPr="0062582F">
        <w:rPr>
          <w:noProof/>
        </w:rPr>
        <w:t>the entity shall disclose how the effect of a change to reflect a reasonably possible alternative assumption was calculated. For that purpose, significance shall be judged with respect to profit or loss, and total assets or total liabilities, or, when changes in fair value are recognised in other comprehensive income, total equity.</w:t>
      </w:r>
    </w:p>
    <w:p w:rsidR="004843DB" w:rsidRPr="0062582F" w:rsidRDefault="004843DB" w:rsidP="004843DB">
      <w:pPr>
        <w:pStyle w:val="CommentaryText"/>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t>AASB </w:t>
      </w:r>
      <w:r w:rsidRPr="0062582F">
        <w:rPr>
          <w:lang w:val="en-AU"/>
        </w:rPr>
        <w:t>7.29</w:t>
      </w:r>
    </w:p>
    <w:p w:rsidR="004843DB" w:rsidRPr="0062582F" w:rsidRDefault="004843DB" w:rsidP="004843DB">
      <w:pPr>
        <w:pStyle w:val="CommentaryHeading1"/>
        <w:pBdr>
          <w:top w:val="none" w:sz="0" w:space="0" w:color="auto"/>
        </w:pBdr>
      </w:pPr>
      <w:r w:rsidRPr="0062582F">
        <w:br w:type="column"/>
        <w:t>Exceptions to fair value disclosures</w:t>
      </w:r>
    </w:p>
    <w:p w:rsidR="004843DB" w:rsidRPr="0062582F" w:rsidRDefault="004843DB" w:rsidP="004843DB">
      <w:pPr>
        <w:pStyle w:val="CommentaryText"/>
        <w:pBdr>
          <w:top w:val="none" w:sz="0" w:space="0" w:color="auto"/>
        </w:pBdr>
      </w:pPr>
      <w:r w:rsidRPr="0062582F">
        <w:t>Disclosures of fair value are not required if:</w:t>
      </w:r>
    </w:p>
    <w:p w:rsidR="004843DB" w:rsidRPr="0062582F" w:rsidRDefault="004843DB" w:rsidP="004843DB">
      <w:pPr>
        <w:pStyle w:val="CommentaryTextIndent"/>
        <w:pBdr>
          <w:top w:val="none" w:sz="0" w:space="0" w:color="auto"/>
        </w:pBdr>
      </w:pPr>
      <w:r w:rsidRPr="0062582F">
        <w:t>(a)</w:t>
      </w:r>
      <w:r w:rsidRPr="0062582F">
        <w:tab/>
        <w:t>the carrying amount is a reasonable approximation of fair value;</w:t>
      </w:r>
    </w:p>
    <w:p w:rsidR="004843DB" w:rsidRPr="0062582F" w:rsidRDefault="004843DB" w:rsidP="004843DB">
      <w:pPr>
        <w:pStyle w:val="CommentaryTextIndent"/>
        <w:pBdr>
          <w:top w:val="none" w:sz="0" w:space="0" w:color="auto"/>
        </w:pBdr>
      </w:pPr>
      <w:r w:rsidRPr="0062582F">
        <w:t>(b)</w:t>
      </w:r>
      <w:r w:rsidRPr="0062582F">
        <w:tab/>
        <w:t>it is an investment in equity instruments that do not have a quoted market price in an active market, or derivatives linked to such equity instruments, that is measured at cost in accordance with AASB 139 because its fair value cannot be measured reliably; or</w:t>
      </w:r>
    </w:p>
    <w:p w:rsidR="004843DB" w:rsidRPr="0062582F" w:rsidRDefault="004843DB" w:rsidP="004843DB">
      <w:pPr>
        <w:pStyle w:val="CommentaryTextIndent"/>
        <w:pBdr>
          <w:top w:val="none" w:sz="0" w:space="0" w:color="auto"/>
        </w:pBdr>
      </w:pPr>
      <w:r w:rsidRPr="0062582F">
        <w:t>(c)</w:t>
      </w:r>
      <w:r w:rsidRPr="0062582F">
        <w:tab/>
        <w:t>it is a contract containing a discretionary participation feature and the fair value of that feature cannot be measured reliably.</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br w:type="column"/>
      </w: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 xml:space="preserve">Commentary – Fair value </w:t>
      </w:r>
      <w:r w:rsidRPr="0062582F">
        <w:rPr>
          <w:i/>
        </w:rPr>
        <w:t>(continued)</w:t>
      </w:r>
    </w:p>
    <w:p w:rsidR="004843DB" w:rsidRPr="0062582F" w:rsidRDefault="004843DB" w:rsidP="004843DB">
      <w:pPr>
        <w:pStyle w:val="SmallLineBlue"/>
      </w:pP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7.30</w:t>
      </w:r>
    </w:p>
    <w:p w:rsidR="004843DB" w:rsidRPr="0062582F" w:rsidRDefault="004843DB" w:rsidP="004843DB">
      <w:pPr>
        <w:pStyle w:val="CommentaryText"/>
        <w:pBdr>
          <w:top w:val="none" w:sz="0" w:space="0" w:color="auto"/>
        </w:pBdr>
      </w:pPr>
      <w:r w:rsidRPr="0062582F">
        <w:br w:type="column"/>
        <w:t>In the cases of (b) and (c) above, an entity shall disclose information to help users of the financial statement make their own judgements about the extent of possible differences between the carrying amount of those financial instrument assets or liabilities and their fair value, including:</w:t>
      </w:r>
    </w:p>
    <w:p w:rsidR="004843DB" w:rsidRPr="0062582F" w:rsidRDefault="004843DB" w:rsidP="004843DB">
      <w:pPr>
        <w:pStyle w:val="CommentaryTextIndent"/>
        <w:pBdr>
          <w:top w:val="none" w:sz="0" w:space="0" w:color="auto"/>
        </w:pBdr>
      </w:pPr>
      <w:r w:rsidRPr="0062582F">
        <w:t>(a)</w:t>
      </w:r>
      <w:r w:rsidRPr="0062582F">
        <w:tab/>
        <w:t>the fact that fair value information has not been disclosed for these instruments because their fair value cannot be measured reliably;</w:t>
      </w:r>
    </w:p>
    <w:p w:rsidR="004843DB" w:rsidRPr="0062582F" w:rsidRDefault="004843DB" w:rsidP="004843DB">
      <w:pPr>
        <w:pStyle w:val="CommentaryTextIndent"/>
        <w:pBdr>
          <w:top w:val="none" w:sz="0" w:space="0" w:color="auto"/>
        </w:pBdr>
      </w:pPr>
      <w:r w:rsidRPr="0062582F">
        <w:t>(b)</w:t>
      </w:r>
      <w:r w:rsidRPr="0062582F">
        <w:tab/>
        <w:t>a description of the financial instruments, their carrying amount, and an explanation of why fair value cannot be measured reliably;</w:t>
      </w:r>
    </w:p>
    <w:p w:rsidR="004843DB" w:rsidRPr="0062582F" w:rsidRDefault="004843DB" w:rsidP="004843DB">
      <w:pPr>
        <w:pStyle w:val="CommentaryTextIndent"/>
        <w:pBdr>
          <w:top w:val="none" w:sz="0" w:space="0" w:color="auto"/>
        </w:pBdr>
      </w:pPr>
      <w:r w:rsidRPr="0062582F">
        <w:t>(c)</w:t>
      </w:r>
      <w:r w:rsidRPr="0062582F">
        <w:tab/>
        <w:t>information about the market for the instruments;</w:t>
      </w:r>
    </w:p>
    <w:p w:rsidR="004843DB" w:rsidRPr="0062582F" w:rsidRDefault="004843DB" w:rsidP="004843DB">
      <w:pPr>
        <w:pStyle w:val="CommentaryTextIndent"/>
        <w:pBdr>
          <w:top w:val="none" w:sz="0" w:space="0" w:color="auto"/>
        </w:pBdr>
      </w:pPr>
      <w:r w:rsidRPr="0062582F">
        <w:t>(d)</w:t>
      </w:r>
      <w:r w:rsidRPr="0062582F">
        <w:tab/>
        <w:t>information about whether and how the entity intends to dispose of the financial instruments; and</w:t>
      </w:r>
    </w:p>
    <w:p w:rsidR="004843DB" w:rsidRPr="0062582F" w:rsidRDefault="004843DB" w:rsidP="004843DB">
      <w:pPr>
        <w:pStyle w:val="CommentaryTextIndent"/>
        <w:pBdr>
          <w:top w:val="none" w:sz="0" w:space="0" w:color="auto"/>
        </w:pBdr>
      </w:pPr>
      <w:r w:rsidRPr="0062582F">
        <w:t>(e)</w:t>
      </w:r>
      <w:r w:rsidRPr="0062582F">
        <w:tab/>
        <w:t>if financial instruments whose fair value previously could not be reliably measured are derecognised, that fact, their carrying amount at the time of derecognition, and the amount of gain or loss recognised.</w:t>
      </w:r>
    </w:p>
    <w:p w:rsidR="004843DB" w:rsidRPr="0062582F" w:rsidRDefault="004843DB" w:rsidP="004843DB">
      <w:pPr>
        <w:rPr>
          <w:rStyle w:val="NoteHeadingChar"/>
          <w:b w:val="0"/>
          <w:bCs w:val="0"/>
        </w:rPr>
      </w:pPr>
      <w:bookmarkStart w:id="585" w:name="_Toc132689526"/>
      <w:bookmarkStart w:id="586" w:name="_Toc133138208"/>
      <w:bookmarkStart w:id="587" w:name="_Toc133203926"/>
      <w:bookmarkStart w:id="588" w:name="_Toc154475780"/>
      <w:bookmarkStart w:id="589" w:name="_Toc162327228"/>
      <w:bookmarkStart w:id="590" w:name="_Toc162327946"/>
      <w:bookmarkStart w:id="591" w:name="_Toc192562760"/>
      <w:bookmarkStart w:id="592" w:name="_Toc332019492"/>
      <w:bookmarkStart w:id="593" w:name="_Toc366843378"/>
    </w:p>
    <w:p w:rsidR="004843DB" w:rsidRPr="0062582F" w:rsidRDefault="004843DB" w:rsidP="004843DB">
      <w:pPr>
        <w:rPr>
          <w:rStyle w:val="NoteHeadingChar"/>
          <w:b w:val="0"/>
          <w:bCs w:val="0"/>
        </w:rPr>
      </w:pPr>
    </w:p>
    <w:p w:rsidR="004843DB" w:rsidRPr="0062582F" w:rsidRDefault="004843DB" w:rsidP="004843DB">
      <w:pPr>
        <w:pStyle w:val="NoteHeading"/>
      </w:pPr>
      <w:bookmarkStart w:id="594" w:name="_Toc448157213"/>
      <w:r w:rsidRPr="0062582F">
        <w:rPr>
          <w:rStyle w:val="NoteHeadingChar"/>
          <w:b/>
          <w:bCs/>
        </w:rPr>
        <w:t>Note 34</w:t>
      </w:r>
      <w:r w:rsidRPr="0062582F">
        <w:t xml:space="preserve">. </w:t>
      </w:r>
      <w:r w:rsidRPr="0062582F">
        <w:tab/>
        <w:t>Cash flow information</w:t>
      </w:r>
      <w:bookmarkEnd w:id="594"/>
    </w:p>
    <w:bookmarkEnd w:id="585"/>
    <w:bookmarkEnd w:id="586"/>
    <w:bookmarkEnd w:id="587"/>
    <w:bookmarkEnd w:id="588"/>
    <w:bookmarkEnd w:id="589"/>
    <w:bookmarkEnd w:id="590"/>
    <w:bookmarkEnd w:id="591"/>
    <w:bookmarkEnd w:id="592"/>
    <w:bookmarkEnd w:id="593"/>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107.45</w:t>
      </w:r>
    </w:p>
    <w:p w:rsidR="004843DB" w:rsidRPr="0062582F" w:rsidRDefault="004843DB" w:rsidP="004843DB">
      <w:pPr>
        <w:pStyle w:val="Heading5"/>
      </w:pPr>
      <w:r w:rsidRPr="0062582F">
        <w:br w:type="column"/>
        <w:t>(a)</w:t>
      </w:r>
      <w:r w:rsidRPr="0062582F">
        <w:tab/>
        <w:t>Reconciliation of cash and cash equivalents</w:t>
      </w:r>
    </w:p>
    <w:p w:rsidR="004843DB" w:rsidRPr="0062582F" w:rsidRDefault="004843DB" w:rsidP="004843DB">
      <w:pPr>
        <w:pStyle w:val="million"/>
        <w:rPr>
          <w:rFonts w:ascii="Tahoma" w:hAnsi="Tahoma" w:cs="Tahoma"/>
          <w:sz w:val="20"/>
          <w:szCs w:val="20"/>
        </w:rPr>
      </w:pPr>
      <w:r w:rsidRPr="0062582F">
        <w:t>($ thousand)</w:t>
      </w:r>
    </w:p>
    <w:tbl>
      <w:tblPr>
        <w:tblW w:w="8143" w:type="dxa"/>
        <w:tblLayout w:type="fixed"/>
        <w:tblCellMar>
          <w:left w:w="43" w:type="dxa"/>
          <w:right w:w="43" w:type="dxa"/>
        </w:tblCellMar>
        <w:tblLook w:val="04A0" w:firstRow="1" w:lastRow="0" w:firstColumn="1" w:lastColumn="0" w:noHBand="0" w:noVBand="1"/>
      </w:tblPr>
      <w:tblGrid>
        <w:gridCol w:w="5623"/>
        <w:gridCol w:w="1260"/>
        <w:gridCol w:w="1260"/>
      </w:tblGrid>
      <w:tr w:rsidR="004843DB" w:rsidRPr="0062582F" w:rsidTr="004843DB">
        <w:trPr>
          <w:trHeight w:val="255"/>
        </w:trPr>
        <w:tc>
          <w:tcPr>
            <w:tcW w:w="562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
            </w:pPr>
            <w:r w:rsidRPr="0062582F">
              <w:t xml:space="preserve"> </w:t>
            </w:r>
          </w:p>
        </w:tc>
        <w:tc>
          <w:tcPr>
            <w:tcW w:w="1260"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textheading"/>
            </w:pPr>
            <w:r w:rsidRPr="0062582F">
              <w:t>2016</w:t>
            </w:r>
          </w:p>
        </w:tc>
        <w:tc>
          <w:tcPr>
            <w:tcW w:w="1260"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trHeight w:val="270"/>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Total cash and deposits disclosed in the balance sheet </w:t>
            </w:r>
            <w:r w:rsidRPr="0062582F">
              <w:rPr>
                <w:vertAlign w:val="superscript"/>
              </w:rPr>
              <w:t>(i)</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59 528</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48 648</w:t>
            </w:r>
          </w:p>
        </w:tc>
      </w:tr>
      <w:tr w:rsidR="004843DB" w:rsidRPr="0062582F" w:rsidTr="004843DB">
        <w:trPr>
          <w:trHeight w:val="255"/>
        </w:trPr>
        <w:tc>
          <w:tcPr>
            <w:tcW w:w="5623" w:type="dxa"/>
            <w:tcBorders>
              <w:top w:val="nil"/>
              <w:left w:val="nil"/>
              <w:bottom w:val="nil"/>
              <w:right w:val="nil"/>
            </w:tcBorders>
            <w:shd w:val="clear" w:color="auto" w:fill="auto"/>
            <w:hideMark/>
          </w:tcPr>
          <w:p w:rsidR="004843DB" w:rsidRPr="0062582F" w:rsidRDefault="004843DB" w:rsidP="004843DB">
            <w:pPr>
              <w:pStyle w:val="Tabletext"/>
            </w:pPr>
            <w:r w:rsidRPr="0062582F">
              <w:t>Bank overdraft</w:t>
            </w:r>
          </w:p>
        </w:tc>
        <w:tc>
          <w:tcPr>
            <w:tcW w:w="1260"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60"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(5 437)</w:t>
            </w:r>
          </w:p>
        </w:tc>
      </w:tr>
      <w:tr w:rsidR="004843DB" w:rsidRPr="0062582F" w:rsidTr="004843DB">
        <w:trPr>
          <w:trHeight w:val="255"/>
        </w:trPr>
        <w:tc>
          <w:tcPr>
            <w:tcW w:w="562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Discontinued operations</w:t>
            </w:r>
          </w:p>
        </w:tc>
        <w:tc>
          <w:tcPr>
            <w:tcW w:w="1260"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4 906</w:t>
            </w:r>
          </w:p>
        </w:tc>
        <w:tc>
          <w:tcPr>
            <w:tcW w:w="1260"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1 283</w:t>
            </w:r>
          </w:p>
        </w:tc>
      </w:tr>
      <w:tr w:rsidR="004843DB" w:rsidRPr="0062582F" w:rsidTr="004843DB">
        <w:trPr>
          <w:trHeight w:val="270"/>
        </w:trPr>
        <w:tc>
          <w:tcPr>
            <w:tcW w:w="562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Balance as per cash flow statement</w:t>
            </w:r>
          </w:p>
        </w:tc>
        <w:tc>
          <w:tcPr>
            <w:tcW w:w="1260"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64 434</w:t>
            </w:r>
          </w:p>
        </w:tc>
        <w:tc>
          <w:tcPr>
            <w:tcW w:w="1260"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44 494</w:t>
            </w:r>
          </w:p>
        </w:tc>
      </w:tr>
    </w:tbl>
    <w:p w:rsidR="004843DB" w:rsidRPr="0062582F" w:rsidRDefault="004843DB" w:rsidP="004843DB">
      <w:pPr>
        <w:pStyle w:val="Notes"/>
      </w:pPr>
      <w:r w:rsidRPr="0062582F">
        <w:t>Note:</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pPr>
      <w:r w:rsidRPr="0062582F">
        <w:t>FMA s.13</w:t>
      </w:r>
      <w:r w:rsidR="005A4BB0">
        <w:noBreakHyphen/>
      </w:r>
      <w:r w:rsidRPr="0062582F">
        <w:t>17</w:t>
      </w:r>
    </w:p>
    <w:p w:rsidR="004843DB" w:rsidRPr="0062582F" w:rsidRDefault="004843DB" w:rsidP="004843DB">
      <w:pPr>
        <w:pStyle w:val="Notes"/>
      </w:pPr>
      <w:r w:rsidRPr="0062582F">
        <w:br w:type="column"/>
        <w:t>(i)</w:t>
      </w:r>
      <w:r w:rsidRPr="0062582F">
        <w:tab/>
        <w:t>Due to the State of Victoria</w:t>
      </w:r>
      <w:r w:rsidR="005A4BB0">
        <w:t>’</w:t>
      </w:r>
      <w:r w:rsidRPr="0062582F">
        <w:t>s investment policy and government funding arrangements, the Department does not hold a large cash reserve in its bank accounts. Cash received by the Department from the generation of income is generally paid into the State</w:t>
      </w:r>
      <w:r w:rsidR="005A4BB0">
        <w:t>’</w:t>
      </w:r>
      <w:r w:rsidRPr="0062582F">
        <w:t>s bank account, known as the public account. Similarly, any Departmental expenditure, including those in the form of cheques drawn by the Department for the payment of goods and services to its suppliers and creditors are made via the public account. The process is such that, the public account would remit to the Department the cash required for the amount drawn on the cheques. This remittance by the public account occurs upon the presentation of the cheques by the Department</w:t>
      </w:r>
      <w:r w:rsidR="005A4BB0">
        <w:t>’</w:t>
      </w:r>
      <w:r w:rsidRPr="0062582F">
        <w:t>s suppliers or creditors.</w:t>
      </w:r>
    </w:p>
    <w:p w:rsidR="004843DB" w:rsidRPr="0062582F" w:rsidRDefault="004843DB" w:rsidP="004843DB">
      <w:pPr>
        <w:pStyle w:val="Notes"/>
      </w:pPr>
    </w:p>
    <w:p w:rsidR="004843DB" w:rsidRPr="0062582F" w:rsidRDefault="004843DB" w:rsidP="004843DB">
      <w:r w:rsidRPr="0062582F">
        <w:t>The above funding arrangements often result in the Department having a notional shortfall in the cash at bank required for payment of unpresented cheques at the end of the reporting period.</w:t>
      </w:r>
    </w:p>
    <w:p w:rsidR="004843DB" w:rsidRPr="0062582F" w:rsidRDefault="004843DB" w:rsidP="004843DB">
      <w:r w:rsidRPr="0062582F">
        <w:t>At 30 June 2016, cash at bank included the amount of a notional shortfall for the payment of unpresented cheques of $10 000 (2015: $6 000).</w:t>
      </w:r>
    </w:p>
    <w:p w:rsidR="004843DB" w:rsidRPr="0062582F" w:rsidRDefault="004843DB" w:rsidP="004843DB">
      <w:pPr>
        <w:pStyle w:val="SmallLine"/>
      </w:pPr>
      <w:r w:rsidRPr="0062582F">
        <w:br w:type="column"/>
      </w:r>
    </w:p>
    <w:p w:rsidR="004843DB" w:rsidRPr="0062582F" w:rsidRDefault="004843DB" w:rsidP="004843DB">
      <w:pPr>
        <w:pStyle w:val="NoteHeadingcontinued"/>
        <w:rPr>
          <w:i/>
        </w:rPr>
      </w:pPr>
      <w:r w:rsidRPr="0062582F">
        <w:rPr>
          <w:rFonts w:ascii="Garamond" w:hAnsi="Garamond"/>
        </w:rPr>
        <w:br w:type="column"/>
      </w:r>
      <w:r w:rsidRPr="0062582F">
        <w:t xml:space="preserve">Note 34. </w:t>
      </w:r>
      <w:r w:rsidRPr="0062582F">
        <w:tab/>
        <w:t xml:space="preserve">Cash flow information </w:t>
      </w:r>
      <w:r w:rsidRPr="0062582F">
        <w:rPr>
          <w:i/>
        </w:rPr>
        <w:t>(continued)</w:t>
      </w:r>
    </w:p>
    <w:p w:rsidR="004843DB" w:rsidRPr="0062582F" w:rsidRDefault="004843DB" w:rsidP="004843DB">
      <w:pPr>
        <w:pStyle w:val="Heading5"/>
      </w:pPr>
      <w:r w:rsidRPr="0062582F">
        <w:t>(b)</w:t>
      </w:r>
      <w:r w:rsidRPr="0062582F">
        <w:tab/>
        <w:t>Entity acquired</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rPr>
          <w:lang w:val="en-AU"/>
        </w:rPr>
      </w:pPr>
      <w:r w:rsidRPr="0062582F">
        <w:t>AASB </w:t>
      </w:r>
      <w:r w:rsidRPr="0062582F">
        <w:rPr>
          <w:lang w:val="en-AU"/>
        </w:rPr>
        <w:t>107.40</w:t>
      </w:r>
    </w:p>
    <w:p w:rsidR="004843DB" w:rsidRPr="0062582F" w:rsidRDefault="004843DB" w:rsidP="004843DB">
      <w:r w:rsidRPr="0062582F">
        <w:br w:type="column"/>
        <w:t>On 2 August 2015, the Department acquired 100 per cent of the net assets of IT Communications Pty Limited for cash consideration of $26 million. Details of the acquisition are as follows:</w:t>
      </w:r>
    </w:p>
    <w:p w:rsidR="004843DB" w:rsidRPr="0062582F" w:rsidRDefault="004843DB" w:rsidP="004843DB">
      <w:pPr>
        <w:pStyle w:val="million"/>
        <w:rPr>
          <w:rFonts w:ascii="Tahoma" w:hAnsi="Tahoma" w:cs="Tahoma"/>
          <w:sz w:val="20"/>
        </w:rPr>
      </w:pPr>
      <w:r w:rsidRPr="0062582F">
        <w:t>($ thousand)</w:t>
      </w:r>
    </w:p>
    <w:tbl>
      <w:tblPr>
        <w:tblW w:w="8143" w:type="dxa"/>
        <w:tblLayout w:type="fixed"/>
        <w:tblCellMar>
          <w:left w:w="43" w:type="dxa"/>
          <w:right w:w="43" w:type="dxa"/>
        </w:tblCellMar>
        <w:tblLook w:val="04A0" w:firstRow="1" w:lastRow="0" w:firstColumn="1" w:lastColumn="0" w:noHBand="0" w:noVBand="1"/>
      </w:tblPr>
      <w:tblGrid>
        <w:gridCol w:w="5713"/>
        <w:gridCol w:w="1215"/>
        <w:gridCol w:w="1215"/>
      </w:tblGrid>
      <w:tr w:rsidR="004843DB" w:rsidRPr="0062582F" w:rsidTr="004843DB">
        <w:trPr>
          <w:cantSplit/>
        </w:trPr>
        <w:tc>
          <w:tcPr>
            <w:tcW w:w="57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15"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textheading"/>
            </w:pPr>
            <w:r w:rsidRPr="0062582F">
              <w:t>2016</w:t>
            </w:r>
          </w:p>
        </w:tc>
        <w:tc>
          <w:tcPr>
            <w:tcW w:w="121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During the financial year, the Department obtained control over a business due to acquisition. Details of the acquisition are as follows: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Consideration</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Cash and cash equivalents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26 035</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Land and buildings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Ordinary shares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Deferred purchase consideration</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Other</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 xml:space="preserve"> </w:t>
            </w:r>
          </w:p>
        </w:tc>
        <w:tc>
          <w:tcPr>
            <w:tcW w:w="121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26 035</w:t>
            </w:r>
          </w:p>
        </w:tc>
        <w:tc>
          <w:tcPr>
            <w:tcW w:w="121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Fair value of net assets acquired</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Assets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Cash and deposits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2 628</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Receivables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1 356</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Investments and other financial assets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1 899</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Inventories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1 819</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Investments accounted for using the equity method</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Property, plant and equipment</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20 392</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Investment properties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Other non</w:t>
            </w:r>
            <w:r w:rsidR="005A4BB0">
              <w:noBreakHyphen/>
            </w:r>
            <w:r w:rsidRPr="0062582F">
              <w:t>financial assets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9</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Biological assets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122</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Intangible assets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2 362</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Liabilities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Payables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(3 219)</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Borrowings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Provisions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(1 246)</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Other liabilities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( 87)</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Net assets acquired</w:t>
            </w:r>
          </w:p>
        </w:tc>
        <w:tc>
          <w:tcPr>
            <w:tcW w:w="121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26 035</w:t>
            </w:r>
          </w:p>
        </w:tc>
        <w:tc>
          <w:tcPr>
            <w:tcW w:w="121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r>
      <w:tr w:rsidR="004843DB" w:rsidRPr="0062582F" w:rsidTr="004843DB">
        <w:trPr>
          <w:cantSplit/>
          <w:trHeight w:hRule="exact" w:val="160"/>
        </w:trPr>
        <w:tc>
          <w:tcPr>
            <w:tcW w:w="5713" w:type="dxa"/>
            <w:tcBorders>
              <w:top w:val="single" w:sz="4" w:space="0" w:color="auto"/>
              <w:left w:val="nil"/>
              <w:right w:val="nil"/>
            </w:tcBorders>
            <w:shd w:val="clear" w:color="auto" w:fill="auto"/>
            <w:hideMark/>
          </w:tcPr>
          <w:p w:rsidR="004843DB" w:rsidRPr="0062582F" w:rsidRDefault="004843DB" w:rsidP="004843DB">
            <w:pPr>
              <w:pStyle w:val="Tabletext"/>
            </w:pPr>
            <w:r w:rsidRPr="0062582F">
              <w:t xml:space="preserve"> </w:t>
            </w:r>
          </w:p>
        </w:tc>
        <w:tc>
          <w:tcPr>
            <w:tcW w:w="1215" w:type="dxa"/>
            <w:tcBorders>
              <w:top w:val="single" w:sz="4" w:space="0" w:color="auto"/>
              <w:left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15" w:type="dxa"/>
            <w:tcBorders>
              <w:top w:val="single" w:sz="4" w:space="0" w:color="auto"/>
              <w:left w:val="nil"/>
              <w:right w:val="nil"/>
            </w:tcBorders>
            <w:shd w:val="clear" w:color="auto" w:fill="auto"/>
            <w:noWrap/>
            <w:hideMark/>
          </w:tcPr>
          <w:p w:rsidR="004843DB" w:rsidRPr="0062582F" w:rsidRDefault="004843DB" w:rsidP="004843DB">
            <w:pPr>
              <w:pStyle w:val="TableofFigures"/>
            </w:pPr>
            <w:r w:rsidRPr="0062582F">
              <w:t> </w:t>
            </w:r>
          </w:p>
        </w:tc>
      </w:tr>
      <w:tr w:rsidR="004843DB" w:rsidRPr="0062582F" w:rsidTr="004843DB">
        <w:trPr>
          <w:cantSplit/>
        </w:trPr>
        <w:tc>
          <w:tcPr>
            <w:tcW w:w="5713" w:type="dxa"/>
            <w:tcBorders>
              <w:left w:val="nil"/>
              <w:bottom w:val="nil"/>
              <w:right w:val="nil"/>
            </w:tcBorders>
            <w:shd w:val="clear" w:color="auto" w:fill="auto"/>
            <w:hideMark/>
          </w:tcPr>
          <w:p w:rsidR="004843DB" w:rsidRPr="0062582F" w:rsidRDefault="004843DB" w:rsidP="004843DB">
            <w:pPr>
              <w:pStyle w:val="Tabletext"/>
              <w:rPr>
                <w:b/>
              </w:rPr>
            </w:pPr>
            <w:r w:rsidRPr="0062582F">
              <w:rPr>
                <w:b/>
              </w:rPr>
              <w:t>Net cash outflow on acquisition</w:t>
            </w:r>
          </w:p>
        </w:tc>
        <w:tc>
          <w:tcPr>
            <w:tcW w:w="1215" w:type="dxa"/>
            <w:tcBorders>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215" w:type="dxa"/>
            <w:tcBorders>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Cash and cash equivalents consideration</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26 035</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Less cash and cash equivalent balances acquired</w:t>
            </w:r>
          </w:p>
        </w:tc>
        <w:tc>
          <w:tcPr>
            <w:tcW w:w="121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(2 628)</w:t>
            </w:r>
          </w:p>
        </w:tc>
        <w:tc>
          <w:tcPr>
            <w:tcW w:w="121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 xml:space="preserve"> </w:t>
            </w:r>
          </w:p>
        </w:tc>
        <w:tc>
          <w:tcPr>
            <w:tcW w:w="1215"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23 407</w:t>
            </w:r>
          </w:p>
        </w:tc>
        <w:tc>
          <w:tcPr>
            <w:tcW w:w="121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r>
    </w:tbl>
    <w:p w:rsidR="004843DB" w:rsidRPr="0062582F" w:rsidRDefault="004843DB" w:rsidP="004843DB">
      <w:pPr>
        <w:pStyle w:val="Reference"/>
        <w:rPr>
          <w:lang w:val="en-AU"/>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br w:type="column"/>
      </w:r>
      <w:r w:rsidRPr="0062582F">
        <w:rPr>
          <w:lang w:val="en-AU"/>
        </w:rPr>
        <w:br w:type="column"/>
      </w:r>
    </w:p>
    <w:p w:rsidR="004843DB" w:rsidRPr="0062582F" w:rsidRDefault="004843DB" w:rsidP="004843DB">
      <w:pPr>
        <w:pStyle w:val="NoteHeadingcontinued"/>
        <w:rPr>
          <w:i/>
        </w:rPr>
      </w:pPr>
      <w:r w:rsidRPr="0062582F">
        <w:br w:type="column"/>
        <w:t xml:space="preserve">Note 34. </w:t>
      </w:r>
      <w:r w:rsidRPr="0062582F">
        <w:tab/>
        <w:t xml:space="preserve">Cash flow information </w:t>
      </w:r>
      <w:r w:rsidRPr="0062582F">
        <w:rPr>
          <w:i/>
        </w:rPr>
        <w:t>(continued)</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t>AASB </w:t>
      </w:r>
      <w:r w:rsidRPr="0062582F">
        <w:rPr>
          <w:lang w:val="en-AU"/>
        </w:rPr>
        <w:t>107.40</w:t>
      </w:r>
    </w:p>
    <w:p w:rsidR="004843DB" w:rsidRPr="0062582F" w:rsidRDefault="004843DB" w:rsidP="004843DB">
      <w:pPr>
        <w:pStyle w:val="Heading5"/>
      </w:pPr>
      <w:r w:rsidRPr="0062582F">
        <w:br w:type="column"/>
        <w:t>(c)</w:t>
      </w:r>
      <w:r w:rsidRPr="0062582F">
        <w:tab/>
        <w:t>Entity disposed</w:t>
      </w:r>
    </w:p>
    <w:p w:rsidR="004843DB" w:rsidRPr="0062582F" w:rsidRDefault="004843DB" w:rsidP="004843DB">
      <w:pPr>
        <w:pStyle w:val="million"/>
        <w:rPr>
          <w:rFonts w:ascii="Tahoma" w:hAnsi="Tahoma" w:cs="Tahoma"/>
          <w:sz w:val="20"/>
        </w:rPr>
      </w:pPr>
      <w:r w:rsidRPr="0062582F">
        <w:t>($ thousand)</w:t>
      </w:r>
    </w:p>
    <w:tbl>
      <w:tblPr>
        <w:tblW w:w="8143" w:type="dxa"/>
        <w:tblLayout w:type="fixed"/>
        <w:tblCellMar>
          <w:left w:w="43" w:type="dxa"/>
          <w:right w:w="43" w:type="dxa"/>
        </w:tblCellMar>
        <w:tblLook w:val="04A0" w:firstRow="1" w:lastRow="0" w:firstColumn="1" w:lastColumn="0" w:noHBand="0" w:noVBand="1"/>
      </w:tblPr>
      <w:tblGrid>
        <w:gridCol w:w="5713"/>
        <w:gridCol w:w="1215"/>
        <w:gridCol w:w="1215"/>
      </w:tblGrid>
      <w:tr w:rsidR="004843DB" w:rsidRPr="0062582F" w:rsidTr="004843DB">
        <w:trPr>
          <w:cantSplit/>
        </w:trPr>
        <w:tc>
          <w:tcPr>
            <w:tcW w:w="57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1215"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textheading"/>
            </w:pPr>
            <w:r w:rsidRPr="0062582F">
              <w:t>2016</w:t>
            </w:r>
          </w:p>
        </w:tc>
        <w:tc>
          <w:tcPr>
            <w:tcW w:w="121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During the financial year, the Department lost control of one business due to disposal. Details of the disposal are as follows: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Consideration</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Cash and cash equivalents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17 795</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Land and buildings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Ordinary shares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Deferred purchase consideration</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Other</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 xml:space="preserve"> </w:t>
            </w:r>
          </w:p>
        </w:tc>
        <w:tc>
          <w:tcPr>
            <w:tcW w:w="121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17 795</w:t>
            </w:r>
          </w:p>
        </w:tc>
        <w:tc>
          <w:tcPr>
            <w:tcW w:w="121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Book value of net assets disposed</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Assets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Cash and deposits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( 348)</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Receivables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7 372</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Investments and other financial assets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4 065</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Inventories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2 555</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Investments accounted for using the equity method</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Property, plant and equipment</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14 227</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Investment properties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Other non</w:t>
            </w:r>
            <w:r w:rsidR="005A4BB0">
              <w:noBreakHyphen/>
            </w:r>
            <w:r w:rsidRPr="0062582F">
              <w:t>financial assets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Biological assets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Intangible assets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Liabilities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Payables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(2 778)</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Borrowings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(2 599)</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Provisions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(4 678)</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Other liabilities</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( 20)</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Net assets disposed</w:t>
            </w:r>
          </w:p>
        </w:tc>
        <w:tc>
          <w:tcPr>
            <w:tcW w:w="121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17 795</w:t>
            </w:r>
          </w:p>
        </w:tc>
        <w:tc>
          <w:tcPr>
            <w:tcW w:w="121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w:t>
            </w:r>
          </w:p>
        </w:tc>
      </w:tr>
      <w:tr w:rsidR="004843DB" w:rsidRPr="0062582F" w:rsidTr="004843DB">
        <w:trPr>
          <w:cantSplit/>
          <w:trHeight w:hRule="exact" w:val="160"/>
        </w:trPr>
        <w:tc>
          <w:tcPr>
            <w:tcW w:w="5713" w:type="dxa"/>
            <w:tcBorders>
              <w:top w:val="single" w:sz="4" w:space="0" w:color="auto"/>
              <w:left w:val="nil"/>
              <w:right w:val="nil"/>
            </w:tcBorders>
            <w:shd w:val="clear" w:color="auto" w:fill="auto"/>
            <w:hideMark/>
          </w:tcPr>
          <w:p w:rsidR="004843DB" w:rsidRPr="0062582F" w:rsidRDefault="004843DB" w:rsidP="004843DB">
            <w:pPr>
              <w:pStyle w:val="Tabletext"/>
            </w:pPr>
            <w:r w:rsidRPr="0062582F">
              <w:t xml:space="preserve"> </w:t>
            </w:r>
          </w:p>
        </w:tc>
        <w:tc>
          <w:tcPr>
            <w:tcW w:w="1215" w:type="dxa"/>
            <w:tcBorders>
              <w:top w:val="single" w:sz="4" w:space="0" w:color="auto"/>
              <w:left w:val="nil"/>
              <w:right w:val="nil"/>
            </w:tcBorders>
            <w:shd w:val="clear" w:color="00FFFF" w:fill="CCCCCC"/>
            <w:noWrap/>
            <w:hideMark/>
          </w:tcPr>
          <w:p w:rsidR="004843DB" w:rsidRPr="0062582F" w:rsidRDefault="004843DB" w:rsidP="004843DB">
            <w:pPr>
              <w:pStyle w:val="TableofFigures"/>
            </w:pPr>
            <w:r w:rsidRPr="0062582F">
              <w:t xml:space="preserve"> </w:t>
            </w:r>
          </w:p>
        </w:tc>
        <w:tc>
          <w:tcPr>
            <w:tcW w:w="1215" w:type="dxa"/>
            <w:tcBorders>
              <w:top w:val="single" w:sz="4" w:space="0" w:color="auto"/>
              <w:left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5713" w:type="dxa"/>
            <w:tcBorders>
              <w:left w:val="nil"/>
              <w:bottom w:val="nil"/>
              <w:right w:val="nil"/>
            </w:tcBorders>
            <w:shd w:val="clear" w:color="auto" w:fill="auto"/>
            <w:hideMark/>
          </w:tcPr>
          <w:p w:rsidR="004843DB" w:rsidRPr="0062582F" w:rsidRDefault="004843DB" w:rsidP="004843DB">
            <w:pPr>
              <w:pStyle w:val="Tabletext"/>
              <w:rPr>
                <w:b/>
              </w:rPr>
            </w:pPr>
            <w:r w:rsidRPr="0062582F">
              <w:rPr>
                <w:b/>
              </w:rPr>
              <w:t>Net cash inflow on disposal</w:t>
            </w:r>
          </w:p>
        </w:tc>
        <w:tc>
          <w:tcPr>
            <w:tcW w:w="1215" w:type="dxa"/>
            <w:tcBorders>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1215" w:type="dxa"/>
            <w:tcBorders>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5713" w:type="dxa"/>
            <w:tcBorders>
              <w:top w:val="nil"/>
              <w:left w:val="nil"/>
              <w:bottom w:val="nil"/>
              <w:right w:val="nil"/>
            </w:tcBorders>
            <w:shd w:val="clear" w:color="auto" w:fill="auto"/>
            <w:hideMark/>
          </w:tcPr>
          <w:p w:rsidR="004843DB" w:rsidRPr="0062582F" w:rsidRDefault="004843DB" w:rsidP="004843DB">
            <w:pPr>
              <w:pStyle w:val="Tabletext"/>
            </w:pPr>
            <w:r w:rsidRPr="0062582F">
              <w:t>Cash and cash equivalents consideration</w:t>
            </w:r>
          </w:p>
        </w:tc>
        <w:tc>
          <w:tcPr>
            <w:tcW w:w="121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17 795</w:t>
            </w:r>
          </w:p>
        </w:tc>
        <w:tc>
          <w:tcPr>
            <w:tcW w:w="121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Less cash and cash equivalent balances disposed</w:t>
            </w:r>
          </w:p>
        </w:tc>
        <w:tc>
          <w:tcPr>
            <w:tcW w:w="121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( 348)</w:t>
            </w:r>
          </w:p>
        </w:tc>
        <w:tc>
          <w:tcPr>
            <w:tcW w:w="121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571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 xml:space="preserve"> </w:t>
            </w:r>
          </w:p>
        </w:tc>
        <w:tc>
          <w:tcPr>
            <w:tcW w:w="1215"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17 447</w:t>
            </w:r>
          </w:p>
        </w:tc>
        <w:tc>
          <w:tcPr>
            <w:tcW w:w="121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w:t>
            </w:r>
          </w:p>
        </w:tc>
      </w:tr>
    </w:tbl>
    <w:p w:rsidR="004843DB" w:rsidRPr="0062582F" w:rsidRDefault="004843DB" w:rsidP="004843DB">
      <w:pPr>
        <w:rPr>
          <w:rFonts w:ascii="Tahoma" w:hAnsi="Tahoma"/>
          <w:sz w:val="20"/>
          <w:szCs w:val="20"/>
        </w:rPr>
      </w:pP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r w:rsidRPr="0062582F">
        <w:br w:type="column"/>
      </w:r>
      <w:r w:rsidRPr="0062582F">
        <w:br w:type="column"/>
      </w:r>
    </w:p>
    <w:p w:rsidR="004843DB" w:rsidRPr="0062582F" w:rsidRDefault="004843DB" w:rsidP="004843DB">
      <w:pPr>
        <w:pStyle w:val="SmallLine"/>
      </w:pPr>
      <w:r w:rsidRPr="0062582F">
        <w:br w:type="column"/>
      </w:r>
    </w:p>
    <w:p w:rsidR="004843DB" w:rsidRPr="0062582F" w:rsidRDefault="004843DB" w:rsidP="004843DB">
      <w:pPr>
        <w:pStyle w:val="CommentaryHeading"/>
      </w:pPr>
      <w:r w:rsidRPr="0062582F">
        <w:t>Commentary – Business disposed</w:t>
      </w:r>
      <w:r w:rsidRPr="0062582F" w:rsidDel="004D7A5F">
        <w:t xml:space="preserve"> </w:t>
      </w:r>
    </w:p>
    <w:p w:rsidR="004843DB" w:rsidRPr="0062582F" w:rsidRDefault="004843DB" w:rsidP="004843DB">
      <w:pPr>
        <w:pStyle w:val="SmallLineBlue"/>
      </w:pPr>
    </w:p>
    <w:p w:rsidR="004843DB" w:rsidRPr="0062582F" w:rsidRDefault="004843DB" w:rsidP="004843DB">
      <w:pPr>
        <w:pStyle w:val="CommentaryHeading1"/>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1"/>
        <w:pBdr>
          <w:top w:val="none" w:sz="0" w:space="0" w:color="auto"/>
          <w:bottom w:val="none" w:sz="0" w:space="0" w:color="auto"/>
        </w:pBdr>
      </w:pPr>
      <w:r w:rsidRPr="0062582F">
        <w:t>Obtaining and losing control of subsidiaries and other businesses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107.39</w:t>
      </w:r>
    </w:p>
    <w:p w:rsidR="004843DB" w:rsidRPr="0062582F" w:rsidRDefault="004843DB" w:rsidP="004843DB">
      <w:pPr>
        <w:pStyle w:val="CommentaryText"/>
        <w:pBdr>
          <w:top w:val="none" w:sz="0" w:space="0" w:color="auto"/>
          <w:bottom w:val="none" w:sz="0" w:space="0" w:color="auto"/>
        </w:pBdr>
      </w:pPr>
      <w:r w:rsidRPr="0062582F">
        <w:br w:type="column"/>
        <w:t>The aggregate cash flows arising from acquisitions and from obtaining or losing control of subsidiaries or other businesses shall be presented separately and classified as investing activities.</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107.40</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t>An entity shall disclose, in aggregate, in respect of both obtaining and losing control of subsidiaries or other business units during the period, each of the following:</w:t>
      </w:r>
    </w:p>
    <w:p w:rsidR="004843DB" w:rsidRPr="0062582F" w:rsidRDefault="004843DB" w:rsidP="004843DB">
      <w:pPr>
        <w:pStyle w:val="CommentaryBullet"/>
      </w:pPr>
      <w:r w:rsidRPr="0062582F">
        <w:t>the total consideration paid or received;</w:t>
      </w:r>
    </w:p>
    <w:p w:rsidR="004843DB" w:rsidRPr="0062582F" w:rsidRDefault="004843DB" w:rsidP="004843DB">
      <w:pPr>
        <w:pStyle w:val="CommentaryBullet"/>
      </w:pPr>
      <w:r w:rsidRPr="0062582F">
        <w:t>the portion of the purchase or disposal consideration discharged by means of cash and cash equivalents;</w:t>
      </w:r>
    </w:p>
    <w:p w:rsidR="004843DB" w:rsidRPr="0062582F" w:rsidRDefault="004843DB" w:rsidP="004843DB">
      <w:pPr>
        <w:pStyle w:val="CommentaryBullet"/>
      </w:pPr>
      <w:r w:rsidRPr="0062582F">
        <w:t xml:space="preserve">the amount of cash and cash equivalents in the subsidiaries or other businesses over which control is obtained or lost; and </w:t>
      </w:r>
    </w:p>
    <w:p w:rsidR="004843DB" w:rsidRPr="0062582F" w:rsidRDefault="004843DB" w:rsidP="004843DB">
      <w:pPr>
        <w:pStyle w:val="CommentaryBullet"/>
      </w:pPr>
      <w:r w:rsidRPr="0062582F">
        <w:t>the amount of the assets and liabilities other than cash or cash equivalents in the subsidiaries or other businesses over which control is obtained or lost, summarised by each major category.</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t>AASB 107.50</w:t>
      </w:r>
    </w:p>
    <w:p w:rsidR="004843DB" w:rsidRPr="0062582F" w:rsidRDefault="004843DB" w:rsidP="004843DB">
      <w:pPr>
        <w:pStyle w:val="CommentaryText"/>
        <w:pBdr>
          <w:top w:val="none" w:sz="0" w:space="0" w:color="auto"/>
          <w:bottom w:val="none" w:sz="0" w:space="0" w:color="auto"/>
        </w:pBdr>
      </w:pPr>
      <w:r w:rsidRPr="0062582F">
        <w:br w:type="column"/>
        <w:t>The following additional information shall be provided if it is relevant in understanding the financial position and liquidity of an entity:</w:t>
      </w:r>
    </w:p>
    <w:p w:rsidR="004843DB" w:rsidRPr="0062582F" w:rsidRDefault="004843DB" w:rsidP="004843DB">
      <w:pPr>
        <w:pStyle w:val="CommentaryBullet"/>
        <w:pBdr>
          <w:bottom w:val="single" w:sz="4" w:space="1" w:color="0000FF"/>
        </w:pBdr>
      </w:pPr>
      <w:r w:rsidRPr="0062582F">
        <w:t>the amount of undrawn borrowing facilities that may be available for future operating activities and to settle capital commitments, indicating any restrictions on the use of these facilities;</w:t>
      </w:r>
    </w:p>
    <w:p w:rsidR="004843DB" w:rsidRPr="0062582F" w:rsidRDefault="004843DB" w:rsidP="004843DB">
      <w:pPr>
        <w:pStyle w:val="CommentaryBullet"/>
        <w:pBdr>
          <w:bottom w:val="single" w:sz="4" w:space="1" w:color="0000FF"/>
        </w:pBdr>
      </w:pPr>
      <w:r w:rsidRPr="0062582F">
        <w:t>the aggregate amount of cash flows that represent increases in operating capacity separately from those cash flows that are required to maintain operating capacity; and</w:t>
      </w:r>
    </w:p>
    <w:p w:rsidR="004843DB" w:rsidRPr="0062582F" w:rsidRDefault="004843DB" w:rsidP="004843DB">
      <w:pPr>
        <w:pStyle w:val="CommentaryBullet"/>
        <w:pBdr>
          <w:bottom w:val="single" w:sz="4" w:space="1" w:color="0000FF"/>
        </w:pBdr>
      </w:pPr>
      <w:r w:rsidRPr="0062582F">
        <w:t>the amount of the cash flows arising from the operating, investing and financing activities of each reportable segment.</w:t>
      </w:r>
    </w:p>
    <w:p w:rsidR="004843DB" w:rsidRPr="0062582F" w:rsidRDefault="004843DB" w:rsidP="004843DB">
      <w:bookmarkStart w:id="595" w:name="_Toc163448922"/>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40"/>
      </w:pPr>
      <w:r w:rsidRPr="0062582F">
        <w:t>AASB 107.43</w:t>
      </w:r>
    </w:p>
    <w:p w:rsidR="004843DB" w:rsidRPr="0062582F" w:rsidRDefault="004843DB" w:rsidP="004843DB">
      <w:pPr>
        <w:pStyle w:val="Heading5"/>
      </w:pPr>
      <w:r w:rsidRPr="0062582F">
        <w:br w:type="column"/>
        <w:t>(d)</w:t>
      </w:r>
      <w:r w:rsidRPr="0062582F">
        <w:tab/>
        <w:t>Non</w:t>
      </w:r>
      <w:r w:rsidR="005A4BB0">
        <w:noBreakHyphen/>
      </w:r>
      <w:r w:rsidRPr="0062582F">
        <w:t>cash financing and investing activities</w:t>
      </w:r>
      <w:bookmarkEnd w:id="595"/>
    </w:p>
    <w:p w:rsidR="004843DB" w:rsidRPr="0062582F" w:rsidRDefault="004843DB" w:rsidP="004843DB">
      <w:pPr>
        <w:pStyle w:val="Heading5a"/>
      </w:pPr>
      <w:bookmarkStart w:id="596" w:name="_Toc163448923"/>
      <w:r w:rsidRPr="0062582F">
        <w:t>Assumption of liabilities</w:t>
      </w:r>
      <w:bookmarkEnd w:id="596"/>
    </w:p>
    <w:p w:rsidR="004843DB" w:rsidRPr="0062582F" w:rsidRDefault="004843DB" w:rsidP="004843DB">
      <w:r w:rsidRPr="0062582F">
        <w:t>During the reporting period the Department assumed the liabilities of Westlake Centre for Vaccine Research amounting to $825 000 (2015: $nil). The assumption of these liabilities is not reflected in the cash flow statement.</w:t>
      </w:r>
    </w:p>
    <w:p w:rsidR="004843DB" w:rsidRPr="0062582F" w:rsidRDefault="004843DB" w:rsidP="004843DB">
      <w:pPr>
        <w:pStyle w:val="Heading5a"/>
      </w:pPr>
      <w:bookmarkStart w:id="597" w:name="_Toc163448924"/>
      <w:r w:rsidRPr="0062582F">
        <w:t>Restructuring of administrative arrangements</w:t>
      </w:r>
      <w:bookmarkEnd w:id="597"/>
    </w:p>
    <w:p w:rsidR="004843DB" w:rsidRPr="0062582F" w:rsidRDefault="004843DB" w:rsidP="004843DB">
      <w:r w:rsidRPr="0062582F">
        <w:t>Details with respect to the restructuring of administrative arrangements are set out in Note 9. This administrative restructuring is not reflected in the cash flow statement.</w:t>
      </w:r>
    </w:p>
    <w:p w:rsidR="004843DB" w:rsidRPr="0062582F" w:rsidRDefault="004843DB" w:rsidP="004843DB"/>
    <w:p w:rsidR="004843DB" w:rsidRPr="0062582F" w:rsidRDefault="004843DB" w:rsidP="004843DB">
      <w:pPr>
        <w:pStyle w:val="CommentaryHeading"/>
      </w:pPr>
      <w:bookmarkStart w:id="598" w:name="_Toc163448925"/>
      <w:r w:rsidRPr="0062582F">
        <w:t>Commentary – Non</w:t>
      </w:r>
      <w:r w:rsidR="005A4BB0">
        <w:noBreakHyphen/>
      </w:r>
      <w:r w:rsidRPr="0062582F">
        <w:t>cash financing and investing activities</w:t>
      </w:r>
      <w:bookmarkEnd w:id="598"/>
    </w:p>
    <w:p w:rsidR="004843DB" w:rsidRPr="0062582F"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107.43</w:t>
      </w:r>
    </w:p>
    <w:p w:rsidR="004843DB" w:rsidRPr="0062582F" w:rsidRDefault="004843DB" w:rsidP="004843DB">
      <w:pPr>
        <w:pStyle w:val="CommentaryText"/>
        <w:pBdr>
          <w:top w:val="none" w:sz="0" w:space="0" w:color="auto"/>
        </w:pBdr>
      </w:pPr>
      <w:r w:rsidRPr="0062582F">
        <w:br w:type="column"/>
        <w:t xml:space="preserve">Investing and financing transactions that do not require the use of cash or cash equivalents shall be disclosed in the financial statements in a way that provides all the relevant information about these investing and financing activities. </w:t>
      </w:r>
    </w:p>
    <w:p w:rsidR="004843DB" w:rsidRPr="0062582F" w:rsidRDefault="004843DB" w:rsidP="004843DB"/>
    <w:p w:rsidR="004843DB" w:rsidRPr="0062582F" w:rsidRDefault="004843DB" w:rsidP="004843DB">
      <w:pPr>
        <w:pStyle w:val="SmallLine"/>
      </w:pPr>
      <w:r w:rsidRPr="0062582F">
        <w:br w:type="column"/>
      </w:r>
    </w:p>
    <w:p w:rsidR="004843DB" w:rsidRPr="0062582F" w:rsidRDefault="004843DB" w:rsidP="004843DB">
      <w:pPr>
        <w:pStyle w:val="NoteHeadingcontinued"/>
        <w:rPr>
          <w:i/>
        </w:rPr>
      </w:pPr>
      <w:r w:rsidRPr="0062582F">
        <w:br w:type="column"/>
        <w:t xml:space="preserve">Note 34. </w:t>
      </w:r>
      <w:r w:rsidRPr="0062582F">
        <w:tab/>
        <w:t xml:space="preserve">Cash flow information </w:t>
      </w:r>
      <w:r w:rsidRPr="0062582F">
        <w:rPr>
          <w:i/>
        </w:rPr>
        <w:t>(continued)</w:t>
      </w: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180"/>
      </w:pPr>
      <w:r w:rsidRPr="0062582F">
        <w:t>AASB 107.50</w:t>
      </w:r>
    </w:p>
    <w:p w:rsidR="004843DB" w:rsidRPr="0062582F" w:rsidRDefault="004843DB" w:rsidP="004843DB">
      <w:pPr>
        <w:pStyle w:val="Heading5"/>
      </w:pPr>
      <w:r w:rsidRPr="0062582F">
        <w:br w:type="column"/>
        <w:t>(e)</w:t>
      </w:r>
      <w:r w:rsidRPr="0062582F">
        <w:tab/>
        <w:t>Financing facilities</w:t>
      </w:r>
    </w:p>
    <w:p w:rsidR="004843DB" w:rsidRPr="0062582F" w:rsidRDefault="004843DB" w:rsidP="004843DB">
      <w:pPr>
        <w:pStyle w:val="million"/>
      </w:pPr>
      <w:r w:rsidRPr="0062582F">
        <w:t>($ thousand)</w:t>
      </w:r>
    </w:p>
    <w:tbl>
      <w:tblPr>
        <w:tblW w:w="8143" w:type="dxa"/>
        <w:tblLayout w:type="fixed"/>
        <w:tblCellMar>
          <w:left w:w="43" w:type="dxa"/>
          <w:right w:w="43" w:type="dxa"/>
        </w:tblCellMar>
        <w:tblLook w:val="0000" w:firstRow="0" w:lastRow="0" w:firstColumn="0" w:lastColumn="0" w:noHBand="0" w:noVBand="0"/>
      </w:tblPr>
      <w:tblGrid>
        <w:gridCol w:w="6253"/>
        <w:gridCol w:w="945"/>
        <w:gridCol w:w="945"/>
      </w:tblGrid>
      <w:tr w:rsidR="004843DB" w:rsidRPr="0062582F" w:rsidTr="004843DB">
        <w:trPr>
          <w:cantSplit/>
          <w:trHeight w:val="20"/>
        </w:trPr>
        <w:tc>
          <w:tcPr>
            <w:tcW w:w="6253" w:type="dxa"/>
            <w:tcBorders>
              <w:top w:val="single" w:sz="4" w:space="0" w:color="auto"/>
              <w:bottom w:val="single" w:sz="4" w:space="0" w:color="auto"/>
            </w:tcBorders>
            <w:vAlign w:val="center"/>
          </w:tcPr>
          <w:p w:rsidR="004843DB" w:rsidRPr="0062582F" w:rsidRDefault="004843DB" w:rsidP="004843DB">
            <w:pPr>
              <w:pStyle w:val="Tabletextheading"/>
            </w:pPr>
          </w:p>
        </w:tc>
        <w:tc>
          <w:tcPr>
            <w:tcW w:w="945" w:type="dxa"/>
            <w:tcBorders>
              <w:top w:val="single" w:sz="4" w:space="0" w:color="auto"/>
              <w:bottom w:val="single" w:sz="4" w:space="0" w:color="auto"/>
            </w:tcBorders>
            <w:shd w:val="clear" w:color="auto" w:fill="D9D9D9"/>
            <w:vAlign w:val="bottom"/>
          </w:tcPr>
          <w:p w:rsidR="004843DB" w:rsidRPr="0062582F" w:rsidRDefault="004843DB" w:rsidP="004843DB">
            <w:pPr>
              <w:pStyle w:val="Tabletextheading"/>
            </w:pPr>
            <w:r w:rsidRPr="0062582F">
              <w:t>2016</w:t>
            </w:r>
          </w:p>
        </w:tc>
        <w:tc>
          <w:tcPr>
            <w:tcW w:w="945" w:type="dxa"/>
            <w:tcBorders>
              <w:top w:val="single" w:sz="4" w:space="0" w:color="auto"/>
              <w:bottom w:val="single" w:sz="4" w:space="0" w:color="auto"/>
            </w:tcBorders>
            <w:vAlign w:val="bottom"/>
          </w:tcPr>
          <w:p w:rsidR="004843DB" w:rsidRPr="0062582F" w:rsidRDefault="004843DB" w:rsidP="004843DB">
            <w:pPr>
              <w:pStyle w:val="Tabletextheading"/>
            </w:pPr>
            <w:r w:rsidRPr="0062582F">
              <w:t>2015</w:t>
            </w:r>
          </w:p>
        </w:tc>
      </w:tr>
      <w:tr w:rsidR="004843DB" w:rsidRPr="0062582F" w:rsidTr="004843DB">
        <w:trPr>
          <w:cantSplit/>
          <w:trHeight w:val="20"/>
        </w:trPr>
        <w:tc>
          <w:tcPr>
            <w:tcW w:w="6253" w:type="dxa"/>
            <w:tcBorders>
              <w:top w:val="single" w:sz="4" w:space="0" w:color="auto"/>
            </w:tcBorders>
            <w:vAlign w:val="bottom"/>
          </w:tcPr>
          <w:p w:rsidR="004843DB" w:rsidRPr="0062582F" w:rsidRDefault="004843DB" w:rsidP="004843DB">
            <w:pPr>
              <w:pStyle w:val="Tabletext"/>
              <w:rPr>
                <w:b/>
              </w:rPr>
            </w:pPr>
            <w:r w:rsidRPr="0062582F">
              <w:rPr>
                <w:b/>
              </w:rPr>
              <w:t>Unsecured bank overdraft facility, reviewed annually and payable at call</w:t>
            </w:r>
          </w:p>
        </w:tc>
        <w:tc>
          <w:tcPr>
            <w:tcW w:w="945" w:type="dxa"/>
            <w:tcBorders>
              <w:top w:val="single" w:sz="4" w:space="0" w:color="auto"/>
            </w:tcBorders>
            <w:shd w:val="clear" w:color="auto" w:fill="D9D9D9"/>
            <w:vAlign w:val="bottom"/>
          </w:tcPr>
          <w:p w:rsidR="004843DB" w:rsidRPr="0062582F" w:rsidRDefault="004843DB" w:rsidP="004843DB">
            <w:pPr>
              <w:pStyle w:val="TableofFigures"/>
              <w:rPr>
                <w:b/>
              </w:rPr>
            </w:pPr>
          </w:p>
        </w:tc>
        <w:tc>
          <w:tcPr>
            <w:tcW w:w="945" w:type="dxa"/>
            <w:tcBorders>
              <w:top w:val="single" w:sz="4" w:space="0" w:color="auto"/>
            </w:tcBorders>
            <w:vAlign w:val="bottom"/>
          </w:tcPr>
          <w:p w:rsidR="004843DB" w:rsidRPr="0062582F" w:rsidRDefault="004843DB" w:rsidP="004843DB">
            <w:pPr>
              <w:pStyle w:val="TableofFigures"/>
              <w:rPr>
                <w:b/>
              </w:rPr>
            </w:pPr>
          </w:p>
        </w:tc>
      </w:tr>
      <w:tr w:rsidR="004843DB" w:rsidRPr="0062582F" w:rsidTr="004843DB">
        <w:trPr>
          <w:cantSplit/>
          <w:trHeight w:val="20"/>
        </w:trPr>
        <w:tc>
          <w:tcPr>
            <w:tcW w:w="6253" w:type="dxa"/>
            <w:vAlign w:val="bottom"/>
          </w:tcPr>
          <w:p w:rsidR="004843DB" w:rsidRPr="0062582F" w:rsidRDefault="004843DB" w:rsidP="004843DB">
            <w:pPr>
              <w:pStyle w:val="Tabletext"/>
            </w:pPr>
            <w:r w:rsidRPr="0062582F">
              <w:t>Amount used</w:t>
            </w:r>
          </w:p>
        </w:tc>
        <w:tc>
          <w:tcPr>
            <w:tcW w:w="945" w:type="dxa"/>
            <w:shd w:val="clear" w:color="auto" w:fill="D9D9D9"/>
            <w:vAlign w:val="bottom"/>
          </w:tcPr>
          <w:p w:rsidR="004843DB" w:rsidRPr="0062582F" w:rsidRDefault="004843DB" w:rsidP="004843DB">
            <w:pPr>
              <w:pStyle w:val="TableofFigures"/>
            </w:pPr>
            <w:r w:rsidRPr="0062582F">
              <w:t>..</w:t>
            </w:r>
          </w:p>
        </w:tc>
        <w:tc>
          <w:tcPr>
            <w:tcW w:w="945" w:type="dxa"/>
            <w:vAlign w:val="bottom"/>
          </w:tcPr>
          <w:p w:rsidR="004843DB" w:rsidRPr="0062582F" w:rsidRDefault="004843DB" w:rsidP="004843DB">
            <w:pPr>
              <w:pStyle w:val="TableofFigures"/>
            </w:pPr>
            <w:r w:rsidRPr="0062582F">
              <w:t>5,437</w:t>
            </w:r>
          </w:p>
        </w:tc>
      </w:tr>
      <w:tr w:rsidR="004843DB" w:rsidRPr="0062582F" w:rsidTr="004843DB">
        <w:trPr>
          <w:cantSplit/>
          <w:trHeight w:val="20"/>
        </w:trPr>
        <w:tc>
          <w:tcPr>
            <w:tcW w:w="6253" w:type="dxa"/>
            <w:tcBorders>
              <w:bottom w:val="single" w:sz="4" w:space="0" w:color="auto"/>
            </w:tcBorders>
            <w:vAlign w:val="bottom"/>
          </w:tcPr>
          <w:p w:rsidR="004843DB" w:rsidRPr="0062582F" w:rsidRDefault="004843DB" w:rsidP="004843DB">
            <w:pPr>
              <w:pStyle w:val="Tabletext"/>
            </w:pPr>
            <w:r w:rsidRPr="0062582F">
              <w:t>Amount unused</w:t>
            </w:r>
          </w:p>
        </w:tc>
        <w:tc>
          <w:tcPr>
            <w:tcW w:w="945" w:type="dxa"/>
            <w:tcBorders>
              <w:bottom w:val="single" w:sz="4" w:space="0" w:color="auto"/>
            </w:tcBorders>
            <w:shd w:val="clear" w:color="auto" w:fill="D9D9D9"/>
            <w:vAlign w:val="bottom"/>
          </w:tcPr>
          <w:p w:rsidR="004843DB" w:rsidRPr="0062582F" w:rsidRDefault="004843DB" w:rsidP="004843DB">
            <w:pPr>
              <w:pStyle w:val="TableofFigures"/>
            </w:pPr>
            <w:r w:rsidRPr="0062582F">
              <w:t>10 000</w:t>
            </w:r>
          </w:p>
        </w:tc>
        <w:tc>
          <w:tcPr>
            <w:tcW w:w="945" w:type="dxa"/>
            <w:tcBorders>
              <w:bottom w:val="single" w:sz="4" w:space="0" w:color="auto"/>
            </w:tcBorders>
            <w:vAlign w:val="bottom"/>
          </w:tcPr>
          <w:p w:rsidR="004843DB" w:rsidRPr="0062582F" w:rsidRDefault="004843DB" w:rsidP="004843DB">
            <w:pPr>
              <w:pStyle w:val="TableofFigures"/>
            </w:pPr>
            <w:r w:rsidRPr="0062582F">
              <w:t>4 563</w:t>
            </w:r>
          </w:p>
        </w:tc>
      </w:tr>
      <w:tr w:rsidR="004843DB" w:rsidRPr="0062582F" w:rsidTr="004843DB">
        <w:trPr>
          <w:cantSplit/>
          <w:trHeight w:val="20"/>
        </w:trPr>
        <w:tc>
          <w:tcPr>
            <w:tcW w:w="6253" w:type="dxa"/>
            <w:tcBorders>
              <w:top w:val="single" w:sz="4" w:space="0" w:color="auto"/>
              <w:bottom w:val="single" w:sz="4" w:space="0" w:color="auto"/>
            </w:tcBorders>
            <w:vAlign w:val="bottom"/>
          </w:tcPr>
          <w:p w:rsidR="004843DB" w:rsidRPr="0062582F" w:rsidRDefault="004843DB" w:rsidP="004843DB">
            <w:pPr>
              <w:pStyle w:val="Tabletext"/>
              <w:rPr>
                <w:b/>
              </w:rPr>
            </w:pPr>
          </w:p>
        </w:tc>
        <w:tc>
          <w:tcPr>
            <w:tcW w:w="945" w:type="dxa"/>
            <w:tcBorders>
              <w:top w:val="single" w:sz="4" w:space="0" w:color="auto"/>
              <w:bottom w:val="single" w:sz="4" w:space="0" w:color="auto"/>
            </w:tcBorders>
            <w:shd w:val="clear" w:color="auto" w:fill="D9D9D9"/>
            <w:vAlign w:val="bottom"/>
          </w:tcPr>
          <w:p w:rsidR="004843DB" w:rsidRPr="0062582F" w:rsidRDefault="004843DB" w:rsidP="004843DB">
            <w:pPr>
              <w:pStyle w:val="TableofFigures"/>
              <w:rPr>
                <w:b/>
              </w:rPr>
            </w:pPr>
            <w:r w:rsidRPr="0062582F">
              <w:rPr>
                <w:b/>
              </w:rPr>
              <w:t>10 000</w:t>
            </w:r>
          </w:p>
        </w:tc>
        <w:tc>
          <w:tcPr>
            <w:tcW w:w="945" w:type="dxa"/>
            <w:tcBorders>
              <w:top w:val="single" w:sz="4" w:space="0" w:color="auto"/>
              <w:bottom w:val="single" w:sz="4" w:space="0" w:color="auto"/>
            </w:tcBorders>
            <w:vAlign w:val="bottom"/>
          </w:tcPr>
          <w:p w:rsidR="004843DB" w:rsidRPr="0062582F" w:rsidRDefault="004843DB" w:rsidP="004843DB">
            <w:pPr>
              <w:pStyle w:val="TableofFigures"/>
              <w:rPr>
                <w:b/>
              </w:rPr>
            </w:pPr>
            <w:r w:rsidRPr="0062582F">
              <w:rPr>
                <w:b/>
              </w:rPr>
              <w:t>10 000</w:t>
            </w:r>
          </w:p>
        </w:tc>
      </w:tr>
      <w:tr w:rsidR="004843DB" w:rsidRPr="0062582F" w:rsidTr="004843DB">
        <w:trPr>
          <w:cantSplit/>
          <w:trHeight w:val="20"/>
        </w:trPr>
        <w:tc>
          <w:tcPr>
            <w:tcW w:w="6253" w:type="dxa"/>
            <w:tcBorders>
              <w:top w:val="single" w:sz="4" w:space="0" w:color="auto"/>
            </w:tcBorders>
            <w:vAlign w:val="bottom"/>
          </w:tcPr>
          <w:p w:rsidR="004843DB" w:rsidRPr="0062582F" w:rsidRDefault="004843DB" w:rsidP="004843DB">
            <w:pPr>
              <w:pStyle w:val="Tabletext"/>
              <w:rPr>
                <w:b/>
              </w:rPr>
            </w:pPr>
            <w:r w:rsidRPr="0062582F">
              <w:rPr>
                <w:b/>
              </w:rPr>
              <w:t>Unsecured loan facilities with various maturity dates through to 2014</w:t>
            </w:r>
            <w:r w:rsidR="005A4BB0">
              <w:rPr>
                <w:b/>
              </w:rPr>
              <w:noBreakHyphen/>
            </w:r>
            <w:r w:rsidRPr="0062582F">
              <w:rPr>
                <w:b/>
              </w:rPr>
              <w:t>15 and which may be extended by mutual agreement</w:t>
            </w:r>
          </w:p>
        </w:tc>
        <w:tc>
          <w:tcPr>
            <w:tcW w:w="945" w:type="dxa"/>
            <w:tcBorders>
              <w:top w:val="single" w:sz="4" w:space="0" w:color="auto"/>
              <w:left w:val="nil"/>
            </w:tcBorders>
            <w:shd w:val="clear" w:color="auto" w:fill="D9D9D9"/>
            <w:vAlign w:val="bottom"/>
          </w:tcPr>
          <w:p w:rsidR="004843DB" w:rsidRPr="0062582F" w:rsidRDefault="004843DB" w:rsidP="004843DB">
            <w:pPr>
              <w:pStyle w:val="TableofFigures"/>
              <w:rPr>
                <w:b/>
              </w:rPr>
            </w:pPr>
          </w:p>
        </w:tc>
        <w:tc>
          <w:tcPr>
            <w:tcW w:w="945" w:type="dxa"/>
            <w:tcBorders>
              <w:top w:val="single" w:sz="4" w:space="0" w:color="auto"/>
            </w:tcBorders>
            <w:vAlign w:val="bottom"/>
          </w:tcPr>
          <w:p w:rsidR="004843DB" w:rsidRPr="0062582F" w:rsidRDefault="004843DB" w:rsidP="004843DB">
            <w:pPr>
              <w:pStyle w:val="TableofFigures"/>
              <w:rPr>
                <w:b/>
              </w:rPr>
            </w:pPr>
          </w:p>
        </w:tc>
      </w:tr>
      <w:tr w:rsidR="004843DB" w:rsidRPr="0062582F" w:rsidTr="004843DB">
        <w:trPr>
          <w:cantSplit/>
          <w:trHeight w:val="20"/>
        </w:trPr>
        <w:tc>
          <w:tcPr>
            <w:tcW w:w="6253" w:type="dxa"/>
            <w:vAlign w:val="bottom"/>
          </w:tcPr>
          <w:p w:rsidR="004843DB" w:rsidRPr="0062582F" w:rsidRDefault="004843DB" w:rsidP="004843DB">
            <w:pPr>
              <w:pStyle w:val="Tabletext"/>
            </w:pPr>
            <w:r w:rsidRPr="0062582F">
              <w:t>Amount used</w:t>
            </w:r>
          </w:p>
        </w:tc>
        <w:tc>
          <w:tcPr>
            <w:tcW w:w="945" w:type="dxa"/>
            <w:shd w:val="clear" w:color="auto" w:fill="D9D9D9"/>
            <w:vAlign w:val="bottom"/>
          </w:tcPr>
          <w:p w:rsidR="004843DB" w:rsidRPr="0062582F" w:rsidRDefault="004843DB" w:rsidP="004843DB">
            <w:pPr>
              <w:pStyle w:val="TableofFigures"/>
            </w:pPr>
            <w:r w:rsidRPr="0062582F">
              <w:t>53 814</w:t>
            </w:r>
          </w:p>
        </w:tc>
        <w:tc>
          <w:tcPr>
            <w:tcW w:w="945" w:type="dxa"/>
            <w:vAlign w:val="bottom"/>
          </w:tcPr>
          <w:p w:rsidR="004843DB" w:rsidRPr="0062582F" w:rsidRDefault="004843DB" w:rsidP="004843DB">
            <w:pPr>
              <w:pStyle w:val="TableofFigures"/>
            </w:pPr>
            <w:r w:rsidRPr="0062582F">
              <w:t>39 724</w:t>
            </w:r>
          </w:p>
        </w:tc>
      </w:tr>
      <w:tr w:rsidR="004843DB" w:rsidRPr="0062582F" w:rsidTr="004843DB">
        <w:trPr>
          <w:cantSplit/>
          <w:trHeight w:val="20"/>
        </w:trPr>
        <w:tc>
          <w:tcPr>
            <w:tcW w:w="6253" w:type="dxa"/>
            <w:tcBorders>
              <w:bottom w:val="single" w:sz="4" w:space="0" w:color="auto"/>
            </w:tcBorders>
            <w:vAlign w:val="bottom"/>
          </w:tcPr>
          <w:p w:rsidR="004843DB" w:rsidRPr="0062582F" w:rsidRDefault="004843DB" w:rsidP="004843DB">
            <w:pPr>
              <w:pStyle w:val="Tabletext"/>
            </w:pPr>
            <w:r w:rsidRPr="0062582F">
              <w:t>Amount unused</w:t>
            </w:r>
          </w:p>
        </w:tc>
        <w:tc>
          <w:tcPr>
            <w:tcW w:w="945"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945" w:type="dxa"/>
            <w:tcBorders>
              <w:bottom w:val="single" w:sz="4" w:space="0" w:color="auto"/>
            </w:tcBorders>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tcBorders>
              <w:top w:val="single" w:sz="4" w:space="0" w:color="auto"/>
              <w:bottom w:val="single" w:sz="12" w:space="0" w:color="auto"/>
            </w:tcBorders>
            <w:vAlign w:val="bottom"/>
          </w:tcPr>
          <w:p w:rsidR="004843DB" w:rsidRPr="0062582F" w:rsidRDefault="004843DB" w:rsidP="004843DB">
            <w:pPr>
              <w:pStyle w:val="Tabletext"/>
              <w:rPr>
                <w:b/>
              </w:rPr>
            </w:pPr>
          </w:p>
        </w:tc>
        <w:tc>
          <w:tcPr>
            <w:tcW w:w="945" w:type="dxa"/>
            <w:tcBorders>
              <w:top w:val="single" w:sz="4" w:space="0" w:color="auto"/>
              <w:bottom w:val="single" w:sz="12" w:space="0" w:color="auto"/>
            </w:tcBorders>
            <w:shd w:val="clear" w:color="auto" w:fill="D9D9D9"/>
            <w:vAlign w:val="bottom"/>
          </w:tcPr>
          <w:p w:rsidR="004843DB" w:rsidRPr="0062582F" w:rsidRDefault="004843DB" w:rsidP="004843DB">
            <w:pPr>
              <w:pStyle w:val="TableofFigures"/>
              <w:rPr>
                <w:b/>
              </w:rPr>
            </w:pPr>
            <w:r w:rsidRPr="0062582F">
              <w:rPr>
                <w:b/>
              </w:rPr>
              <w:t>53 814</w:t>
            </w:r>
          </w:p>
        </w:tc>
        <w:tc>
          <w:tcPr>
            <w:tcW w:w="945" w:type="dxa"/>
            <w:tcBorders>
              <w:top w:val="single" w:sz="4" w:space="0" w:color="auto"/>
              <w:bottom w:val="single" w:sz="12" w:space="0" w:color="auto"/>
            </w:tcBorders>
            <w:vAlign w:val="bottom"/>
          </w:tcPr>
          <w:p w:rsidR="004843DB" w:rsidRPr="0062582F" w:rsidRDefault="004843DB" w:rsidP="004843DB">
            <w:pPr>
              <w:pStyle w:val="TableofFigures"/>
              <w:rPr>
                <w:b/>
              </w:rPr>
            </w:pPr>
            <w:r w:rsidRPr="0062582F">
              <w:rPr>
                <w:b/>
              </w:rPr>
              <w:t>39 724</w:t>
            </w:r>
          </w:p>
        </w:tc>
      </w:tr>
    </w:tbl>
    <w:p w:rsidR="004843DB" w:rsidRPr="0062582F" w:rsidRDefault="004843DB" w:rsidP="004843DB"/>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bookmarkStart w:id="599" w:name="_Toc163448926"/>
    </w:p>
    <w:p w:rsidR="004843DB" w:rsidRPr="0062582F" w:rsidRDefault="004843DB" w:rsidP="004843DB">
      <w:pPr>
        <w:pStyle w:val="Reference"/>
      </w:pPr>
      <w:r w:rsidRPr="0062582F">
        <w:t>AASB 107.48</w:t>
      </w:r>
    </w:p>
    <w:p w:rsidR="004843DB" w:rsidRPr="0062582F" w:rsidRDefault="004843DB" w:rsidP="004843DB">
      <w:pPr>
        <w:pStyle w:val="Heading5"/>
      </w:pPr>
      <w:r w:rsidRPr="0062582F">
        <w:br w:type="column"/>
        <w:t>(f)</w:t>
      </w:r>
      <w:r w:rsidRPr="0062582F">
        <w:tab/>
        <w:t>Cash balances not available for use</w:t>
      </w:r>
      <w:bookmarkEnd w:id="599"/>
    </w:p>
    <w:p w:rsidR="004843DB" w:rsidRPr="0062582F" w:rsidRDefault="004843DB" w:rsidP="004843DB">
      <w:pPr>
        <w:pStyle w:val="SmallLine"/>
      </w:pPr>
      <w:bookmarkStart w:id="600" w:name="_Toc163448927"/>
    </w:p>
    <w:p w:rsidR="004843DB" w:rsidRPr="0062582F" w:rsidRDefault="004843DB" w:rsidP="004843DB">
      <w:pPr>
        <w:pStyle w:val="CommentaryHeading"/>
      </w:pPr>
      <w:r w:rsidRPr="0062582F">
        <w:t>Commentary – Cash balances not available for use</w:t>
      </w:r>
      <w:bookmarkEnd w:id="600"/>
    </w:p>
    <w:p w:rsidR="004843DB" w:rsidRPr="0062582F" w:rsidRDefault="004843DB" w:rsidP="004843DB">
      <w:pPr>
        <w:pStyle w:val="SmallLineBlue"/>
      </w:pPr>
    </w:p>
    <w:p w:rsidR="004843DB" w:rsidRPr="0062582F" w:rsidRDefault="004843DB" w:rsidP="004843DB">
      <w:pPr>
        <w:pStyle w:val="CommentaryText"/>
        <w:rPr>
          <w:noProof w:val="0"/>
        </w:rPr>
      </w:pPr>
      <w:r w:rsidRPr="0062582F">
        <w:rPr>
          <w:noProof w:val="0"/>
        </w:rPr>
        <w:t xml:space="preserve">An entity shall disclose, together with commentary by management, the amount of significant cash and cash equivalent balances held by the entity that are not available for use by the entity, for example, cash related to trusts under management. </w:t>
      </w:r>
    </w:p>
    <w:p w:rsidR="004843DB" w:rsidRPr="0062582F" w:rsidRDefault="004843DB" w:rsidP="004843DB"/>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Headingcontinued"/>
      </w:pPr>
      <w:r w:rsidRPr="0062582F">
        <w:br w:type="column"/>
      </w:r>
      <w:r w:rsidRPr="0062582F">
        <w:br w:type="column"/>
      </w:r>
    </w:p>
    <w:p w:rsidR="004843DB" w:rsidRPr="0062582F" w:rsidRDefault="004843DB" w:rsidP="004843DB">
      <w:pPr>
        <w:pStyle w:val="Reference"/>
      </w:pPr>
      <w:r w:rsidRPr="0062582F">
        <w:t>AASB 1054.16</w:t>
      </w:r>
    </w:p>
    <w:p w:rsidR="004843DB" w:rsidRPr="0062582F" w:rsidRDefault="004843DB" w:rsidP="004843DB">
      <w:pPr>
        <w:pStyle w:val="NoteHeadingcontinued"/>
      </w:pPr>
      <w:r w:rsidRPr="0062582F">
        <w:br w:type="column"/>
        <w:t xml:space="preserve">Note 34. </w:t>
      </w:r>
      <w:r w:rsidRPr="0062582F">
        <w:tab/>
        <w:t xml:space="preserve">Cash flow information </w:t>
      </w:r>
      <w:r w:rsidRPr="0062582F">
        <w:rPr>
          <w:i/>
        </w:rPr>
        <w:t>(continued)</w:t>
      </w:r>
    </w:p>
    <w:p w:rsidR="004843DB" w:rsidRPr="0062582F" w:rsidRDefault="004843DB" w:rsidP="004843DB">
      <w:pPr>
        <w:pStyle w:val="Heading5"/>
      </w:pPr>
      <w:r w:rsidRPr="0062582F">
        <w:t>(g)</w:t>
      </w:r>
      <w:r w:rsidRPr="0062582F">
        <w:tab/>
        <w:t>Reconciliation of net result for the period</w:t>
      </w:r>
    </w:p>
    <w:p w:rsidR="004843DB" w:rsidRPr="0062582F" w:rsidRDefault="004843DB" w:rsidP="004843DB">
      <w:pPr>
        <w:pStyle w:val="million"/>
        <w:rPr>
          <w:rFonts w:ascii="Tahoma" w:hAnsi="Tahoma" w:cs="Tahoma"/>
          <w:sz w:val="20"/>
        </w:rPr>
      </w:pPr>
      <w:r w:rsidRPr="0062582F">
        <w:t>($ thousand)</w:t>
      </w:r>
    </w:p>
    <w:tbl>
      <w:tblPr>
        <w:tblW w:w="8143" w:type="dxa"/>
        <w:tblLayout w:type="fixed"/>
        <w:tblCellMar>
          <w:left w:w="43" w:type="dxa"/>
          <w:right w:w="43" w:type="dxa"/>
        </w:tblCellMar>
        <w:tblLook w:val="04A0" w:firstRow="1" w:lastRow="0" w:firstColumn="1" w:lastColumn="0" w:noHBand="0" w:noVBand="1"/>
      </w:tblPr>
      <w:tblGrid>
        <w:gridCol w:w="6253"/>
        <w:gridCol w:w="945"/>
        <w:gridCol w:w="945"/>
      </w:tblGrid>
      <w:tr w:rsidR="004843DB" w:rsidRPr="0062582F" w:rsidTr="004843DB">
        <w:trPr>
          <w:cantSplit/>
        </w:trPr>
        <w:tc>
          <w:tcPr>
            <w:tcW w:w="625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945"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textheading"/>
            </w:pPr>
            <w:r w:rsidRPr="0062582F">
              <w:t>2016</w:t>
            </w:r>
          </w:p>
        </w:tc>
        <w:tc>
          <w:tcPr>
            <w:tcW w:w="94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Net result for the period</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14 790</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9 879</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Non</w:t>
            </w:r>
            <w:r w:rsidR="005A4BB0">
              <w:rPr>
                <w:b/>
              </w:rPr>
              <w:noBreakHyphen/>
            </w:r>
            <w:r w:rsidRPr="0062582F">
              <w:rPr>
                <w:b/>
              </w:rPr>
              <w:t>cash movements: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(Gain)/loss on sale or disposal of non</w:t>
            </w:r>
            <w:r w:rsidR="005A4BB0">
              <w:noBreakHyphen/>
            </w:r>
            <w:r w:rsidRPr="0062582F">
              <w:t>current assets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(1 527)</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(1 259)</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(Gain)/loss on revaluation of investment property</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3 485</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(450)</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Depreciation and amortisation of non</w:t>
            </w:r>
            <w:r w:rsidR="005A4BB0">
              <w:noBreakHyphen/>
            </w:r>
            <w:r w:rsidRPr="0062582F">
              <w:t>current assets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16 867</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14 445</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Impairment of non</w:t>
            </w:r>
            <w:r w:rsidR="005A4BB0">
              <w:noBreakHyphen/>
            </w:r>
            <w:r w:rsidRPr="0062582F">
              <w:t>current assets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3 203</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( 96)</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Resources provided free of charge or for nominal consideration</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(103)</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(586)</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Forgiveness of liabilities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(2 395)</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(2 439)</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Net (gain)/loss on financial instruments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6 331</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4 834</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Other non</w:t>
            </w:r>
            <w:r w:rsidR="005A4BB0">
              <w:noBreakHyphen/>
            </w:r>
            <w:r w:rsidRPr="0062582F">
              <w:t>cash movements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41</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(893)</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Movements included in investing and financing activities: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(Gain)/loss on disposal of business (Note 10(c) and Note 34(c))</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Share of associate</w:t>
            </w:r>
            <w:r w:rsidR="005A4BB0">
              <w:t>’</w:t>
            </w:r>
            <w:r w:rsidRPr="0062582F">
              <w:t>s (profits)/losses, excluding dividends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(1 055)</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(652)</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Share of joint venture entities</w:t>
            </w:r>
            <w:r w:rsidR="005A4BB0">
              <w:t>’</w:t>
            </w:r>
            <w:r w:rsidRPr="0062582F">
              <w:t xml:space="preserve"> (profits)/losses, excluding dividends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(231)</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(745)</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Movements in assets and liabilities: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rPr>
                <w:b/>
              </w:rPr>
            </w:pPr>
            <w:r w:rsidRPr="0062582F">
              <w:rPr>
                <w:b/>
              </w:rPr>
              <w:t xml:space="preserve"> </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rPr>
                <w:b/>
              </w:rPr>
            </w:pPr>
            <w:r w:rsidRPr="0062582F">
              <w:rPr>
                <w:b/>
              </w:rPr>
              <w:t xml:space="preserve"> </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Increase/decrease in receivables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(28 738)</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(5 802)</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Increase/decrease in inventories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(159)</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15</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Increase/decrease in other non</w:t>
            </w:r>
            <w:r w:rsidR="005A4BB0">
              <w:noBreakHyphen/>
            </w:r>
            <w:r w:rsidRPr="0062582F">
              <w:t>financial assets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(1 060)</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(285)</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Increase/decrease in payables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1 693</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(176)</w:t>
            </w:r>
          </w:p>
        </w:tc>
      </w:tr>
      <w:tr w:rsidR="004843DB" w:rsidRPr="0062582F" w:rsidTr="004843DB">
        <w:trPr>
          <w:cantSplit/>
        </w:trPr>
        <w:tc>
          <w:tcPr>
            <w:tcW w:w="6253" w:type="dxa"/>
            <w:tcBorders>
              <w:top w:val="nil"/>
              <w:left w:val="nil"/>
              <w:bottom w:val="nil"/>
              <w:right w:val="nil"/>
            </w:tcBorders>
            <w:shd w:val="clear" w:color="auto" w:fill="auto"/>
            <w:hideMark/>
          </w:tcPr>
          <w:p w:rsidR="004843DB" w:rsidRPr="0062582F" w:rsidRDefault="004843DB" w:rsidP="004843DB">
            <w:pPr>
              <w:pStyle w:val="Tabletext"/>
            </w:pPr>
            <w:r w:rsidRPr="0062582F">
              <w:t>Increase/decrease in provisions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3 870</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2 695</w:t>
            </w:r>
          </w:p>
        </w:tc>
      </w:tr>
      <w:tr w:rsidR="004843DB" w:rsidRPr="0062582F" w:rsidTr="004843DB">
        <w:trPr>
          <w:cantSplit/>
        </w:trPr>
        <w:tc>
          <w:tcPr>
            <w:tcW w:w="625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Increase/decrease in other liabilities</w:t>
            </w:r>
          </w:p>
        </w:tc>
        <w:tc>
          <w:tcPr>
            <w:tcW w:w="945" w:type="dxa"/>
            <w:tcBorders>
              <w:top w:val="nil"/>
              <w:left w:val="nil"/>
              <w:bottom w:val="single" w:sz="4" w:space="0" w:color="auto"/>
              <w:right w:val="nil"/>
            </w:tcBorders>
            <w:shd w:val="clear" w:color="00FFFF" w:fill="CCCCCC"/>
            <w:noWrap/>
            <w:hideMark/>
          </w:tcPr>
          <w:p w:rsidR="004843DB" w:rsidRPr="0062582F" w:rsidRDefault="004843DB" w:rsidP="004843DB">
            <w:pPr>
              <w:pStyle w:val="TableofFigures"/>
            </w:pPr>
            <w:r w:rsidRPr="0062582F">
              <w:t xml:space="preserve"> 196</w:t>
            </w:r>
          </w:p>
        </w:tc>
        <w:tc>
          <w:tcPr>
            <w:tcW w:w="945"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 xml:space="preserve"> 169</w:t>
            </w:r>
          </w:p>
        </w:tc>
      </w:tr>
      <w:tr w:rsidR="004843DB" w:rsidRPr="0062582F" w:rsidTr="004843DB">
        <w:trPr>
          <w:cantSplit/>
        </w:trPr>
        <w:tc>
          <w:tcPr>
            <w:tcW w:w="625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Net cash flows from/(used in) operating activities</w:t>
            </w:r>
          </w:p>
        </w:tc>
        <w:tc>
          <w:tcPr>
            <w:tcW w:w="945"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15 207</w:t>
            </w:r>
          </w:p>
        </w:tc>
        <w:tc>
          <w:tcPr>
            <w:tcW w:w="94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18 654</w:t>
            </w:r>
          </w:p>
        </w:tc>
      </w:tr>
    </w:tbl>
    <w:p w:rsidR="004843DB" w:rsidRPr="0062582F" w:rsidRDefault="004843DB" w:rsidP="004843DB">
      <w:pPr>
        <w:pStyle w:val="SmallLine"/>
      </w:pPr>
    </w:p>
    <w:p w:rsidR="004843DB" w:rsidRPr="0062582F" w:rsidRDefault="004843DB" w:rsidP="004843DB">
      <w:pPr>
        <w:pStyle w:val="NoteHeading"/>
      </w:pPr>
      <w:r w:rsidRPr="0062582F">
        <w:br w:type="column"/>
      </w:r>
      <w:r w:rsidRPr="0062582F">
        <w:br w:type="column"/>
      </w:r>
      <w:bookmarkStart w:id="601" w:name="_Toc332019493"/>
      <w:bookmarkStart w:id="602" w:name="_Toc448157214"/>
      <w:r w:rsidRPr="0062582F">
        <w:t>Note 35.</w:t>
      </w:r>
      <w:r w:rsidRPr="0062582F">
        <w:tab/>
        <w:t>Reserves</w:t>
      </w:r>
      <w:bookmarkEnd w:id="601"/>
      <w:bookmarkEnd w:id="602"/>
    </w:p>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Reference"/>
        <w:spacing w:before="180"/>
      </w:pPr>
      <w:r w:rsidRPr="0062582F">
        <w:t>AASB 101.106(d)</w:t>
      </w:r>
    </w:p>
    <w:p w:rsidR="004843DB" w:rsidRPr="0062582F" w:rsidRDefault="004843DB" w:rsidP="004843DB">
      <w:pPr>
        <w:pStyle w:val="Reference"/>
        <w:spacing w:before="80"/>
      </w:pPr>
    </w:p>
    <w:p w:rsidR="004843DB" w:rsidRPr="0062582F" w:rsidRDefault="004843DB" w:rsidP="004843DB">
      <w:pPr>
        <w:pStyle w:val="Reference"/>
        <w:spacing w:before="80"/>
      </w:pPr>
      <w:r w:rsidRPr="0062582F">
        <w:t>AASB 136.126(c)</w:t>
      </w:r>
    </w:p>
    <w:p w:rsidR="004843DB" w:rsidRPr="0062582F" w:rsidRDefault="004843DB" w:rsidP="004843DB">
      <w:pPr>
        <w:pStyle w:val="Reference"/>
        <w:spacing w:before="120"/>
      </w:pPr>
      <w:r w:rsidRPr="0062582F">
        <w:t>AASB 136.126(d)</w:t>
      </w:r>
    </w:p>
    <w:p w:rsidR="004843DB" w:rsidRPr="0062582F" w:rsidRDefault="004843DB" w:rsidP="004843DB">
      <w:pPr>
        <w:pStyle w:val="Reference"/>
        <w:spacing w:before="80"/>
      </w:pPr>
    </w:p>
    <w:p w:rsidR="004843DB" w:rsidRPr="0062582F" w:rsidRDefault="004843DB" w:rsidP="004843DB">
      <w:pPr>
        <w:pStyle w:val="Reference"/>
        <w:spacing w:before="80"/>
      </w:pPr>
    </w:p>
    <w:p w:rsidR="004843DB" w:rsidRPr="0062582F" w:rsidRDefault="004843DB" w:rsidP="004843DB">
      <w:pPr>
        <w:pStyle w:val="Reference"/>
        <w:spacing w:before="80"/>
      </w:pPr>
    </w:p>
    <w:p w:rsidR="004843DB" w:rsidRPr="0062582F" w:rsidRDefault="004843DB" w:rsidP="004843DB">
      <w:pPr>
        <w:pStyle w:val="Reference"/>
        <w:spacing w:before="80"/>
      </w:pPr>
    </w:p>
    <w:p w:rsidR="004843DB" w:rsidRPr="0062582F" w:rsidRDefault="004843DB" w:rsidP="004843DB">
      <w:pPr>
        <w:pStyle w:val="Reference"/>
        <w:spacing w:before="80"/>
      </w:pPr>
    </w:p>
    <w:p w:rsidR="004843DB" w:rsidRPr="0062582F" w:rsidRDefault="004843DB" w:rsidP="004843DB">
      <w:pPr>
        <w:pStyle w:val="Reference"/>
        <w:spacing w:before="80"/>
      </w:pPr>
    </w:p>
    <w:p w:rsidR="004843DB" w:rsidRPr="0062582F" w:rsidRDefault="004843DB" w:rsidP="004843DB">
      <w:pPr>
        <w:pStyle w:val="Reference"/>
        <w:spacing w:before="100"/>
        <w:rPr>
          <w:rStyle w:val="SmallLineChar"/>
          <w:sz w:val="16"/>
          <w:szCs w:val="16"/>
        </w:rPr>
      </w:pPr>
      <w:r w:rsidRPr="0062582F">
        <w:t>AASB 101.106(d)</w:t>
      </w:r>
    </w:p>
    <w:p w:rsidR="004843DB" w:rsidRPr="0062582F" w:rsidRDefault="004843DB" w:rsidP="004843DB">
      <w:pPr>
        <w:pStyle w:val="Reference"/>
        <w:spacing w:before="80"/>
      </w:pPr>
    </w:p>
    <w:p w:rsidR="004843DB" w:rsidRPr="0062582F" w:rsidRDefault="004843DB" w:rsidP="004843DB">
      <w:pPr>
        <w:pStyle w:val="Reference"/>
        <w:spacing w:before="80"/>
        <w:rPr>
          <w:rStyle w:val="SmallLineChar"/>
          <w:sz w:val="16"/>
          <w:szCs w:val="16"/>
        </w:rPr>
      </w:pPr>
      <w:r w:rsidRPr="0062582F">
        <w:t>AASB 7.20(a)(ii)</w:t>
      </w:r>
    </w:p>
    <w:p w:rsidR="004843DB" w:rsidRPr="0062582F" w:rsidRDefault="004843DB" w:rsidP="004843DB">
      <w:pPr>
        <w:pStyle w:val="Reference"/>
        <w:spacing w:before="120"/>
      </w:pPr>
      <w:r w:rsidRPr="0062582F">
        <w:t>AASB 7.20(a)(ii)</w:t>
      </w:r>
    </w:p>
    <w:p w:rsidR="004843DB" w:rsidRPr="0062582F" w:rsidRDefault="004843DB" w:rsidP="004843DB">
      <w:pPr>
        <w:pStyle w:val="million"/>
        <w:rPr>
          <w:rFonts w:ascii="Tahoma" w:hAnsi="Tahoma" w:cs="Tahoma"/>
          <w:sz w:val="20"/>
        </w:rPr>
      </w:pPr>
      <w:r w:rsidRPr="0062582F">
        <w:br w:type="column"/>
        <w:t>($ thousand)</w:t>
      </w:r>
    </w:p>
    <w:tbl>
      <w:tblPr>
        <w:tblW w:w="8053" w:type="dxa"/>
        <w:tblLayout w:type="fixed"/>
        <w:tblCellMar>
          <w:left w:w="43" w:type="dxa"/>
          <w:right w:w="43" w:type="dxa"/>
        </w:tblCellMar>
        <w:tblLook w:val="04A0" w:firstRow="1" w:lastRow="0" w:firstColumn="1" w:lastColumn="0" w:noHBand="0" w:noVBand="1"/>
      </w:tblPr>
      <w:tblGrid>
        <w:gridCol w:w="6163"/>
        <w:gridCol w:w="945"/>
        <w:gridCol w:w="945"/>
      </w:tblGrid>
      <w:tr w:rsidR="004843DB" w:rsidRPr="0062582F" w:rsidTr="004843DB">
        <w:trPr>
          <w:cantSplit/>
        </w:trPr>
        <w:tc>
          <w:tcPr>
            <w:tcW w:w="616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pPr>
            <w:r w:rsidRPr="0062582F">
              <w:t xml:space="preserve"> </w:t>
            </w:r>
          </w:p>
        </w:tc>
        <w:tc>
          <w:tcPr>
            <w:tcW w:w="945" w:type="dxa"/>
            <w:tcBorders>
              <w:top w:val="single" w:sz="4" w:space="0" w:color="auto"/>
              <w:left w:val="nil"/>
              <w:bottom w:val="single" w:sz="4" w:space="0" w:color="auto"/>
              <w:right w:val="nil"/>
            </w:tcBorders>
            <w:shd w:val="clear" w:color="000000" w:fill="CCCCCC"/>
            <w:noWrap/>
            <w:hideMark/>
          </w:tcPr>
          <w:p w:rsidR="004843DB" w:rsidRPr="0062582F" w:rsidRDefault="004843DB" w:rsidP="004843DB">
            <w:pPr>
              <w:pStyle w:val="Tabletextheading"/>
            </w:pPr>
            <w:r w:rsidRPr="0062582F">
              <w:t>2016</w:t>
            </w:r>
          </w:p>
        </w:tc>
        <w:tc>
          <w:tcPr>
            <w:tcW w:w="94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Physical asset revaluation surplus:</w:t>
            </w:r>
            <w:r w:rsidRPr="0062582F">
              <w:rPr>
                <w:b/>
                <w:vertAlign w:val="superscript"/>
              </w:rPr>
              <w:t xml:space="preserve"> (i)</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Balance at beginning of financial year</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3 759</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2 626</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Revaluation increments/(decrements)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7 903</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2 989</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Impairment losses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(500)</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(164)</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Reversals of impairment losses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Transfers to accumulated surplus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(637)</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(1 822)</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Share of increments in revaluation surplus attributable to joint ventures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Share of increments in revaluation surplus attributable to associates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210</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130</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Disposal or transferred out</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(3 396)</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16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Balance at end of financial year</w:t>
            </w:r>
          </w:p>
        </w:tc>
        <w:tc>
          <w:tcPr>
            <w:tcW w:w="94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7 338</w:t>
            </w:r>
          </w:p>
        </w:tc>
        <w:tc>
          <w:tcPr>
            <w:tcW w:w="94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3 759</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Financial assets available</w:t>
            </w:r>
            <w:r w:rsidR="005A4BB0">
              <w:rPr>
                <w:b/>
              </w:rPr>
              <w:noBreakHyphen/>
            </w:r>
            <w:r w:rsidRPr="0062582F">
              <w:rPr>
                <w:b/>
              </w:rPr>
              <w:t>for</w:t>
            </w:r>
            <w:r w:rsidR="005A4BB0">
              <w:rPr>
                <w:b/>
              </w:rPr>
              <w:noBreakHyphen/>
            </w:r>
            <w:r w:rsidRPr="0062582F">
              <w:rPr>
                <w:b/>
              </w:rPr>
              <w:t>sale revaluation surplus:</w:t>
            </w:r>
            <w:r w:rsidRPr="0062582F">
              <w:rPr>
                <w:vertAlign w:val="superscript"/>
              </w:rPr>
              <w:t xml:space="preserve"> (ii)</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Balance at beginning of financial year</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1 723</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577</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Valuation gain/(loss) recognised</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(1 250)</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996</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Cumulative gain/(loss) transferred to net result on impairment of financial assets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Share of increments in revaluation surplus attributable to joint ventures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Share of increments in revaluation surplus attributable to associates</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50</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150</w:t>
            </w:r>
          </w:p>
        </w:tc>
      </w:tr>
      <w:tr w:rsidR="004843DB" w:rsidRPr="0062582F" w:rsidTr="004843DB">
        <w:trPr>
          <w:cantSplit/>
        </w:trPr>
        <w:tc>
          <w:tcPr>
            <w:tcW w:w="6163" w:type="dxa"/>
            <w:tcBorders>
              <w:top w:val="nil"/>
              <w:left w:val="nil"/>
              <w:bottom w:val="nil"/>
              <w:right w:val="nil"/>
            </w:tcBorders>
            <w:shd w:val="clear" w:color="auto" w:fill="auto"/>
            <w:hideMark/>
          </w:tcPr>
          <w:p w:rsidR="004843DB" w:rsidRPr="0062582F" w:rsidRDefault="004843DB" w:rsidP="004843DB">
            <w:pPr>
              <w:pStyle w:val="Tabletext"/>
            </w:pPr>
            <w:r w:rsidRPr="0062582F">
              <w:t>Disposal or transferred out</w:t>
            </w:r>
          </w:p>
        </w:tc>
        <w:tc>
          <w:tcPr>
            <w:tcW w:w="94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(323)</w:t>
            </w:r>
          </w:p>
        </w:tc>
        <w:tc>
          <w:tcPr>
            <w:tcW w:w="94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6163" w:type="dxa"/>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
              <w:rPr>
                <w:b/>
              </w:rPr>
            </w:pPr>
            <w:r w:rsidRPr="0062582F">
              <w:rPr>
                <w:b/>
              </w:rPr>
              <w:t>Balance at end of financial year</w:t>
            </w:r>
          </w:p>
        </w:tc>
        <w:tc>
          <w:tcPr>
            <w:tcW w:w="945" w:type="dxa"/>
            <w:tcBorders>
              <w:top w:val="single" w:sz="4" w:space="0" w:color="auto"/>
              <w:left w:val="nil"/>
              <w:bottom w:val="single" w:sz="4" w:space="0" w:color="auto"/>
              <w:right w:val="nil"/>
            </w:tcBorders>
            <w:shd w:val="clear" w:color="00FFFF" w:fill="CCCCCC"/>
            <w:noWrap/>
            <w:hideMark/>
          </w:tcPr>
          <w:p w:rsidR="004843DB" w:rsidRPr="0062582F" w:rsidRDefault="004843DB" w:rsidP="004843DB">
            <w:pPr>
              <w:pStyle w:val="TableofFigures"/>
              <w:rPr>
                <w:b/>
              </w:rPr>
            </w:pPr>
            <w:r w:rsidRPr="0062582F">
              <w:rPr>
                <w:b/>
              </w:rPr>
              <w:t xml:space="preserve"> 200</w:t>
            </w:r>
          </w:p>
        </w:tc>
        <w:tc>
          <w:tcPr>
            <w:tcW w:w="945" w:type="dxa"/>
            <w:tcBorders>
              <w:top w:val="single" w:sz="4" w:space="0" w:color="auto"/>
              <w:left w:val="nil"/>
              <w:bottom w:val="single" w:sz="4" w:space="0" w:color="auto"/>
              <w:right w:val="nil"/>
            </w:tcBorders>
            <w:shd w:val="clear" w:color="auto" w:fill="auto"/>
            <w:noWrap/>
            <w:hideMark/>
          </w:tcPr>
          <w:p w:rsidR="004843DB" w:rsidRPr="0062582F" w:rsidRDefault="004843DB" w:rsidP="004843DB">
            <w:pPr>
              <w:pStyle w:val="TableofFigures"/>
              <w:rPr>
                <w:b/>
              </w:rPr>
            </w:pPr>
            <w:r w:rsidRPr="0062582F">
              <w:rPr>
                <w:b/>
              </w:rPr>
              <w:t>1 723</w:t>
            </w:r>
          </w:p>
        </w:tc>
      </w:tr>
      <w:tr w:rsidR="004843DB" w:rsidRPr="0062582F" w:rsidTr="004843DB">
        <w:trPr>
          <w:cantSplit/>
        </w:trPr>
        <w:tc>
          <w:tcPr>
            <w:tcW w:w="6163" w:type="dxa"/>
            <w:tcBorders>
              <w:top w:val="single" w:sz="4" w:space="0" w:color="auto"/>
              <w:left w:val="nil"/>
              <w:bottom w:val="single" w:sz="12" w:space="0" w:color="auto"/>
              <w:right w:val="nil"/>
            </w:tcBorders>
            <w:shd w:val="clear" w:color="auto" w:fill="auto"/>
            <w:hideMark/>
          </w:tcPr>
          <w:p w:rsidR="004843DB" w:rsidRPr="0062582F" w:rsidRDefault="004843DB" w:rsidP="004843DB">
            <w:pPr>
              <w:pStyle w:val="Tabletext"/>
              <w:rPr>
                <w:b/>
              </w:rPr>
            </w:pPr>
            <w:r w:rsidRPr="0062582F">
              <w:rPr>
                <w:b/>
              </w:rPr>
              <w:t>Net changes in reserves</w:t>
            </w:r>
          </w:p>
        </w:tc>
        <w:tc>
          <w:tcPr>
            <w:tcW w:w="945" w:type="dxa"/>
            <w:tcBorders>
              <w:top w:val="single" w:sz="4" w:space="0" w:color="auto"/>
              <w:left w:val="nil"/>
              <w:bottom w:val="single" w:sz="12" w:space="0" w:color="auto"/>
              <w:right w:val="nil"/>
            </w:tcBorders>
            <w:shd w:val="clear" w:color="00FFFF" w:fill="CCCCCC"/>
            <w:noWrap/>
            <w:hideMark/>
          </w:tcPr>
          <w:p w:rsidR="004843DB" w:rsidRPr="0062582F" w:rsidRDefault="004843DB" w:rsidP="004843DB">
            <w:pPr>
              <w:pStyle w:val="TableofFigures"/>
              <w:rPr>
                <w:b/>
              </w:rPr>
            </w:pPr>
            <w:r w:rsidRPr="0062582F">
              <w:rPr>
                <w:b/>
              </w:rPr>
              <w:t>7 538</w:t>
            </w:r>
          </w:p>
        </w:tc>
        <w:tc>
          <w:tcPr>
            <w:tcW w:w="945" w:type="dxa"/>
            <w:tcBorders>
              <w:top w:val="single" w:sz="4" w:space="0" w:color="auto"/>
              <w:left w:val="nil"/>
              <w:bottom w:val="single" w:sz="12" w:space="0" w:color="auto"/>
              <w:right w:val="nil"/>
            </w:tcBorders>
            <w:shd w:val="clear" w:color="auto" w:fill="auto"/>
            <w:noWrap/>
            <w:hideMark/>
          </w:tcPr>
          <w:p w:rsidR="004843DB" w:rsidRPr="0062582F" w:rsidRDefault="004843DB" w:rsidP="004843DB">
            <w:pPr>
              <w:pStyle w:val="TableofFigures"/>
              <w:rPr>
                <w:b/>
              </w:rPr>
            </w:pPr>
            <w:r w:rsidRPr="0062582F">
              <w:rPr>
                <w:b/>
              </w:rPr>
              <w:t>5 482</w:t>
            </w:r>
          </w:p>
        </w:tc>
      </w:tr>
    </w:tbl>
    <w:p w:rsidR="004843DB" w:rsidRPr="0062582F" w:rsidRDefault="004843DB" w:rsidP="004843DB">
      <w:pPr>
        <w:pStyle w:val="Notes"/>
      </w:pPr>
      <w:r w:rsidRPr="0062582F">
        <w:t>Notes:</w:t>
      </w:r>
    </w:p>
    <w:p w:rsidR="004843DB" w:rsidRPr="0062582F" w:rsidRDefault="004843DB" w:rsidP="004843DB">
      <w:pPr>
        <w:pStyle w:val="Notes"/>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0"/>
        <w:rPr>
          <w:szCs w:val="12"/>
        </w:rPr>
      </w:pPr>
      <w:r w:rsidRPr="0062582F">
        <w:t>AASB 101.79(b)</w:t>
      </w:r>
    </w:p>
    <w:p w:rsidR="004843DB" w:rsidRPr="0062582F" w:rsidRDefault="004843DB" w:rsidP="004843DB">
      <w:pPr>
        <w:pStyle w:val="Reference"/>
        <w:spacing w:before="0"/>
      </w:pPr>
      <w:r w:rsidRPr="0062582F">
        <w:t>AASB 101.79(b)</w:t>
      </w:r>
    </w:p>
    <w:p w:rsidR="004843DB" w:rsidRPr="0062582F" w:rsidRDefault="004843DB" w:rsidP="004843DB">
      <w:pPr>
        <w:pStyle w:val="Notes"/>
      </w:pPr>
      <w:r w:rsidRPr="0062582F">
        <w:br w:type="column"/>
        <w:t>(i)</w:t>
      </w:r>
      <w:r w:rsidRPr="0062582F">
        <w:tab/>
        <w:t xml:space="preserve">The physical assets revaluation surplus arises on the revaluation of infrastructure, land and buildings. </w:t>
      </w:r>
    </w:p>
    <w:p w:rsidR="004843DB" w:rsidRPr="0062582F" w:rsidRDefault="004843DB" w:rsidP="004843DB">
      <w:pPr>
        <w:pStyle w:val="Notes"/>
      </w:pPr>
      <w:r w:rsidRPr="0062582F">
        <w:t>(ii)</w:t>
      </w:r>
      <w:r w:rsidRPr="0062582F">
        <w:tab/>
        <w:t>The financial assets available</w:t>
      </w:r>
      <w:r w:rsidR="005A4BB0">
        <w:noBreakHyphen/>
      </w:r>
      <w:r w:rsidRPr="0062582F">
        <w:t>for</w:t>
      </w:r>
      <w:r w:rsidR="005A4BB0">
        <w:noBreakHyphen/>
      </w:r>
      <w:r w:rsidRPr="0062582F">
        <w:t>sale revaluation surplus arises on the revaluation of available</w:t>
      </w:r>
      <w:r w:rsidR="005A4BB0">
        <w:noBreakHyphen/>
      </w:r>
      <w:r w:rsidRPr="0062582F">
        <w:t>for</w:t>
      </w:r>
      <w:r w:rsidR="005A4BB0">
        <w:noBreakHyphen/>
      </w:r>
      <w:r w:rsidRPr="0062582F">
        <w:t xml:space="preserve">sale financial assets. Where a revalued financial asset is sold, a portion of the revaluation surplus which relates to that financial asset is effectively realised, and is recognised in the net result. Where a revalued financial asset is impaired, that portion of the revaluation surplus which relates to that financial asset is recognised in the net result. </w:t>
      </w:r>
    </w:p>
    <w:p w:rsidR="004843DB" w:rsidRPr="0062582F" w:rsidRDefault="004843DB" w:rsidP="004843DB">
      <w:pPr>
        <w:pStyle w:val="Notes"/>
      </w:pPr>
    </w:p>
    <w:p w:rsidR="004843DB" w:rsidRPr="0062582F" w:rsidRDefault="004843DB" w:rsidP="004843DB">
      <w:pPr>
        <w:pStyle w:val="SmallLine"/>
      </w:pPr>
    </w:p>
    <w:p w:rsidR="004843DB" w:rsidRPr="0062582F" w:rsidRDefault="004843DB" w:rsidP="004843DB">
      <w:pPr>
        <w:pStyle w:val="CommentaryHeading"/>
      </w:pPr>
      <w:r w:rsidRPr="0062582F">
        <w:t>Commentary – Reserves</w:t>
      </w:r>
    </w:p>
    <w:p w:rsidR="004843DB" w:rsidRPr="0062582F" w:rsidRDefault="004843DB" w:rsidP="004843DB">
      <w:pPr>
        <w:pStyle w:val="SmallLineBlue"/>
        <w:pBdr>
          <w:bottom w:val="none" w:sz="0" w:space="0" w:color="auto"/>
        </w:pBdr>
      </w:pPr>
    </w:p>
    <w:p w:rsidR="004843DB" w:rsidRPr="0062582F" w:rsidRDefault="004843DB" w:rsidP="004843DB">
      <w:pPr>
        <w:pStyle w:val="CommentaryText"/>
        <w:pBdr>
          <w:top w:val="none" w:sz="0" w:space="0" w:color="auto"/>
          <w:bottom w:val="none" w:sz="0" w:space="0" w:color="auto"/>
        </w:pBdr>
      </w:pPr>
      <w:r w:rsidRPr="0062582F">
        <w:t>The illustrated requirement to show movements in reserves from opening balance to closing balance shall apply to each reserve, including general reserves. In providing a description of the nature and purpose of the reserves it would be appropriate to refer to any restrictions on their distribution or any other important characteristics of the reserves.</w:t>
      </w:r>
    </w:p>
    <w:p w:rsidR="004843DB" w:rsidRPr="0062582F" w:rsidRDefault="004843DB" w:rsidP="004843DB">
      <w:pPr>
        <w:pStyle w:val="CommentaryText"/>
        <w:pBdr>
          <w:top w:val="none" w:sz="0" w:space="0" w:color="auto"/>
          <w:bottom w:val="none" w:sz="0" w:space="0" w:color="auto"/>
        </w:pBdr>
      </w:pPr>
      <w:r w:rsidRPr="0062582F">
        <w:t>Please note that in accordance with amending standard AASB 2009</w:t>
      </w:r>
      <w:r w:rsidR="005A4BB0">
        <w:noBreakHyphen/>
      </w:r>
      <w:r w:rsidRPr="0062582F">
        <w:t xml:space="preserve">6, the term </w:t>
      </w:r>
      <w:r w:rsidR="005A4BB0">
        <w:t>‘</w:t>
      </w:r>
      <w:r w:rsidRPr="0062582F">
        <w:t>revaluation reserve</w:t>
      </w:r>
      <w:r w:rsidR="005A4BB0">
        <w:t>’</w:t>
      </w:r>
      <w:r w:rsidRPr="0062582F">
        <w:t xml:space="preserve"> is now to be referred to as the </w:t>
      </w:r>
      <w:r w:rsidR="005A4BB0">
        <w:t>‘</w:t>
      </w:r>
      <w:r w:rsidRPr="0062582F">
        <w:t>revaluation surplus</w:t>
      </w:r>
      <w:r w:rsidR="005A4BB0">
        <w:t>’</w:t>
      </w:r>
      <w:r w:rsidRPr="0062582F">
        <w:t>.</w:t>
      </w:r>
    </w:p>
    <w:p w:rsidR="004843DB" w:rsidRPr="0062582F" w:rsidRDefault="004843DB" w:rsidP="004843DB">
      <w:pPr>
        <w:pStyle w:val="CommentaryTex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101.79(b)</w:t>
      </w:r>
    </w:p>
    <w:p w:rsidR="004843DB" w:rsidRPr="0062582F" w:rsidRDefault="004843DB" w:rsidP="004843DB">
      <w:pPr>
        <w:pStyle w:val="CommentaryDashBlue"/>
        <w:ind w:left="0" w:firstLine="0"/>
      </w:pPr>
      <w:r w:rsidRPr="0062582F">
        <w:br w:type="column"/>
        <w:t xml:space="preserve">The Model does not include a description of the nature of </w:t>
      </w:r>
      <w:r w:rsidR="005A4BB0">
        <w:t>‘</w:t>
      </w:r>
      <w:r w:rsidRPr="0062582F">
        <w:t>other reserves</w:t>
      </w:r>
      <w:r w:rsidR="005A4BB0">
        <w:t>’</w:t>
      </w:r>
      <w:r w:rsidRPr="0062582F">
        <w:t xml:space="preserve"> as the reason for creating it will be rare and specific to each department. Therefore, if used, agencies are required to provide a description of the nature and purpose of the </w:t>
      </w:r>
      <w:r w:rsidR="005A4BB0">
        <w:t>‘</w:t>
      </w:r>
      <w:r w:rsidRPr="0062582F">
        <w:t>other reserves</w:t>
      </w:r>
      <w:r w:rsidR="005A4BB0">
        <w:t>’</w:t>
      </w:r>
      <w:r w:rsidRPr="0062582F">
        <w:t xml:space="preserve">. </w:t>
      </w:r>
    </w:p>
    <w:p w:rsidR="004843DB" w:rsidRPr="0062582F" w:rsidRDefault="004843DB" w:rsidP="004843DB">
      <w:pPr>
        <w:pStyle w:val="CommentaryHeading1"/>
        <w:pBdr>
          <w:top w:val="none" w:sz="0" w:space="0" w:color="auto"/>
          <w:bottom w:val="none" w:sz="0" w:space="0" w:color="auto"/>
        </w:pBdr>
      </w:pPr>
      <w:r w:rsidRPr="0062582F">
        <w:t>Amounts recognised in other comprehensive income relating to non</w:t>
      </w:r>
      <w:r w:rsidR="005A4BB0">
        <w:noBreakHyphen/>
      </w:r>
      <w:r w:rsidRPr="0062582F">
        <w:t>current assets classified as held for sale</w:t>
      </w:r>
    </w:p>
    <w:p w:rsidR="004843DB" w:rsidRPr="0062582F" w:rsidRDefault="004843DB" w:rsidP="004843DB">
      <w:pPr>
        <w:pStyle w:val="CommentaryHeading2"/>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5.38</w:t>
      </w:r>
    </w:p>
    <w:p w:rsidR="004843DB" w:rsidRPr="0062582F" w:rsidRDefault="004843DB" w:rsidP="004843DB">
      <w:pPr>
        <w:pStyle w:val="CommentaryText"/>
        <w:pBdr>
          <w:top w:val="none" w:sz="0" w:space="0" w:color="auto"/>
          <w:bottom w:val="none" w:sz="0" w:space="0" w:color="auto"/>
        </w:pBdr>
      </w:pPr>
      <w:r w:rsidRPr="0062582F">
        <w:br w:type="column"/>
        <w:t>An entity shall present separately any cumulative income or expense recognised in other comprehensive income relating to a non</w:t>
      </w:r>
      <w:r w:rsidR="005A4BB0">
        <w:noBreakHyphen/>
      </w:r>
      <w:r w:rsidRPr="0062582F">
        <w:t>current asset (or disposal group) classified as held for sale.</w:t>
      </w:r>
    </w:p>
    <w:p w:rsidR="004843DB" w:rsidRPr="0062582F" w:rsidRDefault="004843DB" w:rsidP="004843DB">
      <w:pPr>
        <w:pStyle w:val="CommentaryHeading1"/>
        <w:pBdr>
          <w:top w:val="none" w:sz="0" w:space="0" w:color="auto"/>
          <w:bottom w:val="none" w:sz="0" w:space="0" w:color="auto"/>
        </w:pBdr>
      </w:pPr>
      <w:r w:rsidRPr="0062582F">
        <w:t>Dividends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rPr>
          <w:lang w:val="en-AU"/>
        </w:rPr>
      </w:pPr>
      <w:r w:rsidRPr="0062582F">
        <w:rPr>
          <w:lang w:val="en-AU"/>
        </w:rPr>
        <w:t>AASB 101.137(a)</w:t>
      </w:r>
    </w:p>
    <w:p w:rsidR="004843DB" w:rsidRPr="0062582F" w:rsidRDefault="004843DB" w:rsidP="004843DB">
      <w:pPr>
        <w:pStyle w:val="CommentaryText"/>
        <w:pBdr>
          <w:top w:val="none" w:sz="0" w:space="0" w:color="auto"/>
        </w:pBdr>
      </w:pPr>
      <w:r w:rsidRPr="0062582F">
        <w:br w:type="column"/>
        <w:t>An entity must disclose, in the notes only, any amount of dividends proposed or declared before the financial statements are authorised for issue but not recognised as a distribution during the period.</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Heading"/>
      </w:pPr>
      <w:r w:rsidRPr="0062582F">
        <w:br w:type="column"/>
      </w:r>
      <w:bookmarkStart w:id="603" w:name="_Toc332019494"/>
      <w:bookmarkStart w:id="604" w:name="_Toc366843379"/>
      <w:bookmarkStart w:id="605" w:name="_Toc448157215"/>
      <w:r w:rsidRPr="0062582F">
        <w:t>Note 36.</w:t>
      </w:r>
      <w:r w:rsidRPr="0062582F">
        <w:tab/>
        <w:t>Summary of compliance with annual Parliamentary and special appropriations</w:t>
      </w:r>
      <w:bookmarkEnd w:id="603"/>
      <w:bookmarkEnd w:id="604"/>
      <w:bookmarkEnd w:id="605"/>
    </w:p>
    <w:p w:rsidR="004843DB" w:rsidRPr="0062582F" w:rsidRDefault="004843DB" w:rsidP="004843DB">
      <w:pPr>
        <w:pStyle w:val="Heading5"/>
        <w:sectPr w:rsidR="004843DB" w:rsidRPr="0062582F" w:rsidSect="00190A01">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FRD 13</w:t>
      </w:r>
    </w:p>
    <w:p w:rsidR="004843DB" w:rsidRPr="0062582F" w:rsidRDefault="004843DB" w:rsidP="004843DB">
      <w:pPr>
        <w:pStyle w:val="Heading5"/>
      </w:pPr>
      <w:r w:rsidRPr="0062582F">
        <w:br w:type="column"/>
        <w:t>(a)</w:t>
      </w:r>
      <w:r w:rsidRPr="0062582F">
        <w:tab/>
        <w:t>Summary of compliance with annual parliamentary and special appropriations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1004.64</w:t>
      </w:r>
    </w:p>
    <w:p w:rsidR="004843DB" w:rsidRPr="0062582F" w:rsidRDefault="004843DB" w:rsidP="004843DB">
      <w:r w:rsidRPr="0062582F">
        <w:br w:type="column"/>
        <w:t>The following table discloses the details of the various annual Parliamentary appropriations received by the Department for the year. In accordance with accrual output</w:t>
      </w:r>
      <w:r w:rsidR="005A4BB0">
        <w:noBreakHyphen/>
      </w:r>
      <w:r w:rsidRPr="0062582F">
        <w:t xml:space="preserve">based management procedures </w:t>
      </w:r>
      <w:r w:rsidR="005A4BB0">
        <w:t>‘</w:t>
      </w:r>
      <w:r w:rsidRPr="0062582F">
        <w:t>provision of outputs</w:t>
      </w:r>
      <w:r w:rsidR="005A4BB0">
        <w:t>’</w:t>
      </w:r>
      <w:r w:rsidRPr="0062582F">
        <w:t xml:space="preserve"> and </w:t>
      </w:r>
      <w:r w:rsidR="005A4BB0">
        <w:t>‘</w:t>
      </w:r>
      <w:r w:rsidRPr="0062582F">
        <w:t>additions to net assets</w:t>
      </w:r>
      <w:r w:rsidR="005A4BB0">
        <w:t>’</w:t>
      </w:r>
      <w:r w:rsidRPr="0062582F">
        <w:t xml:space="preserve"> are disclosed as </w:t>
      </w:r>
      <w:r w:rsidR="005A4BB0">
        <w:t>‘</w:t>
      </w:r>
      <w:r w:rsidRPr="0062582F">
        <w:t>controlled</w:t>
      </w:r>
      <w:r w:rsidR="005A4BB0">
        <w:t>’</w:t>
      </w:r>
      <w:r w:rsidRPr="0062582F">
        <w:t xml:space="preserve"> activities of the Department. Administered transactions are those that are undertaken on behalf of the State over which the Department has no control or discretion.</w:t>
      </w:r>
    </w:p>
    <w:p w:rsidR="004843DB" w:rsidRPr="0062582F" w:rsidRDefault="004843DB" w:rsidP="004843DB">
      <w:pPr>
        <w:pStyle w:val="million"/>
      </w:pPr>
      <w:r w:rsidRPr="0062582F">
        <w:t>($ thousand)</w:t>
      </w:r>
    </w:p>
    <w:tbl>
      <w:tblPr>
        <w:tblW w:w="8143" w:type="dxa"/>
        <w:tblLayout w:type="fixed"/>
        <w:tblCellMar>
          <w:left w:w="43" w:type="dxa"/>
          <w:right w:w="43" w:type="dxa"/>
        </w:tblCellMar>
        <w:tblLook w:val="04A0" w:firstRow="1" w:lastRow="0" w:firstColumn="1" w:lastColumn="0" w:noHBand="0" w:noVBand="1"/>
      </w:tblPr>
      <w:tblGrid>
        <w:gridCol w:w="2023"/>
        <w:gridCol w:w="765"/>
        <w:gridCol w:w="765"/>
        <w:gridCol w:w="765"/>
        <w:gridCol w:w="765"/>
        <w:gridCol w:w="765"/>
        <w:gridCol w:w="765"/>
        <w:gridCol w:w="765"/>
        <w:gridCol w:w="765"/>
      </w:tblGrid>
      <w:tr w:rsidR="004843DB" w:rsidRPr="0062582F" w:rsidTr="004843DB">
        <w:trPr>
          <w:cantSplit/>
        </w:trPr>
        <w:tc>
          <w:tcPr>
            <w:tcW w:w="2023" w:type="dxa"/>
            <w:tcBorders>
              <w:top w:val="single" w:sz="6" w:space="0" w:color="auto"/>
              <w:left w:val="nil"/>
              <w:right w:val="nil"/>
            </w:tcBorders>
            <w:shd w:val="clear" w:color="auto" w:fill="auto"/>
            <w:hideMark/>
          </w:tcPr>
          <w:p w:rsidR="004843DB" w:rsidRPr="0062582F" w:rsidRDefault="004843DB" w:rsidP="004843DB">
            <w:pPr>
              <w:pStyle w:val="Tabletext"/>
            </w:pPr>
            <w:r w:rsidRPr="0062582F">
              <w:t xml:space="preserve"> </w:t>
            </w:r>
          </w:p>
        </w:tc>
        <w:tc>
          <w:tcPr>
            <w:tcW w:w="3060" w:type="dxa"/>
            <w:gridSpan w:val="4"/>
            <w:tcBorders>
              <w:top w:val="single" w:sz="6" w:space="0" w:color="auto"/>
              <w:left w:val="nil"/>
              <w:bottom w:val="single" w:sz="6" w:space="0" w:color="auto"/>
              <w:right w:val="nil"/>
            </w:tcBorders>
            <w:shd w:val="clear" w:color="auto" w:fill="auto"/>
            <w:noWrap/>
            <w:vAlign w:val="bottom"/>
            <w:hideMark/>
          </w:tcPr>
          <w:p w:rsidR="004843DB" w:rsidRPr="0062582F" w:rsidRDefault="004843DB" w:rsidP="004843DB">
            <w:pPr>
              <w:pStyle w:val="TabletextheadingCentred"/>
            </w:pPr>
            <w:r w:rsidRPr="0062582F">
              <w:t>Appropriation Act</w:t>
            </w:r>
          </w:p>
        </w:tc>
        <w:tc>
          <w:tcPr>
            <w:tcW w:w="1530" w:type="dxa"/>
            <w:gridSpan w:val="2"/>
            <w:tcBorders>
              <w:top w:val="single" w:sz="6" w:space="0" w:color="auto"/>
              <w:left w:val="nil"/>
              <w:bottom w:val="single" w:sz="6" w:space="0" w:color="auto"/>
              <w:right w:val="single" w:sz="4" w:space="0" w:color="auto"/>
            </w:tcBorders>
            <w:shd w:val="clear" w:color="auto" w:fill="auto"/>
            <w:noWrap/>
            <w:hideMark/>
          </w:tcPr>
          <w:p w:rsidR="004843DB" w:rsidRPr="0062582F" w:rsidRDefault="004843DB" w:rsidP="004843DB">
            <w:pPr>
              <w:pStyle w:val="Tabletextheading"/>
            </w:pPr>
          </w:p>
        </w:tc>
        <w:tc>
          <w:tcPr>
            <w:tcW w:w="1530" w:type="dxa"/>
            <w:gridSpan w:val="2"/>
            <w:tcBorders>
              <w:top w:val="single" w:sz="6" w:space="0" w:color="auto"/>
              <w:left w:val="single" w:sz="4" w:space="0" w:color="auto"/>
              <w:bottom w:val="single" w:sz="6" w:space="0" w:color="auto"/>
              <w:right w:val="nil"/>
            </w:tcBorders>
            <w:shd w:val="clear" w:color="auto" w:fill="auto"/>
            <w:noWrap/>
            <w:vAlign w:val="bottom"/>
            <w:hideMark/>
          </w:tcPr>
          <w:p w:rsidR="004843DB" w:rsidRPr="0062582F" w:rsidRDefault="004843DB" w:rsidP="004843DB">
            <w:pPr>
              <w:pStyle w:val="Tabletextheading"/>
            </w:pPr>
            <w:r w:rsidRPr="0062582F">
              <w:t> </w:t>
            </w:r>
          </w:p>
        </w:tc>
      </w:tr>
      <w:tr w:rsidR="004843DB" w:rsidRPr="0062582F" w:rsidTr="004843DB">
        <w:trPr>
          <w:cantSplit/>
        </w:trPr>
        <w:tc>
          <w:tcPr>
            <w:tcW w:w="2023" w:type="dxa"/>
            <w:tcBorders>
              <w:left w:val="nil"/>
              <w:bottom w:val="single" w:sz="6" w:space="0" w:color="auto"/>
              <w:right w:val="nil"/>
            </w:tcBorders>
            <w:shd w:val="clear" w:color="auto" w:fill="auto"/>
            <w:hideMark/>
          </w:tcPr>
          <w:p w:rsidR="004843DB" w:rsidRPr="0062582F" w:rsidRDefault="004843DB" w:rsidP="004843DB">
            <w:pPr>
              <w:pStyle w:val="Tabletext"/>
            </w:pPr>
            <w:r w:rsidRPr="0062582F">
              <w:t xml:space="preserve"> </w:t>
            </w:r>
          </w:p>
        </w:tc>
        <w:tc>
          <w:tcPr>
            <w:tcW w:w="1530"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t>Annual appropriation</w:t>
            </w:r>
          </w:p>
        </w:tc>
        <w:tc>
          <w:tcPr>
            <w:tcW w:w="1530"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t>Advance from Treasurer</w:t>
            </w:r>
          </w:p>
        </w:tc>
        <w:tc>
          <w:tcPr>
            <w:tcW w:w="1530"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br/>
              <w:t>Section 3 (2)</w:t>
            </w:r>
          </w:p>
        </w:tc>
        <w:tc>
          <w:tcPr>
            <w:tcW w:w="1530"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pPr>
            <w:r w:rsidRPr="0062582F">
              <w:br/>
              <w:t>Section 29</w:t>
            </w:r>
          </w:p>
        </w:tc>
      </w:tr>
      <w:tr w:rsidR="004843DB" w:rsidRPr="0062582F" w:rsidTr="004843DB">
        <w:trPr>
          <w:cantSplit/>
        </w:trPr>
        <w:tc>
          <w:tcPr>
            <w:tcW w:w="2023"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heading"/>
            </w:pPr>
            <w:r w:rsidRPr="0062582F">
              <w:t xml:space="preserve"> </w:t>
            </w:r>
          </w:p>
        </w:tc>
        <w:tc>
          <w:tcPr>
            <w:tcW w:w="765"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textheading"/>
            </w:pPr>
            <w:r w:rsidRPr="0062582F">
              <w:t>2016</w:t>
            </w:r>
          </w:p>
        </w:tc>
        <w:tc>
          <w:tcPr>
            <w:tcW w:w="76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765"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textheading"/>
            </w:pPr>
            <w:r w:rsidRPr="0062582F">
              <w:t>2016</w:t>
            </w:r>
          </w:p>
        </w:tc>
        <w:tc>
          <w:tcPr>
            <w:tcW w:w="76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765"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textheading"/>
            </w:pPr>
            <w:r w:rsidRPr="0062582F">
              <w:t>2016</w:t>
            </w:r>
          </w:p>
        </w:tc>
        <w:tc>
          <w:tcPr>
            <w:tcW w:w="76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765"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textheading"/>
            </w:pPr>
            <w:r w:rsidRPr="0062582F">
              <w:t>2016</w:t>
            </w:r>
          </w:p>
        </w:tc>
        <w:tc>
          <w:tcPr>
            <w:tcW w:w="76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2023" w:type="dxa"/>
            <w:tcBorders>
              <w:top w:val="single" w:sz="6" w:space="0" w:color="auto"/>
              <w:left w:val="nil"/>
              <w:bottom w:val="nil"/>
              <w:right w:val="nil"/>
            </w:tcBorders>
            <w:shd w:val="clear" w:color="auto" w:fill="auto"/>
            <w:hideMark/>
          </w:tcPr>
          <w:p w:rsidR="004843DB" w:rsidRPr="0062582F" w:rsidRDefault="004843DB" w:rsidP="004843DB">
            <w:pPr>
              <w:pStyle w:val="Tabletext"/>
              <w:rPr>
                <w:b/>
              </w:rPr>
            </w:pPr>
            <w:r w:rsidRPr="0062582F">
              <w:rPr>
                <w:b/>
              </w:rPr>
              <w:t>Controlled</w:t>
            </w:r>
          </w:p>
        </w:tc>
        <w:tc>
          <w:tcPr>
            <w:tcW w:w="765"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765"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765"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765"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p>
        </w:tc>
      </w:tr>
      <w:tr w:rsidR="004843DB" w:rsidRPr="0062582F" w:rsidTr="004843DB">
        <w:trPr>
          <w:cantSplit/>
        </w:trPr>
        <w:tc>
          <w:tcPr>
            <w:tcW w:w="2023" w:type="dxa"/>
            <w:tcBorders>
              <w:top w:val="nil"/>
              <w:left w:val="nil"/>
              <w:bottom w:val="nil"/>
              <w:right w:val="nil"/>
            </w:tcBorders>
            <w:shd w:val="clear" w:color="auto" w:fill="auto"/>
            <w:hideMark/>
          </w:tcPr>
          <w:p w:rsidR="004843DB" w:rsidRPr="0062582F" w:rsidRDefault="004843DB" w:rsidP="004843DB">
            <w:pPr>
              <w:pStyle w:val="Tabletext"/>
            </w:pPr>
            <w:r w:rsidRPr="0062582F">
              <w:t>Provision for outputs</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110 889</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79 854</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1 963</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1 000</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10 037</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11 403</w:t>
            </w:r>
          </w:p>
        </w:tc>
      </w:tr>
      <w:tr w:rsidR="004843DB" w:rsidRPr="0062582F" w:rsidTr="004843DB">
        <w:trPr>
          <w:cantSplit/>
        </w:trPr>
        <w:tc>
          <w:tcPr>
            <w:tcW w:w="2023" w:type="dxa"/>
            <w:tcBorders>
              <w:top w:val="nil"/>
              <w:left w:val="nil"/>
              <w:bottom w:val="nil"/>
              <w:right w:val="nil"/>
            </w:tcBorders>
            <w:shd w:val="clear" w:color="auto" w:fill="auto"/>
            <w:hideMark/>
          </w:tcPr>
          <w:p w:rsidR="004843DB" w:rsidRPr="0062582F" w:rsidRDefault="004843DB" w:rsidP="004843DB">
            <w:pPr>
              <w:pStyle w:val="Tabletext"/>
            </w:pPr>
            <w:r w:rsidRPr="0062582F">
              <w:t>Addition to net assets</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6 210</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202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 </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2023" w:type="dxa"/>
            <w:tcBorders>
              <w:top w:val="nil"/>
              <w:left w:val="nil"/>
              <w:bottom w:val="nil"/>
              <w:right w:val="nil"/>
            </w:tcBorders>
            <w:shd w:val="clear" w:color="auto" w:fill="auto"/>
            <w:hideMark/>
          </w:tcPr>
          <w:p w:rsidR="004843DB" w:rsidRPr="0062582F" w:rsidRDefault="004843DB" w:rsidP="004843DB">
            <w:pPr>
              <w:pStyle w:val="Tabletext"/>
              <w:rPr>
                <w:b/>
              </w:rPr>
            </w:pPr>
            <w:r w:rsidRPr="0062582F">
              <w:rPr>
                <w:b/>
              </w:rPr>
              <w:t>Administered</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76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r>
      <w:tr w:rsidR="004843DB" w:rsidRPr="0062582F" w:rsidTr="004843DB">
        <w:trPr>
          <w:cantSplit/>
        </w:trPr>
        <w:tc>
          <w:tcPr>
            <w:tcW w:w="2023" w:type="dxa"/>
            <w:tcBorders>
              <w:top w:val="nil"/>
              <w:left w:val="nil"/>
              <w:bottom w:val="single" w:sz="6" w:space="0" w:color="auto"/>
              <w:right w:val="nil"/>
            </w:tcBorders>
            <w:shd w:val="clear" w:color="auto" w:fill="auto"/>
            <w:hideMark/>
          </w:tcPr>
          <w:p w:rsidR="004843DB" w:rsidRPr="0062582F" w:rsidRDefault="004843DB" w:rsidP="004843DB">
            <w:pPr>
              <w:pStyle w:val="Tabletext"/>
            </w:pPr>
            <w:r w:rsidRPr="0062582F">
              <w:t>Payments made on behalf of the State</w:t>
            </w:r>
          </w:p>
        </w:tc>
        <w:tc>
          <w:tcPr>
            <w:tcW w:w="765"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w:t>
            </w:r>
          </w:p>
        </w:tc>
        <w:tc>
          <w:tcPr>
            <w:tcW w:w="765"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w:t>
            </w:r>
          </w:p>
        </w:tc>
        <w:tc>
          <w:tcPr>
            <w:tcW w:w="765"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w:t>
            </w:r>
          </w:p>
        </w:tc>
        <w:tc>
          <w:tcPr>
            <w:tcW w:w="765"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w:t>
            </w:r>
          </w:p>
        </w:tc>
        <w:tc>
          <w:tcPr>
            <w:tcW w:w="765"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w:t>
            </w:r>
          </w:p>
        </w:tc>
        <w:tc>
          <w:tcPr>
            <w:tcW w:w="765"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w:t>
            </w:r>
          </w:p>
        </w:tc>
        <w:tc>
          <w:tcPr>
            <w:tcW w:w="765"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w:t>
            </w:r>
          </w:p>
        </w:tc>
        <w:tc>
          <w:tcPr>
            <w:tcW w:w="765"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w:t>
            </w:r>
          </w:p>
        </w:tc>
      </w:tr>
      <w:tr w:rsidR="004843DB" w:rsidRPr="0062582F" w:rsidTr="004843DB">
        <w:trPr>
          <w:cantSplit/>
        </w:trPr>
        <w:tc>
          <w:tcPr>
            <w:tcW w:w="2023" w:type="dxa"/>
            <w:tcBorders>
              <w:top w:val="single" w:sz="6" w:space="0" w:color="auto"/>
              <w:left w:val="nil"/>
              <w:bottom w:val="single" w:sz="6" w:space="0" w:color="auto"/>
              <w:right w:val="nil"/>
            </w:tcBorders>
            <w:shd w:val="clear" w:color="auto" w:fill="auto"/>
            <w:hideMark/>
          </w:tcPr>
          <w:p w:rsidR="004843DB" w:rsidRPr="0062582F" w:rsidRDefault="004843DB" w:rsidP="004843DB">
            <w:pPr>
              <w:pStyle w:val="Tabletext"/>
              <w:rPr>
                <w:b/>
              </w:rPr>
            </w:pPr>
            <w:r w:rsidRPr="0062582F">
              <w:rPr>
                <w:b/>
              </w:rPr>
              <w:t>Total</w:t>
            </w:r>
          </w:p>
        </w:tc>
        <w:tc>
          <w:tcPr>
            <w:tcW w:w="765"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ofFigures"/>
              <w:rPr>
                <w:b/>
              </w:rPr>
            </w:pPr>
            <w:r w:rsidRPr="0062582F">
              <w:rPr>
                <w:b/>
              </w:rPr>
              <w:t>117 099</w:t>
            </w:r>
          </w:p>
        </w:tc>
        <w:tc>
          <w:tcPr>
            <w:tcW w:w="76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rPr>
                <w:b/>
              </w:rPr>
            </w:pPr>
            <w:r w:rsidRPr="0062582F">
              <w:rPr>
                <w:b/>
              </w:rPr>
              <w:t>79 854</w:t>
            </w:r>
          </w:p>
        </w:tc>
        <w:tc>
          <w:tcPr>
            <w:tcW w:w="765"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ofFigures"/>
              <w:rPr>
                <w:b/>
              </w:rPr>
            </w:pPr>
            <w:r w:rsidRPr="0062582F">
              <w:rPr>
                <w:b/>
              </w:rPr>
              <w:t>1 963</w:t>
            </w:r>
          </w:p>
        </w:tc>
        <w:tc>
          <w:tcPr>
            <w:tcW w:w="76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765"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76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rPr>
                <w:b/>
              </w:rPr>
            </w:pPr>
            <w:r w:rsidRPr="0062582F">
              <w:rPr>
                <w:b/>
              </w:rPr>
              <w:t>1 000</w:t>
            </w:r>
          </w:p>
        </w:tc>
        <w:tc>
          <w:tcPr>
            <w:tcW w:w="765"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ofFigures"/>
              <w:rPr>
                <w:b/>
              </w:rPr>
            </w:pPr>
            <w:r w:rsidRPr="0062582F">
              <w:rPr>
                <w:b/>
              </w:rPr>
              <w:t>10 037</w:t>
            </w:r>
          </w:p>
        </w:tc>
        <w:tc>
          <w:tcPr>
            <w:tcW w:w="76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rPr>
                <w:b/>
              </w:rPr>
            </w:pPr>
            <w:r w:rsidRPr="0062582F">
              <w:rPr>
                <w:b/>
              </w:rPr>
              <w:t>11 403</w:t>
            </w:r>
          </w:p>
        </w:tc>
      </w:tr>
    </w:tbl>
    <w:p w:rsidR="004843DB" w:rsidRPr="0062582F" w:rsidRDefault="004843DB" w:rsidP="004843DB">
      <w:pPr>
        <w:pStyle w:val="Notes"/>
      </w:pPr>
      <w:r w:rsidRPr="0062582F">
        <w:t>Note:</w:t>
      </w:r>
    </w:p>
    <w:p w:rsidR="004843DB" w:rsidRPr="0062582F" w:rsidRDefault="004843DB" w:rsidP="004843DB">
      <w:pPr>
        <w:pStyle w:val="Notes"/>
      </w:pPr>
      <w:r w:rsidRPr="0062582F">
        <w:t>(i)</w:t>
      </w:r>
      <w:r w:rsidRPr="0062582F">
        <w:tab/>
        <w:t>The variance is primarily related to agreed changes in committed projects being delivered in the next financial year.</w:t>
      </w:r>
    </w:p>
    <w:p w:rsidR="004843DB" w:rsidRPr="0062582F" w:rsidRDefault="004843DB" w:rsidP="004843DB"/>
    <w:p w:rsidR="004843DB" w:rsidRPr="0062582F" w:rsidRDefault="004843DB" w:rsidP="004843DB">
      <w:pPr>
        <w:pStyle w:val="million"/>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Headingcontinued"/>
      </w:pPr>
      <w:r w:rsidRPr="0062582F">
        <w:br/>
      </w:r>
    </w:p>
    <w:p w:rsidR="004843DB" w:rsidRPr="0062582F" w:rsidRDefault="004843DB" w:rsidP="004843DB">
      <w:pPr>
        <w:pStyle w:val="Heading5"/>
        <w:rPr>
          <w:u w:val="double"/>
        </w:rPr>
      </w:pPr>
      <w:r w:rsidRPr="0062582F">
        <w:br/>
      </w:r>
    </w:p>
    <w:p w:rsidR="004843DB" w:rsidRPr="0062582F" w:rsidRDefault="004843DB" w:rsidP="004843DB">
      <w:r w:rsidRPr="0062582F">
        <w:br/>
      </w:r>
      <w:r w:rsidRPr="0062582F">
        <w:br/>
      </w:r>
      <w:r w:rsidRPr="0062582F">
        <w:br/>
      </w:r>
      <w:r w:rsidRPr="0062582F">
        <w:br/>
      </w:r>
    </w:p>
    <w:p w:rsidR="004843DB" w:rsidRPr="0062582F" w:rsidRDefault="004843DB" w:rsidP="004843DB">
      <w:pPr>
        <w:pStyle w:val="million"/>
      </w:pPr>
    </w:p>
    <w:tbl>
      <w:tblPr>
        <w:tblW w:w="10260" w:type="dxa"/>
        <w:tblInd w:w="108" w:type="dxa"/>
        <w:tblLayout w:type="fixed"/>
        <w:tblLook w:val="04A0" w:firstRow="1" w:lastRow="0" w:firstColumn="1" w:lastColumn="0" w:noHBand="0" w:noVBand="1"/>
      </w:tblPr>
      <w:tblGrid>
        <w:gridCol w:w="855"/>
        <w:gridCol w:w="855"/>
        <w:gridCol w:w="855"/>
        <w:gridCol w:w="855"/>
        <w:gridCol w:w="855"/>
        <w:gridCol w:w="855"/>
        <w:gridCol w:w="855"/>
        <w:gridCol w:w="855"/>
        <w:gridCol w:w="855"/>
        <w:gridCol w:w="855"/>
        <w:gridCol w:w="855"/>
        <w:gridCol w:w="855"/>
      </w:tblGrid>
      <w:tr w:rsidR="004843DB" w:rsidRPr="0062582F" w:rsidTr="004843DB">
        <w:trPr>
          <w:trHeight w:val="255"/>
        </w:trPr>
        <w:tc>
          <w:tcPr>
            <w:tcW w:w="5130" w:type="dxa"/>
            <w:gridSpan w:val="6"/>
            <w:tcBorders>
              <w:top w:val="single" w:sz="6" w:space="0" w:color="auto"/>
              <w:left w:val="nil"/>
              <w:bottom w:val="single" w:sz="6" w:space="0" w:color="auto"/>
              <w:right w:val="single" w:sz="4" w:space="0" w:color="auto"/>
            </w:tcBorders>
            <w:shd w:val="clear" w:color="auto" w:fill="auto"/>
            <w:noWrap/>
            <w:hideMark/>
          </w:tcPr>
          <w:p w:rsidR="004843DB" w:rsidRPr="0062582F" w:rsidRDefault="004843DB" w:rsidP="004843DB">
            <w:pPr>
              <w:pStyle w:val="TabletextheadingCentred"/>
            </w:pPr>
            <w:r w:rsidRPr="0062582F">
              <w:t>Financial Management Act 1</w:t>
            </w:r>
            <w:r w:rsidRPr="0062582F">
              <w:rPr>
                <w:szCs w:val="18"/>
              </w:rPr>
              <w:t>994</w:t>
            </w:r>
          </w:p>
        </w:tc>
        <w:tc>
          <w:tcPr>
            <w:tcW w:w="855" w:type="dxa"/>
            <w:tcBorders>
              <w:top w:val="single" w:sz="6" w:space="0" w:color="auto"/>
              <w:left w:val="single" w:sz="4" w:space="0" w:color="auto"/>
              <w:bottom w:val="single" w:sz="6" w:space="0" w:color="auto"/>
              <w:right w:val="nil"/>
            </w:tcBorders>
          </w:tcPr>
          <w:p w:rsidR="004843DB" w:rsidRPr="0062582F" w:rsidRDefault="004843DB" w:rsidP="004843DB">
            <w:pPr>
              <w:pStyle w:val="TabletextheadingCentred"/>
            </w:pPr>
          </w:p>
        </w:tc>
        <w:tc>
          <w:tcPr>
            <w:tcW w:w="855" w:type="dxa"/>
            <w:tcBorders>
              <w:top w:val="single" w:sz="6" w:space="0" w:color="auto"/>
              <w:left w:val="nil"/>
              <w:bottom w:val="single" w:sz="6" w:space="0" w:color="auto"/>
              <w:right w:val="nil"/>
            </w:tcBorders>
          </w:tcPr>
          <w:p w:rsidR="004843DB" w:rsidRPr="0062582F" w:rsidRDefault="004843DB" w:rsidP="004843DB">
            <w:pPr>
              <w:pStyle w:val="TabletextheadingCentred"/>
            </w:pPr>
          </w:p>
        </w:tc>
        <w:tc>
          <w:tcPr>
            <w:tcW w:w="855" w:type="dxa"/>
            <w:tcBorders>
              <w:top w:val="single" w:sz="6" w:space="0" w:color="auto"/>
              <w:left w:val="nil"/>
              <w:bottom w:val="single" w:sz="6" w:space="0" w:color="auto"/>
              <w:right w:val="nil"/>
            </w:tcBorders>
          </w:tcPr>
          <w:p w:rsidR="004843DB" w:rsidRPr="0062582F" w:rsidRDefault="004843DB" w:rsidP="004843DB">
            <w:pPr>
              <w:pStyle w:val="TabletextheadingCentred"/>
            </w:pPr>
          </w:p>
        </w:tc>
        <w:tc>
          <w:tcPr>
            <w:tcW w:w="855" w:type="dxa"/>
            <w:tcBorders>
              <w:top w:val="single" w:sz="6" w:space="0" w:color="auto"/>
              <w:left w:val="nil"/>
              <w:bottom w:val="single" w:sz="6" w:space="0" w:color="auto"/>
              <w:right w:val="nil"/>
            </w:tcBorders>
          </w:tcPr>
          <w:p w:rsidR="004843DB" w:rsidRPr="0062582F" w:rsidRDefault="004843DB" w:rsidP="004843DB">
            <w:pPr>
              <w:pStyle w:val="TabletextheadingCentred"/>
            </w:pPr>
          </w:p>
        </w:tc>
        <w:tc>
          <w:tcPr>
            <w:tcW w:w="855" w:type="dxa"/>
            <w:tcBorders>
              <w:top w:val="single" w:sz="6" w:space="0" w:color="auto"/>
              <w:left w:val="nil"/>
              <w:bottom w:val="single" w:sz="6" w:space="0" w:color="auto"/>
              <w:right w:val="nil"/>
            </w:tcBorders>
          </w:tcPr>
          <w:p w:rsidR="004843DB" w:rsidRPr="0062582F" w:rsidRDefault="004843DB" w:rsidP="004843DB">
            <w:pPr>
              <w:pStyle w:val="TabletextheadingCentred"/>
            </w:pPr>
          </w:p>
        </w:tc>
        <w:tc>
          <w:tcPr>
            <w:tcW w:w="855" w:type="dxa"/>
            <w:tcBorders>
              <w:top w:val="single" w:sz="6" w:space="0" w:color="auto"/>
              <w:left w:val="nil"/>
              <w:bottom w:val="single" w:sz="6" w:space="0" w:color="auto"/>
              <w:right w:val="nil"/>
            </w:tcBorders>
          </w:tcPr>
          <w:p w:rsidR="004843DB" w:rsidRPr="0062582F" w:rsidRDefault="004843DB" w:rsidP="004843DB">
            <w:pPr>
              <w:pStyle w:val="TabletextheadingCentred"/>
            </w:pPr>
          </w:p>
        </w:tc>
      </w:tr>
      <w:tr w:rsidR="004843DB" w:rsidRPr="0062582F" w:rsidTr="004843DB">
        <w:trPr>
          <w:trHeight w:val="255"/>
        </w:trPr>
        <w:tc>
          <w:tcPr>
            <w:tcW w:w="1710"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rPr>
                <w:szCs w:val="18"/>
              </w:rPr>
            </w:pPr>
            <w:r w:rsidRPr="0062582F">
              <w:rPr>
                <w:szCs w:val="18"/>
              </w:rPr>
              <w:br/>
              <w:t>Section 30</w:t>
            </w:r>
          </w:p>
        </w:tc>
        <w:tc>
          <w:tcPr>
            <w:tcW w:w="1710"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rPr>
                <w:szCs w:val="18"/>
              </w:rPr>
            </w:pPr>
            <w:r w:rsidRPr="0062582F">
              <w:rPr>
                <w:szCs w:val="18"/>
              </w:rPr>
              <w:br/>
              <w:t>Section 32</w:t>
            </w:r>
          </w:p>
        </w:tc>
        <w:tc>
          <w:tcPr>
            <w:tcW w:w="1710" w:type="dxa"/>
            <w:gridSpan w:val="2"/>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Centred"/>
              <w:rPr>
                <w:szCs w:val="18"/>
              </w:rPr>
            </w:pPr>
            <w:r w:rsidRPr="0062582F">
              <w:rPr>
                <w:szCs w:val="18"/>
              </w:rPr>
              <w:br/>
              <w:t>Section 35 advances</w:t>
            </w:r>
          </w:p>
        </w:tc>
        <w:tc>
          <w:tcPr>
            <w:tcW w:w="1710" w:type="dxa"/>
            <w:gridSpan w:val="2"/>
            <w:tcBorders>
              <w:top w:val="single" w:sz="6" w:space="0" w:color="auto"/>
              <w:left w:val="nil"/>
              <w:bottom w:val="single" w:sz="6" w:space="0" w:color="auto"/>
              <w:right w:val="nil"/>
            </w:tcBorders>
          </w:tcPr>
          <w:p w:rsidR="004843DB" w:rsidRPr="0062582F" w:rsidRDefault="004843DB" w:rsidP="004843DB">
            <w:pPr>
              <w:pStyle w:val="TabletextheadingCentred"/>
              <w:rPr>
                <w:szCs w:val="18"/>
              </w:rPr>
            </w:pPr>
            <w:r w:rsidRPr="0062582F">
              <w:rPr>
                <w:szCs w:val="18"/>
              </w:rPr>
              <w:t>Total parliamentary authority</w:t>
            </w:r>
          </w:p>
        </w:tc>
        <w:tc>
          <w:tcPr>
            <w:tcW w:w="1710" w:type="dxa"/>
            <w:gridSpan w:val="2"/>
            <w:tcBorders>
              <w:top w:val="single" w:sz="6" w:space="0" w:color="auto"/>
              <w:left w:val="nil"/>
              <w:bottom w:val="single" w:sz="6" w:space="0" w:color="auto"/>
              <w:right w:val="nil"/>
            </w:tcBorders>
          </w:tcPr>
          <w:p w:rsidR="004843DB" w:rsidRPr="0062582F" w:rsidRDefault="004843DB" w:rsidP="004843DB">
            <w:pPr>
              <w:pStyle w:val="TabletextheadingCentred"/>
              <w:rPr>
                <w:szCs w:val="18"/>
              </w:rPr>
            </w:pPr>
            <w:r w:rsidRPr="0062582F">
              <w:rPr>
                <w:szCs w:val="18"/>
              </w:rPr>
              <w:t>Appropriations applied</w:t>
            </w:r>
          </w:p>
        </w:tc>
        <w:tc>
          <w:tcPr>
            <w:tcW w:w="1710" w:type="dxa"/>
            <w:gridSpan w:val="2"/>
            <w:tcBorders>
              <w:top w:val="single" w:sz="6" w:space="0" w:color="auto"/>
              <w:left w:val="nil"/>
              <w:bottom w:val="single" w:sz="6" w:space="0" w:color="auto"/>
              <w:right w:val="nil"/>
            </w:tcBorders>
          </w:tcPr>
          <w:p w:rsidR="004843DB" w:rsidRPr="0062582F" w:rsidRDefault="004843DB" w:rsidP="004843DB">
            <w:pPr>
              <w:pStyle w:val="TabletextheadingCentred"/>
              <w:rPr>
                <w:szCs w:val="18"/>
              </w:rPr>
            </w:pPr>
            <w:r w:rsidRPr="0062582F">
              <w:rPr>
                <w:szCs w:val="18"/>
              </w:rPr>
              <w:br/>
              <w:t xml:space="preserve">Variance </w:t>
            </w:r>
            <w:r w:rsidRPr="0062582F">
              <w:rPr>
                <w:szCs w:val="18"/>
                <w:vertAlign w:val="superscript"/>
              </w:rPr>
              <w:t>(i)</w:t>
            </w:r>
          </w:p>
        </w:tc>
      </w:tr>
      <w:tr w:rsidR="004843DB" w:rsidRPr="0062582F" w:rsidTr="004843DB">
        <w:trPr>
          <w:trHeight w:val="255"/>
        </w:trPr>
        <w:tc>
          <w:tcPr>
            <w:tcW w:w="855"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textheading"/>
            </w:pPr>
            <w:r w:rsidRPr="0062582F">
              <w:t>2016</w:t>
            </w:r>
          </w:p>
        </w:tc>
        <w:tc>
          <w:tcPr>
            <w:tcW w:w="85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5"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textheading"/>
            </w:pPr>
            <w:r w:rsidRPr="0062582F">
              <w:t>2016</w:t>
            </w:r>
          </w:p>
        </w:tc>
        <w:tc>
          <w:tcPr>
            <w:tcW w:w="85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5" w:type="dxa"/>
            <w:tcBorders>
              <w:top w:val="single" w:sz="6" w:space="0" w:color="auto"/>
              <w:left w:val="nil"/>
              <w:bottom w:val="single" w:sz="6" w:space="0" w:color="auto"/>
              <w:right w:val="nil"/>
            </w:tcBorders>
            <w:shd w:val="clear" w:color="000000" w:fill="CCCCCC"/>
            <w:noWrap/>
            <w:hideMark/>
          </w:tcPr>
          <w:p w:rsidR="004843DB" w:rsidRPr="0062582F" w:rsidRDefault="004843DB" w:rsidP="004843DB">
            <w:pPr>
              <w:pStyle w:val="Tabletextheading"/>
            </w:pPr>
            <w:r w:rsidRPr="0062582F">
              <w:t>2016</w:t>
            </w:r>
          </w:p>
        </w:tc>
        <w:tc>
          <w:tcPr>
            <w:tcW w:w="85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textheading"/>
            </w:pPr>
            <w:r w:rsidRPr="0062582F">
              <w:t>2015</w:t>
            </w:r>
          </w:p>
        </w:tc>
        <w:tc>
          <w:tcPr>
            <w:tcW w:w="855"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t>2016</w:t>
            </w:r>
          </w:p>
        </w:tc>
        <w:tc>
          <w:tcPr>
            <w:tcW w:w="855"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t>2015</w:t>
            </w:r>
          </w:p>
        </w:tc>
        <w:tc>
          <w:tcPr>
            <w:tcW w:w="855"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t>2016</w:t>
            </w:r>
          </w:p>
        </w:tc>
        <w:tc>
          <w:tcPr>
            <w:tcW w:w="855"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t>2015</w:t>
            </w:r>
          </w:p>
        </w:tc>
        <w:tc>
          <w:tcPr>
            <w:tcW w:w="855"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t>2016</w:t>
            </w:r>
          </w:p>
        </w:tc>
        <w:tc>
          <w:tcPr>
            <w:tcW w:w="855" w:type="dxa"/>
            <w:tcBorders>
              <w:top w:val="single" w:sz="6" w:space="0" w:color="auto"/>
              <w:left w:val="nil"/>
              <w:bottom w:val="single" w:sz="6" w:space="0" w:color="auto"/>
              <w:right w:val="nil"/>
            </w:tcBorders>
          </w:tcPr>
          <w:p w:rsidR="004843DB" w:rsidRPr="0062582F" w:rsidRDefault="004843DB" w:rsidP="004843DB">
            <w:pPr>
              <w:pStyle w:val="Tabletextheading"/>
            </w:pPr>
            <w:r w:rsidRPr="0062582F">
              <w:t>2015</w:t>
            </w:r>
          </w:p>
        </w:tc>
      </w:tr>
      <w:tr w:rsidR="004843DB" w:rsidRPr="0062582F" w:rsidTr="004843DB">
        <w:trPr>
          <w:trHeight w:val="255"/>
        </w:trPr>
        <w:tc>
          <w:tcPr>
            <w:tcW w:w="855"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855"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855"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855"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855" w:type="dxa"/>
            <w:tcBorders>
              <w:top w:val="single" w:sz="6" w:space="0" w:color="auto"/>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855" w:type="dxa"/>
            <w:tcBorders>
              <w:top w:val="single" w:sz="6" w:space="0" w:color="auto"/>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855"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855"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855"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855"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855"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c>
          <w:tcPr>
            <w:tcW w:w="855" w:type="dxa"/>
            <w:tcBorders>
              <w:top w:val="single" w:sz="6" w:space="0" w:color="auto"/>
              <w:left w:val="nil"/>
              <w:bottom w:val="nil"/>
              <w:right w:val="nil"/>
            </w:tcBorders>
          </w:tcPr>
          <w:p w:rsidR="004843DB" w:rsidRPr="0062582F" w:rsidRDefault="004843DB" w:rsidP="004843DB">
            <w:pPr>
              <w:pStyle w:val="TableofFigures"/>
            </w:pPr>
            <w:r w:rsidRPr="0062582F">
              <w:t xml:space="preserve"> </w:t>
            </w:r>
          </w:p>
        </w:tc>
      </w:tr>
      <w:tr w:rsidR="004843DB" w:rsidRPr="0062582F" w:rsidTr="004843DB">
        <w:trPr>
          <w:trHeight w:val="255"/>
        </w:trPr>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(12 019)</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(10 869)</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697</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5" w:type="dxa"/>
            <w:tcBorders>
              <w:top w:val="nil"/>
              <w:left w:val="nil"/>
              <w:bottom w:val="nil"/>
              <w:right w:val="nil"/>
            </w:tcBorders>
          </w:tcPr>
          <w:p w:rsidR="004843DB" w:rsidRPr="0062582F" w:rsidRDefault="004843DB" w:rsidP="004843DB">
            <w:pPr>
              <w:pStyle w:val="TableofFigures"/>
            </w:pPr>
            <w:r w:rsidRPr="0062582F">
              <w:t>101 156</w:t>
            </w:r>
          </w:p>
        </w:tc>
        <w:tc>
          <w:tcPr>
            <w:tcW w:w="855" w:type="dxa"/>
            <w:tcBorders>
              <w:top w:val="nil"/>
              <w:left w:val="nil"/>
              <w:bottom w:val="nil"/>
              <w:right w:val="nil"/>
            </w:tcBorders>
          </w:tcPr>
          <w:p w:rsidR="004843DB" w:rsidRPr="0062582F" w:rsidRDefault="004843DB" w:rsidP="004843DB">
            <w:pPr>
              <w:pStyle w:val="TableofFigures"/>
            </w:pPr>
            <w:r w:rsidRPr="0062582F">
              <w:t>81 084</w:t>
            </w:r>
          </w:p>
        </w:tc>
        <w:tc>
          <w:tcPr>
            <w:tcW w:w="855" w:type="dxa"/>
            <w:tcBorders>
              <w:top w:val="nil"/>
              <w:left w:val="nil"/>
              <w:bottom w:val="nil"/>
              <w:right w:val="nil"/>
            </w:tcBorders>
          </w:tcPr>
          <w:p w:rsidR="004843DB" w:rsidRPr="0062582F" w:rsidRDefault="004843DB" w:rsidP="004843DB">
            <w:pPr>
              <w:pStyle w:val="TableofFigures"/>
            </w:pPr>
            <w:r w:rsidRPr="0062582F">
              <w:t>93 663</w:t>
            </w:r>
          </w:p>
        </w:tc>
        <w:tc>
          <w:tcPr>
            <w:tcW w:w="855" w:type="dxa"/>
            <w:tcBorders>
              <w:top w:val="nil"/>
              <w:left w:val="nil"/>
              <w:bottom w:val="nil"/>
              <w:right w:val="nil"/>
            </w:tcBorders>
          </w:tcPr>
          <w:p w:rsidR="004843DB" w:rsidRPr="0062582F" w:rsidRDefault="004843DB" w:rsidP="004843DB">
            <w:pPr>
              <w:pStyle w:val="TableofFigures"/>
            </w:pPr>
            <w:r w:rsidRPr="0062582F">
              <w:t>75 078</w:t>
            </w:r>
          </w:p>
        </w:tc>
        <w:tc>
          <w:tcPr>
            <w:tcW w:w="855" w:type="dxa"/>
            <w:tcBorders>
              <w:top w:val="nil"/>
              <w:left w:val="nil"/>
              <w:bottom w:val="nil"/>
              <w:right w:val="nil"/>
            </w:tcBorders>
          </w:tcPr>
          <w:p w:rsidR="004843DB" w:rsidRPr="0062582F" w:rsidRDefault="004843DB" w:rsidP="004843DB">
            <w:pPr>
              <w:pStyle w:val="TableofFigures"/>
            </w:pPr>
            <w:r w:rsidRPr="0062582F">
              <w:t>7 493</w:t>
            </w:r>
          </w:p>
        </w:tc>
        <w:tc>
          <w:tcPr>
            <w:tcW w:w="855" w:type="dxa"/>
            <w:tcBorders>
              <w:top w:val="nil"/>
              <w:left w:val="nil"/>
              <w:bottom w:val="nil"/>
              <w:right w:val="nil"/>
            </w:tcBorders>
          </w:tcPr>
          <w:p w:rsidR="004843DB" w:rsidRPr="0062582F" w:rsidRDefault="004843DB" w:rsidP="004843DB">
            <w:pPr>
              <w:pStyle w:val="TableofFigures"/>
            </w:pPr>
            <w:r w:rsidRPr="0062582F">
              <w:t>6 006</w:t>
            </w:r>
          </w:p>
        </w:tc>
      </w:tr>
      <w:tr w:rsidR="004843DB" w:rsidRPr="0062582F" w:rsidTr="004843DB">
        <w:trPr>
          <w:trHeight w:val="255"/>
        </w:trPr>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w:t>
            </w:r>
          </w:p>
        </w:tc>
        <w:tc>
          <w:tcPr>
            <w:tcW w:w="855" w:type="dxa"/>
            <w:tcBorders>
              <w:top w:val="nil"/>
              <w:left w:val="nil"/>
              <w:bottom w:val="nil"/>
              <w:right w:val="nil"/>
            </w:tcBorders>
          </w:tcPr>
          <w:p w:rsidR="004843DB" w:rsidRPr="0062582F" w:rsidRDefault="004843DB" w:rsidP="004843DB">
            <w:pPr>
              <w:pStyle w:val="TableofFigures"/>
            </w:pPr>
            <w:r w:rsidRPr="0062582F">
              <w:t>6 210</w:t>
            </w:r>
          </w:p>
        </w:tc>
        <w:tc>
          <w:tcPr>
            <w:tcW w:w="855" w:type="dxa"/>
            <w:tcBorders>
              <w:top w:val="nil"/>
              <w:left w:val="nil"/>
              <w:bottom w:val="nil"/>
              <w:right w:val="nil"/>
            </w:tcBorders>
          </w:tcPr>
          <w:p w:rsidR="004843DB" w:rsidRPr="0062582F" w:rsidRDefault="004843DB" w:rsidP="004843DB">
            <w:pPr>
              <w:pStyle w:val="TableofFigures"/>
            </w:pPr>
            <w:r w:rsidRPr="0062582F">
              <w:t>..</w:t>
            </w:r>
          </w:p>
        </w:tc>
        <w:tc>
          <w:tcPr>
            <w:tcW w:w="855" w:type="dxa"/>
            <w:tcBorders>
              <w:top w:val="nil"/>
              <w:left w:val="nil"/>
              <w:bottom w:val="nil"/>
              <w:right w:val="nil"/>
            </w:tcBorders>
          </w:tcPr>
          <w:p w:rsidR="004843DB" w:rsidRPr="0062582F" w:rsidRDefault="004843DB" w:rsidP="004843DB">
            <w:pPr>
              <w:pStyle w:val="TableofFigures"/>
            </w:pPr>
            <w:r w:rsidRPr="0062582F">
              <w:t>5 750</w:t>
            </w:r>
          </w:p>
        </w:tc>
        <w:tc>
          <w:tcPr>
            <w:tcW w:w="855" w:type="dxa"/>
            <w:tcBorders>
              <w:top w:val="nil"/>
              <w:left w:val="nil"/>
              <w:bottom w:val="nil"/>
              <w:right w:val="nil"/>
            </w:tcBorders>
          </w:tcPr>
          <w:p w:rsidR="004843DB" w:rsidRPr="0062582F" w:rsidRDefault="004843DB" w:rsidP="004843DB">
            <w:pPr>
              <w:pStyle w:val="TableofFigures"/>
            </w:pPr>
            <w:r w:rsidRPr="0062582F">
              <w:t>..</w:t>
            </w:r>
          </w:p>
        </w:tc>
        <w:tc>
          <w:tcPr>
            <w:tcW w:w="855" w:type="dxa"/>
            <w:tcBorders>
              <w:top w:val="nil"/>
              <w:left w:val="nil"/>
              <w:bottom w:val="nil"/>
              <w:right w:val="nil"/>
            </w:tcBorders>
          </w:tcPr>
          <w:p w:rsidR="004843DB" w:rsidRPr="0062582F" w:rsidRDefault="004843DB" w:rsidP="004843DB">
            <w:pPr>
              <w:pStyle w:val="TableofFigures"/>
            </w:pPr>
            <w:r w:rsidRPr="0062582F">
              <w:t xml:space="preserve"> 460</w:t>
            </w:r>
          </w:p>
        </w:tc>
        <w:tc>
          <w:tcPr>
            <w:tcW w:w="855" w:type="dxa"/>
            <w:tcBorders>
              <w:top w:val="nil"/>
              <w:left w:val="nil"/>
              <w:bottom w:val="nil"/>
              <w:right w:val="nil"/>
            </w:tcBorders>
          </w:tcPr>
          <w:p w:rsidR="004843DB" w:rsidRPr="0062582F" w:rsidRDefault="004843DB" w:rsidP="004843DB">
            <w:pPr>
              <w:pStyle w:val="TableofFigures"/>
            </w:pPr>
            <w:r w:rsidRPr="0062582F">
              <w:t>..</w:t>
            </w:r>
          </w:p>
        </w:tc>
      </w:tr>
      <w:tr w:rsidR="004843DB" w:rsidRPr="0062582F" w:rsidTr="004843DB">
        <w:trPr>
          <w:trHeight w:val="255"/>
        </w:trPr>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r>
      <w:tr w:rsidR="004843DB" w:rsidRPr="0062582F" w:rsidTr="004843DB">
        <w:trPr>
          <w:trHeight w:val="255"/>
        </w:trPr>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shd w:val="clear" w:color="00FFFF" w:fill="CCCCCC"/>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c>
          <w:tcPr>
            <w:tcW w:w="855" w:type="dxa"/>
            <w:tcBorders>
              <w:top w:val="nil"/>
              <w:left w:val="nil"/>
              <w:bottom w:val="nil"/>
              <w:right w:val="nil"/>
            </w:tcBorders>
          </w:tcPr>
          <w:p w:rsidR="004843DB" w:rsidRPr="0062582F" w:rsidRDefault="004843DB" w:rsidP="004843DB">
            <w:pPr>
              <w:pStyle w:val="TableofFigures"/>
            </w:pPr>
            <w:r w:rsidRPr="0062582F">
              <w:t xml:space="preserve"> </w:t>
            </w:r>
          </w:p>
        </w:tc>
      </w:tr>
      <w:tr w:rsidR="004843DB" w:rsidRPr="0062582F" w:rsidTr="004843DB">
        <w:trPr>
          <w:trHeight w:val="510"/>
        </w:trPr>
        <w:tc>
          <w:tcPr>
            <w:tcW w:w="855"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12 019</w:t>
            </w:r>
          </w:p>
        </w:tc>
        <w:tc>
          <w:tcPr>
            <w:tcW w:w="855"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10 869</w:t>
            </w:r>
          </w:p>
        </w:tc>
        <w:tc>
          <w:tcPr>
            <w:tcW w:w="855"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w:t>
            </w:r>
          </w:p>
        </w:tc>
        <w:tc>
          <w:tcPr>
            <w:tcW w:w="855"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w:t>
            </w:r>
          </w:p>
        </w:tc>
        <w:tc>
          <w:tcPr>
            <w:tcW w:w="855" w:type="dxa"/>
            <w:tcBorders>
              <w:top w:val="nil"/>
              <w:left w:val="nil"/>
              <w:bottom w:val="single" w:sz="6" w:space="0" w:color="auto"/>
              <w:right w:val="nil"/>
            </w:tcBorders>
            <w:shd w:val="clear" w:color="00FFFF" w:fill="CCCCCC"/>
            <w:noWrap/>
            <w:hideMark/>
          </w:tcPr>
          <w:p w:rsidR="004843DB" w:rsidRPr="0062582F" w:rsidRDefault="004843DB" w:rsidP="004843DB">
            <w:pPr>
              <w:pStyle w:val="TableofFigures"/>
            </w:pPr>
            <w:r w:rsidRPr="0062582F">
              <w:t>..</w:t>
            </w:r>
          </w:p>
        </w:tc>
        <w:tc>
          <w:tcPr>
            <w:tcW w:w="855" w:type="dxa"/>
            <w:tcBorders>
              <w:top w:val="nil"/>
              <w:left w:val="nil"/>
              <w:bottom w:val="single" w:sz="6" w:space="0" w:color="auto"/>
              <w:right w:val="nil"/>
            </w:tcBorders>
            <w:shd w:val="clear" w:color="auto" w:fill="auto"/>
            <w:noWrap/>
            <w:hideMark/>
          </w:tcPr>
          <w:p w:rsidR="004843DB" w:rsidRPr="0062582F" w:rsidRDefault="004843DB" w:rsidP="004843DB">
            <w:pPr>
              <w:pStyle w:val="TableofFigures"/>
            </w:pPr>
            <w:r w:rsidRPr="0062582F">
              <w:t>..</w:t>
            </w:r>
          </w:p>
        </w:tc>
        <w:tc>
          <w:tcPr>
            <w:tcW w:w="855" w:type="dxa"/>
            <w:tcBorders>
              <w:top w:val="nil"/>
              <w:left w:val="nil"/>
              <w:bottom w:val="single" w:sz="6" w:space="0" w:color="auto"/>
              <w:right w:val="nil"/>
            </w:tcBorders>
          </w:tcPr>
          <w:p w:rsidR="004843DB" w:rsidRPr="0062582F" w:rsidRDefault="004843DB" w:rsidP="004843DB">
            <w:pPr>
              <w:pStyle w:val="TableofFigures"/>
            </w:pPr>
            <w:r w:rsidRPr="0062582F">
              <w:t>12 019</w:t>
            </w:r>
          </w:p>
        </w:tc>
        <w:tc>
          <w:tcPr>
            <w:tcW w:w="855" w:type="dxa"/>
            <w:tcBorders>
              <w:top w:val="nil"/>
              <w:left w:val="nil"/>
              <w:bottom w:val="single" w:sz="6" w:space="0" w:color="auto"/>
              <w:right w:val="nil"/>
            </w:tcBorders>
          </w:tcPr>
          <w:p w:rsidR="004843DB" w:rsidRPr="0062582F" w:rsidRDefault="004843DB" w:rsidP="004843DB">
            <w:pPr>
              <w:pStyle w:val="TableofFigures"/>
            </w:pPr>
            <w:r w:rsidRPr="0062582F">
              <w:t>10 869</w:t>
            </w:r>
          </w:p>
        </w:tc>
        <w:tc>
          <w:tcPr>
            <w:tcW w:w="855" w:type="dxa"/>
            <w:tcBorders>
              <w:top w:val="nil"/>
              <w:left w:val="nil"/>
              <w:bottom w:val="single" w:sz="6" w:space="0" w:color="auto"/>
              <w:right w:val="nil"/>
            </w:tcBorders>
          </w:tcPr>
          <w:p w:rsidR="004843DB" w:rsidRPr="0062582F" w:rsidRDefault="004843DB" w:rsidP="004843DB">
            <w:pPr>
              <w:pStyle w:val="TableofFigures"/>
            </w:pPr>
            <w:r w:rsidRPr="0062582F">
              <w:t>12 019</w:t>
            </w:r>
          </w:p>
        </w:tc>
        <w:tc>
          <w:tcPr>
            <w:tcW w:w="855" w:type="dxa"/>
            <w:tcBorders>
              <w:top w:val="nil"/>
              <w:left w:val="nil"/>
              <w:bottom w:val="single" w:sz="6" w:space="0" w:color="auto"/>
              <w:right w:val="nil"/>
            </w:tcBorders>
          </w:tcPr>
          <w:p w:rsidR="004843DB" w:rsidRPr="0062582F" w:rsidRDefault="004843DB" w:rsidP="004843DB">
            <w:pPr>
              <w:pStyle w:val="TableofFigures"/>
            </w:pPr>
            <w:r w:rsidRPr="0062582F">
              <w:t>10 869</w:t>
            </w:r>
          </w:p>
        </w:tc>
        <w:tc>
          <w:tcPr>
            <w:tcW w:w="855" w:type="dxa"/>
            <w:tcBorders>
              <w:top w:val="nil"/>
              <w:left w:val="nil"/>
              <w:bottom w:val="single" w:sz="6" w:space="0" w:color="auto"/>
              <w:right w:val="nil"/>
            </w:tcBorders>
          </w:tcPr>
          <w:p w:rsidR="004843DB" w:rsidRPr="0062582F" w:rsidRDefault="004843DB" w:rsidP="004843DB">
            <w:pPr>
              <w:pStyle w:val="TableofFigures"/>
            </w:pPr>
            <w:r w:rsidRPr="0062582F">
              <w:t>..</w:t>
            </w:r>
          </w:p>
        </w:tc>
        <w:tc>
          <w:tcPr>
            <w:tcW w:w="855" w:type="dxa"/>
            <w:tcBorders>
              <w:top w:val="nil"/>
              <w:left w:val="nil"/>
              <w:bottom w:val="single" w:sz="6" w:space="0" w:color="auto"/>
              <w:right w:val="nil"/>
            </w:tcBorders>
          </w:tcPr>
          <w:p w:rsidR="004843DB" w:rsidRPr="0062582F" w:rsidRDefault="004843DB" w:rsidP="004843DB">
            <w:pPr>
              <w:pStyle w:val="TableofFigures"/>
            </w:pPr>
            <w:r w:rsidRPr="0062582F">
              <w:t>..</w:t>
            </w:r>
          </w:p>
        </w:tc>
      </w:tr>
      <w:tr w:rsidR="004843DB" w:rsidRPr="0062582F" w:rsidTr="004843DB">
        <w:trPr>
          <w:trHeight w:val="270"/>
        </w:trPr>
        <w:tc>
          <w:tcPr>
            <w:tcW w:w="855"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85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855"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85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rPr>
                <w:b/>
              </w:rPr>
            </w:pPr>
            <w:r w:rsidRPr="0062582F">
              <w:rPr>
                <w:b/>
              </w:rPr>
              <w:t xml:space="preserve"> 697</w:t>
            </w:r>
          </w:p>
        </w:tc>
        <w:tc>
          <w:tcPr>
            <w:tcW w:w="855" w:type="dxa"/>
            <w:tcBorders>
              <w:top w:val="single" w:sz="6" w:space="0" w:color="auto"/>
              <w:left w:val="nil"/>
              <w:bottom w:val="single" w:sz="6" w:space="0" w:color="auto"/>
              <w:right w:val="nil"/>
            </w:tcBorders>
            <w:shd w:val="clear" w:color="00FFFF" w:fill="CCCCCC"/>
            <w:noWrap/>
            <w:hideMark/>
          </w:tcPr>
          <w:p w:rsidR="004843DB" w:rsidRPr="0062582F" w:rsidRDefault="004843DB" w:rsidP="004843DB">
            <w:pPr>
              <w:pStyle w:val="TableofFigures"/>
              <w:rPr>
                <w:b/>
              </w:rPr>
            </w:pPr>
            <w:r w:rsidRPr="0062582F">
              <w:rPr>
                <w:b/>
              </w:rPr>
              <w:t>..</w:t>
            </w:r>
          </w:p>
        </w:tc>
        <w:tc>
          <w:tcPr>
            <w:tcW w:w="855" w:type="dxa"/>
            <w:tcBorders>
              <w:top w:val="single" w:sz="6" w:space="0" w:color="auto"/>
              <w:left w:val="nil"/>
              <w:bottom w:val="single" w:sz="6" w:space="0" w:color="auto"/>
              <w:right w:val="nil"/>
            </w:tcBorders>
            <w:shd w:val="clear" w:color="auto" w:fill="auto"/>
            <w:noWrap/>
            <w:hideMark/>
          </w:tcPr>
          <w:p w:rsidR="004843DB" w:rsidRPr="0062582F" w:rsidRDefault="004843DB" w:rsidP="004843DB">
            <w:pPr>
              <w:pStyle w:val="TableofFigures"/>
              <w:rPr>
                <w:b/>
              </w:rPr>
            </w:pPr>
            <w:r w:rsidRPr="0062582F">
              <w:rPr>
                <w:b/>
              </w:rPr>
              <w:t>..</w:t>
            </w:r>
          </w:p>
        </w:tc>
        <w:tc>
          <w:tcPr>
            <w:tcW w:w="855" w:type="dxa"/>
            <w:tcBorders>
              <w:top w:val="single" w:sz="6" w:space="0" w:color="auto"/>
              <w:left w:val="nil"/>
              <w:bottom w:val="single" w:sz="6" w:space="0" w:color="auto"/>
              <w:right w:val="nil"/>
            </w:tcBorders>
          </w:tcPr>
          <w:p w:rsidR="004843DB" w:rsidRPr="0062582F" w:rsidRDefault="004843DB" w:rsidP="004843DB">
            <w:pPr>
              <w:pStyle w:val="TableofFigures"/>
              <w:rPr>
                <w:b/>
              </w:rPr>
            </w:pPr>
            <w:r w:rsidRPr="0062582F">
              <w:rPr>
                <w:b/>
              </w:rPr>
              <w:t>119 385</w:t>
            </w:r>
          </w:p>
        </w:tc>
        <w:tc>
          <w:tcPr>
            <w:tcW w:w="855" w:type="dxa"/>
            <w:tcBorders>
              <w:top w:val="single" w:sz="6" w:space="0" w:color="auto"/>
              <w:left w:val="nil"/>
              <w:bottom w:val="single" w:sz="6" w:space="0" w:color="auto"/>
              <w:right w:val="nil"/>
            </w:tcBorders>
          </w:tcPr>
          <w:p w:rsidR="004843DB" w:rsidRPr="0062582F" w:rsidRDefault="004843DB" w:rsidP="004843DB">
            <w:pPr>
              <w:pStyle w:val="TableofFigures"/>
              <w:rPr>
                <w:b/>
              </w:rPr>
            </w:pPr>
            <w:r w:rsidRPr="0062582F">
              <w:rPr>
                <w:b/>
              </w:rPr>
              <w:t>91 953</w:t>
            </w:r>
          </w:p>
        </w:tc>
        <w:tc>
          <w:tcPr>
            <w:tcW w:w="855" w:type="dxa"/>
            <w:tcBorders>
              <w:top w:val="single" w:sz="6" w:space="0" w:color="auto"/>
              <w:left w:val="nil"/>
              <w:bottom w:val="single" w:sz="6" w:space="0" w:color="auto"/>
              <w:right w:val="nil"/>
            </w:tcBorders>
          </w:tcPr>
          <w:p w:rsidR="004843DB" w:rsidRPr="0062582F" w:rsidRDefault="004843DB" w:rsidP="004843DB">
            <w:pPr>
              <w:pStyle w:val="TableofFigures"/>
              <w:rPr>
                <w:b/>
              </w:rPr>
            </w:pPr>
            <w:r w:rsidRPr="0062582F">
              <w:rPr>
                <w:b/>
              </w:rPr>
              <w:t>111 432</w:t>
            </w:r>
          </w:p>
        </w:tc>
        <w:tc>
          <w:tcPr>
            <w:tcW w:w="855" w:type="dxa"/>
            <w:tcBorders>
              <w:top w:val="single" w:sz="6" w:space="0" w:color="auto"/>
              <w:left w:val="nil"/>
              <w:bottom w:val="single" w:sz="6" w:space="0" w:color="auto"/>
              <w:right w:val="nil"/>
            </w:tcBorders>
          </w:tcPr>
          <w:p w:rsidR="004843DB" w:rsidRPr="0062582F" w:rsidRDefault="004843DB" w:rsidP="004843DB">
            <w:pPr>
              <w:pStyle w:val="TableofFigures"/>
              <w:rPr>
                <w:b/>
              </w:rPr>
            </w:pPr>
            <w:r w:rsidRPr="0062582F">
              <w:rPr>
                <w:b/>
              </w:rPr>
              <w:t>85 947</w:t>
            </w:r>
          </w:p>
        </w:tc>
        <w:tc>
          <w:tcPr>
            <w:tcW w:w="855" w:type="dxa"/>
            <w:tcBorders>
              <w:top w:val="single" w:sz="6" w:space="0" w:color="auto"/>
              <w:left w:val="nil"/>
              <w:bottom w:val="single" w:sz="6" w:space="0" w:color="auto"/>
              <w:right w:val="nil"/>
            </w:tcBorders>
          </w:tcPr>
          <w:p w:rsidR="004843DB" w:rsidRPr="0062582F" w:rsidRDefault="004843DB" w:rsidP="004843DB">
            <w:pPr>
              <w:pStyle w:val="TableofFigures"/>
              <w:rPr>
                <w:b/>
              </w:rPr>
            </w:pPr>
            <w:r w:rsidRPr="0062582F">
              <w:rPr>
                <w:b/>
              </w:rPr>
              <w:t>7 953</w:t>
            </w:r>
          </w:p>
        </w:tc>
        <w:tc>
          <w:tcPr>
            <w:tcW w:w="855" w:type="dxa"/>
            <w:tcBorders>
              <w:top w:val="single" w:sz="6" w:space="0" w:color="auto"/>
              <w:left w:val="nil"/>
              <w:bottom w:val="single" w:sz="6" w:space="0" w:color="auto"/>
              <w:right w:val="nil"/>
            </w:tcBorders>
          </w:tcPr>
          <w:p w:rsidR="004843DB" w:rsidRPr="0062582F" w:rsidRDefault="004843DB" w:rsidP="004843DB">
            <w:pPr>
              <w:pStyle w:val="TableofFigures"/>
              <w:rPr>
                <w:b/>
              </w:rPr>
            </w:pPr>
            <w:r w:rsidRPr="0062582F">
              <w:rPr>
                <w:b/>
              </w:rPr>
              <w:t>6 006</w:t>
            </w:r>
          </w:p>
        </w:tc>
      </w:tr>
    </w:tbl>
    <w:p w:rsidR="004843DB" w:rsidRPr="0062582F" w:rsidRDefault="004843DB" w:rsidP="004843DB"/>
    <w:p w:rsidR="004843DB" w:rsidRPr="0062582F" w:rsidRDefault="004843DB" w:rsidP="004843DB"/>
    <w:p w:rsidR="004843DB" w:rsidRPr="0062582F" w:rsidRDefault="004843DB" w:rsidP="004843DB">
      <w:pPr>
        <w:sectPr w:rsidR="004843DB" w:rsidRPr="0062582F" w:rsidSect="00190A01">
          <w:headerReference w:type="even" r:id="rId340"/>
          <w:headerReference w:type="default" r:id="rId341"/>
          <w:headerReference w:type="first" r:id="rId342"/>
          <w:pgSz w:w="11906" w:h="16838" w:code="9"/>
          <w:pgMar w:top="1152" w:right="864" w:bottom="1152" w:left="864" w:header="432" w:footer="432" w:gutter="0"/>
          <w:cols w:space="360"/>
        </w:sectPr>
      </w:pPr>
    </w:p>
    <w:p w:rsidR="004843DB" w:rsidRPr="0062582F" w:rsidRDefault="004843DB" w:rsidP="004843DB">
      <w:pPr>
        <w:pStyle w:val="SmallLine"/>
      </w:pPr>
    </w:p>
    <w:p w:rsidR="004843DB" w:rsidRPr="0062582F" w:rsidRDefault="004843DB" w:rsidP="004843DB">
      <w:pPr>
        <w:pStyle w:val="NoteHeadingcontinued"/>
        <w:rPr>
          <w:i/>
        </w:rPr>
      </w:pPr>
      <w:r w:rsidRPr="0062582F">
        <w:br w:type="column"/>
      </w:r>
      <w:bookmarkStart w:id="606" w:name="_Toc163448949"/>
      <w:r w:rsidRPr="0062582F">
        <w:t>Note 36.</w:t>
      </w:r>
      <w:r w:rsidRPr="0062582F">
        <w:tab/>
        <w:t xml:space="preserve">Summary of compliance with annual Parliamentary and special appropriations </w:t>
      </w:r>
      <w:r w:rsidRPr="0062582F">
        <w:rPr>
          <w:i/>
        </w:rPr>
        <w:t>(continued)</w:t>
      </w:r>
    </w:p>
    <w:p w:rsidR="004843DB" w:rsidRPr="0062582F" w:rsidRDefault="004843DB" w:rsidP="004843DB">
      <w:pPr>
        <w:pStyle w:val="Heading5"/>
        <w:sectPr w:rsidR="004843DB" w:rsidRPr="0062582F" w:rsidSect="00190A01">
          <w:headerReference w:type="even" r:id="rId343"/>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20"/>
        <w:rPr>
          <w:lang w:val="en-AU"/>
        </w:rPr>
      </w:pPr>
      <w:r w:rsidRPr="0062582F">
        <w:t>FRD </w:t>
      </w:r>
      <w:r w:rsidRPr="0062582F">
        <w:rPr>
          <w:lang w:val="en-AU"/>
        </w:rPr>
        <w:t>13</w:t>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r w:rsidRPr="0062582F">
        <w:br/>
      </w:r>
    </w:p>
    <w:p w:rsidR="004843DB" w:rsidRPr="0062582F" w:rsidRDefault="004843DB" w:rsidP="004843DB">
      <w:pPr>
        <w:pStyle w:val="Reference"/>
        <w:spacing w:before="80"/>
      </w:pPr>
      <w:r w:rsidRPr="0062582F">
        <w:t>AASB 1004.64</w:t>
      </w:r>
    </w:p>
    <w:p w:rsidR="004843DB" w:rsidRPr="0062582F" w:rsidRDefault="004843DB" w:rsidP="004843DB">
      <w:pPr>
        <w:pStyle w:val="Heading5"/>
      </w:pPr>
      <w:r w:rsidRPr="0062582F">
        <w:br w:type="column"/>
        <w:t>(b)</w:t>
      </w:r>
      <w:r w:rsidRPr="0062582F">
        <w:tab/>
        <w:t>Summary of compliance with special appropriations</w:t>
      </w:r>
    </w:p>
    <w:bookmarkEnd w:id="606"/>
    <w:p w:rsidR="004843DB" w:rsidRPr="0062582F" w:rsidRDefault="004843DB" w:rsidP="004843DB">
      <w:pPr>
        <w:pStyle w:val="million"/>
        <w:rPr>
          <w:rFonts w:ascii="Tahoma" w:hAnsi="Tahoma" w:cs="Tahoma"/>
          <w:sz w:val="20"/>
        </w:rPr>
      </w:pPr>
      <w:r w:rsidRPr="0062582F">
        <w:t>($ thousand)</w:t>
      </w:r>
    </w:p>
    <w:tbl>
      <w:tblPr>
        <w:tblW w:w="8235" w:type="dxa"/>
        <w:tblLayout w:type="fixed"/>
        <w:tblCellMar>
          <w:left w:w="43" w:type="dxa"/>
          <w:right w:w="43" w:type="dxa"/>
        </w:tblCellMar>
        <w:tblLook w:val="04A0" w:firstRow="1" w:lastRow="0" w:firstColumn="1" w:lastColumn="0" w:noHBand="0" w:noVBand="1"/>
      </w:tblPr>
      <w:tblGrid>
        <w:gridCol w:w="3283"/>
        <w:gridCol w:w="3330"/>
        <w:gridCol w:w="811"/>
        <w:gridCol w:w="811"/>
      </w:tblGrid>
      <w:tr w:rsidR="004843DB" w:rsidRPr="0062582F" w:rsidTr="004843DB">
        <w:trPr>
          <w:cantSplit/>
        </w:trPr>
        <w:tc>
          <w:tcPr>
            <w:tcW w:w="3283" w:type="dxa"/>
            <w:vMerge w:val="restart"/>
            <w:tcBorders>
              <w:top w:val="single" w:sz="4" w:space="0" w:color="auto"/>
              <w:left w:val="nil"/>
              <w:bottom w:val="single" w:sz="4" w:space="0" w:color="000000"/>
              <w:right w:val="nil"/>
            </w:tcBorders>
            <w:shd w:val="clear" w:color="auto" w:fill="auto"/>
            <w:hideMark/>
          </w:tcPr>
          <w:p w:rsidR="004843DB" w:rsidRPr="0062582F" w:rsidRDefault="004843DB" w:rsidP="004843DB">
            <w:pPr>
              <w:pStyle w:val="TabletextheadingLeft"/>
            </w:pPr>
            <w:r w:rsidRPr="0062582F">
              <w:br/>
            </w:r>
            <w:r w:rsidRPr="0062582F">
              <w:br/>
              <w:t>Authority</w:t>
            </w:r>
          </w:p>
        </w:tc>
        <w:tc>
          <w:tcPr>
            <w:tcW w:w="3330" w:type="dxa"/>
            <w:vMerge w:val="restart"/>
            <w:tcBorders>
              <w:top w:val="single" w:sz="4" w:space="0" w:color="auto"/>
              <w:left w:val="nil"/>
              <w:bottom w:val="single" w:sz="4" w:space="0" w:color="000000"/>
              <w:right w:val="nil"/>
            </w:tcBorders>
            <w:shd w:val="clear" w:color="auto" w:fill="auto"/>
            <w:hideMark/>
          </w:tcPr>
          <w:p w:rsidR="004843DB" w:rsidRPr="0062582F" w:rsidRDefault="004843DB" w:rsidP="004843DB">
            <w:pPr>
              <w:pStyle w:val="TabletextheadingLeft"/>
            </w:pPr>
            <w:r w:rsidRPr="0062582F">
              <w:br/>
            </w:r>
            <w:r w:rsidRPr="0062582F">
              <w:br/>
              <w:t>Purpose</w:t>
            </w:r>
          </w:p>
        </w:tc>
        <w:tc>
          <w:tcPr>
            <w:tcW w:w="1622" w:type="dxa"/>
            <w:gridSpan w:val="2"/>
            <w:tcBorders>
              <w:top w:val="single" w:sz="4" w:space="0" w:color="auto"/>
              <w:left w:val="nil"/>
              <w:bottom w:val="single" w:sz="4" w:space="0" w:color="auto"/>
              <w:right w:val="nil"/>
            </w:tcBorders>
            <w:shd w:val="clear" w:color="auto" w:fill="auto"/>
            <w:hideMark/>
          </w:tcPr>
          <w:p w:rsidR="004843DB" w:rsidRPr="0062582F" w:rsidRDefault="004843DB" w:rsidP="004843DB">
            <w:pPr>
              <w:pStyle w:val="TabletextheadingCentred"/>
            </w:pPr>
            <w:r w:rsidRPr="0062582F">
              <w:t>Appropriations applied</w:t>
            </w:r>
          </w:p>
        </w:tc>
      </w:tr>
      <w:tr w:rsidR="004843DB" w:rsidRPr="0062582F" w:rsidTr="004843DB">
        <w:trPr>
          <w:cantSplit/>
        </w:trPr>
        <w:tc>
          <w:tcPr>
            <w:tcW w:w="3283" w:type="dxa"/>
            <w:vMerge/>
            <w:tcBorders>
              <w:top w:val="single" w:sz="4" w:space="0" w:color="auto"/>
              <w:left w:val="nil"/>
              <w:bottom w:val="single" w:sz="4" w:space="0" w:color="000000"/>
              <w:right w:val="nil"/>
            </w:tcBorders>
            <w:vAlign w:val="center"/>
            <w:hideMark/>
          </w:tcPr>
          <w:p w:rsidR="004843DB" w:rsidRPr="0062582F" w:rsidRDefault="004843DB" w:rsidP="004843DB">
            <w:pPr>
              <w:rPr>
                <w:rFonts w:ascii="Arial" w:hAnsi="Arial" w:cs="Arial"/>
                <w:i/>
                <w:iCs/>
                <w:sz w:val="18"/>
                <w:szCs w:val="18"/>
              </w:rPr>
            </w:pPr>
          </w:p>
        </w:tc>
        <w:tc>
          <w:tcPr>
            <w:tcW w:w="3330" w:type="dxa"/>
            <w:vMerge/>
            <w:tcBorders>
              <w:top w:val="single" w:sz="4" w:space="0" w:color="auto"/>
              <w:left w:val="nil"/>
              <w:bottom w:val="single" w:sz="4" w:space="0" w:color="000000"/>
              <w:right w:val="nil"/>
            </w:tcBorders>
            <w:vAlign w:val="center"/>
            <w:hideMark/>
          </w:tcPr>
          <w:p w:rsidR="004843DB" w:rsidRPr="0062582F" w:rsidRDefault="004843DB" w:rsidP="004843DB">
            <w:pPr>
              <w:rPr>
                <w:rFonts w:ascii="Arial" w:hAnsi="Arial" w:cs="Arial"/>
                <w:i/>
                <w:iCs/>
                <w:sz w:val="18"/>
                <w:szCs w:val="18"/>
              </w:rPr>
            </w:pPr>
          </w:p>
        </w:tc>
        <w:tc>
          <w:tcPr>
            <w:tcW w:w="811" w:type="dxa"/>
            <w:tcBorders>
              <w:top w:val="nil"/>
              <w:left w:val="nil"/>
              <w:bottom w:val="single" w:sz="4" w:space="0" w:color="auto"/>
              <w:right w:val="nil"/>
            </w:tcBorders>
            <w:shd w:val="clear" w:color="000000" w:fill="CCCCCC"/>
            <w:noWrap/>
            <w:hideMark/>
          </w:tcPr>
          <w:p w:rsidR="004843DB" w:rsidRPr="0062582F" w:rsidRDefault="004843DB" w:rsidP="004843DB">
            <w:pPr>
              <w:pStyle w:val="Tabletextheading"/>
            </w:pPr>
            <w:r w:rsidRPr="0062582F">
              <w:t>2016</w:t>
            </w:r>
          </w:p>
        </w:tc>
        <w:tc>
          <w:tcPr>
            <w:tcW w:w="811" w:type="dxa"/>
            <w:tcBorders>
              <w:top w:val="nil"/>
              <w:left w:val="nil"/>
              <w:bottom w:val="single" w:sz="4" w:space="0" w:color="auto"/>
              <w:right w:val="nil"/>
            </w:tcBorders>
            <w:shd w:val="clear" w:color="auto" w:fill="auto"/>
            <w:noWrap/>
            <w:hideMark/>
          </w:tcPr>
          <w:p w:rsidR="004843DB" w:rsidRPr="0062582F" w:rsidRDefault="004843DB" w:rsidP="004843DB">
            <w:pPr>
              <w:pStyle w:val="Tabletextheading"/>
            </w:pPr>
            <w:r w:rsidRPr="0062582F">
              <w:t>2015</w:t>
            </w:r>
          </w:p>
        </w:tc>
      </w:tr>
      <w:tr w:rsidR="004843DB" w:rsidRPr="0062582F" w:rsidTr="004843DB">
        <w:trPr>
          <w:cantSplit/>
        </w:trPr>
        <w:tc>
          <w:tcPr>
            <w:tcW w:w="3283" w:type="dxa"/>
            <w:tcBorders>
              <w:top w:val="nil"/>
              <w:left w:val="nil"/>
              <w:bottom w:val="nil"/>
              <w:right w:val="nil"/>
            </w:tcBorders>
            <w:shd w:val="clear" w:color="auto" w:fill="auto"/>
            <w:hideMark/>
          </w:tcPr>
          <w:p w:rsidR="004843DB" w:rsidRPr="0062582F" w:rsidRDefault="004843DB" w:rsidP="004843DB">
            <w:pPr>
              <w:pStyle w:val="Tabletext"/>
            </w:pPr>
            <w:r w:rsidRPr="0062582F">
              <w:t xml:space="preserve">The </w:t>
            </w:r>
            <w:r w:rsidRPr="0062582F">
              <w:rPr>
                <w:i/>
              </w:rPr>
              <w:t>Technology Act 1970</w:t>
            </w:r>
            <w:r w:rsidRPr="0062582F">
              <w:t>, section 34</w:t>
            </w:r>
          </w:p>
        </w:tc>
        <w:tc>
          <w:tcPr>
            <w:tcW w:w="3330" w:type="dxa"/>
            <w:tcBorders>
              <w:top w:val="nil"/>
              <w:left w:val="nil"/>
              <w:bottom w:val="nil"/>
              <w:right w:val="nil"/>
            </w:tcBorders>
            <w:shd w:val="clear" w:color="auto" w:fill="auto"/>
            <w:hideMark/>
          </w:tcPr>
          <w:p w:rsidR="004843DB" w:rsidRPr="0062582F" w:rsidRDefault="004843DB" w:rsidP="004843DB">
            <w:pPr>
              <w:pStyle w:val="Tabletext"/>
            </w:pPr>
            <w:r w:rsidRPr="0062582F">
              <w:t>Data storage and security</w:t>
            </w:r>
          </w:p>
        </w:tc>
        <w:tc>
          <w:tcPr>
            <w:tcW w:w="811" w:type="dxa"/>
            <w:tcBorders>
              <w:top w:val="nil"/>
              <w:left w:val="nil"/>
              <w:bottom w:val="nil"/>
              <w:right w:val="nil"/>
            </w:tcBorders>
            <w:shd w:val="clear" w:color="000000" w:fill="CCCCCC"/>
            <w:noWrap/>
            <w:hideMark/>
          </w:tcPr>
          <w:p w:rsidR="004843DB" w:rsidRPr="0062582F" w:rsidRDefault="004843DB" w:rsidP="004843DB">
            <w:pPr>
              <w:pStyle w:val="TableofFigures"/>
            </w:pPr>
            <w:r w:rsidRPr="0062582F">
              <w:t>3 251</w:t>
            </w:r>
          </w:p>
        </w:tc>
        <w:tc>
          <w:tcPr>
            <w:tcW w:w="811" w:type="dxa"/>
            <w:tcBorders>
              <w:top w:val="nil"/>
              <w:left w:val="nil"/>
              <w:bottom w:val="nil"/>
              <w:right w:val="nil"/>
            </w:tcBorders>
            <w:shd w:val="clear" w:color="auto" w:fill="auto"/>
            <w:noWrap/>
            <w:hideMark/>
          </w:tcPr>
          <w:p w:rsidR="004843DB" w:rsidRPr="0062582F" w:rsidRDefault="004843DB" w:rsidP="004843DB">
            <w:pPr>
              <w:pStyle w:val="TableofFigures"/>
            </w:pPr>
            <w:r w:rsidRPr="0062582F">
              <w:t>4 558</w:t>
            </w:r>
          </w:p>
        </w:tc>
      </w:tr>
      <w:tr w:rsidR="004843DB" w:rsidRPr="0062582F" w:rsidTr="004843DB">
        <w:trPr>
          <w:cantSplit/>
        </w:trPr>
        <w:tc>
          <w:tcPr>
            <w:tcW w:w="3283"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 xml:space="preserve">The </w:t>
            </w:r>
            <w:r w:rsidRPr="0062582F">
              <w:rPr>
                <w:i/>
              </w:rPr>
              <w:t>New Technology Act 1998</w:t>
            </w:r>
            <w:r w:rsidRPr="0062582F">
              <w:t>, section 45</w:t>
            </w:r>
          </w:p>
        </w:tc>
        <w:tc>
          <w:tcPr>
            <w:tcW w:w="3330" w:type="dxa"/>
            <w:tcBorders>
              <w:top w:val="nil"/>
              <w:left w:val="nil"/>
              <w:bottom w:val="single" w:sz="4" w:space="0" w:color="auto"/>
              <w:right w:val="nil"/>
            </w:tcBorders>
            <w:shd w:val="clear" w:color="auto" w:fill="auto"/>
            <w:hideMark/>
          </w:tcPr>
          <w:p w:rsidR="004843DB" w:rsidRPr="0062582F" w:rsidRDefault="004843DB" w:rsidP="004843DB">
            <w:pPr>
              <w:pStyle w:val="Tabletext"/>
            </w:pPr>
            <w:r w:rsidRPr="0062582F">
              <w:t>Contributions to hospital research facilities</w:t>
            </w:r>
          </w:p>
        </w:tc>
        <w:tc>
          <w:tcPr>
            <w:tcW w:w="811" w:type="dxa"/>
            <w:tcBorders>
              <w:top w:val="nil"/>
              <w:left w:val="nil"/>
              <w:bottom w:val="single" w:sz="4" w:space="0" w:color="auto"/>
              <w:right w:val="nil"/>
            </w:tcBorders>
            <w:shd w:val="clear" w:color="000000" w:fill="CCCCCC"/>
            <w:noWrap/>
            <w:hideMark/>
          </w:tcPr>
          <w:p w:rsidR="004843DB" w:rsidRPr="0062582F" w:rsidRDefault="004843DB" w:rsidP="004843DB">
            <w:pPr>
              <w:pStyle w:val="TableofFigures"/>
            </w:pPr>
            <w:r w:rsidRPr="0062582F">
              <w:t>4 877</w:t>
            </w:r>
          </w:p>
        </w:tc>
        <w:tc>
          <w:tcPr>
            <w:tcW w:w="811" w:type="dxa"/>
            <w:tcBorders>
              <w:top w:val="nil"/>
              <w:left w:val="nil"/>
              <w:bottom w:val="single" w:sz="4" w:space="0" w:color="auto"/>
              <w:right w:val="nil"/>
            </w:tcBorders>
            <w:shd w:val="clear" w:color="auto" w:fill="auto"/>
            <w:noWrap/>
            <w:hideMark/>
          </w:tcPr>
          <w:p w:rsidR="004843DB" w:rsidRPr="0062582F" w:rsidRDefault="004843DB" w:rsidP="004843DB">
            <w:pPr>
              <w:pStyle w:val="TableofFigures"/>
            </w:pPr>
            <w:r w:rsidRPr="0062582F">
              <w:t>6 838</w:t>
            </w:r>
          </w:p>
        </w:tc>
      </w:tr>
      <w:tr w:rsidR="004843DB" w:rsidRPr="0062582F" w:rsidTr="004843DB">
        <w:trPr>
          <w:cantSplit/>
        </w:trPr>
        <w:tc>
          <w:tcPr>
            <w:tcW w:w="3283" w:type="dxa"/>
            <w:tcBorders>
              <w:top w:val="nil"/>
              <w:left w:val="nil"/>
              <w:bottom w:val="single" w:sz="8" w:space="0" w:color="auto"/>
              <w:right w:val="nil"/>
            </w:tcBorders>
            <w:shd w:val="clear" w:color="auto" w:fill="auto"/>
            <w:hideMark/>
          </w:tcPr>
          <w:p w:rsidR="004843DB" w:rsidRPr="0062582F" w:rsidRDefault="004843DB" w:rsidP="004843DB">
            <w:pPr>
              <w:pStyle w:val="Tabletext"/>
              <w:rPr>
                <w:b/>
              </w:rPr>
            </w:pPr>
            <w:r w:rsidRPr="0062582F">
              <w:rPr>
                <w:b/>
              </w:rPr>
              <w:t xml:space="preserve"> </w:t>
            </w:r>
          </w:p>
        </w:tc>
        <w:tc>
          <w:tcPr>
            <w:tcW w:w="3330" w:type="dxa"/>
            <w:tcBorders>
              <w:top w:val="nil"/>
              <w:left w:val="nil"/>
              <w:bottom w:val="single" w:sz="8" w:space="0" w:color="auto"/>
              <w:right w:val="nil"/>
            </w:tcBorders>
            <w:shd w:val="clear" w:color="auto" w:fill="auto"/>
            <w:hideMark/>
          </w:tcPr>
          <w:p w:rsidR="004843DB" w:rsidRPr="0062582F" w:rsidRDefault="004843DB" w:rsidP="004843DB">
            <w:pPr>
              <w:pStyle w:val="Tabletext"/>
              <w:rPr>
                <w:b/>
              </w:rPr>
            </w:pPr>
            <w:r w:rsidRPr="0062582F">
              <w:rPr>
                <w:b/>
              </w:rPr>
              <w:t xml:space="preserve"> </w:t>
            </w:r>
          </w:p>
        </w:tc>
        <w:tc>
          <w:tcPr>
            <w:tcW w:w="811" w:type="dxa"/>
            <w:tcBorders>
              <w:top w:val="nil"/>
              <w:left w:val="nil"/>
              <w:bottom w:val="single" w:sz="8" w:space="0" w:color="auto"/>
              <w:right w:val="nil"/>
            </w:tcBorders>
            <w:shd w:val="clear" w:color="00FFFF" w:fill="CCCCCC"/>
            <w:noWrap/>
            <w:hideMark/>
          </w:tcPr>
          <w:p w:rsidR="004843DB" w:rsidRPr="0062582F" w:rsidRDefault="004843DB" w:rsidP="004843DB">
            <w:pPr>
              <w:pStyle w:val="TableofFigures"/>
              <w:rPr>
                <w:b/>
              </w:rPr>
            </w:pPr>
            <w:r w:rsidRPr="0062582F">
              <w:rPr>
                <w:b/>
              </w:rPr>
              <w:t>8 128</w:t>
            </w:r>
          </w:p>
        </w:tc>
        <w:tc>
          <w:tcPr>
            <w:tcW w:w="811" w:type="dxa"/>
            <w:tcBorders>
              <w:top w:val="nil"/>
              <w:left w:val="nil"/>
              <w:bottom w:val="single" w:sz="8" w:space="0" w:color="auto"/>
              <w:right w:val="nil"/>
            </w:tcBorders>
            <w:shd w:val="clear" w:color="auto" w:fill="auto"/>
            <w:noWrap/>
            <w:hideMark/>
          </w:tcPr>
          <w:p w:rsidR="004843DB" w:rsidRPr="0062582F" w:rsidRDefault="004843DB" w:rsidP="004843DB">
            <w:pPr>
              <w:pStyle w:val="TableofFigures"/>
              <w:rPr>
                <w:b/>
              </w:rPr>
            </w:pPr>
            <w:r w:rsidRPr="0062582F">
              <w:rPr>
                <w:b/>
              </w:rPr>
              <w:t>11 396</w:t>
            </w:r>
          </w:p>
        </w:tc>
      </w:tr>
    </w:tbl>
    <w:p w:rsidR="004843DB" w:rsidRPr="0062582F" w:rsidRDefault="004843DB" w:rsidP="004843DB"/>
    <w:p w:rsidR="004843DB" w:rsidRPr="0062582F" w:rsidRDefault="004843DB" w:rsidP="004843DB">
      <w:pPr>
        <w:pStyle w:val="CommentaryHeading"/>
      </w:pPr>
      <w:r w:rsidRPr="0062582F">
        <w:t>Commentary – Summary of compliance with annual parliamentary and special appropriations</w:t>
      </w:r>
    </w:p>
    <w:p w:rsidR="004843DB" w:rsidRPr="0062582F" w:rsidRDefault="004843DB" w:rsidP="004843DB">
      <w:pPr>
        <w:pStyle w:val="SmallLineBlue"/>
        <w:pBdr>
          <w:bottom w:val="single" w:sz="4" w:space="0" w:color="0000FF"/>
        </w:pBdr>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1004.64(a)</w:t>
      </w:r>
      <w:r w:rsidR="005A4BB0">
        <w:noBreakHyphen/>
      </w:r>
      <w:r w:rsidRPr="0062582F">
        <w:t>(e)</w:t>
      </w:r>
    </w:p>
    <w:p w:rsidR="004843DB" w:rsidRPr="0062582F" w:rsidRDefault="004843DB" w:rsidP="004843DB">
      <w:pPr>
        <w:pStyle w:val="CommentaryText"/>
        <w:pBdr>
          <w:top w:val="none" w:sz="0" w:space="0" w:color="auto"/>
          <w:bottom w:val="none" w:sz="0" w:space="0" w:color="auto"/>
        </w:pBdr>
      </w:pPr>
      <w:r w:rsidRPr="0062582F">
        <w:br w:type="column"/>
        <w:t>A government department shall disclose separately:</w:t>
      </w:r>
    </w:p>
    <w:p w:rsidR="004843DB" w:rsidRPr="0062582F" w:rsidRDefault="004843DB" w:rsidP="004843DB">
      <w:pPr>
        <w:pStyle w:val="CommentaryTextIndent"/>
        <w:pBdr>
          <w:top w:val="none" w:sz="0" w:space="0" w:color="auto"/>
          <w:bottom w:val="none" w:sz="0" w:space="0" w:color="auto"/>
        </w:pBdr>
      </w:pPr>
      <w:r w:rsidRPr="0062582F">
        <w:t xml:space="preserve">(a) </w:t>
      </w:r>
      <w:r w:rsidRPr="0062582F">
        <w:tab/>
        <w:t>a summary of the recurrent, capital or other major categories of appropriations, disclosing separately:</w:t>
      </w:r>
    </w:p>
    <w:p w:rsidR="004843DB" w:rsidRPr="0062582F" w:rsidRDefault="004843DB" w:rsidP="004843DB">
      <w:pPr>
        <w:pStyle w:val="CommentaryTextIndent2"/>
        <w:pBdr>
          <w:top w:val="none" w:sz="0" w:space="0" w:color="auto"/>
          <w:bottom w:val="none" w:sz="0" w:space="0" w:color="auto"/>
        </w:pBdr>
      </w:pPr>
      <w:r w:rsidRPr="0062582F">
        <w:tab/>
        <w:t xml:space="preserve">(i) </w:t>
      </w:r>
      <w:r w:rsidRPr="0062582F">
        <w:tab/>
        <w:t>the original amounts appropriated for the reporting period; and</w:t>
      </w:r>
    </w:p>
    <w:p w:rsidR="004843DB" w:rsidRPr="0062582F" w:rsidRDefault="004843DB" w:rsidP="004843DB">
      <w:pPr>
        <w:pStyle w:val="CommentaryTextIndent2"/>
        <w:pBdr>
          <w:top w:val="none" w:sz="0" w:space="0" w:color="auto"/>
          <w:bottom w:val="none" w:sz="0" w:space="0" w:color="auto"/>
        </w:pBdr>
      </w:pPr>
      <w:r w:rsidRPr="0062582F">
        <w:tab/>
        <w:t xml:space="preserve">(ii) </w:t>
      </w:r>
      <w:r w:rsidRPr="0062582F">
        <w:tab/>
        <w:t>the total amounts appropriated for the reporting period;</w:t>
      </w:r>
    </w:p>
    <w:p w:rsidR="004843DB" w:rsidRPr="0062582F" w:rsidRDefault="004843DB" w:rsidP="004843DB">
      <w:pPr>
        <w:pStyle w:val="CommentaryTextIndent"/>
        <w:pBdr>
          <w:top w:val="none" w:sz="0" w:space="0" w:color="auto"/>
          <w:bottom w:val="none" w:sz="0" w:space="0" w:color="auto"/>
        </w:pBdr>
      </w:pPr>
      <w:r w:rsidRPr="0062582F">
        <w:t xml:space="preserve">(b) </w:t>
      </w:r>
      <w:r w:rsidRPr="0062582F">
        <w:tab/>
        <w:t>amounts authorised other than by way of appropriation and advanced separately by the Treasurer, other minister or other legislative authority for the reporting period;</w:t>
      </w:r>
    </w:p>
    <w:p w:rsidR="004843DB" w:rsidRPr="0062582F" w:rsidRDefault="004843DB" w:rsidP="004843DB">
      <w:pPr>
        <w:pStyle w:val="CommentaryTextIndent"/>
        <w:pBdr>
          <w:top w:val="none" w:sz="0" w:space="0" w:color="auto"/>
          <w:bottom w:val="none" w:sz="0" w:space="0" w:color="auto"/>
        </w:pBdr>
      </w:pPr>
      <w:r w:rsidRPr="0062582F">
        <w:t xml:space="preserve">(c) </w:t>
      </w:r>
      <w:r w:rsidRPr="0062582F">
        <w:tab/>
        <w:t>the expenditures for the reporting period in respect of each of the items disclosed in (a) and (b) above;</w:t>
      </w:r>
    </w:p>
    <w:p w:rsidR="004843DB" w:rsidRPr="0062582F" w:rsidRDefault="004843DB" w:rsidP="004843DB">
      <w:pPr>
        <w:pStyle w:val="CommentaryTextIndent"/>
        <w:pBdr>
          <w:top w:val="none" w:sz="0" w:space="0" w:color="auto"/>
          <w:bottom w:val="none" w:sz="0" w:space="0" w:color="auto"/>
        </w:pBdr>
      </w:pPr>
      <w:r w:rsidRPr="0062582F">
        <w:t>(d)</w:t>
      </w:r>
      <w:r w:rsidRPr="0062582F">
        <w:tab/>
        <w:t>the reasons for any material variances between the amounts appropriated or otherwise authorised and the associated expenditures for the reporting period; and</w:t>
      </w:r>
    </w:p>
    <w:p w:rsidR="004843DB" w:rsidRPr="0062582F" w:rsidRDefault="004843DB" w:rsidP="004843DB">
      <w:pPr>
        <w:pStyle w:val="CommentaryTextIndent"/>
        <w:pBdr>
          <w:top w:val="none" w:sz="0" w:space="0" w:color="auto"/>
          <w:bottom w:val="none" w:sz="0" w:space="0" w:color="auto"/>
        </w:pBdr>
      </w:pPr>
      <w:r w:rsidRPr="0062582F">
        <w:t xml:space="preserve">(e) </w:t>
      </w:r>
      <w:r w:rsidRPr="0062582F">
        <w:tab/>
        <w:t>the nature and probable financial effect of any non</w:t>
      </w:r>
      <w:r w:rsidR="005A4BB0">
        <w:noBreakHyphen/>
      </w:r>
      <w:r w:rsidRPr="0062582F">
        <w:t>compliance by the government department with externally imposed requirements for the reporting period, not already disclosed by virtue of (d) above, and that are relevant to assessments of the government department</w:t>
      </w:r>
      <w:r w:rsidR="005A4BB0">
        <w:t>’</w:t>
      </w:r>
      <w:r w:rsidRPr="0062582F">
        <w:t>s performance, financial position or financing and investing activities.</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FRD 13</w:t>
      </w:r>
    </w:p>
    <w:p w:rsidR="004843DB" w:rsidRPr="0062582F" w:rsidRDefault="004843DB" w:rsidP="004843DB">
      <w:pPr>
        <w:pStyle w:val="Reference"/>
        <w:spacing w:before="0"/>
      </w:pPr>
      <w:r w:rsidRPr="0062582F">
        <w:t>AASB 1004.65</w:t>
      </w:r>
    </w:p>
    <w:p w:rsidR="004843DB" w:rsidRPr="0062582F" w:rsidRDefault="004843DB" w:rsidP="004843DB">
      <w:pPr>
        <w:pStyle w:val="CommentaryText"/>
        <w:pBdr>
          <w:top w:val="none" w:sz="0" w:space="0" w:color="auto"/>
        </w:pBdr>
      </w:pPr>
      <w:r w:rsidRPr="0062582F">
        <w:br w:type="column"/>
        <w:t xml:space="preserve">In satisfying the disclosure requirements of AASB 1004.65, reference should be made to Appendix 1 of FRD 13 </w:t>
      </w:r>
      <w:r w:rsidRPr="0062582F">
        <w:rPr>
          <w:i/>
          <w:iCs/>
        </w:rPr>
        <w:t>Disclosure of Parliamentary Appropriations</w:t>
      </w:r>
      <w:r w:rsidRPr="0062582F">
        <w:t xml:space="preserve"> for the format to be followed in disclosing annual and special appropriations.</w:t>
      </w:r>
    </w:p>
    <w:p w:rsidR="004843DB" w:rsidRPr="0062582F" w:rsidRDefault="004843DB" w:rsidP="004843DB"/>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pPr>
        <w:pStyle w:val="ReferenceRed"/>
      </w:pPr>
    </w:p>
    <w:p w:rsidR="004843DB" w:rsidRPr="0062582F" w:rsidRDefault="004843DB" w:rsidP="004843DB">
      <w:pPr>
        <w:pStyle w:val="Reference"/>
        <w:spacing w:before="0"/>
      </w:pPr>
      <w:r w:rsidRPr="0062582F">
        <w:t>FRD 11A</w:t>
      </w:r>
    </w:p>
    <w:p w:rsidR="004843DB" w:rsidRPr="0062582F" w:rsidRDefault="004843DB" w:rsidP="004843DB">
      <w:pPr>
        <w:pStyle w:val="NoteHeading"/>
      </w:pPr>
      <w:r w:rsidRPr="0062582F">
        <w:br w:type="column"/>
      </w:r>
      <w:bookmarkStart w:id="607" w:name="_Toc132689524"/>
      <w:bookmarkStart w:id="608" w:name="_Toc133138206"/>
      <w:bookmarkStart w:id="609" w:name="_Toc133203924"/>
      <w:bookmarkStart w:id="610" w:name="_Toc154475778"/>
      <w:bookmarkStart w:id="611" w:name="_Toc162327234"/>
      <w:bookmarkStart w:id="612" w:name="_Toc162327950"/>
      <w:bookmarkStart w:id="613" w:name="_Toc192562763"/>
      <w:bookmarkStart w:id="614" w:name="_Toc332019495"/>
      <w:bookmarkStart w:id="615" w:name="_Toc366843380"/>
      <w:bookmarkStart w:id="616" w:name="_Toc448157216"/>
      <w:r w:rsidRPr="0062582F">
        <w:t>Note 37.</w:t>
      </w:r>
      <w:r w:rsidRPr="0062582F">
        <w:tab/>
        <w:t>Ex gratia expenses</w:t>
      </w:r>
      <w:r w:rsidRPr="0062582F">
        <w:rPr>
          <w:rStyle w:val="NoteHeadingcontinuedChar"/>
          <w:b/>
          <w:vertAlign w:val="superscript"/>
        </w:rPr>
        <w:t>(i)</w:t>
      </w:r>
      <w:bookmarkEnd w:id="607"/>
      <w:bookmarkEnd w:id="608"/>
      <w:bookmarkEnd w:id="609"/>
      <w:bookmarkEnd w:id="610"/>
      <w:bookmarkEnd w:id="611"/>
      <w:bookmarkEnd w:id="612"/>
      <w:bookmarkEnd w:id="613"/>
      <w:bookmarkEnd w:id="614"/>
      <w:bookmarkEnd w:id="615"/>
      <w:bookmarkEnd w:id="616"/>
    </w:p>
    <w:p w:rsidR="004843DB" w:rsidRPr="0062582F" w:rsidRDefault="004843DB" w:rsidP="004843DB">
      <w:pPr>
        <w:pStyle w:val="TabletextheadingCentred"/>
        <w:rPr>
          <w:szCs w:val="10"/>
        </w:rPr>
      </w:pPr>
      <w:r w:rsidRPr="0062582F">
        <w:t>($ thousand)</w:t>
      </w:r>
    </w:p>
    <w:tbl>
      <w:tblPr>
        <w:tblW w:w="8088" w:type="dxa"/>
        <w:tblInd w:w="43" w:type="dxa"/>
        <w:tblLayout w:type="fixed"/>
        <w:tblCellMar>
          <w:left w:w="43" w:type="dxa"/>
          <w:right w:w="43" w:type="dxa"/>
        </w:tblCellMar>
        <w:tblLook w:val="0000" w:firstRow="0" w:lastRow="0" w:firstColumn="0" w:lastColumn="0" w:noHBand="0" w:noVBand="0"/>
      </w:tblPr>
      <w:tblGrid>
        <w:gridCol w:w="5967"/>
        <w:gridCol w:w="1061"/>
        <w:gridCol w:w="1060"/>
      </w:tblGrid>
      <w:tr w:rsidR="004843DB" w:rsidRPr="0062582F" w:rsidTr="004843DB">
        <w:trPr>
          <w:cantSplit/>
        </w:trPr>
        <w:tc>
          <w:tcPr>
            <w:tcW w:w="5967" w:type="dxa"/>
            <w:tcBorders>
              <w:top w:val="single" w:sz="4" w:space="0" w:color="auto"/>
              <w:bottom w:val="single" w:sz="4" w:space="0" w:color="auto"/>
            </w:tcBorders>
          </w:tcPr>
          <w:p w:rsidR="004843DB" w:rsidRPr="0062582F" w:rsidRDefault="004843DB" w:rsidP="004843DB">
            <w:pPr>
              <w:pStyle w:val="Tabletext"/>
              <w:spacing w:before="20" w:after="20"/>
            </w:pPr>
          </w:p>
        </w:tc>
        <w:tc>
          <w:tcPr>
            <w:tcW w:w="1061" w:type="dxa"/>
            <w:tcBorders>
              <w:top w:val="single" w:sz="4" w:space="0" w:color="auto"/>
              <w:bottom w:val="single" w:sz="4" w:space="0" w:color="auto"/>
            </w:tcBorders>
            <w:shd w:val="clear" w:color="auto" w:fill="D9D9D9"/>
            <w:vAlign w:val="bottom"/>
          </w:tcPr>
          <w:p w:rsidR="004843DB" w:rsidRPr="0062582F" w:rsidRDefault="004843DB" w:rsidP="004843DB">
            <w:pPr>
              <w:pStyle w:val="Tabletextheading"/>
              <w:spacing w:before="20" w:after="20"/>
            </w:pPr>
            <w:r w:rsidRPr="0062582F">
              <w:t>2016</w:t>
            </w:r>
          </w:p>
        </w:tc>
        <w:tc>
          <w:tcPr>
            <w:tcW w:w="1060" w:type="dxa"/>
            <w:tcBorders>
              <w:top w:val="single" w:sz="4" w:space="0" w:color="auto"/>
              <w:bottom w:val="single" w:sz="4" w:space="0" w:color="auto"/>
            </w:tcBorders>
            <w:vAlign w:val="bottom"/>
          </w:tcPr>
          <w:p w:rsidR="004843DB" w:rsidRPr="0062582F" w:rsidRDefault="004843DB" w:rsidP="004843DB">
            <w:pPr>
              <w:pStyle w:val="Tabletextheading"/>
              <w:spacing w:before="20" w:after="20"/>
            </w:pPr>
            <w:r w:rsidRPr="0062582F">
              <w:t>2015</w:t>
            </w:r>
          </w:p>
        </w:tc>
      </w:tr>
      <w:tr w:rsidR="004843DB" w:rsidRPr="0062582F" w:rsidTr="004843DB">
        <w:trPr>
          <w:cantSplit/>
        </w:trPr>
        <w:tc>
          <w:tcPr>
            <w:tcW w:w="5967" w:type="dxa"/>
            <w:vAlign w:val="bottom"/>
          </w:tcPr>
          <w:p w:rsidR="004843DB" w:rsidRPr="0062582F" w:rsidRDefault="004843DB" w:rsidP="004843DB">
            <w:pPr>
              <w:pStyle w:val="Tabletext"/>
              <w:spacing w:before="20" w:after="20"/>
            </w:pPr>
            <w:r w:rsidRPr="0062582F">
              <w:t xml:space="preserve">Forgiveness or waiver of debt </w:t>
            </w:r>
            <w:r w:rsidRPr="0062582F">
              <w:rPr>
                <w:rFonts w:ascii="Arial" w:hAnsi="Arial"/>
                <w:vertAlign w:val="superscript"/>
              </w:rPr>
              <w:t>(ii)</w:t>
            </w:r>
          </w:p>
        </w:tc>
        <w:tc>
          <w:tcPr>
            <w:tcW w:w="1061" w:type="dxa"/>
            <w:shd w:val="clear" w:color="auto" w:fill="D9D9D9"/>
            <w:vAlign w:val="bottom"/>
          </w:tcPr>
          <w:p w:rsidR="004843DB" w:rsidRPr="0062582F" w:rsidRDefault="004843DB" w:rsidP="004843DB">
            <w:pPr>
              <w:pStyle w:val="TableofFigures"/>
              <w:spacing w:before="20" w:after="20"/>
            </w:pPr>
            <w:r w:rsidRPr="0062582F">
              <w:t>100</w:t>
            </w:r>
          </w:p>
        </w:tc>
        <w:tc>
          <w:tcPr>
            <w:tcW w:w="1060" w:type="dxa"/>
            <w:vAlign w:val="bottom"/>
          </w:tcPr>
          <w:p w:rsidR="004843DB" w:rsidRPr="0062582F" w:rsidRDefault="004843DB" w:rsidP="004843DB">
            <w:pPr>
              <w:pStyle w:val="TableofFigures"/>
              <w:spacing w:before="20" w:after="20"/>
            </w:pPr>
            <w:r w:rsidRPr="0062582F">
              <w:t>..</w:t>
            </w:r>
          </w:p>
        </w:tc>
      </w:tr>
      <w:tr w:rsidR="004843DB" w:rsidRPr="0062582F" w:rsidTr="004843DB">
        <w:trPr>
          <w:cantSplit/>
        </w:trPr>
        <w:tc>
          <w:tcPr>
            <w:tcW w:w="5967" w:type="dxa"/>
            <w:vAlign w:val="bottom"/>
          </w:tcPr>
          <w:p w:rsidR="004843DB" w:rsidRPr="0062582F" w:rsidRDefault="004843DB" w:rsidP="004843DB">
            <w:pPr>
              <w:pStyle w:val="Tabletext"/>
              <w:spacing w:before="20" w:after="20"/>
            </w:pPr>
            <w:r w:rsidRPr="0062582F">
              <w:t xml:space="preserve">Compensation for economic loss </w:t>
            </w:r>
            <w:r w:rsidRPr="0062582F">
              <w:rPr>
                <w:rFonts w:ascii="Arial" w:hAnsi="Arial"/>
                <w:vertAlign w:val="superscript"/>
              </w:rPr>
              <w:t>(iii)</w:t>
            </w:r>
          </w:p>
        </w:tc>
        <w:tc>
          <w:tcPr>
            <w:tcW w:w="1061" w:type="dxa"/>
            <w:shd w:val="clear" w:color="auto" w:fill="D9D9D9"/>
            <w:vAlign w:val="bottom"/>
          </w:tcPr>
          <w:p w:rsidR="004843DB" w:rsidRPr="0062582F" w:rsidRDefault="004843DB" w:rsidP="004843DB">
            <w:pPr>
              <w:pStyle w:val="TableofFigures"/>
              <w:spacing w:before="20" w:after="20"/>
            </w:pPr>
            <w:r w:rsidRPr="0062582F">
              <w:t>56</w:t>
            </w:r>
          </w:p>
        </w:tc>
        <w:tc>
          <w:tcPr>
            <w:tcW w:w="1060" w:type="dxa"/>
            <w:vAlign w:val="bottom"/>
          </w:tcPr>
          <w:p w:rsidR="004843DB" w:rsidRPr="0062582F" w:rsidRDefault="004843DB" w:rsidP="004843DB">
            <w:pPr>
              <w:pStyle w:val="TableofFigures"/>
              <w:spacing w:before="20" w:after="20"/>
            </w:pPr>
            <w:r w:rsidRPr="0062582F">
              <w:t>..</w:t>
            </w:r>
          </w:p>
        </w:tc>
      </w:tr>
      <w:tr w:rsidR="004843DB" w:rsidRPr="0062582F" w:rsidTr="004843DB">
        <w:trPr>
          <w:cantSplit/>
        </w:trPr>
        <w:tc>
          <w:tcPr>
            <w:tcW w:w="5967" w:type="dxa"/>
            <w:vAlign w:val="bottom"/>
          </w:tcPr>
          <w:p w:rsidR="004843DB" w:rsidRPr="0062582F" w:rsidDel="00B344F7" w:rsidRDefault="004843DB" w:rsidP="004843DB">
            <w:pPr>
              <w:pStyle w:val="Tabletext"/>
              <w:spacing w:before="20" w:after="20"/>
            </w:pPr>
            <w:r w:rsidRPr="0062582F">
              <w:t xml:space="preserve">Property damage payments </w:t>
            </w:r>
            <w:r w:rsidRPr="0062582F">
              <w:rPr>
                <w:rFonts w:ascii="Arial" w:hAnsi="Arial"/>
                <w:vertAlign w:val="superscript"/>
              </w:rPr>
              <w:t>(iv)</w:t>
            </w:r>
          </w:p>
        </w:tc>
        <w:tc>
          <w:tcPr>
            <w:tcW w:w="1061" w:type="dxa"/>
            <w:shd w:val="clear" w:color="auto" w:fill="D9D9D9"/>
            <w:vAlign w:val="bottom"/>
          </w:tcPr>
          <w:p w:rsidR="004843DB" w:rsidRPr="0062582F" w:rsidRDefault="004843DB" w:rsidP="004843DB">
            <w:pPr>
              <w:pStyle w:val="TableofFigures"/>
              <w:spacing w:before="20" w:after="20"/>
            </w:pPr>
          </w:p>
        </w:tc>
        <w:tc>
          <w:tcPr>
            <w:tcW w:w="1060" w:type="dxa"/>
            <w:vAlign w:val="bottom"/>
          </w:tcPr>
          <w:p w:rsidR="004843DB" w:rsidRPr="0062582F" w:rsidRDefault="004843DB" w:rsidP="004843DB">
            <w:pPr>
              <w:pStyle w:val="TableofFigures"/>
              <w:spacing w:before="20" w:after="20"/>
            </w:pPr>
            <w:r w:rsidRPr="0062582F">
              <w:t>16</w:t>
            </w:r>
          </w:p>
        </w:tc>
      </w:tr>
      <w:tr w:rsidR="004843DB" w:rsidRPr="0062582F" w:rsidTr="004843DB">
        <w:trPr>
          <w:cantSplit/>
        </w:trPr>
        <w:tc>
          <w:tcPr>
            <w:tcW w:w="5967" w:type="dxa"/>
            <w:tcBorders>
              <w:top w:val="single" w:sz="4" w:space="0" w:color="auto"/>
              <w:bottom w:val="single" w:sz="12" w:space="0" w:color="auto"/>
            </w:tcBorders>
            <w:vAlign w:val="bottom"/>
          </w:tcPr>
          <w:p w:rsidR="004843DB" w:rsidRPr="0062582F" w:rsidRDefault="004843DB" w:rsidP="004843DB">
            <w:pPr>
              <w:pStyle w:val="Tabletext"/>
              <w:spacing w:before="20" w:after="20"/>
            </w:pPr>
            <w:r w:rsidRPr="0062582F">
              <w:t>Total ex gratia expenses</w:t>
            </w:r>
            <w:r w:rsidRPr="0062582F">
              <w:rPr>
                <w:vertAlign w:val="superscript"/>
              </w:rPr>
              <w:t xml:space="preserve"> </w:t>
            </w:r>
            <w:r w:rsidRPr="0062582F">
              <w:rPr>
                <w:rFonts w:ascii="Arial" w:hAnsi="Arial"/>
                <w:vertAlign w:val="superscript"/>
              </w:rPr>
              <w:t>(v)</w:t>
            </w:r>
          </w:p>
        </w:tc>
        <w:tc>
          <w:tcPr>
            <w:tcW w:w="1061" w:type="dxa"/>
            <w:tcBorders>
              <w:top w:val="single" w:sz="4" w:space="0" w:color="auto"/>
              <w:bottom w:val="single" w:sz="12" w:space="0" w:color="auto"/>
            </w:tcBorders>
            <w:shd w:val="clear" w:color="auto" w:fill="D9D9D9"/>
            <w:vAlign w:val="bottom"/>
          </w:tcPr>
          <w:p w:rsidR="004843DB" w:rsidRPr="0062582F" w:rsidRDefault="004843DB" w:rsidP="004843DB">
            <w:pPr>
              <w:pStyle w:val="TableofFigures"/>
              <w:spacing w:before="20" w:after="20"/>
            </w:pPr>
            <w:r w:rsidRPr="0062582F">
              <w:t>156</w:t>
            </w:r>
          </w:p>
        </w:tc>
        <w:tc>
          <w:tcPr>
            <w:tcW w:w="1060" w:type="dxa"/>
            <w:tcBorders>
              <w:top w:val="single" w:sz="4" w:space="0" w:color="auto"/>
              <w:bottom w:val="single" w:sz="12" w:space="0" w:color="auto"/>
            </w:tcBorders>
            <w:vAlign w:val="bottom"/>
          </w:tcPr>
          <w:p w:rsidR="004843DB" w:rsidRPr="0062582F" w:rsidRDefault="004843DB" w:rsidP="004843DB">
            <w:pPr>
              <w:pStyle w:val="TableofFigures"/>
              <w:spacing w:before="20" w:after="20"/>
            </w:pPr>
            <w:r w:rsidRPr="0062582F">
              <w:t>16</w:t>
            </w:r>
          </w:p>
        </w:tc>
      </w:tr>
    </w:tbl>
    <w:p w:rsidR="004843DB" w:rsidRPr="0062582F" w:rsidRDefault="004843DB" w:rsidP="004843DB">
      <w:pPr>
        <w:pStyle w:val="Notes"/>
      </w:pPr>
      <w:r w:rsidRPr="0062582F">
        <w:t>Notes:</w:t>
      </w:r>
    </w:p>
    <w:p w:rsidR="004843DB" w:rsidRPr="0062582F" w:rsidRDefault="004843DB" w:rsidP="004843DB">
      <w:pPr>
        <w:pStyle w:val="Notes"/>
      </w:pPr>
      <w:r w:rsidRPr="0062582F">
        <w:t>(i)</w:t>
      </w:r>
      <w:r w:rsidRPr="0062582F">
        <w:tab/>
        <w:t>Includes ex gratia expenses for both individual items and in aggregate that are greater than or equal to $5 000.</w:t>
      </w:r>
    </w:p>
    <w:p w:rsidR="004843DB" w:rsidRPr="0062582F" w:rsidRDefault="004843DB" w:rsidP="004843DB">
      <w:pPr>
        <w:pStyle w:val="Notes"/>
      </w:pPr>
      <w:r w:rsidRPr="0062582F">
        <w:t>(ii)</w:t>
      </w:r>
      <w:r w:rsidRPr="0062582F">
        <w:tab/>
        <w:t xml:space="preserve">Forgiveness of loans to several organisations under the </w:t>
      </w:r>
      <w:r w:rsidR="005A4BB0">
        <w:t>‘</w:t>
      </w:r>
      <w:r w:rsidRPr="0062582F">
        <w:t>Upgrade Your Technology</w:t>
      </w:r>
      <w:r w:rsidR="005A4BB0">
        <w:t>’</w:t>
      </w:r>
      <w:r w:rsidRPr="0062582F">
        <w:t xml:space="preserve"> program, due to excessive hardship from severe flood damage in March </w:t>
      </w:r>
      <w:r w:rsidRPr="0062582F">
        <w:rPr>
          <w:color w:val="0000FF"/>
          <w:szCs w:val="15"/>
        </w:rPr>
        <w:t>[Refer to commentary – Ex gratia expenses for more guidance on write</w:t>
      </w:r>
      <w:r w:rsidR="005A4BB0">
        <w:rPr>
          <w:color w:val="0000FF"/>
          <w:szCs w:val="15"/>
        </w:rPr>
        <w:noBreakHyphen/>
      </w:r>
      <w:r w:rsidRPr="0062582F">
        <w:rPr>
          <w:color w:val="0000FF"/>
          <w:szCs w:val="15"/>
        </w:rPr>
        <w:t>offs]</w:t>
      </w:r>
      <w:r w:rsidRPr="0062582F">
        <w:rPr>
          <w:szCs w:val="15"/>
        </w:rPr>
        <w:t>.</w:t>
      </w:r>
    </w:p>
    <w:p w:rsidR="004843DB" w:rsidRPr="0062582F" w:rsidRDefault="004843DB" w:rsidP="004843DB">
      <w:pPr>
        <w:pStyle w:val="Notes"/>
      </w:pPr>
      <w:r w:rsidRPr="0062582F">
        <w:t>(iii)</w:t>
      </w:r>
      <w:r w:rsidRPr="0062582F">
        <w:tab/>
        <w:t>Payment to a commercial fishing operator who assisted authorities in a sea search and rescue.</w:t>
      </w:r>
    </w:p>
    <w:p w:rsidR="004843DB" w:rsidRPr="0062582F" w:rsidRDefault="004843DB" w:rsidP="004843DB">
      <w:pPr>
        <w:pStyle w:val="Notes"/>
      </w:pPr>
      <w:r w:rsidRPr="0062582F">
        <w:t>(iv)</w:t>
      </w:r>
      <w:r w:rsidRPr="0062582F">
        <w:tab/>
        <w:t>Payments for water damage to properties adjacent to the Victorian Highway site due to burst pipes in the March storms (not being in settlement of a legal liability).</w:t>
      </w:r>
    </w:p>
    <w:p w:rsidR="004843DB" w:rsidRPr="0062582F" w:rsidRDefault="004843DB" w:rsidP="004843DB">
      <w:pPr>
        <w:pStyle w:val="Notes"/>
        <w:numPr>
          <w:ilvl w:val="0"/>
          <w:numId w:val="19"/>
        </w:numPr>
        <w:tabs>
          <w:tab w:val="clear" w:pos="454"/>
          <w:tab w:val="clear" w:pos="720"/>
          <w:tab w:val="num" w:pos="284"/>
          <w:tab w:val="num" w:pos="2280"/>
        </w:tabs>
        <w:ind w:left="284" w:hanging="295"/>
        <w:rPr>
          <w:sz w:val="15"/>
        </w:rPr>
        <w:sectPr w:rsidR="004843DB" w:rsidRPr="0062582F" w:rsidSect="00190A01">
          <w:headerReference w:type="default" r:id="rId344"/>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Notes"/>
      </w:pPr>
      <w:r w:rsidRPr="0062582F">
        <w:br w:type="column"/>
        <w:t>(v)</w:t>
      </w:r>
      <w:r w:rsidRPr="0062582F">
        <w:tab/>
        <w:t xml:space="preserve">The total for ex gratia expenses is also presented in </w:t>
      </w:r>
      <w:r w:rsidR="005A4BB0">
        <w:t>‘</w:t>
      </w:r>
      <w:r w:rsidRPr="0062582F">
        <w:t>other operating expenses</w:t>
      </w:r>
      <w:r w:rsidR="005A4BB0">
        <w:t>’</w:t>
      </w:r>
      <w:r w:rsidRPr="0062582F">
        <w:t xml:space="preserve"> of Note 5 </w:t>
      </w:r>
      <w:r w:rsidRPr="0062582F">
        <w:rPr>
          <w:i w:val="0"/>
        </w:rPr>
        <w:t>Expenses from transactions</w:t>
      </w:r>
      <w:r w:rsidRPr="0062582F">
        <w:t xml:space="preserve">. </w:t>
      </w:r>
    </w:p>
    <w:p w:rsidR="004843DB" w:rsidRPr="0062582F" w:rsidRDefault="004843DB" w:rsidP="004843DB">
      <w:pPr>
        <w:pStyle w:val="Notes"/>
      </w:pPr>
    </w:p>
    <w:p w:rsidR="004843DB" w:rsidRPr="0062582F" w:rsidRDefault="004843DB" w:rsidP="004843DB">
      <w:pPr>
        <w:pStyle w:val="SmallLine"/>
      </w:pPr>
      <w:r w:rsidRPr="0062582F">
        <w:br w:type="column"/>
      </w:r>
    </w:p>
    <w:p w:rsidR="004843DB" w:rsidRPr="0062582F" w:rsidRDefault="004843DB" w:rsidP="004843DB">
      <w:pPr>
        <w:pStyle w:val="CommentaryHeading"/>
      </w:pPr>
      <w:bookmarkStart w:id="617" w:name="_Toc163448951"/>
      <w:r w:rsidRPr="0062582F">
        <w:t xml:space="preserve">Commentary – </w:t>
      </w:r>
      <w:bookmarkEnd w:id="617"/>
      <w:r w:rsidRPr="0062582F">
        <w:t>Ex gratia expenses</w:t>
      </w:r>
    </w:p>
    <w:p w:rsidR="004843DB" w:rsidRPr="0062582F"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rPr>
          <w:lang w:val="en-AU"/>
        </w:rPr>
        <w:br/>
        <w:t>FRD 11A</w:t>
      </w:r>
      <w:r w:rsidRPr="0062582F">
        <w:rPr>
          <w:lang w:val="en-AU"/>
        </w:rPr>
        <w:br/>
        <w:t>FMA.s3</w:t>
      </w:r>
    </w:p>
    <w:p w:rsidR="004843DB" w:rsidRPr="0062582F" w:rsidRDefault="004843DB" w:rsidP="004843DB">
      <w:pPr>
        <w:pStyle w:val="CommentaryText"/>
        <w:pBdr>
          <w:top w:val="none" w:sz="0" w:space="0" w:color="auto"/>
          <w:bottom w:val="none" w:sz="0" w:space="0" w:color="auto"/>
        </w:pBdr>
      </w:pPr>
      <w:r w:rsidRPr="0062582F">
        <w:br w:type="column"/>
        <w:t xml:space="preserve">The disclosure of ex gratia expenses is required for all entities that are defined as either a public body or a department under section 3 of the </w:t>
      </w:r>
      <w:r w:rsidRPr="0062582F">
        <w:rPr>
          <w:i/>
        </w:rPr>
        <w:t>Financial Management Act</w:t>
      </w:r>
      <w:r w:rsidRPr="0062582F">
        <w:t xml:space="preserve"> </w:t>
      </w:r>
      <w:r w:rsidRPr="0062582F">
        <w:rPr>
          <w:i/>
        </w:rPr>
        <w:t>1994</w:t>
      </w:r>
      <w:r w:rsidRPr="0062582F">
        <w:t>. Public bodies include the following:</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public statutory authority; </w:t>
      </w:r>
    </w:p>
    <w:p w:rsidR="004843DB" w:rsidRPr="0062582F" w:rsidRDefault="004843DB" w:rsidP="004843DB">
      <w:pPr>
        <w:pStyle w:val="CommentaryTextIndent"/>
        <w:pBdr>
          <w:top w:val="none" w:sz="0" w:space="0" w:color="auto"/>
          <w:bottom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r w:rsidRPr="0062582F">
        <w:t>(b)</w:t>
      </w:r>
      <w:r w:rsidRPr="0062582F">
        <w:tab/>
        <w:t xml:space="preserve">a State business corporation or State body within the meaning of the </w:t>
      </w:r>
      <w:r w:rsidRPr="0062582F">
        <w:rPr>
          <w:i/>
        </w:rPr>
        <w:t>State Owned Enterprises Act 1992</w:t>
      </w:r>
      <w:r w:rsidRPr="0062582F">
        <w:t>;</w:t>
      </w:r>
    </w:p>
    <w:p w:rsidR="004843DB" w:rsidRPr="0062582F" w:rsidRDefault="004843DB" w:rsidP="004843DB">
      <w:pPr>
        <w:pStyle w:val="CommentaryTextIndent"/>
        <w:pBdr>
          <w:top w:val="none" w:sz="0" w:space="0" w:color="auto"/>
          <w:bottom w:val="none" w:sz="0" w:space="0" w:color="auto"/>
        </w:pBdr>
      </w:pPr>
      <w:r w:rsidRPr="0062582F">
        <w:br w:type="column"/>
        <w:t>(ba)</w:t>
      </w:r>
      <w:r w:rsidRPr="0062582F">
        <w:tab/>
        <w:t>Court Services Victoria;</w:t>
      </w:r>
    </w:p>
    <w:p w:rsidR="004843DB" w:rsidRPr="0062582F" w:rsidRDefault="004843DB" w:rsidP="004843DB">
      <w:pPr>
        <w:pStyle w:val="CommentaryTextIndent"/>
        <w:pBdr>
          <w:top w:val="none" w:sz="0" w:space="0" w:color="auto"/>
          <w:bottom w:val="none" w:sz="0" w:space="0" w:color="auto"/>
        </w:pBdr>
      </w:pPr>
      <w:r w:rsidRPr="0062582F">
        <w:t>(c)</w:t>
      </w:r>
      <w:r w:rsidRPr="0062582F">
        <w:tab/>
        <w:t>a body, office or trust body that is:</w:t>
      </w:r>
    </w:p>
    <w:p w:rsidR="004843DB" w:rsidRPr="0062582F" w:rsidRDefault="004843DB" w:rsidP="004843DB">
      <w:pPr>
        <w:pStyle w:val="CommentaryTextIndent2"/>
        <w:pBdr>
          <w:top w:val="none" w:sz="0" w:space="0" w:color="auto"/>
          <w:bottom w:val="none" w:sz="0" w:space="0" w:color="auto"/>
        </w:pBdr>
      </w:pPr>
      <w:r w:rsidRPr="0062582F">
        <w:tab/>
        <w:t>(i)</w:t>
      </w:r>
      <w:r w:rsidRPr="0062582F">
        <w:tab/>
        <w:t xml:space="preserve">established by or under an Act or enactment; or </w:t>
      </w:r>
    </w:p>
    <w:p w:rsidR="004843DB" w:rsidRPr="0062582F" w:rsidRDefault="004843DB" w:rsidP="004843DB">
      <w:pPr>
        <w:pStyle w:val="CommentaryTextIndent2"/>
        <w:pBdr>
          <w:top w:val="none" w:sz="0" w:space="0" w:color="auto"/>
          <w:bottom w:val="none" w:sz="0" w:space="0" w:color="auto"/>
        </w:pBdr>
      </w:pPr>
      <w:r w:rsidRPr="0062582F">
        <w:tab/>
        <w:t>(ii)</w:t>
      </w:r>
      <w:r w:rsidRPr="0062582F">
        <w:tab/>
        <w:t>established by the Governor in Council or a Minister;</w:t>
      </w:r>
    </w:p>
    <w:p w:rsidR="004843DB" w:rsidRPr="0062582F" w:rsidRDefault="004843DB" w:rsidP="004843DB">
      <w:pPr>
        <w:pStyle w:val="CommentaryText"/>
        <w:pBdr>
          <w:top w:val="none" w:sz="0" w:space="0" w:color="auto"/>
          <w:bottom w:val="none" w:sz="0" w:space="0" w:color="auto"/>
        </w:pBdr>
        <w:rPr>
          <w:i/>
        </w:rPr>
      </w:pPr>
      <w:r w:rsidRPr="0062582F">
        <w:t xml:space="preserve">and that is declared by the Minister, by notice published in the Government Gazette, to be a body or office to which Part 7 of </w:t>
      </w:r>
      <w:r w:rsidRPr="0062582F">
        <w:rPr>
          <w:i/>
        </w:rPr>
        <w:t>Financial Management Act 1994</w:t>
      </w:r>
      <w:r w:rsidRPr="0062582F">
        <w:t xml:space="preserve"> applies</w:t>
      </w:r>
      <w:r w:rsidRPr="0062582F">
        <w:rPr>
          <w:i/>
        </w:rPr>
        <w:t>.</w:t>
      </w:r>
    </w:p>
    <w:p w:rsidR="004843DB" w:rsidRPr="0062582F" w:rsidRDefault="004843DB" w:rsidP="004843DB">
      <w:pPr>
        <w:pStyle w:val="CommentaryText"/>
        <w:pBdr>
          <w:top w:val="none" w:sz="0" w:space="0" w:color="auto"/>
          <w:bottom w:val="none" w:sz="0" w:space="0" w:color="auto"/>
        </w:pBdr>
      </w:pPr>
      <w:r w:rsidRPr="0062582F">
        <w:t xml:space="preserve">Departments should include information on ex gratia expenses (greater or equal to $5 000 or material in nature) with a description of the nature and purpose of the expenses, together with amounts written off that are considered as ex gratia expenses. </w:t>
      </w:r>
    </w:p>
    <w:p w:rsidR="004843DB" w:rsidRPr="0062582F" w:rsidRDefault="004843DB" w:rsidP="004843DB">
      <w:pPr>
        <w:pStyle w:val="CommentaryHeading1"/>
        <w:pBdr>
          <w:top w:val="none" w:sz="0" w:space="0" w:color="auto"/>
          <w:bottom w:val="none" w:sz="0" w:space="0" w:color="auto"/>
        </w:pBdr>
      </w:pPr>
      <w:r w:rsidRPr="0062582F">
        <w:t xml:space="preserve">Materiality threhold of $5 000 for ex gratia expenses disclosure </w:t>
      </w:r>
    </w:p>
    <w:p w:rsidR="004843DB" w:rsidRPr="0062582F" w:rsidRDefault="004843DB" w:rsidP="004843DB">
      <w:pPr>
        <w:pStyle w:val="CommentaryText"/>
        <w:pBdr>
          <w:top w:val="none" w:sz="0" w:space="0" w:color="auto"/>
          <w:bottom w:val="none" w:sz="0" w:space="0" w:color="auto"/>
        </w:pBdr>
      </w:pPr>
      <w:r w:rsidRPr="0062582F">
        <w:t>An entity shall apply the ex gratia expenses materiality threshold of $5 000 to both individual items and in aggregate, unless there are factors (e.g. material by nature) which make an expense item of less than $5 000 material in the circumstances.</w:t>
      </w:r>
    </w:p>
    <w:p w:rsidR="004843DB" w:rsidRPr="0062582F" w:rsidRDefault="004843DB" w:rsidP="004843DB">
      <w:pPr>
        <w:pStyle w:val="CommentaryHeading2"/>
        <w:rPr>
          <w:i w:val="0"/>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CommentaryHeading2"/>
        <w:pBdr>
          <w:bottom w:val="single" w:sz="4" w:space="1" w:color="0000FF"/>
        </w:pBdr>
      </w:pPr>
      <w:r w:rsidRPr="0062582F">
        <w:rPr>
          <w:i w:val="0"/>
        </w:rPr>
        <w:br w:type="column"/>
        <w:t>Write</w:t>
      </w:r>
      <w:r w:rsidR="005A4BB0">
        <w:rPr>
          <w:i w:val="0"/>
        </w:rPr>
        <w:noBreakHyphen/>
      </w:r>
      <w:r w:rsidRPr="0062582F">
        <w:rPr>
          <w:i w:val="0"/>
        </w:rPr>
        <w:t>offs captured as ex gratia expenses</w:t>
      </w:r>
    </w:p>
    <w:p w:rsidR="004843DB" w:rsidRPr="0062582F" w:rsidRDefault="004843DB" w:rsidP="004843DB">
      <w:pPr>
        <w:pStyle w:val="CommentaryText"/>
        <w:pBdr>
          <w:top w:val="none" w:sz="0" w:space="0" w:color="auto"/>
        </w:pBdr>
      </w:pPr>
      <w:r w:rsidRPr="0062582F">
        <w:t>To determine whether a write</w:t>
      </w:r>
      <w:r w:rsidR="005A4BB0">
        <w:noBreakHyphen/>
      </w:r>
      <w:r w:rsidRPr="0062582F">
        <w:t xml:space="preserve">off meets the scope of </w:t>
      </w:r>
      <w:r w:rsidR="005A4BB0">
        <w:t>‘</w:t>
      </w:r>
      <w:r w:rsidRPr="0062582F">
        <w:t>ex gratia</w:t>
      </w:r>
      <w:r w:rsidR="005A4BB0">
        <w:t>’</w:t>
      </w:r>
      <w:r w:rsidRPr="0062582F">
        <w:t xml:space="preserve"> under FRD 11A </w:t>
      </w:r>
      <w:r w:rsidRPr="0062582F">
        <w:rPr>
          <w:i/>
        </w:rPr>
        <w:t xml:space="preserve">Disclosure of Ex gratia Expenses, </w:t>
      </w:r>
      <w:r w:rsidRPr="0062582F">
        <w:t>it is important to understand the underlying purpose of the write</w:t>
      </w:r>
      <w:r w:rsidR="005A4BB0">
        <w:noBreakHyphen/>
      </w:r>
      <w:r w:rsidRPr="0062582F">
        <w:t>off.</w:t>
      </w:r>
    </w:p>
    <w:p w:rsidR="004843DB" w:rsidRPr="0062582F" w:rsidRDefault="004843DB" w:rsidP="004843DB">
      <w:pPr>
        <w:pStyle w:val="CommentaryText"/>
        <w:pBdr>
          <w:top w:val="none" w:sz="0" w:space="0" w:color="auto"/>
        </w:pBdr>
      </w:pPr>
      <w:r w:rsidRPr="0062582F">
        <w:t>For trade receivable write</w:t>
      </w:r>
      <w:r w:rsidR="005A4BB0">
        <w:noBreakHyphen/>
      </w:r>
      <w:r w:rsidRPr="0062582F">
        <w:t xml:space="preserve">offs, while the reduction in economic benefits (i.e. receivable) is driven by AASB 136 </w:t>
      </w:r>
      <w:r w:rsidRPr="0062582F">
        <w:rPr>
          <w:i/>
        </w:rPr>
        <w:t>Impairment of Assets,</w:t>
      </w:r>
      <w:r w:rsidRPr="0062582F">
        <w:t xml:space="preserve"> the entity needs to consider whether there is still an intention to pursue the recovery of the receivables from the customer. </w:t>
      </w:r>
    </w:p>
    <w:p w:rsidR="004843DB" w:rsidRPr="0062582F" w:rsidRDefault="004843DB" w:rsidP="004843DB">
      <w:pPr>
        <w:pStyle w:val="CommentaryText"/>
        <w:pBdr>
          <w:top w:val="none" w:sz="0" w:space="0" w:color="auto"/>
        </w:pBdr>
      </w:pPr>
      <w:r w:rsidRPr="0062582F">
        <w:t>If the entity writes off a trade receivable but still has and intends to keep the legal entitlement to payment for services rendered, a write</w:t>
      </w:r>
      <w:r w:rsidR="005A4BB0">
        <w:noBreakHyphen/>
      </w:r>
      <w:r w:rsidRPr="0062582F">
        <w:t>off to debtors under such cicumstances does not equate to a waiver of the debt. In this instance, trade receivable write</w:t>
      </w:r>
      <w:r w:rsidR="005A4BB0">
        <w:noBreakHyphen/>
      </w:r>
      <w:r w:rsidRPr="0062582F">
        <w:t xml:space="preserve">offs would not be considered as </w:t>
      </w:r>
      <w:r w:rsidR="005A4BB0">
        <w:t>‘</w:t>
      </w:r>
      <w:r w:rsidRPr="0062582F">
        <w:t>ex gratia</w:t>
      </w:r>
      <w:r w:rsidR="005A4BB0">
        <w:t>’</w:t>
      </w:r>
      <w:r w:rsidRPr="0062582F">
        <w:t xml:space="preserve"> expenses. </w:t>
      </w:r>
    </w:p>
    <w:p w:rsidR="004843DB" w:rsidRPr="0062582F" w:rsidRDefault="004843DB" w:rsidP="004843DB">
      <w:pPr>
        <w:pStyle w:val="CommentaryText"/>
        <w:pBdr>
          <w:top w:val="none" w:sz="0" w:space="0" w:color="auto"/>
        </w:pBdr>
      </w:pPr>
      <w:r w:rsidRPr="0062582F">
        <w:t xml:space="preserve">Conversely, if the entity has voluntarily decided to waive the legal entitlement to the payment, it is reasonable to consider this as a </w:t>
      </w:r>
      <w:r w:rsidR="005A4BB0">
        <w:t>‘</w:t>
      </w:r>
      <w:r w:rsidRPr="0062582F">
        <w:t>benefit</w:t>
      </w:r>
      <w:r w:rsidR="005A4BB0">
        <w:t>’</w:t>
      </w:r>
      <w:r w:rsidRPr="0062582F">
        <w:t xml:space="preserve"> to the debtor, and therefore such a write</w:t>
      </w:r>
      <w:r w:rsidR="005A4BB0">
        <w:noBreakHyphen/>
      </w:r>
      <w:r w:rsidRPr="0062582F">
        <w:t xml:space="preserve">off should be disclosed as </w:t>
      </w:r>
      <w:r w:rsidR="005A4BB0">
        <w:t>‘</w:t>
      </w:r>
      <w:r w:rsidRPr="0062582F">
        <w:t>ex gratia</w:t>
      </w:r>
      <w:r w:rsidR="005A4BB0">
        <w:t>’</w:t>
      </w:r>
      <w:r w:rsidRPr="0062582F">
        <w:t xml:space="preserve"> expenses for reporting purposes under FRD 11A. </w:t>
      </w:r>
    </w:p>
    <w:p w:rsidR="004843DB" w:rsidRPr="0062582F" w:rsidRDefault="004843DB" w:rsidP="004843DB">
      <w:bookmarkStart w:id="618" w:name="_Toc104694463"/>
      <w:bookmarkStart w:id="619" w:name="_Toc132689529"/>
      <w:bookmarkStart w:id="620" w:name="_Toc133138210"/>
      <w:bookmarkStart w:id="621" w:name="_Toc133203928"/>
      <w:bookmarkStart w:id="622" w:name="_Toc154475782"/>
      <w:bookmarkStart w:id="623" w:name="_Toc162327235"/>
      <w:bookmarkStart w:id="624" w:name="_Toc162327951"/>
      <w:bookmarkStart w:id="625" w:name="_Toc192562764"/>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SmallLine"/>
      </w:pPr>
    </w:p>
    <w:p w:rsidR="004843DB" w:rsidRPr="0062582F" w:rsidRDefault="004843DB" w:rsidP="004843DB">
      <w:r w:rsidRPr="0062582F">
        <w:br w:type="column"/>
      </w:r>
      <w:bookmarkStart w:id="626" w:name="_Toc332019496"/>
    </w:p>
    <w:p w:rsidR="004843DB" w:rsidRPr="0062582F" w:rsidRDefault="004843DB" w:rsidP="004843DB">
      <w:pPr>
        <w:pStyle w:val="NoteHeading"/>
      </w:pPr>
      <w:r w:rsidRPr="0062582F">
        <w:br w:type="column"/>
      </w:r>
      <w:r w:rsidRPr="0062582F">
        <w:br w:type="column"/>
      </w:r>
      <w:bookmarkStart w:id="627" w:name="_Toc448157217"/>
      <w:r w:rsidRPr="0062582F">
        <w:t>Note 38.</w:t>
      </w:r>
      <w:r w:rsidRPr="0062582F">
        <w:tab/>
        <w:t>Annotated income agreements</w:t>
      </w:r>
      <w:bookmarkEnd w:id="618"/>
      <w:bookmarkEnd w:id="619"/>
      <w:bookmarkEnd w:id="620"/>
      <w:bookmarkEnd w:id="621"/>
      <w:bookmarkEnd w:id="622"/>
      <w:bookmarkEnd w:id="623"/>
      <w:bookmarkEnd w:id="624"/>
      <w:bookmarkEnd w:id="625"/>
      <w:bookmarkEnd w:id="626"/>
      <w:bookmarkEnd w:id="627"/>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rPr>
          <w:lang w:val="en-AU"/>
        </w:rPr>
      </w:pPr>
      <w:r w:rsidRPr="0062582F">
        <w:t>FMA</w:t>
      </w:r>
      <w:r w:rsidRPr="0062582F">
        <w:rPr>
          <w:lang w:val="en-AU"/>
        </w:rPr>
        <w:t>.s29</w:t>
      </w:r>
    </w:p>
    <w:p w:rsidR="004843DB" w:rsidRPr="0062582F" w:rsidRDefault="004843DB" w:rsidP="004843DB">
      <w:pPr>
        <w:rPr>
          <w:i/>
          <w:iCs/>
        </w:rPr>
      </w:pPr>
      <w:r w:rsidRPr="0062582F">
        <w:br w:type="column"/>
        <w:t xml:space="preserve">The following is a listing of the </w:t>
      </w:r>
      <w:r w:rsidRPr="0062582F">
        <w:rPr>
          <w:i/>
        </w:rPr>
        <w:t>Financial Management Act 1994</w:t>
      </w:r>
      <w:r w:rsidRPr="0062582F">
        <w:t xml:space="preserve"> Section 29 annotated income agreements approved by the Treasurer:</w:t>
      </w:r>
    </w:p>
    <w:p w:rsidR="004843DB" w:rsidRPr="0062582F" w:rsidRDefault="004843DB" w:rsidP="004843DB">
      <w:pPr>
        <w:pStyle w:val="million"/>
        <w:rPr>
          <w:szCs w:val="10"/>
        </w:rPr>
      </w:pPr>
      <w:r w:rsidRPr="0062582F">
        <w:t>($ thousand)</w:t>
      </w:r>
    </w:p>
    <w:tbl>
      <w:tblPr>
        <w:tblW w:w="8143" w:type="dxa"/>
        <w:tblLayout w:type="fixed"/>
        <w:tblCellMar>
          <w:left w:w="43" w:type="dxa"/>
          <w:right w:w="43" w:type="dxa"/>
        </w:tblCellMar>
        <w:tblLook w:val="0000" w:firstRow="0" w:lastRow="0" w:firstColumn="0" w:lastColumn="0" w:noHBand="0" w:noVBand="0"/>
      </w:tblPr>
      <w:tblGrid>
        <w:gridCol w:w="6253"/>
        <w:gridCol w:w="900"/>
        <w:gridCol w:w="990"/>
      </w:tblGrid>
      <w:tr w:rsidR="004843DB" w:rsidRPr="0062582F" w:rsidTr="004843DB">
        <w:trPr>
          <w:cantSplit/>
          <w:trHeight w:val="20"/>
        </w:trPr>
        <w:tc>
          <w:tcPr>
            <w:tcW w:w="6253" w:type="dxa"/>
            <w:tcBorders>
              <w:top w:val="single" w:sz="4" w:space="0" w:color="auto"/>
            </w:tcBorders>
          </w:tcPr>
          <w:p w:rsidR="004843DB" w:rsidRPr="0062582F" w:rsidRDefault="004843DB" w:rsidP="004843DB">
            <w:pPr>
              <w:pStyle w:val="TabletextheadingCentred"/>
            </w:pPr>
          </w:p>
        </w:tc>
        <w:tc>
          <w:tcPr>
            <w:tcW w:w="1890" w:type="dxa"/>
            <w:gridSpan w:val="2"/>
            <w:tcBorders>
              <w:top w:val="single" w:sz="4" w:space="0" w:color="auto"/>
              <w:bottom w:val="single" w:sz="4" w:space="0" w:color="auto"/>
            </w:tcBorders>
          </w:tcPr>
          <w:p w:rsidR="004843DB" w:rsidRPr="0062582F" w:rsidRDefault="004843DB" w:rsidP="004843DB">
            <w:pPr>
              <w:pStyle w:val="TabletextheadingCentred"/>
            </w:pPr>
            <w:r w:rsidRPr="0062582F">
              <w:t>Actual</w:t>
            </w:r>
          </w:p>
        </w:tc>
      </w:tr>
      <w:tr w:rsidR="004843DB" w:rsidRPr="0062582F" w:rsidTr="004843DB">
        <w:trPr>
          <w:cantSplit/>
          <w:trHeight w:val="20"/>
        </w:trPr>
        <w:tc>
          <w:tcPr>
            <w:tcW w:w="6253" w:type="dxa"/>
            <w:tcBorders>
              <w:bottom w:val="single" w:sz="4" w:space="0" w:color="auto"/>
            </w:tcBorders>
          </w:tcPr>
          <w:p w:rsidR="004843DB" w:rsidRPr="0062582F" w:rsidRDefault="004843DB" w:rsidP="004843DB">
            <w:pPr>
              <w:pStyle w:val="Tabletext"/>
            </w:pPr>
          </w:p>
        </w:tc>
        <w:tc>
          <w:tcPr>
            <w:tcW w:w="900" w:type="dxa"/>
            <w:tcBorders>
              <w:top w:val="single" w:sz="4" w:space="0" w:color="auto"/>
              <w:bottom w:val="single" w:sz="4" w:space="0" w:color="auto"/>
            </w:tcBorders>
            <w:shd w:val="clear" w:color="auto" w:fill="D9D9D9"/>
            <w:vAlign w:val="bottom"/>
          </w:tcPr>
          <w:p w:rsidR="004843DB" w:rsidRPr="0062582F" w:rsidRDefault="004843DB" w:rsidP="004843DB">
            <w:pPr>
              <w:pStyle w:val="Tabletextheading"/>
            </w:pPr>
            <w:r w:rsidRPr="0062582F">
              <w:t>2016</w:t>
            </w:r>
          </w:p>
        </w:tc>
        <w:tc>
          <w:tcPr>
            <w:tcW w:w="990" w:type="dxa"/>
            <w:tcBorders>
              <w:top w:val="single" w:sz="4" w:space="0" w:color="auto"/>
              <w:bottom w:val="single" w:sz="4" w:space="0" w:color="auto"/>
            </w:tcBorders>
            <w:vAlign w:val="bottom"/>
          </w:tcPr>
          <w:p w:rsidR="004843DB" w:rsidRPr="0062582F" w:rsidRDefault="004843DB" w:rsidP="004843DB">
            <w:pPr>
              <w:pStyle w:val="Tabletextheading"/>
            </w:pPr>
            <w:r w:rsidRPr="0062582F">
              <w:t>2015</w:t>
            </w:r>
          </w:p>
        </w:tc>
      </w:tr>
      <w:tr w:rsidR="004843DB" w:rsidRPr="0062582F" w:rsidTr="004843DB">
        <w:trPr>
          <w:cantSplit/>
          <w:trHeight w:val="20"/>
        </w:trPr>
        <w:tc>
          <w:tcPr>
            <w:tcW w:w="6253" w:type="dxa"/>
            <w:tcBorders>
              <w:top w:val="single" w:sz="4" w:space="0" w:color="auto"/>
            </w:tcBorders>
            <w:vAlign w:val="bottom"/>
          </w:tcPr>
          <w:p w:rsidR="004843DB" w:rsidRPr="0062582F" w:rsidRDefault="004843DB" w:rsidP="004843DB">
            <w:pPr>
              <w:pStyle w:val="Tabletext"/>
            </w:pPr>
            <w:r w:rsidRPr="0062582F">
              <w:t>User charges, or sales of goods and services</w:t>
            </w:r>
          </w:p>
        </w:tc>
        <w:tc>
          <w:tcPr>
            <w:tcW w:w="900" w:type="dxa"/>
            <w:tcBorders>
              <w:top w:val="single" w:sz="4" w:space="0" w:color="auto"/>
            </w:tcBorders>
            <w:shd w:val="clear" w:color="auto" w:fill="D9D9D9"/>
            <w:vAlign w:val="bottom"/>
          </w:tcPr>
          <w:p w:rsidR="004843DB" w:rsidRPr="0062582F" w:rsidRDefault="004843DB" w:rsidP="004843DB">
            <w:pPr>
              <w:pStyle w:val="TableofFigures"/>
            </w:pPr>
          </w:p>
        </w:tc>
        <w:tc>
          <w:tcPr>
            <w:tcW w:w="990" w:type="dxa"/>
            <w:tcBorders>
              <w:top w:val="single" w:sz="4" w:space="0" w:color="auto"/>
            </w:tcBorders>
            <w:vAlign w:val="bottom"/>
          </w:tcPr>
          <w:p w:rsidR="004843DB" w:rsidRPr="0062582F" w:rsidRDefault="004843DB" w:rsidP="004843DB">
            <w:pPr>
              <w:pStyle w:val="TableofFigures"/>
            </w:pPr>
          </w:p>
        </w:tc>
      </w:tr>
      <w:tr w:rsidR="004843DB" w:rsidRPr="0062582F" w:rsidTr="004843DB">
        <w:trPr>
          <w:cantSplit/>
          <w:trHeight w:val="20"/>
        </w:trPr>
        <w:tc>
          <w:tcPr>
            <w:tcW w:w="6253" w:type="dxa"/>
            <w:vAlign w:val="bottom"/>
          </w:tcPr>
          <w:p w:rsidR="004843DB" w:rsidRPr="0062582F" w:rsidRDefault="004843DB" w:rsidP="004843DB">
            <w:pPr>
              <w:pStyle w:val="Tabletextblue"/>
              <w:rPr>
                <w:i/>
              </w:rPr>
            </w:pPr>
            <w:r w:rsidRPr="0062582F">
              <w:rPr>
                <w:i/>
              </w:rPr>
              <w:t>[Name/title of agreement]</w:t>
            </w:r>
          </w:p>
        </w:tc>
        <w:tc>
          <w:tcPr>
            <w:tcW w:w="900" w:type="dxa"/>
            <w:shd w:val="clear" w:color="auto" w:fill="D9D9D9"/>
            <w:vAlign w:val="bottom"/>
          </w:tcPr>
          <w:p w:rsidR="004843DB" w:rsidRPr="0062582F" w:rsidRDefault="004843DB" w:rsidP="004843DB">
            <w:pPr>
              <w:pStyle w:val="TableofFigures"/>
            </w:pPr>
            <w:r w:rsidRPr="0062582F">
              <w:t>..</w:t>
            </w:r>
          </w:p>
        </w:tc>
        <w:tc>
          <w:tcPr>
            <w:tcW w:w="990" w:type="dxa"/>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tcBorders>
              <w:bottom w:val="single" w:sz="4" w:space="0" w:color="auto"/>
            </w:tcBorders>
            <w:vAlign w:val="bottom"/>
          </w:tcPr>
          <w:p w:rsidR="004843DB" w:rsidRPr="0062582F" w:rsidRDefault="004843DB" w:rsidP="004843DB">
            <w:pPr>
              <w:pStyle w:val="Tabletextblue"/>
              <w:rPr>
                <w:i/>
              </w:rPr>
            </w:pPr>
            <w:r w:rsidRPr="0062582F">
              <w:rPr>
                <w:i/>
              </w:rPr>
              <w:t>[Name/title of agreement]</w:t>
            </w:r>
          </w:p>
        </w:tc>
        <w:tc>
          <w:tcPr>
            <w:tcW w:w="900"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990" w:type="dxa"/>
            <w:tcBorders>
              <w:bottom w:val="single" w:sz="4" w:space="0" w:color="auto"/>
            </w:tcBorders>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tcBorders>
              <w:top w:val="single" w:sz="4" w:space="0" w:color="auto"/>
            </w:tcBorders>
            <w:vAlign w:val="bottom"/>
          </w:tcPr>
          <w:p w:rsidR="004843DB" w:rsidRPr="0062582F" w:rsidRDefault="004843DB" w:rsidP="004843DB">
            <w:pPr>
              <w:pStyle w:val="Tabletext"/>
            </w:pPr>
          </w:p>
        </w:tc>
        <w:tc>
          <w:tcPr>
            <w:tcW w:w="900" w:type="dxa"/>
            <w:tcBorders>
              <w:top w:val="single" w:sz="4" w:space="0" w:color="auto"/>
            </w:tcBorders>
            <w:shd w:val="clear" w:color="auto" w:fill="D9D9D9"/>
            <w:vAlign w:val="bottom"/>
          </w:tcPr>
          <w:p w:rsidR="004843DB" w:rsidRPr="0062582F" w:rsidRDefault="004843DB" w:rsidP="004843DB">
            <w:pPr>
              <w:pStyle w:val="TableofFigures"/>
            </w:pPr>
            <w:r w:rsidRPr="0062582F">
              <w:t>..</w:t>
            </w:r>
          </w:p>
        </w:tc>
        <w:tc>
          <w:tcPr>
            <w:tcW w:w="990" w:type="dxa"/>
            <w:tcBorders>
              <w:top w:val="single" w:sz="4" w:space="0" w:color="auto"/>
            </w:tcBorders>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vAlign w:val="bottom"/>
          </w:tcPr>
          <w:p w:rsidR="004843DB" w:rsidRPr="0062582F" w:rsidRDefault="004843DB" w:rsidP="004843DB">
            <w:pPr>
              <w:pStyle w:val="Tabletext"/>
            </w:pPr>
            <w:r w:rsidRPr="0062582F">
              <w:t>Asset sales</w:t>
            </w:r>
          </w:p>
        </w:tc>
        <w:tc>
          <w:tcPr>
            <w:tcW w:w="900" w:type="dxa"/>
            <w:shd w:val="clear" w:color="auto" w:fill="D9D9D9"/>
            <w:vAlign w:val="bottom"/>
          </w:tcPr>
          <w:p w:rsidR="004843DB" w:rsidRPr="0062582F" w:rsidRDefault="004843DB" w:rsidP="004843DB">
            <w:pPr>
              <w:pStyle w:val="TableofFigures"/>
            </w:pPr>
          </w:p>
        </w:tc>
        <w:tc>
          <w:tcPr>
            <w:tcW w:w="990" w:type="dxa"/>
            <w:vAlign w:val="bottom"/>
          </w:tcPr>
          <w:p w:rsidR="004843DB" w:rsidRPr="0062582F" w:rsidRDefault="004843DB" w:rsidP="004843DB">
            <w:pPr>
              <w:pStyle w:val="TableofFigures"/>
            </w:pPr>
          </w:p>
        </w:tc>
      </w:tr>
      <w:tr w:rsidR="004843DB" w:rsidRPr="0062582F" w:rsidTr="004843DB">
        <w:trPr>
          <w:cantSplit/>
          <w:trHeight w:val="20"/>
        </w:trPr>
        <w:tc>
          <w:tcPr>
            <w:tcW w:w="6253" w:type="dxa"/>
            <w:tcBorders>
              <w:bottom w:val="single" w:sz="4" w:space="0" w:color="auto"/>
            </w:tcBorders>
            <w:vAlign w:val="bottom"/>
          </w:tcPr>
          <w:p w:rsidR="004843DB" w:rsidRPr="0062582F" w:rsidRDefault="004843DB" w:rsidP="004843DB">
            <w:pPr>
              <w:pStyle w:val="Tabletextblue"/>
              <w:rPr>
                <w:i/>
              </w:rPr>
            </w:pPr>
            <w:r w:rsidRPr="0062582F">
              <w:rPr>
                <w:i/>
              </w:rPr>
              <w:t>[Name/title of agreement]</w:t>
            </w:r>
          </w:p>
        </w:tc>
        <w:tc>
          <w:tcPr>
            <w:tcW w:w="900"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990" w:type="dxa"/>
            <w:tcBorders>
              <w:bottom w:val="single" w:sz="4" w:space="0" w:color="auto"/>
            </w:tcBorders>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tcBorders>
              <w:top w:val="single" w:sz="4" w:space="0" w:color="auto"/>
            </w:tcBorders>
            <w:vAlign w:val="bottom"/>
          </w:tcPr>
          <w:p w:rsidR="004843DB" w:rsidRPr="0062582F" w:rsidRDefault="004843DB" w:rsidP="004843DB">
            <w:pPr>
              <w:pStyle w:val="Tabletext"/>
            </w:pPr>
          </w:p>
        </w:tc>
        <w:tc>
          <w:tcPr>
            <w:tcW w:w="900" w:type="dxa"/>
            <w:tcBorders>
              <w:top w:val="single" w:sz="4" w:space="0" w:color="auto"/>
            </w:tcBorders>
            <w:shd w:val="clear" w:color="auto" w:fill="D9D9D9"/>
            <w:vAlign w:val="bottom"/>
          </w:tcPr>
          <w:p w:rsidR="004843DB" w:rsidRPr="0062582F" w:rsidRDefault="004843DB" w:rsidP="004843DB">
            <w:pPr>
              <w:pStyle w:val="TableofFigures"/>
            </w:pPr>
            <w:r w:rsidRPr="0062582F">
              <w:t>..</w:t>
            </w:r>
          </w:p>
        </w:tc>
        <w:tc>
          <w:tcPr>
            <w:tcW w:w="990" w:type="dxa"/>
            <w:tcBorders>
              <w:top w:val="single" w:sz="4" w:space="0" w:color="auto"/>
            </w:tcBorders>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vAlign w:val="bottom"/>
          </w:tcPr>
          <w:p w:rsidR="004843DB" w:rsidRPr="0062582F" w:rsidRDefault="004843DB" w:rsidP="004843DB">
            <w:pPr>
              <w:pStyle w:val="Tabletext"/>
            </w:pPr>
            <w:r w:rsidRPr="0062582F">
              <w:t>Commonwealth Specific Purpose Payments</w:t>
            </w:r>
          </w:p>
        </w:tc>
        <w:tc>
          <w:tcPr>
            <w:tcW w:w="900" w:type="dxa"/>
            <w:shd w:val="clear" w:color="auto" w:fill="D9D9D9"/>
            <w:vAlign w:val="bottom"/>
          </w:tcPr>
          <w:p w:rsidR="004843DB" w:rsidRPr="0062582F" w:rsidRDefault="004843DB" w:rsidP="004843DB">
            <w:pPr>
              <w:pStyle w:val="TableofFigures"/>
            </w:pPr>
          </w:p>
        </w:tc>
        <w:tc>
          <w:tcPr>
            <w:tcW w:w="990" w:type="dxa"/>
            <w:vAlign w:val="bottom"/>
          </w:tcPr>
          <w:p w:rsidR="004843DB" w:rsidRPr="0062582F" w:rsidRDefault="004843DB" w:rsidP="004843DB">
            <w:pPr>
              <w:pStyle w:val="TableofFigures"/>
            </w:pPr>
          </w:p>
        </w:tc>
      </w:tr>
      <w:tr w:rsidR="004843DB" w:rsidRPr="0062582F" w:rsidTr="004843DB">
        <w:trPr>
          <w:cantSplit/>
          <w:trHeight w:val="20"/>
        </w:trPr>
        <w:tc>
          <w:tcPr>
            <w:tcW w:w="6253" w:type="dxa"/>
            <w:vAlign w:val="bottom"/>
          </w:tcPr>
          <w:p w:rsidR="004843DB" w:rsidRPr="0062582F" w:rsidRDefault="004843DB" w:rsidP="004843DB">
            <w:pPr>
              <w:pStyle w:val="Tabletextblue"/>
              <w:rPr>
                <w:i/>
              </w:rPr>
            </w:pPr>
            <w:r w:rsidRPr="0062582F">
              <w:rPr>
                <w:i/>
              </w:rPr>
              <w:t>[Name/title of agreement]</w:t>
            </w:r>
          </w:p>
        </w:tc>
        <w:tc>
          <w:tcPr>
            <w:tcW w:w="900" w:type="dxa"/>
            <w:shd w:val="clear" w:color="auto" w:fill="D9D9D9"/>
            <w:vAlign w:val="bottom"/>
          </w:tcPr>
          <w:p w:rsidR="004843DB" w:rsidRPr="0062582F" w:rsidRDefault="004843DB" w:rsidP="004843DB">
            <w:pPr>
              <w:pStyle w:val="TableofFigures"/>
            </w:pPr>
            <w:r w:rsidRPr="0062582F">
              <w:t>..</w:t>
            </w:r>
          </w:p>
        </w:tc>
        <w:tc>
          <w:tcPr>
            <w:tcW w:w="990" w:type="dxa"/>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tcBorders>
              <w:bottom w:val="single" w:sz="4" w:space="0" w:color="auto"/>
            </w:tcBorders>
            <w:vAlign w:val="bottom"/>
          </w:tcPr>
          <w:p w:rsidR="004843DB" w:rsidRPr="0062582F" w:rsidRDefault="004843DB" w:rsidP="004843DB">
            <w:pPr>
              <w:pStyle w:val="Tabletextblue"/>
              <w:rPr>
                <w:i/>
              </w:rPr>
            </w:pPr>
            <w:r w:rsidRPr="0062582F">
              <w:rPr>
                <w:i/>
              </w:rPr>
              <w:t>[Name/title of agreement]</w:t>
            </w:r>
          </w:p>
        </w:tc>
        <w:tc>
          <w:tcPr>
            <w:tcW w:w="900"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990" w:type="dxa"/>
            <w:tcBorders>
              <w:bottom w:val="single" w:sz="4" w:space="0" w:color="auto"/>
            </w:tcBorders>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tcBorders>
              <w:top w:val="single" w:sz="4" w:space="0" w:color="auto"/>
            </w:tcBorders>
            <w:vAlign w:val="bottom"/>
          </w:tcPr>
          <w:p w:rsidR="004843DB" w:rsidRPr="0062582F" w:rsidRDefault="004843DB" w:rsidP="004843DB">
            <w:pPr>
              <w:pStyle w:val="Tabletext"/>
            </w:pPr>
          </w:p>
        </w:tc>
        <w:tc>
          <w:tcPr>
            <w:tcW w:w="900" w:type="dxa"/>
            <w:tcBorders>
              <w:top w:val="single" w:sz="4" w:space="0" w:color="auto"/>
            </w:tcBorders>
            <w:shd w:val="clear" w:color="auto" w:fill="D9D9D9"/>
            <w:vAlign w:val="bottom"/>
          </w:tcPr>
          <w:p w:rsidR="004843DB" w:rsidRPr="0062582F" w:rsidRDefault="004843DB" w:rsidP="004843DB">
            <w:pPr>
              <w:pStyle w:val="TableofFigures"/>
            </w:pPr>
            <w:r w:rsidRPr="0062582F">
              <w:t>..</w:t>
            </w:r>
          </w:p>
        </w:tc>
        <w:tc>
          <w:tcPr>
            <w:tcW w:w="990" w:type="dxa"/>
            <w:tcBorders>
              <w:top w:val="single" w:sz="4" w:space="0" w:color="auto"/>
            </w:tcBorders>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vAlign w:val="bottom"/>
          </w:tcPr>
          <w:p w:rsidR="004843DB" w:rsidRPr="0062582F" w:rsidRDefault="004843DB" w:rsidP="004843DB">
            <w:pPr>
              <w:pStyle w:val="Tabletext"/>
            </w:pPr>
            <w:r w:rsidRPr="0062582F">
              <w:t>Municipal</w:t>
            </w:r>
          </w:p>
        </w:tc>
        <w:tc>
          <w:tcPr>
            <w:tcW w:w="900" w:type="dxa"/>
            <w:shd w:val="clear" w:color="auto" w:fill="D9D9D9"/>
            <w:vAlign w:val="bottom"/>
          </w:tcPr>
          <w:p w:rsidR="004843DB" w:rsidRPr="0062582F" w:rsidRDefault="004843DB" w:rsidP="004843DB">
            <w:pPr>
              <w:pStyle w:val="TableofFigures"/>
            </w:pPr>
          </w:p>
        </w:tc>
        <w:tc>
          <w:tcPr>
            <w:tcW w:w="990" w:type="dxa"/>
            <w:vAlign w:val="bottom"/>
          </w:tcPr>
          <w:p w:rsidR="004843DB" w:rsidRPr="0062582F" w:rsidRDefault="004843DB" w:rsidP="004843DB">
            <w:pPr>
              <w:pStyle w:val="TableofFigures"/>
            </w:pPr>
          </w:p>
        </w:tc>
      </w:tr>
      <w:tr w:rsidR="004843DB" w:rsidRPr="0062582F" w:rsidTr="004843DB">
        <w:trPr>
          <w:cantSplit/>
          <w:trHeight w:val="20"/>
        </w:trPr>
        <w:tc>
          <w:tcPr>
            <w:tcW w:w="6253" w:type="dxa"/>
            <w:vAlign w:val="bottom"/>
          </w:tcPr>
          <w:p w:rsidR="004843DB" w:rsidRPr="0062582F" w:rsidRDefault="004843DB" w:rsidP="004843DB">
            <w:pPr>
              <w:pStyle w:val="Tabletextblue"/>
              <w:rPr>
                <w:i/>
              </w:rPr>
            </w:pPr>
            <w:r w:rsidRPr="0062582F">
              <w:rPr>
                <w:i/>
              </w:rPr>
              <w:t>[Name/title of agreement]</w:t>
            </w:r>
          </w:p>
        </w:tc>
        <w:tc>
          <w:tcPr>
            <w:tcW w:w="900" w:type="dxa"/>
            <w:shd w:val="clear" w:color="auto" w:fill="D9D9D9"/>
            <w:vAlign w:val="bottom"/>
          </w:tcPr>
          <w:p w:rsidR="004843DB" w:rsidRPr="0062582F" w:rsidRDefault="004843DB" w:rsidP="004843DB">
            <w:pPr>
              <w:pStyle w:val="TableofFigures"/>
            </w:pPr>
            <w:r w:rsidRPr="0062582F">
              <w:t>..</w:t>
            </w:r>
          </w:p>
        </w:tc>
        <w:tc>
          <w:tcPr>
            <w:tcW w:w="990" w:type="dxa"/>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tcBorders>
              <w:bottom w:val="single" w:sz="4" w:space="0" w:color="auto"/>
            </w:tcBorders>
            <w:vAlign w:val="bottom"/>
          </w:tcPr>
          <w:p w:rsidR="004843DB" w:rsidRPr="0062582F" w:rsidRDefault="004843DB" w:rsidP="004843DB">
            <w:pPr>
              <w:pStyle w:val="Tabletextblue"/>
              <w:rPr>
                <w:i/>
              </w:rPr>
            </w:pPr>
            <w:r w:rsidRPr="0062582F">
              <w:rPr>
                <w:i/>
              </w:rPr>
              <w:t>[Name/title of agreement]</w:t>
            </w:r>
          </w:p>
        </w:tc>
        <w:tc>
          <w:tcPr>
            <w:tcW w:w="900"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990" w:type="dxa"/>
            <w:tcBorders>
              <w:bottom w:val="single" w:sz="4" w:space="0" w:color="auto"/>
            </w:tcBorders>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tcBorders>
              <w:top w:val="single" w:sz="4" w:space="0" w:color="auto"/>
              <w:bottom w:val="single" w:sz="4" w:space="0" w:color="auto"/>
            </w:tcBorders>
            <w:vAlign w:val="bottom"/>
          </w:tcPr>
          <w:p w:rsidR="004843DB" w:rsidRPr="0062582F" w:rsidRDefault="004843DB" w:rsidP="004843DB">
            <w:pPr>
              <w:pStyle w:val="Tabletext"/>
            </w:pPr>
          </w:p>
        </w:tc>
        <w:tc>
          <w:tcPr>
            <w:tcW w:w="900" w:type="dxa"/>
            <w:tcBorders>
              <w:top w:val="single" w:sz="4" w:space="0" w:color="auto"/>
              <w:bottom w:val="single" w:sz="4" w:space="0" w:color="auto"/>
            </w:tcBorders>
            <w:shd w:val="clear" w:color="auto" w:fill="D9D9D9"/>
            <w:vAlign w:val="bottom"/>
          </w:tcPr>
          <w:p w:rsidR="004843DB" w:rsidRPr="0062582F" w:rsidRDefault="004843DB" w:rsidP="004843DB">
            <w:pPr>
              <w:pStyle w:val="TableofFigures"/>
            </w:pPr>
            <w:r w:rsidRPr="0062582F">
              <w:t>..</w:t>
            </w:r>
          </w:p>
        </w:tc>
        <w:tc>
          <w:tcPr>
            <w:tcW w:w="990" w:type="dxa"/>
            <w:tcBorders>
              <w:top w:val="single" w:sz="4" w:space="0" w:color="auto"/>
              <w:bottom w:val="single" w:sz="4" w:space="0" w:color="auto"/>
            </w:tcBorders>
            <w:vAlign w:val="bottom"/>
          </w:tcPr>
          <w:p w:rsidR="004843DB" w:rsidRPr="0062582F" w:rsidRDefault="004843DB" w:rsidP="004843DB">
            <w:pPr>
              <w:pStyle w:val="TableofFigures"/>
            </w:pPr>
            <w:r w:rsidRPr="0062582F">
              <w:t>..</w:t>
            </w:r>
          </w:p>
        </w:tc>
      </w:tr>
      <w:tr w:rsidR="004843DB" w:rsidRPr="0062582F" w:rsidTr="004843DB">
        <w:trPr>
          <w:cantSplit/>
          <w:trHeight w:val="20"/>
        </w:trPr>
        <w:tc>
          <w:tcPr>
            <w:tcW w:w="6253" w:type="dxa"/>
            <w:tcBorders>
              <w:top w:val="single" w:sz="4" w:space="0" w:color="auto"/>
              <w:bottom w:val="single" w:sz="12" w:space="0" w:color="auto"/>
            </w:tcBorders>
            <w:vAlign w:val="bottom"/>
          </w:tcPr>
          <w:p w:rsidR="004843DB" w:rsidRPr="0062582F" w:rsidRDefault="004843DB" w:rsidP="004843DB">
            <w:pPr>
              <w:pStyle w:val="Tabletext"/>
            </w:pPr>
            <w:r w:rsidRPr="0062582F">
              <w:t>Total annotated income agreements</w:t>
            </w:r>
          </w:p>
        </w:tc>
        <w:tc>
          <w:tcPr>
            <w:tcW w:w="900" w:type="dxa"/>
            <w:tcBorders>
              <w:top w:val="single" w:sz="4" w:space="0" w:color="auto"/>
              <w:bottom w:val="single" w:sz="12" w:space="0" w:color="auto"/>
            </w:tcBorders>
            <w:shd w:val="clear" w:color="auto" w:fill="D9D9D9"/>
            <w:vAlign w:val="bottom"/>
          </w:tcPr>
          <w:p w:rsidR="004843DB" w:rsidRPr="0062582F" w:rsidRDefault="004843DB" w:rsidP="004843DB">
            <w:pPr>
              <w:pStyle w:val="TableofFigures"/>
            </w:pPr>
            <w:r w:rsidRPr="0062582F">
              <w:t>..</w:t>
            </w:r>
          </w:p>
        </w:tc>
        <w:tc>
          <w:tcPr>
            <w:tcW w:w="990" w:type="dxa"/>
            <w:tcBorders>
              <w:top w:val="single" w:sz="4" w:space="0" w:color="auto"/>
              <w:bottom w:val="single" w:sz="12" w:space="0" w:color="auto"/>
            </w:tcBorders>
            <w:vAlign w:val="bottom"/>
          </w:tcPr>
          <w:p w:rsidR="004843DB" w:rsidRPr="0062582F" w:rsidRDefault="004843DB" w:rsidP="004843DB">
            <w:pPr>
              <w:pStyle w:val="TableofFigures"/>
            </w:pPr>
            <w:r w:rsidRPr="0062582F">
              <w:t>..</w:t>
            </w:r>
          </w:p>
        </w:tc>
      </w:tr>
    </w:tbl>
    <w:p w:rsidR="004843DB" w:rsidRPr="0062582F" w:rsidRDefault="004843DB" w:rsidP="004843DB">
      <w:bookmarkStart w:id="628" w:name="_Toc104694464"/>
      <w:bookmarkStart w:id="629" w:name="_Toc132689530"/>
      <w:bookmarkStart w:id="630" w:name="_Toc133138211"/>
      <w:bookmarkStart w:id="631" w:name="_Toc133203929"/>
      <w:bookmarkStart w:id="632" w:name="_Toc154475783"/>
      <w:bookmarkStart w:id="633" w:name="_Toc162327236"/>
      <w:bookmarkStart w:id="634" w:name="_Toc162327952"/>
      <w:bookmarkStart w:id="635" w:name="_Toc192562765"/>
    </w:p>
    <w:p w:rsidR="004843DB" w:rsidRPr="0062582F" w:rsidRDefault="004843DB" w:rsidP="004843DB">
      <w:pPr>
        <w:pStyle w:val="SmallLine"/>
      </w:pPr>
      <w:r w:rsidRPr="0062582F">
        <w:br w:type="column"/>
      </w:r>
      <w:bookmarkStart w:id="636" w:name="_Toc332019497"/>
    </w:p>
    <w:p w:rsidR="004843DB" w:rsidRPr="0062582F" w:rsidRDefault="004843DB" w:rsidP="004843DB">
      <w:pPr>
        <w:pStyle w:val="NoteHeading"/>
      </w:pPr>
      <w:r w:rsidRPr="0062582F">
        <w:br w:type="column"/>
      </w:r>
      <w:bookmarkStart w:id="637" w:name="_Toc448157218"/>
      <w:r w:rsidRPr="0062582F">
        <w:t>Note 39.</w:t>
      </w:r>
      <w:r w:rsidRPr="0062582F">
        <w:tab/>
        <w:t>Trust account balances</w:t>
      </w:r>
      <w:bookmarkEnd w:id="628"/>
      <w:bookmarkEnd w:id="629"/>
      <w:bookmarkEnd w:id="630"/>
      <w:bookmarkEnd w:id="631"/>
      <w:bookmarkEnd w:id="632"/>
      <w:bookmarkEnd w:id="633"/>
      <w:bookmarkEnd w:id="634"/>
      <w:bookmarkEnd w:id="635"/>
      <w:bookmarkEnd w:id="636"/>
      <w:bookmarkEnd w:id="637"/>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107.38</w:t>
      </w:r>
    </w:p>
    <w:p w:rsidR="004843DB" w:rsidRPr="0062582F" w:rsidRDefault="004843DB" w:rsidP="004843DB">
      <w:pPr>
        <w:pStyle w:val="SmallLine"/>
        <w:rPr>
          <w:lang w:val="en-GB"/>
        </w:rPr>
      </w:pPr>
    </w:p>
    <w:p w:rsidR="004843DB" w:rsidRPr="0062582F" w:rsidRDefault="004843DB" w:rsidP="004843DB">
      <w:pPr>
        <w:pStyle w:val="Heading5"/>
        <w:tabs>
          <w:tab w:val="clear" w:pos="450"/>
          <w:tab w:val="left" w:pos="284"/>
        </w:tabs>
        <w:ind w:left="0" w:hanging="20"/>
        <w:rPr>
          <w:rFonts w:cs="Arial Narrow"/>
          <w:b w:val="0"/>
          <w:bCs w:val="0"/>
          <w:color w:val="0000FF"/>
          <w:sz w:val="16"/>
          <w:szCs w:val="16"/>
          <w:lang w:val="en-GB"/>
        </w:rPr>
      </w:pPr>
    </w:p>
    <w:p w:rsidR="004843DB" w:rsidRPr="0062582F" w:rsidRDefault="004843DB" w:rsidP="004843DB">
      <w:pPr>
        <w:pStyle w:val="SmallLine"/>
        <w:rPr>
          <w:lang w:val="en-GB"/>
        </w:rPr>
      </w:pPr>
    </w:p>
    <w:p w:rsidR="004843DB" w:rsidRPr="0062582F" w:rsidRDefault="004843DB" w:rsidP="004843DB">
      <w:pPr>
        <w:pStyle w:val="SmallLine"/>
        <w:rPr>
          <w:lang w:val="en-GB"/>
        </w:rPr>
      </w:pPr>
    </w:p>
    <w:p w:rsidR="004843DB" w:rsidRPr="0062582F" w:rsidRDefault="004843DB" w:rsidP="004843DB">
      <w:pPr>
        <w:pStyle w:val="SmallLine"/>
        <w:rPr>
          <w:lang w:val="en-GB"/>
        </w:rPr>
      </w:pPr>
    </w:p>
    <w:p w:rsidR="004843DB" w:rsidRPr="0062582F" w:rsidRDefault="004843DB" w:rsidP="004843DB">
      <w:pPr>
        <w:pStyle w:val="SmallLine"/>
        <w:rPr>
          <w:lang w:val="en-GB"/>
        </w:rPr>
      </w:pPr>
    </w:p>
    <w:p w:rsidR="004843DB" w:rsidRPr="0062582F" w:rsidRDefault="004843DB" w:rsidP="004843DB">
      <w:pPr>
        <w:pStyle w:val="SmallLine"/>
        <w:rPr>
          <w:lang w:val="en-GB"/>
        </w:rPr>
      </w:pPr>
    </w:p>
    <w:p w:rsidR="004843DB" w:rsidRPr="0062582F" w:rsidRDefault="004843DB" w:rsidP="004843DB">
      <w:pPr>
        <w:pStyle w:val="SmallLine"/>
        <w:rPr>
          <w:lang w:val="en-GB"/>
        </w:rPr>
      </w:pPr>
    </w:p>
    <w:p w:rsidR="004843DB" w:rsidRPr="0062582F" w:rsidRDefault="004843DB" w:rsidP="004843DB">
      <w:pPr>
        <w:pStyle w:val="Heading5"/>
        <w:tabs>
          <w:tab w:val="clear" w:pos="450"/>
          <w:tab w:val="left" w:pos="284"/>
        </w:tabs>
        <w:spacing w:before="0"/>
        <w:ind w:left="0" w:hanging="20"/>
        <w:rPr>
          <w:rFonts w:cs="Arial Narrow"/>
          <w:b w:val="0"/>
          <w:bCs w:val="0"/>
          <w:i/>
          <w:color w:val="0000FF"/>
          <w:sz w:val="16"/>
          <w:szCs w:val="16"/>
          <w:lang w:val="en-GB"/>
        </w:rPr>
      </w:pPr>
      <w:r w:rsidRPr="0062582F">
        <w:rPr>
          <w:rFonts w:cs="Arial Narrow"/>
          <w:b w:val="0"/>
          <w:bCs w:val="0"/>
          <w:color w:val="0000FF"/>
          <w:sz w:val="16"/>
          <w:szCs w:val="16"/>
          <w:lang w:val="en-GB"/>
        </w:rPr>
        <w:t>Table based on Auditor</w:t>
      </w:r>
      <w:r w:rsidR="005A4BB0">
        <w:rPr>
          <w:rFonts w:cs="Arial Narrow"/>
          <w:b w:val="0"/>
          <w:bCs w:val="0"/>
          <w:color w:val="0000FF"/>
          <w:sz w:val="16"/>
          <w:szCs w:val="16"/>
          <w:lang w:val="en-GB"/>
        </w:rPr>
        <w:noBreakHyphen/>
      </w:r>
      <w:r w:rsidRPr="0062582F">
        <w:rPr>
          <w:rFonts w:cs="Arial Narrow"/>
          <w:b w:val="0"/>
          <w:bCs w:val="0"/>
          <w:color w:val="0000FF"/>
          <w:sz w:val="16"/>
          <w:szCs w:val="16"/>
          <w:lang w:val="en-GB"/>
        </w:rPr>
        <w:t>General</w:t>
      </w:r>
      <w:r w:rsidR="005A4BB0">
        <w:rPr>
          <w:rFonts w:cs="Arial Narrow"/>
          <w:b w:val="0"/>
          <w:bCs w:val="0"/>
          <w:color w:val="0000FF"/>
          <w:sz w:val="16"/>
          <w:szCs w:val="16"/>
          <w:lang w:val="en-GB"/>
        </w:rPr>
        <w:t>’</w:t>
      </w:r>
      <w:r w:rsidRPr="0062582F">
        <w:rPr>
          <w:rFonts w:cs="Arial Narrow"/>
          <w:b w:val="0"/>
          <w:bCs w:val="0"/>
          <w:color w:val="0000FF"/>
          <w:sz w:val="16"/>
          <w:szCs w:val="16"/>
          <w:lang w:val="en-GB"/>
        </w:rPr>
        <w:t xml:space="preserve">s recommendation in report </w:t>
      </w:r>
      <w:r w:rsidRPr="0062582F">
        <w:rPr>
          <w:rFonts w:cs="Arial Narrow"/>
          <w:b w:val="0"/>
          <w:bCs w:val="0"/>
          <w:i/>
          <w:color w:val="0000FF"/>
          <w:sz w:val="16"/>
          <w:szCs w:val="16"/>
          <w:lang w:val="en-GB"/>
        </w:rPr>
        <w:t>Portfolio Departments and Associated Entities: Results of the 2012</w:t>
      </w:r>
      <w:r w:rsidR="005A4BB0">
        <w:rPr>
          <w:rFonts w:cs="Arial Narrow"/>
          <w:b w:val="0"/>
          <w:bCs w:val="0"/>
          <w:i/>
          <w:color w:val="0000FF"/>
          <w:sz w:val="16"/>
          <w:szCs w:val="16"/>
          <w:lang w:val="en-GB"/>
        </w:rPr>
        <w:noBreakHyphen/>
      </w:r>
      <w:r w:rsidRPr="0062582F">
        <w:rPr>
          <w:rFonts w:cs="Arial Narrow"/>
          <w:b w:val="0"/>
          <w:bCs w:val="0"/>
          <w:i/>
          <w:color w:val="0000FF"/>
          <w:sz w:val="16"/>
          <w:szCs w:val="16"/>
          <w:lang w:val="en-GB"/>
        </w:rPr>
        <w:t>13 Audits</w:t>
      </w:r>
    </w:p>
    <w:p w:rsidR="004843DB" w:rsidRPr="0062582F" w:rsidRDefault="004843DB" w:rsidP="004843DB">
      <w:pPr>
        <w:pStyle w:val="Heading5"/>
      </w:pPr>
      <w:r w:rsidRPr="0062582F">
        <w:rPr>
          <w:rFonts w:cs="Arial Narrow"/>
          <w:color w:val="0000FF"/>
          <w:sz w:val="16"/>
          <w:szCs w:val="16"/>
          <w:lang w:val="en-GB"/>
        </w:rPr>
        <w:br w:type="column"/>
      </w:r>
      <w:r w:rsidRPr="0062582F">
        <w:t>(a)</w:t>
      </w:r>
      <w:r w:rsidRPr="0062582F">
        <w:tab/>
        <w:t>Trust account balances relating to trust accounts controlled and/or administered by the Department:</w:t>
      </w:r>
    </w:p>
    <w:p w:rsidR="004843DB" w:rsidRPr="0062582F" w:rsidRDefault="004843DB" w:rsidP="004843DB">
      <w:pPr>
        <w:pStyle w:val="million"/>
      </w:pPr>
      <w:r w:rsidRPr="0062582F">
        <w:t>($ thousand)</w:t>
      </w:r>
    </w:p>
    <w:tbl>
      <w:tblPr>
        <w:tblW w:w="8323" w:type="dxa"/>
        <w:tblLayout w:type="fixed"/>
        <w:tblCellMar>
          <w:left w:w="43" w:type="dxa"/>
          <w:right w:w="43" w:type="dxa"/>
        </w:tblCellMar>
        <w:tblLook w:val="0000" w:firstRow="0" w:lastRow="0" w:firstColumn="0" w:lastColumn="0" w:noHBand="0" w:noVBand="0"/>
      </w:tblPr>
      <w:tblGrid>
        <w:gridCol w:w="4093"/>
        <w:gridCol w:w="1057"/>
        <w:gridCol w:w="1058"/>
        <w:gridCol w:w="945"/>
        <w:gridCol w:w="1170"/>
      </w:tblGrid>
      <w:tr w:rsidR="004843DB" w:rsidRPr="0062582F" w:rsidTr="004843DB">
        <w:trPr>
          <w:cantSplit/>
        </w:trPr>
        <w:tc>
          <w:tcPr>
            <w:tcW w:w="4093" w:type="dxa"/>
            <w:tcBorders>
              <w:top w:val="single" w:sz="4" w:space="0" w:color="auto"/>
            </w:tcBorders>
          </w:tcPr>
          <w:p w:rsidR="004843DB" w:rsidRPr="0062582F" w:rsidRDefault="004843DB" w:rsidP="004843DB">
            <w:pPr>
              <w:pStyle w:val="Tabletext"/>
            </w:pPr>
          </w:p>
        </w:tc>
        <w:tc>
          <w:tcPr>
            <w:tcW w:w="4230" w:type="dxa"/>
            <w:gridSpan w:val="4"/>
            <w:tcBorders>
              <w:top w:val="single" w:sz="4" w:space="0" w:color="auto"/>
              <w:bottom w:val="single" w:sz="4" w:space="0" w:color="auto"/>
            </w:tcBorders>
          </w:tcPr>
          <w:p w:rsidR="004843DB" w:rsidRPr="0062582F" w:rsidRDefault="004843DB" w:rsidP="004843DB">
            <w:pPr>
              <w:pStyle w:val="TabletextheadingCentred"/>
            </w:pPr>
            <w:r w:rsidRPr="0062582F">
              <w:t>2016</w:t>
            </w:r>
          </w:p>
        </w:tc>
      </w:tr>
      <w:tr w:rsidR="004843DB" w:rsidRPr="0062582F" w:rsidTr="004843DB">
        <w:trPr>
          <w:cantSplit/>
        </w:trPr>
        <w:tc>
          <w:tcPr>
            <w:tcW w:w="4093" w:type="dxa"/>
            <w:tcBorders>
              <w:bottom w:val="single" w:sz="4" w:space="0" w:color="auto"/>
            </w:tcBorders>
          </w:tcPr>
          <w:p w:rsidR="004843DB" w:rsidRPr="0062582F" w:rsidRDefault="004843DB" w:rsidP="004843DB">
            <w:pPr>
              <w:pStyle w:val="Tabletext"/>
            </w:pPr>
          </w:p>
        </w:tc>
        <w:tc>
          <w:tcPr>
            <w:tcW w:w="1057" w:type="dxa"/>
            <w:tcBorders>
              <w:top w:val="single" w:sz="4" w:space="0" w:color="auto"/>
              <w:bottom w:val="single" w:sz="4" w:space="0" w:color="auto"/>
            </w:tcBorders>
          </w:tcPr>
          <w:p w:rsidR="004843DB" w:rsidRPr="0062582F" w:rsidRDefault="004843DB" w:rsidP="004843DB">
            <w:pPr>
              <w:pStyle w:val="Tabletextheading"/>
            </w:pPr>
            <w:r w:rsidRPr="0062582F">
              <w:t xml:space="preserve">Opening balance as at 1 July 2015 </w:t>
            </w:r>
          </w:p>
        </w:tc>
        <w:tc>
          <w:tcPr>
            <w:tcW w:w="1058" w:type="dxa"/>
            <w:tcBorders>
              <w:top w:val="single" w:sz="4" w:space="0" w:color="auto"/>
              <w:bottom w:val="single" w:sz="4" w:space="0" w:color="auto"/>
            </w:tcBorders>
            <w:vAlign w:val="bottom"/>
          </w:tcPr>
          <w:p w:rsidR="004843DB" w:rsidRPr="0062582F" w:rsidRDefault="004843DB" w:rsidP="004843DB">
            <w:pPr>
              <w:pStyle w:val="Tabletextheading"/>
            </w:pPr>
            <w:r w:rsidRPr="0062582F">
              <w:t>Total receipts</w:t>
            </w:r>
          </w:p>
        </w:tc>
        <w:tc>
          <w:tcPr>
            <w:tcW w:w="945" w:type="dxa"/>
            <w:tcBorders>
              <w:top w:val="single" w:sz="4" w:space="0" w:color="auto"/>
              <w:bottom w:val="single" w:sz="4" w:space="0" w:color="auto"/>
            </w:tcBorders>
            <w:vAlign w:val="bottom"/>
          </w:tcPr>
          <w:p w:rsidR="004843DB" w:rsidRPr="0062582F" w:rsidRDefault="004843DB" w:rsidP="004843DB">
            <w:pPr>
              <w:pStyle w:val="Tabletextheading"/>
            </w:pPr>
            <w:r w:rsidRPr="0062582F">
              <w:t>Total payments</w:t>
            </w:r>
          </w:p>
        </w:tc>
        <w:tc>
          <w:tcPr>
            <w:tcW w:w="1170" w:type="dxa"/>
            <w:tcBorders>
              <w:top w:val="single" w:sz="4" w:space="0" w:color="auto"/>
              <w:bottom w:val="single" w:sz="4" w:space="0" w:color="auto"/>
            </w:tcBorders>
            <w:shd w:val="clear" w:color="auto" w:fill="FFFFFF"/>
          </w:tcPr>
          <w:p w:rsidR="004843DB" w:rsidRPr="0062582F" w:rsidRDefault="004843DB" w:rsidP="004843DB">
            <w:pPr>
              <w:pStyle w:val="Tabletextheading"/>
            </w:pPr>
            <w:r w:rsidRPr="0062582F">
              <w:t xml:space="preserve">Closing balance as at 30 June 2016 </w:t>
            </w:r>
          </w:p>
        </w:tc>
      </w:tr>
      <w:tr w:rsidR="004843DB" w:rsidRPr="0062582F" w:rsidTr="004843DB">
        <w:trPr>
          <w:cantSplit/>
        </w:trPr>
        <w:tc>
          <w:tcPr>
            <w:tcW w:w="4093" w:type="dxa"/>
            <w:tcBorders>
              <w:top w:val="single" w:sz="4" w:space="0" w:color="auto"/>
            </w:tcBorders>
            <w:vAlign w:val="bottom"/>
          </w:tcPr>
          <w:p w:rsidR="004843DB" w:rsidRPr="0062582F" w:rsidRDefault="004843DB" w:rsidP="004843DB">
            <w:pPr>
              <w:pStyle w:val="Tabletext"/>
              <w:rPr>
                <w:b/>
              </w:rPr>
            </w:pPr>
            <w:r w:rsidRPr="0062582F">
              <w:rPr>
                <w:b/>
              </w:rPr>
              <w:t xml:space="preserve">Cash and cash equivalents and investments </w:t>
            </w:r>
          </w:p>
        </w:tc>
        <w:tc>
          <w:tcPr>
            <w:tcW w:w="1057" w:type="dxa"/>
            <w:tcBorders>
              <w:top w:val="single" w:sz="4" w:space="0" w:color="auto"/>
            </w:tcBorders>
            <w:vAlign w:val="bottom"/>
          </w:tcPr>
          <w:p w:rsidR="004843DB" w:rsidRPr="0062582F" w:rsidRDefault="004843DB" w:rsidP="004843DB">
            <w:pPr>
              <w:pStyle w:val="TableofFigures"/>
            </w:pPr>
          </w:p>
        </w:tc>
        <w:tc>
          <w:tcPr>
            <w:tcW w:w="1058" w:type="dxa"/>
            <w:tcBorders>
              <w:top w:val="single" w:sz="4" w:space="0" w:color="auto"/>
            </w:tcBorders>
            <w:vAlign w:val="bottom"/>
          </w:tcPr>
          <w:p w:rsidR="004843DB" w:rsidRPr="0062582F" w:rsidRDefault="004843DB" w:rsidP="004843DB">
            <w:pPr>
              <w:pStyle w:val="TableofFigures"/>
            </w:pPr>
          </w:p>
        </w:tc>
        <w:tc>
          <w:tcPr>
            <w:tcW w:w="945" w:type="dxa"/>
            <w:tcBorders>
              <w:top w:val="single" w:sz="4" w:space="0" w:color="auto"/>
            </w:tcBorders>
            <w:vAlign w:val="bottom"/>
          </w:tcPr>
          <w:p w:rsidR="004843DB" w:rsidRPr="0062582F" w:rsidRDefault="004843DB" w:rsidP="004843DB">
            <w:pPr>
              <w:pStyle w:val="TableofFigures"/>
            </w:pPr>
          </w:p>
        </w:tc>
        <w:tc>
          <w:tcPr>
            <w:tcW w:w="1170" w:type="dxa"/>
            <w:tcBorders>
              <w:top w:val="single" w:sz="4" w:space="0" w:color="auto"/>
            </w:tcBorders>
            <w:shd w:val="clear" w:color="auto" w:fill="FFFFFF"/>
            <w:vAlign w:val="bottom"/>
          </w:tcPr>
          <w:p w:rsidR="004843DB" w:rsidRPr="0062582F" w:rsidRDefault="004843DB" w:rsidP="004843DB">
            <w:pPr>
              <w:pStyle w:val="TableofFigures"/>
            </w:pPr>
          </w:p>
        </w:tc>
      </w:tr>
      <w:tr w:rsidR="004843DB" w:rsidRPr="0062582F" w:rsidTr="004843DB">
        <w:trPr>
          <w:cantSplit/>
        </w:trPr>
        <w:tc>
          <w:tcPr>
            <w:tcW w:w="4093" w:type="dxa"/>
            <w:vAlign w:val="bottom"/>
          </w:tcPr>
          <w:p w:rsidR="004843DB" w:rsidRPr="0062582F" w:rsidRDefault="004843DB" w:rsidP="004843DB">
            <w:pPr>
              <w:pStyle w:val="Tabletext"/>
              <w:rPr>
                <w:b/>
              </w:rPr>
            </w:pPr>
            <w:r w:rsidRPr="0062582F">
              <w:rPr>
                <w:b/>
              </w:rPr>
              <w:t>Controlled trusts</w:t>
            </w:r>
          </w:p>
        </w:tc>
        <w:tc>
          <w:tcPr>
            <w:tcW w:w="1057" w:type="dxa"/>
            <w:vAlign w:val="bottom"/>
          </w:tcPr>
          <w:p w:rsidR="004843DB" w:rsidRPr="0062582F" w:rsidRDefault="004843DB" w:rsidP="004843DB">
            <w:pPr>
              <w:pStyle w:val="TableofFigures"/>
              <w:rPr>
                <w:b/>
                <w:bCs/>
              </w:rPr>
            </w:pPr>
          </w:p>
        </w:tc>
        <w:tc>
          <w:tcPr>
            <w:tcW w:w="1058" w:type="dxa"/>
            <w:vAlign w:val="bottom"/>
          </w:tcPr>
          <w:p w:rsidR="004843DB" w:rsidRPr="0062582F" w:rsidRDefault="004843DB" w:rsidP="004843DB">
            <w:pPr>
              <w:pStyle w:val="TableofFigures"/>
              <w:rPr>
                <w:b/>
                <w:bCs/>
              </w:rPr>
            </w:pPr>
          </w:p>
        </w:tc>
        <w:tc>
          <w:tcPr>
            <w:tcW w:w="945" w:type="dxa"/>
            <w:vAlign w:val="bottom"/>
          </w:tcPr>
          <w:p w:rsidR="004843DB" w:rsidRPr="0062582F" w:rsidRDefault="004843DB" w:rsidP="004843DB">
            <w:pPr>
              <w:pStyle w:val="TableofFigures"/>
              <w:rPr>
                <w:b/>
                <w:bCs/>
              </w:rPr>
            </w:pPr>
          </w:p>
        </w:tc>
        <w:tc>
          <w:tcPr>
            <w:tcW w:w="1170" w:type="dxa"/>
            <w:shd w:val="clear" w:color="auto" w:fill="FFFFFF"/>
            <w:vAlign w:val="bottom"/>
          </w:tcPr>
          <w:p w:rsidR="004843DB" w:rsidRPr="0062582F" w:rsidRDefault="004843DB" w:rsidP="004843DB">
            <w:pPr>
              <w:pStyle w:val="TableofFigures"/>
              <w:rPr>
                <w:b/>
                <w:bCs/>
              </w:rPr>
            </w:pPr>
          </w:p>
        </w:tc>
      </w:tr>
      <w:tr w:rsidR="004843DB" w:rsidRPr="0062582F" w:rsidTr="004843DB">
        <w:trPr>
          <w:cantSplit/>
        </w:trPr>
        <w:tc>
          <w:tcPr>
            <w:tcW w:w="4093" w:type="dxa"/>
            <w:shd w:val="clear" w:color="auto" w:fill="D9D9D9"/>
            <w:vAlign w:val="bottom"/>
          </w:tcPr>
          <w:p w:rsidR="004843DB" w:rsidRPr="0062582F" w:rsidRDefault="004843DB" w:rsidP="004843DB">
            <w:pPr>
              <w:pStyle w:val="Tabletextblue"/>
              <w:rPr>
                <w:i/>
              </w:rPr>
            </w:pPr>
            <w:r w:rsidRPr="0062582F">
              <w:rPr>
                <w:i/>
              </w:rPr>
              <w:t>[Title of Trust 1]</w:t>
            </w:r>
          </w:p>
          <w:p w:rsidR="004843DB" w:rsidRPr="0062582F" w:rsidRDefault="004843DB" w:rsidP="004843DB">
            <w:pPr>
              <w:pStyle w:val="Tabletextblue"/>
              <w:ind w:left="180"/>
              <w:rPr>
                <w:i/>
                <w:sz w:val="16"/>
              </w:rPr>
            </w:pPr>
            <w:r w:rsidRPr="0062582F">
              <w:rPr>
                <w:i/>
                <w:sz w:val="16"/>
              </w:rPr>
              <w:t>[include legislative reference and nature and purpose for which Trust 1 was created.]</w:t>
            </w:r>
          </w:p>
        </w:tc>
        <w:tc>
          <w:tcPr>
            <w:tcW w:w="1057" w:type="dxa"/>
            <w:shd w:val="clear" w:color="auto" w:fill="D9D9D9"/>
            <w:vAlign w:val="bottom"/>
          </w:tcPr>
          <w:p w:rsidR="004843DB" w:rsidRPr="0062582F" w:rsidRDefault="004843DB" w:rsidP="004843DB">
            <w:pPr>
              <w:pStyle w:val="TableofFigures"/>
            </w:pPr>
            <w:r w:rsidRPr="0062582F">
              <w:t>..</w:t>
            </w:r>
          </w:p>
        </w:tc>
        <w:tc>
          <w:tcPr>
            <w:tcW w:w="1058" w:type="dxa"/>
            <w:shd w:val="clear" w:color="auto" w:fill="D9D9D9"/>
            <w:vAlign w:val="bottom"/>
          </w:tcPr>
          <w:p w:rsidR="004843DB" w:rsidRPr="0062582F" w:rsidRDefault="004843DB" w:rsidP="004843DB">
            <w:pPr>
              <w:pStyle w:val="TableofFigures"/>
            </w:pPr>
            <w:r w:rsidRPr="0062582F">
              <w:t>..</w:t>
            </w:r>
          </w:p>
        </w:tc>
        <w:tc>
          <w:tcPr>
            <w:tcW w:w="945" w:type="dxa"/>
            <w:shd w:val="clear" w:color="auto" w:fill="D9D9D9"/>
            <w:vAlign w:val="bottom"/>
          </w:tcPr>
          <w:p w:rsidR="004843DB" w:rsidRPr="0062582F" w:rsidRDefault="004843DB" w:rsidP="004843DB">
            <w:pPr>
              <w:pStyle w:val="TableofFigures"/>
            </w:pPr>
            <w:r w:rsidRPr="0062582F">
              <w:t>..</w:t>
            </w:r>
          </w:p>
        </w:tc>
        <w:tc>
          <w:tcPr>
            <w:tcW w:w="1170" w:type="dxa"/>
            <w:shd w:val="clear" w:color="auto" w:fill="D9D9D9"/>
            <w:vAlign w:val="bottom"/>
          </w:tcPr>
          <w:p w:rsidR="004843DB" w:rsidRPr="0062582F" w:rsidRDefault="004843DB" w:rsidP="004843DB">
            <w:pPr>
              <w:pStyle w:val="TableofFigures"/>
            </w:pPr>
            <w:r w:rsidRPr="0062582F">
              <w:t>..</w:t>
            </w:r>
          </w:p>
        </w:tc>
      </w:tr>
      <w:tr w:rsidR="004843DB" w:rsidRPr="0062582F" w:rsidTr="004843DB">
        <w:trPr>
          <w:cantSplit/>
        </w:trPr>
        <w:tc>
          <w:tcPr>
            <w:tcW w:w="4093" w:type="dxa"/>
            <w:shd w:val="clear" w:color="auto" w:fill="auto"/>
            <w:vAlign w:val="bottom"/>
          </w:tcPr>
          <w:p w:rsidR="004843DB" w:rsidRPr="0062582F" w:rsidRDefault="004843DB" w:rsidP="004843DB">
            <w:pPr>
              <w:rPr>
                <w:i/>
                <w:iCs/>
                <w:color w:val="0000FF"/>
                <w:sz w:val="4"/>
              </w:rPr>
            </w:pPr>
          </w:p>
        </w:tc>
        <w:tc>
          <w:tcPr>
            <w:tcW w:w="1057" w:type="dxa"/>
            <w:shd w:val="clear" w:color="auto" w:fill="auto"/>
            <w:vAlign w:val="bottom"/>
          </w:tcPr>
          <w:p w:rsidR="004843DB" w:rsidRPr="0062582F" w:rsidRDefault="004843DB" w:rsidP="004843DB">
            <w:pPr>
              <w:pStyle w:val="TableofFigures"/>
              <w:rPr>
                <w:sz w:val="4"/>
              </w:rPr>
            </w:pPr>
          </w:p>
        </w:tc>
        <w:tc>
          <w:tcPr>
            <w:tcW w:w="1058" w:type="dxa"/>
            <w:shd w:val="clear" w:color="auto" w:fill="auto"/>
            <w:vAlign w:val="bottom"/>
          </w:tcPr>
          <w:p w:rsidR="004843DB" w:rsidRPr="0062582F" w:rsidRDefault="004843DB" w:rsidP="004843DB">
            <w:pPr>
              <w:pStyle w:val="TableofFigures"/>
              <w:rPr>
                <w:sz w:val="4"/>
              </w:rPr>
            </w:pPr>
          </w:p>
        </w:tc>
        <w:tc>
          <w:tcPr>
            <w:tcW w:w="945" w:type="dxa"/>
            <w:shd w:val="clear" w:color="auto" w:fill="auto"/>
            <w:vAlign w:val="bottom"/>
          </w:tcPr>
          <w:p w:rsidR="004843DB" w:rsidRPr="0062582F" w:rsidRDefault="004843DB" w:rsidP="004843DB">
            <w:pPr>
              <w:pStyle w:val="TableofFigures"/>
              <w:rPr>
                <w:sz w:val="4"/>
              </w:rPr>
            </w:pPr>
          </w:p>
        </w:tc>
        <w:tc>
          <w:tcPr>
            <w:tcW w:w="1170" w:type="dxa"/>
            <w:shd w:val="clear" w:color="auto" w:fill="auto"/>
            <w:vAlign w:val="bottom"/>
          </w:tcPr>
          <w:p w:rsidR="004843DB" w:rsidRPr="0062582F" w:rsidRDefault="004843DB" w:rsidP="004843DB">
            <w:pPr>
              <w:pStyle w:val="TableofFigures"/>
              <w:rPr>
                <w:sz w:val="4"/>
              </w:rPr>
            </w:pPr>
          </w:p>
        </w:tc>
      </w:tr>
      <w:tr w:rsidR="004843DB" w:rsidRPr="0062582F" w:rsidTr="004843DB">
        <w:trPr>
          <w:cantSplit/>
        </w:trPr>
        <w:tc>
          <w:tcPr>
            <w:tcW w:w="4093" w:type="dxa"/>
            <w:tcBorders>
              <w:bottom w:val="single" w:sz="4" w:space="0" w:color="auto"/>
            </w:tcBorders>
            <w:shd w:val="clear" w:color="auto" w:fill="D9D9D9"/>
            <w:vAlign w:val="bottom"/>
          </w:tcPr>
          <w:p w:rsidR="004843DB" w:rsidRPr="0062582F" w:rsidRDefault="004843DB" w:rsidP="004843DB">
            <w:pPr>
              <w:pStyle w:val="Tabletextblue"/>
              <w:rPr>
                <w:i/>
              </w:rPr>
            </w:pPr>
            <w:r w:rsidRPr="0062582F">
              <w:rPr>
                <w:i/>
              </w:rPr>
              <w:t>[Title of Trust 2]</w:t>
            </w:r>
          </w:p>
          <w:p w:rsidR="004843DB" w:rsidRPr="0062582F" w:rsidRDefault="004843DB" w:rsidP="004843DB">
            <w:pPr>
              <w:pStyle w:val="Tabletextblue"/>
              <w:ind w:left="180"/>
              <w:rPr>
                <w:i/>
                <w:iCs/>
                <w:sz w:val="16"/>
                <w:szCs w:val="16"/>
              </w:rPr>
            </w:pPr>
            <w:r w:rsidRPr="0062582F">
              <w:rPr>
                <w:i/>
                <w:sz w:val="16"/>
                <w:szCs w:val="16"/>
              </w:rPr>
              <w:t>[include legislative reference and nature and purpose for which Trust 2 was created.]</w:t>
            </w:r>
            <w:r w:rsidRPr="0062582F" w:rsidDel="00381BD1">
              <w:rPr>
                <w:i/>
                <w:iCs/>
                <w:sz w:val="16"/>
                <w:szCs w:val="16"/>
              </w:rPr>
              <w:t xml:space="preserve"> </w:t>
            </w:r>
          </w:p>
        </w:tc>
        <w:tc>
          <w:tcPr>
            <w:tcW w:w="1057"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1058"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945"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1170"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r>
      <w:tr w:rsidR="004843DB" w:rsidRPr="0062582F" w:rsidTr="004843DB">
        <w:trPr>
          <w:cantSplit/>
        </w:trPr>
        <w:tc>
          <w:tcPr>
            <w:tcW w:w="4093" w:type="dxa"/>
            <w:tcBorders>
              <w:top w:val="single" w:sz="4" w:space="0" w:color="auto"/>
            </w:tcBorders>
            <w:vAlign w:val="bottom"/>
          </w:tcPr>
          <w:p w:rsidR="004843DB" w:rsidRPr="0062582F" w:rsidRDefault="004843DB" w:rsidP="004843DB">
            <w:pPr>
              <w:pStyle w:val="Tabletext"/>
              <w:rPr>
                <w:b/>
              </w:rPr>
            </w:pPr>
            <w:r w:rsidRPr="0062582F">
              <w:rPr>
                <w:b/>
              </w:rPr>
              <w:t>Total controlled trusts</w:t>
            </w:r>
          </w:p>
        </w:tc>
        <w:tc>
          <w:tcPr>
            <w:tcW w:w="1057" w:type="dxa"/>
            <w:tcBorders>
              <w:top w:val="single" w:sz="4" w:space="0" w:color="auto"/>
            </w:tcBorders>
            <w:vAlign w:val="bottom"/>
          </w:tcPr>
          <w:p w:rsidR="004843DB" w:rsidRPr="0062582F" w:rsidRDefault="004843DB" w:rsidP="004843DB">
            <w:pPr>
              <w:pStyle w:val="TableofFigures"/>
            </w:pPr>
            <w:r w:rsidRPr="0062582F">
              <w:t>..</w:t>
            </w:r>
          </w:p>
        </w:tc>
        <w:tc>
          <w:tcPr>
            <w:tcW w:w="1058" w:type="dxa"/>
            <w:tcBorders>
              <w:top w:val="single" w:sz="4" w:space="0" w:color="auto"/>
            </w:tcBorders>
            <w:vAlign w:val="bottom"/>
          </w:tcPr>
          <w:p w:rsidR="004843DB" w:rsidRPr="0062582F" w:rsidRDefault="004843DB" w:rsidP="004843DB">
            <w:pPr>
              <w:pStyle w:val="TableofFigures"/>
            </w:pPr>
            <w:r w:rsidRPr="0062582F">
              <w:t>..</w:t>
            </w:r>
          </w:p>
        </w:tc>
        <w:tc>
          <w:tcPr>
            <w:tcW w:w="945" w:type="dxa"/>
            <w:tcBorders>
              <w:top w:val="single" w:sz="4" w:space="0" w:color="auto"/>
            </w:tcBorders>
            <w:vAlign w:val="bottom"/>
          </w:tcPr>
          <w:p w:rsidR="004843DB" w:rsidRPr="0062582F" w:rsidRDefault="004843DB" w:rsidP="004843DB">
            <w:pPr>
              <w:pStyle w:val="TableofFigures"/>
            </w:pPr>
            <w:r w:rsidRPr="0062582F">
              <w:t>..</w:t>
            </w:r>
          </w:p>
        </w:tc>
        <w:tc>
          <w:tcPr>
            <w:tcW w:w="1170" w:type="dxa"/>
            <w:tcBorders>
              <w:top w:val="single" w:sz="4" w:space="0" w:color="auto"/>
            </w:tcBorders>
            <w:shd w:val="clear" w:color="auto" w:fill="FFFFFF"/>
            <w:vAlign w:val="bottom"/>
          </w:tcPr>
          <w:p w:rsidR="004843DB" w:rsidRPr="0062582F" w:rsidRDefault="004843DB" w:rsidP="004843DB">
            <w:pPr>
              <w:pStyle w:val="TableofFigures"/>
            </w:pPr>
            <w:r w:rsidRPr="0062582F">
              <w:t>..</w:t>
            </w:r>
          </w:p>
        </w:tc>
      </w:tr>
      <w:tr w:rsidR="004843DB" w:rsidRPr="0062582F" w:rsidTr="004843DB">
        <w:trPr>
          <w:cantSplit/>
        </w:trPr>
        <w:tc>
          <w:tcPr>
            <w:tcW w:w="4093" w:type="dxa"/>
            <w:vAlign w:val="bottom"/>
          </w:tcPr>
          <w:p w:rsidR="004843DB" w:rsidRPr="0062582F" w:rsidRDefault="004843DB" w:rsidP="004843DB">
            <w:pPr>
              <w:pStyle w:val="Tabletext"/>
              <w:rPr>
                <w:b/>
              </w:rPr>
            </w:pPr>
          </w:p>
        </w:tc>
        <w:tc>
          <w:tcPr>
            <w:tcW w:w="1057" w:type="dxa"/>
            <w:vAlign w:val="bottom"/>
          </w:tcPr>
          <w:p w:rsidR="004843DB" w:rsidRPr="0062582F" w:rsidRDefault="004843DB" w:rsidP="004843DB">
            <w:pPr>
              <w:pStyle w:val="TableofFigures"/>
              <w:rPr>
                <w:b/>
                <w:bCs/>
              </w:rPr>
            </w:pPr>
          </w:p>
        </w:tc>
        <w:tc>
          <w:tcPr>
            <w:tcW w:w="1058" w:type="dxa"/>
            <w:vAlign w:val="bottom"/>
          </w:tcPr>
          <w:p w:rsidR="004843DB" w:rsidRPr="0062582F" w:rsidRDefault="004843DB" w:rsidP="004843DB">
            <w:pPr>
              <w:pStyle w:val="TableofFigures"/>
              <w:rPr>
                <w:b/>
                <w:bCs/>
              </w:rPr>
            </w:pPr>
          </w:p>
        </w:tc>
        <w:tc>
          <w:tcPr>
            <w:tcW w:w="945" w:type="dxa"/>
            <w:vAlign w:val="bottom"/>
          </w:tcPr>
          <w:p w:rsidR="004843DB" w:rsidRPr="0062582F" w:rsidRDefault="004843DB" w:rsidP="004843DB">
            <w:pPr>
              <w:pStyle w:val="TableofFigures"/>
              <w:rPr>
                <w:b/>
                <w:bCs/>
              </w:rPr>
            </w:pPr>
          </w:p>
        </w:tc>
        <w:tc>
          <w:tcPr>
            <w:tcW w:w="1170" w:type="dxa"/>
            <w:shd w:val="clear" w:color="auto" w:fill="FFFFFF"/>
            <w:vAlign w:val="bottom"/>
          </w:tcPr>
          <w:p w:rsidR="004843DB" w:rsidRPr="0062582F" w:rsidRDefault="004843DB" w:rsidP="004843DB">
            <w:pPr>
              <w:pStyle w:val="TableofFigures"/>
              <w:rPr>
                <w:b/>
                <w:bCs/>
              </w:rPr>
            </w:pPr>
          </w:p>
        </w:tc>
      </w:tr>
      <w:tr w:rsidR="004843DB" w:rsidRPr="0062582F" w:rsidTr="004843DB">
        <w:trPr>
          <w:cantSplit/>
        </w:trPr>
        <w:tc>
          <w:tcPr>
            <w:tcW w:w="4093" w:type="dxa"/>
            <w:vAlign w:val="bottom"/>
          </w:tcPr>
          <w:p w:rsidR="004843DB" w:rsidRPr="0062582F" w:rsidRDefault="004843DB" w:rsidP="004843DB">
            <w:pPr>
              <w:pStyle w:val="Tabletext"/>
              <w:rPr>
                <w:b/>
              </w:rPr>
            </w:pPr>
            <w:r w:rsidRPr="0062582F">
              <w:rPr>
                <w:b/>
              </w:rPr>
              <w:t>Administered trusts</w:t>
            </w:r>
          </w:p>
        </w:tc>
        <w:tc>
          <w:tcPr>
            <w:tcW w:w="1057" w:type="dxa"/>
            <w:vAlign w:val="bottom"/>
          </w:tcPr>
          <w:p w:rsidR="004843DB" w:rsidRPr="0062582F" w:rsidRDefault="004843DB" w:rsidP="004843DB">
            <w:pPr>
              <w:pStyle w:val="TableofFigures"/>
              <w:rPr>
                <w:b/>
                <w:bCs/>
              </w:rPr>
            </w:pPr>
          </w:p>
        </w:tc>
        <w:tc>
          <w:tcPr>
            <w:tcW w:w="1058" w:type="dxa"/>
            <w:vAlign w:val="bottom"/>
          </w:tcPr>
          <w:p w:rsidR="004843DB" w:rsidRPr="0062582F" w:rsidRDefault="004843DB" w:rsidP="004843DB">
            <w:pPr>
              <w:pStyle w:val="TableofFigures"/>
              <w:rPr>
                <w:b/>
                <w:bCs/>
              </w:rPr>
            </w:pPr>
          </w:p>
        </w:tc>
        <w:tc>
          <w:tcPr>
            <w:tcW w:w="945" w:type="dxa"/>
            <w:vAlign w:val="bottom"/>
          </w:tcPr>
          <w:p w:rsidR="004843DB" w:rsidRPr="0062582F" w:rsidRDefault="004843DB" w:rsidP="004843DB">
            <w:pPr>
              <w:pStyle w:val="TableofFigures"/>
              <w:rPr>
                <w:b/>
                <w:bCs/>
              </w:rPr>
            </w:pPr>
          </w:p>
        </w:tc>
        <w:tc>
          <w:tcPr>
            <w:tcW w:w="1170" w:type="dxa"/>
            <w:shd w:val="clear" w:color="auto" w:fill="FFFFFF"/>
            <w:vAlign w:val="bottom"/>
          </w:tcPr>
          <w:p w:rsidR="004843DB" w:rsidRPr="0062582F" w:rsidRDefault="004843DB" w:rsidP="004843DB">
            <w:pPr>
              <w:pStyle w:val="TableofFigures"/>
              <w:rPr>
                <w:b/>
                <w:bCs/>
              </w:rPr>
            </w:pPr>
          </w:p>
        </w:tc>
      </w:tr>
      <w:tr w:rsidR="004843DB" w:rsidRPr="0062582F" w:rsidTr="004843DB">
        <w:trPr>
          <w:cantSplit/>
        </w:trPr>
        <w:tc>
          <w:tcPr>
            <w:tcW w:w="4093" w:type="dxa"/>
            <w:shd w:val="clear" w:color="auto" w:fill="D9D9D9"/>
            <w:vAlign w:val="bottom"/>
          </w:tcPr>
          <w:p w:rsidR="004843DB" w:rsidRPr="0062582F" w:rsidRDefault="004843DB" w:rsidP="004843DB">
            <w:pPr>
              <w:pStyle w:val="Tabletextblue"/>
              <w:rPr>
                <w:i/>
              </w:rPr>
            </w:pPr>
            <w:r w:rsidRPr="0062582F">
              <w:rPr>
                <w:i/>
              </w:rPr>
              <w:t>[Title of Trust 3]</w:t>
            </w:r>
          </w:p>
          <w:p w:rsidR="004843DB" w:rsidRPr="0062582F" w:rsidRDefault="004843DB" w:rsidP="004843DB">
            <w:pPr>
              <w:pStyle w:val="Tabletextblue"/>
              <w:ind w:left="180"/>
              <w:rPr>
                <w:i/>
                <w:iCs/>
                <w:sz w:val="16"/>
                <w:szCs w:val="16"/>
              </w:rPr>
            </w:pPr>
            <w:r w:rsidRPr="0062582F">
              <w:rPr>
                <w:i/>
                <w:iCs/>
                <w:sz w:val="16"/>
                <w:szCs w:val="16"/>
              </w:rPr>
              <w:t xml:space="preserve">[include legislative reference and nature and purpose for which </w:t>
            </w:r>
            <w:r w:rsidRPr="0062582F">
              <w:rPr>
                <w:i/>
                <w:sz w:val="16"/>
              </w:rPr>
              <w:t>Trust</w:t>
            </w:r>
            <w:r w:rsidRPr="0062582F">
              <w:rPr>
                <w:i/>
                <w:iCs/>
                <w:sz w:val="16"/>
                <w:szCs w:val="16"/>
              </w:rPr>
              <w:t xml:space="preserve"> 3 was created.]</w:t>
            </w:r>
            <w:r w:rsidRPr="0062582F" w:rsidDel="002D6164">
              <w:rPr>
                <w:i/>
                <w:iCs/>
                <w:sz w:val="16"/>
                <w:szCs w:val="16"/>
              </w:rPr>
              <w:t xml:space="preserve"> </w:t>
            </w:r>
          </w:p>
        </w:tc>
        <w:tc>
          <w:tcPr>
            <w:tcW w:w="1057" w:type="dxa"/>
            <w:shd w:val="clear" w:color="auto" w:fill="D9D9D9"/>
            <w:vAlign w:val="bottom"/>
          </w:tcPr>
          <w:p w:rsidR="004843DB" w:rsidRPr="0062582F" w:rsidRDefault="004843DB" w:rsidP="004843DB">
            <w:pPr>
              <w:pStyle w:val="TableofFigures"/>
            </w:pPr>
            <w:r w:rsidRPr="0062582F">
              <w:t>..</w:t>
            </w:r>
          </w:p>
        </w:tc>
        <w:tc>
          <w:tcPr>
            <w:tcW w:w="1058" w:type="dxa"/>
            <w:shd w:val="clear" w:color="auto" w:fill="D9D9D9"/>
            <w:vAlign w:val="bottom"/>
          </w:tcPr>
          <w:p w:rsidR="004843DB" w:rsidRPr="0062582F" w:rsidRDefault="004843DB" w:rsidP="004843DB">
            <w:pPr>
              <w:pStyle w:val="TableofFigures"/>
            </w:pPr>
            <w:r w:rsidRPr="0062582F">
              <w:t>..</w:t>
            </w:r>
          </w:p>
        </w:tc>
        <w:tc>
          <w:tcPr>
            <w:tcW w:w="945" w:type="dxa"/>
            <w:shd w:val="clear" w:color="auto" w:fill="D9D9D9"/>
            <w:vAlign w:val="bottom"/>
          </w:tcPr>
          <w:p w:rsidR="004843DB" w:rsidRPr="0062582F" w:rsidRDefault="004843DB" w:rsidP="004843DB">
            <w:pPr>
              <w:pStyle w:val="TableofFigures"/>
            </w:pPr>
            <w:r w:rsidRPr="0062582F">
              <w:t>..</w:t>
            </w:r>
          </w:p>
        </w:tc>
        <w:tc>
          <w:tcPr>
            <w:tcW w:w="1170" w:type="dxa"/>
            <w:shd w:val="clear" w:color="auto" w:fill="D9D9D9"/>
            <w:vAlign w:val="bottom"/>
          </w:tcPr>
          <w:p w:rsidR="004843DB" w:rsidRPr="0062582F" w:rsidRDefault="004843DB" w:rsidP="004843DB">
            <w:pPr>
              <w:pStyle w:val="TableofFigures"/>
            </w:pPr>
            <w:r w:rsidRPr="0062582F">
              <w:t>..</w:t>
            </w:r>
          </w:p>
        </w:tc>
      </w:tr>
      <w:tr w:rsidR="004843DB" w:rsidRPr="0062582F" w:rsidTr="004843DB">
        <w:trPr>
          <w:cantSplit/>
        </w:trPr>
        <w:tc>
          <w:tcPr>
            <w:tcW w:w="4093" w:type="dxa"/>
            <w:shd w:val="clear" w:color="auto" w:fill="auto"/>
            <w:vAlign w:val="bottom"/>
          </w:tcPr>
          <w:p w:rsidR="004843DB" w:rsidRPr="0062582F" w:rsidRDefault="004843DB" w:rsidP="004843DB">
            <w:pPr>
              <w:rPr>
                <w:i/>
                <w:iCs/>
                <w:color w:val="0000FF"/>
                <w:sz w:val="4"/>
              </w:rPr>
            </w:pPr>
          </w:p>
        </w:tc>
        <w:tc>
          <w:tcPr>
            <w:tcW w:w="1057" w:type="dxa"/>
            <w:shd w:val="clear" w:color="auto" w:fill="auto"/>
            <w:vAlign w:val="bottom"/>
          </w:tcPr>
          <w:p w:rsidR="004843DB" w:rsidRPr="0062582F" w:rsidRDefault="004843DB" w:rsidP="004843DB">
            <w:pPr>
              <w:pStyle w:val="TableofFigures"/>
              <w:rPr>
                <w:sz w:val="4"/>
              </w:rPr>
            </w:pPr>
          </w:p>
        </w:tc>
        <w:tc>
          <w:tcPr>
            <w:tcW w:w="1058" w:type="dxa"/>
            <w:shd w:val="clear" w:color="auto" w:fill="auto"/>
            <w:vAlign w:val="bottom"/>
          </w:tcPr>
          <w:p w:rsidR="004843DB" w:rsidRPr="0062582F" w:rsidRDefault="004843DB" w:rsidP="004843DB">
            <w:pPr>
              <w:pStyle w:val="TableofFigures"/>
              <w:rPr>
                <w:sz w:val="4"/>
              </w:rPr>
            </w:pPr>
          </w:p>
        </w:tc>
        <w:tc>
          <w:tcPr>
            <w:tcW w:w="945" w:type="dxa"/>
            <w:shd w:val="clear" w:color="auto" w:fill="auto"/>
            <w:vAlign w:val="bottom"/>
          </w:tcPr>
          <w:p w:rsidR="004843DB" w:rsidRPr="0062582F" w:rsidRDefault="004843DB" w:rsidP="004843DB">
            <w:pPr>
              <w:pStyle w:val="TableofFigures"/>
              <w:rPr>
                <w:sz w:val="4"/>
              </w:rPr>
            </w:pPr>
          </w:p>
        </w:tc>
        <w:tc>
          <w:tcPr>
            <w:tcW w:w="1170" w:type="dxa"/>
            <w:shd w:val="clear" w:color="auto" w:fill="auto"/>
            <w:vAlign w:val="bottom"/>
          </w:tcPr>
          <w:p w:rsidR="004843DB" w:rsidRPr="0062582F" w:rsidRDefault="004843DB" w:rsidP="004843DB">
            <w:pPr>
              <w:pStyle w:val="TableofFigures"/>
              <w:rPr>
                <w:sz w:val="4"/>
              </w:rPr>
            </w:pPr>
          </w:p>
        </w:tc>
      </w:tr>
      <w:tr w:rsidR="004843DB" w:rsidRPr="0062582F" w:rsidTr="004843DB">
        <w:trPr>
          <w:cantSplit/>
        </w:trPr>
        <w:tc>
          <w:tcPr>
            <w:tcW w:w="4093" w:type="dxa"/>
            <w:tcBorders>
              <w:bottom w:val="single" w:sz="4" w:space="0" w:color="auto"/>
            </w:tcBorders>
            <w:shd w:val="clear" w:color="auto" w:fill="D9D9D9"/>
            <w:vAlign w:val="bottom"/>
          </w:tcPr>
          <w:p w:rsidR="004843DB" w:rsidRPr="0062582F" w:rsidRDefault="004843DB" w:rsidP="004843DB">
            <w:pPr>
              <w:pStyle w:val="Tabletextblue"/>
              <w:rPr>
                <w:i/>
              </w:rPr>
            </w:pPr>
            <w:r w:rsidRPr="0062582F">
              <w:rPr>
                <w:i/>
              </w:rPr>
              <w:t>[Title of Trust 4]</w:t>
            </w:r>
          </w:p>
          <w:p w:rsidR="004843DB" w:rsidRPr="0062582F" w:rsidRDefault="004843DB" w:rsidP="004843DB">
            <w:pPr>
              <w:pStyle w:val="Tabletextblue"/>
              <w:ind w:left="180"/>
              <w:rPr>
                <w:i/>
                <w:iCs/>
                <w:sz w:val="16"/>
                <w:szCs w:val="16"/>
              </w:rPr>
            </w:pPr>
            <w:r w:rsidRPr="0062582F">
              <w:rPr>
                <w:i/>
                <w:iCs/>
                <w:sz w:val="16"/>
                <w:szCs w:val="16"/>
              </w:rPr>
              <w:t xml:space="preserve">[include </w:t>
            </w:r>
            <w:r w:rsidRPr="0062582F">
              <w:rPr>
                <w:i/>
                <w:sz w:val="16"/>
              </w:rPr>
              <w:t>legislative</w:t>
            </w:r>
            <w:r w:rsidRPr="0062582F">
              <w:rPr>
                <w:i/>
                <w:iCs/>
                <w:sz w:val="16"/>
                <w:szCs w:val="16"/>
              </w:rPr>
              <w:t xml:space="preserve"> reference and nature and purpose for which Trust 4 was created.]</w:t>
            </w:r>
            <w:r w:rsidRPr="0062582F" w:rsidDel="002D6164">
              <w:rPr>
                <w:i/>
                <w:iCs/>
                <w:sz w:val="16"/>
                <w:szCs w:val="16"/>
              </w:rPr>
              <w:t xml:space="preserve"> </w:t>
            </w:r>
          </w:p>
        </w:tc>
        <w:tc>
          <w:tcPr>
            <w:tcW w:w="1057"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1058"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945"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1170"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r>
      <w:tr w:rsidR="004843DB" w:rsidRPr="0062582F" w:rsidTr="004843DB">
        <w:trPr>
          <w:cantSplit/>
        </w:trPr>
        <w:tc>
          <w:tcPr>
            <w:tcW w:w="4093" w:type="dxa"/>
            <w:tcBorders>
              <w:top w:val="single" w:sz="4" w:space="0" w:color="auto"/>
              <w:bottom w:val="single" w:sz="12" w:space="0" w:color="auto"/>
            </w:tcBorders>
            <w:vAlign w:val="bottom"/>
          </w:tcPr>
          <w:p w:rsidR="004843DB" w:rsidRPr="0062582F" w:rsidRDefault="004843DB" w:rsidP="004843DB">
            <w:pPr>
              <w:pStyle w:val="Tabletext"/>
              <w:rPr>
                <w:b/>
              </w:rPr>
            </w:pPr>
            <w:r w:rsidRPr="0062582F">
              <w:rPr>
                <w:b/>
              </w:rPr>
              <w:t>Total administered trusts</w:t>
            </w:r>
          </w:p>
        </w:tc>
        <w:tc>
          <w:tcPr>
            <w:tcW w:w="1057" w:type="dxa"/>
            <w:tcBorders>
              <w:top w:val="single" w:sz="4" w:space="0" w:color="auto"/>
              <w:bottom w:val="single" w:sz="12" w:space="0" w:color="auto"/>
            </w:tcBorders>
            <w:vAlign w:val="bottom"/>
          </w:tcPr>
          <w:p w:rsidR="004843DB" w:rsidRPr="0062582F" w:rsidRDefault="004843DB" w:rsidP="004843DB">
            <w:pPr>
              <w:pStyle w:val="TableofFigures"/>
            </w:pPr>
            <w:r w:rsidRPr="0062582F">
              <w:t>..</w:t>
            </w:r>
          </w:p>
        </w:tc>
        <w:tc>
          <w:tcPr>
            <w:tcW w:w="1058" w:type="dxa"/>
            <w:tcBorders>
              <w:top w:val="single" w:sz="4" w:space="0" w:color="auto"/>
              <w:bottom w:val="single" w:sz="12" w:space="0" w:color="auto"/>
            </w:tcBorders>
            <w:vAlign w:val="bottom"/>
          </w:tcPr>
          <w:p w:rsidR="004843DB" w:rsidRPr="0062582F" w:rsidRDefault="004843DB" w:rsidP="004843DB">
            <w:pPr>
              <w:pStyle w:val="TableofFigures"/>
            </w:pPr>
            <w:r w:rsidRPr="0062582F">
              <w:t>..</w:t>
            </w:r>
          </w:p>
        </w:tc>
        <w:tc>
          <w:tcPr>
            <w:tcW w:w="945" w:type="dxa"/>
            <w:tcBorders>
              <w:top w:val="single" w:sz="4" w:space="0" w:color="auto"/>
              <w:bottom w:val="single" w:sz="12" w:space="0" w:color="auto"/>
            </w:tcBorders>
            <w:vAlign w:val="bottom"/>
          </w:tcPr>
          <w:p w:rsidR="004843DB" w:rsidRPr="0062582F" w:rsidRDefault="004843DB" w:rsidP="004843DB">
            <w:pPr>
              <w:pStyle w:val="TableofFigures"/>
            </w:pPr>
            <w:r w:rsidRPr="0062582F">
              <w:t>..</w:t>
            </w:r>
          </w:p>
        </w:tc>
        <w:tc>
          <w:tcPr>
            <w:tcW w:w="1170" w:type="dxa"/>
            <w:tcBorders>
              <w:top w:val="single" w:sz="4" w:space="0" w:color="auto"/>
              <w:bottom w:val="single" w:sz="12" w:space="0" w:color="auto"/>
            </w:tcBorders>
            <w:shd w:val="clear" w:color="auto" w:fill="FFFFFF"/>
            <w:vAlign w:val="bottom"/>
          </w:tcPr>
          <w:p w:rsidR="004843DB" w:rsidRPr="0062582F" w:rsidRDefault="004843DB" w:rsidP="004843DB">
            <w:pPr>
              <w:pStyle w:val="TableofFigures"/>
            </w:pPr>
            <w:r w:rsidRPr="0062582F">
              <w:t>..</w:t>
            </w:r>
          </w:p>
        </w:tc>
      </w:tr>
    </w:tbl>
    <w:p w:rsidR="004843DB" w:rsidRPr="0062582F" w:rsidRDefault="004843DB" w:rsidP="004843DB">
      <w:pPr>
        <w:pStyle w:val="Notes"/>
      </w:pPr>
    </w:p>
    <w:p w:rsidR="004843DB" w:rsidRPr="0062582F" w:rsidRDefault="004843DB" w:rsidP="004843DB">
      <w:pPr>
        <w:pStyle w:val="Tabletext"/>
      </w:pPr>
    </w:p>
    <w:p w:rsidR="004843DB" w:rsidRPr="0062582F" w:rsidRDefault="004843DB" w:rsidP="004843DB">
      <w:pPr>
        <w:pStyle w:val="Tabletextblue"/>
        <w:rPr>
          <w:i/>
        </w:rPr>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NoteHeadingcontinued"/>
      </w:pPr>
    </w:p>
    <w:p w:rsidR="004843DB" w:rsidRPr="0062582F" w:rsidRDefault="004843DB" w:rsidP="004843DB">
      <w:pPr>
        <w:pStyle w:val="Heading5"/>
        <w:spacing w:before="220"/>
      </w:pPr>
      <w:r w:rsidRPr="0062582F">
        <w:br/>
      </w:r>
    </w:p>
    <w:p w:rsidR="004843DB" w:rsidRPr="0062582F" w:rsidRDefault="004843DB" w:rsidP="004843DB">
      <w:pPr>
        <w:pStyle w:val="million"/>
        <w:spacing w:before="140"/>
      </w:pPr>
    </w:p>
    <w:tbl>
      <w:tblPr>
        <w:tblW w:w="6703" w:type="dxa"/>
        <w:tblLayout w:type="fixed"/>
        <w:tblCellMar>
          <w:left w:w="43" w:type="dxa"/>
          <w:right w:w="43" w:type="dxa"/>
        </w:tblCellMar>
        <w:tblLook w:val="0000" w:firstRow="0" w:lastRow="0" w:firstColumn="0" w:lastColumn="0" w:noHBand="0" w:noVBand="0"/>
      </w:tblPr>
      <w:tblGrid>
        <w:gridCol w:w="1675"/>
        <w:gridCol w:w="1676"/>
        <w:gridCol w:w="1370"/>
        <w:gridCol w:w="1982"/>
      </w:tblGrid>
      <w:tr w:rsidR="004843DB" w:rsidRPr="0062582F" w:rsidTr="004843DB">
        <w:trPr>
          <w:cantSplit/>
        </w:trPr>
        <w:tc>
          <w:tcPr>
            <w:tcW w:w="6703" w:type="dxa"/>
            <w:gridSpan w:val="4"/>
            <w:tcBorders>
              <w:top w:val="single" w:sz="4" w:space="0" w:color="auto"/>
              <w:bottom w:val="single" w:sz="4" w:space="0" w:color="auto"/>
            </w:tcBorders>
          </w:tcPr>
          <w:p w:rsidR="004843DB" w:rsidRPr="0062582F" w:rsidRDefault="004843DB" w:rsidP="004843DB">
            <w:pPr>
              <w:pStyle w:val="TabletextheadingCentred"/>
            </w:pPr>
            <w:r w:rsidRPr="0062582F">
              <w:t>2015</w:t>
            </w:r>
          </w:p>
        </w:tc>
      </w:tr>
      <w:tr w:rsidR="004843DB" w:rsidRPr="0062582F" w:rsidTr="004843DB">
        <w:trPr>
          <w:cantSplit/>
        </w:trPr>
        <w:tc>
          <w:tcPr>
            <w:tcW w:w="1675" w:type="dxa"/>
            <w:tcBorders>
              <w:top w:val="single" w:sz="4" w:space="0" w:color="auto"/>
              <w:bottom w:val="single" w:sz="4" w:space="0" w:color="auto"/>
            </w:tcBorders>
          </w:tcPr>
          <w:p w:rsidR="004843DB" w:rsidRPr="0062582F" w:rsidRDefault="004843DB" w:rsidP="004843DB">
            <w:pPr>
              <w:pStyle w:val="Tabletextheading"/>
            </w:pPr>
            <w:r w:rsidRPr="0062582F">
              <w:t xml:space="preserve">Opening </w:t>
            </w:r>
            <w:r w:rsidRPr="0062582F">
              <w:br/>
              <w:t xml:space="preserve">balance as at </w:t>
            </w:r>
            <w:r w:rsidRPr="0062582F">
              <w:br/>
              <w:t>1 July 2014</w:t>
            </w:r>
          </w:p>
        </w:tc>
        <w:tc>
          <w:tcPr>
            <w:tcW w:w="1676" w:type="dxa"/>
            <w:tcBorders>
              <w:top w:val="single" w:sz="4" w:space="0" w:color="auto"/>
              <w:bottom w:val="single" w:sz="4" w:space="0" w:color="auto"/>
            </w:tcBorders>
            <w:vAlign w:val="bottom"/>
          </w:tcPr>
          <w:p w:rsidR="004843DB" w:rsidRPr="0062582F" w:rsidRDefault="004843DB" w:rsidP="004843DB">
            <w:pPr>
              <w:pStyle w:val="Tabletextheading"/>
            </w:pPr>
            <w:r w:rsidRPr="0062582F">
              <w:t xml:space="preserve">Total </w:t>
            </w:r>
            <w:r w:rsidRPr="0062582F">
              <w:br/>
              <w:t>receipts</w:t>
            </w:r>
          </w:p>
        </w:tc>
        <w:tc>
          <w:tcPr>
            <w:tcW w:w="1370" w:type="dxa"/>
            <w:tcBorders>
              <w:top w:val="single" w:sz="4" w:space="0" w:color="auto"/>
              <w:bottom w:val="single" w:sz="4" w:space="0" w:color="auto"/>
            </w:tcBorders>
            <w:vAlign w:val="bottom"/>
          </w:tcPr>
          <w:p w:rsidR="004843DB" w:rsidRPr="0062582F" w:rsidRDefault="004843DB" w:rsidP="004843DB">
            <w:pPr>
              <w:pStyle w:val="Tabletextheading"/>
            </w:pPr>
            <w:r w:rsidRPr="0062582F">
              <w:t xml:space="preserve">Total </w:t>
            </w:r>
            <w:r w:rsidRPr="0062582F">
              <w:br/>
              <w:t>payments</w:t>
            </w:r>
          </w:p>
        </w:tc>
        <w:tc>
          <w:tcPr>
            <w:tcW w:w="1982" w:type="dxa"/>
            <w:tcBorders>
              <w:top w:val="single" w:sz="4" w:space="0" w:color="auto"/>
              <w:bottom w:val="single" w:sz="4" w:space="0" w:color="auto"/>
            </w:tcBorders>
            <w:shd w:val="clear" w:color="auto" w:fill="FFFFFF"/>
          </w:tcPr>
          <w:p w:rsidR="004843DB" w:rsidRPr="0062582F" w:rsidRDefault="004843DB" w:rsidP="004843DB">
            <w:pPr>
              <w:pStyle w:val="Tabletextheading"/>
            </w:pPr>
            <w:r w:rsidRPr="0062582F">
              <w:t xml:space="preserve">Closing </w:t>
            </w:r>
            <w:r w:rsidRPr="0062582F">
              <w:br/>
              <w:t xml:space="preserve">balance as at </w:t>
            </w:r>
            <w:r w:rsidRPr="0062582F">
              <w:br/>
              <w:t xml:space="preserve">30 June 2015 </w:t>
            </w:r>
          </w:p>
        </w:tc>
      </w:tr>
      <w:tr w:rsidR="004843DB" w:rsidRPr="0062582F" w:rsidTr="004843DB">
        <w:trPr>
          <w:cantSplit/>
        </w:trPr>
        <w:tc>
          <w:tcPr>
            <w:tcW w:w="1675" w:type="dxa"/>
            <w:tcBorders>
              <w:top w:val="single" w:sz="4" w:space="0" w:color="auto"/>
            </w:tcBorders>
            <w:vAlign w:val="bottom"/>
          </w:tcPr>
          <w:p w:rsidR="004843DB" w:rsidRPr="0062582F" w:rsidRDefault="004843DB" w:rsidP="004843DB">
            <w:pPr>
              <w:pStyle w:val="TableofFigures"/>
            </w:pPr>
          </w:p>
        </w:tc>
        <w:tc>
          <w:tcPr>
            <w:tcW w:w="1676" w:type="dxa"/>
            <w:tcBorders>
              <w:top w:val="single" w:sz="4" w:space="0" w:color="auto"/>
            </w:tcBorders>
            <w:vAlign w:val="bottom"/>
          </w:tcPr>
          <w:p w:rsidR="004843DB" w:rsidRPr="0062582F" w:rsidRDefault="004843DB" w:rsidP="004843DB">
            <w:pPr>
              <w:pStyle w:val="TableofFigures"/>
            </w:pPr>
          </w:p>
        </w:tc>
        <w:tc>
          <w:tcPr>
            <w:tcW w:w="1370" w:type="dxa"/>
            <w:tcBorders>
              <w:top w:val="single" w:sz="4" w:space="0" w:color="auto"/>
            </w:tcBorders>
            <w:vAlign w:val="bottom"/>
          </w:tcPr>
          <w:p w:rsidR="004843DB" w:rsidRPr="0062582F" w:rsidRDefault="004843DB" w:rsidP="004843DB">
            <w:pPr>
              <w:pStyle w:val="TableofFigures"/>
            </w:pPr>
          </w:p>
        </w:tc>
        <w:tc>
          <w:tcPr>
            <w:tcW w:w="1982" w:type="dxa"/>
            <w:tcBorders>
              <w:top w:val="single" w:sz="4" w:space="0" w:color="auto"/>
            </w:tcBorders>
            <w:shd w:val="clear" w:color="auto" w:fill="FFFFFF"/>
            <w:vAlign w:val="bottom"/>
          </w:tcPr>
          <w:p w:rsidR="004843DB" w:rsidRPr="0062582F" w:rsidRDefault="004843DB" w:rsidP="004843DB">
            <w:pPr>
              <w:pStyle w:val="TableofFigures"/>
            </w:pPr>
          </w:p>
        </w:tc>
      </w:tr>
      <w:tr w:rsidR="004843DB" w:rsidRPr="0062582F" w:rsidTr="004843DB">
        <w:trPr>
          <w:cantSplit/>
        </w:trPr>
        <w:tc>
          <w:tcPr>
            <w:tcW w:w="1675" w:type="dxa"/>
            <w:vAlign w:val="bottom"/>
          </w:tcPr>
          <w:p w:rsidR="004843DB" w:rsidRPr="0062582F" w:rsidRDefault="004843DB" w:rsidP="004843DB">
            <w:pPr>
              <w:pStyle w:val="TableofFigures"/>
              <w:rPr>
                <w:bCs/>
              </w:rPr>
            </w:pPr>
          </w:p>
        </w:tc>
        <w:tc>
          <w:tcPr>
            <w:tcW w:w="1676" w:type="dxa"/>
            <w:vAlign w:val="bottom"/>
          </w:tcPr>
          <w:p w:rsidR="004843DB" w:rsidRPr="0062582F" w:rsidRDefault="004843DB" w:rsidP="004843DB">
            <w:pPr>
              <w:pStyle w:val="TableofFigures"/>
              <w:rPr>
                <w:bCs/>
              </w:rPr>
            </w:pPr>
          </w:p>
        </w:tc>
        <w:tc>
          <w:tcPr>
            <w:tcW w:w="1370" w:type="dxa"/>
            <w:vAlign w:val="bottom"/>
          </w:tcPr>
          <w:p w:rsidR="004843DB" w:rsidRPr="0062582F" w:rsidRDefault="004843DB" w:rsidP="004843DB">
            <w:pPr>
              <w:pStyle w:val="TableofFigures"/>
              <w:rPr>
                <w:bCs/>
              </w:rPr>
            </w:pPr>
          </w:p>
        </w:tc>
        <w:tc>
          <w:tcPr>
            <w:tcW w:w="1982" w:type="dxa"/>
            <w:shd w:val="clear" w:color="auto" w:fill="FFFFFF"/>
            <w:vAlign w:val="bottom"/>
          </w:tcPr>
          <w:p w:rsidR="004843DB" w:rsidRPr="0062582F" w:rsidRDefault="004843DB" w:rsidP="004843DB">
            <w:pPr>
              <w:pStyle w:val="TableofFigures"/>
              <w:rPr>
                <w:bCs/>
              </w:rPr>
            </w:pPr>
          </w:p>
        </w:tc>
      </w:tr>
      <w:tr w:rsidR="004843DB" w:rsidRPr="0062582F" w:rsidTr="004843DB">
        <w:trPr>
          <w:cantSplit/>
        </w:trPr>
        <w:tc>
          <w:tcPr>
            <w:tcW w:w="1675" w:type="dxa"/>
            <w:shd w:val="clear" w:color="auto" w:fill="D9D9D9"/>
            <w:vAlign w:val="bottom"/>
          </w:tcPr>
          <w:p w:rsidR="004843DB" w:rsidRPr="0062582F" w:rsidRDefault="004843DB" w:rsidP="004843DB">
            <w:pPr>
              <w:pStyle w:val="Tabletextblue"/>
              <w:rPr>
                <w:i/>
                <w:color w:val="auto"/>
              </w:rPr>
            </w:pPr>
          </w:p>
          <w:p w:rsidR="004843DB" w:rsidRPr="0062582F" w:rsidRDefault="004843DB" w:rsidP="004843DB">
            <w:pPr>
              <w:pStyle w:val="Tabletextblue"/>
              <w:ind w:left="454"/>
              <w:jc w:val="right"/>
              <w:rPr>
                <w:i/>
                <w:sz w:val="16"/>
              </w:rPr>
            </w:pPr>
            <w:r w:rsidRPr="0062582F">
              <w:rPr>
                <w:i/>
                <w:color w:val="auto"/>
                <w:sz w:val="16"/>
              </w:rPr>
              <w:br/>
              <w:t>..</w:t>
            </w:r>
          </w:p>
        </w:tc>
        <w:tc>
          <w:tcPr>
            <w:tcW w:w="1676" w:type="dxa"/>
            <w:shd w:val="clear" w:color="auto" w:fill="D9D9D9"/>
            <w:vAlign w:val="bottom"/>
          </w:tcPr>
          <w:p w:rsidR="004843DB" w:rsidRPr="0062582F" w:rsidRDefault="004843DB" w:rsidP="004843DB">
            <w:pPr>
              <w:pStyle w:val="TableofFigures"/>
            </w:pPr>
            <w:r w:rsidRPr="0062582F">
              <w:t>..</w:t>
            </w:r>
          </w:p>
        </w:tc>
        <w:tc>
          <w:tcPr>
            <w:tcW w:w="1370" w:type="dxa"/>
            <w:shd w:val="clear" w:color="auto" w:fill="D9D9D9"/>
            <w:vAlign w:val="bottom"/>
          </w:tcPr>
          <w:p w:rsidR="004843DB" w:rsidRPr="0062582F" w:rsidRDefault="004843DB" w:rsidP="004843DB">
            <w:pPr>
              <w:pStyle w:val="TableofFigures"/>
            </w:pPr>
            <w:r w:rsidRPr="0062582F">
              <w:t>..</w:t>
            </w:r>
          </w:p>
        </w:tc>
        <w:tc>
          <w:tcPr>
            <w:tcW w:w="1982" w:type="dxa"/>
            <w:shd w:val="clear" w:color="auto" w:fill="D9D9D9"/>
            <w:vAlign w:val="bottom"/>
          </w:tcPr>
          <w:p w:rsidR="004843DB" w:rsidRPr="0062582F" w:rsidRDefault="004843DB" w:rsidP="004843DB">
            <w:pPr>
              <w:pStyle w:val="TableofFigures"/>
            </w:pPr>
            <w:r w:rsidRPr="0062582F">
              <w:t>..</w:t>
            </w:r>
          </w:p>
        </w:tc>
      </w:tr>
      <w:tr w:rsidR="004843DB" w:rsidRPr="0062582F" w:rsidTr="004843DB">
        <w:trPr>
          <w:cantSplit/>
        </w:trPr>
        <w:tc>
          <w:tcPr>
            <w:tcW w:w="1675" w:type="dxa"/>
            <w:shd w:val="clear" w:color="auto" w:fill="auto"/>
            <w:vAlign w:val="bottom"/>
          </w:tcPr>
          <w:p w:rsidR="004843DB" w:rsidRPr="0062582F" w:rsidRDefault="004843DB" w:rsidP="004843DB">
            <w:pPr>
              <w:pStyle w:val="TableofFigures"/>
              <w:rPr>
                <w:sz w:val="8"/>
              </w:rPr>
            </w:pPr>
          </w:p>
        </w:tc>
        <w:tc>
          <w:tcPr>
            <w:tcW w:w="1676" w:type="dxa"/>
            <w:shd w:val="clear" w:color="auto" w:fill="auto"/>
            <w:vAlign w:val="bottom"/>
          </w:tcPr>
          <w:p w:rsidR="004843DB" w:rsidRPr="0062582F" w:rsidRDefault="004843DB" w:rsidP="004843DB">
            <w:pPr>
              <w:pStyle w:val="TableofFigures"/>
              <w:rPr>
                <w:sz w:val="8"/>
              </w:rPr>
            </w:pPr>
          </w:p>
        </w:tc>
        <w:tc>
          <w:tcPr>
            <w:tcW w:w="1370" w:type="dxa"/>
            <w:shd w:val="clear" w:color="auto" w:fill="auto"/>
            <w:vAlign w:val="bottom"/>
          </w:tcPr>
          <w:p w:rsidR="004843DB" w:rsidRPr="0062582F" w:rsidRDefault="004843DB" w:rsidP="004843DB">
            <w:pPr>
              <w:pStyle w:val="TableofFigures"/>
              <w:rPr>
                <w:sz w:val="8"/>
              </w:rPr>
            </w:pPr>
          </w:p>
        </w:tc>
        <w:tc>
          <w:tcPr>
            <w:tcW w:w="1982" w:type="dxa"/>
            <w:shd w:val="clear" w:color="auto" w:fill="auto"/>
            <w:vAlign w:val="bottom"/>
          </w:tcPr>
          <w:p w:rsidR="004843DB" w:rsidRPr="0062582F" w:rsidRDefault="004843DB" w:rsidP="004843DB">
            <w:pPr>
              <w:pStyle w:val="TableofFigures"/>
              <w:rPr>
                <w:sz w:val="8"/>
              </w:rPr>
            </w:pPr>
          </w:p>
        </w:tc>
      </w:tr>
      <w:tr w:rsidR="004843DB" w:rsidRPr="0062582F" w:rsidTr="004843DB">
        <w:trPr>
          <w:cantSplit/>
        </w:trPr>
        <w:tc>
          <w:tcPr>
            <w:tcW w:w="1675" w:type="dxa"/>
            <w:tcBorders>
              <w:bottom w:val="single" w:sz="4" w:space="0" w:color="auto"/>
            </w:tcBorders>
            <w:shd w:val="clear" w:color="auto" w:fill="D9D9D9"/>
            <w:vAlign w:val="bottom"/>
          </w:tcPr>
          <w:p w:rsidR="004843DB" w:rsidRPr="0062582F" w:rsidRDefault="004843DB" w:rsidP="004843DB">
            <w:pPr>
              <w:pStyle w:val="Tabletextblue"/>
              <w:rPr>
                <w:i/>
                <w:color w:val="auto"/>
              </w:rPr>
            </w:pPr>
          </w:p>
          <w:p w:rsidR="004843DB" w:rsidRPr="0062582F" w:rsidRDefault="004843DB" w:rsidP="004843DB">
            <w:pPr>
              <w:pStyle w:val="Tabletextblue"/>
              <w:ind w:left="454"/>
              <w:jc w:val="right"/>
              <w:rPr>
                <w:i/>
                <w:sz w:val="16"/>
              </w:rPr>
            </w:pPr>
            <w:r w:rsidRPr="0062582F">
              <w:rPr>
                <w:i/>
                <w:color w:val="auto"/>
                <w:sz w:val="16"/>
              </w:rPr>
              <w:br/>
              <w:t>..</w:t>
            </w:r>
          </w:p>
        </w:tc>
        <w:tc>
          <w:tcPr>
            <w:tcW w:w="1676"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1370"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1982"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r>
      <w:tr w:rsidR="004843DB" w:rsidRPr="0062582F" w:rsidTr="004843DB">
        <w:trPr>
          <w:cantSplit/>
        </w:trPr>
        <w:tc>
          <w:tcPr>
            <w:tcW w:w="1675" w:type="dxa"/>
            <w:tcBorders>
              <w:top w:val="single" w:sz="4" w:space="0" w:color="auto"/>
            </w:tcBorders>
            <w:vAlign w:val="bottom"/>
          </w:tcPr>
          <w:p w:rsidR="004843DB" w:rsidRPr="0062582F" w:rsidRDefault="004843DB" w:rsidP="004843DB">
            <w:pPr>
              <w:pStyle w:val="TableofFigures"/>
              <w:rPr>
                <w:bCs/>
              </w:rPr>
            </w:pPr>
          </w:p>
        </w:tc>
        <w:tc>
          <w:tcPr>
            <w:tcW w:w="1676" w:type="dxa"/>
            <w:tcBorders>
              <w:top w:val="single" w:sz="4" w:space="0" w:color="auto"/>
            </w:tcBorders>
            <w:vAlign w:val="bottom"/>
          </w:tcPr>
          <w:p w:rsidR="004843DB" w:rsidRPr="0062582F" w:rsidRDefault="004843DB" w:rsidP="004843DB">
            <w:pPr>
              <w:pStyle w:val="TableofFigures"/>
            </w:pPr>
            <w:r w:rsidRPr="0062582F">
              <w:t>..</w:t>
            </w:r>
          </w:p>
        </w:tc>
        <w:tc>
          <w:tcPr>
            <w:tcW w:w="1370" w:type="dxa"/>
            <w:tcBorders>
              <w:top w:val="single" w:sz="4" w:space="0" w:color="auto"/>
            </w:tcBorders>
            <w:vAlign w:val="bottom"/>
          </w:tcPr>
          <w:p w:rsidR="004843DB" w:rsidRPr="0062582F" w:rsidRDefault="004843DB" w:rsidP="004843DB">
            <w:pPr>
              <w:pStyle w:val="TableofFigures"/>
            </w:pPr>
            <w:r w:rsidRPr="0062582F">
              <w:t>..</w:t>
            </w:r>
          </w:p>
        </w:tc>
        <w:tc>
          <w:tcPr>
            <w:tcW w:w="1982" w:type="dxa"/>
            <w:tcBorders>
              <w:top w:val="single" w:sz="4" w:space="0" w:color="auto"/>
            </w:tcBorders>
            <w:shd w:val="clear" w:color="auto" w:fill="FFFFFF"/>
            <w:vAlign w:val="bottom"/>
          </w:tcPr>
          <w:p w:rsidR="004843DB" w:rsidRPr="0062582F" w:rsidRDefault="004843DB" w:rsidP="004843DB">
            <w:pPr>
              <w:pStyle w:val="TableofFigures"/>
            </w:pPr>
            <w:r w:rsidRPr="0062582F">
              <w:t>..</w:t>
            </w:r>
          </w:p>
        </w:tc>
      </w:tr>
      <w:tr w:rsidR="004843DB" w:rsidRPr="0062582F" w:rsidTr="004843DB">
        <w:trPr>
          <w:cantSplit/>
        </w:trPr>
        <w:tc>
          <w:tcPr>
            <w:tcW w:w="1675" w:type="dxa"/>
            <w:vAlign w:val="bottom"/>
          </w:tcPr>
          <w:p w:rsidR="004843DB" w:rsidRPr="0062582F" w:rsidRDefault="004843DB" w:rsidP="004843DB">
            <w:pPr>
              <w:pStyle w:val="TableofFigures"/>
              <w:rPr>
                <w:bCs/>
              </w:rPr>
            </w:pPr>
          </w:p>
        </w:tc>
        <w:tc>
          <w:tcPr>
            <w:tcW w:w="1676" w:type="dxa"/>
            <w:vAlign w:val="bottom"/>
          </w:tcPr>
          <w:p w:rsidR="004843DB" w:rsidRPr="0062582F" w:rsidRDefault="004843DB" w:rsidP="004843DB">
            <w:pPr>
              <w:pStyle w:val="TableofFigures"/>
              <w:rPr>
                <w:bCs/>
              </w:rPr>
            </w:pPr>
          </w:p>
        </w:tc>
        <w:tc>
          <w:tcPr>
            <w:tcW w:w="1370" w:type="dxa"/>
            <w:vAlign w:val="bottom"/>
          </w:tcPr>
          <w:p w:rsidR="004843DB" w:rsidRPr="0062582F" w:rsidRDefault="004843DB" w:rsidP="004843DB">
            <w:pPr>
              <w:pStyle w:val="TableofFigures"/>
              <w:rPr>
                <w:bCs/>
              </w:rPr>
            </w:pPr>
          </w:p>
        </w:tc>
        <w:tc>
          <w:tcPr>
            <w:tcW w:w="1982" w:type="dxa"/>
            <w:shd w:val="clear" w:color="auto" w:fill="FFFFFF"/>
            <w:vAlign w:val="bottom"/>
          </w:tcPr>
          <w:p w:rsidR="004843DB" w:rsidRPr="0062582F" w:rsidRDefault="004843DB" w:rsidP="004843DB">
            <w:pPr>
              <w:pStyle w:val="TableofFigures"/>
              <w:rPr>
                <w:bCs/>
              </w:rPr>
            </w:pPr>
          </w:p>
        </w:tc>
      </w:tr>
      <w:tr w:rsidR="004843DB" w:rsidRPr="0062582F" w:rsidTr="004843DB">
        <w:trPr>
          <w:cantSplit/>
        </w:trPr>
        <w:tc>
          <w:tcPr>
            <w:tcW w:w="1675" w:type="dxa"/>
            <w:vAlign w:val="bottom"/>
          </w:tcPr>
          <w:p w:rsidR="004843DB" w:rsidRPr="0062582F" w:rsidRDefault="004843DB" w:rsidP="004843DB">
            <w:pPr>
              <w:pStyle w:val="TableofFigures"/>
              <w:rPr>
                <w:bCs/>
              </w:rPr>
            </w:pPr>
          </w:p>
        </w:tc>
        <w:tc>
          <w:tcPr>
            <w:tcW w:w="1676" w:type="dxa"/>
            <w:vAlign w:val="bottom"/>
          </w:tcPr>
          <w:p w:rsidR="004843DB" w:rsidRPr="0062582F" w:rsidRDefault="004843DB" w:rsidP="004843DB">
            <w:pPr>
              <w:pStyle w:val="TableofFigures"/>
              <w:rPr>
                <w:bCs/>
              </w:rPr>
            </w:pPr>
          </w:p>
        </w:tc>
        <w:tc>
          <w:tcPr>
            <w:tcW w:w="1370" w:type="dxa"/>
            <w:vAlign w:val="bottom"/>
          </w:tcPr>
          <w:p w:rsidR="004843DB" w:rsidRPr="0062582F" w:rsidRDefault="004843DB" w:rsidP="004843DB">
            <w:pPr>
              <w:pStyle w:val="TableofFigures"/>
              <w:rPr>
                <w:bCs/>
              </w:rPr>
            </w:pPr>
          </w:p>
        </w:tc>
        <w:tc>
          <w:tcPr>
            <w:tcW w:w="1982" w:type="dxa"/>
            <w:shd w:val="clear" w:color="auto" w:fill="FFFFFF"/>
            <w:vAlign w:val="bottom"/>
          </w:tcPr>
          <w:p w:rsidR="004843DB" w:rsidRPr="0062582F" w:rsidRDefault="004843DB" w:rsidP="004843DB">
            <w:pPr>
              <w:pStyle w:val="TableofFigures"/>
              <w:rPr>
                <w:bCs/>
              </w:rPr>
            </w:pPr>
          </w:p>
        </w:tc>
      </w:tr>
      <w:tr w:rsidR="004843DB" w:rsidRPr="0062582F" w:rsidTr="004843DB">
        <w:trPr>
          <w:cantSplit/>
        </w:trPr>
        <w:tc>
          <w:tcPr>
            <w:tcW w:w="1675" w:type="dxa"/>
            <w:shd w:val="clear" w:color="auto" w:fill="D9D9D9"/>
            <w:vAlign w:val="bottom"/>
          </w:tcPr>
          <w:p w:rsidR="004843DB" w:rsidRPr="0062582F" w:rsidRDefault="004843DB" w:rsidP="004843DB">
            <w:pPr>
              <w:pStyle w:val="Tabletextblue"/>
              <w:rPr>
                <w:i/>
                <w:color w:val="auto"/>
              </w:rPr>
            </w:pPr>
          </w:p>
          <w:p w:rsidR="004843DB" w:rsidRPr="0062582F" w:rsidRDefault="004843DB" w:rsidP="004843DB">
            <w:pPr>
              <w:pStyle w:val="Tabletextblue"/>
              <w:ind w:left="454"/>
              <w:jc w:val="right"/>
              <w:rPr>
                <w:i/>
                <w:sz w:val="16"/>
              </w:rPr>
            </w:pPr>
            <w:r w:rsidRPr="0062582F">
              <w:rPr>
                <w:i/>
                <w:color w:val="auto"/>
                <w:sz w:val="16"/>
              </w:rPr>
              <w:br/>
              <w:t>..</w:t>
            </w:r>
          </w:p>
        </w:tc>
        <w:tc>
          <w:tcPr>
            <w:tcW w:w="1676" w:type="dxa"/>
            <w:shd w:val="clear" w:color="auto" w:fill="D9D9D9"/>
            <w:vAlign w:val="bottom"/>
          </w:tcPr>
          <w:p w:rsidR="004843DB" w:rsidRPr="0062582F" w:rsidRDefault="004843DB" w:rsidP="004843DB">
            <w:pPr>
              <w:pStyle w:val="TableofFigures"/>
            </w:pPr>
            <w:r w:rsidRPr="0062582F">
              <w:t>..</w:t>
            </w:r>
          </w:p>
        </w:tc>
        <w:tc>
          <w:tcPr>
            <w:tcW w:w="1370" w:type="dxa"/>
            <w:shd w:val="clear" w:color="auto" w:fill="D9D9D9"/>
            <w:vAlign w:val="bottom"/>
          </w:tcPr>
          <w:p w:rsidR="004843DB" w:rsidRPr="0062582F" w:rsidRDefault="004843DB" w:rsidP="004843DB">
            <w:pPr>
              <w:pStyle w:val="TableofFigures"/>
            </w:pPr>
            <w:r w:rsidRPr="0062582F">
              <w:t>..</w:t>
            </w:r>
          </w:p>
        </w:tc>
        <w:tc>
          <w:tcPr>
            <w:tcW w:w="1982" w:type="dxa"/>
            <w:shd w:val="clear" w:color="auto" w:fill="D9D9D9"/>
            <w:vAlign w:val="bottom"/>
          </w:tcPr>
          <w:p w:rsidR="004843DB" w:rsidRPr="0062582F" w:rsidRDefault="004843DB" w:rsidP="004843DB">
            <w:pPr>
              <w:pStyle w:val="TableofFigures"/>
            </w:pPr>
            <w:r w:rsidRPr="0062582F">
              <w:t>..</w:t>
            </w:r>
          </w:p>
        </w:tc>
      </w:tr>
      <w:tr w:rsidR="004843DB" w:rsidRPr="0062582F" w:rsidTr="004843DB">
        <w:trPr>
          <w:cantSplit/>
        </w:trPr>
        <w:tc>
          <w:tcPr>
            <w:tcW w:w="1675" w:type="dxa"/>
            <w:shd w:val="clear" w:color="auto" w:fill="auto"/>
            <w:vAlign w:val="bottom"/>
          </w:tcPr>
          <w:p w:rsidR="004843DB" w:rsidRPr="0062582F" w:rsidRDefault="004843DB" w:rsidP="004843DB">
            <w:pPr>
              <w:pStyle w:val="TableofFigures"/>
              <w:rPr>
                <w:sz w:val="8"/>
              </w:rPr>
            </w:pPr>
          </w:p>
        </w:tc>
        <w:tc>
          <w:tcPr>
            <w:tcW w:w="1676" w:type="dxa"/>
            <w:shd w:val="clear" w:color="auto" w:fill="auto"/>
            <w:vAlign w:val="bottom"/>
          </w:tcPr>
          <w:p w:rsidR="004843DB" w:rsidRPr="0062582F" w:rsidRDefault="004843DB" w:rsidP="004843DB">
            <w:pPr>
              <w:pStyle w:val="TableofFigures"/>
              <w:rPr>
                <w:sz w:val="8"/>
              </w:rPr>
            </w:pPr>
          </w:p>
        </w:tc>
        <w:tc>
          <w:tcPr>
            <w:tcW w:w="1370" w:type="dxa"/>
            <w:shd w:val="clear" w:color="auto" w:fill="auto"/>
            <w:vAlign w:val="bottom"/>
          </w:tcPr>
          <w:p w:rsidR="004843DB" w:rsidRPr="0062582F" w:rsidRDefault="004843DB" w:rsidP="004843DB">
            <w:pPr>
              <w:pStyle w:val="TableofFigures"/>
              <w:rPr>
                <w:sz w:val="8"/>
              </w:rPr>
            </w:pPr>
          </w:p>
        </w:tc>
        <w:tc>
          <w:tcPr>
            <w:tcW w:w="1982" w:type="dxa"/>
            <w:shd w:val="clear" w:color="auto" w:fill="auto"/>
            <w:vAlign w:val="bottom"/>
          </w:tcPr>
          <w:p w:rsidR="004843DB" w:rsidRPr="0062582F" w:rsidRDefault="004843DB" w:rsidP="004843DB">
            <w:pPr>
              <w:pStyle w:val="TableofFigures"/>
              <w:rPr>
                <w:sz w:val="8"/>
              </w:rPr>
            </w:pPr>
          </w:p>
        </w:tc>
      </w:tr>
      <w:tr w:rsidR="004843DB" w:rsidRPr="0062582F" w:rsidTr="004843DB">
        <w:trPr>
          <w:cantSplit/>
        </w:trPr>
        <w:tc>
          <w:tcPr>
            <w:tcW w:w="1675" w:type="dxa"/>
            <w:tcBorders>
              <w:bottom w:val="single" w:sz="4" w:space="0" w:color="auto"/>
            </w:tcBorders>
            <w:shd w:val="clear" w:color="auto" w:fill="D9D9D9"/>
            <w:vAlign w:val="bottom"/>
          </w:tcPr>
          <w:p w:rsidR="004843DB" w:rsidRPr="0062582F" w:rsidRDefault="004843DB" w:rsidP="004843DB">
            <w:pPr>
              <w:pStyle w:val="Tabletextblue"/>
              <w:rPr>
                <w:i/>
                <w:color w:val="auto"/>
              </w:rPr>
            </w:pPr>
          </w:p>
          <w:p w:rsidR="004843DB" w:rsidRPr="0062582F" w:rsidRDefault="004843DB" w:rsidP="004843DB">
            <w:pPr>
              <w:pStyle w:val="Tabletextblue"/>
              <w:ind w:left="454"/>
              <w:jc w:val="right"/>
              <w:rPr>
                <w:i/>
                <w:sz w:val="16"/>
              </w:rPr>
            </w:pPr>
            <w:r w:rsidRPr="0062582F">
              <w:rPr>
                <w:i/>
                <w:color w:val="auto"/>
                <w:sz w:val="16"/>
              </w:rPr>
              <w:br/>
              <w:t>..</w:t>
            </w:r>
          </w:p>
        </w:tc>
        <w:tc>
          <w:tcPr>
            <w:tcW w:w="1676"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1370"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c>
          <w:tcPr>
            <w:tcW w:w="1982" w:type="dxa"/>
            <w:tcBorders>
              <w:bottom w:val="single" w:sz="4" w:space="0" w:color="auto"/>
            </w:tcBorders>
            <w:shd w:val="clear" w:color="auto" w:fill="D9D9D9"/>
            <w:vAlign w:val="bottom"/>
          </w:tcPr>
          <w:p w:rsidR="004843DB" w:rsidRPr="0062582F" w:rsidRDefault="004843DB" w:rsidP="004843DB">
            <w:pPr>
              <w:pStyle w:val="TableofFigures"/>
            </w:pPr>
            <w:r w:rsidRPr="0062582F">
              <w:t>..</w:t>
            </w:r>
          </w:p>
        </w:tc>
      </w:tr>
      <w:tr w:rsidR="004843DB" w:rsidRPr="0062582F" w:rsidTr="004843DB">
        <w:trPr>
          <w:cantSplit/>
        </w:trPr>
        <w:tc>
          <w:tcPr>
            <w:tcW w:w="1675" w:type="dxa"/>
            <w:tcBorders>
              <w:top w:val="single" w:sz="4" w:space="0" w:color="auto"/>
              <w:bottom w:val="single" w:sz="12" w:space="0" w:color="auto"/>
            </w:tcBorders>
            <w:vAlign w:val="bottom"/>
          </w:tcPr>
          <w:p w:rsidR="004843DB" w:rsidRPr="0062582F" w:rsidRDefault="004843DB" w:rsidP="004843DB">
            <w:pPr>
              <w:pStyle w:val="TableofFigures"/>
            </w:pPr>
          </w:p>
        </w:tc>
        <w:tc>
          <w:tcPr>
            <w:tcW w:w="1676" w:type="dxa"/>
            <w:tcBorders>
              <w:top w:val="single" w:sz="4" w:space="0" w:color="auto"/>
              <w:bottom w:val="single" w:sz="12" w:space="0" w:color="auto"/>
            </w:tcBorders>
            <w:vAlign w:val="bottom"/>
          </w:tcPr>
          <w:p w:rsidR="004843DB" w:rsidRPr="0062582F" w:rsidRDefault="004843DB" w:rsidP="004843DB">
            <w:pPr>
              <w:pStyle w:val="TableofFigures"/>
            </w:pPr>
            <w:r w:rsidRPr="0062582F">
              <w:t>..</w:t>
            </w:r>
          </w:p>
        </w:tc>
        <w:tc>
          <w:tcPr>
            <w:tcW w:w="1370" w:type="dxa"/>
            <w:tcBorders>
              <w:top w:val="single" w:sz="4" w:space="0" w:color="auto"/>
              <w:bottom w:val="single" w:sz="12" w:space="0" w:color="auto"/>
            </w:tcBorders>
            <w:vAlign w:val="bottom"/>
          </w:tcPr>
          <w:p w:rsidR="004843DB" w:rsidRPr="0062582F" w:rsidRDefault="004843DB" w:rsidP="004843DB">
            <w:pPr>
              <w:pStyle w:val="TableofFigures"/>
            </w:pPr>
            <w:r w:rsidRPr="0062582F">
              <w:t>..</w:t>
            </w:r>
          </w:p>
        </w:tc>
        <w:tc>
          <w:tcPr>
            <w:tcW w:w="1982" w:type="dxa"/>
            <w:tcBorders>
              <w:top w:val="single" w:sz="4" w:space="0" w:color="auto"/>
              <w:bottom w:val="single" w:sz="12" w:space="0" w:color="auto"/>
            </w:tcBorders>
            <w:shd w:val="clear" w:color="auto" w:fill="FFFFFF"/>
            <w:vAlign w:val="bottom"/>
          </w:tcPr>
          <w:p w:rsidR="004843DB" w:rsidRPr="0062582F" w:rsidRDefault="004843DB" w:rsidP="004843DB">
            <w:pPr>
              <w:pStyle w:val="TableofFigures"/>
            </w:pPr>
            <w:r w:rsidRPr="0062582F">
              <w:t>..</w:t>
            </w:r>
          </w:p>
        </w:tc>
      </w:tr>
    </w:tbl>
    <w:p w:rsidR="004843DB" w:rsidRPr="0062582F" w:rsidRDefault="004843DB" w:rsidP="004843DB"/>
    <w:p w:rsidR="004843DB" w:rsidRPr="0062582F" w:rsidRDefault="004843DB" w:rsidP="004843DB">
      <w:pPr>
        <w:pStyle w:val="Tabletextblue"/>
        <w:rPr>
          <w:i/>
        </w:rPr>
        <w:sectPr w:rsidR="004843DB" w:rsidRPr="0062582F" w:rsidSect="00190A01">
          <w:headerReference w:type="even" r:id="rId345"/>
          <w:headerReference w:type="default" r:id="rId346"/>
          <w:footerReference w:type="default" r:id="rId347"/>
          <w:headerReference w:type="first" r:id="rId348"/>
          <w:pgSz w:w="11906" w:h="16838" w:code="9"/>
          <w:pgMar w:top="1152" w:right="864" w:bottom="1152" w:left="864" w:header="432" w:footer="432" w:gutter="0"/>
          <w:cols w:space="360"/>
          <w:rtlGutter/>
        </w:sectPr>
      </w:pPr>
    </w:p>
    <w:p w:rsidR="004843DB" w:rsidRPr="0062582F" w:rsidRDefault="004843DB" w:rsidP="004843DB">
      <w:pPr>
        <w:pStyle w:val="NoteHeadingcontinued"/>
        <w:rPr>
          <w:i/>
        </w:rPr>
      </w:pPr>
      <w:r w:rsidRPr="0062582F">
        <w:br w:type="column"/>
        <w:t>Note 39.</w:t>
      </w:r>
      <w:r w:rsidRPr="0062582F">
        <w:tab/>
        <w:t xml:space="preserve">Trust account balances </w:t>
      </w:r>
      <w:r w:rsidRPr="0062582F">
        <w:rPr>
          <w:i/>
        </w:rPr>
        <w:t>(continued)</w:t>
      </w:r>
    </w:p>
    <w:p w:rsidR="004843DB" w:rsidRPr="0062582F" w:rsidRDefault="004843DB" w:rsidP="004843DB">
      <w:pPr>
        <w:pStyle w:val="Heading5"/>
      </w:pPr>
      <w:r w:rsidRPr="0062582F">
        <w:t>(b)</w:t>
      </w:r>
      <w:r w:rsidRPr="0062582F">
        <w:tab/>
        <w:t xml:space="preserve">Third party funds under management </w:t>
      </w:r>
    </w:p>
    <w:p w:rsidR="004843DB" w:rsidRPr="0062582F" w:rsidRDefault="004843DB" w:rsidP="004843DB">
      <w:pPr>
        <w:sectPr w:rsidR="004843DB" w:rsidRPr="0062582F" w:rsidSect="00190A01">
          <w:headerReference w:type="even" r:id="rId349"/>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AASB 118.8</w:t>
      </w:r>
    </w:p>
    <w:p w:rsidR="004843DB" w:rsidRPr="0062582F" w:rsidRDefault="004843DB" w:rsidP="004843DB">
      <w:r w:rsidRPr="0062582F">
        <w:br w:type="column"/>
        <w:t>The third party funds under management are funds held in trust for certain clients. They are not used for government purposes and therefore are not included in the Department</w:t>
      </w:r>
      <w:r w:rsidR="005A4BB0">
        <w:t>’</w:t>
      </w:r>
      <w:r w:rsidRPr="0062582F">
        <w:t>s financial statements. The Department maintains three such trusts: the Biological Disaster Fund; the e</w:t>
      </w:r>
      <w:r w:rsidR="005A4BB0">
        <w:noBreakHyphen/>
      </w:r>
      <w:r w:rsidRPr="0062582F">
        <w:t xml:space="preserve">Technology Fund; and the International Network Association Fund. The biological disaster fund was transferred to the Department from the Department of Natural Resources under the </w:t>
      </w:r>
      <w:r w:rsidRPr="0062582F">
        <w:rPr>
          <w:i/>
        </w:rPr>
        <w:t xml:space="preserve">Administrative Arrangements Order </w:t>
      </w:r>
      <w:r w:rsidRPr="0062582F">
        <w:rPr>
          <w:color w:val="0000FF"/>
        </w:rPr>
        <w:t>[</w:t>
      </w:r>
      <w:r w:rsidRPr="0062582F">
        <w:rPr>
          <w:i/>
          <w:color w:val="0000FF"/>
        </w:rPr>
        <w:t>No.xxx</w:t>
      </w:r>
      <w:r w:rsidRPr="0062582F">
        <w:rPr>
          <w:color w:val="0000FF"/>
        </w:rPr>
        <w:t>]</w:t>
      </w:r>
      <w:r w:rsidRPr="0062582F">
        <w:t xml:space="preserve"> </w:t>
      </w:r>
      <w:r w:rsidRPr="0062582F">
        <w:rPr>
          <w:i/>
        </w:rPr>
        <w:t>2015</w:t>
      </w:r>
      <w:r w:rsidRPr="0062582F">
        <w:t xml:space="preserve">. </w:t>
      </w:r>
    </w:p>
    <w:p w:rsidR="004843DB" w:rsidRPr="0062582F" w:rsidRDefault="004843DB" w:rsidP="004843DB">
      <w:r w:rsidRPr="0062582F">
        <w:t>Any earnings on the funds held pending distribution are also applied to the trust funds under management as appropriate.</w:t>
      </w:r>
    </w:p>
    <w:p w:rsidR="004843DB" w:rsidRPr="0062582F" w:rsidRDefault="004843DB" w:rsidP="004843DB">
      <w:pPr>
        <w:pStyle w:val="Heading5a"/>
      </w:pPr>
      <w:r w:rsidRPr="0062582F">
        <w:t>Biological disaster fund</w:t>
      </w:r>
    </w:p>
    <w:p w:rsidR="004843DB" w:rsidRPr="0062582F" w:rsidRDefault="004843DB" w:rsidP="004843DB">
      <w:r w:rsidRPr="0062582F">
        <w:t xml:space="preserve">The biological disaster fund account is held in trust for the beneficiaries, which include the individuals and communities affected by the 2010 biological disaster. These funds are not controlled for the benefit of the Victorian Government. Accordingly, the fund is not presented as assets or income of the Department. </w:t>
      </w:r>
    </w:p>
    <w:p w:rsidR="004843DB" w:rsidRPr="0062582F" w:rsidRDefault="004843DB" w:rsidP="004843DB">
      <w:pPr>
        <w:pStyle w:val="Heading5a"/>
      </w:pPr>
      <w:r w:rsidRPr="0062582F">
        <w:t>Establishment of the biological disaster fund</w:t>
      </w:r>
    </w:p>
    <w:p w:rsidR="004843DB" w:rsidRPr="0062582F" w:rsidRDefault="004843DB" w:rsidP="004843DB">
      <w:r w:rsidRPr="0062582F">
        <w:t xml:space="preserve">More than 11 towns and communities were devastated by the biological disaster in May 2010. In June 2009, the Victorian Government approved the establishment of the Biological Disaster Fund under section 19(1) of the </w:t>
      </w:r>
      <w:r w:rsidRPr="0062582F">
        <w:rPr>
          <w:i/>
        </w:rPr>
        <w:t>Financial Management Act 1994.</w:t>
      </w:r>
    </w:p>
    <w:p w:rsidR="004843DB" w:rsidRPr="0062582F" w:rsidRDefault="004843DB" w:rsidP="004843DB">
      <w:r w:rsidRPr="0062582F">
        <w:t>The purpose of this trust fund is for the receipt of donations and other contributions, and their disbursement to assist individuals and communities in towns and rural areas affected by the biological disaster.</w:t>
      </w:r>
    </w:p>
    <w:p w:rsidR="004843DB" w:rsidRPr="0062582F" w:rsidRDefault="004843DB" w:rsidP="004843DB">
      <w:r w:rsidRPr="0062582F">
        <w:t>Monies from the fund are distributed to individuals and communities through the Department at the direction of an independent advisory panel. Members of the advisory panel were appointed by the Victorian Government. The advisory panel was required to set rules and criteria for the making of payments from the trust fund. The advisory panel</w:t>
      </w:r>
      <w:r w:rsidR="005A4BB0">
        <w:t>’</w:t>
      </w:r>
      <w:r w:rsidRPr="0062582F">
        <w:t xml:space="preserve">s responsibilities are to guide, account for and report on the disbursement of monies from the trust fund. </w:t>
      </w:r>
    </w:p>
    <w:p w:rsidR="004843DB" w:rsidRPr="0062582F" w:rsidRDefault="004843DB" w:rsidP="004843DB"/>
    <w:p w:rsidR="004843DB" w:rsidRPr="0062582F" w:rsidRDefault="004843DB" w:rsidP="004843DB">
      <w:pPr>
        <w:pStyle w:val="SmallLine"/>
      </w:pPr>
      <w:r w:rsidRPr="0062582F">
        <w:br w:type="column"/>
      </w:r>
    </w:p>
    <w:p w:rsidR="004843DB" w:rsidRPr="0062582F" w:rsidRDefault="004843DB" w:rsidP="004843DB">
      <w:pPr>
        <w:pStyle w:val="SmallLine"/>
      </w:pPr>
      <w:r w:rsidRPr="0062582F">
        <w:br/>
      </w:r>
      <w:r w:rsidRPr="0062582F">
        <w:br/>
      </w: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p>
    <w:p w:rsidR="004843DB" w:rsidRPr="0062582F" w:rsidRDefault="004843DB" w:rsidP="004843DB">
      <w:pPr>
        <w:pStyle w:val="Reference"/>
      </w:pPr>
      <w:r w:rsidRPr="0062582F">
        <w:t>Based on recommendation 6 in PAEC Report 102 – Part One</w:t>
      </w:r>
    </w:p>
    <w:p w:rsidR="004843DB" w:rsidRPr="0062582F" w:rsidRDefault="004843DB" w:rsidP="004843DB">
      <w:pPr>
        <w:pStyle w:val="NoteHeadingcontinued"/>
        <w:rPr>
          <w:rFonts w:cs="Arial Narrow"/>
          <w:sz w:val="16"/>
          <w:szCs w:val="16"/>
        </w:rPr>
      </w:pPr>
      <w:r w:rsidRPr="0062582F">
        <w:br w:type="column"/>
        <w:t>Note 39.</w:t>
      </w:r>
      <w:r w:rsidRPr="0062582F">
        <w:tab/>
        <w:t xml:space="preserve">Trust account balances </w:t>
      </w:r>
      <w:r w:rsidRPr="0062582F">
        <w:rPr>
          <w:i/>
        </w:rPr>
        <w:t>(continued)</w:t>
      </w:r>
    </w:p>
    <w:p w:rsidR="004843DB" w:rsidRPr="0062582F" w:rsidRDefault="004843DB" w:rsidP="004843DB">
      <w:pPr>
        <w:pStyle w:val="Heading5"/>
      </w:pPr>
      <w:r w:rsidRPr="0062582F">
        <w:t>Biological disaster fund</w:t>
      </w:r>
    </w:p>
    <w:p w:rsidR="004843DB" w:rsidRPr="0062582F" w:rsidRDefault="004843DB" w:rsidP="004843DB">
      <w:pPr>
        <w:pStyle w:val="million"/>
      </w:pPr>
      <w:r w:rsidRPr="0062582F">
        <w:t>($ million)</w:t>
      </w:r>
    </w:p>
    <w:tbl>
      <w:tblPr>
        <w:tblW w:w="8233" w:type="dxa"/>
        <w:tblLayout w:type="fixed"/>
        <w:tblCellMar>
          <w:left w:w="43" w:type="dxa"/>
          <w:right w:w="43" w:type="dxa"/>
        </w:tblCellMar>
        <w:tblLook w:val="01E0" w:firstRow="1" w:lastRow="1" w:firstColumn="1" w:lastColumn="1" w:noHBand="0" w:noVBand="0"/>
      </w:tblPr>
      <w:tblGrid>
        <w:gridCol w:w="5623"/>
        <w:gridCol w:w="1305"/>
        <w:gridCol w:w="1305"/>
      </w:tblGrid>
      <w:tr w:rsidR="004843DB" w:rsidRPr="0062582F" w:rsidTr="004843DB">
        <w:trPr>
          <w:cantSplit/>
        </w:trPr>
        <w:tc>
          <w:tcPr>
            <w:tcW w:w="5623" w:type="dxa"/>
            <w:tcBorders>
              <w:top w:val="single" w:sz="6" w:space="0" w:color="auto"/>
              <w:bottom w:val="single" w:sz="6" w:space="0" w:color="auto"/>
            </w:tcBorders>
            <w:shd w:val="clear" w:color="auto" w:fill="auto"/>
          </w:tcPr>
          <w:p w:rsidR="004843DB" w:rsidRPr="0062582F" w:rsidRDefault="004843DB" w:rsidP="004843DB">
            <w:pPr>
              <w:pStyle w:val="Tabletext"/>
            </w:pPr>
          </w:p>
        </w:tc>
        <w:tc>
          <w:tcPr>
            <w:tcW w:w="1305" w:type="dxa"/>
            <w:tcBorders>
              <w:top w:val="single" w:sz="6" w:space="0" w:color="auto"/>
              <w:bottom w:val="single" w:sz="6" w:space="0" w:color="auto"/>
            </w:tcBorders>
            <w:shd w:val="clear" w:color="auto" w:fill="D9D9D9"/>
          </w:tcPr>
          <w:p w:rsidR="004843DB" w:rsidRPr="0062582F" w:rsidRDefault="004843DB" w:rsidP="004843DB">
            <w:pPr>
              <w:pStyle w:val="Tabletextheading"/>
            </w:pPr>
            <w:r w:rsidRPr="0062582F">
              <w:t>2016</w:t>
            </w:r>
          </w:p>
        </w:tc>
        <w:tc>
          <w:tcPr>
            <w:tcW w:w="1305" w:type="dxa"/>
            <w:tcBorders>
              <w:top w:val="single" w:sz="6" w:space="0" w:color="auto"/>
              <w:bottom w:val="single" w:sz="6" w:space="0" w:color="auto"/>
            </w:tcBorders>
            <w:shd w:val="clear" w:color="auto" w:fill="auto"/>
          </w:tcPr>
          <w:p w:rsidR="004843DB" w:rsidRPr="0062582F" w:rsidRDefault="004843DB" w:rsidP="004843DB">
            <w:pPr>
              <w:pStyle w:val="Tabletextheading"/>
            </w:pPr>
            <w:r w:rsidRPr="0062582F">
              <w:t>2015</w:t>
            </w:r>
          </w:p>
        </w:tc>
      </w:tr>
      <w:tr w:rsidR="004843DB" w:rsidRPr="0062582F" w:rsidTr="004843DB">
        <w:trPr>
          <w:cantSplit/>
        </w:trPr>
        <w:tc>
          <w:tcPr>
            <w:tcW w:w="5623" w:type="dxa"/>
            <w:tcBorders>
              <w:top w:val="single" w:sz="6" w:space="0" w:color="auto"/>
            </w:tcBorders>
            <w:shd w:val="clear" w:color="auto" w:fill="auto"/>
          </w:tcPr>
          <w:p w:rsidR="004843DB" w:rsidRPr="0062582F" w:rsidRDefault="004843DB" w:rsidP="004843DB">
            <w:pPr>
              <w:pStyle w:val="Tabletext"/>
            </w:pPr>
            <w:r w:rsidRPr="0062582F">
              <w:t>Cash at bank</w:t>
            </w:r>
          </w:p>
        </w:tc>
        <w:tc>
          <w:tcPr>
            <w:tcW w:w="1305" w:type="dxa"/>
            <w:tcBorders>
              <w:top w:val="single" w:sz="6" w:space="0" w:color="auto"/>
            </w:tcBorders>
            <w:shd w:val="clear" w:color="auto" w:fill="D9D9D9"/>
          </w:tcPr>
          <w:p w:rsidR="004843DB" w:rsidRPr="0062582F" w:rsidRDefault="004843DB" w:rsidP="004843DB">
            <w:pPr>
              <w:pStyle w:val="TableofFigures"/>
            </w:pPr>
            <w:r w:rsidRPr="0062582F">
              <w:t>113.1</w:t>
            </w:r>
          </w:p>
        </w:tc>
        <w:tc>
          <w:tcPr>
            <w:tcW w:w="1305" w:type="dxa"/>
            <w:tcBorders>
              <w:top w:val="single" w:sz="6" w:space="0" w:color="auto"/>
            </w:tcBorders>
            <w:shd w:val="clear" w:color="auto" w:fill="auto"/>
          </w:tcPr>
          <w:p w:rsidR="004843DB" w:rsidRPr="0062582F" w:rsidRDefault="004843DB" w:rsidP="004843DB">
            <w:pPr>
              <w:pStyle w:val="TableofFigures"/>
            </w:pPr>
            <w:r w:rsidRPr="0062582F">
              <w:t>249.2</w:t>
            </w:r>
          </w:p>
        </w:tc>
      </w:tr>
      <w:tr w:rsidR="004843DB" w:rsidRPr="0062582F" w:rsidTr="004843DB">
        <w:trPr>
          <w:cantSplit/>
        </w:trPr>
        <w:tc>
          <w:tcPr>
            <w:tcW w:w="5623" w:type="dxa"/>
            <w:tcBorders>
              <w:bottom w:val="single" w:sz="6" w:space="0" w:color="auto"/>
            </w:tcBorders>
            <w:shd w:val="clear" w:color="auto" w:fill="auto"/>
          </w:tcPr>
          <w:p w:rsidR="004843DB" w:rsidRPr="0062582F" w:rsidRDefault="004843DB" w:rsidP="004843DB">
            <w:pPr>
              <w:pStyle w:val="Tabletext"/>
            </w:pPr>
            <w:r w:rsidRPr="0062582F">
              <w:t>Less amounts pending payments</w:t>
            </w:r>
          </w:p>
        </w:tc>
        <w:tc>
          <w:tcPr>
            <w:tcW w:w="1305" w:type="dxa"/>
            <w:tcBorders>
              <w:bottom w:val="single" w:sz="6" w:space="0" w:color="auto"/>
            </w:tcBorders>
            <w:shd w:val="clear" w:color="auto" w:fill="D9D9D9"/>
          </w:tcPr>
          <w:p w:rsidR="004843DB" w:rsidRPr="0062582F" w:rsidRDefault="004843DB" w:rsidP="004843DB">
            <w:pPr>
              <w:pStyle w:val="TableofFigures"/>
            </w:pPr>
            <w:r w:rsidRPr="0062582F">
              <w:t>(1.5)</w:t>
            </w:r>
          </w:p>
        </w:tc>
        <w:tc>
          <w:tcPr>
            <w:tcW w:w="1305" w:type="dxa"/>
            <w:tcBorders>
              <w:bottom w:val="single" w:sz="6" w:space="0" w:color="auto"/>
            </w:tcBorders>
            <w:shd w:val="clear" w:color="auto" w:fill="auto"/>
          </w:tcPr>
          <w:p w:rsidR="004843DB" w:rsidRPr="0062582F" w:rsidRDefault="004843DB" w:rsidP="004843DB">
            <w:pPr>
              <w:pStyle w:val="TableofFigures"/>
            </w:pPr>
            <w:r w:rsidRPr="0062582F">
              <w:t>(10.1)</w:t>
            </w:r>
          </w:p>
        </w:tc>
      </w:tr>
      <w:tr w:rsidR="004843DB" w:rsidRPr="0062582F" w:rsidTr="004843DB">
        <w:trPr>
          <w:cantSplit/>
        </w:trPr>
        <w:tc>
          <w:tcPr>
            <w:tcW w:w="5623" w:type="dxa"/>
            <w:tcBorders>
              <w:top w:val="single" w:sz="6" w:space="0" w:color="auto"/>
            </w:tcBorders>
            <w:shd w:val="clear" w:color="auto" w:fill="auto"/>
          </w:tcPr>
          <w:p w:rsidR="004843DB" w:rsidRPr="0062582F" w:rsidRDefault="004843DB" w:rsidP="004843DB">
            <w:pPr>
              <w:pStyle w:val="Tabletext"/>
              <w:rPr>
                <w:b/>
              </w:rPr>
            </w:pPr>
            <w:r w:rsidRPr="0062582F">
              <w:rPr>
                <w:b/>
              </w:rPr>
              <w:t>Total funds under management</w:t>
            </w:r>
          </w:p>
        </w:tc>
        <w:tc>
          <w:tcPr>
            <w:tcW w:w="1305" w:type="dxa"/>
            <w:tcBorders>
              <w:top w:val="single" w:sz="6" w:space="0" w:color="auto"/>
            </w:tcBorders>
            <w:shd w:val="clear" w:color="auto" w:fill="D9D9D9"/>
          </w:tcPr>
          <w:p w:rsidR="004843DB" w:rsidRPr="0062582F" w:rsidRDefault="004843DB" w:rsidP="004843DB">
            <w:pPr>
              <w:pStyle w:val="TableofFigures"/>
              <w:rPr>
                <w:b/>
              </w:rPr>
            </w:pPr>
            <w:r w:rsidRPr="0062582F">
              <w:rPr>
                <w:b/>
              </w:rPr>
              <w:t>111.6</w:t>
            </w:r>
          </w:p>
        </w:tc>
        <w:tc>
          <w:tcPr>
            <w:tcW w:w="1305" w:type="dxa"/>
            <w:tcBorders>
              <w:top w:val="single" w:sz="6" w:space="0" w:color="auto"/>
            </w:tcBorders>
            <w:shd w:val="clear" w:color="auto" w:fill="auto"/>
          </w:tcPr>
          <w:p w:rsidR="004843DB" w:rsidRPr="0062582F" w:rsidRDefault="004843DB" w:rsidP="004843DB">
            <w:pPr>
              <w:pStyle w:val="TableofFigures"/>
              <w:rPr>
                <w:b/>
              </w:rPr>
            </w:pPr>
            <w:r w:rsidRPr="0062582F">
              <w:rPr>
                <w:b/>
              </w:rPr>
              <w:t>239.1</w:t>
            </w:r>
          </w:p>
        </w:tc>
      </w:tr>
      <w:tr w:rsidR="004843DB" w:rsidRPr="0062582F" w:rsidTr="004843DB">
        <w:trPr>
          <w:cantSplit/>
          <w:trHeight w:hRule="exact" w:val="120"/>
        </w:trPr>
        <w:tc>
          <w:tcPr>
            <w:tcW w:w="5623" w:type="dxa"/>
            <w:shd w:val="clear" w:color="auto" w:fill="auto"/>
          </w:tcPr>
          <w:p w:rsidR="004843DB" w:rsidRPr="0062582F" w:rsidRDefault="004843DB" w:rsidP="004843DB">
            <w:pPr>
              <w:pStyle w:val="Tabletext"/>
            </w:pPr>
          </w:p>
        </w:tc>
        <w:tc>
          <w:tcPr>
            <w:tcW w:w="1305" w:type="dxa"/>
            <w:shd w:val="clear" w:color="auto" w:fill="D9D9D9"/>
          </w:tcPr>
          <w:p w:rsidR="004843DB" w:rsidRPr="0062582F" w:rsidRDefault="004843DB" w:rsidP="004843DB">
            <w:pPr>
              <w:pStyle w:val="TableofFigures"/>
              <w:rPr>
                <w:sz w:val="14"/>
              </w:rPr>
            </w:pPr>
          </w:p>
        </w:tc>
        <w:tc>
          <w:tcPr>
            <w:tcW w:w="1305" w:type="dxa"/>
            <w:shd w:val="clear" w:color="auto" w:fill="auto"/>
          </w:tcPr>
          <w:p w:rsidR="004843DB" w:rsidRPr="0062582F" w:rsidRDefault="004843DB" w:rsidP="004843DB">
            <w:pPr>
              <w:pStyle w:val="TableofFigures"/>
              <w:rPr>
                <w:sz w:val="14"/>
              </w:rPr>
            </w:pPr>
          </w:p>
        </w:tc>
      </w:tr>
      <w:tr w:rsidR="004843DB" w:rsidRPr="0062582F" w:rsidTr="004843DB">
        <w:trPr>
          <w:cantSplit/>
        </w:trPr>
        <w:tc>
          <w:tcPr>
            <w:tcW w:w="5623" w:type="dxa"/>
            <w:shd w:val="clear" w:color="auto" w:fill="auto"/>
          </w:tcPr>
          <w:p w:rsidR="004843DB" w:rsidRPr="0062582F" w:rsidRDefault="004843DB" w:rsidP="004843DB">
            <w:pPr>
              <w:pStyle w:val="Tabletext"/>
            </w:pPr>
            <w:r w:rsidRPr="0062582F">
              <w:t>Donations and other contributions</w:t>
            </w:r>
            <w:r w:rsidRPr="0062582F">
              <w:rPr>
                <w:sz w:val="4"/>
                <w:szCs w:val="4"/>
                <w:vertAlign w:val="superscript"/>
              </w:rPr>
              <w:t xml:space="preserve"> </w:t>
            </w:r>
            <w:r w:rsidRPr="0062582F">
              <w:rPr>
                <w:vertAlign w:val="superscript"/>
              </w:rPr>
              <w:t>(i)</w:t>
            </w:r>
          </w:p>
        </w:tc>
        <w:tc>
          <w:tcPr>
            <w:tcW w:w="1305" w:type="dxa"/>
            <w:shd w:val="clear" w:color="auto" w:fill="D9D9D9"/>
          </w:tcPr>
          <w:p w:rsidR="004843DB" w:rsidRPr="0062582F" w:rsidRDefault="004843DB" w:rsidP="004843DB">
            <w:pPr>
              <w:pStyle w:val="TableofFigures"/>
            </w:pPr>
            <w:r w:rsidRPr="0062582F">
              <w:t>142.1</w:t>
            </w:r>
          </w:p>
        </w:tc>
        <w:tc>
          <w:tcPr>
            <w:tcW w:w="1305" w:type="dxa"/>
            <w:shd w:val="clear" w:color="auto" w:fill="auto"/>
          </w:tcPr>
          <w:p w:rsidR="004843DB" w:rsidRPr="0062582F" w:rsidRDefault="004843DB" w:rsidP="004843DB">
            <w:pPr>
              <w:pStyle w:val="TableofFigures"/>
            </w:pPr>
            <w:r w:rsidRPr="0062582F">
              <w:t>500.1</w:t>
            </w:r>
          </w:p>
        </w:tc>
      </w:tr>
      <w:tr w:rsidR="004843DB" w:rsidRPr="0062582F" w:rsidTr="004843DB">
        <w:trPr>
          <w:cantSplit/>
        </w:trPr>
        <w:tc>
          <w:tcPr>
            <w:tcW w:w="5623" w:type="dxa"/>
            <w:tcBorders>
              <w:bottom w:val="single" w:sz="6" w:space="0" w:color="auto"/>
            </w:tcBorders>
            <w:shd w:val="clear" w:color="auto" w:fill="auto"/>
          </w:tcPr>
          <w:p w:rsidR="004843DB" w:rsidRPr="0062582F" w:rsidRDefault="004843DB" w:rsidP="004843DB">
            <w:pPr>
              <w:pStyle w:val="Tabletext"/>
            </w:pPr>
            <w:r w:rsidRPr="0062582F">
              <w:t>Interest earned</w:t>
            </w:r>
            <w:r w:rsidRPr="0062582F">
              <w:rPr>
                <w:vertAlign w:val="superscript"/>
              </w:rPr>
              <w:t xml:space="preserve"> (ii)</w:t>
            </w:r>
          </w:p>
        </w:tc>
        <w:tc>
          <w:tcPr>
            <w:tcW w:w="1305" w:type="dxa"/>
            <w:tcBorders>
              <w:bottom w:val="single" w:sz="6" w:space="0" w:color="auto"/>
            </w:tcBorders>
            <w:shd w:val="clear" w:color="auto" w:fill="D9D9D9"/>
          </w:tcPr>
          <w:p w:rsidR="004843DB" w:rsidRPr="0062582F" w:rsidRDefault="004843DB" w:rsidP="004843DB">
            <w:pPr>
              <w:pStyle w:val="TableofFigures"/>
            </w:pPr>
            <w:r w:rsidRPr="0062582F">
              <w:t>3.7</w:t>
            </w:r>
          </w:p>
        </w:tc>
        <w:tc>
          <w:tcPr>
            <w:tcW w:w="1305" w:type="dxa"/>
            <w:tcBorders>
              <w:bottom w:val="single" w:sz="6" w:space="0" w:color="auto"/>
            </w:tcBorders>
            <w:shd w:val="clear" w:color="auto" w:fill="auto"/>
          </w:tcPr>
          <w:p w:rsidR="004843DB" w:rsidRPr="0062582F" w:rsidRDefault="004843DB" w:rsidP="004843DB">
            <w:pPr>
              <w:pStyle w:val="TableofFigures"/>
            </w:pPr>
            <w:r w:rsidRPr="0062582F">
              <w:t>10.9</w:t>
            </w:r>
          </w:p>
        </w:tc>
      </w:tr>
      <w:tr w:rsidR="004843DB" w:rsidRPr="0062582F" w:rsidTr="004843DB">
        <w:trPr>
          <w:cantSplit/>
        </w:trPr>
        <w:tc>
          <w:tcPr>
            <w:tcW w:w="5623" w:type="dxa"/>
            <w:tcBorders>
              <w:top w:val="single" w:sz="6" w:space="0" w:color="auto"/>
            </w:tcBorders>
            <w:shd w:val="clear" w:color="auto" w:fill="auto"/>
          </w:tcPr>
          <w:p w:rsidR="004843DB" w:rsidRPr="0062582F" w:rsidRDefault="004843DB" w:rsidP="004843DB">
            <w:pPr>
              <w:pStyle w:val="Tabletext"/>
              <w:rPr>
                <w:b/>
              </w:rPr>
            </w:pPr>
            <w:r w:rsidRPr="0062582F">
              <w:rPr>
                <w:b/>
              </w:rPr>
              <w:t>Total receipts</w:t>
            </w:r>
          </w:p>
        </w:tc>
        <w:tc>
          <w:tcPr>
            <w:tcW w:w="1305" w:type="dxa"/>
            <w:tcBorders>
              <w:top w:val="single" w:sz="6" w:space="0" w:color="auto"/>
            </w:tcBorders>
            <w:shd w:val="clear" w:color="auto" w:fill="D9D9D9"/>
          </w:tcPr>
          <w:p w:rsidR="004843DB" w:rsidRPr="0062582F" w:rsidRDefault="004843DB" w:rsidP="004843DB">
            <w:pPr>
              <w:pStyle w:val="TableofFigures"/>
              <w:rPr>
                <w:b/>
              </w:rPr>
            </w:pPr>
            <w:r w:rsidRPr="0062582F">
              <w:rPr>
                <w:b/>
              </w:rPr>
              <w:t>145.8</w:t>
            </w:r>
          </w:p>
        </w:tc>
        <w:tc>
          <w:tcPr>
            <w:tcW w:w="1305" w:type="dxa"/>
            <w:tcBorders>
              <w:top w:val="single" w:sz="6" w:space="0" w:color="auto"/>
            </w:tcBorders>
            <w:shd w:val="clear" w:color="auto" w:fill="auto"/>
          </w:tcPr>
          <w:p w:rsidR="004843DB" w:rsidRPr="0062582F" w:rsidRDefault="004843DB" w:rsidP="004843DB">
            <w:pPr>
              <w:pStyle w:val="TableofFigures"/>
              <w:rPr>
                <w:b/>
              </w:rPr>
            </w:pPr>
            <w:r w:rsidRPr="0062582F">
              <w:rPr>
                <w:b/>
              </w:rPr>
              <w:t>511.0</w:t>
            </w:r>
          </w:p>
        </w:tc>
      </w:tr>
      <w:tr w:rsidR="004843DB" w:rsidRPr="0062582F" w:rsidTr="004843DB">
        <w:trPr>
          <w:cantSplit/>
          <w:trHeight w:hRule="exact" w:val="120"/>
        </w:trPr>
        <w:tc>
          <w:tcPr>
            <w:tcW w:w="5623" w:type="dxa"/>
            <w:shd w:val="clear" w:color="auto" w:fill="auto"/>
          </w:tcPr>
          <w:p w:rsidR="004843DB" w:rsidRPr="0062582F" w:rsidRDefault="004843DB" w:rsidP="004843DB">
            <w:pPr>
              <w:pStyle w:val="Tabletext"/>
            </w:pPr>
          </w:p>
        </w:tc>
        <w:tc>
          <w:tcPr>
            <w:tcW w:w="1305" w:type="dxa"/>
            <w:shd w:val="clear" w:color="auto" w:fill="D9D9D9"/>
          </w:tcPr>
          <w:p w:rsidR="004843DB" w:rsidRPr="0062582F" w:rsidRDefault="004843DB" w:rsidP="004843DB">
            <w:pPr>
              <w:pStyle w:val="TableofFigures"/>
              <w:rPr>
                <w:sz w:val="14"/>
              </w:rPr>
            </w:pPr>
          </w:p>
        </w:tc>
        <w:tc>
          <w:tcPr>
            <w:tcW w:w="1305" w:type="dxa"/>
            <w:shd w:val="clear" w:color="auto" w:fill="auto"/>
          </w:tcPr>
          <w:p w:rsidR="004843DB" w:rsidRPr="0062582F" w:rsidRDefault="004843DB" w:rsidP="004843DB">
            <w:pPr>
              <w:pStyle w:val="TableofFigures"/>
              <w:rPr>
                <w:sz w:val="14"/>
              </w:rPr>
            </w:pPr>
          </w:p>
        </w:tc>
      </w:tr>
      <w:tr w:rsidR="004843DB" w:rsidRPr="0062582F" w:rsidTr="004843DB">
        <w:trPr>
          <w:cantSplit/>
        </w:trPr>
        <w:tc>
          <w:tcPr>
            <w:tcW w:w="5623" w:type="dxa"/>
            <w:shd w:val="clear" w:color="auto" w:fill="auto"/>
          </w:tcPr>
          <w:p w:rsidR="004843DB" w:rsidRPr="0062582F" w:rsidRDefault="004843DB" w:rsidP="004843DB">
            <w:pPr>
              <w:pStyle w:val="Tabletext"/>
            </w:pPr>
            <w:r w:rsidRPr="0062582F">
              <w:t>Payments to businesses</w:t>
            </w:r>
          </w:p>
        </w:tc>
        <w:tc>
          <w:tcPr>
            <w:tcW w:w="1305" w:type="dxa"/>
            <w:shd w:val="clear" w:color="auto" w:fill="D9D9D9"/>
          </w:tcPr>
          <w:p w:rsidR="004843DB" w:rsidRPr="0062582F" w:rsidRDefault="004843DB" w:rsidP="004843DB">
            <w:pPr>
              <w:pStyle w:val="TableofFigures"/>
            </w:pPr>
            <w:r w:rsidRPr="0062582F">
              <w:t>6.6</w:t>
            </w:r>
          </w:p>
        </w:tc>
        <w:tc>
          <w:tcPr>
            <w:tcW w:w="1305" w:type="dxa"/>
            <w:shd w:val="clear" w:color="auto" w:fill="auto"/>
          </w:tcPr>
          <w:p w:rsidR="004843DB" w:rsidRPr="0062582F" w:rsidRDefault="004843DB" w:rsidP="004843DB">
            <w:pPr>
              <w:pStyle w:val="TableofFigures"/>
            </w:pPr>
            <w:r w:rsidRPr="0062582F">
              <w:t>23</w:t>
            </w:r>
          </w:p>
        </w:tc>
      </w:tr>
      <w:tr w:rsidR="004843DB" w:rsidRPr="0062582F" w:rsidTr="004843DB">
        <w:trPr>
          <w:cantSplit/>
        </w:trPr>
        <w:tc>
          <w:tcPr>
            <w:tcW w:w="5623" w:type="dxa"/>
            <w:shd w:val="clear" w:color="auto" w:fill="auto"/>
          </w:tcPr>
          <w:p w:rsidR="004843DB" w:rsidRPr="0062582F" w:rsidRDefault="004843DB" w:rsidP="004843DB">
            <w:pPr>
              <w:pStyle w:val="Tabletext"/>
            </w:pPr>
            <w:r w:rsidRPr="0062582F">
              <w:t>Payments to community groups</w:t>
            </w:r>
          </w:p>
        </w:tc>
        <w:tc>
          <w:tcPr>
            <w:tcW w:w="1305" w:type="dxa"/>
            <w:shd w:val="clear" w:color="auto" w:fill="D9D9D9"/>
          </w:tcPr>
          <w:p w:rsidR="004843DB" w:rsidRPr="0062582F" w:rsidRDefault="004843DB" w:rsidP="004843DB">
            <w:pPr>
              <w:pStyle w:val="TableofFigures"/>
            </w:pPr>
            <w:r w:rsidRPr="0062582F">
              <w:t>4.7</w:t>
            </w:r>
          </w:p>
        </w:tc>
        <w:tc>
          <w:tcPr>
            <w:tcW w:w="1305" w:type="dxa"/>
            <w:shd w:val="clear" w:color="auto" w:fill="auto"/>
          </w:tcPr>
          <w:p w:rsidR="004843DB" w:rsidRPr="0062582F" w:rsidRDefault="004843DB" w:rsidP="004843DB">
            <w:pPr>
              <w:pStyle w:val="TableofFigures"/>
            </w:pPr>
            <w:r w:rsidRPr="0062582F">
              <w:t>34.8</w:t>
            </w:r>
          </w:p>
        </w:tc>
      </w:tr>
      <w:tr w:rsidR="004843DB" w:rsidRPr="0062582F" w:rsidTr="004843DB">
        <w:trPr>
          <w:cantSplit/>
        </w:trPr>
        <w:tc>
          <w:tcPr>
            <w:tcW w:w="5623" w:type="dxa"/>
            <w:shd w:val="clear" w:color="auto" w:fill="auto"/>
          </w:tcPr>
          <w:p w:rsidR="004843DB" w:rsidRPr="0062582F" w:rsidRDefault="004843DB" w:rsidP="004843DB">
            <w:pPr>
              <w:pStyle w:val="Tabletext"/>
            </w:pPr>
            <w:r w:rsidRPr="0062582F">
              <w:t xml:space="preserve">Payments to individuals </w:t>
            </w:r>
          </w:p>
        </w:tc>
        <w:tc>
          <w:tcPr>
            <w:tcW w:w="1305" w:type="dxa"/>
            <w:shd w:val="clear" w:color="auto" w:fill="D9D9D9"/>
          </w:tcPr>
          <w:p w:rsidR="004843DB" w:rsidRPr="0062582F" w:rsidRDefault="004843DB" w:rsidP="004843DB">
            <w:pPr>
              <w:pStyle w:val="TableofFigures"/>
            </w:pPr>
            <w:r w:rsidRPr="0062582F">
              <w:t>10.6</w:t>
            </w:r>
          </w:p>
        </w:tc>
        <w:tc>
          <w:tcPr>
            <w:tcW w:w="1305" w:type="dxa"/>
            <w:shd w:val="clear" w:color="auto" w:fill="auto"/>
          </w:tcPr>
          <w:p w:rsidR="004843DB" w:rsidRPr="0062582F" w:rsidRDefault="004843DB" w:rsidP="004843DB">
            <w:pPr>
              <w:pStyle w:val="TableofFigures"/>
            </w:pPr>
            <w:r w:rsidRPr="0062582F">
              <w:t>86.2</w:t>
            </w:r>
          </w:p>
        </w:tc>
      </w:tr>
      <w:tr w:rsidR="004843DB" w:rsidRPr="0062582F" w:rsidTr="004843DB">
        <w:trPr>
          <w:cantSplit/>
        </w:trPr>
        <w:tc>
          <w:tcPr>
            <w:tcW w:w="5623" w:type="dxa"/>
            <w:tcBorders>
              <w:bottom w:val="single" w:sz="6" w:space="0" w:color="auto"/>
            </w:tcBorders>
            <w:shd w:val="clear" w:color="auto" w:fill="auto"/>
          </w:tcPr>
          <w:p w:rsidR="004843DB" w:rsidRPr="0062582F" w:rsidRDefault="004843DB" w:rsidP="004843DB">
            <w:pPr>
              <w:pStyle w:val="Tabletext"/>
            </w:pPr>
            <w:r w:rsidRPr="0062582F">
              <w:t>Payments on state</w:t>
            </w:r>
            <w:r w:rsidR="005A4BB0">
              <w:noBreakHyphen/>
            </w:r>
            <w:r w:rsidRPr="0062582F">
              <w:t>owned assets</w:t>
            </w:r>
            <w:r w:rsidRPr="0062582F" w:rsidDel="00DE450E">
              <w:t xml:space="preserve"> </w:t>
            </w:r>
          </w:p>
        </w:tc>
        <w:tc>
          <w:tcPr>
            <w:tcW w:w="1305" w:type="dxa"/>
            <w:tcBorders>
              <w:bottom w:val="single" w:sz="6" w:space="0" w:color="auto"/>
            </w:tcBorders>
            <w:shd w:val="clear" w:color="auto" w:fill="D9D9D9"/>
          </w:tcPr>
          <w:p w:rsidR="004843DB" w:rsidRPr="0062582F" w:rsidRDefault="004843DB" w:rsidP="004843DB">
            <w:pPr>
              <w:pStyle w:val="TableofFigures"/>
            </w:pPr>
            <w:r w:rsidRPr="0062582F">
              <w:t>12.3</w:t>
            </w:r>
          </w:p>
        </w:tc>
        <w:tc>
          <w:tcPr>
            <w:tcW w:w="1305" w:type="dxa"/>
            <w:tcBorders>
              <w:bottom w:val="single" w:sz="6" w:space="0" w:color="auto"/>
            </w:tcBorders>
            <w:shd w:val="clear" w:color="auto" w:fill="auto"/>
          </w:tcPr>
          <w:p w:rsidR="004843DB" w:rsidRPr="0062582F" w:rsidRDefault="004843DB" w:rsidP="004843DB">
            <w:pPr>
              <w:pStyle w:val="TableofFigures"/>
            </w:pPr>
            <w:r w:rsidRPr="0062582F">
              <w:t>127.9</w:t>
            </w:r>
          </w:p>
        </w:tc>
      </w:tr>
      <w:tr w:rsidR="004843DB" w:rsidRPr="0062582F" w:rsidTr="004843DB">
        <w:trPr>
          <w:cantSplit/>
        </w:trPr>
        <w:tc>
          <w:tcPr>
            <w:tcW w:w="5623" w:type="dxa"/>
            <w:tcBorders>
              <w:top w:val="single" w:sz="6" w:space="0" w:color="auto"/>
              <w:bottom w:val="single" w:sz="6" w:space="0" w:color="auto"/>
            </w:tcBorders>
            <w:shd w:val="clear" w:color="auto" w:fill="auto"/>
          </w:tcPr>
          <w:p w:rsidR="004843DB" w:rsidRPr="0062582F" w:rsidRDefault="004843DB" w:rsidP="004843DB">
            <w:pPr>
              <w:pStyle w:val="Tabletext"/>
              <w:rPr>
                <w:b/>
              </w:rPr>
            </w:pPr>
            <w:r w:rsidRPr="0062582F">
              <w:rPr>
                <w:b/>
              </w:rPr>
              <w:t>Total payments</w:t>
            </w:r>
          </w:p>
        </w:tc>
        <w:tc>
          <w:tcPr>
            <w:tcW w:w="1305" w:type="dxa"/>
            <w:tcBorders>
              <w:top w:val="single" w:sz="6" w:space="0" w:color="auto"/>
              <w:bottom w:val="single" w:sz="6" w:space="0" w:color="auto"/>
            </w:tcBorders>
            <w:shd w:val="clear" w:color="auto" w:fill="D9D9D9"/>
          </w:tcPr>
          <w:p w:rsidR="004843DB" w:rsidRPr="0062582F" w:rsidRDefault="004843DB" w:rsidP="004843DB">
            <w:pPr>
              <w:pStyle w:val="TableofFigures"/>
              <w:rPr>
                <w:b/>
              </w:rPr>
            </w:pPr>
            <w:r w:rsidRPr="0062582F">
              <w:rPr>
                <w:b/>
              </w:rPr>
              <w:t>34.2</w:t>
            </w:r>
          </w:p>
        </w:tc>
        <w:tc>
          <w:tcPr>
            <w:tcW w:w="1305" w:type="dxa"/>
            <w:tcBorders>
              <w:top w:val="single" w:sz="6" w:space="0" w:color="auto"/>
              <w:bottom w:val="single" w:sz="6" w:space="0" w:color="auto"/>
            </w:tcBorders>
            <w:shd w:val="clear" w:color="auto" w:fill="auto"/>
          </w:tcPr>
          <w:p w:rsidR="004843DB" w:rsidRPr="0062582F" w:rsidRDefault="004843DB" w:rsidP="004843DB">
            <w:pPr>
              <w:pStyle w:val="TableofFigures"/>
              <w:rPr>
                <w:b/>
              </w:rPr>
            </w:pPr>
            <w:r w:rsidRPr="0062582F">
              <w:rPr>
                <w:b/>
              </w:rPr>
              <w:t>271.9</w:t>
            </w:r>
          </w:p>
        </w:tc>
      </w:tr>
      <w:tr w:rsidR="004843DB" w:rsidRPr="0062582F" w:rsidTr="004843DB">
        <w:trPr>
          <w:cantSplit/>
        </w:trPr>
        <w:tc>
          <w:tcPr>
            <w:tcW w:w="5623" w:type="dxa"/>
            <w:tcBorders>
              <w:top w:val="single" w:sz="6" w:space="0" w:color="auto"/>
              <w:bottom w:val="single" w:sz="12" w:space="0" w:color="auto"/>
            </w:tcBorders>
            <w:shd w:val="clear" w:color="auto" w:fill="auto"/>
          </w:tcPr>
          <w:p w:rsidR="004843DB" w:rsidRPr="0062582F" w:rsidRDefault="004843DB" w:rsidP="004843DB">
            <w:pPr>
              <w:pStyle w:val="Tabletext"/>
              <w:rPr>
                <w:b/>
              </w:rPr>
            </w:pPr>
            <w:r w:rsidRPr="0062582F">
              <w:rPr>
                <w:b/>
              </w:rPr>
              <w:t>Balance carried forward</w:t>
            </w:r>
            <w:r w:rsidRPr="0062582F">
              <w:rPr>
                <w:b/>
                <w:vertAlign w:val="superscript"/>
              </w:rPr>
              <w:t xml:space="preserve"> </w:t>
            </w:r>
            <w:r w:rsidRPr="0062582F">
              <w:rPr>
                <w:vertAlign w:val="superscript"/>
              </w:rPr>
              <w:t>(iii)</w:t>
            </w:r>
          </w:p>
        </w:tc>
        <w:tc>
          <w:tcPr>
            <w:tcW w:w="1305" w:type="dxa"/>
            <w:tcBorders>
              <w:top w:val="single" w:sz="6" w:space="0" w:color="auto"/>
              <w:bottom w:val="single" w:sz="12" w:space="0" w:color="auto"/>
            </w:tcBorders>
            <w:shd w:val="clear" w:color="auto" w:fill="D9D9D9"/>
          </w:tcPr>
          <w:p w:rsidR="004843DB" w:rsidRPr="0062582F" w:rsidRDefault="004843DB" w:rsidP="004843DB">
            <w:pPr>
              <w:pStyle w:val="TableofFigures"/>
              <w:rPr>
                <w:b/>
              </w:rPr>
            </w:pPr>
            <w:r w:rsidRPr="0062582F">
              <w:rPr>
                <w:b/>
              </w:rPr>
              <w:t>111.6</w:t>
            </w:r>
          </w:p>
        </w:tc>
        <w:tc>
          <w:tcPr>
            <w:tcW w:w="1305" w:type="dxa"/>
            <w:tcBorders>
              <w:top w:val="single" w:sz="6" w:space="0" w:color="auto"/>
              <w:bottom w:val="single" w:sz="12" w:space="0" w:color="auto"/>
            </w:tcBorders>
            <w:shd w:val="clear" w:color="auto" w:fill="auto"/>
          </w:tcPr>
          <w:p w:rsidR="004843DB" w:rsidRPr="0062582F" w:rsidRDefault="004843DB" w:rsidP="004843DB">
            <w:pPr>
              <w:pStyle w:val="TableofFigures"/>
              <w:rPr>
                <w:b/>
              </w:rPr>
            </w:pPr>
            <w:r w:rsidRPr="0062582F">
              <w:rPr>
                <w:b/>
              </w:rPr>
              <w:t>239.1</w:t>
            </w:r>
          </w:p>
        </w:tc>
      </w:tr>
    </w:tbl>
    <w:p w:rsidR="004843DB" w:rsidRPr="0062582F" w:rsidRDefault="004843DB" w:rsidP="004843DB">
      <w:pPr>
        <w:pStyle w:val="Notes"/>
      </w:pPr>
      <w:r w:rsidRPr="0062582F">
        <w:t>Notes:</w:t>
      </w:r>
    </w:p>
    <w:p w:rsidR="004843DB" w:rsidRPr="0062582F" w:rsidRDefault="004843DB" w:rsidP="004843DB">
      <w:pPr>
        <w:pStyle w:val="Notes"/>
      </w:pPr>
      <w:r w:rsidRPr="0062582F">
        <w:t>(i)</w:t>
      </w:r>
      <w:r w:rsidRPr="0062582F">
        <w:tab/>
        <w:t xml:space="preserve">Contributions, inter alia, include funds provided by the Victorian Government, Commonwealth, other Australian and international jurisdictions, as well as the general public, for the purpose described above. </w:t>
      </w:r>
    </w:p>
    <w:p w:rsidR="004843DB" w:rsidRPr="0062582F" w:rsidRDefault="004843DB" w:rsidP="004843DB">
      <w:pPr>
        <w:pStyle w:val="Notes"/>
      </w:pPr>
      <w:r w:rsidRPr="0062582F">
        <w:t>(ii)</w:t>
      </w:r>
      <w:r w:rsidRPr="0062582F">
        <w:tab/>
        <w:t xml:space="preserve">The investment, pursuant to section 21 of the </w:t>
      </w:r>
      <w:r w:rsidRPr="0062582F">
        <w:rPr>
          <w:i w:val="0"/>
        </w:rPr>
        <w:t>Financial Management Act 1994</w:t>
      </w:r>
      <w:r w:rsidRPr="0062582F">
        <w:t xml:space="preserve">, of any monies from the biological disaster fund has been invested as allowed under the </w:t>
      </w:r>
      <w:r w:rsidRPr="0062582F">
        <w:rPr>
          <w:i w:val="0"/>
        </w:rPr>
        <w:t>Trustee Act 1958</w:t>
      </w:r>
      <w:r w:rsidRPr="0062582F">
        <w:t>. Interest earned is credited to the trust account.</w:t>
      </w:r>
    </w:p>
    <w:p w:rsidR="004843DB" w:rsidRPr="0062582F" w:rsidRDefault="004843DB" w:rsidP="004843DB">
      <w:pPr>
        <w:pStyle w:val="Notes"/>
        <w:rPr>
          <w:color w:val="0000FF"/>
        </w:rPr>
      </w:pPr>
      <w:r w:rsidRPr="0062582F">
        <w:t>(iii)</w:t>
      </w:r>
      <w:r w:rsidRPr="0062582F">
        <w:tab/>
      </w:r>
      <w:r w:rsidRPr="0062582F">
        <w:rPr>
          <w:color w:val="0000FF"/>
        </w:rPr>
        <w:t>[This expanded disclosure is only necessary for third party funds under management that are of significance in regards to public interest.]</w:t>
      </w:r>
    </w:p>
    <w:p w:rsidR="004843DB" w:rsidRPr="0062582F" w:rsidRDefault="004843DB" w:rsidP="004843DB"/>
    <w:p w:rsidR="004843DB" w:rsidRPr="0062582F" w:rsidRDefault="004843DB" w:rsidP="004843DB">
      <w:pPr>
        <w:pStyle w:val="Heading5"/>
      </w:pPr>
      <w:r w:rsidRPr="0062582F">
        <w:t>Other third party funds under management</w:t>
      </w:r>
    </w:p>
    <w:p w:rsidR="004843DB" w:rsidRPr="0062582F" w:rsidRDefault="004843DB" w:rsidP="004843DB">
      <w:pPr>
        <w:pStyle w:val="million"/>
      </w:pPr>
      <w:r w:rsidRPr="0062582F">
        <w:t>( million)</w:t>
      </w:r>
    </w:p>
    <w:tbl>
      <w:tblPr>
        <w:tblW w:w="8225" w:type="dxa"/>
        <w:tblLayout w:type="fixed"/>
        <w:tblCellMar>
          <w:left w:w="43" w:type="dxa"/>
          <w:right w:w="43" w:type="dxa"/>
        </w:tblCellMar>
        <w:tblLook w:val="01E0" w:firstRow="1" w:lastRow="1" w:firstColumn="1" w:lastColumn="1" w:noHBand="0" w:noVBand="0"/>
      </w:tblPr>
      <w:tblGrid>
        <w:gridCol w:w="7"/>
        <w:gridCol w:w="5705"/>
        <w:gridCol w:w="1252"/>
        <w:gridCol w:w="1254"/>
        <w:gridCol w:w="7"/>
      </w:tblGrid>
      <w:tr w:rsidR="004843DB" w:rsidRPr="0062582F" w:rsidTr="004843DB">
        <w:trPr>
          <w:gridBefore w:val="1"/>
          <w:gridAfter w:val="1"/>
          <w:wBefore w:w="7" w:type="dxa"/>
          <w:wAfter w:w="7" w:type="dxa"/>
          <w:cantSplit/>
        </w:trPr>
        <w:tc>
          <w:tcPr>
            <w:tcW w:w="5706" w:type="dxa"/>
            <w:tcBorders>
              <w:top w:val="single" w:sz="6" w:space="0" w:color="auto"/>
              <w:bottom w:val="single" w:sz="6" w:space="0" w:color="auto"/>
            </w:tcBorders>
            <w:shd w:val="clear" w:color="auto" w:fill="auto"/>
          </w:tcPr>
          <w:p w:rsidR="004843DB" w:rsidRPr="0062582F" w:rsidRDefault="004843DB" w:rsidP="004843DB">
            <w:pPr>
              <w:pStyle w:val="Tabletext"/>
            </w:pPr>
          </w:p>
        </w:tc>
        <w:tc>
          <w:tcPr>
            <w:tcW w:w="1251" w:type="dxa"/>
            <w:tcBorders>
              <w:top w:val="single" w:sz="6" w:space="0" w:color="auto"/>
              <w:bottom w:val="single" w:sz="6" w:space="0" w:color="auto"/>
            </w:tcBorders>
            <w:shd w:val="clear" w:color="auto" w:fill="D9D9D9"/>
          </w:tcPr>
          <w:p w:rsidR="004843DB" w:rsidRPr="0062582F" w:rsidRDefault="004843DB" w:rsidP="004843DB">
            <w:pPr>
              <w:pStyle w:val="Tabletextheading"/>
            </w:pPr>
            <w:r w:rsidRPr="0062582F">
              <w:t>2016</w:t>
            </w:r>
          </w:p>
        </w:tc>
        <w:tc>
          <w:tcPr>
            <w:tcW w:w="1254" w:type="dxa"/>
            <w:tcBorders>
              <w:top w:val="single" w:sz="6" w:space="0" w:color="auto"/>
              <w:bottom w:val="single" w:sz="6" w:space="0" w:color="auto"/>
            </w:tcBorders>
            <w:shd w:val="clear" w:color="auto" w:fill="auto"/>
          </w:tcPr>
          <w:p w:rsidR="004843DB" w:rsidRPr="0062582F" w:rsidRDefault="004843DB" w:rsidP="004843DB">
            <w:pPr>
              <w:pStyle w:val="Tabletextheading"/>
            </w:pPr>
            <w:r w:rsidRPr="0062582F">
              <w:t>2015</w:t>
            </w:r>
          </w:p>
        </w:tc>
      </w:tr>
      <w:tr w:rsidR="004843DB" w:rsidRPr="0062582F" w:rsidTr="004843DB">
        <w:trPr>
          <w:cantSplit/>
        </w:trPr>
        <w:tc>
          <w:tcPr>
            <w:tcW w:w="5713" w:type="dxa"/>
            <w:gridSpan w:val="2"/>
            <w:tcBorders>
              <w:top w:val="single" w:sz="6" w:space="0" w:color="auto"/>
            </w:tcBorders>
            <w:shd w:val="clear" w:color="auto" w:fill="auto"/>
          </w:tcPr>
          <w:p w:rsidR="004843DB" w:rsidRPr="0062582F" w:rsidRDefault="004843DB" w:rsidP="004843DB">
            <w:pPr>
              <w:pStyle w:val="Tabletext"/>
            </w:pPr>
            <w:r w:rsidRPr="0062582F">
              <w:t>e</w:t>
            </w:r>
            <w:r w:rsidR="005A4BB0">
              <w:noBreakHyphen/>
            </w:r>
            <w:r w:rsidRPr="0062582F">
              <w:t>Technology fund</w:t>
            </w:r>
            <w:r w:rsidRPr="0062582F">
              <w:rPr>
                <w:vertAlign w:val="superscript"/>
              </w:rPr>
              <w:t xml:space="preserve"> (i)</w:t>
            </w:r>
          </w:p>
        </w:tc>
        <w:tc>
          <w:tcPr>
            <w:tcW w:w="1252" w:type="dxa"/>
            <w:tcBorders>
              <w:top w:val="single" w:sz="6" w:space="0" w:color="auto"/>
            </w:tcBorders>
            <w:shd w:val="clear" w:color="auto" w:fill="D9D9D9"/>
          </w:tcPr>
          <w:p w:rsidR="004843DB" w:rsidRPr="0062582F" w:rsidRDefault="004843DB" w:rsidP="004843DB">
            <w:pPr>
              <w:pStyle w:val="TableofFigures"/>
            </w:pPr>
            <w:r w:rsidRPr="0062582F">
              <w:t>21.2</w:t>
            </w:r>
          </w:p>
        </w:tc>
        <w:tc>
          <w:tcPr>
            <w:tcW w:w="1260" w:type="dxa"/>
            <w:gridSpan w:val="2"/>
            <w:tcBorders>
              <w:top w:val="single" w:sz="6" w:space="0" w:color="auto"/>
            </w:tcBorders>
            <w:shd w:val="clear" w:color="auto" w:fill="auto"/>
          </w:tcPr>
          <w:p w:rsidR="004843DB" w:rsidRPr="0062582F" w:rsidRDefault="004843DB" w:rsidP="004843DB">
            <w:pPr>
              <w:pStyle w:val="TableofFigures"/>
            </w:pPr>
            <w:r w:rsidRPr="0062582F">
              <w:t>46.1</w:t>
            </w:r>
          </w:p>
        </w:tc>
      </w:tr>
      <w:tr w:rsidR="004843DB" w:rsidRPr="0062582F" w:rsidTr="004843DB">
        <w:trPr>
          <w:cantSplit/>
        </w:trPr>
        <w:tc>
          <w:tcPr>
            <w:tcW w:w="5713" w:type="dxa"/>
            <w:gridSpan w:val="2"/>
            <w:tcBorders>
              <w:bottom w:val="single" w:sz="6" w:space="0" w:color="auto"/>
            </w:tcBorders>
            <w:shd w:val="clear" w:color="auto" w:fill="auto"/>
          </w:tcPr>
          <w:p w:rsidR="004843DB" w:rsidRPr="0062582F" w:rsidRDefault="004843DB" w:rsidP="004843DB">
            <w:pPr>
              <w:pStyle w:val="Tabletext"/>
            </w:pPr>
            <w:r w:rsidRPr="0062582F">
              <w:t xml:space="preserve">International network association fund </w:t>
            </w:r>
            <w:r w:rsidRPr="0062582F">
              <w:rPr>
                <w:vertAlign w:val="superscript"/>
              </w:rPr>
              <w:t>(ii)</w:t>
            </w:r>
          </w:p>
        </w:tc>
        <w:tc>
          <w:tcPr>
            <w:tcW w:w="1252" w:type="dxa"/>
            <w:tcBorders>
              <w:bottom w:val="single" w:sz="6" w:space="0" w:color="auto"/>
            </w:tcBorders>
            <w:shd w:val="clear" w:color="auto" w:fill="D9D9D9"/>
          </w:tcPr>
          <w:p w:rsidR="004843DB" w:rsidRPr="0062582F" w:rsidRDefault="004843DB" w:rsidP="004843DB">
            <w:pPr>
              <w:pStyle w:val="TableofFigures"/>
            </w:pPr>
            <w:r w:rsidRPr="0062582F">
              <w:t>1.7</w:t>
            </w:r>
          </w:p>
        </w:tc>
        <w:tc>
          <w:tcPr>
            <w:tcW w:w="1260" w:type="dxa"/>
            <w:gridSpan w:val="2"/>
            <w:tcBorders>
              <w:bottom w:val="single" w:sz="6" w:space="0" w:color="auto"/>
            </w:tcBorders>
            <w:shd w:val="clear" w:color="auto" w:fill="auto"/>
          </w:tcPr>
          <w:p w:rsidR="004843DB" w:rsidRPr="0062582F" w:rsidRDefault="004843DB" w:rsidP="004843DB">
            <w:pPr>
              <w:pStyle w:val="TableofFigures"/>
            </w:pPr>
            <w:r w:rsidRPr="0062582F">
              <w:t>1.5</w:t>
            </w:r>
          </w:p>
        </w:tc>
      </w:tr>
      <w:tr w:rsidR="004843DB" w:rsidRPr="0062582F" w:rsidTr="004843DB">
        <w:trPr>
          <w:cantSplit/>
        </w:trPr>
        <w:tc>
          <w:tcPr>
            <w:tcW w:w="5713" w:type="dxa"/>
            <w:gridSpan w:val="2"/>
            <w:tcBorders>
              <w:top w:val="single" w:sz="6" w:space="0" w:color="auto"/>
              <w:bottom w:val="single" w:sz="12" w:space="0" w:color="auto"/>
            </w:tcBorders>
            <w:shd w:val="clear" w:color="auto" w:fill="auto"/>
          </w:tcPr>
          <w:p w:rsidR="004843DB" w:rsidRPr="0062582F" w:rsidRDefault="004843DB" w:rsidP="004843DB">
            <w:pPr>
              <w:pStyle w:val="Tabletext"/>
              <w:rPr>
                <w:b/>
              </w:rPr>
            </w:pPr>
            <w:r w:rsidRPr="0062582F">
              <w:rPr>
                <w:b/>
              </w:rPr>
              <w:t>Total funds under management</w:t>
            </w:r>
          </w:p>
        </w:tc>
        <w:tc>
          <w:tcPr>
            <w:tcW w:w="1252" w:type="dxa"/>
            <w:tcBorders>
              <w:top w:val="single" w:sz="6" w:space="0" w:color="auto"/>
              <w:bottom w:val="single" w:sz="12" w:space="0" w:color="auto"/>
            </w:tcBorders>
            <w:shd w:val="clear" w:color="auto" w:fill="D9D9D9"/>
          </w:tcPr>
          <w:p w:rsidR="004843DB" w:rsidRPr="0062582F" w:rsidRDefault="004843DB" w:rsidP="004843DB">
            <w:pPr>
              <w:pStyle w:val="TableofFigures"/>
              <w:rPr>
                <w:b/>
              </w:rPr>
            </w:pPr>
            <w:r w:rsidRPr="0062582F">
              <w:rPr>
                <w:b/>
              </w:rPr>
              <w:t>22.9</w:t>
            </w:r>
          </w:p>
        </w:tc>
        <w:tc>
          <w:tcPr>
            <w:tcW w:w="1260" w:type="dxa"/>
            <w:gridSpan w:val="2"/>
            <w:tcBorders>
              <w:top w:val="single" w:sz="6" w:space="0" w:color="auto"/>
              <w:bottom w:val="single" w:sz="12" w:space="0" w:color="auto"/>
            </w:tcBorders>
            <w:shd w:val="clear" w:color="auto" w:fill="auto"/>
          </w:tcPr>
          <w:p w:rsidR="004843DB" w:rsidRPr="0062582F" w:rsidRDefault="004843DB" w:rsidP="004843DB">
            <w:pPr>
              <w:pStyle w:val="TableofFigures"/>
              <w:rPr>
                <w:b/>
              </w:rPr>
            </w:pPr>
            <w:r w:rsidRPr="0062582F">
              <w:rPr>
                <w:b/>
              </w:rPr>
              <w:t>47.6</w:t>
            </w:r>
          </w:p>
        </w:tc>
      </w:tr>
    </w:tbl>
    <w:p w:rsidR="004843DB" w:rsidRPr="0062582F" w:rsidRDefault="004843DB" w:rsidP="004843DB">
      <w:pPr>
        <w:pStyle w:val="Notes"/>
      </w:pPr>
      <w:r w:rsidRPr="0062582F">
        <w:t>Notes:</w:t>
      </w:r>
    </w:p>
    <w:p w:rsidR="004843DB" w:rsidRPr="0062582F" w:rsidRDefault="004843DB" w:rsidP="004843DB">
      <w:pPr>
        <w:pStyle w:val="Notes"/>
      </w:pPr>
      <w:r w:rsidRPr="0062582F">
        <w:t>(i)</w:t>
      </w:r>
      <w:r w:rsidRPr="0062582F">
        <w:tab/>
        <w:t>The e</w:t>
      </w:r>
      <w:r w:rsidR="005A4BB0">
        <w:noBreakHyphen/>
      </w:r>
      <w:r w:rsidRPr="0062582F">
        <w:t>Technology fund was established by the Victorian Government in 2009 in partnership with the Commonwealth Government to receive contributions and disburse monies to businesses, non</w:t>
      </w:r>
      <w:r w:rsidR="005A4BB0">
        <w:noBreakHyphen/>
      </w:r>
      <w:r w:rsidRPr="0062582F">
        <w:t>government organisations and registered individuals compliant with the international agreement on e</w:t>
      </w:r>
      <w:r w:rsidR="005A4BB0">
        <w:noBreakHyphen/>
      </w:r>
      <w:r w:rsidRPr="0062582F">
        <w:t xml:space="preserve">Technology signed by Australia in February 2009. </w:t>
      </w:r>
    </w:p>
    <w:p w:rsidR="004843DB" w:rsidRPr="0062582F" w:rsidRDefault="004843DB" w:rsidP="004843DB">
      <w:pPr>
        <w:pStyle w:val="Notes"/>
      </w:pPr>
      <w:r w:rsidRPr="0062582F">
        <w:t>(ii)</w:t>
      </w:r>
      <w:r w:rsidRPr="0062582F">
        <w:tab/>
        <w:t>The international network association fund was established in 2011 in partnership with the International Association of Networks. The Victorian government manages, under trust, donations and bequests from members of the International Association of Networks for disbursement to eligible beneficiaries.</w:t>
      </w:r>
    </w:p>
    <w:p w:rsidR="004843DB" w:rsidRPr="0062582F" w:rsidRDefault="004843DB" w:rsidP="004843DB">
      <w:pPr>
        <w:ind w:hanging="360"/>
        <w:rPr>
          <w:sz w:val="18"/>
          <w:szCs w:val="18"/>
        </w:rPr>
      </w:pPr>
    </w:p>
    <w:p w:rsidR="004843DB" w:rsidRPr="0062582F" w:rsidRDefault="004843DB" w:rsidP="004843DB">
      <w:pPr>
        <w:pStyle w:val="SmallLine"/>
      </w:pPr>
      <w:r w:rsidRPr="0062582F">
        <w:br w:type="column"/>
      </w:r>
      <w:r w:rsidRPr="0062582F">
        <w:br w:type="column"/>
      </w:r>
    </w:p>
    <w:p w:rsidR="004843DB" w:rsidRPr="0062582F" w:rsidRDefault="004843DB" w:rsidP="004843DB">
      <w:pPr>
        <w:pStyle w:val="CommentaryHeading"/>
      </w:pPr>
      <w:r w:rsidRPr="0062582F">
        <w:t>Commentary – Third party funds under management</w:t>
      </w:r>
    </w:p>
    <w:p w:rsidR="004843DB" w:rsidRPr="0062582F" w:rsidRDefault="004843DB" w:rsidP="004843DB">
      <w:pPr>
        <w:pStyle w:val="SmallLineBlue"/>
      </w:pPr>
    </w:p>
    <w:p w:rsidR="004843DB" w:rsidRPr="0062582F" w:rsidRDefault="004843DB" w:rsidP="004843DB">
      <w:pPr>
        <w:pStyle w:val="CommentaryText"/>
        <w:pBdr>
          <w:top w:val="none" w:sz="0" w:space="0" w:color="auto"/>
          <w:bottom w:val="none" w:sz="0" w:space="0" w:color="auto"/>
        </w:pBdr>
      </w:pPr>
      <w:r w:rsidRPr="0062582F">
        <w:t xml:space="preserve">Third party funds under management are funds that are collected and managed by a government entity acting as an </w:t>
      </w:r>
      <w:r w:rsidR="005A4BB0">
        <w:t>‘</w:t>
      </w:r>
      <w:r w:rsidRPr="0062582F">
        <w:t>agent</w:t>
      </w:r>
      <w:r w:rsidR="005A4BB0">
        <w:t>’</w:t>
      </w:r>
      <w:r w:rsidRPr="0062582F">
        <w:t xml:space="preserve">, on behalf of the </w:t>
      </w:r>
      <w:r w:rsidR="005A4BB0">
        <w:t>‘</w:t>
      </w:r>
      <w:r w:rsidRPr="0062582F">
        <w:t>principal</w:t>
      </w:r>
      <w:r w:rsidR="005A4BB0">
        <w:t>’</w:t>
      </w:r>
      <w:r w:rsidRPr="0062582F">
        <w:t xml:space="preserve">. These funds are usually not available for general use by the </w:t>
      </w:r>
      <w:r w:rsidR="005A4BB0">
        <w:t>‘</w:t>
      </w:r>
      <w:r w:rsidRPr="0062582F">
        <w:t>agent</w:t>
      </w:r>
      <w:r w:rsidR="005A4BB0">
        <w:t>’</w:t>
      </w:r>
      <w:r w:rsidRPr="0062582F">
        <w:t xml:space="preserve"> entity, either due to legislative restricitions over the funds or various other circumstances that impose restrictions on the use of the funds. </w:t>
      </w:r>
    </w:p>
    <w:p w:rsidR="004843DB" w:rsidRPr="0062582F" w:rsidRDefault="004843DB" w:rsidP="004843DB">
      <w:pPr>
        <w:pStyle w:val="CommentaryHeading1"/>
        <w:pBdr>
          <w:top w:val="none" w:sz="0" w:space="0" w:color="auto"/>
          <w:bottom w:val="none" w:sz="0" w:space="0" w:color="auto"/>
        </w:pBdr>
      </w:pPr>
      <w:r w:rsidRPr="0062582F">
        <w:t xml:space="preserve">Determining whether an entity is acting as a principal or as an agent </w:t>
      </w:r>
    </w:p>
    <w:p w:rsidR="004843DB" w:rsidRPr="0062582F" w:rsidRDefault="004843DB" w:rsidP="004843DB">
      <w:pPr>
        <w:pStyle w:val="CommentaryText"/>
        <w:pBdr>
          <w:top w:val="none" w:sz="0" w:space="0" w:color="auto"/>
          <w:bottom w:val="none" w:sz="0" w:space="0" w:color="auto"/>
        </w:pBdr>
      </w:pPr>
      <w:r w:rsidRPr="0062582F">
        <w:t>Determining whether an entity is acting as a principal or as an agent requires judgement and consideration of all relevant facts and circumstances. Guidance is provided below.</w:t>
      </w:r>
    </w:p>
    <w:p w:rsidR="004843DB" w:rsidRPr="0062582F" w:rsidRDefault="004843DB" w:rsidP="004843DB">
      <w:pPr>
        <w:pStyle w:val="CommentaryText"/>
        <w:pBdr>
          <w:top w:val="none" w:sz="0" w:space="0" w:color="auto"/>
          <w:bottom w:val="none" w:sz="0" w:space="0" w:color="auto"/>
        </w:pBdr>
        <w:sectPr w:rsidR="004843DB" w:rsidRPr="0062582F" w:rsidSect="00190A01">
          <w:headerReference w:type="default" r:id="rId350"/>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rPr>
          <w:lang w:val="en-AU"/>
        </w:rPr>
      </w:pPr>
      <w:r w:rsidRPr="0062582F">
        <w:rPr>
          <w:lang w:val="en-AU"/>
        </w:rPr>
        <w:t>AASB 118.</w:t>
      </w:r>
      <w:r w:rsidRPr="0062582F">
        <w:t>App</w:t>
      </w:r>
      <w:r w:rsidRPr="0062582F">
        <w:rPr>
          <w:lang w:val="en-AU"/>
        </w:rPr>
        <w:t>.21</w:t>
      </w:r>
    </w:p>
    <w:p w:rsidR="004843DB" w:rsidRPr="0062582F" w:rsidRDefault="004843DB" w:rsidP="004843DB">
      <w:pPr>
        <w:pStyle w:val="CommentaryHeading2"/>
      </w:pPr>
      <w:r w:rsidRPr="0062582F">
        <w:br w:type="column"/>
        <w:t>Principal</w:t>
      </w:r>
    </w:p>
    <w:p w:rsidR="004843DB" w:rsidRPr="0062582F" w:rsidRDefault="004843DB" w:rsidP="004843DB">
      <w:pPr>
        <w:pStyle w:val="CommentaryText"/>
        <w:pBdr>
          <w:top w:val="none" w:sz="0" w:space="0" w:color="auto"/>
          <w:bottom w:val="none" w:sz="0" w:space="0" w:color="auto"/>
        </w:pBdr>
      </w:pPr>
      <w:r w:rsidRPr="0062582F">
        <w:t>An entity is acting as a principal when it has exposure to the significant risks and rewards associated with the sale of goods or the rendering of services. Features that indicate this include:</w:t>
      </w:r>
    </w:p>
    <w:p w:rsidR="004843DB" w:rsidRPr="0062582F" w:rsidRDefault="004843DB" w:rsidP="004843DB">
      <w:pPr>
        <w:pStyle w:val="CommentaryBullet"/>
      </w:pPr>
      <w:r w:rsidRPr="0062582F">
        <w:t>the entity has the primary responsibility for providing the goods or services to the customer or for fulfilling the order, e.g. by being responsible for the acceptability of the products or services ordered or purchased by the customer;</w:t>
      </w:r>
    </w:p>
    <w:p w:rsidR="004843DB" w:rsidRPr="0062582F" w:rsidRDefault="004843DB" w:rsidP="004843DB">
      <w:pPr>
        <w:pStyle w:val="CommentaryBullet"/>
      </w:pPr>
      <w:r w:rsidRPr="0062582F">
        <w:t>the entity has inventory risk before or after the customer order, during shipping or on return;</w:t>
      </w:r>
    </w:p>
    <w:p w:rsidR="004843DB" w:rsidRPr="0062582F" w:rsidRDefault="004843DB" w:rsidP="004843DB">
      <w:pPr>
        <w:pStyle w:val="CommentaryBullet"/>
      </w:pPr>
      <w:r w:rsidRPr="0062582F">
        <w:t>the entity has latitude in establishing prices, either directly or indirectly, e.g. by providing additional goods or services; and</w:t>
      </w:r>
    </w:p>
    <w:p w:rsidR="004843DB" w:rsidRPr="0062582F" w:rsidRDefault="004843DB" w:rsidP="004843DB">
      <w:pPr>
        <w:pStyle w:val="CommentaryBullet"/>
      </w:pPr>
      <w:r w:rsidRPr="0062582F">
        <w:t>the entity bears the customer</w:t>
      </w:r>
      <w:r w:rsidR="005A4BB0">
        <w:t>’</w:t>
      </w:r>
      <w:r w:rsidRPr="0062582F">
        <w:t>s credit risk for the amount receivable from the customer.</w:t>
      </w:r>
    </w:p>
    <w:p w:rsidR="004843DB" w:rsidRPr="0062582F" w:rsidRDefault="004843DB" w:rsidP="004843DB">
      <w:pPr>
        <w:pStyle w:val="CommentaryTextInden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spacing w:before="200"/>
      </w:pPr>
      <w:r w:rsidRPr="0062582F">
        <w:t>AASB 118.App.21</w:t>
      </w:r>
    </w:p>
    <w:p w:rsidR="004843DB" w:rsidRPr="0062582F" w:rsidRDefault="004843DB" w:rsidP="004843DB">
      <w:pPr>
        <w:pStyle w:val="CommentaryHeading2"/>
      </w:pPr>
      <w:r w:rsidRPr="0062582F">
        <w:br w:type="column"/>
        <w:t>Agent</w:t>
      </w:r>
    </w:p>
    <w:p w:rsidR="004843DB" w:rsidRPr="0062582F" w:rsidRDefault="004843DB" w:rsidP="004843DB">
      <w:pPr>
        <w:pStyle w:val="CommentaryText"/>
        <w:pBdr>
          <w:top w:val="none" w:sz="0" w:space="0" w:color="auto"/>
          <w:bottom w:val="none" w:sz="0" w:space="0" w:color="auto"/>
        </w:pBdr>
      </w:pPr>
      <w:r w:rsidRPr="0062582F">
        <w:t>An entity is acting as an agent when it does not have exposure to the significant risks and rewards associated with the sale of goods or the rendering of services. One feature that indicates this is that the amount the entity earns is predetermined, being either a fixed fee per transaction or a stated percentage of the amount billed to the customer.</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rtlGutter/>
        </w:sectPr>
      </w:pPr>
    </w:p>
    <w:p w:rsidR="004843DB" w:rsidRPr="0062582F" w:rsidRDefault="004843DB" w:rsidP="004843DB">
      <w:pPr>
        <w:pStyle w:val="Reference"/>
      </w:pPr>
      <w:r w:rsidRPr="0062582F">
        <w:t>AASB 107.48</w:t>
      </w:r>
    </w:p>
    <w:p w:rsidR="004843DB" w:rsidRPr="0062582F" w:rsidRDefault="004843DB" w:rsidP="004843DB">
      <w:pPr>
        <w:pStyle w:val="CommentaryHeading1"/>
        <w:pBdr>
          <w:top w:val="none" w:sz="0" w:space="0" w:color="auto"/>
          <w:bottom w:val="none" w:sz="0" w:space="0" w:color="auto"/>
        </w:pBdr>
      </w:pPr>
      <w:r w:rsidRPr="0062582F">
        <w:br w:type="column"/>
        <w:t>Information to be disclosed</w:t>
      </w:r>
    </w:p>
    <w:p w:rsidR="004843DB" w:rsidRPr="0062582F" w:rsidRDefault="004843DB" w:rsidP="004843DB">
      <w:pPr>
        <w:pStyle w:val="CommentaryText"/>
        <w:pBdr>
          <w:top w:val="none" w:sz="0" w:space="0" w:color="auto"/>
          <w:bottom w:val="none" w:sz="0" w:space="0" w:color="auto"/>
        </w:pBdr>
      </w:pPr>
      <w:r w:rsidRPr="0062582F">
        <w:t>An entity shall disclose, together with a commentary by management, the amount of significant cash and cash equivalent balances held by the entity that are not available for use by the group.</w:t>
      </w:r>
    </w:p>
    <w:p w:rsidR="004843DB" w:rsidRPr="0062582F" w:rsidRDefault="004843DB" w:rsidP="004843DB">
      <w:pPr>
        <w:pStyle w:val="CommentaryText"/>
        <w:pBdr>
          <w:top w:val="none" w:sz="0" w:space="0" w:color="auto"/>
        </w:pBd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spacing w:before="200"/>
      </w:pPr>
      <w:r w:rsidRPr="0062582F">
        <w:t>Based on recommendation 6 in PAEC Report 102 – Part One</w:t>
      </w:r>
    </w:p>
    <w:p w:rsidR="004843DB" w:rsidRPr="0062582F" w:rsidRDefault="004843DB" w:rsidP="004843DB">
      <w:pPr>
        <w:pStyle w:val="CommentaryHeading1"/>
        <w:pBdr>
          <w:top w:val="none" w:sz="0" w:space="0" w:color="auto"/>
        </w:pBdr>
      </w:pPr>
      <w:r w:rsidRPr="0062582F">
        <w:br w:type="column"/>
        <w:t>Natural disasters</w:t>
      </w:r>
    </w:p>
    <w:p w:rsidR="004843DB" w:rsidRPr="0062582F" w:rsidRDefault="004843DB" w:rsidP="004843DB">
      <w:pPr>
        <w:pStyle w:val="CommentaryText"/>
        <w:pBdr>
          <w:top w:val="none" w:sz="0" w:space="0" w:color="auto"/>
        </w:pBdr>
      </w:pPr>
      <w:r w:rsidRPr="0062582F">
        <w:t>Departments are required to demonstrate high standards of transparency and accountability when reporting on the effectiveness of how funding allocated to natural disaster relief was managed. It is expected that this note disclosure include the level of funding spent on individuals, state</w:t>
      </w:r>
      <w:r w:rsidR="005A4BB0">
        <w:noBreakHyphen/>
      </w:r>
      <w:r w:rsidRPr="0062582F">
        <w:t>owned assets, businesses and community groups affected as a result of a natural disaster.</w:t>
      </w:r>
    </w:p>
    <w:p w:rsidR="004843DB" w:rsidRPr="0062582F" w:rsidRDefault="004843DB" w:rsidP="004843DB">
      <w:pPr>
        <w:pStyle w:val="Notes"/>
      </w:pPr>
      <w:bookmarkStart w:id="638" w:name="_Toc132689522"/>
      <w:bookmarkStart w:id="639" w:name="_Toc133138204"/>
      <w:bookmarkStart w:id="640" w:name="_Toc133203922"/>
      <w:bookmarkStart w:id="641" w:name="_Toc154475776"/>
      <w:bookmarkStart w:id="642" w:name="_Toc162327237"/>
      <w:bookmarkStart w:id="643" w:name="_Toc162327953"/>
      <w:bookmarkStart w:id="644" w:name="_Toc192562766"/>
      <w:bookmarkStart w:id="645" w:name="_Toc332019498"/>
    </w:p>
    <w:p w:rsidR="004843DB" w:rsidRPr="0062582F" w:rsidRDefault="004843DB" w:rsidP="004843DB">
      <w:pPr>
        <w:spacing w:line="240" w:lineRule="atLeast"/>
        <w:rPr>
          <w:rFonts w:ascii="Calibri" w:hAnsi="Calibri" w:cs="Arial"/>
          <w:b/>
          <w:bCs/>
          <w:sz w:val="26"/>
          <w:szCs w:val="28"/>
          <w:lang w:val="en-GB"/>
        </w:rPr>
      </w:pPr>
      <w:bookmarkStart w:id="646" w:name="_Toc366843381"/>
      <w:r w:rsidRPr="0062582F">
        <w:br w:type="page"/>
      </w:r>
    </w:p>
    <w:p w:rsidR="004843DB" w:rsidRPr="0062582F" w:rsidRDefault="004843DB" w:rsidP="004843DB">
      <w:pPr>
        <w:pStyle w:val="NoteHeading"/>
      </w:pPr>
      <w:r w:rsidRPr="0062582F">
        <w:br w:type="column"/>
      </w:r>
      <w:bookmarkStart w:id="647" w:name="_Toc448157219"/>
      <w:r w:rsidRPr="0062582F">
        <w:t>Note 40.</w:t>
      </w:r>
      <w:r w:rsidRPr="0062582F">
        <w:tab/>
        <w:t>Responsible persons</w:t>
      </w:r>
      <w:bookmarkEnd w:id="646"/>
      <w:bookmarkEnd w:id="647"/>
    </w:p>
    <w:p w:rsidR="004843DB" w:rsidRPr="0062582F" w:rsidRDefault="004843DB" w:rsidP="004843DB">
      <w:r w:rsidRPr="0062582F">
        <w:t xml:space="preserve">In accordance with the Ministerial Directions issued by the Minister for Finance under the </w:t>
      </w:r>
      <w:r w:rsidRPr="0062582F">
        <w:rPr>
          <w:i/>
          <w:iCs/>
        </w:rPr>
        <w:t>Financial Management Act 1994</w:t>
      </w:r>
      <w:r w:rsidRPr="0062582F">
        <w:t>, the following disclosures are made regarding responsible persons for the reporting period.</w:t>
      </w:r>
    </w:p>
    <w:p w:rsidR="004843DB" w:rsidRPr="0062582F" w:rsidRDefault="004843DB" w:rsidP="004843DB">
      <w:pPr>
        <w:pStyle w:val="Heading2"/>
      </w:pPr>
      <w:r w:rsidRPr="0062582F">
        <w:t>Names</w:t>
      </w:r>
    </w:p>
    <w:p w:rsidR="004843DB" w:rsidRPr="0062582F" w:rsidRDefault="004843DB" w:rsidP="004843DB">
      <w:r w:rsidRPr="0062582F">
        <w:t>The persons who held the positions of Ministers and Accountable Officers in the Department are as follows:</w:t>
      </w:r>
    </w:p>
    <w:p w:rsidR="004843DB" w:rsidRPr="0062582F" w:rsidRDefault="004843DB" w:rsidP="004843DB">
      <w:pPr>
        <w:pStyle w:val="SmallLine"/>
      </w:pPr>
    </w:p>
    <w:tbl>
      <w:tblPr>
        <w:tblW w:w="8190" w:type="dxa"/>
        <w:tblInd w:w="-7" w:type="dxa"/>
        <w:tblBorders>
          <w:top w:val="single" w:sz="4" w:space="0" w:color="auto"/>
          <w:bottom w:val="single" w:sz="12" w:space="0" w:color="auto"/>
        </w:tblBorders>
        <w:tblLayout w:type="fixed"/>
        <w:tblCellMar>
          <w:left w:w="29" w:type="dxa"/>
          <w:right w:w="29" w:type="dxa"/>
        </w:tblCellMar>
        <w:tblLook w:val="0000" w:firstRow="0" w:lastRow="0" w:firstColumn="0" w:lastColumn="0" w:noHBand="0" w:noVBand="0"/>
      </w:tblPr>
      <w:tblGrid>
        <w:gridCol w:w="2730"/>
        <w:gridCol w:w="2730"/>
        <w:gridCol w:w="2730"/>
      </w:tblGrid>
      <w:tr w:rsidR="004843DB" w:rsidRPr="0062582F" w:rsidTr="004843DB">
        <w:trPr>
          <w:cantSplit/>
        </w:trPr>
        <w:tc>
          <w:tcPr>
            <w:tcW w:w="2730" w:type="dxa"/>
            <w:tcBorders>
              <w:top w:val="nil"/>
              <w:bottom w:val="nil"/>
            </w:tcBorders>
          </w:tcPr>
          <w:p w:rsidR="004843DB" w:rsidRPr="0062582F" w:rsidRDefault="004843DB" w:rsidP="004843DB">
            <w:pPr>
              <w:pStyle w:val="TableBullet"/>
              <w:spacing w:before="30" w:after="30"/>
              <w:ind w:left="259" w:hanging="259"/>
            </w:pPr>
            <w:r w:rsidRPr="0062582F">
              <w:t>Minister for Technology</w:t>
            </w:r>
          </w:p>
        </w:tc>
        <w:tc>
          <w:tcPr>
            <w:tcW w:w="2730" w:type="dxa"/>
            <w:tcBorders>
              <w:top w:val="nil"/>
              <w:bottom w:val="nil"/>
            </w:tcBorders>
          </w:tcPr>
          <w:p w:rsidR="004843DB" w:rsidRPr="0062582F" w:rsidRDefault="004843DB" w:rsidP="004843DB">
            <w:pPr>
              <w:pStyle w:val="Tabletext"/>
            </w:pPr>
            <w:r w:rsidRPr="0062582F">
              <w:t xml:space="preserve">The Hon. John Bristol MP </w:t>
            </w:r>
          </w:p>
        </w:tc>
        <w:tc>
          <w:tcPr>
            <w:tcW w:w="2730" w:type="dxa"/>
            <w:tcBorders>
              <w:top w:val="nil"/>
              <w:bottom w:val="nil"/>
            </w:tcBorders>
          </w:tcPr>
          <w:p w:rsidR="004843DB" w:rsidRPr="0062582F" w:rsidRDefault="004843DB" w:rsidP="004843DB">
            <w:pPr>
              <w:pStyle w:val="Tabletext"/>
            </w:pPr>
            <w:r w:rsidRPr="0062582F">
              <w:t>1 July 2015 to 30 June 2016</w:t>
            </w:r>
          </w:p>
        </w:tc>
      </w:tr>
      <w:tr w:rsidR="004843DB" w:rsidRPr="0062582F" w:rsidTr="004843DB">
        <w:trPr>
          <w:cantSplit/>
        </w:trPr>
        <w:tc>
          <w:tcPr>
            <w:tcW w:w="2730" w:type="dxa"/>
            <w:tcBorders>
              <w:top w:val="nil"/>
              <w:bottom w:val="nil"/>
            </w:tcBorders>
          </w:tcPr>
          <w:p w:rsidR="004843DB" w:rsidRPr="0062582F" w:rsidRDefault="004843DB" w:rsidP="004843DB">
            <w:pPr>
              <w:pStyle w:val="TableBullet"/>
              <w:spacing w:before="30" w:after="30"/>
              <w:ind w:left="259" w:hanging="259"/>
            </w:pPr>
            <w:r w:rsidRPr="0062582F">
              <w:t>Minister for Biotechnology</w:t>
            </w:r>
          </w:p>
        </w:tc>
        <w:tc>
          <w:tcPr>
            <w:tcW w:w="2730" w:type="dxa"/>
            <w:tcBorders>
              <w:top w:val="nil"/>
              <w:bottom w:val="nil"/>
            </w:tcBorders>
          </w:tcPr>
          <w:p w:rsidR="004843DB" w:rsidRPr="0062582F" w:rsidRDefault="004843DB" w:rsidP="004843DB">
            <w:pPr>
              <w:pStyle w:val="Tabletext"/>
            </w:pPr>
            <w:r w:rsidRPr="0062582F">
              <w:t xml:space="preserve">The Hon. Laura Toddington MP </w:t>
            </w:r>
          </w:p>
        </w:tc>
        <w:tc>
          <w:tcPr>
            <w:tcW w:w="2730" w:type="dxa"/>
            <w:tcBorders>
              <w:top w:val="nil"/>
              <w:bottom w:val="nil"/>
            </w:tcBorders>
          </w:tcPr>
          <w:p w:rsidR="004843DB" w:rsidRPr="0062582F" w:rsidRDefault="004843DB" w:rsidP="004843DB">
            <w:pPr>
              <w:pStyle w:val="Tabletext"/>
            </w:pPr>
            <w:r w:rsidRPr="0062582F">
              <w:t>1 July 2015 to 30 June 2016</w:t>
            </w:r>
          </w:p>
        </w:tc>
      </w:tr>
      <w:tr w:rsidR="004843DB" w:rsidRPr="0062582F" w:rsidTr="004843DB">
        <w:trPr>
          <w:cantSplit/>
        </w:trPr>
        <w:tc>
          <w:tcPr>
            <w:tcW w:w="2730" w:type="dxa"/>
            <w:tcBorders>
              <w:top w:val="nil"/>
              <w:bottom w:val="nil"/>
            </w:tcBorders>
          </w:tcPr>
          <w:p w:rsidR="004843DB" w:rsidRPr="0062582F" w:rsidRDefault="004843DB" w:rsidP="004843DB">
            <w:pPr>
              <w:pStyle w:val="TableBullet"/>
              <w:spacing w:before="30" w:after="30"/>
              <w:ind w:left="259" w:hanging="259"/>
            </w:pPr>
            <w:r w:rsidRPr="0062582F">
              <w:t>Secretary</w:t>
            </w:r>
          </w:p>
        </w:tc>
        <w:tc>
          <w:tcPr>
            <w:tcW w:w="2730" w:type="dxa"/>
            <w:tcBorders>
              <w:top w:val="nil"/>
              <w:bottom w:val="nil"/>
            </w:tcBorders>
          </w:tcPr>
          <w:p w:rsidR="004843DB" w:rsidRPr="0062582F" w:rsidRDefault="004843DB" w:rsidP="004843DB">
            <w:pPr>
              <w:pStyle w:val="Tabletext"/>
            </w:pPr>
            <w:r w:rsidRPr="0062582F">
              <w:t xml:space="preserve">Ms Jane Smith </w:t>
            </w:r>
          </w:p>
        </w:tc>
        <w:tc>
          <w:tcPr>
            <w:tcW w:w="2730" w:type="dxa"/>
            <w:tcBorders>
              <w:top w:val="nil"/>
              <w:bottom w:val="nil"/>
            </w:tcBorders>
          </w:tcPr>
          <w:p w:rsidR="004843DB" w:rsidRPr="0062582F" w:rsidRDefault="004843DB" w:rsidP="004843DB">
            <w:pPr>
              <w:pStyle w:val="Tabletext"/>
            </w:pPr>
            <w:r w:rsidRPr="0062582F">
              <w:t>1 July 2015 to 30 June 2016</w:t>
            </w:r>
          </w:p>
        </w:tc>
      </w:tr>
    </w:tbl>
    <w:bookmarkEnd w:id="638"/>
    <w:bookmarkEnd w:id="639"/>
    <w:bookmarkEnd w:id="640"/>
    <w:bookmarkEnd w:id="641"/>
    <w:bookmarkEnd w:id="642"/>
    <w:bookmarkEnd w:id="643"/>
    <w:bookmarkEnd w:id="644"/>
    <w:bookmarkEnd w:id="645"/>
    <w:p w:rsidR="004843DB" w:rsidRPr="0062582F" w:rsidRDefault="004843DB" w:rsidP="004843DB">
      <w:pPr>
        <w:pStyle w:val="Heading2NotesContd"/>
      </w:pPr>
      <w:r w:rsidRPr="0062582F">
        <w:t>Remuneration</w:t>
      </w:r>
    </w:p>
    <w:p w:rsidR="004843DB" w:rsidRPr="0062582F" w:rsidRDefault="004843DB" w:rsidP="004843DB">
      <w:r w:rsidRPr="0062582F">
        <w:t xml:space="preserve">Remuneration received or receivable by the Accountable Officer in connection with the management of the Department during the reporting period was in the range: </w:t>
      </w:r>
      <w:r w:rsidRPr="0062582F">
        <w:br/>
        <w:t>$460 000 – $469 000 ($460 000 – $469 000 in 2014</w:t>
      </w:r>
      <w:r w:rsidR="005A4BB0">
        <w:noBreakHyphen/>
      </w:r>
      <w:r w:rsidRPr="0062582F">
        <w:t>15)</w:t>
      </w:r>
    </w:p>
    <w:p w:rsidR="004843DB" w:rsidRPr="0062582F" w:rsidRDefault="004843DB" w:rsidP="004843DB">
      <w:pPr>
        <w:pStyle w:val="Notes"/>
      </w:pPr>
    </w:p>
    <w:p w:rsidR="004843DB" w:rsidRPr="0062582F" w:rsidRDefault="004843DB" w:rsidP="004843DB">
      <w:pPr>
        <w:pStyle w:val="Heading5"/>
        <w:sectPr w:rsidR="004843DB" w:rsidRPr="0062582F" w:rsidSect="00190A01">
          <w:type w:val="continuous"/>
          <w:pgSz w:w="11906" w:h="16838" w:code="9"/>
          <w:pgMar w:top="1152" w:right="864" w:bottom="1152" w:left="864" w:header="432" w:footer="432" w:gutter="0"/>
          <w:cols w:num="2" w:space="360" w:equalWidth="0">
            <w:col w:w="1440" w:space="360"/>
            <w:col w:w="8090"/>
          </w:cols>
        </w:sectPr>
      </w:pPr>
      <w:r w:rsidRPr="0062582F">
        <w:t>Related party transactions included in the reconciliation amount:</w:t>
      </w:r>
    </w:p>
    <w:p w:rsidR="004843DB" w:rsidRPr="0062582F" w:rsidRDefault="004843DB" w:rsidP="004843DB">
      <w:pPr>
        <w:pStyle w:val="ReferenceRed"/>
      </w:pPr>
    </w:p>
    <w:p w:rsidR="004843DB" w:rsidRPr="0062582F" w:rsidRDefault="004843DB" w:rsidP="004843DB">
      <w:pPr>
        <w:pStyle w:val="ReferenceRed"/>
      </w:pPr>
    </w:p>
    <w:p w:rsidR="004843DB" w:rsidRPr="0062582F" w:rsidRDefault="004843DB" w:rsidP="004843DB">
      <w:pPr>
        <w:pStyle w:val="ReferenceRed"/>
      </w:pPr>
    </w:p>
    <w:p w:rsidR="004843DB" w:rsidRPr="0062582F" w:rsidRDefault="004843DB" w:rsidP="004843DB">
      <w:pPr>
        <w:pStyle w:val="ReferenceRed"/>
      </w:pPr>
    </w:p>
    <w:p w:rsidR="004843DB" w:rsidRPr="0062582F" w:rsidRDefault="004843DB" w:rsidP="004843DB">
      <w:pPr>
        <w:pStyle w:val="ReferenceRed"/>
      </w:pPr>
    </w:p>
    <w:p w:rsidR="004843DB" w:rsidRPr="0062582F" w:rsidRDefault="004843DB" w:rsidP="004843DB">
      <w:pPr>
        <w:pStyle w:val="ReferenceRed"/>
      </w:pPr>
    </w:p>
    <w:p w:rsidR="004843DB" w:rsidRPr="0062582F" w:rsidRDefault="004843DB" w:rsidP="004843DB">
      <w:pPr>
        <w:pStyle w:val="ReferenceRed"/>
      </w:pPr>
    </w:p>
    <w:p w:rsidR="004843DB" w:rsidRPr="0062582F" w:rsidRDefault="004843DB" w:rsidP="004843DB">
      <w:pPr>
        <w:pStyle w:val="ReferenceRed"/>
      </w:pPr>
    </w:p>
    <w:p w:rsidR="004843DB" w:rsidRPr="0062582F" w:rsidRDefault="004843DB" w:rsidP="004843DB">
      <w:pPr>
        <w:pStyle w:val="ReferenceRed"/>
      </w:pPr>
    </w:p>
    <w:p w:rsidR="004843DB" w:rsidRPr="0062582F" w:rsidRDefault="004843DB" w:rsidP="004843DB">
      <w:pPr>
        <w:pStyle w:val="ReferenceRed"/>
        <w:spacing w:before="120"/>
      </w:pPr>
      <w:r w:rsidRPr="0062582F">
        <w:t>Revised</w:t>
      </w:r>
    </w:p>
    <w:p w:rsidR="004843DB" w:rsidRPr="0062582F" w:rsidRDefault="004843DB" w:rsidP="004843DB">
      <w:pPr>
        <w:pStyle w:val="Heading5"/>
      </w:pPr>
    </w:p>
    <w:p w:rsidR="004843DB" w:rsidRPr="0062582F" w:rsidRDefault="004843DB" w:rsidP="004843DB">
      <w:pPr>
        <w:pStyle w:val="million"/>
        <w:spacing w:before="60"/>
      </w:pPr>
      <w:r w:rsidRPr="0062582F">
        <w:br w:type="column"/>
        <w:t>($ thousand)</w:t>
      </w:r>
    </w:p>
    <w:tbl>
      <w:tblPr>
        <w:tblW w:w="8233" w:type="dxa"/>
        <w:tblLayout w:type="fixed"/>
        <w:tblCellMar>
          <w:left w:w="43" w:type="dxa"/>
          <w:right w:w="43" w:type="dxa"/>
        </w:tblCellMar>
        <w:tblLook w:val="0000" w:firstRow="0" w:lastRow="0" w:firstColumn="0" w:lastColumn="0" w:noHBand="0" w:noVBand="0"/>
      </w:tblPr>
      <w:tblGrid>
        <w:gridCol w:w="6163"/>
        <w:gridCol w:w="1035"/>
        <w:gridCol w:w="1035"/>
      </w:tblGrid>
      <w:tr w:rsidR="004843DB" w:rsidRPr="0062582F" w:rsidTr="004843DB">
        <w:trPr>
          <w:cantSplit/>
        </w:trPr>
        <w:tc>
          <w:tcPr>
            <w:tcW w:w="6163" w:type="dxa"/>
            <w:tcBorders>
              <w:top w:val="single" w:sz="6" w:space="0" w:color="auto"/>
              <w:bottom w:val="single" w:sz="6" w:space="0" w:color="auto"/>
            </w:tcBorders>
            <w:vAlign w:val="center"/>
          </w:tcPr>
          <w:p w:rsidR="004843DB" w:rsidRPr="0062582F" w:rsidRDefault="004843DB" w:rsidP="004843DB">
            <w:pPr>
              <w:pStyle w:val="Tabletext"/>
            </w:pPr>
          </w:p>
        </w:tc>
        <w:tc>
          <w:tcPr>
            <w:tcW w:w="1035" w:type="dxa"/>
            <w:tcBorders>
              <w:top w:val="single" w:sz="6" w:space="0" w:color="auto"/>
              <w:left w:val="nil"/>
              <w:bottom w:val="single" w:sz="6" w:space="0" w:color="auto"/>
            </w:tcBorders>
            <w:shd w:val="clear" w:color="auto" w:fill="D9D9D9"/>
            <w:vAlign w:val="bottom"/>
          </w:tcPr>
          <w:p w:rsidR="004843DB" w:rsidRPr="0062582F" w:rsidRDefault="004843DB" w:rsidP="004843DB">
            <w:pPr>
              <w:pStyle w:val="Tabletextheading"/>
            </w:pPr>
            <w:r w:rsidRPr="0062582F">
              <w:t>2016</w:t>
            </w:r>
          </w:p>
        </w:tc>
        <w:tc>
          <w:tcPr>
            <w:tcW w:w="1035" w:type="dxa"/>
            <w:tcBorders>
              <w:top w:val="single" w:sz="6" w:space="0" w:color="auto"/>
              <w:left w:val="nil"/>
              <w:bottom w:val="single" w:sz="6" w:space="0" w:color="auto"/>
              <w:right w:val="nil"/>
            </w:tcBorders>
            <w:vAlign w:val="bottom"/>
          </w:tcPr>
          <w:p w:rsidR="004843DB" w:rsidRPr="0062582F" w:rsidRDefault="004843DB" w:rsidP="004843DB">
            <w:pPr>
              <w:pStyle w:val="Tabletextheading"/>
            </w:pPr>
            <w:r w:rsidRPr="0062582F">
              <w:t>2015</w:t>
            </w:r>
          </w:p>
        </w:tc>
      </w:tr>
      <w:tr w:rsidR="004843DB" w:rsidRPr="0062582F" w:rsidTr="004843DB">
        <w:trPr>
          <w:cantSplit/>
        </w:trPr>
        <w:tc>
          <w:tcPr>
            <w:tcW w:w="6163" w:type="dxa"/>
            <w:tcBorders>
              <w:top w:val="single" w:sz="6" w:space="0" w:color="auto"/>
            </w:tcBorders>
            <w:vAlign w:val="center"/>
          </w:tcPr>
          <w:p w:rsidR="004843DB" w:rsidRPr="0062582F" w:rsidRDefault="004843DB" w:rsidP="004843DB">
            <w:pPr>
              <w:pStyle w:val="Tabletext"/>
            </w:pPr>
            <w:r w:rsidRPr="0062582F">
              <w:t>Ms Jane Smith</w:t>
            </w:r>
          </w:p>
        </w:tc>
        <w:tc>
          <w:tcPr>
            <w:tcW w:w="1035" w:type="dxa"/>
            <w:tcBorders>
              <w:top w:val="single" w:sz="6" w:space="0" w:color="auto"/>
              <w:left w:val="nil"/>
            </w:tcBorders>
            <w:shd w:val="clear" w:color="auto" w:fill="D9D9D9"/>
          </w:tcPr>
          <w:p w:rsidR="004843DB" w:rsidRPr="0062582F" w:rsidRDefault="004843DB" w:rsidP="004843DB">
            <w:pPr>
              <w:pStyle w:val="TableofFigures"/>
            </w:pPr>
          </w:p>
        </w:tc>
        <w:tc>
          <w:tcPr>
            <w:tcW w:w="1035" w:type="dxa"/>
            <w:tcBorders>
              <w:top w:val="single" w:sz="6" w:space="0" w:color="auto"/>
              <w:left w:val="nil"/>
              <w:right w:val="nil"/>
            </w:tcBorders>
          </w:tcPr>
          <w:p w:rsidR="004843DB" w:rsidRPr="0062582F" w:rsidRDefault="004843DB" w:rsidP="004843DB">
            <w:pPr>
              <w:pStyle w:val="TableofFigures"/>
            </w:pPr>
          </w:p>
        </w:tc>
      </w:tr>
      <w:tr w:rsidR="004843DB" w:rsidRPr="0062582F" w:rsidTr="004843DB">
        <w:trPr>
          <w:cantSplit/>
        </w:trPr>
        <w:tc>
          <w:tcPr>
            <w:tcW w:w="6163" w:type="dxa"/>
            <w:vAlign w:val="center"/>
          </w:tcPr>
          <w:p w:rsidR="004843DB" w:rsidRPr="0062582F" w:rsidRDefault="004843DB" w:rsidP="004843DB">
            <w:pPr>
              <w:pStyle w:val="Tabletext"/>
            </w:pPr>
            <w:r w:rsidRPr="0062582F">
              <w:t>Loan balances at beginning of financial year</w:t>
            </w:r>
          </w:p>
        </w:tc>
        <w:tc>
          <w:tcPr>
            <w:tcW w:w="1035" w:type="dxa"/>
            <w:shd w:val="clear" w:color="auto" w:fill="D9D9D9"/>
          </w:tcPr>
          <w:p w:rsidR="004843DB" w:rsidRPr="0062582F" w:rsidRDefault="004843DB" w:rsidP="004843DB">
            <w:pPr>
              <w:pStyle w:val="TableofFigures"/>
            </w:pPr>
            <w:r w:rsidRPr="0062582F">
              <w:t>30</w:t>
            </w:r>
          </w:p>
        </w:tc>
        <w:tc>
          <w:tcPr>
            <w:tcW w:w="1035" w:type="dxa"/>
          </w:tcPr>
          <w:p w:rsidR="004843DB" w:rsidRPr="0062582F" w:rsidRDefault="004843DB" w:rsidP="004843DB">
            <w:pPr>
              <w:pStyle w:val="TableofFigures"/>
            </w:pPr>
            <w:r w:rsidRPr="0062582F">
              <w:t>40</w:t>
            </w:r>
          </w:p>
        </w:tc>
      </w:tr>
      <w:tr w:rsidR="004843DB" w:rsidRPr="0062582F" w:rsidTr="004843DB">
        <w:trPr>
          <w:cantSplit/>
        </w:trPr>
        <w:tc>
          <w:tcPr>
            <w:tcW w:w="6163" w:type="dxa"/>
            <w:vAlign w:val="center"/>
          </w:tcPr>
          <w:p w:rsidR="004843DB" w:rsidRPr="0062582F" w:rsidRDefault="004843DB" w:rsidP="004843DB">
            <w:pPr>
              <w:pStyle w:val="Tabletext"/>
            </w:pPr>
            <w:r w:rsidRPr="0062582F">
              <w:t>Loans made</w:t>
            </w:r>
          </w:p>
        </w:tc>
        <w:tc>
          <w:tcPr>
            <w:tcW w:w="1035" w:type="dxa"/>
            <w:shd w:val="clear" w:color="auto" w:fill="D9D9D9"/>
          </w:tcPr>
          <w:p w:rsidR="004843DB" w:rsidRPr="0062582F" w:rsidRDefault="004843DB" w:rsidP="004843DB">
            <w:pPr>
              <w:pStyle w:val="TableofFigures"/>
            </w:pPr>
            <w:r w:rsidRPr="0062582F">
              <w:t>..</w:t>
            </w:r>
          </w:p>
        </w:tc>
        <w:tc>
          <w:tcPr>
            <w:tcW w:w="1035" w:type="dxa"/>
          </w:tcPr>
          <w:p w:rsidR="004843DB" w:rsidRPr="0062582F" w:rsidRDefault="004843DB" w:rsidP="004843DB">
            <w:pPr>
              <w:pStyle w:val="TableofFigures"/>
            </w:pPr>
            <w:r w:rsidRPr="0062582F">
              <w:t>20</w:t>
            </w:r>
          </w:p>
        </w:tc>
      </w:tr>
      <w:tr w:rsidR="004843DB" w:rsidRPr="0062582F" w:rsidTr="004843DB">
        <w:trPr>
          <w:cantSplit/>
        </w:trPr>
        <w:tc>
          <w:tcPr>
            <w:tcW w:w="6163" w:type="dxa"/>
            <w:vAlign w:val="center"/>
          </w:tcPr>
          <w:p w:rsidR="004843DB" w:rsidRPr="0062582F" w:rsidRDefault="004843DB" w:rsidP="004843DB">
            <w:pPr>
              <w:pStyle w:val="Tabletext"/>
            </w:pPr>
            <w:r w:rsidRPr="0062582F">
              <w:t>Loan repayments</w:t>
            </w:r>
          </w:p>
        </w:tc>
        <w:tc>
          <w:tcPr>
            <w:tcW w:w="1035" w:type="dxa"/>
            <w:shd w:val="clear" w:color="auto" w:fill="D9D9D9"/>
          </w:tcPr>
          <w:p w:rsidR="004843DB" w:rsidRPr="0062582F" w:rsidRDefault="004843DB" w:rsidP="004843DB">
            <w:pPr>
              <w:pStyle w:val="TableofFigures"/>
            </w:pPr>
            <w:r w:rsidRPr="0062582F">
              <w:t>(30)</w:t>
            </w:r>
          </w:p>
        </w:tc>
        <w:tc>
          <w:tcPr>
            <w:tcW w:w="1035" w:type="dxa"/>
          </w:tcPr>
          <w:p w:rsidR="004843DB" w:rsidRPr="0062582F" w:rsidRDefault="004843DB" w:rsidP="004843DB">
            <w:pPr>
              <w:pStyle w:val="TableofFigures"/>
            </w:pPr>
            <w:r w:rsidRPr="0062582F">
              <w:t>(30)</w:t>
            </w:r>
          </w:p>
        </w:tc>
      </w:tr>
      <w:tr w:rsidR="004843DB" w:rsidRPr="0062582F" w:rsidTr="004843DB">
        <w:trPr>
          <w:cantSplit/>
        </w:trPr>
        <w:tc>
          <w:tcPr>
            <w:tcW w:w="6163" w:type="dxa"/>
            <w:tcBorders>
              <w:bottom w:val="single" w:sz="6" w:space="0" w:color="auto"/>
            </w:tcBorders>
            <w:vAlign w:val="center"/>
          </w:tcPr>
          <w:p w:rsidR="004843DB" w:rsidRPr="0062582F" w:rsidRDefault="004843DB" w:rsidP="004843DB">
            <w:pPr>
              <w:pStyle w:val="Tabletext"/>
            </w:pPr>
            <w:r w:rsidRPr="0062582F">
              <w:t>Other</w:t>
            </w:r>
          </w:p>
        </w:tc>
        <w:tc>
          <w:tcPr>
            <w:tcW w:w="1035" w:type="dxa"/>
            <w:tcBorders>
              <w:bottom w:val="single" w:sz="6" w:space="0" w:color="auto"/>
            </w:tcBorders>
            <w:shd w:val="clear" w:color="auto" w:fill="D9D9D9"/>
          </w:tcPr>
          <w:p w:rsidR="004843DB" w:rsidRPr="0062582F" w:rsidRDefault="004843DB" w:rsidP="004843DB">
            <w:pPr>
              <w:pStyle w:val="TableofFigures"/>
            </w:pPr>
            <w:r w:rsidRPr="0062582F">
              <w:t>..</w:t>
            </w:r>
          </w:p>
        </w:tc>
        <w:tc>
          <w:tcPr>
            <w:tcW w:w="1035" w:type="dxa"/>
            <w:tcBorders>
              <w:bottom w:val="single" w:sz="6" w:space="0" w:color="auto"/>
            </w:tcBorders>
          </w:tcPr>
          <w:p w:rsidR="004843DB" w:rsidRPr="0062582F" w:rsidRDefault="004843DB" w:rsidP="004843DB">
            <w:pPr>
              <w:pStyle w:val="TableofFigures"/>
            </w:pPr>
            <w:r w:rsidRPr="0062582F">
              <w:t>..</w:t>
            </w:r>
          </w:p>
        </w:tc>
      </w:tr>
      <w:tr w:rsidR="004843DB" w:rsidRPr="0062582F" w:rsidTr="004843DB">
        <w:trPr>
          <w:cantSplit/>
        </w:trPr>
        <w:tc>
          <w:tcPr>
            <w:tcW w:w="6163" w:type="dxa"/>
            <w:tcBorders>
              <w:top w:val="single" w:sz="6" w:space="0" w:color="auto"/>
            </w:tcBorders>
            <w:vAlign w:val="center"/>
          </w:tcPr>
          <w:p w:rsidR="004843DB" w:rsidRPr="0062582F" w:rsidRDefault="004843DB" w:rsidP="004843DB">
            <w:pPr>
              <w:pStyle w:val="Tabletext"/>
            </w:pPr>
          </w:p>
        </w:tc>
        <w:tc>
          <w:tcPr>
            <w:tcW w:w="1035" w:type="dxa"/>
            <w:tcBorders>
              <w:top w:val="single" w:sz="6" w:space="0" w:color="auto"/>
            </w:tcBorders>
            <w:shd w:val="clear" w:color="auto" w:fill="D9D9D9"/>
          </w:tcPr>
          <w:p w:rsidR="004843DB" w:rsidRPr="0062582F" w:rsidRDefault="004843DB" w:rsidP="004843DB">
            <w:pPr>
              <w:pStyle w:val="TableofFigures"/>
            </w:pPr>
            <w:r w:rsidRPr="0062582F">
              <w:t>..</w:t>
            </w:r>
          </w:p>
        </w:tc>
        <w:tc>
          <w:tcPr>
            <w:tcW w:w="1035" w:type="dxa"/>
            <w:tcBorders>
              <w:top w:val="single" w:sz="6" w:space="0" w:color="auto"/>
            </w:tcBorders>
          </w:tcPr>
          <w:p w:rsidR="004843DB" w:rsidRPr="0062582F" w:rsidRDefault="004843DB" w:rsidP="004843DB">
            <w:pPr>
              <w:pStyle w:val="TableofFigures"/>
            </w:pPr>
            <w:r w:rsidRPr="0062582F">
              <w:t>30</w:t>
            </w:r>
          </w:p>
        </w:tc>
      </w:tr>
      <w:tr w:rsidR="004843DB" w:rsidRPr="0062582F" w:rsidTr="004843DB">
        <w:trPr>
          <w:cantSplit/>
        </w:trPr>
        <w:tc>
          <w:tcPr>
            <w:tcW w:w="6163" w:type="dxa"/>
            <w:tcBorders>
              <w:bottom w:val="single" w:sz="6" w:space="0" w:color="auto"/>
            </w:tcBorders>
            <w:vAlign w:val="center"/>
          </w:tcPr>
          <w:p w:rsidR="004843DB" w:rsidRPr="0062582F" w:rsidRDefault="004843DB" w:rsidP="004843DB">
            <w:pPr>
              <w:pStyle w:val="Tabletext"/>
            </w:pPr>
            <w:r w:rsidRPr="0062582F">
              <w:t>The Secretary is an ex officio member of the Biological Technology Council Victoria to which the Department paid grants on normal commercial terms</w:t>
            </w:r>
          </w:p>
        </w:tc>
        <w:tc>
          <w:tcPr>
            <w:tcW w:w="1035" w:type="dxa"/>
            <w:tcBorders>
              <w:bottom w:val="single" w:sz="6" w:space="0" w:color="auto"/>
            </w:tcBorders>
            <w:shd w:val="clear" w:color="auto" w:fill="D9D9D9"/>
          </w:tcPr>
          <w:p w:rsidR="004843DB" w:rsidRPr="0062582F" w:rsidRDefault="004843DB" w:rsidP="004843DB">
            <w:pPr>
              <w:pStyle w:val="TableofFigures"/>
            </w:pPr>
            <w:r w:rsidRPr="0062582F">
              <w:t>(125)</w:t>
            </w:r>
          </w:p>
        </w:tc>
        <w:tc>
          <w:tcPr>
            <w:tcW w:w="1035" w:type="dxa"/>
            <w:tcBorders>
              <w:bottom w:val="single" w:sz="6" w:space="0" w:color="auto"/>
            </w:tcBorders>
          </w:tcPr>
          <w:p w:rsidR="004843DB" w:rsidRPr="0062582F" w:rsidRDefault="004843DB" w:rsidP="004843DB">
            <w:pPr>
              <w:pStyle w:val="TableofFigures"/>
            </w:pPr>
            <w:r w:rsidRPr="0062582F">
              <w:t>..</w:t>
            </w:r>
          </w:p>
        </w:tc>
      </w:tr>
      <w:tr w:rsidR="004843DB" w:rsidRPr="0062582F" w:rsidTr="004843DB">
        <w:trPr>
          <w:cantSplit/>
        </w:trPr>
        <w:tc>
          <w:tcPr>
            <w:tcW w:w="6163" w:type="dxa"/>
            <w:tcBorders>
              <w:top w:val="single" w:sz="6" w:space="0" w:color="auto"/>
              <w:bottom w:val="single" w:sz="12" w:space="0" w:color="auto"/>
            </w:tcBorders>
            <w:vAlign w:val="center"/>
          </w:tcPr>
          <w:p w:rsidR="004843DB" w:rsidRPr="0062582F" w:rsidRDefault="004843DB" w:rsidP="004843DB">
            <w:pPr>
              <w:pStyle w:val="Tabletext"/>
              <w:rPr>
                <w:b/>
              </w:rPr>
            </w:pPr>
            <w:r w:rsidRPr="0062582F">
              <w:rPr>
                <w:b/>
              </w:rPr>
              <w:t>Total</w:t>
            </w:r>
          </w:p>
        </w:tc>
        <w:tc>
          <w:tcPr>
            <w:tcW w:w="1035" w:type="dxa"/>
            <w:tcBorders>
              <w:top w:val="single" w:sz="6" w:space="0" w:color="auto"/>
              <w:bottom w:val="single" w:sz="12" w:space="0" w:color="auto"/>
            </w:tcBorders>
            <w:shd w:val="clear" w:color="auto" w:fill="D9D9D9"/>
          </w:tcPr>
          <w:p w:rsidR="004843DB" w:rsidRPr="0062582F" w:rsidRDefault="004843DB" w:rsidP="004843DB">
            <w:pPr>
              <w:pStyle w:val="TableofFigures"/>
              <w:rPr>
                <w:b/>
              </w:rPr>
            </w:pPr>
            <w:r w:rsidRPr="0062582F">
              <w:rPr>
                <w:b/>
              </w:rPr>
              <w:t>(125)</w:t>
            </w:r>
          </w:p>
        </w:tc>
        <w:tc>
          <w:tcPr>
            <w:tcW w:w="1035" w:type="dxa"/>
            <w:tcBorders>
              <w:top w:val="single" w:sz="6" w:space="0" w:color="auto"/>
              <w:bottom w:val="single" w:sz="12" w:space="0" w:color="auto"/>
            </w:tcBorders>
          </w:tcPr>
          <w:p w:rsidR="004843DB" w:rsidRPr="0062582F" w:rsidRDefault="004843DB" w:rsidP="004843DB">
            <w:pPr>
              <w:pStyle w:val="TableofFigures"/>
              <w:rPr>
                <w:b/>
              </w:rPr>
            </w:pPr>
            <w:r w:rsidRPr="0062582F">
              <w:rPr>
                <w:b/>
              </w:rPr>
              <w:t>(30)</w:t>
            </w:r>
          </w:p>
        </w:tc>
      </w:tr>
    </w:tbl>
    <w:p w:rsidR="004843DB" w:rsidRPr="0062582F" w:rsidRDefault="004843DB" w:rsidP="004843DB">
      <w:pPr>
        <w:pStyle w:val="SmallLine"/>
      </w:pPr>
    </w:p>
    <w:p w:rsidR="004843DB" w:rsidRPr="0062582F" w:rsidRDefault="004843DB" w:rsidP="004843DB">
      <w:pPr>
        <w:rPr>
          <w:rFonts w:asciiTheme="minorHAnsi" w:hAnsiTheme="minorHAnsi"/>
          <w:sz w:val="20"/>
          <w:szCs w:val="20"/>
        </w:rPr>
      </w:pPr>
      <w:r w:rsidRPr="0062582F">
        <w:t>Amounts relating to ministers are reported in the financial statements of the Department of Premier and Cabinet. For information regarding related party transactions of ministers, the register of members</w:t>
      </w:r>
      <w:r w:rsidR="005A4BB0">
        <w:t>’</w:t>
      </w:r>
      <w:r w:rsidRPr="0062582F">
        <w:t xml:space="preserve"> interests is publicly available from: </w:t>
      </w:r>
      <w:hyperlink w:history="1">
        <w:r w:rsidRPr="0062582F">
          <w:rPr>
            <w:rStyle w:val="Hyperlink"/>
            <w:rFonts w:asciiTheme="minorHAnsi" w:hAnsiTheme="minorHAnsi"/>
            <w:szCs w:val="20"/>
          </w:rPr>
          <w:t>www.parliament.vic.gov.au/publications/register</w:t>
        </w:r>
        <w:r w:rsidR="005A4BB0">
          <w:rPr>
            <w:rStyle w:val="Hyperlink"/>
            <w:rFonts w:asciiTheme="minorHAnsi" w:hAnsiTheme="minorHAnsi"/>
            <w:szCs w:val="20"/>
          </w:rPr>
          <w:noBreakHyphen/>
        </w:r>
        <w:r w:rsidRPr="0062582F">
          <w:rPr>
            <w:rStyle w:val="Hyperlink"/>
            <w:rFonts w:asciiTheme="minorHAnsi" w:hAnsiTheme="minorHAnsi"/>
            <w:szCs w:val="20"/>
          </w:rPr>
          <w:t>of</w:t>
        </w:r>
        <w:r w:rsidR="005A4BB0">
          <w:rPr>
            <w:rStyle w:val="Hyperlink"/>
            <w:rFonts w:asciiTheme="minorHAnsi" w:hAnsiTheme="minorHAnsi"/>
            <w:szCs w:val="20"/>
          </w:rPr>
          <w:noBreakHyphen/>
        </w:r>
        <w:r w:rsidRPr="0062582F">
          <w:rPr>
            <w:rStyle w:val="Hyperlink"/>
            <w:rFonts w:asciiTheme="minorHAnsi" w:hAnsiTheme="minorHAnsi"/>
            <w:szCs w:val="20"/>
          </w:rPr>
          <w:t>interests</w:t>
        </w:r>
      </w:hyperlink>
      <w:r w:rsidRPr="0062582F">
        <w:t>.</w:t>
      </w:r>
    </w:p>
    <w:p w:rsidR="004843DB" w:rsidRPr="0062582F" w:rsidRDefault="004843DB" w:rsidP="004843DB"/>
    <w:p w:rsidR="004843DB" w:rsidRPr="0062582F" w:rsidRDefault="004843DB" w:rsidP="004843DB">
      <w:pPr>
        <w:pStyle w:val="CommentaryHeading"/>
      </w:pPr>
      <w:bookmarkStart w:id="648" w:name="_Toc163448952"/>
      <w:r w:rsidRPr="0062582F">
        <w:t>Commentary – Responsible persons</w:t>
      </w:r>
      <w:bookmarkEnd w:id="648"/>
    </w:p>
    <w:p w:rsidR="004843DB" w:rsidRPr="0062582F" w:rsidRDefault="004843DB" w:rsidP="004843DB">
      <w:pPr>
        <w:pStyle w:val="SmallLineBlue"/>
      </w:pPr>
    </w:p>
    <w:p w:rsidR="004843DB" w:rsidRPr="0062582F" w:rsidRDefault="004843DB" w:rsidP="004843DB">
      <w:pPr>
        <w:pStyle w:val="SmallLine"/>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r w:rsidRPr="0062582F">
        <w:t>FRD 21B</w:t>
      </w:r>
    </w:p>
    <w:p w:rsidR="004843DB" w:rsidRPr="0062582F" w:rsidRDefault="004843DB" w:rsidP="004843DB">
      <w:pPr>
        <w:pStyle w:val="CommentaryText"/>
        <w:pBdr>
          <w:top w:val="none" w:sz="0" w:space="0" w:color="auto"/>
          <w:bottom w:val="none" w:sz="0" w:space="0" w:color="auto"/>
        </w:pBdr>
      </w:pPr>
      <w:r w:rsidRPr="0062582F">
        <w:br w:type="column"/>
        <w:t xml:space="preserve">The disclosure requirements of FRD 21B </w:t>
      </w:r>
      <w:r w:rsidRPr="0062582F">
        <w:rPr>
          <w:i/>
        </w:rPr>
        <w:t xml:space="preserve">Disclosures of Responsible Persons, Executive Officers and Other Personnel (Contrators with Significant Management Responsibilities) in the Financial Report </w:t>
      </w:r>
      <w:r w:rsidRPr="0062582F">
        <w:t>issued by the Minister for Finance, recognise that responsible persons, such as ministers, accountable officers and executive officers have significant responsibility for the management of a department</w:t>
      </w:r>
      <w:r w:rsidR="005A4BB0">
        <w:t>’</w:t>
      </w:r>
      <w:r w:rsidRPr="0062582F">
        <w:t>s operations. To that end, they have an obligation to disclose information relating to those occupying management roles, including disclosure in the financial statements of details regarding their remuneration, transactions and loans with the department, which discharges their accountability. FRD 21B also requires disclosures in respect of related party transactions of responsible persons.</w:t>
      </w:r>
    </w:p>
    <w:p w:rsidR="004843DB" w:rsidRPr="0062582F" w:rsidRDefault="004843DB" w:rsidP="004843DB">
      <w:pPr>
        <w:pStyle w:val="CommentaryText"/>
        <w:pBdr>
          <w:top w:val="none" w:sz="0" w:space="0" w:color="auto"/>
        </w:pBdr>
      </w:pPr>
      <w:r w:rsidRPr="0062582F">
        <w:t>Remuneration includes all benefits received or receivable. Accordingly, remuneration needs to be determined on an accrual basis. Base remuneration must be separately disclosed from total remuneration. Where the difference between base and total remuneration is material, the reason for the variance should be supported by explanatory commentary.</w:t>
      </w:r>
    </w:p>
    <w:p w:rsidR="004843DB" w:rsidRPr="0062582F" w:rsidRDefault="004843DB" w:rsidP="004843DB">
      <w:pPr>
        <w:spacing w:line="240" w:lineRule="atLeast"/>
        <w:rPr>
          <w:noProof/>
          <w:color w:val="0000FF"/>
        </w:rPr>
      </w:pPr>
      <w:r w:rsidRPr="0062582F">
        <w:br w:type="page"/>
      </w:r>
    </w:p>
    <w:p w:rsidR="004843DB" w:rsidRPr="0062582F" w:rsidRDefault="004843DB" w:rsidP="004843DB">
      <w:pPr>
        <w:pStyle w:val="Reference"/>
        <w:spacing w:before="80"/>
        <w:rPr>
          <w:color w:val="FF0000"/>
        </w:rPr>
      </w:pPr>
    </w:p>
    <w:p w:rsidR="004843DB" w:rsidRPr="0062582F" w:rsidRDefault="004843DB" w:rsidP="004843DB">
      <w:pPr>
        <w:pStyle w:val="Reference"/>
        <w:spacing w:before="120"/>
        <w:rPr>
          <w:color w:val="FF0000"/>
        </w:rPr>
      </w:pPr>
    </w:p>
    <w:p w:rsidR="004843DB" w:rsidRPr="0062582F" w:rsidRDefault="004843DB" w:rsidP="004843DB">
      <w:pPr>
        <w:pStyle w:val="Reference"/>
        <w:spacing w:before="120"/>
        <w:rPr>
          <w:color w:val="FF0000"/>
        </w:rPr>
      </w:pPr>
    </w:p>
    <w:p w:rsidR="004843DB" w:rsidRPr="0062582F" w:rsidRDefault="004843DB" w:rsidP="004843DB">
      <w:pPr>
        <w:pStyle w:val="Reference"/>
        <w:spacing w:before="240"/>
        <w:rPr>
          <w:color w:val="FF0000"/>
        </w:rPr>
      </w:pPr>
      <w:r w:rsidRPr="0062582F">
        <w:rPr>
          <w:color w:val="FF0000"/>
        </w:rPr>
        <w:t>New</w:t>
      </w:r>
    </w:p>
    <w:p w:rsidR="004843DB" w:rsidRPr="0062582F" w:rsidRDefault="004843DB" w:rsidP="004843DB">
      <w:pPr>
        <w:pStyle w:val="Reference"/>
      </w:pPr>
    </w:p>
    <w:p w:rsidR="004843DB" w:rsidRPr="0062582F" w:rsidRDefault="004843DB" w:rsidP="004843DB">
      <w:pPr>
        <w:pStyle w:val="NoteHeadingcontinued"/>
      </w:pPr>
      <w:r w:rsidRPr="0062582F">
        <w:br w:type="column"/>
        <w:t>Note 40.</w:t>
      </w:r>
      <w:r w:rsidRPr="0062582F">
        <w:tab/>
        <w:t xml:space="preserve">Responsible persons </w:t>
      </w:r>
      <w:r w:rsidRPr="0062582F">
        <w:rPr>
          <w:i/>
        </w:rPr>
        <w:t>(continued)</w:t>
      </w:r>
    </w:p>
    <w:p w:rsidR="004843DB" w:rsidRPr="0062582F" w:rsidRDefault="004843DB" w:rsidP="004843DB">
      <w:pPr>
        <w:pStyle w:val="CommentaryHeading"/>
      </w:pPr>
      <w:r w:rsidRPr="0062582F">
        <w:t xml:space="preserve">Commentary – Responsible persons </w:t>
      </w:r>
      <w:r w:rsidRPr="0062582F">
        <w:rPr>
          <w:i/>
        </w:rPr>
        <w:t>(continued)</w:t>
      </w:r>
    </w:p>
    <w:p w:rsidR="004843DB" w:rsidRPr="0062582F" w:rsidRDefault="004843DB" w:rsidP="004843DB">
      <w:pPr>
        <w:pStyle w:val="SmallLineBlue"/>
      </w:pPr>
    </w:p>
    <w:p w:rsidR="004843DB" w:rsidRPr="0062582F" w:rsidRDefault="004843DB" w:rsidP="004843DB">
      <w:pPr>
        <w:pStyle w:val="CommentaryText"/>
      </w:pPr>
      <w:r w:rsidRPr="0062582F">
        <w:t xml:space="preserve">Ministers may have different responsibilities or interests which can cause ethical challenges in their public role. Their first responsibility is to act in the public interest, and not to promote their own private interests. They must also follow a code of conduct and publicly give details of their interests. These interests are often called </w:t>
      </w:r>
      <w:r w:rsidR="005A4BB0">
        <w:t>‘</w:t>
      </w:r>
      <w:r w:rsidRPr="0062582F">
        <w:t>pecuniary interests</w:t>
      </w:r>
      <w:r w:rsidR="005A4BB0">
        <w:t>’</w:t>
      </w:r>
      <w:r w:rsidRPr="0062582F">
        <w:t>. In respect of related party disclosures, ministers must declare their pecuniary interests which are included in a register of members</w:t>
      </w:r>
      <w:r w:rsidR="005A4BB0">
        <w:t>’</w:t>
      </w:r>
      <w:r w:rsidRPr="0062582F">
        <w:t xml:space="preserve"> interests.</w:t>
      </w:r>
    </w:p>
    <w:p w:rsidR="004843DB" w:rsidRPr="0062582F" w:rsidRDefault="004843DB" w:rsidP="004843DB">
      <w:pPr>
        <w:pStyle w:val="CommentaryText"/>
        <w:sectPr w:rsidR="004843DB" w:rsidRPr="0062582F" w:rsidSect="00190A01">
          <w:type w:val="continuous"/>
          <w:pgSz w:w="11906" w:h="16838" w:code="9"/>
          <w:pgMar w:top="1152" w:right="864" w:bottom="1152" w:left="864" w:header="432" w:footer="432" w:gutter="0"/>
          <w:cols w:num="2" w:space="360" w:equalWidth="0">
            <w:col w:w="1440" w:space="360"/>
            <w:col w:w="8090"/>
          </w:cols>
        </w:sectPr>
      </w:pPr>
      <w:r w:rsidRPr="0062582F">
        <w:t>For further details, reference should be made to FRD 21B with regard to the specific disclosures to be made about responsible persons and their related parties.</w:t>
      </w:r>
    </w:p>
    <w:p w:rsidR="004843DB" w:rsidRPr="0062582F" w:rsidRDefault="004843DB" w:rsidP="004843DB">
      <w:pPr>
        <w:pStyle w:val="Reference"/>
      </w:pPr>
    </w:p>
    <w:p w:rsidR="004843DB" w:rsidRPr="0062582F" w:rsidRDefault="004843DB" w:rsidP="004843DB">
      <w:pPr>
        <w:pStyle w:val="Reference"/>
      </w:pPr>
    </w:p>
    <w:p w:rsidR="004843DB" w:rsidRPr="0062582F" w:rsidRDefault="004843DB" w:rsidP="004843DB">
      <w:pPr>
        <w:pStyle w:val="Reference"/>
        <w:spacing w:before="200"/>
      </w:pPr>
      <w:r w:rsidRPr="0062582F">
        <w:t>FRD 21B</w:t>
      </w:r>
    </w:p>
    <w:p w:rsidR="004843DB" w:rsidRPr="0062582F" w:rsidRDefault="004843DB" w:rsidP="004843DB">
      <w:r w:rsidRPr="0062582F">
        <w:br w:type="column"/>
      </w:r>
      <w:bookmarkStart w:id="649" w:name="_Toc332019499"/>
      <w:bookmarkStart w:id="650" w:name="_Toc366843382"/>
    </w:p>
    <w:p w:rsidR="004843DB" w:rsidRPr="0062582F" w:rsidRDefault="004843DB" w:rsidP="004843DB"/>
    <w:p w:rsidR="004843DB" w:rsidRPr="0062582F" w:rsidRDefault="004843DB" w:rsidP="004843DB">
      <w:pPr>
        <w:pStyle w:val="NoteHeading"/>
      </w:pPr>
      <w:bookmarkStart w:id="651" w:name="_Toc448157220"/>
      <w:r w:rsidRPr="0062582F">
        <w:t>Note 41.</w:t>
      </w:r>
      <w:r w:rsidRPr="0062582F">
        <w:tab/>
        <w:t>Remuneration of executives</w:t>
      </w:r>
      <w:bookmarkEnd w:id="649"/>
      <w:r w:rsidRPr="0062582F">
        <w:t xml:space="preserve"> and payments to other personnel (i.e. contractors with significant management responsibilities)</w:t>
      </w:r>
      <w:bookmarkEnd w:id="650"/>
      <w:bookmarkEnd w:id="651"/>
      <w:r w:rsidRPr="0062582F">
        <w:t xml:space="preserve"> </w:t>
      </w:r>
    </w:p>
    <w:p w:rsidR="004843DB" w:rsidRPr="0062582F" w:rsidRDefault="004843DB" w:rsidP="004843DB">
      <w:pPr>
        <w:pStyle w:val="Heading5"/>
      </w:pPr>
      <w:r w:rsidRPr="0062582F">
        <w:t>(a)</w:t>
      </w:r>
      <w:r w:rsidRPr="0062582F">
        <w:tab/>
        <w:t>Remuneration of executives</w:t>
      </w:r>
    </w:p>
    <w:p w:rsidR="004843DB" w:rsidRPr="0062582F" w:rsidRDefault="004843DB" w:rsidP="004843DB">
      <w:r w:rsidRPr="0062582F">
        <w:t>The number of executive officers, other than ministers and accountable officers, and their total remuneration during the reporting period are shown in the first two columns in the table below in their relevant income bands. The base remuneration of executive officers is shown in the third and fourth columns. Base remuneration is exclusive of bonus payments, long</w:t>
      </w:r>
      <w:r w:rsidR="005A4BB0">
        <w:noBreakHyphen/>
      </w:r>
      <w:r w:rsidRPr="0062582F">
        <w:t>service leave payments, redundancy payments and retirement benefits. The total annualised employee equivalent provides a measure of full</w:t>
      </w:r>
      <w:r w:rsidR="005A4BB0">
        <w:noBreakHyphen/>
      </w:r>
      <w:r w:rsidRPr="0062582F">
        <w:t>time equivalent executive officers over the reporting period.</w:t>
      </w:r>
    </w:p>
    <w:p w:rsidR="004843DB" w:rsidRPr="0062582F" w:rsidRDefault="004843DB" w:rsidP="004843DB">
      <w:r w:rsidRPr="0062582F">
        <w:t>Several factors affected total remuneration payable to executives over the year. A number of employment contracts were completed during the year and renegotiated and a number of executives received bonus payments during the year. These bonus payments depend on the terms of individual employment contracts. Some contracts provide for an annual bonus payment whereas other contracts only include the payment of bonuses on the successful completion of the full term of the contract. A number of these contract completion bonuses became payable during the year.</w:t>
      </w:r>
    </w:p>
    <w:p w:rsidR="004843DB" w:rsidRPr="0062582F" w:rsidRDefault="004843DB" w:rsidP="004843DB">
      <w:r w:rsidRPr="0062582F">
        <w:t>A number of executive officers retired, resigned or were retrenched in the past year. This has had a significant impact on total remuneration figures due to the inclusion of annual leave, long</w:t>
      </w:r>
      <w:r w:rsidR="005A4BB0">
        <w:noBreakHyphen/>
      </w:r>
      <w:r w:rsidRPr="0062582F">
        <w:t>service leave and retrenchment payments.</w:t>
      </w:r>
    </w:p>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090"/>
          </w:cols>
        </w:sectPr>
      </w:pPr>
    </w:p>
    <w:p w:rsidR="004843DB" w:rsidRPr="0062582F" w:rsidRDefault="004843DB" w:rsidP="004843DB">
      <w:pPr>
        <w:pStyle w:val="Reference"/>
      </w:pPr>
    </w:p>
    <w:p w:rsidR="004843DB" w:rsidRPr="0062582F" w:rsidRDefault="004843DB" w:rsidP="004843DB">
      <w:pPr>
        <w:pStyle w:val="NoteHeadingcontinued"/>
      </w:pPr>
      <w:r w:rsidRPr="0062582F">
        <w:br w:type="column"/>
        <w:t>Note 41.</w:t>
      </w:r>
      <w:r w:rsidRPr="0062582F">
        <w:tab/>
        <w:t xml:space="preserve">Remuneration of executives and payments to other personnel (i.e. contractors with significant management responsibilities) </w:t>
      </w:r>
      <w:r w:rsidRPr="0062582F">
        <w:rPr>
          <w:i/>
        </w:rPr>
        <w:t>(continued)</w:t>
      </w:r>
    </w:p>
    <w:p w:rsidR="004843DB" w:rsidRPr="0062582F" w:rsidRDefault="004843DB" w:rsidP="004843DB"/>
    <w:tbl>
      <w:tblPr>
        <w:tblW w:w="8352" w:type="dxa"/>
        <w:tblLayout w:type="fixed"/>
        <w:tblCellMar>
          <w:left w:w="43" w:type="dxa"/>
          <w:right w:w="43" w:type="dxa"/>
        </w:tblCellMar>
        <w:tblLook w:val="0000" w:firstRow="0" w:lastRow="0" w:firstColumn="0" w:lastColumn="0" w:noHBand="0" w:noVBand="0"/>
      </w:tblPr>
      <w:tblGrid>
        <w:gridCol w:w="3690"/>
        <w:gridCol w:w="1152"/>
        <w:gridCol w:w="1170"/>
        <w:gridCol w:w="1170"/>
        <w:gridCol w:w="1170"/>
      </w:tblGrid>
      <w:tr w:rsidR="004843DB" w:rsidRPr="0062582F" w:rsidTr="004843DB">
        <w:trPr>
          <w:cantSplit/>
        </w:trPr>
        <w:tc>
          <w:tcPr>
            <w:tcW w:w="3690" w:type="dxa"/>
            <w:tcBorders>
              <w:top w:val="single" w:sz="4" w:space="0" w:color="auto"/>
            </w:tcBorders>
            <w:vAlign w:val="bottom"/>
          </w:tcPr>
          <w:p w:rsidR="004843DB" w:rsidRPr="0062582F" w:rsidRDefault="004843DB" w:rsidP="004843DB">
            <w:pPr>
              <w:pStyle w:val="TabletextheadingLeft"/>
            </w:pPr>
          </w:p>
        </w:tc>
        <w:tc>
          <w:tcPr>
            <w:tcW w:w="2322" w:type="dxa"/>
            <w:gridSpan w:val="2"/>
            <w:tcBorders>
              <w:top w:val="single" w:sz="4" w:space="0" w:color="auto"/>
              <w:left w:val="nil"/>
              <w:bottom w:val="single" w:sz="4" w:space="0" w:color="auto"/>
            </w:tcBorders>
          </w:tcPr>
          <w:p w:rsidR="004843DB" w:rsidRPr="0062582F" w:rsidRDefault="004843DB" w:rsidP="004843DB">
            <w:pPr>
              <w:pStyle w:val="TabletextheadingCentred"/>
            </w:pPr>
            <w:r w:rsidRPr="0062582F">
              <w:t xml:space="preserve">Total </w:t>
            </w:r>
            <w:r w:rsidRPr="0062582F">
              <w:br/>
              <w:t>remuneration</w:t>
            </w:r>
          </w:p>
        </w:tc>
        <w:tc>
          <w:tcPr>
            <w:tcW w:w="2340" w:type="dxa"/>
            <w:gridSpan w:val="2"/>
            <w:tcBorders>
              <w:top w:val="single" w:sz="4" w:space="0" w:color="auto"/>
              <w:left w:val="nil"/>
              <w:bottom w:val="single" w:sz="4" w:space="0" w:color="auto"/>
            </w:tcBorders>
          </w:tcPr>
          <w:p w:rsidR="004843DB" w:rsidRPr="0062582F" w:rsidRDefault="004843DB" w:rsidP="004843DB">
            <w:pPr>
              <w:pStyle w:val="TabletextheadingCentred"/>
            </w:pPr>
            <w:r w:rsidRPr="0062582F">
              <w:t xml:space="preserve">Base </w:t>
            </w:r>
            <w:r w:rsidRPr="0062582F">
              <w:br/>
              <w:t>remuneration</w:t>
            </w:r>
          </w:p>
        </w:tc>
      </w:tr>
      <w:tr w:rsidR="004843DB" w:rsidRPr="0062582F" w:rsidTr="004843DB">
        <w:trPr>
          <w:cantSplit/>
        </w:trPr>
        <w:tc>
          <w:tcPr>
            <w:tcW w:w="3690" w:type="dxa"/>
            <w:vAlign w:val="center"/>
          </w:tcPr>
          <w:p w:rsidR="004843DB" w:rsidRPr="0062582F" w:rsidRDefault="004843DB" w:rsidP="004843DB">
            <w:pPr>
              <w:pStyle w:val="TabletextheadingLeft"/>
            </w:pPr>
          </w:p>
        </w:tc>
        <w:tc>
          <w:tcPr>
            <w:tcW w:w="1152" w:type="dxa"/>
            <w:tcBorders>
              <w:top w:val="single" w:sz="4" w:space="0" w:color="auto"/>
              <w:left w:val="nil"/>
            </w:tcBorders>
            <w:shd w:val="clear" w:color="auto" w:fill="D9D9D9"/>
            <w:vAlign w:val="bottom"/>
          </w:tcPr>
          <w:p w:rsidR="004843DB" w:rsidRPr="0062582F" w:rsidRDefault="004843DB" w:rsidP="004843DB">
            <w:pPr>
              <w:pStyle w:val="Tabletextheading"/>
            </w:pPr>
            <w:r w:rsidRPr="0062582F">
              <w:t>2016</w:t>
            </w:r>
          </w:p>
        </w:tc>
        <w:tc>
          <w:tcPr>
            <w:tcW w:w="1170" w:type="dxa"/>
            <w:tcBorders>
              <w:top w:val="single" w:sz="4" w:space="0" w:color="auto"/>
            </w:tcBorders>
            <w:vAlign w:val="bottom"/>
          </w:tcPr>
          <w:p w:rsidR="004843DB" w:rsidRPr="0062582F" w:rsidRDefault="004843DB" w:rsidP="004843DB">
            <w:pPr>
              <w:pStyle w:val="Tabletextheading"/>
            </w:pPr>
            <w:r w:rsidRPr="0062582F">
              <w:t>2015</w:t>
            </w:r>
          </w:p>
        </w:tc>
        <w:tc>
          <w:tcPr>
            <w:tcW w:w="1170" w:type="dxa"/>
            <w:tcBorders>
              <w:top w:val="single" w:sz="4" w:space="0" w:color="auto"/>
              <w:left w:val="nil"/>
            </w:tcBorders>
            <w:shd w:val="clear" w:color="auto" w:fill="D9D9D9"/>
            <w:vAlign w:val="bottom"/>
          </w:tcPr>
          <w:p w:rsidR="004843DB" w:rsidRPr="0062582F" w:rsidRDefault="004843DB" w:rsidP="004843DB">
            <w:pPr>
              <w:pStyle w:val="Tabletextheading"/>
            </w:pPr>
            <w:r w:rsidRPr="0062582F">
              <w:t>2016</w:t>
            </w:r>
          </w:p>
        </w:tc>
        <w:tc>
          <w:tcPr>
            <w:tcW w:w="1170" w:type="dxa"/>
            <w:tcBorders>
              <w:top w:val="single" w:sz="4" w:space="0" w:color="auto"/>
            </w:tcBorders>
            <w:vAlign w:val="bottom"/>
          </w:tcPr>
          <w:p w:rsidR="004843DB" w:rsidRPr="0062582F" w:rsidRDefault="004843DB" w:rsidP="004843DB">
            <w:pPr>
              <w:pStyle w:val="Tabletextheading"/>
            </w:pPr>
            <w:r w:rsidRPr="0062582F">
              <w:t>2015</w:t>
            </w:r>
          </w:p>
        </w:tc>
      </w:tr>
      <w:tr w:rsidR="004843DB" w:rsidRPr="0062582F" w:rsidTr="004843DB">
        <w:trPr>
          <w:cantSplit/>
        </w:trPr>
        <w:tc>
          <w:tcPr>
            <w:tcW w:w="3690" w:type="dxa"/>
            <w:tcBorders>
              <w:bottom w:val="single" w:sz="4" w:space="0" w:color="auto"/>
            </w:tcBorders>
            <w:vAlign w:val="center"/>
          </w:tcPr>
          <w:p w:rsidR="004843DB" w:rsidRPr="0062582F" w:rsidRDefault="004843DB" w:rsidP="004843DB">
            <w:pPr>
              <w:pStyle w:val="TabletextheadingLeft"/>
            </w:pPr>
            <w:r w:rsidRPr="0062582F">
              <w:t>Income band</w:t>
            </w:r>
          </w:p>
        </w:tc>
        <w:tc>
          <w:tcPr>
            <w:tcW w:w="1152" w:type="dxa"/>
            <w:tcBorders>
              <w:left w:val="nil"/>
              <w:bottom w:val="single" w:sz="4" w:space="0" w:color="auto"/>
            </w:tcBorders>
            <w:shd w:val="clear" w:color="auto" w:fill="D9D9D9"/>
            <w:vAlign w:val="bottom"/>
          </w:tcPr>
          <w:p w:rsidR="004843DB" w:rsidRPr="0062582F" w:rsidRDefault="004843DB" w:rsidP="004843DB">
            <w:pPr>
              <w:pStyle w:val="Tabletextheading"/>
            </w:pPr>
            <w:r w:rsidRPr="0062582F">
              <w:t>No.</w:t>
            </w:r>
          </w:p>
        </w:tc>
        <w:tc>
          <w:tcPr>
            <w:tcW w:w="1170" w:type="dxa"/>
            <w:tcBorders>
              <w:bottom w:val="single" w:sz="4" w:space="0" w:color="auto"/>
            </w:tcBorders>
            <w:vAlign w:val="bottom"/>
          </w:tcPr>
          <w:p w:rsidR="004843DB" w:rsidRPr="0062582F" w:rsidRDefault="004843DB" w:rsidP="004843DB">
            <w:pPr>
              <w:pStyle w:val="Tabletextheading"/>
            </w:pPr>
            <w:r w:rsidRPr="0062582F">
              <w:t>No.</w:t>
            </w:r>
          </w:p>
        </w:tc>
        <w:tc>
          <w:tcPr>
            <w:tcW w:w="1170" w:type="dxa"/>
            <w:tcBorders>
              <w:left w:val="nil"/>
              <w:bottom w:val="single" w:sz="4" w:space="0" w:color="auto"/>
            </w:tcBorders>
            <w:shd w:val="clear" w:color="auto" w:fill="D9D9D9"/>
            <w:vAlign w:val="bottom"/>
          </w:tcPr>
          <w:p w:rsidR="004843DB" w:rsidRPr="0062582F" w:rsidRDefault="004843DB" w:rsidP="004843DB">
            <w:pPr>
              <w:pStyle w:val="Tabletextheading"/>
            </w:pPr>
            <w:r w:rsidRPr="0062582F">
              <w:t>No.</w:t>
            </w:r>
          </w:p>
        </w:tc>
        <w:tc>
          <w:tcPr>
            <w:tcW w:w="1170" w:type="dxa"/>
            <w:tcBorders>
              <w:bottom w:val="single" w:sz="4" w:space="0" w:color="auto"/>
            </w:tcBorders>
            <w:vAlign w:val="bottom"/>
          </w:tcPr>
          <w:p w:rsidR="004843DB" w:rsidRPr="0062582F" w:rsidRDefault="004843DB" w:rsidP="004843DB">
            <w:pPr>
              <w:pStyle w:val="Tabletextheading"/>
            </w:pPr>
            <w:r w:rsidRPr="0062582F">
              <w:t>No.</w:t>
            </w:r>
          </w:p>
        </w:tc>
      </w:tr>
      <w:tr w:rsidR="004843DB" w:rsidRPr="0062582F" w:rsidTr="004843DB">
        <w:trPr>
          <w:cantSplit/>
        </w:trPr>
        <w:tc>
          <w:tcPr>
            <w:tcW w:w="3690" w:type="dxa"/>
            <w:tcBorders>
              <w:top w:val="single" w:sz="4" w:space="0" w:color="auto"/>
            </w:tcBorders>
            <w:vAlign w:val="bottom"/>
          </w:tcPr>
          <w:p w:rsidR="004843DB" w:rsidRPr="0062582F" w:rsidRDefault="004843DB" w:rsidP="004843DB">
            <w:pPr>
              <w:pStyle w:val="Tabletext"/>
            </w:pPr>
            <w:bookmarkStart w:id="652" w:name="_Hlk330811905"/>
            <w:r w:rsidRPr="0062582F">
              <w:t>$100 000 – 109 999</w:t>
            </w:r>
          </w:p>
        </w:tc>
        <w:tc>
          <w:tcPr>
            <w:tcW w:w="1152" w:type="dxa"/>
            <w:tcBorders>
              <w:top w:val="single" w:sz="4" w:space="0" w:color="auto"/>
            </w:tcBorders>
            <w:shd w:val="clear" w:color="auto" w:fill="D9D9D9"/>
            <w:vAlign w:val="bottom"/>
          </w:tcPr>
          <w:p w:rsidR="004843DB" w:rsidRPr="0062582F" w:rsidRDefault="004843DB" w:rsidP="004843DB">
            <w:pPr>
              <w:pStyle w:val="TableofFigures"/>
            </w:pPr>
            <w:r w:rsidRPr="0062582F">
              <w:t>12</w:t>
            </w:r>
          </w:p>
        </w:tc>
        <w:tc>
          <w:tcPr>
            <w:tcW w:w="1170" w:type="dxa"/>
            <w:tcBorders>
              <w:top w:val="single" w:sz="4" w:space="0" w:color="auto"/>
            </w:tcBorders>
            <w:vAlign w:val="bottom"/>
          </w:tcPr>
          <w:p w:rsidR="004843DB" w:rsidRPr="0062582F" w:rsidRDefault="004843DB" w:rsidP="004843DB">
            <w:pPr>
              <w:pStyle w:val="TableofFigures"/>
            </w:pPr>
            <w:r w:rsidRPr="0062582F">
              <w:t>26</w:t>
            </w:r>
          </w:p>
        </w:tc>
        <w:tc>
          <w:tcPr>
            <w:tcW w:w="1170" w:type="dxa"/>
            <w:tcBorders>
              <w:top w:val="single" w:sz="4" w:space="0" w:color="auto"/>
            </w:tcBorders>
            <w:shd w:val="clear" w:color="auto" w:fill="D9D9D9"/>
            <w:vAlign w:val="bottom"/>
          </w:tcPr>
          <w:p w:rsidR="004843DB" w:rsidRPr="0062582F" w:rsidRDefault="004843DB" w:rsidP="004843DB">
            <w:pPr>
              <w:pStyle w:val="TableofFigures"/>
            </w:pPr>
            <w:r w:rsidRPr="0062582F">
              <w:t>27</w:t>
            </w:r>
          </w:p>
        </w:tc>
        <w:tc>
          <w:tcPr>
            <w:tcW w:w="1170" w:type="dxa"/>
            <w:tcBorders>
              <w:top w:val="single" w:sz="4" w:space="0" w:color="auto"/>
            </w:tcBorders>
            <w:vAlign w:val="bottom"/>
          </w:tcPr>
          <w:p w:rsidR="004843DB" w:rsidRPr="0062582F" w:rsidRDefault="004843DB" w:rsidP="004843DB">
            <w:pPr>
              <w:pStyle w:val="TableofFigures"/>
            </w:pPr>
            <w:r w:rsidRPr="0062582F">
              <w:t>41</w:t>
            </w:r>
          </w:p>
        </w:tc>
      </w:tr>
      <w:tr w:rsidR="004843DB" w:rsidRPr="0062582F" w:rsidTr="004843DB">
        <w:trPr>
          <w:cantSplit/>
        </w:trPr>
        <w:tc>
          <w:tcPr>
            <w:tcW w:w="3690" w:type="dxa"/>
            <w:vAlign w:val="bottom"/>
          </w:tcPr>
          <w:p w:rsidR="004843DB" w:rsidRPr="0062582F" w:rsidRDefault="004843DB" w:rsidP="004843DB">
            <w:pPr>
              <w:pStyle w:val="Tabletext"/>
            </w:pPr>
            <w:r w:rsidRPr="0062582F">
              <w:t>$110 000 – 119 999</w:t>
            </w:r>
          </w:p>
        </w:tc>
        <w:tc>
          <w:tcPr>
            <w:tcW w:w="1152" w:type="dxa"/>
            <w:shd w:val="clear" w:color="auto" w:fill="D9D9D9"/>
            <w:vAlign w:val="bottom"/>
          </w:tcPr>
          <w:p w:rsidR="004843DB" w:rsidRPr="0062582F" w:rsidRDefault="004843DB" w:rsidP="004843DB">
            <w:pPr>
              <w:pStyle w:val="TableofFigures"/>
            </w:pPr>
            <w:r w:rsidRPr="0062582F">
              <w:t>7</w:t>
            </w:r>
          </w:p>
        </w:tc>
        <w:tc>
          <w:tcPr>
            <w:tcW w:w="1170" w:type="dxa"/>
            <w:vAlign w:val="bottom"/>
          </w:tcPr>
          <w:p w:rsidR="004843DB" w:rsidRPr="0062582F" w:rsidRDefault="004843DB" w:rsidP="004843DB">
            <w:pPr>
              <w:pStyle w:val="TableofFigures"/>
            </w:pPr>
            <w:r w:rsidRPr="0062582F">
              <w:t>9</w:t>
            </w:r>
          </w:p>
        </w:tc>
        <w:tc>
          <w:tcPr>
            <w:tcW w:w="1170" w:type="dxa"/>
            <w:shd w:val="clear" w:color="auto" w:fill="D9D9D9"/>
            <w:vAlign w:val="bottom"/>
          </w:tcPr>
          <w:p w:rsidR="004843DB" w:rsidRPr="0062582F" w:rsidRDefault="004843DB" w:rsidP="004843DB">
            <w:pPr>
              <w:pStyle w:val="TableofFigures"/>
            </w:pPr>
            <w:r w:rsidRPr="0062582F">
              <w:t>9</w:t>
            </w:r>
          </w:p>
        </w:tc>
        <w:tc>
          <w:tcPr>
            <w:tcW w:w="1170" w:type="dxa"/>
            <w:vAlign w:val="bottom"/>
          </w:tcPr>
          <w:p w:rsidR="004843DB" w:rsidRPr="0062582F" w:rsidRDefault="004843DB" w:rsidP="004843DB">
            <w:pPr>
              <w:pStyle w:val="TableofFigures"/>
            </w:pPr>
            <w:r w:rsidRPr="0062582F">
              <w:t>5</w:t>
            </w:r>
          </w:p>
        </w:tc>
      </w:tr>
      <w:tr w:rsidR="004843DB" w:rsidRPr="0062582F" w:rsidTr="004843DB">
        <w:trPr>
          <w:cantSplit/>
        </w:trPr>
        <w:tc>
          <w:tcPr>
            <w:tcW w:w="3690" w:type="dxa"/>
            <w:vAlign w:val="bottom"/>
          </w:tcPr>
          <w:p w:rsidR="004843DB" w:rsidRPr="0062582F" w:rsidRDefault="004843DB" w:rsidP="004843DB">
            <w:pPr>
              <w:pStyle w:val="Tabletext"/>
            </w:pPr>
            <w:r w:rsidRPr="0062582F">
              <w:t>$120 000 – 129 999</w:t>
            </w:r>
          </w:p>
        </w:tc>
        <w:tc>
          <w:tcPr>
            <w:tcW w:w="1152" w:type="dxa"/>
            <w:shd w:val="clear" w:color="auto" w:fill="D9D9D9"/>
            <w:vAlign w:val="bottom"/>
          </w:tcPr>
          <w:p w:rsidR="004843DB" w:rsidRPr="0062582F" w:rsidRDefault="004843DB" w:rsidP="004843DB">
            <w:pPr>
              <w:pStyle w:val="TableofFigures"/>
            </w:pPr>
            <w:r w:rsidRPr="0062582F">
              <w:t>11</w:t>
            </w:r>
          </w:p>
        </w:tc>
        <w:tc>
          <w:tcPr>
            <w:tcW w:w="1170" w:type="dxa"/>
            <w:vAlign w:val="bottom"/>
          </w:tcPr>
          <w:p w:rsidR="004843DB" w:rsidRPr="0062582F" w:rsidRDefault="004843DB" w:rsidP="004843DB">
            <w:pPr>
              <w:pStyle w:val="TableofFigures"/>
            </w:pPr>
            <w:r w:rsidRPr="0062582F">
              <w:t>7</w:t>
            </w:r>
          </w:p>
        </w:tc>
        <w:tc>
          <w:tcPr>
            <w:tcW w:w="1170" w:type="dxa"/>
            <w:shd w:val="clear" w:color="auto" w:fill="D9D9D9"/>
            <w:vAlign w:val="bottom"/>
          </w:tcPr>
          <w:p w:rsidR="004843DB" w:rsidRPr="0062582F" w:rsidRDefault="004843DB" w:rsidP="004843DB">
            <w:pPr>
              <w:pStyle w:val="TableofFigures"/>
            </w:pPr>
            <w:r w:rsidRPr="0062582F">
              <w:t>12</w:t>
            </w:r>
          </w:p>
        </w:tc>
        <w:tc>
          <w:tcPr>
            <w:tcW w:w="1170" w:type="dxa"/>
            <w:vAlign w:val="bottom"/>
          </w:tcPr>
          <w:p w:rsidR="004843DB" w:rsidRPr="0062582F" w:rsidRDefault="004843DB" w:rsidP="004843DB">
            <w:pPr>
              <w:pStyle w:val="TableofFigures"/>
            </w:pPr>
            <w:r w:rsidRPr="0062582F">
              <w:t>6</w:t>
            </w:r>
          </w:p>
        </w:tc>
      </w:tr>
      <w:tr w:rsidR="004843DB" w:rsidRPr="0062582F" w:rsidTr="004843DB">
        <w:trPr>
          <w:cantSplit/>
        </w:trPr>
        <w:tc>
          <w:tcPr>
            <w:tcW w:w="3690" w:type="dxa"/>
            <w:vAlign w:val="bottom"/>
          </w:tcPr>
          <w:p w:rsidR="004843DB" w:rsidRPr="0062582F" w:rsidRDefault="004843DB" w:rsidP="004843DB">
            <w:pPr>
              <w:pStyle w:val="Tabletext"/>
            </w:pPr>
            <w:r w:rsidRPr="0062582F">
              <w:t>$130 000 – 139 999</w:t>
            </w:r>
          </w:p>
        </w:tc>
        <w:tc>
          <w:tcPr>
            <w:tcW w:w="1152" w:type="dxa"/>
            <w:shd w:val="clear" w:color="auto" w:fill="D9D9D9"/>
            <w:vAlign w:val="bottom"/>
          </w:tcPr>
          <w:p w:rsidR="004843DB" w:rsidRPr="0062582F" w:rsidRDefault="004843DB" w:rsidP="004843DB">
            <w:pPr>
              <w:pStyle w:val="TableofFigures"/>
            </w:pPr>
            <w:r w:rsidRPr="0062582F">
              <w:t>8</w:t>
            </w:r>
          </w:p>
        </w:tc>
        <w:tc>
          <w:tcPr>
            <w:tcW w:w="1170" w:type="dxa"/>
            <w:vAlign w:val="bottom"/>
          </w:tcPr>
          <w:p w:rsidR="004843DB" w:rsidRPr="0062582F" w:rsidRDefault="004843DB" w:rsidP="004843DB">
            <w:pPr>
              <w:pStyle w:val="TableofFigures"/>
            </w:pPr>
            <w:r w:rsidRPr="0062582F">
              <w:t>5</w:t>
            </w:r>
          </w:p>
        </w:tc>
        <w:tc>
          <w:tcPr>
            <w:tcW w:w="1170" w:type="dxa"/>
            <w:shd w:val="clear" w:color="auto" w:fill="D9D9D9"/>
            <w:vAlign w:val="bottom"/>
          </w:tcPr>
          <w:p w:rsidR="004843DB" w:rsidRPr="0062582F" w:rsidRDefault="004843DB" w:rsidP="004843DB">
            <w:pPr>
              <w:pStyle w:val="TableofFigures"/>
            </w:pPr>
            <w:r w:rsidRPr="0062582F">
              <w:t>5</w:t>
            </w:r>
          </w:p>
        </w:tc>
        <w:tc>
          <w:tcPr>
            <w:tcW w:w="1170" w:type="dxa"/>
            <w:vAlign w:val="bottom"/>
          </w:tcPr>
          <w:p w:rsidR="004843DB" w:rsidRPr="0062582F" w:rsidRDefault="004843DB" w:rsidP="004843DB">
            <w:pPr>
              <w:pStyle w:val="TableofFigures"/>
            </w:pPr>
            <w:r w:rsidRPr="0062582F">
              <w:t>2</w:t>
            </w:r>
          </w:p>
        </w:tc>
      </w:tr>
      <w:tr w:rsidR="004843DB" w:rsidRPr="0062582F" w:rsidTr="004843DB">
        <w:trPr>
          <w:cantSplit/>
        </w:trPr>
        <w:tc>
          <w:tcPr>
            <w:tcW w:w="3690" w:type="dxa"/>
            <w:vAlign w:val="bottom"/>
          </w:tcPr>
          <w:p w:rsidR="004843DB" w:rsidRPr="0062582F" w:rsidRDefault="004843DB" w:rsidP="004843DB">
            <w:pPr>
              <w:pStyle w:val="Tabletext"/>
            </w:pPr>
            <w:r w:rsidRPr="0062582F">
              <w:t>$140 000 – 149 999</w:t>
            </w:r>
          </w:p>
        </w:tc>
        <w:tc>
          <w:tcPr>
            <w:tcW w:w="1152" w:type="dxa"/>
            <w:shd w:val="clear" w:color="auto" w:fill="D9D9D9"/>
            <w:vAlign w:val="bottom"/>
          </w:tcPr>
          <w:p w:rsidR="004843DB" w:rsidRPr="0062582F" w:rsidRDefault="004843DB" w:rsidP="004843DB">
            <w:pPr>
              <w:pStyle w:val="TableofFigures"/>
            </w:pPr>
            <w:r w:rsidRPr="0062582F">
              <w:t>8</w:t>
            </w:r>
          </w:p>
        </w:tc>
        <w:tc>
          <w:tcPr>
            <w:tcW w:w="1170" w:type="dxa"/>
            <w:vAlign w:val="bottom"/>
          </w:tcPr>
          <w:p w:rsidR="004843DB" w:rsidRPr="0062582F" w:rsidRDefault="004843DB" w:rsidP="004843DB">
            <w:pPr>
              <w:pStyle w:val="TableofFigures"/>
            </w:pPr>
            <w:r w:rsidRPr="0062582F">
              <w:t>2</w:t>
            </w:r>
          </w:p>
        </w:tc>
        <w:tc>
          <w:tcPr>
            <w:tcW w:w="1170" w:type="dxa"/>
            <w:shd w:val="clear" w:color="auto" w:fill="D9D9D9"/>
            <w:vAlign w:val="bottom"/>
          </w:tcPr>
          <w:p w:rsidR="004843DB" w:rsidRPr="0062582F" w:rsidRDefault="004843DB" w:rsidP="004843DB">
            <w:pPr>
              <w:pStyle w:val="TableofFigures"/>
            </w:pPr>
            <w:r w:rsidRPr="0062582F">
              <w:t>1</w:t>
            </w:r>
          </w:p>
        </w:tc>
        <w:tc>
          <w:tcPr>
            <w:tcW w:w="1170" w:type="dxa"/>
            <w:vAlign w:val="bottom"/>
          </w:tcPr>
          <w:p w:rsidR="004843DB" w:rsidRPr="0062582F" w:rsidRDefault="004843DB" w:rsidP="004843DB">
            <w:pPr>
              <w:pStyle w:val="TableofFigures"/>
            </w:pPr>
            <w:r w:rsidRPr="0062582F">
              <w:t>1</w:t>
            </w:r>
          </w:p>
        </w:tc>
      </w:tr>
      <w:tr w:rsidR="004843DB" w:rsidRPr="0062582F" w:rsidTr="004843DB">
        <w:trPr>
          <w:cantSplit/>
        </w:trPr>
        <w:tc>
          <w:tcPr>
            <w:tcW w:w="3690" w:type="dxa"/>
            <w:vAlign w:val="bottom"/>
          </w:tcPr>
          <w:p w:rsidR="004843DB" w:rsidRPr="0062582F" w:rsidRDefault="004843DB" w:rsidP="004843DB">
            <w:pPr>
              <w:pStyle w:val="Tabletext"/>
            </w:pPr>
            <w:r w:rsidRPr="0062582F">
              <w:t>$150 000 – 159 999</w:t>
            </w:r>
          </w:p>
        </w:tc>
        <w:tc>
          <w:tcPr>
            <w:tcW w:w="1152" w:type="dxa"/>
            <w:shd w:val="clear" w:color="auto" w:fill="D9D9D9"/>
            <w:vAlign w:val="bottom"/>
          </w:tcPr>
          <w:p w:rsidR="004843DB" w:rsidRPr="0062582F" w:rsidRDefault="004843DB" w:rsidP="004843DB">
            <w:pPr>
              <w:pStyle w:val="TableofFigures"/>
            </w:pPr>
            <w:r w:rsidRPr="0062582F">
              <w:t>6</w:t>
            </w:r>
          </w:p>
        </w:tc>
        <w:tc>
          <w:tcPr>
            <w:tcW w:w="1170" w:type="dxa"/>
            <w:vAlign w:val="bottom"/>
          </w:tcPr>
          <w:p w:rsidR="004843DB" w:rsidRPr="0062582F" w:rsidRDefault="004843DB" w:rsidP="004843DB">
            <w:pPr>
              <w:pStyle w:val="TableofFigures"/>
            </w:pPr>
            <w:r w:rsidRPr="0062582F">
              <w:t>3</w:t>
            </w:r>
          </w:p>
        </w:tc>
        <w:tc>
          <w:tcPr>
            <w:tcW w:w="1170" w:type="dxa"/>
            <w:shd w:val="clear" w:color="auto" w:fill="D9D9D9"/>
            <w:vAlign w:val="bottom"/>
          </w:tcPr>
          <w:p w:rsidR="004843DB" w:rsidRPr="0062582F" w:rsidRDefault="004843DB" w:rsidP="004843DB">
            <w:pPr>
              <w:pStyle w:val="TableofFigures"/>
            </w:pPr>
            <w:r w:rsidRPr="0062582F">
              <w:t>1</w:t>
            </w:r>
          </w:p>
        </w:tc>
        <w:tc>
          <w:tcPr>
            <w:tcW w:w="1170" w:type="dxa"/>
            <w:vAlign w:val="bottom"/>
          </w:tcPr>
          <w:p w:rsidR="004843DB" w:rsidRPr="0062582F" w:rsidRDefault="004843DB" w:rsidP="004843DB">
            <w:pPr>
              <w:pStyle w:val="TableofFigures"/>
            </w:pPr>
            <w:r w:rsidRPr="0062582F">
              <w:t>1</w:t>
            </w:r>
          </w:p>
        </w:tc>
      </w:tr>
      <w:tr w:rsidR="004843DB" w:rsidRPr="0062582F" w:rsidTr="004843DB">
        <w:trPr>
          <w:cantSplit/>
        </w:trPr>
        <w:tc>
          <w:tcPr>
            <w:tcW w:w="3690" w:type="dxa"/>
            <w:vAlign w:val="bottom"/>
          </w:tcPr>
          <w:p w:rsidR="004843DB" w:rsidRPr="0062582F" w:rsidRDefault="004843DB" w:rsidP="004843DB">
            <w:pPr>
              <w:pStyle w:val="Tabletext"/>
            </w:pPr>
            <w:r w:rsidRPr="0062582F">
              <w:t>$160 000 – 169 999</w:t>
            </w:r>
          </w:p>
        </w:tc>
        <w:tc>
          <w:tcPr>
            <w:tcW w:w="1152" w:type="dxa"/>
            <w:shd w:val="clear" w:color="auto" w:fill="D9D9D9"/>
            <w:vAlign w:val="bottom"/>
          </w:tcPr>
          <w:p w:rsidR="004843DB" w:rsidRPr="0062582F" w:rsidRDefault="004843DB" w:rsidP="004843DB">
            <w:pPr>
              <w:pStyle w:val="TableofFigures"/>
            </w:pPr>
            <w:r w:rsidRPr="0062582F">
              <w:t>3</w:t>
            </w:r>
          </w:p>
        </w:tc>
        <w:tc>
          <w:tcPr>
            <w:tcW w:w="1170" w:type="dxa"/>
            <w:vAlign w:val="bottom"/>
          </w:tcPr>
          <w:p w:rsidR="004843DB" w:rsidRPr="0062582F" w:rsidRDefault="004843DB" w:rsidP="004843DB">
            <w:pPr>
              <w:pStyle w:val="TableofFigures"/>
            </w:pPr>
            <w:r w:rsidRPr="0062582F">
              <w:t>0</w:t>
            </w:r>
          </w:p>
        </w:tc>
        <w:tc>
          <w:tcPr>
            <w:tcW w:w="1170" w:type="dxa"/>
            <w:shd w:val="clear" w:color="auto" w:fill="D9D9D9"/>
            <w:vAlign w:val="bottom"/>
          </w:tcPr>
          <w:p w:rsidR="004843DB" w:rsidRPr="0062582F" w:rsidRDefault="004843DB" w:rsidP="004843DB">
            <w:pPr>
              <w:pStyle w:val="TableofFigures"/>
            </w:pPr>
            <w:r w:rsidRPr="0062582F">
              <w:t>2</w:t>
            </w:r>
          </w:p>
        </w:tc>
        <w:tc>
          <w:tcPr>
            <w:tcW w:w="1170" w:type="dxa"/>
            <w:vAlign w:val="bottom"/>
          </w:tcPr>
          <w:p w:rsidR="004843DB" w:rsidRPr="0062582F" w:rsidRDefault="004843DB" w:rsidP="004843DB">
            <w:pPr>
              <w:pStyle w:val="TableofFigures"/>
            </w:pPr>
            <w:r w:rsidRPr="0062582F">
              <w:t>0</w:t>
            </w:r>
          </w:p>
        </w:tc>
      </w:tr>
      <w:tr w:rsidR="004843DB" w:rsidRPr="0062582F" w:rsidTr="004843DB">
        <w:trPr>
          <w:cantSplit/>
        </w:trPr>
        <w:tc>
          <w:tcPr>
            <w:tcW w:w="3690" w:type="dxa"/>
            <w:vAlign w:val="bottom"/>
          </w:tcPr>
          <w:p w:rsidR="004843DB" w:rsidRPr="0062582F" w:rsidRDefault="004843DB" w:rsidP="004843DB">
            <w:pPr>
              <w:pStyle w:val="Tabletext"/>
            </w:pPr>
            <w:r w:rsidRPr="0062582F">
              <w:t>$170 000 – 179 999</w:t>
            </w:r>
          </w:p>
        </w:tc>
        <w:tc>
          <w:tcPr>
            <w:tcW w:w="1152" w:type="dxa"/>
            <w:shd w:val="clear" w:color="auto" w:fill="D9D9D9"/>
            <w:vAlign w:val="bottom"/>
          </w:tcPr>
          <w:p w:rsidR="004843DB" w:rsidRPr="0062582F" w:rsidRDefault="004843DB" w:rsidP="004843DB">
            <w:pPr>
              <w:pStyle w:val="TableofFigures"/>
            </w:pPr>
            <w:r w:rsidRPr="0062582F">
              <w:t>1</w:t>
            </w:r>
          </w:p>
        </w:tc>
        <w:tc>
          <w:tcPr>
            <w:tcW w:w="1170" w:type="dxa"/>
            <w:vAlign w:val="bottom"/>
          </w:tcPr>
          <w:p w:rsidR="004843DB" w:rsidRPr="0062582F" w:rsidRDefault="004843DB" w:rsidP="004843DB">
            <w:pPr>
              <w:pStyle w:val="TableofFigures"/>
            </w:pPr>
            <w:r w:rsidRPr="0062582F">
              <w:t>2</w:t>
            </w:r>
          </w:p>
        </w:tc>
        <w:tc>
          <w:tcPr>
            <w:tcW w:w="1170" w:type="dxa"/>
            <w:shd w:val="clear" w:color="auto" w:fill="D9D9D9"/>
            <w:vAlign w:val="bottom"/>
          </w:tcPr>
          <w:p w:rsidR="004843DB" w:rsidRPr="0062582F" w:rsidRDefault="004843DB" w:rsidP="004843DB">
            <w:pPr>
              <w:pStyle w:val="TableofFigures"/>
            </w:pPr>
            <w:r w:rsidRPr="0062582F">
              <w:t>2</w:t>
            </w:r>
          </w:p>
        </w:tc>
        <w:tc>
          <w:tcPr>
            <w:tcW w:w="1170" w:type="dxa"/>
            <w:vAlign w:val="bottom"/>
          </w:tcPr>
          <w:p w:rsidR="004843DB" w:rsidRPr="0062582F" w:rsidRDefault="004843DB" w:rsidP="004843DB">
            <w:pPr>
              <w:pStyle w:val="TableofFigures"/>
            </w:pPr>
            <w:r w:rsidRPr="0062582F">
              <w:t>4</w:t>
            </w:r>
          </w:p>
        </w:tc>
      </w:tr>
      <w:tr w:rsidR="004843DB" w:rsidRPr="0062582F" w:rsidTr="004843DB">
        <w:trPr>
          <w:cantSplit/>
        </w:trPr>
        <w:tc>
          <w:tcPr>
            <w:tcW w:w="3690" w:type="dxa"/>
            <w:vAlign w:val="bottom"/>
          </w:tcPr>
          <w:p w:rsidR="004843DB" w:rsidRPr="0062582F" w:rsidRDefault="004843DB" w:rsidP="004843DB">
            <w:pPr>
              <w:pStyle w:val="Tabletext"/>
            </w:pPr>
            <w:r w:rsidRPr="0062582F">
              <w:t>$180 000 – 189 999</w:t>
            </w:r>
          </w:p>
        </w:tc>
        <w:tc>
          <w:tcPr>
            <w:tcW w:w="1152" w:type="dxa"/>
            <w:shd w:val="clear" w:color="auto" w:fill="D9D9D9"/>
            <w:vAlign w:val="bottom"/>
          </w:tcPr>
          <w:p w:rsidR="004843DB" w:rsidRPr="0062582F" w:rsidRDefault="004843DB" w:rsidP="004843DB">
            <w:pPr>
              <w:pStyle w:val="TableofFigures"/>
            </w:pPr>
            <w:r w:rsidRPr="0062582F">
              <w:t>1</w:t>
            </w:r>
          </w:p>
        </w:tc>
        <w:tc>
          <w:tcPr>
            <w:tcW w:w="1170" w:type="dxa"/>
            <w:vAlign w:val="bottom"/>
          </w:tcPr>
          <w:p w:rsidR="004843DB" w:rsidRPr="0062582F" w:rsidRDefault="004843DB" w:rsidP="004843DB">
            <w:pPr>
              <w:pStyle w:val="TableofFigures"/>
            </w:pPr>
            <w:r w:rsidRPr="0062582F">
              <w:t>2</w:t>
            </w:r>
          </w:p>
        </w:tc>
        <w:tc>
          <w:tcPr>
            <w:tcW w:w="1170" w:type="dxa"/>
            <w:shd w:val="clear" w:color="auto" w:fill="D9D9D9"/>
            <w:vAlign w:val="bottom"/>
          </w:tcPr>
          <w:p w:rsidR="004843DB" w:rsidRPr="0062582F" w:rsidRDefault="004843DB" w:rsidP="004843DB">
            <w:pPr>
              <w:pStyle w:val="TableofFigures"/>
            </w:pPr>
            <w:r w:rsidRPr="0062582F">
              <w:t>2</w:t>
            </w:r>
          </w:p>
        </w:tc>
        <w:tc>
          <w:tcPr>
            <w:tcW w:w="1170" w:type="dxa"/>
            <w:vAlign w:val="bottom"/>
          </w:tcPr>
          <w:p w:rsidR="004843DB" w:rsidRPr="0062582F" w:rsidRDefault="004843DB" w:rsidP="004843DB">
            <w:pPr>
              <w:pStyle w:val="TableofFigures"/>
            </w:pPr>
            <w:r w:rsidRPr="0062582F">
              <w:t>0</w:t>
            </w:r>
          </w:p>
        </w:tc>
      </w:tr>
      <w:tr w:rsidR="004843DB" w:rsidRPr="0062582F" w:rsidTr="004843DB">
        <w:trPr>
          <w:cantSplit/>
        </w:trPr>
        <w:tc>
          <w:tcPr>
            <w:tcW w:w="3690" w:type="dxa"/>
            <w:vAlign w:val="bottom"/>
          </w:tcPr>
          <w:p w:rsidR="004843DB" w:rsidRPr="0062582F" w:rsidRDefault="004843DB" w:rsidP="004843DB">
            <w:pPr>
              <w:pStyle w:val="Tabletext"/>
            </w:pPr>
            <w:r w:rsidRPr="0062582F">
              <w:t>$190 000 – 199 999</w:t>
            </w:r>
          </w:p>
        </w:tc>
        <w:tc>
          <w:tcPr>
            <w:tcW w:w="1152" w:type="dxa"/>
            <w:shd w:val="clear" w:color="auto" w:fill="D9D9D9"/>
            <w:vAlign w:val="bottom"/>
          </w:tcPr>
          <w:p w:rsidR="004843DB" w:rsidRPr="0062582F" w:rsidRDefault="004843DB" w:rsidP="004843DB">
            <w:pPr>
              <w:pStyle w:val="TableofFigures"/>
            </w:pPr>
            <w:r w:rsidRPr="0062582F">
              <w:t>2</w:t>
            </w:r>
          </w:p>
        </w:tc>
        <w:tc>
          <w:tcPr>
            <w:tcW w:w="1170" w:type="dxa"/>
            <w:vAlign w:val="bottom"/>
          </w:tcPr>
          <w:p w:rsidR="004843DB" w:rsidRPr="0062582F" w:rsidRDefault="004843DB" w:rsidP="004843DB">
            <w:pPr>
              <w:pStyle w:val="TableofFigures"/>
            </w:pPr>
            <w:r w:rsidRPr="0062582F">
              <w:t>2</w:t>
            </w:r>
          </w:p>
        </w:tc>
        <w:tc>
          <w:tcPr>
            <w:tcW w:w="1170" w:type="dxa"/>
            <w:shd w:val="clear" w:color="auto" w:fill="D9D9D9"/>
            <w:vAlign w:val="bottom"/>
          </w:tcPr>
          <w:p w:rsidR="004843DB" w:rsidRPr="0062582F" w:rsidRDefault="004843DB" w:rsidP="004843DB">
            <w:pPr>
              <w:pStyle w:val="TableofFigures"/>
            </w:pPr>
            <w:r w:rsidRPr="0062582F">
              <w:t>0</w:t>
            </w:r>
          </w:p>
        </w:tc>
        <w:tc>
          <w:tcPr>
            <w:tcW w:w="1170" w:type="dxa"/>
            <w:vAlign w:val="bottom"/>
          </w:tcPr>
          <w:p w:rsidR="004843DB" w:rsidRPr="0062582F" w:rsidRDefault="004843DB" w:rsidP="004843DB">
            <w:pPr>
              <w:pStyle w:val="TableofFigures"/>
            </w:pPr>
            <w:r w:rsidRPr="0062582F">
              <w:t>1</w:t>
            </w:r>
          </w:p>
        </w:tc>
      </w:tr>
      <w:tr w:rsidR="004843DB" w:rsidRPr="0062582F" w:rsidTr="004843DB">
        <w:trPr>
          <w:cantSplit/>
        </w:trPr>
        <w:tc>
          <w:tcPr>
            <w:tcW w:w="3690" w:type="dxa"/>
            <w:vAlign w:val="bottom"/>
          </w:tcPr>
          <w:p w:rsidR="004843DB" w:rsidRPr="0062582F" w:rsidRDefault="004843DB" w:rsidP="004843DB">
            <w:pPr>
              <w:pStyle w:val="Tabletext"/>
            </w:pPr>
            <w:r w:rsidRPr="0062582F">
              <w:t>$200 000 – 209 999</w:t>
            </w:r>
          </w:p>
        </w:tc>
        <w:tc>
          <w:tcPr>
            <w:tcW w:w="1152" w:type="dxa"/>
            <w:shd w:val="clear" w:color="auto" w:fill="D9D9D9"/>
            <w:vAlign w:val="bottom"/>
          </w:tcPr>
          <w:p w:rsidR="004843DB" w:rsidRPr="0062582F" w:rsidRDefault="004843DB" w:rsidP="004843DB">
            <w:pPr>
              <w:pStyle w:val="TableofFigures"/>
            </w:pPr>
            <w:r w:rsidRPr="0062582F">
              <w:t>1</w:t>
            </w:r>
          </w:p>
        </w:tc>
        <w:tc>
          <w:tcPr>
            <w:tcW w:w="1170" w:type="dxa"/>
            <w:vAlign w:val="bottom"/>
          </w:tcPr>
          <w:p w:rsidR="004843DB" w:rsidRPr="0062582F" w:rsidRDefault="004843DB" w:rsidP="004843DB">
            <w:pPr>
              <w:pStyle w:val="TableofFigures"/>
            </w:pPr>
            <w:r w:rsidRPr="0062582F">
              <w:t>3</w:t>
            </w:r>
          </w:p>
        </w:tc>
        <w:tc>
          <w:tcPr>
            <w:tcW w:w="1170" w:type="dxa"/>
            <w:shd w:val="clear" w:color="auto" w:fill="D9D9D9"/>
            <w:vAlign w:val="bottom"/>
          </w:tcPr>
          <w:p w:rsidR="004843DB" w:rsidRPr="0062582F" w:rsidRDefault="004843DB" w:rsidP="004843DB">
            <w:pPr>
              <w:pStyle w:val="TableofFigures"/>
            </w:pPr>
            <w:r w:rsidRPr="0062582F">
              <w:t>0</w:t>
            </w:r>
          </w:p>
        </w:tc>
        <w:tc>
          <w:tcPr>
            <w:tcW w:w="1170" w:type="dxa"/>
            <w:vAlign w:val="bottom"/>
          </w:tcPr>
          <w:p w:rsidR="004843DB" w:rsidRPr="0062582F" w:rsidRDefault="004843DB" w:rsidP="004843DB">
            <w:pPr>
              <w:pStyle w:val="TableofFigures"/>
            </w:pPr>
            <w:r w:rsidRPr="0062582F">
              <w:t>0</w:t>
            </w:r>
          </w:p>
        </w:tc>
      </w:tr>
      <w:tr w:rsidR="004843DB" w:rsidRPr="0062582F" w:rsidTr="004843DB">
        <w:trPr>
          <w:cantSplit/>
        </w:trPr>
        <w:tc>
          <w:tcPr>
            <w:tcW w:w="3690" w:type="dxa"/>
            <w:vAlign w:val="bottom"/>
          </w:tcPr>
          <w:p w:rsidR="004843DB" w:rsidRPr="0062582F" w:rsidRDefault="004843DB" w:rsidP="004843DB">
            <w:pPr>
              <w:pStyle w:val="Tabletext"/>
            </w:pPr>
            <w:r w:rsidRPr="0062582F">
              <w:t>$210 000 – 219 999</w:t>
            </w:r>
          </w:p>
        </w:tc>
        <w:tc>
          <w:tcPr>
            <w:tcW w:w="1152" w:type="dxa"/>
            <w:shd w:val="clear" w:color="auto" w:fill="D9D9D9"/>
            <w:vAlign w:val="bottom"/>
          </w:tcPr>
          <w:p w:rsidR="004843DB" w:rsidRPr="0062582F" w:rsidRDefault="004843DB" w:rsidP="004843DB">
            <w:pPr>
              <w:pStyle w:val="TableofFigures"/>
            </w:pPr>
            <w:r w:rsidRPr="0062582F">
              <w:t>0</w:t>
            </w:r>
          </w:p>
        </w:tc>
        <w:tc>
          <w:tcPr>
            <w:tcW w:w="1170" w:type="dxa"/>
            <w:vAlign w:val="bottom"/>
          </w:tcPr>
          <w:p w:rsidR="004843DB" w:rsidRPr="0062582F" w:rsidRDefault="004843DB" w:rsidP="004843DB">
            <w:pPr>
              <w:pStyle w:val="TableofFigures"/>
            </w:pPr>
            <w:r w:rsidRPr="0062582F">
              <w:t>0</w:t>
            </w:r>
          </w:p>
        </w:tc>
        <w:tc>
          <w:tcPr>
            <w:tcW w:w="1170" w:type="dxa"/>
            <w:shd w:val="clear" w:color="auto" w:fill="D9D9D9"/>
            <w:vAlign w:val="bottom"/>
          </w:tcPr>
          <w:p w:rsidR="004843DB" w:rsidRPr="0062582F" w:rsidRDefault="004843DB" w:rsidP="004843DB">
            <w:pPr>
              <w:pStyle w:val="TableofFigures"/>
            </w:pPr>
            <w:r w:rsidRPr="0062582F">
              <w:t>1</w:t>
            </w:r>
          </w:p>
        </w:tc>
        <w:tc>
          <w:tcPr>
            <w:tcW w:w="1170" w:type="dxa"/>
            <w:vAlign w:val="bottom"/>
          </w:tcPr>
          <w:p w:rsidR="004843DB" w:rsidRPr="0062582F" w:rsidRDefault="004843DB" w:rsidP="004843DB">
            <w:pPr>
              <w:pStyle w:val="TableofFigures"/>
            </w:pPr>
            <w:r w:rsidRPr="0062582F">
              <w:t>1</w:t>
            </w:r>
          </w:p>
        </w:tc>
      </w:tr>
      <w:tr w:rsidR="004843DB" w:rsidRPr="0062582F" w:rsidTr="004843DB">
        <w:trPr>
          <w:cantSplit/>
        </w:trPr>
        <w:tc>
          <w:tcPr>
            <w:tcW w:w="3690" w:type="dxa"/>
            <w:vAlign w:val="bottom"/>
          </w:tcPr>
          <w:p w:rsidR="004843DB" w:rsidRPr="0062582F" w:rsidRDefault="004843DB" w:rsidP="004843DB">
            <w:pPr>
              <w:pStyle w:val="Tabletext"/>
            </w:pPr>
            <w:r w:rsidRPr="0062582F">
              <w:t>$220 000 – 229 999</w:t>
            </w:r>
          </w:p>
        </w:tc>
        <w:tc>
          <w:tcPr>
            <w:tcW w:w="1152" w:type="dxa"/>
            <w:shd w:val="clear" w:color="auto" w:fill="D9D9D9"/>
            <w:vAlign w:val="bottom"/>
          </w:tcPr>
          <w:p w:rsidR="004843DB" w:rsidRPr="0062582F" w:rsidRDefault="004843DB" w:rsidP="004843DB">
            <w:pPr>
              <w:pStyle w:val="TableofFigures"/>
            </w:pPr>
            <w:r w:rsidRPr="0062582F">
              <w:t>1</w:t>
            </w:r>
          </w:p>
        </w:tc>
        <w:tc>
          <w:tcPr>
            <w:tcW w:w="1170" w:type="dxa"/>
            <w:vAlign w:val="bottom"/>
          </w:tcPr>
          <w:p w:rsidR="004843DB" w:rsidRPr="0062582F" w:rsidRDefault="004843DB" w:rsidP="004843DB">
            <w:pPr>
              <w:pStyle w:val="TableofFigures"/>
            </w:pPr>
            <w:r w:rsidRPr="0062582F">
              <w:t>0</w:t>
            </w:r>
          </w:p>
        </w:tc>
        <w:tc>
          <w:tcPr>
            <w:tcW w:w="1170" w:type="dxa"/>
            <w:shd w:val="clear" w:color="auto" w:fill="D9D9D9"/>
            <w:vAlign w:val="bottom"/>
          </w:tcPr>
          <w:p w:rsidR="004843DB" w:rsidRPr="0062582F" w:rsidRDefault="004843DB" w:rsidP="004843DB">
            <w:pPr>
              <w:pStyle w:val="TableofFigures"/>
            </w:pPr>
            <w:r w:rsidRPr="0062582F">
              <w:t>1</w:t>
            </w:r>
          </w:p>
        </w:tc>
        <w:tc>
          <w:tcPr>
            <w:tcW w:w="1170" w:type="dxa"/>
            <w:vAlign w:val="bottom"/>
          </w:tcPr>
          <w:p w:rsidR="004843DB" w:rsidRPr="0062582F" w:rsidRDefault="004843DB" w:rsidP="004843DB">
            <w:pPr>
              <w:pStyle w:val="TableofFigures"/>
            </w:pPr>
            <w:r w:rsidRPr="0062582F">
              <w:t>0</w:t>
            </w:r>
          </w:p>
        </w:tc>
      </w:tr>
      <w:tr w:rsidR="004843DB" w:rsidRPr="0062582F" w:rsidTr="004843DB">
        <w:trPr>
          <w:cantSplit/>
        </w:trPr>
        <w:tc>
          <w:tcPr>
            <w:tcW w:w="3690" w:type="dxa"/>
            <w:vAlign w:val="bottom"/>
          </w:tcPr>
          <w:p w:rsidR="004843DB" w:rsidRPr="0062582F" w:rsidRDefault="004843DB" w:rsidP="004843DB">
            <w:pPr>
              <w:pStyle w:val="Tabletext"/>
            </w:pPr>
            <w:r w:rsidRPr="0062582F">
              <w:t>$230 000 – 239 999</w:t>
            </w:r>
          </w:p>
        </w:tc>
        <w:tc>
          <w:tcPr>
            <w:tcW w:w="1152" w:type="dxa"/>
            <w:shd w:val="clear" w:color="auto" w:fill="D9D9D9"/>
            <w:vAlign w:val="bottom"/>
          </w:tcPr>
          <w:p w:rsidR="004843DB" w:rsidRPr="0062582F" w:rsidRDefault="004843DB" w:rsidP="004843DB">
            <w:pPr>
              <w:pStyle w:val="TableofFigures"/>
            </w:pPr>
            <w:r w:rsidRPr="0062582F">
              <w:t>0</w:t>
            </w:r>
          </w:p>
        </w:tc>
        <w:tc>
          <w:tcPr>
            <w:tcW w:w="1170" w:type="dxa"/>
            <w:vAlign w:val="bottom"/>
          </w:tcPr>
          <w:p w:rsidR="004843DB" w:rsidRPr="0062582F" w:rsidRDefault="004843DB" w:rsidP="004843DB">
            <w:pPr>
              <w:pStyle w:val="TableofFigures"/>
            </w:pPr>
            <w:r w:rsidRPr="0062582F">
              <w:t>0</w:t>
            </w:r>
          </w:p>
        </w:tc>
        <w:tc>
          <w:tcPr>
            <w:tcW w:w="1170" w:type="dxa"/>
            <w:shd w:val="clear" w:color="auto" w:fill="D9D9D9"/>
            <w:vAlign w:val="bottom"/>
          </w:tcPr>
          <w:p w:rsidR="004843DB" w:rsidRPr="0062582F" w:rsidRDefault="004843DB" w:rsidP="004843DB">
            <w:pPr>
              <w:pStyle w:val="TableofFigures"/>
            </w:pPr>
            <w:r w:rsidRPr="0062582F">
              <w:t>0</w:t>
            </w:r>
          </w:p>
        </w:tc>
        <w:tc>
          <w:tcPr>
            <w:tcW w:w="1170" w:type="dxa"/>
            <w:vAlign w:val="bottom"/>
          </w:tcPr>
          <w:p w:rsidR="004843DB" w:rsidRPr="0062582F" w:rsidRDefault="004843DB" w:rsidP="004843DB">
            <w:pPr>
              <w:pStyle w:val="TableofFigures"/>
            </w:pPr>
            <w:r w:rsidRPr="0062582F">
              <w:t>0</w:t>
            </w:r>
          </w:p>
        </w:tc>
      </w:tr>
      <w:tr w:rsidR="004843DB" w:rsidRPr="0062582F" w:rsidTr="004843DB">
        <w:trPr>
          <w:cantSplit/>
        </w:trPr>
        <w:tc>
          <w:tcPr>
            <w:tcW w:w="3690" w:type="dxa"/>
            <w:vAlign w:val="bottom"/>
          </w:tcPr>
          <w:p w:rsidR="004843DB" w:rsidRPr="0062582F" w:rsidRDefault="004843DB" w:rsidP="004843DB">
            <w:pPr>
              <w:pStyle w:val="Tabletext"/>
            </w:pPr>
            <w:r w:rsidRPr="0062582F">
              <w:t>$240 000 – 249 999</w:t>
            </w:r>
          </w:p>
        </w:tc>
        <w:tc>
          <w:tcPr>
            <w:tcW w:w="1152" w:type="dxa"/>
            <w:shd w:val="clear" w:color="auto" w:fill="D9D9D9"/>
            <w:vAlign w:val="bottom"/>
          </w:tcPr>
          <w:p w:rsidR="004843DB" w:rsidRPr="0062582F" w:rsidRDefault="004843DB" w:rsidP="004843DB">
            <w:pPr>
              <w:pStyle w:val="TableofFigures"/>
            </w:pPr>
            <w:r w:rsidRPr="0062582F">
              <w:t>0</w:t>
            </w:r>
          </w:p>
        </w:tc>
        <w:tc>
          <w:tcPr>
            <w:tcW w:w="1170" w:type="dxa"/>
            <w:vAlign w:val="bottom"/>
          </w:tcPr>
          <w:p w:rsidR="004843DB" w:rsidRPr="0062582F" w:rsidRDefault="004843DB" w:rsidP="004843DB">
            <w:pPr>
              <w:pStyle w:val="TableofFigures"/>
            </w:pPr>
            <w:r w:rsidRPr="0062582F">
              <w:t>1</w:t>
            </w:r>
          </w:p>
        </w:tc>
        <w:tc>
          <w:tcPr>
            <w:tcW w:w="1170" w:type="dxa"/>
            <w:shd w:val="clear" w:color="auto" w:fill="D9D9D9"/>
            <w:vAlign w:val="bottom"/>
          </w:tcPr>
          <w:p w:rsidR="004843DB" w:rsidRPr="0062582F" w:rsidRDefault="004843DB" w:rsidP="004843DB">
            <w:pPr>
              <w:pStyle w:val="TableofFigures"/>
            </w:pPr>
            <w:r w:rsidRPr="0062582F">
              <w:t>0</w:t>
            </w:r>
          </w:p>
        </w:tc>
        <w:tc>
          <w:tcPr>
            <w:tcW w:w="1170" w:type="dxa"/>
            <w:vAlign w:val="bottom"/>
          </w:tcPr>
          <w:p w:rsidR="004843DB" w:rsidRPr="0062582F" w:rsidRDefault="004843DB" w:rsidP="004843DB">
            <w:pPr>
              <w:pStyle w:val="TableofFigures"/>
            </w:pPr>
            <w:r w:rsidRPr="0062582F">
              <w:t>0</w:t>
            </w:r>
          </w:p>
        </w:tc>
      </w:tr>
      <w:tr w:rsidR="004843DB" w:rsidRPr="0062582F" w:rsidTr="004843DB">
        <w:trPr>
          <w:cantSplit/>
        </w:trPr>
        <w:tc>
          <w:tcPr>
            <w:tcW w:w="3690" w:type="dxa"/>
            <w:tcBorders>
              <w:bottom w:val="single" w:sz="4" w:space="0" w:color="auto"/>
            </w:tcBorders>
            <w:vAlign w:val="bottom"/>
          </w:tcPr>
          <w:p w:rsidR="004843DB" w:rsidRPr="0062582F" w:rsidRDefault="004843DB" w:rsidP="004843DB">
            <w:pPr>
              <w:pStyle w:val="Tabletext"/>
            </w:pPr>
            <w:r w:rsidRPr="0062582F">
              <w:t>$250 000 – 259 999</w:t>
            </w:r>
          </w:p>
        </w:tc>
        <w:tc>
          <w:tcPr>
            <w:tcW w:w="1152" w:type="dxa"/>
            <w:tcBorders>
              <w:bottom w:val="single" w:sz="4" w:space="0" w:color="auto"/>
            </w:tcBorders>
            <w:shd w:val="clear" w:color="auto" w:fill="D9D9D9"/>
            <w:vAlign w:val="bottom"/>
          </w:tcPr>
          <w:p w:rsidR="004843DB" w:rsidRPr="0062582F" w:rsidRDefault="004843DB" w:rsidP="004843DB">
            <w:pPr>
              <w:pStyle w:val="TableofFigures"/>
            </w:pPr>
            <w:r w:rsidRPr="0062582F">
              <w:t>2</w:t>
            </w:r>
          </w:p>
        </w:tc>
        <w:tc>
          <w:tcPr>
            <w:tcW w:w="1170" w:type="dxa"/>
            <w:tcBorders>
              <w:bottom w:val="single" w:sz="4" w:space="0" w:color="auto"/>
            </w:tcBorders>
            <w:vAlign w:val="bottom"/>
          </w:tcPr>
          <w:p w:rsidR="004843DB" w:rsidRPr="0062582F" w:rsidRDefault="004843DB" w:rsidP="004843DB">
            <w:pPr>
              <w:pStyle w:val="TableofFigures"/>
            </w:pPr>
            <w:r w:rsidRPr="0062582F">
              <w:t>0</w:t>
            </w:r>
          </w:p>
        </w:tc>
        <w:tc>
          <w:tcPr>
            <w:tcW w:w="1170" w:type="dxa"/>
            <w:tcBorders>
              <w:bottom w:val="single" w:sz="4" w:space="0" w:color="auto"/>
            </w:tcBorders>
            <w:shd w:val="clear" w:color="auto" w:fill="D9D9D9"/>
            <w:vAlign w:val="bottom"/>
          </w:tcPr>
          <w:p w:rsidR="004843DB" w:rsidRPr="0062582F" w:rsidRDefault="004843DB" w:rsidP="004843DB">
            <w:pPr>
              <w:pStyle w:val="TableofFigures"/>
            </w:pPr>
            <w:r w:rsidRPr="0062582F">
              <w:t>0</w:t>
            </w:r>
          </w:p>
        </w:tc>
        <w:tc>
          <w:tcPr>
            <w:tcW w:w="1170" w:type="dxa"/>
            <w:tcBorders>
              <w:bottom w:val="single" w:sz="4" w:space="0" w:color="auto"/>
            </w:tcBorders>
            <w:vAlign w:val="bottom"/>
          </w:tcPr>
          <w:p w:rsidR="004843DB" w:rsidRPr="0062582F" w:rsidRDefault="004843DB" w:rsidP="004843DB">
            <w:pPr>
              <w:pStyle w:val="TableofFigures"/>
            </w:pPr>
            <w:r w:rsidRPr="0062582F">
              <w:t>0</w:t>
            </w:r>
          </w:p>
        </w:tc>
      </w:tr>
      <w:bookmarkEnd w:id="652"/>
      <w:tr w:rsidR="004843DB" w:rsidRPr="0062582F" w:rsidTr="004843DB">
        <w:trPr>
          <w:cantSplit/>
        </w:trPr>
        <w:tc>
          <w:tcPr>
            <w:tcW w:w="3690" w:type="dxa"/>
            <w:tcBorders>
              <w:top w:val="single" w:sz="4" w:space="0" w:color="auto"/>
              <w:bottom w:val="single" w:sz="4" w:space="0" w:color="auto"/>
            </w:tcBorders>
            <w:vAlign w:val="bottom"/>
          </w:tcPr>
          <w:p w:rsidR="004843DB" w:rsidRPr="0062582F" w:rsidRDefault="004843DB" w:rsidP="004843DB">
            <w:pPr>
              <w:pStyle w:val="Tabletext"/>
              <w:rPr>
                <w:b/>
              </w:rPr>
            </w:pPr>
            <w:r w:rsidRPr="0062582F">
              <w:rPr>
                <w:b/>
              </w:rPr>
              <w:t xml:space="preserve">Total number of executives </w:t>
            </w:r>
          </w:p>
        </w:tc>
        <w:tc>
          <w:tcPr>
            <w:tcW w:w="1152" w:type="dxa"/>
            <w:tcBorders>
              <w:top w:val="single" w:sz="4" w:space="0" w:color="auto"/>
              <w:bottom w:val="single" w:sz="4" w:space="0" w:color="auto"/>
            </w:tcBorders>
            <w:shd w:val="clear" w:color="auto" w:fill="D9D9D9"/>
            <w:vAlign w:val="bottom"/>
          </w:tcPr>
          <w:p w:rsidR="004843DB" w:rsidRPr="0062582F" w:rsidRDefault="004843DB" w:rsidP="004843DB">
            <w:pPr>
              <w:pStyle w:val="TableofFigures"/>
              <w:rPr>
                <w:b/>
              </w:rPr>
            </w:pPr>
            <w:r w:rsidRPr="0062582F">
              <w:rPr>
                <w:b/>
              </w:rPr>
              <w:t>63</w:t>
            </w:r>
          </w:p>
        </w:tc>
        <w:tc>
          <w:tcPr>
            <w:tcW w:w="1170" w:type="dxa"/>
            <w:tcBorders>
              <w:top w:val="single" w:sz="4" w:space="0" w:color="auto"/>
              <w:bottom w:val="single" w:sz="4" w:space="0" w:color="auto"/>
            </w:tcBorders>
            <w:vAlign w:val="bottom"/>
          </w:tcPr>
          <w:p w:rsidR="004843DB" w:rsidRPr="0062582F" w:rsidRDefault="004843DB" w:rsidP="004843DB">
            <w:pPr>
              <w:pStyle w:val="TableofFigures"/>
              <w:rPr>
                <w:b/>
              </w:rPr>
            </w:pPr>
            <w:r w:rsidRPr="0062582F">
              <w:rPr>
                <w:b/>
              </w:rPr>
              <w:t>62</w:t>
            </w:r>
          </w:p>
        </w:tc>
        <w:tc>
          <w:tcPr>
            <w:tcW w:w="1170" w:type="dxa"/>
            <w:tcBorders>
              <w:top w:val="single" w:sz="4" w:space="0" w:color="auto"/>
              <w:bottom w:val="single" w:sz="4" w:space="0" w:color="auto"/>
            </w:tcBorders>
            <w:shd w:val="clear" w:color="auto" w:fill="D9D9D9"/>
            <w:vAlign w:val="bottom"/>
          </w:tcPr>
          <w:p w:rsidR="004843DB" w:rsidRPr="0062582F" w:rsidRDefault="004843DB" w:rsidP="004843DB">
            <w:pPr>
              <w:pStyle w:val="TableofFigures"/>
              <w:rPr>
                <w:b/>
              </w:rPr>
            </w:pPr>
            <w:r w:rsidRPr="0062582F">
              <w:rPr>
                <w:b/>
              </w:rPr>
              <w:t>63</w:t>
            </w:r>
          </w:p>
        </w:tc>
        <w:tc>
          <w:tcPr>
            <w:tcW w:w="1170" w:type="dxa"/>
            <w:tcBorders>
              <w:top w:val="single" w:sz="4" w:space="0" w:color="auto"/>
              <w:bottom w:val="single" w:sz="4" w:space="0" w:color="auto"/>
            </w:tcBorders>
            <w:vAlign w:val="bottom"/>
          </w:tcPr>
          <w:p w:rsidR="004843DB" w:rsidRPr="0062582F" w:rsidRDefault="004843DB" w:rsidP="004843DB">
            <w:pPr>
              <w:pStyle w:val="TableofFigures"/>
              <w:rPr>
                <w:b/>
              </w:rPr>
            </w:pPr>
            <w:r w:rsidRPr="0062582F">
              <w:rPr>
                <w:b/>
              </w:rPr>
              <w:t>62</w:t>
            </w:r>
          </w:p>
        </w:tc>
      </w:tr>
      <w:tr w:rsidR="004843DB" w:rsidRPr="0062582F" w:rsidTr="004843DB">
        <w:trPr>
          <w:cantSplit/>
        </w:trPr>
        <w:tc>
          <w:tcPr>
            <w:tcW w:w="3690" w:type="dxa"/>
            <w:tcBorders>
              <w:top w:val="single" w:sz="4" w:space="0" w:color="auto"/>
              <w:bottom w:val="single" w:sz="4" w:space="0" w:color="auto"/>
            </w:tcBorders>
            <w:vAlign w:val="bottom"/>
          </w:tcPr>
          <w:p w:rsidR="004843DB" w:rsidRPr="0062582F" w:rsidRDefault="004843DB" w:rsidP="004843DB">
            <w:pPr>
              <w:pStyle w:val="Tabletext"/>
              <w:rPr>
                <w:b/>
              </w:rPr>
            </w:pPr>
            <w:r w:rsidRPr="0062582F">
              <w:rPr>
                <w:b/>
              </w:rPr>
              <w:t>Total annualised employee equivalents</w:t>
            </w:r>
            <w:r w:rsidRPr="0062582F">
              <w:rPr>
                <w:b/>
                <w:vertAlign w:val="superscript"/>
              </w:rPr>
              <w:t xml:space="preserve"> (i)</w:t>
            </w:r>
          </w:p>
        </w:tc>
        <w:tc>
          <w:tcPr>
            <w:tcW w:w="1152" w:type="dxa"/>
            <w:tcBorders>
              <w:top w:val="single" w:sz="4" w:space="0" w:color="auto"/>
              <w:bottom w:val="single" w:sz="4" w:space="0" w:color="auto"/>
            </w:tcBorders>
            <w:shd w:val="clear" w:color="auto" w:fill="D9D9D9"/>
            <w:vAlign w:val="bottom"/>
          </w:tcPr>
          <w:p w:rsidR="004843DB" w:rsidRPr="0062582F" w:rsidRDefault="004843DB" w:rsidP="004843DB">
            <w:pPr>
              <w:pStyle w:val="TableofFigures"/>
              <w:rPr>
                <w:b/>
              </w:rPr>
            </w:pPr>
            <w:r w:rsidRPr="0062582F">
              <w:rPr>
                <w:b/>
              </w:rPr>
              <w:t>55.2</w:t>
            </w:r>
          </w:p>
        </w:tc>
        <w:tc>
          <w:tcPr>
            <w:tcW w:w="1170" w:type="dxa"/>
            <w:tcBorders>
              <w:top w:val="single" w:sz="4" w:space="0" w:color="auto"/>
              <w:bottom w:val="single" w:sz="4" w:space="0" w:color="auto"/>
            </w:tcBorders>
            <w:vAlign w:val="bottom"/>
          </w:tcPr>
          <w:p w:rsidR="004843DB" w:rsidRPr="0062582F" w:rsidRDefault="004843DB" w:rsidP="004843DB">
            <w:pPr>
              <w:pStyle w:val="TableofFigures"/>
              <w:rPr>
                <w:b/>
              </w:rPr>
            </w:pPr>
            <w:r w:rsidRPr="0062582F">
              <w:rPr>
                <w:b/>
              </w:rPr>
              <w:t>51.8</w:t>
            </w:r>
          </w:p>
        </w:tc>
        <w:tc>
          <w:tcPr>
            <w:tcW w:w="1170" w:type="dxa"/>
            <w:tcBorders>
              <w:top w:val="single" w:sz="4" w:space="0" w:color="auto"/>
              <w:bottom w:val="single" w:sz="4" w:space="0" w:color="auto"/>
            </w:tcBorders>
            <w:shd w:val="clear" w:color="auto" w:fill="D9D9D9"/>
            <w:vAlign w:val="bottom"/>
          </w:tcPr>
          <w:p w:rsidR="004843DB" w:rsidRPr="0062582F" w:rsidRDefault="004843DB" w:rsidP="004843DB">
            <w:pPr>
              <w:pStyle w:val="TableofFigures"/>
              <w:rPr>
                <w:b/>
              </w:rPr>
            </w:pPr>
            <w:r w:rsidRPr="0062582F">
              <w:rPr>
                <w:b/>
              </w:rPr>
              <w:t>55.2</w:t>
            </w:r>
          </w:p>
        </w:tc>
        <w:tc>
          <w:tcPr>
            <w:tcW w:w="1170" w:type="dxa"/>
            <w:tcBorders>
              <w:top w:val="single" w:sz="4" w:space="0" w:color="auto"/>
              <w:bottom w:val="single" w:sz="4" w:space="0" w:color="auto"/>
            </w:tcBorders>
            <w:vAlign w:val="bottom"/>
          </w:tcPr>
          <w:p w:rsidR="004843DB" w:rsidRPr="0062582F" w:rsidRDefault="004843DB" w:rsidP="004843DB">
            <w:pPr>
              <w:pStyle w:val="TableofFigures"/>
              <w:rPr>
                <w:b/>
              </w:rPr>
            </w:pPr>
            <w:r w:rsidRPr="0062582F">
              <w:rPr>
                <w:b/>
              </w:rPr>
              <w:t>51.8</w:t>
            </w:r>
          </w:p>
        </w:tc>
      </w:tr>
      <w:tr w:rsidR="004843DB" w:rsidRPr="0062582F" w:rsidTr="004843DB">
        <w:trPr>
          <w:cantSplit/>
        </w:trPr>
        <w:tc>
          <w:tcPr>
            <w:tcW w:w="3690" w:type="dxa"/>
            <w:tcBorders>
              <w:top w:val="single" w:sz="4" w:space="0" w:color="auto"/>
              <w:bottom w:val="single" w:sz="12" w:space="0" w:color="auto"/>
            </w:tcBorders>
            <w:vAlign w:val="bottom"/>
          </w:tcPr>
          <w:p w:rsidR="004843DB" w:rsidRPr="0062582F" w:rsidRDefault="004843DB" w:rsidP="004843DB">
            <w:pPr>
              <w:pStyle w:val="Tabletext"/>
              <w:rPr>
                <w:b/>
              </w:rPr>
            </w:pPr>
            <w:r w:rsidRPr="0062582F">
              <w:rPr>
                <w:b/>
              </w:rPr>
              <w:t>Total amount</w:t>
            </w:r>
          </w:p>
        </w:tc>
        <w:tc>
          <w:tcPr>
            <w:tcW w:w="1152" w:type="dxa"/>
            <w:tcBorders>
              <w:top w:val="single" w:sz="4" w:space="0" w:color="auto"/>
              <w:bottom w:val="single" w:sz="12" w:space="0" w:color="auto"/>
            </w:tcBorders>
            <w:shd w:val="clear" w:color="auto" w:fill="D9D9D9"/>
            <w:vAlign w:val="bottom"/>
          </w:tcPr>
          <w:p w:rsidR="004843DB" w:rsidRPr="0062582F" w:rsidRDefault="004843DB" w:rsidP="004843DB">
            <w:pPr>
              <w:pStyle w:val="TableofFigures"/>
              <w:rPr>
                <w:b/>
              </w:rPr>
            </w:pPr>
            <w:r w:rsidRPr="0062582F">
              <w:rPr>
                <w:b/>
              </w:rPr>
              <w:t>$8 915 851</w:t>
            </w:r>
          </w:p>
        </w:tc>
        <w:tc>
          <w:tcPr>
            <w:tcW w:w="1170" w:type="dxa"/>
            <w:tcBorders>
              <w:top w:val="single" w:sz="4" w:space="0" w:color="auto"/>
              <w:bottom w:val="single" w:sz="12" w:space="0" w:color="auto"/>
            </w:tcBorders>
            <w:vAlign w:val="bottom"/>
          </w:tcPr>
          <w:p w:rsidR="004843DB" w:rsidRPr="0062582F" w:rsidRDefault="004843DB" w:rsidP="004843DB">
            <w:pPr>
              <w:pStyle w:val="TableofFigures"/>
              <w:rPr>
                <w:b/>
              </w:rPr>
            </w:pPr>
            <w:r w:rsidRPr="0062582F">
              <w:rPr>
                <w:b/>
              </w:rPr>
              <w:t>$7 303 964</w:t>
            </w:r>
          </w:p>
        </w:tc>
        <w:tc>
          <w:tcPr>
            <w:tcW w:w="1170" w:type="dxa"/>
            <w:tcBorders>
              <w:top w:val="single" w:sz="4" w:space="0" w:color="auto"/>
              <w:bottom w:val="single" w:sz="12" w:space="0" w:color="auto"/>
            </w:tcBorders>
            <w:shd w:val="clear" w:color="auto" w:fill="D9D9D9"/>
            <w:vAlign w:val="bottom"/>
          </w:tcPr>
          <w:p w:rsidR="004843DB" w:rsidRPr="0062582F" w:rsidRDefault="004843DB" w:rsidP="004843DB">
            <w:pPr>
              <w:pStyle w:val="TableofFigures"/>
              <w:rPr>
                <w:b/>
              </w:rPr>
            </w:pPr>
            <w:r w:rsidRPr="0062582F">
              <w:rPr>
                <w:b/>
              </w:rPr>
              <w:t>$7 287 310</w:t>
            </w:r>
          </w:p>
        </w:tc>
        <w:tc>
          <w:tcPr>
            <w:tcW w:w="1170" w:type="dxa"/>
            <w:tcBorders>
              <w:top w:val="single" w:sz="4" w:space="0" w:color="auto"/>
              <w:bottom w:val="single" w:sz="12" w:space="0" w:color="auto"/>
            </w:tcBorders>
            <w:vAlign w:val="bottom"/>
          </w:tcPr>
          <w:p w:rsidR="004843DB" w:rsidRPr="0062582F" w:rsidRDefault="004843DB" w:rsidP="004843DB">
            <w:pPr>
              <w:pStyle w:val="TableofFigures"/>
              <w:rPr>
                <w:b/>
              </w:rPr>
            </w:pPr>
            <w:r w:rsidRPr="0062582F">
              <w:rPr>
                <w:b/>
              </w:rPr>
              <w:t>$6 383 420</w:t>
            </w:r>
          </w:p>
        </w:tc>
      </w:tr>
    </w:tbl>
    <w:p w:rsidR="004843DB" w:rsidRPr="0062582F" w:rsidRDefault="004843DB" w:rsidP="004843DB">
      <w:pPr>
        <w:pStyle w:val="Notes"/>
      </w:pPr>
      <w:r w:rsidRPr="0062582F">
        <w:t>Note:</w:t>
      </w:r>
    </w:p>
    <w:p w:rsidR="004843DB" w:rsidRPr="0062582F" w:rsidRDefault="004843DB" w:rsidP="004843DB">
      <w:pPr>
        <w:pStyle w:val="Notes"/>
        <w:sectPr w:rsidR="004843DB" w:rsidRPr="0062582F" w:rsidSect="004843DB">
          <w:footnotePr>
            <w:numStart w:val="5"/>
          </w:footnotePr>
          <w:pgSz w:w="11906" w:h="16838" w:code="9"/>
          <w:pgMar w:top="1152" w:right="864" w:bottom="1152" w:left="864" w:header="432" w:footer="432" w:gutter="0"/>
          <w:cols w:num="2" w:space="360" w:equalWidth="0">
            <w:col w:w="1440" w:space="360"/>
            <w:col w:w="8378"/>
          </w:cols>
        </w:sectPr>
      </w:pPr>
    </w:p>
    <w:p w:rsidR="004843DB" w:rsidRPr="0062582F" w:rsidRDefault="004843DB" w:rsidP="004843DB">
      <w:pPr>
        <w:pStyle w:val="Notes"/>
      </w:pPr>
      <w:r w:rsidRPr="0062582F">
        <w:rPr>
          <w:rStyle w:val="SourceChar"/>
          <w:b/>
        </w:rPr>
        <w:br w:type="column"/>
      </w:r>
      <w:r w:rsidRPr="0062582F">
        <w:t xml:space="preserve">(i) </w:t>
      </w:r>
      <w:r w:rsidRPr="0062582F">
        <w:tab/>
        <w:t>Annualised employee equivalent is based on paid working hours of 38 ordinary hours per week over the 52 weeks for a reporting period.</w:t>
      </w:r>
    </w:p>
    <w:p w:rsidR="004843DB" w:rsidRPr="0062582F" w:rsidRDefault="004843DB" w:rsidP="004843DB">
      <w:pPr>
        <w:pStyle w:val="Notes"/>
      </w:pPr>
    </w:p>
    <w:p w:rsidR="004843DB" w:rsidRPr="0062582F" w:rsidRDefault="004843DB" w:rsidP="004843DB">
      <w:pPr>
        <w:pStyle w:val="SmallLine"/>
      </w:pPr>
      <w:r w:rsidRPr="0062582F">
        <w:br w:type="column"/>
      </w:r>
      <w:r w:rsidRPr="0062582F">
        <w:br w:type="column"/>
      </w:r>
    </w:p>
    <w:p w:rsidR="004843DB" w:rsidRPr="0062582F" w:rsidRDefault="004843DB" w:rsidP="004843DB">
      <w:pPr>
        <w:pStyle w:val="CommentaryHeading"/>
      </w:pPr>
      <w:r w:rsidRPr="0062582F">
        <w:t>Commentary – Remuneration of executives</w:t>
      </w:r>
    </w:p>
    <w:p w:rsidR="004843DB" w:rsidRPr="0062582F" w:rsidRDefault="004843DB" w:rsidP="004843DB">
      <w:pPr>
        <w:pStyle w:val="SmallLineBlue"/>
        <w:pBdr>
          <w:bottom w:val="none" w:sz="0" w:space="0" w:color="auto"/>
        </w:pBdr>
      </w:pPr>
    </w:p>
    <w:p w:rsidR="004843DB" w:rsidRPr="0062582F" w:rsidRDefault="004843DB" w:rsidP="004843DB">
      <w:pPr>
        <w:pStyle w:val="CommentaryHeading1"/>
        <w:pBdr>
          <w:top w:val="none" w:sz="0" w:space="0" w:color="auto"/>
          <w:bottom w:val="none" w:sz="0" w:space="0" w:color="auto"/>
        </w:pBdr>
      </w:pPr>
      <w:r w:rsidRPr="0062582F">
        <w:t>Base remuneration</w:t>
      </w:r>
    </w:p>
    <w:p w:rsidR="004843DB" w:rsidRPr="0062582F" w:rsidRDefault="004843DB" w:rsidP="004843DB">
      <w:pPr>
        <w:pStyle w:val="CommentaryText"/>
        <w:pBdr>
          <w:top w:val="none" w:sz="0" w:space="0" w:color="auto"/>
          <w:bottom w:val="none" w:sz="0" w:space="0" w:color="auto"/>
        </w:pBdr>
      </w:pPr>
      <w:r w:rsidRPr="0062582F">
        <w:t>Base remuneration is exclusive of benefits that are more likely to be paid on a discrete basis. Examples of benefits that are excluded from the base remuneration include bonus benefits, long service leave payments, redundancy payments and retirement benefits.</w:t>
      </w:r>
    </w:p>
    <w:p w:rsidR="004843DB" w:rsidRPr="0062582F" w:rsidRDefault="004843DB" w:rsidP="004843DB">
      <w:pPr>
        <w:pStyle w:val="CommentaryText"/>
        <w:pBdr>
          <w:top w:val="none" w:sz="0" w:space="0" w:color="auto"/>
          <w:bottom w:val="none" w:sz="0" w:space="0" w:color="auto"/>
        </w:pBdr>
      </w:pPr>
      <w:r w:rsidRPr="0062582F">
        <w:t>Benefits that are usually paid or payable on a regular basis such as salaries, sick leave and annual leave would be included as part of the base remuneration.</w:t>
      </w:r>
    </w:p>
    <w:p w:rsidR="004843DB" w:rsidRPr="0062582F" w:rsidRDefault="004843DB" w:rsidP="004843DB">
      <w:pPr>
        <w:pStyle w:val="CommentaryText"/>
        <w:pBdr>
          <w:top w:val="none" w:sz="0" w:space="0" w:color="auto"/>
          <w:bottom w:val="none" w:sz="0" w:space="0" w:color="auto"/>
        </w:pBdr>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
      </w:pPr>
      <w:r w:rsidRPr="0062582F">
        <w:t>FRD 21B</w:t>
      </w:r>
    </w:p>
    <w:p w:rsidR="004843DB" w:rsidRPr="0062582F" w:rsidRDefault="004843DB" w:rsidP="004843DB">
      <w:pPr>
        <w:pStyle w:val="CommentaryText"/>
        <w:pBdr>
          <w:top w:val="none" w:sz="0" w:space="0" w:color="auto"/>
          <w:bottom w:val="none" w:sz="0" w:space="0" w:color="auto"/>
        </w:pBdr>
      </w:pPr>
      <w:r w:rsidRPr="0062582F">
        <w:br w:type="column"/>
        <w:t xml:space="preserve">To improve the usefulness of information disclosed about executive officer remuneration, the base remuneration should be separately disclosed from total remuneration. </w:t>
      </w:r>
    </w:p>
    <w:p w:rsidR="004843DB" w:rsidRPr="0062582F" w:rsidRDefault="004843DB" w:rsidP="004843DB">
      <w:pPr>
        <w:pStyle w:val="CommentaryHeading1"/>
        <w:pBdr>
          <w:top w:val="none" w:sz="0" w:space="0" w:color="auto"/>
          <w:bottom w:val="none" w:sz="0" w:space="0" w:color="auto"/>
        </w:pBdr>
      </w:pPr>
      <w:r w:rsidRPr="0062582F">
        <w:t>Total remuneration</w:t>
      </w:r>
    </w:p>
    <w:p w:rsidR="004843DB" w:rsidRPr="0062582F" w:rsidRDefault="004843DB" w:rsidP="004843DB">
      <w:pPr>
        <w:pStyle w:val="CommentaryText"/>
        <w:pBdr>
          <w:top w:val="none" w:sz="0" w:space="0" w:color="auto"/>
          <w:bottom w:val="none" w:sz="0" w:space="0" w:color="auto"/>
        </w:pBdr>
      </w:pPr>
      <w:r w:rsidRPr="0062582F">
        <w:t xml:space="preserve">Total remuneration should include </w:t>
      </w:r>
      <w:r w:rsidRPr="0062582F">
        <w:rPr>
          <w:u w:val="single"/>
        </w:rPr>
        <w:t>all</w:t>
      </w:r>
      <w:r w:rsidRPr="0062582F">
        <w:t xml:space="preserve"> benefits paid or payable, including the benefits that are excluded from the base remuneration, but excludes reimbursement for out</w:t>
      </w:r>
      <w:r w:rsidR="005A4BB0">
        <w:noBreakHyphen/>
      </w:r>
      <w:r w:rsidRPr="0062582F">
        <w:t>of</w:t>
      </w:r>
      <w:r w:rsidR="005A4BB0">
        <w:noBreakHyphen/>
      </w:r>
      <w:r w:rsidRPr="0062582F">
        <w:t>pocket expenses.</w:t>
      </w:r>
    </w:p>
    <w:p w:rsidR="004843DB" w:rsidRPr="0062582F" w:rsidRDefault="004843DB" w:rsidP="004843DB">
      <w:pPr>
        <w:pStyle w:val="CommentaryHeading1"/>
        <w:pBdr>
          <w:top w:val="none" w:sz="0" w:space="0" w:color="auto"/>
          <w:bottom w:val="none" w:sz="0" w:space="0" w:color="auto"/>
        </w:pBdr>
      </w:pPr>
      <w:r w:rsidRPr="0062582F">
        <w:t>Remuneration bands</w:t>
      </w:r>
    </w:p>
    <w:p w:rsidR="004843DB" w:rsidRPr="0062582F" w:rsidRDefault="004843DB" w:rsidP="004843DB">
      <w:pPr>
        <w:pStyle w:val="CommentaryText"/>
        <w:pBdr>
          <w:top w:val="none" w:sz="0" w:space="0" w:color="auto"/>
          <w:bottom w:val="none" w:sz="0" w:space="0" w:color="auto"/>
        </w:pBdr>
        <w:spacing w:after="120"/>
        <w:rPr>
          <w:rFonts w:ascii="Calibri" w:hAnsi="Calibri" w:cs="Arial"/>
          <w:b/>
          <w:bCs/>
        </w:rPr>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
        <w:spacing w:before="240"/>
      </w:pPr>
      <w:r w:rsidRPr="0062582F">
        <w:t>FRD 21B</w:t>
      </w:r>
    </w:p>
    <w:p w:rsidR="004843DB" w:rsidRPr="0062582F" w:rsidRDefault="004843DB" w:rsidP="004843DB">
      <w:pPr>
        <w:pStyle w:val="CommentaryText"/>
        <w:pBdr>
          <w:top w:val="none" w:sz="0" w:space="0" w:color="auto"/>
        </w:pBdr>
        <w:rPr>
          <w:rFonts w:ascii="Calibri" w:hAnsi="Calibri" w:cs="Arial"/>
          <w:b/>
          <w:bCs/>
        </w:rPr>
      </w:pPr>
      <w:r w:rsidRPr="0062582F">
        <w:rPr>
          <w:rFonts w:ascii="Calibri" w:hAnsi="Calibri" w:cs="Arial"/>
          <w:b/>
          <w:bCs/>
        </w:rPr>
        <w:br w:type="column"/>
      </w:r>
      <w:r w:rsidRPr="0062582F">
        <w:t>Disclosure is required of the number of executive officers whose total remuneration for the year falls in each successive $10 000 band, commencing at $100 000. However, in accordance with FRD 21B, the base remuneration (amounts paid or payable during the reporting period excluding bonuses, redundancy payments, long service leave and retirement benefits) of executive officers should be disclosed separately. This will require disclosure of the number of executive officers whose base remuneration is less than $100 000, but their total remuneration is greater than this amount.</w:t>
      </w:r>
    </w:p>
    <w:p w:rsidR="004843DB" w:rsidRPr="0062582F" w:rsidRDefault="004843DB" w:rsidP="004843DB">
      <w:pPr>
        <w:pStyle w:val="CommentaryHeading1"/>
        <w:pBdr>
          <w:top w:val="none" w:sz="0" w:space="0" w:color="auto"/>
        </w:pBdr>
      </w:pPr>
      <w:r w:rsidRPr="0062582F">
        <w:t>Annualised employee equivalent</w:t>
      </w:r>
    </w:p>
    <w:p w:rsidR="004843DB" w:rsidRPr="0062582F" w:rsidRDefault="004843DB" w:rsidP="004843DB">
      <w:pPr>
        <w:pStyle w:val="CommentaryText"/>
        <w:pBdr>
          <w:top w:val="none" w:sz="0" w:space="0" w:color="auto"/>
        </w:pBdr>
      </w:pPr>
      <w:r w:rsidRPr="0062582F">
        <w:t xml:space="preserve">Entities are required to disclose the </w:t>
      </w:r>
      <w:r w:rsidR="005A4BB0">
        <w:t>‘</w:t>
      </w:r>
      <w:r w:rsidRPr="0062582F">
        <w:t>annualised employee equivalent</w:t>
      </w:r>
      <w:r w:rsidR="005A4BB0">
        <w:t>’</w:t>
      </w:r>
      <w:r w:rsidRPr="0062582F">
        <w:t xml:space="preserve"> in addition to the headcount disclosure of executive officers whose total remuneration exceeds $100 000 over the reporting period. </w:t>
      </w:r>
    </w:p>
    <w:p w:rsidR="004843DB" w:rsidRPr="0062582F" w:rsidRDefault="004843DB" w:rsidP="004843DB">
      <w:pPr>
        <w:pStyle w:val="CommentaryText"/>
        <w:pBdr>
          <w:top w:val="none" w:sz="0" w:space="0" w:color="auto"/>
        </w:pBdr>
        <w:rPr>
          <w:bCs/>
          <w:iCs/>
        </w:rPr>
      </w:pPr>
      <w:r w:rsidRPr="0062582F">
        <w:t xml:space="preserve">Annualised employee equivalent (AEE) is defined and explained in FRD 21B </w:t>
      </w:r>
      <w:r w:rsidRPr="0062582F">
        <w:rPr>
          <w:i/>
        </w:rPr>
        <w:t xml:space="preserve">Disclosures of Responsible Persons, Executive Officers and Other Personnel (Contractors with Significant Management Responsibilities) in the Financial Report. </w:t>
      </w:r>
      <w:r w:rsidRPr="0062582F">
        <w:t>It is calculated</w:t>
      </w:r>
      <w:r w:rsidRPr="0062582F">
        <w:rPr>
          <w:i/>
        </w:rPr>
        <w:t xml:space="preserve"> </w:t>
      </w:r>
      <w:r w:rsidRPr="0062582F">
        <w:t>by dividing the</w:t>
      </w:r>
      <w:r w:rsidRPr="0062582F">
        <w:rPr>
          <w:bCs/>
          <w:iCs/>
        </w:rPr>
        <w:t xml:space="preserve"> total number of working hours that an employee was paid over the reporting period by the total number of full</w:t>
      </w:r>
      <w:r w:rsidR="005A4BB0">
        <w:rPr>
          <w:bCs/>
          <w:iCs/>
        </w:rPr>
        <w:noBreakHyphen/>
      </w:r>
      <w:r w:rsidRPr="0062582F">
        <w:rPr>
          <w:bCs/>
          <w:iCs/>
        </w:rPr>
        <w:t>time working hours per annum. In general, the total number of full</w:t>
      </w:r>
      <w:r w:rsidR="005A4BB0">
        <w:rPr>
          <w:bCs/>
          <w:iCs/>
        </w:rPr>
        <w:noBreakHyphen/>
      </w:r>
      <w:r w:rsidRPr="0062582F">
        <w:rPr>
          <w:bCs/>
          <w:iCs/>
        </w:rPr>
        <w:t>time working hours will be 1 976 hours per year, being 38 hours per week for 52 weeks, or equivalently 7.6 hours per day for 260 days. The employee</w:t>
      </w:r>
      <w:r w:rsidR="005A4BB0">
        <w:rPr>
          <w:bCs/>
          <w:iCs/>
        </w:rPr>
        <w:t>’</w:t>
      </w:r>
      <w:r w:rsidRPr="0062582F">
        <w:rPr>
          <w:bCs/>
          <w:iCs/>
        </w:rPr>
        <w:t xml:space="preserve">s working hours include </w:t>
      </w:r>
      <w:r w:rsidRPr="0062582F">
        <w:rPr>
          <w:b/>
          <w:bCs/>
          <w:iCs/>
        </w:rPr>
        <w:t>paid</w:t>
      </w:r>
      <w:r w:rsidRPr="0062582F">
        <w:rPr>
          <w:bCs/>
          <w:iCs/>
        </w:rPr>
        <w:t xml:space="preserve"> leave, e.g. sick leave, paternity leave, recreation leave and long service leave etc. but </w:t>
      </w:r>
      <w:r w:rsidRPr="0062582F">
        <w:rPr>
          <w:b/>
          <w:bCs/>
          <w:iCs/>
        </w:rPr>
        <w:t>NOT unpaid leave</w:t>
      </w:r>
      <w:r w:rsidRPr="0062582F">
        <w:rPr>
          <w:bCs/>
          <w:iCs/>
        </w:rPr>
        <w:t xml:space="preserve">. </w:t>
      </w:r>
    </w:p>
    <w:p w:rsidR="004843DB" w:rsidRPr="0062582F" w:rsidRDefault="004843DB" w:rsidP="004843DB">
      <w:pPr>
        <w:pStyle w:val="CommentaryHeading2"/>
        <w:pBdr>
          <w:bottom w:val="single" w:sz="4" w:space="1" w:color="0000FF"/>
        </w:pBdr>
      </w:pPr>
      <w:r w:rsidRPr="0062582F">
        <w:t>Example 1</w:t>
      </w:r>
    </w:p>
    <w:p w:rsidR="004843DB" w:rsidRPr="0062582F" w:rsidRDefault="004843DB" w:rsidP="004843DB">
      <w:pPr>
        <w:pStyle w:val="CommentaryText"/>
        <w:pBdr>
          <w:top w:val="none" w:sz="0" w:space="0" w:color="auto"/>
        </w:pBdr>
        <w:rPr>
          <w:bCs/>
          <w:iCs/>
        </w:rPr>
      </w:pPr>
      <w:r w:rsidRPr="0062582F">
        <w:rPr>
          <w:bCs/>
          <w:iCs/>
        </w:rPr>
        <w:t>A part</w:t>
      </w:r>
      <w:r w:rsidR="005A4BB0">
        <w:rPr>
          <w:bCs/>
          <w:iCs/>
        </w:rPr>
        <w:noBreakHyphen/>
      </w:r>
      <w:r w:rsidRPr="0062582F">
        <w:rPr>
          <w:bCs/>
          <w:iCs/>
        </w:rPr>
        <w:t xml:space="preserve">time Employee A works 20 hours per week. During the 2015–16 reporting period, Employee A took 10 days of </w:t>
      </w:r>
      <w:r w:rsidRPr="0062582F">
        <w:rPr>
          <w:b/>
          <w:bCs/>
          <w:iCs/>
        </w:rPr>
        <w:t>paid</w:t>
      </w:r>
      <w:r w:rsidRPr="0062582F">
        <w:rPr>
          <w:bCs/>
          <w:iCs/>
        </w:rPr>
        <w:t xml:space="preserve"> recreation leave and 5 days of </w:t>
      </w:r>
      <w:r w:rsidRPr="0062582F">
        <w:rPr>
          <w:b/>
          <w:bCs/>
          <w:iCs/>
        </w:rPr>
        <w:t>paid</w:t>
      </w:r>
      <w:r w:rsidRPr="0062582F">
        <w:rPr>
          <w:bCs/>
          <w:iCs/>
        </w:rPr>
        <w:t xml:space="preserve"> sick leave. The AEE of Employee A equates to:</w:t>
      </w:r>
    </w:p>
    <w:p w:rsidR="004843DB" w:rsidRPr="0062582F" w:rsidRDefault="004843DB" w:rsidP="004843DB">
      <w:pPr>
        <w:pStyle w:val="CommentaryBullet"/>
        <w:pBdr>
          <w:bottom w:val="single" w:sz="4" w:space="1" w:color="0000FF"/>
        </w:pBdr>
      </w:pPr>
      <w:r w:rsidRPr="0062582F">
        <w:t>AEE = (20 hours*52 weeks)/(38 hours*52 weeks) = 0.53</w:t>
      </w:r>
    </w:p>
    <w:p w:rsidR="004843DB" w:rsidRPr="0062582F" w:rsidRDefault="004843DB" w:rsidP="004843DB">
      <w:pPr>
        <w:pStyle w:val="CommentaryText"/>
        <w:pBdr>
          <w:top w:val="none" w:sz="0" w:space="0" w:color="auto"/>
        </w:pBdr>
      </w:pPr>
      <w:r w:rsidRPr="0062582F">
        <w:t xml:space="preserve">(The </w:t>
      </w:r>
      <w:r w:rsidRPr="0062582F">
        <w:rPr>
          <w:b/>
        </w:rPr>
        <w:t>paid</w:t>
      </w:r>
      <w:r w:rsidRPr="0062582F">
        <w:t xml:space="preserve"> recreation leave and sick leave are included as Employee A</w:t>
      </w:r>
      <w:r w:rsidR="005A4BB0">
        <w:t>’</w:t>
      </w:r>
      <w:r w:rsidRPr="0062582F">
        <w:t>s working hours, therefore no deduction is required when calculating Employee A</w:t>
      </w:r>
      <w:r w:rsidR="005A4BB0">
        <w:t>’</w:t>
      </w:r>
      <w:r w:rsidRPr="0062582F">
        <w:t>s AEE.)</w:t>
      </w:r>
    </w:p>
    <w:p w:rsidR="004843DB" w:rsidRPr="0062582F" w:rsidRDefault="004843DB" w:rsidP="004843DB">
      <w:pPr>
        <w:pStyle w:val="Reference"/>
      </w:pPr>
      <w:r w:rsidRPr="0062582F">
        <w:br w:type="column"/>
      </w:r>
    </w:p>
    <w:p w:rsidR="004843DB" w:rsidRPr="0062582F" w:rsidRDefault="004843DB" w:rsidP="004843DB">
      <w:pPr>
        <w:pStyle w:val="SmallLine"/>
      </w:pPr>
      <w:r w:rsidRPr="0062582F">
        <w:rPr>
          <w:bCs/>
          <w:iCs/>
        </w:rPr>
        <w:br w:type="column"/>
      </w:r>
    </w:p>
    <w:p w:rsidR="004843DB" w:rsidRPr="0062582F" w:rsidRDefault="004843DB" w:rsidP="004843DB">
      <w:pPr>
        <w:pStyle w:val="CommentaryHeading"/>
        <w:rPr>
          <w:i/>
        </w:rPr>
      </w:pPr>
      <w:r w:rsidRPr="0062582F">
        <w:t xml:space="preserve">Commentary – Remuneration of executives </w:t>
      </w:r>
      <w:r w:rsidRPr="0062582F">
        <w:rPr>
          <w:i/>
        </w:rPr>
        <w:t>(continued)</w:t>
      </w:r>
    </w:p>
    <w:p w:rsidR="004843DB" w:rsidRPr="0062582F" w:rsidRDefault="004843DB" w:rsidP="004843DB">
      <w:pPr>
        <w:pStyle w:val="SmallLineBlue"/>
        <w:pBdr>
          <w:bottom w:val="none" w:sz="0" w:space="0" w:color="auto"/>
        </w:pBdr>
      </w:pPr>
    </w:p>
    <w:p w:rsidR="004843DB" w:rsidRPr="0062582F" w:rsidRDefault="004843DB" w:rsidP="004843DB">
      <w:pPr>
        <w:pStyle w:val="CommentaryHeading2"/>
      </w:pPr>
      <w:r w:rsidRPr="0062582F">
        <w:t>Example 2</w:t>
      </w:r>
    </w:p>
    <w:p w:rsidR="004843DB" w:rsidRPr="0062582F" w:rsidRDefault="004843DB" w:rsidP="004843DB">
      <w:pPr>
        <w:pStyle w:val="CommentaryText"/>
        <w:pBdr>
          <w:top w:val="none" w:sz="0" w:space="0" w:color="auto"/>
          <w:bottom w:val="none" w:sz="0" w:space="0" w:color="auto"/>
        </w:pBdr>
        <w:rPr>
          <w:bCs/>
          <w:iCs/>
        </w:rPr>
      </w:pPr>
      <w:r w:rsidRPr="0062582F">
        <w:rPr>
          <w:bCs/>
          <w:iCs/>
        </w:rPr>
        <w:t>A full</w:t>
      </w:r>
      <w:r w:rsidR="005A4BB0">
        <w:rPr>
          <w:bCs/>
          <w:iCs/>
        </w:rPr>
        <w:noBreakHyphen/>
      </w:r>
      <w:r w:rsidRPr="0062582F">
        <w:rPr>
          <w:bCs/>
          <w:iCs/>
        </w:rPr>
        <w:t xml:space="preserve">time Employee B works 38 hours a week, including a </w:t>
      </w:r>
      <w:r w:rsidRPr="0062582F">
        <w:rPr>
          <w:b/>
          <w:bCs/>
          <w:iCs/>
        </w:rPr>
        <w:t>paid</w:t>
      </w:r>
      <w:r w:rsidRPr="0062582F">
        <w:rPr>
          <w:bCs/>
          <w:iCs/>
        </w:rPr>
        <w:t xml:space="preserve"> study leave of 7.6 hours. In addition, during the 2015–16 reporting period, Employee B took </w:t>
      </w:r>
      <w:r w:rsidRPr="0062582F">
        <w:rPr>
          <w:b/>
          <w:bCs/>
          <w:iCs/>
        </w:rPr>
        <w:t>unpaid</w:t>
      </w:r>
      <w:r w:rsidRPr="0062582F">
        <w:rPr>
          <w:bCs/>
          <w:iCs/>
        </w:rPr>
        <w:t xml:space="preserve"> study leave of 7.6 hours per week for 40 weeks. The AEE of Employee B equates to:</w:t>
      </w:r>
    </w:p>
    <w:p w:rsidR="004843DB" w:rsidRPr="0062582F" w:rsidRDefault="004843DB" w:rsidP="004843DB">
      <w:pPr>
        <w:pStyle w:val="CommentaryBullet"/>
      </w:pPr>
      <w:r w:rsidRPr="0062582F">
        <w:t>AEE = [(38 hours*52 weeks)</w:t>
      </w:r>
      <w:r w:rsidR="005A4BB0">
        <w:noBreakHyphen/>
      </w:r>
      <w:r w:rsidRPr="0062582F">
        <w:t>(7.6 hours*40 weeks)]/(38 hours*52 weeks) = 0.85</w:t>
      </w:r>
    </w:p>
    <w:p w:rsidR="004843DB" w:rsidRPr="0062582F" w:rsidRDefault="004843DB" w:rsidP="004843DB">
      <w:pPr>
        <w:pStyle w:val="CommentaryText"/>
        <w:pBdr>
          <w:top w:val="none" w:sz="0" w:space="0" w:color="auto"/>
          <w:bottom w:val="none" w:sz="0" w:space="0" w:color="auto"/>
        </w:pBdr>
        <w:rPr>
          <w:bCs/>
          <w:iCs/>
        </w:rPr>
      </w:pPr>
      <w:r w:rsidRPr="0062582F">
        <w:rPr>
          <w:bCs/>
          <w:iCs/>
        </w:rPr>
        <w:t xml:space="preserve">(The </w:t>
      </w:r>
      <w:r w:rsidRPr="0062582F">
        <w:rPr>
          <w:b/>
          <w:bCs/>
          <w:iCs/>
        </w:rPr>
        <w:t>paid</w:t>
      </w:r>
      <w:r w:rsidRPr="0062582F">
        <w:rPr>
          <w:bCs/>
          <w:iCs/>
        </w:rPr>
        <w:t xml:space="preserve"> study leave is included in Employee B</w:t>
      </w:r>
      <w:r w:rsidR="005A4BB0">
        <w:rPr>
          <w:bCs/>
          <w:iCs/>
        </w:rPr>
        <w:t>’</w:t>
      </w:r>
      <w:r w:rsidRPr="0062582F">
        <w:rPr>
          <w:bCs/>
          <w:iCs/>
        </w:rPr>
        <w:t xml:space="preserve">s working hours, therefore only the </w:t>
      </w:r>
      <w:r w:rsidRPr="0062582F">
        <w:rPr>
          <w:b/>
          <w:bCs/>
          <w:iCs/>
        </w:rPr>
        <w:t>unpaid</w:t>
      </w:r>
      <w:r w:rsidRPr="0062582F">
        <w:rPr>
          <w:bCs/>
          <w:iCs/>
        </w:rPr>
        <w:t xml:space="preserve"> study leave (7.6 hour per week for 40 weeks) needs to be deducted in calculating Employee B</w:t>
      </w:r>
      <w:r w:rsidR="005A4BB0">
        <w:rPr>
          <w:bCs/>
          <w:iCs/>
        </w:rPr>
        <w:t>’</w:t>
      </w:r>
      <w:r w:rsidRPr="0062582F">
        <w:rPr>
          <w:bCs/>
          <w:iCs/>
        </w:rPr>
        <w:t>s AEE.)</w:t>
      </w:r>
    </w:p>
    <w:p w:rsidR="004843DB" w:rsidRPr="0062582F" w:rsidRDefault="004843DB" w:rsidP="004843DB">
      <w:pPr>
        <w:pStyle w:val="CommentaryHeading2"/>
      </w:pPr>
      <w:r w:rsidRPr="0062582F">
        <w:t>Example 3</w:t>
      </w:r>
    </w:p>
    <w:p w:rsidR="004843DB" w:rsidRPr="0062582F" w:rsidRDefault="004843DB" w:rsidP="004843DB">
      <w:pPr>
        <w:pStyle w:val="CommentaryText"/>
        <w:pBdr>
          <w:top w:val="none" w:sz="0" w:space="0" w:color="auto"/>
          <w:bottom w:val="none" w:sz="0" w:space="0" w:color="auto"/>
        </w:pBdr>
        <w:rPr>
          <w:bCs/>
          <w:iCs/>
        </w:rPr>
      </w:pPr>
      <w:r w:rsidRPr="0062582F">
        <w:rPr>
          <w:bCs/>
          <w:iCs/>
        </w:rPr>
        <w:t>A part</w:t>
      </w:r>
      <w:r w:rsidR="005A4BB0">
        <w:rPr>
          <w:bCs/>
          <w:iCs/>
        </w:rPr>
        <w:noBreakHyphen/>
      </w:r>
      <w:r w:rsidRPr="0062582F">
        <w:rPr>
          <w:bCs/>
          <w:iCs/>
        </w:rPr>
        <w:t>time Employee C commenced his employment on 1 January 2016, working 4 days per week. By 30 June 2016, the leave taken by Employee C includes:</w:t>
      </w:r>
    </w:p>
    <w:p w:rsidR="004843DB" w:rsidRPr="0062582F" w:rsidRDefault="004843DB" w:rsidP="004843DB">
      <w:pPr>
        <w:pStyle w:val="CommentaryBullet"/>
      </w:pPr>
      <w:r w:rsidRPr="0062582F">
        <w:t>recreation leave without pay: 3 days;</w:t>
      </w:r>
    </w:p>
    <w:p w:rsidR="004843DB" w:rsidRPr="0062582F" w:rsidRDefault="004843DB" w:rsidP="004843DB">
      <w:pPr>
        <w:pStyle w:val="CommentaryBullet"/>
      </w:pPr>
      <w:r w:rsidRPr="0062582F">
        <w:t>paid recreation leave: 10 days;</w:t>
      </w:r>
    </w:p>
    <w:p w:rsidR="004843DB" w:rsidRPr="0062582F" w:rsidRDefault="004843DB" w:rsidP="004843DB">
      <w:pPr>
        <w:pStyle w:val="CommentaryBullet"/>
      </w:pPr>
      <w:r w:rsidRPr="0062582F">
        <w:t>paid sick leave: 4 days; and</w:t>
      </w:r>
    </w:p>
    <w:p w:rsidR="004843DB" w:rsidRPr="0062582F" w:rsidRDefault="004843DB" w:rsidP="004843DB">
      <w:pPr>
        <w:pStyle w:val="CommentaryBullet"/>
      </w:pPr>
      <w:r w:rsidRPr="0062582F">
        <w:t>unpaid sick leave: 5 days.</w:t>
      </w:r>
    </w:p>
    <w:p w:rsidR="004843DB" w:rsidRPr="0062582F" w:rsidRDefault="004843DB" w:rsidP="004843DB">
      <w:pPr>
        <w:pStyle w:val="CommentaryText"/>
        <w:pBdr>
          <w:top w:val="none" w:sz="0" w:space="0" w:color="auto"/>
          <w:bottom w:val="none" w:sz="0" w:space="0" w:color="auto"/>
        </w:pBdr>
        <w:rPr>
          <w:bCs/>
          <w:iCs/>
        </w:rPr>
      </w:pPr>
      <w:r w:rsidRPr="0062582F">
        <w:rPr>
          <w:bCs/>
          <w:iCs/>
        </w:rPr>
        <w:t>The AEE of Employee C equates to:</w:t>
      </w:r>
    </w:p>
    <w:p w:rsidR="004843DB" w:rsidRPr="0062582F" w:rsidRDefault="004843DB" w:rsidP="004843DB">
      <w:pPr>
        <w:pStyle w:val="CommentaryBullet"/>
      </w:pPr>
      <w:r w:rsidRPr="0062582F">
        <w:t>AEE = [(7.6 hours*4 days*26 weeks)–(7.6 hours*3 days)–( 7.6 hours*5 days)]/(7.6 hours* 5 days*52 weeks)= 0.37</w:t>
      </w:r>
    </w:p>
    <w:p w:rsidR="004843DB" w:rsidRPr="0062582F" w:rsidRDefault="004843DB" w:rsidP="004843DB">
      <w:pPr>
        <w:pStyle w:val="CommentaryText"/>
        <w:pBdr>
          <w:top w:val="none" w:sz="0" w:space="0" w:color="auto"/>
          <w:bottom w:val="none" w:sz="0" w:space="0" w:color="auto"/>
        </w:pBdr>
        <w:rPr>
          <w:bCs/>
          <w:iCs/>
        </w:rPr>
      </w:pPr>
      <w:r w:rsidRPr="0062582F">
        <w:rPr>
          <w:bCs/>
          <w:iCs/>
        </w:rPr>
        <w:t xml:space="preserve">(The </w:t>
      </w:r>
      <w:r w:rsidRPr="0062582F">
        <w:rPr>
          <w:b/>
          <w:bCs/>
          <w:iCs/>
        </w:rPr>
        <w:t>paid</w:t>
      </w:r>
      <w:r w:rsidRPr="0062582F">
        <w:rPr>
          <w:bCs/>
          <w:iCs/>
        </w:rPr>
        <w:t xml:space="preserve"> recreation and sick leave is included as Employee C</w:t>
      </w:r>
      <w:r w:rsidR="005A4BB0">
        <w:rPr>
          <w:bCs/>
          <w:iCs/>
        </w:rPr>
        <w:t>’</w:t>
      </w:r>
      <w:r w:rsidRPr="0062582F">
        <w:rPr>
          <w:bCs/>
          <w:iCs/>
        </w:rPr>
        <w:t xml:space="preserve">s working hours, therefore only the </w:t>
      </w:r>
      <w:r w:rsidRPr="0062582F">
        <w:rPr>
          <w:b/>
          <w:bCs/>
          <w:iCs/>
        </w:rPr>
        <w:t>unpaid</w:t>
      </w:r>
      <w:r w:rsidRPr="0062582F">
        <w:rPr>
          <w:bCs/>
          <w:iCs/>
        </w:rPr>
        <w:t xml:space="preserve"> recreation and sick leave needs to be deducted from calculating Employee C</w:t>
      </w:r>
      <w:r w:rsidR="005A4BB0">
        <w:rPr>
          <w:bCs/>
          <w:iCs/>
        </w:rPr>
        <w:t>’</w:t>
      </w:r>
      <w:r w:rsidRPr="0062582F">
        <w:rPr>
          <w:bCs/>
          <w:iCs/>
        </w:rPr>
        <w:t>s AEE.)</w:t>
      </w:r>
    </w:p>
    <w:p w:rsidR="004843DB" w:rsidRPr="0062582F" w:rsidRDefault="004843DB" w:rsidP="004843DB">
      <w:pPr>
        <w:pStyle w:val="CommentaryText"/>
        <w:pBdr>
          <w:top w:val="none" w:sz="0" w:space="0" w:color="auto"/>
          <w:bottom w:val="none" w:sz="0" w:space="0" w:color="auto"/>
        </w:pBdr>
        <w:rPr>
          <w:bCs/>
          <w:iCs/>
        </w:rPr>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CommentaryText"/>
        <w:pBdr>
          <w:top w:val="none" w:sz="0" w:space="0" w:color="auto"/>
          <w:bottom w:val="none" w:sz="0" w:space="0" w:color="auto"/>
        </w:pBdr>
        <w:rPr>
          <w:rFonts w:ascii="Calibri" w:hAnsi="Calibri" w:cs="Arial"/>
          <w:b/>
        </w:rPr>
      </w:pPr>
      <w:r w:rsidRPr="0062582F">
        <w:rPr>
          <w:rFonts w:ascii="Calibri" w:hAnsi="Calibri" w:cs="Arial"/>
          <w:b/>
        </w:rPr>
        <w:t xml:space="preserve">Reconciliation with </w:t>
      </w:r>
      <w:r w:rsidR="005A4BB0">
        <w:rPr>
          <w:rFonts w:ascii="Calibri" w:hAnsi="Calibri" w:cs="Arial"/>
          <w:b/>
        </w:rPr>
        <w:t>‘</w:t>
      </w:r>
      <w:r w:rsidRPr="0062582F">
        <w:rPr>
          <w:rFonts w:ascii="Calibri" w:hAnsi="Calibri" w:cs="Arial"/>
          <w:b/>
        </w:rPr>
        <w:t>executive officer data</w:t>
      </w:r>
      <w:r w:rsidR="005A4BB0">
        <w:t>’</w:t>
      </w:r>
      <w:r w:rsidRPr="0062582F">
        <w:t xml:space="preserve"> </w:t>
      </w:r>
      <w:r w:rsidRPr="0062582F">
        <w:rPr>
          <w:rFonts w:ascii="Calibri" w:hAnsi="Calibri" w:cs="Arial"/>
          <w:b/>
        </w:rPr>
        <w:t>in the Report of Operation</w:t>
      </w:r>
    </w:p>
    <w:p w:rsidR="004843DB" w:rsidRPr="0062582F" w:rsidRDefault="004843DB" w:rsidP="004843DB">
      <w:pPr>
        <w:pStyle w:val="CommentaryText"/>
        <w:pBdr>
          <w:top w:val="none" w:sz="0" w:space="0" w:color="auto"/>
          <w:bottom w:val="none" w:sz="0" w:space="0" w:color="auto"/>
        </w:pBdr>
        <w:rPr>
          <w:rFonts w:ascii="Calibri" w:hAnsi="Calibri" w:cs="Arial"/>
          <w:b/>
        </w:rPr>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
      </w:pPr>
      <w:r w:rsidRPr="0062582F">
        <w:t>FRD 15C</w:t>
      </w:r>
    </w:p>
    <w:p w:rsidR="004843DB" w:rsidRPr="0062582F" w:rsidRDefault="004843DB" w:rsidP="004843DB">
      <w:pPr>
        <w:pStyle w:val="CommentaryText"/>
        <w:pBdr>
          <w:top w:val="none" w:sz="0" w:space="0" w:color="auto"/>
          <w:bottom w:val="none" w:sz="0" w:space="0" w:color="auto"/>
        </w:pBdr>
      </w:pPr>
      <w:r w:rsidRPr="0062582F">
        <w:br w:type="column"/>
        <w:t xml:space="preserve">Entities must also ensure that total numbers of executives reported in the note to the financial statements corresponds with the total numbers of executive officers with remuneration over $100 000 from the executive officer data disclosure in the report of operations(e.g. table 3 of </w:t>
      </w:r>
      <w:r w:rsidR="005A4BB0">
        <w:t>‘</w:t>
      </w:r>
      <w:r w:rsidRPr="0062582F">
        <w:t>executive officer data</w:t>
      </w:r>
      <w:r w:rsidR="005A4BB0">
        <w:t>’</w:t>
      </w:r>
      <w:r w:rsidRPr="0062582F">
        <w:t xml:space="preserve"> section).</w:t>
      </w:r>
    </w:p>
    <w:p w:rsidR="004843DB" w:rsidRPr="0062582F" w:rsidRDefault="004843DB" w:rsidP="004843DB">
      <w:pPr>
        <w:pStyle w:val="CommentaryText"/>
        <w:pBdr>
          <w:top w:val="none" w:sz="0" w:space="0" w:color="auto"/>
          <w:bottom w:val="none" w:sz="0" w:space="0" w:color="auto"/>
        </w:pBdr>
      </w:pPr>
      <w:r w:rsidRPr="0062582F">
        <w:t>For further disclosure guidance in relation to executive officers, please refer to FRD 21B.</w:t>
      </w:r>
    </w:p>
    <w:p w:rsidR="004843DB" w:rsidRPr="0062582F" w:rsidRDefault="004843DB" w:rsidP="004843DB">
      <w:pPr>
        <w:pStyle w:val="CommentaryText"/>
        <w:pBdr>
          <w:top w:val="none" w:sz="0" w:space="0" w:color="auto"/>
          <w:bottom w:val="none" w:sz="0" w:space="0" w:color="auto"/>
        </w:pBdr>
      </w:pPr>
      <w:r w:rsidRPr="0062582F">
        <w:t xml:space="preserve">The disclosure of executive officer remuneration does not relate to any VPS 6 or 7 staff </w:t>
      </w:r>
      <w:r w:rsidRPr="0062582F">
        <w:rPr>
          <w:b/>
        </w:rPr>
        <w:t>acting</w:t>
      </w:r>
      <w:r w:rsidRPr="0062582F">
        <w:t xml:space="preserve"> on a temporary basis in executive roles, while the substantive executive officer is on paid leave or secondment.</w:t>
      </w:r>
    </w:p>
    <w:p w:rsidR="004843DB" w:rsidRPr="0062582F" w:rsidRDefault="004843DB" w:rsidP="004843DB">
      <w:pPr>
        <w:pStyle w:val="CommentaryText"/>
        <w:pBdr>
          <w:top w:val="none" w:sz="0" w:space="0" w:color="auto"/>
        </w:pBdr>
        <w:rPr>
          <w:i/>
        </w:rPr>
      </w:pPr>
      <w:r w:rsidRPr="0062582F">
        <w:t>Where an executive officer from the same department backfills for another executive officer while on paid leave or secondment in that same department, then both executive officers are included in the disclosure.</w:t>
      </w:r>
    </w:p>
    <w:p w:rsidR="004843DB" w:rsidRPr="0062582F" w:rsidRDefault="004843DB" w:rsidP="004843DB">
      <w:pPr>
        <w:pStyle w:val="SmallLine"/>
      </w:pPr>
      <w:r w:rsidRPr="0062582F">
        <w:rPr>
          <w:bCs/>
          <w:iCs/>
        </w:rPr>
        <w:br w:type="column"/>
      </w:r>
      <w:bookmarkStart w:id="653" w:name="_Toc132689486"/>
      <w:bookmarkStart w:id="654" w:name="_Toc133138173"/>
      <w:bookmarkStart w:id="655" w:name="_Toc133203893"/>
      <w:bookmarkStart w:id="656" w:name="_Toc154475743"/>
      <w:bookmarkStart w:id="657" w:name="_Toc162327240"/>
      <w:bookmarkStart w:id="658" w:name="_Toc162327955"/>
      <w:bookmarkStart w:id="659" w:name="_Toc192562768"/>
    </w:p>
    <w:p w:rsidR="004843DB" w:rsidRPr="0062582F" w:rsidRDefault="004843DB" w:rsidP="004843DB">
      <w:pPr>
        <w:pStyle w:val="NoteHeadingcontinued"/>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r w:rsidRPr="0062582F">
        <w:br w:type="column"/>
        <w:t>Note 41.</w:t>
      </w:r>
      <w:r w:rsidRPr="0062582F">
        <w:tab/>
        <w:t xml:space="preserve">Remuneration of executives and payments to other personnel (i.e. contractors with significant management responsibilities) </w:t>
      </w:r>
      <w:r w:rsidRPr="0062582F">
        <w:rPr>
          <w:i/>
        </w:rPr>
        <w:t>(continued</w:t>
      </w:r>
      <w:r w:rsidRPr="00CC3AB3">
        <w:rPr>
          <w:i/>
        </w:rPr>
        <w:t>)</w:t>
      </w:r>
    </w:p>
    <w:p w:rsidR="004843DB" w:rsidRPr="0062582F" w:rsidRDefault="004843DB" w:rsidP="004843DB">
      <w:pPr>
        <w:pStyle w:val="Reference"/>
        <w:spacing w:before="200"/>
      </w:pPr>
      <w:r w:rsidRPr="0062582F">
        <w:rPr>
          <w:rStyle w:val="ReferenceChar"/>
        </w:rPr>
        <w:t>FRD 2</w:t>
      </w:r>
      <w:r w:rsidRPr="0062582F">
        <w:t>1B</w:t>
      </w:r>
    </w:p>
    <w:p w:rsidR="004843DB" w:rsidRPr="0062582F" w:rsidRDefault="004843DB" w:rsidP="004843DB">
      <w:pPr>
        <w:pStyle w:val="Heading5"/>
      </w:pPr>
      <w:r w:rsidRPr="0062582F">
        <w:br w:type="column"/>
        <w:t>(b)</w:t>
      </w:r>
      <w:r w:rsidRPr="0062582F">
        <w:tab/>
        <w:t>Payments to other personnel (i.e. contractors with significant management responsibilities)</w:t>
      </w:r>
    </w:p>
    <w:p w:rsidR="004843DB" w:rsidRPr="0062582F" w:rsidRDefault="004843DB" w:rsidP="004843DB">
      <w:r w:rsidRPr="0062582F">
        <w:t>The following disclosures are made in relation to other personnel of the Department of Technology, i.e. contractors charged with significant management responsibilities.</w:t>
      </w:r>
    </w:p>
    <w:p w:rsidR="004843DB" w:rsidRPr="0062582F" w:rsidRDefault="004843DB" w:rsidP="004843DB">
      <w:r w:rsidRPr="0062582F">
        <w:t>Payments have been made to a number of contractors with significant management responsibilities, which are disclosed in the $10 000 expense band. These contractors are responsible for planning, directing or controlling, directly or indirectly, of the Department</w:t>
      </w:r>
      <w:r w:rsidR="005A4BB0">
        <w:t>’</w:t>
      </w:r>
      <w:r w:rsidRPr="0062582F">
        <w:t xml:space="preserve">s activities. </w:t>
      </w:r>
    </w:p>
    <w:p w:rsidR="004843DB" w:rsidRPr="0062582F" w:rsidRDefault="004843DB" w:rsidP="004843DB">
      <w:r w:rsidRPr="0062582F">
        <w:t>The change in the total expenses from 2015 to 2016 was mainly driven by new functions being undertaken by the Department in the 2016 reporting period.</w:t>
      </w:r>
    </w:p>
    <w:p w:rsidR="004843DB" w:rsidRPr="0062582F" w:rsidRDefault="004843DB" w:rsidP="004843DB">
      <w:pPr>
        <w:pStyle w:val="SmallLine"/>
      </w:pPr>
    </w:p>
    <w:p w:rsidR="004843DB" w:rsidRPr="0062582F" w:rsidRDefault="004843DB" w:rsidP="004843DB">
      <w:pPr>
        <w:pStyle w:val="SmallLine"/>
      </w:pPr>
    </w:p>
    <w:tbl>
      <w:tblPr>
        <w:tblW w:w="8420" w:type="dxa"/>
        <w:tblLayout w:type="fixed"/>
        <w:tblCellMar>
          <w:left w:w="43" w:type="dxa"/>
          <w:right w:w="43" w:type="dxa"/>
        </w:tblCellMar>
        <w:tblLook w:val="0000" w:firstRow="0" w:lastRow="0" w:firstColumn="0" w:lastColumn="0" w:noHBand="0" w:noVBand="0"/>
      </w:tblPr>
      <w:tblGrid>
        <w:gridCol w:w="4338"/>
        <w:gridCol w:w="2077"/>
        <w:gridCol w:w="2005"/>
      </w:tblGrid>
      <w:tr w:rsidR="004843DB" w:rsidRPr="0062582F" w:rsidTr="004843DB">
        <w:trPr>
          <w:trHeight w:val="257"/>
        </w:trPr>
        <w:tc>
          <w:tcPr>
            <w:tcW w:w="4338" w:type="dxa"/>
            <w:tcBorders>
              <w:top w:val="single" w:sz="4" w:space="0" w:color="auto"/>
            </w:tcBorders>
          </w:tcPr>
          <w:p w:rsidR="004843DB" w:rsidRPr="0062582F" w:rsidRDefault="004843DB" w:rsidP="004843DB">
            <w:pPr>
              <w:pStyle w:val="TabletextheadingLeft"/>
            </w:pPr>
          </w:p>
        </w:tc>
        <w:tc>
          <w:tcPr>
            <w:tcW w:w="4082" w:type="dxa"/>
            <w:gridSpan w:val="2"/>
            <w:tcBorders>
              <w:top w:val="single" w:sz="4" w:space="0" w:color="auto"/>
              <w:bottom w:val="single" w:sz="4" w:space="0" w:color="auto"/>
            </w:tcBorders>
          </w:tcPr>
          <w:p w:rsidR="004843DB" w:rsidRPr="0062582F" w:rsidRDefault="004843DB" w:rsidP="004843DB">
            <w:pPr>
              <w:pStyle w:val="TabletextheadingCentred"/>
            </w:pPr>
            <w:r w:rsidRPr="0062582F">
              <w:t>Total expenses (exclusive of GST)</w:t>
            </w:r>
          </w:p>
        </w:tc>
      </w:tr>
      <w:tr w:rsidR="004843DB" w:rsidRPr="0062582F" w:rsidTr="004843DB">
        <w:tc>
          <w:tcPr>
            <w:tcW w:w="4338" w:type="dxa"/>
          </w:tcPr>
          <w:p w:rsidR="004843DB" w:rsidRPr="0062582F" w:rsidRDefault="004843DB" w:rsidP="004843DB">
            <w:pPr>
              <w:pStyle w:val="Tabletextheading"/>
              <w:rPr>
                <w:lang w:val="en-GB"/>
              </w:rPr>
            </w:pPr>
          </w:p>
        </w:tc>
        <w:tc>
          <w:tcPr>
            <w:tcW w:w="2077" w:type="dxa"/>
            <w:tcBorders>
              <w:top w:val="single" w:sz="4" w:space="0" w:color="auto"/>
            </w:tcBorders>
            <w:shd w:val="pct15" w:color="auto" w:fill="auto"/>
          </w:tcPr>
          <w:p w:rsidR="004843DB" w:rsidRPr="0062582F" w:rsidRDefault="004843DB" w:rsidP="004843DB">
            <w:pPr>
              <w:pStyle w:val="Tabletextheading"/>
            </w:pPr>
            <w:r w:rsidRPr="0062582F">
              <w:t>2016</w:t>
            </w:r>
          </w:p>
        </w:tc>
        <w:tc>
          <w:tcPr>
            <w:tcW w:w="2005" w:type="dxa"/>
            <w:tcBorders>
              <w:top w:val="single" w:sz="4" w:space="0" w:color="auto"/>
            </w:tcBorders>
          </w:tcPr>
          <w:p w:rsidR="004843DB" w:rsidRPr="0062582F" w:rsidRDefault="004843DB" w:rsidP="004843DB">
            <w:pPr>
              <w:pStyle w:val="Tabletextheading"/>
            </w:pPr>
            <w:r w:rsidRPr="0062582F">
              <w:t>2015</w:t>
            </w:r>
          </w:p>
        </w:tc>
      </w:tr>
      <w:tr w:rsidR="004843DB" w:rsidRPr="0062582F" w:rsidTr="004843DB">
        <w:tc>
          <w:tcPr>
            <w:tcW w:w="4338" w:type="dxa"/>
            <w:tcBorders>
              <w:bottom w:val="single" w:sz="4" w:space="0" w:color="auto"/>
            </w:tcBorders>
          </w:tcPr>
          <w:p w:rsidR="004843DB" w:rsidRPr="0062582F" w:rsidRDefault="004843DB" w:rsidP="004843DB">
            <w:pPr>
              <w:pStyle w:val="TabletextheadingLeft"/>
              <w:rPr>
                <w:lang w:val="en-GB"/>
              </w:rPr>
            </w:pPr>
            <w:r w:rsidRPr="0062582F">
              <w:t>Expense band</w:t>
            </w:r>
          </w:p>
        </w:tc>
        <w:tc>
          <w:tcPr>
            <w:tcW w:w="2077" w:type="dxa"/>
            <w:tcBorders>
              <w:bottom w:val="single" w:sz="4" w:space="0" w:color="auto"/>
            </w:tcBorders>
            <w:shd w:val="pct15" w:color="auto" w:fill="auto"/>
          </w:tcPr>
          <w:p w:rsidR="004843DB" w:rsidRPr="0062582F" w:rsidRDefault="004843DB" w:rsidP="004843DB">
            <w:pPr>
              <w:pStyle w:val="Tabletextheading"/>
            </w:pPr>
            <w:r w:rsidRPr="0062582F">
              <w:t>No.</w:t>
            </w:r>
          </w:p>
        </w:tc>
        <w:tc>
          <w:tcPr>
            <w:tcW w:w="2005" w:type="dxa"/>
            <w:tcBorders>
              <w:bottom w:val="single" w:sz="4" w:space="0" w:color="auto"/>
            </w:tcBorders>
          </w:tcPr>
          <w:p w:rsidR="004843DB" w:rsidRPr="0062582F" w:rsidRDefault="004843DB" w:rsidP="004843DB">
            <w:pPr>
              <w:pStyle w:val="Tabletextheading"/>
            </w:pPr>
            <w:r w:rsidRPr="0062582F">
              <w:t>No.</w:t>
            </w:r>
          </w:p>
        </w:tc>
      </w:tr>
      <w:tr w:rsidR="004843DB" w:rsidRPr="0062582F" w:rsidTr="004843DB">
        <w:trPr>
          <w:trHeight w:val="245"/>
        </w:trPr>
        <w:tc>
          <w:tcPr>
            <w:tcW w:w="4338" w:type="dxa"/>
            <w:tcBorders>
              <w:top w:val="single" w:sz="4" w:space="0" w:color="auto"/>
            </w:tcBorders>
          </w:tcPr>
          <w:p w:rsidR="004843DB" w:rsidRPr="0062582F" w:rsidRDefault="004843DB" w:rsidP="004843DB">
            <w:pPr>
              <w:pStyle w:val="Tabletext"/>
              <w:rPr>
                <w:lang w:val="en-GB"/>
              </w:rPr>
            </w:pPr>
            <w:r w:rsidRPr="0062582F">
              <w:rPr>
                <w:lang w:val="en-GB"/>
              </w:rPr>
              <w:t>$120 000</w:t>
            </w:r>
            <w:r w:rsidRPr="0062582F">
              <w:t xml:space="preserve"> – </w:t>
            </w:r>
            <w:r w:rsidRPr="0062582F">
              <w:rPr>
                <w:lang w:val="en-GB"/>
              </w:rPr>
              <w:t>129 999</w:t>
            </w:r>
          </w:p>
        </w:tc>
        <w:tc>
          <w:tcPr>
            <w:tcW w:w="2077" w:type="dxa"/>
            <w:tcBorders>
              <w:top w:val="single" w:sz="4" w:space="0" w:color="auto"/>
            </w:tcBorders>
            <w:shd w:val="pct15" w:color="auto" w:fill="auto"/>
          </w:tcPr>
          <w:p w:rsidR="004843DB" w:rsidRPr="0062582F" w:rsidRDefault="004843DB" w:rsidP="004843DB">
            <w:pPr>
              <w:pStyle w:val="TableofFigures"/>
            </w:pPr>
            <w:r w:rsidRPr="0062582F">
              <w:t>..</w:t>
            </w:r>
          </w:p>
        </w:tc>
        <w:tc>
          <w:tcPr>
            <w:tcW w:w="2005" w:type="dxa"/>
            <w:tcBorders>
              <w:top w:val="single" w:sz="4" w:space="0" w:color="auto"/>
            </w:tcBorders>
          </w:tcPr>
          <w:p w:rsidR="004843DB" w:rsidRPr="0062582F" w:rsidRDefault="004843DB" w:rsidP="004843DB">
            <w:pPr>
              <w:pStyle w:val="TableofFigures"/>
            </w:pPr>
            <w:r w:rsidRPr="0062582F">
              <w:t>3</w:t>
            </w:r>
          </w:p>
        </w:tc>
      </w:tr>
      <w:tr w:rsidR="004843DB" w:rsidRPr="0062582F" w:rsidTr="004843DB">
        <w:trPr>
          <w:trHeight w:val="245"/>
        </w:trPr>
        <w:tc>
          <w:tcPr>
            <w:tcW w:w="4338" w:type="dxa"/>
          </w:tcPr>
          <w:p w:rsidR="004843DB" w:rsidRPr="0062582F" w:rsidRDefault="004843DB" w:rsidP="004843DB">
            <w:pPr>
              <w:pStyle w:val="Tabletext"/>
              <w:rPr>
                <w:lang w:val="en-GB"/>
              </w:rPr>
            </w:pPr>
            <w:r w:rsidRPr="0062582F">
              <w:rPr>
                <w:lang w:val="en-GB"/>
              </w:rPr>
              <w:t>$140 000</w:t>
            </w:r>
            <w:r w:rsidRPr="0062582F">
              <w:t xml:space="preserve"> – </w:t>
            </w:r>
            <w:r w:rsidRPr="0062582F">
              <w:rPr>
                <w:lang w:val="en-GB"/>
              </w:rPr>
              <w:t>149 999</w:t>
            </w:r>
          </w:p>
        </w:tc>
        <w:tc>
          <w:tcPr>
            <w:tcW w:w="2077" w:type="dxa"/>
            <w:shd w:val="pct15" w:color="auto" w:fill="auto"/>
          </w:tcPr>
          <w:p w:rsidR="004843DB" w:rsidRPr="0062582F" w:rsidRDefault="004843DB" w:rsidP="004843DB">
            <w:pPr>
              <w:pStyle w:val="TableofFigures"/>
            </w:pPr>
            <w:r w:rsidRPr="0062582F">
              <w:t>5</w:t>
            </w:r>
          </w:p>
        </w:tc>
        <w:tc>
          <w:tcPr>
            <w:tcW w:w="2005" w:type="dxa"/>
          </w:tcPr>
          <w:p w:rsidR="004843DB" w:rsidRPr="0062582F" w:rsidRDefault="004843DB" w:rsidP="004843DB">
            <w:pPr>
              <w:pStyle w:val="TableofFigures"/>
            </w:pPr>
            <w:r w:rsidRPr="0062582F">
              <w:t>..</w:t>
            </w:r>
          </w:p>
        </w:tc>
      </w:tr>
      <w:tr w:rsidR="004843DB" w:rsidRPr="0062582F" w:rsidTr="004843DB">
        <w:trPr>
          <w:trHeight w:val="262"/>
        </w:trPr>
        <w:tc>
          <w:tcPr>
            <w:tcW w:w="4338" w:type="dxa"/>
            <w:tcBorders>
              <w:bottom w:val="single" w:sz="4" w:space="0" w:color="auto"/>
            </w:tcBorders>
          </w:tcPr>
          <w:p w:rsidR="004843DB" w:rsidRPr="0062582F" w:rsidRDefault="004843DB" w:rsidP="004843DB">
            <w:pPr>
              <w:pStyle w:val="Tabletext"/>
              <w:rPr>
                <w:lang w:val="en-GB"/>
              </w:rPr>
            </w:pPr>
            <w:r w:rsidRPr="0062582F">
              <w:rPr>
                <w:lang w:val="en-GB"/>
              </w:rPr>
              <w:t>$150 000</w:t>
            </w:r>
            <w:r w:rsidRPr="0062582F">
              <w:t xml:space="preserve"> – </w:t>
            </w:r>
            <w:r w:rsidRPr="0062582F">
              <w:rPr>
                <w:lang w:val="en-GB"/>
              </w:rPr>
              <w:t>159 999</w:t>
            </w:r>
          </w:p>
        </w:tc>
        <w:tc>
          <w:tcPr>
            <w:tcW w:w="2077" w:type="dxa"/>
            <w:tcBorders>
              <w:bottom w:val="single" w:sz="4" w:space="0" w:color="auto"/>
            </w:tcBorders>
            <w:shd w:val="pct15" w:color="auto" w:fill="auto"/>
          </w:tcPr>
          <w:p w:rsidR="004843DB" w:rsidRPr="0062582F" w:rsidRDefault="004843DB" w:rsidP="004843DB">
            <w:pPr>
              <w:pStyle w:val="TableofFigures"/>
            </w:pPr>
            <w:r w:rsidRPr="0062582F">
              <w:t>2</w:t>
            </w:r>
          </w:p>
        </w:tc>
        <w:tc>
          <w:tcPr>
            <w:tcW w:w="2005" w:type="dxa"/>
            <w:tcBorders>
              <w:bottom w:val="single" w:sz="4" w:space="0" w:color="auto"/>
            </w:tcBorders>
          </w:tcPr>
          <w:p w:rsidR="004843DB" w:rsidRPr="0062582F" w:rsidRDefault="004843DB" w:rsidP="004843DB">
            <w:pPr>
              <w:pStyle w:val="TableofFigures"/>
            </w:pPr>
            <w:r w:rsidRPr="0062582F">
              <w:t>1</w:t>
            </w:r>
          </w:p>
        </w:tc>
      </w:tr>
      <w:tr w:rsidR="004843DB" w:rsidRPr="0062582F" w:rsidTr="004843DB">
        <w:trPr>
          <w:trHeight w:val="262"/>
        </w:trPr>
        <w:tc>
          <w:tcPr>
            <w:tcW w:w="4338" w:type="dxa"/>
            <w:tcBorders>
              <w:top w:val="single" w:sz="4" w:space="0" w:color="auto"/>
              <w:bottom w:val="single" w:sz="12" w:space="0" w:color="auto"/>
            </w:tcBorders>
          </w:tcPr>
          <w:p w:rsidR="004843DB" w:rsidRPr="0062582F" w:rsidRDefault="004843DB" w:rsidP="004843DB">
            <w:pPr>
              <w:pStyle w:val="Tabletext"/>
              <w:rPr>
                <w:b/>
                <w:lang w:val="en-GB"/>
              </w:rPr>
            </w:pPr>
            <w:r w:rsidRPr="0062582F">
              <w:rPr>
                <w:b/>
                <w:lang w:val="en-GB"/>
              </w:rPr>
              <w:t xml:space="preserve">Total expenses </w:t>
            </w:r>
            <w:r w:rsidRPr="0062582F">
              <w:rPr>
                <w:b/>
              </w:rPr>
              <w:t>(exclusive of GST)</w:t>
            </w:r>
          </w:p>
        </w:tc>
        <w:tc>
          <w:tcPr>
            <w:tcW w:w="2077" w:type="dxa"/>
            <w:tcBorders>
              <w:top w:val="single" w:sz="4" w:space="0" w:color="auto"/>
              <w:bottom w:val="single" w:sz="12" w:space="0" w:color="auto"/>
            </w:tcBorders>
            <w:shd w:val="pct15" w:color="auto" w:fill="auto"/>
          </w:tcPr>
          <w:p w:rsidR="004843DB" w:rsidRPr="0062582F" w:rsidRDefault="004843DB" w:rsidP="004843DB">
            <w:pPr>
              <w:pStyle w:val="TableofFigures"/>
              <w:rPr>
                <w:b/>
              </w:rPr>
            </w:pPr>
            <w:r w:rsidRPr="0062582F">
              <w:rPr>
                <w:b/>
              </w:rPr>
              <w:t>$1 032 000</w:t>
            </w:r>
          </w:p>
        </w:tc>
        <w:tc>
          <w:tcPr>
            <w:tcW w:w="2005" w:type="dxa"/>
            <w:tcBorders>
              <w:top w:val="single" w:sz="4" w:space="0" w:color="auto"/>
              <w:bottom w:val="single" w:sz="12" w:space="0" w:color="auto"/>
            </w:tcBorders>
          </w:tcPr>
          <w:p w:rsidR="004843DB" w:rsidRPr="0062582F" w:rsidRDefault="004843DB" w:rsidP="004843DB">
            <w:pPr>
              <w:pStyle w:val="TableofFigures"/>
              <w:rPr>
                <w:b/>
              </w:rPr>
            </w:pPr>
            <w:r w:rsidRPr="0062582F">
              <w:rPr>
                <w:b/>
              </w:rPr>
              <w:t>$531 000</w:t>
            </w:r>
          </w:p>
        </w:tc>
      </w:tr>
    </w:tbl>
    <w:p w:rsidR="004843DB" w:rsidRPr="0062582F" w:rsidRDefault="004843DB" w:rsidP="004843DB">
      <w:pPr>
        <w:spacing w:before="0"/>
      </w:pPr>
    </w:p>
    <w:p w:rsidR="004843DB" w:rsidRPr="0062582F" w:rsidRDefault="004843DB" w:rsidP="004843DB">
      <w:pPr>
        <w:spacing w:before="0"/>
      </w:pPr>
    </w:p>
    <w:p w:rsidR="004843DB" w:rsidRPr="0062582F" w:rsidRDefault="004843DB" w:rsidP="004843DB">
      <w:pPr>
        <w:pStyle w:val="SmallLine"/>
      </w:pPr>
    </w:p>
    <w:p w:rsidR="004843DB" w:rsidRPr="0062582F" w:rsidRDefault="004843DB" w:rsidP="004843DB">
      <w:pPr>
        <w:pStyle w:val="CommentaryHeading"/>
      </w:pPr>
      <w:r w:rsidRPr="0062582F">
        <w:t xml:space="preserve">Commentary – Payments to other personnel </w:t>
      </w:r>
    </w:p>
    <w:p w:rsidR="004843DB" w:rsidRPr="0062582F" w:rsidRDefault="004843DB" w:rsidP="004843DB">
      <w:pPr>
        <w:pStyle w:val="SmallLineBlue"/>
      </w:pPr>
    </w:p>
    <w:p w:rsidR="004843DB" w:rsidRPr="0062582F" w:rsidRDefault="004843DB" w:rsidP="004843DB">
      <w:pPr>
        <w:pStyle w:val="SmallLine"/>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
      </w:pPr>
      <w:r w:rsidRPr="0062582F">
        <w:t>FRD 21B</w:t>
      </w:r>
    </w:p>
    <w:p w:rsidR="004843DB" w:rsidRPr="0062582F" w:rsidRDefault="004843DB" w:rsidP="004843DB">
      <w:pPr>
        <w:pStyle w:val="CommentaryDashBlue"/>
        <w:ind w:left="0" w:firstLine="0"/>
      </w:pPr>
      <w:r w:rsidRPr="0062582F">
        <w:br w:type="column"/>
        <w:t>Entities are required to disclose expenses (exclusive of GST) paid or payable to other personnel. FRD 21B defines other personnel as personnel engaged by an entity as contractors and charged with significant management responsibilities. FRD 21B requires entities to disclose:</w:t>
      </w:r>
      <w:r w:rsidRPr="0062582F" w:rsidDel="00960B80">
        <w:t xml:space="preserve"> </w:t>
      </w:r>
    </w:p>
    <w:p w:rsidR="004843DB" w:rsidRPr="0062582F" w:rsidRDefault="004843DB" w:rsidP="004843DB">
      <w:pPr>
        <w:pStyle w:val="CommentaryBullet"/>
        <w:pBdr>
          <w:bottom w:val="single" w:sz="4" w:space="1" w:color="0000FF"/>
        </w:pBdr>
      </w:pPr>
      <w:r w:rsidRPr="0062582F">
        <w:t xml:space="preserve">the number of other personnel to whom total expenses for the reporting period exceed $100 000 (exclusive of GST); </w:t>
      </w:r>
    </w:p>
    <w:p w:rsidR="004843DB" w:rsidRPr="0062582F" w:rsidRDefault="004843DB" w:rsidP="004843DB">
      <w:pPr>
        <w:pStyle w:val="CommentaryBullet"/>
        <w:pBdr>
          <w:bottom w:val="single" w:sz="4" w:space="1" w:color="0000FF"/>
        </w:pBdr>
      </w:pPr>
      <w:r w:rsidRPr="0062582F">
        <w:t>the amount of total expenses paid or payable to other personnel (exclusive of GST); and</w:t>
      </w:r>
    </w:p>
    <w:p w:rsidR="004843DB" w:rsidRPr="0062582F" w:rsidRDefault="004843DB" w:rsidP="004843DB">
      <w:pPr>
        <w:pStyle w:val="CommentaryBullet"/>
        <w:pBdr>
          <w:bottom w:val="single" w:sz="4" w:space="1" w:color="0000FF"/>
        </w:pBdr>
      </w:pPr>
      <w:r w:rsidRPr="0062582F">
        <w:t>reasons for significant variances of total expenses made to other personnel between the current and previous reporting period.</w:t>
      </w:r>
      <w:r w:rsidRPr="0062582F" w:rsidDel="008320B7">
        <w:t xml:space="preserve"> </w:t>
      </w:r>
    </w:p>
    <w:p w:rsidR="004843DB" w:rsidRPr="0062582F" w:rsidRDefault="004843DB" w:rsidP="004843DB">
      <w:bookmarkStart w:id="660" w:name="_Toc332019500"/>
    </w:p>
    <w:p w:rsidR="004843DB" w:rsidRPr="0062582F" w:rsidRDefault="004843DB" w:rsidP="004843DB">
      <w:pPr>
        <w:pStyle w:val="NoteHeading"/>
      </w:pPr>
      <w:r w:rsidRPr="0062582F">
        <w:br w:type="column"/>
      </w:r>
      <w:r w:rsidRPr="0062582F">
        <w:br w:type="column"/>
      </w:r>
      <w:bookmarkStart w:id="661" w:name="_Toc366843383"/>
      <w:bookmarkStart w:id="662" w:name="_Toc448157221"/>
      <w:r w:rsidRPr="0062582F">
        <w:t>Note 42.</w:t>
      </w:r>
      <w:r w:rsidRPr="0062582F">
        <w:tab/>
        <w:t>Remuneration of auditors</w:t>
      </w:r>
      <w:bookmarkEnd w:id="653"/>
      <w:bookmarkEnd w:id="654"/>
      <w:bookmarkEnd w:id="655"/>
      <w:bookmarkEnd w:id="656"/>
      <w:bookmarkEnd w:id="657"/>
      <w:bookmarkEnd w:id="658"/>
      <w:bookmarkEnd w:id="659"/>
      <w:bookmarkEnd w:id="660"/>
      <w:bookmarkEnd w:id="661"/>
      <w:bookmarkEnd w:id="662"/>
    </w:p>
    <w:p w:rsidR="004843DB" w:rsidRPr="0062582F" w:rsidRDefault="004843DB" w:rsidP="004843DB">
      <w:pPr>
        <w:pStyle w:val="million"/>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p>
    <w:p w:rsidR="004843DB" w:rsidRPr="0062582F" w:rsidRDefault="004843DB" w:rsidP="004843DB">
      <w:pPr>
        <w:pStyle w:val="SmallLine"/>
      </w:pPr>
      <w:r w:rsidRPr="0062582F">
        <w:br/>
      </w:r>
      <w:r w:rsidRPr="0062582F">
        <w:br/>
      </w:r>
    </w:p>
    <w:p w:rsidR="004843DB" w:rsidRPr="0062582F" w:rsidRDefault="004843DB" w:rsidP="004843DB">
      <w:pPr>
        <w:pStyle w:val="Reference"/>
      </w:pPr>
      <w:r w:rsidRPr="0062582F">
        <w:t>AASB 1054.10(a)</w:t>
      </w:r>
    </w:p>
    <w:p w:rsidR="004843DB" w:rsidRPr="0062582F" w:rsidRDefault="004843DB" w:rsidP="004843DB">
      <w:pPr>
        <w:pStyle w:val="Reference"/>
        <w:spacing w:before="80"/>
        <w:rPr>
          <w:szCs w:val="14"/>
        </w:rPr>
      </w:pPr>
      <w:r w:rsidRPr="0062582F">
        <w:t>AASB 1054.10(b)</w:t>
      </w:r>
    </w:p>
    <w:p w:rsidR="004843DB" w:rsidRPr="0062582F" w:rsidRDefault="004843DB" w:rsidP="004843DB">
      <w:pPr>
        <w:pStyle w:val="million"/>
        <w:rPr>
          <w:szCs w:val="10"/>
        </w:rPr>
      </w:pPr>
      <w:r w:rsidRPr="0062582F">
        <w:br w:type="column"/>
        <w:t>($ thousand)</w:t>
      </w:r>
    </w:p>
    <w:tbl>
      <w:tblPr>
        <w:tblW w:w="8487" w:type="dxa"/>
        <w:tblLayout w:type="fixed"/>
        <w:tblCellMar>
          <w:left w:w="43" w:type="dxa"/>
          <w:right w:w="43" w:type="dxa"/>
        </w:tblCellMar>
        <w:tblLook w:val="0000" w:firstRow="0" w:lastRow="0" w:firstColumn="0" w:lastColumn="0" w:noHBand="0" w:noVBand="0"/>
      </w:tblPr>
      <w:tblGrid>
        <w:gridCol w:w="6750"/>
        <w:gridCol w:w="900"/>
        <w:gridCol w:w="837"/>
      </w:tblGrid>
      <w:tr w:rsidR="004843DB" w:rsidRPr="0062582F" w:rsidTr="004843DB">
        <w:trPr>
          <w:cantSplit/>
        </w:trPr>
        <w:tc>
          <w:tcPr>
            <w:tcW w:w="6750" w:type="dxa"/>
            <w:tcBorders>
              <w:top w:val="single" w:sz="4" w:space="0" w:color="auto"/>
              <w:bottom w:val="single" w:sz="4" w:space="0" w:color="auto"/>
            </w:tcBorders>
            <w:vAlign w:val="center"/>
          </w:tcPr>
          <w:p w:rsidR="004843DB" w:rsidRPr="0062582F" w:rsidRDefault="004843DB" w:rsidP="004843DB">
            <w:pPr>
              <w:pStyle w:val="Tabletext"/>
            </w:pPr>
          </w:p>
        </w:tc>
        <w:tc>
          <w:tcPr>
            <w:tcW w:w="900" w:type="dxa"/>
            <w:tcBorders>
              <w:top w:val="single" w:sz="4" w:space="0" w:color="auto"/>
              <w:bottom w:val="single" w:sz="4" w:space="0" w:color="auto"/>
            </w:tcBorders>
            <w:shd w:val="clear" w:color="auto" w:fill="D9D9D9"/>
            <w:vAlign w:val="bottom"/>
          </w:tcPr>
          <w:p w:rsidR="004843DB" w:rsidRPr="0062582F" w:rsidRDefault="004843DB" w:rsidP="004843DB">
            <w:pPr>
              <w:pStyle w:val="Tabletextheading"/>
            </w:pPr>
            <w:r w:rsidRPr="0062582F">
              <w:t>2016</w:t>
            </w:r>
          </w:p>
        </w:tc>
        <w:tc>
          <w:tcPr>
            <w:tcW w:w="837" w:type="dxa"/>
            <w:tcBorders>
              <w:top w:val="single" w:sz="4" w:space="0" w:color="auto"/>
              <w:bottom w:val="single" w:sz="4" w:space="0" w:color="auto"/>
            </w:tcBorders>
            <w:vAlign w:val="bottom"/>
          </w:tcPr>
          <w:p w:rsidR="004843DB" w:rsidRPr="0062582F" w:rsidRDefault="004843DB" w:rsidP="004843DB">
            <w:pPr>
              <w:pStyle w:val="Tabletextheading"/>
            </w:pPr>
            <w:r w:rsidRPr="0062582F">
              <w:t>2015</w:t>
            </w:r>
          </w:p>
        </w:tc>
      </w:tr>
      <w:tr w:rsidR="004843DB" w:rsidRPr="0062582F" w:rsidTr="004843DB">
        <w:tblPrEx>
          <w:tblLook w:val="01E0" w:firstRow="1" w:lastRow="1" w:firstColumn="1" w:lastColumn="1" w:noHBand="0" w:noVBand="0"/>
        </w:tblPrEx>
        <w:trPr>
          <w:cantSplit/>
        </w:trPr>
        <w:tc>
          <w:tcPr>
            <w:tcW w:w="6750" w:type="dxa"/>
            <w:tcBorders>
              <w:top w:val="single" w:sz="4" w:space="0" w:color="auto"/>
            </w:tcBorders>
            <w:vAlign w:val="bottom"/>
          </w:tcPr>
          <w:p w:rsidR="004843DB" w:rsidRPr="0062582F" w:rsidRDefault="004843DB" w:rsidP="004843DB">
            <w:pPr>
              <w:pStyle w:val="Tabletext"/>
              <w:rPr>
                <w:b/>
              </w:rPr>
            </w:pPr>
            <w:r w:rsidRPr="0062582F">
              <w:rPr>
                <w:b/>
              </w:rPr>
              <w:t>Victorian Auditor</w:t>
            </w:r>
            <w:r w:rsidR="005A4BB0">
              <w:rPr>
                <w:b/>
              </w:rPr>
              <w:noBreakHyphen/>
            </w:r>
            <w:r w:rsidRPr="0062582F">
              <w:rPr>
                <w:b/>
              </w:rPr>
              <w:t>General</w:t>
            </w:r>
            <w:r w:rsidR="005A4BB0">
              <w:rPr>
                <w:b/>
              </w:rPr>
              <w:t>’</w:t>
            </w:r>
            <w:r w:rsidRPr="0062582F">
              <w:rPr>
                <w:b/>
              </w:rPr>
              <w:t>s Office</w:t>
            </w:r>
          </w:p>
        </w:tc>
        <w:tc>
          <w:tcPr>
            <w:tcW w:w="900" w:type="dxa"/>
            <w:tcBorders>
              <w:top w:val="single" w:sz="4" w:space="0" w:color="auto"/>
            </w:tcBorders>
            <w:shd w:val="clear" w:color="auto" w:fill="D9D9D9"/>
            <w:vAlign w:val="center"/>
          </w:tcPr>
          <w:p w:rsidR="004843DB" w:rsidRPr="0062582F" w:rsidRDefault="004843DB" w:rsidP="004843DB">
            <w:pPr>
              <w:pStyle w:val="TableofFigures"/>
              <w:rPr>
                <w:b/>
              </w:rPr>
            </w:pPr>
          </w:p>
        </w:tc>
        <w:tc>
          <w:tcPr>
            <w:tcW w:w="837" w:type="dxa"/>
            <w:tcBorders>
              <w:top w:val="single" w:sz="4" w:space="0" w:color="auto"/>
            </w:tcBorders>
            <w:vAlign w:val="center"/>
          </w:tcPr>
          <w:p w:rsidR="004843DB" w:rsidRPr="0062582F" w:rsidRDefault="004843DB" w:rsidP="004843DB">
            <w:pPr>
              <w:pStyle w:val="TableofFigures"/>
              <w:rPr>
                <w:b/>
              </w:rPr>
            </w:pPr>
          </w:p>
        </w:tc>
      </w:tr>
      <w:tr w:rsidR="004843DB" w:rsidRPr="0062582F" w:rsidTr="004843DB">
        <w:tblPrEx>
          <w:tblLook w:val="01E0" w:firstRow="1" w:lastRow="1" w:firstColumn="1" w:lastColumn="1" w:noHBand="0" w:noVBand="0"/>
        </w:tblPrEx>
        <w:trPr>
          <w:cantSplit/>
        </w:trPr>
        <w:tc>
          <w:tcPr>
            <w:tcW w:w="6750" w:type="dxa"/>
          </w:tcPr>
          <w:p w:rsidR="004843DB" w:rsidRPr="0062582F" w:rsidRDefault="004843DB" w:rsidP="004843DB">
            <w:pPr>
              <w:pStyle w:val="Tabletext"/>
            </w:pPr>
            <w:r w:rsidRPr="0062582F">
              <w:t>Audit or review of the financial statements</w:t>
            </w:r>
          </w:p>
        </w:tc>
        <w:tc>
          <w:tcPr>
            <w:tcW w:w="900" w:type="dxa"/>
            <w:shd w:val="clear" w:color="auto" w:fill="D9D9D9"/>
            <w:vAlign w:val="center"/>
          </w:tcPr>
          <w:p w:rsidR="004843DB" w:rsidRPr="0062582F" w:rsidRDefault="004843DB" w:rsidP="004843DB">
            <w:pPr>
              <w:pStyle w:val="TableofFigures"/>
            </w:pPr>
            <w:r w:rsidRPr="0062582F">
              <w:t>1 014</w:t>
            </w:r>
          </w:p>
        </w:tc>
        <w:tc>
          <w:tcPr>
            <w:tcW w:w="837" w:type="dxa"/>
            <w:vAlign w:val="center"/>
          </w:tcPr>
          <w:p w:rsidR="004843DB" w:rsidRPr="0062582F" w:rsidRDefault="004843DB" w:rsidP="004843DB">
            <w:pPr>
              <w:pStyle w:val="TableofFigures"/>
            </w:pPr>
            <w:r w:rsidRPr="0062582F">
              <w:t>1 177</w:t>
            </w:r>
          </w:p>
        </w:tc>
      </w:tr>
      <w:tr w:rsidR="004843DB" w:rsidRPr="0062582F" w:rsidTr="004843DB">
        <w:tblPrEx>
          <w:tblLook w:val="01E0" w:firstRow="1" w:lastRow="1" w:firstColumn="1" w:lastColumn="1" w:noHBand="0" w:noVBand="0"/>
        </w:tblPrEx>
        <w:trPr>
          <w:cantSplit/>
        </w:trPr>
        <w:tc>
          <w:tcPr>
            <w:tcW w:w="6750" w:type="dxa"/>
            <w:tcBorders>
              <w:bottom w:val="single" w:sz="4" w:space="0" w:color="auto"/>
            </w:tcBorders>
          </w:tcPr>
          <w:p w:rsidR="004843DB" w:rsidRPr="0062582F" w:rsidRDefault="004843DB" w:rsidP="004843DB">
            <w:pPr>
              <w:pStyle w:val="Tabletext"/>
            </w:pPr>
            <w:r w:rsidRPr="0062582F">
              <w:t>Other non</w:t>
            </w:r>
            <w:r w:rsidR="005A4BB0">
              <w:noBreakHyphen/>
            </w:r>
            <w:r w:rsidRPr="0062582F">
              <w:t xml:space="preserve">audit services </w:t>
            </w:r>
            <w:r w:rsidRPr="0062582F">
              <w:rPr>
                <w:i/>
                <w:color w:val="0000FF"/>
              </w:rPr>
              <w:t>[describe]</w:t>
            </w:r>
          </w:p>
        </w:tc>
        <w:tc>
          <w:tcPr>
            <w:tcW w:w="900" w:type="dxa"/>
            <w:tcBorders>
              <w:bottom w:val="single" w:sz="4" w:space="0" w:color="auto"/>
            </w:tcBorders>
            <w:shd w:val="clear" w:color="auto" w:fill="D9D9D9"/>
            <w:vAlign w:val="center"/>
          </w:tcPr>
          <w:p w:rsidR="004843DB" w:rsidRPr="0062582F" w:rsidRDefault="004843DB" w:rsidP="004843DB">
            <w:pPr>
              <w:pStyle w:val="TableofFigures"/>
            </w:pPr>
            <w:r w:rsidRPr="0062582F">
              <w:t>..</w:t>
            </w:r>
          </w:p>
        </w:tc>
        <w:tc>
          <w:tcPr>
            <w:tcW w:w="837" w:type="dxa"/>
            <w:tcBorders>
              <w:bottom w:val="single" w:sz="4" w:space="0" w:color="auto"/>
            </w:tcBorders>
            <w:vAlign w:val="center"/>
          </w:tcPr>
          <w:p w:rsidR="004843DB" w:rsidRPr="0062582F" w:rsidRDefault="004843DB" w:rsidP="004843DB">
            <w:pPr>
              <w:pStyle w:val="TableofFigures"/>
            </w:pPr>
            <w:r w:rsidRPr="0062582F">
              <w:t>..</w:t>
            </w:r>
          </w:p>
        </w:tc>
      </w:tr>
      <w:tr w:rsidR="004843DB" w:rsidRPr="0062582F" w:rsidTr="004843DB">
        <w:tblPrEx>
          <w:tblLook w:val="01E0" w:firstRow="1" w:lastRow="1" w:firstColumn="1" w:lastColumn="1" w:noHBand="0" w:noVBand="0"/>
        </w:tblPrEx>
        <w:trPr>
          <w:cantSplit/>
        </w:trPr>
        <w:tc>
          <w:tcPr>
            <w:tcW w:w="6750" w:type="dxa"/>
            <w:tcBorders>
              <w:top w:val="single" w:sz="4" w:space="0" w:color="auto"/>
              <w:bottom w:val="single" w:sz="12" w:space="0" w:color="auto"/>
            </w:tcBorders>
            <w:vAlign w:val="bottom"/>
          </w:tcPr>
          <w:p w:rsidR="004843DB" w:rsidRPr="0062582F" w:rsidRDefault="004843DB" w:rsidP="004843DB">
            <w:pPr>
              <w:pStyle w:val="Tabletext"/>
              <w:rPr>
                <w:b/>
              </w:rPr>
            </w:pPr>
          </w:p>
        </w:tc>
        <w:tc>
          <w:tcPr>
            <w:tcW w:w="900" w:type="dxa"/>
            <w:tcBorders>
              <w:top w:val="single" w:sz="4" w:space="0" w:color="auto"/>
              <w:bottom w:val="single" w:sz="12" w:space="0" w:color="auto"/>
            </w:tcBorders>
            <w:shd w:val="clear" w:color="auto" w:fill="D9D9D9"/>
            <w:vAlign w:val="center"/>
          </w:tcPr>
          <w:p w:rsidR="004843DB" w:rsidRPr="0062582F" w:rsidRDefault="004843DB" w:rsidP="004843DB">
            <w:pPr>
              <w:pStyle w:val="TableofFigures"/>
              <w:rPr>
                <w:b/>
              </w:rPr>
            </w:pPr>
            <w:r w:rsidRPr="0062582F">
              <w:rPr>
                <w:b/>
              </w:rPr>
              <w:t>1 014</w:t>
            </w:r>
          </w:p>
        </w:tc>
        <w:tc>
          <w:tcPr>
            <w:tcW w:w="837" w:type="dxa"/>
            <w:tcBorders>
              <w:top w:val="single" w:sz="4" w:space="0" w:color="auto"/>
              <w:bottom w:val="single" w:sz="12" w:space="0" w:color="auto"/>
            </w:tcBorders>
            <w:vAlign w:val="center"/>
          </w:tcPr>
          <w:p w:rsidR="004843DB" w:rsidRPr="0062582F" w:rsidRDefault="004843DB" w:rsidP="004843DB">
            <w:pPr>
              <w:pStyle w:val="TableofFigures"/>
              <w:rPr>
                <w:b/>
              </w:rPr>
            </w:pPr>
            <w:r w:rsidRPr="0062582F">
              <w:rPr>
                <w:b/>
              </w:rPr>
              <w:t>1 177</w:t>
            </w:r>
          </w:p>
        </w:tc>
      </w:tr>
    </w:tbl>
    <w:p w:rsidR="004843DB" w:rsidRPr="0062582F" w:rsidRDefault="004843DB" w:rsidP="004843DB"/>
    <w:p w:rsidR="004843DB" w:rsidRPr="0062582F" w:rsidRDefault="004843DB" w:rsidP="004843DB">
      <w:pPr>
        <w:pStyle w:val="SmallLine"/>
      </w:pPr>
    </w:p>
    <w:p w:rsidR="004843DB" w:rsidRPr="0062582F" w:rsidRDefault="004843DB" w:rsidP="004843DB">
      <w:pPr>
        <w:pStyle w:val="CommentaryHeading"/>
      </w:pPr>
      <w:bookmarkStart w:id="663" w:name="_Toc163448954"/>
      <w:r w:rsidRPr="0062582F">
        <w:t>Commentary – Remuneration of auditors</w:t>
      </w:r>
      <w:bookmarkEnd w:id="663"/>
    </w:p>
    <w:p w:rsidR="004843DB" w:rsidRPr="0062582F" w:rsidRDefault="004843DB" w:rsidP="004843DB">
      <w:pPr>
        <w:pStyle w:val="SmallLineBlue"/>
        <w:pBdr>
          <w:bottom w:val="none" w:sz="0" w:space="0" w:color="auto"/>
        </w:pBdr>
      </w:pPr>
      <w:bookmarkStart w:id="664" w:name="_Toc163448955"/>
    </w:p>
    <w:p w:rsidR="004843DB" w:rsidRPr="0062582F" w:rsidRDefault="004843DB" w:rsidP="004843DB">
      <w:pPr>
        <w:pStyle w:val="CommentaryHeading1"/>
        <w:pBdr>
          <w:top w:val="none" w:sz="0" w:space="0" w:color="auto"/>
          <w:bottom w:val="none" w:sz="0" w:space="0" w:color="auto"/>
        </w:pBdr>
      </w:pPr>
      <w:r w:rsidRPr="0062582F">
        <w:t>Amounts paid or payable</w:t>
      </w:r>
      <w:bookmarkEnd w:id="664"/>
    </w:p>
    <w:p w:rsidR="004843DB" w:rsidRPr="0062582F" w:rsidRDefault="004843DB" w:rsidP="004843DB">
      <w:pPr>
        <w:pStyle w:val="CommentaryText"/>
        <w:pBdr>
          <w:top w:val="none" w:sz="0" w:space="0" w:color="auto"/>
          <w:bottom w:val="none" w:sz="0" w:space="0" w:color="auto"/>
        </w:pBdr>
      </w:pPr>
      <w:r w:rsidRPr="0062582F">
        <w:t>The amount paid or due and payable to the Auditor</w:t>
      </w:r>
      <w:r w:rsidR="005A4BB0">
        <w:noBreakHyphen/>
      </w:r>
      <w:r w:rsidRPr="0062582F">
        <w:t xml:space="preserve">General for auditing the financial statements of the Department pursuant to the </w:t>
      </w:r>
      <w:r w:rsidRPr="0062582F">
        <w:rPr>
          <w:i/>
          <w:iCs/>
        </w:rPr>
        <w:t>Audit Act 1994</w:t>
      </w:r>
      <w:r w:rsidRPr="0062582F">
        <w:t xml:space="preserve"> must be disclosed.</w:t>
      </w:r>
    </w:p>
    <w:p w:rsidR="004843DB" w:rsidRPr="0062582F" w:rsidRDefault="004843DB" w:rsidP="004843DB">
      <w:pPr>
        <w:pStyle w:val="CommentaryText"/>
        <w:pBdr>
          <w:top w:val="none" w:sz="0" w:space="0" w:color="auto"/>
          <w:bottom w:val="none" w:sz="0" w:space="0" w:color="auto"/>
        </w:pBdr>
      </w:pPr>
      <w:bookmarkStart w:id="665" w:name="_Toc163448957"/>
      <w:r w:rsidRPr="0062582F">
        <w:t xml:space="preserve">An entity shall disclose fees to each auditor or reviewer, including any network firm, separately for: </w:t>
      </w:r>
    </w:p>
    <w:p w:rsidR="004843DB" w:rsidRPr="0062582F" w:rsidRDefault="004843DB" w:rsidP="004843DB">
      <w:pPr>
        <w:pStyle w:val="CommentaryText"/>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
      </w:pPr>
      <w:r w:rsidRPr="0062582F">
        <w:t>AASB 1054.10</w:t>
      </w:r>
    </w:p>
    <w:p w:rsidR="004843DB" w:rsidRPr="0062582F" w:rsidRDefault="004843DB" w:rsidP="004843DB">
      <w:pPr>
        <w:pStyle w:val="CommentaryTextIndent"/>
        <w:pBdr>
          <w:top w:val="none" w:sz="0" w:space="0" w:color="auto"/>
          <w:bottom w:val="none" w:sz="0" w:space="0" w:color="auto"/>
        </w:pBdr>
      </w:pPr>
      <w:r w:rsidRPr="0062582F">
        <w:br w:type="column"/>
        <w:t>(a)</w:t>
      </w:r>
      <w:r w:rsidRPr="0062582F">
        <w:tab/>
        <w:t xml:space="preserve">the audit or review of the financial statements; and </w:t>
      </w:r>
    </w:p>
    <w:p w:rsidR="004843DB" w:rsidRPr="0062582F" w:rsidRDefault="004843DB" w:rsidP="004843DB">
      <w:pPr>
        <w:pStyle w:val="CommentaryTextIndent"/>
        <w:pBdr>
          <w:top w:val="none" w:sz="0" w:space="0" w:color="auto"/>
          <w:bottom w:val="none" w:sz="0" w:space="0" w:color="auto"/>
        </w:pBdr>
      </w:pPr>
      <w:r w:rsidRPr="0062582F">
        <w:t>(b)</w:t>
      </w:r>
      <w:r w:rsidRPr="0062582F">
        <w:tab/>
        <w:t xml:space="preserve">all other services performed during the reporting period. </w:t>
      </w:r>
    </w:p>
    <w:p w:rsidR="004843DB" w:rsidRPr="0062582F" w:rsidRDefault="004843DB" w:rsidP="004843DB">
      <w:pPr>
        <w:pStyle w:val="CommentaryText"/>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
      </w:pPr>
      <w:r w:rsidRPr="0062582F">
        <w:t>AASB 1054.11</w:t>
      </w:r>
    </w:p>
    <w:p w:rsidR="004843DB" w:rsidRPr="0062582F" w:rsidRDefault="004843DB" w:rsidP="004843DB">
      <w:pPr>
        <w:pStyle w:val="CommentaryText"/>
        <w:pBdr>
          <w:top w:val="none" w:sz="0" w:space="0" w:color="auto"/>
          <w:bottom w:val="none" w:sz="0" w:space="0" w:color="auto"/>
        </w:pBdr>
      </w:pPr>
      <w:r w:rsidRPr="0062582F">
        <w:br w:type="column"/>
        <w:t>For sub</w:t>
      </w:r>
      <w:r w:rsidR="005A4BB0">
        <w:noBreakHyphen/>
      </w:r>
      <w:r w:rsidRPr="0062582F">
        <w:t>paragraph (b) above, an entity shall describe the nature of other services</w:t>
      </w:r>
      <w:r w:rsidRPr="0062582F">
        <w:rPr>
          <w:rFonts w:ascii="Times New Roman" w:hAnsi="Times New Roman"/>
          <w:color w:val="000000"/>
          <w:sz w:val="20"/>
          <w:szCs w:val="20"/>
        </w:rPr>
        <w:t>.</w:t>
      </w:r>
    </w:p>
    <w:p w:rsidR="004843DB" w:rsidRPr="0062582F" w:rsidRDefault="004843DB" w:rsidP="004843DB">
      <w:pPr>
        <w:pStyle w:val="CommentaryHeading1"/>
        <w:pBdr>
          <w:top w:val="none" w:sz="0" w:space="0" w:color="auto"/>
          <w:bottom w:val="none" w:sz="0" w:space="0" w:color="auto"/>
        </w:pBdr>
      </w:pPr>
      <w:r w:rsidRPr="0062582F">
        <w:t xml:space="preserve">Goods and services tax </w:t>
      </w:r>
      <w:bookmarkEnd w:id="665"/>
    </w:p>
    <w:p w:rsidR="004843DB" w:rsidRPr="0062582F" w:rsidRDefault="004843DB" w:rsidP="004843DB">
      <w:pPr>
        <w:pStyle w:val="CommentaryText"/>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
      </w:pPr>
      <w:r w:rsidRPr="0062582F">
        <w:t>AASB Interpretation 1031.6 and 7</w:t>
      </w:r>
    </w:p>
    <w:p w:rsidR="004843DB" w:rsidRPr="0062582F" w:rsidRDefault="004843DB" w:rsidP="004843DB">
      <w:pPr>
        <w:pStyle w:val="CommentaryText"/>
        <w:pBdr>
          <w:top w:val="none" w:sz="0" w:space="0" w:color="auto"/>
        </w:pBdr>
      </w:pPr>
      <w:r w:rsidRPr="0062582F">
        <w:br w:type="column"/>
        <w:t>Amounts disclosed for auditor</w:t>
      </w:r>
      <w:r w:rsidR="005A4BB0">
        <w:t>’</w:t>
      </w:r>
      <w:r w:rsidRPr="0062582F">
        <w:t xml:space="preserve">s remuneration should be net of goods and services tax (GST) except where the GST included in fees is not recoverable from the tax authority. GST that is not recoverable should be included as part of the remuneration. This disclosure is consistent with AASB Interpretation 1031 </w:t>
      </w:r>
      <w:r w:rsidRPr="0062582F">
        <w:rPr>
          <w:i/>
          <w:iCs/>
        </w:rPr>
        <w:t>Accounting for the Goods and Services Tax</w:t>
      </w:r>
      <w:r w:rsidRPr="0062582F">
        <w:t xml:space="preserve"> which requires income, expenses and assets to be recognised net of the amount of GST, except that where the GST is not recoverable it shall be recognised as part of the cost of acquisition of the asset or as part of the item of expense to which it relates.</w:t>
      </w:r>
    </w:p>
    <w:p w:rsidR="004843DB" w:rsidRPr="0062582F" w:rsidRDefault="004843DB" w:rsidP="004843DB"/>
    <w:p w:rsidR="004843DB" w:rsidRPr="0062582F" w:rsidRDefault="004843DB" w:rsidP="004843DB">
      <w:pPr>
        <w:pStyle w:val="NoteHeading"/>
      </w:pPr>
      <w:r w:rsidRPr="0062582F">
        <w:br w:type="column"/>
      </w:r>
      <w:r w:rsidRPr="0062582F">
        <w:br w:type="column"/>
      </w:r>
      <w:bookmarkStart w:id="666" w:name="_Toc332019501"/>
      <w:bookmarkStart w:id="667" w:name="_Toc366843384"/>
      <w:bookmarkStart w:id="668" w:name="_Toc448157222"/>
      <w:bookmarkStart w:id="669" w:name="_Toc163448958"/>
      <w:r w:rsidRPr="0062582F">
        <w:t>Note 43.</w:t>
      </w:r>
      <w:r w:rsidRPr="0062582F">
        <w:tab/>
        <w:t>Subsequent events</w:t>
      </w:r>
      <w:bookmarkEnd w:id="666"/>
      <w:bookmarkEnd w:id="667"/>
      <w:bookmarkEnd w:id="668"/>
    </w:p>
    <w:p w:rsidR="004843DB" w:rsidRPr="0062582F" w:rsidRDefault="004843DB" w:rsidP="004843DB">
      <w:r w:rsidRPr="0062582F">
        <w:t>The Department intends to privatise its consulting division subsequent to the current reporting period. Given that the expertise of this division is highly regarded in the private sector, several expressions of interests have been received. Further announcements, including the financial effect on the operations of the Department will be made once agreements are finalised.</w:t>
      </w:r>
    </w:p>
    <w:p w:rsidR="004843DB" w:rsidRPr="0062582F" w:rsidRDefault="004843DB" w:rsidP="004843DB"/>
    <w:p w:rsidR="004843DB" w:rsidRPr="0062582F" w:rsidRDefault="004843DB" w:rsidP="004843DB">
      <w:pPr>
        <w:pStyle w:val="CommentaryHeading"/>
      </w:pPr>
      <w:r w:rsidRPr="0062582F">
        <w:t>Commentary – Subsequent events</w:t>
      </w:r>
      <w:bookmarkEnd w:id="669"/>
    </w:p>
    <w:p w:rsidR="004843DB" w:rsidRPr="0062582F" w:rsidRDefault="004843DB" w:rsidP="004843DB">
      <w:pPr>
        <w:pStyle w:val="SmallLineBlue"/>
        <w:pBdr>
          <w:bottom w:val="none" w:sz="0" w:space="0" w:color="auto"/>
        </w:pBdr>
      </w:pPr>
    </w:p>
    <w:p w:rsidR="004843DB" w:rsidRPr="0062582F" w:rsidRDefault="004843DB" w:rsidP="004843DB">
      <w:pPr>
        <w:pStyle w:val="CommentaryText"/>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
      </w:pPr>
      <w:r w:rsidRPr="0062582F">
        <w:t>AASB 110.21</w:t>
      </w:r>
    </w:p>
    <w:p w:rsidR="004843DB" w:rsidRPr="0062582F" w:rsidRDefault="004843DB" w:rsidP="004843DB">
      <w:pPr>
        <w:pStyle w:val="CommentaryText"/>
        <w:pBdr>
          <w:top w:val="none" w:sz="0" w:space="0" w:color="auto"/>
          <w:bottom w:val="none" w:sz="0" w:space="0" w:color="auto"/>
        </w:pBdr>
      </w:pPr>
      <w:r w:rsidRPr="0062582F">
        <w:br w:type="column"/>
        <w:t>The financial statements should disclose for each material category of subsequent events (other than those events whose financial effects have already been brought to account) that occurred after the reporting period and before authorisation of the financial statements:</w:t>
      </w:r>
    </w:p>
    <w:p w:rsidR="004843DB" w:rsidRPr="0062582F" w:rsidRDefault="004843DB" w:rsidP="004843DB">
      <w:pPr>
        <w:pStyle w:val="CommentaryTextIndent"/>
        <w:pBdr>
          <w:top w:val="none" w:sz="0" w:space="0" w:color="auto"/>
          <w:bottom w:val="none" w:sz="0" w:space="0" w:color="auto"/>
        </w:pBdr>
      </w:pPr>
      <w:r w:rsidRPr="0062582F">
        <w:t>(a)</w:t>
      </w:r>
      <w:r w:rsidRPr="0062582F">
        <w:tab/>
        <w:t xml:space="preserve">the nature of the event; and </w:t>
      </w:r>
    </w:p>
    <w:p w:rsidR="004843DB" w:rsidRPr="0062582F" w:rsidRDefault="004843DB" w:rsidP="004843DB">
      <w:pPr>
        <w:pStyle w:val="CommentaryTextIndent"/>
        <w:pBdr>
          <w:top w:val="none" w:sz="0" w:space="0" w:color="auto"/>
          <w:bottom w:val="none" w:sz="0" w:space="0" w:color="auto"/>
        </w:pBdr>
      </w:pPr>
      <w:r w:rsidRPr="0062582F">
        <w:t>(b)</w:t>
      </w:r>
      <w:r w:rsidRPr="0062582F">
        <w:tab/>
        <w:t>an estimate of its financial effect, or a statement that such an estimate cannot be made. Statements should consider likely impacts. For example, following a major catastrophic event such as the February 2009 Victorian bushfires:</w:t>
      </w:r>
    </w:p>
    <w:p w:rsidR="004843DB" w:rsidRPr="0062582F" w:rsidRDefault="004843DB" w:rsidP="004843DB">
      <w:pPr>
        <w:pStyle w:val="CommentaryDashBlue"/>
      </w:pPr>
      <w:r w:rsidRPr="0062582F">
        <w:tab/>
        <w:t>–</w:t>
      </w:r>
      <w:r w:rsidRPr="0062582F">
        <w:tab/>
        <w:t>impairment of assets damaged or destroyed;</w:t>
      </w:r>
    </w:p>
    <w:p w:rsidR="004843DB" w:rsidRPr="0062582F" w:rsidRDefault="004843DB" w:rsidP="004843DB">
      <w:pPr>
        <w:pStyle w:val="CommentaryDashBlue"/>
      </w:pPr>
      <w:r w:rsidRPr="0062582F">
        <w:tab/>
        <w:t>–</w:t>
      </w:r>
      <w:r w:rsidRPr="0062582F">
        <w:tab/>
        <w:t>increases in grants to assist citizens;</w:t>
      </w:r>
    </w:p>
    <w:p w:rsidR="004843DB" w:rsidRPr="0062582F" w:rsidRDefault="004843DB" w:rsidP="004843DB">
      <w:pPr>
        <w:pStyle w:val="CommentaryDashBlue"/>
      </w:pPr>
      <w:r w:rsidRPr="0062582F">
        <w:tab/>
        <w:t>–</w:t>
      </w:r>
      <w:r w:rsidRPr="0062582F">
        <w:tab/>
        <w:t>extra costs by State agencies managing emergencies; and</w:t>
      </w:r>
    </w:p>
    <w:p w:rsidR="004843DB" w:rsidRPr="0062582F" w:rsidRDefault="004843DB" w:rsidP="004843DB">
      <w:pPr>
        <w:pStyle w:val="CommentaryDashBlue"/>
      </w:pPr>
      <w:r w:rsidRPr="0062582F">
        <w:tab/>
        <w:t>–</w:t>
      </w:r>
      <w:r w:rsidRPr="0062582F">
        <w:tab/>
        <w:t>reduced income to the State due to a lower tax base or tax exemptions granted.</w:t>
      </w:r>
    </w:p>
    <w:p w:rsidR="004843DB" w:rsidRPr="0062582F" w:rsidRDefault="004843DB" w:rsidP="004843DB">
      <w:pPr>
        <w:pStyle w:val="CommentaryText"/>
        <w:pBdr>
          <w:top w:val="none" w:sz="0" w:space="0" w:color="auto"/>
          <w:bottom w:val="none" w:sz="0" w:space="0" w:color="auto"/>
        </w:pBdr>
        <w:rPr>
          <w:noProof w:val="0"/>
        </w:rPr>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
      </w:pPr>
      <w:r w:rsidRPr="0062582F">
        <w:t>AASB 110.22</w:t>
      </w:r>
    </w:p>
    <w:p w:rsidR="004843DB" w:rsidRPr="0062582F" w:rsidRDefault="004843DB" w:rsidP="004843DB">
      <w:pPr>
        <w:pStyle w:val="CommentaryText"/>
        <w:pBdr>
          <w:top w:val="none" w:sz="0" w:space="0" w:color="auto"/>
          <w:bottom w:val="none" w:sz="0" w:space="0" w:color="auto"/>
        </w:pBdr>
        <w:rPr>
          <w:noProof w:val="0"/>
        </w:rPr>
      </w:pPr>
      <w:r w:rsidRPr="0062582F">
        <w:rPr>
          <w:noProof w:val="0"/>
        </w:rPr>
        <w:br w:type="column"/>
        <w:t>Examples of events occurring after the reporting period that do not provide evidence about conditions existing at the end of the reporting period include:</w:t>
      </w:r>
    </w:p>
    <w:p w:rsidR="004843DB" w:rsidRPr="0062582F" w:rsidRDefault="004843DB" w:rsidP="004843DB">
      <w:pPr>
        <w:pStyle w:val="CommentaryTextIndent"/>
        <w:pBdr>
          <w:top w:val="none" w:sz="0" w:space="0" w:color="auto"/>
          <w:bottom w:val="none" w:sz="0" w:space="0" w:color="auto"/>
        </w:pBdr>
      </w:pPr>
      <w:r w:rsidRPr="0062582F">
        <w:t>(i)</w:t>
      </w:r>
      <w:r w:rsidRPr="0062582F">
        <w:tab/>
        <w:t>a major business combination after the end of the reporting period or disposing of a major subsidiary;</w:t>
      </w:r>
    </w:p>
    <w:p w:rsidR="004843DB" w:rsidRPr="0062582F" w:rsidRDefault="004843DB" w:rsidP="004843DB">
      <w:pPr>
        <w:pStyle w:val="CommentaryTextIndent"/>
        <w:pBdr>
          <w:top w:val="none" w:sz="0" w:space="0" w:color="auto"/>
          <w:bottom w:val="none" w:sz="0" w:space="0" w:color="auto"/>
        </w:pBdr>
      </w:pPr>
      <w:r w:rsidRPr="0062582F">
        <w:t>(ii)</w:t>
      </w:r>
      <w:r w:rsidRPr="0062582F">
        <w:tab/>
        <w:t>announcing a plan to discontinue an operation;</w:t>
      </w:r>
    </w:p>
    <w:p w:rsidR="004843DB" w:rsidRPr="0062582F" w:rsidRDefault="004843DB" w:rsidP="004843DB">
      <w:pPr>
        <w:pStyle w:val="CommentaryTextIndent"/>
        <w:pBdr>
          <w:top w:val="none" w:sz="0" w:space="0" w:color="auto"/>
          <w:bottom w:val="none" w:sz="0" w:space="0" w:color="auto"/>
        </w:pBdr>
      </w:pPr>
      <w:r w:rsidRPr="0062582F">
        <w:t>(iii)</w:t>
      </w:r>
      <w:r w:rsidRPr="0062582F">
        <w:tab/>
        <w:t xml:space="preserve">major purchases of assets, classifications of assets as held for sale, other disposals of assets, or expropriation of major assets by government; </w:t>
      </w:r>
    </w:p>
    <w:p w:rsidR="004843DB" w:rsidRPr="0062582F" w:rsidRDefault="004843DB" w:rsidP="004843DB">
      <w:pPr>
        <w:pStyle w:val="CommentaryTextIndent"/>
        <w:pBdr>
          <w:top w:val="none" w:sz="0" w:space="0" w:color="auto"/>
          <w:bottom w:val="none" w:sz="0" w:space="0" w:color="auto"/>
        </w:pBdr>
      </w:pPr>
      <w:r w:rsidRPr="0062582F">
        <w:t>(iv)</w:t>
      </w:r>
      <w:r w:rsidRPr="0062582F">
        <w:tab/>
        <w:t>destruction of a major production plant by a fire, more widespread destruction such as the February 2009 Victorian bushfires that might occur after the reporting period;</w:t>
      </w:r>
    </w:p>
    <w:p w:rsidR="004843DB" w:rsidRPr="0062582F" w:rsidRDefault="004843DB" w:rsidP="004843DB">
      <w:pPr>
        <w:pStyle w:val="CommentaryTextIndent"/>
        <w:pBdr>
          <w:top w:val="none" w:sz="0" w:space="0" w:color="auto"/>
          <w:bottom w:val="none" w:sz="0" w:space="0" w:color="auto"/>
        </w:pBdr>
      </w:pPr>
      <w:r w:rsidRPr="0062582F">
        <w:t>(v)</w:t>
      </w:r>
      <w:r w:rsidRPr="0062582F">
        <w:tab/>
        <w:t>announcing, or commencing the implementation of, a major restructuring;</w:t>
      </w:r>
    </w:p>
    <w:p w:rsidR="004843DB" w:rsidRPr="0062582F" w:rsidRDefault="004843DB" w:rsidP="004843DB">
      <w:pPr>
        <w:pStyle w:val="CommentaryTextIndent"/>
        <w:pBdr>
          <w:top w:val="none" w:sz="0" w:space="0" w:color="auto"/>
          <w:bottom w:val="none" w:sz="0" w:space="0" w:color="auto"/>
        </w:pBdr>
      </w:pPr>
      <w:r w:rsidRPr="0062582F">
        <w:t>(vi)</w:t>
      </w:r>
      <w:r w:rsidRPr="0062582F">
        <w:tab/>
        <w:t xml:space="preserve">abnormally large changes after the reporting period in asset prices or foreign exchange rates; </w:t>
      </w:r>
    </w:p>
    <w:p w:rsidR="004843DB" w:rsidRPr="0062582F" w:rsidRDefault="004843DB" w:rsidP="004843DB">
      <w:pPr>
        <w:pStyle w:val="CommentaryTextIndent"/>
        <w:pBdr>
          <w:top w:val="none" w:sz="0" w:space="0" w:color="auto"/>
          <w:bottom w:val="none" w:sz="0" w:space="0" w:color="auto"/>
        </w:pBdr>
      </w:pPr>
      <w:r w:rsidRPr="0062582F">
        <w:t>(vii)</w:t>
      </w:r>
      <w:r w:rsidRPr="0062582F">
        <w:tab/>
        <w:t xml:space="preserve">entering into significant commitments or contingent liabilities, for example, by issuing significant guarantees; and </w:t>
      </w:r>
    </w:p>
    <w:p w:rsidR="004843DB" w:rsidRPr="0062582F" w:rsidRDefault="004843DB" w:rsidP="004843DB">
      <w:pPr>
        <w:pStyle w:val="CommentaryTextIndent"/>
        <w:pBdr>
          <w:top w:val="none" w:sz="0" w:space="0" w:color="auto"/>
          <w:bottom w:val="none" w:sz="0" w:space="0" w:color="auto"/>
        </w:pBdr>
      </w:pPr>
      <w:r w:rsidRPr="0062582F">
        <w:t>(viii)</w:t>
      </w:r>
      <w:r w:rsidRPr="0062582F">
        <w:tab/>
        <w:t>commencing major litigation arising solely out of events that occurred after the reporting period.</w:t>
      </w:r>
    </w:p>
    <w:p w:rsidR="004843DB" w:rsidRPr="0062582F" w:rsidRDefault="004843DB" w:rsidP="004843DB">
      <w:pPr>
        <w:pStyle w:val="CommentaryText"/>
        <w:pBdr>
          <w:top w:val="none" w:sz="0" w:space="0" w:color="auto"/>
        </w:pBdr>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
      </w:pPr>
      <w:r w:rsidRPr="0062582F">
        <w:t>AASB 110.8</w:t>
      </w:r>
    </w:p>
    <w:p w:rsidR="004843DB" w:rsidRPr="0062582F" w:rsidRDefault="004843DB" w:rsidP="004843DB">
      <w:pPr>
        <w:pStyle w:val="CommentaryText"/>
        <w:pBdr>
          <w:top w:val="none" w:sz="0" w:space="0" w:color="auto"/>
        </w:pBdr>
      </w:pPr>
      <w:r w:rsidRPr="0062582F">
        <w:br w:type="column"/>
        <w:t>The effects of events that occurred after the reporting period which provide evidence of conditions that existed at the end of the reporting period, should be brought to account rather than disclosed by way of a note to the financial statements.</w:t>
      </w:r>
    </w:p>
    <w:p w:rsidR="004843DB" w:rsidRPr="0062582F" w:rsidRDefault="004843DB" w:rsidP="004843DB">
      <w:pPr>
        <w:sectPr w:rsidR="004843DB" w:rsidRPr="0062582F"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4843DB" w:rsidRPr="0062582F" w:rsidRDefault="004843DB" w:rsidP="004843DB">
      <w:pPr>
        <w:pStyle w:val="ReferenceRed"/>
        <w:spacing w:before="280"/>
      </w:pPr>
      <w:r w:rsidRPr="0062582F">
        <w:br w:type="column"/>
      </w:r>
      <w:r w:rsidRPr="0062582F">
        <w:br w:type="column"/>
      </w:r>
    </w:p>
    <w:p w:rsidR="004843DB" w:rsidRPr="0062582F" w:rsidRDefault="004843DB" w:rsidP="004843DB">
      <w:pPr>
        <w:pStyle w:val="NoteHeading"/>
      </w:pPr>
      <w:r w:rsidRPr="0062582F">
        <w:br w:type="column"/>
      </w:r>
      <w:bookmarkStart w:id="670" w:name="_Toc332019502"/>
      <w:bookmarkStart w:id="671" w:name="_Toc366843385"/>
      <w:bookmarkStart w:id="672" w:name="_Toc448157223"/>
      <w:r w:rsidRPr="0062582F">
        <w:t>Note 44.</w:t>
      </w:r>
      <w:r w:rsidRPr="0062582F">
        <w:tab/>
        <w:t>Glossary of terms and style conventions</w:t>
      </w:r>
      <w:bookmarkEnd w:id="670"/>
      <w:bookmarkEnd w:id="671"/>
      <w:bookmarkEnd w:id="672"/>
    </w:p>
    <w:p w:rsidR="004843DB" w:rsidRPr="0062582F" w:rsidRDefault="004843DB" w:rsidP="004843DB">
      <w:pPr>
        <w:pStyle w:val="Heading5"/>
      </w:pPr>
      <w:r w:rsidRPr="0062582F">
        <w:t>Actuarial gains or losses on superannuation defined benefit plans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378"/>
          </w:cols>
        </w:sectPr>
      </w:pPr>
    </w:p>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Pr>
        <w:spacing w:before="240"/>
        <w:rPr>
          <w:rFonts w:ascii="Calibri" w:hAnsi="Calibri" w:cs="Arial Narrow"/>
          <w:color w:val="FF0000"/>
          <w:sz w:val="16"/>
          <w:szCs w:val="16"/>
          <w:lang w:val="en-GB"/>
        </w:rPr>
      </w:pPr>
      <w:r w:rsidRPr="0062582F">
        <w:rPr>
          <w:rFonts w:ascii="Calibri" w:hAnsi="Calibri" w:cs="Arial Narrow"/>
          <w:color w:val="FF0000"/>
          <w:sz w:val="16"/>
          <w:szCs w:val="16"/>
          <w:lang w:val="en-GB"/>
        </w:rPr>
        <w:t>New</w:t>
      </w:r>
    </w:p>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 w:rsidR="004843DB" w:rsidRPr="0062582F" w:rsidRDefault="004843DB" w:rsidP="004843DB">
      <w:pPr>
        <w:pStyle w:val="ReferenceRed"/>
        <w:spacing w:before="40"/>
      </w:pPr>
      <w:r w:rsidRPr="0062582F">
        <w:t>Revised</w:t>
      </w:r>
    </w:p>
    <w:p w:rsidR="004843DB" w:rsidRPr="0062582F" w:rsidRDefault="004843DB" w:rsidP="004843DB">
      <w:pPr>
        <w:pStyle w:val="ReferenceRed"/>
        <w:spacing w:before="40"/>
      </w:pPr>
    </w:p>
    <w:p w:rsidR="004843DB" w:rsidRPr="0062582F" w:rsidRDefault="004843DB" w:rsidP="004843DB">
      <w:pPr>
        <w:pStyle w:val="ReferenceRed"/>
        <w:spacing w:before="40"/>
      </w:pPr>
    </w:p>
    <w:p w:rsidR="004843DB" w:rsidRPr="0062582F" w:rsidRDefault="004843DB" w:rsidP="004843DB">
      <w:pPr>
        <w:pStyle w:val="ReferenceRed"/>
        <w:spacing w:before="40"/>
      </w:pPr>
    </w:p>
    <w:p w:rsidR="004843DB" w:rsidRPr="0062582F" w:rsidRDefault="004843DB" w:rsidP="004843DB">
      <w:pPr>
        <w:pStyle w:val="ReferenceRed"/>
        <w:spacing w:before="40"/>
      </w:pPr>
    </w:p>
    <w:p w:rsidR="004843DB" w:rsidRPr="0062582F" w:rsidRDefault="004843DB" w:rsidP="004843DB">
      <w:pPr>
        <w:pStyle w:val="ReferenceRed"/>
        <w:spacing w:before="40"/>
      </w:pPr>
    </w:p>
    <w:p w:rsidR="004843DB" w:rsidRPr="0062582F" w:rsidRDefault="004843DB" w:rsidP="004843DB">
      <w:pPr>
        <w:pStyle w:val="ReferenceRed"/>
        <w:spacing w:before="40"/>
      </w:pPr>
    </w:p>
    <w:p w:rsidR="004843DB" w:rsidRPr="0062582F" w:rsidRDefault="004843DB" w:rsidP="004843DB">
      <w:pPr>
        <w:pStyle w:val="ReferenceRed"/>
        <w:spacing w:before="40"/>
      </w:pPr>
    </w:p>
    <w:p w:rsidR="004843DB" w:rsidRPr="0062582F" w:rsidRDefault="004843DB" w:rsidP="004843DB">
      <w:pPr>
        <w:pStyle w:val="ReferenceRed"/>
        <w:spacing w:before="40"/>
      </w:pPr>
    </w:p>
    <w:p w:rsidR="004843DB" w:rsidRPr="0062582F" w:rsidRDefault="004843DB" w:rsidP="004843DB">
      <w:pPr>
        <w:pStyle w:val="ReferenceRed"/>
        <w:spacing w:before="40"/>
      </w:pPr>
    </w:p>
    <w:p w:rsidR="004843DB" w:rsidRPr="0062582F" w:rsidRDefault="004843DB" w:rsidP="004843DB">
      <w:pPr>
        <w:pStyle w:val="ReferenceRed"/>
        <w:spacing w:before="40"/>
      </w:pPr>
    </w:p>
    <w:p w:rsidR="004843DB" w:rsidRPr="0062582F" w:rsidRDefault="004843DB" w:rsidP="004843DB">
      <w:pPr>
        <w:pStyle w:val="ReferenceRed"/>
        <w:spacing w:before="40"/>
      </w:pPr>
    </w:p>
    <w:p w:rsidR="004843DB" w:rsidRPr="0062582F" w:rsidRDefault="004843DB" w:rsidP="004843DB">
      <w:pPr>
        <w:pStyle w:val="ReferenceRed"/>
        <w:spacing w:before="120"/>
      </w:pPr>
    </w:p>
    <w:p w:rsidR="004843DB" w:rsidRPr="0062582F" w:rsidRDefault="004843DB" w:rsidP="004843DB">
      <w:pPr>
        <w:spacing w:before="240"/>
        <w:rPr>
          <w:rFonts w:ascii="Calibri" w:hAnsi="Calibri" w:cs="Arial Narrow"/>
          <w:color w:val="FF0000"/>
          <w:sz w:val="16"/>
          <w:szCs w:val="16"/>
          <w:lang w:val="en-GB"/>
        </w:rPr>
      </w:pPr>
      <w:r w:rsidRPr="0062582F">
        <w:rPr>
          <w:rFonts w:ascii="Calibri" w:hAnsi="Calibri" w:cs="Arial Narrow"/>
          <w:color w:val="FF0000"/>
          <w:sz w:val="16"/>
          <w:szCs w:val="16"/>
          <w:lang w:val="en-GB"/>
        </w:rPr>
        <w:t>New</w:t>
      </w:r>
    </w:p>
    <w:p w:rsidR="004843DB" w:rsidRPr="0062582F" w:rsidRDefault="004843DB" w:rsidP="004843DB">
      <w:pPr>
        <w:pStyle w:val="ReferenceRed"/>
        <w:spacing w:before="40"/>
      </w:pPr>
      <w:r w:rsidRPr="0062582F">
        <w:br w:type="column"/>
      </w:r>
      <w:r w:rsidRPr="0062582F">
        <w:rPr>
          <w:rFonts w:ascii="Garamond" w:hAnsi="Garamond" w:cs="Tahoma"/>
          <w:color w:val="auto"/>
          <w:sz w:val="22"/>
          <w:szCs w:val="22"/>
          <w:lang w:val="en-AU"/>
        </w:rPr>
        <w:t>Actuarial gains or losses are changes in the present value of the superannuation defined benefit liability resulting from:</w:t>
      </w:r>
      <w:r w:rsidRPr="0062582F">
        <w:t xml:space="preserve"> </w:t>
      </w:r>
    </w:p>
    <w:p w:rsidR="004843DB" w:rsidRPr="0062582F" w:rsidRDefault="004843DB" w:rsidP="004843DB">
      <w:pPr>
        <w:pStyle w:val="aalpha"/>
        <w:numPr>
          <w:ilvl w:val="0"/>
          <w:numId w:val="18"/>
        </w:numPr>
      </w:pPr>
      <w:r w:rsidRPr="0062582F">
        <w:t xml:space="preserve">experience adjustments (the effects of differences between the previous actuarial assumptions and what has actually occurred); and </w:t>
      </w:r>
    </w:p>
    <w:p w:rsidR="004843DB" w:rsidRPr="0062582F" w:rsidRDefault="004843DB" w:rsidP="004843DB">
      <w:pPr>
        <w:pStyle w:val="aalpha"/>
      </w:pPr>
      <w:r w:rsidRPr="0062582F">
        <w:t>the effects of changes in actuarial assumptions.</w:t>
      </w:r>
    </w:p>
    <w:p w:rsidR="004843DB" w:rsidRPr="0062582F" w:rsidRDefault="004843DB" w:rsidP="004843DB">
      <w:pPr>
        <w:pStyle w:val="aalpha"/>
        <w:numPr>
          <w:ilvl w:val="0"/>
          <w:numId w:val="0"/>
        </w:numPr>
        <w:rPr>
          <w:rFonts w:ascii="Calibri" w:hAnsi="Calibri" w:cs="Arial"/>
          <w:b/>
          <w:bCs/>
          <w:sz w:val="21"/>
          <w:szCs w:val="20"/>
        </w:rPr>
      </w:pPr>
      <w:r w:rsidRPr="0062582F">
        <w:rPr>
          <w:rFonts w:ascii="Calibri" w:hAnsi="Calibri" w:cs="Arial"/>
          <w:b/>
          <w:bCs/>
          <w:sz w:val="21"/>
          <w:szCs w:val="20"/>
        </w:rPr>
        <w:t>Administered item</w:t>
      </w:r>
    </w:p>
    <w:p w:rsidR="004843DB" w:rsidRPr="0062582F" w:rsidRDefault="004843DB" w:rsidP="004843DB">
      <w:pPr>
        <w:pStyle w:val="aalpha"/>
        <w:numPr>
          <w:ilvl w:val="0"/>
          <w:numId w:val="0"/>
        </w:numPr>
      </w:pPr>
      <w:r w:rsidRPr="0062582F">
        <w:t>Administered item generally refers to a department lacking the capacity to benefit from that item in the pursuit of the entity</w:t>
      </w:r>
      <w:r w:rsidR="005A4BB0">
        <w:t>’</w:t>
      </w:r>
      <w:r w:rsidRPr="0062582F">
        <w:t xml:space="preserve">s objectives and to deny or regulate the access of others to that benefit. </w:t>
      </w:r>
    </w:p>
    <w:p w:rsidR="004843DB" w:rsidRPr="0062582F" w:rsidRDefault="004843DB" w:rsidP="004843DB">
      <w:pPr>
        <w:pStyle w:val="Heading5"/>
      </w:pPr>
      <w:r w:rsidRPr="0062582F">
        <w:t>Amortisation</w:t>
      </w:r>
    </w:p>
    <w:p w:rsidR="004843DB" w:rsidRPr="0062582F" w:rsidRDefault="004843DB" w:rsidP="004843DB">
      <w:r w:rsidRPr="0062582F">
        <w:t>Amortisation is the expense which results from the consumption, extraction or use over time of a non</w:t>
      </w:r>
      <w:r w:rsidR="005A4BB0">
        <w:noBreakHyphen/>
      </w:r>
      <w:r w:rsidRPr="0062582F">
        <w:t>produced physical or intangible asset. This expense is classified as an other economic flow.</w:t>
      </w:r>
    </w:p>
    <w:p w:rsidR="004843DB" w:rsidRPr="0062582F" w:rsidRDefault="004843DB" w:rsidP="004843DB">
      <w:pPr>
        <w:pStyle w:val="Heading5"/>
      </w:pPr>
      <w:r w:rsidRPr="0062582F">
        <w:t>Associates</w:t>
      </w:r>
    </w:p>
    <w:p w:rsidR="004843DB" w:rsidRPr="0062582F" w:rsidRDefault="004843DB" w:rsidP="004843DB">
      <w:r w:rsidRPr="0062582F">
        <w:t xml:space="preserve">Associates are all entities over which an entity has significant influence but not control, generally accompanying a shareholding and voting rights of between 20 per cent and 50 per cent. </w:t>
      </w:r>
    </w:p>
    <w:p w:rsidR="004843DB" w:rsidRPr="0062582F" w:rsidRDefault="004843DB" w:rsidP="004843DB">
      <w:pPr>
        <w:pStyle w:val="Heading5"/>
      </w:pPr>
      <w:r w:rsidRPr="0062582F">
        <w:t>Biological assets</w:t>
      </w:r>
    </w:p>
    <w:p w:rsidR="004843DB" w:rsidRPr="0062582F" w:rsidRDefault="004843DB" w:rsidP="004843DB">
      <w:pPr>
        <w:autoSpaceDE w:val="0"/>
        <w:autoSpaceDN w:val="0"/>
        <w:adjustRightInd w:val="0"/>
      </w:pPr>
      <w:r w:rsidRPr="0062582F">
        <w:t>Biological assets may comprise commercial forests and also any living animal, plant or agricultural produce that is the harvested product of biological assets.</w:t>
      </w:r>
    </w:p>
    <w:p w:rsidR="004843DB" w:rsidRPr="0062582F" w:rsidRDefault="004843DB" w:rsidP="004843DB">
      <w:pPr>
        <w:pStyle w:val="Heading5"/>
      </w:pPr>
      <w:r w:rsidRPr="0062582F">
        <w:t>Borrowings</w:t>
      </w:r>
    </w:p>
    <w:p w:rsidR="004843DB" w:rsidRPr="0062582F" w:rsidRDefault="004843DB" w:rsidP="004843DB">
      <w:r w:rsidRPr="0062582F">
        <w:t>Borrowings refers to interest</w:t>
      </w:r>
      <w:r w:rsidR="005A4BB0">
        <w:noBreakHyphen/>
      </w:r>
      <w:r w:rsidRPr="0062582F">
        <w:t>bearing liabilities mainly raised from public borrowings raised through the Treasury Corporation of Victoria, finance leases and other interest</w:t>
      </w:r>
      <w:r w:rsidR="005A4BB0">
        <w:noBreakHyphen/>
      </w:r>
      <w:r w:rsidRPr="0062582F">
        <w:t>bearing arrangements. Borrowings also include non</w:t>
      </w:r>
      <w:r w:rsidR="005A4BB0">
        <w:noBreakHyphen/>
      </w:r>
      <w:r w:rsidRPr="0062582F">
        <w:t>interest</w:t>
      </w:r>
      <w:r w:rsidR="005A4BB0">
        <w:noBreakHyphen/>
      </w:r>
      <w:r w:rsidRPr="0062582F">
        <w:t>bearing advances from government that are acquired for policy purposes.</w:t>
      </w:r>
    </w:p>
    <w:p w:rsidR="004843DB" w:rsidRPr="0062582F" w:rsidRDefault="004843DB" w:rsidP="004843DB">
      <w:pPr>
        <w:pStyle w:val="Heading5"/>
      </w:pPr>
      <w:r w:rsidRPr="0062582F">
        <w:t>Capital asset charge</w:t>
      </w:r>
    </w:p>
    <w:p w:rsidR="004843DB" w:rsidRPr="0062582F" w:rsidRDefault="004843DB" w:rsidP="004843DB">
      <w:r w:rsidRPr="0062582F">
        <w:t>A charge levied on the written</w:t>
      </w:r>
      <w:r w:rsidR="005A4BB0">
        <w:noBreakHyphen/>
      </w:r>
      <w:r w:rsidRPr="0062582F">
        <w:t>down value of controlled non</w:t>
      </w:r>
      <w:r w:rsidR="005A4BB0">
        <w:noBreakHyphen/>
      </w:r>
      <w:r w:rsidRPr="0062582F">
        <w:t>current physical assets in a department</w:t>
      </w:r>
      <w:r w:rsidR="005A4BB0">
        <w:t>’</w:t>
      </w:r>
      <w:r w:rsidRPr="0062582F">
        <w:t>s balance sheet which aims to: attribute to agency outputs the opportunity cost of capital used in service delivery; and provide incentives to departments to identify and dispose of underutilised or surplus assets in a timely manner.</w:t>
      </w:r>
    </w:p>
    <w:p w:rsidR="004843DB" w:rsidRPr="0062582F" w:rsidRDefault="004843DB" w:rsidP="004843DB">
      <w:pPr>
        <w:pStyle w:val="Heading5"/>
      </w:pPr>
      <w:r w:rsidRPr="0062582F">
        <w:t>Commitments</w:t>
      </w:r>
    </w:p>
    <w:p w:rsidR="004843DB" w:rsidRPr="0062582F" w:rsidRDefault="004843DB" w:rsidP="004843DB">
      <w:r w:rsidRPr="0062582F">
        <w:t>Commitments include those operating, capital and other outsourcing commitments arising from non</w:t>
      </w:r>
      <w:r w:rsidR="005A4BB0">
        <w:noBreakHyphen/>
      </w:r>
      <w:r w:rsidRPr="0062582F">
        <w:t>cancellable contractual or statutory sources.</w:t>
      </w:r>
    </w:p>
    <w:p w:rsidR="004843DB" w:rsidRPr="0062582F" w:rsidRDefault="004843DB" w:rsidP="004843DB">
      <w:pPr>
        <w:pStyle w:val="Heading5"/>
      </w:pPr>
      <w:r w:rsidRPr="0062582F">
        <w:t>Comprehensive result</w:t>
      </w:r>
    </w:p>
    <w:p w:rsidR="004843DB" w:rsidRPr="0062582F" w:rsidRDefault="004843DB" w:rsidP="004843DB">
      <w:r w:rsidRPr="0062582F">
        <w:t>The comprehensive result is the net result of all items of income and expense recognised for the period. It is the aggregate of operating result and other comprehensive income.</w:t>
      </w:r>
    </w:p>
    <w:p w:rsidR="004843DB" w:rsidRPr="0062582F" w:rsidRDefault="004843DB" w:rsidP="004843DB">
      <w:pPr>
        <w:pStyle w:val="Heading5"/>
      </w:pPr>
      <w:r w:rsidRPr="0062582F">
        <w:t>Controlled item</w:t>
      </w:r>
    </w:p>
    <w:p w:rsidR="004843DB" w:rsidRPr="0062582F" w:rsidRDefault="004843DB" w:rsidP="004843DB">
      <w:pPr>
        <w:pStyle w:val="Bullet"/>
        <w:numPr>
          <w:ilvl w:val="0"/>
          <w:numId w:val="0"/>
        </w:numPr>
        <w:spacing w:before="60" w:after="60"/>
      </w:pPr>
      <w:r w:rsidRPr="0062582F">
        <w:t>Controlled item generally refers to the capacity of a department to benefit from that item in the pursuit of the entity</w:t>
      </w:r>
      <w:r w:rsidR="005A4BB0">
        <w:t>’</w:t>
      </w:r>
      <w:r w:rsidRPr="0062582F">
        <w:t xml:space="preserve">s objectives and to deny or regulate the access of others to that benefit. </w:t>
      </w:r>
    </w:p>
    <w:p w:rsidR="004843DB" w:rsidRPr="0062582F" w:rsidRDefault="004843DB" w:rsidP="004843DB">
      <w:pPr>
        <w:pStyle w:val="Heading5"/>
      </w:pPr>
      <w:r w:rsidRPr="0062582F">
        <w:t>Current grants</w:t>
      </w:r>
    </w:p>
    <w:p w:rsidR="004843DB" w:rsidRPr="0062582F" w:rsidRDefault="004843DB" w:rsidP="004843DB">
      <w:r w:rsidRPr="0062582F">
        <w:t>Amounts payable or receivable for current purposes for which no economic benefits of equal value are receivable or payable in return.</w:t>
      </w:r>
    </w:p>
    <w:p w:rsidR="004843DB" w:rsidRPr="0062582F" w:rsidRDefault="004843DB" w:rsidP="004843DB">
      <w:pPr>
        <w:pStyle w:val="Heading5"/>
      </w:pPr>
      <w:r w:rsidRPr="0062582F">
        <w:t>Depreciation</w:t>
      </w:r>
    </w:p>
    <w:p w:rsidR="004843DB" w:rsidRPr="0062582F" w:rsidRDefault="004843DB" w:rsidP="004843DB">
      <w:r w:rsidRPr="0062582F">
        <w:t>Depreciation is an expense that arises from the consumption through wear or time of a produced</w:t>
      </w:r>
      <w:r w:rsidRPr="0062582F">
        <w:rPr>
          <w:b/>
        </w:rPr>
        <w:t xml:space="preserve"> </w:t>
      </w:r>
      <w:r w:rsidRPr="0062582F">
        <w:t xml:space="preserve">physical or intangible asset. This expense is classified as a </w:t>
      </w:r>
      <w:r w:rsidR="005A4BB0">
        <w:t>‘</w:t>
      </w:r>
      <w:r w:rsidRPr="0062582F">
        <w:t>transaction</w:t>
      </w:r>
      <w:r w:rsidR="005A4BB0">
        <w:t>’</w:t>
      </w:r>
      <w:r w:rsidRPr="0062582F">
        <w:t xml:space="preserve"> and so reduces the </w:t>
      </w:r>
      <w:r w:rsidR="005A4BB0">
        <w:t>‘</w:t>
      </w:r>
      <w:r w:rsidRPr="0062582F">
        <w:t>net result from transaction</w:t>
      </w:r>
      <w:r w:rsidR="005A4BB0">
        <w:t>’</w:t>
      </w:r>
      <w:r w:rsidRPr="0062582F">
        <w:t>.</w:t>
      </w:r>
    </w:p>
    <w:p w:rsidR="004843DB" w:rsidRPr="0062582F" w:rsidRDefault="004843DB" w:rsidP="004843DB"/>
    <w:p w:rsidR="004843DB" w:rsidRPr="0062582F" w:rsidRDefault="004843DB" w:rsidP="004843DB"/>
    <w:p w:rsidR="004843DB" w:rsidRPr="0062582F" w:rsidRDefault="004843DB" w:rsidP="004843DB">
      <w:pPr>
        <w:pStyle w:val="NoteHeadingcontinued"/>
        <w:rPr>
          <w:i/>
        </w:rPr>
      </w:pPr>
      <w:r w:rsidRPr="0062582F">
        <w:br w:type="column"/>
        <w:t>Note 44.</w:t>
      </w:r>
      <w:r w:rsidRPr="0062582F">
        <w:tab/>
        <w:t xml:space="preserve">Glossary of terms and style conventions </w:t>
      </w:r>
      <w:r w:rsidRPr="0062582F">
        <w:rPr>
          <w:i/>
        </w:rPr>
        <w:t>(continued)</w:t>
      </w:r>
    </w:p>
    <w:p w:rsidR="004843DB" w:rsidRPr="0062582F" w:rsidRDefault="004843DB" w:rsidP="004843DB">
      <w:pPr>
        <w:pStyle w:val="Heading5"/>
      </w:pPr>
      <w:r w:rsidRPr="0062582F">
        <w:t>Effective interest method</w:t>
      </w:r>
    </w:p>
    <w:p w:rsidR="004843DB" w:rsidRPr="0062582F" w:rsidRDefault="004843DB" w:rsidP="004843DB">
      <w:r w:rsidRPr="0062582F">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rsidR="004843DB" w:rsidRPr="0062582F" w:rsidRDefault="004843DB" w:rsidP="004843DB">
      <w:pPr>
        <w:pStyle w:val="Heading5"/>
      </w:pPr>
      <w:r w:rsidRPr="0062582F">
        <w:t>Employee benefits expenses</w:t>
      </w:r>
    </w:p>
    <w:p w:rsidR="004843DB" w:rsidRPr="0062582F" w:rsidRDefault="004843DB" w:rsidP="004843DB">
      <w:r w:rsidRPr="0062582F">
        <w:t>Employee benefits expenses include all costs related to employment including wages and salaries, fringe benefits tax, leave entitlements, redundancy payments, defined benefits superannuation plans, and defined contribution superannuation plans.</w:t>
      </w:r>
    </w:p>
    <w:p w:rsidR="004843DB" w:rsidRPr="0062582F" w:rsidRDefault="004843DB" w:rsidP="004843DB">
      <w:pPr>
        <w:pStyle w:val="Heading5"/>
      </w:pPr>
      <w:r w:rsidRPr="0062582F">
        <w:t>Ex gratia expenses</w:t>
      </w:r>
    </w:p>
    <w:p w:rsidR="004843DB" w:rsidRPr="0062582F" w:rsidRDefault="004843DB" w:rsidP="004843DB">
      <w:r w:rsidRPr="0062582F">
        <w:t>Ex gratia expenses mean the voluntary payment of money or other non</w:t>
      </w:r>
      <w:r w:rsidR="005A4BB0">
        <w:noBreakHyphen/>
      </w:r>
      <w:r w:rsidRPr="0062582F">
        <w:t>monetary benefit (e.g. a write</w:t>
      </w:r>
      <w:r w:rsidR="005A4BB0">
        <w:noBreakHyphen/>
      </w:r>
      <w:r w:rsidRPr="0062582F">
        <w:t>off) that is not made either to acquire goods, services or other benefits for the entity or to meet a legal liability, or to settle or resolve a possible legal liability or claim against the entity.</w:t>
      </w:r>
    </w:p>
    <w:p w:rsidR="004843DB" w:rsidRPr="0062582F" w:rsidRDefault="004843DB" w:rsidP="004843DB">
      <w:pPr>
        <w:pStyle w:val="Heading5"/>
      </w:pPr>
      <w:r w:rsidRPr="0062582F">
        <w:t>Financial asset</w:t>
      </w:r>
    </w:p>
    <w:p w:rsidR="004843DB" w:rsidRPr="0062582F" w:rsidRDefault="004843DB" w:rsidP="004843DB">
      <w:r w:rsidRPr="0062582F">
        <w:t>A financial asset is any asset that is:</w:t>
      </w:r>
    </w:p>
    <w:p w:rsidR="004843DB" w:rsidRPr="0062582F" w:rsidRDefault="004843DB" w:rsidP="004843DB">
      <w:pPr>
        <w:pStyle w:val="aalpha"/>
        <w:numPr>
          <w:ilvl w:val="0"/>
          <w:numId w:val="27"/>
        </w:numPr>
      </w:pPr>
      <w:r w:rsidRPr="0062582F">
        <w:t>cash;</w:t>
      </w:r>
    </w:p>
    <w:p w:rsidR="004843DB" w:rsidRPr="0062582F" w:rsidRDefault="004843DB" w:rsidP="004843DB">
      <w:pPr>
        <w:pStyle w:val="aalpha"/>
      </w:pPr>
      <w:r w:rsidRPr="0062582F">
        <w:t>an equity instrument of another entity;</w:t>
      </w:r>
    </w:p>
    <w:p w:rsidR="004843DB" w:rsidRPr="0062582F" w:rsidRDefault="004843DB" w:rsidP="004843DB">
      <w:pPr>
        <w:pStyle w:val="aalpha"/>
      </w:pPr>
      <w:r w:rsidRPr="0062582F">
        <w:t>a contractual or statutory right:</w:t>
      </w:r>
    </w:p>
    <w:p w:rsidR="004843DB" w:rsidRPr="0062582F" w:rsidRDefault="004843DB" w:rsidP="00E21B9D">
      <w:pPr>
        <w:pStyle w:val="BulletIndent"/>
        <w:tabs>
          <w:tab w:val="clear" w:pos="360"/>
        </w:tabs>
        <w:spacing w:before="60"/>
        <w:ind w:left="720"/>
      </w:pPr>
      <w:r w:rsidRPr="0062582F">
        <w:t>to receive cash or another financial asset from another entity; or</w:t>
      </w:r>
    </w:p>
    <w:p w:rsidR="004843DB" w:rsidRPr="0062582F" w:rsidRDefault="004843DB" w:rsidP="00E21B9D">
      <w:pPr>
        <w:pStyle w:val="BulletIndent"/>
        <w:tabs>
          <w:tab w:val="clear" w:pos="360"/>
        </w:tabs>
        <w:spacing w:before="60"/>
        <w:ind w:left="720"/>
      </w:pPr>
      <w:r w:rsidRPr="0062582F">
        <w:t>to exchange financial assets or financial liabilities with another entity under conditions that are potentially favourable to the entity; or</w:t>
      </w:r>
    </w:p>
    <w:p w:rsidR="004843DB" w:rsidRPr="0062582F" w:rsidRDefault="004843DB" w:rsidP="004843DB">
      <w:pPr>
        <w:pStyle w:val="aalpha"/>
      </w:pPr>
      <w:r w:rsidRPr="0062582F">
        <w:t>a contract that will or may be settled in the entity</w:t>
      </w:r>
      <w:r w:rsidR="005A4BB0">
        <w:t>’</w:t>
      </w:r>
      <w:r w:rsidRPr="0062582F">
        <w:t>s own equity instruments and is:</w:t>
      </w:r>
    </w:p>
    <w:p w:rsidR="004843DB" w:rsidRPr="0062582F" w:rsidRDefault="004843DB" w:rsidP="00E21B9D">
      <w:pPr>
        <w:pStyle w:val="BulletIndent"/>
        <w:tabs>
          <w:tab w:val="clear" w:pos="360"/>
        </w:tabs>
        <w:spacing w:before="60"/>
        <w:ind w:left="720"/>
      </w:pPr>
      <w:r w:rsidRPr="0062582F">
        <w:t>a non</w:t>
      </w:r>
      <w:r w:rsidR="005A4BB0">
        <w:noBreakHyphen/>
      </w:r>
      <w:r w:rsidRPr="0062582F">
        <w:t>derivative for which the entity is or may be obliged to receive a variable number of the entity</w:t>
      </w:r>
      <w:r w:rsidR="005A4BB0">
        <w:t>’</w:t>
      </w:r>
      <w:r w:rsidRPr="0062582F">
        <w:t>s own equity instruments; or</w:t>
      </w:r>
    </w:p>
    <w:p w:rsidR="004843DB" w:rsidRPr="0062582F" w:rsidRDefault="004843DB" w:rsidP="00E21B9D">
      <w:pPr>
        <w:pStyle w:val="BulletIndent"/>
        <w:tabs>
          <w:tab w:val="clear" w:pos="360"/>
        </w:tabs>
        <w:spacing w:before="60"/>
        <w:ind w:left="720"/>
      </w:pPr>
      <w:r w:rsidRPr="0062582F">
        <w:t>a derivative that will or may be settled other than by the exchange of a fixed amount of cash or another financial asset for a fixed number of the entity</w:t>
      </w:r>
      <w:r w:rsidR="005A4BB0">
        <w:t>’</w:t>
      </w:r>
      <w:r w:rsidRPr="0062582F">
        <w:t>s own equity instruments.</w:t>
      </w:r>
    </w:p>
    <w:p w:rsidR="004843DB" w:rsidRPr="0062582F" w:rsidRDefault="004843DB" w:rsidP="004843DB">
      <w:pPr>
        <w:pStyle w:val="Heading5"/>
      </w:pPr>
      <w:r w:rsidRPr="0062582F">
        <w:t>Financial instrument</w:t>
      </w:r>
    </w:p>
    <w:p w:rsidR="004843DB" w:rsidRPr="0062582F" w:rsidRDefault="004843DB" w:rsidP="004843DB">
      <w:pPr>
        <w:rPr>
          <w:i/>
          <w:iCs/>
        </w:rPr>
      </w:pPr>
      <w:r w:rsidRPr="0062582F">
        <w:t>A financial instrument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rsidR="004843DB" w:rsidRPr="0062582F" w:rsidRDefault="004843DB" w:rsidP="004843DB">
      <w:pPr>
        <w:pStyle w:val="Heading5"/>
      </w:pPr>
      <w:r w:rsidRPr="0062582F">
        <w:t>Financial liability</w:t>
      </w:r>
    </w:p>
    <w:p w:rsidR="004843DB" w:rsidRPr="0062582F" w:rsidRDefault="004843DB" w:rsidP="004843DB">
      <w:r w:rsidRPr="0062582F">
        <w:t>A financial liability is any liability that is:</w:t>
      </w:r>
    </w:p>
    <w:p w:rsidR="004843DB" w:rsidRPr="0062582F" w:rsidRDefault="004843DB" w:rsidP="004843DB">
      <w:pPr>
        <w:pStyle w:val="aalpha"/>
        <w:numPr>
          <w:ilvl w:val="0"/>
          <w:numId w:val="27"/>
        </w:numPr>
        <w:spacing w:before="100"/>
      </w:pPr>
      <w:r w:rsidRPr="0062582F">
        <w:t>a contractual obligation:</w:t>
      </w:r>
    </w:p>
    <w:p w:rsidR="004843DB" w:rsidRPr="0062582F" w:rsidRDefault="004843DB" w:rsidP="00E21B9D">
      <w:pPr>
        <w:pStyle w:val="Normalhanging"/>
        <w:tabs>
          <w:tab w:val="left" w:pos="360"/>
        </w:tabs>
        <w:spacing w:before="60"/>
        <w:ind w:left="720" w:hanging="720"/>
      </w:pPr>
      <w:r w:rsidRPr="0062582F">
        <w:tab/>
        <w:t>(i)</w:t>
      </w:r>
      <w:r w:rsidRPr="0062582F">
        <w:tab/>
        <w:t>to deliver cash or another financial asset to another entity; or</w:t>
      </w:r>
    </w:p>
    <w:p w:rsidR="004843DB" w:rsidRPr="0062582F" w:rsidRDefault="004843DB" w:rsidP="004843DB">
      <w:pPr>
        <w:pStyle w:val="Normalhanging"/>
        <w:tabs>
          <w:tab w:val="left" w:pos="360"/>
        </w:tabs>
        <w:spacing w:before="60"/>
        <w:ind w:left="720" w:hanging="720"/>
      </w:pPr>
      <w:r w:rsidRPr="0062582F">
        <w:tab/>
        <w:t>(ii)</w:t>
      </w:r>
      <w:r w:rsidRPr="0062582F">
        <w:tab/>
        <w:t>to exchange financial assets or financial liabilities with another entity under conditions that are potentially unfavourable to the entity; or</w:t>
      </w:r>
    </w:p>
    <w:p w:rsidR="004843DB" w:rsidRPr="0062582F" w:rsidRDefault="004843DB" w:rsidP="004843DB">
      <w:pPr>
        <w:pStyle w:val="aalpha"/>
        <w:spacing w:before="100"/>
      </w:pPr>
      <w:r w:rsidRPr="0062582F">
        <w:t>a contract that will or may be settled in the entity</w:t>
      </w:r>
      <w:r w:rsidR="005A4BB0">
        <w:t>’</w:t>
      </w:r>
      <w:r w:rsidRPr="0062582F">
        <w:t>s own equity instruments and is:</w:t>
      </w:r>
    </w:p>
    <w:p w:rsidR="004843DB" w:rsidRPr="0062582F" w:rsidRDefault="004843DB" w:rsidP="004843DB">
      <w:pPr>
        <w:pStyle w:val="Normalhanging"/>
        <w:tabs>
          <w:tab w:val="left" w:pos="360"/>
        </w:tabs>
        <w:spacing w:before="60"/>
        <w:ind w:left="720" w:hanging="720"/>
      </w:pPr>
      <w:r w:rsidRPr="0062582F">
        <w:tab/>
        <w:t>(i)</w:t>
      </w:r>
      <w:r w:rsidRPr="0062582F">
        <w:tab/>
        <w:t>a non</w:t>
      </w:r>
      <w:r w:rsidR="005A4BB0">
        <w:noBreakHyphen/>
      </w:r>
      <w:r w:rsidRPr="0062582F">
        <w:t>derivative for which the entity is or may be obliged to deliver a variable number of the entity</w:t>
      </w:r>
      <w:r w:rsidR="005A4BB0">
        <w:t>’</w:t>
      </w:r>
      <w:r w:rsidRPr="0062582F">
        <w:t>s own equity instruments; or</w:t>
      </w:r>
    </w:p>
    <w:p w:rsidR="004843DB" w:rsidRPr="0062582F" w:rsidRDefault="004843DB" w:rsidP="004843DB">
      <w:pPr>
        <w:pStyle w:val="Normalhanging"/>
        <w:tabs>
          <w:tab w:val="left" w:pos="360"/>
        </w:tabs>
        <w:spacing w:before="60"/>
        <w:ind w:left="720" w:hanging="720"/>
      </w:pPr>
      <w:r w:rsidRPr="0062582F">
        <w:tab/>
        <w:t>(ii)</w:t>
      </w:r>
      <w:r w:rsidRPr="0062582F">
        <w:tab/>
        <w:t>a derivative that will or may be settled other than by the exchange of a fixed amount of cash or another financial asset for a fixed number of the entity</w:t>
      </w:r>
      <w:r w:rsidR="005A4BB0">
        <w:t>’</w:t>
      </w:r>
      <w:r w:rsidRPr="0062582F">
        <w:t>s own equity instruments. For this purpose, the entity</w:t>
      </w:r>
      <w:r w:rsidR="005A4BB0">
        <w:t>’</w:t>
      </w:r>
      <w:r w:rsidRPr="0062582F">
        <w:t>s own equity instruments do not include instruments that are themselves contracts for the future receipt or delivery of the entity</w:t>
      </w:r>
      <w:r w:rsidR="005A4BB0">
        <w:t>’</w:t>
      </w:r>
      <w:r w:rsidRPr="0062582F">
        <w:t xml:space="preserve">s own equity instruments. </w:t>
      </w:r>
      <w:r w:rsidRPr="0062582F">
        <w:br w:type="page"/>
      </w:r>
    </w:p>
    <w:p w:rsidR="004843DB" w:rsidRPr="0062582F" w:rsidRDefault="004843DB" w:rsidP="004843DB">
      <w:pPr>
        <w:pStyle w:val="NoteHeadingcontinued"/>
        <w:rPr>
          <w:i/>
        </w:rPr>
      </w:pPr>
      <w:r w:rsidRPr="0062582F">
        <w:br w:type="column"/>
        <w:t>Note 44.</w:t>
      </w:r>
      <w:r w:rsidRPr="0062582F">
        <w:tab/>
        <w:t xml:space="preserve">Glossary of terms and style conventions </w:t>
      </w:r>
      <w:r w:rsidRPr="0062582F">
        <w:rPr>
          <w:i/>
        </w:rPr>
        <w:t>(continued)</w:t>
      </w:r>
    </w:p>
    <w:p w:rsidR="004843DB" w:rsidRPr="0062582F" w:rsidRDefault="004843DB" w:rsidP="004843DB">
      <w:pPr>
        <w:pStyle w:val="Heading5"/>
      </w:pPr>
      <w:r w:rsidRPr="0062582F">
        <w:t>Financial statements</w:t>
      </w:r>
    </w:p>
    <w:p w:rsidR="004843DB" w:rsidRPr="0062582F" w:rsidRDefault="004843DB" w:rsidP="004843DB">
      <w:r w:rsidRPr="0062582F">
        <w:t>financial statements in the Model Report comprises:</w:t>
      </w:r>
    </w:p>
    <w:p w:rsidR="004843DB" w:rsidRPr="0062582F" w:rsidRDefault="004843DB" w:rsidP="004843DB">
      <w:pPr>
        <w:pStyle w:val="aalpha"/>
        <w:numPr>
          <w:ilvl w:val="0"/>
          <w:numId w:val="27"/>
        </w:numPr>
      </w:pPr>
      <w:r w:rsidRPr="0062582F">
        <w:t>a balance sheet as at the end of the period;</w:t>
      </w:r>
    </w:p>
    <w:p w:rsidR="004843DB" w:rsidRPr="0062582F" w:rsidRDefault="004843DB" w:rsidP="004843DB">
      <w:pPr>
        <w:pStyle w:val="aalpha"/>
      </w:pPr>
      <w:r w:rsidRPr="0062582F">
        <w:t>a comprehensive operating statement for the period;</w:t>
      </w:r>
    </w:p>
    <w:p w:rsidR="004843DB" w:rsidRPr="0062582F" w:rsidRDefault="004843DB" w:rsidP="004843DB">
      <w:pPr>
        <w:pStyle w:val="aalpha"/>
      </w:pPr>
      <w:r w:rsidRPr="0062582F">
        <w:t>a statement of changes in equity for the period;</w:t>
      </w:r>
    </w:p>
    <w:p w:rsidR="004843DB" w:rsidRPr="0062582F" w:rsidRDefault="004843DB" w:rsidP="004843DB">
      <w:pPr>
        <w:pStyle w:val="aalpha"/>
      </w:pPr>
      <w:r w:rsidRPr="0062582F">
        <w:t>a cash flow statement for the period;</w:t>
      </w:r>
    </w:p>
    <w:p w:rsidR="004843DB" w:rsidRPr="0062582F" w:rsidRDefault="004843DB" w:rsidP="004843DB">
      <w:pPr>
        <w:pStyle w:val="aalpha"/>
      </w:pPr>
      <w:r w:rsidRPr="0062582F">
        <w:t>notes, comprising a summary of significant accounting policies and other explanatory information;</w:t>
      </w:r>
    </w:p>
    <w:p w:rsidR="004843DB" w:rsidRPr="0062582F" w:rsidRDefault="004843DB" w:rsidP="004843DB">
      <w:pPr>
        <w:pStyle w:val="aalpha"/>
      </w:pPr>
      <w:r w:rsidRPr="0062582F">
        <w:t>comparative information in respect of the preceding period as specified in paragraph 38 of AASB 101</w:t>
      </w:r>
      <w:r w:rsidRPr="0062582F">
        <w:rPr>
          <w:i/>
        </w:rPr>
        <w:t xml:space="preserve"> Presentation of Financial Statements</w:t>
      </w:r>
      <w:r w:rsidRPr="0062582F">
        <w:t>; and</w:t>
      </w:r>
    </w:p>
    <w:p w:rsidR="004843DB" w:rsidRPr="0062582F" w:rsidRDefault="004843DB" w:rsidP="004843DB">
      <w:pPr>
        <w:pStyle w:val="aalpha"/>
      </w:pPr>
      <w:r w:rsidRPr="0062582F">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rsidR="004843DB" w:rsidRPr="0062582F" w:rsidRDefault="004843DB" w:rsidP="004843DB">
      <w:pPr>
        <w:pStyle w:val="Heading5"/>
      </w:pPr>
      <w:r w:rsidRPr="0062582F">
        <w:t xml:space="preserve">Grants and other transfers </w:t>
      </w:r>
    </w:p>
    <w:p w:rsidR="004843DB" w:rsidRPr="0062582F" w:rsidRDefault="004843DB" w:rsidP="004843DB">
      <w:r w:rsidRPr="0062582F">
        <w:t xml:space="preserve">Transactions in which one unit provides goods, services, assets (or extinguishes a liability) or labour to another unit without receiving approximately equal value in return. Grants can either be operating or capital in nature. </w:t>
      </w:r>
    </w:p>
    <w:p w:rsidR="004843DB" w:rsidRPr="0062582F" w:rsidRDefault="004843DB" w:rsidP="004843DB">
      <w:r w:rsidRPr="0062582F">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w:t>
      </w:r>
      <w:r w:rsidR="005A4BB0">
        <w:noBreakHyphen/>
      </w:r>
      <w:r w:rsidRPr="0062582F">
        <w:t xml:space="preserve">reciprocal transfers. Receipt and sacrifice of approximately equal value may occur, but only by coincidence. For example, governments are not obliged to provide commensurate benefits, in the form of goods or services, to particular taxpayers in return for their taxes. </w:t>
      </w:r>
    </w:p>
    <w:p w:rsidR="004843DB" w:rsidRPr="0062582F" w:rsidRDefault="004843DB" w:rsidP="004843DB">
      <w:r w:rsidRPr="0062582F">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rsidR="004843DB" w:rsidRPr="0062582F" w:rsidRDefault="004843DB" w:rsidP="004843DB">
      <w:pPr>
        <w:pStyle w:val="Heading5"/>
      </w:pPr>
      <w:r w:rsidRPr="0062582F">
        <w:t>General government sector</w:t>
      </w:r>
    </w:p>
    <w:p w:rsidR="004843DB" w:rsidRPr="0062582F" w:rsidRDefault="004843DB" w:rsidP="004843DB">
      <w:r w:rsidRPr="0062582F">
        <w:t>The general government sector comprises all government departments, offices and other bodies engaged in providing services free of charge or at prices significantly below their cost of production. General government services include those which are mainly non</w:t>
      </w:r>
      <w:r w:rsidR="005A4BB0">
        <w:noBreakHyphen/>
      </w:r>
      <w:r w:rsidRPr="0062582F">
        <w:t>market in nature, those which are largely for collective consumption by the community and those which involve the transfer or redistribution of income. These services are financed mainly through taxes, or other compulsory levies and user charges.</w:t>
      </w:r>
    </w:p>
    <w:p w:rsidR="004843DB" w:rsidRPr="0062582F" w:rsidRDefault="004843DB" w:rsidP="004843DB">
      <w:pPr>
        <w:pStyle w:val="Heading5"/>
      </w:pPr>
      <w:r w:rsidRPr="0062582F">
        <w:t>Grants for on</w:t>
      </w:r>
      <w:r w:rsidR="005A4BB0">
        <w:noBreakHyphen/>
      </w:r>
      <w:r w:rsidRPr="0062582F">
        <w:t>passing</w:t>
      </w:r>
    </w:p>
    <w:p w:rsidR="004843DB" w:rsidRPr="0062582F" w:rsidRDefault="004843DB" w:rsidP="004843DB">
      <w:r w:rsidRPr="0062582F">
        <w:t>All grants paid to one institutional sector (e.g. a State general government entity) to be passed on to another institutional sector (e.g. local government or a private non</w:t>
      </w:r>
      <w:r w:rsidR="005A4BB0">
        <w:noBreakHyphen/>
      </w:r>
      <w:r w:rsidRPr="0062582F">
        <w:t>profit institution).</w:t>
      </w:r>
    </w:p>
    <w:p w:rsidR="004843DB" w:rsidRPr="0062582F" w:rsidRDefault="004843DB" w:rsidP="004843DB">
      <w:pPr>
        <w:pStyle w:val="Heading5"/>
        <w:rPr>
          <w:rStyle w:val="CommentaryDashBlueChar"/>
          <w:color w:val="auto"/>
          <w:sz w:val="20"/>
        </w:rPr>
      </w:pPr>
      <w:r w:rsidRPr="0062582F">
        <w:t>Infrastructure systems</w:t>
      </w:r>
    </w:p>
    <w:p w:rsidR="004843DB" w:rsidRPr="0062582F" w:rsidRDefault="004843DB" w:rsidP="004843DB">
      <w:r w:rsidRPr="0062582F">
        <w:t>Infrastructure systems provide essential services used in the delivery of final services or products. They are generally a complex interconnected network of individual assets and mainly include sewerage systems, water storage and supply systems, ports, utilities and public transport assets owned by the State.</w:t>
      </w:r>
    </w:p>
    <w:p w:rsidR="004843DB" w:rsidRPr="0062582F" w:rsidRDefault="004843DB" w:rsidP="004843DB"/>
    <w:p w:rsidR="004843DB" w:rsidRPr="0062582F" w:rsidRDefault="004843DB" w:rsidP="004843DB">
      <w:pPr>
        <w:pStyle w:val="Reference"/>
      </w:pPr>
      <w:r w:rsidRPr="0062582F">
        <w:br w:type="column"/>
      </w:r>
    </w:p>
    <w:p w:rsidR="004843DB" w:rsidRPr="0062582F" w:rsidRDefault="004843DB" w:rsidP="004843DB">
      <w:pPr>
        <w:pStyle w:val="NoteHeadingcontinued"/>
        <w:rPr>
          <w:i/>
        </w:rPr>
      </w:pPr>
      <w:r w:rsidRPr="0062582F">
        <w:br w:type="column"/>
        <w:t>Note 44.</w:t>
      </w:r>
      <w:r w:rsidRPr="0062582F">
        <w:tab/>
        <w:t xml:space="preserve">Glossary of terms and style conventions </w:t>
      </w:r>
      <w:r w:rsidRPr="0062582F">
        <w:rPr>
          <w:i/>
        </w:rPr>
        <w:t>(continued)</w:t>
      </w:r>
    </w:p>
    <w:p w:rsidR="004843DB" w:rsidRPr="0062582F" w:rsidRDefault="004843DB" w:rsidP="004843DB">
      <w:pPr>
        <w:pStyle w:val="Heading5"/>
      </w:pPr>
      <w:r w:rsidRPr="0062582F">
        <w:t>Intangible produced assets</w:t>
      </w:r>
    </w:p>
    <w:p w:rsidR="004843DB" w:rsidRPr="0062582F" w:rsidRDefault="004843DB" w:rsidP="004843DB">
      <w:r w:rsidRPr="0062582F">
        <w:t>Refer to produced assets in this glossary.</w:t>
      </w:r>
    </w:p>
    <w:p w:rsidR="004843DB" w:rsidRPr="0062582F" w:rsidRDefault="004843DB" w:rsidP="004843DB">
      <w:pPr>
        <w:pStyle w:val="Heading5"/>
      </w:pPr>
      <w:r w:rsidRPr="0062582F">
        <w:t>Intangible non</w:t>
      </w:r>
      <w:r w:rsidR="005A4BB0">
        <w:noBreakHyphen/>
      </w:r>
      <w:r w:rsidRPr="0062582F">
        <w:t>produced assets</w:t>
      </w:r>
    </w:p>
    <w:p w:rsidR="004843DB" w:rsidRPr="0062582F" w:rsidRDefault="004843DB" w:rsidP="004843DB">
      <w:pPr>
        <w:rPr>
          <w:i/>
          <w:iCs/>
        </w:rPr>
      </w:pPr>
      <w:r w:rsidRPr="0062582F">
        <w:t>Refer to non</w:t>
      </w:r>
      <w:r w:rsidR="005A4BB0">
        <w:noBreakHyphen/>
      </w:r>
      <w:r w:rsidRPr="0062582F">
        <w:t>produced asset in this glossary.</w:t>
      </w:r>
    </w:p>
    <w:p w:rsidR="004843DB" w:rsidRPr="0062582F" w:rsidRDefault="004843DB" w:rsidP="004843DB">
      <w:pPr>
        <w:pStyle w:val="Heading5"/>
      </w:pPr>
      <w:r w:rsidRPr="0062582F">
        <w:t>Interest expense</w:t>
      </w:r>
    </w:p>
    <w:p w:rsidR="004843DB" w:rsidRPr="0062582F" w:rsidRDefault="004843DB" w:rsidP="004843DB">
      <w:r w:rsidRPr="0062582F">
        <w:t>Costs incurred in connection with the borrowing of funds includes interest on bank overdrafts and short</w:t>
      </w:r>
      <w:r w:rsidR="005A4BB0">
        <w:noBreakHyphen/>
      </w:r>
      <w:r w:rsidRPr="0062582F">
        <w:t>term and long</w:t>
      </w:r>
      <w:r w:rsidR="005A4BB0">
        <w:noBreakHyphen/>
      </w:r>
      <w:r w:rsidRPr="0062582F">
        <w:t>term borrowings, amortisation of discounts or premiums relating to borrowings, interest component of finance leases repayments, and the increase in financial liabilities and non</w:t>
      </w:r>
      <w:r w:rsidR="005A4BB0">
        <w:noBreakHyphen/>
      </w:r>
      <w:r w:rsidRPr="0062582F">
        <w:t>employee provisions due to the unwinding of discounts to reflect the passage of time.</w:t>
      </w:r>
    </w:p>
    <w:p w:rsidR="004843DB" w:rsidRPr="0062582F" w:rsidRDefault="004843DB" w:rsidP="004843DB">
      <w:pPr>
        <w:pStyle w:val="Heading5"/>
      </w:pPr>
      <w:r w:rsidRPr="0062582F">
        <w:t>Interest income</w:t>
      </w:r>
    </w:p>
    <w:p w:rsidR="004843DB" w:rsidRPr="0062582F" w:rsidRDefault="004843DB" w:rsidP="004843DB">
      <w:r w:rsidRPr="0062582F">
        <w:t xml:space="preserve">Interest income includes unwinding over time of discounts on financial assets and interest received on bank term deposits and other investments. </w:t>
      </w:r>
    </w:p>
    <w:p w:rsidR="004843DB" w:rsidRPr="0062582F" w:rsidRDefault="004843DB" w:rsidP="004843DB">
      <w:pPr>
        <w:pStyle w:val="Heading5"/>
      </w:pPr>
      <w:r w:rsidRPr="0062582F">
        <w:t>Investment properties</w:t>
      </w:r>
    </w:p>
    <w:p w:rsidR="004843DB" w:rsidRPr="0062582F" w:rsidRDefault="004843DB" w:rsidP="004843DB">
      <w:r w:rsidRPr="0062582F">
        <w:t>Investment properties represent properties held to earn rentals or for capital appreciation or both. Investment properties exclude properties held to meet service delivery objectives of the State of Victoria.</w:t>
      </w:r>
    </w:p>
    <w:p w:rsidR="004843DB" w:rsidRPr="0062582F" w:rsidRDefault="004843DB" w:rsidP="004843DB">
      <w:pPr>
        <w:pStyle w:val="Heading5"/>
      </w:pPr>
      <w:r w:rsidRPr="0062582F">
        <w:t>Joint ventures</w:t>
      </w:r>
    </w:p>
    <w:p w:rsidR="004843DB" w:rsidRPr="0062582F" w:rsidRDefault="004843DB" w:rsidP="004843DB">
      <w:r w:rsidRPr="0062582F">
        <w:t>Joint ventures are contractual arrangements between the Department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rsidR="004843DB" w:rsidRPr="0062582F" w:rsidRDefault="004843DB" w:rsidP="004843DB">
      <w:pPr>
        <w:pStyle w:val="Heading5"/>
      </w:pPr>
      <w:r w:rsidRPr="0062582F">
        <w:t xml:space="preserve">Net gain on equity investments in other sector entities </w:t>
      </w:r>
      <w:r w:rsidRPr="0062582F">
        <w:rPr>
          <w:i/>
          <w:iCs/>
          <w:color w:val="0000FF"/>
        </w:rPr>
        <w:t>[DTF only]</w:t>
      </w:r>
    </w:p>
    <w:p w:rsidR="004843DB" w:rsidRPr="0062582F" w:rsidRDefault="004843DB" w:rsidP="004843DB">
      <w:r w:rsidRPr="0062582F">
        <w:t>Net gain on equity investments in other sector entities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w:t>
      </w:r>
      <w:r w:rsidR="005A4BB0">
        <w:t>’</w:t>
      </w:r>
      <w:r w:rsidRPr="0062582F">
        <w:t>s carrying amount of net assets/(liabilities) before elimination of inter sector balances.</w:t>
      </w:r>
    </w:p>
    <w:p w:rsidR="004843DB" w:rsidRPr="0062582F" w:rsidRDefault="004843DB" w:rsidP="004843DB">
      <w:pPr>
        <w:pStyle w:val="Heading5"/>
      </w:pPr>
      <w:r w:rsidRPr="0062582F">
        <w:t>Net result</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378"/>
          </w:cols>
        </w:sectPr>
      </w:pPr>
    </w:p>
    <w:p w:rsidR="004843DB" w:rsidRPr="0062582F" w:rsidRDefault="004843DB" w:rsidP="004843DB">
      <w:r w:rsidRPr="0062582F">
        <w:br w:type="column"/>
        <w:t xml:space="preserve">Net result is a measure of financial performance of the operations for the period. It is the net result of items of income, gains and expenses (including losses) recognised for the period, excluding those that are classified as </w:t>
      </w:r>
      <w:r w:rsidR="005A4BB0">
        <w:t>‘</w:t>
      </w:r>
      <w:r w:rsidRPr="0062582F">
        <w:t>other economic flows – other comprehensive income</w:t>
      </w:r>
      <w:r w:rsidR="005A4BB0">
        <w:t>’</w:t>
      </w:r>
      <w:r w:rsidRPr="0062582F">
        <w:t>.</w:t>
      </w:r>
    </w:p>
    <w:p w:rsidR="004843DB" w:rsidRPr="0062582F" w:rsidRDefault="004843DB" w:rsidP="004843DB">
      <w:pPr>
        <w:pStyle w:val="Heading5"/>
      </w:pPr>
      <w:r w:rsidRPr="0062582F">
        <w:t>Net result from transactions/net operating balance</w:t>
      </w:r>
    </w:p>
    <w:p w:rsidR="004843DB" w:rsidRPr="0062582F" w:rsidRDefault="004843DB" w:rsidP="004843DB">
      <w:r w:rsidRPr="0062582F">
        <w:t xml:space="preserve">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rsidR="004843DB" w:rsidRPr="0062582F" w:rsidRDefault="004843DB" w:rsidP="004843DB">
      <w:pPr>
        <w:pStyle w:val="Heading5"/>
      </w:pPr>
      <w:r w:rsidRPr="0062582F">
        <w:t>Net worth</w:t>
      </w:r>
    </w:p>
    <w:p w:rsidR="004843DB" w:rsidRPr="0062582F" w:rsidRDefault="004843DB" w:rsidP="004843DB">
      <w:r w:rsidRPr="0062582F">
        <w:t>Net worth is assets less liabilities, which is an economic measure of wealth.</w:t>
      </w:r>
    </w:p>
    <w:p w:rsidR="004843DB" w:rsidRPr="0062582F" w:rsidRDefault="004843DB" w:rsidP="004843DB"/>
    <w:p w:rsidR="004843DB" w:rsidRPr="0062582F" w:rsidRDefault="004843DB" w:rsidP="004843DB">
      <w:r w:rsidRPr="0062582F">
        <w:br w:type="page"/>
      </w:r>
    </w:p>
    <w:p w:rsidR="004843DB" w:rsidRPr="0062582F" w:rsidRDefault="004843DB" w:rsidP="004843DB">
      <w:pPr>
        <w:rPr>
          <w:i/>
          <w:iCs/>
        </w:rPr>
      </w:pPr>
    </w:p>
    <w:p w:rsidR="004843DB" w:rsidRPr="0062582F" w:rsidRDefault="004843DB" w:rsidP="004843DB">
      <w:pPr>
        <w:pStyle w:val="NoteHeadingcontinued"/>
        <w:rPr>
          <w:i/>
        </w:rPr>
      </w:pPr>
      <w:r w:rsidRPr="0062582F">
        <w:br w:type="column"/>
        <w:t>Note 44.</w:t>
      </w:r>
      <w:r w:rsidRPr="0062582F">
        <w:tab/>
        <w:t xml:space="preserve">Glossary of terms and style conventions </w:t>
      </w:r>
      <w:r w:rsidRPr="0062582F">
        <w:rPr>
          <w:i/>
        </w:rPr>
        <w:t>(continued)</w:t>
      </w:r>
    </w:p>
    <w:p w:rsidR="004843DB" w:rsidRPr="0062582F" w:rsidRDefault="004843DB" w:rsidP="004843DB">
      <w:pPr>
        <w:pStyle w:val="Heading5"/>
      </w:pPr>
      <w:r w:rsidRPr="0062582F">
        <w:t>Non</w:t>
      </w:r>
      <w:r w:rsidR="005A4BB0">
        <w:noBreakHyphen/>
      </w:r>
      <w:r w:rsidRPr="0062582F">
        <w:t>financial assets</w:t>
      </w:r>
    </w:p>
    <w:p w:rsidR="004843DB" w:rsidRPr="0062582F" w:rsidRDefault="004843DB" w:rsidP="004843DB">
      <w:r w:rsidRPr="0062582F">
        <w:t>Non</w:t>
      </w:r>
      <w:r w:rsidR="005A4BB0">
        <w:noBreakHyphen/>
      </w:r>
      <w:r w:rsidRPr="0062582F">
        <w:t xml:space="preserve">financial assets are all assets that are not </w:t>
      </w:r>
      <w:r w:rsidR="005A4BB0">
        <w:t>‘</w:t>
      </w:r>
      <w:r w:rsidRPr="0062582F">
        <w:t>financial assets</w:t>
      </w:r>
      <w:r w:rsidR="005A4BB0">
        <w:t>’</w:t>
      </w:r>
      <w:r w:rsidRPr="0062582F">
        <w:t>. It includes inventories, land, buildings, infrastructure, road networks, land under roads, plant and equipment, investment properties, cultural and heritage assets, intangible and biological assets.</w:t>
      </w:r>
    </w:p>
    <w:p w:rsidR="004843DB" w:rsidRPr="0062582F" w:rsidRDefault="004843DB" w:rsidP="004843DB">
      <w:pPr>
        <w:sectPr w:rsidR="004843DB" w:rsidRPr="0062582F" w:rsidSect="00190A01">
          <w:type w:val="continuous"/>
          <w:pgSz w:w="11906" w:h="16838" w:code="9"/>
          <w:pgMar w:top="1152" w:right="864" w:bottom="1152" w:left="864" w:header="432" w:footer="432" w:gutter="0"/>
          <w:cols w:num="2" w:space="360" w:equalWidth="0">
            <w:col w:w="1440" w:space="360"/>
            <w:col w:w="8378"/>
          </w:cols>
        </w:sectPr>
      </w:pPr>
    </w:p>
    <w:p w:rsidR="004843DB" w:rsidRPr="0062582F" w:rsidRDefault="004843DB" w:rsidP="004843DB">
      <w:pPr>
        <w:pStyle w:val="Heading5"/>
      </w:pPr>
      <w:r w:rsidRPr="0062582F">
        <w:br w:type="column"/>
        <w:t>Non</w:t>
      </w:r>
      <w:r w:rsidR="005A4BB0">
        <w:noBreakHyphen/>
      </w:r>
      <w:r w:rsidRPr="0062582F">
        <w:t>produced assets</w:t>
      </w:r>
    </w:p>
    <w:p w:rsidR="004843DB" w:rsidRPr="0062582F" w:rsidRDefault="004843DB" w:rsidP="004843DB">
      <w:r w:rsidRPr="0062582F">
        <w:t>Non</w:t>
      </w:r>
      <w:r w:rsidR="005A4BB0">
        <w:noBreakHyphen/>
      </w:r>
      <w:r w:rsidRPr="0062582F">
        <w:t>produced assets are assets used for production that have not themselves been produced. They include land, subsoil assets, and certain intangible assets. Non</w:t>
      </w:r>
      <w:r w:rsidR="005A4BB0">
        <w:noBreakHyphen/>
      </w:r>
      <w:r w:rsidRPr="0062582F">
        <w:t>produced intangibles are intangible assets needed for production that have not themselves been produced. They include constructs of society such as patents or leases.</w:t>
      </w:r>
    </w:p>
    <w:p w:rsidR="004843DB" w:rsidRPr="0062582F" w:rsidRDefault="004843DB" w:rsidP="004843DB">
      <w:pPr>
        <w:pStyle w:val="Heading5"/>
        <w:spacing w:before="120"/>
        <w:sectPr w:rsidR="004843DB" w:rsidRPr="0062582F" w:rsidSect="00190A01">
          <w:type w:val="continuous"/>
          <w:pgSz w:w="11906" w:h="16838" w:code="9"/>
          <w:pgMar w:top="1152" w:right="864" w:bottom="1152" w:left="864" w:header="432" w:footer="432" w:gutter="0"/>
          <w:cols w:num="2" w:space="360" w:equalWidth="0">
            <w:col w:w="1440" w:space="360"/>
            <w:col w:w="8378"/>
          </w:cols>
        </w:sectPr>
      </w:pPr>
    </w:p>
    <w:p w:rsidR="004843DB" w:rsidRPr="0062582F" w:rsidRDefault="004843DB" w:rsidP="004843DB">
      <w:pPr>
        <w:pStyle w:val="Heading5"/>
        <w:spacing w:before="120"/>
      </w:pPr>
      <w:r w:rsidRPr="0062582F">
        <w:br w:type="column"/>
        <w:t>Other economic flows included in net result</w:t>
      </w:r>
    </w:p>
    <w:p w:rsidR="004843DB" w:rsidRPr="0062582F" w:rsidRDefault="004843DB" w:rsidP="004843DB">
      <w:r w:rsidRPr="0062582F">
        <w:t>Other economic flows included in net result are changes in the volume or value of an asset or liability that do not result from transactions. It includes:</w:t>
      </w:r>
    </w:p>
    <w:p w:rsidR="004843DB" w:rsidRPr="0062582F" w:rsidRDefault="004843DB" w:rsidP="004843DB">
      <w:pPr>
        <w:pStyle w:val="Bullet"/>
      </w:pPr>
      <w:r w:rsidRPr="0062582F">
        <w:t>gains and losses from disposals, revaluations and impairments of non</w:t>
      </w:r>
      <w:r w:rsidR="005A4BB0">
        <w:noBreakHyphen/>
      </w:r>
      <w:r w:rsidRPr="0062582F">
        <w:t xml:space="preserve">financial physical and intangible assets; </w:t>
      </w:r>
    </w:p>
    <w:p w:rsidR="004843DB" w:rsidRPr="0062582F" w:rsidRDefault="004843DB" w:rsidP="004843DB">
      <w:pPr>
        <w:pStyle w:val="Bullet"/>
      </w:pPr>
      <w:r w:rsidRPr="0062582F">
        <w:t xml:space="preserve">fair value changes of financial instruments and agricultural assets; and </w:t>
      </w:r>
    </w:p>
    <w:p w:rsidR="004843DB" w:rsidRPr="0062582F" w:rsidRDefault="004843DB" w:rsidP="004843DB">
      <w:pPr>
        <w:pStyle w:val="Bullet"/>
        <w:sectPr w:rsidR="004843DB" w:rsidRPr="0062582F" w:rsidSect="00190A01">
          <w:type w:val="continuous"/>
          <w:pgSz w:w="11906" w:h="16838" w:code="9"/>
          <w:pgMar w:top="1152" w:right="864" w:bottom="1152" w:left="864" w:header="432" w:footer="432" w:gutter="0"/>
          <w:cols w:num="2" w:space="360" w:equalWidth="0">
            <w:col w:w="1440" w:space="360"/>
            <w:col w:w="8378"/>
          </w:cols>
        </w:sectPr>
      </w:pPr>
      <w:r w:rsidRPr="0062582F">
        <w:t>depletion of natural assets (non</w:t>
      </w:r>
      <w:r w:rsidR="005A4BB0">
        <w:noBreakHyphen/>
      </w:r>
      <w:r w:rsidRPr="0062582F">
        <w:t>produced) from their use or removal.</w:t>
      </w:r>
    </w:p>
    <w:p w:rsidR="004843DB" w:rsidRPr="0062582F" w:rsidRDefault="004843DB" w:rsidP="004843DB">
      <w:r w:rsidRPr="0062582F">
        <w:br w:type="column"/>
        <w:t>Please refer to Appendix 2 for examples.</w:t>
      </w:r>
    </w:p>
    <w:p w:rsidR="004843DB" w:rsidRPr="0062582F" w:rsidRDefault="004843DB" w:rsidP="004843DB">
      <w:pPr>
        <w:pStyle w:val="Heading5"/>
        <w:spacing w:before="120"/>
      </w:pPr>
      <w:r w:rsidRPr="0062582F">
        <w:t>Other economic flows – other comprehensive income</w:t>
      </w:r>
    </w:p>
    <w:p w:rsidR="004843DB" w:rsidRPr="0062582F" w:rsidRDefault="004843DB" w:rsidP="004843DB">
      <w:r w:rsidRPr="0062582F">
        <w:t>Other economic flows – other comprehensive income comprises items (including reclassification adjustments) that are not recognised in net result as required or permitted by other Australian Accounting Standards.</w:t>
      </w:r>
    </w:p>
    <w:p w:rsidR="004843DB" w:rsidRPr="0062582F" w:rsidRDefault="004843DB" w:rsidP="004843DB">
      <w:r w:rsidRPr="0062582F">
        <w:t>The components of other economic flows</w:t>
      </w:r>
      <w:r w:rsidR="005A4BB0">
        <w:noBreakHyphen/>
      </w:r>
      <w:r w:rsidRPr="0062582F">
        <w:t>other comprehensive income include:</w:t>
      </w:r>
    </w:p>
    <w:p w:rsidR="004843DB" w:rsidRPr="0062582F" w:rsidRDefault="004843DB" w:rsidP="004843DB">
      <w:pPr>
        <w:pStyle w:val="aalpha"/>
        <w:numPr>
          <w:ilvl w:val="0"/>
          <w:numId w:val="27"/>
        </w:numPr>
      </w:pPr>
      <w:r w:rsidRPr="0062582F">
        <w:t xml:space="preserve">changes in physical asset revaluation surplus; </w:t>
      </w:r>
    </w:p>
    <w:p w:rsidR="004843DB" w:rsidRPr="0062582F" w:rsidRDefault="004843DB" w:rsidP="004843DB">
      <w:pPr>
        <w:pStyle w:val="aalpha"/>
      </w:pPr>
      <w:r w:rsidRPr="0062582F">
        <w:t>share of net movement in revaluation surplus of associates and joint ventures; and</w:t>
      </w:r>
    </w:p>
    <w:p w:rsidR="004843DB" w:rsidRPr="0062582F" w:rsidRDefault="004843DB" w:rsidP="004843DB">
      <w:pPr>
        <w:pStyle w:val="aalpha"/>
      </w:pPr>
      <w:r w:rsidRPr="0062582F">
        <w:t>gains and losses on remeasuring available</w:t>
      </w:r>
      <w:r w:rsidR="005A4BB0">
        <w:noBreakHyphen/>
      </w:r>
      <w:r w:rsidRPr="0062582F">
        <w:t>for</w:t>
      </w:r>
      <w:r w:rsidR="005A4BB0">
        <w:noBreakHyphen/>
      </w:r>
      <w:r w:rsidRPr="0062582F">
        <w:t>sale financial assets.</w:t>
      </w:r>
    </w:p>
    <w:p w:rsidR="004843DB" w:rsidRPr="0062582F" w:rsidRDefault="004843DB" w:rsidP="004843DB">
      <w:r w:rsidRPr="0062582F">
        <w:t>Please refer to Appendix 2 for examples.</w:t>
      </w:r>
    </w:p>
    <w:p w:rsidR="004843DB" w:rsidRPr="0062582F" w:rsidRDefault="004843DB" w:rsidP="004843DB">
      <w:pPr>
        <w:pStyle w:val="Heading5"/>
      </w:pPr>
      <w:r w:rsidRPr="0062582F">
        <w:t>Payables</w:t>
      </w:r>
    </w:p>
    <w:p w:rsidR="004843DB" w:rsidRPr="0062582F" w:rsidRDefault="004843DB" w:rsidP="004843DB">
      <w:r w:rsidRPr="0062582F">
        <w:t>Payables includes short and long</w:t>
      </w:r>
      <w:r w:rsidR="005A4BB0">
        <w:noBreakHyphen/>
      </w:r>
      <w:r w:rsidRPr="0062582F">
        <w:t>term trade debt and accounts payable, grants, taxes and interest payable.</w:t>
      </w:r>
    </w:p>
    <w:p w:rsidR="004843DB" w:rsidRPr="0062582F" w:rsidRDefault="004843DB" w:rsidP="004843DB">
      <w:pPr>
        <w:pStyle w:val="Heading5"/>
        <w:spacing w:before="120"/>
      </w:pPr>
      <w:r w:rsidRPr="0062582F">
        <w:t>Produced assets</w:t>
      </w:r>
    </w:p>
    <w:p w:rsidR="004843DB" w:rsidRPr="0062582F" w:rsidRDefault="004843DB" w:rsidP="004843DB">
      <w:r w:rsidRPr="0062582F">
        <w:t>Produced assets are non</w:t>
      </w:r>
      <w:r w:rsidR="005A4BB0">
        <w:noBreakHyphen/>
      </w:r>
      <w:r w:rsidRPr="0062582F">
        <w:t>financial assets that have come into existence as outputs of production processes. Produced assets include buildings, plant and equipment, inventories, cultivated assets and certain intangible assets. Intangible produced assets may include computer software, artistic originals such as motion picture films, and research and development costs (which does not include the start</w:t>
      </w:r>
      <w:r w:rsidR="005A4BB0">
        <w:noBreakHyphen/>
      </w:r>
      <w:r w:rsidRPr="0062582F">
        <w:t>up costs associated with capital projects).</w:t>
      </w:r>
    </w:p>
    <w:p w:rsidR="004843DB" w:rsidRPr="0062582F" w:rsidRDefault="004843DB" w:rsidP="004843DB">
      <w:pPr>
        <w:pStyle w:val="Heading5"/>
        <w:spacing w:before="120"/>
      </w:pPr>
      <w:r w:rsidRPr="0062582F">
        <w:t>Public financial corporation sector</w:t>
      </w:r>
    </w:p>
    <w:p w:rsidR="004843DB" w:rsidRPr="0062582F" w:rsidRDefault="004843DB" w:rsidP="004843DB">
      <w:r w:rsidRPr="0062582F">
        <w:t xml:space="preserve">Public financial corporations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 </w:t>
      </w:r>
    </w:p>
    <w:p w:rsidR="004843DB" w:rsidRPr="0062582F" w:rsidRDefault="004843DB" w:rsidP="004843DB">
      <w:r w:rsidRPr="0062582F">
        <w:br w:type="page"/>
      </w:r>
    </w:p>
    <w:p w:rsidR="004843DB" w:rsidRPr="0062582F" w:rsidRDefault="004843DB" w:rsidP="004843DB"/>
    <w:p w:rsidR="004843DB" w:rsidRPr="0062582F" w:rsidRDefault="004843DB" w:rsidP="004843DB">
      <w:pPr>
        <w:pStyle w:val="Heading5"/>
        <w:spacing w:before="120"/>
      </w:pPr>
    </w:p>
    <w:p w:rsidR="004843DB" w:rsidRPr="0062582F" w:rsidRDefault="004843DB" w:rsidP="004843DB">
      <w:pPr>
        <w:pStyle w:val="NoteHeadingcontinued"/>
        <w:rPr>
          <w:i/>
        </w:rPr>
      </w:pPr>
      <w:r w:rsidRPr="0062582F">
        <w:br w:type="column"/>
        <w:t>Note 44.</w:t>
      </w:r>
      <w:r w:rsidRPr="0062582F">
        <w:tab/>
        <w:t xml:space="preserve">Glossary of terms and style conventions </w:t>
      </w:r>
      <w:r w:rsidRPr="0062582F">
        <w:rPr>
          <w:i/>
        </w:rPr>
        <w:t>(continued)</w:t>
      </w:r>
    </w:p>
    <w:p w:rsidR="004843DB" w:rsidRPr="0062582F" w:rsidRDefault="004843DB" w:rsidP="004843DB">
      <w:pPr>
        <w:pStyle w:val="Heading5"/>
        <w:spacing w:before="120"/>
      </w:pPr>
      <w:r w:rsidRPr="0062582F">
        <w:t>Public non</w:t>
      </w:r>
      <w:r w:rsidR="005A4BB0">
        <w:noBreakHyphen/>
      </w:r>
      <w:r w:rsidRPr="0062582F">
        <w:t>financial corporation sector</w:t>
      </w:r>
    </w:p>
    <w:p w:rsidR="004843DB" w:rsidRPr="0062582F" w:rsidRDefault="004843DB" w:rsidP="004843DB">
      <w:r w:rsidRPr="0062582F">
        <w:t>The public non</w:t>
      </w:r>
      <w:r w:rsidR="005A4BB0">
        <w:noBreakHyphen/>
      </w:r>
      <w:r w:rsidRPr="0062582F">
        <w:t>financial corporation (PNFC) sector comprises bodies mainly engaged in the production of goods and services (of a non</w:t>
      </w:r>
      <w:r w:rsidR="005A4BB0">
        <w:noBreakHyphen/>
      </w:r>
      <w:r w:rsidRPr="0062582F">
        <w:t>financial nature) for sale in the market place at prices that aim to recover most of the costs involved (e.g. water and port authorities). In general, PNFCs are legally distinguishable from the governments which own them.</w:t>
      </w:r>
    </w:p>
    <w:p w:rsidR="004843DB" w:rsidRPr="0062582F" w:rsidRDefault="004843DB" w:rsidP="004843DB">
      <w:pPr>
        <w:pStyle w:val="Heading5"/>
      </w:pPr>
      <w:r w:rsidRPr="0062582F">
        <w:t>Receivables</w:t>
      </w:r>
    </w:p>
    <w:p w:rsidR="004843DB" w:rsidRPr="0062582F" w:rsidRDefault="004843DB" w:rsidP="004843DB">
      <w:r w:rsidRPr="0062582F">
        <w:t>Receivables include amounts owing from government through appropriation receivable, short and long</w:t>
      </w:r>
      <w:r w:rsidR="005A4BB0">
        <w:noBreakHyphen/>
      </w:r>
      <w:r w:rsidRPr="0062582F">
        <w:t>term trade credit and accounts receivable, accrued investment income, grants, taxes and interest receivable.</w:t>
      </w:r>
    </w:p>
    <w:p w:rsidR="004843DB" w:rsidRPr="0062582F" w:rsidRDefault="004843DB" w:rsidP="004843DB">
      <w:pPr>
        <w:pStyle w:val="Heading5"/>
      </w:pPr>
      <w:r w:rsidRPr="0062582F">
        <w:t>Sales of goods and services</w:t>
      </w:r>
    </w:p>
    <w:p w:rsidR="004843DB" w:rsidRPr="0062582F" w:rsidRDefault="004843DB" w:rsidP="004843DB">
      <w:r w:rsidRPr="0062582F">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w:t>
      </w:r>
      <w:r w:rsidR="005A4BB0">
        <w:noBreakHyphen/>
      </w:r>
      <w:r w:rsidRPr="0062582F">
        <w:t>produced assets such as land. User charges includes sale of goods and services income.</w:t>
      </w:r>
    </w:p>
    <w:p w:rsidR="004843DB" w:rsidRPr="0062582F" w:rsidRDefault="004843DB" w:rsidP="004843DB">
      <w:pPr>
        <w:pStyle w:val="Heading5"/>
      </w:pPr>
      <w:r w:rsidRPr="0062582F">
        <w:t>Supplies and services</w:t>
      </w:r>
    </w:p>
    <w:p w:rsidR="004843DB" w:rsidRPr="0062582F" w:rsidRDefault="004843DB" w:rsidP="004843DB">
      <w:r w:rsidRPr="0062582F">
        <w:t>Supplies and services generally represent cost of goods sold and the day</w:t>
      </w:r>
      <w:r w:rsidR="005A4BB0">
        <w:noBreakHyphen/>
      </w:r>
      <w:r w:rsidRPr="0062582F">
        <w:t>to</w:t>
      </w:r>
      <w:r w:rsidR="005A4BB0">
        <w:noBreakHyphen/>
      </w:r>
      <w:r w:rsidRPr="0062582F">
        <w:t xml:space="preserve">day running costs, including maintenance costs, incurred in the normal operations of the Department. </w:t>
      </w:r>
    </w:p>
    <w:p w:rsidR="004843DB" w:rsidRPr="0062582F" w:rsidRDefault="004843DB" w:rsidP="004843DB">
      <w:pPr>
        <w:pStyle w:val="Heading5"/>
      </w:pPr>
      <w:r w:rsidRPr="0062582F">
        <w:t>Taxation income</w:t>
      </w:r>
    </w:p>
    <w:p w:rsidR="004843DB" w:rsidRPr="0062582F" w:rsidRDefault="004843DB" w:rsidP="004843DB">
      <w:r w:rsidRPr="0062582F">
        <w:t>Taxation income represents income received from the State</w:t>
      </w:r>
      <w:r w:rsidR="005A4BB0">
        <w:t>’</w:t>
      </w:r>
      <w:r w:rsidRPr="0062582F">
        <w:t>s taxpayers and includes:</w:t>
      </w:r>
    </w:p>
    <w:p w:rsidR="004843DB" w:rsidRPr="0062582F" w:rsidRDefault="004843DB" w:rsidP="004843DB">
      <w:pPr>
        <w:pStyle w:val="Bullet"/>
      </w:pPr>
      <w:r w:rsidRPr="0062582F">
        <w:t>payroll tax, land tax and duties levied principally on conveyances and land transfers;</w:t>
      </w:r>
    </w:p>
    <w:p w:rsidR="004843DB" w:rsidRPr="0062582F" w:rsidRDefault="004843DB" w:rsidP="004843DB">
      <w:pPr>
        <w:pStyle w:val="Bullet"/>
      </w:pPr>
      <w:r w:rsidRPr="0062582F">
        <w:t>gambling taxes levied mainly on private lotteries, electronic gaming machines, casino operations and racing;</w:t>
      </w:r>
    </w:p>
    <w:p w:rsidR="004843DB" w:rsidRPr="0062582F" w:rsidRDefault="004843DB" w:rsidP="004843DB">
      <w:pPr>
        <w:pStyle w:val="Bullet"/>
      </w:pPr>
      <w:r w:rsidRPr="0062582F">
        <w:t>insurance duty relating to compulsory third party, life and non</w:t>
      </w:r>
      <w:r w:rsidR="005A4BB0">
        <w:noBreakHyphen/>
      </w:r>
      <w:r w:rsidRPr="0062582F">
        <w:t xml:space="preserve">life policies; </w:t>
      </w:r>
    </w:p>
    <w:p w:rsidR="004843DB" w:rsidRPr="0062582F" w:rsidRDefault="004843DB" w:rsidP="004843DB">
      <w:pPr>
        <w:pStyle w:val="Bullet"/>
      </w:pPr>
      <w:r w:rsidRPr="0062582F">
        <w:t xml:space="preserve">insurance company contributions to fire brigades; </w:t>
      </w:r>
    </w:p>
    <w:p w:rsidR="004843DB" w:rsidRPr="0062582F" w:rsidRDefault="004843DB" w:rsidP="004843DB">
      <w:pPr>
        <w:pStyle w:val="Bullet"/>
      </w:pPr>
      <w:r w:rsidRPr="0062582F">
        <w:t>motor vehicle taxes, including registration fees and duty on registrations and transfers;</w:t>
      </w:r>
    </w:p>
    <w:p w:rsidR="004843DB" w:rsidRPr="0062582F" w:rsidRDefault="004843DB" w:rsidP="004843DB">
      <w:pPr>
        <w:pStyle w:val="Bullet"/>
      </w:pPr>
      <w:r w:rsidRPr="0062582F">
        <w:t xml:space="preserve">levies (including the environmental levy) on statutory corporations in other sectors of government; and </w:t>
      </w:r>
    </w:p>
    <w:p w:rsidR="004843DB" w:rsidRPr="0062582F" w:rsidRDefault="004843DB" w:rsidP="004843DB">
      <w:pPr>
        <w:pStyle w:val="Bullet"/>
      </w:pPr>
      <w:r w:rsidRPr="0062582F">
        <w:t>other taxes, including landfill levies, licence and concession fees.</w:t>
      </w:r>
    </w:p>
    <w:p w:rsidR="004843DB" w:rsidRPr="0062582F" w:rsidRDefault="004843DB" w:rsidP="004843DB">
      <w:pPr>
        <w:pStyle w:val="Heading5"/>
      </w:pPr>
      <w:r w:rsidRPr="0062582F">
        <w:t>Transactions</w:t>
      </w:r>
    </w:p>
    <w:p w:rsidR="004843DB" w:rsidRPr="0062582F" w:rsidRDefault="004843DB" w:rsidP="004843DB">
      <w:r w:rsidRPr="0062582F">
        <w:t>Transactions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 Please refer to Appendix 2 for examples.</w:t>
      </w:r>
    </w:p>
    <w:p w:rsidR="004843DB" w:rsidRPr="0062582F" w:rsidRDefault="004843DB" w:rsidP="004843DB">
      <w:pPr>
        <w:spacing w:line="240" w:lineRule="atLeast"/>
      </w:pPr>
      <w:r w:rsidRPr="0062582F">
        <w:br w:type="page"/>
      </w:r>
    </w:p>
    <w:p w:rsidR="004843DB" w:rsidRPr="0062582F" w:rsidRDefault="004843DB" w:rsidP="004843DB"/>
    <w:p w:rsidR="004843DB" w:rsidRPr="0062582F" w:rsidRDefault="004843DB" w:rsidP="004843DB">
      <w:pPr>
        <w:pStyle w:val="NoteHeadingcontinued"/>
        <w:rPr>
          <w:i/>
        </w:rPr>
      </w:pPr>
      <w:r w:rsidRPr="0062582F">
        <w:br w:type="column"/>
        <w:t>Note 44.</w:t>
      </w:r>
      <w:r w:rsidRPr="0062582F">
        <w:tab/>
        <w:t xml:space="preserve">Glossary of terms and style conventions </w:t>
      </w:r>
      <w:r w:rsidRPr="0062582F">
        <w:rPr>
          <w:i/>
        </w:rPr>
        <w:t>(continued)</w:t>
      </w:r>
    </w:p>
    <w:p w:rsidR="004843DB" w:rsidRPr="0062582F" w:rsidRDefault="004843DB" w:rsidP="004843DB">
      <w:pPr>
        <w:pStyle w:val="Heading2"/>
      </w:pPr>
      <w:r w:rsidRPr="0062582F">
        <w:t>Style conventions</w:t>
      </w:r>
    </w:p>
    <w:p w:rsidR="004843DB" w:rsidRPr="0062582F" w:rsidRDefault="004843DB" w:rsidP="004843DB">
      <w:r w:rsidRPr="0062582F">
        <w:t>Figures in the tables and in the text have been rounded. Discrepancies in tables between totals and sums of components reflect rounding. Percentage variations in all tables are based on the underlying unrounded amounts.</w:t>
      </w:r>
    </w:p>
    <w:p w:rsidR="004843DB" w:rsidRPr="0062582F" w:rsidRDefault="004843DB" w:rsidP="004843DB">
      <w:r w:rsidRPr="0062582F">
        <w:t>The notation used in the tables is as follows:</w:t>
      </w:r>
    </w:p>
    <w:p w:rsidR="004843DB" w:rsidRPr="0062582F" w:rsidRDefault="004843DB" w:rsidP="004843DB">
      <w:pPr>
        <w:tabs>
          <w:tab w:val="left" w:pos="1701"/>
        </w:tabs>
      </w:pPr>
      <w:r w:rsidRPr="0062582F">
        <w:t>..</w:t>
      </w:r>
      <w:r w:rsidRPr="0062582F">
        <w:tab/>
        <w:t>zero, or rounded to zero</w:t>
      </w:r>
    </w:p>
    <w:p w:rsidR="004843DB" w:rsidRPr="0062582F" w:rsidRDefault="004843DB" w:rsidP="004843DB">
      <w:pPr>
        <w:tabs>
          <w:tab w:val="left" w:pos="1701"/>
        </w:tabs>
      </w:pPr>
      <w:r w:rsidRPr="0062582F">
        <w:t>(xxx.x)</w:t>
      </w:r>
      <w:r w:rsidRPr="0062582F">
        <w:tab/>
        <w:t>negative numbers</w:t>
      </w:r>
    </w:p>
    <w:p w:rsidR="004843DB" w:rsidRPr="0062582F" w:rsidRDefault="004843DB" w:rsidP="004843DB">
      <w:pPr>
        <w:tabs>
          <w:tab w:val="left" w:pos="1701"/>
        </w:tabs>
      </w:pPr>
      <w:r w:rsidRPr="0062582F">
        <w:t>200x</w:t>
      </w:r>
      <w:r w:rsidRPr="0062582F">
        <w:tab/>
        <w:t>year period</w:t>
      </w:r>
    </w:p>
    <w:p w:rsidR="004843DB" w:rsidRPr="0062582F" w:rsidRDefault="004843DB" w:rsidP="004843DB">
      <w:pPr>
        <w:tabs>
          <w:tab w:val="left" w:pos="1701"/>
        </w:tabs>
      </w:pPr>
      <w:r w:rsidRPr="0062582F">
        <w:t>200x</w:t>
      </w:r>
      <w:r w:rsidR="005A4BB0">
        <w:noBreakHyphen/>
      </w:r>
      <w:r w:rsidRPr="0062582F">
        <w:t>0x</w:t>
      </w:r>
      <w:r w:rsidRPr="0062582F">
        <w:tab/>
        <w:t>year period</w:t>
      </w:r>
    </w:p>
    <w:p w:rsidR="004843DB" w:rsidRDefault="004843DB" w:rsidP="004843DB">
      <w:r w:rsidRPr="0062582F">
        <w:t>The financial statements and notes are presented based on the illustration for a government department in the 2014</w:t>
      </w:r>
      <w:r w:rsidR="005A4BB0">
        <w:noBreakHyphen/>
      </w:r>
      <w:r w:rsidRPr="0062582F">
        <w:t xml:space="preserve">15 </w:t>
      </w:r>
      <w:r w:rsidRPr="0062582F">
        <w:rPr>
          <w:i/>
        </w:rPr>
        <w:t>Model Report for Victorian Government Departments</w:t>
      </w:r>
      <w:r w:rsidRPr="0062582F">
        <w:t>. The presentation of other disclosures is generally consistent with the other disclosures made in earlier publications of the Department</w:t>
      </w:r>
      <w:r w:rsidR="005A4BB0">
        <w:t>’</w:t>
      </w:r>
      <w:r w:rsidRPr="0062582F">
        <w:t>s annual reports.</w:t>
      </w:r>
    </w:p>
    <w:p w:rsidR="00713D96" w:rsidRPr="0062582F" w:rsidRDefault="00713D96" w:rsidP="004843DB"/>
    <w:p w:rsidR="00713D96" w:rsidRDefault="00713D96" w:rsidP="004843DB">
      <w:pPr>
        <w:sectPr w:rsidR="00713D96" w:rsidSect="004843DB">
          <w:type w:val="continuous"/>
          <w:pgSz w:w="11906" w:h="16838" w:code="9"/>
          <w:pgMar w:top="1152" w:right="864" w:bottom="1152" w:left="864" w:header="432" w:footer="432" w:gutter="0"/>
          <w:cols w:num="2" w:space="360" w:equalWidth="0">
            <w:col w:w="1440" w:space="360"/>
            <w:col w:w="8378"/>
          </w:cols>
        </w:sectPr>
      </w:pPr>
    </w:p>
    <w:p w:rsidR="004843DB" w:rsidRDefault="004843DB" w:rsidP="004843DB"/>
    <w:p w:rsidR="00C42BEF" w:rsidRDefault="00C42BEF">
      <w:pPr>
        <w:spacing w:line="240" w:lineRule="atLeast"/>
      </w:pPr>
    </w:p>
    <w:p w:rsidR="004843DB" w:rsidRDefault="004843DB" w:rsidP="004843DB"/>
    <w:p w:rsidR="00C42BEF" w:rsidRPr="0062582F" w:rsidRDefault="00C42BEF" w:rsidP="004843DB">
      <w:r>
        <w:br w:type="column"/>
      </w:r>
    </w:p>
    <w:p w:rsidR="004843DB" w:rsidRPr="0062582F" w:rsidRDefault="004843DB" w:rsidP="004843DB"/>
    <w:p w:rsidR="004843DB" w:rsidRPr="0062582F" w:rsidRDefault="004843DB" w:rsidP="004843DB">
      <w:pPr>
        <w:sectPr w:rsidR="004843DB" w:rsidRPr="0062582F" w:rsidSect="00713D96">
          <w:headerReference w:type="even" r:id="rId351"/>
          <w:pgSz w:w="11906" w:h="16838" w:code="9"/>
          <w:pgMar w:top="1152" w:right="864" w:bottom="1152" w:left="864" w:header="432" w:footer="432" w:gutter="0"/>
          <w:cols w:num="2" w:space="360" w:equalWidth="0">
            <w:col w:w="1440" w:space="360"/>
            <w:col w:w="8378"/>
          </w:cols>
        </w:sectPr>
      </w:pPr>
    </w:p>
    <w:p w:rsidR="0028027B" w:rsidRPr="00DC1EE4" w:rsidRDefault="0028027B" w:rsidP="0028027B">
      <w:pPr>
        <w:pStyle w:val="ChapterHeading"/>
      </w:pPr>
      <w:bookmarkStart w:id="673" w:name="_Toc225564585"/>
      <w:bookmarkStart w:id="674" w:name="_Toc324234838"/>
      <w:bookmarkStart w:id="675" w:name="_Toc330906644"/>
      <w:bookmarkStart w:id="676" w:name="_Toc332019433"/>
      <w:bookmarkStart w:id="677" w:name="_Toc350413724"/>
      <w:bookmarkStart w:id="678" w:name="_Toc388277749"/>
      <w:bookmarkStart w:id="679" w:name="_Toc448493015"/>
      <w:r w:rsidRPr="00DC1EE4">
        <w:t>Appendix 1: Extracts of whole of government financial statements and analysis of disclosures</w:t>
      </w:r>
      <w:bookmarkEnd w:id="673"/>
      <w:bookmarkEnd w:id="674"/>
      <w:bookmarkEnd w:id="675"/>
      <w:bookmarkEnd w:id="676"/>
      <w:bookmarkEnd w:id="677"/>
      <w:bookmarkEnd w:id="678"/>
      <w:bookmarkEnd w:id="679"/>
    </w:p>
    <w:p w:rsidR="0028027B" w:rsidRPr="00DC1EE4" w:rsidRDefault="0028027B" w:rsidP="0028027B">
      <w:pPr>
        <w:pStyle w:val="NormalBlue"/>
      </w:pPr>
      <w:r w:rsidRPr="00DC1EE4">
        <w:t xml:space="preserve">[The following extracts are supplementary information for the introduction to the Model report and therefore not part of disclosure requirements. These extracts have been included to highlight the different presentation formats in whole of government publications for the estimates and actuals.] </w:t>
      </w:r>
    </w:p>
    <w:p w:rsidR="0028027B" w:rsidRPr="00DC1EE4" w:rsidRDefault="0028027B" w:rsidP="0028027B">
      <w:pPr>
        <w:pStyle w:val="Heading1"/>
      </w:pPr>
      <w:bookmarkStart w:id="680" w:name="_Toc225564586"/>
      <w:bookmarkStart w:id="681" w:name="_Toc324234839"/>
      <w:bookmarkStart w:id="682" w:name="_Toc330906645"/>
      <w:bookmarkStart w:id="683" w:name="_Toc332019434"/>
      <w:bookmarkStart w:id="684" w:name="_Toc350413725"/>
      <w:bookmarkStart w:id="685" w:name="_Toc388277750"/>
      <w:bookmarkStart w:id="686" w:name="_Toc448493016"/>
      <w:r w:rsidRPr="00DC1EE4">
        <w:t>Appendix 1(a) – Extract of estimated financial statements from the 2015</w:t>
      </w:r>
      <w:r w:rsidR="005A4BB0">
        <w:noBreakHyphen/>
      </w:r>
      <w:r w:rsidRPr="00DC1EE4">
        <w:t>16 Statement of Finances</w:t>
      </w:r>
      <w:bookmarkEnd w:id="680"/>
      <w:r w:rsidRPr="00DC1EE4">
        <w:t>: Budget Paper No. 5</w:t>
      </w:r>
      <w:bookmarkEnd w:id="681"/>
      <w:bookmarkEnd w:id="682"/>
      <w:bookmarkEnd w:id="683"/>
      <w:bookmarkEnd w:id="684"/>
      <w:bookmarkEnd w:id="685"/>
      <w:bookmarkEnd w:id="686"/>
    </w:p>
    <w:p w:rsidR="0028027B" w:rsidRPr="00DC1EE4" w:rsidRDefault="0028027B" w:rsidP="0028027B">
      <w:pPr>
        <w:pStyle w:val="Heading2"/>
      </w:pPr>
      <w:r w:rsidRPr="00DC1EE4">
        <w:t>Estimated financial statements</w:t>
      </w:r>
    </w:p>
    <w:p w:rsidR="0028027B" w:rsidRPr="00DC1EE4" w:rsidRDefault="0028027B" w:rsidP="00E348C3">
      <w:pPr>
        <w:pStyle w:val="Tableheading"/>
      </w:pPr>
      <w:r w:rsidRPr="00DC1EE4">
        <w:t>Table 1.1:</w:t>
      </w:r>
      <w:r w:rsidRPr="00DC1EE4">
        <w:tab/>
        <w:t>Estimated general government sector comprehensive operating statement for the financial year ending 30 June</w:t>
      </w:r>
    </w:p>
    <w:p w:rsidR="0028027B" w:rsidRPr="00DC1EE4" w:rsidRDefault="0028027B" w:rsidP="0028027B">
      <w:pPr>
        <w:pStyle w:val="million"/>
      </w:pPr>
      <w:r w:rsidRPr="00DC1EE4">
        <w:t>($ million)</w:t>
      </w:r>
    </w:p>
    <w:tbl>
      <w:tblPr>
        <w:tblW w:w="10251" w:type="dxa"/>
        <w:tblCellMar>
          <w:left w:w="45" w:type="dxa"/>
          <w:right w:w="45" w:type="dxa"/>
        </w:tblCellMar>
        <w:tblLook w:val="0000" w:firstRow="0" w:lastRow="0" w:firstColumn="0" w:lastColumn="0" w:noHBand="0" w:noVBand="0"/>
      </w:tblPr>
      <w:tblGrid>
        <w:gridCol w:w="5535"/>
        <w:gridCol w:w="900"/>
        <w:gridCol w:w="990"/>
        <w:gridCol w:w="990"/>
        <w:gridCol w:w="900"/>
        <w:gridCol w:w="936"/>
      </w:tblGrid>
      <w:tr w:rsidR="0028027B" w:rsidRPr="00DC1EE4" w:rsidTr="00C03F9E">
        <w:trPr>
          <w:tblHeader/>
        </w:trPr>
        <w:tc>
          <w:tcPr>
            <w:tcW w:w="5535" w:type="dxa"/>
            <w:tcBorders>
              <w:top w:val="single" w:sz="6" w:space="0" w:color="auto"/>
              <w:left w:val="single" w:sz="6" w:space="0" w:color="auto"/>
              <w:bottom w:val="single" w:sz="6" w:space="0" w:color="auto"/>
              <w:right w:val="nil"/>
            </w:tcBorders>
            <w:shd w:val="clear" w:color="000000" w:fill="000000"/>
          </w:tcPr>
          <w:p w:rsidR="0028027B" w:rsidRPr="00DC1EE4" w:rsidRDefault="0028027B" w:rsidP="00C03F9E">
            <w:pPr>
              <w:pStyle w:val="Tabletext"/>
            </w:pPr>
          </w:p>
        </w:tc>
        <w:tc>
          <w:tcPr>
            <w:tcW w:w="900" w:type="dxa"/>
            <w:tcBorders>
              <w:top w:val="single" w:sz="6" w:space="0" w:color="auto"/>
              <w:left w:val="nil"/>
              <w:bottom w:val="single" w:sz="6" w:space="0" w:color="auto"/>
              <w:right w:val="nil"/>
            </w:tcBorders>
            <w:shd w:val="clear" w:color="000000" w:fill="000000"/>
          </w:tcPr>
          <w:p w:rsidR="0028027B" w:rsidRPr="00DC1EE4" w:rsidRDefault="0028027B" w:rsidP="00C03F9E">
            <w:pPr>
              <w:pStyle w:val="TabletextheadingCentred"/>
            </w:pPr>
            <w:r w:rsidRPr="00DC1EE4">
              <w:br/>
              <w:t>Notes</w:t>
            </w:r>
          </w:p>
        </w:tc>
        <w:tc>
          <w:tcPr>
            <w:tcW w:w="990" w:type="dxa"/>
            <w:tcBorders>
              <w:top w:val="single" w:sz="6" w:space="0" w:color="auto"/>
              <w:left w:val="nil"/>
              <w:bottom w:val="single" w:sz="6" w:space="0" w:color="auto"/>
              <w:right w:val="nil"/>
            </w:tcBorders>
            <w:shd w:val="clear" w:color="000000" w:fill="000000"/>
          </w:tcPr>
          <w:p w:rsidR="0028027B" w:rsidRPr="00DC1EE4" w:rsidRDefault="0028027B" w:rsidP="00C03F9E">
            <w:pPr>
              <w:pStyle w:val="Tabletextheading"/>
            </w:pPr>
            <w:r w:rsidRPr="00DC1EE4">
              <w:t>2015</w:t>
            </w:r>
            <w:r w:rsidR="005A4BB0">
              <w:noBreakHyphen/>
            </w:r>
            <w:r w:rsidRPr="00DC1EE4">
              <w:t>16 budget</w:t>
            </w:r>
          </w:p>
        </w:tc>
        <w:tc>
          <w:tcPr>
            <w:tcW w:w="990" w:type="dxa"/>
            <w:tcBorders>
              <w:top w:val="single" w:sz="6" w:space="0" w:color="auto"/>
              <w:left w:val="nil"/>
              <w:bottom w:val="single" w:sz="6" w:space="0" w:color="auto"/>
              <w:right w:val="nil"/>
            </w:tcBorders>
            <w:shd w:val="clear" w:color="000000" w:fill="000000"/>
          </w:tcPr>
          <w:p w:rsidR="0028027B" w:rsidRPr="00DC1EE4" w:rsidRDefault="0028027B" w:rsidP="00C03F9E">
            <w:pPr>
              <w:pStyle w:val="Tabletextheading"/>
            </w:pPr>
            <w:r w:rsidRPr="00DC1EE4">
              <w:t>2016</w:t>
            </w:r>
            <w:r w:rsidR="005A4BB0">
              <w:noBreakHyphen/>
            </w:r>
            <w:r w:rsidRPr="00DC1EE4">
              <w:t>17 estimate</w:t>
            </w:r>
          </w:p>
        </w:tc>
        <w:tc>
          <w:tcPr>
            <w:tcW w:w="900" w:type="dxa"/>
            <w:tcBorders>
              <w:top w:val="single" w:sz="6" w:space="0" w:color="auto"/>
              <w:left w:val="nil"/>
              <w:bottom w:val="single" w:sz="6" w:space="0" w:color="auto"/>
              <w:right w:val="nil"/>
            </w:tcBorders>
            <w:shd w:val="clear" w:color="000000" w:fill="000000"/>
          </w:tcPr>
          <w:p w:rsidR="0028027B" w:rsidRPr="00DC1EE4" w:rsidRDefault="0028027B" w:rsidP="00C03F9E">
            <w:pPr>
              <w:pStyle w:val="Tabletextheading"/>
            </w:pPr>
            <w:r w:rsidRPr="00DC1EE4">
              <w:t>2017</w:t>
            </w:r>
            <w:r w:rsidR="005A4BB0">
              <w:noBreakHyphen/>
            </w:r>
            <w:r w:rsidRPr="00DC1EE4">
              <w:t>18 estimate</w:t>
            </w:r>
          </w:p>
        </w:tc>
        <w:tc>
          <w:tcPr>
            <w:tcW w:w="936" w:type="dxa"/>
            <w:tcBorders>
              <w:top w:val="single" w:sz="6" w:space="0" w:color="auto"/>
              <w:left w:val="nil"/>
              <w:bottom w:val="single" w:sz="6" w:space="0" w:color="auto"/>
              <w:right w:val="single" w:sz="6" w:space="0" w:color="auto"/>
            </w:tcBorders>
            <w:shd w:val="clear" w:color="000000" w:fill="000000"/>
          </w:tcPr>
          <w:p w:rsidR="0028027B" w:rsidRPr="00DC1EE4" w:rsidRDefault="0028027B" w:rsidP="00C03F9E">
            <w:pPr>
              <w:pStyle w:val="Tabletextheading"/>
            </w:pPr>
            <w:r w:rsidRPr="00DC1EE4">
              <w:t>2018</w:t>
            </w:r>
            <w:r w:rsidR="005A4BB0">
              <w:noBreakHyphen/>
            </w:r>
            <w:r w:rsidRPr="00DC1EE4">
              <w:t>19 estimate</w:t>
            </w:r>
          </w:p>
        </w:tc>
      </w:tr>
      <w:tr w:rsidR="0028027B" w:rsidRPr="00DC1EE4" w:rsidTr="00C03F9E">
        <w:tc>
          <w:tcPr>
            <w:tcW w:w="10251" w:type="dxa"/>
            <w:gridSpan w:val="6"/>
            <w:tcBorders>
              <w:top w:val="single" w:sz="6" w:space="0" w:color="auto"/>
              <w:left w:val="nil"/>
              <w:bottom w:val="nil"/>
              <w:right w:val="nil"/>
            </w:tcBorders>
            <w:shd w:val="solid" w:color="FFFFFF" w:fill="auto"/>
          </w:tcPr>
          <w:p w:rsidR="0028027B" w:rsidRPr="00DC1EE4" w:rsidRDefault="0028027B" w:rsidP="00C03F9E">
            <w:pPr>
              <w:pStyle w:val="Tabletext"/>
              <w:rPr>
                <w:b/>
              </w:rPr>
            </w:pPr>
            <w:r w:rsidRPr="00DC1EE4">
              <w:rPr>
                <w:b/>
              </w:rPr>
              <w:t>Revenue from transactions</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Taxation revenue</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2</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19 024.5</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19 804.5</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20 402.8</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21 339.6</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Interest revenue</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830.8</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852.6</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862.6</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866.8</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Dividends and income tax equivalent and rate equivalent revenue</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3</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1 144.3</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988.8</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1 011.8</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1 052.4</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Sales of goods and services</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4</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6 779.1</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6 908.9</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7 016.3</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7 025.7</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Grant revenue</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5</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25 579.5</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26 089.6</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27 507.6</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28 605.4</w:t>
            </w:r>
          </w:p>
        </w:tc>
      </w:tr>
      <w:tr w:rsidR="0028027B" w:rsidRPr="00DC1EE4" w:rsidTr="00C03F9E">
        <w:tc>
          <w:tcPr>
            <w:tcW w:w="5535" w:type="dxa"/>
            <w:tcBorders>
              <w:top w:val="nil"/>
              <w:left w:val="nil"/>
              <w:bottom w:val="single" w:sz="6" w:space="0" w:color="000000"/>
              <w:right w:val="nil"/>
            </w:tcBorders>
            <w:shd w:val="solid" w:color="FFFFFF" w:fill="auto"/>
          </w:tcPr>
          <w:p w:rsidR="0028027B" w:rsidRPr="00DC1EE4" w:rsidRDefault="0028027B" w:rsidP="00C03F9E">
            <w:pPr>
              <w:pStyle w:val="Tabletext"/>
            </w:pPr>
            <w:r w:rsidRPr="00DC1EE4">
              <w:t>Other revenue</w:t>
            </w:r>
          </w:p>
        </w:tc>
        <w:tc>
          <w:tcPr>
            <w:tcW w:w="900" w:type="dxa"/>
            <w:tcBorders>
              <w:top w:val="nil"/>
              <w:left w:val="nil"/>
              <w:bottom w:val="single" w:sz="6" w:space="0" w:color="000000"/>
              <w:right w:val="nil"/>
            </w:tcBorders>
            <w:shd w:val="solid" w:color="FFFFFF" w:fill="auto"/>
          </w:tcPr>
          <w:p w:rsidR="0028027B" w:rsidRPr="00DC1EE4" w:rsidRDefault="0028027B" w:rsidP="00C03F9E">
            <w:pPr>
              <w:pStyle w:val="TableTextCentred"/>
            </w:pPr>
            <w:r w:rsidRPr="00DC1EE4">
              <w:t>6</w:t>
            </w:r>
          </w:p>
        </w:tc>
        <w:tc>
          <w:tcPr>
            <w:tcW w:w="990" w:type="dxa"/>
            <w:tcBorders>
              <w:top w:val="nil"/>
              <w:left w:val="nil"/>
              <w:bottom w:val="single" w:sz="6" w:space="0" w:color="000000"/>
              <w:right w:val="nil"/>
            </w:tcBorders>
            <w:shd w:val="solid" w:color="FFFFFF" w:fill="auto"/>
          </w:tcPr>
          <w:p w:rsidR="0028027B" w:rsidRPr="00DC1EE4" w:rsidRDefault="0028027B" w:rsidP="00C03F9E">
            <w:pPr>
              <w:pStyle w:val="TableofFigures"/>
            </w:pPr>
            <w:r w:rsidRPr="00DC1EE4">
              <w:t>2 170.6</w:t>
            </w:r>
          </w:p>
        </w:tc>
        <w:tc>
          <w:tcPr>
            <w:tcW w:w="990" w:type="dxa"/>
            <w:tcBorders>
              <w:top w:val="nil"/>
              <w:left w:val="nil"/>
              <w:bottom w:val="single" w:sz="6" w:space="0" w:color="000000"/>
              <w:right w:val="nil"/>
            </w:tcBorders>
            <w:shd w:val="solid" w:color="FFFFFF" w:fill="auto"/>
          </w:tcPr>
          <w:p w:rsidR="0028027B" w:rsidRPr="00DC1EE4" w:rsidRDefault="0028027B" w:rsidP="00C03F9E">
            <w:pPr>
              <w:pStyle w:val="TableofFigures"/>
            </w:pPr>
            <w:r w:rsidRPr="00DC1EE4">
              <w:t>2 249.4</w:t>
            </w:r>
          </w:p>
        </w:tc>
        <w:tc>
          <w:tcPr>
            <w:tcW w:w="900" w:type="dxa"/>
            <w:tcBorders>
              <w:top w:val="nil"/>
              <w:left w:val="nil"/>
              <w:bottom w:val="single" w:sz="6" w:space="0" w:color="000000"/>
              <w:right w:val="nil"/>
            </w:tcBorders>
            <w:shd w:val="solid" w:color="FFFFFF" w:fill="auto"/>
          </w:tcPr>
          <w:p w:rsidR="0028027B" w:rsidRPr="00DC1EE4" w:rsidRDefault="0028027B" w:rsidP="00C03F9E">
            <w:pPr>
              <w:pStyle w:val="TableofFigures"/>
            </w:pPr>
            <w:r w:rsidRPr="00DC1EE4">
              <w:t>2 235.4</w:t>
            </w:r>
          </w:p>
        </w:tc>
        <w:tc>
          <w:tcPr>
            <w:tcW w:w="936" w:type="dxa"/>
            <w:tcBorders>
              <w:top w:val="nil"/>
              <w:left w:val="nil"/>
              <w:bottom w:val="single" w:sz="6" w:space="0" w:color="000000"/>
              <w:right w:val="nil"/>
            </w:tcBorders>
            <w:shd w:val="solid" w:color="FFFFFF" w:fill="auto"/>
          </w:tcPr>
          <w:p w:rsidR="0028027B" w:rsidRPr="00DC1EE4" w:rsidRDefault="0028027B" w:rsidP="00C03F9E">
            <w:pPr>
              <w:pStyle w:val="TableofFigures"/>
            </w:pPr>
            <w:r w:rsidRPr="00DC1EE4">
              <w:t>2 289.1</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rPr>
                <w:b/>
              </w:rPr>
            </w:pPr>
            <w:r w:rsidRPr="00DC1EE4">
              <w:rPr>
                <w:b/>
              </w:rPr>
              <w:t>Total revenue from transactions</w:t>
            </w:r>
          </w:p>
        </w:tc>
        <w:tc>
          <w:tcPr>
            <w:tcW w:w="900" w:type="dxa"/>
            <w:tcBorders>
              <w:top w:val="nil"/>
              <w:left w:val="nil"/>
              <w:bottom w:val="nil"/>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nil"/>
              <w:left w:val="nil"/>
              <w:bottom w:val="nil"/>
              <w:right w:val="nil"/>
            </w:tcBorders>
            <w:shd w:val="solid" w:color="FFFFFF" w:fill="auto"/>
          </w:tcPr>
          <w:p w:rsidR="0028027B" w:rsidRPr="00DC1EE4" w:rsidRDefault="0028027B" w:rsidP="00C03F9E">
            <w:pPr>
              <w:pStyle w:val="TableofFigures"/>
              <w:rPr>
                <w:b/>
              </w:rPr>
            </w:pPr>
            <w:r w:rsidRPr="00DC1EE4">
              <w:rPr>
                <w:b/>
              </w:rPr>
              <w:t>55 528.7</w:t>
            </w:r>
          </w:p>
        </w:tc>
        <w:tc>
          <w:tcPr>
            <w:tcW w:w="990" w:type="dxa"/>
            <w:tcBorders>
              <w:top w:val="nil"/>
              <w:left w:val="nil"/>
              <w:bottom w:val="nil"/>
              <w:right w:val="nil"/>
            </w:tcBorders>
            <w:shd w:val="solid" w:color="FFFFFF" w:fill="auto"/>
          </w:tcPr>
          <w:p w:rsidR="0028027B" w:rsidRPr="00DC1EE4" w:rsidRDefault="0028027B" w:rsidP="00C03F9E">
            <w:pPr>
              <w:pStyle w:val="TableofFigures"/>
              <w:rPr>
                <w:b/>
              </w:rPr>
            </w:pPr>
            <w:r w:rsidRPr="00DC1EE4">
              <w:rPr>
                <w:b/>
              </w:rPr>
              <w:t>56 893.9</w:t>
            </w:r>
          </w:p>
        </w:tc>
        <w:tc>
          <w:tcPr>
            <w:tcW w:w="900" w:type="dxa"/>
            <w:tcBorders>
              <w:top w:val="nil"/>
              <w:left w:val="nil"/>
              <w:bottom w:val="nil"/>
              <w:right w:val="nil"/>
            </w:tcBorders>
            <w:shd w:val="solid" w:color="FFFFFF" w:fill="auto"/>
          </w:tcPr>
          <w:p w:rsidR="0028027B" w:rsidRPr="00DC1EE4" w:rsidRDefault="0028027B" w:rsidP="00C03F9E">
            <w:pPr>
              <w:pStyle w:val="TableofFigures"/>
              <w:rPr>
                <w:b/>
              </w:rPr>
            </w:pPr>
            <w:r w:rsidRPr="00DC1EE4">
              <w:rPr>
                <w:b/>
              </w:rPr>
              <w:t>59 036.6</w:t>
            </w:r>
          </w:p>
        </w:tc>
        <w:tc>
          <w:tcPr>
            <w:tcW w:w="936" w:type="dxa"/>
            <w:tcBorders>
              <w:top w:val="nil"/>
              <w:left w:val="nil"/>
              <w:bottom w:val="nil"/>
              <w:right w:val="nil"/>
            </w:tcBorders>
            <w:shd w:val="solid" w:color="FFFFFF" w:fill="auto"/>
          </w:tcPr>
          <w:p w:rsidR="0028027B" w:rsidRPr="00DC1EE4" w:rsidRDefault="0028027B" w:rsidP="00C03F9E">
            <w:pPr>
              <w:pStyle w:val="TableofFigures"/>
              <w:rPr>
                <w:b/>
              </w:rPr>
            </w:pPr>
            <w:r w:rsidRPr="00DC1EE4">
              <w:rPr>
                <w:b/>
              </w:rPr>
              <w:t>61 179.1</w:t>
            </w:r>
          </w:p>
        </w:tc>
      </w:tr>
      <w:tr w:rsidR="0028027B" w:rsidRPr="00DC1EE4" w:rsidTr="00C03F9E">
        <w:tc>
          <w:tcPr>
            <w:tcW w:w="10251" w:type="dxa"/>
            <w:gridSpan w:val="6"/>
            <w:tcBorders>
              <w:top w:val="nil"/>
              <w:left w:val="nil"/>
              <w:bottom w:val="nil"/>
              <w:right w:val="nil"/>
            </w:tcBorders>
            <w:shd w:val="solid" w:color="FFFFFF" w:fill="auto"/>
          </w:tcPr>
          <w:p w:rsidR="0028027B" w:rsidRPr="00DC1EE4" w:rsidRDefault="0028027B" w:rsidP="00C03F9E">
            <w:pPr>
              <w:pStyle w:val="Tabletext"/>
              <w:rPr>
                <w:b/>
              </w:rPr>
            </w:pPr>
            <w:r w:rsidRPr="00DC1EE4">
              <w:rPr>
                <w:b/>
              </w:rPr>
              <w:t>Expenses from transactions</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Employee expenses</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19 903.4</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20 568.2</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21 491.6</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22 346.0</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Net superannuation interest expense</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7a</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886.5</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859.5</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831.5</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798.2</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Other superannuation</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7a</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2 101.7</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2 107.1</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2 121.9</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2 147.4</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Depreciation</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8</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2 576.9</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2 721.6</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2 880.2</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3 146.1</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Interest expense</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9</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2 096.1</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2 099.1</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2 162.8</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2 118.3</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Grant expense</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10</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8 686.9</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9 148.6</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9 547.3</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9 849.3</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Other operating expenses</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11</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18 058.3</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17 993.3</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18 635.8</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18 945.4</w:t>
            </w:r>
          </w:p>
        </w:tc>
      </w:tr>
      <w:tr w:rsidR="0028027B" w:rsidRPr="00DC1EE4" w:rsidTr="00C03F9E">
        <w:tc>
          <w:tcPr>
            <w:tcW w:w="5535"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text"/>
              <w:rPr>
                <w:b/>
              </w:rPr>
            </w:pPr>
            <w:r w:rsidRPr="00DC1EE4">
              <w:rPr>
                <w:b/>
              </w:rPr>
              <w:t>Total expenses from transactions</w:t>
            </w:r>
          </w:p>
        </w:tc>
        <w:tc>
          <w:tcPr>
            <w:tcW w:w="900"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TextCentred"/>
              <w:rPr>
                <w:b/>
              </w:rPr>
            </w:pPr>
            <w:r w:rsidRPr="00DC1EE4">
              <w:rPr>
                <w:b/>
              </w:rPr>
              <w:t>12</w:t>
            </w:r>
          </w:p>
        </w:tc>
        <w:tc>
          <w:tcPr>
            <w:tcW w:w="990"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54 309.8</w:t>
            </w:r>
          </w:p>
        </w:tc>
        <w:tc>
          <w:tcPr>
            <w:tcW w:w="990"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55 497.4</w:t>
            </w:r>
          </w:p>
        </w:tc>
        <w:tc>
          <w:tcPr>
            <w:tcW w:w="900"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57 671.0</w:t>
            </w:r>
          </w:p>
        </w:tc>
        <w:tc>
          <w:tcPr>
            <w:tcW w:w="936"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59 350.7</w:t>
            </w:r>
          </w:p>
        </w:tc>
      </w:tr>
      <w:tr w:rsidR="0028027B" w:rsidRPr="00DC1EE4" w:rsidTr="00C03F9E">
        <w:tc>
          <w:tcPr>
            <w:tcW w:w="5535" w:type="dxa"/>
            <w:tcBorders>
              <w:top w:val="single" w:sz="6" w:space="0" w:color="000000"/>
              <w:left w:val="nil"/>
              <w:bottom w:val="single" w:sz="12" w:space="0" w:color="000000"/>
              <w:right w:val="nil"/>
            </w:tcBorders>
            <w:shd w:val="solid" w:color="FFFFFF" w:fill="auto"/>
          </w:tcPr>
          <w:p w:rsidR="0028027B" w:rsidRPr="00DC1EE4" w:rsidRDefault="0028027B" w:rsidP="00C03F9E">
            <w:pPr>
              <w:pStyle w:val="Tabletext"/>
              <w:rPr>
                <w:b/>
              </w:rPr>
            </w:pPr>
            <w:r w:rsidRPr="00DC1EE4">
              <w:rPr>
                <w:b/>
              </w:rPr>
              <w:t>Net result from transactions – net operating balance</w:t>
            </w:r>
          </w:p>
        </w:tc>
        <w:tc>
          <w:tcPr>
            <w:tcW w:w="900" w:type="dxa"/>
            <w:tcBorders>
              <w:top w:val="single" w:sz="6" w:space="0" w:color="000000"/>
              <w:left w:val="nil"/>
              <w:bottom w:val="single" w:sz="12" w:space="0" w:color="000000"/>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single" w:sz="6" w:space="0" w:color="000000"/>
              <w:left w:val="nil"/>
              <w:bottom w:val="single" w:sz="12" w:space="0" w:color="000000"/>
              <w:right w:val="nil"/>
            </w:tcBorders>
            <w:shd w:val="solid" w:color="FFFFFF" w:fill="auto"/>
          </w:tcPr>
          <w:p w:rsidR="0028027B" w:rsidRPr="00DC1EE4" w:rsidRDefault="0028027B" w:rsidP="00C03F9E">
            <w:pPr>
              <w:pStyle w:val="TableofFigures"/>
              <w:rPr>
                <w:b/>
              </w:rPr>
            </w:pPr>
            <w:r w:rsidRPr="00DC1EE4">
              <w:rPr>
                <w:b/>
              </w:rPr>
              <w:t>1 218.9</w:t>
            </w:r>
          </w:p>
        </w:tc>
        <w:tc>
          <w:tcPr>
            <w:tcW w:w="990" w:type="dxa"/>
            <w:tcBorders>
              <w:top w:val="single" w:sz="6" w:space="0" w:color="000000"/>
              <w:left w:val="nil"/>
              <w:bottom w:val="single" w:sz="12" w:space="0" w:color="000000"/>
              <w:right w:val="nil"/>
            </w:tcBorders>
            <w:shd w:val="solid" w:color="FFFFFF" w:fill="auto"/>
          </w:tcPr>
          <w:p w:rsidR="0028027B" w:rsidRPr="00DC1EE4" w:rsidRDefault="0028027B" w:rsidP="00C03F9E">
            <w:pPr>
              <w:pStyle w:val="TableofFigures"/>
              <w:rPr>
                <w:b/>
              </w:rPr>
            </w:pPr>
            <w:r w:rsidRPr="00DC1EE4">
              <w:rPr>
                <w:b/>
              </w:rPr>
              <w:t>1 396.5</w:t>
            </w:r>
          </w:p>
        </w:tc>
        <w:tc>
          <w:tcPr>
            <w:tcW w:w="900" w:type="dxa"/>
            <w:tcBorders>
              <w:top w:val="single" w:sz="6" w:space="0" w:color="000000"/>
              <w:left w:val="nil"/>
              <w:bottom w:val="single" w:sz="12" w:space="0" w:color="000000"/>
              <w:right w:val="nil"/>
            </w:tcBorders>
            <w:shd w:val="solid" w:color="FFFFFF" w:fill="auto"/>
          </w:tcPr>
          <w:p w:rsidR="0028027B" w:rsidRPr="00DC1EE4" w:rsidRDefault="0028027B" w:rsidP="00C03F9E">
            <w:pPr>
              <w:pStyle w:val="TableofFigures"/>
              <w:rPr>
                <w:b/>
              </w:rPr>
            </w:pPr>
            <w:r w:rsidRPr="00DC1EE4">
              <w:rPr>
                <w:b/>
              </w:rPr>
              <w:t>1 365.6</w:t>
            </w:r>
          </w:p>
        </w:tc>
        <w:tc>
          <w:tcPr>
            <w:tcW w:w="936" w:type="dxa"/>
            <w:tcBorders>
              <w:top w:val="single" w:sz="6" w:space="0" w:color="000000"/>
              <w:left w:val="nil"/>
              <w:bottom w:val="single" w:sz="12" w:space="0" w:color="000000"/>
              <w:right w:val="nil"/>
            </w:tcBorders>
            <w:shd w:val="solid" w:color="FFFFFF" w:fill="auto"/>
          </w:tcPr>
          <w:p w:rsidR="0028027B" w:rsidRPr="00DC1EE4" w:rsidRDefault="0028027B" w:rsidP="00C03F9E">
            <w:pPr>
              <w:pStyle w:val="TableofFigures"/>
              <w:rPr>
                <w:b/>
              </w:rPr>
            </w:pPr>
            <w:r w:rsidRPr="00DC1EE4">
              <w:rPr>
                <w:b/>
              </w:rPr>
              <w:t>1 828.4</w:t>
            </w:r>
          </w:p>
        </w:tc>
      </w:tr>
      <w:tr w:rsidR="0028027B" w:rsidRPr="00DC1EE4" w:rsidTr="00C03F9E">
        <w:trPr>
          <w:gridAfter w:val="1"/>
          <w:wAfter w:w="936" w:type="dxa"/>
        </w:trPr>
        <w:tc>
          <w:tcPr>
            <w:tcW w:w="9315" w:type="dxa"/>
            <w:gridSpan w:val="5"/>
            <w:tcBorders>
              <w:top w:val="nil"/>
              <w:left w:val="nil"/>
              <w:bottom w:val="nil"/>
              <w:right w:val="nil"/>
            </w:tcBorders>
            <w:shd w:val="solid" w:color="FFFFFF" w:fill="auto"/>
          </w:tcPr>
          <w:p w:rsidR="0028027B" w:rsidRPr="00DC1EE4" w:rsidRDefault="0028027B" w:rsidP="00C03F9E">
            <w:pPr>
              <w:pStyle w:val="Tabletext"/>
              <w:rPr>
                <w:b/>
              </w:rPr>
            </w:pPr>
            <w:r w:rsidRPr="00DC1EE4">
              <w:rPr>
                <w:b/>
              </w:rPr>
              <w:t>Other economic flows included in net result</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Net gain/(loss) on disposal of non</w:t>
            </w:r>
            <w:r w:rsidR="005A4BB0">
              <w:noBreakHyphen/>
            </w:r>
            <w:r w:rsidRPr="00DC1EE4">
              <w:t>financial assets</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63.6</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65.5</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74.4</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65.5</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Net gain/(loss) on financial assets or liabilities at fair value</w:t>
            </w:r>
          </w:p>
        </w:tc>
        <w:tc>
          <w:tcPr>
            <w:tcW w:w="900" w:type="dxa"/>
            <w:tcBorders>
              <w:top w:val="nil"/>
              <w:left w:val="nil"/>
              <w:bottom w:val="nil"/>
              <w:right w:val="nil"/>
            </w:tcBorders>
            <w:shd w:val="solid" w:color="FFFFFF" w:fill="auto"/>
          </w:tcPr>
          <w:p w:rsidR="0028027B" w:rsidRPr="00DC1EE4" w:rsidRDefault="0028027B" w:rsidP="00C03F9E">
            <w:pPr>
              <w:pStyle w:val="TableTextCentred"/>
            </w:pP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5 402.2</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10.2</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10.2</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 xml:space="preserve"> 10.2</w:t>
            </w:r>
          </w:p>
        </w:tc>
      </w:tr>
      <w:tr w:rsidR="0028027B" w:rsidRPr="00DC1EE4" w:rsidTr="00C03F9E">
        <w:tc>
          <w:tcPr>
            <w:tcW w:w="5535" w:type="dxa"/>
            <w:tcBorders>
              <w:top w:val="nil"/>
              <w:left w:val="nil"/>
              <w:bottom w:val="nil"/>
              <w:right w:val="nil"/>
            </w:tcBorders>
            <w:shd w:val="solid" w:color="FFFFFF" w:fill="auto"/>
          </w:tcPr>
          <w:p w:rsidR="0028027B" w:rsidRPr="00DC1EE4" w:rsidRDefault="0028027B" w:rsidP="00C03F9E">
            <w:pPr>
              <w:pStyle w:val="Tabletext"/>
            </w:pPr>
            <w:r w:rsidRPr="00DC1EE4">
              <w:t>Other gains/(losses) from other economic flows</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13</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(318.4)</w:t>
            </w:r>
          </w:p>
        </w:tc>
        <w:tc>
          <w:tcPr>
            <w:tcW w:w="990" w:type="dxa"/>
            <w:tcBorders>
              <w:top w:val="nil"/>
              <w:left w:val="nil"/>
              <w:bottom w:val="nil"/>
              <w:right w:val="nil"/>
            </w:tcBorders>
            <w:shd w:val="solid" w:color="FFFFFF" w:fill="auto"/>
          </w:tcPr>
          <w:p w:rsidR="0028027B" w:rsidRPr="00DC1EE4" w:rsidRDefault="0028027B" w:rsidP="00C03F9E">
            <w:pPr>
              <w:pStyle w:val="TableofFigures"/>
            </w:pPr>
            <w:r w:rsidRPr="00DC1EE4">
              <w:t>(331.5)</w:t>
            </w:r>
          </w:p>
        </w:tc>
        <w:tc>
          <w:tcPr>
            <w:tcW w:w="900" w:type="dxa"/>
            <w:tcBorders>
              <w:top w:val="nil"/>
              <w:left w:val="nil"/>
              <w:bottom w:val="nil"/>
              <w:right w:val="nil"/>
            </w:tcBorders>
            <w:shd w:val="solid" w:color="FFFFFF" w:fill="auto"/>
          </w:tcPr>
          <w:p w:rsidR="0028027B" w:rsidRPr="00DC1EE4" w:rsidRDefault="0028027B" w:rsidP="00C03F9E">
            <w:pPr>
              <w:pStyle w:val="TableofFigures"/>
            </w:pPr>
            <w:r w:rsidRPr="00DC1EE4">
              <w:t>(340.2)</w:t>
            </w:r>
          </w:p>
        </w:tc>
        <w:tc>
          <w:tcPr>
            <w:tcW w:w="936" w:type="dxa"/>
            <w:tcBorders>
              <w:top w:val="nil"/>
              <w:left w:val="nil"/>
              <w:bottom w:val="nil"/>
              <w:right w:val="nil"/>
            </w:tcBorders>
            <w:shd w:val="solid" w:color="FFFFFF" w:fill="auto"/>
          </w:tcPr>
          <w:p w:rsidR="0028027B" w:rsidRPr="00DC1EE4" w:rsidRDefault="0028027B" w:rsidP="00C03F9E">
            <w:pPr>
              <w:pStyle w:val="TableofFigures"/>
            </w:pPr>
            <w:r w:rsidRPr="00DC1EE4">
              <w:t>(350.7)</w:t>
            </w:r>
          </w:p>
        </w:tc>
      </w:tr>
      <w:tr w:rsidR="0028027B" w:rsidRPr="00DC1EE4" w:rsidTr="00C03F9E">
        <w:tc>
          <w:tcPr>
            <w:tcW w:w="5535" w:type="dxa"/>
            <w:tcBorders>
              <w:top w:val="single" w:sz="6" w:space="0" w:color="000000"/>
              <w:left w:val="nil"/>
              <w:bottom w:val="nil"/>
              <w:right w:val="nil"/>
            </w:tcBorders>
            <w:shd w:val="solid" w:color="FFFFFF" w:fill="auto"/>
          </w:tcPr>
          <w:p w:rsidR="0028027B" w:rsidRPr="00DC1EE4" w:rsidRDefault="0028027B" w:rsidP="00C03F9E">
            <w:pPr>
              <w:pStyle w:val="Tabletext"/>
              <w:rPr>
                <w:b/>
              </w:rPr>
            </w:pPr>
            <w:r w:rsidRPr="00DC1EE4">
              <w:rPr>
                <w:b/>
              </w:rPr>
              <w:t>Total other economic flows included in net result</w:t>
            </w:r>
          </w:p>
        </w:tc>
        <w:tc>
          <w:tcPr>
            <w:tcW w:w="900" w:type="dxa"/>
            <w:tcBorders>
              <w:top w:val="single" w:sz="6" w:space="0" w:color="000000"/>
              <w:left w:val="nil"/>
              <w:bottom w:val="nil"/>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single" w:sz="6" w:space="0" w:color="000000"/>
              <w:left w:val="nil"/>
              <w:bottom w:val="nil"/>
              <w:right w:val="nil"/>
            </w:tcBorders>
            <w:shd w:val="solid" w:color="FFFFFF" w:fill="auto"/>
          </w:tcPr>
          <w:p w:rsidR="0028027B" w:rsidRPr="00DC1EE4" w:rsidRDefault="0028027B" w:rsidP="00C03F9E">
            <w:pPr>
              <w:pStyle w:val="TableofFigures"/>
              <w:rPr>
                <w:b/>
              </w:rPr>
            </w:pPr>
            <w:r w:rsidRPr="00DC1EE4">
              <w:rPr>
                <w:b/>
              </w:rPr>
              <w:t>5 147.4</w:t>
            </w:r>
          </w:p>
        </w:tc>
        <w:tc>
          <w:tcPr>
            <w:tcW w:w="990" w:type="dxa"/>
            <w:tcBorders>
              <w:top w:val="single" w:sz="6" w:space="0" w:color="000000"/>
              <w:left w:val="nil"/>
              <w:bottom w:val="nil"/>
              <w:right w:val="nil"/>
            </w:tcBorders>
            <w:shd w:val="solid" w:color="FFFFFF" w:fill="auto"/>
          </w:tcPr>
          <w:p w:rsidR="0028027B" w:rsidRPr="00DC1EE4" w:rsidRDefault="0028027B" w:rsidP="00C03F9E">
            <w:pPr>
              <w:pStyle w:val="TableofFigures"/>
              <w:rPr>
                <w:b/>
              </w:rPr>
            </w:pPr>
            <w:r w:rsidRPr="00DC1EE4">
              <w:rPr>
                <w:b/>
              </w:rPr>
              <w:t>(255.7)</w:t>
            </w:r>
          </w:p>
        </w:tc>
        <w:tc>
          <w:tcPr>
            <w:tcW w:w="900" w:type="dxa"/>
            <w:tcBorders>
              <w:top w:val="single" w:sz="6" w:space="0" w:color="000000"/>
              <w:left w:val="nil"/>
              <w:bottom w:val="nil"/>
              <w:right w:val="nil"/>
            </w:tcBorders>
            <w:shd w:val="solid" w:color="FFFFFF" w:fill="auto"/>
          </w:tcPr>
          <w:p w:rsidR="0028027B" w:rsidRPr="00DC1EE4" w:rsidRDefault="0028027B" w:rsidP="00C03F9E">
            <w:pPr>
              <w:pStyle w:val="TableofFigures"/>
              <w:rPr>
                <w:b/>
              </w:rPr>
            </w:pPr>
            <w:r w:rsidRPr="00DC1EE4">
              <w:rPr>
                <w:b/>
              </w:rPr>
              <w:t>(255.6)</w:t>
            </w:r>
          </w:p>
        </w:tc>
        <w:tc>
          <w:tcPr>
            <w:tcW w:w="936" w:type="dxa"/>
            <w:tcBorders>
              <w:top w:val="single" w:sz="6" w:space="0" w:color="000000"/>
              <w:left w:val="nil"/>
              <w:bottom w:val="nil"/>
              <w:right w:val="nil"/>
            </w:tcBorders>
            <w:shd w:val="solid" w:color="FFFFFF" w:fill="auto"/>
          </w:tcPr>
          <w:p w:rsidR="0028027B" w:rsidRPr="00DC1EE4" w:rsidRDefault="0028027B" w:rsidP="00C03F9E">
            <w:pPr>
              <w:pStyle w:val="TableofFigures"/>
              <w:rPr>
                <w:b/>
              </w:rPr>
            </w:pPr>
            <w:r w:rsidRPr="00DC1EE4">
              <w:rPr>
                <w:b/>
              </w:rPr>
              <w:t>(275.0)</w:t>
            </w:r>
          </w:p>
        </w:tc>
      </w:tr>
      <w:tr w:rsidR="0028027B" w:rsidRPr="00DC1EE4" w:rsidTr="00C03F9E">
        <w:tc>
          <w:tcPr>
            <w:tcW w:w="5535"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text"/>
              <w:rPr>
                <w:b/>
              </w:rPr>
            </w:pPr>
            <w:r w:rsidRPr="00DC1EE4">
              <w:rPr>
                <w:b/>
              </w:rPr>
              <w:t>Net result</w:t>
            </w:r>
          </w:p>
        </w:tc>
        <w:tc>
          <w:tcPr>
            <w:tcW w:w="900"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6 366.3</w:t>
            </w:r>
          </w:p>
        </w:tc>
        <w:tc>
          <w:tcPr>
            <w:tcW w:w="990"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1 140.8</w:t>
            </w:r>
          </w:p>
        </w:tc>
        <w:tc>
          <w:tcPr>
            <w:tcW w:w="900"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1 110.1</w:t>
            </w:r>
          </w:p>
        </w:tc>
        <w:tc>
          <w:tcPr>
            <w:tcW w:w="936" w:type="dxa"/>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1 553.4</w:t>
            </w:r>
          </w:p>
        </w:tc>
      </w:tr>
    </w:tbl>
    <w:p w:rsidR="0028027B" w:rsidRPr="00DC1EE4" w:rsidRDefault="0028027B" w:rsidP="0028027B">
      <w:pPr>
        <w:pStyle w:val="Source"/>
      </w:pPr>
    </w:p>
    <w:p w:rsidR="0028027B" w:rsidRPr="00DC1EE4" w:rsidRDefault="0028027B" w:rsidP="0028027B"/>
    <w:p w:rsidR="0028027B" w:rsidRPr="00DC1EE4" w:rsidRDefault="0028027B" w:rsidP="0028027B">
      <w:pPr>
        <w:spacing w:line="240" w:lineRule="atLeast"/>
      </w:pPr>
      <w:r w:rsidRPr="00DC1EE4">
        <w:br w:type="page"/>
      </w:r>
    </w:p>
    <w:p w:rsidR="0028027B" w:rsidRPr="00DC1EE4" w:rsidRDefault="0028027B" w:rsidP="0028027B">
      <w:pPr>
        <w:pStyle w:val="SmallLine"/>
      </w:pPr>
    </w:p>
    <w:tbl>
      <w:tblPr>
        <w:tblW w:w="5000" w:type="pct"/>
        <w:tblCellMar>
          <w:left w:w="45" w:type="dxa"/>
          <w:right w:w="45" w:type="dxa"/>
        </w:tblCellMar>
        <w:tblLook w:val="0000" w:firstRow="0" w:lastRow="0" w:firstColumn="0" w:lastColumn="0" w:noHBand="0" w:noVBand="0"/>
      </w:tblPr>
      <w:tblGrid>
        <w:gridCol w:w="5534"/>
        <w:gridCol w:w="902"/>
        <w:gridCol w:w="990"/>
        <w:gridCol w:w="992"/>
        <w:gridCol w:w="899"/>
        <w:gridCol w:w="951"/>
      </w:tblGrid>
      <w:tr w:rsidR="0028027B" w:rsidRPr="00DC1EE4" w:rsidTr="00C03F9E">
        <w:trPr>
          <w:tblHeader/>
        </w:trPr>
        <w:tc>
          <w:tcPr>
            <w:tcW w:w="2695" w:type="pct"/>
            <w:tcBorders>
              <w:top w:val="single" w:sz="6" w:space="0" w:color="auto"/>
              <w:left w:val="single" w:sz="6" w:space="0" w:color="auto"/>
              <w:bottom w:val="single" w:sz="6" w:space="0" w:color="auto"/>
              <w:right w:val="nil"/>
            </w:tcBorders>
            <w:shd w:val="clear" w:color="000000" w:fill="000000"/>
          </w:tcPr>
          <w:p w:rsidR="0028027B" w:rsidRPr="00DC1EE4" w:rsidRDefault="0028027B" w:rsidP="00C03F9E">
            <w:pPr>
              <w:pStyle w:val="Tabletext"/>
            </w:pPr>
          </w:p>
        </w:tc>
        <w:tc>
          <w:tcPr>
            <w:tcW w:w="439" w:type="pct"/>
            <w:tcBorders>
              <w:top w:val="single" w:sz="6" w:space="0" w:color="auto"/>
              <w:left w:val="nil"/>
              <w:bottom w:val="single" w:sz="6" w:space="0" w:color="auto"/>
              <w:right w:val="nil"/>
            </w:tcBorders>
            <w:shd w:val="clear" w:color="000000" w:fill="000000"/>
          </w:tcPr>
          <w:p w:rsidR="0028027B" w:rsidRPr="00DC1EE4" w:rsidRDefault="0028027B" w:rsidP="00C03F9E">
            <w:pPr>
              <w:pStyle w:val="TabletextheadingCentred"/>
            </w:pPr>
            <w:r w:rsidRPr="00DC1EE4">
              <w:br/>
              <w:t>Notes</w:t>
            </w:r>
          </w:p>
        </w:tc>
        <w:tc>
          <w:tcPr>
            <w:tcW w:w="482" w:type="pct"/>
            <w:tcBorders>
              <w:top w:val="single" w:sz="6" w:space="0" w:color="auto"/>
              <w:left w:val="nil"/>
              <w:bottom w:val="single" w:sz="6" w:space="0" w:color="auto"/>
              <w:right w:val="nil"/>
            </w:tcBorders>
            <w:shd w:val="clear" w:color="000000" w:fill="000000"/>
          </w:tcPr>
          <w:p w:rsidR="0028027B" w:rsidRPr="00DC1EE4" w:rsidRDefault="0028027B" w:rsidP="00C03F9E">
            <w:pPr>
              <w:pStyle w:val="Tabletextheading"/>
            </w:pPr>
            <w:r w:rsidRPr="00DC1EE4">
              <w:t>2015</w:t>
            </w:r>
            <w:r w:rsidR="005A4BB0">
              <w:noBreakHyphen/>
            </w:r>
            <w:r w:rsidRPr="00DC1EE4">
              <w:t>16</w:t>
            </w:r>
            <w:r w:rsidRPr="00DC1EE4">
              <w:br/>
              <w:t>budget</w:t>
            </w:r>
          </w:p>
        </w:tc>
        <w:tc>
          <w:tcPr>
            <w:tcW w:w="483" w:type="pct"/>
            <w:tcBorders>
              <w:top w:val="single" w:sz="6" w:space="0" w:color="auto"/>
              <w:left w:val="nil"/>
              <w:bottom w:val="single" w:sz="6" w:space="0" w:color="auto"/>
              <w:right w:val="nil"/>
            </w:tcBorders>
            <w:shd w:val="clear" w:color="000000" w:fill="000000"/>
          </w:tcPr>
          <w:p w:rsidR="0028027B" w:rsidRPr="00DC1EE4" w:rsidRDefault="0028027B" w:rsidP="00C03F9E">
            <w:pPr>
              <w:pStyle w:val="Tabletextheading"/>
            </w:pPr>
            <w:r w:rsidRPr="00DC1EE4">
              <w:t>2016</w:t>
            </w:r>
            <w:r w:rsidR="005A4BB0">
              <w:noBreakHyphen/>
            </w:r>
            <w:r w:rsidRPr="00DC1EE4">
              <w:t>17 estimate</w:t>
            </w:r>
          </w:p>
        </w:tc>
        <w:tc>
          <w:tcPr>
            <w:tcW w:w="438" w:type="pct"/>
            <w:tcBorders>
              <w:top w:val="single" w:sz="6" w:space="0" w:color="auto"/>
              <w:left w:val="nil"/>
              <w:bottom w:val="single" w:sz="6" w:space="0" w:color="auto"/>
              <w:right w:val="nil"/>
            </w:tcBorders>
            <w:shd w:val="clear" w:color="000000" w:fill="000000"/>
          </w:tcPr>
          <w:p w:rsidR="0028027B" w:rsidRPr="00DC1EE4" w:rsidRDefault="0028027B" w:rsidP="00C03F9E">
            <w:pPr>
              <w:pStyle w:val="Tabletextheading"/>
            </w:pPr>
            <w:r w:rsidRPr="00DC1EE4">
              <w:t>2017</w:t>
            </w:r>
            <w:r w:rsidR="005A4BB0">
              <w:noBreakHyphen/>
            </w:r>
            <w:r w:rsidRPr="00DC1EE4">
              <w:t>18 estimate</w:t>
            </w:r>
          </w:p>
        </w:tc>
        <w:tc>
          <w:tcPr>
            <w:tcW w:w="463" w:type="pct"/>
            <w:tcBorders>
              <w:top w:val="single" w:sz="6" w:space="0" w:color="auto"/>
              <w:left w:val="nil"/>
              <w:bottom w:val="single" w:sz="6" w:space="0" w:color="auto"/>
              <w:right w:val="single" w:sz="6" w:space="0" w:color="auto"/>
            </w:tcBorders>
            <w:shd w:val="clear" w:color="000000" w:fill="000000"/>
          </w:tcPr>
          <w:p w:rsidR="0028027B" w:rsidRPr="00DC1EE4" w:rsidRDefault="0028027B" w:rsidP="00C03F9E">
            <w:pPr>
              <w:pStyle w:val="Tabletextheading"/>
            </w:pPr>
            <w:r w:rsidRPr="00DC1EE4">
              <w:t>2018</w:t>
            </w:r>
            <w:r w:rsidR="005A4BB0">
              <w:noBreakHyphen/>
            </w:r>
            <w:r w:rsidRPr="00DC1EE4">
              <w:t>19 estimate</w:t>
            </w:r>
          </w:p>
        </w:tc>
      </w:tr>
      <w:tr w:rsidR="0028027B" w:rsidRPr="00DC1EE4" w:rsidTr="00C03F9E">
        <w:tc>
          <w:tcPr>
            <w:tcW w:w="5000" w:type="pct"/>
            <w:gridSpan w:val="6"/>
            <w:tcBorders>
              <w:top w:val="nil"/>
              <w:left w:val="nil"/>
              <w:bottom w:val="nil"/>
              <w:right w:val="nil"/>
            </w:tcBorders>
            <w:shd w:val="solid" w:color="FFFFFF" w:fill="auto"/>
          </w:tcPr>
          <w:p w:rsidR="0028027B" w:rsidRPr="00DC1EE4" w:rsidRDefault="0028027B" w:rsidP="00C03F9E">
            <w:pPr>
              <w:pStyle w:val="Tabletext"/>
              <w:rPr>
                <w:b/>
              </w:rPr>
            </w:pPr>
            <w:r w:rsidRPr="00DC1EE4">
              <w:rPr>
                <w:b/>
              </w:rPr>
              <w:t>Other economic flows – other comprehensive income</w:t>
            </w:r>
          </w:p>
        </w:tc>
      </w:tr>
      <w:tr w:rsidR="0028027B" w:rsidRPr="00DC1EE4" w:rsidTr="00C03F9E">
        <w:tc>
          <w:tcPr>
            <w:tcW w:w="5000" w:type="pct"/>
            <w:gridSpan w:val="6"/>
            <w:tcBorders>
              <w:top w:val="nil"/>
              <w:left w:val="nil"/>
              <w:bottom w:val="nil"/>
              <w:right w:val="nil"/>
            </w:tcBorders>
            <w:shd w:val="solid" w:color="FFFFFF" w:fill="auto"/>
          </w:tcPr>
          <w:p w:rsidR="0028027B" w:rsidRPr="00DC1EE4" w:rsidRDefault="0028027B" w:rsidP="00C03F9E">
            <w:pPr>
              <w:pStyle w:val="Tabletext"/>
              <w:rPr>
                <w:b/>
              </w:rPr>
            </w:pPr>
            <w:r w:rsidRPr="00DC1EE4">
              <w:rPr>
                <w:b/>
              </w:rPr>
              <w:t>Items that will not be reclassified to net result</w:t>
            </w:r>
          </w:p>
        </w:tc>
      </w:tr>
      <w:tr w:rsidR="0028027B" w:rsidRPr="00DC1EE4" w:rsidTr="00C03F9E">
        <w:tc>
          <w:tcPr>
            <w:tcW w:w="2695" w:type="pct"/>
            <w:tcBorders>
              <w:top w:val="nil"/>
              <w:left w:val="nil"/>
              <w:bottom w:val="nil"/>
              <w:right w:val="nil"/>
            </w:tcBorders>
            <w:shd w:val="solid" w:color="FFFFFF" w:fill="auto"/>
          </w:tcPr>
          <w:p w:rsidR="0028027B" w:rsidRPr="00DC1EE4" w:rsidRDefault="0028027B" w:rsidP="00C03F9E">
            <w:pPr>
              <w:pStyle w:val="Tabletext"/>
            </w:pPr>
            <w:r w:rsidRPr="00DC1EE4">
              <w:t>Changes in non</w:t>
            </w:r>
            <w:r w:rsidR="005A4BB0">
              <w:noBreakHyphen/>
            </w:r>
            <w:r w:rsidRPr="00DC1EE4">
              <w:t>financial assets revaluation surplus</w:t>
            </w:r>
          </w:p>
        </w:tc>
        <w:tc>
          <w:tcPr>
            <w:tcW w:w="439" w:type="pct"/>
            <w:tcBorders>
              <w:top w:val="nil"/>
              <w:left w:val="nil"/>
              <w:bottom w:val="nil"/>
              <w:right w:val="nil"/>
            </w:tcBorders>
            <w:shd w:val="solid" w:color="FFFFFF" w:fill="auto"/>
          </w:tcPr>
          <w:p w:rsidR="0028027B" w:rsidRPr="00DC1EE4" w:rsidRDefault="0028027B" w:rsidP="00C03F9E">
            <w:pPr>
              <w:pStyle w:val="TableTextCentred"/>
            </w:pPr>
            <w:r w:rsidRPr="00DC1EE4">
              <w:t xml:space="preserve"> </w:t>
            </w:r>
          </w:p>
        </w:tc>
        <w:tc>
          <w:tcPr>
            <w:tcW w:w="482"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755.8</w:t>
            </w:r>
          </w:p>
        </w:tc>
        <w:tc>
          <w:tcPr>
            <w:tcW w:w="483"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513.0</w:t>
            </w:r>
          </w:p>
        </w:tc>
        <w:tc>
          <w:tcPr>
            <w:tcW w:w="438" w:type="pct"/>
            <w:tcBorders>
              <w:top w:val="nil"/>
              <w:left w:val="nil"/>
              <w:bottom w:val="nil"/>
              <w:right w:val="nil"/>
            </w:tcBorders>
            <w:shd w:val="solid" w:color="FFFFFF" w:fill="auto"/>
          </w:tcPr>
          <w:p w:rsidR="0028027B" w:rsidRPr="00DC1EE4" w:rsidRDefault="0028027B" w:rsidP="00C03F9E">
            <w:pPr>
              <w:pStyle w:val="TableofFigures"/>
            </w:pPr>
            <w:r w:rsidRPr="00DC1EE4">
              <w:t>9 501.1</w:t>
            </w:r>
          </w:p>
        </w:tc>
        <w:tc>
          <w:tcPr>
            <w:tcW w:w="463"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421.8</w:t>
            </w:r>
          </w:p>
        </w:tc>
      </w:tr>
      <w:tr w:rsidR="0028027B" w:rsidRPr="00DC1EE4" w:rsidTr="00C03F9E">
        <w:tc>
          <w:tcPr>
            <w:tcW w:w="2695" w:type="pct"/>
            <w:tcBorders>
              <w:top w:val="nil"/>
              <w:left w:val="nil"/>
              <w:bottom w:val="nil"/>
              <w:right w:val="nil"/>
            </w:tcBorders>
            <w:shd w:val="solid" w:color="FFFFFF" w:fill="auto"/>
          </w:tcPr>
          <w:p w:rsidR="0028027B" w:rsidRPr="00DC1EE4" w:rsidRDefault="0028027B" w:rsidP="00C03F9E">
            <w:pPr>
              <w:pStyle w:val="Tabletext"/>
            </w:pPr>
            <w:r w:rsidRPr="00DC1EE4">
              <w:t>Remeasurement of superannuation defined benefit plans</w:t>
            </w:r>
          </w:p>
        </w:tc>
        <w:tc>
          <w:tcPr>
            <w:tcW w:w="439" w:type="pct"/>
            <w:tcBorders>
              <w:top w:val="nil"/>
              <w:left w:val="nil"/>
              <w:bottom w:val="nil"/>
              <w:right w:val="nil"/>
            </w:tcBorders>
            <w:shd w:val="solid" w:color="FFFFFF" w:fill="auto"/>
          </w:tcPr>
          <w:p w:rsidR="0028027B" w:rsidRPr="00DC1EE4" w:rsidRDefault="0028027B" w:rsidP="00C03F9E">
            <w:pPr>
              <w:pStyle w:val="TableTextCentred"/>
            </w:pPr>
            <w:r w:rsidRPr="00DC1EE4">
              <w:t>7a</w:t>
            </w:r>
          </w:p>
        </w:tc>
        <w:tc>
          <w:tcPr>
            <w:tcW w:w="482"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962.4</w:t>
            </w:r>
          </w:p>
        </w:tc>
        <w:tc>
          <w:tcPr>
            <w:tcW w:w="483"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995.0</w:t>
            </w:r>
          </w:p>
        </w:tc>
        <w:tc>
          <w:tcPr>
            <w:tcW w:w="438" w:type="pct"/>
            <w:tcBorders>
              <w:top w:val="nil"/>
              <w:left w:val="nil"/>
              <w:bottom w:val="nil"/>
              <w:right w:val="nil"/>
            </w:tcBorders>
            <w:shd w:val="solid" w:color="FFFFFF" w:fill="auto"/>
          </w:tcPr>
          <w:p w:rsidR="0028027B" w:rsidRPr="00DC1EE4" w:rsidRDefault="0028027B" w:rsidP="00C03F9E">
            <w:pPr>
              <w:pStyle w:val="TableofFigures"/>
            </w:pPr>
            <w:r w:rsidRPr="00DC1EE4">
              <w:t>1 027.3</w:t>
            </w:r>
          </w:p>
        </w:tc>
        <w:tc>
          <w:tcPr>
            <w:tcW w:w="463" w:type="pct"/>
            <w:tcBorders>
              <w:top w:val="nil"/>
              <w:left w:val="nil"/>
              <w:bottom w:val="nil"/>
              <w:right w:val="nil"/>
            </w:tcBorders>
            <w:shd w:val="solid" w:color="FFFFFF" w:fill="auto"/>
          </w:tcPr>
          <w:p w:rsidR="0028027B" w:rsidRPr="00DC1EE4" w:rsidRDefault="0028027B" w:rsidP="00C03F9E">
            <w:pPr>
              <w:pStyle w:val="TableofFigures"/>
            </w:pPr>
            <w:r w:rsidRPr="00DC1EE4">
              <w:t>1 062.8</w:t>
            </w:r>
          </w:p>
        </w:tc>
      </w:tr>
      <w:tr w:rsidR="0028027B" w:rsidRPr="00DC1EE4" w:rsidTr="00C03F9E">
        <w:tc>
          <w:tcPr>
            <w:tcW w:w="2695" w:type="pct"/>
            <w:tcBorders>
              <w:top w:val="nil"/>
              <w:left w:val="nil"/>
              <w:bottom w:val="nil"/>
              <w:right w:val="nil"/>
            </w:tcBorders>
            <w:shd w:val="solid" w:color="FFFFFF" w:fill="auto"/>
          </w:tcPr>
          <w:p w:rsidR="0028027B" w:rsidRPr="00DC1EE4" w:rsidRDefault="0028027B" w:rsidP="00C03F9E">
            <w:pPr>
              <w:pStyle w:val="Tabletext"/>
              <w:ind w:left="284" w:hanging="284"/>
            </w:pPr>
            <w:r w:rsidRPr="00DC1EE4">
              <w:t>Net gain/(loss) on equity investments in other sector entities at proportional share of the carrying amount of net assets</w:t>
            </w:r>
          </w:p>
        </w:tc>
        <w:tc>
          <w:tcPr>
            <w:tcW w:w="439" w:type="pct"/>
            <w:tcBorders>
              <w:top w:val="nil"/>
              <w:left w:val="nil"/>
              <w:bottom w:val="nil"/>
              <w:right w:val="nil"/>
            </w:tcBorders>
            <w:shd w:val="solid" w:color="FFFFFF" w:fill="auto"/>
          </w:tcPr>
          <w:p w:rsidR="0028027B" w:rsidRPr="00DC1EE4" w:rsidRDefault="0028027B" w:rsidP="00C03F9E">
            <w:pPr>
              <w:pStyle w:val="TableTextCentred"/>
            </w:pPr>
            <w:r w:rsidRPr="00DC1EE4">
              <w:t>14</w:t>
            </w:r>
          </w:p>
        </w:tc>
        <w:tc>
          <w:tcPr>
            <w:tcW w:w="482"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1.5</w:t>
            </w:r>
          </w:p>
        </w:tc>
        <w:tc>
          <w:tcPr>
            <w:tcW w:w="483" w:type="pct"/>
            <w:tcBorders>
              <w:top w:val="nil"/>
              <w:left w:val="nil"/>
              <w:bottom w:val="nil"/>
              <w:right w:val="nil"/>
            </w:tcBorders>
            <w:shd w:val="solid" w:color="FFFFFF" w:fill="auto"/>
          </w:tcPr>
          <w:p w:rsidR="0028027B" w:rsidRPr="00DC1EE4" w:rsidRDefault="0028027B" w:rsidP="00C03F9E">
            <w:pPr>
              <w:pStyle w:val="TableofFigures"/>
            </w:pPr>
            <w:r w:rsidRPr="00DC1EE4">
              <w:t>(378.0)</w:t>
            </w:r>
          </w:p>
        </w:tc>
        <w:tc>
          <w:tcPr>
            <w:tcW w:w="438" w:type="pct"/>
            <w:tcBorders>
              <w:top w:val="nil"/>
              <w:left w:val="nil"/>
              <w:bottom w:val="nil"/>
              <w:right w:val="nil"/>
            </w:tcBorders>
            <w:shd w:val="solid" w:color="FFFFFF" w:fill="auto"/>
          </w:tcPr>
          <w:p w:rsidR="0028027B" w:rsidRPr="00DC1EE4" w:rsidRDefault="0028027B" w:rsidP="00C03F9E">
            <w:pPr>
              <w:pStyle w:val="TableofFigures"/>
            </w:pPr>
            <w:r w:rsidRPr="00DC1EE4">
              <w:t>(222.8)</w:t>
            </w:r>
          </w:p>
        </w:tc>
        <w:tc>
          <w:tcPr>
            <w:tcW w:w="463" w:type="pct"/>
            <w:tcBorders>
              <w:top w:val="nil"/>
              <w:left w:val="nil"/>
              <w:bottom w:val="nil"/>
              <w:right w:val="nil"/>
            </w:tcBorders>
            <w:shd w:val="solid" w:color="FFFFFF" w:fill="auto"/>
          </w:tcPr>
          <w:p w:rsidR="0028027B" w:rsidRPr="00DC1EE4" w:rsidRDefault="0028027B" w:rsidP="00C03F9E">
            <w:pPr>
              <w:pStyle w:val="TableofFigures"/>
            </w:pPr>
            <w:r w:rsidRPr="00DC1EE4">
              <w:t>(255.4)</w:t>
            </w:r>
          </w:p>
        </w:tc>
      </w:tr>
      <w:tr w:rsidR="0028027B" w:rsidRPr="00DC1EE4" w:rsidTr="00C03F9E">
        <w:tc>
          <w:tcPr>
            <w:tcW w:w="2695" w:type="pct"/>
            <w:tcBorders>
              <w:top w:val="nil"/>
              <w:left w:val="nil"/>
              <w:bottom w:val="nil"/>
              <w:right w:val="nil"/>
            </w:tcBorders>
            <w:shd w:val="solid" w:color="FFFFFF" w:fill="auto"/>
          </w:tcPr>
          <w:p w:rsidR="0028027B" w:rsidRPr="00DC1EE4" w:rsidRDefault="0028027B" w:rsidP="00C03F9E">
            <w:pPr>
              <w:pStyle w:val="Tabletext"/>
            </w:pPr>
            <w:r w:rsidRPr="00DC1EE4">
              <w:t>Other movements in equity</w:t>
            </w:r>
          </w:p>
        </w:tc>
        <w:tc>
          <w:tcPr>
            <w:tcW w:w="439" w:type="pct"/>
            <w:tcBorders>
              <w:top w:val="nil"/>
              <w:left w:val="nil"/>
              <w:bottom w:val="nil"/>
              <w:right w:val="nil"/>
            </w:tcBorders>
            <w:shd w:val="solid" w:color="FFFFFF" w:fill="auto"/>
          </w:tcPr>
          <w:p w:rsidR="0028027B" w:rsidRPr="00DC1EE4" w:rsidRDefault="0028027B" w:rsidP="00C03F9E">
            <w:pPr>
              <w:pStyle w:val="TableTextCentred"/>
            </w:pPr>
            <w:r w:rsidRPr="00DC1EE4">
              <w:t xml:space="preserve"> </w:t>
            </w:r>
          </w:p>
        </w:tc>
        <w:tc>
          <w:tcPr>
            <w:tcW w:w="482"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5.7</w:t>
            </w:r>
          </w:p>
        </w:tc>
        <w:tc>
          <w:tcPr>
            <w:tcW w:w="483"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1.1</w:t>
            </w:r>
          </w:p>
        </w:tc>
        <w:tc>
          <w:tcPr>
            <w:tcW w:w="438"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5.3</w:t>
            </w:r>
          </w:p>
        </w:tc>
        <w:tc>
          <w:tcPr>
            <w:tcW w:w="463"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24.1</w:t>
            </w:r>
          </w:p>
        </w:tc>
      </w:tr>
      <w:tr w:rsidR="0028027B" w:rsidRPr="00DC1EE4" w:rsidTr="00C03F9E">
        <w:tc>
          <w:tcPr>
            <w:tcW w:w="5000" w:type="pct"/>
            <w:gridSpan w:val="6"/>
            <w:tcBorders>
              <w:top w:val="nil"/>
              <w:left w:val="nil"/>
              <w:bottom w:val="nil"/>
              <w:right w:val="nil"/>
            </w:tcBorders>
            <w:shd w:val="solid" w:color="FFFFFF" w:fill="auto"/>
          </w:tcPr>
          <w:p w:rsidR="0028027B" w:rsidRPr="00DC1EE4" w:rsidRDefault="0028027B" w:rsidP="00C03F9E">
            <w:pPr>
              <w:pStyle w:val="Tabletext"/>
              <w:rPr>
                <w:b/>
              </w:rPr>
            </w:pPr>
            <w:r w:rsidRPr="00DC1EE4">
              <w:rPr>
                <w:b/>
              </w:rPr>
              <w:t>Items that may be reclassified subsequently to net result</w:t>
            </w:r>
          </w:p>
        </w:tc>
      </w:tr>
      <w:tr w:rsidR="0028027B" w:rsidRPr="00DC1EE4" w:rsidTr="00C03F9E">
        <w:tc>
          <w:tcPr>
            <w:tcW w:w="2695" w:type="pct"/>
            <w:tcBorders>
              <w:top w:val="nil"/>
              <w:left w:val="nil"/>
              <w:bottom w:val="nil"/>
              <w:right w:val="nil"/>
            </w:tcBorders>
            <w:shd w:val="solid" w:color="FFFFFF" w:fill="auto"/>
          </w:tcPr>
          <w:p w:rsidR="0028027B" w:rsidRPr="00DC1EE4" w:rsidRDefault="0028027B" w:rsidP="00C03F9E">
            <w:pPr>
              <w:pStyle w:val="Tabletext"/>
            </w:pPr>
            <w:r w:rsidRPr="00DC1EE4">
              <w:t>Net gain/(loss) on financial assets at fair value</w:t>
            </w:r>
          </w:p>
        </w:tc>
        <w:tc>
          <w:tcPr>
            <w:tcW w:w="439" w:type="pct"/>
            <w:tcBorders>
              <w:top w:val="nil"/>
              <w:left w:val="nil"/>
              <w:bottom w:val="nil"/>
              <w:right w:val="nil"/>
            </w:tcBorders>
            <w:shd w:val="solid" w:color="FFFFFF" w:fill="auto"/>
          </w:tcPr>
          <w:p w:rsidR="0028027B" w:rsidRPr="00DC1EE4" w:rsidRDefault="0028027B" w:rsidP="00C03F9E">
            <w:pPr>
              <w:pStyle w:val="TableTextCentred"/>
            </w:pPr>
            <w:r w:rsidRPr="00DC1EE4">
              <w:t xml:space="preserve"> </w:t>
            </w:r>
          </w:p>
        </w:tc>
        <w:tc>
          <w:tcPr>
            <w:tcW w:w="482"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1.2</w:t>
            </w:r>
          </w:p>
        </w:tc>
        <w:tc>
          <w:tcPr>
            <w:tcW w:w="483"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1.3</w:t>
            </w:r>
          </w:p>
        </w:tc>
        <w:tc>
          <w:tcPr>
            <w:tcW w:w="438"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1.3</w:t>
            </w:r>
          </w:p>
        </w:tc>
        <w:tc>
          <w:tcPr>
            <w:tcW w:w="463" w:type="pct"/>
            <w:tcBorders>
              <w:top w:val="nil"/>
              <w:left w:val="nil"/>
              <w:bottom w:val="nil"/>
              <w:right w:val="nil"/>
            </w:tcBorders>
            <w:shd w:val="solid" w:color="FFFFFF" w:fill="auto"/>
          </w:tcPr>
          <w:p w:rsidR="0028027B" w:rsidRPr="00DC1EE4" w:rsidRDefault="0028027B" w:rsidP="00C03F9E">
            <w:pPr>
              <w:pStyle w:val="TableofFigures"/>
            </w:pPr>
            <w:r w:rsidRPr="00DC1EE4">
              <w:t xml:space="preserve"> 1.3</w:t>
            </w:r>
          </w:p>
        </w:tc>
      </w:tr>
      <w:tr w:rsidR="0028027B" w:rsidRPr="00DC1EE4" w:rsidTr="00C03F9E">
        <w:tc>
          <w:tcPr>
            <w:tcW w:w="2695" w:type="pct"/>
            <w:tcBorders>
              <w:top w:val="single" w:sz="6" w:space="0" w:color="000000"/>
              <w:left w:val="nil"/>
              <w:bottom w:val="single" w:sz="6" w:space="0" w:color="000000"/>
              <w:right w:val="nil"/>
            </w:tcBorders>
            <w:shd w:val="solid" w:color="FFFFFF" w:fill="auto"/>
          </w:tcPr>
          <w:p w:rsidR="0028027B" w:rsidRPr="00DC1EE4" w:rsidRDefault="0028027B" w:rsidP="00C03F9E">
            <w:pPr>
              <w:pStyle w:val="Tabletext"/>
              <w:rPr>
                <w:b/>
              </w:rPr>
            </w:pPr>
            <w:r w:rsidRPr="00DC1EE4">
              <w:rPr>
                <w:b/>
              </w:rPr>
              <w:t>Total other economic flows – other comprehensive income</w:t>
            </w:r>
          </w:p>
        </w:tc>
        <w:tc>
          <w:tcPr>
            <w:tcW w:w="439" w:type="pct"/>
            <w:tcBorders>
              <w:top w:val="single" w:sz="6" w:space="0" w:color="000000"/>
              <w:left w:val="nil"/>
              <w:bottom w:val="single" w:sz="6" w:space="0" w:color="000000"/>
              <w:right w:val="nil"/>
            </w:tcBorders>
            <w:shd w:val="solid" w:color="FFFFFF" w:fill="auto"/>
          </w:tcPr>
          <w:p w:rsidR="0028027B" w:rsidRPr="00DC1EE4" w:rsidRDefault="0028027B" w:rsidP="00C03F9E">
            <w:pPr>
              <w:pStyle w:val="TableTextCentred"/>
              <w:rPr>
                <w:b/>
              </w:rPr>
            </w:pPr>
            <w:r w:rsidRPr="00DC1EE4">
              <w:rPr>
                <w:b/>
              </w:rPr>
              <w:t xml:space="preserve"> </w:t>
            </w:r>
          </w:p>
        </w:tc>
        <w:tc>
          <w:tcPr>
            <w:tcW w:w="482" w:type="pct"/>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1 726.7</w:t>
            </w:r>
          </w:p>
        </w:tc>
        <w:tc>
          <w:tcPr>
            <w:tcW w:w="483" w:type="pct"/>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1 132.4</w:t>
            </w:r>
          </w:p>
        </w:tc>
        <w:tc>
          <w:tcPr>
            <w:tcW w:w="438" w:type="pct"/>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10 312.2</w:t>
            </w:r>
          </w:p>
        </w:tc>
        <w:tc>
          <w:tcPr>
            <w:tcW w:w="463" w:type="pct"/>
            <w:tcBorders>
              <w:top w:val="single" w:sz="6" w:space="0" w:color="000000"/>
              <w:left w:val="nil"/>
              <w:bottom w:val="single" w:sz="6" w:space="0" w:color="000000"/>
              <w:right w:val="nil"/>
            </w:tcBorders>
            <w:shd w:val="solid" w:color="FFFFFF" w:fill="auto"/>
          </w:tcPr>
          <w:p w:rsidR="0028027B" w:rsidRPr="00DC1EE4" w:rsidRDefault="0028027B" w:rsidP="00C03F9E">
            <w:pPr>
              <w:pStyle w:val="TableofFigures"/>
              <w:rPr>
                <w:b/>
              </w:rPr>
            </w:pPr>
            <w:r w:rsidRPr="00DC1EE4">
              <w:rPr>
                <w:b/>
              </w:rPr>
              <w:t>1 254.7</w:t>
            </w:r>
          </w:p>
        </w:tc>
      </w:tr>
      <w:tr w:rsidR="0028027B" w:rsidRPr="00DC1EE4" w:rsidTr="00C03F9E">
        <w:tc>
          <w:tcPr>
            <w:tcW w:w="2695" w:type="pct"/>
            <w:tcBorders>
              <w:top w:val="single" w:sz="6" w:space="0" w:color="000000"/>
              <w:left w:val="nil"/>
              <w:bottom w:val="single" w:sz="12" w:space="0" w:color="000000"/>
              <w:right w:val="nil"/>
            </w:tcBorders>
            <w:shd w:val="solid" w:color="FFFFFF" w:fill="auto"/>
          </w:tcPr>
          <w:p w:rsidR="0028027B" w:rsidRPr="00DC1EE4" w:rsidRDefault="0028027B" w:rsidP="00C03F9E">
            <w:pPr>
              <w:pStyle w:val="Tabletext"/>
              <w:rPr>
                <w:b/>
              </w:rPr>
            </w:pPr>
            <w:r w:rsidRPr="00DC1EE4">
              <w:rPr>
                <w:b/>
              </w:rPr>
              <w:t>Comprehensive result – total change in net worth</w:t>
            </w:r>
          </w:p>
        </w:tc>
        <w:tc>
          <w:tcPr>
            <w:tcW w:w="439" w:type="pct"/>
            <w:tcBorders>
              <w:top w:val="single" w:sz="6" w:space="0" w:color="000000"/>
              <w:left w:val="nil"/>
              <w:bottom w:val="single" w:sz="12" w:space="0" w:color="000000"/>
              <w:right w:val="nil"/>
            </w:tcBorders>
            <w:shd w:val="solid" w:color="FFFFFF" w:fill="auto"/>
          </w:tcPr>
          <w:p w:rsidR="0028027B" w:rsidRPr="00DC1EE4" w:rsidRDefault="0028027B" w:rsidP="00C03F9E">
            <w:pPr>
              <w:pStyle w:val="TableTextCentred"/>
              <w:rPr>
                <w:b/>
              </w:rPr>
            </w:pPr>
            <w:r w:rsidRPr="00DC1EE4">
              <w:rPr>
                <w:b/>
              </w:rPr>
              <w:t xml:space="preserve"> </w:t>
            </w:r>
          </w:p>
        </w:tc>
        <w:tc>
          <w:tcPr>
            <w:tcW w:w="482" w:type="pct"/>
            <w:tcBorders>
              <w:top w:val="single" w:sz="6" w:space="0" w:color="000000"/>
              <w:left w:val="nil"/>
              <w:bottom w:val="single" w:sz="12" w:space="0" w:color="000000"/>
              <w:right w:val="nil"/>
            </w:tcBorders>
            <w:shd w:val="solid" w:color="FFFFFF" w:fill="auto"/>
          </w:tcPr>
          <w:p w:rsidR="0028027B" w:rsidRPr="00DC1EE4" w:rsidRDefault="0028027B" w:rsidP="00C03F9E">
            <w:pPr>
              <w:pStyle w:val="TableofFigures"/>
              <w:rPr>
                <w:b/>
              </w:rPr>
            </w:pPr>
            <w:r w:rsidRPr="00DC1EE4">
              <w:rPr>
                <w:b/>
              </w:rPr>
              <w:t>8 092.9</w:t>
            </w:r>
          </w:p>
        </w:tc>
        <w:tc>
          <w:tcPr>
            <w:tcW w:w="483" w:type="pct"/>
            <w:tcBorders>
              <w:top w:val="single" w:sz="6" w:space="0" w:color="000000"/>
              <w:left w:val="nil"/>
              <w:bottom w:val="single" w:sz="12" w:space="0" w:color="000000"/>
              <w:right w:val="nil"/>
            </w:tcBorders>
            <w:shd w:val="solid" w:color="FFFFFF" w:fill="auto"/>
          </w:tcPr>
          <w:p w:rsidR="0028027B" w:rsidRPr="00DC1EE4" w:rsidRDefault="0028027B" w:rsidP="00C03F9E">
            <w:pPr>
              <w:pStyle w:val="TableofFigures"/>
              <w:rPr>
                <w:b/>
              </w:rPr>
            </w:pPr>
            <w:r w:rsidRPr="00DC1EE4">
              <w:rPr>
                <w:b/>
              </w:rPr>
              <w:t>2 273.2</w:t>
            </w:r>
          </w:p>
        </w:tc>
        <w:tc>
          <w:tcPr>
            <w:tcW w:w="438" w:type="pct"/>
            <w:tcBorders>
              <w:top w:val="single" w:sz="6" w:space="0" w:color="000000"/>
              <w:left w:val="nil"/>
              <w:bottom w:val="single" w:sz="12" w:space="0" w:color="000000"/>
              <w:right w:val="nil"/>
            </w:tcBorders>
            <w:shd w:val="solid" w:color="FFFFFF" w:fill="auto"/>
          </w:tcPr>
          <w:p w:rsidR="0028027B" w:rsidRPr="00DC1EE4" w:rsidRDefault="0028027B" w:rsidP="00C03F9E">
            <w:pPr>
              <w:pStyle w:val="TableofFigures"/>
              <w:rPr>
                <w:b/>
              </w:rPr>
            </w:pPr>
            <w:r w:rsidRPr="00DC1EE4">
              <w:rPr>
                <w:b/>
              </w:rPr>
              <w:t>11 422.2</w:t>
            </w:r>
          </w:p>
        </w:tc>
        <w:tc>
          <w:tcPr>
            <w:tcW w:w="463" w:type="pct"/>
            <w:tcBorders>
              <w:top w:val="single" w:sz="6" w:space="0" w:color="000000"/>
              <w:left w:val="nil"/>
              <w:bottom w:val="single" w:sz="12" w:space="0" w:color="000000"/>
              <w:right w:val="nil"/>
            </w:tcBorders>
            <w:shd w:val="solid" w:color="FFFFFF" w:fill="auto"/>
          </w:tcPr>
          <w:p w:rsidR="0028027B" w:rsidRPr="00DC1EE4" w:rsidRDefault="0028027B" w:rsidP="00C03F9E">
            <w:pPr>
              <w:pStyle w:val="TableofFigures"/>
              <w:rPr>
                <w:b/>
              </w:rPr>
            </w:pPr>
            <w:r w:rsidRPr="00DC1EE4">
              <w:rPr>
                <w:b/>
              </w:rPr>
              <w:t>2 808.1</w:t>
            </w:r>
          </w:p>
        </w:tc>
      </w:tr>
      <w:tr w:rsidR="0028027B" w:rsidRPr="00DC1EE4" w:rsidTr="00C03F9E">
        <w:tc>
          <w:tcPr>
            <w:tcW w:w="2695" w:type="pct"/>
            <w:tcBorders>
              <w:top w:val="single" w:sz="12" w:space="0" w:color="000000"/>
              <w:left w:val="nil"/>
              <w:bottom w:val="nil"/>
              <w:right w:val="nil"/>
            </w:tcBorders>
            <w:shd w:val="solid" w:color="FFFFFF" w:fill="auto"/>
          </w:tcPr>
          <w:p w:rsidR="0028027B" w:rsidRPr="00DC1EE4" w:rsidRDefault="0028027B" w:rsidP="00C03F9E">
            <w:pPr>
              <w:pStyle w:val="Tabletext"/>
              <w:rPr>
                <w:b/>
              </w:rPr>
            </w:pPr>
            <w:r w:rsidRPr="00DC1EE4">
              <w:rPr>
                <w:b/>
              </w:rPr>
              <w:t>KEY FISCAL AGGREGATES</w:t>
            </w:r>
          </w:p>
        </w:tc>
        <w:tc>
          <w:tcPr>
            <w:tcW w:w="439" w:type="pct"/>
            <w:tcBorders>
              <w:top w:val="single" w:sz="12" w:space="0" w:color="000000"/>
              <w:left w:val="nil"/>
              <w:bottom w:val="nil"/>
              <w:right w:val="nil"/>
            </w:tcBorders>
            <w:shd w:val="solid" w:color="FFFFFF" w:fill="auto"/>
          </w:tcPr>
          <w:p w:rsidR="0028027B" w:rsidRPr="00DC1EE4" w:rsidRDefault="0028027B" w:rsidP="00C03F9E">
            <w:pPr>
              <w:pStyle w:val="TableTextCentred"/>
              <w:rPr>
                <w:b/>
              </w:rPr>
            </w:pPr>
            <w:r w:rsidRPr="00DC1EE4">
              <w:rPr>
                <w:b/>
              </w:rPr>
              <w:t xml:space="preserve"> </w:t>
            </w:r>
          </w:p>
        </w:tc>
        <w:tc>
          <w:tcPr>
            <w:tcW w:w="482" w:type="pct"/>
            <w:tcBorders>
              <w:top w:val="single" w:sz="12" w:space="0" w:color="000000"/>
              <w:left w:val="nil"/>
              <w:bottom w:val="nil"/>
              <w:right w:val="nil"/>
            </w:tcBorders>
            <w:shd w:val="solid" w:color="FFFFFF" w:fill="auto"/>
          </w:tcPr>
          <w:p w:rsidR="0028027B" w:rsidRPr="00DC1EE4" w:rsidRDefault="0028027B" w:rsidP="00C03F9E">
            <w:pPr>
              <w:pStyle w:val="TableofFigures"/>
              <w:rPr>
                <w:b/>
              </w:rPr>
            </w:pPr>
            <w:r w:rsidRPr="00DC1EE4">
              <w:rPr>
                <w:b/>
              </w:rPr>
              <w:t xml:space="preserve"> </w:t>
            </w:r>
          </w:p>
        </w:tc>
        <w:tc>
          <w:tcPr>
            <w:tcW w:w="483" w:type="pct"/>
            <w:tcBorders>
              <w:top w:val="single" w:sz="12" w:space="0" w:color="000000"/>
              <w:left w:val="nil"/>
              <w:bottom w:val="nil"/>
              <w:right w:val="nil"/>
            </w:tcBorders>
            <w:shd w:val="solid" w:color="FFFFFF" w:fill="auto"/>
          </w:tcPr>
          <w:p w:rsidR="0028027B" w:rsidRPr="00DC1EE4" w:rsidRDefault="0028027B" w:rsidP="00C03F9E">
            <w:pPr>
              <w:pStyle w:val="TableofFigures"/>
              <w:rPr>
                <w:b/>
              </w:rPr>
            </w:pPr>
            <w:r w:rsidRPr="00DC1EE4">
              <w:rPr>
                <w:b/>
              </w:rPr>
              <w:t xml:space="preserve"> </w:t>
            </w:r>
          </w:p>
        </w:tc>
        <w:tc>
          <w:tcPr>
            <w:tcW w:w="438" w:type="pct"/>
            <w:tcBorders>
              <w:top w:val="single" w:sz="12" w:space="0" w:color="000000"/>
              <w:left w:val="nil"/>
              <w:bottom w:val="nil"/>
              <w:right w:val="nil"/>
            </w:tcBorders>
            <w:shd w:val="solid" w:color="FFFFFF" w:fill="auto"/>
          </w:tcPr>
          <w:p w:rsidR="0028027B" w:rsidRPr="00DC1EE4" w:rsidRDefault="0028027B" w:rsidP="00C03F9E">
            <w:pPr>
              <w:pStyle w:val="TableofFigures"/>
              <w:rPr>
                <w:b/>
              </w:rPr>
            </w:pPr>
            <w:r w:rsidRPr="00DC1EE4">
              <w:rPr>
                <w:b/>
              </w:rPr>
              <w:t xml:space="preserve"> </w:t>
            </w:r>
          </w:p>
        </w:tc>
        <w:tc>
          <w:tcPr>
            <w:tcW w:w="463" w:type="pct"/>
            <w:tcBorders>
              <w:top w:val="single" w:sz="12" w:space="0" w:color="000000"/>
              <w:left w:val="nil"/>
              <w:bottom w:val="nil"/>
              <w:right w:val="nil"/>
            </w:tcBorders>
            <w:shd w:val="solid" w:color="FFFFFF" w:fill="auto"/>
          </w:tcPr>
          <w:p w:rsidR="0028027B" w:rsidRPr="00DC1EE4" w:rsidRDefault="0028027B" w:rsidP="00C03F9E">
            <w:pPr>
              <w:pStyle w:val="TableofFigures"/>
              <w:rPr>
                <w:b/>
              </w:rPr>
            </w:pPr>
            <w:r w:rsidRPr="00DC1EE4">
              <w:rPr>
                <w:b/>
              </w:rPr>
              <w:t xml:space="preserve"> </w:t>
            </w:r>
          </w:p>
        </w:tc>
      </w:tr>
      <w:tr w:rsidR="0028027B" w:rsidRPr="00DC1EE4" w:rsidTr="00C03F9E">
        <w:tc>
          <w:tcPr>
            <w:tcW w:w="2695" w:type="pct"/>
            <w:tcBorders>
              <w:top w:val="nil"/>
              <w:left w:val="nil"/>
              <w:bottom w:val="nil"/>
              <w:right w:val="nil"/>
            </w:tcBorders>
            <w:shd w:val="solid" w:color="FFFFFF" w:fill="auto"/>
          </w:tcPr>
          <w:p w:rsidR="0028027B" w:rsidRPr="00DC1EE4" w:rsidRDefault="0028027B" w:rsidP="00C03F9E">
            <w:pPr>
              <w:pStyle w:val="Tabletext"/>
              <w:rPr>
                <w:b/>
              </w:rPr>
            </w:pPr>
            <w:r w:rsidRPr="00DC1EE4">
              <w:rPr>
                <w:b/>
              </w:rPr>
              <w:t>Net operating balance</w:t>
            </w:r>
          </w:p>
        </w:tc>
        <w:tc>
          <w:tcPr>
            <w:tcW w:w="439" w:type="pct"/>
            <w:tcBorders>
              <w:top w:val="nil"/>
              <w:left w:val="nil"/>
              <w:bottom w:val="nil"/>
              <w:right w:val="nil"/>
            </w:tcBorders>
            <w:shd w:val="solid" w:color="FFFFFF" w:fill="auto"/>
          </w:tcPr>
          <w:p w:rsidR="0028027B" w:rsidRPr="00DC1EE4" w:rsidRDefault="0028027B" w:rsidP="00C03F9E">
            <w:pPr>
              <w:pStyle w:val="TableTextCentred"/>
              <w:rPr>
                <w:b/>
              </w:rPr>
            </w:pPr>
            <w:r w:rsidRPr="00DC1EE4">
              <w:rPr>
                <w:b/>
              </w:rPr>
              <w:t xml:space="preserve"> </w:t>
            </w:r>
          </w:p>
        </w:tc>
        <w:tc>
          <w:tcPr>
            <w:tcW w:w="482" w:type="pct"/>
            <w:tcBorders>
              <w:top w:val="nil"/>
              <w:left w:val="nil"/>
              <w:bottom w:val="nil"/>
              <w:right w:val="nil"/>
            </w:tcBorders>
            <w:shd w:val="solid" w:color="FFFFFF" w:fill="auto"/>
          </w:tcPr>
          <w:p w:rsidR="0028027B" w:rsidRPr="00DC1EE4" w:rsidRDefault="0028027B" w:rsidP="00C03F9E">
            <w:pPr>
              <w:pStyle w:val="TableofFigures"/>
              <w:rPr>
                <w:b/>
              </w:rPr>
            </w:pPr>
            <w:r w:rsidRPr="00DC1EE4">
              <w:rPr>
                <w:b/>
              </w:rPr>
              <w:t>1 218.9</w:t>
            </w:r>
          </w:p>
        </w:tc>
        <w:tc>
          <w:tcPr>
            <w:tcW w:w="483" w:type="pct"/>
            <w:tcBorders>
              <w:top w:val="nil"/>
              <w:left w:val="nil"/>
              <w:bottom w:val="nil"/>
              <w:right w:val="nil"/>
            </w:tcBorders>
            <w:shd w:val="solid" w:color="FFFFFF" w:fill="auto"/>
          </w:tcPr>
          <w:p w:rsidR="0028027B" w:rsidRPr="00DC1EE4" w:rsidRDefault="0028027B" w:rsidP="00C03F9E">
            <w:pPr>
              <w:pStyle w:val="TableofFigures"/>
              <w:rPr>
                <w:b/>
              </w:rPr>
            </w:pPr>
            <w:r w:rsidRPr="00DC1EE4">
              <w:rPr>
                <w:b/>
              </w:rPr>
              <w:t>1 396.5</w:t>
            </w:r>
          </w:p>
        </w:tc>
        <w:tc>
          <w:tcPr>
            <w:tcW w:w="438" w:type="pct"/>
            <w:tcBorders>
              <w:top w:val="nil"/>
              <w:left w:val="nil"/>
              <w:bottom w:val="nil"/>
              <w:right w:val="nil"/>
            </w:tcBorders>
            <w:shd w:val="solid" w:color="FFFFFF" w:fill="auto"/>
          </w:tcPr>
          <w:p w:rsidR="0028027B" w:rsidRPr="00DC1EE4" w:rsidRDefault="0028027B" w:rsidP="00C03F9E">
            <w:pPr>
              <w:pStyle w:val="TableofFigures"/>
              <w:rPr>
                <w:b/>
              </w:rPr>
            </w:pPr>
            <w:r w:rsidRPr="00DC1EE4">
              <w:rPr>
                <w:b/>
              </w:rPr>
              <w:t>1 365.6</w:t>
            </w:r>
          </w:p>
        </w:tc>
        <w:tc>
          <w:tcPr>
            <w:tcW w:w="463" w:type="pct"/>
            <w:tcBorders>
              <w:top w:val="nil"/>
              <w:left w:val="nil"/>
              <w:bottom w:val="nil"/>
              <w:right w:val="nil"/>
            </w:tcBorders>
            <w:shd w:val="solid" w:color="FFFFFF" w:fill="auto"/>
          </w:tcPr>
          <w:p w:rsidR="0028027B" w:rsidRPr="00DC1EE4" w:rsidRDefault="0028027B" w:rsidP="00C03F9E">
            <w:pPr>
              <w:pStyle w:val="TableofFigures"/>
              <w:rPr>
                <w:b/>
              </w:rPr>
            </w:pPr>
            <w:r w:rsidRPr="00DC1EE4">
              <w:rPr>
                <w:b/>
              </w:rPr>
              <w:t>1 828.4</w:t>
            </w:r>
          </w:p>
        </w:tc>
      </w:tr>
      <w:tr w:rsidR="0028027B" w:rsidRPr="00DC1EE4" w:rsidTr="00C03F9E">
        <w:tc>
          <w:tcPr>
            <w:tcW w:w="2695" w:type="pct"/>
            <w:tcBorders>
              <w:top w:val="nil"/>
              <w:left w:val="nil"/>
              <w:bottom w:val="single" w:sz="6" w:space="0" w:color="000000"/>
              <w:right w:val="nil"/>
            </w:tcBorders>
            <w:shd w:val="solid" w:color="FFFFFF" w:fill="auto"/>
          </w:tcPr>
          <w:p w:rsidR="0028027B" w:rsidRPr="00DC1EE4" w:rsidRDefault="0028027B" w:rsidP="00C03F9E">
            <w:pPr>
              <w:pStyle w:val="Tabletext"/>
            </w:pPr>
            <w:r w:rsidRPr="00DC1EE4">
              <w:t>Less: Net acquisition of non</w:t>
            </w:r>
            <w:r w:rsidR="005A4BB0">
              <w:noBreakHyphen/>
            </w:r>
            <w:r w:rsidRPr="00DC1EE4">
              <w:t>financial assets from transactions</w:t>
            </w:r>
          </w:p>
        </w:tc>
        <w:tc>
          <w:tcPr>
            <w:tcW w:w="439" w:type="pct"/>
            <w:tcBorders>
              <w:top w:val="nil"/>
              <w:left w:val="nil"/>
              <w:bottom w:val="single" w:sz="6" w:space="0" w:color="000000"/>
              <w:right w:val="nil"/>
            </w:tcBorders>
            <w:shd w:val="solid" w:color="FFFFFF" w:fill="auto"/>
          </w:tcPr>
          <w:p w:rsidR="0028027B" w:rsidRPr="00DC1EE4" w:rsidRDefault="0028027B" w:rsidP="00C03F9E">
            <w:pPr>
              <w:pStyle w:val="TableTextCentred"/>
            </w:pPr>
            <w:r w:rsidRPr="00DC1EE4">
              <w:t>15</w:t>
            </w:r>
          </w:p>
        </w:tc>
        <w:tc>
          <w:tcPr>
            <w:tcW w:w="482" w:type="pct"/>
            <w:tcBorders>
              <w:top w:val="nil"/>
              <w:left w:val="nil"/>
              <w:bottom w:val="single" w:sz="6" w:space="0" w:color="000000"/>
              <w:right w:val="nil"/>
            </w:tcBorders>
            <w:shd w:val="solid" w:color="FFFFFF" w:fill="auto"/>
          </w:tcPr>
          <w:p w:rsidR="0028027B" w:rsidRPr="00DC1EE4" w:rsidRDefault="0028027B" w:rsidP="00C03F9E">
            <w:pPr>
              <w:pStyle w:val="TableofFigures"/>
            </w:pPr>
            <w:r w:rsidRPr="00DC1EE4">
              <w:t>1 410.3</w:t>
            </w:r>
          </w:p>
        </w:tc>
        <w:tc>
          <w:tcPr>
            <w:tcW w:w="483" w:type="pct"/>
            <w:tcBorders>
              <w:top w:val="nil"/>
              <w:left w:val="nil"/>
              <w:bottom w:val="single" w:sz="6" w:space="0" w:color="000000"/>
              <w:right w:val="nil"/>
            </w:tcBorders>
            <w:shd w:val="solid" w:color="FFFFFF" w:fill="auto"/>
          </w:tcPr>
          <w:p w:rsidR="0028027B" w:rsidRPr="00DC1EE4" w:rsidRDefault="0028027B" w:rsidP="00C03F9E">
            <w:pPr>
              <w:pStyle w:val="TableofFigures"/>
            </w:pPr>
            <w:r w:rsidRPr="00DC1EE4">
              <w:t>1 510.1</w:t>
            </w:r>
          </w:p>
        </w:tc>
        <w:tc>
          <w:tcPr>
            <w:tcW w:w="438" w:type="pct"/>
            <w:tcBorders>
              <w:top w:val="nil"/>
              <w:left w:val="nil"/>
              <w:bottom w:val="single" w:sz="6" w:space="0" w:color="000000"/>
              <w:right w:val="nil"/>
            </w:tcBorders>
            <w:shd w:val="solid" w:color="FFFFFF" w:fill="auto"/>
          </w:tcPr>
          <w:p w:rsidR="0028027B" w:rsidRPr="00DC1EE4" w:rsidRDefault="0028027B" w:rsidP="00C03F9E">
            <w:pPr>
              <w:pStyle w:val="TableofFigures"/>
            </w:pPr>
            <w:r w:rsidRPr="00DC1EE4">
              <w:t>1 042.5</w:t>
            </w:r>
          </w:p>
        </w:tc>
        <w:tc>
          <w:tcPr>
            <w:tcW w:w="463" w:type="pct"/>
            <w:tcBorders>
              <w:top w:val="nil"/>
              <w:left w:val="nil"/>
              <w:bottom w:val="single" w:sz="6" w:space="0" w:color="000000"/>
              <w:right w:val="nil"/>
            </w:tcBorders>
            <w:shd w:val="solid" w:color="FFFFFF" w:fill="auto"/>
          </w:tcPr>
          <w:p w:rsidR="0028027B" w:rsidRPr="00DC1EE4" w:rsidRDefault="0028027B" w:rsidP="00C03F9E">
            <w:pPr>
              <w:pStyle w:val="TableofFigures"/>
            </w:pPr>
            <w:r w:rsidRPr="00DC1EE4">
              <w:t>(228.8)</w:t>
            </w:r>
          </w:p>
        </w:tc>
      </w:tr>
      <w:tr w:rsidR="0028027B" w:rsidRPr="00DC1EE4" w:rsidTr="00C03F9E">
        <w:tc>
          <w:tcPr>
            <w:tcW w:w="2695" w:type="pct"/>
            <w:tcBorders>
              <w:top w:val="single" w:sz="6" w:space="0" w:color="000000"/>
              <w:left w:val="nil"/>
              <w:bottom w:val="single" w:sz="12" w:space="0" w:color="auto"/>
              <w:right w:val="nil"/>
            </w:tcBorders>
            <w:shd w:val="solid" w:color="FFFFFF" w:fill="auto"/>
          </w:tcPr>
          <w:p w:rsidR="0028027B" w:rsidRPr="00DC1EE4" w:rsidRDefault="0028027B" w:rsidP="00C03F9E">
            <w:pPr>
              <w:pStyle w:val="Tabletext"/>
              <w:rPr>
                <w:b/>
              </w:rPr>
            </w:pPr>
            <w:r w:rsidRPr="00DC1EE4">
              <w:rPr>
                <w:b/>
              </w:rPr>
              <w:t>Net lending/(borrowing)</w:t>
            </w:r>
          </w:p>
        </w:tc>
        <w:tc>
          <w:tcPr>
            <w:tcW w:w="439" w:type="pct"/>
            <w:tcBorders>
              <w:top w:val="single" w:sz="6" w:space="0" w:color="000000"/>
              <w:left w:val="nil"/>
              <w:bottom w:val="single" w:sz="12" w:space="0" w:color="auto"/>
              <w:right w:val="nil"/>
            </w:tcBorders>
            <w:shd w:val="solid" w:color="FFFFFF" w:fill="auto"/>
          </w:tcPr>
          <w:p w:rsidR="0028027B" w:rsidRPr="00DC1EE4" w:rsidRDefault="0028027B" w:rsidP="00C03F9E">
            <w:pPr>
              <w:pStyle w:val="TableTextCentred"/>
              <w:rPr>
                <w:b/>
              </w:rPr>
            </w:pPr>
            <w:r w:rsidRPr="00DC1EE4">
              <w:rPr>
                <w:b/>
              </w:rPr>
              <w:t xml:space="preserve"> </w:t>
            </w:r>
          </w:p>
        </w:tc>
        <w:tc>
          <w:tcPr>
            <w:tcW w:w="482" w:type="pct"/>
            <w:tcBorders>
              <w:top w:val="single" w:sz="6" w:space="0" w:color="000000"/>
              <w:left w:val="nil"/>
              <w:bottom w:val="single" w:sz="12" w:space="0" w:color="auto"/>
              <w:right w:val="nil"/>
            </w:tcBorders>
            <w:shd w:val="solid" w:color="FFFFFF" w:fill="auto"/>
          </w:tcPr>
          <w:p w:rsidR="0028027B" w:rsidRPr="00DC1EE4" w:rsidRDefault="0028027B" w:rsidP="00C03F9E">
            <w:pPr>
              <w:pStyle w:val="TableofFigures"/>
              <w:rPr>
                <w:b/>
              </w:rPr>
            </w:pPr>
            <w:r w:rsidRPr="00DC1EE4">
              <w:rPr>
                <w:b/>
              </w:rPr>
              <w:t>(191.4)</w:t>
            </w:r>
          </w:p>
        </w:tc>
        <w:tc>
          <w:tcPr>
            <w:tcW w:w="483" w:type="pct"/>
            <w:tcBorders>
              <w:top w:val="single" w:sz="6" w:space="0" w:color="000000"/>
              <w:left w:val="nil"/>
              <w:bottom w:val="single" w:sz="12" w:space="0" w:color="auto"/>
              <w:right w:val="nil"/>
            </w:tcBorders>
            <w:shd w:val="solid" w:color="FFFFFF" w:fill="auto"/>
          </w:tcPr>
          <w:p w:rsidR="0028027B" w:rsidRPr="00DC1EE4" w:rsidRDefault="0028027B" w:rsidP="00C03F9E">
            <w:pPr>
              <w:pStyle w:val="TableofFigures"/>
              <w:rPr>
                <w:b/>
              </w:rPr>
            </w:pPr>
            <w:r w:rsidRPr="00DC1EE4">
              <w:rPr>
                <w:b/>
              </w:rPr>
              <w:t>(113.6)</w:t>
            </w:r>
          </w:p>
        </w:tc>
        <w:tc>
          <w:tcPr>
            <w:tcW w:w="438" w:type="pct"/>
            <w:tcBorders>
              <w:top w:val="single" w:sz="6" w:space="0" w:color="000000"/>
              <w:left w:val="nil"/>
              <w:bottom w:val="single" w:sz="12" w:space="0" w:color="auto"/>
              <w:right w:val="nil"/>
            </w:tcBorders>
            <w:shd w:val="solid" w:color="FFFFFF" w:fill="auto"/>
          </w:tcPr>
          <w:p w:rsidR="0028027B" w:rsidRPr="00DC1EE4" w:rsidRDefault="0028027B" w:rsidP="00C03F9E">
            <w:pPr>
              <w:pStyle w:val="TableofFigures"/>
              <w:rPr>
                <w:b/>
              </w:rPr>
            </w:pPr>
            <w:r w:rsidRPr="00DC1EE4">
              <w:rPr>
                <w:b/>
              </w:rPr>
              <w:t xml:space="preserve"> 323.2</w:t>
            </w:r>
          </w:p>
        </w:tc>
        <w:tc>
          <w:tcPr>
            <w:tcW w:w="463" w:type="pct"/>
            <w:tcBorders>
              <w:top w:val="single" w:sz="6" w:space="0" w:color="000000"/>
              <w:left w:val="nil"/>
              <w:bottom w:val="single" w:sz="12" w:space="0" w:color="auto"/>
              <w:right w:val="nil"/>
            </w:tcBorders>
            <w:shd w:val="solid" w:color="FFFFFF" w:fill="auto"/>
          </w:tcPr>
          <w:p w:rsidR="0028027B" w:rsidRPr="00DC1EE4" w:rsidRDefault="0028027B" w:rsidP="00C03F9E">
            <w:pPr>
              <w:pStyle w:val="TableofFigures"/>
              <w:rPr>
                <w:b/>
              </w:rPr>
            </w:pPr>
            <w:r w:rsidRPr="00DC1EE4">
              <w:rPr>
                <w:b/>
              </w:rPr>
              <w:t>2 057.2</w:t>
            </w:r>
          </w:p>
        </w:tc>
      </w:tr>
    </w:tbl>
    <w:p w:rsidR="0028027B" w:rsidRPr="00DC1EE4" w:rsidRDefault="0028027B" w:rsidP="0028027B">
      <w:pPr>
        <w:pStyle w:val="Source"/>
      </w:pPr>
      <w:r w:rsidRPr="00DC1EE4">
        <w:t>The accompanying notes form part of these estimated financial statements.</w:t>
      </w:r>
    </w:p>
    <w:p w:rsidR="0028027B" w:rsidRPr="00DC1EE4" w:rsidRDefault="0028027B" w:rsidP="0028027B">
      <w:pPr>
        <w:tabs>
          <w:tab w:val="left" w:pos="1243"/>
        </w:tabs>
      </w:pPr>
    </w:p>
    <w:p w:rsidR="0028027B" w:rsidRPr="00DC1EE4" w:rsidRDefault="0028027B" w:rsidP="0028027B">
      <w:r w:rsidRPr="00DC1EE4">
        <w:br w:type="page"/>
      </w:r>
    </w:p>
    <w:p w:rsidR="0028027B" w:rsidRPr="00DC1EE4" w:rsidRDefault="0028027B" w:rsidP="00E348C3">
      <w:pPr>
        <w:pStyle w:val="Tableheading"/>
      </w:pPr>
      <w:r w:rsidRPr="00DC1EE4">
        <w:t>Table 1.2:</w:t>
      </w:r>
      <w:r w:rsidRPr="00DC1EE4">
        <w:tab/>
        <w:t>Estimated general government sector balance sheet as at 30 June</w:t>
      </w:r>
    </w:p>
    <w:p w:rsidR="0028027B" w:rsidRPr="00DC1EE4" w:rsidRDefault="0028027B" w:rsidP="0028027B">
      <w:pPr>
        <w:pStyle w:val="million"/>
      </w:pPr>
      <w:r w:rsidRPr="00DC1EE4">
        <w:t>($ million)</w:t>
      </w:r>
    </w:p>
    <w:tbl>
      <w:tblPr>
        <w:tblW w:w="10173" w:type="dxa"/>
        <w:tblInd w:w="29" w:type="dxa"/>
        <w:tblLayout w:type="fixed"/>
        <w:tblCellMar>
          <w:left w:w="43" w:type="dxa"/>
          <w:right w:w="43" w:type="dxa"/>
        </w:tblCellMar>
        <w:tblLook w:val="0000" w:firstRow="0" w:lastRow="0" w:firstColumn="0" w:lastColumn="0" w:noHBand="0" w:noVBand="0"/>
      </w:tblPr>
      <w:tblGrid>
        <w:gridCol w:w="4604"/>
        <w:gridCol w:w="900"/>
        <w:gridCol w:w="900"/>
        <w:gridCol w:w="990"/>
        <w:gridCol w:w="990"/>
        <w:gridCol w:w="900"/>
        <w:gridCol w:w="889"/>
      </w:tblGrid>
      <w:tr w:rsidR="0028027B" w:rsidRPr="00DC1EE4" w:rsidTr="00C03F9E">
        <w:tc>
          <w:tcPr>
            <w:tcW w:w="4604" w:type="dxa"/>
            <w:tcBorders>
              <w:top w:val="single" w:sz="4" w:space="0" w:color="auto"/>
              <w:left w:val="single" w:sz="4" w:space="0" w:color="auto"/>
              <w:bottom w:val="nil"/>
              <w:right w:val="nil"/>
            </w:tcBorders>
            <w:shd w:val="clear" w:color="auto" w:fill="000000"/>
          </w:tcPr>
          <w:p w:rsidR="0028027B" w:rsidRPr="00DC1EE4" w:rsidRDefault="0028027B" w:rsidP="00C03F9E">
            <w:pPr>
              <w:pStyle w:val="Tabletext"/>
            </w:pPr>
          </w:p>
        </w:tc>
        <w:tc>
          <w:tcPr>
            <w:tcW w:w="900" w:type="dxa"/>
            <w:tcBorders>
              <w:top w:val="single" w:sz="4" w:space="0" w:color="auto"/>
              <w:left w:val="nil"/>
              <w:bottom w:val="nil"/>
              <w:right w:val="nil"/>
            </w:tcBorders>
            <w:shd w:val="clear" w:color="auto" w:fill="000000"/>
          </w:tcPr>
          <w:p w:rsidR="0028027B" w:rsidRPr="00DC1EE4" w:rsidRDefault="0028027B" w:rsidP="00C03F9E">
            <w:pPr>
              <w:pStyle w:val="TabletextheadingCentred"/>
            </w:pPr>
            <w:r w:rsidRPr="00DC1EE4">
              <w:t xml:space="preserve"> </w:t>
            </w:r>
          </w:p>
        </w:tc>
        <w:tc>
          <w:tcPr>
            <w:tcW w:w="900" w:type="dxa"/>
            <w:tcBorders>
              <w:top w:val="single" w:sz="4" w:space="0" w:color="auto"/>
              <w:left w:val="nil"/>
              <w:bottom w:val="nil"/>
              <w:right w:val="nil"/>
            </w:tcBorders>
            <w:shd w:val="clear" w:color="auto" w:fill="000000"/>
          </w:tcPr>
          <w:p w:rsidR="0028027B" w:rsidRPr="00DC1EE4" w:rsidRDefault="0028027B" w:rsidP="00C03F9E">
            <w:pPr>
              <w:pStyle w:val="Tabletextheading"/>
            </w:pPr>
            <w:r w:rsidRPr="00DC1EE4">
              <w:t>2015</w:t>
            </w:r>
          </w:p>
        </w:tc>
        <w:tc>
          <w:tcPr>
            <w:tcW w:w="990" w:type="dxa"/>
            <w:tcBorders>
              <w:top w:val="single" w:sz="4" w:space="0" w:color="auto"/>
              <w:left w:val="nil"/>
              <w:bottom w:val="nil"/>
              <w:right w:val="nil"/>
            </w:tcBorders>
            <w:shd w:val="clear" w:color="auto" w:fill="000000"/>
          </w:tcPr>
          <w:p w:rsidR="0028027B" w:rsidRPr="00DC1EE4" w:rsidRDefault="0028027B" w:rsidP="00C03F9E">
            <w:pPr>
              <w:pStyle w:val="Tabletextheading"/>
            </w:pPr>
            <w:r w:rsidRPr="00DC1EE4">
              <w:t>2016</w:t>
            </w:r>
          </w:p>
        </w:tc>
        <w:tc>
          <w:tcPr>
            <w:tcW w:w="990" w:type="dxa"/>
            <w:tcBorders>
              <w:top w:val="single" w:sz="4" w:space="0" w:color="auto"/>
              <w:left w:val="nil"/>
              <w:bottom w:val="nil"/>
              <w:right w:val="nil"/>
            </w:tcBorders>
            <w:shd w:val="clear" w:color="auto" w:fill="000000"/>
          </w:tcPr>
          <w:p w:rsidR="0028027B" w:rsidRPr="00DC1EE4" w:rsidRDefault="0028027B" w:rsidP="00C03F9E">
            <w:pPr>
              <w:pStyle w:val="Tabletextheading"/>
            </w:pPr>
            <w:r w:rsidRPr="00DC1EE4">
              <w:t>2017</w:t>
            </w:r>
          </w:p>
        </w:tc>
        <w:tc>
          <w:tcPr>
            <w:tcW w:w="900" w:type="dxa"/>
            <w:tcBorders>
              <w:top w:val="single" w:sz="4" w:space="0" w:color="auto"/>
              <w:left w:val="nil"/>
              <w:bottom w:val="nil"/>
              <w:right w:val="nil"/>
            </w:tcBorders>
            <w:shd w:val="clear" w:color="auto" w:fill="000000"/>
          </w:tcPr>
          <w:p w:rsidR="0028027B" w:rsidRPr="00DC1EE4" w:rsidRDefault="0028027B" w:rsidP="00C03F9E">
            <w:pPr>
              <w:pStyle w:val="Tabletextheading"/>
            </w:pPr>
            <w:r w:rsidRPr="00DC1EE4">
              <w:t>2018</w:t>
            </w:r>
          </w:p>
        </w:tc>
        <w:tc>
          <w:tcPr>
            <w:tcW w:w="889" w:type="dxa"/>
            <w:tcBorders>
              <w:top w:val="single" w:sz="4" w:space="0" w:color="auto"/>
              <w:left w:val="nil"/>
              <w:bottom w:val="nil"/>
              <w:right w:val="single" w:sz="4" w:space="0" w:color="auto"/>
            </w:tcBorders>
            <w:shd w:val="clear" w:color="auto" w:fill="000000"/>
          </w:tcPr>
          <w:p w:rsidR="0028027B" w:rsidRPr="00DC1EE4" w:rsidRDefault="0028027B" w:rsidP="00C03F9E">
            <w:pPr>
              <w:pStyle w:val="Tabletextheading"/>
            </w:pPr>
            <w:r w:rsidRPr="00DC1EE4">
              <w:t>2019</w:t>
            </w:r>
          </w:p>
        </w:tc>
      </w:tr>
      <w:tr w:rsidR="0028027B" w:rsidRPr="00DC1EE4" w:rsidTr="00C03F9E">
        <w:tc>
          <w:tcPr>
            <w:tcW w:w="4604" w:type="dxa"/>
            <w:tcBorders>
              <w:top w:val="nil"/>
              <w:left w:val="single" w:sz="4" w:space="0" w:color="auto"/>
              <w:bottom w:val="single" w:sz="4" w:space="0" w:color="auto"/>
              <w:right w:val="nil"/>
            </w:tcBorders>
            <w:shd w:val="clear" w:color="auto" w:fill="000000"/>
          </w:tcPr>
          <w:p w:rsidR="0028027B" w:rsidRPr="00DC1EE4" w:rsidRDefault="0028027B" w:rsidP="00C03F9E">
            <w:pPr>
              <w:pStyle w:val="Tabletext"/>
            </w:pPr>
            <w:r w:rsidRPr="00DC1EE4">
              <w:t xml:space="preserve"> </w:t>
            </w:r>
          </w:p>
        </w:tc>
        <w:tc>
          <w:tcPr>
            <w:tcW w:w="900" w:type="dxa"/>
            <w:tcBorders>
              <w:top w:val="nil"/>
              <w:left w:val="nil"/>
              <w:bottom w:val="single" w:sz="4" w:space="0" w:color="auto"/>
              <w:right w:val="nil"/>
            </w:tcBorders>
            <w:shd w:val="clear" w:color="auto" w:fill="000000"/>
          </w:tcPr>
          <w:p w:rsidR="0028027B" w:rsidRPr="00DC1EE4" w:rsidRDefault="0028027B" w:rsidP="00C03F9E">
            <w:pPr>
              <w:pStyle w:val="TabletextheadingCentred"/>
            </w:pPr>
            <w:r w:rsidRPr="00DC1EE4">
              <w:t>Notes</w:t>
            </w:r>
          </w:p>
        </w:tc>
        <w:tc>
          <w:tcPr>
            <w:tcW w:w="900" w:type="dxa"/>
            <w:tcBorders>
              <w:top w:val="nil"/>
              <w:left w:val="nil"/>
              <w:bottom w:val="single" w:sz="4" w:space="0" w:color="auto"/>
              <w:right w:val="nil"/>
            </w:tcBorders>
            <w:shd w:val="clear" w:color="auto" w:fill="000000"/>
          </w:tcPr>
          <w:p w:rsidR="0028027B" w:rsidRPr="00DC1EE4" w:rsidRDefault="0028027B" w:rsidP="00C03F9E">
            <w:pPr>
              <w:pStyle w:val="Tabletextheading"/>
            </w:pPr>
            <w:r w:rsidRPr="00DC1EE4">
              <w:t>revised</w:t>
            </w:r>
          </w:p>
        </w:tc>
        <w:tc>
          <w:tcPr>
            <w:tcW w:w="990" w:type="dxa"/>
            <w:tcBorders>
              <w:top w:val="nil"/>
              <w:left w:val="nil"/>
              <w:bottom w:val="single" w:sz="4" w:space="0" w:color="auto"/>
              <w:right w:val="nil"/>
            </w:tcBorders>
            <w:shd w:val="clear" w:color="auto" w:fill="000000"/>
          </w:tcPr>
          <w:p w:rsidR="0028027B" w:rsidRPr="00DC1EE4" w:rsidRDefault="0028027B" w:rsidP="00C03F9E">
            <w:pPr>
              <w:pStyle w:val="Tabletextheading"/>
            </w:pPr>
            <w:r w:rsidRPr="00DC1EE4">
              <w:t xml:space="preserve">budget </w:t>
            </w:r>
          </w:p>
        </w:tc>
        <w:tc>
          <w:tcPr>
            <w:tcW w:w="990" w:type="dxa"/>
            <w:tcBorders>
              <w:top w:val="nil"/>
              <w:left w:val="nil"/>
              <w:bottom w:val="single" w:sz="4" w:space="0" w:color="auto"/>
              <w:right w:val="nil"/>
            </w:tcBorders>
            <w:shd w:val="clear" w:color="auto" w:fill="000000"/>
          </w:tcPr>
          <w:p w:rsidR="0028027B" w:rsidRPr="00DC1EE4" w:rsidRDefault="0028027B" w:rsidP="00C03F9E">
            <w:pPr>
              <w:pStyle w:val="Tabletextheading"/>
            </w:pPr>
            <w:r w:rsidRPr="00DC1EE4">
              <w:t>estimate</w:t>
            </w:r>
          </w:p>
        </w:tc>
        <w:tc>
          <w:tcPr>
            <w:tcW w:w="900" w:type="dxa"/>
            <w:tcBorders>
              <w:top w:val="nil"/>
              <w:left w:val="nil"/>
              <w:bottom w:val="single" w:sz="4" w:space="0" w:color="auto"/>
              <w:right w:val="nil"/>
            </w:tcBorders>
            <w:shd w:val="clear" w:color="auto" w:fill="000000"/>
          </w:tcPr>
          <w:p w:rsidR="0028027B" w:rsidRPr="00DC1EE4" w:rsidRDefault="0028027B" w:rsidP="00C03F9E">
            <w:pPr>
              <w:pStyle w:val="Tabletextheading"/>
            </w:pPr>
            <w:r w:rsidRPr="00DC1EE4">
              <w:t>estimate</w:t>
            </w:r>
          </w:p>
        </w:tc>
        <w:tc>
          <w:tcPr>
            <w:tcW w:w="889" w:type="dxa"/>
            <w:tcBorders>
              <w:top w:val="nil"/>
              <w:left w:val="nil"/>
              <w:bottom w:val="single" w:sz="4" w:space="0" w:color="auto"/>
              <w:right w:val="single" w:sz="4" w:space="0" w:color="auto"/>
            </w:tcBorders>
            <w:shd w:val="clear" w:color="auto" w:fill="000000"/>
          </w:tcPr>
          <w:p w:rsidR="0028027B" w:rsidRPr="00DC1EE4" w:rsidRDefault="0028027B" w:rsidP="00C03F9E">
            <w:pPr>
              <w:pStyle w:val="Tabletextheading"/>
            </w:pPr>
            <w:r w:rsidRPr="00DC1EE4">
              <w:t>estimate</w:t>
            </w:r>
          </w:p>
        </w:tc>
      </w:tr>
      <w:tr w:rsidR="0028027B" w:rsidRPr="00DC1EE4" w:rsidTr="00C03F9E">
        <w:tc>
          <w:tcPr>
            <w:tcW w:w="4604" w:type="dxa"/>
            <w:tcBorders>
              <w:top w:val="single" w:sz="4" w:space="0" w:color="auto"/>
              <w:left w:val="nil"/>
              <w:bottom w:val="nil"/>
              <w:right w:val="nil"/>
            </w:tcBorders>
          </w:tcPr>
          <w:p w:rsidR="0028027B" w:rsidRPr="00DC1EE4" w:rsidRDefault="0028027B" w:rsidP="00C03F9E">
            <w:pPr>
              <w:pStyle w:val="Tabletext"/>
              <w:rPr>
                <w:b/>
              </w:rPr>
            </w:pPr>
            <w:r w:rsidRPr="00DC1EE4">
              <w:rPr>
                <w:b/>
              </w:rPr>
              <w:t>Assets</w:t>
            </w:r>
          </w:p>
        </w:tc>
        <w:tc>
          <w:tcPr>
            <w:tcW w:w="900" w:type="dxa"/>
            <w:tcBorders>
              <w:top w:val="single" w:sz="4" w:space="0" w:color="auto"/>
              <w:left w:val="nil"/>
              <w:bottom w:val="nil"/>
              <w:right w:val="nil"/>
            </w:tcBorders>
          </w:tcPr>
          <w:p w:rsidR="0028027B" w:rsidRPr="00DC1EE4" w:rsidRDefault="0028027B" w:rsidP="00C03F9E">
            <w:pPr>
              <w:pStyle w:val="TableTextCentred"/>
              <w:rPr>
                <w:b/>
              </w:rPr>
            </w:pPr>
            <w:r w:rsidRPr="00DC1EE4">
              <w:rPr>
                <w:b/>
              </w:rPr>
              <w:t xml:space="preserve"> </w:t>
            </w:r>
          </w:p>
        </w:tc>
        <w:tc>
          <w:tcPr>
            <w:tcW w:w="900"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990"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990"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900"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889"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 xml:space="preserve"> </w:t>
            </w:r>
          </w:p>
        </w:tc>
      </w:tr>
      <w:tr w:rsidR="0028027B" w:rsidRPr="00DC1EE4" w:rsidTr="00C03F9E">
        <w:tc>
          <w:tcPr>
            <w:tcW w:w="4604" w:type="dxa"/>
            <w:tcBorders>
              <w:top w:val="nil"/>
              <w:left w:val="nil"/>
              <w:bottom w:val="nil"/>
              <w:right w:val="nil"/>
            </w:tcBorders>
          </w:tcPr>
          <w:p w:rsidR="0028027B" w:rsidRPr="00DC1EE4" w:rsidRDefault="0028027B" w:rsidP="00C03F9E">
            <w:pPr>
              <w:pStyle w:val="Tabletext"/>
              <w:rPr>
                <w:b/>
              </w:rPr>
            </w:pPr>
            <w:r w:rsidRPr="00DC1EE4">
              <w:rPr>
                <w:b/>
              </w:rPr>
              <w:t>Financial assets</w:t>
            </w:r>
          </w:p>
        </w:tc>
        <w:tc>
          <w:tcPr>
            <w:tcW w:w="900" w:type="dxa"/>
            <w:tcBorders>
              <w:top w:val="nil"/>
              <w:left w:val="nil"/>
              <w:bottom w:val="nil"/>
              <w:right w:val="nil"/>
            </w:tcBorders>
          </w:tcPr>
          <w:p w:rsidR="0028027B" w:rsidRPr="00DC1EE4" w:rsidRDefault="0028027B" w:rsidP="00C03F9E">
            <w:pPr>
              <w:pStyle w:val="TableTextCentred"/>
              <w:rPr>
                <w:b/>
              </w:rPr>
            </w:pPr>
            <w:r w:rsidRPr="00DC1EE4">
              <w:rPr>
                <w:b/>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889"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Cash and deposits</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4 912.6</w:t>
            </w:r>
          </w:p>
        </w:tc>
        <w:tc>
          <w:tcPr>
            <w:tcW w:w="990" w:type="dxa"/>
            <w:tcBorders>
              <w:top w:val="nil"/>
              <w:left w:val="nil"/>
              <w:bottom w:val="nil"/>
              <w:right w:val="nil"/>
            </w:tcBorders>
          </w:tcPr>
          <w:p w:rsidR="0028027B" w:rsidRPr="00DC1EE4" w:rsidRDefault="0028027B" w:rsidP="00C03F9E">
            <w:pPr>
              <w:pStyle w:val="TableofFigures"/>
            </w:pPr>
            <w:r w:rsidRPr="00DC1EE4">
              <w:t>5 110.2</w:t>
            </w:r>
          </w:p>
        </w:tc>
        <w:tc>
          <w:tcPr>
            <w:tcW w:w="990" w:type="dxa"/>
            <w:tcBorders>
              <w:top w:val="nil"/>
              <w:left w:val="nil"/>
              <w:bottom w:val="nil"/>
              <w:right w:val="nil"/>
            </w:tcBorders>
          </w:tcPr>
          <w:p w:rsidR="0028027B" w:rsidRPr="00DC1EE4" w:rsidRDefault="0028027B" w:rsidP="00C03F9E">
            <w:pPr>
              <w:pStyle w:val="TableofFigures"/>
            </w:pPr>
            <w:r w:rsidRPr="00DC1EE4">
              <w:t>5 428.9</w:t>
            </w:r>
          </w:p>
        </w:tc>
        <w:tc>
          <w:tcPr>
            <w:tcW w:w="900" w:type="dxa"/>
            <w:tcBorders>
              <w:top w:val="nil"/>
              <w:left w:val="nil"/>
              <w:bottom w:val="nil"/>
              <w:right w:val="nil"/>
            </w:tcBorders>
          </w:tcPr>
          <w:p w:rsidR="0028027B" w:rsidRPr="00DC1EE4" w:rsidRDefault="0028027B" w:rsidP="00C03F9E">
            <w:pPr>
              <w:pStyle w:val="TableofFigures"/>
            </w:pPr>
            <w:r w:rsidRPr="00DC1EE4">
              <w:t>5 794.1</w:t>
            </w:r>
          </w:p>
        </w:tc>
        <w:tc>
          <w:tcPr>
            <w:tcW w:w="889" w:type="dxa"/>
            <w:tcBorders>
              <w:top w:val="nil"/>
              <w:left w:val="nil"/>
              <w:bottom w:val="nil"/>
              <w:right w:val="nil"/>
            </w:tcBorders>
          </w:tcPr>
          <w:p w:rsidR="0028027B" w:rsidRPr="00DC1EE4" w:rsidRDefault="0028027B" w:rsidP="00C03F9E">
            <w:pPr>
              <w:pStyle w:val="TableofFigures"/>
            </w:pPr>
            <w:r w:rsidRPr="00DC1EE4">
              <w:t>6 181.6</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Advances paid</w:t>
            </w:r>
          </w:p>
        </w:tc>
        <w:tc>
          <w:tcPr>
            <w:tcW w:w="900" w:type="dxa"/>
            <w:tcBorders>
              <w:top w:val="nil"/>
              <w:left w:val="nil"/>
              <w:bottom w:val="nil"/>
              <w:right w:val="nil"/>
            </w:tcBorders>
          </w:tcPr>
          <w:p w:rsidR="0028027B" w:rsidRPr="00DC1EE4" w:rsidRDefault="0028027B" w:rsidP="00C03F9E">
            <w:pPr>
              <w:pStyle w:val="TableTextCentred"/>
            </w:pPr>
            <w:r w:rsidRPr="00DC1EE4">
              <w:t>16</w:t>
            </w:r>
          </w:p>
        </w:tc>
        <w:tc>
          <w:tcPr>
            <w:tcW w:w="900" w:type="dxa"/>
            <w:tcBorders>
              <w:top w:val="nil"/>
              <w:left w:val="nil"/>
              <w:bottom w:val="nil"/>
              <w:right w:val="nil"/>
            </w:tcBorders>
          </w:tcPr>
          <w:p w:rsidR="0028027B" w:rsidRPr="00DC1EE4" w:rsidRDefault="0028027B" w:rsidP="00C03F9E">
            <w:pPr>
              <w:pStyle w:val="TableofFigures"/>
            </w:pPr>
            <w:r w:rsidRPr="00DC1EE4">
              <w:t>4 567.9</w:t>
            </w:r>
          </w:p>
        </w:tc>
        <w:tc>
          <w:tcPr>
            <w:tcW w:w="990" w:type="dxa"/>
            <w:tcBorders>
              <w:top w:val="nil"/>
              <w:left w:val="nil"/>
              <w:bottom w:val="nil"/>
              <w:right w:val="nil"/>
            </w:tcBorders>
          </w:tcPr>
          <w:p w:rsidR="0028027B" w:rsidRPr="00DC1EE4" w:rsidRDefault="0028027B" w:rsidP="00C03F9E">
            <w:pPr>
              <w:pStyle w:val="TableofFigures"/>
            </w:pPr>
            <w:r w:rsidRPr="00DC1EE4">
              <w:t>4 520.6</w:t>
            </w:r>
          </w:p>
        </w:tc>
        <w:tc>
          <w:tcPr>
            <w:tcW w:w="990" w:type="dxa"/>
            <w:tcBorders>
              <w:top w:val="nil"/>
              <w:left w:val="nil"/>
              <w:bottom w:val="nil"/>
              <w:right w:val="nil"/>
            </w:tcBorders>
          </w:tcPr>
          <w:p w:rsidR="0028027B" w:rsidRPr="00DC1EE4" w:rsidRDefault="0028027B" w:rsidP="00C03F9E">
            <w:pPr>
              <w:pStyle w:val="TableofFigures"/>
            </w:pPr>
            <w:r w:rsidRPr="00DC1EE4">
              <w:t>4 484.3</w:t>
            </w:r>
          </w:p>
        </w:tc>
        <w:tc>
          <w:tcPr>
            <w:tcW w:w="900" w:type="dxa"/>
            <w:tcBorders>
              <w:top w:val="nil"/>
              <w:left w:val="nil"/>
              <w:bottom w:val="nil"/>
              <w:right w:val="nil"/>
            </w:tcBorders>
          </w:tcPr>
          <w:p w:rsidR="0028027B" w:rsidRPr="00DC1EE4" w:rsidRDefault="0028027B" w:rsidP="00C03F9E">
            <w:pPr>
              <w:pStyle w:val="TableofFigures"/>
            </w:pPr>
            <w:r w:rsidRPr="00DC1EE4">
              <w:t>4 438.5</w:t>
            </w:r>
          </w:p>
        </w:tc>
        <w:tc>
          <w:tcPr>
            <w:tcW w:w="889" w:type="dxa"/>
            <w:tcBorders>
              <w:top w:val="nil"/>
              <w:left w:val="nil"/>
              <w:bottom w:val="nil"/>
              <w:right w:val="nil"/>
            </w:tcBorders>
          </w:tcPr>
          <w:p w:rsidR="0028027B" w:rsidRPr="00DC1EE4" w:rsidRDefault="0028027B" w:rsidP="00C03F9E">
            <w:pPr>
              <w:pStyle w:val="TableofFigures"/>
            </w:pPr>
            <w:r w:rsidRPr="00DC1EE4">
              <w:t>4 387.0</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Receivables</w:t>
            </w:r>
          </w:p>
        </w:tc>
        <w:tc>
          <w:tcPr>
            <w:tcW w:w="900" w:type="dxa"/>
            <w:tcBorders>
              <w:top w:val="nil"/>
              <w:left w:val="nil"/>
              <w:bottom w:val="nil"/>
              <w:right w:val="nil"/>
            </w:tcBorders>
          </w:tcPr>
          <w:p w:rsidR="0028027B" w:rsidRPr="00DC1EE4" w:rsidRDefault="0028027B" w:rsidP="00C03F9E">
            <w:pPr>
              <w:pStyle w:val="TableTextCentred"/>
            </w:pPr>
          </w:p>
        </w:tc>
        <w:tc>
          <w:tcPr>
            <w:tcW w:w="900" w:type="dxa"/>
            <w:tcBorders>
              <w:top w:val="nil"/>
              <w:left w:val="nil"/>
              <w:bottom w:val="nil"/>
              <w:right w:val="nil"/>
            </w:tcBorders>
          </w:tcPr>
          <w:p w:rsidR="0028027B" w:rsidRPr="00DC1EE4" w:rsidRDefault="0028027B" w:rsidP="00C03F9E">
            <w:pPr>
              <w:pStyle w:val="TableofFigures"/>
            </w:pPr>
            <w:r w:rsidRPr="00DC1EE4">
              <w:t>5 010.0</w:t>
            </w:r>
          </w:p>
        </w:tc>
        <w:tc>
          <w:tcPr>
            <w:tcW w:w="990" w:type="dxa"/>
            <w:tcBorders>
              <w:top w:val="nil"/>
              <w:left w:val="nil"/>
              <w:bottom w:val="nil"/>
              <w:right w:val="nil"/>
            </w:tcBorders>
          </w:tcPr>
          <w:p w:rsidR="0028027B" w:rsidRPr="00DC1EE4" w:rsidRDefault="0028027B" w:rsidP="00C03F9E">
            <w:pPr>
              <w:pStyle w:val="TableofFigures"/>
            </w:pPr>
            <w:r w:rsidRPr="00DC1EE4">
              <w:t>4 857.6</w:t>
            </w:r>
          </w:p>
        </w:tc>
        <w:tc>
          <w:tcPr>
            <w:tcW w:w="990" w:type="dxa"/>
            <w:tcBorders>
              <w:top w:val="nil"/>
              <w:left w:val="nil"/>
              <w:bottom w:val="nil"/>
              <w:right w:val="nil"/>
            </w:tcBorders>
          </w:tcPr>
          <w:p w:rsidR="0028027B" w:rsidRPr="00DC1EE4" w:rsidRDefault="0028027B" w:rsidP="00C03F9E">
            <w:pPr>
              <w:pStyle w:val="TableofFigures"/>
            </w:pPr>
            <w:r w:rsidRPr="00DC1EE4">
              <w:t>4 825.1</w:t>
            </w:r>
          </w:p>
        </w:tc>
        <w:tc>
          <w:tcPr>
            <w:tcW w:w="900" w:type="dxa"/>
            <w:tcBorders>
              <w:top w:val="nil"/>
              <w:left w:val="nil"/>
              <w:bottom w:val="nil"/>
              <w:right w:val="nil"/>
            </w:tcBorders>
          </w:tcPr>
          <w:p w:rsidR="0028027B" w:rsidRPr="00DC1EE4" w:rsidRDefault="0028027B" w:rsidP="00C03F9E">
            <w:pPr>
              <w:pStyle w:val="TableofFigures"/>
            </w:pPr>
            <w:r w:rsidRPr="00DC1EE4">
              <w:t>4 876.3</w:t>
            </w:r>
          </w:p>
        </w:tc>
        <w:tc>
          <w:tcPr>
            <w:tcW w:w="889" w:type="dxa"/>
            <w:tcBorders>
              <w:top w:val="nil"/>
              <w:left w:val="nil"/>
              <w:bottom w:val="nil"/>
              <w:right w:val="nil"/>
            </w:tcBorders>
          </w:tcPr>
          <w:p w:rsidR="0028027B" w:rsidRPr="00DC1EE4" w:rsidRDefault="0028027B" w:rsidP="00C03F9E">
            <w:pPr>
              <w:pStyle w:val="TableofFigures"/>
            </w:pPr>
            <w:r w:rsidRPr="00DC1EE4">
              <w:t>4 996.2</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Investments, loans and placements</w:t>
            </w:r>
          </w:p>
        </w:tc>
        <w:tc>
          <w:tcPr>
            <w:tcW w:w="900" w:type="dxa"/>
            <w:tcBorders>
              <w:top w:val="nil"/>
              <w:left w:val="nil"/>
              <w:bottom w:val="nil"/>
              <w:right w:val="nil"/>
            </w:tcBorders>
          </w:tcPr>
          <w:p w:rsidR="0028027B" w:rsidRPr="00DC1EE4" w:rsidRDefault="0028027B" w:rsidP="00C03F9E">
            <w:pPr>
              <w:pStyle w:val="TableTextCentred"/>
            </w:pPr>
            <w:r w:rsidRPr="00DC1EE4">
              <w:t>16</w:t>
            </w:r>
          </w:p>
        </w:tc>
        <w:tc>
          <w:tcPr>
            <w:tcW w:w="900" w:type="dxa"/>
            <w:tcBorders>
              <w:top w:val="nil"/>
              <w:left w:val="nil"/>
              <w:bottom w:val="nil"/>
              <w:right w:val="nil"/>
            </w:tcBorders>
          </w:tcPr>
          <w:p w:rsidR="0028027B" w:rsidRPr="00DC1EE4" w:rsidRDefault="0028027B" w:rsidP="00C03F9E">
            <w:pPr>
              <w:pStyle w:val="TableofFigures"/>
            </w:pPr>
            <w:r w:rsidRPr="00DC1EE4">
              <w:t>3 039.3</w:t>
            </w:r>
          </w:p>
        </w:tc>
        <w:tc>
          <w:tcPr>
            <w:tcW w:w="990" w:type="dxa"/>
            <w:tcBorders>
              <w:top w:val="nil"/>
              <w:left w:val="nil"/>
              <w:bottom w:val="nil"/>
              <w:right w:val="nil"/>
            </w:tcBorders>
          </w:tcPr>
          <w:p w:rsidR="0028027B" w:rsidRPr="00DC1EE4" w:rsidRDefault="0028027B" w:rsidP="00C03F9E">
            <w:pPr>
              <w:pStyle w:val="TableofFigures"/>
            </w:pPr>
            <w:r w:rsidRPr="00DC1EE4">
              <w:t>3 146.4</w:t>
            </w:r>
          </w:p>
        </w:tc>
        <w:tc>
          <w:tcPr>
            <w:tcW w:w="990" w:type="dxa"/>
            <w:tcBorders>
              <w:top w:val="nil"/>
              <w:left w:val="nil"/>
              <w:bottom w:val="nil"/>
              <w:right w:val="nil"/>
            </w:tcBorders>
          </w:tcPr>
          <w:p w:rsidR="0028027B" w:rsidRPr="00DC1EE4" w:rsidRDefault="0028027B" w:rsidP="00C03F9E">
            <w:pPr>
              <w:pStyle w:val="TableofFigures"/>
            </w:pPr>
            <w:r w:rsidRPr="00DC1EE4">
              <w:t>3 275.3</w:t>
            </w:r>
          </w:p>
        </w:tc>
        <w:tc>
          <w:tcPr>
            <w:tcW w:w="900" w:type="dxa"/>
            <w:tcBorders>
              <w:top w:val="nil"/>
              <w:left w:val="nil"/>
              <w:bottom w:val="nil"/>
              <w:right w:val="nil"/>
            </w:tcBorders>
          </w:tcPr>
          <w:p w:rsidR="0028027B" w:rsidRPr="00DC1EE4" w:rsidRDefault="0028027B" w:rsidP="00C03F9E">
            <w:pPr>
              <w:pStyle w:val="TableofFigures"/>
            </w:pPr>
            <w:r w:rsidRPr="00DC1EE4">
              <w:t>3 410.6</w:t>
            </w:r>
          </w:p>
        </w:tc>
        <w:tc>
          <w:tcPr>
            <w:tcW w:w="889" w:type="dxa"/>
            <w:tcBorders>
              <w:top w:val="nil"/>
              <w:left w:val="nil"/>
              <w:bottom w:val="nil"/>
              <w:right w:val="nil"/>
            </w:tcBorders>
          </w:tcPr>
          <w:p w:rsidR="0028027B" w:rsidRPr="00DC1EE4" w:rsidRDefault="0028027B" w:rsidP="00C03F9E">
            <w:pPr>
              <w:pStyle w:val="TableofFigures"/>
            </w:pPr>
            <w:r w:rsidRPr="00DC1EE4">
              <w:t>3 547.8</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Investments accounted for using equity method</w:t>
            </w:r>
          </w:p>
        </w:tc>
        <w:tc>
          <w:tcPr>
            <w:tcW w:w="900" w:type="dxa"/>
            <w:tcBorders>
              <w:top w:val="nil"/>
              <w:left w:val="nil"/>
              <w:bottom w:val="nil"/>
              <w:right w:val="nil"/>
            </w:tcBorders>
          </w:tcPr>
          <w:p w:rsidR="0028027B" w:rsidRPr="00DC1EE4" w:rsidRDefault="0028027B" w:rsidP="00C03F9E">
            <w:pPr>
              <w:pStyle w:val="TableTextCentred"/>
            </w:pPr>
          </w:p>
        </w:tc>
        <w:tc>
          <w:tcPr>
            <w:tcW w:w="900" w:type="dxa"/>
            <w:tcBorders>
              <w:top w:val="nil"/>
              <w:left w:val="nil"/>
              <w:bottom w:val="nil"/>
              <w:right w:val="nil"/>
            </w:tcBorders>
          </w:tcPr>
          <w:p w:rsidR="0028027B" w:rsidRPr="00DC1EE4" w:rsidRDefault="0028027B" w:rsidP="00C03F9E">
            <w:pPr>
              <w:pStyle w:val="TableofFigures"/>
            </w:pPr>
            <w:r w:rsidRPr="00DC1EE4">
              <w:t xml:space="preserve"> 44.1</w:t>
            </w:r>
          </w:p>
        </w:tc>
        <w:tc>
          <w:tcPr>
            <w:tcW w:w="990" w:type="dxa"/>
            <w:tcBorders>
              <w:top w:val="nil"/>
              <w:left w:val="nil"/>
              <w:bottom w:val="nil"/>
              <w:right w:val="nil"/>
            </w:tcBorders>
          </w:tcPr>
          <w:p w:rsidR="0028027B" w:rsidRPr="00DC1EE4" w:rsidRDefault="0028027B" w:rsidP="00C03F9E">
            <w:pPr>
              <w:pStyle w:val="TableofFigures"/>
            </w:pPr>
            <w:r w:rsidRPr="00DC1EE4">
              <w:t xml:space="preserve"> 44.1</w:t>
            </w:r>
          </w:p>
        </w:tc>
        <w:tc>
          <w:tcPr>
            <w:tcW w:w="990" w:type="dxa"/>
            <w:tcBorders>
              <w:top w:val="nil"/>
              <w:left w:val="nil"/>
              <w:bottom w:val="nil"/>
              <w:right w:val="nil"/>
            </w:tcBorders>
          </w:tcPr>
          <w:p w:rsidR="0028027B" w:rsidRPr="00DC1EE4" w:rsidRDefault="0028027B" w:rsidP="00C03F9E">
            <w:pPr>
              <w:pStyle w:val="TableofFigures"/>
            </w:pPr>
            <w:r w:rsidRPr="00DC1EE4">
              <w:t xml:space="preserve"> 44.1</w:t>
            </w:r>
          </w:p>
        </w:tc>
        <w:tc>
          <w:tcPr>
            <w:tcW w:w="900" w:type="dxa"/>
            <w:tcBorders>
              <w:top w:val="nil"/>
              <w:left w:val="nil"/>
              <w:bottom w:val="nil"/>
              <w:right w:val="nil"/>
            </w:tcBorders>
          </w:tcPr>
          <w:p w:rsidR="0028027B" w:rsidRPr="00DC1EE4" w:rsidRDefault="0028027B" w:rsidP="00C03F9E">
            <w:pPr>
              <w:pStyle w:val="TableofFigures"/>
            </w:pPr>
            <w:r w:rsidRPr="00DC1EE4">
              <w:t xml:space="preserve"> 44.1</w:t>
            </w:r>
          </w:p>
        </w:tc>
        <w:tc>
          <w:tcPr>
            <w:tcW w:w="889" w:type="dxa"/>
            <w:tcBorders>
              <w:top w:val="nil"/>
              <w:left w:val="nil"/>
              <w:bottom w:val="nil"/>
              <w:right w:val="nil"/>
            </w:tcBorders>
          </w:tcPr>
          <w:p w:rsidR="0028027B" w:rsidRPr="00DC1EE4" w:rsidRDefault="0028027B" w:rsidP="00C03F9E">
            <w:pPr>
              <w:pStyle w:val="TableofFigures"/>
            </w:pPr>
            <w:r w:rsidRPr="00DC1EE4">
              <w:t xml:space="preserve"> 44.1</w:t>
            </w:r>
          </w:p>
        </w:tc>
      </w:tr>
      <w:tr w:rsidR="0028027B" w:rsidRPr="00DC1EE4" w:rsidTr="00C03F9E">
        <w:tc>
          <w:tcPr>
            <w:tcW w:w="4604" w:type="dxa"/>
            <w:tcBorders>
              <w:top w:val="nil"/>
              <w:left w:val="nil"/>
              <w:bottom w:val="single" w:sz="6" w:space="0" w:color="auto"/>
              <w:right w:val="nil"/>
            </w:tcBorders>
            <w:vAlign w:val="center"/>
          </w:tcPr>
          <w:p w:rsidR="0028027B" w:rsidRPr="00DC1EE4" w:rsidRDefault="0028027B" w:rsidP="00C03F9E">
            <w:pPr>
              <w:pStyle w:val="Tabletext"/>
            </w:pPr>
            <w:r w:rsidRPr="00DC1EE4">
              <w:t>Investments in other sector entities</w:t>
            </w:r>
          </w:p>
        </w:tc>
        <w:tc>
          <w:tcPr>
            <w:tcW w:w="900" w:type="dxa"/>
            <w:tcBorders>
              <w:top w:val="nil"/>
              <w:left w:val="nil"/>
              <w:bottom w:val="single" w:sz="6" w:space="0" w:color="auto"/>
              <w:right w:val="nil"/>
            </w:tcBorders>
          </w:tcPr>
          <w:p w:rsidR="0028027B" w:rsidRPr="00DC1EE4" w:rsidRDefault="0028027B" w:rsidP="00C03F9E">
            <w:pPr>
              <w:pStyle w:val="TableTextCentred"/>
            </w:pPr>
            <w:r w:rsidRPr="00DC1EE4">
              <w:t>14, 1H</w:t>
            </w:r>
          </w:p>
        </w:tc>
        <w:tc>
          <w:tcPr>
            <w:tcW w:w="900" w:type="dxa"/>
            <w:tcBorders>
              <w:top w:val="nil"/>
              <w:left w:val="nil"/>
              <w:bottom w:val="nil"/>
              <w:right w:val="nil"/>
            </w:tcBorders>
          </w:tcPr>
          <w:p w:rsidR="0028027B" w:rsidRPr="00DC1EE4" w:rsidRDefault="0028027B" w:rsidP="00C03F9E">
            <w:pPr>
              <w:pStyle w:val="TableofFigures"/>
            </w:pPr>
            <w:r w:rsidRPr="00DC1EE4">
              <w:t>80 446.8</w:t>
            </w:r>
          </w:p>
        </w:tc>
        <w:tc>
          <w:tcPr>
            <w:tcW w:w="990" w:type="dxa"/>
            <w:tcBorders>
              <w:top w:val="nil"/>
              <w:left w:val="nil"/>
              <w:bottom w:val="nil"/>
              <w:right w:val="nil"/>
            </w:tcBorders>
          </w:tcPr>
          <w:p w:rsidR="0028027B" w:rsidRPr="00DC1EE4" w:rsidRDefault="0028027B" w:rsidP="00C03F9E">
            <w:pPr>
              <w:pStyle w:val="TableofFigures"/>
            </w:pPr>
            <w:r w:rsidRPr="00DC1EE4">
              <w:t>80 697.3</w:t>
            </w:r>
          </w:p>
        </w:tc>
        <w:tc>
          <w:tcPr>
            <w:tcW w:w="990" w:type="dxa"/>
            <w:tcBorders>
              <w:top w:val="nil"/>
              <w:left w:val="nil"/>
              <w:bottom w:val="nil"/>
              <w:right w:val="nil"/>
            </w:tcBorders>
          </w:tcPr>
          <w:p w:rsidR="0028027B" w:rsidRPr="00DC1EE4" w:rsidRDefault="0028027B" w:rsidP="00C03F9E">
            <w:pPr>
              <w:pStyle w:val="TableofFigures"/>
            </w:pPr>
            <w:r w:rsidRPr="00DC1EE4">
              <w:t>82 335.7</w:t>
            </w:r>
          </w:p>
        </w:tc>
        <w:tc>
          <w:tcPr>
            <w:tcW w:w="900" w:type="dxa"/>
            <w:tcBorders>
              <w:top w:val="nil"/>
              <w:left w:val="nil"/>
              <w:bottom w:val="nil"/>
              <w:right w:val="nil"/>
            </w:tcBorders>
          </w:tcPr>
          <w:p w:rsidR="0028027B" w:rsidRPr="00DC1EE4" w:rsidRDefault="0028027B" w:rsidP="00C03F9E">
            <w:pPr>
              <w:pStyle w:val="TableofFigures"/>
            </w:pPr>
            <w:r w:rsidRPr="00DC1EE4">
              <w:t>82 994.0</w:t>
            </w:r>
          </w:p>
        </w:tc>
        <w:tc>
          <w:tcPr>
            <w:tcW w:w="889" w:type="dxa"/>
            <w:tcBorders>
              <w:top w:val="nil"/>
              <w:left w:val="nil"/>
              <w:bottom w:val="nil"/>
              <w:right w:val="nil"/>
            </w:tcBorders>
          </w:tcPr>
          <w:p w:rsidR="0028027B" w:rsidRPr="00DC1EE4" w:rsidRDefault="0028027B" w:rsidP="00C03F9E">
            <w:pPr>
              <w:pStyle w:val="TableofFigures"/>
            </w:pPr>
            <w:r w:rsidRPr="00DC1EE4">
              <w:t>84 905.9</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rPr>
                <w:b/>
              </w:rPr>
            </w:pPr>
            <w:r w:rsidRPr="00DC1EE4">
              <w:rPr>
                <w:b/>
              </w:rPr>
              <w:t>Total financial assets</w:t>
            </w:r>
          </w:p>
        </w:tc>
        <w:tc>
          <w:tcPr>
            <w:tcW w:w="900" w:type="dxa"/>
            <w:tcBorders>
              <w:top w:val="nil"/>
              <w:left w:val="nil"/>
              <w:bottom w:val="nil"/>
              <w:right w:val="nil"/>
            </w:tcBorders>
          </w:tcPr>
          <w:p w:rsidR="0028027B" w:rsidRPr="00DC1EE4" w:rsidRDefault="0028027B" w:rsidP="00C03F9E">
            <w:pPr>
              <w:pStyle w:val="TableTextCentred"/>
              <w:rPr>
                <w:b/>
              </w:rPr>
            </w:pPr>
            <w:r w:rsidRPr="00DC1EE4">
              <w:rPr>
                <w:b/>
              </w:rPr>
              <w:t xml:space="preserve"> </w:t>
            </w:r>
          </w:p>
        </w:tc>
        <w:tc>
          <w:tcPr>
            <w:tcW w:w="900"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98 020.7</w:t>
            </w:r>
          </w:p>
        </w:tc>
        <w:tc>
          <w:tcPr>
            <w:tcW w:w="990"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98 376.3</w:t>
            </w:r>
          </w:p>
        </w:tc>
        <w:tc>
          <w:tcPr>
            <w:tcW w:w="990"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100 393.4</w:t>
            </w:r>
          </w:p>
        </w:tc>
        <w:tc>
          <w:tcPr>
            <w:tcW w:w="900"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101 557.7</w:t>
            </w:r>
          </w:p>
        </w:tc>
        <w:tc>
          <w:tcPr>
            <w:tcW w:w="889"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104 062.6</w:t>
            </w:r>
          </w:p>
        </w:tc>
      </w:tr>
      <w:tr w:rsidR="0028027B" w:rsidRPr="00DC1EE4" w:rsidTr="00C03F9E">
        <w:tc>
          <w:tcPr>
            <w:tcW w:w="4604" w:type="dxa"/>
            <w:tcBorders>
              <w:top w:val="nil"/>
              <w:left w:val="nil"/>
              <w:bottom w:val="nil"/>
              <w:right w:val="nil"/>
            </w:tcBorders>
          </w:tcPr>
          <w:p w:rsidR="0028027B" w:rsidRPr="00DC1EE4" w:rsidRDefault="0028027B" w:rsidP="00C03F9E">
            <w:pPr>
              <w:pStyle w:val="Tabletext"/>
              <w:rPr>
                <w:b/>
              </w:rPr>
            </w:pPr>
            <w:r w:rsidRPr="00DC1EE4">
              <w:rPr>
                <w:b/>
              </w:rPr>
              <w:t>Non</w:t>
            </w:r>
            <w:r w:rsidR="005A4BB0">
              <w:rPr>
                <w:b/>
              </w:rPr>
              <w:noBreakHyphen/>
            </w:r>
            <w:r w:rsidRPr="00DC1EE4">
              <w:rPr>
                <w:b/>
              </w:rPr>
              <w:t>financial assets</w:t>
            </w:r>
          </w:p>
        </w:tc>
        <w:tc>
          <w:tcPr>
            <w:tcW w:w="900" w:type="dxa"/>
            <w:tcBorders>
              <w:top w:val="nil"/>
              <w:left w:val="nil"/>
              <w:bottom w:val="nil"/>
              <w:right w:val="nil"/>
            </w:tcBorders>
          </w:tcPr>
          <w:p w:rsidR="0028027B" w:rsidRPr="00DC1EE4" w:rsidRDefault="0028027B" w:rsidP="00C03F9E">
            <w:pPr>
              <w:pStyle w:val="TableTextCentred"/>
              <w:rPr>
                <w:b/>
              </w:rPr>
            </w:pPr>
            <w:r w:rsidRPr="00DC1EE4">
              <w:rPr>
                <w:b/>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889"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r>
      <w:tr w:rsidR="0028027B" w:rsidRPr="00DC1EE4" w:rsidTr="00C03F9E">
        <w:tc>
          <w:tcPr>
            <w:tcW w:w="4604" w:type="dxa"/>
            <w:tcBorders>
              <w:top w:val="nil"/>
              <w:left w:val="nil"/>
              <w:bottom w:val="nil"/>
              <w:right w:val="nil"/>
            </w:tcBorders>
          </w:tcPr>
          <w:p w:rsidR="0028027B" w:rsidRPr="00DC1EE4" w:rsidRDefault="0028027B" w:rsidP="00C03F9E">
            <w:pPr>
              <w:pStyle w:val="Tabletext"/>
            </w:pPr>
            <w:r w:rsidRPr="00DC1EE4">
              <w:t>Inventories</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 xml:space="preserve"> 155.1</w:t>
            </w:r>
          </w:p>
        </w:tc>
        <w:tc>
          <w:tcPr>
            <w:tcW w:w="990" w:type="dxa"/>
            <w:tcBorders>
              <w:top w:val="nil"/>
              <w:left w:val="nil"/>
              <w:bottom w:val="nil"/>
              <w:right w:val="nil"/>
            </w:tcBorders>
          </w:tcPr>
          <w:p w:rsidR="0028027B" w:rsidRPr="00DC1EE4" w:rsidRDefault="0028027B" w:rsidP="00C03F9E">
            <w:pPr>
              <w:pStyle w:val="TableofFigures"/>
            </w:pPr>
            <w:r w:rsidRPr="00DC1EE4">
              <w:t xml:space="preserve"> 158.5</w:t>
            </w:r>
          </w:p>
        </w:tc>
        <w:tc>
          <w:tcPr>
            <w:tcW w:w="990" w:type="dxa"/>
            <w:tcBorders>
              <w:top w:val="nil"/>
              <w:left w:val="nil"/>
              <w:bottom w:val="nil"/>
              <w:right w:val="nil"/>
            </w:tcBorders>
          </w:tcPr>
          <w:p w:rsidR="0028027B" w:rsidRPr="00DC1EE4" w:rsidRDefault="0028027B" w:rsidP="00C03F9E">
            <w:pPr>
              <w:pStyle w:val="TableofFigures"/>
            </w:pPr>
            <w:r w:rsidRPr="00DC1EE4">
              <w:t xml:space="preserve"> 162.0</w:t>
            </w:r>
          </w:p>
        </w:tc>
        <w:tc>
          <w:tcPr>
            <w:tcW w:w="900" w:type="dxa"/>
            <w:tcBorders>
              <w:top w:val="nil"/>
              <w:left w:val="nil"/>
              <w:bottom w:val="nil"/>
              <w:right w:val="nil"/>
            </w:tcBorders>
          </w:tcPr>
          <w:p w:rsidR="0028027B" w:rsidRPr="00DC1EE4" w:rsidRDefault="0028027B" w:rsidP="00C03F9E">
            <w:pPr>
              <w:pStyle w:val="TableofFigures"/>
            </w:pPr>
            <w:r w:rsidRPr="00DC1EE4">
              <w:t xml:space="preserve"> 166.4</w:t>
            </w:r>
          </w:p>
        </w:tc>
        <w:tc>
          <w:tcPr>
            <w:tcW w:w="889" w:type="dxa"/>
            <w:tcBorders>
              <w:top w:val="nil"/>
              <w:left w:val="nil"/>
              <w:bottom w:val="nil"/>
              <w:right w:val="nil"/>
            </w:tcBorders>
          </w:tcPr>
          <w:p w:rsidR="0028027B" w:rsidRPr="00DC1EE4" w:rsidRDefault="0028027B" w:rsidP="00C03F9E">
            <w:pPr>
              <w:pStyle w:val="TableofFigures"/>
            </w:pPr>
            <w:r w:rsidRPr="00DC1EE4">
              <w:t xml:space="preserve"> 170.9</w:t>
            </w:r>
          </w:p>
        </w:tc>
      </w:tr>
      <w:tr w:rsidR="0028027B" w:rsidRPr="00DC1EE4" w:rsidTr="00C03F9E">
        <w:tc>
          <w:tcPr>
            <w:tcW w:w="4604" w:type="dxa"/>
            <w:tcBorders>
              <w:top w:val="nil"/>
              <w:left w:val="nil"/>
              <w:bottom w:val="nil"/>
              <w:right w:val="nil"/>
            </w:tcBorders>
          </w:tcPr>
          <w:p w:rsidR="0028027B" w:rsidRPr="00DC1EE4" w:rsidRDefault="0028027B" w:rsidP="00C03F9E">
            <w:pPr>
              <w:pStyle w:val="Tabletext"/>
            </w:pPr>
            <w:r w:rsidRPr="00DC1EE4">
              <w:t>Non</w:t>
            </w:r>
            <w:r w:rsidR="005A4BB0">
              <w:noBreakHyphen/>
            </w:r>
            <w:r w:rsidRPr="00DC1EE4">
              <w:t>financial assets held for sale</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 xml:space="preserve"> 128.5</w:t>
            </w:r>
          </w:p>
        </w:tc>
        <w:tc>
          <w:tcPr>
            <w:tcW w:w="990" w:type="dxa"/>
            <w:tcBorders>
              <w:top w:val="nil"/>
              <w:left w:val="nil"/>
              <w:bottom w:val="nil"/>
              <w:right w:val="nil"/>
            </w:tcBorders>
          </w:tcPr>
          <w:p w:rsidR="0028027B" w:rsidRPr="00DC1EE4" w:rsidRDefault="0028027B" w:rsidP="00C03F9E">
            <w:pPr>
              <w:pStyle w:val="TableofFigures"/>
            </w:pPr>
            <w:r w:rsidRPr="00DC1EE4">
              <w:t xml:space="preserve"> 128.5</w:t>
            </w:r>
          </w:p>
        </w:tc>
        <w:tc>
          <w:tcPr>
            <w:tcW w:w="990" w:type="dxa"/>
            <w:tcBorders>
              <w:top w:val="nil"/>
              <w:left w:val="nil"/>
              <w:bottom w:val="nil"/>
              <w:right w:val="nil"/>
            </w:tcBorders>
          </w:tcPr>
          <w:p w:rsidR="0028027B" w:rsidRPr="00DC1EE4" w:rsidRDefault="0028027B" w:rsidP="00C03F9E">
            <w:pPr>
              <w:pStyle w:val="TableofFigures"/>
            </w:pPr>
            <w:r w:rsidRPr="00DC1EE4">
              <w:t xml:space="preserve"> 128.5</w:t>
            </w:r>
          </w:p>
        </w:tc>
        <w:tc>
          <w:tcPr>
            <w:tcW w:w="900" w:type="dxa"/>
            <w:tcBorders>
              <w:top w:val="nil"/>
              <w:left w:val="nil"/>
              <w:bottom w:val="nil"/>
              <w:right w:val="nil"/>
            </w:tcBorders>
          </w:tcPr>
          <w:p w:rsidR="0028027B" w:rsidRPr="00DC1EE4" w:rsidRDefault="0028027B" w:rsidP="00C03F9E">
            <w:pPr>
              <w:pStyle w:val="TableofFigures"/>
            </w:pPr>
            <w:r w:rsidRPr="00DC1EE4">
              <w:t xml:space="preserve"> 128.5</w:t>
            </w:r>
          </w:p>
        </w:tc>
        <w:tc>
          <w:tcPr>
            <w:tcW w:w="889" w:type="dxa"/>
            <w:tcBorders>
              <w:top w:val="nil"/>
              <w:left w:val="nil"/>
              <w:bottom w:val="nil"/>
              <w:right w:val="nil"/>
            </w:tcBorders>
          </w:tcPr>
          <w:p w:rsidR="0028027B" w:rsidRPr="00DC1EE4" w:rsidRDefault="0028027B" w:rsidP="00C03F9E">
            <w:pPr>
              <w:pStyle w:val="TableofFigures"/>
            </w:pPr>
            <w:r w:rsidRPr="00DC1EE4">
              <w:t xml:space="preserve"> 128.5</w:t>
            </w:r>
          </w:p>
        </w:tc>
      </w:tr>
      <w:tr w:rsidR="0028027B" w:rsidRPr="00DC1EE4" w:rsidTr="00C03F9E">
        <w:tc>
          <w:tcPr>
            <w:tcW w:w="4604" w:type="dxa"/>
            <w:tcBorders>
              <w:top w:val="nil"/>
              <w:left w:val="nil"/>
              <w:bottom w:val="nil"/>
              <w:right w:val="nil"/>
            </w:tcBorders>
          </w:tcPr>
          <w:p w:rsidR="0028027B" w:rsidRPr="00DC1EE4" w:rsidRDefault="0028027B" w:rsidP="00C03F9E">
            <w:pPr>
              <w:pStyle w:val="Tabletext"/>
            </w:pPr>
            <w:r w:rsidRPr="00DC1EE4">
              <w:t>Land, buildings, infrastructure, plant and equipment</w:t>
            </w:r>
          </w:p>
        </w:tc>
        <w:tc>
          <w:tcPr>
            <w:tcW w:w="900" w:type="dxa"/>
            <w:tcBorders>
              <w:top w:val="nil"/>
              <w:left w:val="nil"/>
              <w:bottom w:val="nil"/>
              <w:right w:val="nil"/>
            </w:tcBorders>
          </w:tcPr>
          <w:p w:rsidR="0028027B" w:rsidRPr="00DC1EE4" w:rsidRDefault="0028027B" w:rsidP="00C03F9E">
            <w:pPr>
              <w:pStyle w:val="TableTextCentred"/>
            </w:pPr>
            <w:r w:rsidRPr="00DC1EE4">
              <w:t>17, 18</w:t>
            </w:r>
          </w:p>
        </w:tc>
        <w:tc>
          <w:tcPr>
            <w:tcW w:w="900" w:type="dxa"/>
            <w:tcBorders>
              <w:top w:val="nil"/>
              <w:left w:val="nil"/>
              <w:bottom w:val="nil"/>
              <w:right w:val="nil"/>
            </w:tcBorders>
          </w:tcPr>
          <w:p w:rsidR="0028027B" w:rsidRPr="00DC1EE4" w:rsidRDefault="0028027B" w:rsidP="00C03F9E">
            <w:pPr>
              <w:pStyle w:val="TableofFigures"/>
            </w:pPr>
            <w:r w:rsidRPr="00DC1EE4">
              <w:t>109 633.6</w:t>
            </w:r>
          </w:p>
        </w:tc>
        <w:tc>
          <w:tcPr>
            <w:tcW w:w="990" w:type="dxa"/>
            <w:tcBorders>
              <w:top w:val="nil"/>
              <w:left w:val="nil"/>
              <w:bottom w:val="nil"/>
              <w:right w:val="nil"/>
            </w:tcBorders>
          </w:tcPr>
          <w:p w:rsidR="0028027B" w:rsidRPr="00DC1EE4" w:rsidRDefault="0028027B" w:rsidP="00C03F9E">
            <w:pPr>
              <w:pStyle w:val="TableofFigures"/>
            </w:pPr>
            <w:r w:rsidRPr="00DC1EE4">
              <w:t>111 780.6</w:t>
            </w:r>
          </w:p>
        </w:tc>
        <w:tc>
          <w:tcPr>
            <w:tcW w:w="990" w:type="dxa"/>
            <w:tcBorders>
              <w:top w:val="nil"/>
              <w:left w:val="nil"/>
              <w:bottom w:val="nil"/>
              <w:right w:val="nil"/>
            </w:tcBorders>
          </w:tcPr>
          <w:p w:rsidR="0028027B" w:rsidRPr="00DC1EE4" w:rsidRDefault="0028027B" w:rsidP="00C03F9E">
            <w:pPr>
              <w:pStyle w:val="TableofFigures"/>
            </w:pPr>
            <w:r w:rsidRPr="00DC1EE4">
              <w:t>113 878.7</w:t>
            </w:r>
          </w:p>
        </w:tc>
        <w:tc>
          <w:tcPr>
            <w:tcW w:w="900" w:type="dxa"/>
            <w:tcBorders>
              <w:top w:val="nil"/>
              <w:left w:val="nil"/>
              <w:bottom w:val="nil"/>
              <w:right w:val="nil"/>
            </w:tcBorders>
          </w:tcPr>
          <w:p w:rsidR="0028027B" w:rsidRPr="00DC1EE4" w:rsidRDefault="0028027B" w:rsidP="00C03F9E">
            <w:pPr>
              <w:pStyle w:val="TableofFigures"/>
            </w:pPr>
            <w:r w:rsidRPr="00DC1EE4">
              <w:t>124 523.0</w:t>
            </w:r>
          </w:p>
        </w:tc>
        <w:tc>
          <w:tcPr>
            <w:tcW w:w="889" w:type="dxa"/>
            <w:tcBorders>
              <w:top w:val="nil"/>
              <w:left w:val="nil"/>
              <w:bottom w:val="nil"/>
              <w:right w:val="nil"/>
            </w:tcBorders>
          </w:tcPr>
          <w:p w:rsidR="0028027B" w:rsidRPr="00DC1EE4" w:rsidRDefault="0028027B" w:rsidP="00C03F9E">
            <w:pPr>
              <w:pStyle w:val="TableofFigures"/>
            </w:pPr>
            <w:r w:rsidRPr="00DC1EE4">
              <w:t>124 768.3</w:t>
            </w:r>
          </w:p>
        </w:tc>
      </w:tr>
      <w:tr w:rsidR="0028027B" w:rsidRPr="00DC1EE4" w:rsidTr="00C03F9E">
        <w:tc>
          <w:tcPr>
            <w:tcW w:w="4604" w:type="dxa"/>
            <w:tcBorders>
              <w:top w:val="nil"/>
              <w:left w:val="nil"/>
              <w:bottom w:val="nil"/>
              <w:right w:val="nil"/>
            </w:tcBorders>
          </w:tcPr>
          <w:p w:rsidR="0028027B" w:rsidRPr="00DC1EE4" w:rsidRDefault="0028027B" w:rsidP="00C03F9E">
            <w:pPr>
              <w:pStyle w:val="Tabletext"/>
            </w:pPr>
            <w:r w:rsidRPr="00DC1EE4">
              <w:t>Other non</w:t>
            </w:r>
            <w:r w:rsidR="005A4BB0">
              <w:noBreakHyphen/>
            </w:r>
            <w:r w:rsidRPr="00DC1EE4">
              <w:t>financial assets</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19</w:t>
            </w:r>
          </w:p>
        </w:tc>
        <w:tc>
          <w:tcPr>
            <w:tcW w:w="900" w:type="dxa"/>
            <w:tcBorders>
              <w:top w:val="nil"/>
              <w:left w:val="nil"/>
              <w:bottom w:val="nil"/>
              <w:right w:val="nil"/>
            </w:tcBorders>
          </w:tcPr>
          <w:p w:rsidR="0028027B" w:rsidRPr="00DC1EE4" w:rsidRDefault="0028027B" w:rsidP="00C03F9E">
            <w:pPr>
              <w:pStyle w:val="TableofFigures"/>
            </w:pPr>
            <w:r w:rsidRPr="00DC1EE4">
              <w:t>1 208.5</w:t>
            </w:r>
          </w:p>
        </w:tc>
        <w:tc>
          <w:tcPr>
            <w:tcW w:w="990" w:type="dxa"/>
            <w:tcBorders>
              <w:top w:val="nil"/>
              <w:left w:val="nil"/>
              <w:bottom w:val="nil"/>
              <w:right w:val="nil"/>
            </w:tcBorders>
          </w:tcPr>
          <w:p w:rsidR="0028027B" w:rsidRPr="00DC1EE4" w:rsidRDefault="0028027B" w:rsidP="00C03F9E">
            <w:pPr>
              <w:pStyle w:val="TableofFigures"/>
            </w:pPr>
            <w:r w:rsidRPr="00DC1EE4">
              <w:t>1 147.4</w:t>
            </w:r>
          </w:p>
        </w:tc>
        <w:tc>
          <w:tcPr>
            <w:tcW w:w="990" w:type="dxa"/>
            <w:tcBorders>
              <w:top w:val="nil"/>
              <w:left w:val="nil"/>
              <w:bottom w:val="nil"/>
              <w:right w:val="nil"/>
            </w:tcBorders>
          </w:tcPr>
          <w:p w:rsidR="0028027B" w:rsidRPr="00DC1EE4" w:rsidRDefault="0028027B" w:rsidP="00C03F9E">
            <w:pPr>
              <w:pStyle w:val="TableofFigures"/>
            </w:pPr>
            <w:r w:rsidRPr="00DC1EE4">
              <w:t>1 113.8</w:t>
            </w:r>
          </w:p>
        </w:tc>
        <w:tc>
          <w:tcPr>
            <w:tcW w:w="900" w:type="dxa"/>
            <w:tcBorders>
              <w:top w:val="nil"/>
              <w:left w:val="nil"/>
              <w:bottom w:val="nil"/>
              <w:right w:val="nil"/>
            </w:tcBorders>
          </w:tcPr>
          <w:p w:rsidR="0028027B" w:rsidRPr="00DC1EE4" w:rsidRDefault="0028027B" w:rsidP="00C03F9E">
            <w:pPr>
              <w:pStyle w:val="TableofFigures"/>
            </w:pPr>
            <w:r w:rsidRPr="00DC1EE4">
              <w:t xml:space="preserve"> 950.6</w:t>
            </w:r>
          </w:p>
        </w:tc>
        <w:tc>
          <w:tcPr>
            <w:tcW w:w="889" w:type="dxa"/>
            <w:tcBorders>
              <w:top w:val="nil"/>
              <w:left w:val="nil"/>
              <w:bottom w:val="nil"/>
              <w:right w:val="nil"/>
            </w:tcBorders>
          </w:tcPr>
          <w:p w:rsidR="0028027B" w:rsidRPr="00DC1EE4" w:rsidRDefault="0028027B" w:rsidP="00C03F9E">
            <w:pPr>
              <w:pStyle w:val="TableofFigures"/>
            </w:pPr>
            <w:r w:rsidRPr="00DC1EE4">
              <w:t xml:space="preserve"> 877.3</w:t>
            </w:r>
          </w:p>
        </w:tc>
      </w:tr>
      <w:tr w:rsidR="0028027B" w:rsidRPr="00DC1EE4" w:rsidTr="00C03F9E">
        <w:tc>
          <w:tcPr>
            <w:tcW w:w="4604" w:type="dxa"/>
            <w:tcBorders>
              <w:top w:val="single" w:sz="6" w:space="0" w:color="auto"/>
              <w:left w:val="nil"/>
              <w:bottom w:val="single" w:sz="6" w:space="0" w:color="auto"/>
              <w:right w:val="nil"/>
            </w:tcBorders>
            <w:vAlign w:val="center"/>
          </w:tcPr>
          <w:p w:rsidR="0028027B" w:rsidRPr="00DC1EE4" w:rsidRDefault="0028027B" w:rsidP="00C03F9E">
            <w:pPr>
              <w:pStyle w:val="Tabletext"/>
              <w:rPr>
                <w:b/>
              </w:rPr>
            </w:pPr>
            <w:r w:rsidRPr="00DC1EE4">
              <w:rPr>
                <w:b/>
              </w:rPr>
              <w:t>Total non</w:t>
            </w:r>
            <w:r w:rsidR="005A4BB0">
              <w:rPr>
                <w:b/>
              </w:rPr>
              <w:noBreakHyphen/>
            </w:r>
            <w:r w:rsidRPr="00DC1EE4">
              <w:rPr>
                <w:b/>
              </w:rPr>
              <w:t>financial assets</w:t>
            </w:r>
          </w:p>
        </w:tc>
        <w:tc>
          <w:tcPr>
            <w:tcW w:w="900" w:type="dxa"/>
            <w:tcBorders>
              <w:top w:val="single" w:sz="6" w:space="0" w:color="auto"/>
              <w:left w:val="nil"/>
              <w:bottom w:val="single" w:sz="6" w:space="0" w:color="auto"/>
              <w:right w:val="nil"/>
            </w:tcBorders>
          </w:tcPr>
          <w:p w:rsidR="0028027B" w:rsidRPr="00DC1EE4" w:rsidRDefault="0028027B" w:rsidP="00C03F9E">
            <w:pPr>
              <w:pStyle w:val="TableTextCentred"/>
              <w:rPr>
                <w:b/>
              </w:rPr>
            </w:pPr>
            <w:r w:rsidRPr="00DC1EE4">
              <w:rPr>
                <w:b/>
              </w:rPr>
              <w:t xml:space="preserve"> </w:t>
            </w:r>
          </w:p>
        </w:tc>
        <w:tc>
          <w:tcPr>
            <w:tcW w:w="90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111 125.6</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113 214.9</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115 282.9</w:t>
            </w:r>
          </w:p>
        </w:tc>
        <w:tc>
          <w:tcPr>
            <w:tcW w:w="90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125 768.5</w:t>
            </w:r>
          </w:p>
        </w:tc>
        <w:tc>
          <w:tcPr>
            <w:tcW w:w="889"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125 944.9</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rPr>
                <w:b/>
              </w:rPr>
            </w:pPr>
            <w:r w:rsidRPr="00DC1EE4">
              <w:rPr>
                <w:b/>
              </w:rPr>
              <w:t>Total assets</w:t>
            </w:r>
          </w:p>
        </w:tc>
        <w:tc>
          <w:tcPr>
            <w:tcW w:w="900" w:type="dxa"/>
            <w:tcBorders>
              <w:top w:val="single" w:sz="6" w:space="0" w:color="auto"/>
              <w:left w:val="nil"/>
              <w:bottom w:val="nil"/>
              <w:right w:val="nil"/>
            </w:tcBorders>
          </w:tcPr>
          <w:p w:rsidR="0028027B" w:rsidRPr="00DC1EE4" w:rsidRDefault="0028027B" w:rsidP="00C03F9E">
            <w:pPr>
              <w:pStyle w:val="TableTextCentred"/>
            </w:pPr>
            <w:r w:rsidRPr="00DC1EE4">
              <w:t>20d</w:t>
            </w:r>
          </w:p>
        </w:tc>
        <w:tc>
          <w:tcPr>
            <w:tcW w:w="900"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209 146.3</w:t>
            </w:r>
          </w:p>
        </w:tc>
        <w:tc>
          <w:tcPr>
            <w:tcW w:w="990"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211 591.2</w:t>
            </w:r>
          </w:p>
        </w:tc>
        <w:tc>
          <w:tcPr>
            <w:tcW w:w="990"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215 676.4</w:t>
            </w:r>
          </w:p>
        </w:tc>
        <w:tc>
          <w:tcPr>
            <w:tcW w:w="900"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227 326.2</w:t>
            </w:r>
          </w:p>
        </w:tc>
        <w:tc>
          <w:tcPr>
            <w:tcW w:w="889"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230 007.5</w:t>
            </w:r>
          </w:p>
        </w:tc>
      </w:tr>
      <w:tr w:rsidR="0028027B" w:rsidRPr="00DC1EE4" w:rsidTr="00C03F9E">
        <w:tc>
          <w:tcPr>
            <w:tcW w:w="4604" w:type="dxa"/>
            <w:tcBorders>
              <w:top w:val="nil"/>
              <w:left w:val="nil"/>
              <w:bottom w:val="nil"/>
              <w:right w:val="nil"/>
            </w:tcBorders>
          </w:tcPr>
          <w:p w:rsidR="0028027B" w:rsidRPr="00DC1EE4" w:rsidRDefault="0028027B" w:rsidP="00C03F9E">
            <w:pPr>
              <w:pStyle w:val="Tabletext"/>
              <w:rPr>
                <w:b/>
              </w:rPr>
            </w:pPr>
            <w:r w:rsidRPr="00DC1EE4">
              <w:rPr>
                <w:b/>
              </w:rPr>
              <w:t>Liabilities</w:t>
            </w:r>
          </w:p>
        </w:tc>
        <w:tc>
          <w:tcPr>
            <w:tcW w:w="900" w:type="dxa"/>
            <w:tcBorders>
              <w:top w:val="nil"/>
              <w:left w:val="nil"/>
              <w:bottom w:val="nil"/>
              <w:right w:val="nil"/>
            </w:tcBorders>
          </w:tcPr>
          <w:p w:rsidR="0028027B" w:rsidRPr="00DC1EE4" w:rsidRDefault="0028027B" w:rsidP="00C03F9E">
            <w:pPr>
              <w:pStyle w:val="TableTextCentred"/>
              <w:rPr>
                <w:b/>
              </w:rPr>
            </w:pPr>
            <w:r w:rsidRPr="00DC1EE4">
              <w:rPr>
                <w:b/>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889"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Deposits held and advances received</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 xml:space="preserve"> 426.4</w:t>
            </w:r>
          </w:p>
        </w:tc>
        <w:tc>
          <w:tcPr>
            <w:tcW w:w="990" w:type="dxa"/>
            <w:tcBorders>
              <w:top w:val="nil"/>
              <w:left w:val="nil"/>
              <w:bottom w:val="nil"/>
              <w:right w:val="nil"/>
            </w:tcBorders>
          </w:tcPr>
          <w:p w:rsidR="0028027B" w:rsidRPr="00DC1EE4" w:rsidRDefault="0028027B" w:rsidP="00C03F9E">
            <w:pPr>
              <w:pStyle w:val="TableofFigures"/>
            </w:pPr>
            <w:r w:rsidRPr="00DC1EE4">
              <w:t xml:space="preserve"> 426.3</w:t>
            </w:r>
          </w:p>
        </w:tc>
        <w:tc>
          <w:tcPr>
            <w:tcW w:w="990" w:type="dxa"/>
            <w:tcBorders>
              <w:top w:val="nil"/>
              <w:left w:val="nil"/>
              <w:bottom w:val="nil"/>
              <w:right w:val="nil"/>
            </w:tcBorders>
          </w:tcPr>
          <w:p w:rsidR="0028027B" w:rsidRPr="00DC1EE4" w:rsidRDefault="0028027B" w:rsidP="00C03F9E">
            <w:pPr>
              <w:pStyle w:val="TableofFigures"/>
            </w:pPr>
            <w:r w:rsidRPr="00DC1EE4">
              <w:t xml:space="preserve"> 426.2</w:t>
            </w:r>
          </w:p>
        </w:tc>
        <w:tc>
          <w:tcPr>
            <w:tcW w:w="900" w:type="dxa"/>
            <w:tcBorders>
              <w:top w:val="nil"/>
              <w:left w:val="nil"/>
              <w:bottom w:val="nil"/>
              <w:right w:val="nil"/>
            </w:tcBorders>
          </w:tcPr>
          <w:p w:rsidR="0028027B" w:rsidRPr="00DC1EE4" w:rsidRDefault="0028027B" w:rsidP="00C03F9E">
            <w:pPr>
              <w:pStyle w:val="TableofFigures"/>
            </w:pPr>
            <w:r w:rsidRPr="00DC1EE4">
              <w:t xml:space="preserve"> 426.1</w:t>
            </w:r>
          </w:p>
        </w:tc>
        <w:tc>
          <w:tcPr>
            <w:tcW w:w="889" w:type="dxa"/>
            <w:tcBorders>
              <w:top w:val="nil"/>
              <w:left w:val="nil"/>
              <w:bottom w:val="nil"/>
              <w:right w:val="nil"/>
            </w:tcBorders>
          </w:tcPr>
          <w:p w:rsidR="0028027B" w:rsidRPr="00DC1EE4" w:rsidRDefault="0028027B" w:rsidP="00C03F9E">
            <w:pPr>
              <w:pStyle w:val="TableofFigures"/>
            </w:pPr>
            <w:r w:rsidRPr="00DC1EE4">
              <w:t xml:space="preserve"> 426.1</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Payables</w:t>
            </w:r>
          </w:p>
        </w:tc>
        <w:tc>
          <w:tcPr>
            <w:tcW w:w="900" w:type="dxa"/>
            <w:tcBorders>
              <w:top w:val="nil"/>
              <w:left w:val="nil"/>
              <w:bottom w:val="nil"/>
              <w:right w:val="nil"/>
            </w:tcBorders>
          </w:tcPr>
          <w:p w:rsidR="0028027B" w:rsidRPr="00DC1EE4" w:rsidRDefault="0028027B" w:rsidP="00C03F9E">
            <w:pPr>
              <w:pStyle w:val="TableTextCentred"/>
            </w:pPr>
            <w:r w:rsidRPr="00DC1EE4">
              <w:t xml:space="preserve">21 </w:t>
            </w:r>
          </w:p>
        </w:tc>
        <w:tc>
          <w:tcPr>
            <w:tcW w:w="900" w:type="dxa"/>
            <w:tcBorders>
              <w:top w:val="nil"/>
              <w:left w:val="nil"/>
              <w:bottom w:val="nil"/>
              <w:right w:val="nil"/>
            </w:tcBorders>
          </w:tcPr>
          <w:p w:rsidR="0028027B" w:rsidRPr="00DC1EE4" w:rsidRDefault="0028027B" w:rsidP="00C03F9E">
            <w:pPr>
              <w:pStyle w:val="TableofFigures"/>
            </w:pPr>
            <w:r w:rsidRPr="00DC1EE4">
              <w:t>5 864.2</w:t>
            </w:r>
          </w:p>
        </w:tc>
        <w:tc>
          <w:tcPr>
            <w:tcW w:w="990" w:type="dxa"/>
            <w:tcBorders>
              <w:top w:val="nil"/>
              <w:left w:val="nil"/>
              <w:bottom w:val="nil"/>
              <w:right w:val="nil"/>
            </w:tcBorders>
          </w:tcPr>
          <w:p w:rsidR="0028027B" w:rsidRPr="00DC1EE4" w:rsidRDefault="0028027B" w:rsidP="00C03F9E">
            <w:pPr>
              <w:pStyle w:val="TableofFigures"/>
            </w:pPr>
            <w:r w:rsidRPr="00DC1EE4">
              <w:t>5 593.9</w:t>
            </w:r>
          </w:p>
        </w:tc>
        <w:tc>
          <w:tcPr>
            <w:tcW w:w="990" w:type="dxa"/>
            <w:tcBorders>
              <w:top w:val="nil"/>
              <w:left w:val="nil"/>
              <w:bottom w:val="nil"/>
              <w:right w:val="nil"/>
            </w:tcBorders>
          </w:tcPr>
          <w:p w:rsidR="0028027B" w:rsidRPr="00DC1EE4" w:rsidRDefault="0028027B" w:rsidP="00C03F9E">
            <w:pPr>
              <w:pStyle w:val="TableofFigures"/>
            </w:pPr>
            <w:r w:rsidRPr="00DC1EE4">
              <w:t>5 510.5</w:t>
            </w:r>
          </w:p>
        </w:tc>
        <w:tc>
          <w:tcPr>
            <w:tcW w:w="900" w:type="dxa"/>
            <w:tcBorders>
              <w:top w:val="nil"/>
              <w:left w:val="nil"/>
              <w:bottom w:val="nil"/>
              <w:right w:val="nil"/>
            </w:tcBorders>
          </w:tcPr>
          <w:p w:rsidR="0028027B" w:rsidRPr="00DC1EE4" w:rsidRDefault="0028027B" w:rsidP="00C03F9E">
            <w:pPr>
              <w:pStyle w:val="TableofFigures"/>
            </w:pPr>
            <w:r w:rsidRPr="00DC1EE4">
              <w:t>5 433.1</w:t>
            </w:r>
          </w:p>
        </w:tc>
        <w:tc>
          <w:tcPr>
            <w:tcW w:w="889" w:type="dxa"/>
            <w:tcBorders>
              <w:top w:val="nil"/>
              <w:left w:val="nil"/>
              <w:bottom w:val="nil"/>
              <w:right w:val="nil"/>
            </w:tcBorders>
          </w:tcPr>
          <w:p w:rsidR="0028027B" w:rsidRPr="00DC1EE4" w:rsidRDefault="0028027B" w:rsidP="00C03F9E">
            <w:pPr>
              <w:pStyle w:val="TableofFigures"/>
            </w:pPr>
            <w:r w:rsidRPr="00DC1EE4">
              <w:t>5 209.3</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Borrowings</w:t>
            </w:r>
          </w:p>
        </w:tc>
        <w:tc>
          <w:tcPr>
            <w:tcW w:w="900" w:type="dxa"/>
            <w:tcBorders>
              <w:top w:val="nil"/>
              <w:left w:val="nil"/>
              <w:bottom w:val="nil"/>
              <w:right w:val="nil"/>
            </w:tcBorders>
          </w:tcPr>
          <w:p w:rsidR="0028027B" w:rsidRPr="00DC1EE4" w:rsidRDefault="0028027B" w:rsidP="00C03F9E">
            <w:pPr>
              <w:pStyle w:val="TableTextCentred"/>
            </w:pPr>
            <w:r w:rsidRPr="00DC1EE4">
              <w:t>22</w:t>
            </w:r>
          </w:p>
        </w:tc>
        <w:tc>
          <w:tcPr>
            <w:tcW w:w="900" w:type="dxa"/>
            <w:tcBorders>
              <w:top w:val="nil"/>
              <w:left w:val="nil"/>
              <w:bottom w:val="nil"/>
              <w:right w:val="nil"/>
            </w:tcBorders>
          </w:tcPr>
          <w:p w:rsidR="0028027B" w:rsidRPr="00DC1EE4" w:rsidRDefault="0028027B" w:rsidP="00C03F9E">
            <w:pPr>
              <w:pStyle w:val="TableofFigures"/>
            </w:pPr>
            <w:r w:rsidRPr="00DC1EE4">
              <w:t>33 333.4</w:t>
            </w:r>
          </w:p>
        </w:tc>
        <w:tc>
          <w:tcPr>
            <w:tcW w:w="990" w:type="dxa"/>
            <w:tcBorders>
              <w:top w:val="nil"/>
              <w:left w:val="nil"/>
              <w:bottom w:val="nil"/>
              <w:right w:val="nil"/>
            </w:tcBorders>
          </w:tcPr>
          <w:p w:rsidR="0028027B" w:rsidRPr="00DC1EE4" w:rsidRDefault="0028027B" w:rsidP="00C03F9E">
            <w:pPr>
              <w:pStyle w:val="TableofFigures"/>
            </w:pPr>
            <w:r w:rsidRPr="00DC1EE4">
              <w:t>29 248.7</w:t>
            </w:r>
          </w:p>
        </w:tc>
        <w:tc>
          <w:tcPr>
            <w:tcW w:w="990" w:type="dxa"/>
            <w:tcBorders>
              <w:top w:val="nil"/>
              <w:left w:val="nil"/>
              <w:bottom w:val="nil"/>
              <w:right w:val="nil"/>
            </w:tcBorders>
          </w:tcPr>
          <w:p w:rsidR="0028027B" w:rsidRPr="00DC1EE4" w:rsidRDefault="0028027B" w:rsidP="00C03F9E">
            <w:pPr>
              <w:pStyle w:val="TableofFigures"/>
            </w:pPr>
            <w:r w:rsidRPr="00DC1EE4">
              <w:t>32 021.2</w:t>
            </w:r>
          </w:p>
        </w:tc>
        <w:tc>
          <w:tcPr>
            <w:tcW w:w="900" w:type="dxa"/>
            <w:tcBorders>
              <w:top w:val="nil"/>
              <w:left w:val="nil"/>
              <w:bottom w:val="nil"/>
              <w:right w:val="nil"/>
            </w:tcBorders>
          </w:tcPr>
          <w:p w:rsidR="0028027B" w:rsidRPr="00DC1EE4" w:rsidRDefault="0028027B" w:rsidP="00C03F9E">
            <w:pPr>
              <w:pStyle w:val="TableofFigures"/>
            </w:pPr>
            <w:r w:rsidRPr="00DC1EE4">
              <w:t>32 667.2</w:t>
            </w:r>
          </w:p>
        </w:tc>
        <w:tc>
          <w:tcPr>
            <w:tcW w:w="889" w:type="dxa"/>
            <w:tcBorders>
              <w:top w:val="nil"/>
              <w:left w:val="nil"/>
              <w:bottom w:val="nil"/>
              <w:right w:val="nil"/>
            </w:tcBorders>
          </w:tcPr>
          <w:p w:rsidR="0028027B" w:rsidRPr="00DC1EE4" w:rsidRDefault="0028027B" w:rsidP="00C03F9E">
            <w:pPr>
              <w:pStyle w:val="TableofFigures"/>
            </w:pPr>
            <w:r w:rsidRPr="00DC1EE4">
              <w:t>33 525.0</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Employee benefits</w:t>
            </w:r>
          </w:p>
        </w:tc>
        <w:tc>
          <w:tcPr>
            <w:tcW w:w="900" w:type="dxa"/>
            <w:tcBorders>
              <w:top w:val="nil"/>
              <w:left w:val="nil"/>
              <w:bottom w:val="nil"/>
              <w:right w:val="nil"/>
            </w:tcBorders>
          </w:tcPr>
          <w:p w:rsidR="0028027B" w:rsidRPr="00DC1EE4" w:rsidRDefault="0028027B" w:rsidP="00C03F9E">
            <w:pPr>
              <w:pStyle w:val="TableTextCentred"/>
            </w:pPr>
            <w:r w:rsidRPr="00DC1EE4">
              <w:t>23</w:t>
            </w:r>
          </w:p>
        </w:tc>
        <w:tc>
          <w:tcPr>
            <w:tcW w:w="900" w:type="dxa"/>
            <w:tcBorders>
              <w:top w:val="nil"/>
              <w:left w:val="nil"/>
              <w:bottom w:val="nil"/>
              <w:right w:val="nil"/>
            </w:tcBorders>
          </w:tcPr>
          <w:p w:rsidR="0028027B" w:rsidRPr="00DC1EE4" w:rsidRDefault="0028027B" w:rsidP="00C03F9E">
            <w:pPr>
              <w:pStyle w:val="TableofFigures"/>
            </w:pPr>
            <w:r w:rsidRPr="00DC1EE4">
              <w:t>5 519.7</w:t>
            </w:r>
          </w:p>
        </w:tc>
        <w:tc>
          <w:tcPr>
            <w:tcW w:w="990" w:type="dxa"/>
            <w:tcBorders>
              <w:top w:val="nil"/>
              <w:left w:val="nil"/>
              <w:bottom w:val="nil"/>
              <w:right w:val="nil"/>
            </w:tcBorders>
          </w:tcPr>
          <w:p w:rsidR="0028027B" w:rsidRPr="00DC1EE4" w:rsidRDefault="0028027B" w:rsidP="00C03F9E">
            <w:pPr>
              <w:pStyle w:val="TableofFigures"/>
            </w:pPr>
            <w:r w:rsidRPr="00DC1EE4">
              <w:t>5 766.8</w:t>
            </w:r>
          </w:p>
        </w:tc>
        <w:tc>
          <w:tcPr>
            <w:tcW w:w="990" w:type="dxa"/>
            <w:tcBorders>
              <w:top w:val="nil"/>
              <w:left w:val="nil"/>
              <w:bottom w:val="nil"/>
              <w:right w:val="nil"/>
            </w:tcBorders>
          </w:tcPr>
          <w:p w:rsidR="0028027B" w:rsidRPr="00DC1EE4" w:rsidRDefault="0028027B" w:rsidP="00C03F9E">
            <w:pPr>
              <w:pStyle w:val="TableofFigures"/>
            </w:pPr>
            <w:r w:rsidRPr="00DC1EE4">
              <w:t>6 008.9</w:t>
            </w:r>
          </w:p>
        </w:tc>
        <w:tc>
          <w:tcPr>
            <w:tcW w:w="900" w:type="dxa"/>
            <w:tcBorders>
              <w:top w:val="nil"/>
              <w:left w:val="nil"/>
              <w:bottom w:val="nil"/>
              <w:right w:val="nil"/>
            </w:tcBorders>
          </w:tcPr>
          <w:p w:rsidR="0028027B" w:rsidRPr="00DC1EE4" w:rsidRDefault="0028027B" w:rsidP="00C03F9E">
            <w:pPr>
              <w:pStyle w:val="TableofFigures"/>
            </w:pPr>
            <w:r w:rsidRPr="00DC1EE4">
              <w:t>6 255.6</w:t>
            </w:r>
          </w:p>
        </w:tc>
        <w:tc>
          <w:tcPr>
            <w:tcW w:w="889" w:type="dxa"/>
            <w:tcBorders>
              <w:top w:val="nil"/>
              <w:left w:val="nil"/>
              <w:bottom w:val="nil"/>
              <w:right w:val="nil"/>
            </w:tcBorders>
          </w:tcPr>
          <w:p w:rsidR="0028027B" w:rsidRPr="00DC1EE4" w:rsidRDefault="0028027B" w:rsidP="00C03F9E">
            <w:pPr>
              <w:pStyle w:val="TableofFigures"/>
            </w:pPr>
            <w:r w:rsidRPr="00DC1EE4">
              <w:t>6 498.7</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Superannuation</w:t>
            </w:r>
          </w:p>
        </w:tc>
        <w:tc>
          <w:tcPr>
            <w:tcW w:w="900" w:type="dxa"/>
            <w:tcBorders>
              <w:top w:val="nil"/>
              <w:left w:val="nil"/>
              <w:bottom w:val="nil"/>
              <w:right w:val="nil"/>
            </w:tcBorders>
          </w:tcPr>
          <w:p w:rsidR="0028027B" w:rsidRPr="00DC1EE4" w:rsidRDefault="0028027B" w:rsidP="00C03F9E">
            <w:pPr>
              <w:pStyle w:val="TableTextCentred"/>
            </w:pPr>
            <w:r w:rsidRPr="00DC1EE4">
              <w:t>7d</w:t>
            </w:r>
          </w:p>
        </w:tc>
        <w:tc>
          <w:tcPr>
            <w:tcW w:w="900" w:type="dxa"/>
            <w:tcBorders>
              <w:top w:val="nil"/>
              <w:left w:val="nil"/>
              <w:bottom w:val="nil"/>
              <w:right w:val="nil"/>
            </w:tcBorders>
          </w:tcPr>
          <w:p w:rsidR="0028027B" w:rsidRPr="00DC1EE4" w:rsidRDefault="0028027B" w:rsidP="00C03F9E">
            <w:pPr>
              <w:pStyle w:val="TableofFigures"/>
            </w:pPr>
            <w:r w:rsidRPr="00DC1EE4">
              <w:t>30 752.2</w:t>
            </w:r>
          </w:p>
        </w:tc>
        <w:tc>
          <w:tcPr>
            <w:tcW w:w="990" w:type="dxa"/>
            <w:tcBorders>
              <w:top w:val="nil"/>
              <w:left w:val="nil"/>
              <w:bottom w:val="nil"/>
              <w:right w:val="nil"/>
            </w:tcBorders>
          </w:tcPr>
          <w:p w:rsidR="0028027B" w:rsidRPr="00DC1EE4" w:rsidRDefault="0028027B" w:rsidP="00C03F9E">
            <w:pPr>
              <w:pStyle w:val="TableofFigures"/>
            </w:pPr>
            <w:r w:rsidRPr="00DC1EE4">
              <w:t>29 808.9</w:t>
            </w:r>
          </w:p>
        </w:tc>
        <w:tc>
          <w:tcPr>
            <w:tcW w:w="990" w:type="dxa"/>
            <w:tcBorders>
              <w:top w:val="nil"/>
              <w:left w:val="nil"/>
              <w:bottom w:val="nil"/>
              <w:right w:val="nil"/>
            </w:tcBorders>
          </w:tcPr>
          <w:p w:rsidR="0028027B" w:rsidRPr="00DC1EE4" w:rsidRDefault="0028027B" w:rsidP="00C03F9E">
            <w:pPr>
              <w:pStyle w:val="TableofFigures"/>
            </w:pPr>
            <w:r w:rsidRPr="00DC1EE4">
              <w:t>28 668.9</w:t>
            </w:r>
          </w:p>
        </w:tc>
        <w:tc>
          <w:tcPr>
            <w:tcW w:w="900" w:type="dxa"/>
            <w:tcBorders>
              <w:top w:val="nil"/>
              <w:left w:val="nil"/>
              <w:bottom w:val="nil"/>
              <w:right w:val="nil"/>
            </w:tcBorders>
          </w:tcPr>
          <w:p w:rsidR="0028027B" w:rsidRPr="00DC1EE4" w:rsidRDefault="0028027B" w:rsidP="00C03F9E">
            <w:pPr>
              <w:pStyle w:val="TableofFigures"/>
            </w:pPr>
            <w:r w:rsidRPr="00DC1EE4">
              <w:t>28 057.1</w:t>
            </w:r>
          </w:p>
        </w:tc>
        <w:tc>
          <w:tcPr>
            <w:tcW w:w="889" w:type="dxa"/>
            <w:tcBorders>
              <w:top w:val="nil"/>
              <w:left w:val="nil"/>
              <w:bottom w:val="nil"/>
              <w:right w:val="nil"/>
            </w:tcBorders>
          </w:tcPr>
          <w:p w:rsidR="0028027B" w:rsidRPr="00DC1EE4" w:rsidRDefault="0028027B" w:rsidP="00C03F9E">
            <w:pPr>
              <w:pStyle w:val="TableofFigures"/>
            </w:pPr>
            <w:r w:rsidRPr="00DC1EE4">
              <w:t>27 024.8</w:t>
            </w:r>
          </w:p>
        </w:tc>
      </w:tr>
      <w:tr w:rsidR="0028027B" w:rsidRPr="00DC1EE4" w:rsidTr="00C03F9E">
        <w:tc>
          <w:tcPr>
            <w:tcW w:w="4604" w:type="dxa"/>
            <w:tcBorders>
              <w:top w:val="nil"/>
              <w:left w:val="nil"/>
              <w:bottom w:val="single" w:sz="6" w:space="0" w:color="auto"/>
              <w:right w:val="nil"/>
            </w:tcBorders>
            <w:vAlign w:val="center"/>
          </w:tcPr>
          <w:p w:rsidR="0028027B" w:rsidRPr="00DC1EE4" w:rsidRDefault="0028027B" w:rsidP="00C03F9E">
            <w:pPr>
              <w:pStyle w:val="Tabletext"/>
            </w:pPr>
            <w:r w:rsidRPr="00DC1EE4">
              <w:t>Other provisions</w:t>
            </w:r>
          </w:p>
        </w:tc>
        <w:tc>
          <w:tcPr>
            <w:tcW w:w="900" w:type="dxa"/>
            <w:tcBorders>
              <w:top w:val="nil"/>
              <w:left w:val="nil"/>
              <w:bottom w:val="single" w:sz="6" w:space="0" w:color="auto"/>
              <w:right w:val="nil"/>
            </w:tcBorders>
          </w:tcPr>
          <w:p w:rsidR="0028027B" w:rsidRPr="00DC1EE4" w:rsidRDefault="0028027B" w:rsidP="00C03F9E">
            <w:pPr>
              <w:pStyle w:val="TableTextCentred"/>
            </w:pPr>
            <w:r w:rsidRPr="00DC1EE4">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1 261.7</w:t>
            </w:r>
          </w:p>
        </w:tc>
        <w:tc>
          <w:tcPr>
            <w:tcW w:w="990" w:type="dxa"/>
            <w:tcBorders>
              <w:top w:val="nil"/>
              <w:left w:val="nil"/>
              <w:bottom w:val="nil"/>
              <w:right w:val="nil"/>
            </w:tcBorders>
          </w:tcPr>
          <w:p w:rsidR="0028027B" w:rsidRPr="00DC1EE4" w:rsidRDefault="0028027B" w:rsidP="00C03F9E">
            <w:pPr>
              <w:pStyle w:val="TableofFigures"/>
            </w:pPr>
            <w:r w:rsidRPr="00DC1EE4">
              <w:t xml:space="preserve"> 664.9</w:t>
            </w:r>
          </w:p>
        </w:tc>
        <w:tc>
          <w:tcPr>
            <w:tcW w:w="990" w:type="dxa"/>
            <w:tcBorders>
              <w:top w:val="nil"/>
              <w:left w:val="nil"/>
              <w:bottom w:val="nil"/>
              <w:right w:val="nil"/>
            </w:tcBorders>
          </w:tcPr>
          <w:p w:rsidR="0028027B" w:rsidRPr="00DC1EE4" w:rsidRDefault="0028027B" w:rsidP="00C03F9E">
            <w:pPr>
              <w:pStyle w:val="TableofFigures"/>
            </w:pPr>
            <w:r w:rsidRPr="00DC1EE4">
              <w:t xml:space="preserve"> 685.8</w:t>
            </w:r>
          </w:p>
        </w:tc>
        <w:tc>
          <w:tcPr>
            <w:tcW w:w="900" w:type="dxa"/>
            <w:tcBorders>
              <w:top w:val="nil"/>
              <w:left w:val="nil"/>
              <w:bottom w:val="nil"/>
              <w:right w:val="nil"/>
            </w:tcBorders>
          </w:tcPr>
          <w:p w:rsidR="0028027B" w:rsidRPr="00DC1EE4" w:rsidRDefault="0028027B" w:rsidP="00C03F9E">
            <w:pPr>
              <w:pStyle w:val="TableofFigures"/>
            </w:pPr>
            <w:r w:rsidRPr="00DC1EE4">
              <w:t xml:space="preserve"> 709.9</w:t>
            </w:r>
          </w:p>
        </w:tc>
        <w:tc>
          <w:tcPr>
            <w:tcW w:w="889" w:type="dxa"/>
            <w:tcBorders>
              <w:top w:val="nil"/>
              <w:left w:val="nil"/>
              <w:bottom w:val="nil"/>
              <w:right w:val="nil"/>
            </w:tcBorders>
          </w:tcPr>
          <w:p w:rsidR="0028027B" w:rsidRPr="00DC1EE4" w:rsidRDefault="0028027B" w:rsidP="00C03F9E">
            <w:pPr>
              <w:pStyle w:val="TableofFigures"/>
            </w:pPr>
            <w:r w:rsidRPr="00DC1EE4">
              <w:t xml:space="preserve"> 738.5</w:t>
            </w:r>
          </w:p>
        </w:tc>
      </w:tr>
      <w:tr w:rsidR="0028027B" w:rsidRPr="00DC1EE4" w:rsidTr="00C03F9E">
        <w:tc>
          <w:tcPr>
            <w:tcW w:w="4604" w:type="dxa"/>
            <w:tcBorders>
              <w:top w:val="single" w:sz="6" w:space="0" w:color="auto"/>
              <w:left w:val="nil"/>
              <w:bottom w:val="single" w:sz="6" w:space="0" w:color="auto"/>
              <w:right w:val="nil"/>
            </w:tcBorders>
            <w:vAlign w:val="center"/>
          </w:tcPr>
          <w:p w:rsidR="0028027B" w:rsidRPr="00DC1EE4" w:rsidRDefault="0028027B" w:rsidP="00C03F9E">
            <w:pPr>
              <w:pStyle w:val="Tabletext"/>
              <w:rPr>
                <w:b/>
              </w:rPr>
            </w:pPr>
            <w:r w:rsidRPr="00DC1EE4">
              <w:rPr>
                <w:b/>
              </w:rPr>
              <w:t>Total liabilities</w:t>
            </w:r>
          </w:p>
        </w:tc>
        <w:tc>
          <w:tcPr>
            <w:tcW w:w="900" w:type="dxa"/>
            <w:tcBorders>
              <w:top w:val="single" w:sz="6" w:space="0" w:color="auto"/>
              <w:left w:val="nil"/>
              <w:bottom w:val="single" w:sz="6" w:space="0" w:color="auto"/>
              <w:right w:val="nil"/>
            </w:tcBorders>
          </w:tcPr>
          <w:p w:rsidR="0028027B" w:rsidRPr="00DC1EE4" w:rsidRDefault="0028027B" w:rsidP="00C03F9E">
            <w:pPr>
              <w:pStyle w:val="TableTextCentred"/>
              <w:rPr>
                <w:b/>
              </w:rPr>
            </w:pPr>
            <w:r w:rsidRPr="00DC1EE4">
              <w:rPr>
                <w:b/>
              </w:rPr>
              <w:t xml:space="preserve"> </w:t>
            </w:r>
          </w:p>
        </w:tc>
        <w:tc>
          <w:tcPr>
            <w:tcW w:w="90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77 157.6</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71 509.6</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73 321.5</w:t>
            </w:r>
          </w:p>
        </w:tc>
        <w:tc>
          <w:tcPr>
            <w:tcW w:w="90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73 549.1</w:t>
            </w:r>
          </w:p>
        </w:tc>
        <w:tc>
          <w:tcPr>
            <w:tcW w:w="889"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73 422.3</w:t>
            </w:r>
          </w:p>
        </w:tc>
      </w:tr>
      <w:tr w:rsidR="0028027B" w:rsidRPr="00DC1EE4" w:rsidTr="00C03F9E">
        <w:tc>
          <w:tcPr>
            <w:tcW w:w="4604" w:type="dxa"/>
            <w:tcBorders>
              <w:top w:val="nil"/>
              <w:left w:val="nil"/>
              <w:bottom w:val="single" w:sz="12" w:space="0" w:color="auto"/>
              <w:right w:val="nil"/>
            </w:tcBorders>
            <w:vAlign w:val="center"/>
          </w:tcPr>
          <w:p w:rsidR="0028027B" w:rsidRPr="00DC1EE4" w:rsidRDefault="0028027B" w:rsidP="00C03F9E">
            <w:pPr>
              <w:pStyle w:val="Tabletext"/>
              <w:rPr>
                <w:b/>
              </w:rPr>
            </w:pPr>
            <w:r w:rsidRPr="00DC1EE4">
              <w:rPr>
                <w:b/>
              </w:rPr>
              <w:t>Net assets</w:t>
            </w:r>
          </w:p>
        </w:tc>
        <w:tc>
          <w:tcPr>
            <w:tcW w:w="900" w:type="dxa"/>
            <w:tcBorders>
              <w:top w:val="nil"/>
              <w:left w:val="nil"/>
              <w:bottom w:val="single" w:sz="12" w:space="0" w:color="auto"/>
              <w:right w:val="nil"/>
            </w:tcBorders>
          </w:tcPr>
          <w:p w:rsidR="0028027B" w:rsidRPr="00DC1EE4" w:rsidRDefault="0028027B" w:rsidP="00C03F9E">
            <w:pPr>
              <w:pStyle w:val="TableTextCentred"/>
              <w:rPr>
                <w:b/>
              </w:rPr>
            </w:pPr>
            <w:r w:rsidRPr="00DC1EE4">
              <w:rPr>
                <w:b/>
              </w:rPr>
              <w:t xml:space="preserve"> </w:t>
            </w:r>
          </w:p>
        </w:tc>
        <w:tc>
          <w:tcPr>
            <w:tcW w:w="900"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131 988.7</w:t>
            </w:r>
          </w:p>
        </w:tc>
        <w:tc>
          <w:tcPr>
            <w:tcW w:w="990"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140 081.7</w:t>
            </w:r>
          </w:p>
        </w:tc>
        <w:tc>
          <w:tcPr>
            <w:tcW w:w="990"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142 354.8</w:t>
            </w:r>
          </w:p>
        </w:tc>
        <w:tc>
          <w:tcPr>
            <w:tcW w:w="900"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153 777.1</w:t>
            </w:r>
          </w:p>
        </w:tc>
        <w:tc>
          <w:tcPr>
            <w:tcW w:w="889"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156 585.1</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Accumulated surplus/(deficit)</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39 828.6</w:t>
            </w:r>
          </w:p>
        </w:tc>
        <w:tc>
          <w:tcPr>
            <w:tcW w:w="990" w:type="dxa"/>
            <w:tcBorders>
              <w:top w:val="nil"/>
              <w:left w:val="nil"/>
              <w:bottom w:val="nil"/>
              <w:right w:val="nil"/>
            </w:tcBorders>
          </w:tcPr>
          <w:p w:rsidR="0028027B" w:rsidRPr="00DC1EE4" w:rsidRDefault="0028027B" w:rsidP="00C03F9E">
            <w:pPr>
              <w:pStyle w:val="TableofFigures"/>
            </w:pPr>
            <w:r w:rsidRPr="00DC1EE4">
              <w:t>47 152.0</w:t>
            </w:r>
          </w:p>
        </w:tc>
        <w:tc>
          <w:tcPr>
            <w:tcW w:w="990" w:type="dxa"/>
            <w:tcBorders>
              <w:top w:val="nil"/>
              <w:left w:val="nil"/>
              <w:bottom w:val="nil"/>
              <w:right w:val="nil"/>
            </w:tcBorders>
          </w:tcPr>
          <w:p w:rsidR="0028027B" w:rsidRPr="00DC1EE4" w:rsidRDefault="0028027B" w:rsidP="00C03F9E">
            <w:pPr>
              <w:pStyle w:val="TableofFigures"/>
            </w:pPr>
            <w:r w:rsidRPr="00DC1EE4">
              <w:t>49 274.5</w:t>
            </w:r>
          </w:p>
        </w:tc>
        <w:tc>
          <w:tcPr>
            <w:tcW w:w="900" w:type="dxa"/>
            <w:tcBorders>
              <w:top w:val="nil"/>
              <w:left w:val="nil"/>
              <w:bottom w:val="nil"/>
              <w:right w:val="nil"/>
            </w:tcBorders>
          </w:tcPr>
          <w:p w:rsidR="0028027B" w:rsidRPr="00DC1EE4" w:rsidRDefault="0028027B" w:rsidP="00C03F9E">
            <w:pPr>
              <w:pStyle w:val="TableofFigures"/>
            </w:pPr>
            <w:r w:rsidRPr="00DC1EE4">
              <w:t>51 402.0</w:t>
            </w:r>
          </w:p>
        </w:tc>
        <w:tc>
          <w:tcPr>
            <w:tcW w:w="889" w:type="dxa"/>
            <w:tcBorders>
              <w:top w:val="nil"/>
              <w:left w:val="nil"/>
              <w:bottom w:val="nil"/>
              <w:right w:val="nil"/>
            </w:tcBorders>
          </w:tcPr>
          <w:p w:rsidR="0028027B" w:rsidRPr="00DC1EE4" w:rsidRDefault="0028027B" w:rsidP="00C03F9E">
            <w:pPr>
              <w:pStyle w:val="TableofFigures"/>
            </w:pPr>
            <w:r w:rsidRPr="00DC1EE4">
              <w:t>54 027.3</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Reserves</w:t>
            </w:r>
          </w:p>
        </w:tc>
        <w:tc>
          <w:tcPr>
            <w:tcW w:w="900" w:type="dxa"/>
            <w:tcBorders>
              <w:top w:val="nil"/>
              <w:left w:val="nil"/>
              <w:bottom w:val="nil"/>
              <w:right w:val="nil"/>
            </w:tcBorders>
          </w:tcPr>
          <w:p w:rsidR="0028027B" w:rsidRPr="00DC1EE4" w:rsidRDefault="0028027B" w:rsidP="00C03F9E">
            <w:pPr>
              <w:pStyle w:val="TableTextCentred"/>
            </w:pPr>
            <w:r w:rsidRPr="00DC1EE4">
              <w:t>24</w:t>
            </w:r>
          </w:p>
        </w:tc>
        <w:tc>
          <w:tcPr>
            <w:tcW w:w="900" w:type="dxa"/>
            <w:tcBorders>
              <w:top w:val="nil"/>
              <w:left w:val="nil"/>
              <w:bottom w:val="nil"/>
              <w:right w:val="nil"/>
            </w:tcBorders>
          </w:tcPr>
          <w:p w:rsidR="0028027B" w:rsidRPr="00DC1EE4" w:rsidRDefault="0028027B" w:rsidP="00C03F9E">
            <w:pPr>
              <w:pStyle w:val="TableofFigures"/>
            </w:pPr>
            <w:r w:rsidRPr="00DC1EE4">
              <w:t>92 110.2</w:t>
            </w:r>
          </w:p>
        </w:tc>
        <w:tc>
          <w:tcPr>
            <w:tcW w:w="990" w:type="dxa"/>
            <w:tcBorders>
              <w:top w:val="nil"/>
              <w:left w:val="nil"/>
              <w:bottom w:val="nil"/>
              <w:right w:val="nil"/>
            </w:tcBorders>
          </w:tcPr>
          <w:p w:rsidR="0028027B" w:rsidRPr="00DC1EE4" w:rsidRDefault="0028027B" w:rsidP="00C03F9E">
            <w:pPr>
              <w:pStyle w:val="TableofFigures"/>
            </w:pPr>
            <w:r w:rsidRPr="00DC1EE4">
              <w:t>92 879.6</w:t>
            </w:r>
          </w:p>
        </w:tc>
        <w:tc>
          <w:tcPr>
            <w:tcW w:w="990" w:type="dxa"/>
            <w:tcBorders>
              <w:top w:val="nil"/>
              <w:left w:val="nil"/>
              <w:bottom w:val="nil"/>
              <w:right w:val="nil"/>
            </w:tcBorders>
          </w:tcPr>
          <w:p w:rsidR="0028027B" w:rsidRPr="00DC1EE4" w:rsidRDefault="0028027B" w:rsidP="00C03F9E">
            <w:pPr>
              <w:pStyle w:val="TableofFigures"/>
            </w:pPr>
            <w:r w:rsidRPr="00DC1EE4">
              <w:t>93 030.4</w:t>
            </w:r>
          </w:p>
        </w:tc>
        <w:tc>
          <w:tcPr>
            <w:tcW w:w="900" w:type="dxa"/>
            <w:tcBorders>
              <w:top w:val="nil"/>
              <w:left w:val="nil"/>
              <w:bottom w:val="nil"/>
              <w:right w:val="nil"/>
            </w:tcBorders>
          </w:tcPr>
          <w:p w:rsidR="0028027B" w:rsidRPr="00DC1EE4" w:rsidRDefault="0028027B" w:rsidP="00C03F9E">
            <w:pPr>
              <w:pStyle w:val="TableofFigures"/>
            </w:pPr>
            <w:r w:rsidRPr="00DC1EE4">
              <w:t>102 325.0</w:t>
            </w:r>
          </w:p>
        </w:tc>
        <w:tc>
          <w:tcPr>
            <w:tcW w:w="889" w:type="dxa"/>
            <w:tcBorders>
              <w:top w:val="nil"/>
              <w:left w:val="nil"/>
              <w:bottom w:val="nil"/>
              <w:right w:val="nil"/>
            </w:tcBorders>
          </w:tcPr>
          <w:p w:rsidR="0028027B" w:rsidRPr="00DC1EE4" w:rsidRDefault="0028027B" w:rsidP="00C03F9E">
            <w:pPr>
              <w:pStyle w:val="TableofFigures"/>
            </w:pPr>
            <w:r w:rsidRPr="00DC1EE4">
              <w:t>102 507.8</w:t>
            </w:r>
          </w:p>
        </w:tc>
      </w:tr>
      <w:tr w:rsidR="0028027B" w:rsidRPr="00DC1EE4" w:rsidTr="00C03F9E">
        <w:tc>
          <w:tcPr>
            <w:tcW w:w="4604" w:type="dxa"/>
            <w:tcBorders>
              <w:top w:val="nil"/>
              <w:left w:val="nil"/>
              <w:bottom w:val="single" w:sz="6" w:space="0" w:color="auto"/>
              <w:right w:val="nil"/>
            </w:tcBorders>
            <w:vAlign w:val="center"/>
          </w:tcPr>
          <w:p w:rsidR="0028027B" w:rsidRPr="00DC1EE4" w:rsidRDefault="0028027B" w:rsidP="00C03F9E">
            <w:pPr>
              <w:pStyle w:val="Tabletext"/>
            </w:pPr>
            <w:r w:rsidRPr="00DC1EE4">
              <w:t>Non</w:t>
            </w:r>
            <w:r w:rsidR="005A4BB0">
              <w:noBreakHyphen/>
            </w:r>
            <w:r w:rsidRPr="00DC1EE4">
              <w:t>controlling interest</w:t>
            </w:r>
          </w:p>
        </w:tc>
        <w:tc>
          <w:tcPr>
            <w:tcW w:w="900" w:type="dxa"/>
            <w:tcBorders>
              <w:top w:val="nil"/>
              <w:left w:val="nil"/>
              <w:bottom w:val="single" w:sz="6" w:space="0" w:color="auto"/>
              <w:right w:val="nil"/>
            </w:tcBorders>
          </w:tcPr>
          <w:p w:rsidR="0028027B" w:rsidRPr="00DC1EE4" w:rsidRDefault="0028027B" w:rsidP="00C03F9E">
            <w:pPr>
              <w:pStyle w:val="TableTextCentred"/>
            </w:pPr>
            <w:r w:rsidRPr="00DC1EE4">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 xml:space="preserve"> 50.0</w:t>
            </w:r>
          </w:p>
        </w:tc>
        <w:tc>
          <w:tcPr>
            <w:tcW w:w="990" w:type="dxa"/>
            <w:tcBorders>
              <w:top w:val="nil"/>
              <w:left w:val="nil"/>
              <w:bottom w:val="nil"/>
              <w:right w:val="nil"/>
            </w:tcBorders>
          </w:tcPr>
          <w:p w:rsidR="0028027B" w:rsidRPr="00DC1EE4" w:rsidRDefault="0028027B" w:rsidP="00C03F9E">
            <w:pPr>
              <w:pStyle w:val="TableofFigures"/>
            </w:pPr>
            <w:r w:rsidRPr="00DC1EE4">
              <w:t xml:space="preserve"> 50.0</w:t>
            </w:r>
          </w:p>
        </w:tc>
        <w:tc>
          <w:tcPr>
            <w:tcW w:w="990" w:type="dxa"/>
            <w:tcBorders>
              <w:top w:val="nil"/>
              <w:left w:val="nil"/>
              <w:bottom w:val="nil"/>
              <w:right w:val="nil"/>
            </w:tcBorders>
          </w:tcPr>
          <w:p w:rsidR="0028027B" w:rsidRPr="00DC1EE4" w:rsidRDefault="0028027B" w:rsidP="00C03F9E">
            <w:pPr>
              <w:pStyle w:val="TableofFigures"/>
            </w:pPr>
            <w:r w:rsidRPr="00DC1EE4">
              <w:t xml:space="preserve"> 50.0</w:t>
            </w:r>
          </w:p>
        </w:tc>
        <w:tc>
          <w:tcPr>
            <w:tcW w:w="900" w:type="dxa"/>
            <w:tcBorders>
              <w:top w:val="nil"/>
              <w:left w:val="nil"/>
              <w:bottom w:val="nil"/>
              <w:right w:val="nil"/>
            </w:tcBorders>
          </w:tcPr>
          <w:p w:rsidR="0028027B" w:rsidRPr="00DC1EE4" w:rsidRDefault="0028027B" w:rsidP="00C03F9E">
            <w:pPr>
              <w:pStyle w:val="TableofFigures"/>
            </w:pPr>
            <w:r w:rsidRPr="00DC1EE4">
              <w:t xml:space="preserve"> 50.0</w:t>
            </w:r>
          </w:p>
        </w:tc>
        <w:tc>
          <w:tcPr>
            <w:tcW w:w="889" w:type="dxa"/>
            <w:tcBorders>
              <w:top w:val="nil"/>
              <w:left w:val="nil"/>
              <w:bottom w:val="nil"/>
              <w:right w:val="nil"/>
            </w:tcBorders>
          </w:tcPr>
          <w:p w:rsidR="0028027B" w:rsidRPr="00DC1EE4" w:rsidRDefault="0028027B" w:rsidP="00C03F9E">
            <w:pPr>
              <w:pStyle w:val="TableofFigures"/>
            </w:pPr>
            <w:r w:rsidRPr="00DC1EE4">
              <w:t xml:space="preserve"> 50.0</w:t>
            </w:r>
          </w:p>
        </w:tc>
      </w:tr>
      <w:tr w:rsidR="0028027B" w:rsidRPr="00DC1EE4" w:rsidTr="00C03F9E">
        <w:tc>
          <w:tcPr>
            <w:tcW w:w="4604" w:type="dxa"/>
            <w:tcBorders>
              <w:top w:val="single" w:sz="6" w:space="0" w:color="auto"/>
              <w:left w:val="nil"/>
              <w:bottom w:val="single" w:sz="6" w:space="0" w:color="auto"/>
              <w:right w:val="nil"/>
            </w:tcBorders>
            <w:vAlign w:val="center"/>
          </w:tcPr>
          <w:p w:rsidR="0028027B" w:rsidRPr="00DC1EE4" w:rsidRDefault="0028027B" w:rsidP="00C03F9E">
            <w:pPr>
              <w:pStyle w:val="Tabletext"/>
              <w:rPr>
                <w:b/>
              </w:rPr>
            </w:pPr>
            <w:r w:rsidRPr="00DC1EE4">
              <w:rPr>
                <w:b/>
              </w:rPr>
              <w:t>Net worth</w:t>
            </w:r>
          </w:p>
        </w:tc>
        <w:tc>
          <w:tcPr>
            <w:tcW w:w="900" w:type="dxa"/>
            <w:tcBorders>
              <w:top w:val="single" w:sz="6" w:space="0" w:color="auto"/>
              <w:left w:val="nil"/>
              <w:bottom w:val="single" w:sz="6" w:space="0" w:color="auto"/>
              <w:right w:val="nil"/>
            </w:tcBorders>
          </w:tcPr>
          <w:p w:rsidR="0028027B" w:rsidRPr="00DC1EE4" w:rsidRDefault="0028027B" w:rsidP="00C03F9E">
            <w:pPr>
              <w:pStyle w:val="TableTextCentred"/>
            </w:pPr>
            <w:r w:rsidRPr="00DC1EE4">
              <w:t xml:space="preserve"> </w:t>
            </w:r>
          </w:p>
        </w:tc>
        <w:tc>
          <w:tcPr>
            <w:tcW w:w="90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131 988.7</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140 081.7</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142 354.8</w:t>
            </w:r>
          </w:p>
        </w:tc>
        <w:tc>
          <w:tcPr>
            <w:tcW w:w="90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153 777.1</w:t>
            </w:r>
          </w:p>
        </w:tc>
        <w:tc>
          <w:tcPr>
            <w:tcW w:w="889"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156 585.1</w:t>
            </w:r>
          </w:p>
        </w:tc>
      </w:tr>
      <w:tr w:rsidR="0028027B" w:rsidRPr="00DC1EE4" w:rsidTr="00C03F9E">
        <w:tc>
          <w:tcPr>
            <w:tcW w:w="4604" w:type="dxa"/>
            <w:tcBorders>
              <w:top w:val="nil"/>
              <w:left w:val="nil"/>
              <w:bottom w:val="nil"/>
              <w:right w:val="nil"/>
            </w:tcBorders>
          </w:tcPr>
          <w:p w:rsidR="0028027B" w:rsidRPr="00DC1EE4" w:rsidRDefault="0028027B" w:rsidP="00C03F9E">
            <w:pPr>
              <w:pStyle w:val="Tabletext"/>
              <w:rPr>
                <w:b/>
              </w:rPr>
            </w:pPr>
            <w:r w:rsidRPr="00DC1EE4">
              <w:rPr>
                <w:b/>
              </w:rPr>
              <w:t>FISCAL AGGREGATES</w:t>
            </w:r>
          </w:p>
        </w:tc>
        <w:tc>
          <w:tcPr>
            <w:tcW w:w="900" w:type="dxa"/>
            <w:tcBorders>
              <w:top w:val="nil"/>
              <w:left w:val="nil"/>
              <w:bottom w:val="nil"/>
              <w:right w:val="nil"/>
            </w:tcBorders>
          </w:tcPr>
          <w:p w:rsidR="0028027B" w:rsidRPr="00DC1EE4" w:rsidRDefault="0028027B" w:rsidP="00C03F9E">
            <w:pPr>
              <w:pStyle w:val="TableTextCentred"/>
              <w:rPr>
                <w:b/>
              </w:rPr>
            </w:pPr>
            <w:r w:rsidRPr="00DC1EE4">
              <w:rPr>
                <w:b/>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90"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889"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 xml:space="preserve">Net financial worth </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20 863.1</w:t>
            </w:r>
          </w:p>
        </w:tc>
        <w:tc>
          <w:tcPr>
            <w:tcW w:w="990" w:type="dxa"/>
            <w:tcBorders>
              <w:top w:val="nil"/>
              <w:left w:val="nil"/>
              <w:bottom w:val="nil"/>
              <w:right w:val="nil"/>
            </w:tcBorders>
          </w:tcPr>
          <w:p w:rsidR="0028027B" w:rsidRPr="00DC1EE4" w:rsidRDefault="0028027B" w:rsidP="00C03F9E">
            <w:pPr>
              <w:pStyle w:val="TableofFigures"/>
            </w:pPr>
            <w:r w:rsidRPr="00DC1EE4">
              <w:t>26 866.8</w:t>
            </w:r>
          </w:p>
        </w:tc>
        <w:tc>
          <w:tcPr>
            <w:tcW w:w="990" w:type="dxa"/>
            <w:tcBorders>
              <w:top w:val="nil"/>
              <w:left w:val="nil"/>
              <w:bottom w:val="nil"/>
              <w:right w:val="nil"/>
            </w:tcBorders>
          </w:tcPr>
          <w:p w:rsidR="0028027B" w:rsidRPr="00DC1EE4" w:rsidRDefault="0028027B" w:rsidP="00C03F9E">
            <w:pPr>
              <w:pStyle w:val="TableofFigures"/>
            </w:pPr>
            <w:r w:rsidRPr="00DC1EE4">
              <w:t>27 071.9</w:t>
            </w:r>
          </w:p>
        </w:tc>
        <w:tc>
          <w:tcPr>
            <w:tcW w:w="900" w:type="dxa"/>
            <w:tcBorders>
              <w:top w:val="nil"/>
              <w:left w:val="nil"/>
              <w:bottom w:val="nil"/>
              <w:right w:val="nil"/>
            </w:tcBorders>
          </w:tcPr>
          <w:p w:rsidR="0028027B" w:rsidRPr="00DC1EE4" w:rsidRDefault="0028027B" w:rsidP="00C03F9E">
            <w:pPr>
              <w:pStyle w:val="TableofFigures"/>
            </w:pPr>
            <w:r w:rsidRPr="00DC1EE4">
              <w:t>28 008.6</w:t>
            </w:r>
          </w:p>
        </w:tc>
        <w:tc>
          <w:tcPr>
            <w:tcW w:w="889" w:type="dxa"/>
            <w:tcBorders>
              <w:top w:val="nil"/>
              <w:left w:val="nil"/>
              <w:bottom w:val="nil"/>
              <w:right w:val="nil"/>
            </w:tcBorders>
          </w:tcPr>
          <w:p w:rsidR="0028027B" w:rsidRPr="00DC1EE4" w:rsidRDefault="0028027B" w:rsidP="00C03F9E">
            <w:pPr>
              <w:pStyle w:val="TableofFigures"/>
            </w:pPr>
            <w:r w:rsidRPr="00DC1EE4">
              <w:t>30 640.2</w:t>
            </w:r>
          </w:p>
        </w:tc>
      </w:tr>
      <w:tr w:rsidR="0028027B" w:rsidRPr="00DC1EE4" w:rsidTr="00C03F9E">
        <w:tc>
          <w:tcPr>
            <w:tcW w:w="4604" w:type="dxa"/>
            <w:tcBorders>
              <w:top w:val="nil"/>
              <w:left w:val="nil"/>
              <w:bottom w:val="nil"/>
              <w:right w:val="nil"/>
            </w:tcBorders>
            <w:vAlign w:val="center"/>
          </w:tcPr>
          <w:p w:rsidR="0028027B" w:rsidRPr="00DC1EE4" w:rsidRDefault="0028027B" w:rsidP="00C03F9E">
            <w:pPr>
              <w:pStyle w:val="Tabletext"/>
            </w:pPr>
            <w:r w:rsidRPr="00DC1EE4">
              <w:t>Net financial liabilities</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59 583.7</w:t>
            </w:r>
          </w:p>
        </w:tc>
        <w:tc>
          <w:tcPr>
            <w:tcW w:w="990" w:type="dxa"/>
            <w:tcBorders>
              <w:top w:val="nil"/>
              <w:left w:val="nil"/>
              <w:bottom w:val="nil"/>
              <w:right w:val="nil"/>
            </w:tcBorders>
          </w:tcPr>
          <w:p w:rsidR="0028027B" w:rsidRPr="00DC1EE4" w:rsidRDefault="0028027B" w:rsidP="00C03F9E">
            <w:pPr>
              <w:pStyle w:val="TableofFigures"/>
            </w:pPr>
            <w:r w:rsidRPr="00DC1EE4">
              <w:t>53 830.6</w:t>
            </w:r>
          </w:p>
        </w:tc>
        <w:tc>
          <w:tcPr>
            <w:tcW w:w="990" w:type="dxa"/>
            <w:tcBorders>
              <w:top w:val="nil"/>
              <w:left w:val="nil"/>
              <w:bottom w:val="nil"/>
              <w:right w:val="nil"/>
            </w:tcBorders>
          </w:tcPr>
          <w:p w:rsidR="0028027B" w:rsidRPr="00DC1EE4" w:rsidRDefault="0028027B" w:rsidP="00C03F9E">
            <w:pPr>
              <w:pStyle w:val="TableofFigures"/>
            </w:pPr>
            <w:r w:rsidRPr="00DC1EE4">
              <w:t>55 263.8</w:t>
            </w:r>
          </w:p>
        </w:tc>
        <w:tc>
          <w:tcPr>
            <w:tcW w:w="900" w:type="dxa"/>
            <w:tcBorders>
              <w:top w:val="nil"/>
              <w:left w:val="nil"/>
              <w:bottom w:val="nil"/>
              <w:right w:val="nil"/>
            </w:tcBorders>
          </w:tcPr>
          <w:p w:rsidR="0028027B" w:rsidRPr="00DC1EE4" w:rsidRDefault="0028027B" w:rsidP="00C03F9E">
            <w:pPr>
              <w:pStyle w:val="TableofFigures"/>
            </w:pPr>
            <w:r w:rsidRPr="00DC1EE4">
              <w:t>54 985.5</w:t>
            </w:r>
          </w:p>
        </w:tc>
        <w:tc>
          <w:tcPr>
            <w:tcW w:w="889" w:type="dxa"/>
            <w:tcBorders>
              <w:top w:val="nil"/>
              <w:left w:val="nil"/>
              <w:bottom w:val="nil"/>
              <w:right w:val="nil"/>
            </w:tcBorders>
          </w:tcPr>
          <w:p w:rsidR="0028027B" w:rsidRPr="00DC1EE4" w:rsidRDefault="0028027B" w:rsidP="00C03F9E">
            <w:pPr>
              <w:pStyle w:val="TableofFigures"/>
            </w:pPr>
            <w:r w:rsidRPr="00DC1EE4">
              <w:t>54 265.7</w:t>
            </w:r>
          </w:p>
        </w:tc>
      </w:tr>
      <w:tr w:rsidR="0028027B" w:rsidRPr="00DC1EE4" w:rsidTr="00C03F9E">
        <w:tc>
          <w:tcPr>
            <w:tcW w:w="4604" w:type="dxa"/>
            <w:tcBorders>
              <w:top w:val="nil"/>
              <w:left w:val="nil"/>
              <w:bottom w:val="single" w:sz="12" w:space="0" w:color="auto"/>
              <w:right w:val="nil"/>
            </w:tcBorders>
            <w:vAlign w:val="center"/>
          </w:tcPr>
          <w:p w:rsidR="0028027B" w:rsidRPr="00DC1EE4" w:rsidRDefault="0028027B" w:rsidP="00C03F9E">
            <w:pPr>
              <w:pStyle w:val="Tabletext"/>
            </w:pPr>
            <w:r w:rsidRPr="00DC1EE4">
              <w:t>Net debt</w:t>
            </w:r>
          </w:p>
        </w:tc>
        <w:tc>
          <w:tcPr>
            <w:tcW w:w="900" w:type="dxa"/>
            <w:tcBorders>
              <w:top w:val="nil"/>
              <w:left w:val="nil"/>
              <w:bottom w:val="single" w:sz="12" w:space="0" w:color="auto"/>
              <w:right w:val="nil"/>
            </w:tcBorders>
          </w:tcPr>
          <w:p w:rsidR="0028027B" w:rsidRPr="00DC1EE4" w:rsidRDefault="0028027B" w:rsidP="00C03F9E">
            <w:pPr>
              <w:pStyle w:val="TableTextCentred"/>
            </w:pPr>
            <w:r w:rsidRPr="00DC1EE4">
              <w:t xml:space="preserve"> </w:t>
            </w:r>
          </w:p>
        </w:tc>
        <w:tc>
          <w:tcPr>
            <w:tcW w:w="900" w:type="dxa"/>
            <w:tcBorders>
              <w:top w:val="nil"/>
              <w:left w:val="nil"/>
              <w:bottom w:val="single" w:sz="12" w:space="0" w:color="auto"/>
              <w:right w:val="nil"/>
            </w:tcBorders>
          </w:tcPr>
          <w:p w:rsidR="0028027B" w:rsidRPr="00DC1EE4" w:rsidRDefault="0028027B" w:rsidP="00C03F9E">
            <w:pPr>
              <w:pStyle w:val="TableofFigures"/>
            </w:pPr>
            <w:r w:rsidRPr="00DC1EE4">
              <w:t>21 240.0</w:t>
            </w:r>
          </w:p>
        </w:tc>
        <w:tc>
          <w:tcPr>
            <w:tcW w:w="990" w:type="dxa"/>
            <w:tcBorders>
              <w:top w:val="nil"/>
              <w:left w:val="nil"/>
              <w:bottom w:val="single" w:sz="12" w:space="0" w:color="auto"/>
              <w:right w:val="nil"/>
            </w:tcBorders>
          </w:tcPr>
          <w:p w:rsidR="0028027B" w:rsidRPr="00DC1EE4" w:rsidRDefault="0028027B" w:rsidP="00C03F9E">
            <w:pPr>
              <w:pStyle w:val="TableofFigures"/>
            </w:pPr>
            <w:r w:rsidRPr="00DC1EE4">
              <w:t>16 897.8</w:t>
            </w:r>
          </w:p>
        </w:tc>
        <w:tc>
          <w:tcPr>
            <w:tcW w:w="990" w:type="dxa"/>
            <w:tcBorders>
              <w:top w:val="nil"/>
              <w:left w:val="nil"/>
              <w:bottom w:val="single" w:sz="12" w:space="0" w:color="auto"/>
              <w:right w:val="nil"/>
            </w:tcBorders>
          </w:tcPr>
          <w:p w:rsidR="0028027B" w:rsidRPr="00DC1EE4" w:rsidRDefault="0028027B" w:rsidP="00C03F9E">
            <w:pPr>
              <w:pStyle w:val="TableofFigures"/>
            </w:pPr>
            <w:r w:rsidRPr="00DC1EE4">
              <w:t>19 259.0</w:t>
            </w:r>
          </w:p>
        </w:tc>
        <w:tc>
          <w:tcPr>
            <w:tcW w:w="900" w:type="dxa"/>
            <w:tcBorders>
              <w:top w:val="nil"/>
              <w:left w:val="nil"/>
              <w:bottom w:val="single" w:sz="12" w:space="0" w:color="auto"/>
              <w:right w:val="nil"/>
            </w:tcBorders>
          </w:tcPr>
          <w:p w:rsidR="0028027B" w:rsidRPr="00DC1EE4" w:rsidRDefault="0028027B" w:rsidP="00C03F9E">
            <w:pPr>
              <w:pStyle w:val="TableofFigures"/>
            </w:pPr>
            <w:r w:rsidRPr="00DC1EE4">
              <w:t>19 450.2</w:t>
            </w:r>
          </w:p>
        </w:tc>
        <w:tc>
          <w:tcPr>
            <w:tcW w:w="889" w:type="dxa"/>
            <w:tcBorders>
              <w:top w:val="nil"/>
              <w:left w:val="nil"/>
              <w:bottom w:val="single" w:sz="12" w:space="0" w:color="auto"/>
              <w:right w:val="nil"/>
            </w:tcBorders>
          </w:tcPr>
          <w:p w:rsidR="0028027B" w:rsidRPr="00DC1EE4" w:rsidRDefault="0028027B" w:rsidP="00C03F9E">
            <w:pPr>
              <w:pStyle w:val="TableofFigures"/>
            </w:pPr>
            <w:r w:rsidRPr="00DC1EE4">
              <w:t>19 834.7</w:t>
            </w:r>
          </w:p>
        </w:tc>
      </w:tr>
    </w:tbl>
    <w:p w:rsidR="0028027B" w:rsidRPr="00DC1EE4" w:rsidRDefault="0028027B" w:rsidP="0028027B">
      <w:pPr>
        <w:pStyle w:val="Source"/>
      </w:pPr>
      <w:r w:rsidRPr="00DC1EE4">
        <w:t>The accompanying notes form part of these Estimated Financial Statements.</w:t>
      </w:r>
    </w:p>
    <w:p w:rsidR="0028027B" w:rsidRPr="00DC1EE4" w:rsidRDefault="0028027B" w:rsidP="0028027B">
      <w:pPr>
        <w:pStyle w:val="Notes"/>
      </w:pPr>
    </w:p>
    <w:p w:rsidR="0028027B" w:rsidRPr="00DC1EE4" w:rsidRDefault="0028027B" w:rsidP="00E348C3">
      <w:pPr>
        <w:pStyle w:val="Tableheading"/>
      </w:pPr>
      <w:r w:rsidRPr="00DC1EE4">
        <w:br w:type="page"/>
        <w:t>Table 1.3:</w:t>
      </w:r>
      <w:r w:rsidRPr="00DC1EE4">
        <w:tab/>
        <w:t>Estimated general government sector cash flow statement for the financial year ending 30 June</w:t>
      </w:r>
    </w:p>
    <w:p w:rsidR="0028027B" w:rsidRPr="00DC1EE4" w:rsidRDefault="0028027B" w:rsidP="0028027B">
      <w:pPr>
        <w:pStyle w:val="million"/>
      </w:pPr>
      <w:r w:rsidRPr="00DC1EE4">
        <w:t>($ million)</w:t>
      </w:r>
    </w:p>
    <w:tbl>
      <w:tblPr>
        <w:tblW w:w="10230" w:type="dxa"/>
        <w:tblInd w:w="29" w:type="dxa"/>
        <w:tblLayout w:type="fixed"/>
        <w:tblCellMar>
          <w:left w:w="43" w:type="dxa"/>
          <w:right w:w="43" w:type="dxa"/>
        </w:tblCellMar>
        <w:tblLook w:val="0000" w:firstRow="0" w:lastRow="0" w:firstColumn="0" w:lastColumn="0" w:noHBand="0" w:noVBand="0"/>
      </w:tblPr>
      <w:tblGrid>
        <w:gridCol w:w="5504"/>
        <w:gridCol w:w="900"/>
        <w:gridCol w:w="990"/>
        <w:gridCol w:w="990"/>
        <w:gridCol w:w="900"/>
        <w:gridCol w:w="936"/>
        <w:gridCol w:w="10"/>
      </w:tblGrid>
      <w:tr w:rsidR="0028027B" w:rsidRPr="00DC1EE4" w:rsidTr="00C03F9E">
        <w:trPr>
          <w:gridAfter w:val="1"/>
          <w:wAfter w:w="10" w:type="dxa"/>
          <w:tblHeader/>
        </w:trPr>
        <w:tc>
          <w:tcPr>
            <w:tcW w:w="5504" w:type="dxa"/>
            <w:tcBorders>
              <w:top w:val="single" w:sz="4" w:space="0" w:color="auto"/>
              <w:left w:val="single" w:sz="4" w:space="0" w:color="auto"/>
              <w:bottom w:val="nil"/>
              <w:right w:val="nil"/>
            </w:tcBorders>
            <w:shd w:val="clear" w:color="auto" w:fill="000000"/>
          </w:tcPr>
          <w:p w:rsidR="0028027B" w:rsidRPr="00DC1EE4" w:rsidRDefault="005A4BB0" w:rsidP="00C03F9E">
            <w:pPr>
              <w:pStyle w:val="Tabletext"/>
            </w:pPr>
            <w:r>
              <w:t xml:space="preserve"> </w:t>
            </w:r>
          </w:p>
        </w:tc>
        <w:tc>
          <w:tcPr>
            <w:tcW w:w="900" w:type="dxa"/>
            <w:tcBorders>
              <w:top w:val="single" w:sz="4" w:space="0" w:color="auto"/>
              <w:left w:val="nil"/>
              <w:bottom w:val="nil"/>
              <w:right w:val="nil"/>
            </w:tcBorders>
            <w:shd w:val="clear" w:color="auto" w:fill="000000"/>
          </w:tcPr>
          <w:p w:rsidR="0028027B" w:rsidRPr="00DC1EE4" w:rsidRDefault="005A4BB0" w:rsidP="00C03F9E">
            <w:pPr>
              <w:pStyle w:val="TabletextheadingCentred"/>
            </w:pPr>
            <w:r>
              <w:t xml:space="preserve"> </w:t>
            </w:r>
          </w:p>
        </w:tc>
        <w:tc>
          <w:tcPr>
            <w:tcW w:w="990" w:type="dxa"/>
            <w:tcBorders>
              <w:top w:val="single" w:sz="4" w:space="0" w:color="auto"/>
              <w:left w:val="nil"/>
              <w:bottom w:val="nil"/>
              <w:right w:val="nil"/>
            </w:tcBorders>
            <w:shd w:val="clear" w:color="auto" w:fill="000000"/>
          </w:tcPr>
          <w:p w:rsidR="0028027B" w:rsidRPr="00DC1EE4" w:rsidRDefault="0028027B" w:rsidP="00C03F9E">
            <w:pPr>
              <w:pStyle w:val="Tabletextheading"/>
            </w:pPr>
            <w:r w:rsidRPr="00DC1EE4">
              <w:t>2015</w:t>
            </w:r>
            <w:r w:rsidR="005A4BB0">
              <w:noBreakHyphen/>
            </w:r>
            <w:r w:rsidRPr="00DC1EE4">
              <w:t>16</w:t>
            </w:r>
          </w:p>
        </w:tc>
        <w:tc>
          <w:tcPr>
            <w:tcW w:w="990" w:type="dxa"/>
            <w:tcBorders>
              <w:top w:val="single" w:sz="4" w:space="0" w:color="auto"/>
              <w:left w:val="nil"/>
              <w:bottom w:val="nil"/>
              <w:right w:val="nil"/>
            </w:tcBorders>
            <w:shd w:val="clear" w:color="auto" w:fill="000000"/>
          </w:tcPr>
          <w:p w:rsidR="0028027B" w:rsidRPr="00DC1EE4" w:rsidRDefault="0028027B" w:rsidP="00C03F9E">
            <w:pPr>
              <w:pStyle w:val="Tabletextheading"/>
            </w:pPr>
            <w:r w:rsidRPr="00DC1EE4">
              <w:t>2016</w:t>
            </w:r>
            <w:r w:rsidR="005A4BB0">
              <w:noBreakHyphen/>
            </w:r>
            <w:r w:rsidRPr="00DC1EE4">
              <w:t>17</w:t>
            </w:r>
          </w:p>
        </w:tc>
        <w:tc>
          <w:tcPr>
            <w:tcW w:w="900" w:type="dxa"/>
            <w:tcBorders>
              <w:top w:val="single" w:sz="4" w:space="0" w:color="auto"/>
              <w:left w:val="nil"/>
              <w:bottom w:val="nil"/>
              <w:right w:val="nil"/>
            </w:tcBorders>
            <w:shd w:val="clear" w:color="auto" w:fill="000000"/>
          </w:tcPr>
          <w:p w:rsidR="0028027B" w:rsidRPr="00DC1EE4" w:rsidRDefault="0028027B" w:rsidP="00C03F9E">
            <w:pPr>
              <w:pStyle w:val="Tabletextheading"/>
            </w:pPr>
            <w:r w:rsidRPr="00DC1EE4">
              <w:t>2017</w:t>
            </w:r>
            <w:r w:rsidR="005A4BB0">
              <w:noBreakHyphen/>
            </w:r>
            <w:r w:rsidRPr="00DC1EE4">
              <w:t>18</w:t>
            </w:r>
          </w:p>
        </w:tc>
        <w:tc>
          <w:tcPr>
            <w:tcW w:w="936" w:type="dxa"/>
            <w:tcBorders>
              <w:top w:val="single" w:sz="4" w:space="0" w:color="auto"/>
              <w:left w:val="nil"/>
              <w:bottom w:val="nil"/>
              <w:right w:val="single" w:sz="4" w:space="0" w:color="auto"/>
            </w:tcBorders>
            <w:shd w:val="clear" w:color="auto" w:fill="000000"/>
          </w:tcPr>
          <w:p w:rsidR="0028027B" w:rsidRPr="00DC1EE4" w:rsidRDefault="0028027B" w:rsidP="00C03F9E">
            <w:pPr>
              <w:pStyle w:val="Tabletextheading"/>
            </w:pPr>
            <w:r w:rsidRPr="00DC1EE4">
              <w:t>2018</w:t>
            </w:r>
            <w:r w:rsidR="005A4BB0">
              <w:noBreakHyphen/>
            </w:r>
            <w:r w:rsidRPr="00DC1EE4">
              <w:t>19</w:t>
            </w:r>
          </w:p>
        </w:tc>
      </w:tr>
      <w:tr w:rsidR="0028027B" w:rsidRPr="00DC1EE4" w:rsidTr="00C03F9E">
        <w:trPr>
          <w:gridAfter w:val="1"/>
          <w:wAfter w:w="10" w:type="dxa"/>
          <w:tblHeader/>
        </w:trPr>
        <w:tc>
          <w:tcPr>
            <w:tcW w:w="5504" w:type="dxa"/>
            <w:tcBorders>
              <w:top w:val="nil"/>
              <w:left w:val="single" w:sz="4" w:space="0" w:color="auto"/>
              <w:bottom w:val="single" w:sz="4" w:space="0" w:color="auto"/>
              <w:right w:val="nil"/>
            </w:tcBorders>
            <w:shd w:val="clear" w:color="auto" w:fill="000000"/>
          </w:tcPr>
          <w:p w:rsidR="0028027B" w:rsidRPr="00DC1EE4" w:rsidRDefault="005A4BB0" w:rsidP="00C03F9E">
            <w:pPr>
              <w:pStyle w:val="Tabletext"/>
            </w:pPr>
            <w:r>
              <w:t xml:space="preserve"> </w:t>
            </w:r>
          </w:p>
        </w:tc>
        <w:tc>
          <w:tcPr>
            <w:tcW w:w="900" w:type="dxa"/>
            <w:tcBorders>
              <w:top w:val="nil"/>
              <w:left w:val="nil"/>
              <w:bottom w:val="single" w:sz="4" w:space="0" w:color="auto"/>
              <w:right w:val="nil"/>
            </w:tcBorders>
            <w:shd w:val="clear" w:color="auto" w:fill="000000"/>
          </w:tcPr>
          <w:p w:rsidR="0028027B" w:rsidRPr="00DC1EE4" w:rsidRDefault="0028027B" w:rsidP="00C03F9E">
            <w:pPr>
              <w:pStyle w:val="TabletextheadingCentred"/>
            </w:pPr>
            <w:r w:rsidRPr="00DC1EE4">
              <w:t>Notes</w:t>
            </w:r>
          </w:p>
        </w:tc>
        <w:tc>
          <w:tcPr>
            <w:tcW w:w="990" w:type="dxa"/>
            <w:tcBorders>
              <w:top w:val="nil"/>
              <w:left w:val="nil"/>
              <w:bottom w:val="single" w:sz="4" w:space="0" w:color="auto"/>
              <w:right w:val="nil"/>
            </w:tcBorders>
            <w:shd w:val="clear" w:color="auto" w:fill="000000"/>
          </w:tcPr>
          <w:p w:rsidR="0028027B" w:rsidRPr="00DC1EE4" w:rsidRDefault="0028027B" w:rsidP="00C03F9E">
            <w:pPr>
              <w:pStyle w:val="Tabletextheading"/>
            </w:pPr>
            <w:r w:rsidRPr="00DC1EE4">
              <w:t>budget</w:t>
            </w:r>
          </w:p>
        </w:tc>
        <w:tc>
          <w:tcPr>
            <w:tcW w:w="990" w:type="dxa"/>
            <w:tcBorders>
              <w:top w:val="nil"/>
              <w:left w:val="nil"/>
              <w:bottom w:val="single" w:sz="4" w:space="0" w:color="auto"/>
              <w:right w:val="nil"/>
            </w:tcBorders>
            <w:shd w:val="clear" w:color="auto" w:fill="000000"/>
          </w:tcPr>
          <w:p w:rsidR="0028027B" w:rsidRPr="00DC1EE4" w:rsidRDefault="0028027B" w:rsidP="00C03F9E">
            <w:pPr>
              <w:pStyle w:val="Tabletextheading"/>
            </w:pPr>
            <w:r w:rsidRPr="00DC1EE4">
              <w:t>estimate</w:t>
            </w:r>
          </w:p>
        </w:tc>
        <w:tc>
          <w:tcPr>
            <w:tcW w:w="900" w:type="dxa"/>
            <w:tcBorders>
              <w:top w:val="nil"/>
              <w:left w:val="nil"/>
              <w:bottom w:val="single" w:sz="4" w:space="0" w:color="auto"/>
              <w:right w:val="nil"/>
            </w:tcBorders>
            <w:shd w:val="clear" w:color="auto" w:fill="000000"/>
          </w:tcPr>
          <w:p w:rsidR="0028027B" w:rsidRPr="00DC1EE4" w:rsidRDefault="0028027B" w:rsidP="00C03F9E">
            <w:pPr>
              <w:pStyle w:val="Tabletextheading"/>
            </w:pPr>
            <w:r w:rsidRPr="00DC1EE4">
              <w:t>estimate</w:t>
            </w:r>
          </w:p>
        </w:tc>
        <w:tc>
          <w:tcPr>
            <w:tcW w:w="936" w:type="dxa"/>
            <w:tcBorders>
              <w:top w:val="nil"/>
              <w:left w:val="nil"/>
              <w:bottom w:val="single" w:sz="4" w:space="0" w:color="auto"/>
              <w:right w:val="single" w:sz="4" w:space="0" w:color="auto"/>
            </w:tcBorders>
            <w:shd w:val="clear" w:color="auto" w:fill="000000"/>
          </w:tcPr>
          <w:p w:rsidR="0028027B" w:rsidRPr="00DC1EE4" w:rsidRDefault="0028027B" w:rsidP="00C03F9E">
            <w:pPr>
              <w:pStyle w:val="Tabletextheading"/>
            </w:pPr>
            <w:r w:rsidRPr="00DC1EE4">
              <w:t>estimate</w:t>
            </w:r>
          </w:p>
        </w:tc>
      </w:tr>
      <w:tr w:rsidR="0028027B" w:rsidRPr="00DC1EE4" w:rsidTr="00C03F9E">
        <w:trPr>
          <w:gridAfter w:val="1"/>
          <w:wAfter w:w="10" w:type="dxa"/>
        </w:trPr>
        <w:tc>
          <w:tcPr>
            <w:tcW w:w="5504" w:type="dxa"/>
            <w:tcBorders>
              <w:top w:val="single" w:sz="4" w:space="0" w:color="auto"/>
              <w:left w:val="nil"/>
              <w:bottom w:val="nil"/>
              <w:right w:val="nil"/>
            </w:tcBorders>
          </w:tcPr>
          <w:p w:rsidR="0028027B" w:rsidRPr="00DC1EE4" w:rsidRDefault="0028027B" w:rsidP="00C03F9E">
            <w:pPr>
              <w:pStyle w:val="Tabletext"/>
              <w:spacing w:before="20"/>
              <w:rPr>
                <w:b/>
              </w:rPr>
            </w:pPr>
            <w:r w:rsidRPr="00DC1EE4">
              <w:rPr>
                <w:b/>
              </w:rPr>
              <w:t>Cash flows from operating activities</w:t>
            </w:r>
          </w:p>
        </w:tc>
        <w:tc>
          <w:tcPr>
            <w:tcW w:w="900" w:type="dxa"/>
            <w:tcBorders>
              <w:top w:val="single" w:sz="4" w:space="0" w:color="auto"/>
              <w:left w:val="nil"/>
              <w:bottom w:val="nil"/>
              <w:right w:val="nil"/>
            </w:tcBorders>
          </w:tcPr>
          <w:p w:rsidR="0028027B" w:rsidRPr="00DC1EE4" w:rsidRDefault="005A4BB0" w:rsidP="00C03F9E">
            <w:pPr>
              <w:pStyle w:val="TableTextCentred"/>
              <w:spacing w:before="20"/>
              <w:rPr>
                <w:b/>
              </w:rPr>
            </w:pPr>
            <w:r>
              <w:rPr>
                <w:b/>
              </w:rPr>
              <w:t xml:space="preserve"> </w:t>
            </w:r>
          </w:p>
        </w:tc>
        <w:tc>
          <w:tcPr>
            <w:tcW w:w="990" w:type="dxa"/>
            <w:tcBorders>
              <w:top w:val="single" w:sz="4" w:space="0" w:color="auto"/>
              <w:left w:val="nil"/>
              <w:bottom w:val="nil"/>
              <w:right w:val="nil"/>
            </w:tcBorders>
          </w:tcPr>
          <w:p w:rsidR="0028027B" w:rsidRPr="00DC1EE4" w:rsidRDefault="005A4BB0" w:rsidP="00C03F9E">
            <w:pPr>
              <w:pStyle w:val="TableofFigures"/>
              <w:spacing w:before="20"/>
              <w:rPr>
                <w:b/>
              </w:rPr>
            </w:pPr>
            <w:r>
              <w:rPr>
                <w:b/>
              </w:rPr>
              <w:t xml:space="preserve"> </w:t>
            </w:r>
          </w:p>
        </w:tc>
        <w:tc>
          <w:tcPr>
            <w:tcW w:w="990" w:type="dxa"/>
            <w:tcBorders>
              <w:top w:val="single" w:sz="4" w:space="0" w:color="auto"/>
              <w:left w:val="nil"/>
              <w:bottom w:val="nil"/>
              <w:right w:val="nil"/>
            </w:tcBorders>
          </w:tcPr>
          <w:p w:rsidR="0028027B" w:rsidRPr="00DC1EE4" w:rsidRDefault="005A4BB0" w:rsidP="00C03F9E">
            <w:pPr>
              <w:pStyle w:val="TableofFigures"/>
              <w:spacing w:before="20"/>
              <w:rPr>
                <w:b/>
              </w:rPr>
            </w:pPr>
            <w:r>
              <w:rPr>
                <w:b/>
              </w:rPr>
              <w:t xml:space="preserve"> </w:t>
            </w:r>
          </w:p>
        </w:tc>
        <w:tc>
          <w:tcPr>
            <w:tcW w:w="900" w:type="dxa"/>
            <w:tcBorders>
              <w:top w:val="single" w:sz="4" w:space="0" w:color="auto"/>
              <w:left w:val="nil"/>
              <w:bottom w:val="nil"/>
              <w:right w:val="nil"/>
            </w:tcBorders>
          </w:tcPr>
          <w:p w:rsidR="0028027B" w:rsidRPr="00DC1EE4" w:rsidRDefault="005A4BB0" w:rsidP="00C03F9E">
            <w:pPr>
              <w:pStyle w:val="TableofFigures"/>
              <w:spacing w:before="20"/>
              <w:rPr>
                <w:b/>
              </w:rPr>
            </w:pPr>
            <w:r>
              <w:rPr>
                <w:b/>
              </w:rPr>
              <w:t xml:space="preserve"> </w:t>
            </w:r>
          </w:p>
        </w:tc>
        <w:tc>
          <w:tcPr>
            <w:tcW w:w="936" w:type="dxa"/>
            <w:tcBorders>
              <w:top w:val="single" w:sz="4" w:space="0" w:color="auto"/>
              <w:left w:val="nil"/>
              <w:bottom w:val="nil"/>
              <w:right w:val="nil"/>
            </w:tcBorders>
          </w:tcPr>
          <w:p w:rsidR="0028027B" w:rsidRPr="00DC1EE4" w:rsidRDefault="005A4BB0" w:rsidP="00C03F9E">
            <w:pPr>
              <w:pStyle w:val="TableofFigures"/>
              <w:spacing w:before="20"/>
              <w:rPr>
                <w:b/>
              </w:rPr>
            </w:pPr>
            <w:r>
              <w:rPr>
                <w:b/>
              </w:rPr>
              <w:t xml:space="preserve"> </w:t>
            </w:r>
          </w:p>
        </w:tc>
      </w:tr>
      <w:tr w:rsidR="0028027B" w:rsidRPr="00DC1EE4" w:rsidTr="00C03F9E">
        <w:trPr>
          <w:gridAfter w:val="1"/>
          <w:wAfter w:w="10" w:type="dxa"/>
        </w:trPr>
        <w:tc>
          <w:tcPr>
            <w:tcW w:w="5504" w:type="dxa"/>
            <w:tcBorders>
              <w:top w:val="nil"/>
              <w:left w:val="nil"/>
              <w:bottom w:val="nil"/>
              <w:right w:val="nil"/>
            </w:tcBorders>
          </w:tcPr>
          <w:p w:rsidR="0028027B" w:rsidRPr="00DC1EE4" w:rsidRDefault="0028027B" w:rsidP="00C03F9E">
            <w:pPr>
              <w:pStyle w:val="Tabletext"/>
              <w:spacing w:before="20"/>
              <w:rPr>
                <w:b/>
              </w:rPr>
            </w:pPr>
            <w:r w:rsidRPr="00DC1EE4">
              <w:rPr>
                <w:b/>
              </w:rPr>
              <w:t>Receipts</w:t>
            </w:r>
          </w:p>
        </w:tc>
        <w:tc>
          <w:tcPr>
            <w:tcW w:w="900" w:type="dxa"/>
            <w:tcBorders>
              <w:top w:val="nil"/>
              <w:left w:val="nil"/>
              <w:bottom w:val="nil"/>
              <w:right w:val="nil"/>
            </w:tcBorders>
          </w:tcPr>
          <w:p w:rsidR="0028027B" w:rsidRPr="00DC1EE4" w:rsidRDefault="005A4BB0" w:rsidP="00C03F9E">
            <w:pPr>
              <w:pStyle w:val="TableTextCentred"/>
              <w:spacing w:before="20"/>
              <w:rPr>
                <w:b/>
              </w:rPr>
            </w:pPr>
            <w:r>
              <w:rPr>
                <w:b/>
              </w:rPr>
              <w:t xml:space="preserve"> </w:t>
            </w:r>
          </w:p>
        </w:tc>
        <w:tc>
          <w:tcPr>
            <w:tcW w:w="990"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c>
          <w:tcPr>
            <w:tcW w:w="990"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c>
          <w:tcPr>
            <w:tcW w:w="900"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c>
          <w:tcPr>
            <w:tcW w:w="936"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Taxes received</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19 007.3</w:t>
            </w:r>
          </w:p>
        </w:tc>
        <w:tc>
          <w:tcPr>
            <w:tcW w:w="990" w:type="dxa"/>
            <w:tcBorders>
              <w:top w:val="nil"/>
              <w:left w:val="nil"/>
              <w:bottom w:val="nil"/>
              <w:right w:val="nil"/>
            </w:tcBorders>
          </w:tcPr>
          <w:p w:rsidR="0028027B" w:rsidRPr="00DC1EE4" w:rsidRDefault="0028027B" w:rsidP="00C03F9E">
            <w:pPr>
              <w:pStyle w:val="TableofFigures"/>
              <w:spacing w:before="20"/>
            </w:pPr>
            <w:r w:rsidRPr="00DC1EE4">
              <w:t>19 736.0</w:t>
            </w:r>
          </w:p>
        </w:tc>
        <w:tc>
          <w:tcPr>
            <w:tcW w:w="900" w:type="dxa"/>
            <w:tcBorders>
              <w:top w:val="nil"/>
              <w:left w:val="nil"/>
              <w:bottom w:val="nil"/>
              <w:right w:val="nil"/>
            </w:tcBorders>
          </w:tcPr>
          <w:p w:rsidR="0028027B" w:rsidRPr="00DC1EE4" w:rsidRDefault="0028027B" w:rsidP="00C03F9E">
            <w:pPr>
              <w:pStyle w:val="TableofFigures"/>
              <w:spacing w:before="20"/>
            </w:pPr>
            <w:r w:rsidRPr="00DC1EE4">
              <w:t>20 254.6</w:t>
            </w:r>
          </w:p>
        </w:tc>
        <w:tc>
          <w:tcPr>
            <w:tcW w:w="936" w:type="dxa"/>
            <w:tcBorders>
              <w:top w:val="nil"/>
              <w:left w:val="nil"/>
              <w:bottom w:val="nil"/>
              <w:right w:val="nil"/>
            </w:tcBorders>
          </w:tcPr>
          <w:p w:rsidR="0028027B" w:rsidRPr="00DC1EE4" w:rsidRDefault="0028027B" w:rsidP="00C03F9E">
            <w:pPr>
              <w:pStyle w:val="TableofFigures"/>
              <w:spacing w:before="20"/>
            </w:pPr>
            <w:r w:rsidRPr="00DC1EE4">
              <w:t>21 193.0</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Grants</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25 668.3</w:t>
            </w:r>
          </w:p>
        </w:tc>
        <w:tc>
          <w:tcPr>
            <w:tcW w:w="990" w:type="dxa"/>
            <w:tcBorders>
              <w:top w:val="nil"/>
              <w:left w:val="nil"/>
              <w:bottom w:val="nil"/>
              <w:right w:val="nil"/>
            </w:tcBorders>
          </w:tcPr>
          <w:p w:rsidR="0028027B" w:rsidRPr="00DC1EE4" w:rsidRDefault="0028027B" w:rsidP="00C03F9E">
            <w:pPr>
              <w:pStyle w:val="TableofFigures"/>
              <w:spacing w:before="20"/>
            </w:pPr>
            <w:r w:rsidRPr="00DC1EE4">
              <w:t>26 089.6</w:t>
            </w:r>
          </w:p>
        </w:tc>
        <w:tc>
          <w:tcPr>
            <w:tcW w:w="900" w:type="dxa"/>
            <w:tcBorders>
              <w:top w:val="nil"/>
              <w:left w:val="nil"/>
              <w:bottom w:val="nil"/>
              <w:right w:val="nil"/>
            </w:tcBorders>
          </w:tcPr>
          <w:p w:rsidR="0028027B" w:rsidRPr="00DC1EE4" w:rsidRDefault="0028027B" w:rsidP="00C03F9E">
            <w:pPr>
              <w:pStyle w:val="TableofFigures"/>
              <w:spacing w:before="20"/>
            </w:pPr>
            <w:r w:rsidRPr="00DC1EE4">
              <w:t>27 507.6</w:t>
            </w:r>
          </w:p>
        </w:tc>
        <w:tc>
          <w:tcPr>
            <w:tcW w:w="936" w:type="dxa"/>
            <w:tcBorders>
              <w:top w:val="nil"/>
              <w:left w:val="nil"/>
              <w:bottom w:val="nil"/>
              <w:right w:val="nil"/>
            </w:tcBorders>
          </w:tcPr>
          <w:p w:rsidR="0028027B" w:rsidRPr="00DC1EE4" w:rsidRDefault="0028027B" w:rsidP="00C03F9E">
            <w:pPr>
              <w:pStyle w:val="TableofFigures"/>
              <w:spacing w:before="20"/>
            </w:pPr>
            <w:r w:rsidRPr="00DC1EE4">
              <w:t>28 605.4</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Sales of goods and services</w:t>
            </w:r>
            <w:r w:rsidRPr="00DC1EE4">
              <w:rPr>
                <w:vertAlign w:val="superscript"/>
              </w:rPr>
              <w:t>(a)</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7 531.3</w:t>
            </w:r>
          </w:p>
        </w:tc>
        <w:tc>
          <w:tcPr>
            <w:tcW w:w="990" w:type="dxa"/>
            <w:tcBorders>
              <w:top w:val="nil"/>
              <w:left w:val="nil"/>
              <w:bottom w:val="nil"/>
              <w:right w:val="nil"/>
            </w:tcBorders>
          </w:tcPr>
          <w:p w:rsidR="0028027B" w:rsidRPr="00DC1EE4" w:rsidRDefault="0028027B" w:rsidP="00C03F9E">
            <w:pPr>
              <w:pStyle w:val="TableofFigures"/>
              <w:spacing w:before="20"/>
            </w:pPr>
            <w:r w:rsidRPr="00DC1EE4">
              <w:t>7 730.4</w:t>
            </w:r>
          </w:p>
        </w:tc>
        <w:tc>
          <w:tcPr>
            <w:tcW w:w="900" w:type="dxa"/>
            <w:tcBorders>
              <w:top w:val="nil"/>
              <w:left w:val="nil"/>
              <w:bottom w:val="nil"/>
              <w:right w:val="nil"/>
            </w:tcBorders>
          </w:tcPr>
          <w:p w:rsidR="0028027B" w:rsidRPr="00DC1EE4" w:rsidRDefault="0028027B" w:rsidP="00C03F9E">
            <w:pPr>
              <w:pStyle w:val="TableofFigures"/>
              <w:spacing w:before="20"/>
            </w:pPr>
            <w:r w:rsidRPr="00DC1EE4">
              <w:t>7 811.0</w:t>
            </w:r>
          </w:p>
        </w:tc>
        <w:tc>
          <w:tcPr>
            <w:tcW w:w="936" w:type="dxa"/>
            <w:tcBorders>
              <w:top w:val="nil"/>
              <w:left w:val="nil"/>
              <w:bottom w:val="nil"/>
              <w:right w:val="nil"/>
            </w:tcBorders>
          </w:tcPr>
          <w:p w:rsidR="0028027B" w:rsidRPr="00DC1EE4" w:rsidRDefault="0028027B" w:rsidP="00C03F9E">
            <w:pPr>
              <w:pStyle w:val="TableofFigures"/>
              <w:spacing w:before="20"/>
            </w:pPr>
            <w:r w:rsidRPr="00DC1EE4">
              <w:t>7 667.2</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Interest received</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811.8</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835.5</w:t>
            </w:r>
          </w:p>
        </w:tc>
        <w:tc>
          <w:tcPr>
            <w:tcW w:w="900" w:type="dxa"/>
            <w:tcBorders>
              <w:top w:val="nil"/>
              <w:left w:val="nil"/>
              <w:bottom w:val="nil"/>
              <w:right w:val="nil"/>
            </w:tcBorders>
          </w:tcPr>
          <w:p w:rsidR="0028027B" w:rsidRPr="00DC1EE4" w:rsidRDefault="0028027B" w:rsidP="00C03F9E">
            <w:pPr>
              <w:pStyle w:val="TableofFigures"/>
              <w:spacing w:before="20"/>
            </w:pPr>
            <w:r w:rsidRPr="00DC1EE4">
              <w:t xml:space="preserve"> 845.3</w:t>
            </w:r>
          </w:p>
        </w:tc>
        <w:tc>
          <w:tcPr>
            <w:tcW w:w="936" w:type="dxa"/>
            <w:tcBorders>
              <w:top w:val="nil"/>
              <w:left w:val="nil"/>
              <w:bottom w:val="nil"/>
              <w:right w:val="nil"/>
            </w:tcBorders>
          </w:tcPr>
          <w:p w:rsidR="0028027B" w:rsidRPr="00DC1EE4" w:rsidRDefault="0028027B" w:rsidP="00C03F9E">
            <w:pPr>
              <w:pStyle w:val="TableofFigures"/>
              <w:spacing w:before="20"/>
            </w:pPr>
            <w:r w:rsidRPr="00DC1EE4">
              <w:t xml:space="preserve"> 849.5</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Dividends and income tax equivalent and rate equivalent receipts</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1 143.5</w:t>
            </w:r>
          </w:p>
        </w:tc>
        <w:tc>
          <w:tcPr>
            <w:tcW w:w="990" w:type="dxa"/>
            <w:tcBorders>
              <w:top w:val="nil"/>
              <w:left w:val="nil"/>
              <w:bottom w:val="nil"/>
              <w:right w:val="nil"/>
            </w:tcBorders>
          </w:tcPr>
          <w:p w:rsidR="0028027B" w:rsidRPr="00DC1EE4" w:rsidRDefault="0028027B" w:rsidP="00C03F9E">
            <w:pPr>
              <w:pStyle w:val="TableofFigures"/>
              <w:spacing w:before="20"/>
            </w:pPr>
            <w:r w:rsidRPr="00DC1EE4">
              <w:t>1 009.1</w:t>
            </w:r>
          </w:p>
        </w:tc>
        <w:tc>
          <w:tcPr>
            <w:tcW w:w="900" w:type="dxa"/>
            <w:tcBorders>
              <w:top w:val="nil"/>
              <w:left w:val="nil"/>
              <w:bottom w:val="nil"/>
              <w:right w:val="nil"/>
            </w:tcBorders>
          </w:tcPr>
          <w:p w:rsidR="0028027B" w:rsidRPr="00DC1EE4" w:rsidRDefault="0028027B" w:rsidP="00C03F9E">
            <w:pPr>
              <w:pStyle w:val="TableofFigures"/>
              <w:spacing w:before="20"/>
            </w:pPr>
            <w:r w:rsidRPr="00DC1EE4">
              <w:t>1 014.4</w:t>
            </w:r>
          </w:p>
        </w:tc>
        <w:tc>
          <w:tcPr>
            <w:tcW w:w="936" w:type="dxa"/>
            <w:tcBorders>
              <w:top w:val="nil"/>
              <w:left w:val="nil"/>
              <w:bottom w:val="nil"/>
              <w:right w:val="nil"/>
            </w:tcBorders>
          </w:tcPr>
          <w:p w:rsidR="0028027B" w:rsidRPr="00DC1EE4" w:rsidRDefault="0028027B" w:rsidP="00C03F9E">
            <w:pPr>
              <w:pStyle w:val="TableofFigures"/>
              <w:spacing w:before="20"/>
            </w:pPr>
            <w:r w:rsidRPr="00DC1EE4">
              <w:t xml:space="preserve"> 991.2</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Other receipts</w:t>
            </w:r>
          </w:p>
        </w:tc>
        <w:tc>
          <w:tcPr>
            <w:tcW w:w="900" w:type="dxa"/>
            <w:tcBorders>
              <w:top w:val="nil"/>
              <w:left w:val="nil"/>
              <w:bottom w:val="single" w:sz="6" w:space="0" w:color="auto"/>
              <w:right w:val="nil"/>
            </w:tcBorders>
          </w:tcPr>
          <w:p w:rsidR="0028027B" w:rsidRPr="00DC1EE4" w:rsidRDefault="005A4BB0" w:rsidP="00C03F9E">
            <w:pPr>
              <w:pStyle w:val="TableTextCentred"/>
              <w:spacing w:before="20"/>
            </w:pPr>
            <w:r>
              <w:t xml:space="preserve"> </w:t>
            </w:r>
          </w:p>
        </w:tc>
        <w:tc>
          <w:tcPr>
            <w:tcW w:w="990" w:type="dxa"/>
            <w:tcBorders>
              <w:top w:val="nil"/>
              <w:left w:val="nil"/>
              <w:bottom w:val="single" w:sz="6" w:space="0" w:color="auto"/>
              <w:right w:val="nil"/>
            </w:tcBorders>
          </w:tcPr>
          <w:p w:rsidR="0028027B" w:rsidRPr="00DC1EE4" w:rsidRDefault="0028027B" w:rsidP="00C03F9E">
            <w:pPr>
              <w:pStyle w:val="TableofFigures"/>
              <w:spacing w:before="20"/>
            </w:pPr>
            <w:r w:rsidRPr="00DC1EE4">
              <w:t>1 741.4</w:t>
            </w:r>
          </w:p>
        </w:tc>
        <w:tc>
          <w:tcPr>
            <w:tcW w:w="990" w:type="dxa"/>
            <w:tcBorders>
              <w:top w:val="nil"/>
              <w:left w:val="nil"/>
              <w:bottom w:val="single" w:sz="6" w:space="0" w:color="auto"/>
              <w:right w:val="nil"/>
            </w:tcBorders>
          </w:tcPr>
          <w:p w:rsidR="0028027B" w:rsidRPr="00DC1EE4" w:rsidRDefault="0028027B" w:rsidP="00C03F9E">
            <w:pPr>
              <w:pStyle w:val="TableofFigures"/>
              <w:spacing w:before="20"/>
            </w:pPr>
            <w:r w:rsidRPr="00DC1EE4">
              <w:t>1 821.8</w:t>
            </w:r>
          </w:p>
        </w:tc>
        <w:tc>
          <w:tcPr>
            <w:tcW w:w="900" w:type="dxa"/>
            <w:tcBorders>
              <w:top w:val="nil"/>
              <w:left w:val="nil"/>
              <w:bottom w:val="single" w:sz="6" w:space="0" w:color="auto"/>
              <w:right w:val="nil"/>
            </w:tcBorders>
          </w:tcPr>
          <w:p w:rsidR="0028027B" w:rsidRPr="00DC1EE4" w:rsidRDefault="0028027B" w:rsidP="00C03F9E">
            <w:pPr>
              <w:pStyle w:val="TableofFigures"/>
              <w:spacing w:before="20"/>
            </w:pPr>
            <w:r w:rsidRPr="00DC1EE4">
              <w:t>1 811.9</w:t>
            </w:r>
          </w:p>
        </w:tc>
        <w:tc>
          <w:tcPr>
            <w:tcW w:w="936" w:type="dxa"/>
            <w:tcBorders>
              <w:top w:val="nil"/>
              <w:left w:val="nil"/>
              <w:bottom w:val="single" w:sz="6" w:space="0" w:color="auto"/>
              <w:right w:val="nil"/>
            </w:tcBorders>
          </w:tcPr>
          <w:p w:rsidR="0028027B" w:rsidRPr="00DC1EE4" w:rsidRDefault="0028027B" w:rsidP="00C03F9E">
            <w:pPr>
              <w:pStyle w:val="TableofFigures"/>
              <w:spacing w:before="20"/>
            </w:pPr>
            <w:r w:rsidRPr="00DC1EE4">
              <w:t>1 850.4</w:t>
            </w:r>
          </w:p>
        </w:tc>
      </w:tr>
      <w:tr w:rsidR="0028027B" w:rsidRPr="00DC1EE4" w:rsidTr="00C03F9E">
        <w:trPr>
          <w:gridAfter w:val="1"/>
          <w:wAfter w:w="10" w:type="dxa"/>
        </w:trPr>
        <w:tc>
          <w:tcPr>
            <w:tcW w:w="5504" w:type="dxa"/>
            <w:tcBorders>
              <w:top w:val="single" w:sz="6" w:space="0" w:color="auto"/>
              <w:left w:val="nil"/>
              <w:bottom w:val="nil"/>
              <w:right w:val="nil"/>
            </w:tcBorders>
            <w:vAlign w:val="center"/>
          </w:tcPr>
          <w:p w:rsidR="0028027B" w:rsidRPr="00DC1EE4" w:rsidRDefault="0028027B" w:rsidP="00C03F9E">
            <w:pPr>
              <w:pStyle w:val="Tabletext"/>
              <w:spacing w:before="20"/>
              <w:rPr>
                <w:b/>
              </w:rPr>
            </w:pPr>
            <w:r w:rsidRPr="00DC1EE4">
              <w:rPr>
                <w:b/>
              </w:rPr>
              <w:t>Total receipts</w:t>
            </w:r>
          </w:p>
        </w:tc>
        <w:tc>
          <w:tcPr>
            <w:tcW w:w="900" w:type="dxa"/>
            <w:tcBorders>
              <w:top w:val="nil"/>
              <w:left w:val="nil"/>
              <w:bottom w:val="nil"/>
              <w:right w:val="nil"/>
            </w:tcBorders>
          </w:tcPr>
          <w:p w:rsidR="0028027B" w:rsidRPr="00DC1EE4" w:rsidRDefault="005A4BB0" w:rsidP="00C03F9E">
            <w:pPr>
              <w:pStyle w:val="TableTextCentred"/>
              <w:spacing w:before="20"/>
              <w:rPr>
                <w:b/>
              </w:rPr>
            </w:pPr>
            <w:r>
              <w:rPr>
                <w:b/>
              </w:rPr>
              <w:t xml:space="preserve"> </w:t>
            </w:r>
          </w:p>
        </w:tc>
        <w:tc>
          <w:tcPr>
            <w:tcW w:w="990" w:type="dxa"/>
            <w:tcBorders>
              <w:top w:val="nil"/>
              <w:left w:val="nil"/>
              <w:bottom w:val="nil"/>
              <w:right w:val="nil"/>
            </w:tcBorders>
          </w:tcPr>
          <w:p w:rsidR="0028027B" w:rsidRPr="00DC1EE4" w:rsidRDefault="0028027B" w:rsidP="00C03F9E">
            <w:pPr>
              <w:pStyle w:val="TableofFigures"/>
              <w:spacing w:before="20"/>
              <w:rPr>
                <w:b/>
              </w:rPr>
            </w:pPr>
            <w:r w:rsidRPr="00DC1EE4">
              <w:rPr>
                <w:rFonts w:eastAsiaTheme="minorEastAsia"/>
                <w:b/>
                <w:bCs/>
              </w:rPr>
              <w:t>55 903.6</w:t>
            </w:r>
          </w:p>
        </w:tc>
        <w:tc>
          <w:tcPr>
            <w:tcW w:w="990" w:type="dxa"/>
            <w:tcBorders>
              <w:top w:val="nil"/>
              <w:left w:val="nil"/>
              <w:bottom w:val="nil"/>
              <w:right w:val="nil"/>
            </w:tcBorders>
          </w:tcPr>
          <w:p w:rsidR="0028027B" w:rsidRPr="00DC1EE4" w:rsidRDefault="0028027B" w:rsidP="00C03F9E">
            <w:pPr>
              <w:pStyle w:val="TableofFigures"/>
              <w:spacing w:before="20"/>
              <w:rPr>
                <w:b/>
              </w:rPr>
            </w:pPr>
            <w:r w:rsidRPr="00DC1EE4">
              <w:rPr>
                <w:rFonts w:eastAsiaTheme="minorEastAsia"/>
                <w:b/>
                <w:bCs/>
              </w:rPr>
              <w:t>57 222.3</w:t>
            </w:r>
          </w:p>
        </w:tc>
        <w:tc>
          <w:tcPr>
            <w:tcW w:w="900" w:type="dxa"/>
            <w:tcBorders>
              <w:top w:val="nil"/>
              <w:left w:val="nil"/>
              <w:bottom w:val="nil"/>
              <w:right w:val="nil"/>
            </w:tcBorders>
          </w:tcPr>
          <w:p w:rsidR="0028027B" w:rsidRPr="00DC1EE4" w:rsidRDefault="0028027B" w:rsidP="00C03F9E">
            <w:pPr>
              <w:pStyle w:val="TableofFigures"/>
              <w:spacing w:before="20"/>
              <w:rPr>
                <w:b/>
              </w:rPr>
            </w:pPr>
            <w:r w:rsidRPr="00DC1EE4">
              <w:rPr>
                <w:rFonts w:eastAsiaTheme="minorEastAsia"/>
                <w:b/>
                <w:bCs/>
              </w:rPr>
              <w:t>59 244.9</w:t>
            </w:r>
          </w:p>
        </w:tc>
        <w:tc>
          <w:tcPr>
            <w:tcW w:w="936" w:type="dxa"/>
            <w:tcBorders>
              <w:top w:val="nil"/>
              <w:left w:val="nil"/>
              <w:bottom w:val="nil"/>
              <w:right w:val="nil"/>
            </w:tcBorders>
          </w:tcPr>
          <w:p w:rsidR="0028027B" w:rsidRPr="00DC1EE4" w:rsidRDefault="0028027B" w:rsidP="00C03F9E">
            <w:pPr>
              <w:pStyle w:val="TableofFigures"/>
              <w:spacing w:before="20"/>
              <w:rPr>
                <w:b/>
              </w:rPr>
            </w:pPr>
            <w:r w:rsidRPr="00DC1EE4">
              <w:rPr>
                <w:rFonts w:eastAsiaTheme="minorEastAsia"/>
                <w:b/>
                <w:bCs/>
              </w:rPr>
              <w:t>61 156.8</w:t>
            </w:r>
          </w:p>
        </w:tc>
      </w:tr>
      <w:tr w:rsidR="0028027B" w:rsidRPr="00DC1EE4" w:rsidTr="00C03F9E">
        <w:trPr>
          <w:gridAfter w:val="1"/>
          <w:wAfter w:w="10" w:type="dxa"/>
        </w:trPr>
        <w:tc>
          <w:tcPr>
            <w:tcW w:w="5504" w:type="dxa"/>
            <w:tcBorders>
              <w:top w:val="nil"/>
              <w:left w:val="nil"/>
              <w:bottom w:val="nil"/>
              <w:right w:val="nil"/>
            </w:tcBorders>
          </w:tcPr>
          <w:p w:rsidR="0028027B" w:rsidRPr="00DC1EE4" w:rsidRDefault="0028027B" w:rsidP="00C03F9E">
            <w:pPr>
              <w:pStyle w:val="Tabletext"/>
              <w:spacing w:before="20"/>
              <w:rPr>
                <w:b/>
              </w:rPr>
            </w:pPr>
            <w:r w:rsidRPr="00DC1EE4">
              <w:rPr>
                <w:b/>
              </w:rPr>
              <w:t>Payments</w:t>
            </w:r>
          </w:p>
        </w:tc>
        <w:tc>
          <w:tcPr>
            <w:tcW w:w="900" w:type="dxa"/>
            <w:tcBorders>
              <w:top w:val="nil"/>
              <w:left w:val="nil"/>
              <w:bottom w:val="nil"/>
              <w:right w:val="nil"/>
            </w:tcBorders>
          </w:tcPr>
          <w:p w:rsidR="0028027B" w:rsidRPr="00DC1EE4" w:rsidRDefault="005A4BB0" w:rsidP="00C03F9E">
            <w:pPr>
              <w:pStyle w:val="TableTextCentred"/>
              <w:spacing w:before="20"/>
              <w:rPr>
                <w:b/>
              </w:rPr>
            </w:pPr>
            <w:r>
              <w:rPr>
                <w:b/>
              </w:rPr>
              <w:t xml:space="preserve"> </w:t>
            </w:r>
          </w:p>
        </w:tc>
        <w:tc>
          <w:tcPr>
            <w:tcW w:w="990"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c>
          <w:tcPr>
            <w:tcW w:w="990"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c>
          <w:tcPr>
            <w:tcW w:w="900"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c>
          <w:tcPr>
            <w:tcW w:w="936"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Payments for employees</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(19 657.1)</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(20 326.8)</w:t>
            </w:r>
          </w:p>
        </w:tc>
        <w:tc>
          <w:tcPr>
            <w:tcW w:w="900" w:type="dxa"/>
            <w:tcBorders>
              <w:top w:val="nil"/>
              <w:left w:val="nil"/>
              <w:bottom w:val="nil"/>
              <w:right w:val="nil"/>
            </w:tcBorders>
          </w:tcPr>
          <w:p w:rsidR="0028027B" w:rsidRPr="00DC1EE4" w:rsidRDefault="0028027B" w:rsidP="00C03F9E">
            <w:pPr>
              <w:pStyle w:val="TableofFigures"/>
              <w:spacing w:before="20"/>
            </w:pPr>
            <w:r w:rsidRPr="00DC1EE4">
              <w:t xml:space="preserve"> (21 245.6)</w:t>
            </w:r>
          </w:p>
        </w:tc>
        <w:tc>
          <w:tcPr>
            <w:tcW w:w="936" w:type="dxa"/>
            <w:tcBorders>
              <w:top w:val="nil"/>
              <w:left w:val="nil"/>
              <w:bottom w:val="nil"/>
              <w:right w:val="nil"/>
            </w:tcBorders>
          </w:tcPr>
          <w:p w:rsidR="0028027B" w:rsidRPr="00DC1EE4" w:rsidRDefault="0028027B" w:rsidP="00C03F9E">
            <w:pPr>
              <w:pStyle w:val="TableofFigures"/>
              <w:spacing w:before="20"/>
            </w:pPr>
            <w:r w:rsidRPr="00DC1EE4">
              <w:t xml:space="preserve"> (22 103.6)</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Superannuation</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(2 969.0)</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(3 111.6)</w:t>
            </w:r>
          </w:p>
        </w:tc>
        <w:tc>
          <w:tcPr>
            <w:tcW w:w="900" w:type="dxa"/>
            <w:tcBorders>
              <w:top w:val="nil"/>
              <w:left w:val="nil"/>
              <w:bottom w:val="nil"/>
              <w:right w:val="nil"/>
            </w:tcBorders>
          </w:tcPr>
          <w:p w:rsidR="0028027B" w:rsidRPr="00DC1EE4" w:rsidRDefault="0028027B" w:rsidP="00C03F9E">
            <w:pPr>
              <w:pStyle w:val="TableofFigures"/>
              <w:spacing w:before="20"/>
            </w:pPr>
            <w:r w:rsidRPr="00DC1EE4">
              <w:t xml:space="preserve"> (2 537.9)</w:t>
            </w:r>
          </w:p>
        </w:tc>
        <w:tc>
          <w:tcPr>
            <w:tcW w:w="936" w:type="dxa"/>
            <w:tcBorders>
              <w:top w:val="nil"/>
              <w:left w:val="nil"/>
              <w:bottom w:val="nil"/>
              <w:right w:val="nil"/>
            </w:tcBorders>
          </w:tcPr>
          <w:p w:rsidR="0028027B" w:rsidRPr="00DC1EE4" w:rsidRDefault="0028027B" w:rsidP="00C03F9E">
            <w:pPr>
              <w:pStyle w:val="TableofFigures"/>
              <w:spacing w:before="20"/>
            </w:pPr>
            <w:r w:rsidRPr="00DC1EE4">
              <w:t xml:space="preserve"> (2 915.0)</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Interest paid</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(2 058.6)</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(2 062.7)</w:t>
            </w:r>
          </w:p>
        </w:tc>
        <w:tc>
          <w:tcPr>
            <w:tcW w:w="900" w:type="dxa"/>
            <w:tcBorders>
              <w:top w:val="nil"/>
              <w:left w:val="nil"/>
              <w:bottom w:val="nil"/>
              <w:right w:val="nil"/>
            </w:tcBorders>
          </w:tcPr>
          <w:p w:rsidR="0028027B" w:rsidRPr="00DC1EE4" w:rsidRDefault="0028027B" w:rsidP="00C03F9E">
            <w:pPr>
              <w:pStyle w:val="TableofFigures"/>
              <w:spacing w:before="20"/>
            </w:pPr>
            <w:r w:rsidRPr="00DC1EE4">
              <w:t xml:space="preserve"> (2 126.3)</w:t>
            </w:r>
          </w:p>
        </w:tc>
        <w:tc>
          <w:tcPr>
            <w:tcW w:w="936" w:type="dxa"/>
            <w:tcBorders>
              <w:top w:val="nil"/>
              <w:left w:val="nil"/>
              <w:bottom w:val="nil"/>
              <w:right w:val="nil"/>
            </w:tcBorders>
          </w:tcPr>
          <w:p w:rsidR="0028027B" w:rsidRPr="00DC1EE4" w:rsidRDefault="0028027B" w:rsidP="00C03F9E">
            <w:pPr>
              <w:pStyle w:val="TableofFigures"/>
              <w:spacing w:before="20"/>
            </w:pPr>
            <w:r w:rsidRPr="00DC1EE4">
              <w:t xml:space="preserve"> (2 081.8)</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Grants and subsidies</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(8 748.0)</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(9 233.7)</w:t>
            </w:r>
          </w:p>
        </w:tc>
        <w:tc>
          <w:tcPr>
            <w:tcW w:w="900" w:type="dxa"/>
            <w:tcBorders>
              <w:top w:val="nil"/>
              <w:left w:val="nil"/>
              <w:bottom w:val="nil"/>
              <w:right w:val="nil"/>
            </w:tcBorders>
          </w:tcPr>
          <w:p w:rsidR="0028027B" w:rsidRPr="00DC1EE4" w:rsidRDefault="0028027B" w:rsidP="00C03F9E">
            <w:pPr>
              <w:pStyle w:val="TableofFigures"/>
              <w:spacing w:before="20"/>
            </w:pPr>
            <w:r w:rsidRPr="00DC1EE4">
              <w:t xml:space="preserve"> (9 503.0)</w:t>
            </w:r>
          </w:p>
        </w:tc>
        <w:tc>
          <w:tcPr>
            <w:tcW w:w="936" w:type="dxa"/>
            <w:tcBorders>
              <w:top w:val="nil"/>
              <w:left w:val="nil"/>
              <w:bottom w:val="nil"/>
              <w:right w:val="nil"/>
            </w:tcBorders>
          </w:tcPr>
          <w:p w:rsidR="0028027B" w:rsidRPr="00DC1EE4" w:rsidRDefault="0028027B" w:rsidP="00C03F9E">
            <w:pPr>
              <w:pStyle w:val="TableofFigures"/>
              <w:spacing w:before="20"/>
            </w:pPr>
            <w:r w:rsidRPr="00DC1EE4">
              <w:t xml:space="preserve"> (9 805.0)</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Goods and services</w:t>
            </w:r>
            <w:r w:rsidRPr="00DC1EE4">
              <w:rPr>
                <w:vertAlign w:val="superscript"/>
              </w:rPr>
              <w:t>(a)</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(18 055.5)</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(17 941.0)</w:t>
            </w:r>
          </w:p>
        </w:tc>
        <w:tc>
          <w:tcPr>
            <w:tcW w:w="900" w:type="dxa"/>
            <w:tcBorders>
              <w:top w:val="nil"/>
              <w:left w:val="nil"/>
              <w:bottom w:val="nil"/>
              <w:right w:val="nil"/>
            </w:tcBorders>
          </w:tcPr>
          <w:p w:rsidR="0028027B" w:rsidRPr="00DC1EE4" w:rsidRDefault="0028027B" w:rsidP="00C03F9E">
            <w:pPr>
              <w:pStyle w:val="TableofFigures"/>
              <w:spacing w:before="20"/>
            </w:pPr>
            <w:r w:rsidRPr="00DC1EE4">
              <w:t xml:space="preserve"> (18 540.7)</w:t>
            </w:r>
          </w:p>
        </w:tc>
        <w:tc>
          <w:tcPr>
            <w:tcW w:w="936" w:type="dxa"/>
            <w:tcBorders>
              <w:top w:val="nil"/>
              <w:left w:val="nil"/>
              <w:bottom w:val="nil"/>
              <w:right w:val="nil"/>
            </w:tcBorders>
          </w:tcPr>
          <w:p w:rsidR="0028027B" w:rsidRPr="00DC1EE4" w:rsidRDefault="0028027B" w:rsidP="00C03F9E">
            <w:pPr>
              <w:pStyle w:val="TableofFigures"/>
              <w:spacing w:before="20"/>
            </w:pPr>
            <w:r w:rsidRPr="00DC1EE4">
              <w:t xml:space="preserve"> (18 868.5)</w:t>
            </w:r>
          </w:p>
        </w:tc>
      </w:tr>
      <w:tr w:rsidR="0028027B" w:rsidRPr="00DC1EE4" w:rsidTr="00C03F9E">
        <w:trPr>
          <w:gridAfter w:val="1"/>
          <w:wAfter w:w="10" w:type="dxa"/>
        </w:trPr>
        <w:tc>
          <w:tcPr>
            <w:tcW w:w="5504" w:type="dxa"/>
            <w:tcBorders>
              <w:top w:val="nil"/>
              <w:left w:val="nil"/>
              <w:bottom w:val="single" w:sz="6" w:space="0" w:color="auto"/>
              <w:right w:val="nil"/>
            </w:tcBorders>
            <w:vAlign w:val="center"/>
          </w:tcPr>
          <w:p w:rsidR="0028027B" w:rsidRPr="00DC1EE4" w:rsidRDefault="0028027B" w:rsidP="00C03F9E">
            <w:pPr>
              <w:pStyle w:val="Tabletext"/>
              <w:spacing w:before="20"/>
            </w:pPr>
            <w:r w:rsidRPr="00DC1EE4">
              <w:t>Other payments</w:t>
            </w:r>
          </w:p>
        </w:tc>
        <w:tc>
          <w:tcPr>
            <w:tcW w:w="900" w:type="dxa"/>
            <w:tcBorders>
              <w:top w:val="nil"/>
              <w:left w:val="nil"/>
              <w:bottom w:val="single" w:sz="6" w:space="0" w:color="auto"/>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(660.5)</w:t>
            </w:r>
          </w:p>
        </w:tc>
        <w:tc>
          <w:tcPr>
            <w:tcW w:w="990" w:type="dxa"/>
            <w:tcBorders>
              <w:top w:val="nil"/>
              <w:left w:val="nil"/>
              <w:bottom w:val="nil"/>
              <w:right w:val="nil"/>
            </w:tcBorders>
          </w:tcPr>
          <w:p w:rsidR="0028027B" w:rsidRPr="00DC1EE4" w:rsidRDefault="0028027B" w:rsidP="00C03F9E">
            <w:pPr>
              <w:pStyle w:val="TableofFigures"/>
              <w:spacing w:before="20"/>
            </w:pPr>
            <w:r w:rsidRPr="00DC1EE4">
              <w:t>(690.0)</w:t>
            </w:r>
          </w:p>
        </w:tc>
        <w:tc>
          <w:tcPr>
            <w:tcW w:w="900" w:type="dxa"/>
            <w:tcBorders>
              <w:top w:val="nil"/>
              <w:left w:val="nil"/>
              <w:bottom w:val="nil"/>
              <w:right w:val="nil"/>
            </w:tcBorders>
          </w:tcPr>
          <w:p w:rsidR="0028027B" w:rsidRPr="00DC1EE4" w:rsidRDefault="0028027B" w:rsidP="00C03F9E">
            <w:pPr>
              <w:pStyle w:val="TableofFigures"/>
              <w:spacing w:before="20"/>
            </w:pPr>
            <w:r w:rsidRPr="00DC1EE4">
              <w:t>(721.0)</w:t>
            </w:r>
          </w:p>
        </w:tc>
        <w:tc>
          <w:tcPr>
            <w:tcW w:w="936" w:type="dxa"/>
            <w:tcBorders>
              <w:top w:val="nil"/>
              <w:left w:val="nil"/>
              <w:bottom w:val="nil"/>
              <w:right w:val="nil"/>
            </w:tcBorders>
          </w:tcPr>
          <w:p w:rsidR="0028027B" w:rsidRPr="00DC1EE4" w:rsidRDefault="0028027B" w:rsidP="00C03F9E">
            <w:pPr>
              <w:pStyle w:val="TableofFigures"/>
              <w:spacing w:before="20"/>
            </w:pPr>
            <w:r w:rsidRPr="00DC1EE4">
              <w:t>(749.1)</w:t>
            </w:r>
          </w:p>
        </w:tc>
      </w:tr>
      <w:tr w:rsidR="0028027B" w:rsidRPr="00DC1EE4" w:rsidTr="00C03F9E">
        <w:trPr>
          <w:gridAfter w:val="1"/>
          <w:wAfter w:w="10" w:type="dxa"/>
        </w:trPr>
        <w:tc>
          <w:tcPr>
            <w:tcW w:w="5504" w:type="dxa"/>
            <w:tcBorders>
              <w:top w:val="nil"/>
              <w:left w:val="nil"/>
              <w:bottom w:val="single" w:sz="6" w:space="0" w:color="auto"/>
              <w:right w:val="nil"/>
            </w:tcBorders>
            <w:vAlign w:val="center"/>
          </w:tcPr>
          <w:p w:rsidR="0028027B" w:rsidRPr="00DC1EE4" w:rsidRDefault="0028027B" w:rsidP="00C03F9E">
            <w:pPr>
              <w:pStyle w:val="Tabletext"/>
              <w:spacing w:before="20"/>
              <w:rPr>
                <w:b/>
              </w:rPr>
            </w:pPr>
            <w:r w:rsidRPr="00DC1EE4">
              <w:rPr>
                <w:b/>
              </w:rPr>
              <w:t>Total payments</w:t>
            </w:r>
          </w:p>
        </w:tc>
        <w:tc>
          <w:tcPr>
            <w:tcW w:w="900" w:type="dxa"/>
            <w:tcBorders>
              <w:top w:val="nil"/>
              <w:left w:val="nil"/>
              <w:bottom w:val="single" w:sz="6" w:space="0" w:color="auto"/>
              <w:right w:val="nil"/>
            </w:tcBorders>
          </w:tcPr>
          <w:p w:rsidR="0028027B" w:rsidRPr="00DC1EE4" w:rsidRDefault="005A4BB0" w:rsidP="00C03F9E">
            <w:pPr>
              <w:pStyle w:val="TableTextCentred"/>
              <w:spacing w:before="20"/>
              <w:rPr>
                <w:b/>
              </w:rPr>
            </w:pPr>
            <w:r>
              <w:rPr>
                <w:b/>
              </w:rPr>
              <w:t xml:space="preserve"> </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spacing w:before="20"/>
              <w:rPr>
                <w:b/>
              </w:rPr>
            </w:pPr>
            <w:r w:rsidRPr="00DC1EE4">
              <w:rPr>
                <w:b/>
              </w:rPr>
              <w:t xml:space="preserve"> (52 148.7)</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spacing w:before="20"/>
              <w:rPr>
                <w:b/>
              </w:rPr>
            </w:pPr>
            <w:r w:rsidRPr="00DC1EE4">
              <w:rPr>
                <w:b/>
              </w:rPr>
              <w:t xml:space="preserve"> (53 365.8)</w:t>
            </w:r>
          </w:p>
        </w:tc>
        <w:tc>
          <w:tcPr>
            <w:tcW w:w="900" w:type="dxa"/>
            <w:tcBorders>
              <w:top w:val="single" w:sz="6" w:space="0" w:color="auto"/>
              <w:left w:val="nil"/>
              <w:bottom w:val="single" w:sz="6" w:space="0" w:color="auto"/>
              <w:right w:val="nil"/>
            </w:tcBorders>
          </w:tcPr>
          <w:p w:rsidR="0028027B" w:rsidRPr="00DC1EE4" w:rsidRDefault="0028027B" w:rsidP="00C03F9E">
            <w:pPr>
              <w:pStyle w:val="TableofFigures"/>
              <w:spacing w:before="20"/>
              <w:rPr>
                <w:b/>
              </w:rPr>
            </w:pPr>
            <w:r w:rsidRPr="00DC1EE4">
              <w:rPr>
                <w:b/>
              </w:rPr>
              <w:t xml:space="preserve"> (54 674.4)</w:t>
            </w:r>
          </w:p>
        </w:tc>
        <w:tc>
          <w:tcPr>
            <w:tcW w:w="936" w:type="dxa"/>
            <w:tcBorders>
              <w:top w:val="single" w:sz="6" w:space="0" w:color="auto"/>
              <w:left w:val="nil"/>
              <w:bottom w:val="single" w:sz="6" w:space="0" w:color="auto"/>
              <w:right w:val="nil"/>
            </w:tcBorders>
          </w:tcPr>
          <w:p w:rsidR="0028027B" w:rsidRPr="00DC1EE4" w:rsidRDefault="0028027B" w:rsidP="00C03F9E">
            <w:pPr>
              <w:pStyle w:val="TableofFigures"/>
              <w:spacing w:before="20"/>
              <w:rPr>
                <w:b/>
              </w:rPr>
            </w:pPr>
            <w:r w:rsidRPr="00DC1EE4">
              <w:rPr>
                <w:b/>
              </w:rPr>
              <w:t xml:space="preserve"> (56 523.0)</w:t>
            </w:r>
          </w:p>
        </w:tc>
      </w:tr>
      <w:tr w:rsidR="0028027B" w:rsidRPr="00DC1EE4" w:rsidTr="00C03F9E">
        <w:trPr>
          <w:gridAfter w:val="1"/>
          <w:wAfter w:w="10" w:type="dxa"/>
        </w:trPr>
        <w:tc>
          <w:tcPr>
            <w:tcW w:w="5504" w:type="dxa"/>
            <w:tcBorders>
              <w:top w:val="single" w:sz="6" w:space="0" w:color="auto"/>
              <w:left w:val="nil"/>
              <w:bottom w:val="nil"/>
              <w:right w:val="nil"/>
            </w:tcBorders>
            <w:vAlign w:val="center"/>
          </w:tcPr>
          <w:p w:rsidR="0028027B" w:rsidRPr="00DC1EE4" w:rsidRDefault="0028027B" w:rsidP="00C03F9E">
            <w:pPr>
              <w:pStyle w:val="Tabletext"/>
              <w:spacing w:before="20"/>
              <w:rPr>
                <w:b/>
              </w:rPr>
            </w:pPr>
            <w:r w:rsidRPr="00DC1EE4">
              <w:rPr>
                <w:b/>
              </w:rPr>
              <w:t>Net cash flows from operating activities</w:t>
            </w:r>
          </w:p>
        </w:tc>
        <w:tc>
          <w:tcPr>
            <w:tcW w:w="900" w:type="dxa"/>
            <w:tcBorders>
              <w:top w:val="nil"/>
              <w:left w:val="nil"/>
              <w:bottom w:val="nil"/>
              <w:right w:val="nil"/>
            </w:tcBorders>
          </w:tcPr>
          <w:p w:rsidR="0028027B" w:rsidRPr="00DC1EE4" w:rsidRDefault="005A4BB0" w:rsidP="00C03F9E">
            <w:pPr>
              <w:pStyle w:val="TableTextCentred"/>
              <w:spacing w:before="20"/>
              <w:rPr>
                <w:b/>
              </w:rPr>
            </w:pPr>
            <w:r>
              <w:rPr>
                <w:b/>
              </w:rPr>
              <w:t xml:space="preserve"> </w:t>
            </w:r>
          </w:p>
        </w:tc>
        <w:tc>
          <w:tcPr>
            <w:tcW w:w="990" w:type="dxa"/>
            <w:tcBorders>
              <w:top w:val="nil"/>
              <w:left w:val="nil"/>
              <w:bottom w:val="nil"/>
              <w:right w:val="nil"/>
            </w:tcBorders>
          </w:tcPr>
          <w:p w:rsidR="0028027B" w:rsidRPr="00DC1EE4" w:rsidRDefault="0028027B" w:rsidP="00C03F9E">
            <w:pPr>
              <w:pStyle w:val="TableofFigures"/>
              <w:spacing w:before="20"/>
              <w:rPr>
                <w:b/>
              </w:rPr>
            </w:pPr>
            <w:r w:rsidRPr="00DC1EE4">
              <w:rPr>
                <w:rFonts w:eastAsiaTheme="minorEastAsia"/>
                <w:b/>
                <w:bCs/>
              </w:rPr>
              <w:t>3 754.9</w:t>
            </w:r>
          </w:p>
        </w:tc>
        <w:tc>
          <w:tcPr>
            <w:tcW w:w="990" w:type="dxa"/>
            <w:tcBorders>
              <w:top w:val="nil"/>
              <w:left w:val="nil"/>
              <w:bottom w:val="nil"/>
              <w:right w:val="nil"/>
            </w:tcBorders>
          </w:tcPr>
          <w:p w:rsidR="0028027B" w:rsidRPr="00DC1EE4" w:rsidRDefault="0028027B" w:rsidP="00C03F9E">
            <w:pPr>
              <w:pStyle w:val="TableofFigures"/>
              <w:spacing w:before="20"/>
              <w:rPr>
                <w:b/>
              </w:rPr>
            </w:pPr>
            <w:r w:rsidRPr="00DC1EE4">
              <w:rPr>
                <w:rFonts w:eastAsiaTheme="minorEastAsia"/>
                <w:b/>
                <w:bCs/>
              </w:rPr>
              <w:t>3 856.5</w:t>
            </w:r>
          </w:p>
        </w:tc>
        <w:tc>
          <w:tcPr>
            <w:tcW w:w="900" w:type="dxa"/>
            <w:tcBorders>
              <w:top w:val="nil"/>
              <w:left w:val="nil"/>
              <w:bottom w:val="nil"/>
              <w:right w:val="nil"/>
            </w:tcBorders>
          </w:tcPr>
          <w:p w:rsidR="0028027B" w:rsidRPr="00DC1EE4" w:rsidRDefault="0028027B" w:rsidP="00C03F9E">
            <w:pPr>
              <w:pStyle w:val="TableofFigures"/>
              <w:spacing w:before="20"/>
              <w:rPr>
                <w:b/>
              </w:rPr>
            </w:pPr>
            <w:r w:rsidRPr="00DC1EE4">
              <w:rPr>
                <w:rFonts w:eastAsiaTheme="minorEastAsia"/>
                <w:b/>
                <w:bCs/>
              </w:rPr>
              <w:t>4 570.4</w:t>
            </w:r>
          </w:p>
        </w:tc>
        <w:tc>
          <w:tcPr>
            <w:tcW w:w="936" w:type="dxa"/>
            <w:tcBorders>
              <w:top w:val="nil"/>
              <w:left w:val="nil"/>
              <w:bottom w:val="nil"/>
              <w:right w:val="nil"/>
            </w:tcBorders>
          </w:tcPr>
          <w:p w:rsidR="0028027B" w:rsidRPr="00DC1EE4" w:rsidRDefault="0028027B" w:rsidP="00C03F9E">
            <w:pPr>
              <w:pStyle w:val="TableofFigures"/>
              <w:spacing w:before="20"/>
              <w:rPr>
                <w:b/>
              </w:rPr>
            </w:pPr>
            <w:r w:rsidRPr="00DC1EE4">
              <w:rPr>
                <w:rFonts w:eastAsiaTheme="minorEastAsia"/>
                <w:b/>
                <w:bCs/>
              </w:rPr>
              <w:t>4 633.8</w:t>
            </w:r>
          </w:p>
        </w:tc>
      </w:tr>
      <w:tr w:rsidR="0028027B" w:rsidRPr="00DC1EE4" w:rsidTr="00C03F9E">
        <w:trPr>
          <w:gridAfter w:val="1"/>
          <w:wAfter w:w="10" w:type="dxa"/>
        </w:trPr>
        <w:tc>
          <w:tcPr>
            <w:tcW w:w="5504" w:type="dxa"/>
            <w:tcBorders>
              <w:top w:val="nil"/>
              <w:left w:val="nil"/>
              <w:bottom w:val="nil"/>
              <w:right w:val="nil"/>
            </w:tcBorders>
          </w:tcPr>
          <w:p w:rsidR="0028027B" w:rsidRPr="00DC1EE4" w:rsidRDefault="0028027B" w:rsidP="00C03F9E">
            <w:pPr>
              <w:pStyle w:val="Tabletext"/>
              <w:spacing w:before="20"/>
              <w:rPr>
                <w:b/>
              </w:rPr>
            </w:pPr>
            <w:r w:rsidRPr="00DC1EE4">
              <w:rPr>
                <w:b/>
              </w:rPr>
              <w:t>Cash flows from investing activities</w:t>
            </w:r>
          </w:p>
        </w:tc>
        <w:tc>
          <w:tcPr>
            <w:tcW w:w="900" w:type="dxa"/>
            <w:tcBorders>
              <w:top w:val="nil"/>
              <w:left w:val="nil"/>
              <w:bottom w:val="nil"/>
              <w:right w:val="nil"/>
            </w:tcBorders>
          </w:tcPr>
          <w:p w:rsidR="0028027B" w:rsidRPr="00DC1EE4" w:rsidRDefault="005A4BB0" w:rsidP="00C03F9E">
            <w:pPr>
              <w:pStyle w:val="TableTextCentred"/>
              <w:spacing w:before="20"/>
              <w:rPr>
                <w:b/>
              </w:rPr>
            </w:pPr>
            <w:r>
              <w:rPr>
                <w:b/>
              </w:rPr>
              <w:t xml:space="preserve"> </w:t>
            </w:r>
          </w:p>
        </w:tc>
        <w:tc>
          <w:tcPr>
            <w:tcW w:w="990"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c>
          <w:tcPr>
            <w:tcW w:w="990"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c>
          <w:tcPr>
            <w:tcW w:w="900"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c>
          <w:tcPr>
            <w:tcW w:w="936" w:type="dxa"/>
            <w:tcBorders>
              <w:top w:val="nil"/>
              <w:left w:val="nil"/>
              <w:bottom w:val="nil"/>
              <w:right w:val="nil"/>
            </w:tcBorders>
          </w:tcPr>
          <w:p w:rsidR="0028027B" w:rsidRPr="00DC1EE4" w:rsidRDefault="005A4BB0" w:rsidP="00C03F9E">
            <w:pPr>
              <w:pStyle w:val="TableofFigures"/>
              <w:spacing w:before="20"/>
              <w:rPr>
                <w:b/>
              </w:rPr>
            </w:pPr>
            <w:r>
              <w:rPr>
                <w:b/>
              </w:rPr>
              <w:t xml:space="preserve"> </w:t>
            </w:r>
          </w:p>
        </w:tc>
      </w:tr>
      <w:tr w:rsidR="0028027B" w:rsidRPr="00DC1EE4" w:rsidTr="00C03F9E">
        <w:trPr>
          <w:gridAfter w:val="1"/>
          <w:wAfter w:w="10" w:type="dxa"/>
        </w:trPr>
        <w:tc>
          <w:tcPr>
            <w:tcW w:w="5504" w:type="dxa"/>
            <w:tcBorders>
              <w:top w:val="nil"/>
              <w:left w:val="nil"/>
              <w:bottom w:val="nil"/>
              <w:right w:val="nil"/>
            </w:tcBorders>
          </w:tcPr>
          <w:p w:rsidR="0028027B" w:rsidRPr="00DC1EE4" w:rsidRDefault="0028027B" w:rsidP="00C03F9E">
            <w:pPr>
              <w:pStyle w:val="Tabletext"/>
              <w:spacing w:before="20"/>
            </w:pPr>
            <w:r w:rsidRPr="00DC1EE4">
              <w:t>Purchases of non</w:t>
            </w:r>
            <w:r w:rsidR="005A4BB0">
              <w:noBreakHyphen/>
            </w:r>
            <w:r w:rsidRPr="00DC1EE4">
              <w:t>financial assets</w:t>
            </w:r>
          </w:p>
        </w:tc>
        <w:tc>
          <w:tcPr>
            <w:tcW w:w="900" w:type="dxa"/>
            <w:tcBorders>
              <w:top w:val="nil"/>
              <w:left w:val="nil"/>
              <w:bottom w:val="nil"/>
              <w:right w:val="nil"/>
            </w:tcBorders>
          </w:tcPr>
          <w:p w:rsidR="0028027B" w:rsidRPr="00DC1EE4" w:rsidRDefault="0028027B" w:rsidP="00C03F9E">
            <w:pPr>
              <w:pStyle w:val="TableTextCentred"/>
              <w:spacing w:before="20"/>
            </w:pPr>
            <w:r w:rsidRPr="00DC1EE4">
              <w:t>20a, b</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(4 551.7)</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(6 166.9)</w:t>
            </w:r>
          </w:p>
        </w:tc>
        <w:tc>
          <w:tcPr>
            <w:tcW w:w="900" w:type="dxa"/>
            <w:tcBorders>
              <w:top w:val="nil"/>
              <w:left w:val="nil"/>
              <w:bottom w:val="nil"/>
              <w:right w:val="nil"/>
            </w:tcBorders>
          </w:tcPr>
          <w:p w:rsidR="0028027B" w:rsidRPr="00DC1EE4" w:rsidRDefault="0028027B" w:rsidP="00C03F9E">
            <w:pPr>
              <w:pStyle w:val="TableofFigures"/>
              <w:spacing w:before="20"/>
            </w:pPr>
            <w:r w:rsidRPr="00DC1EE4">
              <w:t xml:space="preserve"> (5 663.1)</w:t>
            </w:r>
          </w:p>
        </w:tc>
        <w:tc>
          <w:tcPr>
            <w:tcW w:w="936" w:type="dxa"/>
            <w:tcBorders>
              <w:top w:val="nil"/>
              <w:left w:val="nil"/>
              <w:bottom w:val="nil"/>
              <w:right w:val="nil"/>
            </w:tcBorders>
          </w:tcPr>
          <w:p w:rsidR="0028027B" w:rsidRPr="00DC1EE4" w:rsidRDefault="0028027B" w:rsidP="00C03F9E">
            <w:pPr>
              <w:pStyle w:val="TableofFigures"/>
              <w:spacing w:before="20"/>
            </w:pPr>
            <w:r w:rsidRPr="00DC1EE4">
              <w:t xml:space="preserve"> (5 194.3)</w:t>
            </w:r>
          </w:p>
        </w:tc>
      </w:tr>
      <w:tr w:rsidR="0028027B" w:rsidRPr="00DC1EE4" w:rsidTr="00C03F9E">
        <w:trPr>
          <w:gridAfter w:val="1"/>
          <w:wAfter w:w="10" w:type="dxa"/>
        </w:trPr>
        <w:tc>
          <w:tcPr>
            <w:tcW w:w="5504" w:type="dxa"/>
            <w:tcBorders>
              <w:top w:val="nil"/>
              <w:left w:val="nil"/>
              <w:bottom w:val="nil"/>
              <w:right w:val="nil"/>
            </w:tcBorders>
          </w:tcPr>
          <w:p w:rsidR="0028027B" w:rsidRPr="00DC1EE4" w:rsidRDefault="0028027B" w:rsidP="00C03F9E">
            <w:pPr>
              <w:pStyle w:val="Tabletext"/>
              <w:spacing w:before="20"/>
            </w:pPr>
            <w:r w:rsidRPr="00DC1EE4">
              <w:t>Sales of non</w:t>
            </w:r>
            <w:r w:rsidR="005A4BB0">
              <w:noBreakHyphen/>
            </w:r>
            <w:r w:rsidRPr="00DC1EE4">
              <w:t>financial assets</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single" w:sz="6" w:space="0" w:color="auto"/>
              <w:right w:val="nil"/>
            </w:tcBorders>
          </w:tcPr>
          <w:p w:rsidR="0028027B" w:rsidRPr="00DC1EE4" w:rsidRDefault="0028027B" w:rsidP="00C03F9E">
            <w:pPr>
              <w:pStyle w:val="TableofFigures"/>
              <w:spacing w:before="20"/>
            </w:pPr>
            <w:r w:rsidRPr="00DC1EE4">
              <w:t xml:space="preserve"> 322.0</w:t>
            </w:r>
          </w:p>
        </w:tc>
        <w:tc>
          <w:tcPr>
            <w:tcW w:w="990" w:type="dxa"/>
            <w:tcBorders>
              <w:top w:val="nil"/>
              <w:left w:val="nil"/>
              <w:bottom w:val="single" w:sz="6" w:space="0" w:color="auto"/>
              <w:right w:val="nil"/>
            </w:tcBorders>
          </w:tcPr>
          <w:p w:rsidR="0028027B" w:rsidRPr="00DC1EE4" w:rsidRDefault="0028027B" w:rsidP="00C03F9E">
            <w:pPr>
              <w:pStyle w:val="TableofFigures"/>
              <w:spacing w:before="20"/>
            </w:pPr>
            <w:r w:rsidRPr="00DC1EE4">
              <w:t xml:space="preserve"> 554.1</w:t>
            </w:r>
          </w:p>
        </w:tc>
        <w:tc>
          <w:tcPr>
            <w:tcW w:w="900" w:type="dxa"/>
            <w:tcBorders>
              <w:top w:val="nil"/>
              <w:left w:val="nil"/>
              <w:bottom w:val="single" w:sz="6" w:space="0" w:color="auto"/>
              <w:right w:val="nil"/>
            </w:tcBorders>
          </w:tcPr>
          <w:p w:rsidR="0028027B" w:rsidRPr="00DC1EE4" w:rsidRDefault="0028027B" w:rsidP="00C03F9E">
            <w:pPr>
              <w:pStyle w:val="TableofFigures"/>
              <w:spacing w:before="20"/>
            </w:pPr>
            <w:r w:rsidRPr="00DC1EE4">
              <w:t xml:space="preserve"> 489.9</w:t>
            </w:r>
          </w:p>
        </w:tc>
        <w:tc>
          <w:tcPr>
            <w:tcW w:w="936" w:type="dxa"/>
            <w:tcBorders>
              <w:top w:val="nil"/>
              <w:left w:val="nil"/>
              <w:bottom w:val="single" w:sz="6" w:space="0" w:color="auto"/>
              <w:right w:val="nil"/>
            </w:tcBorders>
          </w:tcPr>
          <w:p w:rsidR="0028027B" w:rsidRPr="00DC1EE4" w:rsidRDefault="0028027B" w:rsidP="00C03F9E">
            <w:pPr>
              <w:pStyle w:val="TableofFigures"/>
              <w:spacing w:before="20"/>
            </w:pPr>
            <w:r w:rsidRPr="00DC1EE4">
              <w:t xml:space="preserve"> 294.0</w:t>
            </w:r>
          </w:p>
        </w:tc>
      </w:tr>
      <w:tr w:rsidR="0028027B" w:rsidRPr="00DC1EE4" w:rsidTr="00C03F9E">
        <w:trPr>
          <w:gridAfter w:val="1"/>
          <w:wAfter w:w="10" w:type="dxa"/>
        </w:trPr>
        <w:tc>
          <w:tcPr>
            <w:tcW w:w="5504" w:type="dxa"/>
            <w:tcBorders>
              <w:top w:val="single" w:sz="6" w:space="0" w:color="auto"/>
              <w:left w:val="nil"/>
              <w:bottom w:val="nil"/>
              <w:right w:val="nil"/>
            </w:tcBorders>
          </w:tcPr>
          <w:p w:rsidR="0028027B" w:rsidRPr="00DC1EE4" w:rsidRDefault="0028027B" w:rsidP="00C03F9E">
            <w:pPr>
              <w:pStyle w:val="Tabletext"/>
              <w:spacing w:before="20"/>
            </w:pPr>
            <w:r w:rsidRPr="00DC1EE4">
              <w:t>Cash flows from investments in non</w:t>
            </w:r>
            <w:r w:rsidR="005A4BB0">
              <w:noBreakHyphen/>
            </w:r>
            <w:r w:rsidRPr="00DC1EE4">
              <w:t>financial assets</w:t>
            </w:r>
          </w:p>
        </w:tc>
        <w:tc>
          <w:tcPr>
            <w:tcW w:w="900" w:type="dxa"/>
            <w:tcBorders>
              <w:top w:val="single" w:sz="6" w:space="0" w:color="auto"/>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(4 229.7)</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(5 612.7)</w:t>
            </w:r>
          </w:p>
        </w:tc>
        <w:tc>
          <w:tcPr>
            <w:tcW w:w="900" w:type="dxa"/>
            <w:tcBorders>
              <w:top w:val="nil"/>
              <w:left w:val="nil"/>
              <w:bottom w:val="nil"/>
              <w:right w:val="nil"/>
            </w:tcBorders>
          </w:tcPr>
          <w:p w:rsidR="0028027B" w:rsidRPr="00DC1EE4" w:rsidRDefault="0028027B" w:rsidP="00C03F9E">
            <w:pPr>
              <w:pStyle w:val="TableofFigures"/>
              <w:spacing w:before="20"/>
            </w:pPr>
            <w:r w:rsidRPr="00DC1EE4">
              <w:t xml:space="preserve"> (5 173.2)</w:t>
            </w:r>
          </w:p>
        </w:tc>
        <w:tc>
          <w:tcPr>
            <w:tcW w:w="936" w:type="dxa"/>
            <w:tcBorders>
              <w:top w:val="nil"/>
              <w:left w:val="nil"/>
              <w:bottom w:val="nil"/>
              <w:right w:val="nil"/>
            </w:tcBorders>
          </w:tcPr>
          <w:p w:rsidR="0028027B" w:rsidRPr="00DC1EE4" w:rsidRDefault="0028027B" w:rsidP="00C03F9E">
            <w:pPr>
              <w:pStyle w:val="TableofFigures"/>
              <w:spacing w:before="20"/>
            </w:pPr>
            <w:r w:rsidRPr="00DC1EE4">
              <w:t xml:space="preserve"> (4 900.3)</w:t>
            </w:r>
          </w:p>
        </w:tc>
      </w:tr>
      <w:tr w:rsidR="0028027B" w:rsidRPr="00DC1EE4" w:rsidTr="00C03F9E">
        <w:trPr>
          <w:gridAfter w:val="1"/>
          <w:wAfter w:w="10" w:type="dxa"/>
        </w:trPr>
        <w:tc>
          <w:tcPr>
            <w:tcW w:w="5504" w:type="dxa"/>
            <w:tcBorders>
              <w:top w:val="nil"/>
              <w:left w:val="nil"/>
              <w:bottom w:val="single" w:sz="6" w:space="0" w:color="auto"/>
              <w:right w:val="nil"/>
            </w:tcBorders>
          </w:tcPr>
          <w:p w:rsidR="0028027B" w:rsidRPr="00DC1EE4" w:rsidRDefault="0028027B" w:rsidP="00C03F9E">
            <w:pPr>
              <w:pStyle w:val="Tabletext"/>
              <w:spacing w:before="20"/>
              <w:ind w:left="255" w:hanging="255"/>
            </w:pPr>
            <w:r w:rsidRPr="00DC1EE4">
              <w:t>Net cash flows from investments in financial assets for policy purposes</w:t>
            </w:r>
          </w:p>
        </w:tc>
        <w:tc>
          <w:tcPr>
            <w:tcW w:w="900" w:type="dxa"/>
            <w:tcBorders>
              <w:top w:val="nil"/>
              <w:left w:val="nil"/>
              <w:bottom w:val="single" w:sz="6" w:space="0" w:color="auto"/>
              <w:right w:val="nil"/>
            </w:tcBorders>
          </w:tcPr>
          <w:p w:rsidR="0028027B" w:rsidRPr="00DC1EE4" w:rsidRDefault="005A4BB0" w:rsidP="00C03F9E">
            <w:pPr>
              <w:pStyle w:val="TableTextCentred"/>
              <w:spacing w:before="20"/>
            </w:pPr>
            <w:r>
              <w:t xml:space="preserve"> </w:t>
            </w:r>
            <w:r w:rsidR="0028027B" w:rsidRPr="00DC1EE4">
              <w:t>1H</w:t>
            </w:r>
          </w:p>
        </w:tc>
        <w:tc>
          <w:tcPr>
            <w:tcW w:w="990" w:type="dxa"/>
            <w:tcBorders>
              <w:top w:val="nil"/>
              <w:left w:val="nil"/>
              <w:bottom w:val="single" w:sz="6" w:space="0" w:color="auto"/>
              <w:right w:val="nil"/>
            </w:tcBorders>
          </w:tcPr>
          <w:p w:rsidR="0028027B" w:rsidRPr="00DC1EE4" w:rsidRDefault="0028027B" w:rsidP="00C03F9E">
            <w:pPr>
              <w:pStyle w:val="TableofFigures"/>
              <w:spacing w:before="20"/>
            </w:pPr>
            <w:r w:rsidRPr="00DC1EE4">
              <w:t>6 510.8</w:t>
            </w:r>
          </w:p>
        </w:tc>
        <w:tc>
          <w:tcPr>
            <w:tcW w:w="990" w:type="dxa"/>
            <w:tcBorders>
              <w:top w:val="nil"/>
              <w:left w:val="nil"/>
              <w:bottom w:val="single" w:sz="6" w:space="0" w:color="auto"/>
              <w:right w:val="nil"/>
            </w:tcBorders>
          </w:tcPr>
          <w:p w:rsidR="0028027B" w:rsidRPr="00DC1EE4" w:rsidRDefault="0028027B" w:rsidP="00C03F9E">
            <w:pPr>
              <w:pStyle w:val="TableofFigures"/>
              <w:spacing w:before="20"/>
            </w:pPr>
            <w:r w:rsidRPr="00DC1EE4">
              <w:t>(150.5)</w:t>
            </w:r>
          </w:p>
        </w:tc>
        <w:tc>
          <w:tcPr>
            <w:tcW w:w="900" w:type="dxa"/>
            <w:tcBorders>
              <w:top w:val="nil"/>
              <w:left w:val="nil"/>
              <w:bottom w:val="single" w:sz="6" w:space="0" w:color="auto"/>
              <w:right w:val="nil"/>
            </w:tcBorders>
          </w:tcPr>
          <w:p w:rsidR="0028027B" w:rsidRPr="00DC1EE4" w:rsidRDefault="0028027B" w:rsidP="00C03F9E">
            <w:pPr>
              <w:pStyle w:val="TableofFigures"/>
              <w:spacing w:before="20"/>
            </w:pPr>
            <w:r w:rsidRPr="00DC1EE4">
              <w:t>1 110.8</w:t>
            </w:r>
          </w:p>
        </w:tc>
        <w:tc>
          <w:tcPr>
            <w:tcW w:w="936" w:type="dxa"/>
            <w:tcBorders>
              <w:top w:val="nil"/>
              <w:left w:val="nil"/>
              <w:bottom w:val="single" w:sz="6" w:space="0" w:color="auto"/>
              <w:right w:val="nil"/>
            </w:tcBorders>
          </w:tcPr>
          <w:p w:rsidR="0028027B" w:rsidRPr="00DC1EE4" w:rsidRDefault="0028027B" w:rsidP="00C03F9E">
            <w:pPr>
              <w:pStyle w:val="TableofFigures"/>
              <w:spacing w:before="20"/>
            </w:pPr>
            <w:r w:rsidRPr="00DC1EE4">
              <w:t>(69.3)</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rPr>
                <w:b/>
              </w:rPr>
            </w:pPr>
            <w:r w:rsidRPr="00DC1EE4">
              <w:rPr>
                <w:b/>
              </w:rPr>
              <w:t>Subtotal</w:t>
            </w:r>
          </w:p>
        </w:tc>
        <w:tc>
          <w:tcPr>
            <w:tcW w:w="900" w:type="dxa"/>
            <w:tcBorders>
              <w:top w:val="nil"/>
              <w:left w:val="nil"/>
              <w:bottom w:val="nil"/>
              <w:right w:val="nil"/>
            </w:tcBorders>
          </w:tcPr>
          <w:p w:rsidR="0028027B" w:rsidRPr="00DC1EE4" w:rsidRDefault="005A4BB0" w:rsidP="00C03F9E">
            <w:pPr>
              <w:pStyle w:val="TableTextCentred"/>
              <w:spacing w:before="20"/>
              <w:rPr>
                <w:b/>
              </w:rPr>
            </w:pPr>
            <w:r>
              <w:rPr>
                <w:b/>
              </w:rPr>
              <w:t xml:space="preserve"> </w:t>
            </w:r>
          </w:p>
        </w:tc>
        <w:tc>
          <w:tcPr>
            <w:tcW w:w="990" w:type="dxa"/>
            <w:tcBorders>
              <w:top w:val="nil"/>
              <w:left w:val="nil"/>
              <w:bottom w:val="nil"/>
              <w:right w:val="nil"/>
            </w:tcBorders>
          </w:tcPr>
          <w:p w:rsidR="0028027B" w:rsidRPr="00DC1EE4" w:rsidRDefault="0028027B" w:rsidP="00C03F9E">
            <w:pPr>
              <w:pStyle w:val="TableofFigures"/>
              <w:spacing w:before="20"/>
              <w:rPr>
                <w:b/>
              </w:rPr>
            </w:pPr>
            <w:r w:rsidRPr="00DC1EE4">
              <w:rPr>
                <w:b/>
              </w:rPr>
              <w:t>2 281.1</w:t>
            </w:r>
          </w:p>
        </w:tc>
        <w:tc>
          <w:tcPr>
            <w:tcW w:w="990" w:type="dxa"/>
            <w:tcBorders>
              <w:top w:val="nil"/>
              <w:left w:val="nil"/>
              <w:bottom w:val="nil"/>
              <w:right w:val="nil"/>
            </w:tcBorders>
          </w:tcPr>
          <w:p w:rsidR="0028027B" w:rsidRPr="00DC1EE4" w:rsidRDefault="0028027B" w:rsidP="00C03F9E">
            <w:pPr>
              <w:pStyle w:val="TableofFigures"/>
              <w:spacing w:before="20"/>
              <w:rPr>
                <w:b/>
              </w:rPr>
            </w:pPr>
            <w:r w:rsidRPr="00DC1EE4">
              <w:rPr>
                <w:b/>
              </w:rPr>
              <w:t xml:space="preserve"> (5 763.2)</w:t>
            </w:r>
          </w:p>
        </w:tc>
        <w:tc>
          <w:tcPr>
            <w:tcW w:w="900" w:type="dxa"/>
            <w:tcBorders>
              <w:top w:val="nil"/>
              <w:left w:val="nil"/>
              <w:bottom w:val="nil"/>
              <w:right w:val="nil"/>
            </w:tcBorders>
          </w:tcPr>
          <w:p w:rsidR="0028027B" w:rsidRPr="00DC1EE4" w:rsidRDefault="0028027B" w:rsidP="00C03F9E">
            <w:pPr>
              <w:pStyle w:val="TableofFigures"/>
              <w:spacing w:before="20"/>
              <w:rPr>
                <w:b/>
              </w:rPr>
            </w:pPr>
            <w:r w:rsidRPr="00DC1EE4">
              <w:rPr>
                <w:b/>
              </w:rPr>
              <w:t xml:space="preserve"> (4 062.4)</w:t>
            </w:r>
          </w:p>
        </w:tc>
        <w:tc>
          <w:tcPr>
            <w:tcW w:w="936" w:type="dxa"/>
            <w:tcBorders>
              <w:top w:val="nil"/>
              <w:left w:val="nil"/>
              <w:bottom w:val="nil"/>
              <w:right w:val="nil"/>
            </w:tcBorders>
          </w:tcPr>
          <w:p w:rsidR="0028027B" w:rsidRPr="00DC1EE4" w:rsidRDefault="0028027B" w:rsidP="00C03F9E">
            <w:pPr>
              <w:pStyle w:val="TableofFigures"/>
              <w:spacing w:before="20"/>
              <w:rPr>
                <w:b/>
              </w:rPr>
            </w:pPr>
            <w:r w:rsidRPr="00DC1EE4">
              <w:rPr>
                <w:b/>
              </w:rPr>
              <w:t xml:space="preserve"> (4 969.5)</w:t>
            </w:r>
          </w:p>
        </w:tc>
      </w:tr>
      <w:tr w:rsidR="0028027B" w:rsidRPr="00DC1EE4" w:rsidTr="00C03F9E">
        <w:trPr>
          <w:gridAfter w:val="1"/>
          <w:wAfter w:w="10" w:type="dxa"/>
        </w:trPr>
        <w:tc>
          <w:tcPr>
            <w:tcW w:w="5504" w:type="dxa"/>
            <w:tcBorders>
              <w:top w:val="nil"/>
              <w:left w:val="nil"/>
              <w:bottom w:val="nil"/>
              <w:right w:val="nil"/>
            </w:tcBorders>
          </w:tcPr>
          <w:p w:rsidR="0028027B" w:rsidRPr="00DC1EE4" w:rsidRDefault="0028027B" w:rsidP="00C03F9E">
            <w:pPr>
              <w:pStyle w:val="Tabletext"/>
              <w:spacing w:before="20"/>
              <w:ind w:left="255" w:hanging="255"/>
            </w:pPr>
            <w:r w:rsidRPr="00DC1EE4">
              <w:t>Net cash flows from investments in financial assets for liquidity management purposes</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single" w:sz="6" w:space="0" w:color="auto"/>
              <w:right w:val="nil"/>
            </w:tcBorders>
          </w:tcPr>
          <w:p w:rsidR="0028027B" w:rsidRPr="00DC1EE4" w:rsidRDefault="0028027B" w:rsidP="00C03F9E">
            <w:pPr>
              <w:pStyle w:val="TableofFigures"/>
              <w:spacing w:before="20"/>
            </w:pPr>
            <w:r w:rsidRPr="00DC1EE4">
              <w:t>(82.6)</w:t>
            </w:r>
          </w:p>
        </w:tc>
        <w:tc>
          <w:tcPr>
            <w:tcW w:w="990" w:type="dxa"/>
            <w:tcBorders>
              <w:top w:val="nil"/>
              <w:left w:val="nil"/>
              <w:bottom w:val="single" w:sz="6" w:space="0" w:color="auto"/>
              <w:right w:val="nil"/>
            </w:tcBorders>
          </w:tcPr>
          <w:p w:rsidR="0028027B" w:rsidRPr="00DC1EE4" w:rsidRDefault="0028027B" w:rsidP="00C03F9E">
            <w:pPr>
              <w:pStyle w:val="TableofFigures"/>
              <w:spacing w:before="20"/>
            </w:pPr>
            <w:r w:rsidRPr="00DC1EE4">
              <w:t>(124.6)</w:t>
            </w:r>
          </w:p>
        </w:tc>
        <w:tc>
          <w:tcPr>
            <w:tcW w:w="900" w:type="dxa"/>
            <w:tcBorders>
              <w:top w:val="nil"/>
              <w:left w:val="nil"/>
              <w:bottom w:val="single" w:sz="6" w:space="0" w:color="auto"/>
              <w:right w:val="nil"/>
            </w:tcBorders>
          </w:tcPr>
          <w:p w:rsidR="0028027B" w:rsidRPr="00DC1EE4" w:rsidRDefault="0028027B" w:rsidP="00C03F9E">
            <w:pPr>
              <w:pStyle w:val="TableofFigures"/>
              <w:spacing w:before="20"/>
            </w:pPr>
            <w:r w:rsidRPr="00DC1EE4">
              <w:t>(129.1)</w:t>
            </w:r>
          </w:p>
        </w:tc>
        <w:tc>
          <w:tcPr>
            <w:tcW w:w="936" w:type="dxa"/>
            <w:tcBorders>
              <w:top w:val="nil"/>
              <w:left w:val="nil"/>
              <w:bottom w:val="single" w:sz="6" w:space="0" w:color="auto"/>
              <w:right w:val="nil"/>
            </w:tcBorders>
          </w:tcPr>
          <w:p w:rsidR="0028027B" w:rsidRPr="00DC1EE4" w:rsidRDefault="0028027B" w:rsidP="00C03F9E">
            <w:pPr>
              <w:pStyle w:val="TableofFigures"/>
              <w:spacing w:before="20"/>
            </w:pPr>
            <w:r w:rsidRPr="00DC1EE4">
              <w:t>(128.7)</w:t>
            </w:r>
          </w:p>
        </w:tc>
      </w:tr>
      <w:tr w:rsidR="0028027B" w:rsidRPr="00DC1EE4" w:rsidTr="00C03F9E">
        <w:trPr>
          <w:gridAfter w:val="1"/>
          <w:wAfter w:w="10" w:type="dxa"/>
        </w:trPr>
        <w:tc>
          <w:tcPr>
            <w:tcW w:w="5504" w:type="dxa"/>
            <w:tcBorders>
              <w:top w:val="single" w:sz="6" w:space="0" w:color="auto"/>
              <w:left w:val="nil"/>
              <w:bottom w:val="nil"/>
              <w:right w:val="nil"/>
            </w:tcBorders>
            <w:vAlign w:val="center"/>
          </w:tcPr>
          <w:p w:rsidR="0028027B" w:rsidRPr="00DC1EE4" w:rsidRDefault="0028027B" w:rsidP="00C03F9E">
            <w:pPr>
              <w:pStyle w:val="Tabletext"/>
              <w:spacing w:before="20"/>
              <w:rPr>
                <w:b/>
              </w:rPr>
            </w:pPr>
            <w:r w:rsidRPr="00DC1EE4">
              <w:rPr>
                <w:b/>
              </w:rPr>
              <w:t>Net cash flows from investing activities</w:t>
            </w:r>
          </w:p>
        </w:tc>
        <w:tc>
          <w:tcPr>
            <w:tcW w:w="900" w:type="dxa"/>
            <w:tcBorders>
              <w:top w:val="single" w:sz="6" w:space="0" w:color="auto"/>
              <w:left w:val="nil"/>
              <w:bottom w:val="nil"/>
              <w:right w:val="nil"/>
            </w:tcBorders>
          </w:tcPr>
          <w:p w:rsidR="0028027B" w:rsidRPr="00DC1EE4" w:rsidRDefault="005A4BB0" w:rsidP="00C03F9E">
            <w:pPr>
              <w:pStyle w:val="TableTextCentred"/>
              <w:spacing w:before="20"/>
              <w:rPr>
                <w:b/>
              </w:rPr>
            </w:pPr>
            <w:r>
              <w:rPr>
                <w:b/>
              </w:rPr>
              <w:t xml:space="preserve"> </w:t>
            </w:r>
          </w:p>
        </w:tc>
        <w:tc>
          <w:tcPr>
            <w:tcW w:w="990" w:type="dxa"/>
            <w:tcBorders>
              <w:top w:val="nil"/>
              <w:left w:val="nil"/>
              <w:bottom w:val="nil"/>
              <w:right w:val="nil"/>
            </w:tcBorders>
          </w:tcPr>
          <w:p w:rsidR="0028027B" w:rsidRPr="00DC1EE4" w:rsidRDefault="0028027B" w:rsidP="00C03F9E">
            <w:pPr>
              <w:pStyle w:val="TableofFigures"/>
              <w:spacing w:before="20"/>
              <w:rPr>
                <w:b/>
              </w:rPr>
            </w:pPr>
            <w:r w:rsidRPr="00DC1EE4">
              <w:rPr>
                <w:b/>
              </w:rPr>
              <w:t>2 198.5</w:t>
            </w:r>
          </w:p>
        </w:tc>
        <w:tc>
          <w:tcPr>
            <w:tcW w:w="990" w:type="dxa"/>
            <w:tcBorders>
              <w:top w:val="nil"/>
              <w:left w:val="nil"/>
              <w:bottom w:val="nil"/>
              <w:right w:val="nil"/>
            </w:tcBorders>
          </w:tcPr>
          <w:p w:rsidR="0028027B" w:rsidRPr="00DC1EE4" w:rsidRDefault="0028027B" w:rsidP="00C03F9E">
            <w:pPr>
              <w:pStyle w:val="TableofFigures"/>
              <w:spacing w:before="20"/>
              <w:rPr>
                <w:b/>
              </w:rPr>
            </w:pPr>
            <w:r w:rsidRPr="00DC1EE4">
              <w:rPr>
                <w:b/>
              </w:rPr>
              <w:t xml:space="preserve"> (5 887.8)</w:t>
            </w:r>
          </w:p>
        </w:tc>
        <w:tc>
          <w:tcPr>
            <w:tcW w:w="900" w:type="dxa"/>
            <w:tcBorders>
              <w:top w:val="nil"/>
              <w:left w:val="nil"/>
              <w:bottom w:val="nil"/>
              <w:right w:val="nil"/>
            </w:tcBorders>
          </w:tcPr>
          <w:p w:rsidR="0028027B" w:rsidRPr="00DC1EE4" w:rsidRDefault="0028027B" w:rsidP="00C03F9E">
            <w:pPr>
              <w:pStyle w:val="TableofFigures"/>
              <w:spacing w:before="20"/>
              <w:rPr>
                <w:b/>
              </w:rPr>
            </w:pPr>
            <w:r w:rsidRPr="00DC1EE4">
              <w:rPr>
                <w:b/>
              </w:rPr>
              <w:t xml:space="preserve"> (4 191.5)</w:t>
            </w:r>
          </w:p>
        </w:tc>
        <w:tc>
          <w:tcPr>
            <w:tcW w:w="936" w:type="dxa"/>
            <w:tcBorders>
              <w:top w:val="nil"/>
              <w:left w:val="nil"/>
              <w:bottom w:val="nil"/>
              <w:right w:val="nil"/>
            </w:tcBorders>
          </w:tcPr>
          <w:p w:rsidR="0028027B" w:rsidRPr="00DC1EE4" w:rsidRDefault="0028027B" w:rsidP="00C03F9E">
            <w:pPr>
              <w:pStyle w:val="TableofFigures"/>
              <w:spacing w:before="20"/>
              <w:rPr>
                <w:b/>
              </w:rPr>
            </w:pPr>
            <w:r w:rsidRPr="00DC1EE4">
              <w:rPr>
                <w:b/>
              </w:rPr>
              <w:t xml:space="preserve"> (5 098.2)</w:t>
            </w:r>
          </w:p>
        </w:tc>
      </w:tr>
      <w:tr w:rsidR="0028027B" w:rsidRPr="00DC1EE4" w:rsidTr="00C03F9E">
        <w:tc>
          <w:tcPr>
            <w:tcW w:w="5504" w:type="dxa"/>
            <w:tcBorders>
              <w:top w:val="nil"/>
              <w:left w:val="nil"/>
              <w:bottom w:val="nil"/>
              <w:right w:val="nil"/>
            </w:tcBorders>
          </w:tcPr>
          <w:p w:rsidR="0028027B" w:rsidRPr="00DC1EE4" w:rsidRDefault="0028027B" w:rsidP="00C03F9E">
            <w:pPr>
              <w:pStyle w:val="Tabletext"/>
              <w:spacing w:before="20"/>
              <w:rPr>
                <w:b/>
              </w:rPr>
            </w:pPr>
            <w:r w:rsidRPr="00DC1EE4">
              <w:rPr>
                <w:b/>
              </w:rPr>
              <w:t>Cash flows from financing activities</w:t>
            </w:r>
          </w:p>
        </w:tc>
        <w:tc>
          <w:tcPr>
            <w:tcW w:w="900" w:type="dxa"/>
            <w:tcBorders>
              <w:top w:val="nil"/>
              <w:left w:val="nil"/>
              <w:bottom w:val="nil"/>
              <w:right w:val="nil"/>
            </w:tcBorders>
          </w:tcPr>
          <w:p w:rsidR="0028027B" w:rsidRPr="00DC1EE4" w:rsidRDefault="005A4BB0" w:rsidP="00C03F9E">
            <w:pPr>
              <w:pStyle w:val="TableTextCentred"/>
              <w:spacing w:before="20"/>
              <w:rPr>
                <w:b/>
              </w:rPr>
            </w:pPr>
            <w:r>
              <w:rPr>
                <w:b/>
              </w:rPr>
              <w:t xml:space="preserve"> </w:t>
            </w:r>
          </w:p>
        </w:tc>
        <w:tc>
          <w:tcPr>
            <w:tcW w:w="990" w:type="dxa"/>
            <w:tcBorders>
              <w:top w:val="nil"/>
              <w:left w:val="nil"/>
              <w:bottom w:val="nil"/>
              <w:right w:val="nil"/>
            </w:tcBorders>
          </w:tcPr>
          <w:p w:rsidR="0028027B" w:rsidRPr="00DC1EE4" w:rsidRDefault="0028027B" w:rsidP="00C03F9E">
            <w:pPr>
              <w:pStyle w:val="TableofFigures"/>
              <w:spacing w:before="20"/>
              <w:rPr>
                <w:b/>
              </w:rPr>
            </w:pPr>
          </w:p>
        </w:tc>
        <w:tc>
          <w:tcPr>
            <w:tcW w:w="990" w:type="dxa"/>
            <w:tcBorders>
              <w:top w:val="nil"/>
              <w:left w:val="nil"/>
              <w:bottom w:val="nil"/>
              <w:right w:val="nil"/>
            </w:tcBorders>
          </w:tcPr>
          <w:p w:rsidR="0028027B" w:rsidRPr="00DC1EE4" w:rsidRDefault="0028027B" w:rsidP="00C03F9E">
            <w:pPr>
              <w:pStyle w:val="TableofFigures"/>
              <w:spacing w:before="20"/>
              <w:rPr>
                <w:b/>
              </w:rPr>
            </w:pPr>
          </w:p>
        </w:tc>
        <w:tc>
          <w:tcPr>
            <w:tcW w:w="900" w:type="dxa"/>
            <w:tcBorders>
              <w:top w:val="nil"/>
              <w:left w:val="nil"/>
              <w:bottom w:val="nil"/>
              <w:right w:val="nil"/>
            </w:tcBorders>
          </w:tcPr>
          <w:p w:rsidR="0028027B" w:rsidRPr="00DC1EE4" w:rsidRDefault="0028027B" w:rsidP="00C03F9E">
            <w:pPr>
              <w:pStyle w:val="TableofFigures"/>
              <w:spacing w:before="20"/>
              <w:rPr>
                <w:b/>
              </w:rPr>
            </w:pPr>
          </w:p>
        </w:tc>
        <w:tc>
          <w:tcPr>
            <w:tcW w:w="946" w:type="dxa"/>
            <w:gridSpan w:val="2"/>
            <w:tcBorders>
              <w:top w:val="nil"/>
              <w:left w:val="nil"/>
              <w:bottom w:val="nil"/>
              <w:right w:val="nil"/>
            </w:tcBorders>
          </w:tcPr>
          <w:p w:rsidR="0028027B" w:rsidRPr="00DC1EE4" w:rsidRDefault="005A4BB0" w:rsidP="00C03F9E">
            <w:pPr>
              <w:pStyle w:val="TableofFigures"/>
              <w:spacing w:before="20"/>
              <w:rPr>
                <w:b/>
              </w:rPr>
            </w:pPr>
            <w:r>
              <w:rPr>
                <w:b/>
              </w:rPr>
              <w:t xml:space="preserve"> </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Net borrowings</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 xml:space="preserve"> (5 755.7)</w:t>
            </w:r>
          </w:p>
        </w:tc>
        <w:tc>
          <w:tcPr>
            <w:tcW w:w="990" w:type="dxa"/>
            <w:tcBorders>
              <w:top w:val="nil"/>
              <w:left w:val="nil"/>
              <w:bottom w:val="nil"/>
              <w:right w:val="nil"/>
            </w:tcBorders>
          </w:tcPr>
          <w:p w:rsidR="0028027B" w:rsidRPr="00DC1EE4" w:rsidRDefault="0028027B" w:rsidP="00C03F9E">
            <w:pPr>
              <w:pStyle w:val="TableofFigures"/>
              <w:spacing w:before="20"/>
            </w:pPr>
            <w:r w:rsidRPr="00DC1EE4">
              <w:t>2 350.1</w:t>
            </w:r>
          </w:p>
        </w:tc>
        <w:tc>
          <w:tcPr>
            <w:tcW w:w="900" w:type="dxa"/>
            <w:tcBorders>
              <w:top w:val="nil"/>
              <w:left w:val="nil"/>
              <w:bottom w:val="nil"/>
              <w:right w:val="nil"/>
            </w:tcBorders>
          </w:tcPr>
          <w:p w:rsidR="0028027B" w:rsidRPr="00DC1EE4" w:rsidRDefault="0028027B" w:rsidP="00C03F9E">
            <w:pPr>
              <w:pStyle w:val="TableofFigures"/>
              <w:spacing w:before="20"/>
            </w:pPr>
            <w:r w:rsidRPr="00DC1EE4">
              <w:t>(13.6)</w:t>
            </w:r>
          </w:p>
        </w:tc>
        <w:tc>
          <w:tcPr>
            <w:tcW w:w="936" w:type="dxa"/>
            <w:tcBorders>
              <w:top w:val="nil"/>
              <w:left w:val="nil"/>
              <w:bottom w:val="nil"/>
              <w:right w:val="nil"/>
            </w:tcBorders>
          </w:tcPr>
          <w:p w:rsidR="0028027B" w:rsidRPr="00DC1EE4" w:rsidRDefault="0028027B" w:rsidP="00C03F9E">
            <w:pPr>
              <w:pStyle w:val="TableofFigures"/>
              <w:spacing w:before="20"/>
            </w:pPr>
            <w:r w:rsidRPr="00DC1EE4">
              <w:t xml:space="preserve"> 852.0</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Deposits received (net)</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(0.1)</w:t>
            </w:r>
          </w:p>
        </w:tc>
        <w:tc>
          <w:tcPr>
            <w:tcW w:w="990" w:type="dxa"/>
            <w:tcBorders>
              <w:top w:val="nil"/>
              <w:left w:val="nil"/>
              <w:bottom w:val="nil"/>
              <w:right w:val="nil"/>
            </w:tcBorders>
          </w:tcPr>
          <w:p w:rsidR="0028027B" w:rsidRPr="00DC1EE4" w:rsidRDefault="0028027B" w:rsidP="00C03F9E">
            <w:pPr>
              <w:pStyle w:val="TableofFigures"/>
              <w:spacing w:before="20"/>
            </w:pPr>
            <w:r w:rsidRPr="00DC1EE4">
              <w:t>(0.1)</w:t>
            </w:r>
          </w:p>
        </w:tc>
        <w:tc>
          <w:tcPr>
            <w:tcW w:w="900" w:type="dxa"/>
            <w:tcBorders>
              <w:top w:val="nil"/>
              <w:left w:val="nil"/>
              <w:bottom w:val="nil"/>
              <w:right w:val="nil"/>
            </w:tcBorders>
          </w:tcPr>
          <w:p w:rsidR="0028027B" w:rsidRPr="00DC1EE4" w:rsidRDefault="0028027B" w:rsidP="00C03F9E">
            <w:pPr>
              <w:pStyle w:val="TableofFigures"/>
              <w:spacing w:before="20"/>
            </w:pPr>
            <w:r w:rsidRPr="00DC1EE4">
              <w:t>(0.1)</w:t>
            </w:r>
          </w:p>
        </w:tc>
        <w:tc>
          <w:tcPr>
            <w:tcW w:w="936" w:type="dxa"/>
            <w:tcBorders>
              <w:top w:val="nil"/>
              <w:left w:val="nil"/>
              <w:bottom w:val="nil"/>
              <w:right w:val="nil"/>
            </w:tcBorders>
          </w:tcPr>
          <w:p w:rsidR="0028027B" w:rsidRPr="00DC1EE4" w:rsidRDefault="0028027B" w:rsidP="00C03F9E">
            <w:pPr>
              <w:pStyle w:val="TableofFigures"/>
              <w:spacing w:before="20"/>
            </w:pPr>
            <w:r w:rsidRPr="00DC1EE4">
              <w:t>(0.1)</w:t>
            </w:r>
          </w:p>
        </w:tc>
      </w:tr>
      <w:tr w:rsidR="0028027B" w:rsidRPr="00DC1EE4" w:rsidTr="00C03F9E">
        <w:trPr>
          <w:gridAfter w:val="1"/>
          <w:wAfter w:w="10" w:type="dxa"/>
        </w:trPr>
        <w:tc>
          <w:tcPr>
            <w:tcW w:w="5504" w:type="dxa"/>
            <w:tcBorders>
              <w:top w:val="single" w:sz="6" w:space="0" w:color="auto"/>
              <w:left w:val="nil"/>
              <w:bottom w:val="single" w:sz="6" w:space="0" w:color="auto"/>
              <w:right w:val="nil"/>
            </w:tcBorders>
            <w:vAlign w:val="center"/>
          </w:tcPr>
          <w:p w:rsidR="0028027B" w:rsidRPr="00DC1EE4" w:rsidRDefault="0028027B" w:rsidP="00C03F9E">
            <w:pPr>
              <w:pStyle w:val="Tabletext"/>
              <w:spacing w:before="20"/>
              <w:rPr>
                <w:b/>
              </w:rPr>
            </w:pPr>
            <w:r w:rsidRPr="00DC1EE4">
              <w:rPr>
                <w:b/>
              </w:rPr>
              <w:t>Net cash flows from financing activities</w:t>
            </w:r>
          </w:p>
        </w:tc>
        <w:tc>
          <w:tcPr>
            <w:tcW w:w="900" w:type="dxa"/>
            <w:tcBorders>
              <w:top w:val="single" w:sz="6" w:space="0" w:color="auto"/>
              <w:left w:val="nil"/>
              <w:bottom w:val="single" w:sz="6" w:space="0" w:color="auto"/>
              <w:right w:val="nil"/>
            </w:tcBorders>
            <w:vAlign w:val="center"/>
          </w:tcPr>
          <w:p w:rsidR="0028027B" w:rsidRPr="00DC1EE4" w:rsidRDefault="005A4BB0" w:rsidP="00C03F9E">
            <w:pPr>
              <w:pStyle w:val="TableTextCentred"/>
              <w:spacing w:before="20"/>
              <w:rPr>
                <w:b/>
              </w:rPr>
            </w:pPr>
            <w:r>
              <w:rPr>
                <w:b/>
              </w:rPr>
              <w:t xml:space="preserve"> </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spacing w:before="20"/>
              <w:rPr>
                <w:b/>
              </w:rPr>
            </w:pPr>
            <w:r w:rsidRPr="00DC1EE4">
              <w:rPr>
                <w:b/>
              </w:rPr>
              <w:t xml:space="preserve"> (5 755.8)</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spacing w:before="20"/>
              <w:rPr>
                <w:b/>
              </w:rPr>
            </w:pPr>
            <w:r w:rsidRPr="00DC1EE4">
              <w:rPr>
                <w:b/>
              </w:rPr>
              <w:t>2 350.0</w:t>
            </w:r>
          </w:p>
        </w:tc>
        <w:tc>
          <w:tcPr>
            <w:tcW w:w="900" w:type="dxa"/>
            <w:tcBorders>
              <w:top w:val="single" w:sz="6" w:space="0" w:color="auto"/>
              <w:left w:val="nil"/>
              <w:bottom w:val="single" w:sz="6" w:space="0" w:color="auto"/>
              <w:right w:val="nil"/>
            </w:tcBorders>
          </w:tcPr>
          <w:p w:rsidR="0028027B" w:rsidRPr="00DC1EE4" w:rsidRDefault="0028027B" w:rsidP="00C03F9E">
            <w:pPr>
              <w:pStyle w:val="TableofFigures"/>
              <w:spacing w:before="20"/>
              <w:rPr>
                <w:b/>
              </w:rPr>
            </w:pPr>
            <w:r w:rsidRPr="00DC1EE4">
              <w:rPr>
                <w:b/>
              </w:rPr>
              <w:t>(13.6)</w:t>
            </w:r>
          </w:p>
        </w:tc>
        <w:tc>
          <w:tcPr>
            <w:tcW w:w="936" w:type="dxa"/>
            <w:tcBorders>
              <w:top w:val="single" w:sz="6" w:space="0" w:color="auto"/>
              <w:left w:val="nil"/>
              <w:bottom w:val="single" w:sz="6" w:space="0" w:color="auto"/>
              <w:right w:val="nil"/>
            </w:tcBorders>
          </w:tcPr>
          <w:p w:rsidR="0028027B" w:rsidRPr="00DC1EE4" w:rsidRDefault="0028027B" w:rsidP="00C03F9E">
            <w:pPr>
              <w:pStyle w:val="TableofFigures"/>
              <w:spacing w:before="20"/>
              <w:rPr>
                <w:b/>
              </w:rPr>
            </w:pPr>
            <w:r w:rsidRPr="00DC1EE4">
              <w:rPr>
                <w:b/>
              </w:rPr>
              <w:t xml:space="preserve"> 851.9</w:t>
            </w:r>
          </w:p>
        </w:tc>
      </w:tr>
      <w:tr w:rsidR="0028027B" w:rsidRPr="00DC1EE4" w:rsidTr="00C03F9E">
        <w:trPr>
          <w:gridAfter w:val="1"/>
          <w:wAfter w:w="10" w:type="dxa"/>
        </w:trPr>
        <w:tc>
          <w:tcPr>
            <w:tcW w:w="5504" w:type="dxa"/>
            <w:tcBorders>
              <w:top w:val="nil"/>
              <w:left w:val="nil"/>
              <w:bottom w:val="nil"/>
              <w:right w:val="nil"/>
            </w:tcBorders>
          </w:tcPr>
          <w:p w:rsidR="0028027B" w:rsidRPr="00DC1EE4" w:rsidRDefault="0028027B" w:rsidP="00C03F9E">
            <w:pPr>
              <w:pStyle w:val="Tabletext"/>
              <w:spacing w:before="20"/>
              <w:rPr>
                <w:b/>
              </w:rPr>
            </w:pPr>
            <w:r w:rsidRPr="00DC1EE4">
              <w:rPr>
                <w:b/>
              </w:rPr>
              <w:t>Net increase/(decrease) in cash and cash equivalents</w:t>
            </w:r>
          </w:p>
        </w:tc>
        <w:tc>
          <w:tcPr>
            <w:tcW w:w="900" w:type="dxa"/>
            <w:tcBorders>
              <w:top w:val="single" w:sz="6" w:space="0" w:color="auto"/>
              <w:left w:val="nil"/>
              <w:bottom w:val="nil"/>
              <w:right w:val="nil"/>
            </w:tcBorders>
          </w:tcPr>
          <w:p w:rsidR="0028027B" w:rsidRPr="00DC1EE4" w:rsidRDefault="005A4BB0" w:rsidP="00C03F9E">
            <w:pPr>
              <w:pStyle w:val="TableTextCentred"/>
              <w:spacing w:before="20"/>
              <w:rPr>
                <w:b/>
              </w:rPr>
            </w:pPr>
            <w:r>
              <w:rPr>
                <w:b/>
              </w:rPr>
              <w:t xml:space="preserve"> </w:t>
            </w:r>
          </w:p>
        </w:tc>
        <w:tc>
          <w:tcPr>
            <w:tcW w:w="990" w:type="dxa"/>
            <w:tcBorders>
              <w:top w:val="nil"/>
              <w:left w:val="nil"/>
              <w:bottom w:val="nil"/>
              <w:right w:val="nil"/>
            </w:tcBorders>
          </w:tcPr>
          <w:p w:rsidR="0028027B" w:rsidRPr="00DC1EE4" w:rsidRDefault="0028027B" w:rsidP="00C03F9E">
            <w:pPr>
              <w:pStyle w:val="TableofFigures"/>
              <w:spacing w:before="20"/>
              <w:rPr>
                <w:b/>
              </w:rPr>
            </w:pPr>
            <w:r w:rsidRPr="00DC1EE4">
              <w:rPr>
                <w:b/>
              </w:rPr>
              <w:t xml:space="preserve"> 197.6</w:t>
            </w:r>
          </w:p>
        </w:tc>
        <w:tc>
          <w:tcPr>
            <w:tcW w:w="990" w:type="dxa"/>
            <w:tcBorders>
              <w:top w:val="nil"/>
              <w:left w:val="nil"/>
              <w:bottom w:val="nil"/>
              <w:right w:val="nil"/>
            </w:tcBorders>
          </w:tcPr>
          <w:p w:rsidR="0028027B" w:rsidRPr="00DC1EE4" w:rsidRDefault="0028027B" w:rsidP="00C03F9E">
            <w:pPr>
              <w:pStyle w:val="TableofFigures"/>
              <w:spacing w:before="20"/>
              <w:rPr>
                <w:b/>
              </w:rPr>
            </w:pPr>
            <w:r w:rsidRPr="00DC1EE4">
              <w:rPr>
                <w:b/>
              </w:rPr>
              <w:t xml:space="preserve"> 318.7</w:t>
            </w:r>
          </w:p>
        </w:tc>
        <w:tc>
          <w:tcPr>
            <w:tcW w:w="900" w:type="dxa"/>
            <w:tcBorders>
              <w:top w:val="nil"/>
              <w:left w:val="nil"/>
              <w:bottom w:val="nil"/>
              <w:right w:val="nil"/>
            </w:tcBorders>
          </w:tcPr>
          <w:p w:rsidR="0028027B" w:rsidRPr="00DC1EE4" w:rsidRDefault="0028027B" w:rsidP="00C03F9E">
            <w:pPr>
              <w:pStyle w:val="TableofFigures"/>
              <w:spacing w:before="20"/>
              <w:rPr>
                <w:b/>
              </w:rPr>
            </w:pPr>
            <w:r w:rsidRPr="00DC1EE4">
              <w:rPr>
                <w:b/>
              </w:rPr>
              <w:t xml:space="preserve"> 365.2</w:t>
            </w:r>
          </w:p>
        </w:tc>
        <w:tc>
          <w:tcPr>
            <w:tcW w:w="936" w:type="dxa"/>
            <w:tcBorders>
              <w:top w:val="nil"/>
              <w:left w:val="nil"/>
              <w:bottom w:val="nil"/>
              <w:right w:val="nil"/>
            </w:tcBorders>
          </w:tcPr>
          <w:p w:rsidR="0028027B" w:rsidRPr="00DC1EE4" w:rsidRDefault="0028027B" w:rsidP="00C03F9E">
            <w:pPr>
              <w:pStyle w:val="TableofFigures"/>
              <w:spacing w:before="20"/>
              <w:rPr>
                <w:b/>
              </w:rPr>
            </w:pPr>
            <w:r w:rsidRPr="00DC1EE4">
              <w:rPr>
                <w:b/>
              </w:rPr>
              <w:t xml:space="preserve"> 387.5</w:t>
            </w:r>
          </w:p>
        </w:tc>
      </w:tr>
      <w:tr w:rsidR="0028027B" w:rsidRPr="00DC1EE4" w:rsidTr="00C03F9E">
        <w:trPr>
          <w:gridAfter w:val="1"/>
          <w:wAfter w:w="10" w:type="dxa"/>
        </w:trPr>
        <w:tc>
          <w:tcPr>
            <w:tcW w:w="5504" w:type="dxa"/>
            <w:tcBorders>
              <w:top w:val="nil"/>
              <w:left w:val="nil"/>
              <w:bottom w:val="nil"/>
              <w:right w:val="nil"/>
            </w:tcBorders>
          </w:tcPr>
          <w:p w:rsidR="0028027B" w:rsidRPr="00DC1EE4" w:rsidRDefault="0028027B" w:rsidP="00C03F9E">
            <w:pPr>
              <w:pStyle w:val="Tabletext"/>
              <w:spacing w:before="20"/>
            </w:pPr>
            <w:r w:rsidRPr="00DC1EE4">
              <w:t>Cash and cash equivalents at beginning of reporting period</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4 912.6</w:t>
            </w:r>
          </w:p>
        </w:tc>
        <w:tc>
          <w:tcPr>
            <w:tcW w:w="990" w:type="dxa"/>
            <w:tcBorders>
              <w:top w:val="nil"/>
              <w:left w:val="nil"/>
              <w:bottom w:val="nil"/>
              <w:right w:val="nil"/>
            </w:tcBorders>
          </w:tcPr>
          <w:p w:rsidR="0028027B" w:rsidRPr="00DC1EE4" w:rsidRDefault="0028027B" w:rsidP="00C03F9E">
            <w:pPr>
              <w:pStyle w:val="TableofFigures"/>
              <w:spacing w:before="20"/>
            </w:pPr>
            <w:r w:rsidRPr="00DC1EE4">
              <w:t>5 110.2</w:t>
            </w:r>
          </w:p>
        </w:tc>
        <w:tc>
          <w:tcPr>
            <w:tcW w:w="900" w:type="dxa"/>
            <w:tcBorders>
              <w:top w:val="nil"/>
              <w:left w:val="nil"/>
              <w:bottom w:val="nil"/>
              <w:right w:val="nil"/>
            </w:tcBorders>
          </w:tcPr>
          <w:p w:rsidR="0028027B" w:rsidRPr="00DC1EE4" w:rsidRDefault="0028027B" w:rsidP="00C03F9E">
            <w:pPr>
              <w:pStyle w:val="TableofFigures"/>
              <w:spacing w:before="20"/>
            </w:pPr>
            <w:r w:rsidRPr="00DC1EE4">
              <w:t>5 428.9</w:t>
            </w:r>
          </w:p>
        </w:tc>
        <w:tc>
          <w:tcPr>
            <w:tcW w:w="936" w:type="dxa"/>
            <w:tcBorders>
              <w:top w:val="nil"/>
              <w:left w:val="nil"/>
              <w:bottom w:val="nil"/>
              <w:right w:val="nil"/>
            </w:tcBorders>
          </w:tcPr>
          <w:p w:rsidR="0028027B" w:rsidRPr="00DC1EE4" w:rsidRDefault="0028027B" w:rsidP="00C03F9E">
            <w:pPr>
              <w:pStyle w:val="TableofFigures"/>
              <w:spacing w:before="20"/>
            </w:pPr>
            <w:r w:rsidRPr="00DC1EE4">
              <w:t>5 794.1</w:t>
            </w:r>
          </w:p>
        </w:tc>
      </w:tr>
      <w:tr w:rsidR="0028027B" w:rsidRPr="00DC1EE4" w:rsidTr="00C03F9E">
        <w:trPr>
          <w:gridAfter w:val="1"/>
          <w:wAfter w:w="10" w:type="dxa"/>
        </w:trPr>
        <w:tc>
          <w:tcPr>
            <w:tcW w:w="5504" w:type="dxa"/>
            <w:tcBorders>
              <w:top w:val="single" w:sz="6" w:space="0" w:color="auto"/>
              <w:left w:val="nil"/>
              <w:bottom w:val="single" w:sz="12" w:space="0" w:color="auto"/>
              <w:right w:val="nil"/>
            </w:tcBorders>
          </w:tcPr>
          <w:p w:rsidR="0028027B" w:rsidRPr="00DC1EE4" w:rsidRDefault="0028027B" w:rsidP="00C03F9E">
            <w:pPr>
              <w:pStyle w:val="Tabletext"/>
              <w:spacing w:before="20"/>
              <w:rPr>
                <w:b/>
              </w:rPr>
            </w:pPr>
            <w:r w:rsidRPr="00DC1EE4">
              <w:rPr>
                <w:b/>
              </w:rPr>
              <w:t>Cash and cash equivalents at end of reporting period</w:t>
            </w:r>
          </w:p>
        </w:tc>
        <w:tc>
          <w:tcPr>
            <w:tcW w:w="900" w:type="dxa"/>
            <w:tcBorders>
              <w:top w:val="single" w:sz="6" w:space="0" w:color="auto"/>
              <w:left w:val="nil"/>
              <w:bottom w:val="single" w:sz="12" w:space="0" w:color="auto"/>
              <w:right w:val="nil"/>
            </w:tcBorders>
          </w:tcPr>
          <w:p w:rsidR="0028027B" w:rsidRPr="00DC1EE4" w:rsidRDefault="005A4BB0" w:rsidP="00C03F9E">
            <w:pPr>
              <w:pStyle w:val="TableTextCentred"/>
              <w:spacing w:before="20"/>
              <w:rPr>
                <w:b/>
              </w:rPr>
            </w:pPr>
            <w:r>
              <w:rPr>
                <w:b/>
              </w:rPr>
              <w:t xml:space="preserve"> </w:t>
            </w:r>
          </w:p>
        </w:tc>
        <w:tc>
          <w:tcPr>
            <w:tcW w:w="990" w:type="dxa"/>
            <w:tcBorders>
              <w:top w:val="single" w:sz="6" w:space="0" w:color="auto"/>
              <w:left w:val="nil"/>
              <w:bottom w:val="single" w:sz="12" w:space="0" w:color="auto"/>
              <w:right w:val="nil"/>
            </w:tcBorders>
          </w:tcPr>
          <w:p w:rsidR="0028027B" w:rsidRPr="00DC1EE4" w:rsidRDefault="0028027B" w:rsidP="00C03F9E">
            <w:pPr>
              <w:pStyle w:val="TableofFigures"/>
              <w:spacing w:before="20"/>
              <w:rPr>
                <w:b/>
              </w:rPr>
            </w:pPr>
            <w:r w:rsidRPr="00DC1EE4">
              <w:rPr>
                <w:b/>
              </w:rPr>
              <w:t>5 110.2</w:t>
            </w:r>
          </w:p>
        </w:tc>
        <w:tc>
          <w:tcPr>
            <w:tcW w:w="990" w:type="dxa"/>
            <w:tcBorders>
              <w:top w:val="single" w:sz="6" w:space="0" w:color="auto"/>
              <w:left w:val="nil"/>
              <w:bottom w:val="single" w:sz="12" w:space="0" w:color="auto"/>
              <w:right w:val="nil"/>
            </w:tcBorders>
          </w:tcPr>
          <w:p w:rsidR="0028027B" w:rsidRPr="00DC1EE4" w:rsidRDefault="0028027B" w:rsidP="00C03F9E">
            <w:pPr>
              <w:pStyle w:val="TableofFigures"/>
              <w:spacing w:before="20"/>
              <w:rPr>
                <w:b/>
              </w:rPr>
            </w:pPr>
            <w:r w:rsidRPr="00DC1EE4">
              <w:rPr>
                <w:b/>
              </w:rPr>
              <w:t>5 428.9</w:t>
            </w:r>
          </w:p>
        </w:tc>
        <w:tc>
          <w:tcPr>
            <w:tcW w:w="900" w:type="dxa"/>
            <w:tcBorders>
              <w:top w:val="single" w:sz="6" w:space="0" w:color="auto"/>
              <w:left w:val="nil"/>
              <w:bottom w:val="single" w:sz="12" w:space="0" w:color="auto"/>
              <w:right w:val="nil"/>
            </w:tcBorders>
          </w:tcPr>
          <w:p w:rsidR="0028027B" w:rsidRPr="00DC1EE4" w:rsidRDefault="0028027B" w:rsidP="00C03F9E">
            <w:pPr>
              <w:pStyle w:val="TableofFigures"/>
              <w:spacing w:before="20"/>
              <w:rPr>
                <w:b/>
              </w:rPr>
            </w:pPr>
            <w:r w:rsidRPr="00DC1EE4">
              <w:rPr>
                <w:b/>
              </w:rPr>
              <w:t>5 794.1</w:t>
            </w:r>
          </w:p>
        </w:tc>
        <w:tc>
          <w:tcPr>
            <w:tcW w:w="936" w:type="dxa"/>
            <w:tcBorders>
              <w:top w:val="single" w:sz="6" w:space="0" w:color="auto"/>
              <w:left w:val="nil"/>
              <w:bottom w:val="single" w:sz="12" w:space="0" w:color="auto"/>
              <w:right w:val="nil"/>
            </w:tcBorders>
          </w:tcPr>
          <w:p w:rsidR="0028027B" w:rsidRPr="00DC1EE4" w:rsidRDefault="0028027B" w:rsidP="00C03F9E">
            <w:pPr>
              <w:pStyle w:val="TableofFigures"/>
              <w:spacing w:before="20"/>
              <w:rPr>
                <w:b/>
              </w:rPr>
            </w:pPr>
            <w:r w:rsidRPr="00DC1EE4">
              <w:rPr>
                <w:b/>
              </w:rPr>
              <w:t>6 181.6</w:t>
            </w:r>
          </w:p>
        </w:tc>
      </w:tr>
      <w:tr w:rsidR="0028027B" w:rsidRPr="00DC1EE4" w:rsidTr="00C03F9E">
        <w:trPr>
          <w:gridAfter w:val="1"/>
          <w:wAfter w:w="10" w:type="dxa"/>
        </w:trPr>
        <w:tc>
          <w:tcPr>
            <w:tcW w:w="5504" w:type="dxa"/>
            <w:tcBorders>
              <w:top w:val="nil"/>
              <w:left w:val="nil"/>
              <w:bottom w:val="nil"/>
              <w:right w:val="nil"/>
            </w:tcBorders>
          </w:tcPr>
          <w:p w:rsidR="0028027B" w:rsidRPr="00DC1EE4" w:rsidRDefault="0028027B" w:rsidP="00C03F9E">
            <w:pPr>
              <w:pStyle w:val="Tabletext"/>
              <w:rPr>
                <w:b/>
              </w:rPr>
            </w:pPr>
            <w:r w:rsidRPr="00DC1EE4">
              <w:rPr>
                <w:b/>
              </w:rPr>
              <w:t>FISCAL AGGREGATES</w:t>
            </w:r>
          </w:p>
        </w:tc>
        <w:tc>
          <w:tcPr>
            <w:tcW w:w="900" w:type="dxa"/>
            <w:tcBorders>
              <w:top w:val="nil"/>
              <w:left w:val="nil"/>
              <w:bottom w:val="nil"/>
              <w:right w:val="nil"/>
            </w:tcBorders>
          </w:tcPr>
          <w:p w:rsidR="0028027B" w:rsidRPr="00DC1EE4" w:rsidRDefault="005A4BB0" w:rsidP="00C03F9E">
            <w:pPr>
              <w:pStyle w:val="TableTextCentred"/>
              <w:rPr>
                <w:b/>
              </w:rPr>
            </w:pPr>
            <w:r>
              <w:rPr>
                <w:b/>
              </w:rPr>
              <w:t xml:space="preserve"> </w:t>
            </w:r>
          </w:p>
        </w:tc>
        <w:tc>
          <w:tcPr>
            <w:tcW w:w="990"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990"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900"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936" w:type="dxa"/>
            <w:tcBorders>
              <w:top w:val="nil"/>
              <w:left w:val="nil"/>
              <w:bottom w:val="nil"/>
              <w:right w:val="nil"/>
            </w:tcBorders>
          </w:tcPr>
          <w:p w:rsidR="0028027B" w:rsidRPr="00DC1EE4" w:rsidRDefault="005A4BB0" w:rsidP="00C03F9E">
            <w:pPr>
              <w:pStyle w:val="TableofFigures"/>
              <w:rPr>
                <w:b/>
              </w:rPr>
            </w:pPr>
            <w:r>
              <w:rPr>
                <w:b/>
              </w:rPr>
              <w:t xml:space="preserve"> </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Net cash flows from operating activities</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nil"/>
              <w:right w:val="nil"/>
            </w:tcBorders>
          </w:tcPr>
          <w:p w:rsidR="0028027B" w:rsidRPr="00DC1EE4" w:rsidRDefault="0028027B" w:rsidP="00C03F9E">
            <w:pPr>
              <w:pStyle w:val="TableofFigures"/>
              <w:spacing w:before="20"/>
            </w:pPr>
            <w:r w:rsidRPr="00DC1EE4">
              <w:t>3 754.9</w:t>
            </w:r>
          </w:p>
        </w:tc>
        <w:tc>
          <w:tcPr>
            <w:tcW w:w="990" w:type="dxa"/>
            <w:tcBorders>
              <w:top w:val="nil"/>
              <w:left w:val="nil"/>
              <w:bottom w:val="nil"/>
              <w:right w:val="nil"/>
            </w:tcBorders>
          </w:tcPr>
          <w:p w:rsidR="0028027B" w:rsidRPr="00DC1EE4" w:rsidRDefault="0028027B" w:rsidP="00C03F9E">
            <w:pPr>
              <w:pStyle w:val="TableofFigures"/>
              <w:spacing w:before="20"/>
            </w:pPr>
            <w:r w:rsidRPr="00DC1EE4">
              <w:t>3 856.5</w:t>
            </w:r>
          </w:p>
        </w:tc>
        <w:tc>
          <w:tcPr>
            <w:tcW w:w="900" w:type="dxa"/>
            <w:tcBorders>
              <w:top w:val="nil"/>
              <w:left w:val="nil"/>
              <w:bottom w:val="nil"/>
              <w:right w:val="nil"/>
            </w:tcBorders>
          </w:tcPr>
          <w:p w:rsidR="0028027B" w:rsidRPr="00DC1EE4" w:rsidRDefault="0028027B" w:rsidP="00C03F9E">
            <w:pPr>
              <w:pStyle w:val="TableofFigures"/>
              <w:spacing w:before="20"/>
            </w:pPr>
            <w:r w:rsidRPr="00DC1EE4">
              <w:t>4 570.4</w:t>
            </w:r>
          </w:p>
        </w:tc>
        <w:tc>
          <w:tcPr>
            <w:tcW w:w="936" w:type="dxa"/>
            <w:tcBorders>
              <w:top w:val="nil"/>
              <w:left w:val="nil"/>
              <w:bottom w:val="nil"/>
              <w:right w:val="nil"/>
            </w:tcBorders>
          </w:tcPr>
          <w:p w:rsidR="0028027B" w:rsidRPr="00DC1EE4" w:rsidRDefault="0028027B" w:rsidP="00C03F9E">
            <w:pPr>
              <w:pStyle w:val="TableofFigures"/>
              <w:spacing w:before="20"/>
            </w:pPr>
            <w:r w:rsidRPr="00DC1EE4">
              <w:t>4 633.8</w:t>
            </w:r>
          </w:p>
        </w:tc>
      </w:tr>
      <w:tr w:rsidR="0028027B" w:rsidRPr="00DC1EE4" w:rsidTr="00C03F9E">
        <w:trPr>
          <w:gridAfter w:val="1"/>
          <w:wAfter w:w="10" w:type="dxa"/>
        </w:trPr>
        <w:tc>
          <w:tcPr>
            <w:tcW w:w="5504" w:type="dxa"/>
            <w:tcBorders>
              <w:top w:val="nil"/>
              <w:left w:val="nil"/>
              <w:bottom w:val="nil"/>
              <w:right w:val="nil"/>
            </w:tcBorders>
            <w:vAlign w:val="center"/>
          </w:tcPr>
          <w:p w:rsidR="0028027B" w:rsidRPr="00DC1EE4" w:rsidRDefault="0028027B" w:rsidP="00C03F9E">
            <w:pPr>
              <w:pStyle w:val="Tabletext"/>
              <w:spacing w:before="20"/>
            </w:pPr>
            <w:r w:rsidRPr="00DC1EE4">
              <w:t>Net cash flows from investments in non</w:t>
            </w:r>
            <w:r w:rsidR="005A4BB0">
              <w:noBreakHyphen/>
            </w:r>
            <w:r w:rsidRPr="00DC1EE4">
              <w:t>financial assets</w:t>
            </w:r>
          </w:p>
        </w:tc>
        <w:tc>
          <w:tcPr>
            <w:tcW w:w="900" w:type="dxa"/>
            <w:tcBorders>
              <w:top w:val="nil"/>
              <w:left w:val="nil"/>
              <w:bottom w:val="nil"/>
              <w:right w:val="nil"/>
            </w:tcBorders>
          </w:tcPr>
          <w:p w:rsidR="0028027B" w:rsidRPr="00DC1EE4" w:rsidRDefault="005A4BB0" w:rsidP="00C03F9E">
            <w:pPr>
              <w:pStyle w:val="TableTextCentred"/>
              <w:spacing w:before="20"/>
            </w:pPr>
            <w:r>
              <w:t xml:space="preserve"> </w:t>
            </w:r>
          </w:p>
        </w:tc>
        <w:tc>
          <w:tcPr>
            <w:tcW w:w="990" w:type="dxa"/>
            <w:tcBorders>
              <w:top w:val="nil"/>
              <w:left w:val="nil"/>
              <w:bottom w:val="single" w:sz="6" w:space="0" w:color="auto"/>
              <w:right w:val="nil"/>
            </w:tcBorders>
          </w:tcPr>
          <w:p w:rsidR="0028027B" w:rsidRPr="00DC1EE4" w:rsidRDefault="0028027B" w:rsidP="00C03F9E">
            <w:pPr>
              <w:pStyle w:val="TableofFigures"/>
              <w:spacing w:before="20"/>
            </w:pPr>
            <w:r w:rsidRPr="00DC1EE4">
              <w:t xml:space="preserve"> (4 229.7)</w:t>
            </w:r>
          </w:p>
        </w:tc>
        <w:tc>
          <w:tcPr>
            <w:tcW w:w="990" w:type="dxa"/>
            <w:tcBorders>
              <w:top w:val="nil"/>
              <w:left w:val="nil"/>
              <w:bottom w:val="single" w:sz="6" w:space="0" w:color="auto"/>
              <w:right w:val="nil"/>
            </w:tcBorders>
          </w:tcPr>
          <w:p w:rsidR="0028027B" w:rsidRPr="00DC1EE4" w:rsidRDefault="0028027B" w:rsidP="00C03F9E">
            <w:pPr>
              <w:pStyle w:val="TableofFigures"/>
              <w:spacing w:before="20"/>
            </w:pPr>
            <w:r w:rsidRPr="00DC1EE4">
              <w:t xml:space="preserve"> (5 612.7)</w:t>
            </w:r>
          </w:p>
        </w:tc>
        <w:tc>
          <w:tcPr>
            <w:tcW w:w="900" w:type="dxa"/>
            <w:tcBorders>
              <w:top w:val="nil"/>
              <w:left w:val="nil"/>
              <w:bottom w:val="single" w:sz="6" w:space="0" w:color="auto"/>
              <w:right w:val="nil"/>
            </w:tcBorders>
          </w:tcPr>
          <w:p w:rsidR="0028027B" w:rsidRPr="00DC1EE4" w:rsidRDefault="0028027B" w:rsidP="00C03F9E">
            <w:pPr>
              <w:pStyle w:val="TableofFigures"/>
              <w:spacing w:before="20"/>
            </w:pPr>
            <w:r w:rsidRPr="00DC1EE4">
              <w:t xml:space="preserve"> (5 173.2)</w:t>
            </w:r>
          </w:p>
        </w:tc>
        <w:tc>
          <w:tcPr>
            <w:tcW w:w="936" w:type="dxa"/>
            <w:tcBorders>
              <w:top w:val="nil"/>
              <w:left w:val="nil"/>
              <w:bottom w:val="single" w:sz="6" w:space="0" w:color="auto"/>
              <w:right w:val="nil"/>
            </w:tcBorders>
          </w:tcPr>
          <w:p w:rsidR="0028027B" w:rsidRPr="00DC1EE4" w:rsidRDefault="0028027B" w:rsidP="00C03F9E">
            <w:pPr>
              <w:pStyle w:val="TableofFigures"/>
              <w:spacing w:before="20"/>
            </w:pPr>
            <w:r w:rsidRPr="00DC1EE4">
              <w:t xml:space="preserve"> (4 900.3)</w:t>
            </w:r>
          </w:p>
        </w:tc>
      </w:tr>
      <w:tr w:rsidR="0028027B" w:rsidRPr="00DC1EE4" w:rsidTr="00C03F9E">
        <w:trPr>
          <w:gridAfter w:val="1"/>
          <w:wAfter w:w="10" w:type="dxa"/>
        </w:trPr>
        <w:tc>
          <w:tcPr>
            <w:tcW w:w="5504" w:type="dxa"/>
            <w:tcBorders>
              <w:top w:val="single" w:sz="6" w:space="0" w:color="auto"/>
              <w:left w:val="nil"/>
              <w:bottom w:val="single" w:sz="12" w:space="0" w:color="auto"/>
              <w:right w:val="nil"/>
            </w:tcBorders>
            <w:vAlign w:val="center"/>
          </w:tcPr>
          <w:p w:rsidR="0028027B" w:rsidRPr="00DC1EE4" w:rsidRDefault="0028027B" w:rsidP="00C03F9E">
            <w:pPr>
              <w:pStyle w:val="Tabletext"/>
              <w:spacing w:before="20"/>
              <w:rPr>
                <w:b/>
              </w:rPr>
            </w:pPr>
            <w:r w:rsidRPr="00DC1EE4">
              <w:rPr>
                <w:b/>
              </w:rPr>
              <w:t>Cash surplus/(deficit)</w:t>
            </w:r>
          </w:p>
        </w:tc>
        <w:tc>
          <w:tcPr>
            <w:tcW w:w="900" w:type="dxa"/>
            <w:tcBorders>
              <w:top w:val="single" w:sz="6" w:space="0" w:color="auto"/>
              <w:left w:val="nil"/>
              <w:bottom w:val="single" w:sz="12" w:space="0" w:color="auto"/>
              <w:right w:val="nil"/>
            </w:tcBorders>
          </w:tcPr>
          <w:p w:rsidR="0028027B" w:rsidRPr="00DC1EE4" w:rsidRDefault="005A4BB0" w:rsidP="00C03F9E">
            <w:pPr>
              <w:pStyle w:val="TableTextCentred"/>
              <w:spacing w:before="20"/>
              <w:rPr>
                <w:b/>
              </w:rPr>
            </w:pPr>
            <w:r>
              <w:rPr>
                <w:b/>
              </w:rPr>
              <w:t xml:space="preserve"> </w:t>
            </w:r>
          </w:p>
        </w:tc>
        <w:tc>
          <w:tcPr>
            <w:tcW w:w="990" w:type="dxa"/>
            <w:tcBorders>
              <w:top w:val="single" w:sz="6" w:space="0" w:color="auto"/>
              <w:left w:val="nil"/>
              <w:bottom w:val="single" w:sz="12" w:space="0" w:color="auto"/>
              <w:right w:val="nil"/>
            </w:tcBorders>
          </w:tcPr>
          <w:p w:rsidR="0028027B" w:rsidRPr="00DC1EE4" w:rsidRDefault="0028027B" w:rsidP="00C03F9E">
            <w:pPr>
              <w:pStyle w:val="TableofFigures"/>
              <w:spacing w:before="20"/>
              <w:rPr>
                <w:b/>
              </w:rPr>
            </w:pPr>
            <w:r w:rsidRPr="00DC1EE4">
              <w:rPr>
                <w:rFonts w:eastAsiaTheme="minorEastAsia"/>
                <w:b/>
                <w:bCs/>
              </w:rPr>
              <w:t>(474.9)</w:t>
            </w:r>
          </w:p>
        </w:tc>
        <w:tc>
          <w:tcPr>
            <w:tcW w:w="990" w:type="dxa"/>
            <w:tcBorders>
              <w:top w:val="single" w:sz="6" w:space="0" w:color="auto"/>
              <w:left w:val="nil"/>
              <w:bottom w:val="single" w:sz="12" w:space="0" w:color="auto"/>
              <w:right w:val="nil"/>
            </w:tcBorders>
          </w:tcPr>
          <w:p w:rsidR="0028027B" w:rsidRPr="00DC1EE4" w:rsidRDefault="0028027B" w:rsidP="00C03F9E">
            <w:pPr>
              <w:pStyle w:val="TableofFigures"/>
              <w:spacing w:before="20"/>
              <w:rPr>
                <w:b/>
              </w:rPr>
            </w:pPr>
            <w:r w:rsidRPr="00DC1EE4">
              <w:rPr>
                <w:rFonts w:eastAsiaTheme="minorEastAsia"/>
                <w:b/>
                <w:bCs/>
              </w:rPr>
              <w:t xml:space="preserve"> (1 756.2)</w:t>
            </w:r>
          </w:p>
        </w:tc>
        <w:tc>
          <w:tcPr>
            <w:tcW w:w="900" w:type="dxa"/>
            <w:tcBorders>
              <w:top w:val="single" w:sz="6" w:space="0" w:color="auto"/>
              <w:left w:val="nil"/>
              <w:bottom w:val="single" w:sz="12" w:space="0" w:color="auto"/>
              <w:right w:val="nil"/>
            </w:tcBorders>
          </w:tcPr>
          <w:p w:rsidR="0028027B" w:rsidRPr="00DC1EE4" w:rsidRDefault="0028027B" w:rsidP="00C03F9E">
            <w:pPr>
              <w:pStyle w:val="TableofFigures"/>
              <w:spacing w:before="20"/>
              <w:rPr>
                <w:b/>
              </w:rPr>
            </w:pPr>
            <w:r w:rsidRPr="00DC1EE4">
              <w:rPr>
                <w:rFonts w:eastAsiaTheme="minorEastAsia"/>
                <w:b/>
                <w:bCs/>
              </w:rPr>
              <w:t>(602.8)</w:t>
            </w:r>
          </w:p>
        </w:tc>
        <w:tc>
          <w:tcPr>
            <w:tcW w:w="936" w:type="dxa"/>
            <w:tcBorders>
              <w:top w:val="single" w:sz="6" w:space="0" w:color="auto"/>
              <w:left w:val="nil"/>
              <w:bottom w:val="single" w:sz="12" w:space="0" w:color="auto"/>
              <w:right w:val="nil"/>
            </w:tcBorders>
          </w:tcPr>
          <w:p w:rsidR="0028027B" w:rsidRPr="00DC1EE4" w:rsidRDefault="0028027B" w:rsidP="00C03F9E">
            <w:pPr>
              <w:pStyle w:val="TableofFigures"/>
              <w:spacing w:before="20"/>
              <w:rPr>
                <w:b/>
              </w:rPr>
            </w:pPr>
            <w:r w:rsidRPr="00DC1EE4">
              <w:rPr>
                <w:rFonts w:eastAsiaTheme="minorEastAsia"/>
                <w:b/>
                <w:bCs/>
              </w:rPr>
              <w:t>(266.5)</w:t>
            </w:r>
          </w:p>
        </w:tc>
      </w:tr>
    </w:tbl>
    <w:p w:rsidR="0028027B" w:rsidRPr="00DC1EE4" w:rsidRDefault="0028027B" w:rsidP="0028027B">
      <w:pPr>
        <w:pStyle w:val="Source"/>
      </w:pPr>
      <w:r w:rsidRPr="00DC1EE4">
        <w:t>The accompanying notes form part of these Estimated Financial Statements.</w:t>
      </w:r>
    </w:p>
    <w:p w:rsidR="0028027B" w:rsidRPr="00DC1EE4" w:rsidRDefault="0028027B" w:rsidP="0028027B">
      <w:pPr>
        <w:pStyle w:val="Notes"/>
      </w:pPr>
      <w:r w:rsidRPr="00DC1EE4">
        <w:t>Note:</w:t>
      </w:r>
    </w:p>
    <w:p w:rsidR="0028027B" w:rsidRPr="00DC1EE4" w:rsidRDefault="0028027B" w:rsidP="0028027B">
      <w:pPr>
        <w:pStyle w:val="Notes"/>
      </w:pPr>
      <w:r w:rsidRPr="00DC1EE4">
        <w:t>(a)</w:t>
      </w:r>
      <w:r w:rsidRPr="00DC1EE4">
        <w:tab/>
        <w:t>Inclusive of goods and services tax.</w:t>
      </w:r>
    </w:p>
    <w:p w:rsidR="0028027B" w:rsidRPr="00DC1EE4" w:rsidRDefault="0028027B" w:rsidP="00E348C3">
      <w:pPr>
        <w:pStyle w:val="Tableheading"/>
      </w:pPr>
      <w:r w:rsidRPr="00DC1EE4">
        <w:br w:type="page"/>
      </w:r>
      <w:bookmarkStart w:id="687" w:name="_Toc225564587"/>
      <w:r w:rsidRPr="00DC1EE4">
        <w:t xml:space="preserve">Table 1.4: </w:t>
      </w:r>
      <w:r w:rsidRPr="00DC1EE4">
        <w:tab/>
        <w:t>Estimated general government sector statement of changes in equity for the financial year ending 30 June</w:t>
      </w:r>
    </w:p>
    <w:p w:rsidR="0028027B" w:rsidRPr="00DC1EE4" w:rsidRDefault="0028027B" w:rsidP="0028027B">
      <w:pPr>
        <w:pStyle w:val="million"/>
      </w:pPr>
      <w:r w:rsidRPr="00DC1EE4">
        <w:t>($ million)</w:t>
      </w:r>
    </w:p>
    <w:tbl>
      <w:tblPr>
        <w:tblW w:w="10160" w:type="dxa"/>
        <w:jc w:val="center"/>
        <w:tblLayout w:type="fixed"/>
        <w:tblCellMar>
          <w:left w:w="43" w:type="dxa"/>
          <w:right w:w="43" w:type="dxa"/>
        </w:tblCellMar>
        <w:tblLook w:val="0000" w:firstRow="0" w:lastRow="0" w:firstColumn="0" w:lastColumn="0" w:noHBand="0" w:noVBand="0"/>
      </w:tblPr>
      <w:tblGrid>
        <w:gridCol w:w="3275"/>
        <w:gridCol w:w="1275"/>
        <w:gridCol w:w="904"/>
        <w:gridCol w:w="1575"/>
        <w:gridCol w:w="1602"/>
        <w:gridCol w:w="693"/>
        <w:gridCol w:w="836"/>
      </w:tblGrid>
      <w:tr w:rsidR="0028027B" w:rsidRPr="00DC1EE4" w:rsidTr="00C03F9E">
        <w:trPr>
          <w:trHeight w:val="737"/>
          <w:jc w:val="center"/>
        </w:trPr>
        <w:tc>
          <w:tcPr>
            <w:tcW w:w="3275" w:type="dxa"/>
            <w:tcBorders>
              <w:top w:val="single" w:sz="4" w:space="0" w:color="auto"/>
              <w:left w:val="single" w:sz="4" w:space="0" w:color="auto"/>
              <w:bottom w:val="single" w:sz="4" w:space="0" w:color="auto"/>
              <w:right w:val="nil"/>
            </w:tcBorders>
            <w:shd w:val="clear" w:color="auto" w:fill="000000"/>
            <w:vAlign w:val="bottom"/>
          </w:tcPr>
          <w:p w:rsidR="0028027B" w:rsidRPr="00DC1EE4" w:rsidRDefault="0028027B" w:rsidP="00C03F9E">
            <w:pPr>
              <w:pStyle w:val="Tabletextheadingleft0"/>
              <w:rPr>
                <w:rFonts w:eastAsiaTheme="minorEastAsia"/>
              </w:rPr>
            </w:pPr>
            <w:r w:rsidRPr="00DC1EE4">
              <w:rPr>
                <w:rFonts w:eastAsiaTheme="minorEastAsia"/>
              </w:rPr>
              <w:br/>
            </w:r>
          </w:p>
        </w:tc>
        <w:tc>
          <w:tcPr>
            <w:tcW w:w="1275" w:type="dxa"/>
            <w:tcBorders>
              <w:top w:val="single" w:sz="4" w:space="0" w:color="auto"/>
              <w:left w:val="nil"/>
              <w:bottom w:val="single" w:sz="4" w:space="0" w:color="auto"/>
              <w:right w:val="nil"/>
            </w:tcBorders>
            <w:shd w:val="clear" w:color="auto" w:fill="000000"/>
            <w:vAlign w:val="bottom"/>
          </w:tcPr>
          <w:p w:rsidR="0028027B" w:rsidRPr="00DC1EE4" w:rsidRDefault="0028027B" w:rsidP="00C03F9E">
            <w:pPr>
              <w:pStyle w:val="Tabletextheading"/>
            </w:pPr>
            <w:r w:rsidRPr="00DC1EE4">
              <w:br/>
              <w:t>Accumulated surplus/(deficit)</w:t>
            </w:r>
          </w:p>
        </w:tc>
        <w:tc>
          <w:tcPr>
            <w:tcW w:w="904" w:type="dxa"/>
            <w:tcBorders>
              <w:top w:val="single" w:sz="4" w:space="0" w:color="auto"/>
              <w:left w:val="nil"/>
              <w:bottom w:val="single" w:sz="4" w:space="0" w:color="auto"/>
              <w:right w:val="single" w:sz="4" w:space="0" w:color="auto"/>
            </w:tcBorders>
            <w:shd w:val="clear" w:color="auto" w:fill="000000"/>
            <w:vAlign w:val="bottom"/>
          </w:tcPr>
          <w:p w:rsidR="0028027B" w:rsidRPr="00DC1EE4" w:rsidRDefault="0028027B" w:rsidP="00C03F9E">
            <w:pPr>
              <w:pStyle w:val="Tabletextheading"/>
            </w:pPr>
            <w:r w:rsidRPr="00DC1EE4">
              <w:t>Non</w:t>
            </w:r>
            <w:r w:rsidR="005A4BB0">
              <w:noBreakHyphen/>
            </w:r>
            <w:r w:rsidRPr="00DC1EE4">
              <w:br/>
              <w:t>controlling interest</w:t>
            </w:r>
          </w:p>
        </w:tc>
        <w:tc>
          <w:tcPr>
            <w:tcW w:w="1575" w:type="dxa"/>
            <w:tcBorders>
              <w:top w:val="single" w:sz="4" w:space="0" w:color="auto"/>
              <w:left w:val="nil"/>
              <w:bottom w:val="single" w:sz="4" w:space="0" w:color="auto"/>
              <w:right w:val="single" w:sz="4" w:space="0" w:color="auto"/>
            </w:tcBorders>
            <w:shd w:val="clear" w:color="auto" w:fill="000000"/>
            <w:vAlign w:val="bottom"/>
          </w:tcPr>
          <w:p w:rsidR="0028027B" w:rsidRPr="00DC1EE4" w:rsidRDefault="0028027B" w:rsidP="00C03F9E">
            <w:pPr>
              <w:pStyle w:val="Tabletextheading"/>
            </w:pPr>
            <w:r w:rsidRPr="00DC1EE4">
              <w:t>Property, plant and</w:t>
            </w:r>
            <w:r w:rsidR="005A4BB0">
              <w:t xml:space="preserve"> </w:t>
            </w:r>
            <w:r w:rsidRPr="00DC1EE4">
              <w:t>equipment revaluation surplus</w:t>
            </w:r>
          </w:p>
        </w:tc>
        <w:tc>
          <w:tcPr>
            <w:tcW w:w="1602" w:type="dxa"/>
            <w:tcBorders>
              <w:top w:val="single" w:sz="4" w:space="0" w:color="auto"/>
              <w:left w:val="nil"/>
              <w:bottom w:val="single" w:sz="4" w:space="0" w:color="auto"/>
              <w:right w:val="single" w:sz="4" w:space="0" w:color="auto"/>
            </w:tcBorders>
            <w:shd w:val="clear" w:color="auto" w:fill="000000"/>
            <w:vAlign w:val="bottom"/>
          </w:tcPr>
          <w:p w:rsidR="0028027B" w:rsidRPr="00DC1EE4" w:rsidRDefault="0028027B" w:rsidP="00C03F9E">
            <w:pPr>
              <w:pStyle w:val="Tabletextheading"/>
            </w:pPr>
            <w:r w:rsidRPr="00DC1EE4">
              <w:t>Investment in other sector entities revaluation surplus</w:t>
            </w:r>
          </w:p>
        </w:tc>
        <w:tc>
          <w:tcPr>
            <w:tcW w:w="693" w:type="dxa"/>
            <w:tcBorders>
              <w:top w:val="single" w:sz="4" w:space="0" w:color="auto"/>
              <w:left w:val="nil"/>
              <w:bottom w:val="single" w:sz="4" w:space="0" w:color="auto"/>
              <w:right w:val="nil"/>
            </w:tcBorders>
            <w:shd w:val="clear" w:color="auto" w:fill="000000"/>
            <w:vAlign w:val="bottom"/>
          </w:tcPr>
          <w:p w:rsidR="0028027B" w:rsidRPr="00DC1EE4" w:rsidRDefault="0028027B" w:rsidP="00C03F9E">
            <w:pPr>
              <w:pStyle w:val="Tabletextheading"/>
            </w:pPr>
            <w:r w:rsidRPr="00DC1EE4">
              <w:br/>
              <w:t xml:space="preserve">Other </w:t>
            </w:r>
          </w:p>
          <w:p w:rsidR="0028027B" w:rsidRPr="00DC1EE4" w:rsidRDefault="0028027B" w:rsidP="00C03F9E">
            <w:pPr>
              <w:pStyle w:val="Tabletextheading"/>
            </w:pPr>
            <w:r w:rsidRPr="00DC1EE4">
              <w:t>reserves</w:t>
            </w:r>
          </w:p>
        </w:tc>
        <w:tc>
          <w:tcPr>
            <w:tcW w:w="836" w:type="dxa"/>
            <w:tcBorders>
              <w:top w:val="single" w:sz="4" w:space="0" w:color="auto"/>
              <w:left w:val="nil"/>
              <w:bottom w:val="single" w:sz="4" w:space="0" w:color="auto"/>
              <w:right w:val="single" w:sz="4" w:space="0" w:color="auto"/>
            </w:tcBorders>
            <w:shd w:val="clear" w:color="auto" w:fill="000000"/>
            <w:vAlign w:val="bottom"/>
          </w:tcPr>
          <w:p w:rsidR="0028027B" w:rsidRPr="00DC1EE4" w:rsidRDefault="0028027B" w:rsidP="00C03F9E">
            <w:pPr>
              <w:pStyle w:val="Tabletextheading"/>
            </w:pPr>
            <w:r w:rsidRPr="00DC1EE4">
              <w:br/>
            </w:r>
            <w:r w:rsidRPr="00DC1EE4">
              <w:br/>
              <w:t>Total</w:t>
            </w:r>
          </w:p>
        </w:tc>
      </w:tr>
      <w:tr w:rsidR="0028027B" w:rsidRPr="00DC1EE4" w:rsidTr="00C03F9E">
        <w:trPr>
          <w:trHeight w:val="220"/>
          <w:jc w:val="center"/>
        </w:trPr>
        <w:tc>
          <w:tcPr>
            <w:tcW w:w="3275" w:type="dxa"/>
            <w:tcBorders>
              <w:top w:val="single" w:sz="4" w:space="0" w:color="auto"/>
              <w:left w:val="nil"/>
              <w:bottom w:val="nil"/>
              <w:right w:val="nil"/>
            </w:tcBorders>
          </w:tcPr>
          <w:p w:rsidR="0028027B" w:rsidRPr="00DC1EE4" w:rsidRDefault="0028027B" w:rsidP="00C03F9E">
            <w:pPr>
              <w:pStyle w:val="Tabletext"/>
              <w:rPr>
                <w:b/>
              </w:rPr>
            </w:pPr>
            <w:r w:rsidRPr="00DC1EE4">
              <w:rPr>
                <w:b/>
              </w:rPr>
              <w:t>2015</w:t>
            </w:r>
            <w:r w:rsidR="005A4BB0">
              <w:rPr>
                <w:b/>
              </w:rPr>
              <w:noBreakHyphen/>
            </w:r>
            <w:r w:rsidRPr="00DC1EE4">
              <w:rPr>
                <w:b/>
              </w:rPr>
              <w:t xml:space="preserve">16 </w:t>
            </w:r>
          </w:p>
        </w:tc>
        <w:tc>
          <w:tcPr>
            <w:tcW w:w="1275" w:type="dxa"/>
            <w:tcBorders>
              <w:top w:val="single" w:sz="4" w:space="0" w:color="auto"/>
              <w:left w:val="nil"/>
              <w:bottom w:val="nil"/>
              <w:right w:val="nil"/>
            </w:tcBorders>
          </w:tcPr>
          <w:p w:rsidR="0028027B" w:rsidRPr="00DC1EE4" w:rsidRDefault="005A4BB0" w:rsidP="00C03F9E">
            <w:pPr>
              <w:pStyle w:val="TableofFigures"/>
              <w:rPr>
                <w:b/>
              </w:rPr>
            </w:pPr>
            <w:r>
              <w:rPr>
                <w:b/>
              </w:rPr>
              <w:t xml:space="preserve"> </w:t>
            </w:r>
          </w:p>
        </w:tc>
        <w:tc>
          <w:tcPr>
            <w:tcW w:w="904" w:type="dxa"/>
            <w:tcBorders>
              <w:top w:val="single" w:sz="4" w:space="0" w:color="auto"/>
              <w:left w:val="nil"/>
              <w:bottom w:val="nil"/>
              <w:right w:val="nil"/>
            </w:tcBorders>
          </w:tcPr>
          <w:p w:rsidR="0028027B" w:rsidRPr="00DC1EE4" w:rsidRDefault="005A4BB0" w:rsidP="00C03F9E">
            <w:pPr>
              <w:pStyle w:val="TableofFigures"/>
              <w:rPr>
                <w:b/>
              </w:rPr>
            </w:pPr>
            <w:r>
              <w:rPr>
                <w:b/>
              </w:rPr>
              <w:t xml:space="preserve"> </w:t>
            </w:r>
          </w:p>
        </w:tc>
        <w:tc>
          <w:tcPr>
            <w:tcW w:w="1575" w:type="dxa"/>
            <w:tcBorders>
              <w:top w:val="single" w:sz="4" w:space="0" w:color="auto"/>
              <w:left w:val="nil"/>
              <w:bottom w:val="nil"/>
              <w:right w:val="nil"/>
            </w:tcBorders>
          </w:tcPr>
          <w:p w:rsidR="0028027B" w:rsidRPr="00DC1EE4" w:rsidRDefault="0028027B" w:rsidP="00C03F9E">
            <w:pPr>
              <w:pStyle w:val="TableofFigures"/>
              <w:rPr>
                <w:b/>
              </w:rPr>
            </w:pPr>
          </w:p>
        </w:tc>
        <w:tc>
          <w:tcPr>
            <w:tcW w:w="1602" w:type="dxa"/>
            <w:tcBorders>
              <w:top w:val="single" w:sz="4" w:space="0" w:color="auto"/>
              <w:left w:val="nil"/>
              <w:bottom w:val="nil"/>
              <w:right w:val="nil"/>
            </w:tcBorders>
          </w:tcPr>
          <w:p w:rsidR="0028027B" w:rsidRPr="00DC1EE4" w:rsidRDefault="0028027B" w:rsidP="00C03F9E">
            <w:pPr>
              <w:pStyle w:val="TableofFigures"/>
              <w:rPr>
                <w:b/>
              </w:rPr>
            </w:pPr>
          </w:p>
        </w:tc>
        <w:tc>
          <w:tcPr>
            <w:tcW w:w="693" w:type="dxa"/>
            <w:tcBorders>
              <w:top w:val="single" w:sz="4" w:space="0" w:color="auto"/>
              <w:left w:val="nil"/>
              <w:bottom w:val="nil"/>
              <w:right w:val="nil"/>
            </w:tcBorders>
          </w:tcPr>
          <w:p w:rsidR="0028027B" w:rsidRPr="00DC1EE4" w:rsidRDefault="0028027B" w:rsidP="00C03F9E">
            <w:pPr>
              <w:pStyle w:val="TableofFigures"/>
              <w:rPr>
                <w:b/>
              </w:rPr>
            </w:pPr>
          </w:p>
        </w:tc>
        <w:tc>
          <w:tcPr>
            <w:tcW w:w="836" w:type="dxa"/>
            <w:tcBorders>
              <w:top w:val="single" w:sz="4" w:space="0" w:color="auto"/>
              <w:left w:val="nil"/>
              <w:bottom w:val="nil"/>
              <w:right w:val="nil"/>
            </w:tcBorders>
          </w:tcPr>
          <w:p w:rsidR="0028027B" w:rsidRPr="00DC1EE4" w:rsidRDefault="0028027B" w:rsidP="00C03F9E">
            <w:pPr>
              <w:pStyle w:val="TableofFigures"/>
              <w:rPr>
                <w:b/>
              </w:rPr>
            </w:pP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pPr>
            <w:r w:rsidRPr="00DC1EE4">
              <w:t>Balance at 1 July 2015</w:t>
            </w:r>
          </w:p>
        </w:tc>
        <w:tc>
          <w:tcPr>
            <w:tcW w:w="1275" w:type="dxa"/>
            <w:tcBorders>
              <w:top w:val="nil"/>
              <w:left w:val="nil"/>
              <w:bottom w:val="nil"/>
              <w:right w:val="nil"/>
            </w:tcBorders>
          </w:tcPr>
          <w:p w:rsidR="0028027B" w:rsidRPr="00DC1EE4" w:rsidRDefault="0028027B" w:rsidP="00C03F9E">
            <w:pPr>
              <w:pStyle w:val="TableofFigures"/>
            </w:pPr>
            <w:r w:rsidRPr="00DC1EE4">
              <w:t>39 828.6</w:t>
            </w:r>
          </w:p>
        </w:tc>
        <w:tc>
          <w:tcPr>
            <w:tcW w:w="904" w:type="dxa"/>
            <w:tcBorders>
              <w:top w:val="nil"/>
              <w:left w:val="nil"/>
              <w:bottom w:val="nil"/>
              <w:right w:val="nil"/>
            </w:tcBorders>
          </w:tcPr>
          <w:p w:rsidR="0028027B" w:rsidRPr="00DC1EE4" w:rsidRDefault="0028027B" w:rsidP="00C03F9E">
            <w:pPr>
              <w:pStyle w:val="TableofFigures"/>
            </w:pPr>
            <w:r w:rsidRPr="00DC1EE4">
              <w:t xml:space="preserve"> 50.0</w:t>
            </w:r>
          </w:p>
        </w:tc>
        <w:tc>
          <w:tcPr>
            <w:tcW w:w="1575" w:type="dxa"/>
            <w:tcBorders>
              <w:top w:val="nil"/>
              <w:left w:val="nil"/>
              <w:bottom w:val="nil"/>
              <w:right w:val="nil"/>
            </w:tcBorders>
          </w:tcPr>
          <w:p w:rsidR="0028027B" w:rsidRPr="00DC1EE4" w:rsidRDefault="0028027B" w:rsidP="00C03F9E">
            <w:pPr>
              <w:pStyle w:val="TableofFigures"/>
            </w:pPr>
            <w:r w:rsidRPr="00DC1EE4">
              <w:t>46 843.4</w:t>
            </w:r>
          </w:p>
        </w:tc>
        <w:tc>
          <w:tcPr>
            <w:tcW w:w="1602" w:type="dxa"/>
            <w:tcBorders>
              <w:top w:val="nil"/>
              <w:left w:val="nil"/>
              <w:bottom w:val="nil"/>
              <w:right w:val="nil"/>
            </w:tcBorders>
          </w:tcPr>
          <w:p w:rsidR="0028027B" w:rsidRPr="00DC1EE4" w:rsidRDefault="0028027B" w:rsidP="00C03F9E">
            <w:pPr>
              <w:pStyle w:val="TableofFigures"/>
            </w:pPr>
            <w:r w:rsidRPr="00DC1EE4">
              <w:t>44 625.4</w:t>
            </w:r>
          </w:p>
        </w:tc>
        <w:tc>
          <w:tcPr>
            <w:tcW w:w="693" w:type="dxa"/>
            <w:tcBorders>
              <w:top w:val="nil"/>
              <w:left w:val="nil"/>
              <w:bottom w:val="nil"/>
              <w:right w:val="nil"/>
            </w:tcBorders>
          </w:tcPr>
          <w:p w:rsidR="0028027B" w:rsidRPr="00DC1EE4" w:rsidRDefault="0028027B" w:rsidP="00C03F9E">
            <w:pPr>
              <w:pStyle w:val="TableofFigures"/>
            </w:pPr>
            <w:r w:rsidRPr="00DC1EE4">
              <w:t xml:space="preserve"> 641.3</w:t>
            </w:r>
          </w:p>
        </w:tc>
        <w:tc>
          <w:tcPr>
            <w:tcW w:w="836" w:type="dxa"/>
            <w:tcBorders>
              <w:top w:val="nil"/>
              <w:left w:val="nil"/>
              <w:bottom w:val="nil"/>
              <w:right w:val="nil"/>
            </w:tcBorders>
          </w:tcPr>
          <w:p w:rsidR="0028027B" w:rsidRPr="00DC1EE4" w:rsidRDefault="0028027B" w:rsidP="00C03F9E">
            <w:pPr>
              <w:pStyle w:val="TableofFigures"/>
            </w:pPr>
            <w:r w:rsidRPr="00DC1EE4">
              <w:t>131 988.7</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pPr>
            <w:r w:rsidRPr="00DC1EE4">
              <w:t>Net result for the year</w:t>
            </w:r>
          </w:p>
        </w:tc>
        <w:tc>
          <w:tcPr>
            <w:tcW w:w="1275" w:type="dxa"/>
            <w:tcBorders>
              <w:top w:val="nil"/>
              <w:left w:val="nil"/>
              <w:bottom w:val="nil"/>
              <w:right w:val="nil"/>
            </w:tcBorders>
          </w:tcPr>
          <w:p w:rsidR="0028027B" w:rsidRPr="00DC1EE4" w:rsidRDefault="0028027B" w:rsidP="00C03F9E">
            <w:pPr>
              <w:pStyle w:val="TableofFigures"/>
            </w:pPr>
            <w:r w:rsidRPr="00DC1EE4">
              <w:t>6 366.3</w:t>
            </w:r>
          </w:p>
        </w:tc>
        <w:tc>
          <w:tcPr>
            <w:tcW w:w="904" w:type="dxa"/>
            <w:tcBorders>
              <w:top w:val="nil"/>
              <w:left w:val="nil"/>
              <w:bottom w:val="nil"/>
              <w:right w:val="nil"/>
            </w:tcBorders>
          </w:tcPr>
          <w:p w:rsidR="0028027B" w:rsidRPr="00DC1EE4" w:rsidRDefault="0028027B" w:rsidP="00C03F9E">
            <w:pPr>
              <w:pStyle w:val="TableofFigures"/>
            </w:pPr>
            <w:r w:rsidRPr="00DC1EE4">
              <w:t>..</w:t>
            </w:r>
          </w:p>
        </w:tc>
        <w:tc>
          <w:tcPr>
            <w:tcW w:w="1575" w:type="dxa"/>
            <w:tcBorders>
              <w:top w:val="nil"/>
              <w:left w:val="nil"/>
              <w:bottom w:val="nil"/>
              <w:right w:val="nil"/>
            </w:tcBorders>
          </w:tcPr>
          <w:p w:rsidR="0028027B" w:rsidRPr="00DC1EE4" w:rsidRDefault="0028027B" w:rsidP="00C03F9E">
            <w:pPr>
              <w:pStyle w:val="TableofFigures"/>
            </w:pPr>
            <w:r w:rsidRPr="00DC1EE4">
              <w:t>..</w:t>
            </w:r>
          </w:p>
        </w:tc>
        <w:tc>
          <w:tcPr>
            <w:tcW w:w="1602" w:type="dxa"/>
            <w:tcBorders>
              <w:top w:val="nil"/>
              <w:left w:val="nil"/>
              <w:bottom w:val="nil"/>
              <w:right w:val="nil"/>
            </w:tcBorders>
          </w:tcPr>
          <w:p w:rsidR="0028027B" w:rsidRPr="00DC1EE4" w:rsidRDefault="0028027B" w:rsidP="00C03F9E">
            <w:pPr>
              <w:pStyle w:val="TableofFigures"/>
            </w:pPr>
            <w:r w:rsidRPr="00DC1EE4">
              <w:t>..</w:t>
            </w:r>
          </w:p>
        </w:tc>
        <w:tc>
          <w:tcPr>
            <w:tcW w:w="693" w:type="dxa"/>
            <w:tcBorders>
              <w:top w:val="nil"/>
              <w:left w:val="nil"/>
              <w:bottom w:val="nil"/>
              <w:right w:val="nil"/>
            </w:tcBorders>
          </w:tcPr>
          <w:p w:rsidR="0028027B" w:rsidRPr="00DC1EE4" w:rsidRDefault="0028027B" w:rsidP="00C03F9E">
            <w:pPr>
              <w:pStyle w:val="TableofFigures"/>
            </w:pPr>
            <w:r w:rsidRPr="00DC1EE4">
              <w:t>..</w:t>
            </w:r>
          </w:p>
        </w:tc>
        <w:tc>
          <w:tcPr>
            <w:tcW w:w="836" w:type="dxa"/>
            <w:tcBorders>
              <w:top w:val="nil"/>
              <w:left w:val="nil"/>
              <w:bottom w:val="nil"/>
              <w:right w:val="nil"/>
            </w:tcBorders>
          </w:tcPr>
          <w:p w:rsidR="0028027B" w:rsidRPr="00DC1EE4" w:rsidRDefault="0028027B" w:rsidP="00C03F9E">
            <w:pPr>
              <w:pStyle w:val="TableofFigures"/>
            </w:pPr>
            <w:r w:rsidRPr="00DC1EE4">
              <w:t>6 366.3</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ind w:left="232" w:hanging="232"/>
            </w:pPr>
            <w:r w:rsidRPr="00DC1EE4">
              <w:t>Other comprehensive income for the year</w:t>
            </w:r>
          </w:p>
        </w:tc>
        <w:tc>
          <w:tcPr>
            <w:tcW w:w="1275" w:type="dxa"/>
            <w:tcBorders>
              <w:top w:val="nil"/>
              <w:left w:val="nil"/>
              <w:bottom w:val="nil"/>
              <w:right w:val="nil"/>
            </w:tcBorders>
          </w:tcPr>
          <w:p w:rsidR="0028027B" w:rsidRPr="00DC1EE4" w:rsidRDefault="0028027B" w:rsidP="00C03F9E">
            <w:pPr>
              <w:pStyle w:val="TableofFigures"/>
            </w:pPr>
            <w:r w:rsidRPr="00DC1EE4">
              <w:t xml:space="preserve"> 957.2</w:t>
            </w:r>
          </w:p>
        </w:tc>
        <w:tc>
          <w:tcPr>
            <w:tcW w:w="904" w:type="dxa"/>
            <w:tcBorders>
              <w:top w:val="nil"/>
              <w:left w:val="nil"/>
              <w:bottom w:val="nil"/>
              <w:right w:val="nil"/>
            </w:tcBorders>
          </w:tcPr>
          <w:p w:rsidR="0028027B" w:rsidRPr="00DC1EE4" w:rsidRDefault="0028027B" w:rsidP="00C03F9E">
            <w:pPr>
              <w:pStyle w:val="TableofFigures"/>
            </w:pPr>
            <w:r w:rsidRPr="00DC1EE4">
              <w:t>..</w:t>
            </w:r>
          </w:p>
        </w:tc>
        <w:tc>
          <w:tcPr>
            <w:tcW w:w="1575" w:type="dxa"/>
            <w:tcBorders>
              <w:top w:val="nil"/>
              <w:left w:val="nil"/>
              <w:bottom w:val="nil"/>
              <w:right w:val="nil"/>
            </w:tcBorders>
          </w:tcPr>
          <w:p w:rsidR="0028027B" w:rsidRPr="00DC1EE4" w:rsidRDefault="0028027B" w:rsidP="00C03F9E">
            <w:pPr>
              <w:pStyle w:val="TableofFigures"/>
            </w:pPr>
            <w:r w:rsidRPr="00DC1EE4">
              <w:t xml:space="preserve"> 755.8</w:t>
            </w:r>
          </w:p>
        </w:tc>
        <w:tc>
          <w:tcPr>
            <w:tcW w:w="1602" w:type="dxa"/>
            <w:tcBorders>
              <w:top w:val="nil"/>
              <w:left w:val="nil"/>
              <w:bottom w:val="nil"/>
              <w:right w:val="nil"/>
            </w:tcBorders>
          </w:tcPr>
          <w:p w:rsidR="0028027B" w:rsidRPr="00DC1EE4" w:rsidRDefault="0028027B" w:rsidP="00C03F9E">
            <w:pPr>
              <w:pStyle w:val="TableofFigures"/>
            </w:pPr>
            <w:r w:rsidRPr="00DC1EE4">
              <w:t xml:space="preserve"> 1.5</w:t>
            </w:r>
          </w:p>
        </w:tc>
        <w:tc>
          <w:tcPr>
            <w:tcW w:w="693" w:type="dxa"/>
            <w:tcBorders>
              <w:top w:val="nil"/>
              <w:left w:val="nil"/>
              <w:bottom w:val="nil"/>
              <w:right w:val="nil"/>
            </w:tcBorders>
          </w:tcPr>
          <w:p w:rsidR="0028027B" w:rsidRPr="00DC1EE4" w:rsidRDefault="0028027B" w:rsidP="00C03F9E">
            <w:pPr>
              <w:pStyle w:val="TableofFigures"/>
            </w:pPr>
            <w:r w:rsidRPr="00DC1EE4">
              <w:t xml:space="preserve"> 12.2</w:t>
            </w:r>
          </w:p>
        </w:tc>
        <w:tc>
          <w:tcPr>
            <w:tcW w:w="836" w:type="dxa"/>
            <w:tcBorders>
              <w:top w:val="nil"/>
              <w:left w:val="nil"/>
              <w:bottom w:val="nil"/>
              <w:right w:val="nil"/>
            </w:tcBorders>
          </w:tcPr>
          <w:p w:rsidR="0028027B" w:rsidRPr="00DC1EE4" w:rsidRDefault="0028027B" w:rsidP="00C03F9E">
            <w:pPr>
              <w:pStyle w:val="TableofFigures"/>
            </w:pPr>
            <w:r w:rsidRPr="00DC1EE4">
              <w:t>1 726.7</w:t>
            </w:r>
          </w:p>
        </w:tc>
      </w:tr>
      <w:tr w:rsidR="0028027B" w:rsidRPr="00DC1EE4" w:rsidTr="00C03F9E">
        <w:trPr>
          <w:trHeight w:val="220"/>
          <w:jc w:val="center"/>
        </w:trPr>
        <w:tc>
          <w:tcPr>
            <w:tcW w:w="3275" w:type="dxa"/>
            <w:tcBorders>
              <w:top w:val="single" w:sz="6" w:space="0" w:color="auto"/>
              <w:left w:val="nil"/>
              <w:bottom w:val="single" w:sz="12" w:space="0" w:color="auto"/>
              <w:right w:val="nil"/>
            </w:tcBorders>
          </w:tcPr>
          <w:p w:rsidR="0028027B" w:rsidRPr="00DC1EE4" w:rsidRDefault="0028027B" w:rsidP="00C03F9E">
            <w:pPr>
              <w:pStyle w:val="Tabletext"/>
              <w:rPr>
                <w:b/>
              </w:rPr>
            </w:pPr>
            <w:r w:rsidRPr="00DC1EE4">
              <w:rPr>
                <w:b/>
              </w:rPr>
              <w:t>Balance as at 30 June 2016</w:t>
            </w:r>
          </w:p>
        </w:tc>
        <w:tc>
          <w:tcPr>
            <w:tcW w:w="127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47 152.0</w:t>
            </w:r>
          </w:p>
        </w:tc>
        <w:tc>
          <w:tcPr>
            <w:tcW w:w="904"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50.0</w:t>
            </w:r>
          </w:p>
        </w:tc>
        <w:tc>
          <w:tcPr>
            <w:tcW w:w="157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47 599.2</w:t>
            </w:r>
          </w:p>
        </w:tc>
        <w:tc>
          <w:tcPr>
            <w:tcW w:w="1602"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44 626.9</w:t>
            </w:r>
          </w:p>
        </w:tc>
        <w:tc>
          <w:tcPr>
            <w:tcW w:w="693"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653.5</w:t>
            </w:r>
          </w:p>
        </w:tc>
        <w:tc>
          <w:tcPr>
            <w:tcW w:w="836"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140 081.7</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rPr>
                <w:b/>
              </w:rPr>
            </w:pPr>
            <w:r w:rsidRPr="00DC1EE4">
              <w:rPr>
                <w:b/>
              </w:rPr>
              <w:t>2016</w:t>
            </w:r>
            <w:r w:rsidR="005A4BB0">
              <w:rPr>
                <w:b/>
              </w:rPr>
              <w:noBreakHyphen/>
            </w:r>
            <w:r w:rsidRPr="00DC1EE4">
              <w:rPr>
                <w:b/>
              </w:rPr>
              <w:t xml:space="preserve">17 </w:t>
            </w:r>
          </w:p>
        </w:tc>
        <w:tc>
          <w:tcPr>
            <w:tcW w:w="1275"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904"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1575"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1602"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693"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836" w:type="dxa"/>
            <w:tcBorders>
              <w:top w:val="nil"/>
              <w:left w:val="nil"/>
              <w:bottom w:val="nil"/>
              <w:right w:val="nil"/>
            </w:tcBorders>
          </w:tcPr>
          <w:p w:rsidR="0028027B" w:rsidRPr="00DC1EE4" w:rsidRDefault="005A4BB0" w:rsidP="00C03F9E">
            <w:pPr>
              <w:pStyle w:val="TableofFigures"/>
              <w:rPr>
                <w:b/>
              </w:rPr>
            </w:pPr>
            <w:r>
              <w:rPr>
                <w:b/>
              </w:rPr>
              <w:t xml:space="preserve"> </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pPr>
            <w:r w:rsidRPr="00DC1EE4">
              <w:t>Balance at 1 July 2016</w:t>
            </w:r>
          </w:p>
        </w:tc>
        <w:tc>
          <w:tcPr>
            <w:tcW w:w="1275" w:type="dxa"/>
            <w:tcBorders>
              <w:top w:val="nil"/>
              <w:left w:val="nil"/>
              <w:bottom w:val="nil"/>
              <w:right w:val="nil"/>
            </w:tcBorders>
          </w:tcPr>
          <w:p w:rsidR="0028027B" w:rsidRPr="00DC1EE4" w:rsidRDefault="0028027B" w:rsidP="00C03F9E">
            <w:pPr>
              <w:pStyle w:val="TableofFigures"/>
            </w:pPr>
            <w:r w:rsidRPr="00DC1EE4">
              <w:t>47 152.0</w:t>
            </w:r>
          </w:p>
        </w:tc>
        <w:tc>
          <w:tcPr>
            <w:tcW w:w="904" w:type="dxa"/>
            <w:tcBorders>
              <w:top w:val="nil"/>
              <w:left w:val="nil"/>
              <w:bottom w:val="nil"/>
              <w:right w:val="nil"/>
            </w:tcBorders>
          </w:tcPr>
          <w:p w:rsidR="0028027B" w:rsidRPr="00DC1EE4" w:rsidRDefault="0028027B" w:rsidP="00C03F9E">
            <w:pPr>
              <w:pStyle w:val="TableofFigures"/>
            </w:pPr>
            <w:r w:rsidRPr="00DC1EE4">
              <w:t xml:space="preserve"> 50.0</w:t>
            </w:r>
          </w:p>
        </w:tc>
        <w:tc>
          <w:tcPr>
            <w:tcW w:w="1575" w:type="dxa"/>
            <w:tcBorders>
              <w:top w:val="nil"/>
              <w:left w:val="nil"/>
              <w:bottom w:val="nil"/>
              <w:right w:val="nil"/>
            </w:tcBorders>
          </w:tcPr>
          <w:p w:rsidR="0028027B" w:rsidRPr="00DC1EE4" w:rsidRDefault="0028027B" w:rsidP="00C03F9E">
            <w:pPr>
              <w:pStyle w:val="TableofFigures"/>
            </w:pPr>
            <w:r w:rsidRPr="00DC1EE4">
              <w:t>47 599.2</w:t>
            </w:r>
          </w:p>
        </w:tc>
        <w:tc>
          <w:tcPr>
            <w:tcW w:w="1602" w:type="dxa"/>
            <w:tcBorders>
              <w:top w:val="nil"/>
              <w:left w:val="nil"/>
              <w:bottom w:val="nil"/>
              <w:right w:val="nil"/>
            </w:tcBorders>
          </w:tcPr>
          <w:p w:rsidR="0028027B" w:rsidRPr="00DC1EE4" w:rsidRDefault="0028027B" w:rsidP="00C03F9E">
            <w:pPr>
              <w:pStyle w:val="TableofFigures"/>
            </w:pPr>
            <w:r w:rsidRPr="00DC1EE4">
              <w:t>44 626.9</w:t>
            </w:r>
          </w:p>
        </w:tc>
        <w:tc>
          <w:tcPr>
            <w:tcW w:w="693" w:type="dxa"/>
            <w:tcBorders>
              <w:top w:val="nil"/>
              <w:left w:val="nil"/>
              <w:bottom w:val="nil"/>
              <w:right w:val="nil"/>
            </w:tcBorders>
          </w:tcPr>
          <w:p w:rsidR="0028027B" w:rsidRPr="00DC1EE4" w:rsidRDefault="0028027B" w:rsidP="00C03F9E">
            <w:pPr>
              <w:pStyle w:val="TableofFigures"/>
            </w:pPr>
            <w:r w:rsidRPr="00DC1EE4">
              <w:t xml:space="preserve"> 653.5</w:t>
            </w:r>
          </w:p>
        </w:tc>
        <w:tc>
          <w:tcPr>
            <w:tcW w:w="836" w:type="dxa"/>
            <w:tcBorders>
              <w:top w:val="nil"/>
              <w:left w:val="nil"/>
              <w:bottom w:val="nil"/>
              <w:right w:val="nil"/>
            </w:tcBorders>
          </w:tcPr>
          <w:p w:rsidR="0028027B" w:rsidRPr="00DC1EE4" w:rsidRDefault="0028027B" w:rsidP="00C03F9E">
            <w:pPr>
              <w:pStyle w:val="TableofFigures"/>
            </w:pPr>
            <w:r w:rsidRPr="00DC1EE4">
              <w:t>140 081.7</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pPr>
            <w:r w:rsidRPr="00DC1EE4">
              <w:t>Net result for the year</w:t>
            </w:r>
          </w:p>
        </w:tc>
        <w:tc>
          <w:tcPr>
            <w:tcW w:w="1275" w:type="dxa"/>
            <w:tcBorders>
              <w:top w:val="nil"/>
              <w:left w:val="nil"/>
              <w:bottom w:val="nil"/>
              <w:right w:val="nil"/>
            </w:tcBorders>
          </w:tcPr>
          <w:p w:rsidR="0028027B" w:rsidRPr="00DC1EE4" w:rsidRDefault="0028027B" w:rsidP="00C03F9E">
            <w:pPr>
              <w:pStyle w:val="TableofFigures"/>
            </w:pPr>
            <w:r w:rsidRPr="00DC1EE4">
              <w:t>1 140.8</w:t>
            </w:r>
          </w:p>
        </w:tc>
        <w:tc>
          <w:tcPr>
            <w:tcW w:w="904" w:type="dxa"/>
            <w:tcBorders>
              <w:top w:val="nil"/>
              <w:left w:val="nil"/>
              <w:bottom w:val="nil"/>
              <w:right w:val="nil"/>
            </w:tcBorders>
          </w:tcPr>
          <w:p w:rsidR="0028027B" w:rsidRPr="00DC1EE4" w:rsidRDefault="0028027B" w:rsidP="00C03F9E">
            <w:pPr>
              <w:pStyle w:val="TableofFigures"/>
            </w:pPr>
            <w:r w:rsidRPr="00DC1EE4">
              <w:t>..</w:t>
            </w:r>
          </w:p>
        </w:tc>
        <w:tc>
          <w:tcPr>
            <w:tcW w:w="1575" w:type="dxa"/>
            <w:tcBorders>
              <w:top w:val="nil"/>
              <w:left w:val="nil"/>
              <w:bottom w:val="nil"/>
              <w:right w:val="nil"/>
            </w:tcBorders>
          </w:tcPr>
          <w:p w:rsidR="0028027B" w:rsidRPr="00DC1EE4" w:rsidRDefault="0028027B" w:rsidP="00C03F9E">
            <w:pPr>
              <w:pStyle w:val="TableofFigures"/>
            </w:pPr>
            <w:r w:rsidRPr="00DC1EE4">
              <w:t>..</w:t>
            </w:r>
          </w:p>
        </w:tc>
        <w:tc>
          <w:tcPr>
            <w:tcW w:w="1602" w:type="dxa"/>
            <w:tcBorders>
              <w:top w:val="nil"/>
              <w:left w:val="nil"/>
              <w:bottom w:val="nil"/>
              <w:right w:val="nil"/>
            </w:tcBorders>
          </w:tcPr>
          <w:p w:rsidR="0028027B" w:rsidRPr="00DC1EE4" w:rsidRDefault="0028027B" w:rsidP="00C03F9E">
            <w:pPr>
              <w:pStyle w:val="TableofFigures"/>
            </w:pPr>
            <w:r w:rsidRPr="00DC1EE4">
              <w:t>..</w:t>
            </w:r>
          </w:p>
        </w:tc>
        <w:tc>
          <w:tcPr>
            <w:tcW w:w="693" w:type="dxa"/>
            <w:tcBorders>
              <w:top w:val="nil"/>
              <w:left w:val="nil"/>
              <w:bottom w:val="nil"/>
              <w:right w:val="nil"/>
            </w:tcBorders>
          </w:tcPr>
          <w:p w:rsidR="0028027B" w:rsidRPr="00DC1EE4" w:rsidRDefault="0028027B" w:rsidP="00C03F9E">
            <w:pPr>
              <w:pStyle w:val="TableofFigures"/>
            </w:pPr>
            <w:r w:rsidRPr="00DC1EE4">
              <w:t>..</w:t>
            </w:r>
          </w:p>
        </w:tc>
        <w:tc>
          <w:tcPr>
            <w:tcW w:w="836" w:type="dxa"/>
            <w:tcBorders>
              <w:top w:val="nil"/>
              <w:left w:val="nil"/>
              <w:bottom w:val="nil"/>
              <w:right w:val="nil"/>
            </w:tcBorders>
          </w:tcPr>
          <w:p w:rsidR="0028027B" w:rsidRPr="00DC1EE4" w:rsidRDefault="0028027B" w:rsidP="00C03F9E">
            <w:pPr>
              <w:pStyle w:val="TableofFigures"/>
            </w:pPr>
            <w:r w:rsidRPr="00DC1EE4">
              <w:t>1 140.8</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ind w:left="232" w:hanging="232"/>
            </w:pPr>
            <w:r w:rsidRPr="00DC1EE4">
              <w:t>Other comprehensive income for the year</w:t>
            </w:r>
          </w:p>
        </w:tc>
        <w:tc>
          <w:tcPr>
            <w:tcW w:w="1275" w:type="dxa"/>
            <w:tcBorders>
              <w:top w:val="nil"/>
              <w:left w:val="nil"/>
              <w:bottom w:val="nil"/>
              <w:right w:val="nil"/>
            </w:tcBorders>
          </w:tcPr>
          <w:p w:rsidR="0028027B" w:rsidRPr="00DC1EE4" w:rsidRDefault="0028027B" w:rsidP="00C03F9E">
            <w:pPr>
              <w:pStyle w:val="TableofFigures"/>
            </w:pPr>
            <w:r w:rsidRPr="00DC1EE4">
              <w:t xml:space="preserve"> 981.6</w:t>
            </w:r>
          </w:p>
        </w:tc>
        <w:tc>
          <w:tcPr>
            <w:tcW w:w="904" w:type="dxa"/>
            <w:tcBorders>
              <w:top w:val="nil"/>
              <w:left w:val="nil"/>
              <w:bottom w:val="nil"/>
              <w:right w:val="nil"/>
            </w:tcBorders>
          </w:tcPr>
          <w:p w:rsidR="0028027B" w:rsidRPr="00DC1EE4" w:rsidRDefault="0028027B" w:rsidP="00C03F9E">
            <w:pPr>
              <w:pStyle w:val="TableofFigures"/>
            </w:pPr>
            <w:r w:rsidRPr="00DC1EE4">
              <w:t>..</w:t>
            </w:r>
          </w:p>
        </w:tc>
        <w:tc>
          <w:tcPr>
            <w:tcW w:w="1575" w:type="dxa"/>
            <w:tcBorders>
              <w:top w:val="nil"/>
              <w:left w:val="nil"/>
              <w:bottom w:val="nil"/>
              <w:right w:val="nil"/>
            </w:tcBorders>
          </w:tcPr>
          <w:p w:rsidR="0028027B" w:rsidRPr="00DC1EE4" w:rsidRDefault="0028027B" w:rsidP="00C03F9E">
            <w:pPr>
              <w:pStyle w:val="TableofFigures"/>
            </w:pPr>
            <w:r w:rsidRPr="00DC1EE4">
              <w:t xml:space="preserve"> 513.0</w:t>
            </w:r>
          </w:p>
        </w:tc>
        <w:tc>
          <w:tcPr>
            <w:tcW w:w="1602" w:type="dxa"/>
            <w:tcBorders>
              <w:top w:val="nil"/>
              <w:left w:val="nil"/>
              <w:bottom w:val="nil"/>
              <w:right w:val="nil"/>
            </w:tcBorders>
          </w:tcPr>
          <w:p w:rsidR="0028027B" w:rsidRPr="00DC1EE4" w:rsidRDefault="0028027B" w:rsidP="00C03F9E">
            <w:pPr>
              <w:pStyle w:val="TableofFigures"/>
            </w:pPr>
            <w:r w:rsidRPr="00DC1EE4">
              <w:t>(378.0)</w:t>
            </w:r>
          </w:p>
        </w:tc>
        <w:tc>
          <w:tcPr>
            <w:tcW w:w="693" w:type="dxa"/>
            <w:tcBorders>
              <w:top w:val="nil"/>
              <w:left w:val="nil"/>
              <w:bottom w:val="nil"/>
              <w:right w:val="nil"/>
            </w:tcBorders>
          </w:tcPr>
          <w:p w:rsidR="0028027B" w:rsidRPr="00DC1EE4" w:rsidRDefault="0028027B" w:rsidP="00C03F9E">
            <w:pPr>
              <w:pStyle w:val="TableofFigures"/>
            </w:pPr>
            <w:r w:rsidRPr="00DC1EE4">
              <w:t xml:space="preserve"> 15.8</w:t>
            </w:r>
          </w:p>
        </w:tc>
        <w:tc>
          <w:tcPr>
            <w:tcW w:w="836" w:type="dxa"/>
            <w:tcBorders>
              <w:top w:val="nil"/>
              <w:left w:val="nil"/>
              <w:bottom w:val="nil"/>
              <w:right w:val="nil"/>
            </w:tcBorders>
          </w:tcPr>
          <w:p w:rsidR="0028027B" w:rsidRPr="00DC1EE4" w:rsidRDefault="0028027B" w:rsidP="00C03F9E">
            <w:pPr>
              <w:pStyle w:val="TableofFigures"/>
            </w:pPr>
            <w:r w:rsidRPr="00DC1EE4">
              <w:t>1 132.4</w:t>
            </w:r>
          </w:p>
        </w:tc>
      </w:tr>
      <w:tr w:rsidR="0028027B" w:rsidRPr="00DC1EE4" w:rsidTr="00C03F9E">
        <w:trPr>
          <w:trHeight w:val="220"/>
          <w:jc w:val="center"/>
        </w:trPr>
        <w:tc>
          <w:tcPr>
            <w:tcW w:w="3275" w:type="dxa"/>
            <w:tcBorders>
              <w:top w:val="single" w:sz="6" w:space="0" w:color="auto"/>
              <w:left w:val="nil"/>
              <w:bottom w:val="single" w:sz="12" w:space="0" w:color="auto"/>
              <w:right w:val="nil"/>
            </w:tcBorders>
          </w:tcPr>
          <w:p w:rsidR="0028027B" w:rsidRPr="00DC1EE4" w:rsidRDefault="0028027B" w:rsidP="00C03F9E">
            <w:pPr>
              <w:pStyle w:val="Tabletext"/>
              <w:rPr>
                <w:b/>
              </w:rPr>
            </w:pPr>
            <w:r w:rsidRPr="00DC1EE4">
              <w:rPr>
                <w:b/>
              </w:rPr>
              <w:t>Balance as at 30 June 2017</w:t>
            </w:r>
          </w:p>
        </w:tc>
        <w:tc>
          <w:tcPr>
            <w:tcW w:w="127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49 274.5</w:t>
            </w:r>
          </w:p>
        </w:tc>
        <w:tc>
          <w:tcPr>
            <w:tcW w:w="904"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50.0</w:t>
            </w:r>
          </w:p>
        </w:tc>
        <w:tc>
          <w:tcPr>
            <w:tcW w:w="157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48 112.3</w:t>
            </w:r>
          </w:p>
        </w:tc>
        <w:tc>
          <w:tcPr>
            <w:tcW w:w="1602"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44 248.9</w:t>
            </w:r>
          </w:p>
        </w:tc>
        <w:tc>
          <w:tcPr>
            <w:tcW w:w="693"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669.3</w:t>
            </w:r>
          </w:p>
        </w:tc>
        <w:tc>
          <w:tcPr>
            <w:tcW w:w="836"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142 354.8</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rPr>
                <w:b/>
              </w:rPr>
            </w:pPr>
            <w:r w:rsidRPr="00DC1EE4">
              <w:rPr>
                <w:b/>
              </w:rPr>
              <w:t>2017</w:t>
            </w:r>
            <w:r w:rsidR="005A4BB0">
              <w:rPr>
                <w:b/>
              </w:rPr>
              <w:noBreakHyphen/>
            </w:r>
            <w:r w:rsidRPr="00DC1EE4">
              <w:rPr>
                <w:b/>
              </w:rPr>
              <w:t xml:space="preserve">18 </w:t>
            </w:r>
          </w:p>
        </w:tc>
        <w:tc>
          <w:tcPr>
            <w:tcW w:w="1275"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904"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1575"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1602"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693"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836" w:type="dxa"/>
            <w:tcBorders>
              <w:top w:val="nil"/>
              <w:left w:val="nil"/>
              <w:bottom w:val="nil"/>
              <w:right w:val="nil"/>
            </w:tcBorders>
          </w:tcPr>
          <w:p w:rsidR="0028027B" w:rsidRPr="00DC1EE4" w:rsidRDefault="005A4BB0" w:rsidP="00C03F9E">
            <w:pPr>
              <w:pStyle w:val="TableofFigures"/>
              <w:rPr>
                <w:b/>
              </w:rPr>
            </w:pPr>
            <w:r>
              <w:rPr>
                <w:b/>
              </w:rPr>
              <w:t xml:space="preserve"> </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pPr>
            <w:r w:rsidRPr="00DC1EE4">
              <w:t>Balance at 1 July 2017</w:t>
            </w:r>
          </w:p>
        </w:tc>
        <w:tc>
          <w:tcPr>
            <w:tcW w:w="1275" w:type="dxa"/>
            <w:tcBorders>
              <w:top w:val="nil"/>
              <w:left w:val="nil"/>
              <w:bottom w:val="nil"/>
              <w:right w:val="nil"/>
            </w:tcBorders>
          </w:tcPr>
          <w:p w:rsidR="0028027B" w:rsidRPr="00DC1EE4" w:rsidRDefault="0028027B" w:rsidP="00C03F9E">
            <w:pPr>
              <w:pStyle w:val="TableofFigures"/>
            </w:pPr>
            <w:r w:rsidRPr="00DC1EE4">
              <w:t>49 274.5</w:t>
            </w:r>
          </w:p>
        </w:tc>
        <w:tc>
          <w:tcPr>
            <w:tcW w:w="904" w:type="dxa"/>
            <w:tcBorders>
              <w:top w:val="nil"/>
              <w:left w:val="nil"/>
              <w:bottom w:val="nil"/>
              <w:right w:val="nil"/>
            </w:tcBorders>
          </w:tcPr>
          <w:p w:rsidR="0028027B" w:rsidRPr="00DC1EE4" w:rsidRDefault="0028027B" w:rsidP="00C03F9E">
            <w:pPr>
              <w:pStyle w:val="TableofFigures"/>
            </w:pPr>
            <w:r w:rsidRPr="00DC1EE4">
              <w:t xml:space="preserve"> 50.0</w:t>
            </w:r>
          </w:p>
        </w:tc>
        <w:tc>
          <w:tcPr>
            <w:tcW w:w="1575" w:type="dxa"/>
            <w:tcBorders>
              <w:top w:val="nil"/>
              <w:left w:val="nil"/>
              <w:bottom w:val="nil"/>
              <w:right w:val="nil"/>
            </w:tcBorders>
          </w:tcPr>
          <w:p w:rsidR="0028027B" w:rsidRPr="00DC1EE4" w:rsidRDefault="0028027B" w:rsidP="00C03F9E">
            <w:pPr>
              <w:pStyle w:val="TableofFigures"/>
            </w:pPr>
            <w:r w:rsidRPr="00DC1EE4">
              <w:t>48 112.3</w:t>
            </w:r>
          </w:p>
        </w:tc>
        <w:tc>
          <w:tcPr>
            <w:tcW w:w="1602" w:type="dxa"/>
            <w:tcBorders>
              <w:top w:val="nil"/>
              <w:left w:val="nil"/>
              <w:bottom w:val="nil"/>
              <w:right w:val="nil"/>
            </w:tcBorders>
          </w:tcPr>
          <w:p w:rsidR="0028027B" w:rsidRPr="00DC1EE4" w:rsidRDefault="0028027B" w:rsidP="00C03F9E">
            <w:pPr>
              <w:pStyle w:val="TableofFigures"/>
            </w:pPr>
            <w:r w:rsidRPr="00DC1EE4">
              <w:t>44 248.9</w:t>
            </w:r>
          </w:p>
        </w:tc>
        <w:tc>
          <w:tcPr>
            <w:tcW w:w="693" w:type="dxa"/>
            <w:tcBorders>
              <w:top w:val="nil"/>
              <w:left w:val="nil"/>
              <w:bottom w:val="nil"/>
              <w:right w:val="nil"/>
            </w:tcBorders>
          </w:tcPr>
          <w:p w:rsidR="0028027B" w:rsidRPr="00DC1EE4" w:rsidRDefault="0028027B" w:rsidP="00C03F9E">
            <w:pPr>
              <w:pStyle w:val="TableofFigures"/>
            </w:pPr>
            <w:r w:rsidRPr="00DC1EE4">
              <w:t xml:space="preserve"> 669.3</w:t>
            </w:r>
          </w:p>
        </w:tc>
        <w:tc>
          <w:tcPr>
            <w:tcW w:w="836" w:type="dxa"/>
            <w:tcBorders>
              <w:top w:val="nil"/>
              <w:left w:val="nil"/>
              <w:bottom w:val="nil"/>
              <w:right w:val="nil"/>
            </w:tcBorders>
          </w:tcPr>
          <w:p w:rsidR="0028027B" w:rsidRPr="00DC1EE4" w:rsidRDefault="0028027B" w:rsidP="00C03F9E">
            <w:pPr>
              <w:pStyle w:val="TableofFigures"/>
            </w:pPr>
            <w:r w:rsidRPr="00DC1EE4">
              <w:t>142 354.8</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pPr>
            <w:r w:rsidRPr="00DC1EE4">
              <w:t>Net result for the year</w:t>
            </w:r>
          </w:p>
        </w:tc>
        <w:tc>
          <w:tcPr>
            <w:tcW w:w="1275" w:type="dxa"/>
            <w:tcBorders>
              <w:top w:val="nil"/>
              <w:left w:val="nil"/>
              <w:bottom w:val="nil"/>
              <w:right w:val="nil"/>
            </w:tcBorders>
          </w:tcPr>
          <w:p w:rsidR="0028027B" w:rsidRPr="00DC1EE4" w:rsidRDefault="0028027B" w:rsidP="00C03F9E">
            <w:pPr>
              <w:pStyle w:val="TableofFigures"/>
            </w:pPr>
            <w:r w:rsidRPr="00DC1EE4">
              <w:t>1 110.1</w:t>
            </w:r>
          </w:p>
        </w:tc>
        <w:tc>
          <w:tcPr>
            <w:tcW w:w="904" w:type="dxa"/>
            <w:tcBorders>
              <w:top w:val="nil"/>
              <w:left w:val="nil"/>
              <w:bottom w:val="nil"/>
              <w:right w:val="nil"/>
            </w:tcBorders>
          </w:tcPr>
          <w:p w:rsidR="0028027B" w:rsidRPr="00DC1EE4" w:rsidRDefault="0028027B" w:rsidP="00C03F9E">
            <w:pPr>
              <w:pStyle w:val="TableofFigures"/>
            </w:pPr>
            <w:r w:rsidRPr="00DC1EE4">
              <w:t>..</w:t>
            </w:r>
          </w:p>
        </w:tc>
        <w:tc>
          <w:tcPr>
            <w:tcW w:w="1575" w:type="dxa"/>
            <w:tcBorders>
              <w:top w:val="nil"/>
              <w:left w:val="nil"/>
              <w:bottom w:val="nil"/>
              <w:right w:val="nil"/>
            </w:tcBorders>
          </w:tcPr>
          <w:p w:rsidR="0028027B" w:rsidRPr="00DC1EE4" w:rsidRDefault="0028027B" w:rsidP="00C03F9E">
            <w:pPr>
              <w:pStyle w:val="TableofFigures"/>
            </w:pPr>
            <w:r w:rsidRPr="00DC1EE4">
              <w:t>..</w:t>
            </w:r>
          </w:p>
        </w:tc>
        <w:tc>
          <w:tcPr>
            <w:tcW w:w="1602" w:type="dxa"/>
            <w:tcBorders>
              <w:top w:val="nil"/>
              <w:left w:val="nil"/>
              <w:bottom w:val="nil"/>
              <w:right w:val="nil"/>
            </w:tcBorders>
          </w:tcPr>
          <w:p w:rsidR="0028027B" w:rsidRPr="00DC1EE4" w:rsidRDefault="0028027B" w:rsidP="00C03F9E">
            <w:pPr>
              <w:pStyle w:val="TableofFigures"/>
            </w:pPr>
            <w:r w:rsidRPr="00DC1EE4">
              <w:t>..</w:t>
            </w:r>
          </w:p>
        </w:tc>
        <w:tc>
          <w:tcPr>
            <w:tcW w:w="693" w:type="dxa"/>
            <w:tcBorders>
              <w:top w:val="nil"/>
              <w:left w:val="nil"/>
              <w:bottom w:val="nil"/>
              <w:right w:val="nil"/>
            </w:tcBorders>
          </w:tcPr>
          <w:p w:rsidR="0028027B" w:rsidRPr="00DC1EE4" w:rsidRDefault="0028027B" w:rsidP="00C03F9E">
            <w:pPr>
              <w:pStyle w:val="TableofFigures"/>
            </w:pPr>
            <w:r w:rsidRPr="00DC1EE4">
              <w:t>..</w:t>
            </w:r>
          </w:p>
        </w:tc>
        <w:tc>
          <w:tcPr>
            <w:tcW w:w="836" w:type="dxa"/>
            <w:tcBorders>
              <w:top w:val="nil"/>
              <w:left w:val="nil"/>
              <w:bottom w:val="nil"/>
              <w:right w:val="nil"/>
            </w:tcBorders>
          </w:tcPr>
          <w:p w:rsidR="0028027B" w:rsidRPr="00DC1EE4" w:rsidRDefault="0028027B" w:rsidP="00C03F9E">
            <w:pPr>
              <w:pStyle w:val="TableofFigures"/>
            </w:pPr>
            <w:r w:rsidRPr="00DC1EE4">
              <w:t>1 110.1</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ind w:left="232" w:hanging="232"/>
            </w:pPr>
            <w:r w:rsidRPr="00DC1EE4">
              <w:t>Other comprehensive income for the year</w:t>
            </w:r>
          </w:p>
        </w:tc>
        <w:tc>
          <w:tcPr>
            <w:tcW w:w="1275" w:type="dxa"/>
            <w:tcBorders>
              <w:top w:val="nil"/>
              <w:left w:val="nil"/>
              <w:bottom w:val="nil"/>
              <w:right w:val="nil"/>
            </w:tcBorders>
          </w:tcPr>
          <w:p w:rsidR="0028027B" w:rsidRPr="00DC1EE4" w:rsidRDefault="0028027B" w:rsidP="00C03F9E">
            <w:pPr>
              <w:pStyle w:val="TableofFigures"/>
            </w:pPr>
            <w:r w:rsidRPr="00DC1EE4">
              <w:t>1 017.5</w:t>
            </w:r>
          </w:p>
        </w:tc>
        <w:tc>
          <w:tcPr>
            <w:tcW w:w="904" w:type="dxa"/>
            <w:tcBorders>
              <w:top w:val="nil"/>
              <w:left w:val="nil"/>
              <w:bottom w:val="nil"/>
              <w:right w:val="nil"/>
            </w:tcBorders>
          </w:tcPr>
          <w:p w:rsidR="0028027B" w:rsidRPr="00DC1EE4" w:rsidRDefault="0028027B" w:rsidP="00C03F9E">
            <w:pPr>
              <w:pStyle w:val="TableofFigures"/>
            </w:pPr>
            <w:r w:rsidRPr="00DC1EE4">
              <w:t>..</w:t>
            </w:r>
          </w:p>
        </w:tc>
        <w:tc>
          <w:tcPr>
            <w:tcW w:w="1575" w:type="dxa"/>
            <w:tcBorders>
              <w:top w:val="nil"/>
              <w:left w:val="nil"/>
              <w:bottom w:val="nil"/>
              <w:right w:val="nil"/>
            </w:tcBorders>
          </w:tcPr>
          <w:p w:rsidR="0028027B" w:rsidRPr="00DC1EE4" w:rsidRDefault="0028027B" w:rsidP="00C03F9E">
            <w:pPr>
              <w:pStyle w:val="TableofFigures"/>
            </w:pPr>
            <w:r w:rsidRPr="00DC1EE4">
              <w:t>9 501.1</w:t>
            </w:r>
          </w:p>
        </w:tc>
        <w:tc>
          <w:tcPr>
            <w:tcW w:w="1602" w:type="dxa"/>
            <w:tcBorders>
              <w:top w:val="nil"/>
              <w:left w:val="nil"/>
              <w:bottom w:val="nil"/>
              <w:right w:val="nil"/>
            </w:tcBorders>
          </w:tcPr>
          <w:p w:rsidR="0028027B" w:rsidRPr="00DC1EE4" w:rsidRDefault="0028027B" w:rsidP="00C03F9E">
            <w:pPr>
              <w:pStyle w:val="TableofFigures"/>
            </w:pPr>
            <w:r w:rsidRPr="00DC1EE4">
              <w:t>(222.8)</w:t>
            </w:r>
          </w:p>
        </w:tc>
        <w:tc>
          <w:tcPr>
            <w:tcW w:w="693" w:type="dxa"/>
            <w:tcBorders>
              <w:top w:val="nil"/>
              <w:left w:val="nil"/>
              <w:bottom w:val="nil"/>
              <w:right w:val="nil"/>
            </w:tcBorders>
          </w:tcPr>
          <w:p w:rsidR="0028027B" w:rsidRPr="00DC1EE4" w:rsidRDefault="0028027B" w:rsidP="00C03F9E">
            <w:pPr>
              <w:pStyle w:val="TableofFigures"/>
            </w:pPr>
            <w:r w:rsidRPr="00DC1EE4">
              <w:t xml:space="preserve"> 16.3</w:t>
            </w:r>
          </w:p>
        </w:tc>
        <w:tc>
          <w:tcPr>
            <w:tcW w:w="836" w:type="dxa"/>
            <w:tcBorders>
              <w:top w:val="nil"/>
              <w:left w:val="nil"/>
              <w:bottom w:val="nil"/>
              <w:right w:val="nil"/>
            </w:tcBorders>
          </w:tcPr>
          <w:p w:rsidR="0028027B" w:rsidRPr="00DC1EE4" w:rsidRDefault="0028027B" w:rsidP="00C03F9E">
            <w:pPr>
              <w:pStyle w:val="TableofFigures"/>
            </w:pPr>
            <w:r w:rsidRPr="00DC1EE4">
              <w:t>10 312.2</w:t>
            </w:r>
          </w:p>
        </w:tc>
      </w:tr>
      <w:tr w:rsidR="0028027B" w:rsidRPr="00DC1EE4" w:rsidTr="00C03F9E">
        <w:trPr>
          <w:trHeight w:val="220"/>
          <w:jc w:val="center"/>
        </w:trPr>
        <w:tc>
          <w:tcPr>
            <w:tcW w:w="3275" w:type="dxa"/>
            <w:tcBorders>
              <w:top w:val="single" w:sz="6" w:space="0" w:color="auto"/>
              <w:left w:val="nil"/>
              <w:bottom w:val="single" w:sz="12" w:space="0" w:color="auto"/>
              <w:right w:val="nil"/>
            </w:tcBorders>
          </w:tcPr>
          <w:p w:rsidR="0028027B" w:rsidRPr="00DC1EE4" w:rsidRDefault="0028027B" w:rsidP="00C03F9E">
            <w:pPr>
              <w:pStyle w:val="Tabletext"/>
              <w:rPr>
                <w:b/>
              </w:rPr>
            </w:pPr>
            <w:r w:rsidRPr="00DC1EE4">
              <w:rPr>
                <w:b/>
              </w:rPr>
              <w:t>Balance as at 30 June 2018</w:t>
            </w:r>
          </w:p>
        </w:tc>
        <w:tc>
          <w:tcPr>
            <w:tcW w:w="127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51 402.0</w:t>
            </w:r>
          </w:p>
        </w:tc>
        <w:tc>
          <w:tcPr>
            <w:tcW w:w="904"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50.0</w:t>
            </w:r>
          </w:p>
        </w:tc>
        <w:tc>
          <w:tcPr>
            <w:tcW w:w="157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57 613.4</w:t>
            </w:r>
          </w:p>
        </w:tc>
        <w:tc>
          <w:tcPr>
            <w:tcW w:w="1602"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44 026.1</w:t>
            </w:r>
          </w:p>
        </w:tc>
        <w:tc>
          <w:tcPr>
            <w:tcW w:w="693"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685.6</w:t>
            </w:r>
          </w:p>
        </w:tc>
        <w:tc>
          <w:tcPr>
            <w:tcW w:w="836"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153 777.1</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rPr>
                <w:b/>
              </w:rPr>
            </w:pPr>
            <w:r w:rsidRPr="00DC1EE4">
              <w:rPr>
                <w:b/>
              </w:rPr>
              <w:t>2018</w:t>
            </w:r>
            <w:r w:rsidR="005A4BB0">
              <w:rPr>
                <w:b/>
              </w:rPr>
              <w:noBreakHyphen/>
            </w:r>
            <w:r w:rsidRPr="00DC1EE4">
              <w:rPr>
                <w:b/>
              </w:rPr>
              <w:t xml:space="preserve">19 </w:t>
            </w:r>
          </w:p>
        </w:tc>
        <w:tc>
          <w:tcPr>
            <w:tcW w:w="1275"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904"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1575"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1602"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693"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836" w:type="dxa"/>
            <w:tcBorders>
              <w:top w:val="nil"/>
              <w:left w:val="nil"/>
              <w:bottom w:val="nil"/>
              <w:right w:val="nil"/>
            </w:tcBorders>
          </w:tcPr>
          <w:p w:rsidR="0028027B" w:rsidRPr="00DC1EE4" w:rsidRDefault="005A4BB0" w:rsidP="00C03F9E">
            <w:pPr>
              <w:pStyle w:val="TableofFigures"/>
              <w:rPr>
                <w:b/>
              </w:rPr>
            </w:pPr>
            <w:r>
              <w:rPr>
                <w:b/>
              </w:rPr>
              <w:t xml:space="preserve"> </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pPr>
            <w:r w:rsidRPr="00DC1EE4">
              <w:t>Balance at 1 July 2018</w:t>
            </w:r>
          </w:p>
        </w:tc>
        <w:tc>
          <w:tcPr>
            <w:tcW w:w="1275" w:type="dxa"/>
            <w:tcBorders>
              <w:top w:val="nil"/>
              <w:left w:val="nil"/>
              <w:bottom w:val="nil"/>
              <w:right w:val="nil"/>
            </w:tcBorders>
            <w:shd w:val="solid" w:color="FFFFFF" w:fill="auto"/>
          </w:tcPr>
          <w:p w:rsidR="0028027B" w:rsidRPr="00DC1EE4" w:rsidRDefault="0028027B" w:rsidP="00C03F9E">
            <w:pPr>
              <w:pStyle w:val="TableofFigures"/>
            </w:pPr>
            <w:r w:rsidRPr="00DC1EE4">
              <w:t>51 402.0</w:t>
            </w:r>
          </w:p>
        </w:tc>
        <w:tc>
          <w:tcPr>
            <w:tcW w:w="904" w:type="dxa"/>
            <w:tcBorders>
              <w:top w:val="nil"/>
              <w:left w:val="nil"/>
              <w:bottom w:val="nil"/>
              <w:right w:val="nil"/>
            </w:tcBorders>
          </w:tcPr>
          <w:p w:rsidR="0028027B" w:rsidRPr="00DC1EE4" w:rsidRDefault="0028027B" w:rsidP="00C03F9E">
            <w:pPr>
              <w:pStyle w:val="TableofFigures"/>
            </w:pPr>
            <w:r w:rsidRPr="00DC1EE4">
              <w:t xml:space="preserve"> 50.0</w:t>
            </w:r>
          </w:p>
        </w:tc>
        <w:tc>
          <w:tcPr>
            <w:tcW w:w="1575" w:type="dxa"/>
            <w:tcBorders>
              <w:top w:val="nil"/>
              <w:left w:val="nil"/>
              <w:bottom w:val="nil"/>
              <w:right w:val="nil"/>
            </w:tcBorders>
          </w:tcPr>
          <w:p w:rsidR="0028027B" w:rsidRPr="00DC1EE4" w:rsidRDefault="0028027B" w:rsidP="00C03F9E">
            <w:pPr>
              <w:pStyle w:val="TableofFigures"/>
            </w:pPr>
            <w:r w:rsidRPr="00DC1EE4">
              <w:t>57 613.4</w:t>
            </w:r>
          </w:p>
        </w:tc>
        <w:tc>
          <w:tcPr>
            <w:tcW w:w="1602" w:type="dxa"/>
            <w:tcBorders>
              <w:top w:val="nil"/>
              <w:left w:val="nil"/>
              <w:bottom w:val="nil"/>
              <w:right w:val="nil"/>
            </w:tcBorders>
          </w:tcPr>
          <w:p w:rsidR="0028027B" w:rsidRPr="00DC1EE4" w:rsidRDefault="0028027B" w:rsidP="00C03F9E">
            <w:pPr>
              <w:pStyle w:val="TableofFigures"/>
            </w:pPr>
            <w:r w:rsidRPr="00DC1EE4">
              <w:t>44 026.1</w:t>
            </w:r>
          </w:p>
        </w:tc>
        <w:tc>
          <w:tcPr>
            <w:tcW w:w="693" w:type="dxa"/>
            <w:tcBorders>
              <w:top w:val="nil"/>
              <w:left w:val="nil"/>
              <w:bottom w:val="nil"/>
              <w:right w:val="nil"/>
            </w:tcBorders>
          </w:tcPr>
          <w:p w:rsidR="0028027B" w:rsidRPr="00DC1EE4" w:rsidRDefault="0028027B" w:rsidP="00C03F9E">
            <w:pPr>
              <w:pStyle w:val="TableofFigures"/>
            </w:pPr>
            <w:r w:rsidRPr="00DC1EE4">
              <w:t xml:space="preserve"> 685.6</w:t>
            </w:r>
          </w:p>
        </w:tc>
        <w:tc>
          <w:tcPr>
            <w:tcW w:w="836" w:type="dxa"/>
            <w:tcBorders>
              <w:top w:val="nil"/>
              <w:left w:val="nil"/>
              <w:bottom w:val="nil"/>
              <w:right w:val="nil"/>
            </w:tcBorders>
          </w:tcPr>
          <w:p w:rsidR="0028027B" w:rsidRPr="00DC1EE4" w:rsidRDefault="0028027B" w:rsidP="00C03F9E">
            <w:pPr>
              <w:pStyle w:val="TableofFigures"/>
            </w:pPr>
            <w:r w:rsidRPr="00DC1EE4">
              <w:t>153 777.1</w:t>
            </w:r>
          </w:p>
        </w:tc>
      </w:tr>
      <w:tr w:rsidR="0028027B" w:rsidRPr="00DC1EE4" w:rsidTr="00C03F9E">
        <w:trPr>
          <w:trHeight w:val="220"/>
          <w:jc w:val="center"/>
        </w:trPr>
        <w:tc>
          <w:tcPr>
            <w:tcW w:w="3275" w:type="dxa"/>
            <w:tcBorders>
              <w:top w:val="nil"/>
              <w:left w:val="nil"/>
              <w:bottom w:val="nil"/>
              <w:right w:val="nil"/>
            </w:tcBorders>
          </w:tcPr>
          <w:p w:rsidR="0028027B" w:rsidRPr="00DC1EE4" w:rsidRDefault="0028027B" w:rsidP="00C03F9E">
            <w:pPr>
              <w:pStyle w:val="Tabletext"/>
            </w:pPr>
            <w:r w:rsidRPr="00DC1EE4">
              <w:t>Net result for the year</w:t>
            </w:r>
          </w:p>
        </w:tc>
        <w:tc>
          <w:tcPr>
            <w:tcW w:w="1275" w:type="dxa"/>
            <w:tcBorders>
              <w:top w:val="nil"/>
              <w:left w:val="nil"/>
              <w:bottom w:val="nil"/>
              <w:right w:val="nil"/>
            </w:tcBorders>
          </w:tcPr>
          <w:p w:rsidR="0028027B" w:rsidRPr="00DC1EE4" w:rsidRDefault="0028027B" w:rsidP="00C03F9E">
            <w:pPr>
              <w:pStyle w:val="TableofFigures"/>
            </w:pPr>
            <w:r w:rsidRPr="00DC1EE4">
              <w:t>1 553.4</w:t>
            </w:r>
          </w:p>
        </w:tc>
        <w:tc>
          <w:tcPr>
            <w:tcW w:w="904" w:type="dxa"/>
            <w:tcBorders>
              <w:top w:val="nil"/>
              <w:left w:val="nil"/>
              <w:bottom w:val="nil"/>
              <w:right w:val="nil"/>
            </w:tcBorders>
          </w:tcPr>
          <w:p w:rsidR="0028027B" w:rsidRPr="00DC1EE4" w:rsidRDefault="0028027B" w:rsidP="00C03F9E">
            <w:pPr>
              <w:pStyle w:val="TableofFigures"/>
            </w:pPr>
            <w:r w:rsidRPr="00DC1EE4">
              <w:t>..</w:t>
            </w:r>
          </w:p>
        </w:tc>
        <w:tc>
          <w:tcPr>
            <w:tcW w:w="1575" w:type="dxa"/>
            <w:tcBorders>
              <w:top w:val="nil"/>
              <w:left w:val="nil"/>
              <w:bottom w:val="nil"/>
              <w:right w:val="nil"/>
            </w:tcBorders>
          </w:tcPr>
          <w:p w:rsidR="0028027B" w:rsidRPr="00DC1EE4" w:rsidRDefault="0028027B" w:rsidP="00C03F9E">
            <w:pPr>
              <w:pStyle w:val="TableofFigures"/>
            </w:pPr>
            <w:r w:rsidRPr="00DC1EE4">
              <w:t>..</w:t>
            </w:r>
          </w:p>
        </w:tc>
        <w:tc>
          <w:tcPr>
            <w:tcW w:w="1602" w:type="dxa"/>
            <w:tcBorders>
              <w:top w:val="nil"/>
              <w:left w:val="nil"/>
              <w:bottom w:val="nil"/>
              <w:right w:val="nil"/>
            </w:tcBorders>
          </w:tcPr>
          <w:p w:rsidR="0028027B" w:rsidRPr="00DC1EE4" w:rsidRDefault="0028027B" w:rsidP="00C03F9E">
            <w:pPr>
              <w:pStyle w:val="TableofFigures"/>
            </w:pPr>
            <w:r w:rsidRPr="00DC1EE4">
              <w:t>..</w:t>
            </w:r>
          </w:p>
        </w:tc>
        <w:tc>
          <w:tcPr>
            <w:tcW w:w="693" w:type="dxa"/>
            <w:tcBorders>
              <w:top w:val="nil"/>
              <w:left w:val="nil"/>
              <w:bottom w:val="nil"/>
              <w:right w:val="nil"/>
            </w:tcBorders>
          </w:tcPr>
          <w:p w:rsidR="0028027B" w:rsidRPr="00DC1EE4" w:rsidRDefault="0028027B" w:rsidP="00C03F9E">
            <w:pPr>
              <w:pStyle w:val="TableofFigures"/>
            </w:pPr>
            <w:r w:rsidRPr="00DC1EE4">
              <w:t>..</w:t>
            </w:r>
          </w:p>
        </w:tc>
        <w:tc>
          <w:tcPr>
            <w:tcW w:w="836" w:type="dxa"/>
            <w:tcBorders>
              <w:top w:val="nil"/>
              <w:left w:val="nil"/>
              <w:bottom w:val="nil"/>
              <w:right w:val="nil"/>
            </w:tcBorders>
          </w:tcPr>
          <w:p w:rsidR="0028027B" w:rsidRPr="00DC1EE4" w:rsidRDefault="0028027B" w:rsidP="00C03F9E">
            <w:pPr>
              <w:pStyle w:val="TableofFigures"/>
            </w:pPr>
            <w:r w:rsidRPr="00DC1EE4">
              <w:t>1 553.4</w:t>
            </w:r>
          </w:p>
        </w:tc>
      </w:tr>
      <w:tr w:rsidR="0028027B" w:rsidRPr="00DC1EE4" w:rsidTr="00C03F9E">
        <w:trPr>
          <w:trHeight w:val="220"/>
          <w:jc w:val="center"/>
        </w:trPr>
        <w:tc>
          <w:tcPr>
            <w:tcW w:w="3275" w:type="dxa"/>
            <w:tcBorders>
              <w:top w:val="nil"/>
              <w:left w:val="nil"/>
              <w:bottom w:val="single" w:sz="6" w:space="0" w:color="auto"/>
              <w:right w:val="nil"/>
            </w:tcBorders>
          </w:tcPr>
          <w:p w:rsidR="0028027B" w:rsidRPr="00DC1EE4" w:rsidRDefault="0028027B" w:rsidP="00C03F9E">
            <w:pPr>
              <w:pStyle w:val="Tabletext"/>
              <w:ind w:left="232" w:hanging="232"/>
            </w:pPr>
            <w:r w:rsidRPr="00DC1EE4">
              <w:t>Other comprehensive income for the year</w:t>
            </w:r>
          </w:p>
        </w:tc>
        <w:tc>
          <w:tcPr>
            <w:tcW w:w="1275" w:type="dxa"/>
            <w:tcBorders>
              <w:top w:val="nil"/>
              <w:left w:val="nil"/>
              <w:bottom w:val="single" w:sz="6" w:space="0" w:color="auto"/>
              <w:right w:val="nil"/>
            </w:tcBorders>
          </w:tcPr>
          <w:p w:rsidR="0028027B" w:rsidRPr="00DC1EE4" w:rsidRDefault="0028027B" w:rsidP="00C03F9E">
            <w:pPr>
              <w:pStyle w:val="TableofFigures"/>
            </w:pPr>
            <w:r w:rsidRPr="00DC1EE4">
              <w:t>1 071.9</w:t>
            </w:r>
          </w:p>
        </w:tc>
        <w:tc>
          <w:tcPr>
            <w:tcW w:w="904" w:type="dxa"/>
            <w:tcBorders>
              <w:top w:val="nil"/>
              <w:left w:val="nil"/>
              <w:bottom w:val="single" w:sz="6" w:space="0" w:color="auto"/>
              <w:right w:val="nil"/>
            </w:tcBorders>
          </w:tcPr>
          <w:p w:rsidR="0028027B" w:rsidRPr="00DC1EE4" w:rsidRDefault="0028027B" w:rsidP="00C03F9E">
            <w:pPr>
              <w:pStyle w:val="TableofFigures"/>
            </w:pPr>
            <w:r w:rsidRPr="00DC1EE4">
              <w:t>..</w:t>
            </w:r>
          </w:p>
        </w:tc>
        <w:tc>
          <w:tcPr>
            <w:tcW w:w="1575" w:type="dxa"/>
            <w:tcBorders>
              <w:top w:val="nil"/>
              <w:left w:val="nil"/>
              <w:bottom w:val="single" w:sz="6" w:space="0" w:color="auto"/>
              <w:right w:val="nil"/>
            </w:tcBorders>
          </w:tcPr>
          <w:p w:rsidR="0028027B" w:rsidRPr="00DC1EE4" w:rsidRDefault="0028027B" w:rsidP="00C03F9E">
            <w:pPr>
              <w:pStyle w:val="TableofFigures"/>
            </w:pPr>
            <w:r w:rsidRPr="00DC1EE4">
              <w:t xml:space="preserve"> 421.8</w:t>
            </w:r>
          </w:p>
        </w:tc>
        <w:tc>
          <w:tcPr>
            <w:tcW w:w="1602" w:type="dxa"/>
            <w:tcBorders>
              <w:top w:val="nil"/>
              <w:left w:val="nil"/>
              <w:bottom w:val="single" w:sz="6" w:space="0" w:color="auto"/>
              <w:right w:val="nil"/>
            </w:tcBorders>
          </w:tcPr>
          <w:p w:rsidR="0028027B" w:rsidRPr="00DC1EE4" w:rsidRDefault="0028027B" w:rsidP="00C03F9E">
            <w:pPr>
              <w:pStyle w:val="TableofFigures"/>
            </w:pPr>
            <w:r w:rsidRPr="00DC1EE4">
              <w:t>(255.4)</w:t>
            </w:r>
          </w:p>
        </w:tc>
        <w:tc>
          <w:tcPr>
            <w:tcW w:w="693" w:type="dxa"/>
            <w:tcBorders>
              <w:top w:val="nil"/>
              <w:left w:val="nil"/>
              <w:bottom w:val="single" w:sz="6" w:space="0" w:color="auto"/>
              <w:right w:val="nil"/>
            </w:tcBorders>
          </w:tcPr>
          <w:p w:rsidR="0028027B" w:rsidRPr="00DC1EE4" w:rsidRDefault="0028027B" w:rsidP="00C03F9E">
            <w:pPr>
              <w:pStyle w:val="TableofFigures"/>
            </w:pPr>
            <w:r w:rsidRPr="00DC1EE4">
              <w:t xml:space="preserve"> 16.4</w:t>
            </w:r>
          </w:p>
        </w:tc>
        <w:tc>
          <w:tcPr>
            <w:tcW w:w="836" w:type="dxa"/>
            <w:tcBorders>
              <w:top w:val="nil"/>
              <w:left w:val="nil"/>
              <w:bottom w:val="single" w:sz="6" w:space="0" w:color="auto"/>
              <w:right w:val="nil"/>
            </w:tcBorders>
          </w:tcPr>
          <w:p w:rsidR="0028027B" w:rsidRPr="00DC1EE4" w:rsidRDefault="0028027B" w:rsidP="00C03F9E">
            <w:pPr>
              <w:pStyle w:val="TableofFigures"/>
            </w:pPr>
            <w:r w:rsidRPr="00DC1EE4">
              <w:t>1 254.7</w:t>
            </w:r>
          </w:p>
        </w:tc>
      </w:tr>
      <w:tr w:rsidR="0028027B" w:rsidRPr="00DC1EE4" w:rsidTr="00C03F9E">
        <w:trPr>
          <w:trHeight w:val="220"/>
          <w:jc w:val="center"/>
        </w:trPr>
        <w:tc>
          <w:tcPr>
            <w:tcW w:w="3275" w:type="dxa"/>
            <w:tcBorders>
              <w:top w:val="single" w:sz="6" w:space="0" w:color="auto"/>
              <w:left w:val="nil"/>
              <w:bottom w:val="single" w:sz="12" w:space="0" w:color="auto"/>
              <w:right w:val="nil"/>
            </w:tcBorders>
          </w:tcPr>
          <w:p w:rsidR="0028027B" w:rsidRPr="00DC1EE4" w:rsidRDefault="0028027B" w:rsidP="00C03F9E">
            <w:pPr>
              <w:pStyle w:val="Tabletext"/>
              <w:rPr>
                <w:b/>
              </w:rPr>
            </w:pPr>
            <w:r w:rsidRPr="00DC1EE4">
              <w:rPr>
                <w:b/>
              </w:rPr>
              <w:t>Balance as at 30 June 2019</w:t>
            </w:r>
          </w:p>
        </w:tc>
        <w:tc>
          <w:tcPr>
            <w:tcW w:w="127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54 027.3</w:t>
            </w:r>
          </w:p>
        </w:tc>
        <w:tc>
          <w:tcPr>
            <w:tcW w:w="904"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50.0</w:t>
            </w:r>
          </w:p>
        </w:tc>
        <w:tc>
          <w:tcPr>
            <w:tcW w:w="157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58 035.2</w:t>
            </w:r>
          </w:p>
        </w:tc>
        <w:tc>
          <w:tcPr>
            <w:tcW w:w="1602"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43 770.7</w:t>
            </w:r>
          </w:p>
        </w:tc>
        <w:tc>
          <w:tcPr>
            <w:tcW w:w="693"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702.0</w:t>
            </w:r>
          </w:p>
        </w:tc>
        <w:tc>
          <w:tcPr>
            <w:tcW w:w="836"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156 585.1</w:t>
            </w:r>
          </w:p>
        </w:tc>
      </w:tr>
    </w:tbl>
    <w:p w:rsidR="0028027B" w:rsidRPr="00DC1EE4" w:rsidRDefault="0028027B" w:rsidP="0028027B">
      <w:pPr>
        <w:pStyle w:val="Source"/>
      </w:pPr>
      <w:r w:rsidRPr="00DC1EE4">
        <w:t>The accompanying notes form part of these Estimated Financial Statements.</w:t>
      </w:r>
    </w:p>
    <w:p w:rsidR="0028027B" w:rsidRPr="00DC1EE4" w:rsidRDefault="0028027B" w:rsidP="0028027B">
      <w:pPr>
        <w:pStyle w:val="Notes"/>
      </w:pPr>
    </w:p>
    <w:p w:rsidR="0028027B" w:rsidRPr="00DC1EE4" w:rsidRDefault="0028027B" w:rsidP="0028027B">
      <w:pPr>
        <w:pStyle w:val="Notes"/>
      </w:pPr>
    </w:p>
    <w:p w:rsidR="0028027B" w:rsidRPr="00DC1EE4" w:rsidRDefault="0028027B" w:rsidP="0028027B">
      <w:pPr>
        <w:pStyle w:val="Heading1"/>
        <w:tabs>
          <w:tab w:val="left" w:pos="1899"/>
        </w:tabs>
        <w:ind w:left="1899" w:right="-172" w:hanging="1899"/>
      </w:pPr>
      <w:r w:rsidRPr="00DC1EE4">
        <w:br w:type="page"/>
      </w:r>
      <w:bookmarkStart w:id="688" w:name="_Toc324234840"/>
      <w:bookmarkStart w:id="689" w:name="_Toc330906646"/>
      <w:bookmarkStart w:id="690" w:name="_Toc332019435"/>
      <w:bookmarkStart w:id="691" w:name="_Toc350413726"/>
      <w:bookmarkStart w:id="692" w:name="_Toc388277751"/>
      <w:bookmarkStart w:id="693" w:name="_Toc448493017"/>
      <w:r w:rsidRPr="00DC1EE4">
        <w:t xml:space="preserve">Appendix 1(b) – Extract of financial statements from the </w:t>
      </w:r>
      <w:r w:rsidRPr="00D564A8">
        <w:rPr>
          <w:i/>
        </w:rPr>
        <w:t>2015</w:t>
      </w:r>
      <w:r w:rsidR="005A4BB0">
        <w:rPr>
          <w:i/>
        </w:rPr>
        <w:noBreakHyphen/>
      </w:r>
      <w:r w:rsidRPr="00D564A8">
        <w:rPr>
          <w:i/>
        </w:rPr>
        <w:t>16 Quarterly Financial Report No. 1</w:t>
      </w:r>
      <w:bookmarkEnd w:id="687"/>
      <w:bookmarkEnd w:id="688"/>
      <w:bookmarkEnd w:id="689"/>
      <w:bookmarkEnd w:id="690"/>
      <w:bookmarkEnd w:id="691"/>
      <w:bookmarkEnd w:id="692"/>
      <w:bookmarkEnd w:id="693"/>
    </w:p>
    <w:p w:rsidR="0028027B" w:rsidRPr="00DC1EE4" w:rsidRDefault="0028027B" w:rsidP="0028027B">
      <w:pPr>
        <w:pStyle w:val="Heading2"/>
        <w:spacing w:after="120"/>
      </w:pPr>
      <w:bookmarkStart w:id="694" w:name="_Toc213813353"/>
      <w:r w:rsidRPr="00DC1EE4">
        <w:t>Financial statements for the general government sector</w:t>
      </w:r>
      <w:bookmarkEnd w:id="694"/>
    </w:p>
    <w:p w:rsidR="0028027B" w:rsidRPr="00DC1EE4" w:rsidRDefault="0028027B" w:rsidP="00E348C3">
      <w:pPr>
        <w:pStyle w:val="Tableheading"/>
      </w:pPr>
      <w:bookmarkStart w:id="695" w:name="_Toc308523272"/>
      <w:bookmarkStart w:id="696" w:name="_Toc213813354"/>
      <w:r w:rsidRPr="00DC1EE4">
        <w:t>Table 1.5:</w:t>
      </w:r>
      <w:r w:rsidRPr="00DC1EE4">
        <w:tab/>
        <w:t>Comprehensive operating statement for the period ending 30 September</w:t>
      </w:r>
      <w:bookmarkEnd w:id="695"/>
    </w:p>
    <w:p w:rsidR="0028027B" w:rsidRPr="00DC1EE4" w:rsidRDefault="0028027B" w:rsidP="0028027B">
      <w:pPr>
        <w:pStyle w:val="million"/>
        <w:spacing w:before="0"/>
      </w:pPr>
      <w:r w:rsidRPr="00DC1EE4">
        <w:t>($ million)</w:t>
      </w:r>
    </w:p>
    <w:tbl>
      <w:tblPr>
        <w:tblW w:w="10161" w:type="dxa"/>
        <w:tblInd w:w="29" w:type="dxa"/>
        <w:tblLayout w:type="fixed"/>
        <w:tblCellMar>
          <w:left w:w="43" w:type="dxa"/>
          <w:right w:w="43" w:type="dxa"/>
        </w:tblCellMar>
        <w:tblLook w:val="0000" w:firstRow="0" w:lastRow="0" w:firstColumn="0" w:lastColumn="0" w:noHBand="0" w:noVBand="0"/>
      </w:tblPr>
      <w:tblGrid>
        <w:gridCol w:w="1074"/>
        <w:gridCol w:w="185"/>
        <w:gridCol w:w="5955"/>
        <w:gridCol w:w="900"/>
        <w:gridCol w:w="990"/>
        <w:gridCol w:w="1057"/>
      </w:tblGrid>
      <w:tr w:rsidR="0028027B" w:rsidRPr="00DC1EE4" w:rsidTr="00C03F9E">
        <w:trPr>
          <w:tblHeader/>
        </w:trPr>
        <w:tc>
          <w:tcPr>
            <w:tcW w:w="1074" w:type="dxa"/>
            <w:tcBorders>
              <w:left w:val="single" w:sz="6" w:space="0" w:color="auto"/>
              <w:bottom w:val="single" w:sz="6" w:space="0" w:color="auto"/>
              <w:right w:val="nil"/>
            </w:tcBorders>
            <w:shd w:val="solid" w:color="000000" w:fill="auto"/>
          </w:tcPr>
          <w:p w:rsidR="0028027B" w:rsidRPr="00DC1EE4" w:rsidRDefault="0028027B" w:rsidP="00C03F9E">
            <w:pPr>
              <w:pStyle w:val="Tabletextheading"/>
            </w:pPr>
            <w:r w:rsidRPr="00DC1EE4">
              <w:t>2014</w:t>
            </w:r>
            <w:r w:rsidR="005A4BB0">
              <w:noBreakHyphen/>
            </w:r>
            <w:r w:rsidRPr="00DC1EE4">
              <w:t>15</w:t>
            </w:r>
          </w:p>
        </w:tc>
        <w:tc>
          <w:tcPr>
            <w:tcW w:w="185" w:type="dxa"/>
            <w:tcBorders>
              <w:left w:val="nil"/>
              <w:bottom w:val="single" w:sz="6" w:space="0" w:color="auto"/>
              <w:right w:val="nil"/>
            </w:tcBorders>
            <w:shd w:val="solid" w:color="000000" w:fill="auto"/>
          </w:tcPr>
          <w:p w:rsidR="0028027B" w:rsidRPr="00DC1EE4" w:rsidRDefault="0028027B" w:rsidP="00C03F9E">
            <w:pPr>
              <w:pStyle w:val="Tabletextheading"/>
            </w:pPr>
          </w:p>
        </w:tc>
        <w:tc>
          <w:tcPr>
            <w:tcW w:w="5955" w:type="dxa"/>
            <w:tcBorders>
              <w:left w:val="nil"/>
              <w:bottom w:val="single" w:sz="6" w:space="0" w:color="auto"/>
              <w:right w:val="nil"/>
            </w:tcBorders>
            <w:shd w:val="solid" w:color="000000" w:fill="auto"/>
            <w:vAlign w:val="bottom"/>
          </w:tcPr>
          <w:p w:rsidR="0028027B" w:rsidRPr="00DC1EE4" w:rsidRDefault="0028027B" w:rsidP="00C03F9E">
            <w:pPr>
              <w:pStyle w:val="Tabletextheadingleft0"/>
            </w:pPr>
          </w:p>
        </w:tc>
        <w:tc>
          <w:tcPr>
            <w:tcW w:w="900" w:type="dxa"/>
            <w:tcBorders>
              <w:left w:val="nil"/>
              <w:bottom w:val="single" w:sz="6" w:space="0" w:color="auto"/>
              <w:right w:val="nil"/>
            </w:tcBorders>
            <w:shd w:val="solid" w:color="000000" w:fill="auto"/>
            <w:vAlign w:val="bottom"/>
          </w:tcPr>
          <w:p w:rsidR="0028027B" w:rsidRPr="00DC1EE4" w:rsidRDefault="0028027B" w:rsidP="00C03F9E">
            <w:pPr>
              <w:pStyle w:val="TabletextheadingCentred"/>
            </w:pPr>
          </w:p>
        </w:tc>
        <w:tc>
          <w:tcPr>
            <w:tcW w:w="2047" w:type="dxa"/>
            <w:gridSpan w:val="2"/>
            <w:tcBorders>
              <w:left w:val="nil"/>
              <w:bottom w:val="single" w:sz="6" w:space="0" w:color="auto"/>
              <w:right w:val="single" w:sz="6" w:space="0" w:color="auto"/>
            </w:tcBorders>
            <w:shd w:val="solid" w:color="000000" w:fill="auto"/>
          </w:tcPr>
          <w:p w:rsidR="0028027B" w:rsidRPr="00DC1EE4" w:rsidRDefault="0028027B" w:rsidP="00C03F9E">
            <w:pPr>
              <w:pStyle w:val="Tabletextheading"/>
              <w:jc w:val="center"/>
            </w:pPr>
            <w:r w:rsidRPr="00DC1EE4">
              <w:t>2015</w:t>
            </w:r>
            <w:r w:rsidR="005A4BB0">
              <w:noBreakHyphen/>
            </w:r>
            <w:r w:rsidRPr="00DC1EE4">
              <w:t>16</w:t>
            </w:r>
          </w:p>
        </w:tc>
      </w:tr>
      <w:tr w:rsidR="0028027B" w:rsidRPr="00DC1EE4" w:rsidTr="00C03F9E">
        <w:trPr>
          <w:tblHeader/>
        </w:trPr>
        <w:tc>
          <w:tcPr>
            <w:tcW w:w="1074" w:type="dxa"/>
            <w:tcBorders>
              <w:left w:val="single" w:sz="6" w:space="0" w:color="auto"/>
              <w:bottom w:val="single" w:sz="6" w:space="0" w:color="auto"/>
              <w:right w:val="nil"/>
            </w:tcBorders>
            <w:shd w:val="solid" w:color="000000" w:fill="auto"/>
          </w:tcPr>
          <w:p w:rsidR="0028027B" w:rsidRPr="00DC1EE4" w:rsidRDefault="0028027B" w:rsidP="00C03F9E">
            <w:pPr>
              <w:pStyle w:val="Tabletextheading"/>
            </w:pPr>
            <w:bookmarkStart w:id="697" w:name="_Toc213813355"/>
            <w:bookmarkEnd w:id="696"/>
            <w:r w:rsidRPr="00DC1EE4">
              <w:t>Actual</w:t>
            </w:r>
          </w:p>
          <w:p w:rsidR="0028027B" w:rsidRPr="00DC1EE4" w:rsidRDefault="0028027B" w:rsidP="00C03F9E">
            <w:pPr>
              <w:pStyle w:val="Tabletextheading"/>
            </w:pPr>
            <w:r w:rsidRPr="00DC1EE4">
              <w:t>to Sep</w:t>
            </w:r>
            <w:r w:rsidRPr="00DC1EE4">
              <w:rPr>
                <w:vertAlign w:val="superscript"/>
              </w:rPr>
              <w:t>(a)</w:t>
            </w:r>
          </w:p>
        </w:tc>
        <w:tc>
          <w:tcPr>
            <w:tcW w:w="185" w:type="dxa"/>
            <w:tcBorders>
              <w:left w:val="nil"/>
              <w:bottom w:val="single" w:sz="6" w:space="0" w:color="auto"/>
              <w:right w:val="nil"/>
            </w:tcBorders>
            <w:shd w:val="solid" w:color="000000" w:fill="auto"/>
          </w:tcPr>
          <w:p w:rsidR="0028027B" w:rsidRPr="00DC1EE4" w:rsidRDefault="0028027B" w:rsidP="00C03F9E">
            <w:pPr>
              <w:pStyle w:val="Tabletextheading"/>
            </w:pPr>
            <w:r w:rsidRPr="00DC1EE4">
              <w:t xml:space="preserve"> </w:t>
            </w:r>
          </w:p>
        </w:tc>
        <w:tc>
          <w:tcPr>
            <w:tcW w:w="5955" w:type="dxa"/>
            <w:tcBorders>
              <w:left w:val="nil"/>
              <w:bottom w:val="single" w:sz="6" w:space="0" w:color="auto"/>
              <w:right w:val="nil"/>
            </w:tcBorders>
            <w:shd w:val="solid" w:color="000000" w:fill="auto"/>
            <w:vAlign w:val="bottom"/>
          </w:tcPr>
          <w:p w:rsidR="0028027B" w:rsidRPr="00DC1EE4" w:rsidRDefault="0028027B" w:rsidP="00C03F9E">
            <w:pPr>
              <w:pStyle w:val="Tabletextheadingleft0"/>
            </w:pPr>
            <w:r w:rsidRPr="00DC1EE4">
              <w:t xml:space="preserve"> </w:t>
            </w:r>
          </w:p>
        </w:tc>
        <w:tc>
          <w:tcPr>
            <w:tcW w:w="900" w:type="dxa"/>
            <w:tcBorders>
              <w:left w:val="nil"/>
              <w:bottom w:val="single" w:sz="6" w:space="0" w:color="auto"/>
              <w:right w:val="nil"/>
            </w:tcBorders>
            <w:shd w:val="solid" w:color="000000" w:fill="auto"/>
            <w:vAlign w:val="bottom"/>
          </w:tcPr>
          <w:p w:rsidR="0028027B" w:rsidRPr="00DC1EE4" w:rsidRDefault="0028027B" w:rsidP="00C03F9E">
            <w:pPr>
              <w:pStyle w:val="TabletextheadingCentred"/>
            </w:pPr>
          </w:p>
          <w:p w:rsidR="0028027B" w:rsidRPr="00DC1EE4" w:rsidRDefault="0028027B" w:rsidP="00C03F9E">
            <w:pPr>
              <w:pStyle w:val="TabletextheadingCentred"/>
            </w:pPr>
            <w:r w:rsidRPr="00DC1EE4">
              <w:t>Notes</w:t>
            </w:r>
          </w:p>
        </w:tc>
        <w:tc>
          <w:tcPr>
            <w:tcW w:w="990" w:type="dxa"/>
            <w:tcBorders>
              <w:left w:val="nil"/>
              <w:bottom w:val="single" w:sz="6" w:space="0" w:color="auto"/>
              <w:right w:val="nil"/>
            </w:tcBorders>
            <w:shd w:val="solid" w:color="000000" w:fill="auto"/>
            <w:vAlign w:val="bottom"/>
          </w:tcPr>
          <w:p w:rsidR="0028027B" w:rsidRPr="00DC1EE4" w:rsidRDefault="0028027B" w:rsidP="00C03F9E">
            <w:pPr>
              <w:pStyle w:val="Tabletextheading"/>
            </w:pPr>
            <w:r w:rsidRPr="00DC1EE4">
              <w:t>Actual</w:t>
            </w:r>
          </w:p>
          <w:p w:rsidR="0028027B" w:rsidRPr="00DC1EE4" w:rsidRDefault="0028027B" w:rsidP="00C03F9E">
            <w:pPr>
              <w:pStyle w:val="Tabletextheading"/>
            </w:pPr>
            <w:r w:rsidRPr="00DC1EE4">
              <w:t>to Sep</w:t>
            </w:r>
          </w:p>
        </w:tc>
        <w:tc>
          <w:tcPr>
            <w:tcW w:w="1057" w:type="dxa"/>
            <w:tcBorders>
              <w:left w:val="nil"/>
              <w:bottom w:val="single" w:sz="6" w:space="0" w:color="auto"/>
              <w:right w:val="single" w:sz="6" w:space="0" w:color="auto"/>
            </w:tcBorders>
            <w:shd w:val="solid" w:color="000000" w:fill="auto"/>
            <w:vAlign w:val="bottom"/>
          </w:tcPr>
          <w:p w:rsidR="0028027B" w:rsidRPr="00DC1EE4" w:rsidRDefault="0028027B" w:rsidP="00C03F9E">
            <w:pPr>
              <w:pStyle w:val="Tabletextheading"/>
            </w:pPr>
            <w:r w:rsidRPr="00DC1EE4">
              <w:t>Annual</w:t>
            </w:r>
            <w:r w:rsidR="005A4BB0">
              <w:t xml:space="preserve"> </w:t>
            </w:r>
            <w:r w:rsidRPr="00DC1EE4">
              <w:t>budget</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rPr>
                <w:b/>
              </w:rPr>
            </w:pPr>
            <w:r w:rsidRPr="00DC1EE4">
              <w:rPr>
                <w:b/>
              </w:rPr>
              <w:t xml:space="preserve"> </w:t>
            </w:r>
          </w:p>
        </w:tc>
        <w:tc>
          <w:tcPr>
            <w:tcW w:w="185" w:type="dxa"/>
            <w:tcBorders>
              <w:top w:val="nil"/>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nil"/>
              <w:left w:val="nil"/>
              <w:bottom w:val="nil"/>
              <w:right w:val="nil"/>
            </w:tcBorders>
            <w:vAlign w:val="bottom"/>
          </w:tcPr>
          <w:p w:rsidR="0028027B" w:rsidRPr="00DC1EE4" w:rsidRDefault="0028027B" w:rsidP="00C03F9E">
            <w:pPr>
              <w:pStyle w:val="Tabletext"/>
              <w:rPr>
                <w:b/>
              </w:rPr>
            </w:pPr>
            <w:r w:rsidRPr="00DC1EE4">
              <w:rPr>
                <w:b/>
              </w:rPr>
              <w:t>Revenue from transactions</w:t>
            </w:r>
          </w:p>
        </w:tc>
        <w:tc>
          <w:tcPr>
            <w:tcW w:w="900" w:type="dxa"/>
            <w:tcBorders>
              <w:top w:val="nil"/>
              <w:left w:val="nil"/>
              <w:bottom w:val="nil"/>
              <w:right w:val="nil"/>
            </w:tcBorders>
            <w:vAlign w:val="bottom"/>
          </w:tcPr>
          <w:p w:rsidR="0028027B" w:rsidRPr="00DC1EE4" w:rsidRDefault="0028027B" w:rsidP="00C03F9E">
            <w:pPr>
              <w:pStyle w:val="TableTextCentred"/>
              <w:rPr>
                <w:b/>
              </w:rPr>
            </w:pPr>
          </w:p>
        </w:tc>
        <w:tc>
          <w:tcPr>
            <w:tcW w:w="990" w:type="dxa"/>
            <w:tcBorders>
              <w:top w:val="nil"/>
              <w:left w:val="nil"/>
              <w:bottom w:val="nil"/>
              <w:right w:val="nil"/>
            </w:tcBorders>
            <w:vAlign w:val="bottom"/>
          </w:tcPr>
          <w:p w:rsidR="0028027B" w:rsidRPr="00DC1EE4" w:rsidRDefault="005A4BB0" w:rsidP="00C03F9E">
            <w:pPr>
              <w:pStyle w:val="TableofFigures"/>
              <w:rPr>
                <w:b/>
              </w:rPr>
            </w:pPr>
            <w:r>
              <w:rPr>
                <w:b/>
              </w:rPr>
              <w:t xml:space="preserve"> </w:t>
            </w:r>
          </w:p>
        </w:tc>
        <w:tc>
          <w:tcPr>
            <w:tcW w:w="1057" w:type="dxa"/>
            <w:tcBorders>
              <w:top w:val="nil"/>
              <w:left w:val="nil"/>
              <w:bottom w:val="nil"/>
              <w:right w:val="nil"/>
            </w:tcBorders>
            <w:vAlign w:val="bottom"/>
          </w:tcPr>
          <w:p w:rsidR="0028027B" w:rsidRPr="00DC1EE4" w:rsidRDefault="0028027B" w:rsidP="00C03F9E">
            <w:pPr>
              <w:pStyle w:val="TableofFigures"/>
              <w:rPr>
                <w:b/>
              </w:rPr>
            </w:pP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4 711</w:t>
            </w:r>
          </w:p>
        </w:tc>
        <w:tc>
          <w:tcPr>
            <w:tcW w:w="185" w:type="dxa"/>
            <w:tcBorders>
              <w:top w:val="nil"/>
              <w:left w:val="nil"/>
              <w:bottom w:val="nil"/>
              <w:right w:val="nil"/>
            </w:tcBorders>
          </w:tcPr>
          <w:p w:rsidR="0028027B" w:rsidRPr="00DC1EE4" w:rsidRDefault="0028027B" w:rsidP="00C03F9E">
            <w:pPr>
              <w:pStyle w:val="TableofFigures"/>
              <w:spacing w:before="100" w:beforeAutospacing="1" w:after="100" w:afterAutospacing="1"/>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Taxation revenue</w:t>
            </w:r>
          </w:p>
        </w:tc>
        <w:tc>
          <w:tcPr>
            <w:tcW w:w="900" w:type="dxa"/>
            <w:tcBorders>
              <w:top w:val="nil"/>
              <w:left w:val="nil"/>
              <w:bottom w:val="nil"/>
              <w:right w:val="nil"/>
            </w:tcBorders>
            <w:vAlign w:val="bottom"/>
          </w:tcPr>
          <w:p w:rsidR="0028027B" w:rsidRPr="00DC1EE4" w:rsidRDefault="0028027B" w:rsidP="00C03F9E">
            <w:pPr>
              <w:pStyle w:val="TableTextCentred"/>
            </w:pPr>
            <w:r w:rsidRPr="00DC1EE4">
              <w:t>2</w:t>
            </w:r>
          </w:p>
        </w:tc>
        <w:tc>
          <w:tcPr>
            <w:tcW w:w="990" w:type="dxa"/>
            <w:tcBorders>
              <w:top w:val="nil"/>
              <w:left w:val="nil"/>
              <w:bottom w:val="nil"/>
              <w:right w:val="nil"/>
            </w:tcBorders>
            <w:vAlign w:val="bottom"/>
          </w:tcPr>
          <w:p w:rsidR="0028027B" w:rsidRPr="00DC1EE4" w:rsidRDefault="0028027B" w:rsidP="00C03F9E">
            <w:pPr>
              <w:pStyle w:val="TableofFigures"/>
            </w:pPr>
            <w:r w:rsidRPr="00DC1EE4">
              <w:t>5 061</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19 024</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205</w:t>
            </w:r>
          </w:p>
        </w:tc>
        <w:tc>
          <w:tcPr>
            <w:tcW w:w="185" w:type="dxa"/>
            <w:tcBorders>
              <w:top w:val="nil"/>
              <w:left w:val="nil"/>
              <w:bottom w:val="nil"/>
              <w:right w:val="nil"/>
            </w:tcBorders>
          </w:tcPr>
          <w:p w:rsidR="0028027B" w:rsidRPr="00DC1EE4" w:rsidRDefault="0028027B" w:rsidP="00C03F9E">
            <w:pPr>
              <w:pStyle w:val="TableofFigures"/>
              <w:spacing w:before="100" w:beforeAutospacing="1" w:after="100" w:afterAutospacing="1"/>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Interest revenue</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203</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 xml:space="preserve"> 831</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51</w:t>
            </w:r>
          </w:p>
        </w:tc>
        <w:tc>
          <w:tcPr>
            <w:tcW w:w="185" w:type="dxa"/>
            <w:tcBorders>
              <w:top w:val="nil"/>
              <w:left w:val="nil"/>
              <w:bottom w:val="nil"/>
              <w:right w:val="nil"/>
            </w:tcBorders>
          </w:tcPr>
          <w:p w:rsidR="0028027B" w:rsidRPr="00DC1EE4" w:rsidRDefault="0028027B" w:rsidP="00C03F9E">
            <w:pPr>
              <w:pStyle w:val="TableofFigures"/>
              <w:spacing w:before="100" w:beforeAutospacing="1" w:after="100" w:afterAutospacing="1"/>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Dividends and income tax equivalent and rate equivalent revenue</w:t>
            </w:r>
          </w:p>
        </w:tc>
        <w:tc>
          <w:tcPr>
            <w:tcW w:w="900" w:type="dxa"/>
            <w:tcBorders>
              <w:top w:val="nil"/>
              <w:left w:val="nil"/>
              <w:bottom w:val="nil"/>
              <w:right w:val="nil"/>
            </w:tcBorders>
            <w:vAlign w:val="bottom"/>
          </w:tcPr>
          <w:p w:rsidR="0028027B" w:rsidRPr="00DC1EE4" w:rsidRDefault="0028027B" w:rsidP="00C03F9E">
            <w:pPr>
              <w:pStyle w:val="TableTextCentred"/>
            </w:pPr>
            <w:r w:rsidRPr="00DC1EE4">
              <w:t>3</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59</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1 144</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1 657</w:t>
            </w:r>
          </w:p>
        </w:tc>
        <w:tc>
          <w:tcPr>
            <w:tcW w:w="185" w:type="dxa"/>
            <w:tcBorders>
              <w:top w:val="nil"/>
              <w:left w:val="nil"/>
              <w:bottom w:val="nil"/>
              <w:right w:val="nil"/>
            </w:tcBorders>
          </w:tcPr>
          <w:p w:rsidR="0028027B" w:rsidRPr="00DC1EE4" w:rsidRDefault="0028027B" w:rsidP="00C03F9E">
            <w:pPr>
              <w:pStyle w:val="TableofFigures"/>
              <w:spacing w:before="100" w:beforeAutospacing="1" w:after="100" w:afterAutospacing="1"/>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Sales of goods and services</w:t>
            </w:r>
          </w:p>
        </w:tc>
        <w:tc>
          <w:tcPr>
            <w:tcW w:w="900" w:type="dxa"/>
            <w:tcBorders>
              <w:top w:val="nil"/>
              <w:left w:val="nil"/>
              <w:bottom w:val="nil"/>
              <w:right w:val="nil"/>
            </w:tcBorders>
            <w:vAlign w:val="bottom"/>
          </w:tcPr>
          <w:p w:rsidR="0028027B" w:rsidRPr="00DC1EE4" w:rsidRDefault="0028027B" w:rsidP="00C03F9E">
            <w:pPr>
              <w:pStyle w:val="TableTextCentred"/>
            </w:pPr>
            <w:r w:rsidRPr="00DC1EE4">
              <w:t>4</w:t>
            </w:r>
          </w:p>
        </w:tc>
        <w:tc>
          <w:tcPr>
            <w:tcW w:w="990" w:type="dxa"/>
            <w:tcBorders>
              <w:top w:val="nil"/>
              <w:left w:val="nil"/>
              <w:bottom w:val="nil"/>
              <w:right w:val="nil"/>
            </w:tcBorders>
            <w:vAlign w:val="bottom"/>
          </w:tcPr>
          <w:p w:rsidR="0028027B" w:rsidRPr="00DC1EE4" w:rsidRDefault="0028027B" w:rsidP="00C03F9E">
            <w:pPr>
              <w:pStyle w:val="TableofFigures"/>
            </w:pPr>
            <w:r w:rsidRPr="00DC1EE4">
              <w:t>1 661</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6 779</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5 665</w:t>
            </w:r>
          </w:p>
        </w:tc>
        <w:tc>
          <w:tcPr>
            <w:tcW w:w="185" w:type="dxa"/>
            <w:tcBorders>
              <w:top w:val="nil"/>
              <w:left w:val="nil"/>
              <w:bottom w:val="nil"/>
              <w:right w:val="nil"/>
            </w:tcBorders>
          </w:tcPr>
          <w:p w:rsidR="0028027B" w:rsidRPr="00DC1EE4" w:rsidRDefault="0028027B" w:rsidP="00C03F9E">
            <w:pPr>
              <w:pStyle w:val="TableofFigures"/>
              <w:spacing w:before="100" w:beforeAutospacing="1" w:after="100" w:afterAutospacing="1"/>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Grant revenue</w:t>
            </w:r>
          </w:p>
        </w:tc>
        <w:tc>
          <w:tcPr>
            <w:tcW w:w="900" w:type="dxa"/>
            <w:tcBorders>
              <w:top w:val="nil"/>
              <w:left w:val="nil"/>
              <w:bottom w:val="nil"/>
              <w:right w:val="nil"/>
            </w:tcBorders>
            <w:vAlign w:val="bottom"/>
          </w:tcPr>
          <w:p w:rsidR="0028027B" w:rsidRPr="00DC1EE4" w:rsidRDefault="0028027B" w:rsidP="00C03F9E">
            <w:pPr>
              <w:pStyle w:val="TableTextCentred"/>
            </w:pPr>
            <w:r w:rsidRPr="00DC1EE4">
              <w:t>5</w:t>
            </w:r>
          </w:p>
        </w:tc>
        <w:tc>
          <w:tcPr>
            <w:tcW w:w="990" w:type="dxa"/>
            <w:tcBorders>
              <w:top w:val="nil"/>
              <w:left w:val="nil"/>
              <w:bottom w:val="nil"/>
              <w:right w:val="nil"/>
            </w:tcBorders>
            <w:vAlign w:val="bottom"/>
          </w:tcPr>
          <w:p w:rsidR="0028027B" w:rsidRPr="00DC1EE4" w:rsidRDefault="0028027B" w:rsidP="00C03F9E">
            <w:pPr>
              <w:pStyle w:val="TableofFigures"/>
            </w:pPr>
            <w:r w:rsidRPr="00DC1EE4">
              <w:t>6 010</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25 579</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566</w:t>
            </w:r>
          </w:p>
        </w:tc>
        <w:tc>
          <w:tcPr>
            <w:tcW w:w="185" w:type="dxa"/>
            <w:tcBorders>
              <w:top w:val="nil"/>
              <w:left w:val="nil"/>
              <w:bottom w:val="nil"/>
              <w:right w:val="nil"/>
            </w:tcBorders>
          </w:tcPr>
          <w:p w:rsidR="0028027B" w:rsidRPr="00DC1EE4" w:rsidRDefault="0028027B" w:rsidP="00C03F9E">
            <w:pPr>
              <w:pStyle w:val="TableofFigures"/>
              <w:spacing w:before="100" w:beforeAutospacing="1" w:after="100" w:afterAutospacing="1"/>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Other revenue</w:t>
            </w:r>
          </w:p>
        </w:tc>
        <w:tc>
          <w:tcPr>
            <w:tcW w:w="900" w:type="dxa"/>
            <w:tcBorders>
              <w:top w:val="nil"/>
              <w:left w:val="nil"/>
              <w:bottom w:val="nil"/>
              <w:right w:val="nil"/>
            </w:tcBorders>
            <w:vAlign w:val="bottom"/>
          </w:tcPr>
          <w:p w:rsidR="0028027B" w:rsidRPr="00DC1EE4" w:rsidRDefault="0028027B" w:rsidP="00C03F9E">
            <w:pPr>
              <w:pStyle w:val="TableTextCentred"/>
            </w:pPr>
            <w:r w:rsidRPr="00DC1EE4">
              <w:t>6</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564</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2 171</w:t>
            </w:r>
          </w:p>
        </w:tc>
      </w:tr>
      <w:tr w:rsidR="0028027B" w:rsidRPr="00DC1EE4" w:rsidTr="00C03F9E">
        <w:tc>
          <w:tcPr>
            <w:tcW w:w="1074" w:type="dxa"/>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12 855</w:t>
            </w:r>
          </w:p>
        </w:tc>
        <w:tc>
          <w:tcPr>
            <w:tcW w:w="185" w:type="dxa"/>
            <w:tcBorders>
              <w:top w:val="single" w:sz="6" w:space="0" w:color="auto"/>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single" w:sz="6" w:space="0" w:color="auto"/>
              <w:left w:val="nil"/>
              <w:bottom w:val="nil"/>
              <w:right w:val="nil"/>
            </w:tcBorders>
            <w:vAlign w:val="bottom"/>
          </w:tcPr>
          <w:p w:rsidR="0028027B" w:rsidRPr="00DC1EE4" w:rsidRDefault="0028027B" w:rsidP="00C03F9E">
            <w:pPr>
              <w:pStyle w:val="Tabletext"/>
              <w:rPr>
                <w:b/>
              </w:rPr>
            </w:pPr>
            <w:r w:rsidRPr="00DC1EE4">
              <w:rPr>
                <w:b/>
              </w:rPr>
              <w:t>Total revenue from transactions</w:t>
            </w:r>
          </w:p>
        </w:tc>
        <w:tc>
          <w:tcPr>
            <w:tcW w:w="900" w:type="dxa"/>
            <w:tcBorders>
              <w:top w:val="single" w:sz="6" w:space="0" w:color="auto"/>
              <w:left w:val="nil"/>
              <w:bottom w:val="nil"/>
              <w:right w:val="nil"/>
            </w:tcBorders>
            <w:vAlign w:val="bottom"/>
          </w:tcPr>
          <w:p w:rsidR="0028027B" w:rsidRPr="00DC1EE4" w:rsidRDefault="0028027B" w:rsidP="00C03F9E">
            <w:pPr>
              <w:pStyle w:val="TableTextCentred"/>
              <w:rPr>
                <w:b/>
              </w:rPr>
            </w:pPr>
          </w:p>
        </w:tc>
        <w:tc>
          <w:tcPr>
            <w:tcW w:w="990" w:type="dxa"/>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13 559</w:t>
            </w:r>
          </w:p>
        </w:tc>
        <w:tc>
          <w:tcPr>
            <w:tcW w:w="1057" w:type="dxa"/>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55 529</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c>
          <w:tcPr>
            <w:tcW w:w="185" w:type="dxa"/>
            <w:tcBorders>
              <w:top w:val="nil"/>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nil"/>
              <w:left w:val="nil"/>
              <w:bottom w:val="nil"/>
              <w:right w:val="nil"/>
            </w:tcBorders>
            <w:vAlign w:val="bottom"/>
          </w:tcPr>
          <w:p w:rsidR="0028027B" w:rsidRPr="00DC1EE4" w:rsidRDefault="0028027B" w:rsidP="00C03F9E">
            <w:pPr>
              <w:pStyle w:val="Tabletext"/>
              <w:rPr>
                <w:b/>
              </w:rPr>
            </w:pPr>
            <w:r w:rsidRPr="00DC1EE4">
              <w:rPr>
                <w:b/>
              </w:rPr>
              <w:t>Expenses from transactions</w:t>
            </w:r>
          </w:p>
        </w:tc>
        <w:tc>
          <w:tcPr>
            <w:tcW w:w="900" w:type="dxa"/>
            <w:tcBorders>
              <w:top w:val="nil"/>
              <w:left w:val="nil"/>
              <w:bottom w:val="nil"/>
              <w:right w:val="nil"/>
            </w:tcBorders>
            <w:vAlign w:val="bottom"/>
          </w:tcPr>
          <w:p w:rsidR="0028027B" w:rsidRPr="00DC1EE4" w:rsidRDefault="0028027B" w:rsidP="00C03F9E">
            <w:pPr>
              <w:pStyle w:val="TableTextCentred"/>
              <w:rPr>
                <w:b/>
              </w:rPr>
            </w:pPr>
          </w:p>
        </w:tc>
        <w:tc>
          <w:tcPr>
            <w:tcW w:w="990"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c>
          <w:tcPr>
            <w:tcW w:w="1057"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4 510</w:t>
            </w:r>
          </w:p>
        </w:tc>
        <w:tc>
          <w:tcPr>
            <w:tcW w:w="185"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Employee expenses</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4 768</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19 903</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258</w:t>
            </w:r>
          </w:p>
        </w:tc>
        <w:tc>
          <w:tcPr>
            <w:tcW w:w="185"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Net superannuation interest expense</w:t>
            </w:r>
          </w:p>
        </w:tc>
        <w:tc>
          <w:tcPr>
            <w:tcW w:w="900" w:type="dxa"/>
            <w:tcBorders>
              <w:top w:val="nil"/>
              <w:left w:val="nil"/>
              <w:bottom w:val="nil"/>
              <w:right w:val="nil"/>
            </w:tcBorders>
            <w:vAlign w:val="bottom"/>
          </w:tcPr>
          <w:p w:rsidR="0028027B" w:rsidRPr="00DC1EE4" w:rsidRDefault="0028027B" w:rsidP="00C03F9E">
            <w:pPr>
              <w:pStyle w:val="TableTextCentred"/>
            </w:pPr>
            <w:r w:rsidRPr="00DC1EE4">
              <w:t>7</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223</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 xml:space="preserve"> 886</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484</w:t>
            </w:r>
          </w:p>
        </w:tc>
        <w:tc>
          <w:tcPr>
            <w:tcW w:w="185"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Other superannuation</w:t>
            </w:r>
          </w:p>
        </w:tc>
        <w:tc>
          <w:tcPr>
            <w:tcW w:w="900" w:type="dxa"/>
            <w:tcBorders>
              <w:top w:val="nil"/>
              <w:left w:val="nil"/>
              <w:bottom w:val="nil"/>
              <w:right w:val="nil"/>
            </w:tcBorders>
            <w:vAlign w:val="bottom"/>
          </w:tcPr>
          <w:p w:rsidR="0028027B" w:rsidRPr="00DC1EE4" w:rsidRDefault="0028027B" w:rsidP="00C03F9E">
            <w:pPr>
              <w:pStyle w:val="TableTextCentred"/>
            </w:pPr>
            <w:r w:rsidRPr="00DC1EE4">
              <w:t>7</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554</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2 102</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597</w:t>
            </w:r>
          </w:p>
        </w:tc>
        <w:tc>
          <w:tcPr>
            <w:tcW w:w="185"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Depreciation</w:t>
            </w:r>
          </w:p>
        </w:tc>
        <w:tc>
          <w:tcPr>
            <w:tcW w:w="900" w:type="dxa"/>
            <w:tcBorders>
              <w:top w:val="nil"/>
              <w:left w:val="nil"/>
              <w:bottom w:val="nil"/>
              <w:right w:val="nil"/>
            </w:tcBorders>
            <w:vAlign w:val="bottom"/>
          </w:tcPr>
          <w:p w:rsidR="0028027B" w:rsidRPr="00DC1EE4" w:rsidRDefault="0028027B" w:rsidP="00C03F9E">
            <w:pPr>
              <w:pStyle w:val="TableTextCentred"/>
            </w:pPr>
            <w:r w:rsidRPr="00DC1EE4">
              <w:t>8</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605</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2 577</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523</w:t>
            </w:r>
          </w:p>
        </w:tc>
        <w:tc>
          <w:tcPr>
            <w:tcW w:w="185"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Interest expense</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513</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2 096</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2 003</w:t>
            </w:r>
          </w:p>
        </w:tc>
        <w:tc>
          <w:tcPr>
            <w:tcW w:w="185"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Grant expense</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2 172</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8 687</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4 063</w:t>
            </w:r>
          </w:p>
        </w:tc>
        <w:tc>
          <w:tcPr>
            <w:tcW w:w="185"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Other operating expenses</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4 204</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18 058</w:t>
            </w:r>
          </w:p>
        </w:tc>
      </w:tr>
      <w:tr w:rsidR="0028027B" w:rsidRPr="00DC1EE4" w:rsidTr="00C03F9E">
        <w:tc>
          <w:tcPr>
            <w:tcW w:w="1074" w:type="dxa"/>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12 438</w:t>
            </w:r>
          </w:p>
        </w:tc>
        <w:tc>
          <w:tcPr>
            <w:tcW w:w="185" w:type="dxa"/>
            <w:tcBorders>
              <w:top w:val="single" w:sz="6" w:space="0" w:color="auto"/>
              <w:left w:val="nil"/>
              <w:bottom w:val="single" w:sz="6"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single" w:sz="6" w:space="0" w:color="auto"/>
              <w:left w:val="nil"/>
              <w:bottom w:val="single" w:sz="6" w:space="0" w:color="auto"/>
              <w:right w:val="nil"/>
            </w:tcBorders>
            <w:vAlign w:val="bottom"/>
          </w:tcPr>
          <w:p w:rsidR="0028027B" w:rsidRPr="00DC1EE4" w:rsidRDefault="0028027B" w:rsidP="00C03F9E">
            <w:pPr>
              <w:pStyle w:val="Tabletext"/>
              <w:rPr>
                <w:b/>
              </w:rPr>
            </w:pPr>
            <w:r w:rsidRPr="00DC1EE4">
              <w:rPr>
                <w:b/>
              </w:rPr>
              <w:t>Total expenses from transactions</w:t>
            </w:r>
          </w:p>
        </w:tc>
        <w:tc>
          <w:tcPr>
            <w:tcW w:w="900" w:type="dxa"/>
            <w:tcBorders>
              <w:top w:val="single" w:sz="6" w:space="0" w:color="auto"/>
              <w:left w:val="nil"/>
              <w:bottom w:val="single" w:sz="6" w:space="0" w:color="auto"/>
              <w:right w:val="nil"/>
            </w:tcBorders>
            <w:vAlign w:val="bottom"/>
          </w:tcPr>
          <w:p w:rsidR="0028027B" w:rsidRPr="00DC1EE4" w:rsidRDefault="0028027B" w:rsidP="00C03F9E">
            <w:pPr>
              <w:pStyle w:val="TableTextCentred"/>
              <w:rPr>
                <w:b/>
              </w:rPr>
            </w:pPr>
            <w:r w:rsidRPr="00DC1EE4">
              <w:rPr>
                <w:b/>
              </w:rPr>
              <w:t>9</w:t>
            </w:r>
          </w:p>
        </w:tc>
        <w:tc>
          <w:tcPr>
            <w:tcW w:w="990" w:type="dxa"/>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13 040</w:t>
            </w:r>
          </w:p>
        </w:tc>
        <w:tc>
          <w:tcPr>
            <w:tcW w:w="1057" w:type="dxa"/>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54 310</w:t>
            </w:r>
          </w:p>
        </w:tc>
      </w:tr>
      <w:tr w:rsidR="0028027B" w:rsidRPr="00DC1EE4" w:rsidTr="00C03F9E">
        <w:tc>
          <w:tcPr>
            <w:tcW w:w="1074" w:type="dxa"/>
            <w:tcBorders>
              <w:top w:val="single" w:sz="6" w:space="0" w:color="auto"/>
              <w:left w:val="nil"/>
              <w:bottom w:val="single" w:sz="12" w:space="0" w:color="auto"/>
              <w:right w:val="nil"/>
            </w:tcBorders>
            <w:vAlign w:val="bottom"/>
          </w:tcPr>
          <w:p w:rsidR="0028027B" w:rsidRPr="00DC1EE4" w:rsidRDefault="0028027B" w:rsidP="00C03F9E">
            <w:pPr>
              <w:pStyle w:val="TableofFigures"/>
              <w:rPr>
                <w:b/>
              </w:rPr>
            </w:pPr>
            <w:r w:rsidRPr="00DC1EE4">
              <w:rPr>
                <w:b/>
              </w:rPr>
              <w:t xml:space="preserve"> 417</w:t>
            </w:r>
          </w:p>
        </w:tc>
        <w:tc>
          <w:tcPr>
            <w:tcW w:w="185" w:type="dxa"/>
            <w:tcBorders>
              <w:top w:val="nil"/>
              <w:left w:val="nil"/>
              <w:bottom w:val="single" w:sz="12"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single" w:sz="6" w:space="0" w:color="auto"/>
              <w:left w:val="nil"/>
              <w:bottom w:val="single" w:sz="12" w:space="0" w:color="auto"/>
              <w:right w:val="nil"/>
            </w:tcBorders>
            <w:vAlign w:val="bottom"/>
          </w:tcPr>
          <w:p w:rsidR="0028027B" w:rsidRPr="00DC1EE4" w:rsidRDefault="0028027B" w:rsidP="00C03F9E">
            <w:pPr>
              <w:pStyle w:val="Tabletext"/>
              <w:rPr>
                <w:b/>
              </w:rPr>
            </w:pPr>
            <w:r w:rsidRPr="00DC1EE4">
              <w:rPr>
                <w:b/>
              </w:rPr>
              <w:t>Net result from transactions – net operating balance</w:t>
            </w:r>
          </w:p>
        </w:tc>
        <w:tc>
          <w:tcPr>
            <w:tcW w:w="900" w:type="dxa"/>
            <w:tcBorders>
              <w:top w:val="nil"/>
              <w:left w:val="nil"/>
              <w:bottom w:val="single" w:sz="12" w:space="0" w:color="auto"/>
              <w:right w:val="nil"/>
            </w:tcBorders>
            <w:vAlign w:val="bottom"/>
          </w:tcPr>
          <w:p w:rsidR="0028027B" w:rsidRPr="00DC1EE4" w:rsidRDefault="0028027B" w:rsidP="00C03F9E">
            <w:pPr>
              <w:pStyle w:val="TableTextCentred"/>
              <w:rPr>
                <w:b/>
              </w:rPr>
            </w:pPr>
          </w:p>
        </w:tc>
        <w:tc>
          <w:tcPr>
            <w:tcW w:w="990" w:type="dxa"/>
            <w:tcBorders>
              <w:top w:val="single" w:sz="6" w:space="0" w:color="auto"/>
              <w:left w:val="nil"/>
              <w:bottom w:val="single" w:sz="12" w:space="0" w:color="auto"/>
              <w:right w:val="nil"/>
            </w:tcBorders>
            <w:vAlign w:val="bottom"/>
          </w:tcPr>
          <w:p w:rsidR="0028027B" w:rsidRPr="00DC1EE4" w:rsidRDefault="0028027B" w:rsidP="00C03F9E">
            <w:pPr>
              <w:pStyle w:val="TableofFigures"/>
              <w:rPr>
                <w:b/>
              </w:rPr>
            </w:pPr>
            <w:r w:rsidRPr="00DC1EE4">
              <w:rPr>
                <w:b/>
              </w:rPr>
              <w:t xml:space="preserve"> 519</w:t>
            </w:r>
          </w:p>
        </w:tc>
        <w:tc>
          <w:tcPr>
            <w:tcW w:w="1057" w:type="dxa"/>
            <w:tcBorders>
              <w:top w:val="single" w:sz="6" w:space="0" w:color="auto"/>
              <w:left w:val="nil"/>
              <w:bottom w:val="single" w:sz="12" w:space="0" w:color="auto"/>
              <w:right w:val="nil"/>
            </w:tcBorders>
            <w:vAlign w:val="bottom"/>
          </w:tcPr>
          <w:p w:rsidR="0028027B" w:rsidRPr="00DC1EE4" w:rsidRDefault="0028027B" w:rsidP="00C03F9E">
            <w:pPr>
              <w:pStyle w:val="TableofFigures"/>
              <w:rPr>
                <w:b/>
              </w:rPr>
            </w:pPr>
            <w:r w:rsidRPr="00DC1EE4">
              <w:rPr>
                <w:b/>
              </w:rPr>
              <w:t>1 219</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rPr>
                <w:b/>
              </w:rPr>
            </w:pPr>
            <w:r w:rsidRPr="00DC1EE4">
              <w:rPr>
                <w:b/>
              </w:rPr>
              <w:t xml:space="preserve"> </w:t>
            </w:r>
          </w:p>
        </w:tc>
        <w:tc>
          <w:tcPr>
            <w:tcW w:w="185" w:type="dxa"/>
            <w:tcBorders>
              <w:top w:val="nil"/>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nil"/>
              <w:left w:val="nil"/>
              <w:bottom w:val="nil"/>
              <w:right w:val="nil"/>
            </w:tcBorders>
            <w:vAlign w:val="bottom"/>
          </w:tcPr>
          <w:p w:rsidR="0028027B" w:rsidRPr="00DC1EE4" w:rsidRDefault="0028027B" w:rsidP="00C03F9E">
            <w:pPr>
              <w:pStyle w:val="Tabletext"/>
              <w:rPr>
                <w:b/>
              </w:rPr>
            </w:pPr>
            <w:r w:rsidRPr="00DC1EE4">
              <w:rPr>
                <w:b/>
              </w:rPr>
              <w:t>Other economic flows included in net result</w:t>
            </w:r>
          </w:p>
        </w:tc>
        <w:tc>
          <w:tcPr>
            <w:tcW w:w="900" w:type="dxa"/>
            <w:tcBorders>
              <w:top w:val="nil"/>
              <w:left w:val="nil"/>
              <w:bottom w:val="nil"/>
              <w:right w:val="nil"/>
            </w:tcBorders>
            <w:vAlign w:val="bottom"/>
          </w:tcPr>
          <w:p w:rsidR="0028027B" w:rsidRPr="00DC1EE4" w:rsidRDefault="0028027B" w:rsidP="00C03F9E">
            <w:pPr>
              <w:pStyle w:val="TableTextCentred"/>
              <w:rPr>
                <w:b/>
              </w:rPr>
            </w:pPr>
          </w:p>
        </w:tc>
        <w:tc>
          <w:tcPr>
            <w:tcW w:w="990"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c>
          <w:tcPr>
            <w:tcW w:w="1057"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5</w:t>
            </w:r>
          </w:p>
        </w:tc>
        <w:tc>
          <w:tcPr>
            <w:tcW w:w="185"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Net gain/(loss) on disposal of non</w:t>
            </w:r>
            <w:r w:rsidR="005A4BB0">
              <w:noBreakHyphen/>
            </w:r>
            <w:r w:rsidRPr="00DC1EE4">
              <w:t>financial assets</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(13)</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 xml:space="preserve"> 64</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19</w:t>
            </w:r>
          </w:p>
        </w:tc>
        <w:tc>
          <w:tcPr>
            <w:tcW w:w="185"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Net gain/(loss) on financial assets or liabilities at fair value</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(29)</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5 402</w:t>
            </w:r>
          </w:p>
        </w:tc>
      </w:tr>
      <w:tr w:rsidR="0028027B" w:rsidRPr="00DC1EE4" w:rsidTr="00C03F9E">
        <w:tc>
          <w:tcPr>
            <w:tcW w:w="1074" w:type="dxa"/>
            <w:tcBorders>
              <w:top w:val="nil"/>
              <w:left w:val="nil"/>
              <w:bottom w:val="single" w:sz="6" w:space="0" w:color="auto"/>
              <w:right w:val="nil"/>
            </w:tcBorders>
            <w:vAlign w:val="bottom"/>
          </w:tcPr>
          <w:p w:rsidR="0028027B" w:rsidRPr="00DC1EE4" w:rsidRDefault="0028027B" w:rsidP="00C03F9E">
            <w:pPr>
              <w:pStyle w:val="TableofFigures"/>
            </w:pPr>
            <w:r w:rsidRPr="00DC1EE4">
              <w:t>(90)</w:t>
            </w:r>
          </w:p>
        </w:tc>
        <w:tc>
          <w:tcPr>
            <w:tcW w:w="185" w:type="dxa"/>
            <w:tcBorders>
              <w:top w:val="nil"/>
              <w:left w:val="nil"/>
              <w:bottom w:val="single" w:sz="6" w:space="0" w:color="auto"/>
              <w:right w:val="nil"/>
            </w:tcBorders>
          </w:tcPr>
          <w:p w:rsidR="0028027B" w:rsidRPr="00DC1EE4" w:rsidRDefault="0028027B" w:rsidP="00C03F9E">
            <w:pPr>
              <w:pStyle w:val="TableofFigures"/>
              <w:spacing w:before="0" w:after="0"/>
            </w:pPr>
            <w:r w:rsidRPr="00DC1EE4">
              <w:t xml:space="preserve"> </w:t>
            </w:r>
          </w:p>
        </w:tc>
        <w:tc>
          <w:tcPr>
            <w:tcW w:w="5955" w:type="dxa"/>
            <w:tcBorders>
              <w:top w:val="nil"/>
              <w:left w:val="nil"/>
              <w:bottom w:val="single" w:sz="6" w:space="0" w:color="auto"/>
              <w:right w:val="nil"/>
            </w:tcBorders>
            <w:vAlign w:val="bottom"/>
          </w:tcPr>
          <w:p w:rsidR="0028027B" w:rsidRPr="00DC1EE4" w:rsidRDefault="0028027B" w:rsidP="00C03F9E">
            <w:pPr>
              <w:pStyle w:val="Tabletext"/>
            </w:pPr>
            <w:r w:rsidRPr="00DC1EE4">
              <w:t>Other gains/(losses) from other economic flows</w:t>
            </w:r>
          </w:p>
        </w:tc>
        <w:tc>
          <w:tcPr>
            <w:tcW w:w="900" w:type="dxa"/>
            <w:tcBorders>
              <w:top w:val="nil"/>
              <w:left w:val="nil"/>
              <w:bottom w:val="single" w:sz="6" w:space="0" w:color="auto"/>
              <w:right w:val="nil"/>
            </w:tcBorders>
            <w:vAlign w:val="bottom"/>
          </w:tcPr>
          <w:p w:rsidR="0028027B" w:rsidRPr="00DC1EE4" w:rsidRDefault="0028027B" w:rsidP="00C03F9E">
            <w:pPr>
              <w:pStyle w:val="TableTextCentred"/>
            </w:pPr>
            <w:r w:rsidRPr="00DC1EE4">
              <w:t>10</w:t>
            </w:r>
          </w:p>
        </w:tc>
        <w:tc>
          <w:tcPr>
            <w:tcW w:w="990" w:type="dxa"/>
            <w:tcBorders>
              <w:top w:val="nil"/>
              <w:left w:val="nil"/>
              <w:bottom w:val="single" w:sz="6" w:space="0" w:color="auto"/>
              <w:right w:val="nil"/>
            </w:tcBorders>
            <w:vAlign w:val="bottom"/>
          </w:tcPr>
          <w:p w:rsidR="0028027B" w:rsidRPr="00DC1EE4" w:rsidRDefault="0028027B" w:rsidP="00C03F9E">
            <w:pPr>
              <w:pStyle w:val="TableofFigures"/>
            </w:pPr>
            <w:r w:rsidRPr="00DC1EE4">
              <w:t>(124)</w:t>
            </w:r>
          </w:p>
        </w:tc>
        <w:tc>
          <w:tcPr>
            <w:tcW w:w="1057" w:type="dxa"/>
            <w:tcBorders>
              <w:top w:val="nil"/>
              <w:left w:val="nil"/>
              <w:bottom w:val="single" w:sz="6" w:space="0" w:color="auto"/>
              <w:right w:val="nil"/>
            </w:tcBorders>
            <w:vAlign w:val="bottom"/>
          </w:tcPr>
          <w:p w:rsidR="0028027B" w:rsidRPr="00DC1EE4" w:rsidRDefault="0028027B" w:rsidP="00C03F9E">
            <w:pPr>
              <w:pStyle w:val="TableofFigures"/>
            </w:pPr>
            <w:r w:rsidRPr="00DC1EE4">
              <w:t>(318)</w:t>
            </w:r>
          </w:p>
        </w:tc>
      </w:tr>
      <w:tr w:rsidR="0028027B" w:rsidRPr="00DC1EE4" w:rsidTr="00C03F9E">
        <w:tc>
          <w:tcPr>
            <w:tcW w:w="1074" w:type="dxa"/>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(66)</w:t>
            </w:r>
          </w:p>
        </w:tc>
        <w:tc>
          <w:tcPr>
            <w:tcW w:w="185" w:type="dxa"/>
            <w:tcBorders>
              <w:top w:val="single" w:sz="6" w:space="0" w:color="auto"/>
              <w:left w:val="nil"/>
              <w:bottom w:val="single" w:sz="6"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single" w:sz="6" w:space="0" w:color="auto"/>
              <w:left w:val="nil"/>
              <w:bottom w:val="single" w:sz="6" w:space="0" w:color="auto"/>
              <w:right w:val="nil"/>
            </w:tcBorders>
            <w:vAlign w:val="bottom"/>
          </w:tcPr>
          <w:p w:rsidR="0028027B" w:rsidRPr="00DC1EE4" w:rsidRDefault="0028027B" w:rsidP="00C03F9E">
            <w:pPr>
              <w:pStyle w:val="Tabletext"/>
              <w:rPr>
                <w:b/>
              </w:rPr>
            </w:pPr>
            <w:r w:rsidRPr="00DC1EE4">
              <w:rPr>
                <w:b/>
              </w:rPr>
              <w:t>Total other economic flows included in net result</w:t>
            </w:r>
          </w:p>
        </w:tc>
        <w:tc>
          <w:tcPr>
            <w:tcW w:w="900" w:type="dxa"/>
            <w:tcBorders>
              <w:top w:val="single" w:sz="6" w:space="0" w:color="auto"/>
              <w:left w:val="nil"/>
              <w:bottom w:val="single" w:sz="6" w:space="0" w:color="auto"/>
              <w:right w:val="nil"/>
            </w:tcBorders>
            <w:vAlign w:val="bottom"/>
          </w:tcPr>
          <w:p w:rsidR="0028027B" w:rsidRPr="00DC1EE4" w:rsidRDefault="0028027B" w:rsidP="00C03F9E">
            <w:pPr>
              <w:pStyle w:val="TableTextCentred"/>
              <w:rPr>
                <w:b/>
              </w:rPr>
            </w:pPr>
          </w:p>
        </w:tc>
        <w:tc>
          <w:tcPr>
            <w:tcW w:w="990" w:type="dxa"/>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(166)</w:t>
            </w:r>
          </w:p>
        </w:tc>
        <w:tc>
          <w:tcPr>
            <w:tcW w:w="1057" w:type="dxa"/>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5 147</w:t>
            </w:r>
          </w:p>
        </w:tc>
      </w:tr>
      <w:tr w:rsidR="0028027B" w:rsidRPr="00DC1EE4" w:rsidTr="00C03F9E">
        <w:tc>
          <w:tcPr>
            <w:tcW w:w="1074" w:type="dxa"/>
            <w:tcBorders>
              <w:top w:val="single" w:sz="6" w:space="0" w:color="auto"/>
              <w:left w:val="nil"/>
              <w:bottom w:val="single" w:sz="12" w:space="0" w:color="auto"/>
              <w:right w:val="nil"/>
            </w:tcBorders>
            <w:vAlign w:val="bottom"/>
          </w:tcPr>
          <w:p w:rsidR="0028027B" w:rsidRPr="00DC1EE4" w:rsidRDefault="0028027B" w:rsidP="00C03F9E">
            <w:pPr>
              <w:pStyle w:val="TableofFigures"/>
              <w:rPr>
                <w:b/>
              </w:rPr>
            </w:pPr>
            <w:r w:rsidRPr="00DC1EE4">
              <w:rPr>
                <w:b/>
              </w:rPr>
              <w:t xml:space="preserve"> 351</w:t>
            </w:r>
          </w:p>
        </w:tc>
        <w:tc>
          <w:tcPr>
            <w:tcW w:w="185" w:type="dxa"/>
            <w:tcBorders>
              <w:top w:val="single" w:sz="6" w:space="0" w:color="auto"/>
              <w:left w:val="nil"/>
              <w:bottom w:val="single" w:sz="12"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single" w:sz="6" w:space="0" w:color="auto"/>
              <w:left w:val="nil"/>
              <w:bottom w:val="single" w:sz="12" w:space="0" w:color="auto"/>
              <w:right w:val="nil"/>
            </w:tcBorders>
            <w:vAlign w:val="bottom"/>
          </w:tcPr>
          <w:p w:rsidR="0028027B" w:rsidRPr="00DC1EE4" w:rsidRDefault="0028027B" w:rsidP="00C03F9E">
            <w:pPr>
              <w:pStyle w:val="Tabletext"/>
              <w:rPr>
                <w:b/>
              </w:rPr>
            </w:pPr>
            <w:r w:rsidRPr="00DC1EE4">
              <w:rPr>
                <w:b/>
              </w:rPr>
              <w:t>Net result</w:t>
            </w:r>
          </w:p>
        </w:tc>
        <w:tc>
          <w:tcPr>
            <w:tcW w:w="900" w:type="dxa"/>
            <w:tcBorders>
              <w:top w:val="single" w:sz="6" w:space="0" w:color="auto"/>
              <w:left w:val="nil"/>
              <w:bottom w:val="single" w:sz="12" w:space="0" w:color="auto"/>
              <w:right w:val="nil"/>
            </w:tcBorders>
            <w:vAlign w:val="bottom"/>
          </w:tcPr>
          <w:p w:rsidR="0028027B" w:rsidRPr="00DC1EE4" w:rsidRDefault="0028027B" w:rsidP="00C03F9E">
            <w:pPr>
              <w:pStyle w:val="TableTextCentred"/>
              <w:rPr>
                <w:b/>
              </w:rPr>
            </w:pPr>
          </w:p>
        </w:tc>
        <w:tc>
          <w:tcPr>
            <w:tcW w:w="990" w:type="dxa"/>
            <w:tcBorders>
              <w:top w:val="single" w:sz="6" w:space="0" w:color="auto"/>
              <w:left w:val="nil"/>
              <w:bottom w:val="single" w:sz="12" w:space="0" w:color="auto"/>
              <w:right w:val="nil"/>
            </w:tcBorders>
            <w:vAlign w:val="bottom"/>
          </w:tcPr>
          <w:p w:rsidR="0028027B" w:rsidRPr="00DC1EE4" w:rsidRDefault="0028027B" w:rsidP="00C03F9E">
            <w:pPr>
              <w:pStyle w:val="TableofFigures"/>
              <w:rPr>
                <w:b/>
              </w:rPr>
            </w:pPr>
            <w:r w:rsidRPr="00DC1EE4">
              <w:rPr>
                <w:b/>
              </w:rPr>
              <w:t xml:space="preserve"> 353</w:t>
            </w:r>
          </w:p>
        </w:tc>
        <w:tc>
          <w:tcPr>
            <w:tcW w:w="1057" w:type="dxa"/>
            <w:tcBorders>
              <w:top w:val="single" w:sz="6" w:space="0" w:color="auto"/>
              <w:left w:val="nil"/>
              <w:bottom w:val="single" w:sz="12" w:space="0" w:color="auto"/>
              <w:right w:val="nil"/>
            </w:tcBorders>
            <w:vAlign w:val="bottom"/>
          </w:tcPr>
          <w:p w:rsidR="0028027B" w:rsidRPr="00DC1EE4" w:rsidRDefault="0028027B" w:rsidP="00C03F9E">
            <w:pPr>
              <w:pStyle w:val="TableofFigures"/>
              <w:rPr>
                <w:b/>
              </w:rPr>
            </w:pPr>
            <w:r w:rsidRPr="00DC1EE4">
              <w:rPr>
                <w:b/>
              </w:rPr>
              <w:t>6 366</w:t>
            </w:r>
          </w:p>
        </w:tc>
      </w:tr>
      <w:tr w:rsidR="0028027B" w:rsidRPr="00DC1EE4" w:rsidTr="00C03F9E">
        <w:tc>
          <w:tcPr>
            <w:tcW w:w="1074" w:type="dxa"/>
            <w:tcBorders>
              <w:top w:val="single" w:sz="12" w:space="0" w:color="auto"/>
              <w:left w:val="nil"/>
              <w:bottom w:val="nil"/>
              <w:right w:val="nil"/>
            </w:tcBorders>
            <w:vAlign w:val="bottom"/>
          </w:tcPr>
          <w:p w:rsidR="0028027B" w:rsidRPr="00DC1EE4" w:rsidRDefault="0028027B" w:rsidP="00C03F9E">
            <w:pPr>
              <w:pStyle w:val="TableofFigures"/>
              <w:rPr>
                <w:b/>
              </w:rPr>
            </w:pPr>
            <w:r w:rsidRPr="00DC1EE4">
              <w:t xml:space="preserve"> </w:t>
            </w:r>
          </w:p>
        </w:tc>
        <w:tc>
          <w:tcPr>
            <w:tcW w:w="185" w:type="dxa"/>
            <w:tcBorders>
              <w:top w:val="single" w:sz="12" w:space="0" w:color="auto"/>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single" w:sz="12" w:space="0" w:color="auto"/>
              <w:left w:val="nil"/>
              <w:bottom w:val="nil"/>
              <w:right w:val="nil"/>
            </w:tcBorders>
            <w:vAlign w:val="bottom"/>
          </w:tcPr>
          <w:p w:rsidR="0028027B" w:rsidRPr="00DC1EE4" w:rsidRDefault="0028027B" w:rsidP="00C03F9E">
            <w:pPr>
              <w:pStyle w:val="Tabletext"/>
              <w:rPr>
                <w:b/>
              </w:rPr>
            </w:pPr>
            <w:r w:rsidRPr="00DC1EE4">
              <w:rPr>
                <w:b/>
              </w:rPr>
              <w:t xml:space="preserve">Other economic flows – other comprehensive income </w:t>
            </w:r>
          </w:p>
        </w:tc>
        <w:tc>
          <w:tcPr>
            <w:tcW w:w="900" w:type="dxa"/>
            <w:tcBorders>
              <w:top w:val="single" w:sz="12" w:space="0" w:color="auto"/>
              <w:left w:val="nil"/>
              <w:bottom w:val="nil"/>
              <w:right w:val="nil"/>
            </w:tcBorders>
            <w:vAlign w:val="bottom"/>
          </w:tcPr>
          <w:p w:rsidR="0028027B" w:rsidRPr="00DC1EE4" w:rsidRDefault="0028027B" w:rsidP="00C03F9E">
            <w:pPr>
              <w:pStyle w:val="TableTextCentred"/>
              <w:rPr>
                <w:b/>
              </w:rPr>
            </w:pPr>
          </w:p>
        </w:tc>
        <w:tc>
          <w:tcPr>
            <w:tcW w:w="990" w:type="dxa"/>
            <w:tcBorders>
              <w:top w:val="single" w:sz="12" w:space="0" w:color="auto"/>
              <w:left w:val="nil"/>
              <w:bottom w:val="nil"/>
              <w:right w:val="nil"/>
            </w:tcBorders>
            <w:vAlign w:val="bottom"/>
          </w:tcPr>
          <w:p w:rsidR="0028027B" w:rsidRPr="00DC1EE4" w:rsidRDefault="0028027B" w:rsidP="00C03F9E">
            <w:pPr>
              <w:pStyle w:val="TableofFigures"/>
              <w:rPr>
                <w:b/>
              </w:rPr>
            </w:pPr>
            <w:r w:rsidRPr="00DC1EE4">
              <w:t xml:space="preserve"> </w:t>
            </w:r>
          </w:p>
        </w:tc>
        <w:tc>
          <w:tcPr>
            <w:tcW w:w="1057" w:type="dxa"/>
            <w:tcBorders>
              <w:top w:val="single" w:sz="12" w:space="0" w:color="auto"/>
              <w:left w:val="nil"/>
              <w:bottom w:val="nil"/>
              <w:right w:val="nil"/>
            </w:tcBorders>
            <w:vAlign w:val="bottom"/>
          </w:tcPr>
          <w:p w:rsidR="0028027B" w:rsidRPr="00DC1EE4" w:rsidRDefault="0028027B" w:rsidP="00C03F9E">
            <w:pPr>
              <w:pStyle w:val="TableofFigures"/>
              <w:rPr>
                <w:b/>
              </w:rPr>
            </w:pPr>
            <w:r w:rsidRPr="00DC1EE4">
              <w:t xml:space="preserve"> </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c>
          <w:tcPr>
            <w:tcW w:w="185" w:type="dxa"/>
            <w:tcBorders>
              <w:top w:val="nil"/>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nil"/>
              <w:left w:val="nil"/>
              <w:bottom w:val="nil"/>
              <w:right w:val="nil"/>
            </w:tcBorders>
            <w:vAlign w:val="bottom"/>
          </w:tcPr>
          <w:p w:rsidR="0028027B" w:rsidRPr="00DC1EE4" w:rsidRDefault="0028027B" w:rsidP="00C03F9E">
            <w:pPr>
              <w:pStyle w:val="Tabletext"/>
              <w:rPr>
                <w:b/>
              </w:rPr>
            </w:pPr>
            <w:r w:rsidRPr="00DC1EE4">
              <w:rPr>
                <w:b/>
              </w:rPr>
              <w:t>Items that will not be reclassified to net result</w:t>
            </w:r>
          </w:p>
        </w:tc>
        <w:tc>
          <w:tcPr>
            <w:tcW w:w="900" w:type="dxa"/>
            <w:tcBorders>
              <w:top w:val="nil"/>
              <w:left w:val="nil"/>
              <w:bottom w:val="nil"/>
              <w:right w:val="nil"/>
            </w:tcBorders>
            <w:vAlign w:val="bottom"/>
          </w:tcPr>
          <w:p w:rsidR="0028027B" w:rsidRPr="00DC1EE4" w:rsidRDefault="0028027B" w:rsidP="00C03F9E">
            <w:pPr>
              <w:pStyle w:val="TableTextCentred"/>
              <w:rPr>
                <w:b/>
              </w:rPr>
            </w:pPr>
          </w:p>
        </w:tc>
        <w:tc>
          <w:tcPr>
            <w:tcW w:w="990"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c>
          <w:tcPr>
            <w:tcW w:w="1057"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22</w:t>
            </w:r>
          </w:p>
        </w:tc>
        <w:tc>
          <w:tcPr>
            <w:tcW w:w="185" w:type="dxa"/>
            <w:tcBorders>
              <w:top w:val="nil"/>
              <w:left w:val="nil"/>
              <w:bottom w:val="nil"/>
              <w:right w:val="nil"/>
            </w:tcBorders>
          </w:tcPr>
          <w:p w:rsidR="0028027B" w:rsidRPr="00DC1EE4" w:rsidRDefault="0028027B" w:rsidP="00C03F9E">
            <w:pPr>
              <w:pStyle w:val="TableofFigures"/>
              <w:spacing w:before="0" w:after="100" w:afterAutospacing="1"/>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Changes in non</w:t>
            </w:r>
            <w:r w:rsidR="005A4BB0">
              <w:noBreakHyphen/>
            </w:r>
            <w:r w:rsidRPr="00DC1EE4">
              <w:t>financial assets revaluation surplus</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32</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 xml:space="preserve"> 756</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121</w:t>
            </w:r>
          </w:p>
        </w:tc>
        <w:tc>
          <w:tcPr>
            <w:tcW w:w="185" w:type="dxa"/>
            <w:tcBorders>
              <w:top w:val="nil"/>
              <w:left w:val="nil"/>
              <w:bottom w:val="nil"/>
              <w:right w:val="nil"/>
            </w:tcBorders>
          </w:tcPr>
          <w:p w:rsidR="0028027B" w:rsidRPr="00DC1EE4" w:rsidRDefault="0028027B" w:rsidP="00C03F9E">
            <w:pPr>
              <w:pStyle w:val="TableofFigures"/>
              <w:spacing w:before="0" w:after="100" w:afterAutospacing="1"/>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Remeasurement of superannuation defined benefit plans</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(1 934)</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 xml:space="preserve"> 962</w:t>
            </w:r>
          </w:p>
        </w:tc>
      </w:tr>
      <w:tr w:rsidR="0028027B" w:rsidRPr="00DC1EE4" w:rsidTr="00C03F9E">
        <w:tc>
          <w:tcPr>
            <w:tcW w:w="1074" w:type="dxa"/>
            <w:tcBorders>
              <w:top w:val="nil"/>
              <w:left w:val="nil"/>
              <w:bottom w:val="nil"/>
              <w:right w:val="nil"/>
            </w:tcBorders>
          </w:tcPr>
          <w:p w:rsidR="0028027B" w:rsidRPr="00DC1EE4" w:rsidRDefault="0028027B" w:rsidP="00C03F9E">
            <w:pPr>
              <w:pStyle w:val="TableofFigures"/>
            </w:pPr>
            <w:r w:rsidRPr="00DC1EE4">
              <w:t>..</w:t>
            </w:r>
          </w:p>
        </w:tc>
        <w:tc>
          <w:tcPr>
            <w:tcW w:w="185" w:type="dxa"/>
            <w:tcBorders>
              <w:top w:val="nil"/>
              <w:left w:val="nil"/>
              <w:bottom w:val="nil"/>
              <w:right w:val="nil"/>
            </w:tcBorders>
          </w:tcPr>
          <w:p w:rsidR="0028027B" w:rsidRPr="00DC1EE4" w:rsidRDefault="0028027B" w:rsidP="00C03F9E">
            <w:pPr>
              <w:pStyle w:val="TableofFigures"/>
              <w:spacing w:before="0" w:after="100" w:afterAutospacing="1"/>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ind w:left="272" w:hanging="272"/>
            </w:pPr>
            <w:r w:rsidRPr="00DC1EE4">
              <w:t>Net gain/(loss) on equity investments in other sector entities at proportional share of the carrying amount of net assets</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tcPr>
          <w:p w:rsidR="0028027B" w:rsidRPr="00DC1EE4" w:rsidRDefault="0028027B" w:rsidP="00C03F9E">
            <w:pPr>
              <w:pStyle w:val="TableofFigures"/>
            </w:pPr>
            <w:r w:rsidRPr="00DC1EE4">
              <w:t>..</w:t>
            </w:r>
          </w:p>
        </w:tc>
        <w:tc>
          <w:tcPr>
            <w:tcW w:w="1057" w:type="dxa"/>
            <w:tcBorders>
              <w:top w:val="nil"/>
              <w:left w:val="nil"/>
              <w:bottom w:val="nil"/>
              <w:right w:val="nil"/>
            </w:tcBorders>
          </w:tcPr>
          <w:p w:rsidR="0028027B" w:rsidRPr="00DC1EE4" w:rsidRDefault="0028027B" w:rsidP="00C03F9E">
            <w:pPr>
              <w:pStyle w:val="TableofFigures"/>
            </w:pPr>
            <w:r w:rsidRPr="00DC1EE4">
              <w:t xml:space="preserve"> 1</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 xml:space="preserve"> 14</w:t>
            </w:r>
          </w:p>
        </w:tc>
        <w:tc>
          <w:tcPr>
            <w:tcW w:w="185" w:type="dxa"/>
            <w:tcBorders>
              <w:top w:val="nil"/>
              <w:left w:val="nil"/>
              <w:bottom w:val="nil"/>
              <w:right w:val="nil"/>
            </w:tcBorders>
          </w:tcPr>
          <w:p w:rsidR="0028027B" w:rsidRPr="00DC1EE4" w:rsidRDefault="0028027B" w:rsidP="00C03F9E">
            <w:pPr>
              <w:pStyle w:val="TableofFigures"/>
              <w:spacing w:before="0" w:after="100" w:afterAutospacing="1"/>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Other movements in equity</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2</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 xml:space="preserve"> 6</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c>
          <w:tcPr>
            <w:tcW w:w="185" w:type="dxa"/>
            <w:tcBorders>
              <w:top w:val="nil"/>
              <w:left w:val="nil"/>
              <w:bottom w:val="nil"/>
              <w:right w:val="nil"/>
            </w:tcBorders>
          </w:tcPr>
          <w:p w:rsidR="0028027B" w:rsidRPr="00DC1EE4" w:rsidRDefault="0028027B" w:rsidP="00C03F9E">
            <w:pPr>
              <w:pStyle w:val="TableofFigures"/>
              <w:spacing w:before="0" w:after="100" w:afterAutospacing="1"/>
              <w:rPr>
                <w:b/>
              </w:rPr>
            </w:pPr>
            <w:r w:rsidRPr="00DC1EE4">
              <w:rPr>
                <w:b/>
              </w:rPr>
              <w:t xml:space="preserve"> </w:t>
            </w:r>
          </w:p>
        </w:tc>
        <w:tc>
          <w:tcPr>
            <w:tcW w:w="5955" w:type="dxa"/>
            <w:tcBorders>
              <w:top w:val="nil"/>
              <w:left w:val="nil"/>
              <w:bottom w:val="nil"/>
              <w:right w:val="nil"/>
            </w:tcBorders>
            <w:vAlign w:val="bottom"/>
          </w:tcPr>
          <w:p w:rsidR="0028027B" w:rsidRPr="00DC1EE4" w:rsidRDefault="0028027B" w:rsidP="00C03F9E">
            <w:pPr>
              <w:pStyle w:val="Tabletext"/>
              <w:rPr>
                <w:b/>
              </w:rPr>
            </w:pPr>
            <w:r w:rsidRPr="00DC1EE4">
              <w:rPr>
                <w:b/>
              </w:rPr>
              <w:t>Items that may be reclassified subsequently to net result</w:t>
            </w:r>
          </w:p>
        </w:tc>
        <w:tc>
          <w:tcPr>
            <w:tcW w:w="900" w:type="dxa"/>
            <w:tcBorders>
              <w:top w:val="nil"/>
              <w:left w:val="nil"/>
              <w:bottom w:val="nil"/>
              <w:right w:val="nil"/>
            </w:tcBorders>
            <w:vAlign w:val="bottom"/>
          </w:tcPr>
          <w:p w:rsidR="0028027B" w:rsidRPr="00DC1EE4" w:rsidRDefault="0028027B" w:rsidP="00C03F9E">
            <w:pPr>
              <w:pStyle w:val="TableTextCentred"/>
              <w:rPr>
                <w:b/>
              </w:rPr>
            </w:pPr>
          </w:p>
        </w:tc>
        <w:tc>
          <w:tcPr>
            <w:tcW w:w="990"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c>
          <w:tcPr>
            <w:tcW w:w="1057"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r>
      <w:tr w:rsidR="0028027B" w:rsidRPr="00DC1EE4" w:rsidTr="00C03F9E">
        <w:tc>
          <w:tcPr>
            <w:tcW w:w="1074" w:type="dxa"/>
            <w:tcBorders>
              <w:top w:val="nil"/>
              <w:left w:val="nil"/>
              <w:bottom w:val="nil"/>
              <w:right w:val="nil"/>
            </w:tcBorders>
            <w:vAlign w:val="bottom"/>
          </w:tcPr>
          <w:p w:rsidR="0028027B" w:rsidRPr="00DC1EE4" w:rsidRDefault="0028027B" w:rsidP="00C03F9E">
            <w:pPr>
              <w:pStyle w:val="TableofFigures"/>
            </w:pPr>
            <w:r w:rsidRPr="00DC1EE4">
              <w:t>(2)</w:t>
            </w:r>
          </w:p>
        </w:tc>
        <w:tc>
          <w:tcPr>
            <w:tcW w:w="185" w:type="dxa"/>
            <w:tcBorders>
              <w:top w:val="nil"/>
              <w:left w:val="nil"/>
              <w:bottom w:val="nil"/>
              <w:right w:val="nil"/>
            </w:tcBorders>
          </w:tcPr>
          <w:p w:rsidR="0028027B" w:rsidRPr="00DC1EE4" w:rsidRDefault="0028027B" w:rsidP="00C03F9E">
            <w:pPr>
              <w:pStyle w:val="TableofFigures"/>
              <w:spacing w:before="0" w:after="100" w:afterAutospacing="1"/>
            </w:pPr>
            <w:r w:rsidRPr="00DC1EE4">
              <w:t xml:space="preserve"> </w:t>
            </w:r>
          </w:p>
        </w:tc>
        <w:tc>
          <w:tcPr>
            <w:tcW w:w="5955" w:type="dxa"/>
            <w:tcBorders>
              <w:top w:val="nil"/>
              <w:left w:val="nil"/>
              <w:bottom w:val="nil"/>
              <w:right w:val="nil"/>
            </w:tcBorders>
            <w:vAlign w:val="bottom"/>
          </w:tcPr>
          <w:p w:rsidR="0028027B" w:rsidRPr="00DC1EE4" w:rsidRDefault="0028027B" w:rsidP="00C03F9E">
            <w:pPr>
              <w:pStyle w:val="Tabletext"/>
            </w:pPr>
            <w:r w:rsidRPr="00DC1EE4">
              <w:t>Net gain/(loss) on financial assets at fair value</w:t>
            </w:r>
          </w:p>
        </w:tc>
        <w:tc>
          <w:tcPr>
            <w:tcW w:w="900" w:type="dxa"/>
            <w:tcBorders>
              <w:top w:val="nil"/>
              <w:left w:val="nil"/>
              <w:bottom w:val="nil"/>
              <w:right w:val="nil"/>
            </w:tcBorders>
            <w:vAlign w:val="bottom"/>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(3)</w:t>
            </w:r>
          </w:p>
        </w:tc>
        <w:tc>
          <w:tcPr>
            <w:tcW w:w="1057" w:type="dxa"/>
            <w:tcBorders>
              <w:top w:val="nil"/>
              <w:left w:val="nil"/>
              <w:bottom w:val="nil"/>
              <w:right w:val="nil"/>
            </w:tcBorders>
            <w:vAlign w:val="bottom"/>
          </w:tcPr>
          <w:p w:rsidR="0028027B" w:rsidRPr="00DC1EE4" w:rsidRDefault="0028027B" w:rsidP="00C03F9E">
            <w:pPr>
              <w:pStyle w:val="TableofFigures"/>
            </w:pPr>
            <w:r w:rsidRPr="00DC1EE4">
              <w:t xml:space="preserve"> 1</w:t>
            </w:r>
          </w:p>
        </w:tc>
      </w:tr>
      <w:tr w:rsidR="0028027B" w:rsidRPr="00DC1EE4" w:rsidTr="00C03F9E">
        <w:tc>
          <w:tcPr>
            <w:tcW w:w="1074" w:type="dxa"/>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 xml:space="preserve"> 155</w:t>
            </w:r>
          </w:p>
        </w:tc>
        <w:tc>
          <w:tcPr>
            <w:tcW w:w="185" w:type="dxa"/>
            <w:tcBorders>
              <w:top w:val="single" w:sz="6" w:space="0" w:color="auto"/>
              <w:left w:val="nil"/>
              <w:bottom w:val="single" w:sz="6"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single" w:sz="6" w:space="0" w:color="auto"/>
              <w:left w:val="nil"/>
              <w:bottom w:val="single" w:sz="6" w:space="0" w:color="auto"/>
              <w:right w:val="nil"/>
            </w:tcBorders>
            <w:vAlign w:val="bottom"/>
          </w:tcPr>
          <w:p w:rsidR="0028027B" w:rsidRPr="00DC1EE4" w:rsidRDefault="0028027B" w:rsidP="00C03F9E">
            <w:pPr>
              <w:pStyle w:val="Tabletext"/>
              <w:rPr>
                <w:b/>
              </w:rPr>
            </w:pPr>
            <w:r w:rsidRPr="00DC1EE4">
              <w:rPr>
                <w:b/>
              </w:rPr>
              <w:t>Total other economic flows – other comprehensive income</w:t>
            </w:r>
          </w:p>
        </w:tc>
        <w:tc>
          <w:tcPr>
            <w:tcW w:w="900" w:type="dxa"/>
            <w:tcBorders>
              <w:top w:val="single" w:sz="6" w:space="0" w:color="auto"/>
              <w:left w:val="nil"/>
              <w:bottom w:val="single" w:sz="6" w:space="0" w:color="auto"/>
              <w:right w:val="nil"/>
            </w:tcBorders>
            <w:vAlign w:val="bottom"/>
          </w:tcPr>
          <w:p w:rsidR="0028027B" w:rsidRPr="00DC1EE4" w:rsidRDefault="0028027B" w:rsidP="00C03F9E">
            <w:pPr>
              <w:pStyle w:val="TableTextCentred"/>
              <w:rPr>
                <w:b/>
              </w:rPr>
            </w:pPr>
          </w:p>
        </w:tc>
        <w:tc>
          <w:tcPr>
            <w:tcW w:w="990" w:type="dxa"/>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 xml:space="preserve"> (1 903)</w:t>
            </w:r>
          </w:p>
        </w:tc>
        <w:tc>
          <w:tcPr>
            <w:tcW w:w="1057" w:type="dxa"/>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1 727</w:t>
            </w:r>
          </w:p>
        </w:tc>
      </w:tr>
      <w:tr w:rsidR="0028027B" w:rsidRPr="00DC1EE4" w:rsidTr="00C03F9E">
        <w:tc>
          <w:tcPr>
            <w:tcW w:w="1074" w:type="dxa"/>
            <w:tcBorders>
              <w:top w:val="single" w:sz="6" w:space="0" w:color="auto"/>
              <w:left w:val="nil"/>
              <w:bottom w:val="single" w:sz="12" w:space="0" w:color="auto"/>
              <w:right w:val="nil"/>
            </w:tcBorders>
            <w:vAlign w:val="bottom"/>
          </w:tcPr>
          <w:p w:rsidR="0028027B" w:rsidRPr="00DC1EE4" w:rsidRDefault="0028027B" w:rsidP="00C03F9E">
            <w:pPr>
              <w:pStyle w:val="TableofFigures"/>
              <w:rPr>
                <w:b/>
              </w:rPr>
            </w:pPr>
            <w:r w:rsidRPr="00DC1EE4">
              <w:rPr>
                <w:b/>
              </w:rPr>
              <w:t xml:space="preserve"> 506</w:t>
            </w:r>
          </w:p>
        </w:tc>
        <w:tc>
          <w:tcPr>
            <w:tcW w:w="185" w:type="dxa"/>
            <w:tcBorders>
              <w:top w:val="single" w:sz="6" w:space="0" w:color="auto"/>
              <w:left w:val="nil"/>
              <w:bottom w:val="single" w:sz="12"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single" w:sz="6" w:space="0" w:color="auto"/>
              <w:left w:val="nil"/>
              <w:bottom w:val="single" w:sz="12" w:space="0" w:color="auto"/>
              <w:right w:val="nil"/>
            </w:tcBorders>
            <w:vAlign w:val="bottom"/>
          </w:tcPr>
          <w:p w:rsidR="0028027B" w:rsidRPr="00DC1EE4" w:rsidRDefault="0028027B" w:rsidP="00C03F9E">
            <w:pPr>
              <w:pStyle w:val="Tabletext"/>
              <w:rPr>
                <w:b/>
              </w:rPr>
            </w:pPr>
            <w:r w:rsidRPr="00DC1EE4">
              <w:rPr>
                <w:b/>
              </w:rPr>
              <w:t>Comprehensive result – total change in net worth</w:t>
            </w:r>
          </w:p>
        </w:tc>
        <w:tc>
          <w:tcPr>
            <w:tcW w:w="900" w:type="dxa"/>
            <w:tcBorders>
              <w:top w:val="single" w:sz="6" w:space="0" w:color="auto"/>
              <w:left w:val="nil"/>
              <w:bottom w:val="single" w:sz="12" w:space="0" w:color="auto"/>
              <w:right w:val="nil"/>
            </w:tcBorders>
            <w:vAlign w:val="bottom"/>
          </w:tcPr>
          <w:p w:rsidR="0028027B" w:rsidRPr="00DC1EE4" w:rsidRDefault="0028027B" w:rsidP="00C03F9E">
            <w:pPr>
              <w:pStyle w:val="TableTextCentred"/>
              <w:rPr>
                <w:b/>
              </w:rPr>
            </w:pPr>
          </w:p>
        </w:tc>
        <w:tc>
          <w:tcPr>
            <w:tcW w:w="990" w:type="dxa"/>
            <w:tcBorders>
              <w:top w:val="single" w:sz="6" w:space="0" w:color="auto"/>
              <w:left w:val="nil"/>
              <w:bottom w:val="single" w:sz="12" w:space="0" w:color="auto"/>
              <w:right w:val="nil"/>
            </w:tcBorders>
            <w:vAlign w:val="bottom"/>
          </w:tcPr>
          <w:p w:rsidR="0028027B" w:rsidRPr="00DC1EE4" w:rsidRDefault="0028027B" w:rsidP="00C03F9E">
            <w:pPr>
              <w:pStyle w:val="TableofFigures"/>
              <w:rPr>
                <w:b/>
              </w:rPr>
            </w:pPr>
            <w:r w:rsidRPr="00DC1EE4">
              <w:rPr>
                <w:b/>
              </w:rPr>
              <w:t xml:space="preserve"> (1 550)</w:t>
            </w:r>
          </w:p>
        </w:tc>
        <w:tc>
          <w:tcPr>
            <w:tcW w:w="1057" w:type="dxa"/>
            <w:tcBorders>
              <w:top w:val="single" w:sz="6" w:space="0" w:color="auto"/>
              <w:left w:val="nil"/>
              <w:bottom w:val="single" w:sz="12" w:space="0" w:color="auto"/>
              <w:right w:val="nil"/>
            </w:tcBorders>
            <w:vAlign w:val="bottom"/>
          </w:tcPr>
          <w:p w:rsidR="0028027B" w:rsidRPr="00DC1EE4" w:rsidRDefault="0028027B" w:rsidP="00C03F9E">
            <w:pPr>
              <w:pStyle w:val="TableofFigures"/>
              <w:rPr>
                <w:b/>
              </w:rPr>
            </w:pPr>
            <w:r w:rsidRPr="00DC1EE4">
              <w:rPr>
                <w:b/>
              </w:rPr>
              <w:t>8 093</w:t>
            </w:r>
          </w:p>
        </w:tc>
      </w:tr>
      <w:tr w:rsidR="0028027B" w:rsidRPr="00DC1EE4" w:rsidTr="00C03F9E">
        <w:tc>
          <w:tcPr>
            <w:tcW w:w="1074" w:type="dxa"/>
            <w:tcBorders>
              <w:top w:val="single" w:sz="12" w:space="0" w:color="auto"/>
              <w:left w:val="nil"/>
              <w:right w:val="nil"/>
            </w:tcBorders>
          </w:tcPr>
          <w:p w:rsidR="0028027B" w:rsidRPr="00DC1EE4" w:rsidRDefault="0028027B" w:rsidP="00C03F9E">
            <w:pPr>
              <w:pStyle w:val="TableofFigures"/>
              <w:pageBreakBefore/>
              <w:rPr>
                <w:b/>
              </w:rPr>
            </w:pPr>
            <w:r w:rsidRPr="00DC1EE4">
              <w:rPr>
                <w:b/>
              </w:rPr>
              <w:t xml:space="preserve"> </w:t>
            </w:r>
          </w:p>
        </w:tc>
        <w:tc>
          <w:tcPr>
            <w:tcW w:w="185" w:type="dxa"/>
            <w:tcBorders>
              <w:top w:val="single" w:sz="12" w:space="0" w:color="auto"/>
              <w:left w:val="nil"/>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single" w:sz="12" w:space="0" w:color="auto"/>
              <w:left w:val="nil"/>
              <w:right w:val="nil"/>
            </w:tcBorders>
          </w:tcPr>
          <w:p w:rsidR="0028027B" w:rsidRPr="00DC1EE4" w:rsidRDefault="0028027B" w:rsidP="00C03F9E">
            <w:pPr>
              <w:pStyle w:val="Tabletext"/>
              <w:rPr>
                <w:b/>
              </w:rPr>
            </w:pPr>
            <w:r w:rsidRPr="00DC1EE4">
              <w:rPr>
                <w:b/>
              </w:rPr>
              <w:t>FISCAL AGGREGATES</w:t>
            </w:r>
          </w:p>
        </w:tc>
        <w:tc>
          <w:tcPr>
            <w:tcW w:w="900" w:type="dxa"/>
            <w:tcBorders>
              <w:top w:val="single" w:sz="12" w:space="0" w:color="auto"/>
              <w:left w:val="nil"/>
              <w:right w:val="nil"/>
            </w:tcBorders>
          </w:tcPr>
          <w:p w:rsidR="0028027B" w:rsidRPr="00DC1EE4" w:rsidRDefault="0028027B" w:rsidP="00C03F9E">
            <w:pPr>
              <w:pStyle w:val="TableTextCentred"/>
              <w:rPr>
                <w:b/>
              </w:rPr>
            </w:pPr>
            <w:r w:rsidRPr="00DC1EE4">
              <w:rPr>
                <w:b/>
              </w:rPr>
              <w:t xml:space="preserve"> </w:t>
            </w:r>
          </w:p>
        </w:tc>
        <w:tc>
          <w:tcPr>
            <w:tcW w:w="990" w:type="dxa"/>
            <w:tcBorders>
              <w:top w:val="single" w:sz="12" w:space="0" w:color="auto"/>
              <w:left w:val="nil"/>
              <w:right w:val="nil"/>
            </w:tcBorders>
          </w:tcPr>
          <w:p w:rsidR="0028027B" w:rsidRPr="00DC1EE4" w:rsidRDefault="005A4BB0" w:rsidP="00C03F9E">
            <w:pPr>
              <w:pStyle w:val="TableofFigures"/>
              <w:rPr>
                <w:b/>
              </w:rPr>
            </w:pPr>
            <w:r>
              <w:rPr>
                <w:b/>
              </w:rPr>
              <w:t xml:space="preserve"> </w:t>
            </w:r>
          </w:p>
        </w:tc>
        <w:tc>
          <w:tcPr>
            <w:tcW w:w="1057" w:type="dxa"/>
            <w:tcBorders>
              <w:top w:val="single" w:sz="12" w:space="0" w:color="auto"/>
              <w:left w:val="nil"/>
              <w:right w:val="nil"/>
            </w:tcBorders>
          </w:tcPr>
          <w:p w:rsidR="0028027B" w:rsidRPr="00DC1EE4" w:rsidRDefault="005A4BB0" w:rsidP="00C03F9E">
            <w:pPr>
              <w:pStyle w:val="TableofFigures"/>
              <w:rPr>
                <w:b/>
              </w:rPr>
            </w:pPr>
            <w:r>
              <w:rPr>
                <w:b/>
              </w:rPr>
              <w:t xml:space="preserve"> </w:t>
            </w:r>
          </w:p>
        </w:tc>
      </w:tr>
      <w:tr w:rsidR="0028027B" w:rsidRPr="00DC1EE4" w:rsidTr="00C03F9E">
        <w:tc>
          <w:tcPr>
            <w:tcW w:w="1074" w:type="dxa"/>
            <w:tcBorders>
              <w:left w:val="nil"/>
              <w:right w:val="nil"/>
            </w:tcBorders>
          </w:tcPr>
          <w:p w:rsidR="0028027B" w:rsidRPr="00DC1EE4" w:rsidRDefault="0028027B" w:rsidP="00C03F9E">
            <w:pPr>
              <w:pStyle w:val="TableofFigures"/>
              <w:rPr>
                <w:b/>
              </w:rPr>
            </w:pPr>
            <w:r w:rsidRPr="00DC1EE4">
              <w:rPr>
                <w:b/>
              </w:rPr>
              <w:t xml:space="preserve"> 417</w:t>
            </w:r>
          </w:p>
        </w:tc>
        <w:tc>
          <w:tcPr>
            <w:tcW w:w="185" w:type="dxa"/>
            <w:tcBorders>
              <w:left w:val="nil"/>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left w:val="nil"/>
              <w:right w:val="nil"/>
            </w:tcBorders>
          </w:tcPr>
          <w:p w:rsidR="0028027B" w:rsidRPr="00DC1EE4" w:rsidRDefault="0028027B" w:rsidP="00C03F9E">
            <w:pPr>
              <w:pStyle w:val="Tabletext"/>
              <w:rPr>
                <w:b/>
              </w:rPr>
            </w:pPr>
            <w:r w:rsidRPr="00DC1EE4">
              <w:rPr>
                <w:b/>
              </w:rPr>
              <w:t>Net operating balance</w:t>
            </w:r>
          </w:p>
        </w:tc>
        <w:tc>
          <w:tcPr>
            <w:tcW w:w="900" w:type="dxa"/>
            <w:tcBorders>
              <w:left w:val="nil"/>
              <w:right w:val="nil"/>
            </w:tcBorders>
          </w:tcPr>
          <w:p w:rsidR="0028027B" w:rsidRPr="00DC1EE4" w:rsidRDefault="0028027B" w:rsidP="00C03F9E">
            <w:pPr>
              <w:pStyle w:val="TableTextCentred"/>
              <w:rPr>
                <w:b/>
              </w:rPr>
            </w:pPr>
            <w:r w:rsidRPr="00DC1EE4">
              <w:rPr>
                <w:b/>
              </w:rPr>
              <w:t xml:space="preserve"> </w:t>
            </w:r>
          </w:p>
        </w:tc>
        <w:tc>
          <w:tcPr>
            <w:tcW w:w="990" w:type="dxa"/>
            <w:tcBorders>
              <w:left w:val="nil"/>
              <w:right w:val="nil"/>
            </w:tcBorders>
          </w:tcPr>
          <w:p w:rsidR="0028027B" w:rsidRPr="00DC1EE4" w:rsidRDefault="0028027B" w:rsidP="00C03F9E">
            <w:pPr>
              <w:pStyle w:val="TableofFigures"/>
              <w:rPr>
                <w:b/>
              </w:rPr>
            </w:pPr>
            <w:r w:rsidRPr="00DC1EE4">
              <w:rPr>
                <w:b/>
              </w:rPr>
              <w:t xml:space="preserve"> 519</w:t>
            </w:r>
          </w:p>
        </w:tc>
        <w:tc>
          <w:tcPr>
            <w:tcW w:w="1057" w:type="dxa"/>
            <w:tcBorders>
              <w:left w:val="nil"/>
              <w:right w:val="nil"/>
            </w:tcBorders>
          </w:tcPr>
          <w:p w:rsidR="0028027B" w:rsidRPr="00DC1EE4" w:rsidRDefault="0028027B" w:rsidP="00C03F9E">
            <w:pPr>
              <w:pStyle w:val="TableofFigures"/>
              <w:rPr>
                <w:b/>
              </w:rPr>
            </w:pPr>
            <w:r w:rsidRPr="00DC1EE4">
              <w:rPr>
                <w:b/>
              </w:rPr>
              <w:t>1 219</w:t>
            </w:r>
          </w:p>
        </w:tc>
      </w:tr>
      <w:tr w:rsidR="0028027B" w:rsidRPr="00DC1EE4" w:rsidTr="00C03F9E">
        <w:tc>
          <w:tcPr>
            <w:tcW w:w="1074" w:type="dxa"/>
            <w:tcBorders>
              <w:left w:val="nil"/>
              <w:bottom w:val="single" w:sz="4" w:space="0" w:color="auto"/>
              <w:right w:val="nil"/>
            </w:tcBorders>
          </w:tcPr>
          <w:p w:rsidR="0028027B" w:rsidRPr="00DC1EE4" w:rsidRDefault="0028027B" w:rsidP="00C03F9E">
            <w:pPr>
              <w:pStyle w:val="TableofFigures"/>
            </w:pPr>
            <w:r w:rsidRPr="00DC1EE4">
              <w:t xml:space="preserve"> 72</w:t>
            </w:r>
          </w:p>
        </w:tc>
        <w:tc>
          <w:tcPr>
            <w:tcW w:w="185" w:type="dxa"/>
            <w:tcBorders>
              <w:left w:val="nil"/>
              <w:bottom w:val="single" w:sz="4" w:space="0" w:color="auto"/>
              <w:right w:val="nil"/>
            </w:tcBorders>
          </w:tcPr>
          <w:p w:rsidR="0028027B" w:rsidRPr="00DC1EE4" w:rsidRDefault="0028027B" w:rsidP="00C03F9E">
            <w:pPr>
              <w:pStyle w:val="TableofFigures"/>
              <w:spacing w:before="0" w:after="0"/>
            </w:pPr>
            <w:r w:rsidRPr="00DC1EE4">
              <w:t xml:space="preserve"> </w:t>
            </w:r>
          </w:p>
        </w:tc>
        <w:tc>
          <w:tcPr>
            <w:tcW w:w="5955" w:type="dxa"/>
            <w:tcBorders>
              <w:left w:val="nil"/>
              <w:bottom w:val="single" w:sz="4" w:space="0" w:color="auto"/>
              <w:right w:val="nil"/>
            </w:tcBorders>
          </w:tcPr>
          <w:p w:rsidR="0028027B" w:rsidRPr="00DC1EE4" w:rsidRDefault="0028027B" w:rsidP="00C03F9E">
            <w:pPr>
              <w:pStyle w:val="Tabletext"/>
              <w:rPr>
                <w:vertAlign w:val="superscript"/>
              </w:rPr>
            </w:pPr>
            <w:r w:rsidRPr="00DC1EE4">
              <w:t>Less: Net acquisition of non</w:t>
            </w:r>
            <w:r w:rsidR="005A4BB0">
              <w:noBreakHyphen/>
            </w:r>
            <w:r w:rsidRPr="00DC1EE4">
              <w:t>financial assets from transactions</w:t>
            </w:r>
            <w:r w:rsidRPr="00DC1EE4">
              <w:rPr>
                <w:vertAlign w:val="superscript"/>
              </w:rPr>
              <w:t>(b)</w:t>
            </w:r>
          </w:p>
        </w:tc>
        <w:tc>
          <w:tcPr>
            <w:tcW w:w="900" w:type="dxa"/>
            <w:tcBorders>
              <w:left w:val="nil"/>
              <w:bottom w:val="single" w:sz="4" w:space="0" w:color="auto"/>
              <w:right w:val="nil"/>
            </w:tcBorders>
          </w:tcPr>
          <w:p w:rsidR="0028027B" w:rsidRPr="00DC1EE4" w:rsidRDefault="0028027B" w:rsidP="00C03F9E">
            <w:pPr>
              <w:pStyle w:val="TableTextCentred"/>
            </w:pPr>
            <w:r w:rsidRPr="00DC1EE4">
              <w:t>11</w:t>
            </w:r>
          </w:p>
        </w:tc>
        <w:tc>
          <w:tcPr>
            <w:tcW w:w="990" w:type="dxa"/>
            <w:tcBorders>
              <w:left w:val="nil"/>
              <w:bottom w:val="single" w:sz="4" w:space="0" w:color="auto"/>
              <w:right w:val="nil"/>
            </w:tcBorders>
          </w:tcPr>
          <w:p w:rsidR="0028027B" w:rsidRPr="00DC1EE4" w:rsidRDefault="0028027B" w:rsidP="00C03F9E">
            <w:pPr>
              <w:pStyle w:val="TableofFigures"/>
            </w:pPr>
            <w:r w:rsidRPr="00DC1EE4">
              <w:t xml:space="preserve"> 72</w:t>
            </w:r>
          </w:p>
        </w:tc>
        <w:tc>
          <w:tcPr>
            <w:tcW w:w="1057" w:type="dxa"/>
            <w:tcBorders>
              <w:left w:val="nil"/>
              <w:bottom w:val="single" w:sz="4" w:space="0" w:color="auto"/>
              <w:right w:val="nil"/>
            </w:tcBorders>
          </w:tcPr>
          <w:p w:rsidR="0028027B" w:rsidRPr="00DC1EE4" w:rsidRDefault="0028027B" w:rsidP="00C03F9E">
            <w:pPr>
              <w:pStyle w:val="TableofFigures"/>
            </w:pPr>
            <w:r w:rsidRPr="00DC1EE4">
              <w:t>1 366</w:t>
            </w:r>
          </w:p>
        </w:tc>
      </w:tr>
      <w:tr w:rsidR="0028027B" w:rsidRPr="00DC1EE4" w:rsidTr="00C03F9E">
        <w:tc>
          <w:tcPr>
            <w:tcW w:w="1074" w:type="dxa"/>
            <w:tcBorders>
              <w:top w:val="single" w:sz="4"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345</w:t>
            </w:r>
          </w:p>
        </w:tc>
        <w:tc>
          <w:tcPr>
            <w:tcW w:w="185" w:type="dxa"/>
            <w:tcBorders>
              <w:top w:val="single" w:sz="4" w:space="0" w:color="auto"/>
              <w:left w:val="nil"/>
              <w:bottom w:val="single" w:sz="12"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955" w:type="dxa"/>
            <w:tcBorders>
              <w:top w:val="single" w:sz="4" w:space="0" w:color="auto"/>
              <w:left w:val="nil"/>
              <w:bottom w:val="single" w:sz="12" w:space="0" w:color="auto"/>
              <w:right w:val="nil"/>
            </w:tcBorders>
          </w:tcPr>
          <w:p w:rsidR="0028027B" w:rsidRPr="00DC1EE4" w:rsidRDefault="0028027B" w:rsidP="00C03F9E">
            <w:pPr>
              <w:pStyle w:val="Tabletext"/>
              <w:rPr>
                <w:b/>
                <w:vertAlign w:val="superscript"/>
              </w:rPr>
            </w:pPr>
            <w:r w:rsidRPr="00DC1EE4">
              <w:rPr>
                <w:b/>
              </w:rPr>
              <w:t>Net lending/(borrowing)</w:t>
            </w:r>
            <w:r w:rsidRPr="00DC1EE4">
              <w:rPr>
                <w:b/>
                <w:vertAlign w:val="superscript"/>
              </w:rPr>
              <w:t>(b)</w:t>
            </w:r>
          </w:p>
        </w:tc>
        <w:tc>
          <w:tcPr>
            <w:tcW w:w="900" w:type="dxa"/>
            <w:tcBorders>
              <w:top w:val="single" w:sz="4" w:space="0" w:color="auto"/>
              <w:left w:val="nil"/>
              <w:bottom w:val="single" w:sz="12" w:space="0" w:color="auto"/>
              <w:right w:val="nil"/>
            </w:tcBorders>
          </w:tcPr>
          <w:p w:rsidR="0028027B" w:rsidRPr="00DC1EE4" w:rsidRDefault="0028027B" w:rsidP="00C03F9E">
            <w:pPr>
              <w:pStyle w:val="TableTextCentred"/>
              <w:rPr>
                <w:b/>
              </w:rPr>
            </w:pPr>
            <w:r w:rsidRPr="00DC1EE4">
              <w:rPr>
                <w:b/>
              </w:rPr>
              <w:t xml:space="preserve"> </w:t>
            </w:r>
          </w:p>
        </w:tc>
        <w:tc>
          <w:tcPr>
            <w:tcW w:w="990" w:type="dxa"/>
            <w:tcBorders>
              <w:top w:val="single" w:sz="4"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447</w:t>
            </w:r>
          </w:p>
        </w:tc>
        <w:tc>
          <w:tcPr>
            <w:tcW w:w="1057" w:type="dxa"/>
            <w:tcBorders>
              <w:top w:val="single" w:sz="4" w:space="0" w:color="auto"/>
              <w:left w:val="nil"/>
              <w:bottom w:val="single" w:sz="12" w:space="0" w:color="auto"/>
              <w:right w:val="nil"/>
            </w:tcBorders>
          </w:tcPr>
          <w:p w:rsidR="0028027B" w:rsidRPr="00DC1EE4" w:rsidRDefault="0028027B" w:rsidP="00C03F9E">
            <w:pPr>
              <w:pStyle w:val="TableofFigures"/>
              <w:rPr>
                <w:b/>
              </w:rPr>
            </w:pPr>
            <w:r w:rsidRPr="00DC1EE4">
              <w:rPr>
                <w:b/>
              </w:rPr>
              <w:t>(147)</w:t>
            </w:r>
          </w:p>
        </w:tc>
      </w:tr>
    </w:tbl>
    <w:p w:rsidR="0028027B" w:rsidRPr="00DC1EE4" w:rsidRDefault="0028027B" w:rsidP="0028027B">
      <w:pPr>
        <w:pStyle w:val="Source"/>
      </w:pPr>
      <w:r w:rsidRPr="00DC1EE4">
        <w:t>The accompanying notes form part of these financial statements.</w:t>
      </w:r>
    </w:p>
    <w:p w:rsidR="0028027B" w:rsidRPr="00DC1EE4" w:rsidRDefault="0028027B" w:rsidP="0028027B">
      <w:pPr>
        <w:pStyle w:val="Notes"/>
      </w:pPr>
      <w:r w:rsidRPr="00DC1EE4">
        <w:t>Note:</w:t>
      </w:r>
    </w:p>
    <w:p w:rsidR="0028027B" w:rsidRPr="00DC1EE4" w:rsidRDefault="0028027B" w:rsidP="0028027B">
      <w:pPr>
        <w:pStyle w:val="Notes"/>
      </w:pPr>
      <w:r w:rsidRPr="00DC1EE4">
        <w:t>(a)</w:t>
      </w:r>
      <w:r w:rsidRPr="00DC1EE4">
        <w:tab/>
        <w:t>September 2014</w:t>
      </w:r>
      <w:r w:rsidR="005A4BB0">
        <w:noBreakHyphen/>
      </w:r>
      <w:r w:rsidRPr="00DC1EE4">
        <w:t>15 comparative figures have been restated to reflect more current information.</w:t>
      </w:r>
    </w:p>
    <w:p w:rsidR="0028027B" w:rsidRPr="00DC1EE4" w:rsidRDefault="0028027B" w:rsidP="0028027B">
      <w:pPr>
        <w:pStyle w:val="Notes"/>
        <w:rPr>
          <w:i w:val="0"/>
        </w:rPr>
      </w:pPr>
      <w:r w:rsidRPr="00DC1EE4">
        <w:t>(b)</w:t>
      </w:r>
      <w:r w:rsidRPr="00DC1EE4">
        <w:tab/>
      </w:r>
      <w:r w:rsidRPr="00DC1EE4">
        <w:rPr>
          <w:i w:val="0"/>
        </w:rPr>
        <w:t>2015</w:t>
      </w:r>
      <w:r w:rsidR="005A4BB0">
        <w:rPr>
          <w:i w:val="0"/>
        </w:rPr>
        <w:noBreakHyphen/>
      </w:r>
      <w:r w:rsidRPr="00DC1EE4">
        <w:rPr>
          <w:i w:val="0"/>
        </w:rPr>
        <w:t xml:space="preserve">16 Budget </w:t>
      </w:r>
      <w:r w:rsidRPr="00DC1EE4">
        <w:t>figures have been restated to reflect more current information.</w:t>
      </w:r>
    </w:p>
    <w:p w:rsidR="0028027B" w:rsidRPr="00DC1EE4" w:rsidRDefault="0028027B" w:rsidP="0028027B">
      <w:pPr>
        <w:spacing w:line="240" w:lineRule="atLeast"/>
        <w:rPr>
          <w:rFonts w:ascii="Calibri" w:hAnsi="Calibri" w:cs="Arial"/>
          <w:b/>
          <w:bCs/>
          <w:i/>
          <w:iCs/>
          <w:kern w:val="28"/>
          <w:sz w:val="24"/>
        </w:rPr>
      </w:pPr>
      <w:r w:rsidRPr="00DC1EE4">
        <w:br w:type="page"/>
      </w:r>
    </w:p>
    <w:p w:rsidR="0028027B" w:rsidRPr="00DC1EE4" w:rsidRDefault="0028027B" w:rsidP="00E348C3">
      <w:pPr>
        <w:pStyle w:val="Tableheading"/>
      </w:pPr>
      <w:r w:rsidRPr="00DC1EE4">
        <w:t>Table 1.6:</w:t>
      </w:r>
      <w:r w:rsidRPr="00DC1EE4">
        <w:tab/>
        <w:t>Consolidated balance sheet as at 30 September</w:t>
      </w:r>
    </w:p>
    <w:p w:rsidR="0028027B" w:rsidRPr="00DC1EE4" w:rsidRDefault="0028027B" w:rsidP="0028027B">
      <w:pPr>
        <w:pStyle w:val="million"/>
      </w:pPr>
      <w:r w:rsidRPr="00DC1EE4">
        <w:t>($ million)</w:t>
      </w:r>
    </w:p>
    <w:tbl>
      <w:tblPr>
        <w:tblW w:w="10184" w:type="dxa"/>
        <w:tblInd w:w="29" w:type="dxa"/>
        <w:tblLayout w:type="fixed"/>
        <w:tblCellMar>
          <w:left w:w="43" w:type="dxa"/>
          <w:right w:w="43" w:type="dxa"/>
        </w:tblCellMar>
        <w:tblLook w:val="0000" w:firstRow="0" w:lastRow="0" w:firstColumn="0" w:lastColumn="0" w:noHBand="0" w:noVBand="0"/>
      </w:tblPr>
      <w:tblGrid>
        <w:gridCol w:w="1004"/>
        <w:gridCol w:w="108"/>
        <w:gridCol w:w="5202"/>
        <w:gridCol w:w="900"/>
        <w:gridCol w:w="900"/>
        <w:gridCol w:w="994"/>
        <w:gridCol w:w="1076"/>
      </w:tblGrid>
      <w:tr w:rsidR="0028027B" w:rsidRPr="00DC1EE4" w:rsidTr="00C03F9E">
        <w:tc>
          <w:tcPr>
            <w:tcW w:w="1004" w:type="dxa"/>
            <w:tcBorders>
              <w:left w:val="single" w:sz="6" w:space="0" w:color="auto"/>
              <w:bottom w:val="single" w:sz="6" w:space="0" w:color="auto"/>
              <w:right w:val="nil"/>
            </w:tcBorders>
            <w:shd w:val="solid" w:color="000000" w:fill="auto"/>
          </w:tcPr>
          <w:bookmarkEnd w:id="697"/>
          <w:p w:rsidR="0028027B" w:rsidRPr="00DC1EE4" w:rsidRDefault="0028027B" w:rsidP="00C03F9E">
            <w:pPr>
              <w:pStyle w:val="Tabletextheading"/>
            </w:pPr>
            <w:r w:rsidRPr="00DC1EE4">
              <w:t>2014</w:t>
            </w:r>
            <w:r w:rsidR="005A4BB0">
              <w:noBreakHyphen/>
            </w:r>
            <w:r w:rsidRPr="00DC1EE4">
              <w:t>15</w:t>
            </w:r>
          </w:p>
          <w:p w:rsidR="0028027B" w:rsidRPr="00DC1EE4" w:rsidRDefault="0028027B" w:rsidP="00C03F9E">
            <w:pPr>
              <w:pStyle w:val="Tabletextheading"/>
            </w:pPr>
            <w:r w:rsidRPr="00DC1EE4">
              <w:t xml:space="preserve">Actual </w:t>
            </w:r>
          </w:p>
          <w:p w:rsidR="0028027B" w:rsidRPr="00DC1EE4" w:rsidRDefault="0028027B" w:rsidP="00C03F9E">
            <w:pPr>
              <w:pStyle w:val="Tabletextheading"/>
            </w:pPr>
            <w:r w:rsidRPr="00DC1EE4">
              <w:t>30 Sep</w:t>
            </w:r>
            <w:r w:rsidRPr="00DC1EE4">
              <w:rPr>
                <w:vertAlign w:val="superscript"/>
              </w:rPr>
              <w:t xml:space="preserve"> (a)</w:t>
            </w:r>
          </w:p>
        </w:tc>
        <w:tc>
          <w:tcPr>
            <w:tcW w:w="108" w:type="dxa"/>
            <w:tcBorders>
              <w:left w:val="nil"/>
              <w:bottom w:val="single" w:sz="6" w:space="0" w:color="auto"/>
              <w:right w:val="nil"/>
            </w:tcBorders>
            <w:shd w:val="solid" w:color="000000" w:fill="auto"/>
          </w:tcPr>
          <w:p w:rsidR="0028027B" w:rsidRPr="00DC1EE4" w:rsidRDefault="0028027B" w:rsidP="00C03F9E">
            <w:pPr>
              <w:pStyle w:val="Tabletextheading"/>
            </w:pPr>
            <w:r w:rsidRPr="00DC1EE4">
              <w:t xml:space="preserve"> </w:t>
            </w:r>
          </w:p>
        </w:tc>
        <w:tc>
          <w:tcPr>
            <w:tcW w:w="5202" w:type="dxa"/>
            <w:tcBorders>
              <w:left w:val="nil"/>
              <w:bottom w:val="single" w:sz="6" w:space="0" w:color="auto"/>
              <w:right w:val="nil"/>
            </w:tcBorders>
            <w:shd w:val="solid" w:color="000000" w:fill="auto"/>
          </w:tcPr>
          <w:p w:rsidR="0028027B" w:rsidRPr="00DC1EE4" w:rsidRDefault="0028027B" w:rsidP="00C03F9E">
            <w:pPr>
              <w:pStyle w:val="Tabletextheading"/>
            </w:pPr>
            <w:r w:rsidRPr="00DC1EE4">
              <w:t xml:space="preserve"> </w:t>
            </w:r>
          </w:p>
        </w:tc>
        <w:tc>
          <w:tcPr>
            <w:tcW w:w="900" w:type="dxa"/>
            <w:tcBorders>
              <w:left w:val="nil"/>
              <w:bottom w:val="single" w:sz="6" w:space="0" w:color="auto"/>
              <w:right w:val="nil"/>
            </w:tcBorders>
            <w:shd w:val="solid" w:color="000000" w:fill="auto"/>
          </w:tcPr>
          <w:p w:rsidR="0028027B" w:rsidRPr="00DC1EE4" w:rsidRDefault="0028027B" w:rsidP="00C03F9E">
            <w:pPr>
              <w:pStyle w:val="TabletextheadingCentred"/>
              <w:rPr>
                <w:szCs w:val="18"/>
              </w:rPr>
            </w:pPr>
            <w:r w:rsidRPr="00DC1EE4">
              <w:rPr>
                <w:szCs w:val="18"/>
              </w:rPr>
              <w:br/>
            </w:r>
          </w:p>
          <w:p w:rsidR="0028027B" w:rsidRPr="00DC1EE4" w:rsidRDefault="0028027B" w:rsidP="00C03F9E">
            <w:pPr>
              <w:pStyle w:val="TabletextheadingCentred"/>
              <w:rPr>
                <w:szCs w:val="18"/>
              </w:rPr>
            </w:pPr>
            <w:r w:rsidRPr="00DC1EE4">
              <w:rPr>
                <w:szCs w:val="18"/>
              </w:rPr>
              <w:t>Notes</w:t>
            </w:r>
          </w:p>
        </w:tc>
        <w:tc>
          <w:tcPr>
            <w:tcW w:w="900" w:type="dxa"/>
            <w:tcBorders>
              <w:left w:val="nil"/>
              <w:bottom w:val="single" w:sz="6" w:space="0" w:color="auto"/>
              <w:right w:val="nil"/>
            </w:tcBorders>
            <w:shd w:val="solid" w:color="000000" w:fill="auto"/>
          </w:tcPr>
          <w:p w:rsidR="0028027B" w:rsidRPr="00DC1EE4" w:rsidRDefault="0028027B" w:rsidP="00C03F9E">
            <w:pPr>
              <w:pStyle w:val="Tabletextheading"/>
            </w:pPr>
            <w:r w:rsidRPr="00DC1EE4">
              <w:br/>
              <w:t>Opening</w:t>
            </w:r>
          </w:p>
          <w:p w:rsidR="0028027B" w:rsidRPr="00DC1EE4" w:rsidRDefault="0028027B" w:rsidP="00C03F9E">
            <w:pPr>
              <w:pStyle w:val="Tabletextheading"/>
            </w:pPr>
            <w:r w:rsidRPr="00DC1EE4">
              <w:t>1 Jul</w:t>
            </w:r>
          </w:p>
        </w:tc>
        <w:tc>
          <w:tcPr>
            <w:tcW w:w="994" w:type="dxa"/>
            <w:tcBorders>
              <w:left w:val="nil"/>
              <w:bottom w:val="single" w:sz="6" w:space="0" w:color="auto"/>
              <w:right w:val="nil"/>
            </w:tcBorders>
            <w:shd w:val="solid" w:color="000000" w:fill="auto"/>
          </w:tcPr>
          <w:p w:rsidR="0028027B" w:rsidRPr="00DC1EE4" w:rsidRDefault="0028027B" w:rsidP="00C03F9E">
            <w:pPr>
              <w:pStyle w:val="Tabletextheading"/>
            </w:pPr>
            <w:r w:rsidRPr="00DC1EE4">
              <w:t>2015</w:t>
            </w:r>
            <w:r w:rsidR="005A4BB0">
              <w:noBreakHyphen/>
            </w:r>
            <w:r w:rsidRPr="00DC1EE4">
              <w:t>16</w:t>
            </w:r>
            <w:r w:rsidRPr="00DC1EE4">
              <w:br/>
              <w:t xml:space="preserve">Actual </w:t>
            </w:r>
          </w:p>
          <w:p w:rsidR="0028027B" w:rsidRPr="00DC1EE4" w:rsidRDefault="0028027B" w:rsidP="00C03F9E">
            <w:pPr>
              <w:pStyle w:val="Tabletextheading"/>
            </w:pPr>
            <w:r w:rsidRPr="00DC1EE4">
              <w:t>30 Sep</w:t>
            </w:r>
          </w:p>
        </w:tc>
        <w:tc>
          <w:tcPr>
            <w:tcW w:w="1076" w:type="dxa"/>
            <w:tcBorders>
              <w:left w:val="nil"/>
              <w:bottom w:val="single" w:sz="6" w:space="0" w:color="auto"/>
              <w:right w:val="single" w:sz="6" w:space="0" w:color="auto"/>
            </w:tcBorders>
            <w:shd w:val="solid" w:color="000000" w:fill="auto"/>
          </w:tcPr>
          <w:p w:rsidR="0028027B" w:rsidRPr="00DC1EE4" w:rsidRDefault="0028027B" w:rsidP="00C03F9E">
            <w:pPr>
              <w:pStyle w:val="Tabletextheading"/>
            </w:pPr>
            <w:r w:rsidRPr="00DC1EE4">
              <w:t>Budget</w:t>
            </w:r>
          </w:p>
          <w:p w:rsidR="0028027B" w:rsidRPr="00DC1EE4" w:rsidRDefault="0028027B" w:rsidP="00C03F9E">
            <w:pPr>
              <w:pStyle w:val="Tabletextheading"/>
            </w:pPr>
            <w:r w:rsidRPr="00DC1EE4">
              <w:t>30 Jun</w:t>
            </w:r>
            <w:r w:rsidRPr="00DC1EE4">
              <w:rPr>
                <w:vertAlign w:val="superscript"/>
              </w:rPr>
              <w:t>(b)</w:t>
            </w:r>
          </w:p>
        </w:tc>
      </w:tr>
      <w:tr w:rsidR="0028027B" w:rsidRPr="00DC1EE4" w:rsidTr="00C03F9E">
        <w:tc>
          <w:tcPr>
            <w:tcW w:w="1004"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108" w:type="dxa"/>
            <w:tcBorders>
              <w:top w:val="single" w:sz="6" w:space="0" w:color="auto"/>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top w:val="single" w:sz="6" w:space="0" w:color="auto"/>
              <w:left w:val="nil"/>
              <w:bottom w:val="nil"/>
              <w:right w:val="nil"/>
            </w:tcBorders>
          </w:tcPr>
          <w:p w:rsidR="0028027B" w:rsidRPr="00DC1EE4" w:rsidRDefault="0028027B" w:rsidP="00C03F9E">
            <w:pPr>
              <w:pStyle w:val="Tabletext"/>
              <w:rPr>
                <w:b/>
              </w:rPr>
            </w:pPr>
            <w:r w:rsidRPr="00DC1EE4">
              <w:rPr>
                <w:b/>
              </w:rPr>
              <w:t>Assets</w:t>
            </w:r>
          </w:p>
        </w:tc>
        <w:tc>
          <w:tcPr>
            <w:tcW w:w="900" w:type="dxa"/>
            <w:tcBorders>
              <w:top w:val="single" w:sz="6" w:space="0" w:color="auto"/>
              <w:left w:val="nil"/>
              <w:bottom w:val="nil"/>
              <w:right w:val="nil"/>
            </w:tcBorders>
          </w:tcPr>
          <w:p w:rsidR="0028027B" w:rsidRPr="00DC1EE4" w:rsidRDefault="0028027B" w:rsidP="00C03F9E">
            <w:pPr>
              <w:pStyle w:val="Tabletextcentred0"/>
              <w:rPr>
                <w:b/>
                <w:sz w:val="18"/>
              </w:rPr>
            </w:pPr>
            <w:r w:rsidRPr="00DC1EE4">
              <w:rPr>
                <w:b/>
                <w:sz w:val="18"/>
              </w:rPr>
              <w:t xml:space="preserve"> </w:t>
            </w:r>
          </w:p>
        </w:tc>
        <w:tc>
          <w:tcPr>
            <w:tcW w:w="900"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994"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1076"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 xml:space="preserve"> </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108" w:type="dxa"/>
            <w:tcBorders>
              <w:top w:val="nil"/>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top w:val="nil"/>
              <w:left w:val="nil"/>
              <w:bottom w:val="nil"/>
              <w:right w:val="nil"/>
            </w:tcBorders>
          </w:tcPr>
          <w:p w:rsidR="0028027B" w:rsidRPr="00DC1EE4" w:rsidRDefault="0028027B" w:rsidP="00C03F9E">
            <w:pPr>
              <w:pStyle w:val="Tabletext"/>
              <w:rPr>
                <w:b/>
              </w:rPr>
            </w:pPr>
            <w:r w:rsidRPr="00DC1EE4">
              <w:rPr>
                <w:b/>
              </w:rPr>
              <w:t>Financial assets</w:t>
            </w:r>
          </w:p>
        </w:tc>
        <w:tc>
          <w:tcPr>
            <w:tcW w:w="900" w:type="dxa"/>
            <w:tcBorders>
              <w:top w:val="nil"/>
              <w:left w:val="nil"/>
              <w:bottom w:val="nil"/>
              <w:right w:val="nil"/>
            </w:tcBorders>
          </w:tcPr>
          <w:p w:rsidR="0028027B" w:rsidRPr="00DC1EE4" w:rsidRDefault="0028027B" w:rsidP="00C03F9E">
            <w:pPr>
              <w:pStyle w:val="Tabletextcentred0"/>
              <w:rPr>
                <w:b/>
                <w:sz w:val="18"/>
              </w:rPr>
            </w:pPr>
            <w:r w:rsidRPr="00DC1EE4">
              <w:rPr>
                <w:b/>
                <w:sz w:val="18"/>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994"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1076"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4 177</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Cash and deposits</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4 282</w:t>
            </w:r>
          </w:p>
        </w:tc>
        <w:tc>
          <w:tcPr>
            <w:tcW w:w="994" w:type="dxa"/>
            <w:tcBorders>
              <w:top w:val="nil"/>
              <w:left w:val="nil"/>
              <w:bottom w:val="nil"/>
              <w:right w:val="nil"/>
            </w:tcBorders>
          </w:tcPr>
          <w:p w:rsidR="0028027B" w:rsidRPr="00DC1EE4" w:rsidRDefault="0028027B" w:rsidP="00C03F9E">
            <w:pPr>
              <w:pStyle w:val="TableofFigures"/>
            </w:pPr>
            <w:r w:rsidRPr="00DC1EE4">
              <w:t>4 061</w:t>
            </w:r>
          </w:p>
        </w:tc>
        <w:tc>
          <w:tcPr>
            <w:tcW w:w="1076" w:type="dxa"/>
            <w:tcBorders>
              <w:top w:val="nil"/>
              <w:left w:val="nil"/>
              <w:bottom w:val="nil"/>
              <w:right w:val="nil"/>
            </w:tcBorders>
          </w:tcPr>
          <w:p w:rsidR="0028027B" w:rsidRPr="00DC1EE4" w:rsidRDefault="0028027B" w:rsidP="00C03F9E">
            <w:pPr>
              <w:pStyle w:val="TableofFigures"/>
            </w:pPr>
            <w:r w:rsidRPr="00DC1EE4">
              <w:t>4 479</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4 576</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Advances paid</w:t>
            </w:r>
          </w:p>
        </w:tc>
        <w:tc>
          <w:tcPr>
            <w:tcW w:w="900" w:type="dxa"/>
            <w:tcBorders>
              <w:top w:val="nil"/>
              <w:left w:val="nil"/>
              <w:bottom w:val="nil"/>
              <w:right w:val="nil"/>
            </w:tcBorders>
          </w:tcPr>
          <w:p w:rsidR="0028027B" w:rsidRPr="00DC1EE4" w:rsidRDefault="0028027B" w:rsidP="00C03F9E">
            <w:pPr>
              <w:pStyle w:val="Tabletextcentred0"/>
              <w:ind w:left="-133" w:firstLine="133"/>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4 572</w:t>
            </w:r>
          </w:p>
        </w:tc>
        <w:tc>
          <w:tcPr>
            <w:tcW w:w="994" w:type="dxa"/>
            <w:tcBorders>
              <w:top w:val="nil"/>
              <w:left w:val="nil"/>
              <w:bottom w:val="nil"/>
              <w:right w:val="nil"/>
            </w:tcBorders>
          </w:tcPr>
          <w:p w:rsidR="0028027B" w:rsidRPr="00DC1EE4" w:rsidRDefault="0028027B" w:rsidP="00C03F9E">
            <w:pPr>
              <w:pStyle w:val="TableofFigures"/>
            </w:pPr>
            <w:r w:rsidRPr="00DC1EE4">
              <w:t>4 567</w:t>
            </w:r>
          </w:p>
        </w:tc>
        <w:tc>
          <w:tcPr>
            <w:tcW w:w="1076" w:type="dxa"/>
            <w:tcBorders>
              <w:top w:val="nil"/>
              <w:left w:val="nil"/>
              <w:bottom w:val="nil"/>
              <w:right w:val="nil"/>
            </w:tcBorders>
          </w:tcPr>
          <w:p w:rsidR="0028027B" w:rsidRPr="00DC1EE4" w:rsidRDefault="0028027B" w:rsidP="00C03F9E">
            <w:pPr>
              <w:pStyle w:val="TableofFigures"/>
            </w:pPr>
            <w:r w:rsidRPr="00DC1EE4">
              <w:t>4 525</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5 169</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Receivables</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12</w:t>
            </w:r>
          </w:p>
        </w:tc>
        <w:tc>
          <w:tcPr>
            <w:tcW w:w="900" w:type="dxa"/>
            <w:tcBorders>
              <w:top w:val="nil"/>
              <w:left w:val="nil"/>
              <w:bottom w:val="nil"/>
              <w:right w:val="nil"/>
            </w:tcBorders>
          </w:tcPr>
          <w:p w:rsidR="0028027B" w:rsidRPr="00DC1EE4" w:rsidRDefault="0028027B" w:rsidP="00C03F9E">
            <w:pPr>
              <w:pStyle w:val="TableofFigures"/>
            </w:pPr>
            <w:r w:rsidRPr="00DC1EE4">
              <w:t>5 555</w:t>
            </w:r>
          </w:p>
        </w:tc>
        <w:tc>
          <w:tcPr>
            <w:tcW w:w="994" w:type="dxa"/>
            <w:tcBorders>
              <w:top w:val="nil"/>
              <w:left w:val="nil"/>
              <w:bottom w:val="nil"/>
              <w:right w:val="nil"/>
            </w:tcBorders>
          </w:tcPr>
          <w:p w:rsidR="0028027B" w:rsidRPr="00DC1EE4" w:rsidRDefault="0028027B" w:rsidP="00C03F9E">
            <w:pPr>
              <w:pStyle w:val="TableofFigures"/>
            </w:pPr>
            <w:r w:rsidRPr="00DC1EE4">
              <w:t>5 897</w:t>
            </w:r>
          </w:p>
        </w:tc>
        <w:tc>
          <w:tcPr>
            <w:tcW w:w="1076" w:type="dxa"/>
            <w:tcBorders>
              <w:top w:val="nil"/>
              <w:left w:val="nil"/>
              <w:bottom w:val="nil"/>
              <w:right w:val="nil"/>
            </w:tcBorders>
          </w:tcPr>
          <w:p w:rsidR="0028027B" w:rsidRPr="00DC1EE4" w:rsidRDefault="0028027B" w:rsidP="00C03F9E">
            <w:pPr>
              <w:pStyle w:val="TableofFigures"/>
            </w:pPr>
            <w:r w:rsidRPr="00DC1EE4">
              <w:t>5 404</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3 077</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Investments, loans and placements</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3 406</w:t>
            </w:r>
          </w:p>
        </w:tc>
        <w:tc>
          <w:tcPr>
            <w:tcW w:w="994" w:type="dxa"/>
            <w:tcBorders>
              <w:top w:val="nil"/>
              <w:left w:val="nil"/>
              <w:bottom w:val="nil"/>
              <w:right w:val="nil"/>
            </w:tcBorders>
          </w:tcPr>
          <w:p w:rsidR="0028027B" w:rsidRPr="00DC1EE4" w:rsidRDefault="0028027B" w:rsidP="00C03F9E">
            <w:pPr>
              <w:pStyle w:val="TableofFigures"/>
            </w:pPr>
            <w:r w:rsidRPr="00DC1EE4">
              <w:t>3 440</w:t>
            </w:r>
          </w:p>
        </w:tc>
        <w:tc>
          <w:tcPr>
            <w:tcW w:w="1076" w:type="dxa"/>
            <w:tcBorders>
              <w:top w:val="nil"/>
              <w:left w:val="nil"/>
              <w:bottom w:val="nil"/>
              <w:right w:val="nil"/>
            </w:tcBorders>
          </w:tcPr>
          <w:p w:rsidR="0028027B" w:rsidRPr="00DC1EE4" w:rsidRDefault="0028027B" w:rsidP="00C03F9E">
            <w:pPr>
              <w:pStyle w:val="TableofFigures"/>
            </w:pPr>
            <w:r w:rsidRPr="00DC1EE4">
              <w:t>3 513</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 xml:space="preserve"> 44</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 xml:space="preserve">Investments accounted for using equity method </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 xml:space="preserve"> 45</w:t>
            </w:r>
          </w:p>
        </w:tc>
        <w:tc>
          <w:tcPr>
            <w:tcW w:w="994" w:type="dxa"/>
            <w:tcBorders>
              <w:top w:val="nil"/>
              <w:left w:val="nil"/>
              <w:bottom w:val="nil"/>
              <w:right w:val="nil"/>
            </w:tcBorders>
          </w:tcPr>
          <w:p w:rsidR="0028027B" w:rsidRPr="00DC1EE4" w:rsidRDefault="0028027B" w:rsidP="00C03F9E">
            <w:pPr>
              <w:pStyle w:val="TableofFigures"/>
            </w:pPr>
            <w:r w:rsidRPr="00DC1EE4">
              <w:t xml:space="preserve"> 44</w:t>
            </w:r>
          </w:p>
        </w:tc>
        <w:tc>
          <w:tcPr>
            <w:tcW w:w="1076" w:type="dxa"/>
            <w:tcBorders>
              <w:top w:val="nil"/>
              <w:left w:val="nil"/>
              <w:bottom w:val="nil"/>
              <w:right w:val="nil"/>
            </w:tcBorders>
          </w:tcPr>
          <w:p w:rsidR="0028027B" w:rsidRPr="00DC1EE4" w:rsidRDefault="0028027B" w:rsidP="00C03F9E">
            <w:pPr>
              <w:pStyle w:val="TableofFigures"/>
            </w:pPr>
            <w:r w:rsidRPr="00DC1EE4">
              <w:t xml:space="preserve"> 45</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75 875</w:t>
            </w:r>
          </w:p>
        </w:tc>
        <w:tc>
          <w:tcPr>
            <w:tcW w:w="108" w:type="dxa"/>
            <w:tcBorders>
              <w:top w:val="nil"/>
              <w:left w:val="nil"/>
              <w:bottom w:val="single" w:sz="6" w:space="0" w:color="auto"/>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single" w:sz="6" w:space="0" w:color="auto"/>
              <w:right w:val="nil"/>
            </w:tcBorders>
          </w:tcPr>
          <w:p w:rsidR="0028027B" w:rsidRPr="00DC1EE4" w:rsidRDefault="0028027B" w:rsidP="00C03F9E">
            <w:pPr>
              <w:pStyle w:val="Tabletext"/>
            </w:pPr>
            <w:r w:rsidRPr="00DC1EE4">
              <w:t>Investments in other sector entities</w:t>
            </w:r>
          </w:p>
        </w:tc>
        <w:tc>
          <w:tcPr>
            <w:tcW w:w="900" w:type="dxa"/>
            <w:tcBorders>
              <w:top w:val="nil"/>
              <w:left w:val="nil"/>
              <w:bottom w:val="single" w:sz="6" w:space="0" w:color="auto"/>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82 181</w:t>
            </w:r>
          </w:p>
        </w:tc>
        <w:tc>
          <w:tcPr>
            <w:tcW w:w="994" w:type="dxa"/>
            <w:tcBorders>
              <w:top w:val="nil"/>
              <w:left w:val="nil"/>
              <w:bottom w:val="nil"/>
              <w:right w:val="nil"/>
            </w:tcBorders>
          </w:tcPr>
          <w:p w:rsidR="0028027B" w:rsidRPr="00DC1EE4" w:rsidRDefault="0028027B" w:rsidP="00C03F9E">
            <w:pPr>
              <w:pStyle w:val="TableofFigures"/>
            </w:pPr>
            <w:r w:rsidRPr="00DC1EE4">
              <w:t>82 467</w:t>
            </w:r>
          </w:p>
        </w:tc>
        <w:tc>
          <w:tcPr>
            <w:tcW w:w="1076" w:type="dxa"/>
            <w:tcBorders>
              <w:top w:val="nil"/>
              <w:left w:val="nil"/>
              <w:bottom w:val="nil"/>
              <w:right w:val="nil"/>
            </w:tcBorders>
          </w:tcPr>
          <w:p w:rsidR="0028027B" w:rsidRPr="00DC1EE4" w:rsidRDefault="0028027B" w:rsidP="00C03F9E">
            <w:pPr>
              <w:pStyle w:val="TableofFigures"/>
            </w:pPr>
            <w:r w:rsidRPr="00DC1EE4">
              <w:t>82 432</w:t>
            </w:r>
          </w:p>
        </w:tc>
      </w:tr>
      <w:tr w:rsidR="0028027B" w:rsidRPr="00DC1EE4" w:rsidTr="00C03F9E">
        <w:tc>
          <w:tcPr>
            <w:tcW w:w="1004"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92 918</w:t>
            </w:r>
          </w:p>
        </w:tc>
        <w:tc>
          <w:tcPr>
            <w:tcW w:w="108" w:type="dxa"/>
            <w:tcBorders>
              <w:top w:val="single" w:sz="6" w:space="0" w:color="auto"/>
              <w:left w:val="nil"/>
              <w:bottom w:val="single" w:sz="6"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top w:val="single" w:sz="6" w:space="0" w:color="auto"/>
              <w:left w:val="nil"/>
              <w:bottom w:val="single" w:sz="6" w:space="0" w:color="auto"/>
              <w:right w:val="nil"/>
            </w:tcBorders>
          </w:tcPr>
          <w:p w:rsidR="0028027B" w:rsidRPr="00DC1EE4" w:rsidRDefault="0028027B" w:rsidP="00C03F9E">
            <w:pPr>
              <w:pStyle w:val="Tabletext"/>
              <w:rPr>
                <w:b/>
              </w:rPr>
            </w:pPr>
            <w:r w:rsidRPr="00DC1EE4">
              <w:rPr>
                <w:b/>
              </w:rPr>
              <w:t>Total financial assets</w:t>
            </w:r>
          </w:p>
        </w:tc>
        <w:tc>
          <w:tcPr>
            <w:tcW w:w="900" w:type="dxa"/>
            <w:tcBorders>
              <w:top w:val="single" w:sz="6" w:space="0" w:color="auto"/>
              <w:left w:val="nil"/>
              <w:bottom w:val="single" w:sz="6" w:space="0" w:color="auto"/>
              <w:right w:val="nil"/>
            </w:tcBorders>
          </w:tcPr>
          <w:p w:rsidR="0028027B" w:rsidRPr="00DC1EE4" w:rsidRDefault="0028027B" w:rsidP="00C03F9E">
            <w:pPr>
              <w:pStyle w:val="Tabletextcentred0"/>
              <w:rPr>
                <w:b/>
                <w:sz w:val="18"/>
              </w:rPr>
            </w:pPr>
            <w:r w:rsidRPr="00DC1EE4">
              <w:rPr>
                <w:b/>
                <w:sz w:val="18"/>
              </w:rPr>
              <w:t xml:space="preserve"> </w:t>
            </w:r>
          </w:p>
        </w:tc>
        <w:tc>
          <w:tcPr>
            <w:tcW w:w="90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100 040</w:t>
            </w:r>
          </w:p>
        </w:tc>
        <w:tc>
          <w:tcPr>
            <w:tcW w:w="994"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100 477</w:t>
            </w:r>
          </w:p>
        </w:tc>
        <w:tc>
          <w:tcPr>
            <w:tcW w:w="1076"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100 397</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rPr>
                <w:b/>
              </w:rPr>
            </w:pPr>
            <w:r w:rsidRPr="00DC1EE4">
              <w:t xml:space="preserve"> </w:t>
            </w:r>
          </w:p>
        </w:tc>
        <w:tc>
          <w:tcPr>
            <w:tcW w:w="108" w:type="dxa"/>
            <w:tcBorders>
              <w:top w:val="nil"/>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top w:val="nil"/>
              <w:left w:val="nil"/>
              <w:bottom w:val="nil"/>
              <w:right w:val="nil"/>
            </w:tcBorders>
          </w:tcPr>
          <w:p w:rsidR="0028027B" w:rsidRPr="00DC1EE4" w:rsidRDefault="0028027B" w:rsidP="00C03F9E">
            <w:pPr>
              <w:pStyle w:val="Tabletext"/>
              <w:rPr>
                <w:b/>
              </w:rPr>
            </w:pPr>
            <w:r w:rsidRPr="00DC1EE4">
              <w:rPr>
                <w:b/>
              </w:rPr>
              <w:t>Non</w:t>
            </w:r>
            <w:r w:rsidR="005A4BB0">
              <w:rPr>
                <w:b/>
              </w:rPr>
              <w:noBreakHyphen/>
            </w:r>
            <w:r w:rsidRPr="00DC1EE4">
              <w:rPr>
                <w:b/>
              </w:rPr>
              <w:t>financial assets</w:t>
            </w:r>
          </w:p>
        </w:tc>
        <w:tc>
          <w:tcPr>
            <w:tcW w:w="900" w:type="dxa"/>
            <w:tcBorders>
              <w:top w:val="nil"/>
              <w:left w:val="nil"/>
              <w:bottom w:val="nil"/>
              <w:right w:val="nil"/>
            </w:tcBorders>
          </w:tcPr>
          <w:p w:rsidR="0028027B" w:rsidRPr="00DC1EE4" w:rsidRDefault="0028027B" w:rsidP="00C03F9E">
            <w:pPr>
              <w:pStyle w:val="Tabletextcentred0"/>
              <w:rPr>
                <w:b/>
                <w:sz w:val="18"/>
              </w:rPr>
            </w:pPr>
            <w:r w:rsidRPr="00DC1EE4">
              <w:rPr>
                <w:b/>
                <w:sz w:val="18"/>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t xml:space="preserve"> </w:t>
            </w:r>
          </w:p>
        </w:tc>
        <w:tc>
          <w:tcPr>
            <w:tcW w:w="994" w:type="dxa"/>
            <w:tcBorders>
              <w:top w:val="nil"/>
              <w:left w:val="nil"/>
              <w:bottom w:val="nil"/>
              <w:right w:val="nil"/>
            </w:tcBorders>
          </w:tcPr>
          <w:p w:rsidR="0028027B" w:rsidRPr="00DC1EE4" w:rsidRDefault="0028027B" w:rsidP="00C03F9E">
            <w:pPr>
              <w:pStyle w:val="TableofFigures"/>
              <w:rPr>
                <w:b/>
              </w:rPr>
            </w:pPr>
            <w:r w:rsidRPr="00DC1EE4">
              <w:t xml:space="preserve"> </w:t>
            </w:r>
          </w:p>
        </w:tc>
        <w:tc>
          <w:tcPr>
            <w:tcW w:w="1076" w:type="dxa"/>
            <w:tcBorders>
              <w:top w:val="nil"/>
              <w:left w:val="nil"/>
              <w:bottom w:val="nil"/>
              <w:right w:val="nil"/>
            </w:tcBorders>
          </w:tcPr>
          <w:p w:rsidR="0028027B" w:rsidRPr="00DC1EE4" w:rsidRDefault="0028027B" w:rsidP="00C03F9E">
            <w:pPr>
              <w:pStyle w:val="TableofFigures"/>
              <w:rPr>
                <w:b/>
              </w:rPr>
            </w:pPr>
            <w:r w:rsidRPr="00DC1EE4">
              <w:t xml:space="preserve"> </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 xml:space="preserve"> 154</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Inventories</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 xml:space="preserve"> 144</w:t>
            </w:r>
          </w:p>
        </w:tc>
        <w:tc>
          <w:tcPr>
            <w:tcW w:w="994" w:type="dxa"/>
            <w:tcBorders>
              <w:top w:val="nil"/>
              <w:left w:val="nil"/>
              <w:bottom w:val="nil"/>
              <w:right w:val="nil"/>
            </w:tcBorders>
          </w:tcPr>
          <w:p w:rsidR="0028027B" w:rsidRPr="00DC1EE4" w:rsidRDefault="0028027B" w:rsidP="00C03F9E">
            <w:pPr>
              <w:pStyle w:val="TableofFigures"/>
            </w:pPr>
            <w:r w:rsidRPr="00DC1EE4">
              <w:t xml:space="preserve"> 146</w:t>
            </w:r>
          </w:p>
        </w:tc>
        <w:tc>
          <w:tcPr>
            <w:tcW w:w="1076" w:type="dxa"/>
            <w:tcBorders>
              <w:top w:val="nil"/>
              <w:left w:val="nil"/>
              <w:bottom w:val="nil"/>
              <w:right w:val="nil"/>
            </w:tcBorders>
          </w:tcPr>
          <w:p w:rsidR="0028027B" w:rsidRPr="00DC1EE4" w:rsidRDefault="0028027B" w:rsidP="00C03F9E">
            <w:pPr>
              <w:pStyle w:val="TableofFigures"/>
            </w:pPr>
            <w:r w:rsidRPr="00DC1EE4">
              <w:t xml:space="preserve"> 148</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 xml:space="preserve"> 147</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Non</w:t>
            </w:r>
            <w:r w:rsidR="005A4BB0">
              <w:noBreakHyphen/>
            </w:r>
            <w:r w:rsidRPr="00DC1EE4">
              <w:t>financial assets held for sale</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 xml:space="preserve"> 175</w:t>
            </w:r>
          </w:p>
        </w:tc>
        <w:tc>
          <w:tcPr>
            <w:tcW w:w="994" w:type="dxa"/>
            <w:tcBorders>
              <w:top w:val="nil"/>
              <w:left w:val="nil"/>
              <w:bottom w:val="nil"/>
              <w:right w:val="nil"/>
            </w:tcBorders>
          </w:tcPr>
          <w:p w:rsidR="0028027B" w:rsidRPr="00DC1EE4" w:rsidRDefault="0028027B" w:rsidP="00C03F9E">
            <w:pPr>
              <w:pStyle w:val="TableofFigures"/>
            </w:pPr>
            <w:r w:rsidRPr="00DC1EE4">
              <w:t xml:space="preserve"> 169</w:t>
            </w:r>
          </w:p>
        </w:tc>
        <w:tc>
          <w:tcPr>
            <w:tcW w:w="1076" w:type="dxa"/>
            <w:tcBorders>
              <w:top w:val="nil"/>
              <w:left w:val="nil"/>
              <w:bottom w:val="nil"/>
              <w:right w:val="nil"/>
            </w:tcBorders>
          </w:tcPr>
          <w:p w:rsidR="0028027B" w:rsidRPr="00DC1EE4" w:rsidRDefault="0028027B" w:rsidP="00C03F9E">
            <w:pPr>
              <w:pStyle w:val="TableofFigures"/>
            </w:pPr>
            <w:r w:rsidRPr="00DC1EE4">
              <w:t xml:space="preserve"> 175</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105 037</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Land, buildings, infrastructure, plant and equipment</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13</w:t>
            </w:r>
          </w:p>
        </w:tc>
        <w:tc>
          <w:tcPr>
            <w:tcW w:w="900" w:type="dxa"/>
            <w:tcBorders>
              <w:top w:val="nil"/>
              <w:left w:val="nil"/>
              <w:bottom w:val="nil"/>
              <w:right w:val="nil"/>
            </w:tcBorders>
          </w:tcPr>
          <w:p w:rsidR="0028027B" w:rsidRPr="00DC1EE4" w:rsidRDefault="0028027B" w:rsidP="00C03F9E">
            <w:pPr>
              <w:pStyle w:val="TableofFigures"/>
            </w:pPr>
            <w:r w:rsidRPr="00DC1EE4">
              <w:t>107 586</w:t>
            </w:r>
          </w:p>
        </w:tc>
        <w:tc>
          <w:tcPr>
            <w:tcW w:w="994" w:type="dxa"/>
            <w:tcBorders>
              <w:top w:val="nil"/>
              <w:left w:val="nil"/>
              <w:bottom w:val="nil"/>
              <w:right w:val="nil"/>
            </w:tcBorders>
          </w:tcPr>
          <w:p w:rsidR="0028027B" w:rsidRPr="00DC1EE4" w:rsidRDefault="0028027B" w:rsidP="00C03F9E">
            <w:pPr>
              <w:pStyle w:val="TableofFigures"/>
            </w:pPr>
            <w:r w:rsidRPr="00DC1EE4">
              <w:t>107 527</w:t>
            </w:r>
          </w:p>
        </w:tc>
        <w:tc>
          <w:tcPr>
            <w:tcW w:w="1076" w:type="dxa"/>
            <w:tcBorders>
              <w:top w:val="nil"/>
              <w:left w:val="nil"/>
              <w:bottom w:val="nil"/>
              <w:right w:val="nil"/>
            </w:tcBorders>
          </w:tcPr>
          <w:p w:rsidR="0028027B" w:rsidRPr="00DC1EE4" w:rsidRDefault="0028027B" w:rsidP="00C03F9E">
            <w:pPr>
              <w:pStyle w:val="TableofFigures"/>
            </w:pPr>
            <w:r w:rsidRPr="00DC1EE4">
              <w:t>109 733</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1 384</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Other non</w:t>
            </w:r>
            <w:r w:rsidR="005A4BB0">
              <w:noBreakHyphen/>
            </w:r>
            <w:r w:rsidRPr="00DC1EE4">
              <w:t>financial assets</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14</w:t>
            </w:r>
          </w:p>
        </w:tc>
        <w:tc>
          <w:tcPr>
            <w:tcW w:w="900" w:type="dxa"/>
            <w:tcBorders>
              <w:top w:val="nil"/>
              <w:left w:val="nil"/>
              <w:bottom w:val="nil"/>
              <w:right w:val="nil"/>
            </w:tcBorders>
          </w:tcPr>
          <w:p w:rsidR="0028027B" w:rsidRPr="00DC1EE4" w:rsidRDefault="0028027B" w:rsidP="00C03F9E">
            <w:pPr>
              <w:pStyle w:val="TableofFigures"/>
            </w:pPr>
            <w:r w:rsidRPr="00DC1EE4">
              <w:t>1 038</w:t>
            </w:r>
          </w:p>
        </w:tc>
        <w:tc>
          <w:tcPr>
            <w:tcW w:w="994" w:type="dxa"/>
            <w:tcBorders>
              <w:top w:val="nil"/>
              <w:left w:val="nil"/>
              <w:bottom w:val="nil"/>
              <w:right w:val="nil"/>
            </w:tcBorders>
          </w:tcPr>
          <w:p w:rsidR="0028027B" w:rsidRPr="00DC1EE4" w:rsidRDefault="0028027B" w:rsidP="00C03F9E">
            <w:pPr>
              <w:pStyle w:val="TableofFigures"/>
            </w:pPr>
            <w:r w:rsidRPr="00DC1EE4">
              <w:t>1 215</w:t>
            </w:r>
          </w:p>
        </w:tc>
        <w:tc>
          <w:tcPr>
            <w:tcW w:w="1076" w:type="dxa"/>
            <w:tcBorders>
              <w:top w:val="nil"/>
              <w:left w:val="nil"/>
              <w:bottom w:val="nil"/>
              <w:right w:val="nil"/>
            </w:tcBorders>
          </w:tcPr>
          <w:p w:rsidR="0028027B" w:rsidRPr="00DC1EE4" w:rsidRDefault="0028027B" w:rsidP="00C03F9E">
            <w:pPr>
              <w:pStyle w:val="TableofFigures"/>
            </w:pPr>
            <w:r w:rsidRPr="00DC1EE4">
              <w:t xml:space="preserve"> 977</w:t>
            </w:r>
          </w:p>
        </w:tc>
      </w:tr>
      <w:tr w:rsidR="0028027B" w:rsidRPr="00DC1EE4" w:rsidTr="00C03F9E">
        <w:tc>
          <w:tcPr>
            <w:tcW w:w="1004"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106 721</w:t>
            </w:r>
          </w:p>
        </w:tc>
        <w:tc>
          <w:tcPr>
            <w:tcW w:w="108" w:type="dxa"/>
            <w:tcBorders>
              <w:top w:val="single" w:sz="6" w:space="0" w:color="auto"/>
              <w:left w:val="nil"/>
              <w:bottom w:val="single" w:sz="6"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top w:val="single" w:sz="6" w:space="0" w:color="auto"/>
              <w:left w:val="nil"/>
              <w:bottom w:val="single" w:sz="6" w:space="0" w:color="auto"/>
              <w:right w:val="nil"/>
            </w:tcBorders>
          </w:tcPr>
          <w:p w:rsidR="0028027B" w:rsidRPr="00DC1EE4" w:rsidRDefault="0028027B" w:rsidP="00C03F9E">
            <w:pPr>
              <w:pStyle w:val="Tabletext"/>
              <w:rPr>
                <w:b/>
              </w:rPr>
            </w:pPr>
            <w:r w:rsidRPr="00DC1EE4">
              <w:rPr>
                <w:b/>
              </w:rPr>
              <w:t>Total non</w:t>
            </w:r>
            <w:r w:rsidR="005A4BB0">
              <w:rPr>
                <w:b/>
              </w:rPr>
              <w:noBreakHyphen/>
            </w:r>
            <w:r w:rsidRPr="00DC1EE4">
              <w:rPr>
                <w:b/>
              </w:rPr>
              <w:t>financial assets</w:t>
            </w:r>
          </w:p>
        </w:tc>
        <w:tc>
          <w:tcPr>
            <w:tcW w:w="900" w:type="dxa"/>
            <w:tcBorders>
              <w:top w:val="single" w:sz="6" w:space="0" w:color="auto"/>
              <w:left w:val="nil"/>
              <w:bottom w:val="single" w:sz="6" w:space="0" w:color="auto"/>
              <w:right w:val="nil"/>
            </w:tcBorders>
          </w:tcPr>
          <w:p w:rsidR="0028027B" w:rsidRPr="00DC1EE4" w:rsidRDefault="0028027B" w:rsidP="00C03F9E">
            <w:pPr>
              <w:pStyle w:val="Tabletextcentred0"/>
              <w:rPr>
                <w:b/>
                <w:sz w:val="18"/>
              </w:rPr>
            </w:pPr>
            <w:r w:rsidRPr="00DC1EE4">
              <w:rPr>
                <w:b/>
                <w:sz w:val="18"/>
              </w:rPr>
              <w:t xml:space="preserve"> </w:t>
            </w:r>
          </w:p>
        </w:tc>
        <w:tc>
          <w:tcPr>
            <w:tcW w:w="90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108 944</w:t>
            </w:r>
          </w:p>
        </w:tc>
        <w:tc>
          <w:tcPr>
            <w:tcW w:w="994"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109 057</w:t>
            </w:r>
          </w:p>
        </w:tc>
        <w:tc>
          <w:tcPr>
            <w:tcW w:w="1076"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111 034</w:t>
            </w:r>
          </w:p>
        </w:tc>
      </w:tr>
      <w:tr w:rsidR="0028027B" w:rsidRPr="00DC1EE4" w:rsidTr="00C03F9E">
        <w:tc>
          <w:tcPr>
            <w:tcW w:w="1004" w:type="dxa"/>
            <w:tcBorders>
              <w:top w:val="single" w:sz="6" w:space="0" w:color="auto"/>
              <w:left w:val="nil"/>
              <w:right w:val="nil"/>
            </w:tcBorders>
          </w:tcPr>
          <w:p w:rsidR="0028027B" w:rsidRPr="00DC1EE4" w:rsidRDefault="0028027B" w:rsidP="00C03F9E">
            <w:pPr>
              <w:pStyle w:val="TableofFigures"/>
              <w:rPr>
                <w:b/>
              </w:rPr>
            </w:pPr>
            <w:r w:rsidRPr="00DC1EE4">
              <w:rPr>
                <w:b/>
              </w:rPr>
              <w:t>199 638</w:t>
            </w:r>
          </w:p>
        </w:tc>
        <w:tc>
          <w:tcPr>
            <w:tcW w:w="108" w:type="dxa"/>
            <w:tcBorders>
              <w:top w:val="single" w:sz="6" w:space="0" w:color="auto"/>
              <w:left w:val="nil"/>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top w:val="single" w:sz="6" w:space="0" w:color="auto"/>
              <w:left w:val="nil"/>
              <w:right w:val="nil"/>
            </w:tcBorders>
          </w:tcPr>
          <w:p w:rsidR="0028027B" w:rsidRPr="00DC1EE4" w:rsidRDefault="0028027B" w:rsidP="00C03F9E">
            <w:pPr>
              <w:pStyle w:val="Tabletext"/>
              <w:rPr>
                <w:b/>
              </w:rPr>
            </w:pPr>
            <w:r w:rsidRPr="00DC1EE4">
              <w:rPr>
                <w:b/>
              </w:rPr>
              <w:t>Total assets</w:t>
            </w:r>
          </w:p>
        </w:tc>
        <w:tc>
          <w:tcPr>
            <w:tcW w:w="900" w:type="dxa"/>
            <w:tcBorders>
              <w:top w:val="single" w:sz="6" w:space="0" w:color="auto"/>
              <w:left w:val="nil"/>
              <w:right w:val="nil"/>
            </w:tcBorders>
          </w:tcPr>
          <w:p w:rsidR="0028027B" w:rsidRPr="00DC1EE4" w:rsidRDefault="0028027B" w:rsidP="00C03F9E">
            <w:pPr>
              <w:pStyle w:val="Tabletextcentred0"/>
              <w:rPr>
                <w:b/>
                <w:sz w:val="18"/>
              </w:rPr>
            </w:pPr>
            <w:r w:rsidRPr="00DC1EE4">
              <w:rPr>
                <w:b/>
                <w:sz w:val="18"/>
              </w:rPr>
              <w:t xml:space="preserve">15 </w:t>
            </w:r>
          </w:p>
        </w:tc>
        <w:tc>
          <w:tcPr>
            <w:tcW w:w="900" w:type="dxa"/>
            <w:tcBorders>
              <w:top w:val="single" w:sz="6" w:space="0" w:color="auto"/>
              <w:left w:val="nil"/>
              <w:right w:val="nil"/>
            </w:tcBorders>
          </w:tcPr>
          <w:p w:rsidR="0028027B" w:rsidRPr="00DC1EE4" w:rsidRDefault="0028027B" w:rsidP="00C03F9E">
            <w:pPr>
              <w:pStyle w:val="TableofFigures"/>
              <w:rPr>
                <w:b/>
              </w:rPr>
            </w:pPr>
            <w:r w:rsidRPr="00DC1EE4">
              <w:rPr>
                <w:b/>
              </w:rPr>
              <w:t>208 985</w:t>
            </w:r>
          </w:p>
        </w:tc>
        <w:tc>
          <w:tcPr>
            <w:tcW w:w="994" w:type="dxa"/>
            <w:tcBorders>
              <w:top w:val="single" w:sz="6" w:space="0" w:color="auto"/>
              <w:left w:val="nil"/>
              <w:right w:val="nil"/>
            </w:tcBorders>
          </w:tcPr>
          <w:p w:rsidR="0028027B" w:rsidRPr="00DC1EE4" w:rsidRDefault="0028027B" w:rsidP="00C03F9E">
            <w:pPr>
              <w:pStyle w:val="TableofFigures"/>
              <w:rPr>
                <w:b/>
              </w:rPr>
            </w:pPr>
            <w:r w:rsidRPr="00DC1EE4">
              <w:rPr>
                <w:b/>
              </w:rPr>
              <w:t>209 534</w:t>
            </w:r>
          </w:p>
        </w:tc>
        <w:tc>
          <w:tcPr>
            <w:tcW w:w="1076" w:type="dxa"/>
            <w:tcBorders>
              <w:top w:val="single" w:sz="6" w:space="0" w:color="auto"/>
              <w:left w:val="nil"/>
              <w:right w:val="nil"/>
            </w:tcBorders>
          </w:tcPr>
          <w:p w:rsidR="0028027B" w:rsidRPr="00DC1EE4" w:rsidRDefault="0028027B" w:rsidP="00C03F9E">
            <w:pPr>
              <w:pStyle w:val="TableofFigures"/>
              <w:rPr>
                <w:b/>
              </w:rPr>
            </w:pPr>
            <w:r w:rsidRPr="00DC1EE4">
              <w:rPr>
                <w:b/>
              </w:rPr>
              <w:t>211 431</w:t>
            </w:r>
          </w:p>
        </w:tc>
      </w:tr>
      <w:tr w:rsidR="0028027B" w:rsidRPr="00DC1EE4" w:rsidTr="00C03F9E">
        <w:tc>
          <w:tcPr>
            <w:tcW w:w="1004" w:type="dxa"/>
            <w:tcBorders>
              <w:left w:val="nil"/>
              <w:bottom w:val="nil"/>
              <w:right w:val="nil"/>
            </w:tcBorders>
          </w:tcPr>
          <w:p w:rsidR="0028027B" w:rsidRPr="00DC1EE4" w:rsidRDefault="0028027B" w:rsidP="00C03F9E">
            <w:pPr>
              <w:pStyle w:val="TableofFigures"/>
              <w:rPr>
                <w:b/>
              </w:rPr>
            </w:pPr>
            <w:r w:rsidRPr="00DC1EE4">
              <w:t xml:space="preserve"> </w:t>
            </w:r>
          </w:p>
        </w:tc>
        <w:tc>
          <w:tcPr>
            <w:tcW w:w="108" w:type="dxa"/>
            <w:tcBorders>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left w:val="nil"/>
              <w:bottom w:val="nil"/>
              <w:right w:val="nil"/>
            </w:tcBorders>
          </w:tcPr>
          <w:p w:rsidR="0028027B" w:rsidRPr="00DC1EE4" w:rsidRDefault="0028027B" w:rsidP="00C03F9E">
            <w:pPr>
              <w:pStyle w:val="Tabletext"/>
              <w:rPr>
                <w:b/>
              </w:rPr>
            </w:pPr>
            <w:r w:rsidRPr="00DC1EE4">
              <w:rPr>
                <w:b/>
              </w:rPr>
              <w:t>Liabilities</w:t>
            </w:r>
          </w:p>
        </w:tc>
        <w:tc>
          <w:tcPr>
            <w:tcW w:w="900" w:type="dxa"/>
            <w:tcBorders>
              <w:left w:val="nil"/>
              <w:bottom w:val="nil"/>
              <w:right w:val="nil"/>
            </w:tcBorders>
          </w:tcPr>
          <w:p w:rsidR="0028027B" w:rsidRPr="00DC1EE4" w:rsidRDefault="0028027B" w:rsidP="00C03F9E">
            <w:pPr>
              <w:pStyle w:val="Tabletextcentred0"/>
              <w:rPr>
                <w:b/>
                <w:sz w:val="18"/>
              </w:rPr>
            </w:pPr>
            <w:r w:rsidRPr="00DC1EE4">
              <w:rPr>
                <w:b/>
                <w:sz w:val="18"/>
              </w:rPr>
              <w:t xml:space="preserve"> </w:t>
            </w:r>
          </w:p>
        </w:tc>
        <w:tc>
          <w:tcPr>
            <w:tcW w:w="900" w:type="dxa"/>
            <w:tcBorders>
              <w:left w:val="nil"/>
              <w:bottom w:val="nil"/>
              <w:right w:val="nil"/>
            </w:tcBorders>
          </w:tcPr>
          <w:p w:rsidR="0028027B" w:rsidRPr="00DC1EE4" w:rsidRDefault="0028027B" w:rsidP="00C03F9E">
            <w:pPr>
              <w:pStyle w:val="TableofFigures"/>
              <w:rPr>
                <w:b/>
              </w:rPr>
            </w:pPr>
            <w:r w:rsidRPr="00DC1EE4">
              <w:t xml:space="preserve"> </w:t>
            </w:r>
          </w:p>
        </w:tc>
        <w:tc>
          <w:tcPr>
            <w:tcW w:w="994" w:type="dxa"/>
            <w:tcBorders>
              <w:left w:val="nil"/>
              <w:bottom w:val="nil"/>
              <w:right w:val="nil"/>
            </w:tcBorders>
          </w:tcPr>
          <w:p w:rsidR="0028027B" w:rsidRPr="00DC1EE4" w:rsidRDefault="0028027B" w:rsidP="00C03F9E">
            <w:pPr>
              <w:pStyle w:val="TableofFigures"/>
              <w:rPr>
                <w:b/>
              </w:rPr>
            </w:pPr>
            <w:r w:rsidRPr="00DC1EE4">
              <w:t xml:space="preserve"> </w:t>
            </w:r>
          </w:p>
        </w:tc>
        <w:tc>
          <w:tcPr>
            <w:tcW w:w="1076" w:type="dxa"/>
            <w:tcBorders>
              <w:left w:val="nil"/>
              <w:bottom w:val="nil"/>
              <w:right w:val="nil"/>
            </w:tcBorders>
          </w:tcPr>
          <w:p w:rsidR="0028027B" w:rsidRPr="00DC1EE4" w:rsidRDefault="0028027B" w:rsidP="00C03F9E">
            <w:pPr>
              <w:pStyle w:val="TableofFigures"/>
              <w:rPr>
                <w:b/>
              </w:rPr>
            </w:pPr>
            <w:r w:rsidRPr="00DC1EE4">
              <w:t xml:space="preserve"> </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 xml:space="preserve"> 454</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Deposits held and advances received</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 xml:space="preserve"> 518</w:t>
            </w:r>
          </w:p>
        </w:tc>
        <w:tc>
          <w:tcPr>
            <w:tcW w:w="994" w:type="dxa"/>
            <w:tcBorders>
              <w:top w:val="nil"/>
              <w:left w:val="nil"/>
              <w:bottom w:val="nil"/>
              <w:right w:val="nil"/>
            </w:tcBorders>
          </w:tcPr>
          <w:p w:rsidR="0028027B" w:rsidRPr="00DC1EE4" w:rsidRDefault="0028027B" w:rsidP="00C03F9E">
            <w:pPr>
              <w:pStyle w:val="TableofFigures"/>
            </w:pPr>
            <w:r w:rsidRPr="00DC1EE4">
              <w:t xml:space="preserve"> 471</w:t>
            </w:r>
          </w:p>
        </w:tc>
        <w:tc>
          <w:tcPr>
            <w:tcW w:w="1076" w:type="dxa"/>
            <w:tcBorders>
              <w:top w:val="nil"/>
              <w:left w:val="nil"/>
              <w:bottom w:val="nil"/>
              <w:right w:val="nil"/>
            </w:tcBorders>
          </w:tcPr>
          <w:p w:rsidR="0028027B" w:rsidRPr="00DC1EE4" w:rsidRDefault="0028027B" w:rsidP="00C03F9E">
            <w:pPr>
              <w:pStyle w:val="TableofFigures"/>
            </w:pPr>
            <w:r w:rsidRPr="00DC1EE4">
              <w:t xml:space="preserve"> 518</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5 112</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Payables</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16 </w:t>
            </w:r>
          </w:p>
        </w:tc>
        <w:tc>
          <w:tcPr>
            <w:tcW w:w="900" w:type="dxa"/>
            <w:tcBorders>
              <w:top w:val="nil"/>
              <w:left w:val="nil"/>
              <w:bottom w:val="nil"/>
              <w:right w:val="nil"/>
            </w:tcBorders>
          </w:tcPr>
          <w:p w:rsidR="0028027B" w:rsidRPr="00DC1EE4" w:rsidRDefault="0028027B" w:rsidP="00C03F9E">
            <w:pPr>
              <w:pStyle w:val="TableofFigures"/>
            </w:pPr>
            <w:r w:rsidRPr="00DC1EE4">
              <w:t>5 704</w:t>
            </w:r>
          </w:p>
        </w:tc>
        <w:tc>
          <w:tcPr>
            <w:tcW w:w="994" w:type="dxa"/>
            <w:tcBorders>
              <w:top w:val="nil"/>
              <w:left w:val="nil"/>
              <w:bottom w:val="nil"/>
              <w:right w:val="nil"/>
            </w:tcBorders>
          </w:tcPr>
          <w:p w:rsidR="0028027B" w:rsidRPr="00DC1EE4" w:rsidRDefault="0028027B" w:rsidP="00C03F9E">
            <w:pPr>
              <w:pStyle w:val="TableofFigures"/>
            </w:pPr>
            <w:r w:rsidRPr="00DC1EE4">
              <w:t>5 355</w:t>
            </w:r>
          </w:p>
        </w:tc>
        <w:tc>
          <w:tcPr>
            <w:tcW w:w="1076" w:type="dxa"/>
            <w:tcBorders>
              <w:top w:val="nil"/>
              <w:left w:val="nil"/>
              <w:bottom w:val="nil"/>
              <w:right w:val="nil"/>
            </w:tcBorders>
          </w:tcPr>
          <w:p w:rsidR="0028027B" w:rsidRPr="00DC1EE4" w:rsidRDefault="0028027B" w:rsidP="00C03F9E">
            <w:pPr>
              <w:pStyle w:val="TableofFigures"/>
            </w:pPr>
            <w:r w:rsidRPr="00DC1EE4">
              <w:t>5 434</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32 847</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Borrowings</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34 069</w:t>
            </w:r>
          </w:p>
        </w:tc>
        <w:tc>
          <w:tcPr>
            <w:tcW w:w="994" w:type="dxa"/>
            <w:tcBorders>
              <w:top w:val="nil"/>
              <w:left w:val="nil"/>
              <w:bottom w:val="nil"/>
              <w:right w:val="nil"/>
            </w:tcBorders>
          </w:tcPr>
          <w:p w:rsidR="0028027B" w:rsidRPr="00DC1EE4" w:rsidRDefault="0028027B" w:rsidP="00C03F9E">
            <w:pPr>
              <w:pStyle w:val="TableofFigures"/>
            </w:pPr>
            <w:r w:rsidRPr="00DC1EE4">
              <w:t>34 597</w:t>
            </w:r>
          </w:p>
        </w:tc>
        <w:tc>
          <w:tcPr>
            <w:tcW w:w="1076" w:type="dxa"/>
            <w:tcBorders>
              <w:top w:val="nil"/>
              <w:left w:val="nil"/>
              <w:bottom w:val="nil"/>
              <w:right w:val="nil"/>
            </w:tcBorders>
          </w:tcPr>
          <w:p w:rsidR="0028027B" w:rsidRPr="00DC1EE4" w:rsidRDefault="0028027B" w:rsidP="00C03F9E">
            <w:pPr>
              <w:pStyle w:val="TableofFigures"/>
            </w:pPr>
            <w:r w:rsidRPr="00DC1EE4">
              <w:t>29 986</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5 463</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Employee benefits</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17</w:t>
            </w:r>
          </w:p>
        </w:tc>
        <w:tc>
          <w:tcPr>
            <w:tcW w:w="900" w:type="dxa"/>
            <w:tcBorders>
              <w:top w:val="nil"/>
              <w:left w:val="nil"/>
              <w:bottom w:val="nil"/>
              <w:right w:val="nil"/>
            </w:tcBorders>
          </w:tcPr>
          <w:p w:rsidR="0028027B" w:rsidRPr="00DC1EE4" w:rsidRDefault="0028027B" w:rsidP="00C03F9E">
            <w:pPr>
              <w:pStyle w:val="TableofFigures"/>
            </w:pPr>
            <w:r w:rsidRPr="00DC1EE4">
              <w:t>5 605</w:t>
            </w:r>
          </w:p>
        </w:tc>
        <w:tc>
          <w:tcPr>
            <w:tcW w:w="994" w:type="dxa"/>
            <w:tcBorders>
              <w:top w:val="nil"/>
              <w:left w:val="nil"/>
              <w:bottom w:val="nil"/>
              <w:right w:val="nil"/>
            </w:tcBorders>
          </w:tcPr>
          <w:p w:rsidR="0028027B" w:rsidRPr="00DC1EE4" w:rsidRDefault="0028027B" w:rsidP="00C03F9E">
            <w:pPr>
              <w:pStyle w:val="TableofFigures"/>
            </w:pPr>
            <w:r w:rsidRPr="00DC1EE4">
              <w:t>5 675</w:t>
            </w:r>
          </w:p>
        </w:tc>
        <w:tc>
          <w:tcPr>
            <w:tcW w:w="1076" w:type="dxa"/>
            <w:tcBorders>
              <w:top w:val="nil"/>
              <w:left w:val="nil"/>
              <w:bottom w:val="nil"/>
              <w:right w:val="nil"/>
            </w:tcBorders>
          </w:tcPr>
          <w:p w:rsidR="0028027B" w:rsidRPr="00DC1EE4" w:rsidRDefault="0028027B" w:rsidP="00C03F9E">
            <w:pPr>
              <w:pStyle w:val="TableofFigures"/>
            </w:pPr>
            <w:r w:rsidRPr="00DC1EE4">
              <w:t>5 852</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26 181</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Superannuation</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25 947</w:t>
            </w:r>
          </w:p>
        </w:tc>
        <w:tc>
          <w:tcPr>
            <w:tcW w:w="994" w:type="dxa"/>
            <w:tcBorders>
              <w:top w:val="nil"/>
              <w:left w:val="nil"/>
              <w:bottom w:val="nil"/>
              <w:right w:val="nil"/>
            </w:tcBorders>
          </w:tcPr>
          <w:p w:rsidR="0028027B" w:rsidRPr="00DC1EE4" w:rsidRDefault="0028027B" w:rsidP="00C03F9E">
            <w:pPr>
              <w:pStyle w:val="TableofFigures"/>
            </w:pPr>
            <w:r w:rsidRPr="00DC1EE4">
              <w:t>27 885</w:t>
            </w:r>
          </w:p>
        </w:tc>
        <w:tc>
          <w:tcPr>
            <w:tcW w:w="1076" w:type="dxa"/>
            <w:tcBorders>
              <w:top w:val="nil"/>
              <w:left w:val="nil"/>
              <w:bottom w:val="nil"/>
              <w:right w:val="nil"/>
            </w:tcBorders>
          </w:tcPr>
          <w:p w:rsidR="0028027B" w:rsidRPr="00DC1EE4" w:rsidRDefault="0028027B" w:rsidP="00C03F9E">
            <w:pPr>
              <w:pStyle w:val="TableofFigures"/>
            </w:pPr>
            <w:r w:rsidRPr="00DC1EE4">
              <w:t>25 003</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 xml:space="preserve"> 598</w:t>
            </w:r>
          </w:p>
        </w:tc>
        <w:tc>
          <w:tcPr>
            <w:tcW w:w="108" w:type="dxa"/>
            <w:tcBorders>
              <w:top w:val="nil"/>
              <w:left w:val="nil"/>
              <w:bottom w:val="single" w:sz="6" w:space="0" w:color="auto"/>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single" w:sz="6" w:space="0" w:color="auto"/>
              <w:right w:val="nil"/>
            </w:tcBorders>
          </w:tcPr>
          <w:p w:rsidR="0028027B" w:rsidRPr="00DC1EE4" w:rsidRDefault="0028027B" w:rsidP="00C03F9E">
            <w:pPr>
              <w:pStyle w:val="Tabletext"/>
            </w:pPr>
            <w:r w:rsidRPr="00DC1EE4">
              <w:t>Other provisions</w:t>
            </w:r>
          </w:p>
        </w:tc>
        <w:tc>
          <w:tcPr>
            <w:tcW w:w="900" w:type="dxa"/>
            <w:tcBorders>
              <w:top w:val="nil"/>
              <w:left w:val="nil"/>
              <w:bottom w:val="single" w:sz="6" w:space="0" w:color="auto"/>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 xml:space="preserve"> 807</w:t>
            </w:r>
          </w:p>
        </w:tc>
        <w:tc>
          <w:tcPr>
            <w:tcW w:w="994" w:type="dxa"/>
            <w:tcBorders>
              <w:top w:val="nil"/>
              <w:left w:val="nil"/>
              <w:bottom w:val="nil"/>
              <w:right w:val="nil"/>
            </w:tcBorders>
          </w:tcPr>
          <w:p w:rsidR="0028027B" w:rsidRPr="00DC1EE4" w:rsidRDefault="0028027B" w:rsidP="00C03F9E">
            <w:pPr>
              <w:pStyle w:val="TableofFigures"/>
            </w:pPr>
            <w:r w:rsidRPr="00DC1EE4">
              <w:t xml:space="preserve"> 754</w:t>
            </w:r>
          </w:p>
        </w:tc>
        <w:tc>
          <w:tcPr>
            <w:tcW w:w="1076" w:type="dxa"/>
            <w:tcBorders>
              <w:top w:val="nil"/>
              <w:left w:val="nil"/>
              <w:bottom w:val="nil"/>
              <w:right w:val="nil"/>
            </w:tcBorders>
          </w:tcPr>
          <w:p w:rsidR="0028027B" w:rsidRPr="00DC1EE4" w:rsidRDefault="0028027B" w:rsidP="00C03F9E">
            <w:pPr>
              <w:pStyle w:val="TableofFigures"/>
            </w:pPr>
            <w:r w:rsidRPr="00DC1EE4">
              <w:t xml:space="preserve"> 211</w:t>
            </w:r>
          </w:p>
        </w:tc>
      </w:tr>
      <w:tr w:rsidR="0028027B" w:rsidRPr="00DC1EE4" w:rsidTr="00C03F9E">
        <w:tc>
          <w:tcPr>
            <w:tcW w:w="1004"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70 655</w:t>
            </w:r>
          </w:p>
        </w:tc>
        <w:tc>
          <w:tcPr>
            <w:tcW w:w="108" w:type="dxa"/>
            <w:tcBorders>
              <w:top w:val="single" w:sz="6" w:space="0" w:color="auto"/>
              <w:left w:val="nil"/>
              <w:bottom w:val="single" w:sz="6"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top w:val="single" w:sz="6" w:space="0" w:color="auto"/>
              <w:left w:val="nil"/>
              <w:bottom w:val="single" w:sz="6" w:space="0" w:color="auto"/>
              <w:right w:val="nil"/>
            </w:tcBorders>
          </w:tcPr>
          <w:p w:rsidR="0028027B" w:rsidRPr="00DC1EE4" w:rsidRDefault="0028027B" w:rsidP="00C03F9E">
            <w:pPr>
              <w:pStyle w:val="Tabletext"/>
              <w:rPr>
                <w:b/>
              </w:rPr>
            </w:pPr>
            <w:r w:rsidRPr="00DC1EE4">
              <w:rPr>
                <w:b/>
              </w:rPr>
              <w:t>Total liabilities</w:t>
            </w:r>
          </w:p>
        </w:tc>
        <w:tc>
          <w:tcPr>
            <w:tcW w:w="900" w:type="dxa"/>
            <w:tcBorders>
              <w:top w:val="single" w:sz="6" w:space="0" w:color="auto"/>
              <w:left w:val="nil"/>
              <w:bottom w:val="single" w:sz="6" w:space="0" w:color="auto"/>
              <w:right w:val="nil"/>
            </w:tcBorders>
          </w:tcPr>
          <w:p w:rsidR="0028027B" w:rsidRPr="00DC1EE4" w:rsidRDefault="0028027B" w:rsidP="00C03F9E">
            <w:pPr>
              <w:pStyle w:val="Tabletextcentred0"/>
              <w:rPr>
                <w:b/>
                <w:sz w:val="18"/>
              </w:rPr>
            </w:pPr>
            <w:r w:rsidRPr="00DC1EE4">
              <w:rPr>
                <w:b/>
                <w:sz w:val="18"/>
              </w:rPr>
              <w:t xml:space="preserve"> </w:t>
            </w:r>
          </w:p>
        </w:tc>
        <w:tc>
          <w:tcPr>
            <w:tcW w:w="900"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72 650</w:t>
            </w:r>
          </w:p>
        </w:tc>
        <w:tc>
          <w:tcPr>
            <w:tcW w:w="994"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74 738</w:t>
            </w:r>
          </w:p>
        </w:tc>
        <w:tc>
          <w:tcPr>
            <w:tcW w:w="1076"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67 003</w:t>
            </w:r>
          </w:p>
        </w:tc>
      </w:tr>
      <w:tr w:rsidR="0028027B" w:rsidRPr="00DC1EE4" w:rsidTr="00C03F9E">
        <w:tc>
          <w:tcPr>
            <w:tcW w:w="1004"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128 983</w:t>
            </w:r>
          </w:p>
        </w:tc>
        <w:tc>
          <w:tcPr>
            <w:tcW w:w="108" w:type="dxa"/>
            <w:tcBorders>
              <w:top w:val="single" w:sz="6" w:space="0" w:color="auto"/>
              <w:left w:val="nil"/>
              <w:bottom w:val="single" w:sz="12"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top w:val="single" w:sz="6" w:space="0" w:color="auto"/>
              <w:left w:val="nil"/>
              <w:bottom w:val="single" w:sz="12" w:space="0" w:color="auto"/>
              <w:right w:val="nil"/>
            </w:tcBorders>
          </w:tcPr>
          <w:p w:rsidR="0028027B" w:rsidRPr="00DC1EE4" w:rsidRDefault="0028027B" w:rsidP="00C03F9E">
            <w:pPr>
              <w:pStyle w:val="Tabletext"/>
              <w:rPr>
                <w:b/>
              </w:rPr>
            </w:pPr>
            <w:r w:rsidRPr="00DC1EE4">
              <w:rPr>
                <w:b/>
              </w:rPr>
              <w:t>Net assets</w:t>
            </w:r>
          </w:p>
        </w:tc>
        <w:tc>
          <w:tcPr>
            <w:tcW w:w="900" w:type="dxa"/>
            <w:tcBorders>
              <w:top w:val="single" w:sz="6" w:space="0" w:color="auto"/>
              <w:left w:val="nil"/>
              <w:bottom w:val="single" w:sz="12" w:space="0" w:color="auto"/>
              <w:right w:val="nil"/>
            </w:tcBorders>
          </w:tcPr>
          <w:p w:rsidR="0028027B" w:rsidRPr="00DC1EE4" w:rsidRDefault="0028027B" w:rsidP="00C03F9E">
            <w:pPr>
              <w:pStyle w:val="Tabletextcentred0"/>
              <w:rPr>
                <w:b/>
                <w:sz w:val="18"/>
              </w:rPr>
            </w:pPr>
            <w:r w:rsidRPr="00DC1EE4">
              <w:rPr>
                <w:b/>
                <w:sz w:val="18"/>
              </w:rPr>
              <w:t xml:space="preserve"> </w:t>
            </w:r>
          </w:p>
        </w:tc>
        <w:tc>
          <w:tcPr>
            <w:tcW w:w="900"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136 335</w:t>
            </w:r>
          </w:p>
        </w:tc>
        <w:tc>
          <w:tcPr>
            <w:tcW w:w="994"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134 796</w:t>
            </w:r>
          </w:p>
        </w:tc>
        <w:tc>
          <w:tcPr>
            <w:tcW w:w="1076"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144 427</w:t>
            </w:r>
          </w:p>
        </w:tc>
      </w:tr>
      <w:tr w:rsidR="0028027B" w:rsidRPr="00DC1EE4" w:rsidTr="00C03F9E">
        <w:tc>
          <w:tcPr>
            <w:tcW w:w="1004" w:type="dxa"/>
            <w:tcBorders>
              <w:top w:val="single" w:sz="12" w:space="0" w:color="auto"/>
              <w:left w:val="nil"/>
              <w:bottom w:val="nil"/>
              <w:right w:val="nil"/>
            </w:tcBorders>
          </w:tcPr>
          <w:p w:rsidR="0028027B" w:rsidRPr="00DC1EE4" w:rsidRDefault="0028027B" w:rsidP="00C03F9E">
            <w:pPr>
              <w:pStyle w:val="TableofFigures"/>
            </w:pPr>
            <w:r w:rsidRPr="00DC1EE4">
              <w:t>44 505</w:t>
            </w:r>
          </w:p>
        </w:tc>
        <w:tc>
          <w:tcPr>
            <w:tcW w:w="108" w:type="dxa"/>
            <w:tcBorders>
              <w:top w:val="single" w:sz="12" w:space="0" w:color="auto"/>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single" w:sz="12" w:space="0" w:color="auto"/>
              <w:left w:val="nil"/>
              <w:bottom w:val="nil"/>
              <w:right w:val="nil"/>
            </w:tcBorders>
          </w:tcPr>
          <w:p w:rsidR="0028027B" w:rsidRPr="00DC1EE4" w:rsidRDefault="0028027B" w:rsidP="00C03F9E">
            <w:pPr>
              <w:pStyle w:val="Tabletext"/>
            </w:pPr>
            <w:r w:rsidRPr="00DC1EE4">
              <w:t>Accumulated surplus/(deficit)</w:t>
            </w:r>
          </w:p>
        </w:tc>
        <w:tc>
          <w:tcPr>
            <w:tcW w:w="900" w:type="dxa"/>
            <w:tcBorders>
              <w:top w:val="single" w:sz="12" w:space="0" w:color="auto"/>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single" w:sz="12" w:space="0" w:color="auto"/>
              <w:left w:val="nil"/>
              <w:bottom w:val="nil"/>
              <w:right w:val="nil"/>
            </w:tcBorders>
          </w:tcPr>
          <w:p w:rsidR="0028027B" w:rsidRPr="00DC1EE4" w:rsidRDefault="0028027B" w:rsidP="00C03F9E">
            <w:pPr>
              <w:pStyle w:val="TableofFigures"/>
            </w:pPr>
            <w:r w:rsidRPr="00DC1EE4">
              <w:t>45 788</w:t>
            </w:r>
          </w:p>
        </w:tc>
        <w:tc>
          <w:tcPr>
            <w:tcW w:w="994" w:type="dxa"/>
            <w:tcBorders>
              <w:top w:val="single" w:sz="12" w:space="0" w:color="auto"/>
              <w:left w:val="nil"/>
              <w:bottom w:val="nil"/>
              <w:right w:val="nil"/>
            </w:tcBorders>
          </w:tcPr>
          <w:p w:rsidR="0028027B" w:rsidRPr="00DC1EE4" w:rsidRDefault="0028027B" w:rsidP="00C03F9E">
            <w:pPr>
              <w:pStyle w:val="TableofFigures"/>
            </w:pPr>
            <w:r w:rsidRPr="00DC1EE4">
              <w:t>44 237</w:t>
            </w:r>
          </w:p>
        </w:tc>
        <w:tc>
          <w:tcPr>
            <w:tcW w:w="1076" w:type="dxa"/>
            <w:tcBorders>
              <w:top w:val="single" w:sz="12" w:space="0" w:color="auto"/>
              <w:left w:val="nil"/>
              <w:bottom w:val="nil"/>
              <w:right w:val="nil"/>
            </w:tcBorders>
          </w:tcPr>
          <w:p w:rsidR="0028027B" w:rsidRPr="00DC1EE4" w:rsidRDefault="0028027B" w:rsidP="00C03F9E">
            <w:pPr>
              <w:pStyle w:val="TableofFigures"/>
            </w:pPr>
            <w:r w:rsidRPr="00DC1EE4">
              <w:t>53 112</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84 428</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Reserves</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90 496</w:t>
            </w:r>
          </w:p>
        </w:tc>
        <w:tc>
          <w:tcPr>
            <w:tcW w:w="994" w:type="dxa"/>
            <w:tcBorders>
              <w:top w:val="nil"/>
              <w:left w:val="nil"/>
              <w:bottom w:val="nil"/>
              <w:right w:val="nil"/>
            </w:tcBorders>
          </w:tcPr>
          <w:p w:rsidR="0028027B" w:rsidRPr="00DC1EE4" w:rsidRDefault="0028027B" w:rsidP="00C03F9E">
            <w:pPr>
              <w:pStyle w:val="TableofFigures"/>
            </w:pPr>
            <w:r w:rsidRPr="00DC1EE4">
              <w:t>90 509</w:t>
            </w:r>
          </w:p>
        </w:tc>
        <w:tc>
          <w:tcPr>
            <w:tcW w:w="1076" w:type="dxa"/>
            <w:tcBorders>
              <w:top w:val="nil"/>
              <w:left w:val="nil"/>
              <w:bottom w:val="nil"/>
              <w:right w:val="nil"/>
            </w:tcBorders>
          </w:tcPr>
          <w:p w:rsidR="0028027B" w:rsidRPr="00DC1EE4" w:rsidRDefault="0028027B" w:rsidP="00C03F9E">
            <w:pPr>
              <w:pStyle w:val="TableofFigures"/>
            </w:pPr>
            <w:r w:rsidRPr="00DC1EE4">
              <w:t>91 265</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 xml:space="preserve"> 50</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single" w:sz="6" w:space="0" w:color="auto"/>
              <w:right w:val="nil"/>
            </w:tcBorders>
          </w:tcPr>
          <w:p w:rsidR="0028027B" w:rsidRPr="00DC1EE4" w:rsidRDefault="0028027B" w:rsidP="00C03F9E">
            <w:pPr>
              <w:pStyle w:val="Tabletext"/>
            </w:pPr>
            <w:r w:rsidRPr="00DC1EE4">
              <w:t>Non</w:t>
            </w:r>
            <w:r w:rsidR="005A4BB0">
              <w:noBreakHyphen/>
            </w:r>
            <w:r w:rsidRPr="00DC1EE4">
              <w:t>controlling interest</w:t>
            </w:r>
          </w:p>
        </w:tc>
        <w:tc>
          <w:tcPr>
            <w:tcW w:w="900" w:type="dxa"/>
            <w:tcBorders>
              <w:top w:val="nil"/>
              <w:left w:val="nil"/>
              <w:bottom w:val="single" w:sz="6" w:space="0" w:color="auto"/>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 xml:space="preserve"> 50</w:t>
            </w:r>
          </w:p>
        </w:tc>
        <w:tc>
          <w:tcPr>
            <w:tcW w:w="994" w:type="dxa"/>
            <w:tcBorders>
              <w:top w:val="nil"/>
              <w:left w:val="nil"/>
              <w:bottom w:val="nil"/>
              <w:right w:val="nil"/>
            </w:tcBorders>
          </w:tcPr>
          <w:p w:rsidR="0028027B" w:rsidRPr="00DC1EE4" w:rsidRDefault="0028027B" w:rsidP="00C03F9E">
            <w:pPr>
              <w:pStyle w:val="TableofFigures"/>
            </w:pPr>
            <w:r w:rsidRPr="00DC1EE4">
              <w:t xml:space="preserve"> 50</w:t>
            </w:r>
          </w:p>
        </w:tc>
        <w:tc>
          <w:tcPr>
            <w:tcW w:w="1076" w:type="dxa"/>
            <w:tcBorders>
              <w:top w:val="nil"/>
              <w:left w:val="nil"/>
              <w:bottom w:val="nil"/>
              <w:right w:val="nil"/>
            </w:tcBorders>
          </w:tcPr>
          <w:p w:rsidR="0028027B" w:rsidRPr="00DC1EE4" w:rsidRDefault="0028027B" w:rsidP="00C03F9E">
            <w:pPr>
              <w:pStyle w:val="TableofFigures"/>
            </w:pPr>
            <w:r w:rsidRPr="00DC1EE4">
              <w:t xml:space="preserve"> 50</w:t>
            </w:r>
          </w:p>
        </w:tc>
      </w:tr>
      <w:tr w:rsidR="0028027B" w:rsidRPr="00DC1EE4" w:rsidTr="00C03F9E">
        <w:tc>
          <w:tcPr>
            <w:tcW w:w="1004"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128 983</w:t>
            </w:r>
          </w:p>
        </w:tc>
        <w:tc>
          <w:tcPr>
            <w:tcW w:w="108" w:type="dxa"/>
            <w:tcBorders>
              <w:top w:val="single" w:sz="6" w:space="0" w:color="auto"/>
              <w:left w:val="nil"/>
              <w:bottom w:val="single" w:sz="12" w:space="0" w:color="auto"/>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top w:val="single" w:sz="6" w:space="0" w:color="auto"/>
              <w:left w:val="nil"/>
              <w:bottom w:val="single" w:sz="12" w:space="0" w:color="auto"/>
              <w:right w:val="nil"/>
            </w:tcBorders>
          </w:tcPr>
          <w:p w:rsidR="0028027B" w:rsidRPr="00DC1EE4" w:rsidRDefault="0028027B" w:rsidP="00C03F9E">
            <w:pPr>
              <w:pStyle w:val="Tabletext"/>
              <w:rPr>
                <w:b/>
              </w:rPr>
            </w:pPr>
            <w:r w:rsidRPr="00DC1EE4">
              <w:rPr>
                <w:b/>
              </w:rPr>
              <w:t>Net worth</w:t>
            </w:r>
          </w:p>
        </w:tc>
        <w:tc>
          <w:tcPr>
            <w:tcW w:w="900" w:type="dxa"/>
            <w:tcBorders>
              <w:top w:val="single" w:sz="6" w:space="0" w:color="auto"/>
              <w:left w:val="nil"/>
              <w:bottom w:val="single" w:sz="12" w:space="0" w:color="auto"/>
              <w:right w:val="nil"/>
            </w:tcBorders>
          </w:tcPr>
          <w:p w:rsidR="0028027B" w:rsidRPr="00DC1EE4" w:rsidRDefault="0028027B" w:rsidP="00C03F9E">
            <w:pPr>
              <w:pStyle w:val="Tabletextcentred0"/>
              <w:rPr>
                <w:b/>
                <w:sz w:val="18"/>
              </w:rPr>
            </w:pPr>
            <w:r w:rsidRPr="00DC1EE4">
              <w:rPr>
                <w:b/>
                <w:sz w:val="18"/>
              </w:rPr>
              <w:t xml:space="preserve"> </w:t>
            </w:r>
          </w:p>
        </w:tc>
        <w:tc>
          <w:tcPr>
            <w:tcW w:w="900"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136 335</w:t>
            </w:r>
          </w:p>
        </w:tc>
        <w:tc>
          <w:tcPr>
            <w:tcW w:w="994"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134 796</w:t>
            </w:r>
          </w:p>
        </w:tc>
        <w:tc>
          <w:tcPr>
            <w:tcW w:w="1076"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144 427</w:t>
            </w:r>
          </w:p>
        </w:tc>
      </w:tr>
      <w:tr w:rsidR="0028027B" w:rsidRPr="00DC1EE4" w:rsidTr="00C03F9E">
        <w:trPr>
          <w:trHeight w:hRule="exact" w:val="120"/>
        </w:trPr>
        <w:tc>
          <w:tcPr>
            <w:tcW w:w="1004" w:type="dxa"/>
            <w:tcBorders>
              <w:top w:val="nil"/>
              <w:left w:val="nil"/>
              <w:bottom w:val="nil"/>
              <w:right w:val="nil"/>
            </w:tcBorders>
          </w:tcPr>
          <w:p w:rsidR="0028027B" w:rsidRPr="00DC1EE4" w:rsidRDefault="0028027B" w:rsidP="00C03F9E">
            <w:pPr>
              <w:pStyle w:val="TableofFigures"/>
              <w:rPr>
                <w:b/>
              </w:rPr>
            </w:pPr>
            <w:r w:rsidRPr="00DC1EE4">
              <w:t xml:space="preserve"> </w:t>
            </w:r>
          </w:p>
        </w:tc>
        <w:tc>
          <w:tcPr>
            <w:tcW w:w="108" w:type="dxa"/>
            <w:tcBorders>
              <w:top w:val="nil"/>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top w:val="nil"/>
              <w:left w:val="nil"/>
              <w:bottom w:val="nil"/>
              <w:right w:val="nil"/>
            </w:tcBorders>
          </w:tcPr>
          <w:p w:rsidR="0028027B" w:rsidRPr="00DC1EE4" w:rsidRDefault="0028027B" w:rsidP="00C03F9E">
            <w:pPr>
              <w:pStyle w:val="Tabletext"/>
              <w:rPr>
                <w:b/>
              </w:rPr>
            </w:pPr>
            <w:r w:rsidRPr="00DC1EE4">
              <w:rPr>
                <w:b/>
              </w:rPr>
              <w:t xml:space="preserve"> </w:t>
            </w:r>
          </w:p>
        </w:tc>
        <w:tc>
          <w:tcPr>
            <w:tcW w:w="900" w:type="dxa"/>
            <w:tcBorders>
              <w:top w:val="nil"/>
              <w:left w:val="nil"/>
              <w:bottom w:val="nil"/>
              <w:right w:val="nil"/>
            </w:tcBorders>
          </w:tcPr>
          <w:p w:rsidR="0028027B" w:rsidRPr="00DC1EE4" w:rsidRDefault="0028027B" w:rsidP="00C03F9E">
            <w:pPr>
              <w:pStyle w:val="Tabletextcentred0"/>
              <w:rPr>
                <w:b/>
                <w:sz w:val="18"/>
              </w:rPr>
            </w:pPr>
            <w:r w:rsidRPr="00DC1EE4">
              <w:rPr>
                <w:b/>
                <w:sz w:val="18"/>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t xml:space="preserve"> </w:t>
            </w:r>
          </w:p>
        </w:tc>
        <w:tc>
          <w:tcPr>
            <w:tcW w:w="994" w:type="dxa"/>
            <w:tcBorders>
              <w:top w:val="nil"/>
              <w:left w:val="nil"/>
              <w:bottom w:val="nil"/>
              <w:right w:val="nil"/>
            </w:tcBorders>
          </w:tcPr>
          <w:p w:rsidR="0028027B" w:rsidRPr="00DC1EE4" w:rsidRDefault="0028027B" w:rsidP="00C03F9E">
            <w:pPr>
              <w:pStyle w:val="TableofFigures"/>
              <w:rPr>
                <w:b/>
              </w:rPr>
            </w:pPr>
            <w:r w:rsidRPr="00DC1EE4">
              <w:t xml:space="preserve"> </w:t>
            </w:r>
          </w:p>
        </w:tc>
        <w:tc>
          <w:tcPr>
            <w:tcW w:w="1076" w:type="dxa"/>
            <w:tcBorders>
              <w:top w:val="nil"/>
              <w:left w:val="nil"/>
              <w:bottom w:val="nil"/>
              <w:right w:val="nil"/>
            </w:tcBorders>
          </w:tcPr>
          <w:p w:rsidR="0028027B" w:rsidRPr="00DC1EE4" w:rsidRDefault="0028027B" w:rsidP="00C03F9E">
            <w:pPr>
              <w:pStyle w:val="TableofFigures"/>
              <w:rPr>
                <w:b/>
              </w:rPr>
            </w:pPr>
            <w:r w:rsidRPr="00DC1EE4">
              <w:t xml:space="preserve"> </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rPr>
                <w:b/>
              </w:rPr>
            </w:pPr>
            <w:r w:rsidRPr="00DC1EE4">
              <w:t xml:space="preserve"> </w:t>
            </w:r>
          </w:p>
        </w:tc>
        <w:tc>
          <w:tcPr>
            <w:tcW w:w="108" w:type="dxa"/>
            <w:tcBorders>
              <w:top w:val="nil"/>
              <w:left w:val="nil"/>
              <w:bottom w:val="nil"/>
              <w:right w:val="nil"/>
            </w:tcBorders>
          </w:tcPr>
          <w:p w:rsidR="0028027B" w:rsidRPr="00DC1EE4" w:rsidRDefault="0028027B" w:rsidP="00C03F9E">
            <w:pPr>
              <w:pStyle w:val="TableofFigures"/>
              <w:spacing w:before="0" w:after="0"/>
              <w:rPr>
                <w:b/>
              </w:rPr>
            </w:pPr>
            <w:r w:rsidRPr="00DC1EE4">
              <w:rPr>
                <w:b/>
              </w:rPr>
              <w:t xml:space="preserve"> </w:t>
            </w:r>
          </w:p>
        </w:tc>
        <w:tc>
          <w:tcPr>
            <w:tcW w:w="5202" w:type="dxa"/>
            <w:tcBorders>
              <w:top w:val="nil"/>
              <w:left w:val="nil"/>
              <w:bottom w:val="nil"/>
              <w:right w:val="nil"/>
            </w:tcBorders>
          </w:tcPr>
          <w:p w:rsidR="0028027B" w:rsidRPr="00DC1EE4" w:rsidRDefault="0028027B" w:rsidP="00C03F9E">
            <w:pPr>
              <w:pStyle w:val="Tabletext"/>
              <w:rPr>
                <w:b/>
              </w:rPr>
            </w:pPr>
            <w:r w:rsidRPr="00DC1EE4">
              <w:rPr>
                <w:b/>
              </w:rPr>
              <w:t>FISCAL AGGREGATES</w:t>
            </w:r>
          </w:p>
        </w:tc>
        <w:tc>
          <w:tcPr>
            <w:tcW w:w="900" w:type="dxa"/>
            <w:tcBorders>
              <w:top w:val="nil"/>
              <w:left w:val="nil"/>
              <w:bottom w:val="nil"/>
              <w:right w:val="nil"/>
            </w:tcBorders>
          </w:tcPr>
          <w:p w:rsidR="0028027B" w:rsidRPr="00DC1EE4" w:rsidRDefault="0028027B" w:rsidP="00C03F9E">
            <w:pPr>
              <w:pStyle w:val="Tabletextcentred0"/>
              <w:rPr>
                <w:b/>
                <w:sz w:val="18"/>
              </w:rPr>
            </w:pPr>
            <w:r w:rsidRPr="00DC1EE4">
              <w:rPr>
                <w:b/>
                <w:sz w:val="18"/>
              </w:rPr>
              <w:t xml:space="preserve"> </w:t>
            </w:r>
          </w:p>
        </w:tc>
        <w:tc>
          <w:tcPr>
            <w:tcW w:w="900" w:type="dxa"/>
            <w:tcBorders>
              <w:top w:val="nil"/>
              <w:left w:val="nil"/>
              <w:bottom w:val="nil"/>
              <w:right w:val="nil"/>
            </w:tcBorders>
          </w:tcPr>
          <w:p w:rsidR="0028027B" w:rsidRPr="00DC1EE4" w:rsidRDefault="0028027B" w:rsidP="00C03F9E">
            <w:pPr>
              <w:pStyle w:val="TableofFigures"/>
              <w:rPr>
                <w:b/>
              </w:rPr>
            </w:pPr>
            <w:r w:rsidRPr="00DC1EE4">
              <w:t xml:space="preserve"> </w:t>
            </w:r>
          </w:p>
        </w:tc>
        <w:tc>
          <w:tcPr>
            <w:tcW w:w="994" w:type="dxa"/>
            <w:tcBorders>
              <w:top w:val="nil"/>
              <w:left w:val="nil"/>
              <w:bottom w:val="nil"/>
              <w:right w:val="nil"/>
            </w:tcBorders>
          </w:tcPr>
          <w:p w:rsidR="0028027B" w:rsidRPr="00DC1EE4" w:rsidRDefault="0028027B" w:rsidP="00C03F9E">
            <w:pPr>
              <w:pStyle w:val="TableofFigures"/>
              <w:rPr>
                <w:b/>
              </w:rPr>
            </w:pPr>
            <w:r w:rsidRPr="00DC1EE4">
              <w:t xml:space="preserve"> </w:t>
            </w:r>
          </w:p>
        </w:tc>
        <w:tc>
          <w:tcPr>
            <w:tcW w:w="1076" w:type="dxa"/>
            <w:tcBorders>
              <w:top w:val="nil"/>
              <w:left w:val="nil"/>
              <w:bottom w:val="nil"/>
              <w:right w:val="nil"/>
            </w:tcBorders>
          </w:tcPr>
          <w:p w:rsidR="0028027B" w:rsidRPr="00DC1EE4" w:rsidRDefault="0028027B" w:rsidP="00C03F9E">
            <w:pPr>
              <w:pStyle w:val="TableofFigures"/>
              <w:rPr>
                <w:b/>
              </w:rPr>
            </w:pPr>
            <w:r w:rsidRPr="00DC1EE4">
              <w:t xml:space="preserve"> </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22 263</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Net financial worth</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27 390</w:t>
            </w:r>
          </w:p>
        </w:tc>
        <w:tc>
          <w:tcPr>
            <w:tcW w:w="994" w:type="dxa"/>
            <w:tcBorders>
              <w:top w:val="nil"/>
              <w:left w:val="nil"/>
              <w:bottom w:val="nil"/>
              <w:right w:val="nil"/>
            </w:tcBorders>
          </w:tcPr>
          <w:p w:rsidR="0028027B" w:rsidRPr="00DC1EE4" w:rsidRDefault="0028027B" w:rsidP="00C03F9E">
            <w:pPr>
              <w:pStyle w:val="TableofFigures"/>
            </w:pPr>
            <w:r w:rsidRPr="00DC1EE4">
              <w:t>25 739</w:t>
            </w:r>
          </w:p>
        </w:tc>
        <w:tc>
          <w:tcPr>
            <w:tcW w:w="1076" w:type="dxa"/>
            <w:tcBorders>
              <w:top w:val="nil"/>
              <w:left w:val="nil"/>
              <w:bottom w:val="nil"/>
              <w:right w:val="nil"/>
            </w:tcBorders>
          </w:tcPr>
          <w:p w:rsidR="0028027B" w:rsidRPr="00DC1EE4" w:rsidRDefault="0028027B" w:rsidP="00C03F9E">
            <w:pPr>
              <w:pStyle w:val="TableofFigures"/>
            </w:pPr>
            <w:r w:rsidRPr="00DC1EE4">
              <w:t>33 394</w:t>
            </w:r>
          </w:p>
        </w:tc>
      </w:tr>
      <w:tr w:rsidR="0028027B" w:rsidRPr="00DC1EE4" w:rsidTr="00C03F9E">
        <w:tc>
          <w:tcPr>
            <w:tcW w:w="1004" w:type="dxa"/>
            <w:tcBorders>
              <w:top w:val="nil"/>
              <w:left w:val="nil"/>
              <w:bottom w:val="nil"/>
              <w:right w:val="nil"/>
            </w:tcBorders>
          </w:tcPr>
          <w:p w:rsidR="0028027B" w:rsidRPr="00DC1EE4" w:rsidRDefault="0028027B" w:rsidP="00C03F9E">
            <w:pPr>
              <w:pStyle w:val="TableofFigures"/>
            </w:pPr>
            <w:r w:rsidRPr="00DC1EE4">
              <w:t>53 613</w:t>
            </w:r>
          </w:p>
        </w:tc>
        <w:tc>
          <w:tcPr>
            <w:tcW w:w="108" w:type="dxa"/>
            <w:tcBorders>
              <w:top w:val="nil"/>
              <w:left w:val="nil"/>
              <w:bottom w:val="nil"/>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nil"/>
              <w:right w:val="nil"/>
            </w:tcBorders>
          </w:tcPr>
          <w:p w:rsidR="0028027B" w:rsidRPr="00DC1EE4" w:rsidRDefault="0028027B" w:rsidP="00C03F9E">
            <w:pPr>
              <w:pStyle w:val="Tabletext"/>
            </w:pPr>
            <w:r w:rsidRPr="00DC1EE4">
              <w:t>Net financial liabilities</w:t>
            </w:r>
          </w:p>
        </w:tc>
        <w:tc>
          <w:tcPr>
            <w:tcW w:w="900" w:type="dxa"/>
            <w:tcBorders>
              <w:top w:val="nil"/>
              <w:left w:val="nil"/>
              <w:bottom w:val="nil"/>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nil"/>
              <w:right w:val="nil"/>
            </w:tcBorders>
          </w:tcPr>
          <w:p w:rsidR="0028027B" w:rsidRPr="00DC1EE4" w:rsidRDefault="0028027B" w:rsidP="00C03F9E">
            <w:pPr>
              <w:pStyle w:val="TableofFigures"/>
            </w:pPr>
            <w:r w:rsidRPr="00DC1EE4">
              <w:t>54 791</w:t>
            </w:r>
          </w:p>
        </w:tc>
        <w:tc>
          <w:tcPr>
            <w:tcW w:w="994" w:type="dxa"/>
            <w:tcBorders>
              <w:top w:val="nil"/>
              <w:left w:val="nil"/>
              <w:bottom w:val="nil"/>
              <w:right w:val="nil"/>
            </w:tcBorders>
          </w:tcPr>
          <w:p w:rsidR="0028027B" w:rsidRPr="00DC1EE4" w:rsidRDefault="0028027B" w:rsidP="00C03F9E">
            <w:pPr>
              <w:pStyle w:val="TableofFigures"/>
            </w:pPr>
            <w:r w:rsidRPr="00DC1EE4">
              <w:t>56 728</w:t>
            </w:r>
          </w:p>
        </w:tc>
        <w:tc>
          <w:tcPr>
            <w:tcW w:w="1076" w:type="dxa"/>
            <w:tcBorders>
              <w:top w:val="nil"/>
              <w:left w:val="nil"/>
              <w:bottom w:val="nil"/>
              <w:right w:val="nil"/>
            </w:tcBorders>
          </w:tcPr>
          <w:p w:rsidR="0028027B" w:rsidRPr="00DC1EE4" w:rsidRDefault="0028027B" w:rsidP="00C03F9E">
            <w:pPr>
              <w:pStyle w:val="TableofFigures"/>
            </w:pPr>
            <w:r w:rsidRPr="00DC1EE4">
              <w:t>49 038</w:t>
            </w:r>
          </w:p>
        </w:tc>
      </w:tr>
      <w:tr w:rsidR="0028027B" w:rsidRPr="00DC1EE4" w:rsidTr="00C03F9E">
        <w:tc>
          <w:tcPr>
            <w:tcW w:w="1004" w:type="dxa"/>
            <w:tcBorders>
              <w:top w:val="nil"/>
              <w:left w:val="nil"/>
              <w:bottom w:val="single" w:sz="12" w:space="0" w:color="auto"/>
              <w:right w:val="nil"/>
            </w:tcBorders>
          </w:tcPr>
          <w:p w:rsidR="0028027B" w:rsidRPr="00DC1EE4" w:rsidRDefault="0028027B" w:rsidP="00C03F9E">
            <w:pPr>
              <w:pStyle w:val="TableofFigures"/>
            </w:pPr>
            <w:r w:rsidRPr="00DC1EE4">
              <w:t>21 471</w:t>
            </w:r>
          </w:p>
        </w:tc>
        <w:tc>
          <w:tcPr>
            <w:tcW w:w="108" w:type="dxa"/>
            <w:tcBorders>
              <w:top w:val="nil"/>
              <w:left w:val="nil"/>
              <w:bottom w:val="single" w:sz="12" w:space="0" w:color="auto"/>
              <w:right w:val="nil"/>
            </w:tcBorders>
          </w:tcPr>
          <w:p w:rsidR="0028027B" w:rsidRPr="00DC1EE4" w:rsidRDefault="0028027B" w:rsidP="00C03F9E">
            <w:pPr>
              <w:pStyle w:val="TableofFigures"/>
              <w:spacing w:before="0" w:after="0"/>
            </w:pPr>
            <w:r w:rsidRPr="00DC1EE4">
              <w:t xml:space="preserve"> </w:t>
            </w:r>
          </w:p>
        </w:tc>
        <w:tc>
          <w:tcPr>
            <w:tcW w:w="5202" w:type="dxa"/>
            <w:tcBorders>
              <w:top w:val="nil"/>
              <w:left w:val="nil"/>
              <w:bottom w:val="single" w:sz="12" w:space="0" w:color="auto"/>
              <w:right w:val="nil"/>
            </w:tcBorders>
          </w:tcPr>
          <w:p w:rsidR="0028027B" w:rsidRPr="00DC1EE4" w:rsidRDefault="0028027B" w:rsidP="00C03F9E">
            <w:pPr>
              <w:pStyle w:val="Tabletext"/>
            </w:pPr>
            <w:r w:rsidRPr="00DC1EE4">
              <w:t>Net debt</w:t>
            </w:r>
          </w:p>
        </w:tc>
        <w:tc>
          <w:tcPr>
            <w:tcW w:w="900" w:type="dxa"/>
            <w:tcBorders>
              <w:top w:val="nil"/>
              <w:left w:val="nil"/>
              <w:bottom w:val="single" w:sz="12" w:space="0" w:color="auto"/>
              <w:right w:val="nil"/>
            </w:tcBorders>
          </w:tcPr>
          <w:p w:rsidR="0028027B" w:rsidRPr="00DC1EE4" w:rsidRDefault="0028027B" w:rsidP="00C03F9E">
            <w:pPr>
              <w:pStyle w:val="Tabletextcentred0"/>
              <w:rPr>
                <w:sz w:val="18"/>
              </w:rPr>
            </w:pPr>
            <w:r w:rsidRPr="00DC1EE4">
              <w:rPr>
                <w:sz w:val="18"/>
              </w:rPr>
              <w:t xml:space="preserve"> </w:t>
            </w:r>
          </w:p>
        </w:tc>
        <w:tc>
          <w:tcPr>
            <w:tcW w:w="900" w:type="dxa"/>
            <w:tcBorders>
              <w:top w:val="nil"/>
              <w:left w:val="nil"/>
              <w:bottom w:val="single" w:sz="12" w:space="0" w:color="auto"/>
              <w:right w:val="nil"/>
            </w:tcBorders>
          </w:tcPr>
          <w:p w:rsidR="0028027B" w:rsidRPr="00DC1EE4" w:rsidRDefault="0028027B" w:rsidP="00C03F9E">
            <w:pPr>
              <w:pStyle w:val="TableofFigures"/>
            </w:pPr>
            <w:r w:rsidRPr="00DC1EE4">
              <w:t>22 327</w:t>
            </w:r>
          </w:p>
        </w:tc>
        <w:tc>
          <w:tcPr>
            <w:tcW w:w="994" w:type="dxa"/>
            <w:tcBorders>
              <w:top w:val="nil"/>
              <w:left w:val="nil"/>
              <w:bottom w:val="single" w:sz="12" w:space="0" w:color="auto"/>
              <w:right w:val="nil"/>
            </w:tcBorders>
          </w:tcPr>
          <w:p w:rsidR="0028027B" w:rsidRPr="00DC1EE4" w:rsidRDefault="0028027B" w:rsidP="00C03F9E">
            <w:pPr>
              <w:pStyle w:val="TableofFigures"/>
            </w:pPr>
            <w:r w:rsidRPr="00DC1EE4">
              <w:t>23 000</w:t>
            </w:r>
          </w:p>
        </w:tc>
        <w:tc>
          <w:tcPr>
            <w:tcW w:w="1076" w:type="dxa"/>
            <w:tcBorders>
              <w:top w:val="nil"/>
              <w:left w:val="nil"/>
              <w:bottom w:val="single" w:sz="12" w:space="0" w:color="auto"/>
              <w:right w:val="nil"/>
            </w:tcBorders>
          </w:tcPr>
          <w:p w:rsidR="0028027B" w:rsidRPr="00DC1EE4" w:rsidRDefault="0028027B" w:rsidP="00C03F9E">
            <w:pPr>
              <w:pStyle w:val="TableofFigures"/>
            </w:pPr>
            <w:r w:rsidRPr="00DC1EE4">
              <w:t>17 986</w:t>
            </w:r>
          </w:p>
        </w:tc>
      </w:tr>
    </w:tbl>
    <w:p w:rsidR="0028027B" w:rsidRPr="00DC1EE4" w:rsidRDefault="0028027B" w:rsidP="0028027B">
      <w:pPr>
        <w:pStyle w:val="SmallLine"/>
      </w:pPr>
    </w:p>
    <w:p w:rsidR="0028027B" w:rsidRPr="00DC1EE4" w:rsidRDefault="0028027B" w:rsidP="0028027B">
      <w:pPr>
        <w:pStyle w:val="Source"/>
      </w:pPr>
      <w:r w:rsidRPr="00DC1EE4">
        <w:t>The accompanying notes form part of these financial statements.</w:t>
      </w:r>
    </w:p>
    <w:p w:rsidR="0028027B" w:rsidRPr="00DC1EE4" w:rsidRDefault="0028027B" w:rsidP="0028027B">
      <w:pPr>
        <w:pStyle w:val="Notes"/>
      </w:pPr>
      <w:r w:rsidRPr="00DC1EE4">
        <w:t>Notes:</w:t>
      </w:r>
    </w:p>
    <w:p w:rsidR="0028027B" w:rsidRPr="00DC1EE4" w:rsidRDefault="0028027B" w:rsidP="0028027B">
      <w:pPr>
        <w:pStyle w:val="Notes"/>
      </w:pPr>
      <w:r w:rsidRPr="00DC1EE4">
        <w:t>(a)</w:t>
      </w:r>
      <w:r w:rsidRPr="00DC1EE4">
        <w:tab/>
      </w:r>
      <w:r w:rsidRPr="00DC1EE4">
        <w:tab/>
        <w:t>September 2014</w:t>
      </w:r>
      <w:r w:rsidR="005A4BB0">
        <w:noBreakHyphen/>
      </w:r>
      <w:r w:rsidRPr="00DC1EE4">
        <w:t>15 comparative figures have been restated to reflect more current information.</w:t>
      </w:r>
    </w:p>
    <w:p w:rsidR="0028027B" w:rsidRPr="00DC1EE4" w:rsidRDefault="0028027B" w:rsidP="0028027B">
      <w:pPr>
        <w:pStyle w:val="Notes"/>
      </w:pPr>
      <w:r w:rsidRPr="00DC1EE4">
        <w:t>(b)</w:t>
      </w:r>
      <w:r w:rsidRPr="00DC1EE4">
        <w:tab/>
        <w:t>Balances represent actual opening balances at 1 July 2015 plus 2015</w:t>
      </w:r>
      <w:r w:rsidR="005A4BB0">
        <w:noBreakHyphen/>
      </w:r>
      <w:r w:rsidRPr="00DC1EE4">
        <w:t>16 budgeted movements.</w:t>
      </w:r>
    </w:p>
    <w:p w:rsidR="0028027B" w:rsidRPr="00DC1EE4" w:rsidRDefault="0028027B" w:rsidP="00E348C3">
      <w:pPr>
        <w:pStyle w:val="Tableheading"/>
      </w:pPr>
      <w:r w:rsidRPr="00DC1EE4">
        <w:t xml:space="preserve"> </w:t>
      </w:r>
      <w:r w:rsidRPr="00DC1EE4">
        <w:br w:type="page"/>
      </w:r>
    </w:p>
    <w:p w:rsidR="0028027B" w:rsidRPr="00DC1EE4" w:rsidRDefault="0028027B" w:rsidP="00E348C3">
      <w:pPr>
        <w:pStyle w:val="Tableheading"/>
      </w:pPr>
      <w:bookmarkStart w:id="698" w:name="_Toc213813356"/>
      <w:r w:rsidRPr="00DC1EE4">
        <w:t>Table 1.7:</w:t>
      </w:r>
      <w:r w:rsidRPr="00DC1EE4">
        <w:tab/>
        <w:t>Consolidated cash flow statement for the period ended 30 September</w:t>
      </w:r>
      <w:bookmarkEnd w:id="698"/>
    </w:p>
    <w:p w:rsidR="0028027B" w:rsidRPr="00DC1EE4" w:rsidRDefault="0028027B" w:rsidP="0028027B">
      <w:pPr>
        <w:pStyle w:val="million"/>
      </w:pPr>
      <w:r w:rsidRPr="00DC1EE4">
        <w:t>($ million)</w:t>
      </w:r>
    </w:p>
    <w:tbl>
      <w:tblPr>
        <w:tblW w:w="10220" w:type="dxa"/>
        <w:tblInd w:w="29" w:type="dxa"/>
        <w:tblLayout w:type="fixed"/>
        <w:tblCellMar>
          <w:left w:w="43" w:type="dxa"/>
          <w:right w:w="43" w:type="dxa"/>
        </w:tblCellMar>
        <w:tblLook w:val="0000" w:firstRow="0" w:lastRow="0" w:firstColumn="0" w:lastColumn="0" w:noHBand="0" w:noVBand="0"/>
      </w:tblPr>
      <w:tblGrid>
        <w:gridCol w:w="1007"/>
        <w:gridCol w:w="141"/>
        <w:gridCol w:w="6066"/>
        <w:gridCol w:w="900"/>
        <w:gridCol w:w="990"/>
        <w:gridCol w:w="540"/>
        <w:gridCol w:w="576"/>
      </w:tblGrid>
      <w:tr w:rsidR="0028027B" w:rsidRPr="00DC1EE4" w:rsidTr="00C03F9E">
        <w:trPr>
          <w:trHeight w:val="220"/>
          <w:tblHeader/>
        </w:trPr>
        <w:tc>
          <w:tcPr>
            <w:tcW w:w="1007" w:type="dxa"/>
            <w:tcBorders>
              <w:top w:val="single" w:sz="6" w:space="0" w:color="auto"/>
              <w:left w:val="single" w:sz="6" w:space="0" w:color="auto"/>
            </w:tcBorders>
            <w:shd w:val="clear" w:color="auto" w:fill="000000"/>
          </w:tcPr>
          <w:p w:rsidR="0028027B" w:rsidRPr="00DC1EE4" w:rsidRDefault="0028027B" w:rsidP="00C03F9E">
            <w:pPr>
              <w:pStyle w:val="Tabletextheading"/>
            </w:pPr>
            <w:r w:rsidRPr="00DC1EE4">
              <w:t>2014</w:t>
            </w:r>
            <w:r w:rsidR="005A4BB0">
              <w:noBreakHyphen/>
            </w:r>
            <w:r w:rsidRPr="00DC1EE4">
              <w:t>15</w:t>
            </w:r>
          </w:p>
        </w:tc>
        <w:tc>
          <w:tcPr>
            <w:tcW w:w="141" w:type="dxa"/>
            <w:tcBorders>
              <w:top w:val="single" w:sz="6" w:space="0" w:color="auto"/>
            </w:tcBorders>
            <w:shd w:val="clear" w:color="auto" w:fill="000000"/>
          </w:tcPr>
          <w:p w:rsidR="0028027B" w:rsidRPr="00DC1EE4" w:rsidRDefault="0028027B" w:rsidP="00C03F9E">
            <w:pPr>
              <w:spacing w:before="0"/>
              <w:jc w:val="right"/>
            </w:pPr>
            <w:r w:rsidRPr="00DC1EE4">
              <w:t xml:space="preserve"> </w:t>
            </w:r>
          </w:p>
        </w:tc>
        <w:tc>
          <w:tcPr>
            <w:tcW w:w="6066" w:type="dxa"/>
            <w:tcBorders>
              <w:top w:val="single" w:sz="6" w:space="0" w:color="auto"/>
            </w:tcBorders>
            <w:shd w:val="clear" w:color="auto" w:fill="000000"/>
          </w:tcPr>
          <w:p w:rsidR="0028027B" w:rsidRPr="00DC1EE4" w:rsidRDefault="0028027B" w:rsidP="00C03F9E">
            <w:pPr>
              <w:pStyle w:val="TabletextheadingLeft"/>
            </w:pPr>
            <w:r w:rsidRPr="00DC1EE4">
              <w:t xml:space="preserve"> </w:t>
            </w:r>
          </w:p>
        </w:tc>
        <w:tc>
          <w:tcPr>
            <w:tcW w:w="900" w:type="dxa"/>
            <w:tcBorders>
              <w:top w:val="single" w:sz="6" w:space="0" w:color="auto"/>
            </w:tcBorders>
            <w:shd w:val="clear" w:color="auto" w:fill="000000"/>
          </w:tcPr>
          <w:p w:rsidR="0028027B" w:rsidRPr="00DC1EE4" w:rsidRDefault="0028027B" w:rsidP="00C03F9E">
            <w:pPr>
              <w:pStyle w:val="TabletextheadingCentred"/>
            </w:pPr>
            <w:r w:rsidRPr="00DC1EE4">
              <w:t xml:space="preserve"> </w:t>
            </w:r>
          </w:p>
        </w:tc>
        <w:tc>
          <w:tcPr>
            <w:tcW w:w="1530" w:type="dxa"/>
            <w:gridSpan w:val="2"/>
            <w:tcBorders>
              <w:top w:val="single" w:sz="6" w:space="0" w:color="auto"/>
            </w:tcBorders>
            <w:shd w:val="clear" w:color="auto" w:fill="000000"/>
          </w:tcPr>
          <w:p w:rsidR="0028027B" w:rsidRPr="00DC1EE4" w:rsidRDefault="0028027B" w:rsidP="00C03F9E">
            <w:pPr>
              <w:pStyle w:val="Tabletextheading"/>
            </w:pPr>
            <w:r w:rsidRPr="00DC1EE4">
              <w:t>2015</w:t>
            </w:r>
            <w:r w:rsidR="005A4BB0">
              <w:noBreakHyphen/>
            </w:r>
            <w:r w:rsidRPr="00DC1EE4">
              <w:t>16</w:t>
            </w:r>
          </w:p>
        </w:tc>
        <w:tc>
          <w:tcPr>
            <w:tcW w:w="576" w:type="dxa"/>
            <w:tcBorders>
              <w:top w:val="single" w:sz="6" w:space="0" w:color="auto"/>
              <w:right w:val="single" w:sz="6" w:space="0" w:color="auto"/>
            </w:tcBorders>
            <w:shd w:val="solid" w:color="000000" w:fill="auto"/>
          </w:tcPr>
          <w:p w:rsidR="0028027B" w:rsidRPr="00DC1EE4" w:rsidRDefault="0028027B" w:rsidP="00C03F9E">
            <w:pPr>
              <w:pStyle w:val="Tabletextheading"/>
            </w:pPr>
          </w:p>
        </w:tc>
      </w:tr>
      <w:tr w:rsidR="0028027B" w:rsidRPr="00DC1EE4" w:rsidTr="00C03F9E">
        <w:trPr>
          <w:trHeight w:val="220"/>
          <w:tblHeader/>
        </w:trPr>
        <w:tc>
          <w:tcPr>
            <w:tcW w:w="1007" w:type="dxa"/>
            <w:tcBorders>
              <w:left w:val="single" w:sz="6" w:space="0" w:color="auto"/>
              <w:bottom w:val="single" w:sz="6" w:space="0" w:color="auto"/>
              <w:right w:val="nil"/>
            </w:tcBorders>
            <w:shd w:val="solid" w:color="000000" w:fill="auto"/>
          </w:tcPr>
          <w:p w:rsidR="0028027B" w:rsidRPr="00DC1EE4" w:rsidRDefault="0028027B" w:rsidP="00C03F9E">
            <w:pPr>
              <w:pStyle w:val="Tabletextheading"/>
            </w:pPr>
            <w:r w:rsidRPr="00DC1EE4">
              <w:t>Actual</w:t>
            </w:r>
          </w:p>
          <w:p w:rsidR="0028027B" w:rsidRPr="00DC1EE4" w:rsidRDefault="0028027B" w:rsidP="00C03F9E">
            <w:pPr>
              <w:pStyle w:val="Tabletextheading"/>
            </w:pPr>
            <w:r w:rsidRPr="00DC1EE4">
              <w:t xml:space="preserve">to Sep </w:t>
            </w:r>
          </w:p>
        </w:tc>
        <w:tc>
          <w:tcPr>
            <w:tcW w:w="141" w:type="dxa"/>
            <w:tcBorders>
              <w:left w:val="nil"/>
              <w:bottom w:val="single" w:sz="6" w:space="0" w:color="auto"/>
              <w:right w:val="nil"/>
            </w:tcBorders>
            <w:shd w:val="solid" w:color="000000" w:fill="auto"/>
          </w:tcPr>
          <w:p w:rsidR="0028027B" w:rsidRPr="00DC1EE4" w:rsidRDefault="0028027B" w:rsidP="00C03F9E">
            <w:pPr>
              <w:spacing w:before="0"/>
              <w:jc w:val="right"/>
            </w:pPr>
            <w:r w:rsidRPr="00DC1EE4">
              <w:t xml:space="preserve"> </w:t>
            </w:r>
          </w:p>
        </w:tc>
        <w:tc>
          <w:tcPr>
            <w:tcW w:w="6066" w:type="dxa"/>
            <w:tcBorders>
              <w:left w:val="nil"/>
              <w:bottom w:val="single" w:sz="6" w:space="0" w:color="auto"/>
              <w:right w:val="nil"/>
            </w:tcBorders>
            <w:shd w:val="solid" w:color="000000" w:fill="auto"/>
          </w:tcPr>
          <w:p w:rsidR="0028027B" w:rsidRPr="00DC1EE4" w:rsidRDefault="0028027B" w:rsidP="00C03F9E">
            <w:pPr>
              <w:pStyle w:val="TabletextheadingLeft"/>
            </w:pPr>
            <w:r w:rsidRPr="00DC1EE4">
              <w:t xml:space="preserve"> </w:t>
            </w:r>
          </w:p>
        </w:tc>
        <w:tc>
          <w:tcPr>
            <w:tcW w:w="900" w:type="dxa"/>
            <w:tcBorders>
              <w:left w:val="nil"/>
              <w:bottom w:val="single" w:sz="6" w:space="0" w:color="auto"/>
              <w:right w:val="nil"/>
            </w:tcBorders>
            <w:shd w:val="solid" w:color="000000" w:fill="auto"/>
          </w:tcPr>
          <w:p w:rsidR="0028027B" w:rsidRPr="00DC1EE4" w:rsidRDefault="0028027B" w:rsidP="00C03F9E">
            <w:pPr>
              <w:pStyle w:val="TabletextheadingCentred"/>
            </w:pPr>
          </w:p>
          <w:p w:rsidR="0028027B" w:rsidRPr="00DC1EE4" w:rsidRDefault="0028027B" w:rsidP="00C03F9E">
            <w:pPr>
              <w:pStyle w:val="TabletextheadingCentred"/>
            </w:pPr>
            <w:r w:rsidRPr="00DC1EE4">
              <w:t>Notes</w:t>
            </w:r>
          </w:p>
        </w:tc>
        <w:tc>
          <w:tcPr>
            <w:tcW w:w="990" w:type="dxa"/>
            <w:tcBorders>
              <w:left w:val="nil"/>
              <w:bottom w:val="single" w:sz="6" w:space="0" w:color="auto"/>
              <w:right w:val="nil"/>
            </w:tcBorders>
            <w:shd w:val="solid" w:color="000000" w:fill="auto"/>
          </w:tcPr>
          <w:p w:rsidR="0028027B" w:rsidRPr="00DC1EE4" w:rsidRDefault="0028027B" w:rsidP="00C03F9E">
            <w:pPr>
              <w:pStyle w:val="Tabletextheading"/>
            </w:pPr>
            <w:r w:rsidRPr="00DC1EE4">
              <w:t>Actual</w:t>
            </w:r>
          </w:p>
          <w:p w:rsidR="0028027B" w:rsidRPr="00DC1EE4" w:rsidRDefault="0028027B" w:rsidP="00C03F9E">
            <w:pPr>
              <w:pStyle w:val="Tabletextheading"/>
            </w:pPr>
            <w:r w:rsidRPr="00DC1EE4">
              <w:t>to Sep</w:t>
            </w:r>
          </w:p>
        </w:tc>
        <w:tc>
          <w:tcPr>
            <w:tcW w:w="1116" w:type="dxa"/>
            <w:gridSpan w:val="2"/>
            <w:tcBorders>
              <w:left w:val="nil"/>
              <w:bottom w:val="single" w:sz="6" w:space="0" w:color="auto"/>
              <w:right w:val="single" w:sz="6" w:space="0" w:color="auto"/>
            </w:tcBorders>
            <w:shd w:val="solid" w:color="000000" w:fill="auto"/>
          </w:tcPr>
          <w:p w:rsidR="0028027B" w:rsidRPr="00DC1EE4" w:rsidRDefault="0028027B" w:rsidP="00C03F9E">
            <w:pPr>
              <w:pStyle w:val="Tabletextheading"/>
            </w:pPr>
            <w:r w:rsidRPr="00DC1EE4">
              <w:t>Annual Budget</w:t>
            </w:r>
          </w:p>
        </w:tc>
      </w:tr>
      <w:tr w:rsidR="0028027B" w:rsidRPr="00DC1EE4" w:rsidTr="00C03F9E">
        <w:trPr>
          <w:trHeight w:val="220"/>
        </w:trPr>
        <w:tc>
          <w:tcPr>
            <w:tcW w:w="1007"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141" w:type="dxa"/>
            <w:tcBorders>
              <w:top w:val="nil"/>
              <w:left w:val="nil"/>
              <w:bottom w:val="nil"/>
              <w:right w:val="nil"/>
            </w:tcBorders>
          </w:tcPr>
          <w:p w:rsidR="0028027B" w:rsidRPr="00DC1EE4" w:rsidRDefault="0028027B" w:rsidP="00C03F9E">
            <w:pPr>
              <w:spacing w:before="0"/>
              <w:jc w:val="right"/>
              <w:rPr>
                <w:b/>
              </w:rPr>
            </w:pPr>
            <w:r w:rsidRPr="00DC1EE4">
              <w:rPr>
                <w:b/>
              </w:rPr>
              <w:t xml:space="preserve"> </w:t>
            </w:r>
          </w:p>
        </w:tc>
        <w:tc>
          <w:tcPr>
            <w:tcW w:w="6066" w:type="dxa"/>
            <w:tcBorders>
              <w:top w:val="nil"/>
              <w:left w:val="nil"/>
              <w:bottom w:val="nil"/>
              <w:right w:val="nil"/>
            </w:tcBorders>
          </w:tcPr>
          <w:p w:rsidR="0028027B" w:rsidRPr="00DC1EE4" w:rsidRDefault="0028027B" w:rsidP="00C03F9E">
            <w:pPr>
              <w:pStyle w:val="Tabletext"/>
              <w:rPr>
                <w:b/>
              </w:rPr>
            </w:pPr>
            <w:r w:rsidRPr="00DC1EE4">
              <w:rPr>
                <w:b/>
              </w:rPr>
              <w:t>Cash flows from operating activities</w:t>
            </w:r>
          </w:p>
        </w:tc>
        <w:tc>
          <w:tcPr>
            <w:tcW w:w="900" w:type="dxa"/>
            <w:tcBorders>
              <w:top w:val="nil"/>
              <w:left w:val="nil"/>
              <w:bottom w:val="nil"/>
              <w:right w:val="nil"/>
            </w:tcBorders>
          </w:tcPr>
          <w:p w:rsidR="0028027B" w:rsidRPr="00DC1EE4" w:rsidRDefault="0028027B" w:rsidP="00C03F9E">
            <w:pPr>
              <w:pStyle w:val="TableTextCentred"/>
              <w:rPr>
                <w:b/>
              </w:rPr>
            </w:pPr>
            <w:r w:rsidRPr="00DC1EE4">
              <w:rPr>
                <w:b/>
              </w:rPr>
              <w:t xml:space="preserve"> </w:t>
            </w:r>
          </w:p>
        </w:tc>
        <w:tc>
          <w:tcPr>
            <w:tcW w:w="990" w:type="dxa"/>
            <w:tcBorders>
              <w:top w:val="nil"/>
              <w:left w:val="nil"/>
              <w:bottom w:val="nil"/>
              <w:right w:val="nil"/>
            </w:tcBorders>
          </w:tcPr>
          <w:p w:rsidR="0028027B" w:rsidRPr="00DC1EE4" w:rsidRDefault="005A4BB0" w:rsidP="00C03F9E">
            <w:pPr>
              <w:pStyle w:val="TableofFigures"/>
              <w:rPr>
                <w:b/>
              </w:rPr>
            </w:pPr>
            <w:r>
              <w:rPr>
                <w:b/>
              </w:rPr>
              <w:t xml:space="preserve"> </w:t>
            </w:r>
          </w:p>
        </w:tc>
        <w:tc>
          <w:tcPr>
            <w:tcW w:w="1116" w:type="dxa"/>
            <w:gridSpan w:val="2"/>
            <w:tcBorders>
              <w:top w:val="nil"/>
              <w:left w:val="nil"/>
              <w:bottom w:val="nil"/>
              <w:right w:val="nil"/>
            </w:tcBorders>
          </w:tcPr>
          <w:p w:rsidR="0028027B" w:rsidRPr="00DC1EE4" w:rsidRDefault="005A4BB0" w:rsidP="00C03F9E">
            <w:pPr>
              <w:pStyle w:val="TableofFigures"/>
              <w:rPr>
                <w:b/>
              </w:rPr>
            </w:pPr>
            <w:r>
              <w:rPr>
                <w:b/>
              </w:rPr>
              <w:t xml:space="preserve"> </w:t>
            </w:r>
          </w:p>
        </w:tc>
      </w:tr>
      <w:tr w:rsidR="0028027B" w:rsidRPr="00DC1EE4" w:rsidTr="00C03F9E">
        <w:trPr>
          <w:trHeight w:val="220"/>
        </w:trPr>
        <w:tc>
          <w:tcPr>
            <w:tcW w:w="1007" w:type="dxa"/>
            <w:tcBorders>
              <w:top w:val="nil"/>
              <w:left w:val="nil"/>
              <w:bottom w:val="nil"/>
              <w:right w:val="nil"/>
            </w:tcBorders>
          </w:tcPr>
          <w:p w:rsidR="0028027B" w:rsidRPr="00DC1EE4" w:rsidRDefault="0028027B" w:rsidP="00C03F9E">
            <w:pPr>
              <w:pStyle w:val="TableofFigures"/>
              <w:rPr>
                <w:b/>
              </w:rPr>
            </w:pPr>
            <w:r w:rsidRPr="00DC1EE4">
              <w:rPr>
                <w:b/>
              </w:rPr>
              <w:t xml:space="preserve"> </w:t>
            </w:r>
          </w:p>
        </w:tc>
        <w:tc>
          <w:tcPr>
            <w:tcW w:w="141" w:type="dxa"/>
            <w:tcBorders>
              <w:top w:val="nil"/>
              <w:left w:val="nil"/>
              <w:bottom w:val="nil"/>
              <w:right w:val="nil"/>
            </w:tcBorders>
          </w:tcPr>
          <w:p w:rsidR="0028027B" w:rsidRPr="00DC1EE4" w:rsidRDefault="0028027B" w:rsidP="00C03F9E">
            <w:pPr>
              <w:spacing w:before="0"/>
              <w:jc w:val="right"/>
              <w:rPr>
                <w:b/>
              </w:rPr>
            </w:pPr>
            <w:r w:rsidRPr="00DC1EE4">
              <w:rPr>
                <w:b/>
              </w:rPr>
              <w:t xml:space="preserve"> </w:t>
            </w:r>
          </w:p>
        </w:tc>
        <w:tc>
          <w:tcPr>
            <w:tcW w:w="6066" w:type="dxa"/>
            <w:tcBorders>
              <w:top w:val="nil"/>
              <w:left w:val="nil"/>
              <w:bottom w:val="nil"/>
              <w:right w:val="nil"/>
            </w:tcBorders>
          </w:tcPr>
          <w:p w:rsidR="0028027B" w:rsidRPr="00DC1EE4" w:rsidRDefault="0028027B" w:rsidP="00C03F9E">
            <w:pPr>
              <w:pStyle w:val="Tabletext"/>
              <w:rPr>
                <w:b/>
              </w:rPr>
            </w:pPr>
            <w:r w:rsidRPr="00DC1EE4">
              <w:rPr>
                <w:b/>
              </w:rPr>
              <w:t>Receipts</w:t>
            </w:r>
          </w:p>
        </w:tc>
        <w:tc>
          <w:tcPr>
            <w:tcW w:w="900" w:type="dxa"/>
            <w:tcBorders>
              <w:top w:val="nil"/>
              <w:left w:val="nil"/>
              <w:bottom w:val="nil"/>
              <w:right w:val="nil"/>
            </w:tcBorders>
          </w:tcPr>
          <w:p w:rsidR="0028027B" w:rsidRPr="00DC1EE4" w:rsidRDefault="0028027B" w:rsidP="00C03F9E">
            <w:pPr>
              <w:pStyle w:val="TableTextCentred"/>
              <w:rPr>
                <w:b/>
              </w:rPr>
            </w:pPr>
            <w:r w:rsidRPr="00DC1EE4">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p>
        </w:tc>
        <w:tc>
          <w:tcPr>
            <w:tcW w:w="1116" w:type="dxa"/>
            <w:gridSpan w:val="2"/>
            <w:tcBorders>
              <w:top w:val="nil"/>
              <w:left w:val="nil"/>
              <w:bottom w:val="nil"/>
              <w:right w:val="nil"/>
            </w:tcBorders>
          </w:tcPr>
          <w:p w:rsidR="0028027B" w:rsidRPr="00DC1EE4" w:rsidRDefault="0028027B" w:rsidP="00C03F9E">
            <w:pPr>
              <w:pStyle w:val="TableofFigures"/>
              <w:rPr>
                <w:b/>
              </w:rPr>
            </w:pPr>
          </w:p>
        </w:tc>
      </w:tr>
      <w:tr w:rsidR="0028027B" w:rsidRPr="00DC1EE4" w:rsidTr="00C03F9E">
        <w:tc>
          <w:tcPr>
            <w:tcW w:w="1007" w:type="dxa"/>
            <w:tcBorders>
              <w:top w:val="nil"/>
              <w:left w:val="nil"/>
              <w:bottom w:val="nil"/>
              <w:right w:val="nil"/>
            </w:tcBorders>
            <w:vAlign w:val="bottom"/>
          </w:tcPr>
          <w:p w:rsidR="0028027B" w:rsidRPr="00DC1EE4" w:rsidRDefault="0028027B" w:rsidP="00C03F9E">
            <w:pPr>
              <w:pStyle w:val="TableofFigures"/>
            </w:pPr>
            <w:r w:rsidRPr="00DC1EE4">
              <w:t>4 586</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Taxes received</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4 887</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19 007</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5 664</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Grants</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6 008</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25 668</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1 805</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Sales of goods and services</w:t>
            </w:r>
            <w:r w:rsidRPr="00DC1EE4">
              <w:rPr>
                <w:vertAlign w:val="superscript"/>
              </w:rPr>
              <w:t>(a)</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1 782</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7 531</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 xml:space="preserve"> 194</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Interest received</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193</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 xml:space="preserve"> 812</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 xml:space="preserve"> 57</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Dividends and income tax equivalent and rate equivalent receipts</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49</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1 143</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 xml:space="preserve"> 412</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 xml:space="preserve">Other receipts </w:t>
            </w:r>
          </w:p>
        </w:tc>
        <w:tc>
          <w:tcPr>
            <w:tcW w:w="900" w:type="dxa"/>
            <w:tcBorders>
              <w:top w:val="nil"/>
              <w:left w:val="nil"/>
              <w:bottom w:val="single" w:sz="6" w:space="0" w:color="auto"/>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439</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1 741</w:t>
            </w:r>
          </w:p>
        </w:tc>
      </w:tr>
      <w:tr w:rsidR="0028027B" w:rsidRPr="00DC1EE4" w:rsidTr="00C03F9E">
        <w:trPr>
          <w:trHeight w:val="220"/>
        </w:trPr>
        <w:tc>
          <w:tcPr>
            <w:tcW w:w="1007" w:type="dxa"/>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12 718</w:t>
            </w:r>
          </w:p>
        </w:tc>
        <w:tc>
          <w:tcPr>
            <w:tcW w:w="141" w:type="dxa"/>
            <w:tcBorders>
              <w:top w:val="single" w:sz="6" w:space="0" w:color="auto"/>
              <w:left w:val="nil"/>
              <w:bottom w:val="nil"/>
              <w:right w:val="nil"/>
            </w:tcBorders>
          </w:tcPr>
          <w:p w:rsidR="0028027B" w:rsidRPr="00DC1EE4" w:rsidRDefault="0028027B" w:rsidP="00C03F9E">
            <w:pPr>
              <w:spacing w:before="0"/>
              <w:jc w:val="right"/>
              <w:rPr>
                <w:b/>
              </w:rPr>
            </w:pPr>
          </w:p>
        </w:tc>
        <w:tc>
          <w:tcPr>
            <w:tcW w:w="6066" w:type="dxa"/>
            <w:tcBorders>
              <w:top w:val="single" w:sz="6" w:space="0" w:color="auto"/>
              <w:left w:val="nil"/>
              <w:bottom w:val="nil"/>
              <w:right w:val="nil"/>
            </w:tcBorders>
          </w:tcPr>
          <w:p w:rsidR="0028027B" w:rsidRPr="00DC1EE4" w:rsidRDefault="0028027B" w:rsidP="00C03F9E">
            <w:pPr>
              <w:pStyle w:val="Tabletext"/>
              <w:rPr>
                <w:b/>
              </w:rPr>
            </w:pPr>
            <w:r w:rsidRPr="00DC1EE4">
              <w:rPr>
                <w:b/>
              </w:rPr>
              <w:t xml:space="preserve">Total receipts </w:t>
            </w:r>
          </w:p>
        </w:tc>
        <w:tc>
          <w:tcPr>
            <w:tcW w:w="900" w:type="dxa"/>
            <w:tcBorders>
              <w:top w:val="nil"/>
              <w:left w:val="nil"/>
              <w:bottom w:val="nil"/>
              <w:right w:val="nil"/>
            </w:tcBorders>
          </w:tcPr>
          <w:p w:rsidR="0028027B" w:rsidRPr="00DC1EE4" w:rsidRDefault="0028027B" w:rsidP="00C03F9E">
            <w:pPr>
              <w:pStyle w:val="TableTextCentred"/>
              <w:rPr>
                <w:b/>
              </w:rPr>
            </w:pPr>
            <w:r w:rsidRPr="00DC1EE4">
              <w:rPr>
                <w:b/>
              </w:rPr>
              <w:t xml:space="preserve"> </w:t>
            </w:r>
          </w:p>
        </w:tc>
        <w:tc>
          <w:tcPr>
            <w:tcW w:w="990" w:type="dxa"/>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13 359</w:t>
            </w:r>
          </w:p>
        </w:tc>
        <w:tc>
          <w:tcPr>
            <w:tcW w:w="1116" w:type="dxa"/>
            <w:gridSpan w:val="2"/>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55 904</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rPr>
                <w:b/>
              </w:rPr>
            </w:pPr>
          </w:p>
        </w:tc>
        <w:tc>
          <w:tcPr>
            <w:tcW w:w="141" w:type="dxa"/>
            <w:tcBorders>
              <w:top w:val="nil"/>
              <w:left w:val="nil"/>
              <w:bottom w:val="nil"/>
              <w:right w:val="nil"/>
            </w:tcBorders>
          </w:tcPr>
          <w:p w:rsidR="0028027B" w:rsidRPr="00DC1EE4" w:rsidRDefault="0028027B" w:rsidP="00C03F9E">
            <w:pPr>
              <w:spacing w:before="0"/>
              <w:jc w:val="right"/>
              <w:rPr>
                <w:b/>
              </w:rPr>
            </w:pPr>
          </w:p>
        </w:tc>
        <w:tc>
          <w:tcPr>
            <w:tcW w:w="6066" w:type="dxa"/>
            <w:tcBorders>
              <w:top w:val="nil"/>
              <w:left w:val="nil"/>
              <w:bottom w:val="nil"/>
              <w:right w:val="nil"/>
            </w:tcBorders>
          </w:tcPr>
          <w:p w:rsidR="0028027B" w:rsidRPr="00DC1EE4" w:rsidRDefault="0028027B" w:rsidP="00C03F9E">
            <w:pPr>
              <w:pStyle w:val="Tabletext"/>
              <w:rPr>
                <w:b/>
              </w:rPr>
            </w:pPr>
            <w:r w:rsidRPr="00DC1EE4">
              <w:rPr>
                <w:b/>
              </w:rPr>
              <w:t>Payments</w:t>
            </w:r>
          </w:p>
        </w:tc>
        <w:tc>
          <w:tcPr>
            <w:tcW w:w="900" w:type="dxa"/>
            <w:tcBorders>
              <w:top w:val="nil"/>
              <w:left w:val="nil"/>
              <w:bottom w:val="nil"/>
              <w:right w:val="nil"/>
            </w:tcBorders>
          </w:tcPr>
          <w:p w:rsidR="0028027B" w:rsidRPr="00DC1EE4" w:rsidRDefault="0028027B" w:rsidP="00C03F9E">
            <w:pPr>
              <w:pStyle w:val="TableTextCentred"/>
              <w:rPr>
                <w:b/>
              </w:rPr>
            </w:pPr>
            <w:r w:rsidRPr="00DC1EE4">
              <w:rPr>
                <w:b/>
              </w:rPr>
              <w:t xml:space="preserve"> </w:t>
            </w:r>
          </w:p>
        </w:tc>
        <w:tc>
          <w:tcPr>
            <w:tcW w:w="990" w:type="dxa"/>
            <w:tcBorders>
              <w:top w:val="nil"/>
              <w:left w:val="nil"/>
              <w:bottom w:val="nil"/>
              <w:right w:val="nil"/>
            </w:tcBorders>
            <w:vAlign w:val="bottom"/>
          </w:tcPr>
          <w:p w:rsidR="0028027B" w:rsidRPr="00DC1EE4" w:rsidRDefault="0028027B" w:rsidP="00C03F9E">
            <w:pPr>
              <w:pStyle w:val="TableofFigures"/>
              <w:rPr>
                <w:b/>
              </w:rPr>
            </w:pPr>
          </w:p>
        </w:tc>
        <w:tc>
          <w:tcPr>
            <w:tcW w:w="1116" w:type="dxa"/>
            <w:gridSpan w:val="2"/>
            <w:tcBorders>
              <w:top w:val="nil"/>
              <w:left w:val="nil"/>
              <w:bottom w:val="nil"/>
              <w:right w:val="nil"/>
            </w:tcBorders>
            <w:vAlign w:val="bottom"/>
          </w:tcPr>
          <w:p w:rsidR="0028027B" w:rsidRPr="00DC1EE4" w:rsidRDefault="0028027B" w:rsidP="00C03F9E">
            <w:pPr>
              <w:pStyle w:val="TableofFigures"/>
              <w:rPr>
                <w:b/>
              </w:rPr>
            </w:pP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 xml:space="preserve"> (4 313)</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Payments for employees</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(4 730)</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 xml:space="preserve"> (19 657)</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(692)</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Superannuation</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(773)</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 xml:space="preserve"> (2 969)</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(510)</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Interest paid</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(531)</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 xml:space="preserve"> (2 059)</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 xml:space="preserve"> (2 180)</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 xml:space="preserve">Grants and subsidies </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(2 185)</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 xml:space="preserve"> (8 748)</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 xml:space="preserve"> (4 515)</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Goods and services</w:t>
            </w:r>
            <w:r w:rsidRPr="00DC1EE4">
              <w:rPr>
                <w:vertAlign w:val="superscript"/>
              </w:rPr>
              <w:t>(a)</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(4 666)</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 xml:space="preserve"> (18 056)</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(176)</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single" w:sz="6" w:space="0" w:color="auto"/>
              <w:right w:val="nil"/>
            </w:tcBorders>
          </w:tcPr>
          <w:p w:rsidR="0028027B" w:rsidRPr="00DC1EE4" w:rsidRDefault="0028027B" w:rsidP="00C03F9E">
            <w:pPr>
              <w:pStyle w:val="Tabletext"/>
            </w:pPr>
            <w:r w:rsidRPr="00DC1EE4">
              <w:t>Other payments</w:t>
            </w:r>
          </w:p>
        </w:tc>
        <w:tc>
          <w:tcPr>
            <w:tcW w:w="900" w:type="dxa"/>
            <w:tcBorders>
              <w:top w:val="nil"/>
              <w:left w:val="nil"/>
              <w:bottom w:val="single" w:sz="6" w:space="0" w:color="auto"/>
              <w:right w:val="nil"/>
            </w:tcBorders>
            <w:shd w:val="solid" w:color="FFFFFF" w:fill="auto"/>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(194)</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(661)</w:t>
            </w:r>
          </w:p>
        </w:tc>
      </w:tr>
      <w:tr w:rsidR="0028027B" w:rsidRPr="00DC1EE4" w:rsidTr="00C03F9E">
        <w:trPr>
          <w:trHeight w:val="220"/>
        </w:trPr>
        <w:tc>
          <w:tcPr>
            <w:tcW w:w="1007" w:type="dxa"/>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 xml:space="preserve"> (12 386)</w:t>
            </w:r>
          </w:p>
        </w:tc>
        <w:tc>
          <w:tcPr>
            <w:tcW w:w="141" w:type="dxa"/>
            <w:tcBorders>
              <w:top w:val="single" w:sz="6" w:space="0" w:color="auto"/>
              <w:left w:val="nil"/>
              <w:bottom w:val="single" w:sz="6" w:space="0" w:color="auto"/>
              <w:right w:val="nil"/>
            </w:tcBorders>
          </w:tcPr>
          <w:p w:rsidR="0028027B" w:rsidRPr="00DC1EE4" w:rsidRDefault="0028027B" w:rsidP="00C03F9E">
            <w:pPr>
              <w:spacing w:before="0"/>
              <w:jc w:val="right"/>
              <w:rPr>
                <w:b/>
              </w:rPr>
            </w:pPr>
          </w:p>
        </w:tc>
        <w:tc>
          <w:tcPr>
            <w:tcW w:w="6066" w:type="dxa"/>
            <w:tcBorders>
              <w:top w:val="nil"/>
              <w:left w:val="nil"/>
              <w:bottom w:val="single" w:sz="6" w:space="0" w:color="auto"/>
              <w:right w:val="nil"/>
            </w:tcBorders>
          </w:tcPr>
          <w:p w:rsidR="0028027B" w:rsidRPr="00DC1EE4" w:rsidRDefault="0028027B" w:rsidP="00C03F9E">
            <w:pPr>
              <w:pStyle w:val="Tabletext"/>
              <w:rPr>
                <w:b/>
              </w:rPr>
            </w:pPr>
            <w:r w:rsidRPr="00DC1EE4">
              <w:rPr>
                <w:b/>
              </w:rPr>
              <w:t>Total payments</w:t>
            </w:r>
          </w:p>
        </w:tc>
        <w:tc>
          <w:tcPr>
            <w:tcW w:w="900" w:type="dxa"/>
            <w:tcBorders>
              <w:top w:val="nil"/>
              <w:left w:val="nil"/>
              <w:bottom w:val="single" w:sz="6" w:space="0" w:color="auto"/>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 xml:space="preserve"> (13 078)</w:t>
            </w:r>
          </w:p>
        </w:tc>
        <w:tc>
          <w:tcPr>
            <w:tcW w:w="1116" w:type="dxa"/>
            <w:gridSpan w:val="2"/>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 xml:space="preserve"> (52 149)</w:t>
            </w:r>
          </w:p>
        </w:tc>
      </w:tr>
      <w:tr w:rsidR="0028027B" w:rsidRPr="00DC1EE4" w:rsidTr="00C03F9E">
        <w:trPr>
          <w:trHeight w:val="220"/>
        </w:trPr>
        <w:tc>
          <w:tcPr>
            <w:tcW w:w="1007" w:type="dxa"/>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 xml:space="preserve"> 332</w:t>
            </w:r>
          </w:p>
        </w:tc>
        <w:tc>
          <w:tcPr>
            <w:tcW w:w="141" w:type="dxa"/>
            <w:tcBorders>
              <w:top w:val="single" w:sz="6" w:space="0" w:color="auto"/>
              <w:left w:val="nil"/>
              <w:bottom w:val="nil"/>
              <w:right w:val="nil"/>
            </w:tcBorders>
          </w:tcPr>
          <w:p w:rsidR="0028027B" w:rsidRPr="00DC1EE4" w:rsidRDefault="0028027B" w:rsidP="00C03F9E">
            <w:pPr>
              <w:spacing w:before="0"/>
              <w:jc w:val="right"/>
              <w:rPr>
                <w:b/>
              </w:rPr>
            </w:pPr>
          </w:p>
        </w:tc>
        <w:tc>
          <w:tcPr>
            <w:tcW w:w="6066" w:type="dxa"/>
            <w:tcBorders>
              <w:top w:val="single" w:sz="6" w:space="0" w:color="auto"/>
              <w:left w:val="nil"/>
              <w:bottom w:val="nil"/>
              <w:right w:val="nil"/>
            </w:tcBorders>
          </w:tcPr>
          <w:p w:rsidR="0028027B" w:rsidRPr="00DC1EE4" w:rsidRDefault="0028027B" w:rsidP="00C03F9E">
            <w:pPr>
              <w:pStyle w:val="Tabletext"/>
              <w:rPr>
                <w:b/>
              </w:rPr>
            </w:pPr>
            <w:r w:rsidRPr="00DC1EE4">
              <w:rPr>
                <w:b/>
              </w:rPr>
              <w:t xml:space="preserve">Net cash flows from operating activities </w:t>
            </w:r>
          </w:p>
        </w:tc>
        <w:tc>
          <w:tcPr>
            <w:tcW w:w="900" w:type="dxa"/>
            <w:tcBorders>
              <w:top w:val="nil"/>
              <w:left w:val="nil"/>
              <w:bottom w:val="nil"/>
              <w:right w:val="nil"/>
            </w:tcBorders>
            <w:shd w:val="solid" w:color="FFFFFF" w:fill="auto"/>
          </w:tcPr>
          <w:p w:rsidR="0028027B" w:rsidRPr="00DC1EE4" w:rsidRDefault="0028027B" w:rsidP="00C03F9E">
            <w:pPr>
              <w:pStyle w:val="TableTextCentred"/>
              <w:rPr>
                <w:b/>
              </w:rPr>
            </w:pPr>
            <w:r w:rsidRPr="00DC1EE4">
              <w:rPr>
                <w:b/>
              </w:rPr>
              <w:t>18b</w:t>
            </w:r>
          </w:p>
        </w:tc>
        <w:tc>
          <w:tcPr>
            <w:tcW w:w="990" w:type="dxa"/>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 xml:space="preserve"> 280</w:t>
            </w:r>
          </w:p>
        </w:tc>
        <w:tc>
          <w:tcPr>
            <w:tcW w:w="1116" w:type="dxa"/>
            <w:gridSpan w:val="2"/>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3 755</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rPr>
                <w:b/>
              </w:rPr>
            </w:pPr>
          </w:p>
        </w:tc>
        <w:tc>
          <w:tcPr>
            <w:tcW w:w="141" w:type="dxa"/>
            <w:tcBorders>
              <w:top w:val="nil"/>
              <w:left w:val="nil"/>
              <w:bottom w:val="nil"/>
              <w:right w:val="nil"/>
            </w:tcBorders>
          </w:tcPr>
          <w:p w:rsidR="0028027B" w:rsidRPr="00DC1EE4" w:rsidRDefault="0028027B" w:rsidP="00C03F9E">
            <w:pPr>
              <w:spacing w:before="0"/>
              <w:jc w:val="right"/>
              <w:rPr>
                <w:b/>
              </w:rPr>
            </w:pPr>
          </w:p>
        </w:tc>
        <w:tc>
          <w:tcPr>
            <w:tcW w:w="6066" w:type="dxa"/>
            <w:tcBorders>
              <w:top w:val="nil"/>
              <w:left w:val="nil"/>
              <w:bottom w:val="nil"/>
              <w:right w:val="nil"/>
            </w:tcBorders>
          </w:tcPr>
          <w:p w:rsidR="0028027B" w:rsidRPr="00DC1EE4" w:rsidRDefault="0028027B" w:rsidP="00C03F9E">
            <w:pPr>
              <w:pStyle w:val="Tabletext"/>
              <w:rPr>
                <w:b/>
              </w:rPr>
            </w:pPr>
            <w:r w:rsidRPr="00DC1EE4">
              <w:rPr>
                <w:b/>
              </w:rPr>
              <w:t>Cash flows from investing activities</w:t>
            </w:r>
          </w:p>
        </w:tc>
        <w:tc>
          <w:tcPr>
            <w:tcW w:w="900" w:type="dxa"/>
            <w:tcBorders>
              <w:top w:val="nil"/>
              <w:left w:val="nil"/>
              <w:bottom w:val="nil"/>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nil"/>
              <w:left w:val="nil"/>
              <w:bottom w:val="nil"/>
              <w:right w:val="nil"/>
            </w:tcBorders>
            <w:vAlign w:val="bottom"/>
          </w:tcPr>
          <w:p w:rsidR="0028027B" w:rsidRPr="00DC1EE4" w:rsidRDefault="0028027B" w:rsidP="00C03F9E">
            <w:pPr>
              <w:pStyle w:val="TableofFigures"/>
              <w:rPr>
                <w:b/>
              </w:rPr>
            </w:pPr>
          </w:p>
        </w:tc>
        <w:tc>
          <w:tcPr>
            <w:tcW w:w="1116" w:type="dxa"/>
            <w:gridSpan w:val="2"/>
            <w:tcBorders>
              <w:top w:val="nil"/>
              <w:left w:val="nil"/>
              <w:bottom w:val="nil"/>
              <w:right w:val="nil"/>
            </w:tcBorders>
            <w:vAlign w:val="bottom"/>
          </w:tcPr>
          <w:p w:rsidR="0028027B" w:rsidRPr="00DC1EE4" w:rsidRDefault="0028027B" w:rsidP="00C03F9E">
            <w:pPr>
              <w:pStyle w:val="TableofFigures"/>
              <w:rPr>
                <w:b/>
              </w:rPr>
            </w:pP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(887)</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right w:val="nil"/>
            </w:tcBorders>
          </w:tcPr>
          <w:p w:rsidR="0028027B" w:rsidRPr="00DC1EE4" w:rsidRDefault="0028027B" w:rsidP="00C03F9E">
            <w:pPr>
              <w:pStyle w:val="Tabletext"/>
            </w:pPr>
            <w:r w:rsidRPr="00DC1EE4">
              <w:t>Purchases of non</w:t>
            </w:r>
            <w:r w:rsidR="005A4BB0">
              <w:noBreakHyphen/>
            </w:r>
            <w:r w:rsidRPr="00DC1EE4">
              <w:t xml:space="preserve">financial assets </w:t>
            </w:r>
          </w:p>
        </w:tc>
        <w:tc>
          <w:tcPr>
            <w:tcW w:w="900" w:type="dxa"/>
            <w:tcBorders>
              <w:top w:val="nil"/>
              <w:left w:val="nil"/>
              <w:right w:val="nil"/>
            </w:tcBorders>
            <w:shd w:val="solid" w:color="FFFFFF" w:fill="auto"/>
          </w:tcPr>
          <w:p w:rsidR="0028027B" w:rsidRPr="00DC1EE4" w:rsidRDefault="0028027B" w:rsidP="00C03F9E">
            <w:pPr>
              <w:pStyle w:val="TableTextCentred"/>
            </w:pPr>
            <w:r w:rsidRPr="00DC1EE4">
              <w:t xml:space="preserve">15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(948)</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 xml:space="preserve"> (4 552)</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 xml:space="preserve"> 36</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single" w:sz="4" w:space="0" w:color="auto"/>
              <w:right w:val="nil"/>
            </w:tcBorders>
          </w:tcPr>
          <w:p w:rsidR="0028027B" w:rsidRPr="00DC1EE4" w:rsidRDefault="0028027B" w:rsidP="00C03F9E">
            <w:pPr>
              <w:pStyle w:val="Tabletext"/>
            </w:pPr>
            <w:r w:rsidRPr="00DC1EE4">
              <w:t>Sales of non</w:t>
            </w:r>
            <w:r w:rsidR="005A4BB0">
              <w:noBreakHyphen/>
            </w:r>
            <w:r w:rsidRPr="00DC1EE4">
              <w:t>financial assets</w:t>
            </w:r>
          </w:p>
        </w:tc>
        <w:tc>
          <w:tcPr>
            <w:tcW w:w="900" w:type="dxa"/>
            <w:tcBorders>
              <w:top w:val="nil"/>
              <w:left w:val="nil"/>
              <w:bottom w:val="single" w:sz="4" w:space="0" w:color="auto"/>
              <w:right w:val="nil"/>
            </w:tcBorders>
            <w:shd w:val="solid" w:color="FFFFFF" w:fill="auto"/>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22</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 xml:space="preserve"> 322</w:t>
            </w:r>
          </w:p>
        </w:tc>
      </w:tr>
      <w:tr w:rsidR="0028027B" w:rsidRPr="00DC1EE4" w:rsidTr="00C03F9E">
        <w:trPr>
          <w:trHeight w:val="220"/>
        </w:trPr>
        <w:tc>
          <w:tcPr>
            <w:tcW w:w="1007" w:type="dxa"/>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(851)</w:t>
            </w:r>
          </w:p>
        </w:tc>
        <w:tc>
          <w:tcPr>
            <w:tcW w:w="141" w:type="dxa"/>
            <w:tcBorders>
              <w:top w:val="single" w:sz="6" w:space="0" w:color="auto"/>
              <w:left w:val="nil"/>
              <w:bottom w:val="nil"/>
              <w:right w:val="nil"/>
            </w:tcBorders>
          </w:tcPr>
          <w:p w:rsidR="0028027B" w:rsidRPr="00DC1EE4" w:rsidRDefault="0028027B" w:rsidP="00C03F9E">
            <w:pPr>
              <w:spacing w:before="0"/>
              <w:jc w:val="right"/>
              <w:rPr>
                <w:b/>
              </w:rPr>
            </w:pPr>
          </w:p>
        </w:tc>
        <w:tc>
          <w:tcPr>
            <w:tcW w:w="6066" w:type="dxa"/>
            <w:tcBorders>
              <w:top w:val="single" w:sz="4" w:space="0" w:color="auto"/>
              <w:left w:val="nil"/>
              <w:bottom w:val="nil"/>
              <w:right w:val="nil"/>
            </w:tcBorders>
          </w:tcPr>
          <w:p w:rsidR="0028027B" w:rsidRPr="00DC1EE4" w:rsidRDefault="0028027B" w:rsidP="00C03F9E">
            <w:pPr>
              <w:pStyle w:val="Tabletext"/>
              <w:rPr>
                <w:b/>
              </w:rPr>
            </w:pPr>
            <w:r w:rsidRPr="00DC1EE4">
              <w:rPr>
                <w:b/>
              </w:rPr>
              <w:t>Cash flows from investments in non</w:t>
            </w:r>
            <w:r w:rsidR="005A4BB0">
              <w:rPr>
                <w:b/>
              </w:rPr>
              <w:noBreakHyphen/>
            </w:r>
            <w:r w:rsidRPr="00DC1EE4">
              <w:rPr>
                <w:b/>
              </w:rPr>
              <w:t>financial assets</w:t>
            </w:r>
          </w:p>
        </w:tc>
        <w:tc>
          <w:tcPr>
            <w:tcW w:w="900" w:type="dxa"/>
            <w:tcBorders>
              <w:top w:val="single" w:sz="4" w:space="0" w:color="auto"/>
              <w:left w:val="nil"/>
              <w:bottom w:val="nil"/>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(926)</w:t>
            </w:r>
          </w:p>
        </w:tc>
        <w:tc>
          <w:tcPr>
            <w:tcW w:w="1116" w:type="dxa"/>
            <w:gridSpan w:val="2"/>
            <w:tcBorders>
              <w:top w:val="single" w:sz="6" w:space="0" w:color="auto"/>
              <w:left w:val="nil"/>
              <w:bottom w:val="nil"/>
              <w:right w:val="nil"/>
            </w:tcBorders>
            <w:vAlign w:val="bottom"/>
          </w:tcPr>
          <w:p w:rsidR="0028027B" w:rsidRPr="00DC1EE4" w:rsidRDefault="0028027B" w:rsidP="00C03F9E">
            <w:pPr>
              <w:pStyle w:val="TableofFigures"/>
              <w:rPr>
                <w:b/>
              </w:rPr>
            </w:pPr>
            <w:r w:rsidRPr="00DC1EE4">
              <w:rPr>
                <w:b/>
              </w:rPr>
              <w:t xml:space="preserve"> (4 230)</w:t>
            </w:r>
          </w:p>
        </w:tc>
      </w:tr>
      <w:tr w:rsidR="0028027B" w:rsidRPr="00DC1EE4" w:rsidTr="00C03F9E">
        <w:trPr>
          <w:trHeight w:val="220"/>
        </w:trPr>
        <w:tc>
          <w:tcPr>
            <w:tcW w:w="1007" w:type="dxa"/>
            <w:tcBorders>
              <w:top w:val="nil"/>
              <w:left w:val="nil"/>
              <w:bottom w:val="single" w:sz="6" w:space="0" w:color="auto"/>
              <w:right w:val="nil"/>
            </w:tcBorders>
            <w:vAlign w:val="bottom"/>
          </w:tcPr>
          <w:p w:rsidR="0028027B" w:rsidRPr="00DC1EE4" w:rsidRDefault="0028027B" w:rsidP="00C03F9E">
            <w:pPr>
              <w:pStyle w:val="TableofFigures"/>
            </w:pPr>
            <w:r w:rsidRPr="00DC1EE4">
              <w:t xml:space="preserve"> 208</w:t>
            </w:r>
          </w:p>
        </w:tc>
        <w:tc>
          <w:tcPr>
            <w:tcW w:w="141" w:type="dxa"/>
            <w:tcBorders>
              <w:top w:val="nil"/>
              <w:left w:val="nil"/>
              <w:bottom w:val="single" w:sz="6" w:space="0" w:color="auto"/>
              <w:right w:val="nil"/>
            </w:tcBorders>
          </w:tcPr>
          <w:p w:rsidR="0028027B" w:rsidRPr="00DC1EE4" w:rsidRDefault="0028027B" w:rsidP="00C03F9E">
            <w:pPr>
              <w:spacing w:before="0"/>
              <w:jc w:val="right"/>
            </w:pPr>
          </w:p>
        </w:tc>
        <w:tc>
          <w:tcPr>
            <w:tcW w:w="6066" w:type="dxa"/>
            <w:tcBorders>
              <w:top w:val="nil"/>
              <w:left w:val="nil"/>
              <w:bottom w:val="single" w:sz="6" w:space="0" w:color="auto"/>
              <w:right w:val="nil"/>
            </w:tcBorders>
            <w:shd w:val="solid" w:color="FFFFFF" w:fill="auto"/>
          </w:tcPr>
          <w:p w:rsidR="0028027B" w:rsidRPr="00DC1EE4" w:rsidRDefault="0028027B" w:rsidP="00C03F9E">
            <w:pPr>
              <w:pStyle w:val="Tabletext"/>
            </w:pPr>
            <w:r w:rsidRPr="00DC1EE4">
              <w:t xml:space="preserve">Net cash flows from investments in financial assets for policy purposes </w:t>
            </w:r>
          </w:p>
        </w:tc>
        <w:tc>
          <w:tcPr>
            <w:tcW w:w="900" w:type="dxa"/>
            <w:tcBorders>
              <w:top w:val="nil"/>
              <w:left w:val="nil"/>
              <w:bottom w:val="single" w:sz="6" w:space="0" w:color="auto"/>
              <w:right w:val="nil"/>
            </w:tcBorders>
            <w:shd w:val="solid" w:color="FFFFFF" w:fill="auto"/>
          </w:tcPr>
          <w:p w:rsidR="0028027B" w:rsidRPr="00DC1EE4" w:rsidRDefault="0028027B" w:rsidP="00C03F9E">
            <w:pPr>
              <w:pStyle w:val="TableTextCentred"/>
            </w:pPr>
            <w:r w:rsidRPr="00DC1EE4">
              <w:t xml:space="preserve"> </w:t>
            </w:r>
          </w:p>
        </w:tc>
        <w:tc>
          <w:tcPr>
            <w:tcW w:w="990" w:type="dxa"/>
            <w:tcBorders>
              <w:top w:val="nil"/>
              <w:left w:val="nil"/>
              <w:bottom w:val="single" w:sz="6" w:space="0" w:color="auto"/>
              <w:right w:val="nil"/>
            </w:tcBorders>
            <w:vAlign w:val="bottom"/>
          </w:tcPr>
          <w:p w:rsidR="0028027B" w:rsidRPr="00DC1EE4" w:rsidRDefault="0028027B" w:rsidP="00C03F9E">
            <w:pPr>
              <w:pStyle w:val="TableofFigures"/>
            </w:pPr>
            <w:r w:rsidRPr="00DC1EE4">
              <w:t xml:space="preserve"> 18</w:t>
            </w:r>
          </w:p>
        </w:tc>
        <w:tc>
          <w:tcPr>
            <w:tcW w:w="1116" w:type="dxa"/>
            <w:gridSpan w:val="2"/>
            <w:tcBorders>
              <w:top w:val="nil"/>
              <w:left w:val="nil"/>
              <w:bottom w:val="single" w:sz="6" w:space="0" w:color="auto"/>
              <w:right w:val="nil"/>
            </w:tcBorders>
            <w:vAlign w:val="bottom"/>
          </w:tcPr>
          <w:p w:rsidR="0028027B" w:rsidRPr="00DC1EE4" w:rsidRDefault="0028027B" w:rsidP="00C03F9E">
            <w:pPr>
              <w:pStyle w:val="TableofFigures"/>
            </w:pPr>
            <w:r w:rsidRPr="00DC1EE4">
              <w:t>6 511</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rPr>
                <w:b/>
              </w:rPr>
            </w:pPr>
            <w:r w:rsidRPr="00DC1EE4">
              <w:rPr>
                <w:b/>
              </w:rPr>
              <w:t>(643)</w:t>
            </w:r>
          </w:p>
        </w:tc>
        <w:tc>
          <w:tcPr>
            <w:tcW w:w="141" w:type="dxa"/>
            <w:tcBorders>
              <w:top w:val="nil"/>
              <w:left w:val="nil"/>
              <w:bottom w:val="nil"/>
              <w:right w:val="nil"/>
            </w:tcBorders>
          </w:tcPr>
          <w:p w:rsidR="0028027B" w:rsidRPr="00DC1EE4" w:rsidRDefault="0028027B" w:rsidP="00C03F9E">
            <w:pPr>
              <w:spacing w:before="0"/>
              <w:jc w:val="right"/>
              <w:rPr>
                <w:b/>
              </w:rPr>
            </w:pPr>
          </w:p>
        </w:tc>
        <w:tc>
          <w:tcPr>
            <w:tcW w:w="6066" w:type="dxa"/>
            <w:tcBorders>
              <w:top w:val="nil"/>
              <w:left w:val="nil"/>
              <w:bottom w:val="nil"/>
              <w:right w:val="nil"/>
            </w:tcBorders>
            <w:shd w:val="solid" w:color="FFFFFF" w:fill="auto"/>
          </w:tcPr>
          <w:p w:rsidR="0028027B" w:rsidRPr="00DC1EE4" w:rsidRDefault="0028027B" w:rsidP="00C03F9E">
            <w:pPr>
              <w:pStyle w:val="Tabletext"/>
              <w:rPr>
                <w:b/>
              </w:rPr>
            </w:pPr>
            <w:r w:rsidRPr="00DC1EE4">
              <w:rPr>
                <w:b/>
              </w:rPr>
              <w:t>Sub</w:t>
            </w:r>
            <w:r w:rsidR="005A4BB0">
              <w:rPr>
                <w:b/>
              </w:rPr>
              <w:noBreakHyphen/>
            </w:r>
            <w:r w:rsidRPr="00DC1EE4">
              <w:rPr>
                <w:b/>
              </w:rPr>
              <w:t xml:space="preserve">total </w:t>
            </w:r>
          </w:p>
        </w:tc>
        <w:tc>
          <w:tcPr>
            <w:tcW w:w="900" w:type="dxa"/>
            <w:tcBorders>
              <w:top w:val="nil"/>
              <w:left w:val="nil"/>
              <w:bottom w:val="nil"/>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nil"/>
              <w:left w:val="nil"/>
              <w:bottom w:val="nil"/>
              <w:right w:val="nil"/>
            </w:tcBorders>
            <w:shd w:val="solid" w:color="FFFFFF" w:fill="auto"/>
            <w:vAlign w:val="bottom"/>
          </w:tcPr>
          <w:p w:rsidR="0028027B" w:rsidRPr="00DC1EE4" w:rsidRDefault="0028027B" w:rsidP="00C03F9E">
            <w:pPr>
              <w:pStyle w:val="TableofFigures"/>
              <w:rPr>
                <w:b/>
              </w:rPr>
            </w:pPr>
            <w:r w:rsidRPr="00DC1EE4">
              <w:rPr>
                <w:b/>
              </w:rPr>
              <w:t>(908)</w:t>
            </w:r>
          </w:p>
        </w:tc>
        <w:tc>
          <w:tcPr>
            <w:tcW w:w="1116" w:type="dxa"/>
            <w:gridSpan w:val="2"/>
            <w:tcBorders>
              <w:top w:val="nil"/>
              <w:left w:val="nil"/>
              <w:bottom w:val="nil"/>
              <w:right w:val="nil"/>
            </w:tcBorders>
            <w:shd w:val="solid" w:color="FFFFFF" w:fill="auto"/>
            <w:vAlign w:val="bottom"/>
          </w:tcPr>
          <w:p w:rsidR="0028027B" w:rsidRPr="00DC1EE4" w:rsidRDefault="0028027B" w:rsidP="00C03F9E">
            <w:pPr>
              <w:pStyle w:val="TableofFigures"/>
              <w:rPr>
                <w:b/>
              </w:rPr>
            </w:pPr>
            <w:r w:rsidRPr="00DC1EE4">
              <w:rPr>
                <w:b/>
              </w:rPr>
              <w:t xml:space="preserve"> 2 281</w:t>
            </w:r>
          </w:p>
        </w:tc>
      </w:tr>
      <w:tr w:rsidR="0028027B" w:rsidRPr="00DC1EE4" w:rsidTr="00C03F9E">
        <w:trPr>
          <w:trHeight w:val="220"/>
        </w:trPr>
        <w:tc>
          <w:tcPr>
            <w:tcW w:w="1007" w:type="dxa"/>
            <w:tcBorders>
              <w:top w:val="nil"/>
              <w:left w:val="nil"/>
              <w:bottom w:val="single" w:sz="6" w:space="0" w:color="auto"/>
              <w:right w:val="nil"/>
            </w:tcBorders>
            <w:vAlign w:val="center"/>
          </w:tcPr>
          <w:p w:rsidR="0028027B" w:rsidRPr="00DC1EE4" w:rsidRDefault="0028027B" w:rsidP="00C03F9E">
            <w:pPr>
              <w:pStyle w:val="TableofFigures"/>
            </w:pPr>
            <w:r w:rsidRPr="00DC1EE4">
              <w:t>(14)</w:t>
            </w:r>
          </w:p>
        </w:tc>
        <w:tc>
          <w:tcPr>
            <w:tcW w:w="141" w:type="dxa"/>
            <w:tcBorders>
              <w:top w:val="nil"/>
              <w:left w:val="nil"/>
              <w:bottom w:val="single" w:sz="6" w:space="0" w:color="auto"/>
              <w:right w:val="nil"/>
            </w:tcBorders>
          </w:tcPr>
          <w:p w:rsidR="0028027B" w:rsidRPr="00DC1EE4" w:rsidRDefault="0028027B" w:rsidP="00C03F9E">
            <w:pPr>
              <w:spacing w:before="0"/>
              <w:jc w:val="right"/>
            </w:pPr>
          </w:p>
        </w:tc>
        <w:tc>
          <w:tcPr>
            <w:tcW w:w="6066" w:type="dxa"/>
            <w:tcBorders>
              <w:top w:val="nil"/>
              <w:left w:val="nil"/>
              <w:bottom w:val="single" w:sz="6" w:space="0" w:color="auto"/>
              <w:right w:val="nil"/>
            </w:tcBorders>
          </w:tcPr>
          <w:p w:rsidR="0028027B" w:rsidRPr="00DC1EE4" w:rsidRDefault="0028027B" w:rsidP="00C03F9E">
            <w:pPr>
              <w:pStyle w:val="Tabletext"/>
              <w:ind w:left="241" w:hanging="241"/>
            </w:pPr>
            <w:r w:rsidRPr="00DC1EE4">
              <w:t>Net cash flows from investments in financial assets for liquidity management purposes</w:t>
            </w:r>
          </w:p>
        </w:tc>
        <w:tc>
          <w:tcPr>
            <w:tcW w:w="900" w:type="dxa"/>
            <w:tcBorders>
              <w:top w:val="nil"/>
              <w:left w:val="nil"/>
              <w:bottom w:val="single" w:sz="6" w:space="0" w:color="auto"/>
              <w:right w:val="nil"/>
            </w:tcBorders>
            <w:shd w:val="solid" w:color="FFFFFF" w:fill="auto"/>
          </w:tcPr>
          <w:p w:rsidR="0028027B" w:rsidRPr="00DC1EE4" w:rsidRDefault="0028027B" w:rsidP="00C03F9E">
            <w:pPr>
              <w:pStyle w:val="TableTextCentred"/>
            </w:pPr>
            <w:r w:rsidRPr="00DC1EE4">
              <w:t xml:space="preserve"> </w:t>
            </w:r>
          </w:p>
        </w:tc>
        <w:tc>
          <w:tcPr>
            <w:tcW w:w="990" w:type="dxa"/>
            <w:tcBorders>
              <w:top w:val="nil"/>
              <w:left w:val="nil"/>
              <w:bottom w:val="single" w:sz="6" w:space="0" w:color="auto"/>
              <w:right w:val="nil"/>
            </w:tcBorders>
            <w:vAlign w:val="center"/>
          </w:tcPr>
          <w:p w:rsidR="0028027B" w:rsidRPr="00DC1EE4" w:rsidRDefault="0028027B" w:rsidP="00C03F9E">
            <w:pPr>
              <w:pStyle w:val="TableofFigures"/>
            </w:pPr>
            <w:r w:rsidRPr="00DC1EE4">
              <w:t>(74)</w:t>
            </w:r>
          </w:p>
        </w:tc>
        <w:tc>
          <w:tcPr>
            <w:tcW w:w="1116" w:type="dxa"/>
            <w:gridSpan w:val="2"/>
            <w:tcBorders>
              <w:top w:val="nil"/>
              <w:left w:val="nil"/>
              <w:bottom w:val="single" w:sz="6" w:space="0" w:color="auto"/>
              <w:right w:val="nil"/>
            </w:tcBorders>
            <w:vAlign w:val="center"/>
          </w:tcPr>
          <w:p w:rsidR="0028027B" w:rsidRPr="00DC1EE4" w:rsidRDefault="0028027B" w:rsidP="00C03F9E">
            <w:pPr>
              <w:pStyle w:val="TableofFigures"/>
            </w:pPr>
            <w:r w:rsidRPr="00DC1EE4">
              <w:t>(83)</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rPr>
                <w:b/>
              </w:rPr>
            </w:pPr>
            <w:r w:rsidRPr="00DC1EE4">
              <w:rPr>
                <w:b/>
              </w:rPr>
              <w:t>(657)</w:t>
            </w:r>
          </w:p>
        </w:tc>
        <w:tc>
          <w:tcPr>
            <w:tcW w:w="141" w:type="dxa"/>
            <w:tcBorders>
              <w:top w:val="nil"/>
              <w:left w:val="nil"/>
              <w:bottom w:val="nil"/>
              <w:right w:val="nil"/>
            </w:tcBorders>
          </w:tcPr>
          <w:p w:rsidR="0028027B" w:rsidRPr="00DC1EE4" w:rsidRDefault="0028027B" w:rsidP="00C03F9E">
            <w:pPr>
              <w:spacing w:before="0"/>
              <w:jc w:val="right"/>
              <w:rPr>
                <w:b/>
              </w:rPr>
            </w:pPr>
          </w:p>
        </w:tc>
        <w:tc>
          <w:tcPr>
            <w:tcW w:w="6066" w:type="dxa"/>
            <w:tcBorders>
              <w:top w:val="single" w:sz="6" w:space="0" w:color="auto"/>
              <w:left w:val="nil"/>
              <w:bottom w:val="nil"/>
              <w:right w:val="nil"/>
            </w:tcBorders>
          </w:tcPr>
          <w:p w:rsidR="0028027B" w:rsidRPr="00DC1EE4" w:rsidRDefault="0028027B" w:rsidP="00C03F9E">
            <w:pPr>
              <w:pStyle w:val="Tabletext"/>
              <w:rPr>
                <w:b/>
              </w:rPr>
            </w:pPr>
            <w:r w:rsidRPr="00DC1EE4">
              <w:rPr>
                <w:b/>
              </w:rPr>
              <w:t xml:space="preserve">Net cash flows from investing activities </w:t>
            </w:r>
          </w:p>
        </w:tc>
        <w:tc>
          <w:tcPr>
            <w:tcW w:w="900" w:type="dxa"/>
            <w:tcBorders>
              <w:top w:val="single" w:sz="6" w:space="0" w:color="auto"/>
              <w:left w:val="nil"/>
              <w:bottom w:val="nil"/>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nil"/>
              <w:left w:val="nil"/>
              <w:bottom w:val="nil"/>
              <w:right w:val="nil"/>
            </w:tcBorders>
            <w:vAlign w:val="bottom"/>
          </w:tcPr>
          <w:p w:rsidR="0028027B" w:rsidRPr="00DC1EE4" w:rsidRDefault="0028027B" w:rsidP="00C03F9E">
            <w:pPr>
              <w:pStyle w:val="TableofFigures"/>
              <w:rPr>
                <w:b/>
              </w:rPr>
            </w:pPr>
            <w:r w:rsidRPr="00DC1EE4">
              <w:rPr>
                <w:b/>
              </w:rPr>
              <w:t>(982)</w:t>
            </w:r>
          </w:p>
        </w:tc>
        <w:tc>
          <w:tcPr>
            <w:tcW w:w="1116" w:type="dxa"/>
            <w:gridSpan w:val="2"/>
            <w:tcBorders>
              <w:top w:val="nil"/>
              <w:left w:val="nil"/>
              <w:bottom w:val="nil"/>
              <w:right w:val="nil"/>
            </w:tcBorders>
            <w:vAlign w:val="bottom"/>
          </w:tcPr>
          <w:p w:rsidR="0028027B" w:rsidRPr="00DC1EE4" w:rsidRDefault="0028027B" w:rsidP="00C03F9E">
            <w:pPr>
              <w:pStyle w:val="TableofFigures"/>
              <w:rPr>
                <w:b/>
              </w:rPr>
            </w:pPr>
            <w:r w:rsidRPr="00DC1EE4">
              <w:rPr>
                <w:b/>
              </w:rPr>
              <w:t>2 199</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 xml:space="preserve"> </w:t>
            </w:r>
          </w:p>
        </w:tc>
        <w:tc>
          <w:tcPr>
            <w:tcW w:w="141" w:type="dxa"/>
            <w:tcBorders>
              <w:top w:val="nil"/>
              <w:left w:val="nil"/>
              <w:bottom w:val="nil"/>
              <w:right w:val="nil"/>
            </w:tcBorders>
          </w:tcPr>
          <w:p w:rsidR="0028027B" w:rsidRPr="00DC1EE4" w:rsidRDefault="0028027B" w:rsidP="00C03F9E">
            <w:pPr>
              <w:spacing w:before="0"/>
              <w:jc w:val="right"/>
              <w:rPr>
                <w:b/>
              </w:rPr>
            </w:pPr>
          </w:p>
        </w:tc>
        <w:tc>
          <w:tcPr>
            <w:tcW w:w="6066" w:type="dxa"/>
            <w:tcBorders>
              <w:top w:val="nil"/>
              <w:left w:val="nil"/>
              <w:bottom w:val="nil"/>
              <w:right w:val="nil"/>
            </w:tcBorders>
          </w:tcPr>
          <w:p w:rsidR="0028027B" w:rsidRPr="00DC1EE4" w:rsidRDefault="0028027B" w:rsidP="00C03F9E">
            <w:pPr>
              <w:pStyle w:val="Tabletext"/>
              <w:rPr>
                <w:b/>
              </w:rPr>
            </w:pPr>
            <w:r w:rsidRPr="00DC1EE4">
              <w:rPr>
                <w:b/>
              </w:rPr>
              <w:t>Cash flows from financing activities</w:t>
            </w:r>
          </w:p>
        </w:tc>
        <w:tc>
          <w:tcPr>
            <w:tcW w:w="900" w:type="dxa"/>
            <w:tcBorders>
              <w:top w:val="nil"/>
              <w:left w:val="nil"/>
              <w:bottom w:val="nil"/>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c>
          <w:tcPr>
            <w:tcW w:w="1116" w:type="dxa"/>
            <w:gridSpan w:val="2"/>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Advances received (net)</w:t>
            </w:r>
          </w:p>
        </w:tc>
        <w:tc>
          <w:tcPr>
            <w:tcW w:w="900" w:type="dxa"/>
            <w:tcBorders>
              <w:top w:val="nil"/>
              <w:left w:val="nil"/>
              <w:bottom w:val="nil"/>
              <w:right w:val="nil"/>
            </w:tcBorders>
            <w:shd w:val="solid" w:color="FFFFFF" w:fill="auto"/>
          </w:tcPr>
          <w:p w:rsidR="0028027B" w:rsidRPr="00DC1EE4" w:rsidRDefault="0028027B" w:rsidP="00C03F9E">
            <w:pPr>
              <w:pStyle w:val="TableTextCentred"/>
            </w:pPr>
          </w:p>
        </w:tc>
        <w:tc>
          <w:tcPr>
            <w:tcW w:w="990" w:type="dxa"/>
            <w:tcBorders>
              <w:top w:val="nil"/>
              <w:left w:val="nil"/>
              <w:bottom w:val="nil"/>
              <w:right w:val="nil"/>
            </w:tcBorders>
            <w:vAlign w:val="bottom"/>
          </w:tcPr>
          <w:p w:rsidR="0028027B" w:rsidRPr="00DC1EE4" w:rsidRDefault="0028027B" w:rsidP="00C03F9E">
            <w:pPr>
              <w:pStyle w:val="TableofFigures"/>
            </w:pPr>
            <w:r w:rsidRPr="00DC1EE4">
              <w:t>..</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(108)</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Net borrowings</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528</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 xml:space="preserve"> (5 756)</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 xml:space="preserve"> 28</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Deposits received (net)</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(47)</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w:t>
            </w:r>
          </w:p>
        </w:tc>
      </w:tr>
      <w:tr w:rsidR="0028027B" w:rsidRPr="00DC1EE4" w:rsidTr="00C03F9E">
        <w:trPr>
          <w:trHeight w:val="220"/>
        </w:trPr>
        <w:tc>
          <w:tcPr>
            <w:tcW w:w="1007" w:type="dxa"/>
            <w:tcBorders>
              <w:top w:val="single" w:sz="6" w:space="0" w:color="auto"/>
              <w:left w:val="nil"/>
              <w:bottom w:val="single" w:sz="6" w:space="0" w:color="auto"/>
              <w:right w:val="nil"/>
            </w:tcBorders>
            <w:shd w:val="solid" w:color="FFFFFF" w:fill="auto"/>
            <w:vAlign w:val="bottom"/>
          </w:tcPr>
          <w:p w:rsidR="0028027B" w:rsidRPr="00DC1EE4" w:rsidRDefault="0028027B" w:rsidP="00C03F9E">
            <w:pPr>
              <w:pStyle w:val="TableofFigures"/>
              <w:rPr>
                <w:b/>
              </w:rPr>
            </w:pPr>
            <w:r w:rsidRPr="00DC1EE4">
              <w:rPr>
                <w:b/>
              </w:rPr>
              <w:t>(81)</w:t>
            </w:r>
          </w:p>
        </w:tc>
        <w:tc>
          <w:tcPr>
            <w:tcW w:w="141" w:type="dxa"/>
            <w:tcBorders>
              <w:top w:val="single" w:sz="6" w:space="0" w:color="auto"/>
              <w:left w:val="nil"/>
              <w:bottom w:val="single" w:sz="6" w:space="0" w:color="auto"/>
              <w:right w:val="nil"/>
            </w:tcBorders>
            <w:shd w:val="solid" w:color="FFFFFF" w:fill="auto"/>
          </w:tcPr>
          <w:p w:rsidR="0028027B" w:rsidRPr="00DC1EE4" w:rsidRDefault="0028027B" w:rsidP="00C03F9E">
            <w:pPr>
              <w:spacing w:before="0"/>
              <w:jc w:val="right"/>
              <w:rPr>
                <w:b/>
              </w:rPr>
            </w:pPr>
          </w:p>
        </w:tc>
        <w:tc>
          <w:tcPr>
            <w:tcW w:w="6066" w:type="dxa"/>
            <w:tcBorders>
              <w:top w:val="single" w:sz="6" w:space="0" w:color="auto"/>
              <w:left w:val="nil"/>
              <w:bottom w:val="single" w:sz="6" w:space="0" w:color="auto"/>
              <w:right w:val="nil"/>
            </w:tcBorders>
            <w:shd w:val="solid" w:color="FFFFFF" w:fill="auto"/>
          </w:tcPr>
          <w:p w:rsidR="0028027B" w:rsidRPr="00DC1EE4" w:rsidRDefault="0028027B" w:rsidP="00C03F9E">
            <w:pPr>
              <w:pStyle w:val="Tabletext"/>
              <w:rPr>
                <w:b/>
              </w:rPr>
            </w:pPr>
            <w:r w:rsidRPr="00DC1EE4">
              <w:rPr>
                <w:b/>
              </w:rPr>
              <w:t xml:space="preserve">Net cash flows from financing activities </w:t>
            </w:r>
          </w:p>
        </w:tc>
        <w:tc>
          <w:tcPr>
            <w:tcW w:w="900" w:type="dxa"/>
            <w:tcBorders>
              <w:top w:val="single" w:sz="6" w:space="0" w:color="auto"/>
              <w:left w:val="nil"/>
              <w:bottom w:val="single" w:sz="6" w:space="0" w:color="auto"/>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single" w:sz="6" w:space="0" w:color="auto"/>
              <w:left w:val="nil"/>
              <w:bottom w:val="single" w:sz="6" w:space="0" w:color="auto"/>
              <w:right w:val="nil"/>
            </w:tcBorders>
            <w:shd w:val="solid" w:color="FFFFFF" w:fill="auto"/>
            <w:vAlign w:val="bottom"/>
          </w:tcPr>
          <w:p w:rsidR="0028027B" w:rsidRPr="00DC1EE4" w:rsidRDefault="0028027B" w:rsidP="00C03F9E">
            <w:pPr>
              <w:pStyle w:val="TableofFigures"/>
              <w:rPr>
                <w:b/>
              </w:rPr>
            </w:pPr>
            <w:r w:rsidRPr="00DC1EE4">
              <w:rPr>
                <w:b/>
              </w:rPr>
              <w:t xml:space="preserve"> 481</w:t>
            </w:r>
          </w:p>
        </w:tc>
        <w:tc>
          <w:tcPr>
            <w:tcW w:w="1116" w:type="dxa"/>
            <w:gridSpan w:val="2"/>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 xml:space="preserve"> (5 756)</w:t>
            </w:r>
          </w:p>
        </w:tc>
      </w:tr>
      <w:tr w:rsidR="0028027B" w:rsidRPr="00DC1EE4" w:rsidTr="00C03F9E">
        <w:trPr>
          <w:trHeight w:val="220"/>
        </w:trPr>
        <w:tc>
          <w:tcPr>
            <w:tcW w:w="1007" w:type="dxa"/>
            <w:tcBorders>
              <w:top w:val="nil"/>
              <w:left w:val="nil"/>
              <w:bottom w:val="nil"/>
              <w:right w:val="nil"/>
            </w:tcBorders>
            <w:shd w:val="solid" w:color="FFFFFF" w:fill="auto"/>
            <w:vAlign w:val="bottom"/>
          </w:tcPr>
          <w:p w:rsidR="0028027B" w:rsidRPr="00DC1EE4" w:rsidRDefault="0028027B" w:rsidP="00C03F9E">
            <w:pPr>
              <w:pStyle w:val="TableofFigures"/>
              <w:rPr>
                <w:b/>
              </w:rPr>
            </w:pPr>
            <w:r w:rsidRPr="00DC1EE4">
              <w:rPr>
                <w:b/>
              </w:rPr>
              <w:t>(405)</w:t>
            </w:r>
          </w:p>
        </w:tc>
        <w:tc>
          <w:tcPr>
            <w:tcW w:w="141" w:type="dxa"/>
            <w:tcBorders>
              <w:top w:val="nil"/>
              <w:left w:val="nil"/>
              <w:bottom w:val="nil"/>
              <w:right w:val="nil"/>
            </w:tcBorders>
            <w:shd w:val="solid" w:color="FFFFFF" w:fill="auto"/>
          </w:tcPr>
          <w:p w:rsidR="0028027B" w:rsidRPr="00DC1EE4" w:rsidRDefault="0028027B" w:rsidP="00C03F9E">
            <w:pPr>
              <w:spacing w:before="0"/>
              <w:jc w:val="right"/>
              <w:rPr>
                <w:b/>
              </w:rPr>
            </w:pPr>
          </w:p>
        </w:tc>
        <w:tc>
          <w:tcPr>
            <w:tcW w:w="6066" w:type="dxa"/>
            <w:tcBorders>
              <w:top w:val="nil"/>
              <w:left w:val="nil"/>
              <w:bottom w:val="nil"/>
              <w:right w:val="nil"/>
            </w:tcBorders>
            <w:shd w:val="solid" w:color="FFFFFF" w:fill="auto"/>
          </w:tcPr>
          <w:p w:rsidR="0028027B" w:rsidRPr="00DC1EE4" w:rsidRDefault="0028027B" w:rsidP="00C03F9E">
            <w:pPr>
              <w:pStyle w:val="Tabletext"/>
              <w:rPr>
                <w:b/>
              </w:rPr>
            </w:pPr>
            <w:r w:rsidRPr="00DC1EE4">
              <w:rPr>
                <w:b/>
              </w:rPr>
              <w:t>Net increase/(decrease) in cash and cash equivalents</w:t>
            </w:r>
          </w:p>
        </w:tc>
        <w:tc>
          <w:tcPr>
            <w:tcW w:w="900" w:type="dxa"/>
            <w:tcBorders>
              <w:top w:val="single" w:sz="6" w:space="0" w:color="auto"/>
              <w:left w:val="nil"/>
              <w:bottom w:val="nil"/>
              <w:right w:val="nil"/>
            </w:tcBorders>
            <w:shd w:val="solid" w:color="FFFFFF" w:fill="auto"/>
          </w:tcPr>
          <w:p w:rsidR="0028027B" w:rsidRPr="00DC1EE4" w:rsidRDefault="0028027B" w:rsidP="00C03F9E">
            <w:pPr>
              <w:pStyle w:val="TableTextCentred"/>
              <w:rPr>
                <w:b/>
              </w:rPr>
            </w:pPr>
            <w:r w:rsidRPr="00DC1EE4">
              <w:rPr>
                <w:b/>
              </w:rPr>
              <w:t xml:space="preserve"> </w:t>
            </w:r>
          </w:p>
        </w:tc>
        <w:tc>
          <w:tcPr>
            <w:tcW w:w="990" w:type="dxa"/>
            <w:tcBorders>
              <w:top w:val="nil"/>
              <w:left w:val="nil"/>
              <w:bottom w:val="nil"/>
              <w:right w:val="nil"/>
            </w:tcBorders>
            <w:shd w:val="solid" w:color="FFFFFF" w:fill="auto"/>
            <w:vAlign w:val="bottom"/>
          </w:tcPr>
          <w:p w:rsidR="0028027B" w:rsidRPr="00DC1EE4" w:rsidRDefault="0028027B" w:rsidP="00C03F9E">
            <w:pPr>
              <w:pStyle w:val="TableofFigures"/>
              <w:rPr>
                <w:b/>
              </w:rPr>
            </w:pPr>
            <w:r w:rsidRPr="00DC1EE4">
              <w:rPr>
                <w:b/>
              </w:rPr>
              <w:t>(220)</w:t>
            </w:r>
          </w:p>
        </w:tc>
        <w:tc>
          <w:tcPr>
            <w:tcW w:w="1116" w:type="dxa"/>
            <w:gridSpan w:val="2"/>
            <w:tcBorders>
              <w:top w:val="nil"/>
              <w:left w:val="nil"/>
              <w:bottom w:val="nil"/>
              <w:right w:val="nil"/>
            </w:tcBorders>
            <w:vAlign w:val="bottom"/>
          </w:tcPr>
          <w:p w:rsidR="0028027B" w:rsidRPr="00DC1EE4" w:rsidRDefault="0028027B" w:rsidP="00C03F9E">
            <w:pPr>
              <w:pStyle w:val="TableofFigures"/>
              <w:rPr>
                <w:b/>
              </w:rPr>
            </w:pPr>
            <w:r w:rsidRPr="00DC1EE4">
              <w:rPr>
                <w:b/>
              </w:rPr>
              <w:t xml:space="preserve"> 198</w:t>
            </w:r>
          </w:p>
        </w:tc>
      </w:tr>
      <w:tr w:rsidR="0028027B" w:rsidRPr="00DC1EE4" w:rsidTr="00C03F9E">
        <w:trPr>
          <w:trHeight w:val="220"/>
        </w:trPr>
        <w:tc>
          <w:tcPr>
            <w:tcW w:w="1007" w:type="dxa"/>
            <w:tcBorders>
              <w:top w:val="nil"/>
              <w:left w:val="nil"/>
              <w:bottom w:val="nil"/>
              <w:right w:val="nil"/>
            </w:tcBorders>
            <w:shd w:val="solid" w:color="FFFFFF" w:fill="auto"/>
            <w:vAlign w:val="bottom"/>
          </w:tcPr>
          <w:p w:rsidR="0028027B" w:rsidRPr="00DC1EE4" w:rsidRDefault="0028027B" w:rsidP="00C03F9E">
            <w:pPr>
              <w:pStyle w:val="TableofFigures"/>
            </w:pPr>
            <w:r w:rsidRPr="00DC1EE4">
              <w:t>4 582</w:t>
            </w:r>
          </w:p>
        </w:tc>
        <w:tc>
          <w:tcPr>
            <w:tcW w:w="141" w:type="dxa"/>
            <w:tcBorders>
              <w:top w:val="nil"/>
              <w:left w:val="nil"/>
              <w:bottom w:val="nil"/>
              <w:right w:val="nil"/>
            </w:tcBorders>
            <w:shd w:val="solid" w:color="FFFFFF" w:fill="auto"/>
          </w:tcPr>
          <w:p w:rsidR="0028027B" w:rsidRPr="00DC1EE4" w:rsidRDefault="0028027B" w:rsidP="00C03F9E">
            <w:pPr>
              <w:spacing w:before="0"/>
              <w:jc w:val="right"/>
            </w:pPr>
          </w:p>
        </w:tc>
        <w:tc>
          <w:tcPr>
            <w:tcW w:w="6066" w:type="dxa"/>
            <w:tcBorders>
              <w:top w:val="nil"/>
              <w:left w:val="nil"/>
              <w:bottom w:val="nil"/>
              <w:right w:val="nil"/>
            </w:tcBorders>
            <w:shd w:val="solid" w:color="FFFFFF" w:fill="auto"/>
          </w:tcPr>
          <w:p w:rsidR="0028027B" w:rsidRPr="00DC1EE4" w:rsidRDefault="0028027B" w:rsidP="00C03F9E">
            <w:pPr>
              <w:pStyle w:val="Tabletext"/>
            </w:pPr>
            <w:r w:rsidRPr="00DC1EE4">
              <w:t>Cash and cash equivalents at beginning of reporting period</w:t>
            </w:r>
            <w:r w:rsidRPr="00DC1EE4">
              <w:rPr>
                <w:rFonts w:eastAsiaTheme="minorEastAsia" w:cs="Calibri"/>
                <w:color w:val="000000"/>
                <w:sz w:val="22"/>
                <w:szCs w:val="22"/>
                <w:vertAlign w:val="superscript"/>
              </w:rPr>
              <w:t>(b)</w:t>
            </w:r>
          </w:p>
        </w:tc>
        <w:tc>
          <w:tcPr>
            <w:tcW w:w="900" w:type="dxa"/>
            <w:tcBorders>
              <w:top w:val="nil"/>
              <w:left w:val="nil"/>
              <w:bottom w:val="nil"/>
              <w:right w:val="nil"/>
            </w:tcBorders>
            <w:shd w:val="solid" w:color="FFFFFF" w:fill="auto"/>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4 282</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4 282</w:t>
            </w:r>
          </w:p>
        </w:tc>
      </w:tr>
      <w:tr w:rsidR="0028027B" w:rsidRPr="00DC1EE4" w:rsidTr="00C03F9E">
        <w:trPr>
          <w:trHeight w:val="220"/>
        </w:trPr>
        <w:tc>
          <w:tcPr>
            <w:tcW w:w="1007" w:type="dxa"/>
            <w:tcBorders>
              <w:top w:val="single" w:sz="6" w:space="0" w:color="auto"/>
              <w:left w:val="nil"/>
              <w:bottom w:val="single" w:sz="6" w:space="0" w:color="auto"/>
              <w:right w:val="nil"/>
            </w:tcBorders>
            <w:shd w:val="solid" w:color="FFFFFF" w:fill="auto"/>
            <w:vAlign w:val="bottom"/>
          </w:tcPr>
          <w:p w:rsidR="0028027B" w:rsidRPr="00DC1EE4" w:rsidRDefault="0028027B" w:rsidP="00C03F9E">
            <w:pPr>
              <w:pStyle w:val="TableofFigures"/>
              <w:rPr>
                <w:b/>
              </w:rPr>
            </w:pPr>
            <w:r w:rsidRPr="00DC1EE4">
              <w:rPr>
                <w:b/>
              </w:rPr>
              <w:t>4 177</w:t>
            </w:r>
          </w:p>
        </w:tc>
        <w:tc>
          <w:tcPr>
            <w:tcW w:w="141" w:type="dxa"/>
            <w:tcBorders>
              <w:top w:val="single" w:sz="6" w:space="0" w:color="auto"/>
              <w:left w:val="nil"/>
              <w:bottom w:val="single" w:sz="6" w:space="0" w:color="auto"/>
              <w:right w:val="nil"/>
            </w:tcBorders>
            <w:shd w:val="solid" w:color="FFFFFF" w:fill="auto"/>
          </w:tcPr>
          <w:p w:rsidR="0028027B" w:rsidRPr="00DC1EE4" w:rsidRDefault="0028027B" w:rsidP="00C03F9E">
            <w:pPr>
              <w:spacing w:before="0"/>
              <w:jc w:val="right"/>
              <w:rPr>
                <w:b/>
              </w:rPr>
            </w:pPr>
          </w:p>
        </w:tc>
        <w:tc>
          <w:tcPr>
            <w:tcW w:w="6066" w:type="dxa"/>
            <w:tcBorders>
              <w:top w:val="single" w:sz="6" w:space="0" w:color="auto"/>
              <w:left w:val="nil"/>
              <w:bottom w:val="single" w:sz="6" w:space="0" w:color="auto"/>
              <w:right w:val="nil"/>
            </w:tcBorders>
            <w:shd w:val="solid" w:color="FFFFFF" w:fill="auto"/>
          </w:tcPr>
          <w:p w:rsidR="0028027B" w:rsidRPr="00DC1EE4" w:rsidRDefault="0028027B" w:rsidP="00C03F9E">
            <w:pPr>
              <w:pStyle w:val="Tabletext"/>
              <w:rPr>
                <w:b/>
              </w:rPr>
            </w:pPr>
            <w:r w:rsidRPr="00DC1EE4">
              <w:rPr>
                <w:b/>
              </w:rPr>
              <w:t>Cash and cash equivalents at end of reporting period</w:t>
            </w:r>
            <w:r w:rsidRPr="00DC1EE4">
              <w:rPr>
                <w:rFonts w:eastAsiaTheme="minorEastAsia" w:cs="Calibri"/>
                <w:b/>
                <w:color w:val="000000"/>
                <w:sz w:val="22"/>
                <w:szCs w:val="22"/>
                <w:vertAlign w:val="superscript"/>
              </w:rPr>
              <w:t>(b)</w:t>
            </w:r>
          </w:p>
        </w:tc>
        <w:tc>
          <w:tcPr>
            <w:tcW w:w="900" w:type="dxa"/>
            <w:tcBorders>
              <w:top w:val="single" w:sz="6" w:space="0" w:color="auto"/>
              <w:left w:val="nil"/>
              <w:bottom w:val="single" w:sz="6" w:space="0" w:color="auto"/>
              <w:right w:val="nil"/>
            </w:tcBorders>
            <w:shd w:val="solid" w:color="FFFFFF" w:fill="auto"/>
          </w:tcPr>
          <w:p w:rsidR="0028027B" w:rsidRPr="00DC1EE4" w:rsidRDefault="0028027B" w:rsidP="00C03F9E">
            <w:pPr>
              <w:pStyle w:val="TableTextCentred"/>
              <w:rPr>
                <w:b/>
              </w:rPr>
            </w:pPr>
            <w:r w:rsidRPr="00DC1EE4">
              <w:rPr>
                <w:b/>
              </w:rPr>
              <w:t>18a</w:t>
            </w:r>
          </w:p>
        </w:tc>
        <w:tc>
          <w:tcPr>
            <w:tcW w:w="990" w:type="dxa"/>
            <w:tcBorders>
              <w:top w:val="single" w:sz="6" w:space="0" w:color="auto"/>
              <w:left w:val="nil"/>
              <w:bottom w:val="single" w:sz="6" w:space="0" w:color="auto"/>
              <w:right w:val="nil"/>
            </w:tcBorders>
            <w:shd w:val="solid" w:color="FFFFFF" w:fill="auto"/>
            <w:vAlign w:val="bottom"/>
          </w:tcPr>
          <w:p w:rsidR="0028027B" w:rsidRPr="00DC1EE4" w:rsidRDefault="0028027B" w:rsidP="00C03F9E">
            <w:pPr>
              <w:pStyle w:val="TableofFigures"/>
              <w:rPr>
                <w:b/>
              </w:rPr>
            </w:pPr>
            <w:r w:rsidRPr="00DC1EE4">
              <w:rPr>
                <w:b/>
              </w:rPr>
              <w:t>4 061</w:t>
            </w:r>
          </w:p>
        </w:tc>
        <w:tc>
          <w:tcPr>
            <w:tcW w:w="1116" w:type="dxa"/>
            <w:gridSpan w:val="2"/>
            <w:tcBorders>
              <w:top w:val="single" w:sz="6" w:space="0" w:color="auto"/>
              <w:left w:val="nil"/>
              <w:bottom w:val="single" w:sz="6" w:space="0" w:color="auto"/>
              <w:right w:val="nil"/>
            </w:tcBorders>
            <w:vAlign w:val="bottom"/>
          </w:tcPr>
          <w:p w:rsidR="0028027B" w:rsidRPr="00DC1EE4" w:rsidRDefault="0028027B" w:rsidP="00C03F9E">
            <w:pPr>
              <w:pStyle w:val="TableofFigures"/>
              <w:rPr>
                <w:b/>
              </w:rPr>
            </w:pPr>
            <w:r w:rsidRPr="00DC1EE4">
              <w:rPr>
                <w:b/>
              </w:rPr>
              <w:t>4 479</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 xml:space="preserve"> </w:t>
            </w:r>
          </w:p>
        </w:tc>
        <w:tc>
          <w:tcPr>
            <w:tcW w:w="141" w:type="dxa"/>
            <w:tcBorders>
              <w:top w:val="nil"/>
              <w:left w:val="nil"/>
              <w:bottom w:val="nil"/>
              <w:right w:val="nil"/>
            </w:tcBorders>
          </w:tcPr>
          <w:p w:rsidR="0028027B" w:rsidRPr="00DC1EE4" w:rsidRDefault="0028027B" w:rsidP="00C03F9E">
            <w:pPr>
              <w:spacing w:before="0"/>
              <w:jc w:val="right"/>
              <w:rPr>
                <w:b/>
              </w:rPr>
            </w:pPr>
          </w:p>
        </w:tc>
        <w:tc>
          <w:tcPr>
            <w:tcW w:w="6066" w:type="dxa"/>
            <w:tcBorders>
              <w:top w:val="nil"/>
              <w:left w:val="nil"/>
              <w:bottom w:val="nil"/>
              <w:right w:val="nil"/>
            </w:tcBorders>
          </w:tcPr>
          <w:p w:rsidR="0028027B" w:rsidRPr="00DC1EE4" w:rsidRDefault="0028027B" w:rsidP="00C03F9E">
            <w:pPr>
              <w:pStyle w:val="Tabletext"/>
              <w:rPr>
                <w:b/>
              </w:rPr>
            </w:pPr>
            <w:r w:rsidRPr="00DC1EE4">
              <w:rPr>
                <w:b/>
              </w:rPr>
              <w:t>FISCAL AGGREGATES</w:t>
            </w:r>
          </w:p>
        </w:tc>
        <w:tc>
          <w:tcPr>
            <w:tcW w:w="900" w:type="dxa"/>
            <w:tcBorders>
              <w:top w:val="nil"/>
              <w:left w:val="nil"/>
              <w:bottom w:val="nil"/>
              <w:right w:val="nil"/>
            </w:tcBorders>
          </w:tcPr>
          <w:p w:rsidR="0028027B" w:rsidRPr="00DC1EE4" w:rsidRDefault="0028027B" w:rsidP="00C03F9E">
            <w:pPr>
              <w:pStyle w:val="TableTextCentred"/>
              <w:rPr>
                <w:b/>
              </w:rPr>
            </w:pPr>
            <w:r w:rsidRPr="00DC1EE4">
              <w:rPr>
                <w:b/>
              </w:rPr>
              <w:t xml:space="preserve"> </w:t>
            </w:r>
          </w:p>
        </w:tc>
        <w:tc>
          <w:tcPr>
            <w:tcW w:w="990" w:type="dxa"/>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c>
          <w:tcPr>
            <w:tcW w:w="1116" w:type="dxa"/>
            <w:gridSpan w:val="2"/>
            <w:tcBorders>
              <w:top w:val="nil"/>
              <w:left w:val="nil"/>
              <w:bottom w:val="nil"/>
              <w:right w:val="nil"/>
            </w:tcBorders>
            <w:vAlign w:val="bottom"/>
          </w:tcPr>
          <w:p w:rsidR="0028027B" w:rsidRPr="00DC1EE4" w:rsidRDefault="0028027B" w:rsidP="00C03F9E">
            <w:pPr>
              <w:pStyle w:val="TableofFigures"/>
              <w:rPr>
                <w:b/>
              </w:rPr>
            </w:pPr>
            <w:r w:rsidRPr="00DC1EE4">
              <w:t xml:space="preserve"> </w:t>
            </w:r>
          </w:p>
        </w:tc>
      </w:tr>
      <w:tr w:rsidR="0028027B" w:rsidRPr="00DC1EE4" w:rsidTr="00C03F9E">
        <w:trPr>
          <w:trHeight w:val="220"/>
        </w:trPr>
        <w:tc>
          <w:tcPr>
            <w:tcW w:w="1007" w:type="dxa"/>
            <w:tcBorders>
              <w:top w:val="nil"/>
              <w:left w:val="nil"/>
              <w:bottom w:val="nil"/>
              <w:right w:val="nil"/>
            </w:tcBorders>
            <w:vAlign w:val="bottom"/>
          </w:tcPr>
          <w:p w:rsidR="0028027B" w:rsidRPr="00DC1EE4" w:rsidRDefault="0028027B" w:rsidP="00C03F9E">
            <w:pPr>
              <w:pStyle w:val="TableofFigures"/>
            </w:pPr>
            <w:r w:rsidRPr="00DC1EE4">
              <w:t xml:space="preserve"> 332</w:t>
            </w:r>
          </w:p>
        </w:tc>
        <w:tc>
          <w:tcPr>
            <w:tcW w:w="141" w:type="dxa"/>
            <w:tcBorders>
              <w:top w:val="nil"/>
              <w:left w:val="nil"/>
              <w:bottom w:val="nil"/>
              <w:right w:val="nil"/>
            </w:tcBorders>
          </w:tcPr>
          <w:p w:rsidR="0028027B" w:rsidRPr="00DC1EE4" w:rsidRDefault="0028027B" w:rsidP="00C03F9E">
            <w:pPr>
              <w:spacing w:before="0"/>
              <w:jc w:val="right"/>
            </w:pPr>
          </w:p>
        </w:tc>
        <w:tc>
          <w:tcPr>
            <w:tcW w:w="6066" w:type="dxa"/>
            <w:tcBorders>
              <w:top w:val="nil"/>
              <w:left w:val="nil"/>
              <w:bottom w:val="nil"/>
              <w:right w:val="nil"/>
            </w:tcBorders>
          </w:tcPr>
          <w:p w:rsidR="0028027B" w:rsidRPr="00DC1EE4" w:rsidRDefault="0028027B" w:rsidP="00C03F9E">
            <w:pPr>
              <w:pStyle w:val="Tabletext"/>
            </w:pPr>
            <w:r w:rsidRPr="00DC1EE4">
              <w:t>Net cash flows from operating activities</w:t>
            </w:r>
          </w:p>
        </w:tc>
        <w:tc>
          <w:tcPr>
            <w:tcW w:w="900" w:type="dxa"/>
            <w:tcBorders>
              <w:top w:val="nil"/>
              <w:left w:val="nil"/>
              <w:bottom w:val="nil"/>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 xml:space="preserve"> 280</w:t>
            </w:r>
          </w:p>
        </w:tc>
        <w:tc>
          <w:tcPr>
            <w:tcW w:w="1116" w:type="dxa"/>
            <w:gridSpan w:val="2"/>
            <w:tcBorders>
              <w:top w:val="nil"/>
              <w:left w:val="nil"/>
              <w:bottom w:val="nil"/>
              <w:right w:val="nil"/>
            </w:tcBorders>
            <w:vAlign w:val="bottom"/>
          </w:tcPr>
          <w:p w:rsidR="0028027B" w:rsidRPr="00DC1EE4" w:rsidRDefault="0028027B" w:rsidP="00C03F9E">
            <w:pPr>
              <w:pStyle w:val="TableofFigures"/>
            </w:pPr>
            <w:r w:rsidRPr="00DC1EE4">
              <w:t>3 755</w:t>
            </w:r>
          </w:p>
        </w:tc>
      </w:tr>
      <w:tr w:rsidR="0028027B" w:rsidRPr="00DC1EE4" w:rsidTr="00C03F9E">
        <w:trPr>
          <w:trHeight w:val="220"/>
        </w:trPr>
        <w:tc>
          <w:tcPr>
            <w:tcW w:w="1007" w:type="dxa"/>
            <w:tcBorders>
              <w:top w:val="nil"/>
              <w:left w:val="nil"/>
              <w:bottom w:val="single" w:sz="6" w:space="0" w:color="auto"/>
              <w:right w:val="nil"/>
            </w:tcBorders>
            <w:vAlign w:val="bottom"/>
          </w:tcPr>
          <w:p w:rsidR="0028027B" w:rsidRPr="00DC1EE4" w:rsidRDefault="0028027B" w:rsidP="00C03F9E">
            <w:pPr>
              <w:pStyle w:val="TableofFigures"/>
            </w:pPr>
            <w:r w:rsidRPr="00DC1EE4">
              <w:t>(851)</w:t>
            </w:r>
          </w:p>
        </w:tc>
        <w:tc>
          <w:tcPr>
            <w:tcW w:w="141" w:type="dxa"/>
            <w:tcBorders>
              <w:top w:val="nil"/>
              <w:left w:val="nil"/>
              <w:bottom w:val="single" w:sz="6" w:space="0" w:color="auto"/>
              <w:right w:val="nil"/>
            </w:tcBorders>
          </w:tcPr>
          <w:p w:rsidR="0028027B" w:rsidRPr="00DC1EE4" w:rsidRDefault="0028027B" w:rsidP="00C03F9E">
            <w:pPr>
              <w:spacing w:before="0"/>
              <w:jc w:val="right"/>
            </w:pPr>
          </w:p>
        </w:tc>
        <w:tc>
          <w:tcPr>
            <w:tcW w:w="6066" w:type="dxa"/>
            <w:tcBorders>
              <w:top w:val="nil"/>
              <w:left w:val="nil"/>
              <w:bottom w:val="single" w:sz="6" w:space="0" w:color="auto"/>
              <w:right w:val="nil"/>
            </w:tcBorders>
          </w:tcPr>
          <w:p w:rsidR="0028027B" w:rsidRPr="00DC1EE4" w:rsidRDefault="0028027B" w:rsidP="00C03F9E">
            <w:pPr>
              <w:pStyle w:val="Tabletext"/>
            </w:pPr>
            <w:r w:rsidRPr="00DC1EE4">
              <w:t>Net cash flows from investments in non</w:t>
            </w:r>
            <w:r w:rsidR="005A4BB0">
              <w:noBreakHyphen/>
            </w:r>
            <w:r w:rsidRPr="00DC1EE4">
              <w:t xml:space="preserve">financial assets </w:t>
            </w:r>
          </w:p>
        </w:tc>
        <w:tc>
          <w:tcPr>
            <w:tcW w:w="900" w:type="dxa"/>
            <w:tcBorders>
              <w:top w:val="nil"/>
              <w:left w:val="nil"/>
              <w:bottom w:val="single" w:sz="6" w:space="0" w:color="auto"/>
              <w:right w:val="nil"/>
            </w:tcBorders>
          </w:tcPr>
          <w:p w:rsidR="0028027B" w:rsidRPr="00DC1EE4" w:rsidRDefault="0028027B" w:rsidP="00C03F9E">
            <w:pPr>
              <w:pStyle w:val="TableTextCentred"/>
            </w:pPr>
            <w:r w:rsidRPr="00DC1EE4">
              <w:t xml:space="preserve"> </w:t>
            </w:r>
          </w:p>
        </w:tc>
        <w:tc>
          <w:tcPr>
            <w:tcW w:w="990" w:type="dxa"/>
            <w:tcBorders>
              <w:top w:val="nil"/>
              <w:left w:val="nil"/>
              <w:bottom w:val="nil"/>
              <w:right w:val="nil"/>
            </w:tcBorders>
            <w:vAlign w:val="bottom"/>
          </w:tcPr>
          <w:p w:rsidR="0028027B" w:rsidRPr="00DC1EE4" w:rsidRDefault="0028027B" w:rsidP="00C03F9E">
            <w:pPr>
              <w:pStyle w:val="TableofFigures"/>
            </w:pPr>
            <w:r w:rsidRPr="00DC1EE4">
              <w:t>(926)</w:t>
            </w:r>
          </w:p>
        </w:tc>
        <w:tc>
          <w:tcPr>
            <w:tcW w:w="1116" w:type="dxa"/>
            <w:gridSpan w:val="2"/>
            <w:tcBorders>
              <w:top w:val="nil"/>
              <w:left w:val="nil"/>
              <w:bottom w:val="single" w:sz="6" w:space="0" w:color="auto"/>
              <w:right w:val="nil"/>
            </w:tcBorders>
            <w:vAlign w:val="bottom"/>
          </w:tcPr>
          <w:p w:rsidR="0028027B" w:rsidRPr="00DC1EE4" w:rsidRDefault="0028027B" w:rsidP="00C03F9E">
            <w:pPr>
              <w:pStyle w:val="TableofFigures"/>
            </w:pPr>
            <w:r w:rsidRPr="00DC1EE4">
              <w:t xml:space="preserve"> (4 230)</w:t>
            </w:r>
          </w:p>
        </w:tc>
      </w:tr>
      <w:tr w:rsidR="0028027B" w:rsidRPr="00DC1EE4" w:rsidTr="00C03F9E">
        <w:trPr>
          <w:trHeight w:val="220"/>
        </w:trPr>
        <w:tc>
          <w:tcPr>
            <w:tcW w:w="1007" w:type="dxa"/>
            <w:tcBorders>
              <w:top w:val="nil"/>
              <w:left w:val="nil"/>
              <w:bottom w:val="single" w:sz="12" w:space="0" w:color="auto"/>
              <w:right w:val="nil"/>
            </w:tcBorders>
            <w:vAlign w:val="bottom"/>
          </w:tcPr>
          <w:p w:rsidR="0028027B" w:rsidRPr="00DC1EE4" w:rsidRDefault="0028027B" w:rsidP="00C03F9E">
            <w:pPr>
              <w:pStyle w:val="TableofFigures"/>
              <w:rPr>
                <w:b/>
              </w:rPr>
            </w:pPr>
            <w:r w:rsidRPr="00DC1EE4">
              <w:rPr>
                <w:b/>
              </w:rPr>
              <w:t>(519)</w:t>
            </w:r>
          </w:p>
        </w:tc>
        <w:tc>
          <w:tcPr>
            <w:tcW w:w="141" w:type="dxa"/>
            <w:tcBorders>
              <w:top w:val="nil"/>
              <w:left w:val="nil"/>
              <w:bottom w:val="single" w:sz="12" w:space="0" w:color="auto"/>
              <w:right w:val="nil"/>
            </w:tcBorders>
          </w:tcPr>
          <w:p w:rsidR="0028027B" w:rsidRPr="00DC1EE4" w:rsidRDefault="0028027B" w:rsidP="00C03F9E">
            <w:pPr>
              <w:spacing w:before="0"/>
              <w:jc w:val="right"/>
              <w:rPr>
                <w:b/>
              </w:rPr>
            </w:pPr>
          </w:p>
        </w:tc>
        <w:tc>
          <w:tcPr>
            <w:tcW w:w="6066" w:type="dxa"/>
            <w:tcBorders>
              <w:top w:val="nil"/>
              <w:left w:val="nil"/>
              <w:bottom w:val="single" w:sz="12" w:space="0" w:color="auto"/>
              <w:right w:val="nil"/>
            </w:tcBorders>
          </w:tcPr>
          <w:p w:rsidR="0028027B" w:rsidRPr="00DC1EE4" w:rsidRDefault="0028027B" w:rsidP="00C03F9E">
            <w:pPr>
              <w:pStyle w:val="Tabletext"/>
              <w:rPr>
                <w:b/>
              </w:rPr>
            </w:pPr>
            <w:r w:rsidRPr="00DC1EE4">
              <w:rPr>
                <w:b/>
              </w:rPr>
              <w:t>Cash surplus/(deficit)</w:t>
            </w:r>
          </w:p>
        </w:tc>
        <w:tc>
          <w:tcPr>
            <w:tcW w:w="900" w:type="dxa"/>
            <w:tcBorders>
              <w:top w:val="nil"/>
              <w:left w:val="nil"/>
              <w:bottom w:val="single" w:sz="12" w:space="0" w:color="auto"/>
              <w:right w:val="nil"/>
            </w:tcBorders>
          </w:tcPr>
          <w:p w:rsidR="0028027B" w:rsidRPr="00DC1EE4" w:rsidRDefault="0028027B" w:rsidP="00C03F9E">
            <w:pPr>
              <w:pStyle w:val="TableTextCentred"/>
              <w:rPr>
                <w:b/>
              </w:rPr>
            </w:pPr>
            <w:r w:rsidRPr="00DC1EE4">
              <w:rPr>
                <w:b/>
              </w:rPr>
              <w:t xml:space="preserve"> </w:t>
            </w:r>
          </w:p>
        </w:tc>
        <w:tc>
          <w:tcPr>
            <w:tcW w:w="990" w:type="dxa"/>
            <w:tcBorders>
              <w:top w:val="single" w:sz="6" w:space="0" w:color="auto"/>
              <w:left w:val="nil"/>
              <w:bottom w:val="single" w:sz="12" w:space="0" w:color="auto"/>
              <w:right w:val="nil"/>
            </w:tcBorders>
            <w:vAlign w:val="bottom"/>
          </w:tcPr>
          <w:p w:rsidR="0028027B" w:rsidRPr="00DC1EE4" w:rsidRDefault="0028027B" w:rsidP="00C03F9E">
            <w:pPr>
              <w:pStyle w:val="TableofFigures"/>
              <w:rPr>
                <w:b/>
              </w:rPr>
            </w:pPr>
            <w:r w:rsidRPr="00DC1EE4">
              <w:rPr>
                <w:b/>
              </w:rPr>
              <w:t>(646)</w:t>
            </w:r>
          </w:p>
        </w:tc>
        <w:tc>
          <w:tcPr>
            <w:tcW w:w="1116" w:type="dxa"/>
            <w:gridSpan w:val="2"/>
            <w:tcBorders>
              <w:top w:val="nil"/>
              <w:left w:val="nil"/>
              <w:bottom w:val="single" w:sz="12" w:space="0" w:color="auto"/>
              <w:right w:val="nil"/>
            </w:tcBorders>
            <w:vAlign w:val="bottom"/>
          </w:tcPr>
          <w:p w:rsidR="0028027B" w:rsidRPr="00DC1EE4" w:rsidRDefault="0028027B" w:rsidP="00C03F9E">
            <w:pPr>
              <w:pStyle w:val="TableofFigures"/>
              <w:rPr>
                <w:b/>
              </w:rPr>
            </w:pPr>
            <w:r w:rsidRPr="00DC1EE4">
              <w:rPr>
                <w:b/>
              </w:rPr>
              <w:t xml:space="preserve"> (475)</w:t>
            </w:r>
          </w:p>
        </w:tc>
      </w:tr>
    </w:tbl>
    <w:p w:rsidR="0028027B" w:rsidRPr="00DC1EE4" w:rsidRDefault="0028027B" w:rsidP="0028027B">
      <w:pPr>
        <w:pStyle w:val="Source"/>
      </w:pPr>
      <w:r w:rsidRPr="00DC1EE4">
        <w:t>The accompanying notes form part of these financial statements.</w:t>
      </w:r>
    </w:p>
    <w:p w:rsidR="0028027B" w:rsidRPr="00DC1EE4" w:rsidRDefault="0028027B" w:rsidP="0028027B">
      <w:pPr>
        <w:pStyle w:val="Notes"/>
      </w:pPr>
      <w:r w:rsidRPr="00DC1EE4">
        <w:t>Notes:</w:t>
      </w:r>
    </w:p>
    <w:p w:rsidR="0028027B" w:rsidRPr="00DC1EE4" w:rsidRDefault="0028027B" w:rsidP="0028027B">
      <w:pPr>
        <w:pStyle w:val="Notes"/>
      </w:pPr>
      <w:r w:rsidRPr="00DC1EE4">
        <w:t xml:space="preserve">(a) </w:t>
      </w:r>
      <w:r w:rsidRPr="00DC1EE4">
        <w:tab/>
        <w:t xml:space="preserve">These items are inclusive of goods and services tax. </w:t>
      </w:r>
    </w:p>
    <w:p w:rsidR="0028027B" w:rsidRPr="00DC1EE4" w:rsidRDefault="0028027B" w:rsidP="0028027B">
      <w:pPr>
        <w:pStyle w:val="Notes"/>
      </w:pPr>
      <w:r w:rsidRPr="00DC1EE4">
        <w:t>(b)</w:t>
      </w:r>
      <w:r w:rsidRPr="00DC1EE4">
        <w:tab/>
        <w:t>September 2014</w:t>
      </w:r>
      <w:r w:rsidR="005A4BB0">
        <w:noBreakHyphen/>
      </w:r>
      <w:r w:rsidRPr="00DC1EE4">
        <w:t>15 comparative figures have been updated to reflect more current information.</w:t>
      </w:r>
    </w:p>
    <w:p w:rsidR="0028027B" w:rsidRPr="00DC1EE4" w:rsidRDefault="0028027B" w:rsidP="00E348C3">
      <w:pPr>
        <w:pStyle w:val="Tableheading"/>
      </w:pPr>
      <w:r w:rsidRPr="00DC1EE4">
        <w:br w:type="page"/>
      </w:r>
      <w:bookmarkStart w:id="699" w:name="_Toc340737086"/>
      <w:r w:rsidRPr="00DC1EE4">
        <w:t>Table 1.8:</w:t>
      </w:r>
      <w:r w:rsidRPr="00DC1EE4">
        <w:tab/>
        <w:t>Consolidated statement of changes in equity for the period ending 30 September</w:t>
      </w:r>
      <w:bookmarkEnd w:id="699"/>
    </w:p>
    <w:p w:rsidR="0028027B" w:rsidRPr="00DC1EE4" w:rsidRDefault="0028027B" w:rsidP="0028027B">
      <w:pPr>
        <w:pStyle w:val="million"/>
      </w:pPr>
      <w:r w:rsidRPr="00DC1EE4">
        <w:t>($ million)</w:t>
      </w:r>
    </w:p>
    <w:tbl>
      <w:tblPr>
        <w:tblW w:w="10161" w:type="dxa"/>
        <w:jc w:val="center"/>
        <w:tblLayout w:type="fixed"/>
        <w:tblCellMar>
          <w:left w:w="43" w:type="dxa"/>
          <w:right w:w="43" w:type="dxa"/>
        </w:tblCellMar>
        <w:tblLook w:val="0000" w:firstRow="0" w:lastRow="0" w:firstColumn="0" w:lastColumn="0" w:noHBand="0" w:noVBand="0"/>
      </w:tblPr>
      <w:tblGrid>
        <w:gridCol w:w="3051"/>
        <w:gridCol w:w="1275"/>
        <w:gridCol w:w="976"/>
        <w:gridCol w:w="1665"/>
        <w:gridCol w:w="1557"/>
        <w:gridCol w:w="738"/>
        <w:gridCol w:w="899"/>
      </w:tblGrid>
      <w:tr w:rsidR="0028027B" w:rsidRPr="00DC1EE4" w:rsidTr="00C03F9E">
        <w:trPr>
          <w:jc w:val="center"/>
        </w:trPr>
        <w:tc>
          <w:tcPr>
            <w:tcW w:w="3051" w:type="dxa"/>
            <w:tcBorders>
              <w:top w:val="single" w:sz="4" w:space="0" w:color="auto"/>
              <w:left w:val="single" w:sz="4" w:space="0" w:color="auto"/>
              <w:bottom w:val="single" w:sz="4" w:space="0" w:color="auto"/>
              <w:right w:val="nil"/>
            </w:tcBorders>
            <w:shd w:val="clear" w:color="auto" w:fill="000000"/>
          </w:tcPr>
          <w:p w:rsidR="0028027B" w:rsidRPr="00DC1EE4" w:rsidRDefault="0028027B" w:rsidP="00C03F9E">
            <w:pPr>
              <w:pStyle w:val="Tabletextheading"/>
            </w:pPr>
          </w:p>
        </w:tc>
        <w:tc>
          <w:tcPr>
            <w:tcW w:w="1275" w:type="dxa"/>
            <w:tcBorders>
              <w:top w:val="single" w:sz="4" w:space="0" w:color="auto"/>
              <w:left w:val="nil"/>
              <w:bottom w:val="single" w:sz="4" w:space="0" w:color="auto"/>
              <w:right w:val="nil"/>
            </w:tcBorders>
            <w:shd w:val="clear" w:color="auto" w:fill="000000"/>
          </w:tcPr>
          <w:p w:rsidR="0028027B" w:rsidRPr="00DC1EE4" w:rsidRDefault="0028027B" w:rsidP="00C03F9E">
            <w:pPr>
              <w:pStyle w:val="Tabletextheading"/>
            </w:pPr>
            <w:r w:rsidRPr="00DC1EE4">
              <w:br/>
            </w:r>
            <w:r w:rsidRPr="00DC1EE4">
              <w:br/>
              <w:t>Accumulated surplus/(deficit)</w:t>
            </w:r>
          </w:p>
        </w:tc>
        <w:tc>
          <w:tcPr>
            <w:tcW w:w="976" w:type="dxa"/>
            <w:tcBorders>
              <w:top w:val="single" w:sz="4" w:space="0" w:color="auto"/>
              <w:left w:val="nil"/>
              <w:bottom w:val="single" w:sz="4" w:space="0" w:color="auto"/>
              <w:right w:val="single" w:sz="4" w:space="0" w:color="auto"/>
            </w:tcBorders>
            <w:shd w:val="clear" w:color="auto" w:fill="000000"/>
          </w:tcPr>
          <w:p w:rsidR="0028027B" w:rsidRPr="00DC1EE4" w:rsidRDefault="0028027B" w:rsidP="00C03F9E">
            <w:pPr>
              <w:pStyle w:val="Tabletextheading"/>
            </w:pPr>
            <w:r w:rsidRPr="00DC1EE4">
              <w:br/>
              <w:t>Non</w:t>
            </w:r>
            <w:r w:rsidR="005A4BB0">
              <w:noBreakHyphen/>
            </w:r>
            <w:r w:rsidRPr="00DC1EE4">
              <w:br/>
              <w:t>controlling interest</w:t>
            </w:r>
          </w:p>
        </w:tc>
        <w:tc>
          <w:tcPr>
            <w:tcW w:w="1665" w:type="dxa"/>
            <w:tcBorders>
              <w:top w:val="single" w:sz="4" w:space="0" w:color="auto"/>
              <w:left w:val="nil"/>
              <w:bottom w:val="single" w:sz="4" w:space="0" w:color="auto"/>
              <w:right w:val="single" w:sz="4" w:space="0" w:color="auto"/>
            </w:tcBorders>
            <w:shd w:val="clear" w:color="auto" w:fill="000000"/>
          </w:tcPr>
          <w:p w:rsidR="0028027B" w:rsidRPr="00DC1EE4" w:rsidRDefault="0028027B" w:rsidP="00C03F9E">
            <w:pPr>
              <w:pStyle w:val="Tabletextheading"/>
            </w:pPr>
          </w:p>
          <w:p w:rsidR="0028027B" w:rsidRPr="00DC1EE4" w:rsidRDefault="0028027B" w:rsidP="00C03F9E">
            <w:pPr>
              <w:pStyle w:val="Tabletextheading"/>
              <w:jc w:val="left"/>
              <w:rPr>
                <w:sz w:val="13"/>
                <w:szCs w:val="13"/>
              </w:rPr>
            </w:pPr>
          </w:p>
          <w:p w:rsidR="0028027B" w:rsidRPr="00DC1EE4" w:rsidRDefault="0028027B" w:rsidP="00C03F9E">
            <w:pPr>
              <w:pStyle w:val="Tabletextheading"/>
              <w:rPr>
                <w:vertAlign w:val="superscript"/>
              </w:rPr>
            </w:pPr>
            <w:r w:rsidRPr="00DC1EE4">
              <w:t>Non</w:t>
            </w:r>
            <w:r w:rsidR="005A4BB0">
              <w:noBreakHyphen/>
            </w:r>
            <w:r w:rsidRPr="00DC1EE4">
              <w:t>financial assets revaluation surplus</w:t>
            </w:r>
            <w:r w:rsidRPr="00DC1EE4">
              <w:rPr>
                <w:vertAlign w:val="superscript"/>
              </w:rPr>
              <w:t>(a)</w:t>
            </w:r>
          </w:p>
        </w:tc>
        <w:tc>
          <w:tcPr>
            <w:tcW w:w="1557" w:type="dxa"/>
            <w:tcBorders>
              <w:top w:val="single" w:sz="4" w:space="0" w:color="auto"/>
              <w:left w:val="nil"/>
              <w:bottom w:val="single" w:sz="4" w:space="0" w:color="auto"/>
              <w:right w:val="single" w:sz="4" w:space="0" w:color="auto"/>
            </w:tcBorders>
            <w:shd w:val="clear" w:color="auto" w:fill="000000"/>
          </w:tcPr>
          <w:p w:rsidR="0028027B" w:rsidRPr="00DC1EE4" w:rsidRDefault="0028027B" w:rsidP="00C03F9E">
            <w:pPr>
              <w:pStyle w:val="Tabletextheading"/>
            </w:pPr>
            <w:r w:rsidRPr="00DC1EE4">
              <w:br/>
              <w:t>Investment in other sector entities revaluation surplus</w:t>
            </w:r>
          </w:p>
        </w:tc>
        <w:tc>
          <w:tcPr>
            <w:tcW w:w="738" w:type="dxa"/>
            <w:tcBorders>
              <w:top w:val="single" w:sz="4" w:space="0" w:color="auto"/>
              <w:left w:val="nil"/>
              <w:bottom w:val="single" w:sz="4" w:space="0" w:color="auto"/>
              <w:right w:val="nil"/>
            </w:tcBorders>
            <w:shd w:val="clear" w:color="auto" w:fill="000000"/>
          </w:tcPr>
          <w:p w:rsidR="0028027B" w:rsidRPr="00DC1EE4" w:rsidRDefault="0028027B" w:rsidP="00C03F9E">
            <w:pPr>
              <w:pStyle w:val="Tabletextheading"/>
            </w:pPr>
            <w:r w:rsidRPr="00DC1EE4">
              <w:br/>
            </w:r>
            <w:r w:rsidRPr="00DC1EE4">
              <w:br/>
              <w:t xml:space="preserve">Other </w:t>
            </w:r>
          </w:p>
          <w:p w:rsidR="0028027B" w:rsidRPr="00DC1EE4" w:rsidRDefault="0028027B" w:rsidP="00C03F9E">
            <w:pPr>
              <w:pStyle w:val="Tabletextheading"/>
            </w:pPr>
            <w:r w:rsidRPr="00DC1EE4">
              <w:t>reserves</w:t>
            </w:r>
          </w:p>
        </w:tc>
        <w:tc>
          <w:tcPr>
            <w:tcW w:w="899" w:type="dxa"/>
            <w:tcBorders>
              <w:top w:val="single" w:sz="4" w:space="0" w:color="auto"/>
              <w:left w:val="nil"/>
              <w:bottom w:val="single" w:sz="4" w:space="0" w:color="auto"/>
              <w:right w:val="single" w:sz="4" w:space="0" w:color="auto"/>
            </w:tcBorders>
            <w:shd w:val="clear" w:color="auto" w:fill="000000"/>
          </w:tcPr>
          <w:p w:rsidR="0028027B" w:rsidRPr="00DC1EE4" w:rsidRDefault="0028027B" w:rsidP="00C03F9E">
            <w:pPr>
              <w:pStyle w:val="Tabletextheading"/>
            </w:pPr>
            <w:r w:rsidRPr="00DC1EE4">
              <w:br/>
            </w:r>
            <w:r w:rsidRPr="00DC1EE4">
              <w:br/>
            </w:r>
            <w:r w:rsidRPr="00DC1EE4">
              <w:br/>
              <w:t>Total</w:t>
            </w:r>
          </w:p>
        </w:tc>
      </w:tr>
      <w:tr w:rsidR="0028027B" w:rsidRPr="00DC1EE4" w:rsidTr="00C03F9E">
        <w:trPr>
          <w:jc w:val="center"/>
        </w:trPr>
        <w:tc>
          <w:tcPr>
            <w:tcW w:w="3051" w:type="dxa"/>
            <w:tcBorders>
              <w:top w:val="single" w:sz="4" w:space="0" w:color="auto"/>
              <w:left w:val="nil"/>
              <w:bottom w:val="nil"/>
              <w:right w:val="nil"/>
            </w:tcBorders>
          </w:tcPr>
          <w:p w:rsidR="0028027B" w:rsidRPr="00DC1EE4" w:rsidRDefault="0028027B" w:rsidP="00C03F9E">
            <w:pPr>
              <w:pStyle w:val="Tabletext"/>
              <w:rPr>
                <w:b/>
              </w:rPr>
            </w:pPr>
            <w:r w:rsidRPr="00DC1EE4">
              <w:rPr>
                <w:b/>
              </w:rPr>
              <w:t>2015</w:t>
            </w:r>
            <w:r w:rsidR="005A4BB0">
              <w:rPr>
                <w:b/>
              </w:rPr>
              <w:noBreakHyphen/>
            </w:r>
            <w:r w:rsidRPr="00DC1EE4">
              <w:rPr>
                <w:b/>
              </w:rPr>
              <w:t>16</w:t>
            </w:r>
          </w:p>
        </w:tc>
        <w:tc>
          <w:tcPr>
            <w:tcW w:w="1275"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976"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1665"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1557"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738"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 xml:space="preserve"> </w:t>
            </w:r>
          </w:p>
        </w:tc>
        <w:tc>
          <w:tcPr>
            <w:tcW w:w="899"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 xml:space="preserve"> </w:t>
            </w:r>
          </w:p>
        </w:tc>
      </w:tr>
      <w:tr w:rsidR="0028027B" w:rsidRPr="00DC1EE4" w:rsidTr="00C03F9E">
        <w:trPr>
          <w:jc w:val="center"/>
        </w:trPr>
        <w:tc>
          <w:tcPr>
            <w:tcW w:w="3051" w:type="dxa"/>
            <w:tcBorders>
              <w:top w:val="nil"/>
              <w:left w:val="nil"/>
              <w:bottom w:val="nil"/>
              <w:right w:val="nil"/>
            </w:tcBorders>
          </w:tcPr>
          <w:p w:rsidR="0028027B" w:rsidRPr="00DC1EE4" w:rsidRDefault="0028027B" w:rsidP="00C03F9E">
            <w:pPr>
              <w:pStyle w:val="Tabletext"/>
            </w:pPr>
            <w:r w:rsidRPr="00DC1EE4">
              <w:t>Balance at 1 July 2015</w:t>
            </w:r>
          </w:p>
        </w:tc>
        <w:tc>
          <w:tcPr>
            <w:tcW w:w="1275" w:type="dxa"/>
            <w:tcBorders>
              <w:top w:val="nil"/>
              <w:left w:val="nil"/>
              <w:bottom w:val="nil"/>
              <w:right w:val="nil"/>
            </w:tcBorders>
          </w:tcPr>
          <w:p w:rsidR="0028027B" w:rsidRPr="00DC1EE4" w:rsidRDefault="0028027B" w:rsidP="00C03F9E">
            <w:pPr>
              <w:pStyle w:val="TableofFigures"/>
            </w:pPr>
            <w:r w:rsidRPr="00DC1EE4">
              <w:t>45 788</w:t>
            </w:r>
          </w:p>
        </w:tc>
        <w:tc>
          <w:tcPr>
            <w:tcW w:w="976" w:type="dxa"/>
            <w:tcBorders>
              <w:top w:val="nil"/>
              <w:left w:val="nil"/>
              <w:bottom w:val="nil"/>
              <w:right w:val="nil"/>
            </w:tcBorders>
          </w:tcPr>
          <w:p w:rsidR="0028027B" w:rsidRPr="00DC1EE4" w:rsidRDefault="0028027B" w:rsidP="00C03F9E">
            <w:pPr>
              <w:pStyle w:val="TableofFigures"/>
            </w:pPr>
            <w:r w:rsidRPr="00DC1EE4">
              <w:t xml:space="preserve"> 50</w:t>
            </w:r>
          </w:p>
        </w:tc>
        <w:tc>
          <w:tcPr>
            <w:tcW w:w="1665" w:type="dxa"/>
            <w:tcBorders>
              <w:top w:val="nil"/>
              <w:left w:val="nil"/>
              <w:bottom w:val="nil"/>
              <w:right w:val="nil"/>
            </w:tcBorders>
          </w:tcPr>
          <w:p w:rsidR="0028027B" w:rsidRPr="00DC1EE4" w:rsidRDefault="0028027B" w:rsidP="00C03F9E">
            <w:pPr>
              <w:pStyle w:val="TableofFigures"/>
            </w:pPr>
            <w:r w:rsidRPr="00DC1EE4">
              <w:t>43 355</w:t>
            </w:r>
          </w:p>
        </w:tc>
        <w:tc>
          <w:tcPr>
            <w:tcW w:w="1557" w:type="dxa"/>
            <w:tcBorders>
              <w:top w:val="nil"/>
              <w:left w:val="nil"/>
              <w:bottom w:val="nil"/>
              <w:right w:val="nil"/>
            </w:tcBorders>
          </w:tcPr>
          <w:p w:rsidR="0028027B" w:rsidRPr="00DC1EE4" w:rsidRDefault="0028027B" w:rsidP="00C03F9E">
            <w:pPr>
              <w:pStyle w:val="TableofFigures"/>
            </w:pPr>
            <w:r w:rsidRPr="00DC1EE4">
              <w:t>46 413</w:t>
            </w:r>
          </w:p>
        </w:tc>
        <w:tc>
          <w:tcPr>
            <w:tcW w:w="738" w:type="dxa"/>
            <w:tcBorders>
              <w:top w:val="nil"/>
              <w:left w:val="nil"/>
              <w:bottom w:val="nil"/>
              <w:right w:val="nil"/>
            </w:tcBorders>
          </w:tcPr>
          <w:p w:rsidR="0028027B" w:rsidRPr="00DC1EE4" w:rsidRDefault="0028027B" w:rsidP="00C03F9E">
            <w:pPr>
              <w:pStyle w:val="TableofFigures"/>
            </w:pPr>
            <w:r w:rsidRPr="00DC1EE4">
              <w:t xml:space="preserve"> 728</w:t>
            </w:r>
          </w:p>
        </w:tc>
        <w:tc>
          <w:tcPr>
            <w:tcW w:w="899" w:type="dxa"/>
            <w:tcBorders>
              <w:top w:val="nil"/>
              <w:left w:val="nil"/>
              <w:bottom w:val="nil"/>
              <w:right w:val="nil"/>
            </w:tcBorders>
          </w:tcPr>
          <w:p w:rsidR="0028027B" w:rsidRPr="00DC1EE4" w:rsidRDefault="0028027B" w:rsidP="00C03F9E">
            <w:pPr>
              <w:pStyle w:val="TableofFigures"/>
            </w:pPr>
            <w:r w:rsidRPr="00DC1EE4">
              <w:t>136 335</w:t>
            </w:r>
          </w:p>
        </w:tc>
      </w:tr>
      <w:tr w:rsidR="0028027B" w:rsidRPr="00DC1EE4" w:rsidTr="00C03F9E">
        <w:trPr>
          <w:jc w:val="center"/>
        </w:trPr>
        <w:tc>
          <w:tcPr>
            <w:tcW w:w="3051" w:type="dxa"/>
            <w:tcBorders>
              <w:top w:val="nil"/>
              <w:left w:val="nil"/>
              <w:bottom w:val="nil"/>
              <w:right w:val="nil"/>
            </w:tcBorders>
          </w:tcPr>
          <w:p w:rsidR="0028027B" w:rsidRPr="00DC1EE4" w:rsidRDefault="0028027B" w:rsidP="00C03F9E">
            <w:pPr>
              <w:pStyle w:val="Tabletext"/>
            </w:pPr>
            <w:r w:rsidRPr="00DC1EE4">
              <w:t>Net result for the quarter</w:t>
            </w:r>
          </w:p>
        </w:tc>
        <w:tc>
          <w:tcPr>
            <w:tcW w:w="1275" w:type="dxa"/>
            <w:tcBorders>
              <w:top w:val="nil"/>
              <w:left w:val="nil"/>
              <w:bottom w:val="nil"/>
              <w:right w:val="nil"/>
            </w:tcBorders>
          </w:tcPr>
          <w:p w:rsidR="0028027B" w:rsidRPr="00DC1EE4" w:rsidRDefault="0028027B" w:rsidP="00C03F9E">
            <w:pPr>
              <w:pStyle w:val="TableofFigures"/>
            </w:pPr>
            <w:r w:rsidRPr="00DC1EE4">
              <w:t xml:space="preserve"> 353</w:t>
            </w:r>
          </w:p>
        </w:tc>
        <w:tc>
          <w:tcPr>
            <w:tcW w:w="976" w:type="dxa"/>
            <w:tcBorders>
              <w:top w:val="nil"/>
              <w:left w:val="nil"/>
              <w:bottom w:val="nil"/>
              <w:right w:val="nil"/>
            </w:tcBorders>
          </w:tcPr>
          <w:p w:rsidR="0028027B" w:rsidRPr="00DC1EE4" w:rsidRDefault="0028027B" w:rsidP="00C03F9E">
            <w:pPr>
              <w:pStyle w:val="TableofFigures"/>
            </w:pPr>
            <w:r w:rsidRPr="00DC1EE4">
              <w:t>..</w:t>
            </w:r>
          </w:p>
        </w:tc>
        <w:tc>
          <w:tcPr>
            <w:tcW w:w="1665" w:type="dxa"/>
            <w:tcBorders>
              <w:top w:val="nil"/>
              <w:left w:val="nil"/>
              <w:bottom w:val="nil"/>
              <w:right w:val="nil"/>
            </w:tcBorders>
          </w:tcPr>
          <w:p w:rsidR="0028027B" w:rsidRPr="00DC1EE4" w:rsidRDefault="0028027B" w:rsidP="00C03F9E">
            <w:pPr>
              <w:pStyle w:val="TableofFigures"/>
            </w:pPr>
            <w:r w:rsidRPr="00DC1EE4">
              <w:t>..</w:t>
            </w:r>
          </w:p>
        </w:tc>
        <w:tc>
          <w:tcPr>
            <w:tcW w:w="1557" w:type="dxa"/>
            <w:tcBorders>
              <w:top w:val="nil"/>
              <w:left w:val="nil"/>
              <w:bottom w:val="nil"/>
              <w:right w:val="nil"/>
            </w:tcBorders>
          </w:tcPr>
          <w:p w:rsidR="0028027B" w:rsidRPr="00DC1EE4" w:rsidRDefault="0028027B" w:rsidP="00C03F9E">
            <w:pPr>
              <w:pStyle w:val="TableofFigures"/>
            </w:pPr>
            <w:r w:rsidRPr="00DC1EE4">
              <w:t>..</w:t>
            </w:r>
          </w:p>
        </w:tc>
        <w:tc>
          <w:tcPr>
            <w:tcW w:w="738" w:type="dxa"/>
            <w:tcBorders>
              <w:top w:val="nil"/>
              <w:left w:val="nil"/>
              <w:bottom w:val="nil"/>
              <w:right w:val="nil"/>
            </w:tcBorders>
          </w:tcPr>
          <w:p w:rsidR="0028027B" w:rsidRPr="00DC1EE4" w:rsidRDefault="0028027B" w:rsidP="00C03F9E">
            <w:pPr>
              <w:pStyle w:val="TableofFigures"/>
            </w:pPr>
            <w:r w:rsidRPr="00DC1EE4">
              <w:t>..</w:t>
            </w:r>
          </w:p>
        </w:tc>
        <w:tc>
          <w:tcPr>
            <w:tcW w:w="899" w:type="dxa"/>
            <w:tcBorders>
              <w:top w:val="nil"/>
              <w:left w:val="nil"/>
              <w:bottom w:val="nil"/>
              <w:right w:val="nil"/>
            </w:tcBorders>
          </w:tcPr>
          <w:p w:rsidR="0028027B" w:rsidRPr="00DC1EE4" w:rsidRDefault="0028027B" w:rsidP="00C03F9E">
            <w:pPr>
              <w:pStyle w:val="TableofFigures"/>
            </w:pPr>
            <w:r w:rsidRPr="00DC1EE4">
              <w:t xml:space="preserve"> 353</w:t>
            </w:r>
          </w:p>
        </w:tc>
      </w:tr>
      <w:tr w:rsidR="0028027B" w:rsidRPr="00DC1EE4" w:rsidTr="00C03F9E">
        <w:trPr>
          <w:jc w:val="center"/>
        </w:trPr>
        <w:tc>
          <w:tcPr>
            <w:tcW w:w="3051" w:type="dxa"/>
            <w:tcBorders>
              <w:top w:val="nil"/>
              <w:left w:val="nil"/>
              <w:bottom w:val="nil"/>
              <w:right w:val="nil"/>
            </w:tcBorders>
          </w:tcPr>
          <w:p w:rsidR="0028027B" w:rsidRPr="00DC1EE4" w:rsidRDefault="0028027B" w:rsidP="00C03F9E">
            <w:pPr>
              <w:pStyle w:val="Tabletext"/>
              <w:ind w:left="233" w:hanging="233"/>
            </w:pPr>
            <w:r w:rsidRPr="00DC1EE4">
              <w:t>Other comprehensive income for the year</w:t>
            </w:r>
          </w:p>
        </w:tc>
        <w:tc>
          <w:tcPr>
            <w:tcW w:w="1275" w:type="dxa"/>
            <w:tcBorders>
              <w:top w:val="nil"/>
              <w:left w:val="nil"/>
              <w:bottom w:val="nil"/>
              <w:right w:val="nil"/>
            </w:tcBorders>
          </w:tcPr>
          <w:p w:rsidR="0028027B" w:rsidRPr="00DC1EE4" w:rsidRDefault="0028027B" w:rsidP="00C03F9E">
            <w:pPr>
              <w:pStyle w:val="TableofFigures"/>
            </w:pPr>
            <w:r w:rsidRPr="00DC1EE4">
              <w:t>(1 916)</w:t>
            </w:r>
          </w:p>
        </w:tc>
        <w:tc>
          <w:tcPr>
            <w:tcW w:w="976" w:type="dxa"/>
            <w:tcBorders>
              <w:top w:val="nil"/>
              <w:left w:val="nil"/>
              <w:bottom w:val="nil"/>
              <w:right w:val="nil"/>
            </w:tcBorders>
          </w:tcPr>
          <w:p w:rsidR="0028027B" w:rsidRPr="00DC1EE4" w:rsidRDefault="0028027B" w:rsidP="00C03F9E">
            <w:pPr>
              <w:pStyle w:val="TableofFigures"/>
            </w:pPr>
            <w:r w:rsidRPr="00DC1EE4">
              <w:t>..</w:t>
            </w:r>
          </w:p>
        </w:tc>
        <w:tc>
          <w:tcPr>
            <w:tcW w:w="1665" w:type="dxa"/>
            <w:tcBorders>
              <w:top w:val="nil"/>
              <w:left w:val="nil"/>
              <w:bottom w:val="nil"/>
              <w:right w:val="nil"/>
            </w:tcBorders>
          </w:tcPr>
          <w:p w:rsidR="0028027B" w:rsidRPr="00DC1EE4" w:rsidRDefault="0028027B" w:rsidP="00C03F9E">
            <w:pPr>
              <w:pStyle w:val="TableofFigures"/>
            </w:pPr>
            <w:r w:rsidRPr="00DC1EE4">
              <w:t xml:space="preserve"> 32</w:t>
            </w:r>
          </w:p>
        </w:tc>
        <w:tc>
          <w:tcPr>
            <w:tcW w:w="1557" w:type="dxa"/>
            <w:tcBorders>
              <w:top w:val="nil"/>
              <w:left w:val="nil"/>
              <w:bottom w:val="nil"/>
              <w:right w:val="nil"/>
            </w:tcBorders>
          </w:tcPr>
          <w:p w:rsidR="0028027B" w:rsidRPr="00DC1EE4" w:rsidRDefault="0028027B" w:rsidP="00C03F9E">
            <w:pPr>
              <w:pStyle w:val="TableofFigures"/>
            </w:pPr>
            <w:r w:rsidRPr="00DC1EE4">
              <w:t>..</w:t>
            </w:r>
          </w:p>
        </w:tc>
        <w:tc>
          <w:tcPr>
            <w:tcW w:w="738" w:type="dxa"/>
            <w:tcBorders>
              <w:top w:val="nil"/>
              <w:left w:val="nil"/>
              <w:bottom w:val="nil"/>
              <w:right w:val="nil"/>
            </w:tcBorders>
          </w:tcPr>
          <w:p w:rsidR="0028027B" w:rsidRPr="00DC1EE4" w:rsidRDefault="0028027B" w:rsidP="00C03F9E">
            <w:pPr>
              <w:pStyle w:val="TableofFigures"/>
            </w:pPr>
            <w:r w:rsidRPr="00DC1EE4">
              <w:t>(20)</w:t>
            </w:r>
          </w:p>
        </w:tc>
        <w:tc>
          <w:tcPr>
            <w:tcW w:w="899" w:type="dxa"/>
            <w:tcBorders>
              <w:top w:val="nil"/>
              <w:left w:val="nil"/>
              <w:bottom w:val="nil"/>
              <w:right w:val="nil"/>
            </w:tcBorders>
          </w:tcPr>
          <w:p w:rsidR="0028027B" w:rsidRPr="00DC1EE4" w:rsidRDefault="0028027B" w:rsidP="00C03F9E">
            <w:pPr>
              <w:pStyle w:val="TableofFigures"/>
            </w:pPr>
            <w:r w:rsidRPr="00DC1EE4">
              <w:t>(1 903)</w:t>
            </w:r>
          </w:p>
        </w:tc>
      </w:tr>
      <w:tr w:rsidR="0028027B" w:rsidRPr="00DC1EE4" w:rsidTr="00C03F9E">
        <w:trPr>
          <w:jc w:val="center"/>
        </w:trPr>
        <w:tc>
          <w:tcPr>
            <w:tcW w:w="3051" w:type="dxa"/>
            <w:tcBorders>
              <w:top w:val="nil"/>
              <w:left w:val="nil"/>
              <w:bottom w:val="nil"/>
              <w:right w:val="nil"/>
            </w:tcBorders>
          </w:tcPr>
          <w:p w:rsidR="0028027B" w:rsidRPr="00DC1EE4" w:rsidRDefault="0028027B" w:rsidP="00C03F9E">
            <w:pPr>
              <w:pStyle w:val="Tabletext"/>
            </w:pPr>
            <w:r w:rsidRPr="00DC1EE4">
              <w:t>Transfer to accumulated surplus</w:t>
            </w:r>
          </w:p>
        </w:tc>
        <w:tc>
          <w:tcPr>
            <w:tcW w:w="1275" w:type="dxa"/>
            <w:tcBorders>
              <w:top w:val="nil"/>
              <w:left w:val="nil"/>
              <w:bottom w:val="nil"/>
              <w:right w:val="nil"/>
            </w:tcBorders>
          </w:tcPr>
          <w:p w:rsidR="0028027B" w:rsidRPr="00DC1EE4" w:rsidRDefault="0028027B" w:rsidP="00C03F9E">
            <w:pPr>
              <w:pStyle w:val="TableofFigures"/>
            </w:pPr>
            <w:r w:rsidRPr="00DC1EE4">
              <w:t xml:space="preserve"> 11</w:t>
            </w:r>
          </w:p>
        </w:tc>
        <w:tc>
          <w:tcPr>
            <w:tcW w:w="976" w:type="dxa"/>
            <w:tcBorders>
              <w:top w:val="nil"/>
              <w:left w:val="nil"/>
              <w:bottom w:val="nil"/>
              <w:right w:val="nil"/>
            </w:tcBorders>
          </w:tcPr>
          <w:p w:rsidR="0028027B" w:rsidRPr="00DC1EE4" w:rsidRDefault="0028027B" w:rsidP="00C03F9E">
            <w:pPr>
              <w:pStyle w:val="TableofFigures"/>
            </w:pPr>
            <w:r w:rsidRPr="00DC1EE4">
              <w:t xml:space="preserve"> ..</w:t>
            </w:r>
          </w:p>
        </w:tc>
        <w:tc>
          <w:tcPr>
            <w:tcW w:w="1665" w:type="dxa"/>
            <w:tcBorders>
              <w:top w:val="nil"/>
              <w:left w:val="nil"/>
              <w:bottom w:val="nil"/>
              <w:right w:val="nil"/>
            </w:tcBorders>
          </w:tcPr>
          <w:p w:rsidR="0028027B" w:rsidRPr="00DC1EE4" w:rsidRDefault="0028027B" w:rsidP="00C03F9E">
            <w:pPr>
              <w:pStyle w:val="TableofFigures"/>
            </w:pPr>
            <w:r w:rsidRPr="00DC1EE4">
              <w:t xml:space="preserve"> 1</w:t>
            </w:r>
          </w:p>
        </w:tc>
        <w:tc>
          <w:tcPr>
            <w:tcW w:w="1557" w:type="dxa"/>
            <w:tcBorders>
              <w:top w:val="nil"/>
              <w:left w:val="nil"/>
              <w:bottom w:val="nil"/>
              <w:right w:val="nil"/>
            </w:tcBorders>
          </w:tcPr>
          <w:p w:rsidR="0028027B" w:rsidRPr="00DC1EE4" w:rsidRDefault="0028027B" w:rsidP="00C03F9E">
            <w:pPr>
              <w:pStyle w:val="TableofFigures"/>
            </w:pPr>
            <w:r w:rsidRPr="00DC1EE4">
              <w:t xml:space="preserve"> ..</w:t>
            </w:r>
          </w:p>
        </w:tc>
        <w:tc>
          <w:tcPr>
            <w:tcW w:w="738" w:type="dxa"/>
            <w:tcBorders>
              <w:top w:val="nil"/>
              <w:left w:val="nil"/>
              <w:bottom w:val="nil"/>
              <w:right w:val="nil"/>
            </w:tcBorders>
          </w:tcPr>
          <w:p w:rsidR="0028027B" w:rsidRPr="00DC1EE4" w:rsidRDefault="0028027B" w:rsidP="00C03F9E">
            <w:pPr>
              <w:pStyle w:val="TableofFigures"/>
            </w:pPr>
            <w:r w:rsidRPr="00DC1EE4">
              <w:t xml:space="preserve"> ..</w:t>
            </w:r>
          </w:p>
        </w:tc>
        <w:tc>
          <w:tcPr>
            <w:tcW w:w="899" w:type="dxa"/>
            <w:tcBorders>
              <w:top w:val="nil"/>
              <w:left w:val="nil"/>
              <w:bottom w:val="nil"/>
              <w:right w:val="nil"/>
            </w:tcBorders>
          </w:tcPr>
          <w:p w:rsidR="0028027B" w:rsidRPr="00DC1EE4" w:rsidRDefault="0028027B" w:rsidP="00C03F9E">
            <w:pPr>
              <w:pStyle w:val="TableofFigures"/>
            </w:pPr>
            <w:r w:rsidRPr="00DC1EE4">
              <w:t xml:space="preserve"> 12</w:t>
            </w:r>
          </w:p>
        </w:tc>
      </w:tr>
      <w:tr w:rsidR="0028027B" w:rsidRPr="00DC1EE4" w:rsidTr="00C03F9E">
        <w:trPr>
          <w:jc w:val="center"/>
        </w:trPr>
        <w:tc>
          <w:tcPr>
            <w:tcW w:w="3051" w:type="dxa"/>
            <w:tcBorders>
              <w:top w:val="single" w:sz="6" w:space="0" w:color="auto"/>
              <w:left w:val="nil"/>
              <w:bottom w:val="single" w:sz="12" w:space="0" w:color="auto"/>
              <w:right w:val="nil"/>
            </w:tcBorders>
          </w:tcPr>
          <w:p w:rsidR="0028027B" w:rsidRPr="00DC1EE4" w:rsidRDefault="0028027B" w:rsidP="00C03F9E">
            <w:pPr>
              <w:pStyle w:val="Tabletext"/>
              <w:ind w:left="233" w:hanging="233"/>
              <w:rPr>
                <w:b/>
              </w:rPr>
            </w:pPr>
            <w:r w:rsidRPr="00DC1EE4">
              <w:rPr>
                <w:b/>
              </w:rPr>
              <w:t>Total equity as at 30 September 2015</w:t>
            </w:r>
          </w:p>
        </w:tc>
        <w:tc>
          <w:tcPr>
            <w:tcW w:w="127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44 237</w:t>
            </w:r>
          </w:p>
        </w:tc>
        <w:tc>
          <w:tcPr>
            <w:tcW w:w="976"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50</w:t>
            </w:r>
          </w:p>
        </w:tc>
        <w:tc>
          <w:tcPr>
            <w:tcW w:w="166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43 387</w:t>
            </w:r>
          </w:p>
        </w:tc>
        <w:tc>
          <w:tcPr>
            <w:tcW w:w="1557"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46 413</w:t>
            </w:r>
          </w:p>
        </w:tc>
        <w:tc>
          <w:tcPr>
            <w:tcW w:w="738"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708</w:t>
            </w:r>
          </w:p>
        </w:tc>
        <w:tc>
          <w:tcPr>
            <w:tcW w:w="899"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134 796</w:t>
            </w:r>
          </w:p>
        </w:tc>
      </w:tr>
      <w:tr w:rsidR="0028027B" w:rsidRPr="00DC1EE4" w:rsidTr="00C03F9E">
        <w:trPr>
          <w:jc w:val="center"/>
        </w:trPr>
        <w:tc>
          <w:tcPr>
            <w:tcW w:w="3051" w:type="dxa"/>
            <w:tcBorders>
              <w:top w:val="single" w:sz="12" w:space="0" w:color="auto"/>
              <w:left w:val="nil"/>
              <w:bottom w:val="single" w:sz="12" w:space="0" w:color="auto"/>
              <w:right w:val="nil"/>
            </w:tcBorders>
          </w:tcPr>
          <w:p w:rsidR="0028027B" w:rsidRPr="00DC1EE4" w:rsidRDefault="0028027B" w:rsidP="00C03F9E">
            <w:pPr>
              <w:pStyle w:val="Tabletext"/>
              <w:rPr>
                <w:b/>
              </w:rPr>
            </w:pPr>
            <w:r w:rsidRPr="00DC1EE4">
              <w:rPr>
                <w:b/>
              </w:rPr>
              <w:t>Budget equity as at 30 June 2016</w:t>
            </w:r>
            <w:r w:rsidRPr="00DC1EE4">
              <w:rPr>
                <w:b/>
                <w:vertAlign w:val="superscript"/>
              </w:rPr>
              <w:t>(b)</w:t>
            </w:r>
          </w:p>
        </w:tc>
        <w:tc>
          <w:tcPr>
            <w:tcW w:w="1275" w:type="dxa"/>
            <w:tcBorders>
              <w:top w:val="single" w:sz="12" w:space="0" w:color="auto"/>
              <w:left w:val="nil"/>
              <w:bottom w:val="single" w:sz="12" w:space="0" w:color="auto"/>
              <w:right w:val="nil"/>
            </w:tcBorders>
          </w:tcPr>
          <w:p w:rsidR="0028027B" w:rsidRPr="00DC1EE4" w:rsidRDefault="0028027B" w:rsidP="00C03F9E">
            <w:pPr>
              <w:pStyle w:val="TableofFigures"/>
              <w:rPr>
                <w:b/>
              </w:rPr>
            </w:pPr>
            <w:r w:rsidRPr="00DC1EE4">
              <w:rPr>
                <w:b/>
              </w:rPr>
              <w:t>53 112</w:t>
            </w:r>
          </w:p>
        </w:tc>
        <w:tc>
          <w:tcPr>
            <w:tcW w:w="976" w:type="dxa"/>
            <w:tcBorders>
              <w:top w:val="single" w:sz="12"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50</w:t>
            </w:r>
          </w:p>
        </w:tc>
        <w:tc>
          <w:tcPr>
            <w:tcW w:w="1665" w:type="dxa"/>
            <w:tcBorders>
              <w:top w:val="single" w:sz="12" w:space="0" w:color="auto"/>
              <w:left w:val="nil"/>
              <w:bottom w:val="single" w:sz="12" w:space="0" w:color="auto"/>
              <w:right w:val="nil"/>
            </w:tcBorders>
          </w:tcPr>
          <w:p w:rsidR="0028027B" w:rsidRPr="00DC1EE4" w:rsidRDefault="0028027B" w:rsidP="00C03F9E">
            <w:pPr>
              <w:pStyle w:val="TableofFigures"/>
              <w:rPr>
                <w:b/>
              </w:rPr>
            </w:pPr>
            <w:r w:rsidRPr="00DC1EE4">
              <w:rPr>
                <w:b/>
              </w:rPr>
              <w:t>44 111</w:t>
            </w:r>
          </w:p>
        </w:tc>
        <w:tc>
          <w:tcPr>
            <w:tcW w:w="1557" w:type="dxa"/>
            <w:tcBorders>
              <w:top w:val="single" w:sz="12" w:space="0" w:color="auto"/>
              <w:left w:val="nil"/>
              <w:bottom w:val="single" w:sz="12" w:space="0" w:color="auto"/>
              <w:right w:val="nil"/>
            </w:tcBorders>
          </w:tcPr>
          <w:p w:rsidR="0028027B" w:rsidRPr="00DC1EE4" w:rsidRDefault="0028027B" w:rsidP="00C03F9E">
            <w:pPr>
              <w:pStyle w:val="TableofFigures"/>
              <w:rPr>
                <w:b/>
              </w:rPr>
            </w:pPr>
            <w:r w:rsidRPr="00DC1EE4">
              <w:rPr>
                <w:b/>
              </w:rPr>
              <w:t>46 414</w:t>
            </w:r>
          </w:p>
        </w:tc>
        <w:tc>
          <w:tcPr>
            <w:tcW w:w="738" w:type="dxa"/>
            <w:tcBorders>
              <w:top w:val="single" w:sz="12"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740</w:t>
            </w:r>
          </w:p>
        </w:tc>
        <w:tc>
          <w:tcPr>
            <w:tcW w:w="899" w:type="dxa"/>
            <w:tcBorders>
              <w:top w:val="single" w:sz="12" w:space="0" w:color="auto"/>
              <w:left w:val="nil"/>
              <w:bottom w:val="single" w:sz="12" w:space="0" w:color="auto"/>
              <w:right w:val="nil"/>
            </w:tcBorders>
          </w:tcPr>
          <w:p w:rsidR="0028027B" w:rsidRPr="00DC1EE4" w:rsidRDefault="0028027B" w:rsidP="00C03F9E">
            <w:pPr>
              <w:pStyle w:val="TableofFigures"/>
              <w:rPr>
                <w:b/>
              </w:rPr>
            </w:pPr>
            <w:r w:rsidRPr="00DC1EE4">
              <w:rPr>
                <w:b/>
              </w:rPr>
              <w:t>144 427</w:t>
            </w:r>
          </w:p>
        </w:tc>
      </w:tr>
      <w:tr w:rsidR="0028027B" w:rsidRPr="00DC1EE4" w:rsidTr="00C03F9E">
        <w:trPr>
          <w:jc w:val="center"/>
        </w:trPr>
        <w:tc>
          <w:tcPr>
            <w:tcW w:w="3051" w:type="dxa"/>
            <w:tcBorders>
              <w:top w:val="single" w:sz="12" w:space="0" w:color="auto"/>
              <w:left w:val="nil"/>
              <w:bottom w:val="nil"/>
              <w:right w:val="nil"/>
            </w:tcBorders>
          </w:tcPr>
          <w:p w:rsidR="0028027B" w:rsidRPr="00DC1EE4" w:rsidRDefault="0028027B" w:rsidP="00C03F9E">
            <w:pPr>
              <w:pStyle w:val="Tabletext"/>
              <w:rPr>
                <w:b/>
              </w:rPr>
            </w:pPr>
            <w:r w:rsidRPr="00DC1EE4">
              <w:rPr>
                <w:b/>
              </w:rPr>
              <w:t>2014</w:t>
            </w:r>
            <w:r w:rsidR="005A4BB0">
              <w:rPr>
                <w:b/>
              </w:rPr>
              <w:noBreakHyphen/>
            </w:r>
            <w:r w:rsidRPr="00DC1EE4">
              <w:rPr>
                <w:b/>
              </w:rPr>
              <w:t>15</w:t>
            </w:r>
            <w:r w:rsidRPr="00DC1EE4">
              <w:rPr>
                <w:b/>
                <w:vertAlign w:val="superscript"/>
              </w:rPr>
              <w:t>(c)</w:t>
            </w:r>
          </w:p>
        </w:tc>
        <w:tc>
          <w:tcPr>
            <w:tcW w:w="1275" w:type="dxa"/>
            <w:tcBorders>
              <w:top w:val="single" w:sz="12" w:space="0" w:color="auto"/>
              <w:left w:val="nil"/>
              <w:bottom w:val="nil"/>
              <w:right w:val="nil"/>
            </w:tcBorders>
          </w:tcPr>
          <w:p w:rsidR="0028027B" w:rsidRPr="00DC1EE4" w:rsidRDefault="0028027B" w:rsidP="00C03F9E">
            <w:pPr>
              <w:pStyle w:val="TableofFigures"/>
              <w:rPr>
                <w:b/>
              </w:rPr>
            </w:pPr>
            <w:r w:rsidRPr="00DC1EE4">
              <w:t xml:space="preserve"> </w:t>
            </w:r>
          </w:p>
        </w:tc>
        <w:tc>
          <w:tcPr>
            <w:tcW w:w="976" w:type="dxa"/>
            <w:tcBorders>
              <w:top w:val="single" w:sz="12" w:space="0" w:color="auto"/>
              <w:left w:val="nil"/>
              <w:bottom w:val="nil"/>
              <w:right w:val="nil"/>
            </w:tcBorders>
          </w:tcPr>
          <w:p w:rsidR="0028027B" w:rsidRPr="00DC1EE4" w:rsidRDefault="0028027B" w:rsidP="00C03F9E">
            <w:pPr>
              <w:pStyle w:val="TableofFigures"/>
              <w:rPr>
                <w:b/>
              </w:rPr>
            </w:pPr>
            <w:r w:rsidRPr="00DC1EE4">
              <w:t xml:space="preserve"> </w:t>
            </w:r>
          </w:p>
        </w:tc>
        <w:tc>
          <w:tcPr>
            <w:tcW w:w="1665" w:type="dxa"/>
            <w:tcBorders>
              <w:top w:val="single" w:sz="12" w:space="0" w:color="auto"/>
              <w:left w:val="nil"/>
              <w:bottom w:val="nil"/>
              <w:right w:val="nil"/>
            </w:tcBorders>
          </w:tcPr>
          <w:p w:rsidR="0028027B" w:rsidRPr="00DC1EE4" w:rsidRDefault="0028027B" w:rsidP="00C03F9E">
            <w:pPr>
              <w:pStyle w:val="TableofFigures"/>
              <w:rPr>
                <w:b/>
              </w:rPr>
            </w:pPr>
            <w:r w:rsidRPr="00DC1EE4">
              <w:t xml:space="preserve"> </w:t>
            </w:r>
          </w:p>
        </w:tc>
        <w:tc>
          <w:tcPr>
            <w:tcW w:w="1557" w:type="dxa"/>
            <w:tcBorders>
              <w:top w:val="single" w:sz="12" w:space="0" w:color="auto"/>
              <w:left w:val="nil"/>
              <w:bottom w:val="nil"/>
              <w:right w:val="nil"/>
            </w:tcBorders>
          </w:tcPr>
          <w:p w:rsidR="0028027B" w:rsidRPr="00DC1EE4" w:rsidRDefault="0028027B" w:rsidP="00C03F9E">
            <w:pPr>
              <w:pStyle w:val="TableofFigures"/>
              <w:rPr>
                <w:b/>
              </w:rPr>
            </w:pPr>
            <w:r w:rsidRPr="00DC1EE4">
              <w:t xml:space="preserve"> </w:t>
            </w:r>
          </w:p>
        </w:tc>
        <w:tc>
          <w:tcPr>
            <w:tcW w:w="738" w:type="dxa"/>
            <w:tcBorders>
              <w:top w:val="single" w:sz="12" w:space="0" w:color="auto"/>
              <w:left w:val="nil"/>
              <w:bottom w:val="nil"/>
              <w:right w:val="nil"/>
            </w:tcBorders>
          </w:tcPr>
          <w:p w:rsidR="0028027B" w:rsidRPr="00DC1EE4" w:rsidRDefault="0028027B" w:rsidP="00C03F9E">
            <w:pPr>
              <w:pStyle w:val="TableofFigures"/>
              <w:rPr>
                <w:b/>
              </w:rPr>
            </w:pPr>
            <w:r w:rsidRPr="00DC1EE4">
              <w:t xml:space="preserve"> </w:t>
            </w:r>
          </w:p>
        </w:tc>
        <w:tc>
          <w:tcPr>
            <w:tcW w:w="899" w:type="dxa"/>
            <w:tcBorders>
              <w:top w:val="single" w:sz="12" w:space="0" w:color="auto"/>
              <w:left w:val="nil"/>
              <w:bottom w:val="nil"/>
              <w:right w:val="nil"/>
            </w:tcBorders>
          </w:tcPr>
          <w:p w:rsidR="0028027B" w:rsidRPr="00DC1EE4" w:rsidRDefault="0028027B" w:rsidP="00C03F9E">
            <w:pPr>
              <w:pStyle w:val="TableofFigures"/>
              <w:rPr>
                <w:b/>
              </w:rPr>
            </w:pPr>
            <w:r w:rsidRPr="00DC1EE4">
              <w:t xml:space="preserve"> </w:t>
            </w:r>
          </w:p>
        </w:tc>
      </w:tr>
      <w:tr w:rsidR="0028027B" w:rsidRPr="00DC1EE4" w:rsidTr="00C03F9E">
        <w:trPr>
          <w:jc w:val="center"/>
        </w:trPr>
        <w:tc>
          <w:tcPr>
            <w:tcW w:w="3051" w:type="dxa"/>
            <w:tcBorders>
              <w:top w:val="nil"/>
              <w:left w:val="nil"/>
              <w:right w:val="nil"/>
            </w:tcBorders>
          </w:tcPr>
          <w:p w:rsidR="0028027B" w:rsidRPr="00DC1EE4" w:rsidRDefault="0028027B" w:rsidP="00C03F9E">
            <w:pPr>
              <w:pStyle w:val="Tabletext"/>
            </w:pPr>
            <w:r w:rsidRPr="00DC1EE4">
              <w:t>Balance at 1 July 2014</w:t>
            </w:r>
            <w:r w:rsidRPr="00DC1EE4">
              <w:rPr>
                <w:vertAlign w:val="superscript"/>
              </w:rPr>
              <w:t>(a)</w:t>
            </w:r>
          </w:p>
        </w:tc>
        <w:tc>
          <w:tcPr>
            <w:tcW w:w="1275" w:type="dxa"/>
            <w:tcBorders>
              <w:top w:val="nil"/>
              <w:left w:val="nil"/>
              <w:right w:val="nil"/>
            </w:tcBorders>
          </w:tcPr>
          <w:p w:rsidR="0028027B" w:rsidRPr="00DC1EE4" w:rsidRDefault="0028027B" w:rsidP="00C03F9E">
            <w:pPr>
              <w:pStyle w:val="TableofFigures"/>
            </w:pPr>
            <w:r w:rsidRPr="00DC1EE4">
              <w:t>43 635</w:t>
            </w:r>
          </w:p>
        </w:tc>
        <w:tc>
          <w:tcPr>
            <w:tcW w:w="976" w:type="dxa"/>
            <w:tcBorders>
              <w:top w:val="nil"/>
              <w:left w:val="nil"/>
              <w:right w:val="nil"/>
            </w:tcBorders>
          </w:tcPr>
          <w:p w:rsidR="0028027B" w:rsidRPr="00DC1EE4" w:rsidRDefault="0028027B" w:rsidP="00C03F9E">
            <w:pPr>
              <w:pStyle w:val="TableofFigures"/>
            </w:pPr>
            <w:r w:rsidRPr="00DC1EE4">
              <w:t xml:space="preserve"> 50</w:t>
            </w:r>
          </w:p>
        </w:tc>
        <w:tc>
          <w:tcPr>
            <w:tcW w:w="1665" w:type="dxa"/>
            <w:tcBorders>
              <w:top w:val="nil"/>
              <w:left w:val="nil"/>
              <w:right w:val="nil"/>
            </w:tcBorders>
          </w:tcPr>
          <w:p w:rsidR="0028027B" w:rsidRPr="00DC1EE4" w:rsidRDefault="0028027B" w:rsidP="00C03F9E">
            <w:pPr>
              <w:pStyle w:val="TableofFigures"/>
            </w:pPr>
            <w:r w:rsidRPr="00DC1EE4">
              <w:t>41 965</w:t>
            </w:r>
          </w:p>
        </w:tc>
        <w:tc>
          <w:tcPr>
            <w:tcW w:w="1557" w:type="dxa"/>
            <w:tcBorders>
              <w:top w:val="nil"/>
              <w:left w:val="nil"/>
              <w:right w:val="nil"/>
            </w:tcBorders>
          </w:tcPr>
          <w:p w:rsidR="0028027B" w:rsidRPr="00DC1EE4" w:rsidRDefault="0028027B" w:rsidP="00C03F9E">
            <w:pPr>
              <w:pStyle w:val="TableofFigures"/>
            </w:pPr>
            <w:r w:rsidRPr="00DC1EE4">
              <w:t>42 187</w:t>
            </w:r>
          </w:p>
        </w:tc>
        <w:tc>
          <w:tcPr>
            <w:tcW w:w="738" w:type="dxa"/>
            <w:tcBorders>
              <w:top w:val="nil"/>
              <w:left w:val="nil"/>
              <w:right w:val="nil"/>
            </w:tcBorders>
          </w:tcPr>
          <w:p w:rsidR="0028027B" w:rsidRPr="00DC1EE4" w:rsidRDefault="0028027B" w:rsidP="00C03F9E">
            <w:pPr>
              <w:pStyle w:val="TableofFigures"/>
            </w:pPr>
            <w:r w:rsidRPr="00DC1EE4">
              <w:t xml:space="preserve"> 640</w:t>
            </w:r>
          </w:p>
        </w:tc>
        <w:tc>
          <w:tcPr>
            <w:tcW w:w="899" w:type="dxa"/>
            <w:tcBorders>
              <w:top w:val="nil"/>
              <w:left w:val="nil"/>
              <w:right w:val="nil"/>
            </w:tcBorders>
          </w:tcPr>
          <w:p w:rsidR="0028027B" w:rsidRPr="00DC1EE4" w:rsidRDefault="0028027B" w:rsidP="00C03F9E">
            <w:pPr>
              <w:pStyle w:val="TableofFigures"/>
            </w:pPr>
            <w:r w:rsidRPr="00DC1EE4">
              <w:t>128 477</w:t>
            </w:r>
          </w:p>
        </w:tc>
      </w:tr>
      <w:tr w:rsidR="0028027B" w:rsidRPr="00DC1EE4" w:rsidTr="00C03F9E">
        <w:trPr>
          <w:jc w:val="center"/>
        </w:trPr>
        <w:tc>
          <w:tcPr>
            <w:tcW w:w="3051" w:type="dxa"/>
            <w:tcBorders>
              <w:top w:val="nil"/>
              <w:left w:val="nil"/>
              <w:right w:val="nil"/>
            </w:tcBorders>
          </w:tcPr>
          <w:p w:rsidR="0028027B" w:rsidRPr="00DC1EE4" w:rsidRDefault="0028027B" w:rsidP="00C03F9E">
            <w:pPr>
              <w:pStyle w:val="Tabletext"/>
            </w:pPr>
            <w:r w:rsidRPr="00DC1EE4">
              <w:t>Net result for the quarter</w:t>
            </w:r>
          </w:p>
        </w:tc>
        <w:tc>
          <w:tcPr>
            <w:tcW w:w="1275" w:type="dxa"/>
            <w:tcBorders>
              <w:top w:val="nil"/>
              <w:left w:val="nil"/>
              <w:right w:val="nil"/>
            </w:tcBorders>
          </w:tcPr>
          <w:p w:rsidR="0028027B" w:rsidRPr="00DC1EE4" w:rsidRDefault="0028027B" w:rsidP="00C03F9E">
            <w:pPr>
              <w:pStyle w:val="TableofFigures"/>
            </w:pPr>
            <w:r w:rsidRPr="00DC1EE4">
              <w:t xml:space="preserve"> 351</w:t>
            </w:r>
          </w:p>
        </w:tc>
        <w:tc>
          <w:tcPr>
            <w:tcW w:w="976" w:type="dxa"/>
            <w:tcBorders>
              <w:top w:val="nil"/>
              <w:left w:val="nil"/>
              <w:right w:val="nil"/>
            </w:tcBorders>
          </w:tcPr>
          <w:p w:rsidR="0028027B" w:rsidRPr="00DC1EE4" w:rsidRDefault="0028027B" w:rsidP="00C03F9E">
            <w:pPr>
              <w:pStyle w:val="TableofFigures"/>
            </w:pPr>
            <w:r w:rsidRPr="00DC1EE4">
              <w:t>..</w:t>
            </w:r>
          </w:p>
        </w:tc>
        <w:tc>
          <w:tcPr>
            <w:tcW w:w="1665" w:type="dxa"/>
            <w:tcBorders>
              <w:top w:val="nil"/>
              <w:left w:val="nil"/>
              <w:right w:val="nil"/>
            </w:tcBorders>
          </w:tcPr>
          <w:p w:rsidR="0028027B" w:rsidRPr="00DC1EE4" w:rsidRDefault="0028027B" w:rsidP="00C03F9E">
            <w:pPr>
              <w:pStyle w:val="TableofFigures"/>
            </w:pPr>
            <w:r w:rsidRPr="00DC1EE4">
              <w:t>..</w:t>
            </w:r>
          </w:p>
        </w:tc>
        <w:tc>
          <w:tcPr>
            <w:tcW w:w="1557" w:type="dxa"/>
            <w:tcBorders>
              <w:top w:val="nil"/>
              <w:left w:val="nil"/>
              <w:right w:val="nil"/>
            </w:tcBorders>
          </w:tcPr>
          <w:p w:rsidR="0028027B" w:rsidRPr="00DC1EE4" w:rsidRDefault="0028027B" w:rsidP="00C03F9E">
            <w:pPr>
              <w:pStyle w:val="TableofFigures"/>
            </w:pPr>
            <w:r w:rsidRPr="00DC1EE4">
              <w:t>..</w:t>
            </w:r>
          </w:p>
        </w:tc>
        <w:tc>
          <w:tcPr>
            <w:tcW w:w="738" w:type="dxa"/>
            <w:tcBorders>
              <w:top w:val="nil"/>
              <w:left w:val="nil"/>
              <w:right w:val="nil"/>
            </w:tcBorders>
          </w:tcPr>
          <w:p w:rsidR="0028027B" w:rsidRPr="00DC1EE4" w:rsidRDefault="0028027B" w:rsidP="00C03F9E">
            <w:pPr>
              <w:pStyle w:val="TableofFigures"/>
            </w:pPr>
            <w:r w:rsidRPr="00DC1EE4">
              <w:t>..</w:t>
            </w:r>
          </w:p>
        </w:tc>
        <w:tc>
          <w:tcPr>
            <w:tcW w:w="899" w:type="dxa"/>
            <w:tcBorders>
              <w:top w:val="nil"/>
              <w:left w:val="nil"/>
              <w:right w:val="nil"/>
            </w:tcBorders>
          </w:tcPr>
          <w:p w:rsidR="0028027B" w:rsidRPr="00DC1EE4" w:rsidRDefault="0028027B" w:rsidP="00C03F9E">
            <w:pPr>
              <w:pStyle w:val="TableofFigures"/>
            </w:pPr>
            <w:r w:rsidRPr="00DC1EE4">
              <w:t xml:space="preserve"> 351</w:t>
            </w:r>
          </w:p>
        </w:tc>
      </w:tr>
      <w:tr w:rsidR="0028027B" w:rsidRPr="00DC1EE4" w:rsidTr="00C03F9E">
        <w:trPr>
          <w:jc w:val="center"/>
        </w:trPr>
        <w:tc>
          <w:tcPr>
            <w:tcW w:w="3051" w:type="dxa"/>
            <w:tcBorders>
              <w:left w:val="nil"/>
              <w:right w:val="nil"/>
            </w:tcBorders>
          </w:tcPr>
          <w:p w:rsidR="0028027B" w:rsidRPr="00DC1EE4" w:rsidRDefault="0028027B" w:rsidP="00C03F9E">
            <w:pPr>
              <w:pStyle w:val="Tabletext"/>
              <w:ind w:left="233" w:hanging="233"/>
            </w:pPr>
            <w:r w:rsidRPr="00DC1EE4">
              <w:t>Other comprehensive income for the year</w:t>
            </w:r>
          </w:p>
        </w:tc>
        <w:tc>
          <w:tcPr>
            <w:tcW w:w="1275" w:type="dxa"/>
            <w:tcBorders>
              <w:left w:val="nil"/>
              <w:right w:val="nil"/>
            </w:tcBorders>
          </w:tcPr>
          <w:p w:rsidR="0028027B" w:rsidRPr="00DC1EE4" w:rsidRDefault="0028027B" w:rsidP="00C03F9E">
            <w:pPr>
              <w:pStyle w:val="TableofFigures"/>
            </w:pPr>
            <w:r w:rsidRPr="00DC1EE4">
              <w:t xml:space="preserve"> 128</w:t>
            </w:r>
          </w:p>
        </w:tc>
        <w:tc>
          <w:tcPr>
            <w:tcW w:w="976" w:type="dxa"/>
            <w:tcBorders>
              <w:left w:val="nil"/>
              <w:right w:val="nil"/>
            </w:tcBorders>
          </w:tcPr>
          <w:p w:rsidR="0028027B" w:rsidRPr="00DC1EE4" w:rsidRDefault="0028027B" w:rsidP="00C03F9E">
            <w:pPr>
              <w:pStyle w:val="TableofFigures"/>
            </w:pPr>
            <w:r w:rsidRPr="00DC1EE4">
              <w:t>..</w:t>
            </w:r>
          </w:p>
        </w:tc>
        <w:tc>
          <w:tcPr>
            <w:tcW w:w="1665" w:type="dxa"/>
            <w:tcBorders>
              <w:left w:val="nil"/>
              <w:right w:val="nil"/>
            </w:tcBorders>
          </w:tcPr>
          <w:p w:rsidR="0028027B" w:rsidRPr="00DC1EE4" w:rsidRDefault="0028027B" w:rsidP="00C03F9E">
            <w:pPr>
              <w:pStyle w:val="TableofFigures"/>
            </w:pPr>
            <w:r w:rsidRPr="00DC1EE4">
              <w:t xml:space="preserve"> 22</w:t>
            </w:r>
          </w:p>
        </w:tc>
        <w:tc>
          <w:tcPr>
            <w:tcW w:w="1557" w:type="dxa"/>
            <w:tcBorders>
              <w:left w:val="nil"/>
              <w:right w:val="nil"/>
            </w:tcBorders>
          </w:tcPr>
          <w:p w:rsidR="0028027B" w:rsidRPr="00DC1EE4" w:rsidRDefault="0028027B" w:rsidP="00C03F9E">
            <w:pPr>
              <w:pStyle w:val="TableofFigures"/>
            </w:pPr>
            <w:r w:rsidRPr="00DC1EE4">
              <w:t>..</w:t>
            </w:r>
          </w:p>
        </w:tc>
        <w:tc>
          <w:tcPr>
            <w:tcW w:w="738" w:type="dxa"/>
            <w:tcBorders>
              <w:left w:val="nil"/>
              <w:right w:val="nil"/>
            </w:tcBorders>
          </w:tcPr>
          <w:p w:rsidR="0028027B" w:rsidRPr="00DC1EE4" w:rsidRDefault="0028027B" w:rsidP="00C03F9E">
            <w:pPr>
              <w:pStyle w:val="TableofFigures"/>
            </w:pPr>
            <w:r w:rsidRPr="00DC1EE4">
              <w:t xml:space="preserve"> 5</w:t>
            </w:r>
          </w:p>
        </w:tc>
        <w:tc>
          <w:tcPr>
            <w:tcW w:w="899" w:type="dxa"/>
            <w:tcBorders>
              <w:left w:val="nil"/>
              <w:right w:val="nil"/>
            </w:tcBorders>
          </w:tcPr>
          <w:p w:rsidR="0028027B" w:rsidRPr="00DC1EE4" w:rsidRDefault="0028027B" w:rsidP="00C03F9E">
            <w:pPr>
              <w:pStyle w:val="TableofFigures"/>
            </w:pPr>
            <w:r w:rsidRPr="00DC1EE4">
              <w:t xml:space="preserve"> 155</w:t>
            </w:r>
          </w:p>
        </w:tc>
      </w:tr>
      <w:tr w:rsidR="0028027B" w:rsidRPr="00DC1EE4" w:rsidTr="00C03F9E">
        <w:trPr>
          <w:jc w:val="center"/>
        </w:trPr>
        <w:tc>
          <w:tcPr>
            <w:tcW w:w="3051" w:type="dxa"/>
            <w:tcBorders>
              <w:left w:val="nil"/>
              <w:bottom w:val="single" w:sz="6" w:space="0" w:color="auto"/>
              <w:right w:val="nil"/>
            </w:tcBorders>
          </w:tcPr>
          <w:p w:rsidR="0028027B" w:rsidRPr="00DC1EE4" w:rsidRDefault="0028027B" w:rsidP="00C03F9E">
            <w:pPr>
              <w:pStyle w:val="Tabletext"/>
            </w:pPr>
            <w:r w:rsidRPr="00DC1EE4">
              <w:t>Transfer to accumulated surplus</w:t>
            </w:r>
          </w:p>
        </w:tc>
        <w:tc>
          <w:tcPr>
            <w:tcW w:w="1275" w:type="dxa"/>
            <w:tcBorders>
              <w:left w:val="nil"/>
              <w:bottom w:val="single" w:sz="6" w:space="0" w:color="auto"/>
              <w:right w:val="nil"/>
            </w:tcBorders>
          </w:tcPr>
          <w:p w:rsidR="0028027B" w:rsidRPr="00DC1EE4" w:rsidRDefault="0028027B" w:rsidP="00C03F9E">
            <w:pPr>
              <w:pStyle w:val="TableofFigures"/>
            </w:pPr>
            <w:r w:rsidRPr="00DC1EE4">
              <w:t xml:space="preserve"> 392</w:t>
            </w:r>
          </w:p>
        </w:tc>
        <w:tc>
          <w:tcPr>
            <w:tcW w:w="976" w:type="dxa"/>
            <w:tcBorders>
              <w:left w:val="nil"/>
              <w:bottom w:val="single" w:sz="6" w:space="0" w:color="auto"/>
              <w:right w:val="nil"/>
            </w:tcBorders>
          </w:tcPr>
          <w:p w:rsidR="0028027B" w:rsidRPr="00DC1EE4" w:rsidRDefault="0028027B" w:rsidP="00C03F9E">
            <w:pPr>
              <w:pStyle w:val="TableofFigures"/>
            </w:pPr>
            <w:r w:rsidRPr="00DC1EE4">
              <w:t xml:space="preserve"> ..</w:t>
            </w:r>
          </w:p>
        </w:tc>
        <w:tc>
          <w:tcPr>
            <w:tcW w:w="1665" w:type="dxa"/>
            <w:tcBorders>
              <w:left w:val="nil"/>
              <w:bottom w:val="single" w:sz="6" w:space="0" w:color="auto"/>
              <w:right w:val="nil"/>
            </w:tcBorders>
          </w:tcPr>
          <w:p w:rsidR="0028027B" w:rsidRPr="00DC1EE4" w:rsidRDefault="0028027B" w:rsidP="00C03F9E">
            <w:pPr>
              <w:pStyle w:val="TableofFigures"/>
            </w:pPr>
            <w:r w:rsidRPr="00DC1EE4">
              <w:t>(392)</w:t>
            </w:r>
          </w:p>
        </w:tc>
        <w:tc>
          <w:tcPr>
            <w:tcW w:w="1557" w:type="dxa"/>
            <w:tcBorders>
              <w:left w:val="nil"/>
              <w:bottom w:val="single" w:sz="6" w:space="0" w:color="auto"/>
              <w:right w:val="nil"/>
            </w:tcBorders>
          </w:tcPr>
          <w:p w:rsidR="0028027B" w:rsidRPr="00DC1EE4" w:rsidRDefault="0028027B" w:rsidP="00C03F9E">
            <w:pPr>
              <w:pStyle w:val="TableofFigures"/>
            </w:pPr>
            <w:r w:rsidRPr="00DC1EE4">
              <w:t xml:space="preserve"> ..</w:t>
            </w:r>
          </w:p>
        </w:tc>
        <w:tc>
          <w:tcPr>
            <w:tcW w:w="738" w:type="dxa"/>
            <w:tcBorders>
              <w:left w:val="nil"/>
              <w:bottom w:val="single" w:sz="6" w:space="0" w:color="auto"/>
              <w:right w:val="nil"/>
            </w:tcBorders>
          </w:tcPr>
          <w:p w:rsidR="0028027B" w:rsidRPr="00DC1EE4" w:rsidRDefault="0028027B" w:rsidP="00C03F9E">
            <w:pPr>
              <w:pStyle w:val="TableofFigures"/>
            </w:pPr>
            <w:r w:rsidRPr="00DC1EE4">
              <w:t xml:space="preserve"> ..</w:t>
            </w:r>
          </w:p>
        </w:tc>
        <w:tc>
          <w:tcPr>
            <w:tcW w:w="899" w:type="dxa"/>
            <w:tcBorders>
              <w:left w:val="nil"/>
              <w:bottom w:val="single" w:sz="6" w:space="0" w:color="auto"/>
              <w:right w:val="nil"/>
            </w:tcBorders>
          </w:tcPr>
          <w:p w:rsidR="0028027B" w:rsidRPr="00DC1EE4" w:rsidRDefault="0028027B" w:rsidP="00C03F9E">
            <w:pPr>
              <w:pStyle w:val="TableofFigures"/>
            </w:pPr>
            <w:r w:rsidRPr="00DC1EE4">
              <w:t>..</w:t>
            </w:r>
          </w:p>
        </w:tc>
      </w:tr>
      <w:tr w:rsidR="0028027B" w:rsidRPr="00DC1EE4" w:rsidTr="00C03F9E">
        <w:trPr>
          <w:jc w:val="center"/>
        </w:trPr>
        <w:tc>
          <w:tcPr>
            <w:tcW w:w="3051" w:type="dxa"/>
            <w:tcBorders>
              <w:top w:val="single" w:sz="6" w:space="0" w:color="auto"/>
              <w:left w:val="nil"/>
              <w:bottom w:val="single" w:sz="12" w:space="0" w:color="auto"/>
              <w:right w:val="nil"/>
            </w:tcBorders>
          </w:tcPr>
          <w:p w:rsidR="0028027B" w:rsidRPr="00DC1EE4" w:rsidRDefault="0028027B" w:rsidP="00C03F9E">
            <w:pPr>
              <w:pStyle w:val="Tabletext"/>
              <w:ind w:left="233" w:hanging="233"/>
              <w:rPr>
                <w:b/>
              </w:rPr>
            </w:pPr>
            <w:r w:rsidRPr="00DC1EE4">
              <w:rPr>
                <w:b/>
              </w:rPr>
              <w:t>Total equity as at 30 September 2014</w:t>
            </w:r>
          </w:p>
        </w:tc>
        <w:tc>
          <w:tcPr>
            <w:tcW w:w="127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44 505</w:t>
            </w:r>
          </w:p>
        </w:tc>
        <w:tc>
          <w:tcPr>
            <w:tcW w:w="976"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50</w:t>
            </w:r>
          </w:p>
        </w:tc>
        <w:tc>
          <w:tcPr>
            <w:tcW w:w="166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41 595</w:t>
            </w:r>
          </w:p>
        </w:tc>
        <w:tc>
          <w:tcPr>
            <w:tcW w:w="1557"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42 187</w:t>
            </w:r>
          </w:p>
        </w:tc>
        <w:tc>
          <w:tcPr>
            <w:tcW w:w="738"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 xml:space="preserve"> 646</w:t>
            </w:r>
          </w:p>
        </w:tc>
        <w:tc>
          <w:tcPr>
            <w:tcW w:w="899"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128 983</w:t>
            </w:r>
          </w:p>
        </w:tc>
      </w:tr>
    </w:tbl>
    <w:p w:rsidR="0028027B" w:rsidRPr="00DC1EE4" w:rsidRDefault="0028027B" w:rsidP="0028027B">
      <w:pPr>
        <w:pStyle w:val="Source"/>
      </w:pPr>
      <w:bookmarkStart w:id="700" w:name="_Toc225564588"/>
      <w:bookmarkStart w:id="701" w:name="_Toc324234841"/>
      <w:bookmarkStart w:id="702" w:name="_Toc330906647"/>
      <w:bookmarkStart w:id="703" w:name="_Toc332019436"/>
      <w:bookmarkStart w:id="704" w:name="_Toc350413727"/>
      <w:bookmarkStart w:id="705" w:name="_Toc388277752"/>
      <w:r w:rsidRPr="00DC1EE4">
        <w:t>The accompanying notes form part of these financial statements.</w:t>
      </w:r>
    </w:p>
    <w:p w:rsidR="0028027B" w:rsidRPr="00DC1EE4" w:rsidRDefault="0028027B" w:rsidP="0028027B">
      <w:pPr>
        <w:pStyle w:val="Notes"/>
      </w:pPr>
      <w:r w:rsidRPr="00DC1EE4">
        <w:t>Notes:</w:t>
      </w:r>
    </w:p>
    <w:p w:rsidR="0028027B" w:rsidRPr="00DC1EE4" w:rsidRDefault="0028027B" w:rsidP="0028027B">
      <w:pPr>
        <w:pStyle w:val="Notes"/>
      </w:pPr>
      <w:r w:rsidRPr="00DC1EE4">
        <w:t xml:space="preserve">(a) </w:t>
      </w:r>
      <w:r w:rsidRPr="00DC1EE4">
        <w:tab/>
        <w:t>Non</w:t>
      </w:r>
      <w:r w:rsidR="005A4BB0">
        <w:noBreakHyphen/>
      </w:r>
      <w:r w:rsidRPr="00DC1EE4">
        <w:t>financial assets revaluation surplus relates to revaluation of land, buildings, infrastructure, plant and equipment.</w:t>
      </w:r>
    </w:p>
    <w:p w:rsidR="0028027B" w:rsidRPr="00DC1EE4" w:rsidRDefault="0028027B" w:rsidP="0028027B">
      <w:pPr>
        <w:pStyle w:val="Notes"/>
      </w:pPr>
      <w:r w:rsidRPr="00DC1EE4">
        <w:t xml:space="preserve">(b) </w:t>
      </w:r>
      <w:r w:rsidRPr="00DC1EE4">
        <w:tab/>
        <w:t>Balances represent actual opening balances at 1 July 2015 plus 2015</w:t>
      </w:r>
      <w:r w:rsidR="005A4BB0">
        <w:noBreakHyphen/>
      </w:r>
      <w:r w:rsidRPr="00DC1EE4">
        <w:t>16 budgeted movements.</w:t>
      </w:r>
    </w:p>
    <w:p w:rsidR="0028027B" w:rsidRPr="00DC1EE4" w:rsidRDefault="0028027B" w:rsidP="0028027B">
      <w:pPr>
        <w:pStyle w:val="Notes"/>
      </w:pPr>
      <w:r w:rsidRPr="00DC1EE4">
        <w:t xml:space="preserve">(c) </w:t>
      </w:r>
      <w:r w:rsidRPr="00DC1EE4">
        <w:tab/>
        <w:t>September 2014</w:t>
      </w:r>
      <w:r w:rsidR="005A4BB0">
        <w:noBreakHyphen/>
      </w:r>
      <w:r w:rsidRPr="00DC1EE4">
        <w:t>15 comparative figures have been restated to reflect more current information.</w:t>
      </w:r>
    </w:p>
    <w:p w:rsidR="0028027B" w:rsidRPr="00DC1EE4" w:rsidRDefault="0028027B" w:rsidP="0028027B"/>
    <w:p w:rsidR="0028027B" w:rsidRPr="00DC1EE4" w:rsidRDefault="0028027B" w:rsidP="0028027B">
      <w:pPr>
        <w:sectPr w:rsidR="0028027B" w:rsidRPr="00DC1EE4" w:rsidSect="00C03F9E">
          <w:headerReference w:type="even" r:id="rId352"/>
          <w:headerReference w:type="default" r:id="rId353"/>
          <w:footerReference w:type="even" r:id="rId354"/>
          <w:footerReference w:type="default" r:id="rId355"/>
          <w:headerReference w:type="first" r:id="rId356"/>
          <w:footerReference w:type="first" r:id="rId357"/>
          <w:pgSz w:w="11906" w:h="16838" w:code="9"/>
          <w:pgMar w:top="1152" w:right="864" w:bottom="1152" w:left="864" w:header="432" w:footer="432" w:gutter="0"/>
          <w:pgNumType w:start="317"/>
          <w:cols w:space="708"/>
          <w:docGrid w:linePitch="360"/>
        </w:sectPr>
      </w:pPr>
    </w:p>
    <w:p w:rsidR="0028027B" w:rsidRPr="00DC1EE4" w:rsidRDefault="0028027B" w:rsidP="0028027B">
      <w:pPr>
        <w:pStyle w:val="Heading1"/>
        <w:tabs>
          <w:tab w:val="left" w:pos="1890"/>
        </w:tabs>
        <w:ind w:left="1890" w:hanging="1890"/>
      </w:pPr>
      <w:bookmarkStart w:id="706" w:name="_Toc448493018"/>
      <w:r w:rsidRPr="00DC1EE4">
        <w:t xml:space="preserve">Appendix 1(c) – Extract of financial statements from the </w:t>
      </w:r>
      <w:r w:rsidRPr="00D564A8">
        <w:rPr>
          <w:i/>
        </w:rPr>
        <w:t>2015</w:t>
      </w:r>
      <w:r w:rsidR="005A4BB0">
        <w:rPr>
          <w:i/>
        </w:rPr>
        <w:noBreakHyphen/>
      </w:r>
      <w:r w:rsidRPr="00D564A8">
        <w:rPr>
          <w:i/>
        </w:rPr>
        <w:t>16 Mid</w:t>
      </w:r>
      <w:r w:rsidR="005A4BB0">
        <w:rPr>
          <w:i/>
        </w:rPr>
        <w:noBreakHyphen/>
      </w:r>
      <w:r w:rsidRPr="00D564A8">
        <w:rPr>
          <w:i/>
        </w:rPr>
        <w:t>Year Financial Report</w:t>
      </w:r>
      <w:bookmarkEnd w:id="700"/>
      <w:bookmarkEnd w:id="701"/>
      <w:bookmarkEnd w:id="702"/>
      <w:bookmarkEnd w:id="703"/>
      <w:bookmarkEnd w:id="704"/>
      <w:bookmarkEnd w:id="705"/>
      <w:bookmarkEnd w:id="706"/>
    </w:p>
    <w:p w:rsidR="0028027B" w:rsidRPr="00DC1EE4" w:rsidRDefault="0028027B" w:rsidP="00E348C3">
      <w:pPr>
        <w:pStyle w:val="Tableheading"/>
      </w:pPr>
      <w:r w:rsidRPr="00DC1EE4">
        <w:t>Table 1.9:</w:t>
      </w:r>
      <w:r w:rsidRPr="00DC1EE4">
        <w:tab/>
        <w:t>Consolidated comprehensive operating statement for the six months ended 31 December</w:t>
      </w:r>
    </w:p>
    <w:p w:rsidR="0028027B" w:rsidRPr="00DC1EE4" w:rsidRDefault="0028027B" w:rsidP="0028027B">
      <w:pPr>
        <w:pStyle w:val="million"/>
      </w:pPr>
      <w:r w:rsidRPr="00DC1EE4">
        <w:t>($ million)</w:t>
      </w:r>
    </w:p>
    <w:tbl>
      <w:tblPr>
        <w:tblW w:w="10188" w:type="dxa"/>
        <w:tblInd w:w="29" w:type="dxa"/>
        <w:tblLayout w:type="fixed"/>
        <w:tblCellMar>
          <w:left w:w="43" w:type="dxa"/>
          <w:right w:w="43" w:type="dxa"/>
        </w:tblCellMar>
        <w:tblLook w:val="0000" w:firstRow="0" w:lastRow="0" w:firstColumn="0" w:lastColumn="0" w:noHBand="0" w:noVBand="0"/>
      </w:tblPr>
      <w:tblGrid>
        <w:gridCol w:w="5144"/>
        <w:gridCol w:w="810"/>
        <w:gridCol w:w="270"/>
        <w:gridCol w:w="788"/>
        <w:gridCol w:w="1059"/>
        <w:gridCol w:w="236"/>
        <w:gridCol w:w="822"/>
        <w:gridCol w:w="1059"/>
      </w:tblGrid>
      <w:tr w:rsidR="0028027B" w:rsidRPr="00DC1EE4" w:rsidTr="00C03F9E">
        <w:trPr>
          <w:trHeight w:val="160"/>
          <w:tblHeader/>
        </w:trPr>
        <w:tc>
          <w:tcPr>
            <w:tcW w:w="5144" w:type="dxa"/>
            <w:tcBorders>
              <w:top w:val="single" w:sz="4" w:space="0" w:color="auto"/>
              <w:left w:val="single" w:sz="4" w:space="0" w:color="auto"/>
              <w:bottom w:val="nil"/>
              <w:right w:val="nil"/>
            </w:tcBorders>
            <w:shd w:val="clear" w:color="auto" w:fill="000000"/>
          </w:tcPr>
          <w:p w:rsidR="0028027B" w:rsidRPr="00DC1EE4" w:rsidRDefault="0028027B" w:rsidP="00C03F9E">
            <w:pPr>
              <w:spacing w:before="0" w:after="20"/>
              <w:ind w:left="180" w:hanging="180"/>
              <w:rPr>
                <w:sz w:val="20"/>
                <w:szCs w:val="20"/>
              </w:rPr>
            </w:pPr>
          </w:p>
        </w:tc>
        <w:tc>
          <w:tcPr>
            <w:tcW w:w="810" w:type="dxa"/>
            <w:tcBorders>
              <w:top w:val="single" w:sz="4" w:space="0" w:color="auto"/>
              <w:left w:val="nil"/>
              <w:bottom w:val="nil"/>
              <w:right w:val="nil"/>
            </w:tcBorders>
            <w:shd w:val="clear" w:color="auto" w:fill="000000"/>
          </w:tcPr>
          <w:p w:rsidR="0028027B" w:rsidRPr="00DC1EE4" w:rsidRDefault="0028027B" w:rsidP="00C03F9E">
            <w:pPr>
              <w:spacing w:before="0" w:after="20"/>
              <w:jc w:val="center"/>
              <w:rPr>
                <w:sz w:val="20"/>
                <w:szCs w:val="20"/>
              </w:rPr>
            </w:pPr>
            <w:r w:rsidRPr="00DC1EE4">
              <w:rPr>
                <w:sz w:val="20"/>
                <w:szCs w:val="20"/>
              </w:rPr>
              <w:t xml:space="preserve"> </w:t>
            </w:r>
          </w:p>
        </w:tc>
        <w:tc>
          <w:tcPr>
            <w:tcW w:w="270" w:type="dxa"/>
            <w:tcBorders>
              <w:top w:val="single" w:sz="4" w:space="0" w:color="auto"/>
              <w:left w:val="nil"/>
              <w:bottom w:val="nil"/>
              <w:right w:val="nil"/>
            </w:tcBorders>
            <w:shd w:val="clear" w:color="auto" w:fill="000000"/>
          </w:tcPr>
          <w:p w:rsidR="0028027B" w:rsidRPr="00DC1EE4" w:rsidRDefault="0028027B" w:rsidP="00C03F9E">
            <w:pPr>
              <w:spacing w:before="0" w:after="20"/>
              <w:jc w:val="center"/>
              <w:rPr>
                <w:sz w:val="20"/>
                <w:szCs w:val="20"/>
              </w:rPr>
            </w:pPr>
            <w:r w:rsidRPr="00DC1EE4">
              <w:rPr>
                <w:sz w:val="20"/>
                <w:szCs w:val="20"/>
              </w:rPr>
              <w:t xml:space="preserve"> </w:t>
            </w:r>
          </w:p>
        </w:tc>
        <w:tc>
          <w:tcPr>
            <w:tcW w:w="1847" w:type="dxa"/>
            <w:gridSpan w:val="2"/>
            <w:tcBorders>
              <w:top w:val="single" w:sz="4" w:space="0" w:color="auto"/>
              <w:left w:val="nil"/>
              <w:bottom w:val="nil"/>
              <w:right w:val="nil"/>
            </w:tcBorders>
            <w:shd w:val="clear" w:color="auto" w:fill="000000"/>
          </w:tcPr>
          <w:p w:rsidR="0028027B" w:rsidRPr="00DC1EE4" w:rsidRDefault="0028027B" w:rsidP="00C03F9E">
            <w:pPr>
              <w:pStyle w:val="TabletextheadingCentred"/>
              <w:spacing w:after="20"/>
              <w:rPr>
                <w:sz w:val="20"/>
              </w:rPr>
            </w:pPr>
          </w:p>
          <w:p w:rsidR="0028027B" w:rsidRPr="00DC1EE4" w:rsidRDefault="0028027B" w:rsidP="00C03F9E">
            <w:pPr>
              <w:pStyle w:val="TabletextheadingCentred"/>
              <w:spacing w:after="20"/>
              <w:rPr>
                <w:sz w:val="20"/>
              </w:rPr>
            </w:pPr>
            <w:r w:rsidRPr="00DC1EE4">
              <w:rPr>
                <w:sz w:val="20"/>
              </w:rPr>
              <w:t>State of Victoria</w:t>
            </w:r>
          </w:p>
        </w:tc>
        <w:tc>
          <w:tcPr>
            <w:tcW w:w="236" w:type="dxa"/>
            <w:tcBorders>
              <w:top w:val="single" w:sz="4" w:space="0" w:color="auto"/>
              <w:left w:val="nil"/>
              <w:bottom w:val="nil"/>
              <w:right w:val="nil"/>
            </w:tcBorders>
            <w:shd w:val="clear" w:color="auto" w:fill="000000"/>
          </w:tcPr>
          <w:p w:rsidR="0028027B" w:rsidRPr="00DC1EE4" w:rsidRDefault="0028027B" w:rsidP="00C03F9E">
            <w:pPr>
              <w:pStyle w:val="TabletextheadingCentred"/>
              <w:spacing w:after="20"/>
              <w:rPr>
                <w:sz w:val="20"/>
              </w:rPr>
            </w:pPr>
            <w:r w:rsidRPr="00DC1EE4">
              <w:rPr>
                <w:sz w:val="20"/>
              </w:rPr>
              <w:t xml:space="preserve"> </w:t>
            </w:r>
          </w:p>
        </w:tc>
        <w:tc>
          <w:tcPr>
            <w:tcW w:w="1881" w:type="dxa"/>
            <w:gridSpan w:val="2"/>
            <w:tcBorders>
              <w:top w:val="single" w:sz="4" w:space="0" w:color="auto"/>
              <w:left w:val="nil"/>
              <w:bottom w:val="nil"/>
              <w:right w:val="single" w:sz="4" w:space="0" w:color="auto"/>
            </w:tcBorders>
            <w:shd w:val="clear" w:color="auto" w:fill="000000"/>
          </w:tcPr>
          <w:p w:rsidR="0028027B" w:rsidRPr="00DC1EE4" w:rsidRDefault="0028027B" w:rsidP="00C03F9E">
            <w:pPr>
              <w:pStyle w:val="TabletextheadingCentred"/>
              <w:spacing w:after="20"/>
              <w:rPr>
                <w:sz w:val="20"/>
              </w:rPr>
            </w:pPr>
            <w:r w:rsidRPr="00DC1EE4">
              <w:rPr>
                <w:sz w:val="20"/>
              </w:rPr>
              <w:t>General</w:t>
            </w:r>
          </w:p>
          <w:p w:rsidR="0028027B" w:rsidRPr="00DC1EE4" w:rsidRDefault="0028027B" w:rsidP="00C03F9E">
            <w:pPr>
              <w:pStyle w:val="TabletextheadingCentred"/>
              <w:spacing w:after="20"/>
              <w:rPr>
                <w:sz w:val="20"/>
              </w:rPr>
            </w:pPr>
            <w:r w:rsidRPr="00DC1EE4">
              <w:rPr>
                <w:sz w:val="20"/>
              </w:rPr>
              <w:t>government sector</w:t>
            </w:r>
          </w:p>
        </w:tc>
      </w:tr>
      <w:tr w:rsidR="0028027B" w:rsidRPr="00DC1EE4" w:rsidTr="00C03F9E">
        <w:trPr>
          <w:trHeight w:val="160"/>
          <w:tblHeader/>
        </w:trPr>
        <w:tc>
          <w:tcPr>
            <w:tcW w:w="5144" w:type="dxa"/>
            <w:tcBorders>
              <w:top w:val="nil"/>
              <w:left w:val="single" w:sz="4" w:space="0" w:color="auto"/>
              <w:bottom w:val="single" w:sz="4" w:space="0" w:color="auto"/>
              <w:right w:val="nil"/>
            </w:tcBorders>
            <w:shd w:val="clear" w:color="auto" w:fill="000000"/>
          </w:tcPr>
          <w:p w:rsidR="0028027B" w:rsidRPr="00DC1EE4" w:rsidRDefault="0028027B" w:rsidP="00C03F9E">
            <w:pPr>
              <w:spacing w:before="0" w:after="20"/>
              <w:ind w:left="180" w:hanging="180"/>
              <w:rPr>
                <w:sz w:val="20"/>
                <w:szCs w:val="20"/>
              </w:rPr>
            </w:pPr>
            <w:r w:rsidRPr="00DC1EE4">
              <w:rPr>
                <w:sz w:val="20"/>
                <w:szCs w:val="20"/>
              </w:rPr>
              <w:t xml:space="preserve"> </w:t>
            </w:r>
          </w:p>
        </w:tc>
        <w:tc>
          <w:tcPr>
            <w:tcW w:w="810" w:type="dxa"/>
            <w:tcBorders>
              <w:top w:val="nil"/>
              <w:left w:val="nil"/>
              <w:bottom w:val="single" w:sz="4" w:space="0" w:color="auto"/>
              <w:right w:val="nil"/>
            </w:tcBorders>
            <w:shd w:val="clear" w:color="auto" w:fill="000000"/>
          </w:tcPr>
          <w:p w:rsidR="0028027B" w:rsidRPr="00DC1EE4" w:rsidRDefault="0028027B" w:rsidP="00C03F9E">
            <w:pPr>
              <w:pStyle w:val="TabletextheadingCentred"/>
              <w:spacing w:after="20"/>
              <w:rPr>
                <w:sz w:val="20"/>
              </w:rPr>
            </w:pPr>
            <w:r w:rsidRPr="00DC1EE4">
              <w:rPr>
                <w:sz w:val="20"/>
              </w:rPr>
              <w:t>Notes</w:t>
            </w:r>
          </w:p>
        </w:tc>
        <w:tc>
          <w:tcPr>
            <w:tcW w:w="1058" w:type="dxa"/>
            <w:gridSpan w:val="2"/>
            <w:tcBorders>
              <w:top w:val="nil"/>
              <w:left w:val="nil"/>
              <w:bottom w:val="single" w:sz="4" w:space="0" w:color="auto"/>
              <w:right w:val="nil"/>
            </w:tcBorders>
            <w:shd w:val="clear" w:color="auto" w:fill="000000"/>
          </w:tcPr>
          <w:p w:rsidR="0028027B" w:rsidRPr="00DC1EE4" w:rsidRDefault="0028027B" w:rsidP="00C03F9E">
            <w:pPr>
              <w:pStyle w:val="Tabletextheading"/>
              <w:spacing w:after="20"/>
              <w:rPr>
                <w:sz w:val="20"/>
                <w:szCs w:val="20"/>
              </w:rPr>
            </w:pPr>
            <w:r w:rsidRPr="00DC1EE4">
              <w:rPr>
                <w:sz w:val="20"/>
                <w:szCs w:val="20"/>
              </w:rPr>
              <w:t>2015</w:t>
            </w:r>
          </w:p>
        </w:tc>
        <w:tc>
          <w:tcPr>
            <w:tcW w:w="1059" w:type="dxa"/>
            <w:tcBorders>
              <w:top w:val="nil"/>
              <w:left w:val="nil"/>
              <w:bottom w:val="single" w:sz="4" w:space="0" w:color="auto"/>
              <w:right w:val="nil"/>
            </w:tcBorders>
            <w:shd w:val="clear" w:color="auto" w:fill="000000"/>
          </w:tcPr>
          <w:p w:rsidR="0028027B" w:rsidRPr="00DC1EE4" w:rsidRDefault="0028027B" w:rsidP="00C03F9E">
            <w:pPr>
              <w:pStyle w:val="Tabletextheading"/>
              <w:spacing w:after="20"/>
              <w:rPr>
                <w:sz w:val="20"/>
                <w:szCs w:val="20"/>
              </w:rPr>
            </w:pPr>
            <w:r w:rsidRPr="00DC1EE4">
              <w:rPr>
                <w:sz w:val="20"/>
                <w:szCs w:val="20"/>
              </w:rPr>
              <w:t>2014</w:t>
            </w:r>
            <w:r w:rsidRPr="00DC1EE4">
              <w:rPr>
                <w:sz w:val="20"/>
                <w:szCs w:val="20"/>
                <w:vertAlign w:val="superscript"/>
              </w:rPr>
              <w:t>(a)</w:t>
            </w:r>
          </w:p>
        </w:tc>
        <w:tc>
          <w:tcPr>
            <w:tcW w:w="1058" w:type="dxa"/>
            <w:gridSpan w:val="2"/>
            <w:tcBorders>
              <w:top w:val="nil"/>
              <w:left w:val="nil"/>
              <w:bottom w:val="single" w:sz="4" w:space="0" w:color="auto"/>
              <w:right w:val="nil"/>
            </w:tcBorders>
            <w:shd w:val="clear" w:color="auto" w:fill="000000"/>
          </w:tcPr>
          <w:p w:rsidR="0028027B" w:rsidRPr="00DC1EE4" w:rsidRDefault="0028027B" w:rsidP="00C03F9E">
            <w:pPr>
              <w:pStyle w:val="Tabletextheading"/>
              <w:spacing w:after="20"/>
              <w:rPr>
                <w:sz w:val="20"/>
                <w:szCs w:val="20"/>
              </w:rPr>
            </w:pPr>
            <w:r w:rsidRPr="00DC1EE4">
              <w:rPr>
                <w:sz w:val="20"/>
                <w:szCs w:val="20"/>
              </w:rPr>
              <w:t>2015</w:t>
            </w:r>
          </w:p>
        </w:tc>
        <w:tc>
          <w:tcPr>
            <w:tcW w:w="1059" w:type="dxa"/>
            <w:tcBorders>
              <w:top w:val="nil"/>
              <w:left w:val="nil"/>
              <w:bottom w:val="single" w:sz="4" w:space="0" w:color="auto"/>
              <w:right w:val="single" w:sz="4" w:space="0" w:color="auto"/>
            </w:tcBorders>
            <w:shd w:val="clear" w:color="auto" w:fill="000000"/>
          </w:tcPr>
          <w:p w:rsidR="0028027B" w:rsidRPr="00DC1EE4" w:rsidRDefault="0028027B" w:rsidP="00C03F9E">
            <w:pPr>
              <w:pStyle w:val="Tabletextheading"/>
              <w:spacing w:after="20"/>
              <w:rPr>
                <w:sz w:val="20"/>
                <w:szCs w:val="20"/>
              </w:rPr>
            </w:pPr>
            <w:r w:rsidRPr="00DC1EE4">
              <w:rPr>
                <w:sz w:val="20"/>
                <w:szCs w:val="20"/>
              </w:rPr>
              <w:t>2014</w:t>
            </w:r>
            <w:r w:rsidRPr="00DC1EE4">
              <w:rPr>
                <w:sz w:val="20"/>
                <w:szCs w:val="20"/>
                <w:vertAlign w:val="superscript"/>
              </w:rPr>
              <w:t>(a)</w:t>
            </w:r>
          </w:p>
        </w:tc>
      </w:tr>
      <w:tr w:rsidR="0028027B" w:rsidRPr="00DC1EE4" w:rsidTr="00C03F9E">
        <w:trPr>
          <w:trHeight w:val="160"/>
        </w:trPr>
        <w:tc>
          <w:tcPr>
            <w:tcW w:w="5144" w:type="dxa"/>
            <w:tcBorders>
              <w:top w:val="single" w:sz="4" w:space="0" w:color="auto"/>
              <w:left w:val="nil"/>
              <w:bottom w:val="nil"/>
              <w:right w:val="nil"/>
            </w:tcBorders>
          </w:tcPr>
          <w:p w:rsidR="0028027B" w:rsidRPr="00DC1EE4" w:rsidRDefault="0028027B" w:rsidP="00C03F9E">
            <w:pPr>
              <w:pStyle w:val="Tabletext"/>
              <w:spacing w:before="20" w:after="20"/>
              <w:rPr>
                <w:b/>
                <w:szCs w:val="20"/>
              </w:rPr>
            </w:pPr>
            <w:r w:rsidRPr="00DC1EE4">
              <w:rPr>
                <w:b/>
                <w:szCs w:val="20"/>
              </w:rPr>
              <w:t>Revenue from transactions</w:t>
            </w:r>
          </w:p>
        </w:tc>
        <w:tc>
          <w:tcPr>
            <w:tcW w:w="810" w:type="dxa"/>
            <w:tcBorders>
              <w:top w:val="single" w:sz="4" w:space="0" w:color="auto"/>
              <w:left w:val="nil"/>
              <w:bottom w:val="nil"/>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single" w:sz="4" w:space="0" w:color="auto"/>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9" w:type="dxa"/>
            <w:tcBorders>
              <w:top w:val="single" w:sz="4" w:space="0" w:color="auto"/>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8" w:type="dxa"/>
            <w:gridSpan w:val="2"/>
            <w:tcBorders>
              <w:top w:val="single" w:sz="4" w:space="0" w:color="auto"/>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9" w:type="dxa"/>
            <w:tcBorders>
              <w:top w:val="single" w:sz="4" w:space="0" w:color="auto"/>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Taxation revenue</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3</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9 443</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8 555</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9 676</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8 764</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Interest revenue</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308</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462</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394</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405</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ind w:left="255" w:hanging="255"/>
              <w:rPr>
                <w:szCs w:val="20"/>
              </w:rPr>
            </w:pPr>
            <w:r w:rsidRPr="00DC1EE4">
              <w:rPr>
                <w:szCs w:val="20"/>
              </w:rPr>
              <w:t xml:space="preserve">Dividends and income tax equivalent and rate equivalent revenue </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4</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766</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502</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451</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667</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Sales of goods and services</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5</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7 017</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6 854</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3 332</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3 332</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Grant revenue</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6</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12 258</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11 664</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12 301</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11 722</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Other revenue</w:t>
            </w:r>
          </w:p>
        </w:tc>
        <w:tc>
          <w:tcPr>
            <w:tcW w:w="810" w:type="dxa"/>
            <w:tcBorders>
              <w:top w:val="nil"/>
              <w:left w:val="nil"/>
              <w:bottom w:val="single" w:sz="6" w:space="0" w:color="auto"/>
              <w:right w:val="nil"/>
            </w:tcBorders>
          </w:tcPr>
          <w:p w:rsidR="0028027B" w:rsidRPr="00DC1EE4" w:rsidRDefault="0028027B" w:rsidP="00C03F9E">
            <w:pPr>
              <w:pStyle w:val="TableTextCentred"/>
              <w:spacing w:before="20" w:after="20"/>
              <w:rPr>
                <w:szCs w:val="20"/>
              </w:rPr>
            </w:pPr>
            <w:r w:rsidRPr="00DC1EE4">
              <w:rPr>
                <w:szCs w:val="20"/>
              </w:rPr>
              <w:t>7</w:t>
            </w:r>
          </w:p>
        </w:tc>
        <w:tc>
          <w:tcPr>
            <w:tcW w:w="1058" w:type="dxa"/>
            <w:gridSpan w:val="2"/>
            <w:tcBorders>
              <w:top w:val="nil"/>
              <w:left w:val="nil"/>
              <w:bottom w:val="single" w:sz="6" w:space="0" w:color="auto"/>
              <w:right w:val="nil"/>
            </w:tcBorders>
          </w:tcPr>
          <w:p w:rsidR="0028027B" w:rsidRPr="00DC1EE4" w:rsidRDefault="0028027B" w:rsidP="00C03F9E">
            <w:pPr>
              <w:pStyle w:val="TableofFigures"/>
              <w:spacing w:before="20" w:after="20"/>
              <w:rPr>
                <w:sz w:val="20"/>
                <w:szCs w:val="20"/>
              </w:rPr>
            </w:pPr>
            <w:r w:rsidRPr="00DC1EE4">
              <w:t>2 065</w:t>
            </w:r>
          </w:p>
        </w:tc>
        <w:tc>
          <w:tcPr>
            <w:tcW w:w="1059" w:type="dxa"/>
            <w:tcBorders>
              <w:top w:val="nil"/>
              <w:left w:val="nil"/>
              <w:bottom w:val="single" w:sz="6" w:space="0" w:color="auto"/>
              <w:right w:val="nil"/>
            </w:tcBorders>
          </w:tcPr>
          <w:p w:rsidR="0028027B" w:rsidRPr="00DC1EE4" w:rsidRDefault="0028027B" w:rsidP="00C03F9E">
            <w:pPr>
              <w:pStyle w:val="TableofFigures"/>
              <w:spacing w:before="20" w:after="20"/>
              <w:rPr>
                <w:sz w:val="20"/>
                <w:szCs w:val="20"/>
              </w:rPr>
            </w:pPr>
            <w:r w:rsidRPr="00DC1EE4">
              <w:t>1 415</w:t>
            </w:r>
          </w:p>
        </w:tc>
        <w:tc>
          <w:tcPr>
            <w:tcW w:w="1058" w:type="dxa"/>
            <w:gridSpan w:val="2"/>
            <w:tcBorders>
              <w:top w:val="nil"/>
              <w:left w:val="nil"/>
              <w:bottom w:val="single" w:sz="6" w:space="0" w:color="auto"/>
              <w:right w:val="nil"/>
            </w:tcBorders>
          </w:tcPr>
          <w:p w:rsidR="0028027B" w:rsidRPr="00DC1EE4" w:rsidRDefault="0028027B" w:rsidP="00C03F9E">
            <w:pPr>
              <w:pStyle w:val="TableofFigures"/>
              <w:spacing w:before="20" w:after="20"/>
              <w:rPr>
                <w:sz w:val="20"/>
                <w:szCs w:val="20"/>
              </w:rPr>
            </w:pPr>
            <w:r w:rsidRPr="00DC1EE4">
              <w:t>1 726</w:t>
            </w:r>
          </w:p>
        </w:tc>
        <w:tc>
          <w:tcPr>
            <w:tcW w:w="1059" w:type="dxa"/>
            <w:tcBorders>
              <w:top w:val="nil"/>
              <w:left w:val="nil"/>
              <w:bottom w:val="single" w:sz="6" w:space="0" w:color="auto"/>
              <w:right w:val="nil"/>
            </w:tcBorders>
          </w:tcPr>
          <w:p w:rsidR="0028027B" w:rsidRPr="00DC1EE4" w:rsidRDefault="0028027B" w:rsidP="00C03F9E">
            <w:pPr>
              <w:pStyle w:val="TableofFigures"/>
              <w:spacing w:before="20" w:after="20"/>
              <w:rPr>
                <w:sz w:val="20"/>
                <w:szCs w:val="20"/>
              </w:rPr>
            </w:pPr>
            <w:r w:rsidRPr="00DC1EE4">
              <w:t>1 155</w:t>
            </w:r>
          </w:p>
        </w:tc>
      </w:tr>
      <w:tr w:rsidR="0028027B" w:rsidRPr="00DC1EE4" w:rsidTr="00C03F9E">
        <w:trPr>
          <w:trHeight w:val="160"/>
        </w:trPr>
        <w:tc>
          <w:tcPr>
            <w:tcW w:w="5144" w:type="dxa"/>
            <w:tcBorders>
              <w:top w:val="single" w:sz="6" w:space="0" w:color="auto"/>
              <w:left w:val="nil"/>
              <w:bottom w:val="nil"/>
              <w:right w:val="nil"/>
            </w:tcBorders>
          </w:tcPr>
          <w:p w:rsidR="0028027B" w:rsidRPr="00DC1EE4" w:rsidRDefault="0028027B" w:rsidP="00C03F9E">
            <w:pPr>
              <w:pStyle w:val="Tabletext"/>
              <w:spacing w:before="20" w:after="20"/>
              <w:rPr>
                <w:b/>
                <w:szCs w:val="20"/>
              </w:rPr>
            </w:pPr>
            <w:r w:rsidRPr="00DC1EE4">
              <w:rPr>
                <w:b/>
                <w:szCs w:val="20"/>
              </w:rPr>
              <w:t>Total revenue from transactions</w:t>
            </w:r>
          </w:p>
        </w:tc>
        <w:tc>
          <w:tcPr>
            <w:tcW w:w="810" w:type="dxa"/>
            <w:tcBorders>
              <w:top w:val="nil"/>
              <w:left w:val="nil"/>
              <w:bottom w:val="nil"/>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rPr>
              <w:t>31 857</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rPr>
              <w:t>29 452</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rPr>
              <w:t>27 880</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rPr>
              <w:t>26 045</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b/>
                <w:szCs w:val="20"/>
              </w:rPr>
            </w:pPr>
            <w:r w:rsidRPr="00DC1EE4">
              <w:rPr>
                <w:b/>
                <w:szCs w:val="20"/>
              </w:rPr>
              <w:t>Expenses from transactions</w:t>
            </w:r>
          </w:p>
        </w:tc>
        <w:tc>
          <w:tcPr>
            <w:tcW w:w="810" w:type="dxa"/>
            <w:tcBorders>
              <w:top w:val="nil"/>
              <w:left w:val="nil"/>
              <w:bottom w:val="nil"/>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t xml:space="preserve"> </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t xml:space="preserve"> </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t xml:space="preserve"> </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Employee expenses</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10 261</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9 803</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9 765</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9 319</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Net superannuation interest expense</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8a</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441</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512</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441</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512</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Other superannuation</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8a</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1 223</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1 094</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1 160</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1 035</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Depreciation</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9</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2 322</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2 198</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1 200</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1 198</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Interest expense</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10</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1 356</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1 424</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1 034</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1 048</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Grant expense</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11</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2 841</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2 721</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4 315</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4 130</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Other operating expenses</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 xml:space="preserve"> 12</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12 267</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12 090</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8 457</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8 340</w:t>
            </w:r>
          </w:p>
        </w:tc>
      </w:tr>
      <w:tr w:rsidR="0028027B" w:rsidRPr="00DC1EE4" w:rsidTr="00C03F9E">
        <w:trPr>
          <w:trHeight w:val="160"/>
        </w:trPr>
        <w:tc>
          <w:tcPr>
            <w:tcW w:w="5144" w:type="dxa"/>
            <w:tcBorders>
              <w:top w:val="single" w:sz="6" w:space="0" w:color="auto"/>
              <w:left w:val="nil"/>
              <w:bottom w:val="single" w:sz="6" w:space="0" w:color="auto"/>
              <w:right w:val="nil"/>
            </w:tcBorders>
          </w:tcPr>
          <w:p w:rsidR="0028027B" w:rsidRPr="00DC1EE4" w:rsidRDefault="0028027B" w:rsidP="00C03F9E">
            <w:pPr>
              <w:pStyle w:val="Tabletext"/>
              <w:spacing w:before="20" w:after="20"/>
              <w:rPr>
                <w:b/>
                <w:szCs w:val="20"/>
              </w:rPr>
            </w:pPr>
            <w:r w:rsidRPr="00DC1EE4">
              <w:rPr>
                <w:b/>
                <w:szCs w:val="20"/>
              </w:rPr>
              <w:t>Total expenses from transactions</w:t>
            </w:r>
          </w:p>
        </w:tc>
        <w:tc>
          <w:tcPr>
            <w:tcW w:w="810" w:type="dxa"/>
            <w:tcBorders>
              <w:top w:val="single" w:sz="6" w:space="0" w:color="auto"/>
              <w:left w:val="nil"/>
              <w:bottom w:val="single" w:sz="6" w:space="0" w:color="auto"/>
              <w:right w:val="nil"/>
            </w:tcBorders>
          </w:tcPr>
          <w:p w:rsidR="0028027B" w:rsidRPr="00DC1EE4" w:rsidRDefault="0028027B" w:rsidP="00C03F9E">
            <w:pPr>
              <w:pStyle w:val="TableTextCentred"/>
              <w:spacing w:before="20" w:after="20"/>
              <w:rPr>
                <w:b/>
                <w:szCs w:val="20"/>
              </w:rPr>
            </w:pPr>
            <w:r w:rsidRPr="00DC1EE4">
              <w:rPr>
                <w:b/>
                <w:szCs w:val="20"/>
              </w:rPr>
              <w:t>13</w:t>
            </w:r>
          </w:p>
        </w:tc>
        <w:tc>
          <w:tcPr>
            <w:tcW w:w="1058" w:type="dxa"/>
            <w:gridSpan w:val="2"/>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30 711</w:t>
            </w:r>
          </w:p>
        </w:tc>
        <w:tc>
          <w:tcPr>
            <w:tcW w:w="1059" w:type="dxa"/>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29 841</w:t>
            </w:r>
          </w:p>
        </w:tc>
        <w:tc>
          <w:tcPr>
            <w:tcW w:w="1058" w:type="dxa"/>
            <w:gridSpan w:val="2"/>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26 373</w:t>
            </w:r>
          </w:p>
        </w:tc>
        <w:tc>
          <w:tcPr>
            <w:tcW w:w="1059" w:type="dxa"/>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25 581</w:t>
            </w:r>
          </w:p>
        </w:tc>
      </w:tr>
      <w:tr w:rsidR="0028027B" w:rsidRPr="00DC1EE4" w:rsidTr="00C03F9E">
        <w:trPr>
          <w:trHeight w:val="160"/>
        </w:trPr>
        <w:tc>
          <w:tcPr>
            <w:tcW w:w="5144" w:type="dxa"/>
            <w:tcBorders>
              <w:top w:val="nil"/>
              <w:left w:val="nil"/>
              <w:bottom w:val="single" w:sz="12" w:space="0" w:color="auto"/>
              <w:right w:val="nil"/>
            </w:tcBorders>
          </w:tcPr>
          <w:p w:rsidR="0028027B" w:rsidRPr="00DC1EE4" w:rsidRDefault="0028027B" w:rsidP="00C03F9E">
            <w:pPr>
              <w:pStyle w:val="Tabletext"/>
              <w:spacing w:before="20" w:after="20"/>
              <w:rPr>
                <w:b/>
                <w:szCs w:val="20"/>
              </w:rPr>
            </w:pPr>
            <w:r w:rsidRPr="00DC1EE4">
              <w:rPr>
                <w:b/>
                <w:szCs w:val="20"/>
              </w:rPr>
              <w:t>Net result from transactions – net operating balance</w:t>
            </w:r>
          </w:p>
        </w:tc>
        <w:tc>
          <w:tcPr>
            <w:tcW w:w="810" w:type="dxa"/>
            <w:tcBorders>
              <w:top w:val="nil"/>
              <w:left w:val="nil"/>
              <w:bottom w:val="single" w:sz="12" w:space="0" w:color="auto"/>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nil"/>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1 146</w:t>
            </w:r>
          </w:p>
        </w:tc>
        <w:tc>
          <w:tcPr>
            <w:tcW w:w="1059" w:type="dxa"/>
            <w:tcBorders>
              <w:top w:val="nil"/>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(389)</w:t>
            </w:r>
          </w:p>
        </w:tc>
        <w:tc>
          <w:tcPr>
            <w:tcW w:w="1058" w:type="dxa"/>
            <w:gridSpan w:val="2"/>
            <w:tcBorders>
              <w:top w:val="nil"/>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1 507</w:t>
            </w:r>
          </w:p>
        </w:tc>
        <w:tc>
          <w:tcPr>
            <w:tcW w:w="1059" w:type="dxa"/>
            <w:tcBorders>
              <w:top w:val="nil"/>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463</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b/>
                <w:szCs w:val="20"/>
              </w:rPr>
            </w:pPr>
            <w:r w:rsidRPr="00DC1EE4">
              <w:rPr>
                <w:b/>
                <w:szCs w:val="20"/>
              </w:rPr>
              <w:t>Other economic flows included in net result</w:t>
            </w:r>
          </w:p>
        </w:tc>
        <w:tc>
          <w:tcPr>
            <w:tcW w:w="810" w:type="dxa"/>
            <w:tcBorders>
              <w:top w:val="nil"/>
              <w:left w:val="nil"/>
              <w:bottom w:val="nil"/>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Net gain/(loss) on disposal of non</w:t>
            </w:r>
            <w:r w:rsidR="005A4BB0">
              <w:rPr>
                <w:szCs w:val="20"/>
              </w:rPr>
              <w:noBreakHyphen/>
            </w:r>
            <w:r w:rsidRPr="00DC1EE4">
              <w:rPr>
                <w:szCs w:val="20"/>
              </w:rPr>
              <w:t>financial assets</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8</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28</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11</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26</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Net gain/(loss) on financial assets or liabilities at fair value</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(289)</w:t>
            </w:r>
          </w:p>
        </w:tc>
        <w:tc>
          <w:tcPr>
            <w:tcW w:w="1059" w:type="dxa"/>
            <w:tcBorders>
              <w:top w:val="nil"/>
              <w:left w:val="nil"/>
              <w:bottom w:val="nil"/>
              <w:right w:val="nil"/>
            </w:tcBorders>
            <w:shd w:val="solid" w:color="FFFFFF" w:fill="auto"/>
          </w:tcPr>
          <w:p w:rsidR="0028027B" w:rsidRPr="00DC1EE4" w:rsidRDefault="0028027B" w:rsidP="00C03F9E">
            <w:pPr>
              <w:pStyle w:val="TableofFigures"/>
              <w:spacing w:before="20" w:after="20"/>
              <w:rPr>
                <w:sz w:val="20"/>
                <w:szCs w:val="20"/>
              </w:rPr>
            </w:pPr>
            <w:r w:rsidRPr="00DC1EE4">
              <w:t>(174)</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(21)</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35</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ind w:left="255" w:hanging="255"/>
              <w:rPr>
                <w:szCs w:val="20"/>
              </w:rPr>
            </w:pPr>
            <w:r w:rsidRPr="00DC1EE4">
              <w:rPr>
                <w:szCs w:val="20"/>
              </w:rPr>
              <w:t>Share of net profit/(loss) from associates/joint venture entities</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28</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22</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Other gains/(losses) from other economic flows</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14</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(351)</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(1 266)</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(260)</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(333)</w:t>
            </w:r>
          </w:p>
        </w:tc>
      </w:tr>
      <w:tr w:rsidR="0028027B" w:rsidRPr="00DC1EE4" w:rsidTr="00C03F9E">
        <w:trPr>
          <w:trHeight w:val="160"/>
        </w:trPr>
        <w:tc>
          <w:tcPr>
            <w:tcW w:w="5144" w:type="dxa"/>
            <w:tcBorders>
              <w:top w:val="single" w:sz="6" w:space="0" w:color="auto"/>
              <w:left w:val="nil"/>
              <w:bottom w:val="single" w:sz="6" w:space="0" w:color="auto"/>
              <w:right w:val="nil"/>
            </w:tcBorders>
          </w:tcPr>
          <w:p w:rsidR="0028027B" w:rsidRPr="00DC1EE4" w:rsidRDefault="0028027B" w:rsidP="00C03F9E">
            <w:pPr>
              <w:pStyle w:val="Tabletext"/>
              <w:spacing w:before="20" w:after="20"/>
              <w:rPr>
                <w:b/>
                <w:szCs w:val="20"/>
              </w:rPr>
            </w:pPr>
            <w:r w:rsidRPr="00DC1EE4">
              <w:rPr>
                <w:b/>
                <w:szCs w:val="20"/>
              </w:rPr>
              <w:t>Total other economic flows included in net result</w:t>
            </w:r>
          </w:p>
        </w:tc>
        <w:tc>
          <w:tcPr>
            <w:tcW w:w="810" w:type="dxa"/>
            <w:tcBorders>
              <w:top w:val="single" w:sz="6" w:space="0" w:color="auto"/>
              <w:left w:val="nil"/>
              <w:bottom w:val="single" w:sz="6" w:space="0" w:color="auto"/>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(604)</w:t>
            </w:r>
          </w:p>
        </w:tc>
        <w:tc>
          <w:tcPr>
            <w:tcW w:w="1059" w:type="dxa"/>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(1 390)</w:t>
            </w:r>
          </w:p>
        </w:tc>
        <w:tc>
          <w:tcPr>
            <w:tcW w:w="1058" w:type="dxa"/>
            <w:gridSpan w:val="2"/>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(267)</w:t>
            </w:r>
          </w:p>
        </w:tc>
        <w:tc>
          <w:tcPr>
            <w:tcW w:w="1059" w:type="dxa"/>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(273)</w:t>
            </w:r>
          </w:p>
        </w:tc>
      </w:tr>
      <w:tr w:rsidR="0028027B" w:rsidRPr="00DC1EE4" w:rsidTr="00C03F9E">
        <w:trPr>
          <w:trHeight w:val="160"/>
        </w:trPr>
        <w:tc>
          <w:tcPr>
            <w:tcW w:w="5144" w:type="dxa"/>
            <w:tcBorders>
              <w:top w:val="single" w:sz="6" w:space="0" w:color="auto"/>
              <w:left w:val="nil"/>
              <w:bottom w:val="single" w:sz="12" w:space="0" w:color="auto"/>
              <w:right w:val="nil"/>
            </w:tcBorders>
          </w:tcPr>
          <w:p w:rsidR="0028027B" w:rsidRPr="00DC1EE4" w:rsidRDefault="0028027B" w:rsidP="00C03F9E">
            <w:pPr>
              <w:pStyle w:val="Tabletext"/>
              <w:spacing w:before="20" w:after="20"/>
              <w:rPr>
                <w:b/>
                <w:szCs w:val="20"/>
              </w:rPr>
            </w:pPr>
            <w:r w:rsidRPr="00DC1EE4">
              <w:rPr>
                <w:b/>
                <w:szCs w:val="20"/>
              </w:rPr>
              <w:t>Net result</w:t>
            </w:r>
          </w:p>
        </w:tc>
        <w:tc>
          <w:tcPr>
            <w:tcW w:w="810" w:type="dxa"/>
            <w:tcBorders>
              <w:top w:val="single" w:sz="6" w:space="0" w:color="auto"/>
              <w:left w:val="nil"/>
              <w:bottom w:val="single" w:sz="12" w:space="0" w:color="auto"/>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542</w:t>
            </w:r>
          </w:p>
        </w:tc>
        <w:tc>
          <w:tcPr>
            <w:tcW w:w="1059" w:type="dxa"/>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(1 779)</w:t>
            </w:r>
          </w:p>
        </w:tc>
        <w:tc>
          <w:tcPr>
            <w:tcW w:w="1058" w:type="dxa"/>
            <w:gridSpan w:val="2"/>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1 239</w:t>
            </w:r>
          </w:p>
        </w:tc>
        <w:tc>
          <w:tcPr>
            <w:tcW w:w="1059" w:type="dxa"/>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191</w:t>
            </w:r>
          </w:p>
        </w:tc>
      </w:tr>
      <w:tr w:rsidR="0028027B" w:rsidRPr="00DC1EE4" w:rsidTr="00C03F9E">
        <w:trPr>
          <w:trHeight w:val="160"/>
        </w:trPr>
        <w:tc>
          <w:tcPr>
            <w:tcW w:w="10188" w:type="dxa"/>
            <w:gridSpan w:val="8"/>
            <w:tcBorders>
              <w:top w:val="single" w:sz="12" w:space="0" w:color="auto"/>
              <w:left w:val="nil"/>
              <w:right w:val="nil"/>
            </w:tcBorders>
          </w:tcPr>
          <w:p w:rsidR="0028027B" w:rsidRPr="00DC1EE4" w:rsidRDefault="0028027B" w:rsidP="00C03F9E">
            <w:pPr>
              <w:pStyle w:val="Tabletext"/>
              <w:spacing w:before="20" w:after="20"/>
              <w:rPr>
                <w:b/>
                <w:szCs w:val="20"/>
              </w:rPr>
            </w:pPr>
            <w:r w:rsidRPr="00DC1EE4">
              <w:rPr>
                <w:b/>
                <w:szCs w:val="20"/>
              </w:rPr>
              <w:t>Other economic flows – other comprehensive income</w:t>
            </w:r>
          </w:p>
        </w:tc>
      </w:tr>
      <w:tr w:rsidR="0028027B" w:rsidRPr="00DC1EE4" w:rsidTr="00C03F9E">
        <w:trPr>
          <w:trHeight w:val="160"/>
        </w:trPr>
        <w:tc>
          <w:tcPr>
            <w:tcW w:w="5144" w:type="dxa"/>
            <w:tcBorders>
              <w:left w:val="nil"/>
              <w:bottom w:val="nil"/>
              <w:right w:val="nil"/>
            </w:tcBorders>
          </w:tcPr>
          <w:p w:rsidR="0028027B" w:rsidRPr="00DC1EE4" w:rsidRDefault="0028027B" w:rsidP="00C03F9E">
            <w:pPr>
              <w:pStyle w:val="Tabletext"/>
              <w:spacing w:before="20" w:after="20"/>
              <w:rPr>
                <w:b/>
                <w:szCs w:val="20"/>
              </w:rPr>
            </w:pPr>
            <w:r w:rsidRPr="00DC1EE4">
              <w:rPr>
                <w:b/>
                <w:szCs w:val="20"/>
              </w:rPr>
              <w:t>Items that will not be reclassified to net result</w:t>
            </w:r>
          </w:p>
        </w:tc>
        <w:tc>
          <w:tcPr>
            <w:tcW w:w="810" w:type="dxa"/>
            <w:tcBorders>
              <w:left w:val="nil"/>
              <w:bottom w:val="nil"/>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left w:val="nil"/>
              <w:bottom w:val="nil"/>
              <w:right w:val="nil"/>
            </w:tcBorders>
          </w:tcPr>
          <w:p w:rsidR="0028027B" w:rsidRPr="00DC1EE4" w:rsidRDefault="0028027B" w:rsidP="00C03F9E">
            <w:pPr>
              <w:pStyle w:val="TableofFigures"/>
              <w:spacing w:before="20" w:after="20"/>
              <w:rPr>
                <w:b/>
                <w:sz w:val="20"/>
                <w:szCs w:val="20"/>
              </w:rPr>
            </w:pPr>
          </w:p>
        </w:tc>
        <w:tc>
          <w:tcPr>
            <w:tcW w:w="1059" w:type="dxa"/>
            <w:tcBorders>
              <w:left w:val="nil"/>
              <w:bottom w:val="nil"/>
              <w:right w:val="nil"/>
            </w:tcBorders>
          </w:tcPr>
          <w:p w:rsidR="0028027B" w:rsidRPr="00DC1EE4" w:rsidRDefault="0028027B" w:rsidP="00C03F9E">
            <w:pPr>
              <w:pStyle w:val="TableofFigures"/>
              <w:spacing w:before="20" w:after="20"/>
              <w:rPr>
                <w:b/>
                <w:sz w:val="20"/>
                <w:szCs w:val="20"/>
              </w:rPr>
            </w:pPr>
          </w:p>
        </w:tc>
        <w:tc>
          <w:tcPr>
            <w:tcW w:w="1058" w:type="dxa"/>
            <w:gridSpan w:val="2"/>
            <w:tcBorders>
              <w:left w:val="nil"/>
              <w:bottom w:val="nil"/>
              <w:right w:val="nil"/>
            </w:tcBorders>
          </w:tcPr>
          <w:p w:rsidR="0028027B" w:rsidRPr="00DC1EE4" w:rsidRDefault="0028027B" w:rsidP="00C03F9E">
            <w:pPr>
              <w:pStyle w:val="TableofFigures"/>
              <w:spacing w:before="20" w:after="20"/>
              <w:rPr>
                <w:b/>
                <w:sz w:val="20"/>
                <w:szCs w:val="20"/>
              </w:rPr>
            </w:pPr>
          </w:p>
        </w:tc>
        <w:tc>
          <w:tcPr>
            <w:tcW w:w="1059" w:type="dxa"/>
            <w:tcBorders>
              <w:left w:val="nil"/>
              <w:bottom w:val="nil"/>
              <w:right w:val="nil"/>
            </w:tcBorders>
          </w:tcPr>
          <w:p w:rsidR="0028027B" w:rsidRPr="00DC1EE4" w:rsidRDefault="0028027B" w:rsidP="00C03F9E">
            <w:pPr>
              <w:pStyle w:val="TableofFigures"/>
              <w:spacing w:before="20" w:after="20"/>
              <w:rPr>
                <w:b/>
                <w:sz w:val="20"/>
                <w:szCs w:val="20"/>
              </w:rPr>
            </w:pP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Changes in non</w:t>
            </w:r>
            <w:r w:rsidR="005A4BB0">
              <w:rPr>
                <w:szCs w:val="20"/>
              </w:rPr>
              <w:noBreakHyphen/>
            </w:r>
            <w:r w:rsidRPr="00DC1EE4">
              <w:rPr>
                <w:szCs w:val="20"/>
              </w:rPr>
              <w:t>financial assets revaluation surplus</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(82)</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74</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8</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59</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Remeasurement of superannuation defined benefits plans</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8a</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(704)</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(2 467)</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(704)</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(2 464)</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ind w:left="255" w:hanging="255"/>
              <w:rPr>
                <w:szCs w:val="20"/>
              </w:rPr>
            </w:pPr>
            <w:r w:rsidRPr="00DC1EE4">
              <w:rPr>
                <w:szCs w:val="20"/>
              </w:rPr>
              <w:t>Net gain/(loss) on equity investments in other sector entities at proportional share of the carrying amount of net assets</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(246)</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3</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Other movements in equity</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53</w:t>
            </w:r>
          </w:p>
        </w:tc>
        <w:tc>
          <w:tcPr>
            <w:tcW w:w="1059" w:type="dxa"/>
            <w:tcBorders>
              <w:top w:val="nil"/>
              <w:left w:val="nil"/>
              <w:bottom w:val="nil"/>
              <w:right w:val="nil"/>
            </w:tcBorders>
            <w:shd w:val="solid" w:color="FFFFFF" w:fill="auto"/>
          </w:tcPr>
          <w:p w:rsidR="0028027B" w:rsidRPr="00DC1EE4" w:rsidRDefault="0028027B" w:rsidP="00C03F9E">
            <w:pPr>
              <w:pStyle w:val="TableofFigures"/>
              <w:spacing w:before="20" w:after="20"/>
              <w:rPr>
                <w:sz w:val="20"/>
                <w:szCs w:val="20"/>
              </w:rPr>
            </w:pPr>
            <w:r w:rsidRPr="00DC1EE4">
              <w:t>(26)</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(25)</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(7)</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b/>
                <w:szCs w:val="20"/>
              </w:rPr>
            </w:pPr>
            <w:r w:rsidRPr="00DC1EE4">
              <w:rPr>
                <w:b/>
                <w:szCs w:val="20"/>
              </w:rPr>
              <w:t>Items that may be reclassified subsequently to net result</w:t>
            </w:r>
          </w:p>
        </w:tc>
        <w:tc>
          <w:tcPr>
            <w:tcW w:w="810" w:type="dxa"/>
            <w:tcBorders>
              <w:top w:val="nil"/>
              <w:left w:val="nil"/>
              <w:bottom w:val="nil"/>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t xml:space="preserve"> </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t xml:space="preserve"> </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t xml:space="preserve"> </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Net gain/(loss) on financial assets at fair value</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(30)</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(54)</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(26)</w:t>
            </w:r>
          </w:p>
        </w:tc>
        <w:tc>
          <w:tcPr>
            <w:tcW w:w="1059" w:type="dxa"/>
            <w:tcBorders>
              <w:top w:val="nil"/>
              <w:left w:val="nil"/>
              <w:bottom w:val="nil"/>
              <w:right w:val="nil"/>
            </w:tcBorders>
          </w:tcPr>
          <w:p w:rsidR="0028027B" w:rsidRPr="00DC1EE4" w:rsidRDefault="0028027B" w:rsidP="00C03F9E">
            <w:pPr>
              <w:pStyle w:val="TableofFigures"/>
              <w:spacing w:before="20" w:after="20"/>
              <w:rPr>
                <w:sz w:val="20"/>
                <w:szCs w:val="20"/>
              </w:rPr>
            </w:pPr>
            <w:r w:rsidRPr="00DC1EE4">
              <w:t>(34)</w:t>
            </w:r>
          </w:p>
        </w:tc>
      </w:tr>
      <w:tr w:rsidR="0028027B" w:rsidRPr="00DC1EE4" w:rsidTr="00C03F9E">
        <w:trPr>
          <w:trHeight w:val="160"/>
        </w:trPr>
        <w:tc>
          <w:tcPr>
            <w:tcW w:w="5144" w:type="dxa"/>
            <w:tcBorders>
              <w:top w:val="single" w:sz="6" w:space="0" w:color="auto"/>
              <w:left w:val="nil"/>
              <w:bottom w:val="single" w:sz="6" w:space="0" w:color="auto"/>
              <w:right w:val="nil"/>
            </w:tcBorders>
          </w:tcPr>
          <w:p w:rsidR="0028027B" w:rsidRPr="00DC1EE4" w:rsidRDefault="0028027B" w:rsidP="00C03F9E">
            <w:pPr>
              <w:pStyle w:val="Tabletext"/>
              <w:spacing w:before="20" w:after="20"/>
              <w:rPr>
                <w:b/>
                <w:szCs w:val="20"/>
              </w:rPr>
            </w:pPr>
            <w:r w:rsidRPr="00DC1EE4">
              <w:rPr>
                <w:b/>
                <w:szCs w:val="20"/>
              </w:rPr>
              <w:t>Total other economic flows – other comprehensive income</w:t>
            </w:r>
          </w:p>
        </w:tc>
        <w:tc>
          <w:tcPr>
            <w:tcW w:w="810" w:type="dxa"/>
            <w:tcBorders>
              <w:top w:val="single" w:sz="6" w:space="0" w:color="auto"/>
              <w:left w:val="nil"/>
              <w:bottom w:val="single" w:sz="6" w:space="0" w:color="auto"/>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(763)</w:t>
            </w:r>
          </w:p>
        </w:tc>
        <w:tc>
          <w:tcPr>
            <w:tcW w:w="1059" w:type="dxa"/>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(2 473)</w:t>
            </w:r>
          </w:p>
        </w:tc>
        <w:tc>
          <w:tcPr>
            <w:tcW w:w="1058" w:type="dxa"/>
            <w:gridSpan w:val="2"/>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(993)</w:t>
            </w:r>
          </w:p>
        </w:tc>
        <w:tc>
          <w:tcPr>
            <w:tcW w:w="1059" w:type="dxa"/>
            <w:tcBorders>
              <w:top w:val="single" w:sz="6" w:space="0" w:color="auto"/>
              <w:left w:val="nil"/>
              <w:bottom w:val="single" w:sz="6" w:space="0" w:color="auto"/>
              <w:right w:val="nil"/>
            </w:tcBorders>
          </w:tcPr>
          <w:p w:rsidR="0028027B" w:rsidRPr="00DC1EE4" w:rsidRDefault="0028027B" w:rsidP="00C03F9E">
            <w:pPr>
              <w:pStyle w:val="TableofFigures"/>
              <w:spacing w:before="20" w:after="20"/>
              <w:rPr>
                <w:b/>
                <w:sz w:val="20"/>
                <w:szCs w:val="20"/>
              </w:rPr>
            </w:pPr>
            <w:r w:rsidRPr="00DC1EE4">
              <w:rPr>
                <w:b/>
              </w:rPr>
              <w:t>(2 444)</w:t>
            </w:r>
          </w:p>
        </w:tc>
      </w:tr>
      <w:tr w:rsidR="0028027B" w:rsidRPr="00DC1EE4" w:rsidTr="00C03F9E">
        <w:trPr>
          <w:trHeight w:val="160"/>
        </w:trPr>
        <w:tc>
          <w:tcPr>
            <w:tcW w:w="5144" w:type="dxa"/>
            <w:tcBorders>
              <w:top w:val="single" w:sz="6" w:space="0" w:color="auto"/>
              <w:left w:val="nil"/>
              <w:bottom w:val="single" w:sz="12" w:space="0" w:color="auto"/>
              <w:right w:val="nil"/>
            </w:tcBorders>
          </w:tcPr>
          <w:p w:rsidR="0028027B" w:rsidRPr="00DC1EE4" w:rsidRDefault="0028027B" w:rsidP="00C03F9E">
            <w:pPr>
              <w:pStyle w:val="Tabletext"/>
              <w:spacing w:before="20" w:after="20"/>
              <w:rPr>
                <w:b/>
                <w:szCs w:val="20"/>
              </w:rPr>
            </w:pPr>
            <w:r w:rsidRPr="00DC1EE4">
              <w:rPr>
                <w:b/>
                <w:szCs w:val="20"/>
              </w:rPr>
              <w:t>Comprehensive result – total change in net worth</w:t>
            </w:r>
          </w:p>
        </w:tc>
        <w:tc>
          <w:tcPr>
            <w:tcW w:w="810" w:type="dxa"/>
            <w:tcBorders>
              <w:top w:val="single" w:sz="6" w:space="0" w:color="auto"/>
              <w:left w:val="nil"/>
              <w:bottom w:val="single" w:sz="12" w:space="0" w:color="auto"/>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(221)</w:t>
            </w:r>
          </w:p>
        </w:tc>
        <w:tc>
          <w:tcPr>
            <w:tcW w:w="1059" w:type="dxa"/>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(4 253)</w:t>
            </w:r>
          </w:p>
        </w:tc>
        <w:tc>
          <w:tcPr>
            <w:tcW w:w="1058" w:type="dxa"/>
            <w:gridSpan w:val="2"/>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246</w:t>
            </w:r>
          </w:p>
        </w:tc>
        <w:tc>
          <w:tcPr>
            <w:tcW w:w="1059" w:type="dxa"/>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(2 253)</w:t>
            </w:r>
          </w:p>
        </w:tc>
      </w:tr>
      <w:tr w:rsidR="0028027B" w:rsidRPr="00DC1EE4" w:rsidTr="00C03F9E">
        <w:trPr>
          <w:trHeight w:hRule="exact" w:val="120"/>
        </w:trPr>
        <w:tc>
          <w:tcPr>
            <w:tcW w:w="5144" w:type="dxa"/>
            <w:tcBorders>
              <w:top w:val="nil"/>
              <w:left w:val="nil"/>
              <w:bottom w:val="nil"/>
              <w:right w:val="nil"/>
            </w:tcBorders>
          </w:tcPr>
          <w:p w:rsidR="0028027B" w:rsidRPr="00DC1EE4" w:rsidRDefault="0028027B" w:rsidP="00C03F9E">
            <w:pPr>
              <w:pStyle w:val="Tabletext"/>
              <w:pageBreakBefore/>
              <w:spacing w:before="20" w:after="20"/>
              <w:rPr>
                <w:b/>
                <w:szCs w:val="20"/>
              </w:rPr>
            </w:pPr>
            <w:r w:rsidRPr="00DC1EE4">
              <w:rPr>
                <w:b/>
                <w:szCs w:val="20"/>
              </w:rPr>
              <w:t xml:space="preserve"> </w:t>
            </w:r>
          </w:p>
        </w:tc>
        <w:tc>
          <w:tcPr>
            <w:tcW w:w="810" w:type="dxa"/>
            <w:tcBorders>
              <w:top w:val="nil"/>
              <w:left w:val="nil"/>
              <w:bottom w:val="nil"/>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b/>
                <w:szCs w:val="20"/>
              </w:rPr>
            </w:pPr>
            <w:r w:rsidRPr="00DC1EE4">
              <w:rPr>
                <w:b/>
                <w:szCs w:val="20"/>
              </w:rPr>
              <w:t>KEY FISCAL AGGREGATES</w:t>
            </w:r>
          </w:p>
        </w:tc>
        <w:tc>
          <w:tcPr>
            <w:tcW w:w="810" w:type="dxa"/>
            <w:tcBorders>
              <w:top w:val="nil"/>
              <w:left w:val="nil"/>
              <w:bottom w:val="nil"/>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sz w:val="20"/>
                <w:szCs w:val="20"/>
              </w:rPr>
              <w:t xml:space="preserve"> </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b/>
                <w:szCs w:val="20"/>
              </w:rPr>
            </w:pPr>
            <w:r w:rsidRPr="00DC1EE4">
              <w:rPr>
                <w:b/>
                <w:szCs w:val="20"/>
              </w:rPr>
              <w:t>Net operating balance</w:t>
            </w:r>
            <w:r w:rsidRPr="00DC1EE4">
              <w:rPr>
                <w:b/>
                <w:szCs w:val="20"/>
                <w:vertAlign w:val="superscript"/>
              </w:rPr>
              <w:t>(a)</w:t>
            </w:r>
          </w:p>
        </w:tc>
        <w:tc>
          <w:tcPr>
            <w:tcW w:w="810" w:type="dxa"/>
            <w:tcBorders>
              <w:top w:val="nil"/>
              <w:left w:val="nil"/>
              <w:bottom w:val="nil"/>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rPr>
              <w:t>1 146</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rPr>
              <w:t>(389)</w:t>
            </w:r>
          </w:p>
        </w:tc>
        <w:tc>
          <w:tcPr>
            <w:tcW w:w="1058" w:type="dxa"/>
            <w:gridSpan w:val="2"/>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rPr>
              <w:t>1 507</w:t>
            </w:r>
          </w:p>
        </w:tc>
        <w:tc>
          <w:tcPr>
            <w:tcW w:w="1059" w:type="dxa"/>
            <w:tcBorders>
              <w:top w:val="nil"/>
              <w:left w:val="nil"/>
              <w:bottom w:val="nil"/>
              <w:right w:val="nil"/>
            </w:tcBorders>
          </w:tcPr>
          <w:p w:rsidR="0028027B" w:rsidRPr="00DC1EE4" w:rsidRDefault="0028027B" w:rsidP="00C03F9E">
            <w:pPr>
              <w:pStyle w:val="TableofFigures"/>
              <w:spacing w:before="20" w:after="20"/>
              <w:rPr>
                <w:b/>
                <w:sz w:val="20"/>
                <w:szCs w:val="20"/>
              </w:rPr>
            </w:pPr>
            <w:r w:rsidRPr="00DC1EE4">
              <w:rPr>
                <w:b/>
              </w:rPr>
              <w:t>463</w:t>
            </w:r>
          </w:p>
        </w:tc>
      </w:tr>
      <w:tr w:rsidR="0028027B" w:rsidRPr="00DC1EE4" w:rsidTr="00C03F9E">
        <w:trPr>
          <w:trHeight w:val="160"/>
        </w:trPr>
        <w:tc>
          <w:tcPr>
            <w:tcW w:w="5144" w:type="dxa"/>
            <w:tcBorders>
              <w:top w:val="nil"/>
              <w:left w:val="nil"/>
              <w:bottom w:val="nil"/>
              <w:right w:val="nil"/>
            </w:tcBorders>
          </w:tcPr>
          <w:p w:rsidR="0028027B" w:rsidRPr="00DC1EE4" w:rsidRDefault="0028027B" w:rsidP="00C03F9E">
            <w:pPr>
              <w:pStyle w:val="Tabletext"/>
              <w:spacing w:before="20" w:after="20"/>
              <w:rPr>
                <w:szCs w:val="20"/>
              </w:rPr>
            </w:pPr>
            <w:r w:rsidRPr="00DC1EE4">
              <w:rPr>
                <w:szCs w:val="20"/>
              </w:rPr>
              <w:t>Less: Net acquisition of non</w:t>
            </w:r>
            <w:r w:rsidR="005A4BB0">
              <w:rPr>
                <w:szCs w:val="20"/>
              </w:rPr>
              <w:noBreakHyphen/>
            </w:r>
            <w:r w:rsidRPr="00DC1EE4">
              <w:rPr>
                <w:szCs w:val="20"/>
              </w:rPr>
              <w:t>financial assets from transactions</w:t>
            </w:r>
          </w:p>
        </w:tc>
        <w:tc>
          <w:tcPr>
            <w:tcW w:w="810" w:type="dxa"/>
            <w:tcBorders>
              <w:top w:val="nil"/>
              <w:left w:val="nil"/>
              <w:bottom w:val="nil"/>
              <w:right w:val="nil"/>
            </w:tcBorders>
          </w:tcPr>
          <w:p w:rsidR="0028027B" w:rsidRPr="00DC1EE4" w:rsidRDefault="0028027B" w:rsidP="00C03F9E">
            <w:pPr>
              <w:pStyle w:val="TableTextCentred"/>
              <w:spacing w:before="20" w:after="20"/>
              <w:rPr>
                <w:szCs w:val="20"/>
              </w:rPr>
            </w:pPr>
            <w:r w:rsidRPr="00DC1EE4">
              <w:rPr>
                <w:szCs w:val="20"/>
              </w:rPr>
              <w:t>2</w:t>
            </w:r>
          </w:p>
        </w:tc>
        <w:tc>
          <w:tcPr>
            <w:tcW w:w="1058" w:type="dxa"/>
            <w:gridSpan w:val="2"/>
            <w:tcBorders>
              <w:top w:val="nil"/>
              <w:left w:val="nil"/>
              <w:bottom w:val="single" w:sz="6" w:space="0" w:color="auto"/>
              <w:right w:val="nil"/>
            </w:tcBorders>
          </w:tcPr>
          <w:p w:rsidR="0028027B" w:rsidRPr="00DC1EE4" w:rsidRDefault="0028027B" w:rsidP="00C03F9E">
            <w:pPr>
              <w:pStyle w:val="TableofFigures"/>
              <w:spacing w:before="20" w:after="20"/>
              <w:rPr>
                <w:sz w:val="20"/>
                <w:szCs w:val="20"/>
              </w:rPr>
            </w:pPr>
            <w:r w:rsidRPr="00DC1EE4">
              <w:t>819</w:t>
            </w:r>
          </w:p>
        </w:tc>
        <w:tc>
          <w:tcPr>
            <w:tcW w:w="1059" w:type="dxa"/>
            <w:tcBorders>
              <w:top w:val="nil"/>
              <w:left w:val="nil"/>
              <w:bottom w:val="single" w:sz="6" w:space="0" w:color="auto"/>
              <w:right w:val="nil"/>
            </w:tcBorders>
          </w:tcPr>
          <w:p w:rsidR="0028027B" w:rsidRPr="00DC1EE4" w:rsidRDefault="0028027B" w:rsidP="00C03F9E">
            <w:pPr>
              <w:pStyle w:val="TableofFigures"/>
              <w:spacing w:before="20" w:after="20"/>
              <w:rPr>
                <w:sz w:val="20"/>
                <w:szCs w:val="20"/>
              </w:rPr>
            </w:pPr>
            <w:r w:rsidRPr="00DC1EE4">
              <w:t>848</w:t>
            </w:r>
          </w:p>
        </w:tc>
        <w:tc>
          <w:tcPr>
            <w:tcW w:w="1058" w:type="dxa"/>
            <w:gridSpan w:val="2"/>
            <w:tcBorders>
              <w:top w:val="nil"/>
              <w:left w:val="nil"/>
              <w:bottom w:val="single" w:sz="6" w:space="0" w:color="auto"/>
              <w:right w:val="nil"/>
            </w:tcBorders>
          </w:tcPr>
          <w:p w:rsidR="0028027B" w:rsidRPr="00DC1EE4" w:rsidRDefault="0028027B" w:rsidP="00C03F9E">
            <w:pPr>
              <w:pStyle w:val="TableofFigures"/>
              <w:spacing w:before="20" w:after="20"/>
              <w:rPr>
                <w:sz w:val="20"/>
                <w:szCs w:val="20"/>
              </w:rPr>
            </w:pPr>
            <w:r w:rsidRPr="00DC1EE4">
              <w:t>359</w:t>
            </w:r>
          </w:p>
        </w:tc>
        <w:tc>
          <w:tcPr>
            <w:tcW w:w="1059" w:type="dxa"/>
            <w:tcBorders>
              <w:top w:val="nil"/>
              <w:left w:val="nil"/>
              <w:bottom w:val="single" w:sz="6" w:space="0" w:color="auto"/>
              <w:right w:val="nil"/>
            </w:tcBorders>
          </w:tcPr>
          <w:p w:rsidR="0028027B" w:rsidRPr="00DC1EE4" w:rsidRDefault="0028027B" w:rsidP="00C03F9E">
            <w:pPr>
              <w:pStyle w:val="TableofFigures"/>
              <w:spacing w:before="20" w:after="20"/>
              <w:rPr>
                <w:sz w:val="20"/>
                <w:szCs w:val="20"/>
              </w:rPr>
            </w:pPr>
            <w:r w:rsidRPr="00DC1EE4">
              <w:t>445</w:t>
            </w:r>
          </w:p>
        </w:tc>
      </w:tr>
      <w:tr w:rsidR="0028027B" w:rsidRPr="00DC1EE4" w:rsidTr="00C03F9E">
        <w:trPr>
          <w:trHeight w:val="160"/>
        </w:trPr>
        <w:tc>
          <w:tcPr>
            <w:tcW w:w="5144" w:type="dxa"/>
            <w:tcBorders>
              <w:top w:val="single" w:sz="6" w:space="0" w:color="auto"/>
              <w:left w:val="nil"/>
              <w:bottom w:val="single" w:sz="12" w:space="0" w:color="auto"/>
              <w:right w:val="nil"/>
            </w:tcBorders>
          </w:tcPr>
          <w:p w:rsidR="0028027B" w:rsidRPr="00DC1EE4" w:rsidRDefault="0028027B" w:rsidP="00C03F9E">
            <w:pPr>
              <w:pStyle w:val="Tabletext"/>
              <w:spacing w:before="20" w:after="20"/>
              <w:rPr>
                <w:b/>
                <w:szCs w:val="20"/>
              </w:rPr>
            </w:pPr>
            <w:r w:rsidRPr="00DC1EE4">
              <w:rPr>
                <w:b/>
                <w:szCs w:val="20"/>
              </w:rPr>
              <w:t>Net lending/(borrowing)</w:t>
            </w:r>
            <w:r w:rsidRPr="00DC1EE4">
              <w:rPr>
                <w:b/>
                <w:szCs w:val="20"/>
                <w:vertAlign w:val="superscript"/>
              </w:rPr>
              <w:t>(a)</w:t>
            </w:r>
          </w:p>
        </w:tc>
        <w:tc>
          <w:tcPr>
            <w:tcW w:w="810" w:type="dxa"/>
            <w:tcBorders>
              <w:top w:val="single" w:sz="6" w:space="0" w:color="auto"/>
              <w:left w:val="nil"/>
              <w:bottom w:val="single" w:sz="12" w:space="0" w:color="auto"/>
              <w:right w:val="nil"/>
            </w:tcBorders>
          </w:tcPr>
          <w:p w:rsidR="0028027B" w:rsidRPr="00DC1EE4" w:rsidRDefault="0028027B" w:rsidP="00C03F9E">
            <w:pPr>
              <w:pStyle w:val="TableTextCentred"/>
              <w:spacing w:before="20" w:after="20"/>
              <w:rPr>
                <w:b/>
                <w:szCs w:val="20"/>
              </w:rPr>
            </w:pPr>
            <w:r w:rsidRPr="00DC1EE4">
              <w:rPr>
                <w:b/>
                <w:szCs w:val="20"/>
              </w:rPr>
              <w:t xml:space="preserve"> </w:t>
            </w:r>
          </w:p>
        </w:tc>
        <w:tc>
          <w:tcPr>
            <w:tcW w:w="1058" w:type="dxa"/>
            <w:gridSpan w:val="2"/>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327</w:t>
            </w:r>
          </w:p>
        </w:tc>
        <w:tc>
          <w:tcPr>
            <w:tcW w:w="1059" w:type="dxa"/>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(1 237)</w:t>
            </w:r>
          </w:p>
        </w:tc>
        <w:tc>
          <w:tcPr>
            <w:tcW w:w="1058" w:type="dxa"/>
            <w:gridSpan w:val="2"/>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1 148</w:t>
            </w:r>
          </w:p>
        </w:tc>
        <w:tc>
          <w:tcPr>
            <w:tcW w:w="1059" w:type="dxa"/>
            <w:tcBorders>
              <w:top w:val="single" w:sz="6" w:space="0" w:color="auto"/>
              <w:left w:val="nil"/>
              <w:bottom w:val="single" w:sz="12" w:space="0" w:color="auto"/>
              <w:right w:val="nil"/>
            </w:tcBorders>
          </w:tcPr>
          <w:p w:rsidR="0028027B" w:rsidRPr="00DC1EE4" w:rsidRDefault="0028027B" w:rsidP="00C03F9E">
            <w:pPr>
              <w:pStyle w:val="TableofFigures"/>
              <w:spacing w:before="20" w:after="20"/>
              <w:rPr>
                <w:b/>
                <w:sz w:val="20"/>
                <w:szCs w:val="20"/>
              </w:rPr>
            </w:pPr>
            <w:r w:rsidRPr="00DC1EE4">
              <w:rPr>
                <w:b/>
              </w:rPr>
              <w:t>18</w:t>
            </w:r>
          </w:p>
        </w:tc>
      </w:tr>
    </w:tbl>
    <w:p w:rsidR="0028027B" w:rsidRPr="00DC1EE4" w:rsidRDefault="0028027B" w:rsidP="0028027B">
      <w:pPr>
        <w:pStyle w:val="Source"/>
        <w:spacing w:after="40"/>
      </w:pPr>
      <w:r w:rsidRPr="00DC1EE4">
        <w:t>The accompanying notes form part of these financial statements.</w:t>
      </w:r>
    </w:p>
    <w:p w:rsidR="0028027B" w:rsidRPr="00DC1EE4" w:rsidRDefault="0028027B" w:rsidP="0028027B">
      <w:pPr>
        <w:pStyle w:val="Notes"/>
      </w:pPr>
      <w:r w:rsidRPr="00DC1EE4">
        <w:t>Notes:</w:t>
      </w:r>
    </w:p>
    <w:p w:rsidR="0028027B" w:rsidRPr="00DC1EE4" w:rsidRDefault="0028027B" w:rsidP="0028027B">
      <w:pPr>
        <w:pStyle w:val="Notes"/>
        <w:sectPr w:rsidR="0028027B" w:rsidRPr="00DC1EE4" w:rsidSect="00190A01">
          <w:headerReference w:type="even" r:id="rId358"/>
          <w:pgSz w:w="11906" w:h="16838" w:code="9"/>
          <w:pgMar w:top="1152" w:right="864" w:bottom="1152" w:left="864" w:header="432" w:footer="432" w:gutter="0"/>
          <w:cols w:space="708"/>
          <w:docGrid w:linePitch="360"/>
        </w:sectPr>
      </w:pPr>
      <w:r w:rsidRPr="00DC1EE4">
        <w:t>(a)</w:t>
      </w:r>
      <w:r w:rsidRPr="00DC1EE4">
        <w:tab/>
        <w:t xml:space="preserve">The December 2014 comparative figures have been restated to reflect more current information, mainly including adjustments outlined in Note 37 of the </w:t>
      </w:r>
      <w:r w:rsidRPr="00DC1EE4">
        <w:rPr>
          <w:i w:val="0"/>
        </w:rPr>
        <w:t>2014</w:t>
      </w:r>
      <w:r w:rsidR="005A4BB0">
        <w:rPr>
          <w:i w:val="0"/>
        </w:rPr>
        <w:noBreakHyphen/>
      </w:r>
      <w:r w:rsidRPr="00DC1EE4">
        <w:rPr>
          <w:i w:val="0"/>
        </w:rPr>
        <w:t>15 Financial Report</w:t>
      </w:r>
      <w:r w:rsidRPr="00DC1EE4">
        <w:t>.</w:t>
      </w:r>
    </w:p>
    <w:p w:rsidR="0028027B" w:rsidRPr="00DC1EE4" w:rsidRDefault="0028027B" w:rsidP="00E348C3">
      <w:pPr>
        <w:pStyle w:val="Tableheading"/>
      </w:pPr>
      <w:r w:rsidRPr="00DC1EE4">
        <w:t>Table 1.10:</w:t>
      </w:r>
      <w:r w:rsidRPr="00DC1EE4">
        <w:tab/>
        <w:t xml:space="preserve">Consolidated balance sheet as at 31 December </w:t>
      </w:r>
    </w:p>
    <w:p w:rsidR="0028027B" w:rsidRPr="00DC1EE4" w:rsidRDefault="0028027B" w:rsidP="0028027B">
      <w:pPr>
        <w:pStyle w:val="million"/>
      </w:pPr>
      <w:r w:rsidRPr="00DC1EE4">
        <w:t>($ million)</w:t>
      </w:r>
    </w:p>
    <w:tbl>
      <w:tblPr>
        <w:tblW w:w="10166" w:type="dxa"/>
        <w:tblInd w:w="29" w:type="dxa"/>
        <w:tblLayout w:type="fixed"/>
        <w:tblCellMar>
          <w:left w:w="43" w:type="dxa"/>
          <w:right w:w="43" w:type="dxa"/>
        </w:tblCellMar>
        <w:tblLook w:val="0000" w:firstRow="0" w:lastRow="0" w:firstColumn="0" w:lastColumn="0" w:noHBand="0" w:noVBand="0"/>
      </w:tblPr>
      <w:tblGrid>
        <w:gridCol w:w="5234"/>
        <w:gridCol w:w="810"/>
        <w:gridCol w:w="106"/>
        <w:gridCol w:w="974"/>
        <w:gridCol w:w="990"/>
        <w:gridCol w:w="106"/>
        <w:gridCol w:w="884"/>
        <w:gridCol w:w="1062"/>
      </w:tblGrid>
      <w:tr w:rsidR="0028027B" w:rsidRPr="00DC1EE4" w:rsidTr="00C03F9E">
        <w:tc>
          <w:tcPr>
            <w:tcW w:w="5234" w:type="dxa"/>
            <w:tcBorders>
              <w:top w:val="single" w:sz="4" w:space="0" w:color="auto"/>
              <w:left w:val="single" w:sz="4" w:space="0" w:color="auto"/>
              <w:bottom w:val="nil"/>
              <w:right w:val="nil"/>
            </w:tcBorders>
            <w:shd w:val="clear" w:color="auto" w:fill="000000"/>
          </w:tcPr>
          <w:p w:rsidR="0028027B" w:rsidRPr="00DC1EE4" w:rsidRDefault="0028027B" w:rsidP="00C03F9E">
            <w:pPr>
              <w:pStyle w:val="Tabletextheadingleft0"/>
              <w:rPr>
                <w:szCs w:val="20"/>
              </w:rPr>
            </w:pPr>
          </w:p>
        </w:tc>
        <w:tc>
          <w:tcPr>
            <w:tcW w:w="810" w:type="dxa"/>
            <w:tcBorders>
              <w:top w:val="single" w:sz="4" w:space="0" w:color="auto"/>
              <w:left w:val="nil"/>
              <w:bottom w:val="nil"/>
              <w:right w:val="nil"/>
            </w:tcBorders>
            <w:shd w:val="clear" w:color="auto" w:fill="000000"/>
          </w:tcPr>
          <w:p w:rsidR="0028027B" w:rsidRPr="00DC1EE4" w:rsidRDefault="0028027B" w:rsidP="00C03F9E">
            <w:pPr>
              <w:pStyle w:val="TabletextheadingCentred"/>
              <w:rPr>
                <w:sz w:val="20"/>
              </w:rPr>
            </w:pPr>
          </w:p>
        </w:tc>
        <w:tc>
          <w:tcPr>
            <w:tcW w:w="106" w:type="dxa"/>
            <w:tcBorders>
              <w:top w:val="single" w:sz="4" w:space="0" w:color="auto"/>
              <w:left w:val="nil"/>
              <w:bottom w:val="nil"/>
              <w:right w:val="nil"/>
            </w:tcBorders>
            <w:shd w:val="clear" w:color="auto" w:fill="000000"/>
          </w:tcPr>
          <w:p w:rsidR="0028027B" w:rsidRPr="00DC1EE4" w:rsidRDefault="0028027B" w:rsidP="00C03F9E">
            <w:pPr>
              <w:pStyle w:val="Tabletextheading"/>
              <w:rPr>
                <w:sz w:val="20"/>
                <w:szCs w:val="20"/>
              </w:rPr>
            </w:pPr>
            <w:r w:rsidRPr="00DC1EE4">
              <w:rPr>
                <w:sz w:val="20"/>
                <w:szCs w:val="20"/>
              </w:rPr>
              <w:t xml:space="preserve"> </w:t>
            </w:r>
          </w:p>
        </w:tc>
        <w:tc>
          <w:tcPr>
            <w:tcW w:w="1964" w:type="dxa"/>
            <w:gridSpan w:val="2"/>
            <w:tcBorders>
              <w:top w:val="single" w:sz="4" w:space="0" w:color="auto"/>
              <w:left w:val="nil"/>
              <w:bottom w:val="nil"/>
              <w:right w:val="nil"/>
            </w:tcBorders>
            <w:shd w:val="clear" w:color="auto" w:fill="000000"/>
          </w:tcPr>
          <w:p w:rsidR="0028027B" w:rsidRPr="00DC1EE4" w:rsidRDefault="0028027B" w:rsidP="00C03F9E">
            <w:pPr>
              <w:pStyle w:val="TabletextheadingCentred"/>
              <w:rPr>
                <w:sz w:val="20"/>
              </w:rPr>
            </w:pPr>
          </w:p>
          <w:p w:rsidR="0028027B" w:rsidRPr="00DC1EE4" w:rsidRDefault="0028027B" w:rsidP="00C03F9E">
            <w:pPr>
              <w:pStyle w:val="TabletextheadingCentred"/>
              <w:rPr>
                <w:sz w:val="20"/>
              </w:rPr>
            </w:pPr>
            <w:r w:rsidRPr="00DC1EE4">
              <w:rPr>
                <w:sz w:val="20"/>
              </w:rPr>
              <w:t>State of Victoria</w:t>
            </w:r>
          </w:p>
        </w:tc>
        <w:tc>
          <w:tcPr>
            <w:tcW w:w="106" w:type="dxa"/>
            <w:tcBorders>
              <w:top w:val="single" w:sz="4" w:space="0" w:color="auto"/>
              <w:left w:val="nil"/>
              <w:bottom w:val="nil"/>
              <w:right w:val="nil"/>
            </w:tcBorders>
            <w:shd w:val="clear" w:color="auto" w:fill="000000"/>
          </w:tcPr>
          <w:p w:rsidR="0028027B" w:rsidRPr="00DC1EE4" w:rsidRDefault="0028027B" w:rsidP="00C03F9E">
            <w:pPr>
              <w:pStyle w:val="TabletextheadingCentred"/>
              <w:rPr>
                <w:sz w:val="20"/>
              </w:rPr>
            </w:pPr>
            <w:r w:rsidRPr="00DC1EE4">
              <w:rPr>
                <w:sz w:val="20"/>
              </w:rPr>
              <w:t xml:space="preserve"> </w:t>
            </w:r>
          </w:p>
        </w:tc>
        <w:tc>
          <w:tcPr>
            <w:tcW w:w="1946" w:type="dxa"/>
            <w:gridSpan w:val="2"/>
            <w:tcBorders>
              <w:top w:val="single" w:sz="4" w:space="0" w:color="auto"/>
              <w:left w:val="nil"/>
              <w:bottom w:val="nil"/>
              <w:right w:val="single" w:sz="4" w:space="0" w:color="auto"/>
            </w:tcBorders>
            <w:shd w:val="clear" w:color="auto" w:fill="000000"/>
          </w:tcPr>
          <w:p w:rsidR="0028027B" w:rsidRPr="00DC1EE4" w:rsidRDefault="0028027B" w:rsidP="00C03F9E">
            <w:pPr>
              <w:pStyle w:val="TabletextheadingCentred"/>
              <w:rPr>
                <w:sz w:val="20"/>
              </w:rPr>
            </w:pPr>
            <w:r w:rsidRPr="00DC1EE4">
              <w:rPr>
                <w:sz w:val="20"/>
              </w:rPr>
              <w:t xml:space="preserve">General </w:t>
            </w:r>
          </w:p>
          <w:p w:rsidR="0028027B" w:rsidRPr="00DC1EE4" w:rsidRDefault="0028027B" w:rsidP="00C03F9E">
            <w:pPr>
              <w:pStyle w:val="TabletextheadingCentred"/>
              <w:rPr>
                <w:sz w:val="20"/>
              </w:rPr>
            </w:pPr>
            <w:r w:rsidRPr="00DC1EE4">
              <w:rPr>
                <w:sz w:val="20"/>
              </w:rPr>
              <w:t>government sector</w:t>
            </w:r>
          </w:p>
        </w:tc>
      </w:tr>
      <w:tr w:rsidR="0028027B" w:rsidRPr="00DC1EE4" w:rsidTr="00C03F9E">
        <w:tc>
          <w:tcPr>
            <w:tcW w:w="5234" w:type="dxa"/>
            <w:tcBorders>
              <w:top w:val="single" w:sz="4" w:space="0" w:color="auto"/>
              <w:left w:val="single" w:sz="4" w:space="0" w:color="auto"/>
              <w:bottom w:val="single" w:sz="6" w:space="0" w:color="auto"/>
              <w:right w:val="nil"/>
            </w:tcBorders>
            <w:shd w:val="solid" w:color="000000" w:fill="auto"/>
          </w:tcPr>
          <w:p w:rsidR="0028027B" w:rsidRPr="00DC1EE4" w:rsidRDefault="0028027B" w:rsidP="00C03F9E">
            <w:pPr>
              <w:pStyle w:val="Tabletextheadingleft0"/>
              <w:rPr>
                <w:szCs w:val="20"/>
              </w:rPr>
            </w:pPr>
            <w:r w:rsidRPr="00DC1EE4">
              <w:rPr>
                <w:szCs w:val="20"/>
              </w:rPr>
              <w:t xml:space="preserve"> </w:t>
            </w:r>
          </w:p>
        </w:tc>
        <w:tc>
          <w:tcPr>
            <w:tcW w:w="810" w:type="dxa"/>
            <w:tcBorders>
              <w:top w:val="single" w:sz="4" w:space="0" w:color="auto"/>
              <w:left w:val="nil"/>
              <w:bottom w:val="single" w:sz="6" w:space="0" w:color="auto"/>
              <w:right w:val="nil"/>
            </w:tcBorders>
            <w:shd w:val="solid" w:color="000000" w:fill="auto"/>
          </w:tcPr>
          <w:p w:rsidR="0028027B" w:rsidRPr="00DC1EE4" w:rsidRDefault="0028027B" w:rsidP="00C03F9E">
            <w:pPr>
              <w:pStyle w:val="TabletextheadingCentred"/>
              <w:rPr>
                <w:sz w:val="20"/>
              </w:rPr>
            </w:pPr>
            <w:r w:rsidRPr="00DC1EE4">
              <w:rPr>
                <w:sz w:val="20"/>
              </w:rPr>
              <w:br/>
              <w:t>Notes</w:t>
            </w:r>
          </w:p>
        </w:tc>
        <w:tc>
          <w:tcPr>
            <w:tcW w:w="1080" w:type="dxa"/>
            <w:gridSpan w:val="2"/>
            <w:tcBorders>
              <w:top w:val="single" w:sz="4" w:space="0" w:color="auto"/>
              <w:left w:val="nil"/>
              <w:bottom w:val="single" w:sz="6" w:space="0" w:color="auto"/>
              <w:right w:val="nil"/>
            </w:tcBorders>
            <w:shd w:val="solid" w:color="000000" w:fill="auto"/>
          </w:tcPr>
          <w:p w:rsidR="0028027B" w:rsidRPr="00DC1EE4" w:rsidRDefault="0028027B" w:rsidP="00C03F9E">
            <w:pPr>
              <w:pStyle w:val="Tabletextheading"/>
              <w:rPr>
                <w:sz w:val="20"/>
                <w:szCs w:val="20"/>
              </w:rPr>
            </w:pPr>
            <w:r w:rsidRPr="00DC1EE4">
              <w:rPr>
                <w:sz w:val="20"/>
                <w:szCs w:val="20"/>
              </w:rPr>
              <w:t>Dec</w:t>
            </w:r>
            <w:r w:rsidRPr="00DC1EE4">
              <w:rPr>
                <w:sz w:val="20"/>
                <w:szCs w:val="20"/>
              </w:rPr>
              <w:br/>
              <w:t>2015</w:t>
            </w:r>
          </w:p>
        </w:tc>
        <w:tc>
          <w:tcPr>
            <w:tcW w:w="990" w:type="dxa"/>
            <w:tcBorders>
              <w:top w:val="single" w:sz="4" w:space="0" w:color="auto"/>
              <w:left w:val="nil"/>
              <w:bottom w:val="single" w:sz="6" w:space="0" w:color="auto"/>
              <w:right w:val="nil"/>
            </w:tcBorders>
            <w:shd w:val="solid" w:color="000000" w:fill="auto"/>
          </w:tcPr>
          <w:p w:rsidR="0028027B" w:rsidRPr="00DC1EE4" w:rsidRDefault="0028027B" w:rsidP="00C03F9E">
            <w:pPr>
              <w:pStyle w:val="Tabletextheading"/>
              <w:rPr>
                <w:sz w:val="20"/>
                <w:szCs w:val="20"/>
              </w:rPr>
            </w:pPr>
            <w:r w:rsidRPr="00DC1EE4">
              <w:rPr>
                <w:sz w:val="20"/>
                <w:szCs w:val="20"/>
              </w:rPr>
              <w:t xml:space="preserve">Jun </w:t>
            </w:r>
            <w:r w:rsidRPr="00DC1EE4">
              <w:rPr>
                <w:sz w:val="20"/>
                <w:szCs w:val="20"/>
              </w:rPr>
              <w:br/>
              <w:t>2015</w:t>
            </w:r>
          </w:p>
        </w:tc>
        <w:tc>
          <w:tcPr>
            <w:tcW w:w="990" w:type="dxa"/>
            <w:gridSpan w:val="2"/>
            <w:tcBorders>
              <w:top w:val="single" w:sz="4" w:space="0" w:color="auto"/>
              <w:left w:val="nil"/>
              <w:bottom w:val="single" w:sz="6" w:space="0" w:color="auto"/>
              <w:right w:val="nil"/>
            </w:tcBorders>
            <w:shd w:val="solid" w:color="000000" w:fill="auto"/>
          </w:tcPr>
          <w:p w:rsidR="0028027B" w:rsidRPr="00DC1EE4" w:rsidRDefault="0028027B" w:rsidP="00C03F9E">
            <w:pPr>
              <w:pStyle w:val="Tabletextheading"/>
              <w:rPr>
                <w:sz w:val="20"/>
                <w:szCs w:val="20"/>
              </w:rPr>
            </w:pPr>
            <w:r w:rsidRPr="00DC1EE4">
              <w:rPr>
                <w:sz w:val="20"/>
                <w:szCs w:val="20"/>
              </w:rPr>
              <w:t xml:space="preserve">Dec </w:t>
            </w:r>
            <w:r w:rsidRPr="00DC1EE4">
              <w:rPr>
                <w:sz w:val="20"/>
                <w:szCs w:val="20"/>
              </w:rPr>
              <w:br/>
              <w:t>2015</w:t>
            </w:r>
          </w:p>
        </w:tc>
        <w:tc>
          <w:tcPr>
            <w:tcW w:w="1062" w:type="dxa"/>
            <w:tcBorders>
              <w:top w:val="single" w:sz="4" w:space="0" w:color="auto"/>
              <w:left w:val="nil"/>
              <w:bottom w:val="single" w:sz="6" w:space="0" w:color="auto"/>
              <w:right w:val="single" w:sz="4" w:space="0" w:color="auto"/>
            </w:tcBorders>
            <w:shd w:val="solid" w:color="000000" w:fill="auto"/>
          </w:tcPr>
          <w:p w:rsidR="0028027B" w:rsidRPr="00DC1EE4" w:rsidRDefault="0028027B" w:rsidP="00C03F9E">
            <w:pPr>
              <w:pStyle w:val="Tabletextheading"/>
              <w:rPr>
                <w:sz w:val="20"/>
                <w:szCs w:val="20"/>
              </w:rPr>
            </w:pPr>
            <w:r w:rsidRPr="00DC1EE4">
              <w:rPr>
                <w:sz w:val="20"/>
                <w:szCs w:val="20"/>
              </w:rPr>
              <w:t xml:space="preserve">Jun </w:t>
            </w:r>
            <w:r w:rsidRPr="00DC1EE4">
              <w:rPr>
                <w:sz w:val="20"/>
                <w:szCs w:val="20"/>
              </w:rPr>
              <w:br/>
              <w:t>2015</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b/>
                <w:szCs w:val="20"/>
              </w:rPr>
            </w:pPr>
            <w:r w:rsidRPr="00DC1EE4">
              <w:rPr>
                <w:b/>
                <w:szCs w:val="20"/>
              </w:rPr>
              <w:t>Assets</w:t>
            </w:r>
          </w:p>
        </w:tc>
        <w:tc>
          <w:tcPr>
            <w:tcW w:w="810" w:type="dxa"/>
            <w:tcBorders>
              <w:top w:val="nil"/>
              <w:left w:val="nil"/>
              <w:bottom w:val="nil"/>
              <w:right w:val="nil"/>
            </w:tcBorders>
          </w:tcPr>
          <w:p w:rsidR="0028027B" w:rsidRPr="00DC1EE4" w:rsidRDefault="0028027B" w:rsidP="00C03F9E">
            <w:pPr>
              <w:pStyle w:val="TableTextCentred"/>
              <w:rPr>
                <w:b/>
                <w:szCs w:val="20"/>
              </w:rPr>
            </w:pPr>
            <w:r w:rsidRPr="00DC1EE4">
              <w:rPr>
                <w:b/>
                <w:szCs w:val="20"/>
              </w:rPr>
              <w:t xml:space="preserve"> </w:t>
            </w:r>
          </w:p>
        </w:tc>
        <w:tc>
          <w:tcPr>
            <w:tcW w:w="108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rPr>
                <w:b/>
                <w:sz w:val="20"/>
                <w:szCs w:val="20"/>
              </w:rPr>
              <w:t xml:space="preserve"> </w:t>
            </w:r>
          </w:p>
        </w:tc>
        <w:tc>
          <w:tcPr>
            <w:tcW w:w="990" w:type="dxa"/>
            <w:tcBorders>
              <w:top w:val="nil"/>
              <w:left w:val="nil"/>
              <w:bottom w:val="nil"/>
              <w:right w:val="nil"/>
            </w:tcBorders>
          </w:tcPr>
          <w:p w:rsidR="0028027B" w:rsidRPr="00DC1EE4" w:rsidRDefault="0028027B" w:rsidP="00C03F9E">
            <w:pPr>
              <w:pStyle w:val="TableofFigures"/>
              <w:rPr>
                <w:b/>
                <w:sz w:val="20"/>
                <w:szCs w:val="20"/>
              </w:rPr>
            </w:pPr>
            <w:r w:rsidRPr="00DC1EE4">
              <w:rPr>
                <w:b/>
                <w:sz w:val="20"/>
                <w:szCs w:val="20"/>
              </w:rPr>
              <w:t xml:space="preserve"> </w:t>
            </w:r>
          </w:p>
        </w:tc>
        <w:tc>
          <w:tcPr>
            <w:tcW w:w="99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rPr>
                <w:b/>
                <w:sz w:val="20"/>
                <w:szCs w:val="20"/>
              </w:rPr>
              <w:t xml:space="preserve"> </w:t>
            </w:r>
          </w:p>
        </w:tc>
        <w:tc>
          <w:tcPr>
            <w:tcW w:w="1062" w:type="dxa"/>
            <w:tcBorders>
              <w:top w:val="nil"/>
              <w:left w:val="nil"/>
              <w:bottom w:val="nil"/>
              <w:right w:val="nil"/>
            </w:tcBorders>
          </w:tcPr>
          <w:p w:rsidR="0028027B" w:rsidRPr="00DC1EE4" w:rsidRDefault="0028027B" w:rsidP="00C03F9E">
            <w:pPr>
              <w:pStyle w:val="TableofFigures"/>
              <w:rPr>
                <w:b/>
                <w:sz w:val="20"/>
                <w:szCs w:val="20"/>
              </w:rPr>
            </w:pPr>
            <w:r w:rsidRPr="00DC1EE4">
              <w:rPr>
                <w:b/>
                <w:sz w:val="20"/>
                <w:szCs w:val="20"/>
              </w:rPr>
              <w:t xml:space="preserve"> </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b/>
                <w:szCs w:val="20"/>
              </w:rPr>
            </w:pPr>
            <w:r w:rsidRPr="00DC1EE4">
              <w:rPr>
                <w:b/>
                <w:szCs w:val="20"/>
              </w:rPr>
              <w:t>Financial assets</w:t>
            </w:r>
          </w:p>
        </w:tc>
        <w:tc>
          <w:tcPr>
            <w:tcW w:w="810" w:type="dxa"/>
            <w:tcBorders>
              <w:top w:val="nil"/>
              <w:left w:val="nil"/>
              <w:bottom w:val="nil"/>
              <w:right w:val="nil"/>
            </w:tcBorders>
          </w:tcPr>
          <w:p w:rsidR="0028027B" w:rsidRPr="00DC1EE4" w:rsidRDefault="0028027B" w:rsidP="00C03F9E">
            <w:pPr>
              <w:pStyle w:val="TableTextCentred"/>
              <w:rPr>
                <w:b/>
                <w:szCs w:val="20"/>
              </w:rPr>
            </w:pPr>
            <w:r w:rsidRPr="00DC1EE4">
              <w:rPr>
                <w:b/>
                <w:szCs w:val="20"/>
              </w:rPr>
              <w:t xml:space="preserve"> </w:t>
            </w:r>
          </w:p>
        </w:tc>
        <w:tc>
          <w:tcPr>
            <w:tcW w:w="1080" w:type="dxa"/>
            <w:gridSpan w:val="2"/>
            <w:tcBorders>
              <w:top w:val="nil"/>
              <w:left w:val="nil"/>
              <w:bottom w:val="nil"/>
              <w:right w:val="nil"/>
            </w:tcBorders>
          </w:tcPr>
          <w:p w:rsidR="0028027B" w:rsidRPr="00DC1EE4" w:rsidRDefault="0028027B" w:rsidP="00C03F9E">
            <w:pPr>
              <w:pStyle w:val="TableofFigures"/>
              <w:rPr>
                <w:b/>
                <w:sz w:val="20"/>
                <w:szCs w:val="20"/>
              </w:rPr>
            </w:pPr>
          </w:p>
        </w:tc>
        <w:tc>
          <w:tcPr>
            <w:tcW w:w="990" w:type="dxa"/>
            <w:tcBorders>
              <w:top w:val="nil"/>
              <w:left w:val="nil"/>
              <w:bottom w:val="nil"/>
              <w:right w:val="nil"/>
            </w:tcBorders>
          </w:tcPr>
          <w:p w:rsidR="0028027B" w:rsidRPr="00DC1EE4" w:rsidRDefault="0028027B" w:rsidP="00C03F9E">
            <w:pPr>
              <w:pStyle w:val="TableofFigures"/>
              <w:rPr>
                <w:b/>
                <w:sz w:val="20"/>
                <w:szCs w:val="20"/>
              </w:rPr>
            </w:pPr>
          </w:p>
        </w:tc>
        <w:tc>
          <w:tcPr>
            <w:tcW w:w="990" w:type="dxa"/>
            <w:gridSpan w:val="2"/>
            <w:tcBorders>
              <w:top w:val="nil"/>
              <w:left w:val="nil"/>
              <w:bottom w:val="nil"/>
              <w:right w:val="nil"/>
            </w:tcBorders>
          </w:tcPr>
          <w:p w:rsidR="0028027B" w:rsidRPr="00DC1EE4" w:rsidRDefault="0028027B" w:rsidP="00C03F9E">
            <w:pPr>
              <w:pStyle w:val="TableofFigures"/>
              <w:rPr>
                <w:b/>
                <w:sz w:val="20"/>
                <w:szCs w:val="20"/>
              </w:rPr>
            </w:pPr>
          </w:p>
        </w:tc>
        <w:tc>
          <w:tcPr>
            <w:tcW w:w="1062" w:type="dxa"/>
            <w:tcBorders>
              <w:top w:val="nil"/>
              <w:left w:val="nil"/>
              <w:bottom w:val="nil"/>
              <w:right w:val="nil"/>
            </w:tcBorders>
          </w:tcPr>
          <w:p w:rsidR="0028027B" w:rsidRPr="00DC1EE4" w:rsidRDefault="0028027B" w:rsidP="00C03F9E">
            <w:pPr>
              <w:pStyle w:val="TableofFigures"/>
              <w:rPr>
                <w:b/>
                <w:sz w:val="20"/>
                <w:szCs w:val="20"/>
              </w:rPr>
            </w:pP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Cash and deposits</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27a</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5 946</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6 521</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4 112</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4 282</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Advances paid</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15</w:t>
            </w:r>
          </w:p>
        </w:tc>
        <w:tc>
          <w:tcPr>
            <w:tcW w:w="1080" w:type="dxa"/>
            <w:gridSpan w:val="2"/>
            <w:tcBorders>
              <w:top w:val="nil"/>
              <w:left w:val="nil"/>
              <w:bottom w:val="nil"/>
              <w:right w:val="nil"/>
            </w:tcBorders>
            <w:shd w:val="solid" w:color="FFFFFF" w:fill="auto"/>
          </w:tcPr>
          <w:p w:rsidR="0028027B" w:rsidRPr="00DC1EE4" w:rsidRDefault="0028027B" w:rsidP="00C03F9E">
            <w:pPr>
              <w:pStyle w:val="TableofFigures"/>
              <w:rPr>
                <w:sz w:val="20"/>
                <w:szCs w:val="20"/>
              </w:rPr>
            </w:pPr>
            <w:r w:rsidRPr="00DC1EE4">
              <w:t>143</w:t>
            </w:r>
          </w:p>
        </w:tc>
        <w:tc>
          <w:tcPr>
            <w:tcW w:w="990" w:type="dxa"/>
            <w:tcBorders>
              <w:top w:val="nil"/>
              <w:left w:val="nil"/>
              <w:bottom w:val="nil"/>
              <w:right w:val="nil"/>
            </w:tcBorders>
            <w:shd w:val="solid" w:color="FFFFFF" w:fill="auto"/>
          </w:tcPr>
          <w:p w:rsidR="0028027B" w:rsidRPr="00DC1EE4" w:rsidRDefault="0028027B" w:rsidP="00C03F9E">
            <w:pPr>
              <w:pStyle w:val="TableofFigures"/>
              <w:rPr>
                <w:sz w:val="20"/>
                <w:szCs w:val="20"/>
              </w:rPr>
            </w:pPr>
            <w:r w:rsidRPr="00DC1EE4">
              <w:t>121</w:t>
            </w:r>
          </w:p>
        </w:tc>
        <w:tc>
          <w:tcPr>
            <w:tcW w:w="990" w:type="dxa"/>
            <w:gridSpan w:val="2"/>
            <w:tcBorders>
              <w:top w:val="nil"/>
              <w:left w:val="nil"/>
              <w:bottom w:val="nil"/>
              <w:right w:val="nil"/>
            </w:tcBorders>
            <w:shd w:val="solid" w:color="FFFFFF" w:fill="auto"/>
          </w:tcPr>
          <w:p w:rsidR="0028027B" w:rsidRPr="00DC1EE4" w:rsidRDefault="0028027B" w:rsidP="00C03F9E">
            <w:pPr>
              <w:pStyle w:val="TableofFigures"/>
              <w:rPr>
                <w:sz w:val="20"/>
                <w:szCs w:val="20"/>
              </w:rPr>
            </w:pPr>
            <w:r w:rsidRPr="00DC1EE4">
              <w:t>4 550</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4 572</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Receivables</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16</w:t>
            </w:r>
          </w:p>
        </w:tc>
        <w:tc>
          <w:tcPr>
            <w:tcW w:w="1080" w:type="dxa"/>
            <w:gridSpan w:val="2"/>
            <w:tcBorders>
              <w:top w:val="nil"/>
              <w:left w:val="nil"/>
              <w:bottom w:val="nil"/>
              <w:right w:val="nil"/>
            </w:tcBorders>
            <w:shd w:val="solid" w:color="FFFFFF" w:fill="auto"/>
          </w:tcPr>
          <w:p w:rsidR="0028027B" w:rsidRPr="00DC1EE4" w:rsidRDefault="0028027B" w:rsidP="00C03F9E">
            <w:pPr>
              <w:pStyle w:val="TableofFigures"/>
              <w:rPr>
                <w:sz w:val="20"/>
                <w:szCs w:val="20"/>
              </w:rPr>
            </w:pPr>
            <w:r w:rsidRPr="00DC1EE4">
              <w:t>7 735</w:t>
            </w:r>
          </w:p>
        </w:tc>
        <w:tc>
          <w:tcPr>
            <w:tcW w:w="990" w:type="dxa"/>
            <w:tcBorders>
              <w:top w:val="nil"/>
              <w:left w:val="nil"/>
              <w:bottom w:val="nil"/>
              <w:right w:val="nil"/>
            </w:tcBorders>
            <w:shd w:val="solid" w:color="FFFFFF" w:fill="auto"/>
          </w:tcPr>
          <w:p w:rsidR="0028027B" w:rsidRPr="00DC1EE4" w:rsidRDefault="0028027B" w:rsidP="00C03F9E">
            <w:pPr>
              <w:pStyle w:val="TableofFigures"/>
              <w:rPr>
                <w:sz w:val="20"/>
                <w:szCs w:val="20"/>
              </w:rPr>
            </w:pPr>
            <w:r w:rsidRPr="00DC1EE4">
              <w:t>6 789</w:t>
            </w:r>
          </w:p>
        </w:tc>
        <w:tc>
          <w:tcPr>
            <w:tcW w:w="990" w:type="dxa"/>
            <w:gridSpan w:val="2"/>
            <w:tcBorders>
              <w:top w:val="nil"/>
              <w:left w:val="nil"/>
              <w:bottom w:val="nil"/>
              <w:right w:val="nil"/>
            </w:tcBorders>
            <w:shd w:val="solid" w:color="FFFFFF" w:fill="auto"/>
          </w:tcPr>
          <w:p w:rsidR="0028027B" w:rsidRPr="00DC1EE4" w:rsidRDefault="0028027B" w:rsidP="00C03F9E">
            <w:pPr>
              <w:pStyle w:val="TableofFigures"/>
              <w:rPr>
                <w:sz w:val="20"/>
                <w:szCs w:val="20"/>
              </w:rPr>
            </w:pPr>
            <w:r w:rsidRPr="00DC1EE4">
              <w:t>5 907</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5 555</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Investments, loans and placements</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15</w:t>
            </w:r>
          </w:p>
        </w:tc>
        <w:tc>
          <w:tcPr>
            <w:tcW w:w="1080" w:type="dxa"/>
            <w:gridSpan w:val="2"/>
            <w:tcBorders>
              <w:top w:val="nil"/>
              <w:left w:val="nil"/>
              <w:bottom w:val="nil"/>
              <w:right w:val="nil"/>
            </w:tcBorders>
            <w:shd w:val="solid" w:color="FFFFFF" w:fill="auto"/>
          </w:tcPr>
          <w:p w:rsidR="0028027B" w:rsidRPr="00DC1EE4" w:rsidRDefault="0028027B" w:rsidP="00C03F9E">
            <w:pPr>
              <w:pStyle w:val="TableofFigures"/>
              <w:rPr>
                <w:sz w:val="20"/>
                <w:szCs w:val="20"/>
              </w:rPr>
            </w:pPr>
            <w:r w:rsidRPr="00DC1EE4">
              <w:t>35 289</w:t>
            </w:r>
          </w:p>
        </w:tc>
        <w:tc>
          <w:tcPr>
            <w:tcW w:w="990" w:type="dxa"/>
            <w:tcBorders>
              <w:top w:val="nil"/>
              <w:left w:val="nil"/>
              <w:bottom w:val="nil"/>
              <w:right w:val="nil"/>
            </w:tcBorders>
            <w:shd w:val="solid" w:color="FFFFFF" w:fill="auto"/>
          </w:tcPr>
          <w:p w:rsidR="0028027B" w:rsidRPr="00DC1EE4" w:rsidRDefault="0028027B" w:rsidP="00C03F9E">
            <w:pPr>
              <w:pStyle w:val="TableofFigures"/>
              <w:rPr>
                <w:sz w:val="20"/>
                <w:szCs w:val="20"/>
              </w:rPr>
            </w:pPr>
            <w:r w:rsidRPr="00DC1EE4">
              <w:t>34 317</w:t>
            </w:r>
          </w:p>
        </w:tc>
        <w:tc>
          <w:tcPr>
            <w:tcW w:w="990" w:type="dxa"/>
            <w:gridSpan w:val="2"/>
            <w:tcBorders>
              <w:top w:val="nil"/>
              <w:left w:val="nil"/>
              <w:bottom w:val="nil"/>
              <w:right w:val="nil"/>
            </w:tcBorders>
            <w:shd w:val="solid" w:color="FFFFFF" w:fill="auto"/>
          </w:tcPr>
          <w:p w:rsidR="0028027B" w:rsidRPr="00DC1EE4" w:rsidRDefault="0028027B" w:rsidP="00C03F9E">
            <w:pPr>
              <w:pStyle w:val="TableofFigures"/>
              <w:rPr>
                <w:sz w:val="20"/>
                <w:szCs w:val="20"/>
              </w:rPr>
            </w:pPr>
            <w:r w:rsidRPr="00DC1EE4">
              <w:t>3 389</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3 406</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Investments accounted for using the equity method</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17</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2 020</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2 021</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44</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45</w:t>
            </w:r>
          </w:p>
        </w:tc>
      </w:tr>
      <w:tr w:rsidR="0028027B" w:rsidRPr="00DC1EE4" w:rsidTr="00C03F9E">
        <w:tc>
          <w:tcPr>
            <w:tcW w:w="5234" w:type="dxa"/>
            <w:tcBorders>
              <w:top w:val="nil"/>
              <w:left w:val="nil"/>
              <w:bottom w:val="single" w:sz="6" w:space="0" w:color="auto"/>
              <w:right w:val="nil"/>
            </w:tcBorders>
          </w:tcPr>
          <w:p w:rsidR="0028027B" w:rsidRPr="00DC1EE4" w:rsidRDefault="0028027B" w:rsidP="00C03F9E">
            <w:pPr>
              <w:pStyle w:val="Tabletext"/>
              <w:rPr>
                <w:szCs w:val="20"/>
              </w:rPr>
            </w:pPr>
            <w:r w:rsidRPr="00DC1EE4">
              <w:rPr>
                <w:szCs w:val="20"/>
              </w:rPr>
              <w:t>Investments in other sector entities</w:t>
            </w:r>
          </w:p>
        </w:tc>
        <w:tc>
          <w:tcPr>
            <w:tcW w:w="810" w:type="dxa"/>
            <w:tcBorders>
              <w:top w:val="nil"/>
              <w:left w:val="nil"/>
              <w:bottom w:val="single" w:sz="6" w:space="0" w:color="auto"/>
              <w:right w:val="nil"/>
            </w:tcBorders>
          </w:tcPr>
          <w:p w:rsidR="0028027B" w:rsidRPr="00DC1EE4" w:rsidRDefault="0028027B" w:rsidP="00C03F9E">
            <w:pPr>
              <w:pStyle w:val="TableTextCentred"/>
              <w:rPr>
                <w:szCs w:val="20"/>
              </w:rPr>
            </w:pPr>
            <w:r w:rsidRPr="00DC1EE4">
              <w:t xml:space="preserve"> </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82 563</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82 181</w:t>
            </w:r>
          </w:p>
        </w:tc>
      </w:tr>
      <w:tr w:rsidR="0028027B" w:rsidRPr="00DC1EE4" w:rsidTr="00C03F9E">
        <w:tc>
          <w:tcPr>
            <w:tcW w:w="5234" w:type="dxa"/>
            <w:tcBorders>
              <w:top w:val="single" w:sz="6" w:space="0" w:color="auto"/>
              <w:left w:val="nil"/>
              <w:bottom w:val="single" w:sz="12" w:space="0" w:color="auto"/>
              <w:right w:val="nil"/>
            </w:tcBorders>
          </w:tcPr>
          <w:p w:rsidR="0028027B" w:rsidRPr="00DC1EE4" w:rsidRDefault="0028027B" w:rsidP="00C03F9E">
            <w:pPr>
              <w:pStyle w:val="Tabletext"/>
              <w:rPr>
                <w:b/>
                <w:szCs w:val="20"/>
              </w:rPr>
            </w:pPr>
            <w:r w:rsidRPr="00DC1EE4">
              <w:rPr>
                <w:b/>
                <w:szCs w:val="20"/>
              </w:rPr>
              <w:t>Total financial assets</w:t>
            </w:r>
          </w:p>
        </w:tc>
        <w:tc>
          <w:tcPr>
            <w:tcW w:w="810" w:type="dxa"/>
            <w:tcBorders>
              <w:top w:val="single" w:sz="6" w:space="0" w:color="auto"/>
              <w:left w:val="nil"/>
              <w:bottom w:val="single" w:sz="12" w:space="0" w:color="auto"/>
              <w:right w:val="nil"/>
            </w:tcBorders>
          </w:tcPr>
          <w:p w:rsidR="0028027B" w:rsidRPr="00DC1EE4" w:rsidRDefault="0028027B" w:rsidP="00C03F9E">
            <w:pPr>
              <w:pStyle w:val="TableTextCentred"/>
              <w:rPr>
                <w:b/>
                <w:szCs w:val="20"/>
              </w:rPr>
            </w:pPr>
            <w:r w:rsidRPr="00DC1EE4">
              <w:rPr>
                <w:b/>
              </w:rPr>
              <w:t xml:space="preserve"> </w:t>
            </w:r>
          </w:p>
        </w:tc>
        <w:tc>
          <w:tcPr>
            <w:tcW w:w="1080" w:type="dxa"/>
            <w:gridSpan w:val="2"/>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51 134</w:t>
            </w:r>
          </w:p>
        </w:tc>
        <w:tc>
          <w:tcPr>
            <w:tcW w:w="990" w:type="dxa"/>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49 770</w:t>
            </w:r>
          </w:p>
        </w:tc>
        <w:tc>
          <w:tcPr>
            <w:tcW w:w="990" w:type="dxa"/>
            <w:gridSpan w:val="2"/>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100 566</w:t>
            </w:r>
          </w:p>
        </w:tc>
        <w:tc>
          <w:tcPr>
            <w:tcW w:w="1062" w:type="dxa"/>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100 040</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b/>
                <w:szCs w:val="20"/>
              </w:rPr>
            </w:pPr>
            <w:r w:rsidRPr="00DC1EE4">
              <w:rPr>
                <w:b/>
                <w:szCs w:val="20"/>
              </w:rPr>
              <w:t>Non</w:t>
            </w:r>
            <w:r w:rsidR="005A4BB0">
              <w:rPr>
                <w:b/>
                <w:szCs w:val="20"/>
              </w:rPr>
              <w:noBreakHyphen/>
            </w:r>
            <w:r w:rsidRPr="00DC1EE4">
              <w:rPr>
                <w:b/>
                <w:szCs w:val="20"/>
              </w:rPr>
              <w:t>financial assets</w:t>
            </w:r>
          </w:p>
        </w:tc>
        <w:tc>
          <w:tcPr>
            <w:tcW w:w="810" w:type="dxa"/>
            <w:tcBorders>
              <w:top w:val="nil"/>
              <w:left w:val="nil"/>
              <w:bottom w:val="nil"/>
              <w:right w:val="nil"/>
            </w:tcBorders>
          </w:tcPr>
          <w:p w:rsidR="0028027B" w:rsidRPr="00DC1EE4" w:rsidRDefault="0028027B" w:rsidP="00C03F9E">
            <w:pPr>
              <w:pStyle w:val="TableTextCentred"/>
              <w:rPr>
                <w:b/>
                <w:szCs w:val="20"/>
              </w:rPr>
            </w:pPr>
            <w:r w:rsidRPr="00DC1EE4">
              <w:t xml:space="preserve"> </w:t>
            </w:r>
          </w:p>
        </w:tc>
        <w:tc>
          <w:tcPr>
            <w:tcW w:w="108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990" w:type="dxa"/>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99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1062" w:type="dxa"/>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Inventories</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18</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706</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710</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154</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144</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Non</w:t>
            </w:r>
            <w:r w:rsidR="005A4BB0">
              <w:rPr>
                <w:szCs w:val="20"/>
              </w:rPr>
              <w:noBreakHyphen/>
            </w:r>
            <w:r w:rsidRPr="00DC1EE4">
              <w:rPr>
                <w:szCs w:val="20"/>
              </w:rPr>
              <w:t>financial assets held for sale</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19</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192</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205</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165</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175</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vertAlign w:val="superscript"/>
              </w:rPr>
            </w:pPr>
            <w:r w:rsidRPr="00DC1EE4">
              <w:rPr>
                <w:szCs w:val="20"/>
              </w:rPr>
              <w:t>Land, buildings, infrastructure, plant and equipment</w:t>
            </w:r>
            <w:r w:rsidRPr="00DC1EE4">
              <w:rPr>
                <w:szCs w:val="20"/>
                <w:vertAlign w:val="superscript"/>
              </w:rPr>
              <w:t>(a)</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20</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207 459</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206 949</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107 750</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107 562</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Other non</w:t>
            </w:r>
            <w:r w:rsidR="005A4BB0">
              <w:rPr>
                <w:szCs w:val="20"/>
              </w:rPr>
              <w:noBreakHyphen/>
            </w:r>
            <w:r w:rsidRPr="00DC1EE4">
              <w:rPr>
                <w:szCs w:val="20"/>
              </w:rPr>
              <w:t>financial assets</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21</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2 287</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2 127</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1 195</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1 038</w:t>
            </w:r>
          </w:p>
        </w:tc>
      </w:tr>
      <w:tr w:rsidR="0028027B" w:rsidRPr="00DC1EE4" w:rsidTr="00C03F9E">
        <w:tc>
          <w:tcPr>
            <w:tcW w:w="5234" w:type="dxa"/>
            <w:tcBorders>
              <w:top w:val="single" w:sz="6" w:space="0" w:color="auto"/>
              <w:left w:val="nil"/>
              <w:bottom w:val="single" w:sz="6" w:space="0" w:color="auto"/>
              <w:right w:val="nil"/>
            </w:tcBorders>
          </w:tcPr>
          <w:p w:rsidR="0028027B" w:rsidRPr="00DC1EE4" w:rsidRDefault="0028027B" w:rsidP="00C03F9E">
            <w:pPr>
              <w:pStyle w:val="Tabletext"/>
              <w:rPr>
                <w:b/>
                <w:szCs w:val="20"/>
                <w:vertAlign w:val="superscript"/>
              </w:rPr>
            </w:pPr>
            <w:r w:rsidRPr="00DC1EE4">
              <w:rPr>
                <w:b/>
                <w:szCs w:val="20"/>
              </w:rPr>
              <w:t>Total non</w:t>
            </w:r>
            <w:r w:rsidR="005A4BB0">
              <w:rPr>
                <w:b/>
                <w:szCs w:val="20"/>
              </w:rPr>
              <w:noBreakHyphen/>
            </w:r>
            <w:r w:rsidRPr="00DC1EE4">
              <w:rPr>
                <w:b/>
                <w:szCs w:val="20"/>
              </w:rPr>
              <w:t>financial assets</w:t>
            </w:r>
            <w:r w:rsidRPr="00DC1EE4">
              <w:rPr>
                <w:b/>
                <w:szCs w:val="20"/>
                <w:vertAlign w:val="superscript"/>
              </w:rPr>
              <w:t>(a)</w:t>
            </w:r>
          </w:p>
        </w:tc>
        <w:tc>
          <w:tcPr>
            <w:tcW w:w="810" w:type="dxa"/>
            <w:tcBorders>
              <w:top w:val="single" w:sz="6" w:space="0" w:color="auto"/>
              <w:left w:val="nil"/>
              <w:bottom w:val="single" w:sz="6" w:space="0" w:color="auto"/>
              <w:right w:val="nil"/>
            </w:tcBorders>
          </w:tcPr>
          <w:p w:rsidR="0028027B" w:rsidRPr="00DC1EE4" w:rsidRDefault="0028027B" w:rsidP="00C03F9E">
            <w:pPr>
              <w:pStyle w:val="TableTextCentred"/>
              <w:rPr>
                <w:b/>
                <w:szCs w:val="20"/>
              </w:rPr>
            </w:pPr>
            <w:r w:rsidRPr="00DC1EE4">
              <w:rPr>
                <w:b/>
              </w:rPr>
              <w:t xml:space="preserve"> </w:t>
            </w:r>
          </w:p>
        </w:tc>
        <w:tc>
          <w:tcPr>
            <w:tcW w:w="1080" w:type="dxa"/>
            <w:gridSpan w:val="2"/>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210 644</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209 991</w:t>
            </w:r>
          </w:p>
        </w:tc>
        <w:tc>
          <w:tcPr>
            <w:tcW w:w="990" w:type="dxa"/>
            <w:gridSpan w:val="2"/>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109 265</w:t>
            </w:r>
          </w:p>
        </w:tc>
        <w:tc>
          <w:tcPr>
            <w:tcW w:w="1062" w:type="dxa"/>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108 920</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b/>
                <w:szCs w:val="20"/>
                <w:vertAlign w:val="superscript"/>
              </w:rPr>
            </w:pPr>
            <w:r w:rsidRPr="00DC1EE4">
              <w:rPr>
                <w:b/>
                <w:szCs w:val="20"/>
              </w:rPr>
              <w:t>Total assets</w:t>
            </w:r>
            <w:r w:rsidRPr="00DC1EE4">
              <w:rPr>
                <w:b/>
                <w:szCs w:val="20"/>
                <w:vertAlign w:val="superscript"/>
              </w:rPr>
              <w:t>(a)</w:t>
            </w:r>
          </w:p>
        </w:tc>
        <w:tc>
          <w:tcPr>
            <w:tcW w:w="810" w:type="dxa"/>
            <w:tcBorders>
              <w:top w:val="nil"/>
              <w:left w:val="nil"/>
              <w:bottom w:val="nil"/>
              <w:right w:val="nil"/>
            </w:tcBorders>
          </w:tcPr>
          <w:p w:rsidR="0028027B" w:rsidRPr="00DC1EE4" w:rsidRDefault="0028027B" w:rsidP="00C03F9E">
            <w:pPr>
              <w:pStyle w:val="TableTextCentred"/>
              <w:rPr>
                <w:b/>
                <w:szCs w:val="20"/>
              </w:rPr>
            </w:pPr>
            <w:r w:rsidRPr="00DC1EE4">
              <w:rPr>
                <w:b/>
              </w:rPr>
              <w:t>22</w:t>
            </w:r>
          </w:p>
        </w:tc>
        <w:tc>
          <w:tcPr>
            <w:tcW w:w="108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rPr>
                <w:b/>
              </w:rPr>
              <w:t>261 778</w:t>
            </w:r>
          </w:p>
        </w:tc>
        <w:tc>
          <w:tcPr>
            <w:tcW w:w="990" w:type="dxa"/>
            <w:tcBorders>
              <w:top w:val="nil"/>
              <w:left w:val="nil"/>
              <w:bottom w:val="nil"/>
              <w:right w:val="nil"/>
            </w:tcBorders>
          </w:tcPr>
          <w:p w:rsidR="0028027B" w:rsidRPr="00DC1EE4" w:rsidRDefault="0028027B" w:rsidP="00C03F9E">
            <w:pPr>
              <w:pStyle w:val="TableofFigures"/>
              <w:rPr>
                <w:b/>
                <w:sz w:val="20"/>
                <w:szCs w:val="20"/>
              </w:rPr>
            </w:pPr>
            <w:r w:rsidRPr="00DC1EE4">
              <w:rPr>
                <w:b/>
              </w:rPr>
              <w:t>259 760</w:t>
            </w:r>
          </w:p>
        </w:tc>
        <w:tc>
          <w:tcPr>
            <w:tcW w:w="99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rPr>
                <w:b/>
              </w:rPr>
              <w:t>209 830</w:t>
            </w:r>
          </w:p>
        </w:tc>
        <w:tc>
          <w:tcPr>
            <w:tcW w:w="1062" w:type="dxa"/>
            <w:tcBorders>
              <w:top w:val="nil"/>
              <w:left w:val="nil"/>
              <w:bottom w:val="nil"/>
              <w:right w:val="nil"/>
            </w:tcBorders>
          </w:tcPr>
          <w:p w:rsidR="0028027B" w:rsidRPr="00DC1EE4" w:rsidRDefault="0028027B" w:rsidP="00C03F9E">
            <w:pPr>
              <w:pStyle w:val="TableofFigures"/>
              <w:rPr>
                <w:b/>
                <w:sz w:val="20"/>
                <w:szCs w:val="20"/>
              </w:rPr>
            </w:pPr>
            <w:r w:rsidRPr="00DC1EE4">
              <w:rPr>
                <w:b/>
              </w:rPr>
              <w:t>208 960</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b/>
                <w:szCs w:val="20"/>
              </w:rPr>
            </w:pPr>
            <w:r w:rsidRPr="00DC1EE4">
              <w:rPr>
                <w:b/>
                <w:szCs w:val="20"/>
              </w:rPr>
              <w:t>Liabilities</w:t>
            </w:r>
          </w:p>
        </w:tc>
        <w:tc>
          <w:tcPr>
            <w:tcW w:w="810" w:type="dxa"/>
            <w:tcBorders>
              <w:top w:val="nil"/>
              <w:left w:val="nil"/>
              <w:bottom w:val="nil"/>
              <w:right w:val="nil"/>
            </w:tcBorders>
          </w:tcPr>
          <w:p w:rsidR="0028027B" w:rsidRPr="00DC1EE4" w:rsidRDefault="0028027B" w:rsidP="00C03F9E">
            <w:pPr>
              <w:pStyle w:val="TableTextCentred"/>
              <w:rPr>
                <w:b/>
                <w:szCs w:val="20"/>
              </w:rPr>
            </w:pPr>
            <w:r w:rsidRPr="00DC1EE4">
              <w:t xml:space="preserve"> </w:t>
            </w:r>
          </w:p>
        </w:tc>
        <w:tc>
          <w:tcPr>
            <w:tcW w:w="108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990" w:type="dxa"/>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99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1062" w:type="dxa"/>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Deposits held and advances received</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 xml:space="preserve"> </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2 464</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2 320</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485</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518</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Payables</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23</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7 967</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7 591</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5 188</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5 704</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Borrowings</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24</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51 593</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51 688</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34 301</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34 069</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Employee benefits</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25</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6 223</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6 076</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5 769</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5 605</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Superannuation</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8b</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26 762</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25 988</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26 722</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25 947</w:t>
            </w:r>
          </w:p>
        </w:tc>
      </w:tr>
      <w:tr w:rsidR="0028027B" w:rsidRPr="00DC1EE4" w:rsidTr="00C03F9E">
        <w:tc>
          <w:tcPr>
            <w:tcW w:w="5234" w:type="dxa"/>
            <w:tcBorders>
              <w:top w:val="nil"/>
              <w:left w:val="nil"/>
              <w:bottom w:val="single" w:sz="6" w:space="0" w:color="auto"/>
              <w:right w:val="nil"/>
            </w:tcBorders>
          </w:tcPr>
          <w:p w:rsidR="0028027B" w:rsidRPr="00DC1EE4" w:rsidRDefault="0028027B" w:rsidP="00C03F9E">
            <w:pPr>
              <w:pStyle w:val="Tabletext"/>
              <w:rPr>
                <w:szCs w:val="20"/>
              </w:rPr>
            </w:pPr>
            <w:r w:rsidRPr="00DC1EE4">
              <w:rPr>
                <w:szCs w:val="20"/>
              </w:rPr>
              <w:t>Other provisions</w:t>
            </w:r>
          </w:p>
        </w:tc>
        <w:tc>
          <w:tcPr>
            <w:tcW w:w="810" w:type="dxa"/>
            <w:tcBorders>
              <w:top w:val="nil"/>
              <w:left w:val="nil"/>
              <w:bottom w:val="single" w:sz="6" w:space="0" w:color="auto"/>
              <w:right w:val="nil"/>
            </w:tcBorders>
          </w:tcPr>
          <w:p w:rsidR="0028027B" w:rsidRPr="00DC1EE4" w:rsidRDefault="0028027B" w:rsidP="00C03F9E">
            <w:pPr>
              <w:pStyle w:val="TableTextCentred"/>
              <w:rPr>
                <w:szCs w:val="20"/>
              </w:rPr>
            </w:pPr>
            <w:r w:rsidRPr="00DC1EE4">
              <w:t>26</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27 104</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26 213</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809</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807</w:t>
            </w:r>
          </w:p>
        </w:tc>
      </w:tr>
      <w:tr w:rsidR="0028027B" w:rsidRPr="00DC1EE4" w:rsidTr="00C03F9E">
        <w:tc>
          <w:tcPr>
            <w:tcW w:w="5234" w:type="dxa"/>
            <w:tcBorders>
              <w:top w:val="single" w:sz="6" w:space="0" w:color="auto"/>
              <w:left w:val="nil"/>
              <w:bottom w:val="single" w:sz="6" w:space="0" w:color="auto"/>
              <w:right w:val="nil"/>
            </w:tcBorders>
          </w:tcPr>
          <w:p w:rsidR="0028027B" w:rsidRPr="00DC1EE4" w:rsidRDefault="0028027B" w:rsidP="00C03F9E">
            <w:pPr>
              <w:pStyle w:val="Tabletext"/>
              <w:rPr>
                <w:b/>
                <w:szCs w:val="20"/>
              </w:rPr>
            </w:pPr>
            <w:r w:rsidRPr="00DC1EE4">
              <w:rPr>
                <w:b/>
                <w:szCs w:val="20"/>
              </w:rPr>
              <w:t>Total liabilities</w:t>
            </w:r>
          </w:p>
        </w:tc>
        <w:tc>
          <w:tcPr>
            <w:tcW w:w="810" w:type="dxa"/>
            <w:tcBorders>
              <w:top w:val="single" w:sz="6" w:space="0" w:color="auto"/>
              <w:left w:val="nil"/>
              <w:bottom w:val="single" w:sz="6" w:space="0" w:color="auto"/>
              <w:right w:val="nil"/>
            </w:tcBorders>
          </w:tcPr>
          <w:p w:rsidR="0028027B" w:rsidRPr="00DC1EE4" w:rsidRDefault="0028027B" w:rsidP="00C03F9E">
            <w:pPr>
              <w:pStyle w:val="TableTextCentred"/>
              <w:rPr>
                <w:b/>
                <w:szCs w:val="20"/>
              </w:rPr>
            </w:pPr>
            <w:r w:rsidRPr="00DC1EE4">
              <w:rPr>
                <w:b/>
              </w:rPr>
              <w:t xml:space="preserve"> </w:t>
            </w:r>
          </w:p>
        </w:tc>
        <w:tc>
          <w:tcPr>
            <w:tcW w:w="1080" w:type="dxa"/>
            <w:gridSpan w:val="2"/>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122 114</w:t>
            </w:r>
          </w:p>
        </w:tc>
        <w:tc>
          <w:tcPr>
            <w:tcW w:w="990" w:type="dxa"/>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119 876</w:t>
            </w:r>
          </w:p>
        </w:tc>
        <w:tc>
          <w:tcPr>
            <w:tcW w:w="990" w:type="dxa"/>
            <w:gridSpan w:val="2"/>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73 274</w:t>
            </w:r>
          </w:p>
        </w:tc>
        <w:tc>
          <w:tcPr>
            <w:tcW w:w="1062" w:type="dxa"/>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72 650</w:t>
            </w:r>
          </w:p>
        </w:tc>
      </w:tr>
      <w:tr w:rsidR="0028027B" w:rsidRPr="00DC1EE4" w:rsidTr="00C03F9E">
        <w:tc>
          <w:tcPr>
            <w:tcW w:w="5234" w:type="dxa"/>
            <w:tcBorders>
              <w:top w:val="single" w:sz="6" w:space="0" w:color="auto"/>
              <w:left w:val="nil"/>
              <w:bottom w:val="single" w:sz="12" w:space="0" w:color="auto"/>
              <w:right w:val="nil"/>
            </w:tcBorders>
          </w:tcPr>
          <w:p w:rsidR="0028027B" w:rsidRPr="00DC1EE4" w:rsidRDefault="0028027B" w:rsidP="00C03F9E">
            <w:pPr>
              <w:pStyle w:val="Tabletext"/>
              <w:rPr>
                <w:b/>
                <w:szCs w:val="20"/>
              </w:rPr>
            </w:pPr>
            <w:r w:rsidRPr="00DC1EE4">
              <w:rPr>
                <w:b/>
                <w:szCs w:val="20"/>
              </w:rPr>
              <w:t>Net assets</w:t>
            </w:r>
            <w:r w:rsidRPr="00DC1EE4">
              <w:rPr>
                <w:b/>
                <w:szCs w:val="20"/>
                <w:vertAlign w:val="superscript"/>
              </w:rPr>
              <w:t>(a)</w:t>
            </w:r>
          </w:p>
        </w:tc>
        <w:tc>
          <w:tcPr>
            <w:tcW w:w="810" w:type="dxa"/>
            <w:tcBorders>
              <w:top w:val="single" w:sz="6" w:space="0" w:color="auto"/>
              <w:left w:val="nil"/>
              <w:bottom w:val="single" w:sz="12" w:space="0" w:color="auto"/>
              <w:right w:val="nil"/>
            </w:tcBorders>
          </w:tcPr>
          <w:p w:rsidR="0028027B" w:rsidRPr="00DC1EE4" w:rsidRDefault="0028027B" w:rsidP="00C03F9E">
            <w:pPr>
              <w:pStyle w:val="TableTextCentred"/>
              <w:rPr>
                <w:b/>
                <w:szCs w:val="20"/>
              </w:rPr>
            </w:pPr>
            <w:r w:rsidRPr="00DC1EE4">
              <w:rPr>
                <w:b/>
              </w:rPr>
              <w:t xml:space="preserve"> </w:t>
            </w:r>
          </w:p>
        </w:tc>
        <w:tc>
          <w:tcPr>
            <w:tcW w:w="1080" w:type="dxa"/>
            <w:gridSpan w:val="2"/>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139 664</w:t>
            </w:r>
          </w:p>
        </w:tc>
        <w:tc>
          <w:tcPr>
            <w:tcW w:w="990" w:type="dxa"/>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139 885</w:t>
            </w:r>
          </w:p>
        </w:tc>
        <w:tc>
          <w:tcPr>
            <w:tcW w:w="990" w:type="dxa"/>
            <w:gridSpan w:val="2"/>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136 556</w:t>
            </w:r>
          </w:p>
        </w:tc>
        <w:tc>
          <w:tcPr>
            <w:tcW w:w="1062" w:type="dxa"/>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136 310</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vertAlign w:val="superscript"/>
              </w:rPr>
            </w:pPr>
            <w:r w:rsidRPr="00DC1EE4">
              <w:rPr>
                <w:szCs w:val="20"/>
              </w:rPr>
              <w:t>Accumulated surplus/(deficit)</w:t>
            </w:r>
            <w:r w:rsidRPr="00DC1EE4">
              <w:rPr>
                <w:szCs w:val="20"/>
                <w:vertAlign w:val="superscript"/>
              </w:rPr>
              <w:t>(a)</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 xml:space="preserve"> </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61 108</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61 204</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46 304</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45 764</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Reserves</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 xml:space="preserve"> </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78 506</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78 630</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90 203</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90 496</w:t>
            </w:r>
          </w:p>
        </w:tc>
      </w:tr>
      <w:tr w:rsidR="0028027B" w:rsidRPr="00DC1EE4" w:rsidTr="00C03F9E">
        <w:tc>
          <w:tcPr>
            <w:tcW w:w="5234" w:type="dxa"/>
            <w:tcBorders>
              <w:top w:val="nil"/>
              <w:left w:val="nil"/>
              <w:bottom w:val="single" w:sz="6" w:space="0" w:color="auto"/>
              <w:right w:val="nil"/>
            </w:tcBorders>
          </w:tcPr>
          <w:p w:rsidR="0028027B" w:rsidRPr="00DC1EE4" w:rsidRDefault="0028027B" w:rsidP="00C03F9E">
            <w:pPr>
              <w:pStyle w:val="Tabletext"/>
              <w:rPr>
                <w:szCs w:val="20"/>
              </w:rPr>
            </w:pPr>
            <w:r w:rsidRPr="00DC1EE4">
              <w:rPr>
                <w:szCs w:val="20"/>
              </w:rPr>
              <w:t>Non</w:t>
            </w:r>
            <w:r w:rsidR="005A4BB0">
              <w:rPr>
                <w:szCs w:val="20"/>
              </w:rPr>
              <w:noBreakHyphen/>
            </w:r>
            <w:r w:rsidRPr="00DC1EE4">
              <w:rPr>
                <w:szCs w:val="20"/>
              </w:rPr>
              <w:t>controlling interest</w:t>
            </w:r>
          </w:p>
        </w:tc>
        <w:tc>
          <w:tcPr>
            <w:tcW w:w="810" w:type="dxa"/>
            <w:tcBorders>
              <w:top w:val="nil"/>
              <w:left w:val="nil"/>
              <w:bottom w:val="single" w:sz="6" w:space="0" w:color="auto"/>
              <w:right w:val="nil"/>
            </w:tcBorders>
          </w:tcPr>
          <w:p w:rsidR="0028027B" w:rsidRPr="00DC1EE4" w:rsidRDefault="0028027B" w:rsidP="00C03F9E">
            <w:pPr>
              <w:pStyle w:val="TableTextCentred"/>
              <w:rPr>
                <w:szCs w:val="20"/>
              </w:rPr>
            </w:pPr>
            <w:r w:rsidRPr="00DC1EE4">
              <w:t xml:space="preserve"> </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50</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50</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50</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50</w:t>
            </w:r>
          </w:p>
        </w:tc>
      </w:tr>
      <w:tr w:rsidR="0028027B" w:rsidRPr="00DC1EE4" w:rsidTr="00C03F9E">
        <w:tc>
          <w:tcPr>
            <w:tcW w:w="5234" w:type="dxa"/>
            <w:tcBorders>
              <w:top w:val="single" w:sz="6" w:space="0" w:color="auto"/>
              <w:left w:val="nil"/>
              <w:bottom w:val="single" w:sz="12" w:space="0" w:color="auto"/>
              <w:right w:val="nil"/>
            </w:tcBorders>
          </w:tcPr>
          <w:p w:rsidR="0028027B" w:rsidRPr="00DC1EE4" w:rsidRDefault="0028027B" w:rsidP="00C03F9E">
            <w:pPr>
              <w:pStyle w:val="Tabletext"/>
              <w:rPr>
                <w:b/>
                <w:szCs w:val="20"/>
              </w:rPr>
            </w:pPr>
            <w:r w:rsidRPr="00DC1EE4">
              <w:rPr>
                <w:b/>
                <w:szCs w:val="20"/>
              </w:rPr>
              <w:t>Net worth</w:t>
            </w:r>
            <w:r w:rsidRPr="00DC1EE4">
              <w:rPr>
                <w:b/>
                <w:szCs w:val="20"/>
                <w:vertAlign w:val="superscript"/>
              </w:rPr>
              <w:t>(a)</w:t>
            </w:r>
          </w:p>
        </w:tc>
        <w:tc>
          <w:tcPr>
            <w:tcW w:w="810" w:type="dxa"/>
            <w:tcBorders>
              <w:top w:val="single" w:sz="6" w:space="0" w:color="auto"/>
              <w:left w:val="nil"/>
              <w:bottom w:val="single" w:sz="12" w:space="0" w:color="auto"/>
              <w:right w:val="nil"/>
            </w:tcBorders>
          </w:tcPr>
          <w:p w:rsidR="0028027B" w:rsidRPr="00DC1EE4" w:rsidRDefault="0028027B" w:rsidP="00C03F9E">
            <w:pPr>
              <w:pStyle w:val="TableTextCentred"/>
              <w:rPr>
                <w:b/>
                <w:szCs w:val="20"/>
              </w:rPr>
            </w:pPr>
            <w:r w:rsidRPr="00DC1EE4">
              <w:rPr>
                <w:b/>
              </w:rPr>
              <w:t xml:space="preserve"> </w:t>
            </w:r>
          </w:p>
        </w:tc>
        <w:tc>
          <w:tcPr>
            <w:tcW w:w="1080" w:type="dxa"/>
            <w:gridSpan w:val="2"/>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139 664</w:t>
            </w:r>
          </w:p>
        </w:tc>
        <w:tc>
          <w:tcPr>
            <w:tcW w:w="990" w:type="dxa"/>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139 885</w:t>
            </w:r>
          </w:p>
        </w:tc>
        <w:tc>
          <w:tcPr>
            <w:tcW w:w="990" w:type="dxa"/>
            <w:gridSpan w:val="2"/>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136 556</w:t>
            </w:r>
          </w:p>
        </w:tc>
        <w:tc>
          <w:tcPr>
            <w:tcW w:w="1062" w:type="dxa"/>
            <w:tcBorders>
              <w:top w:val="single" w:sz="6" w:space="0" w:color="auto"/>
              <w:left w:val="nil"/>
              <w:bottom w:val="single" w:sz="12" w:space="0" w:color="auto"/>
              <w:right w:val="nil"/>
            </w:tcBorders>
          </w:tcPr>
          <w:p w:rsidR="0028027B" w:rsidRPr="00DC1EE4" w:rsidRDefault="0028027B" w:rsidP="00C03F9E">
            <w:pPr>
              <w:pStyle w:val="TableofFigures"/>
              <w:rPr>
                <w:b/>
                <w:sz w:val="20"/>
                <w:szCs w:val="20"/>
              </w:rPr>
            </w:pPr>
            <w:r w:rsidRPr="00DC1EE4">
              <w:rPr>
                <w:b/>
              </w:rPr>
              <w:t>136 310</w:t>
            </w:r>
          </w:p>
        </w:tc>
      </w:tr>
      <w:tr w:rsidR="0028027B" w:rsidRPr="00DC1EE4" w:rsidTr="00C03F9E">
        <w:trPr>
          <w:trHeight w:hRule="exact" w:val="120"/>
        </w:trPr>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 xml:space="preserve"> </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 xml:space="preserve"> </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 xml:space="preserve"> </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 xml:space="preserve"> </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 xml:space="preserve"> </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 xml:space="preserve"> </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b/>
                <w:szCs w:val="20"/>
              </w:rPr>
            </w:pPr>
            <w:r w:rsidRPr="00DC1EE4">
              <w:rPr>
                <w:b/>
                <w:szCs w:val="20"/>
              </w:rPr>
              <w:t>FISCAL AGGREGATES</w:t>
            </w:r>
          </w:p>
        </w:tc>
        <w:tc>
          <w:tcPr>
            <w:tcW w:w="810" w:type="dxa"/>
            <w:tcBorders>
              <w:top w:val="nil"/>
              <w:left w:val="nil"/>
              <w:bottom w:val="nil"/>
              <w:right w:val="nil"/>
            </w:tcBorders>
          </w:tcPr>
          <w:p w:rsidR="0028027B" w:rsidRPr="00DC1EE4" w:rsidRDefault="0028027B" w:rsidP="00C03F9E">
            <w:pPr>
              <w:pStyle w:val="TableTextCentred"/>
              <w:rPr>
                <w:b/>
                <w:szCs w:val="20"/>
              </w:rPr>
            </w:pPr>
            <w:r w:rsidRPr="00DC1EE4">
              <w:t xml:space="preserve"> </w:t>
            </w:r>
          </w:p>
        </w:tc>
        <w:tc>
          <w:tcPr>
            <w:tcW w:w="108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990" w:type="dxa"/>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99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1062" w:type="dxa"/>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 xml:space="preserve">Net financial worth </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 xml:space="preserve"> </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(70 980)</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(70 106)</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27 292</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27 390</w:t>
            </w:r>
          </w:p>
        </w:tc>
      </w:tr>
      <w:tr w:rsidR="0028027B" w:rsidRPr="00DC1EE4" w:rsidTr="00C03F9E">
        <w:tc>
          <w:tcPr>
            <w:tcW w:w="5234" w:type="dxa"/>
            <w:tcBorders>
              <w:top w:val="nil"/>
              <w:left w:val="nil"/>
              <w:bottom w:val="nil"/>
              <w:right w:val="nil"/>
            </w:tcBorders>
          </w:tcPr>
          <w:p w:rsidR="0028027B" w:rsidRPr="00DC1EE4" w:rsidRDefault="0028027B" w:rsidP="00C03F9E">
            <w:pPr>
              <w:pStyle w:val="Tabletext"/>
              <w:rPr>
                <w:szCs w:val="20"/>
              </w:rPr>
            </w:pPr>
            <w:r w:rsidRPr="00DC1EE4">
              <w:rPr>
                <w:szCs w:val="20"/>
              </w:rPr>
              <w:t>Net financial liabilities</w:t>
            </w:r>
          </w:p>
        </w:tc>
        <w:tc>
          <w:tcPr>
            <w:tcW w:w="810" w:type="dxa"/>
            <w:tcBorders>
              <w:top w:val="nil"/>
              <w:left w:val="nil"/>
              <w:bottom w:val="nil"/>
              <w:right w:val="nil"/>
            </w:tcBorders>
          </w:tcPr>
          <w:p w:rsidR="0028027B" w:rsidRPr="00DC1EE4" w:rsidRDefault="0028027B" w:rsidP="00C03F9E">
            <w:pPr>
              <w:pStyle w:val="TableTextCentred"/>
              <w:rPr>
                <w:szCs w:val="20"/>
              </w:rPr>
            </w:pPr>
            <w:r w:rsidRPr="00DC1EE4">
              <w:t xml:space="preserve"> </w:t>
            </w:r>
          </w:p>
        </w:tc>
        <w:tc>
          <w:tcPr>
            <w:tcW w:w="1080" w:type="dxa"/>
            <w:gridSpan w:val="2"/>
            <w:tcBorders>
              <w:top w:val="nil"/>
              <w:left w:val="nil"/>
              <w:bottom w:val="nil"/>
              <w:right w:val="nil"/>
            </w:tcBorders>
          </w:tcPr>
          <w:p w:rsidR="0028027B" w:rsidRPr="00DC1EE4" w:rsidRDefault="0028027B" w:rsidP="00C03F9E">
            <w:pPr>
              <w:pStyle w:val="TableofFigures"/>
              <w:rPr>
                <w:sz w:val="20"/>
                <w:szCs w:val="20"/>
              </w:rPr>
            </w:pPr>
            <w:r w:rsidRPr="00DC1EE4">
              <w:t>70 980</w:t>
            </w:r>
          </w:p>
        </w:tc>
        <w:tc>
          <w:tcPr>
            <w:tcW w:w="990" w:type="dxa"/>
            <w:tcBorders>
              <w:top w:val="nil"/>
              <w:left w:val="nil"/>
              <w:bottom w:val="nil"/>
              <w:right w:val="nil"/>
            </w:tcBorders>
          </w:tcPr>
          <w:p w:rsidR="0028027B" w:rsidRPr="00DC1EE4" w:rsidRDefault="0028027B" w:rsidP="00C03F9E">
            <w:pPr>
              <w:pStyle w:val="TableofFigures"/>
              <w:rPr>
                <w:sz w:val="20"/>
                <w:szCs w:val="20"/>
              </w:rPr>
            </w:pPr>
            <w:r w:rsidRPr="00DC1EE4">
              <w:t>70 106</w:t>
            </w:r>
          </w:p>
        </w:tc>
        <w:tc>
          <w:tcPr>
            <w:tcW w:w="990" w:type="dxa"/>
            <w:gridSpan w:val="2"/>
            <w:tcBorders>
              <w:top w:val="nil"/>
              <w:left w:val="nil"/>
              <w:bottom w:val="nil"/>
              <w:right w:val="nil"/>
            </w:tcBorders>
          </w:tcPr>
          <w:p w:rsidR="0028027B" w:rsidRPr="00DC1EE4" w:rsidRDefault="0028027B" w:rsidP="00C03F9E">
            <w:pPr>
              <w:pStyle w:val="TableofFigures"/>
              <w:rPr>
                <w:sz w:val="20"/>
                <w:szCs w:val="20"/>
              </w:rPr>
            </w:pPr>
            <w:r w:rsidRPr="00DC1EE4">
              <w:t>55 271</w:t>
            </w:r>
          </w:p>
        </w:tc>
        <w:tc>
          <w:tcPr>
            <w:tcW w:w="1062" w:type="dxa"/>
            <w:tcBorders>
              <w:top w:val="nil"/>
              <w:left w:val="nil"/>
              <w:bottom w:val="nil"/>
              <w:right w:val="nil"/>
            </w:tcBorders>
          </w:tcPr>
          <w:p w:rsidR="0028027B" w:rsidRPr="00DC1EE4" w:rsidRDefault="0028027B" w:rsidP="00C03F9E">
            <w:pPr>
              <w:pStyle w:val="TableofFigures"/>
              <w:rPr>
                <w:sz w:val="20"/>
                <w:szCs w:val="20"/>
              </w:rPr>
            </w:pPr>
            <w:r w:rsidRPr="00DC1EE4">
              <w:t>54 791</w:t>
            </w:r>
          </w:p>
        </w:tc>
      </w:tr>
      <w:tr w:rsidR="0028027B" w:rsidRPr="00DC1EE4" w:rsidTr="00C03F9E">
        <w:tc>
          <w:tcPr>
            <w:tcW w:w="5234" w:type="dxa"/>
            <w:tcBorders>
              <w:top w:val="nil"/>
              <w:left w:val="nil"/>
              <w:bottom w:val="single" w:sz="12" w:space="0" w:color="auto"/>
              <w:right w:val="nil"/>
            </w:tcBorders>
          </w:tcPr>
          <w:p w:rsidR="0028027B" w:rsidRPr="00DC1EE4" w:rsidRDefault="0028027B" w:rsidP="00C03F9E">
            <w:pPr>
              <w:pStyle w:val="Tabletext"/>
              <w:rPr>
                <w:szCs w:val="20"/>
              </w:rPr>
            </w:pPr>
            <w:r w:rsidRPr="00DC1EE4">
              <w:rPr>
                <w:szCs w:val="20"/>
              </w:rPr>
              <w:t>Net debt</w:t>
            </w:r>
          </w:p>
        </w:tc>
        <w:tc>
          <w:tcPr>
            <w:tcW w:w="810" w:type="dxa"/>
            <w:tcBorders>
              <w:top w:val="nil"/>
              <w:left w:val="nil"/>
              <w:bottom w:val="single" w:sz="12" w:space="0" w:color="auto"/>
              <w:right w:val="nil"/>
            </w:tcBorders>
          </w:tcPr>
          <w:p w:rsidR="0028027B" w:rsidRPr="00DC1EE4" w:rsidRDefault="0028027B" w:rsidP="00C03F9E">
            <w:pPr>
              <w:pStyle w:val="TableTextCentred"/>
              <w:rPr>
                <w:b/>
                <w:szCs w:val="20"/>
              </w:rPr>
            </w:pPr>
            <w:r w:rsidRPr="00DC1EE4">
              <w:t xml:space="preserve"> </w:t>
            </w:r>
          </w:p>
        </w:tc>
        <w:tc>
          <w:tcPr>
            <w:tcW w:w="1080" w:type="dxa"/>
            <w:gridSpan w:val="2"/>
            <w:tcBorders>
              <w:top w:val="nil"/>
              <w:left w:val="nil"/>
              <w:bottom w:val="single" w:sz="12" w:space="0" w:color="auto"/>
              <w:right w:val="nil"/>
            </w:tcBorders>
          </w:tcPr>
          <w:p w:rsidR="0028027B" w:rsidRPr="00DC1EE4" w:rsidRDefault="0028027B" w:rsidP="00C03F9E">
            <w:pPr>
              <w:pStyle w:val="TableofFigures"/>
              <w:rPr>
                <w:b/>
                <w:sz w:val="20"/>
                <w:szCs w:val="20"/>
              </w:rPr>
            </w:pPr>
            <w:r w:rsidRPr="00DC1EE4">
              <w:t>12 679</w:t>
            </w:r>
          </w:p>
        </w:tc>
        <w:tc>
          <w:tcPr>
            <w:tcW w:w="990" w:type="dxa"/>
            <w:tcBorders>
              <w:top w:val="nil"/>
              <w:left w:val="nil"/>
              <w:bottom w:val="single" w:sz="12" w:space="0" w:color="auto"/>
              <w:right w:val="nil"/>
            </w:tcBorders>
          </w:tcPr>
          <w:p w:rsidR="0028027B" w:rsidRPr="00DC1EE4" w:rsidRDefault="0028027B" w:rsidP="00C03F9E">
            <w:pPr>
              <w:pStyle w:val="TableofFigures"/>
              <w:rPr>
                <w:b/>
                <w:sz w:val="20"/>
                <w:szCs w:val="20"/>
              </w:rPr>
            </w:pPr>
            <w:r w:rsidRPr="00DC1EE4">
              <w:t>13 048</w:t>
            </w:r>
          </w:p>
        </w:tc>
        <w:tc>
          <w:tcPr>
            <w:tcW w:w="990" w:type="dxa"/>
            <w:gridSpan w:val="2"/>
            <w:tcBorders>
              <w:top w:val="nil"/>
              <w:left w:val="nil"/>
              <w:bottom w:val="single" w:sz="12" w:space="0" w:color="auto"/>
              <w:right w:val="nil"/>
            </w:tcBorders>
          </w:tcPr>
          <w:p w:rsidR="0028027B" w:rsidRPr="00DC1EE4" w:rsidRDefault="0028027B" w:rsidP="00C03F9E">
            <w:pPr>
              <w:pStyle w:val="TableofFigures"/>
              <w:rPr>
                <w:b/>
                <w:sz w:val="20"/>
                <w:szCs w:val="20"/>
              </w:rPr>
            </w:pPr>
            <w:r w:rsidRPr="00DC1EE4">
              <w:t>22 735</w:t>
            </w:r>
          </w:p>
        </w:tc>
        <w:tc>
          <w:tcPr>
            <w:tcW w:w="1062" w:type="dxa"/>
            <w:tcBorders>
              <w:top w:val="nil"/>
              <w:left w:val="nil"/>
              <w:bottom w:val="single" w:sz="12" w:space="0" w:color="auto"/>
              <w:right w:val="nil"/>
            </w:tcBorders>
          </w:tcPr>
          <w:p w:rsidR="0028027B" w:rsidRPr="00DC1EE4" w:rsidRDefault="0028027B" w:rsidP="00C03F9E">
            <w:pPr>
              <w:pStyle w:val="TableofFigures"/>
              <w:rPr>
                <w:b/>
                <w:sz w:val="20"/>
                <w:szCs w:val="20"/>
              </w:rPr>
            </w:pPr>
            <w:r w:rsidRPr="00DC1EE4">
              <w:t>22 327</w:t>
            </w:r>
          </w:p>
        </w:tc>
      </w:tr>
    </w:tbl>
    <w:p w:rsidR="0028027B" w:rsidRPr="00DC1EE4" w:rsidRDefault="0028027B" w:rsidP="0028027B">
      <w:pPr>
        <w:pStyle w:val="Source"/>
      </w:pPr>
      <w:r w:rsidRPr="00DC1EE4">
        <w:t>The accompanying notes form part of these financial statements.</w:t>
      </w:r>
    </w:p>
    <w:p w:rsidR="0028027B" w:rsidRPr="00DC1EE4" w:rsidRDefault="0028027B" w:rsidP="0028027B">
      <w:pPr>
        <w:pStyle w:val="Notes"/>
      </w:pPr>
      <w:r w:rsidRPr="00DC1EE4">
        <w:t>Note:</w:t>
      </w:r>
    </w:p>
    <w:p w:rsidR="0028027B" w:rsidRPr="00DC1EE4" w:rsidRDefault="0028027B" w:rsidP="0028027B">
      <w:pPr>
        <w:pStyle w:val="Notes"/>
      </w:pPr>
      <w:r w:rsidRPr="00DC1EE4">
        <w:t>(a)</w:t>
      </w:r>
      <w:r w:rsidRPr="00DC1EE4">
        <w:tab/>
        <w:t>Certain June 2015 comparative figures have been restated to reflect more current information.</w:t>
      </w:r>
    </w:p>
    <w:p w:rsidR="0028027B" w:rsidRPr="00DC1EE4" w:rsidRDefault="0028027B" w:rsidP="0028027B">
      <w:pPr>
        <w:pStyle w:val="Source"/>
      </w:pPr>
    </w:p>
    <w:p w:rsidR="0028027B" w:rsidRPr="00DC1EE4" w:rsidRDefault="0028027B" w:rsidP="0028027B">
      <w:r w:rsidRPr="00DC1EE4">
        <w:br w:type="page"/>
      </w:r>
    </w:p>
    <w:p w:rsidR="0028027B" w:rsidRPr="00DC1EE4" w:rsidRDefault="0028027B" w:rsidP="00E348C3">
      <w:pPr>
        <w:pStyle w:val="Tableheading"/>
      </w:pPr>
      <w:r w:rsidRPr="00DC1EE4">
        <w:t>Table 1.11:</w:t>
      </w:r>
      <w:r w:rsidRPr="00DC1EE4">
        <w:tab/>
        <w:t>Consolidated cash flow statement for the six months ended 31 December</w:t>
      </w:r>
    </w:p>
    <w:p w:rsidR="0028027B" w:rsidRPr="00DC1EE4" w:rsidRDefault="0028027B" w:rsidP="0028027B">
      <w:pPr>
        <w:pStyle w:val="million"/>
      </w:pPr>
      <w:r w:rsidRPr="00DC1EE4">
        <w:t>($ million)</w:t>
      </w:r>
    </w:p>
    <w:tbl>
      <w:tblPr>
        <w:tblW w:w="10187" w:type="dxa"/>
        <w:tblInd w:w="28" w:type="dxa"/>
        <w:tblLayout w:type="fixed"/>
        <w:tblCellMar>
          <w:left w:w="45" w:type="dxa"/>
          <w:right w:w="45" w:type="dxa"/>
        </w:tblCellMar>
        <w:tblLook w:val="0000" w:firstRow="0" w:lastRow="0" w:firstColumn="0" w:lastColumn="0" w:noHBand="0" w:noVBand="0"/>
      </w:tblPr>
      <w:tblGrid>
        <w:gridCol w:w="4964"/>
        <w:gridCol w:w="567"/>
        <w:gridCol w:w="173"/>
        <w:gridCol w:w="244"/>
        <w:gridCol w:w="881"/>
        <w:gridCol w:w="1119"/>
        <w:gridCol w:w="272"/>
        <w:gridCol w:w="848"/>
        <w:gridCol w:w="1119"/>
      </w:tblGrid>
      <w:tr w:rsidR="0028027B" w:rsidRPr="00DC1EE4" w:rsidTr="00C03F9E">
        <w:trPr>
          <w:tblHeader/>
        </w:trPr>
        <w:tc>
          <w:tcPr>
            <w:tcW w:w="4964" w:type="dxa"/>
            <w:tcBorders>
              <w:top w:val="single" w:sz="6" w:space="0" w:color="auto"/>
              <w:left w:val="single" w:sz="6" w:space="0" w:color="auto"/>
              <w:bottom w:val="nil"/>
              <w:right w:val="nil"/>
            </w:tcBorders>
            <w:shd w:val="clear" w:color="000000" w:fill="000000"/>
          </w:tcPr>
          <w:p w:rsidR="0028027B" w:rsidRPr="00DC1EE4" w:rsidRDefault="0028027B" w:rsidP="00C03F9E">
            <w:pPr>
              <w:pStyle w:val="Tabletext"/>
              <w:spacing w:before="0" w:after="0"/>
              <w:rPr>
                <w:szCs w:val="20"/>
              </w:rPr>
            </w:pPr>
          </w:p>
        </w:tc>
        <w:tc>
          <w:tcPr>
            <w:tcW w:w="740" w:type="dxa"/>
            <w:gridSpan w:val="2"/>
            <w:tcBorders>
              <w:top w:val="single" w:sz="6" w:space="0" w:color="auto"/>
              <w:left w:val="nil"/>
              <w:bottom w:val="nil"/>
              <w:right w:val="nil"/>
            </w:tcBorders>
            <w:shd w:val="clear" w:color="000000" w:fill="000000"/>
          </w:tcPr>
          <w:p w:rsidR="0028027B" w:rsidRPr="00DC1EE4" w:rsidRDefault="0028027B" w:rsidP="00C03F9E">
            <w:pPr>
              <w:pStyle w:val="TabletextheadingCentred"/>
              <w:spacing w:before="0" w:after="0"/>
              <w:rPr>
                <w:sz w:val="20"/>
              </w:rPr>
            </w:pPr>
            <w:r w:rsidRPr="00DC1EE4">
              <w:rPr>
                <w:sz w:val="20"/>
              </w:rPr>
              <w:t xml:space="preserve"> </w:t>
            </w:r>
          </w:p>
        </w:tc>
        <w:tc>
          <w:tcPr>
            <w:tcW w:w="244" w:type="dxa"/>
            <w:tcBorders>
              <w:top w:val="single" w:sz="6" w:space="0" w:color="auto"/>
              <w:left w:val="nil"/>
              <w:bottom w:val="nil"/>
              <w:right w:val="nil"/>
            </w:tcBorders>
            <w:shd w:val="clear" w:color="000000" w:fill="000000"/>
          </w:tcPr>
          <w:p w:rsidR="0028027B" w:rsidRPr="00DC1EE4" w:rsidRDefault="0028027B" w:rsidP="00C03F9E">
            <w:pPr>
              <w:pStyle w:val="Tabletextheading"/>
              <w:spacing w:before="0" w:after="0"/>
              <w:rPr>
                <w:sz w:val="20"/>
                <w:szCs w:val="20"/>
              </w:rPr>
            </w:pPr>
            <w:r w:rsidRPr="00DC1EE4">
              <w:rPr>
                <w:sz w:val="20"/>
                <w:szCs w:val="20"/>
              </w:rPr>
              <w:t xml:space="preserve"> </w:t>
            </w:r>
          </w:p>
        </w:tc>
        <w:tc>
          <w:tcPr>
            <w:tcW w:w="2000" w:type="dxa"/>
            <w:gridSpan w:val="2"/>
            <w:tcBorders>
              <w:top w:val="single" w:sz="6" w:space="0" w:color="auto"/>
              <w:left w:val="nil"/>
              <w:bottom w:val="nil"/>
              <w:right w:val="nil"/>
            </w:tcBorders>
            <w:shd w:val="clear" w:color="000000" w:fill="000000"/>
          </w:tcPr>
          <w:p w:rsidR="0028027B" w:rsidRPr="00DC1EE4" w:rsidRDefault="0028027B" w:rsidP="00C03F9E">
            <w:pPr>
              <w:pStyle w:val="TabletextheadingCentred"/>
              <w:spacing w:before="0" w:after="0"/>
              <w:rPr>
                <w:sz w:val="20"/>
              </w:rPr>
            </w:pPr>
          </w:p>
          <w:p w:rsidR="0028027B" w:rsidRPr="00DC1EE4" w:rsidRDefault="0028027B" w:rsidP="00C03F9E">
            <w:pPr>
              <w:pStyle w:val="TabletextheadingCentred"/>
              <w:spacing w:before="0" w:after="0"/>
              <w:rPr>
                <w:sz w:val="20"/>
              </w:rPr>
            </w:pPr>
            <w:r w:rsidRPr="00DC1EE4">
              <w:rPr>
                <w:sz w:val="20"/>
              </w:rPr>
              <w:t>State of Victoria</w:t>
            </w:r>
          </w:p>
        </w:tc>
        <w:tc>
          <w:tcPr>
            <w:tcW w:w="272" w:type="dxa"/>
            <w:tcBorders>
              <w:top w:val="single" w:sz="6" w:space="0" w:color="auto"/>
              <w:left w:val="nil"/>
              <w:bottom w:val="nil"/>
              <w:right w:val="nil"/>
            </w:tcBorders>
            <w:shd w:val="clear" w:color="000000" w:fill="000000"/>
          </w:tcPr>
          <w:p w:rsidR="0028027B" w:rsidRPr="00DC1EE4" w:rsidRDefault="0028027B" w:rsidP="00C03F9E">
            <w:pPr>
              <w:pStyle w:val="TabletextheadingCentred"/>
              <w:spacing w:before="0" w:after="0"/>
              <w:rPr>
                <w:sz w:val="20"/>
              </w:rPr>
            </w:pPr>
            <w:r w:rsidRPr="00DC1EE4">
              <w:rPr>
                <w:sz w:val="20"/>
              </w:rPr>
              <w:t xml:space="preserve"> </w:t>
            </w:r>
          </w:p>
        </w:tc>
        <w:tc>
          <w:tcPr>
            <w:tcW w:w="1967" w:type="dxa"/>
            <w:gridSpan w:val="2"/>
            <w:tcBorders>
              <w:top w:val="single" w:sz="6" w:space="0" w:color="auto"/>
              <w:left w:val="nil"/>
              <w:bottom w:val="nil"/>
              <w:right w:val="single" w:sz="6" w:space="0" w:color="auto"/>
            </w:tcBorders>
            <w:shd w:val="clear" w:color="000000" w:fill="000000"/>
          </w:tcPr>
          <w:p w:rsidR="0028027B" w:rsidRPr="00DC1EE4" w:rsidRDefault="0028027B" w:rsidP="00C03F9E">
            <w:pPr>
              <w:pStyle w:val="TabletextheadingCentred"/>
              <w:spacing w:before="0" w:after="0"/>
              <w:rPr>
                <w:sz w:val="20"/>
              </w:rPr>
            </w:pPr>
            <w:r w:rsidRPr="00DC1EE4">
              <w:rPr>
                <w:sz w:val="20"/>
              </w:rPr>
              <w:t>General</w:t>
            </w:r>
          </w:p>
          <w:p w:rsidR="0028027B" w:rsidRPr="00DC1EE4" w:rsidRDefault="0028027B" w:rsidP="00C03F9E">
            <w:pPr>
              <w:pStyle w:val="TabletextheadingCentred"/>
              <w:spacing w:before="0" w:after="0"/>
              <w:rPr>
                <w:sz w:val="20"/>
              </w:rPr>
            </w:pPr>
            <w:r w:rsidRPr="00DC1EE4">
              <w:rPr>
                <w:sz w:val="20"/>
              </w:rPr>
              <w:t>government sector</w:t>
            </w:r>
          </w:p>
        </w:tc>
      </w:tr>
      <w:tr w:rsidR="0028027B" w:rsidRPr="00DC1EE4" w:rsidTr="00C03F9E">
        <w:trPr>
          <w:tblHeader/>
        </w:trPr>
        <w:tc>
          <w:tcPr>
            <w:tcW w:w="4964" w:type="dxa"/>
            <w:tcBorders>
              <w:top w:val="nil"/>
              <w:left w:val="single" w:sz="6" w:space="0" w:color="auto"/>
              <w:bottom w:val="single" w:sz="6" w:space="0" w:color="auto"/>
              <w:right w:val="nil"/>
            </w:tcBorders>
            <w:shd w:val="clear" w:color="000000" w:fill="000000"/>
          </w:tcPr>
          <w:p w:rsidR="0028027B" w:rsidRPr="00DC1EE4" w:rsidRDefault="0028027B" w:rsidP="00C03F9E">
            <w:pPr>
              <w:pStyle w:val="Tabletext"/>
              <w:spacing w:before="0" w:after="0"/>
              <w:rPr>
                <w:szCs w:val="20"/>
              </w:rPr>
            </w:pPr>
            <w:r w:rsidRPr="00DC1EE4">
              <w:rPr>
                <w:szCs w:val="20"/>
              </w:rPr>
              <w:t xml:space="preserve"> </w:t>
            </w:r>
          </w:p>
        </w:tc>
        <w:tc>
          <w:tcPr>
            <w:tcW w:w="740" w:type="dxa"/>
            <w:gridSpan w:val="2"/>
            <w:tcBorders>
              <w:top w:val="nil"/>
              <w:left w:val="nil"/>
              <w:bottom w:val="single" w:sz="6" w:space="0" w:color="auto"/>
              <w:right w:val="nil"/>
            </w:tcBorders>
            <w:shd w:val="clear" w:color="000000" w:fill="000000"/>
          </w:tcPr>
          <w:p w:rsidR="0028027B" w:rsidRPr="00DC1EE4" w:rsidRDefault="0028027B" w:rsidP="00C03F9E">
            <w:pPr>
              <w:pStyle w:val="TabletextheadingCentred"/>
              <w:spacing w:before="0" w:after="0"/>
              <w:rPr>
                <w:sz w:val="20"/>
              </w:rPr>
            </w:pPr>
            <w:r w:rsidRPr="00DC1EE4">
              <w:rPr>
                <w:sz w:val="20"/>
              </w:rPr>
              <w:t>Notes</w:t>
            </w:r>
          </w:p>
        </w:tc>
        <w:tc>
          <w:tcPr>
            <w:tcW w:w="1125" w:type="dxa"/>
            <w:gridSpan w:val="2"/>
            <w:tcBorders>
              <w:top w:val="nil"/>
              <w:left w:val="nil"/>
              <w:bottom w:val="single" w:sz="6" w:space="0" w:color="auto"/>
              <w:right w:val="nil"/>
            </w:tcBorders>
            <w:shd w:val="clear" w:color="000000" w:fill="000000"/>
          </w:tcPr>
          <w:p w:rsidR="0028027B" w:rsidRPr="00DC1EE4" w:rsidRDefault="0028027B" w:rsidP="00C03F9E">
            <w:pPr>
              <w:pStyle w:val="Tabletextheading"/>
              <w:spacing w:before="0" w:after="0"/>
              <w:rPr>
                <w:sz w:val="20"/>
                <w:szCs w:val="20"/>
              </w:rPr>
            </w:pPr>
            <w:r w:rsidRPr="00DC1EE4">
              <w:rPr>
                <w:sz w:val="20"/>
                <w:szCs w:val="20"/>
              </w:rPr>
              <w:t>2015</w:t>
            </w:r>
          </w:p>
        </w:tc>
        <w:tc>
          <w:tcPr>
            <w:tcW w:w="1119" w:type="dxa"/>
            <w:tcBorders>
              <w:top w:val="nil"/>
              <w:left w:val="nil"/>
              <w:bottom w:val="single" w:sz="6" w:space="0" w:color="auto"/>
              <w:right w:val="nil"/>
            </w:tcBorders>
            <w:shd w:val="clear" w:color="000000" w:fill="000000"/>
          </w:tcPr>
          <w:p w:rsidR="0028027B" w:rsidRPr="00DC1EE4" w:rsidRDefault="0028027B" w:rsidP="00C03F9E">
            <w:pPr>
              <w:pStyle w:val="Tabletextheading"/>
              <w:spacing w:before="0" w:after="0"/>
              <w:rPr>
                <w:sz w:val="20"/>
                <w:szCs w:val="20"/>
              </w:rPr>
            </w:pPr>
            <w:r w:rsidRPr="00DC1EE4">
              <w:rPr>
                <w:sz w:val="20"/>
                <w:szCs w:val="20"/>
              </w:rPr>
              <w:t>2014</w:t>
            </w:r>
            <w:r w:rsidRPr="00DC1EE4">
              <w:rPr>
                <w:sz w:val="20"/>
                <w:szCs w:val="20"/>
                <w:vertAlign w:val="superscript"/>
              </w:rPr>
              <w:t>(a)</w:t>
            </w:r>
          </w:p>
        </w:tc>
        <w:tc>
          <w:tcPr>
            <w:tcW w:w="1120" w:type="dxa"/>
            <w:gridSpan w:val="2"/>
            <w:tcBorders>
              <w:top w:val="nil"/>
              <w:left w:val="nil"/>
              <w:bottom w:val="single" w:sz="6" w:space="0" w:color="auto"/>
              <w:right w:val="nil"/>
            </w:tcBorders>
            <w:shd w:val="clear" w:color="000000" w:fill="000000"/>
          </w:tcPr>
          <w:p w:rsidR="0028027B" w:rsidRPr="00DC1EE4" w:rsidRDefault="0028027B" w:rsidP="00C03F9E">
            <w:pPr>
              <w:pStyle w:val="Tabletextheading"/>
              <w:spacing w:before="0" w:after="0"/>
              <w:rPr>
                <w:sz w:val="20"/>
                <w:szCs w:val="20"/>
              </w:rPr>
            </w:pPr>
            <w:r w:rsidRPr="00DC1EE4">
              <w:rPr>
                <w:sz w:val="20"/>
                <w:szCs w:val="20"/>
              </w:rPr>
              <w:t>2015</w:t>
            </w:r>
          </w:p>
        </w:tc>
        <w:tc>
          <w:tcPr>
            <w:tcW w:w="1119" w:type="dxa"/>
            <w:tcBorders>
              <w:top w:val="nil"/>
              <w:left w:val="nil"/>
              <w:bottom w:val="single" w:sz="6" w:space="0" w:color="auto"/>
              <w:right w:val="single" w:sz="6" w:space="0" w:color="auto"/>
            </w:tcBorders>
            <w:shd w:val="clear" w:color="000000" w:fill="000000"/>
          </w:tcPr>
          <w:p w:rsidR="0028027B" w:rsidRPr="00DC1EE4" w:rsidRDefault="0028027B" w:rsidP="00C03F9E">
            <w:pPr>
              <w:pStyle w:val="Tabletextheading"/>
              <w:spacing w:before="0" w:after="0"/>
              <w:rPr>
                <w:sz w:val="20"/>
                <w:szCs w:val="20"/>
              </w:rPr>
            </w:pPr>
            <w:r w:rsidRPr="00DC1EE4">
              <w:rPr>
                <w:sz w:val="20"/>
                <w:szCs w:val="20"/>
              </w:rPr>
              <w:t>2014</w:t>
            </w:r>
            <w:r w:rsidRPr="00DC1EE4">
              <w:rPr>
                <w:sz w:val="20"/>
                <w:szCs w:val="20"/>
                <w:vertAlign w:val="superscript"/>
              </w:rPr>
              <w:t>(a)</w:t>
            </w:r>
          </w:p>
        </w:tc>
      </w:tr>
      <w:tr w:rsidR="0028027B" w:rsidRPr="00DC1EE4" w:rsidTr="00C03F9E">
        <w:tc>
          <w:tcPr>
            <w:tcW w:w="4964" w:type="dxa"/>
            <w:tcBorders>
              <w:top w:val="single" w:sz="6" w:space="0" w:color="auto"/>
              <w:left w:val="nil"/>
              <w:bottom w:val="nil"/>
              <w:right w:val="nil"/>
            </w:tcBorders>
          </w:tcPr>
          <w:p w:rsidR="0028027B" w:rsidRPr="00DC1EE4" w:rsidRDefault="0028027B" w:rsidP="00C03F9E">
            <w:pPr>
              <w:pStyle w:val="Tabletext"/>
              <w:rPr>
                <w:b/>
                <w:szCs w:val="20"/>
              </w:rPr>
            </w:pPr>
            <w:r w:rsidRPr="00DC1EE4">
              <w:rPr>
                <w:b/>
                <w:szCs w:val="20"/>
              </w:rPr>
              <w:t>Cash flows from operating activities</w:t>
            </w:r>
          </w:p>
        </w:tc>
        <w:tc>
          <w:tcPr>
            <w:tcW w:w="740" w:type="dxa"/>
            <w:gridSpan w:val="2"/>
            <w:tcBorders>
              <w:top w:val="single" w:sz="6" w:space="0" w:color="auto"/>
              <w:left w:val="nil"/>
              <w:bottom w:val="nil"/>
              <w:right w:val="nil"/>
            </w:tcBorders>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single" w:sz="6" w:space="0" w:color="auto"/>
              <w:left w:val="nil"/>
              <w:bottom w:val="nil"/>
              <w:right w:val="nil"/>
            </w:tcBorders>
          </w:tcPr>
          <w:p w:rsidR="0028027B" w:rsidRPr="00DC1EE4" w:rsidRDefault="0028027B" w:rsidP="00C03F9E">
            <w:pPr>
              <w:pStyle w:val="TableofFigures"/>
              <w:spacing w:before="0" w:after="0"/>
              <w:rPr>
                <w:b/>
                <w:sz w:val="20"/>
                <w:szCs w:val="20"/>
              </w:rPr>
            </w:pPr>
            <w:r w:rsidRPr="00DC1EE4">
              <w:rPr>
                <w:b/>
                <w:sz w:val="20"/>
                <w:szCs w:val="20"/>
              </w:rPr>
              <w:t xml:space="preserve"> </w:t>
            </w:r>
          </w:p>
        </w:tc>
        <w:tc>
          <w:tcPr>
            <w:tcW w:w="1119" w:type="dxa"/>
            <w:tcBorders>
              <w:top w:val="single" w:sz="6" w:space="0" w:color="auto"/>
              <w:left w:val="nil"/>
              <w:bottom w:val="nil"/>
              <w:right w:val="nil"/>
            </w:tcBorders>
          </w:tcPr>
          <w:p w:rsidR="0028027B" w:rsidRPr="00DC1EE4" w:rsidRDefault="0028027B" w:rsidP="00C03F9E">
            <w:pPr>
              <w:pStyle w:val="TableofFigures"/>
              <w:spacing w:before="0" w:after="0"/>
              <w:rPr>
                <w:b/>
                <w:sz w:val="20"/>
                <w:szCs w:val="20"/>
              </w:rPr>
            </w:pPr>
            <w:r w:rsidRPr="00DC1EE4">
              <w:rPr>
                <w:b/>
                <w:sz w:val="20"/>
                <w:szCs w:val="20"/>
              </w:rPr>
              <w:t xml:space="preserve"> </w:t>
            </w:r>
          </w:p>
        </w:tc>
        <w:tc>
          <w:tcPr>
            <w:tcW w:w="1120" w:type="dxa"/>
            <w:gridSpan w:val="2"/>
            <w:tcBorders>
              <w:top w:val="single" w:sz="6" w:space="0" w:color="auto"/>
              <w:left w:val="nil"/>
              <w:bottom w:val="nil"/>
              <w:right w:val="nil"/>
            </w:tcBorders>
          </w:tcPr>
          <w:p w:rsidR="0028027B" w:rsidRPr="00DC1EE4" w:rsidRDefault="0028027B" w:rsidP="00C03F9E">
            <w:pPr>
              <w:pStyle w:val="TableofFigures"/>
              <w:spacing w:before="0" w:after="0"/>
              <w:rPr>
                <w:b/>
                <w:sz w:val="20"/>
                <w:szCs w:val="20"/>
              </w:rPr>
            </w:pPr>
            <w:r w:rsidRPr="00DC1EE4">
              <w:rPr>
                <w:b/>
                <w:sz w:val="20"/>
                <w:szCs w:val="20"/>
              </w:rPr>
              <w:t xml:space="preserve"> </w:t>
            </w:r>
          </w:p>
        </w:tc>
        <w:tc>
          <w:tcPr>
            <w:tcW w:w="1119" w:type="dxa"/>
            <w:tcBorders>
              <w:top w:val="single" w:sz="6" w:space="0" w:color="auto"/>
              <w:left w:val="nil"/>
              <w:bottom w:val="nil"/>
              <w:right w:val="nil"/>
            </w:tcBorders>
          </w:tcPr>
          <w:p w:rsidR="0028027B" w:rsidRPr="00DC1EE4" w:rsidRDefault="0028027B" w:rsidP="00C03F9E">
            <w:pPr>
              <w:pStyle w:val="TableofFigures"/>
              <w:spacing w:before="0" w:after="0"/>
              <w:rPr>
                <w:b/>
                <w:sz w:val="20"/>
                <w:szCs w:val="20"/>
              </w:rPr>
            </w:pPr>
            <w:r w:rsidRPr="00DC1EE4">
              <w:rPr>
                <w:b/>
                <w:sz w:val="20"/>
                <w:szCs w:val="20"/>
              </w:rPr>
              <w:t xml:space="preserve"> </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b/>
                <w:szCs w:val="20"/>
              </w:rPr>
            </w:pPr>
            <w:r w:rsidRPr="00DC1EE4">
              <w:rPr>
                <w:b/>
                <w:szCs w:val="20"/>
              </w:rPr>
              <w:t>Receipts</w:t>
            </w:r>
          </w:p>
        </w:tc>
        <w:tc>
          <w:tcPr>
            <w:tcW w:w="740" w:type="dxa"/>
            <w:gridSpan w:val="2"/>
            <w:tcBorders>
              <w:top w:val="nil"/>
              <w:left w:val="nil"/>
              <w:bottom w:val="nil"/>
              <w:right w:val="nil"/>
            </w:tcBorders>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b/>
                <w:sz w:val="20"/>
                <w:szCs w:val="20"/>
              </w:rPr>
            </w:pPr>
            <w:r w:rsidRPr="00DC1EE4">
              <w:rPr>
                <w:b/>
                <w:sz w:val="20"/>
                <w:szCs w:val="20"/>
              </w:rPr>
              <w:t xml:space="preserve"> </w:t>
            </w:r>
          </w:p>
        </w:tc>
        <w:tc>
          <w:tcPr>
            <w:tcW w:w="1119" w:type="dxa"/>
            <w:tcBorders>
              <w:top w:val="nil"/>
              <w:left w:val="nil"/>
              <w:bottom w:val="nil"/>
              <w:right w:val="nil"/>
            </w:tcBorders>
          </w:tcPr>
          <w:p w:rsidR="0028027B" w:rsidRPr="00DC1EE4" w:rsidRDefault="0028027B" w:rsidP="00C03F9E">
            <w:pPr>
              <w:pStyle w:val="TableofFigures"/>
              <w:rPr>
                <w:b/>
                <w:sz w:val="20"/>
                <w:szCs w:val="20"/>
              </w:rPr>
            </w:pPr>
            <w:r w:rsidRPr="00DC1EE4">
              <w:rPr>
                <w:b/>
                <w:sz w:val="20"/>
                <w:szCs w:val="20"/>
              </w:rPr>
              <w:t xml:space="preserve"> </w:t>
            </w:r>
          </w:p>
        </w:tc>
        <w:tc>
          <w:tcPr>
            <w:tcW w:w="112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rPr>
                <w:b/>
                <w:sz w:val="20"/>
                <w:szCs w:val="20"/>
              </w:rPr>
              <w:t xml:space="preserve"> </w:t>
            </w:r>
          </w:p>
        </w:tc>
        <w:tc>
          <w:tcPr>
            <w:tcW w:w="1119" w:type="dxa"/>
            <w:tcBorders>
              <w:top w:val="nil"/>
              <w:left w:val="nil"/>
              <w:bottom w:val="nil"/>
              <w:right w:val="nil"/>
            </w:tcBorders>
          </w:tcPr>
          <w:p w:rsidR="0028027B" w:rsidRPr="00DC1EE4" w:rsidRDefault="0028027B" w:rsidP="00C03F9E">
            <w:pPr>
              <w:pStyle w:val="TableofFigures"/>
              <w:rPr>
                <w:b/>
                <w:sz w:val="20"/>
                <w:szCs w:val="20"/>
              </w:rPr>
            </w:pPr>
            <w:r w:rsidRPr="00DC1EE4">
              <w:rPr>
                <w:b/>
                <w:sz w:val="20"/>
                <w:szCs w:val="20"/>
              </w:rPr>
              <w:t xml:space="preserve"> </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Taxes received</w:t>
            </w:r>
          </w:p>
        </w:tc>
        <w:tc>
          <w:tcPr>
            <w:tcW w:w="740" w:type="dxa"/>
            <w:gridSpan w:val="2"/>
            <w:tcBorders>
              <w:top w:val="nil"/>
              <w:left w:val="nil"/>
              <w:bottom w:val="nil"/>
              <w:right w:val="nil"/>
            </w:tcBorders>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9 702</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9 157</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9 935</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9 366</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Grants</w:t>
            </w:r>
          </w:p>
        </w:tc>
        <w:tc>
          <w:tcPr>
            <w:tcW w:w="740" w:type="dxa"/>
            <w:gridSpan w:val="2"/>
            <w:tcBorders>
              <w:top w:val="nil"/>
              <w:left w:val="nil"/>
              <w:bottom w:val="nil"/>
              <w:right w:val="nil"/>
            </w:tcBorders>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12 251</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11 660</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12 300</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11 720</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Sales of goods and services</w:t>
            </w:r>
            <w:r w:rsidRPr="00DC1EE4">
              <w:rPr>
                <w:szCs w:val="20"/>
                <w:vertAlign w:val="superscript"/>
              </w:rPr>
              <w:t>(b)</w:t>
            </w:r>
          </w:p>
        </w:tc>
        <w:tc>
          <w:tcPr>
            <w:tcW w:w="740" w:type="dxa"/>
            <w:gridSpan w:val="2"/>
            <w:tcBorders>
              <w:top w:val="nil"/>
              <w:left w:val="nil"/>
              <w:bottom w:val="nil"/>
              <w:right w:val="nil"/>
            </w:tcBorders>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8 557</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8 260</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3 527</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3 489</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Interest received</w:t>
            </w:r>
          </w:p>
        </w:tc>
        <w:tc>
          <w:tcPr>
            <w:tcW w:w="740" w:type="dxa"/>
            <w:gridSpan w:val="2"/>
            <w:tcBorders>
              <w:top w:val="nil"/>
              <w:left w:val="nil"/>
              <w:bottom w:val="nil"/>
              <w:right w:val="nil"/>
            </w:tcBorders>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265</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406</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372</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385</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ind w:left="256" w:hanging="256"/>
              <w:rPr>
                <w:szCs w:val="20"/>
              </w:rPr>
            </w:pPr>
            <w:r w:rsidRPr="00DC1EE4">
              <w:rPr>
                <w:szCs w:val="20"/>
              </w:rPr>
              <w:t>Dividends and income tax equivalent and rate equivalent receipts</w:t>
            </w:r>
          </w:p>
        </w:tc>
        <w:tc>
          <w:tcPr>
            <w:tcW w:w="740" w:type="dxa"/>
            <w:gridSpan w:val="2"/>
            <w:tcBorders>
              <w:top w:val="nil"/>
              <w:left w:val="nil"/>
              <w:bottom w:val="nil"/>
              <w:right w:val="nil"/>
            </w:tcBorders>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766</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503</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605</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676</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Other receipts</w:t>
            </w:r>
          </w:p>
        </w:tc>
        <w:tc>
          <w:tcPr>
            <w:tcW w:w="740" w:type="dxa"/>
            <w:gridSpan w:val="2"/>
            <w:tcBorders>
              <w:top w:val="nil"/>
              <w:left w:val="nil"/>
              <w:bottom w:val="single" w:sz="6" w:space="0" w:color="auto"/>
              <w:right w:val="nil"/>
            </w:tcBorders>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1 172</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1 204</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939</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1 004</w:t>
            </w:r>
          </w:p>
        </w:tc>
      </w:tr>
      <w:tr w:rsidR="0028027B" w:rsidRPr="00DC1EE4" w:rsidTr="00C03F9E">
        <w:tc>
          <w:tcPr>
            <w:tcW w:w="4964" w:type="dxa"/>
            <w:tcBorders>
              <w:top w:val="single" w:sz="6" w:space="0" w:color="auto"/>
              <w:left w:val="nil"/>
              <w:bottom w:val="nil"/>
              <w:right w:val="nil"/>
            </w:tcBorders>
          </w:tcPr>
          <w:p w:rsidR="0028027B" w:rsidRPr="00DC1EE4" w:rsidRDefault="0028027B" w:rsidP="00C03F9E">
            <w:pPr>
              <w:pStyle w:val="Tabletext"/>
              <w:rPr>
                <w:b/>
                <w:szCs w:val="20"/>
              </w:rPr>
            </w:pPr>
            <w:r w:rsidRPr="00DC1EE4">
              <w:rPr>
                <w:b/>
                <w:szCs w:val="20"/>
              </w:rPr>
              <w:t>Total receipts</w:t>
            </w:r>
          </w:p>
        </w:tc>
        <w:tc>
          <w:tcPr>
            <w:tcW w:w="740" w:type="dxa"/>
            <w:gridSpan w:val="2"/>
            <w:tcBorders>
              <w:top w:val="nil"/>
              <w:left w:val="nil"/>
              <w:bottom w:val="nil"/>
              <w:right w:val="nil"/>
            </w:tcBorders>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single" w:sz="6" w:space="0" w:color="auto"/>
              <w:left w:val="nil"/>
              <w:bottom w:val="nil"/>
              <w:right w:val="nil"/>
            </w:tcBorders>
          </w:tcPr>
          <w:p w:rsidR="0028027B" w:rsidRPr="00DC1EE4" w:rsidRDefault="0028027B" w:rsidP="00C03F9E">
            <w:pPr>
              <w:pStyle w:val="TableofFigures"/>
              <w:rPr>
                <w:b/>
                <w:sz w:val="20"/>
                <w:szCs w:val="20"/>
              </w:rPr>
            </w:pPr>
            <w:r w:rsidRPr="00DC1EE4">
              <w:rPr>
                <w:b/>
              </w:rPr>
              <w:t>32 712</w:t>
            </w:r>
          </w:p>
        </w:tc>
        <w:tc>
          <w:tcPr>
            <w:tcW w:w="1119" w:type="dxa"/>
            <w:tcBorders>
              <w:top w:val="single" w:sz="6" w:space="0" w:color="auto"/>
              <w:left w:val="nil"/>
              <w:bottom w:val="nil"/>
              <w:right w:val="nil"/>
            </w:tcBorders>
          </w:tcPr>
          <w:p w:rsidR="0028027B" w:rsidRPr="00DC1EE4" w:rsidRDefault="0028027B" w:rsidP="00C03F9E">
            <w:pPr>
              <w:pStyle w:val="TableofFigures"/>
              <w:rPr>
                <w:b/>
                <w:sz w:val="20"/>
                <w:szCs w:val="20"/>
              </w:rPr>
            </w:pPr>
            <w:r w:rsidRPr="00DC1EE4">
              <w:rPr>
                <w:b/>
              </w:rPr>
              <w:t>31 191</w:t>
            </w:r>
          </w:p>
        </w:tc>
        <w:tc>
          <w:tcPr>
            <w:tcW w:w="1120" w:type="dxa"/>
            <w:gridSpan w:val="2"/>
            <w:tcBorders>
              <w:top w:val="single" w:sz="6" w:space="0" w:color="auto"/>
              <w:left w:val="nil"/>
              <w:bottom w:val="nil"/>
              <w:right w:val="nil"/>
            </w:tcBorders>
          </w:tcPr>
          <w:p w:rsidR="0028027B" w:rsidRPr="00DC1EE4" w:rsidRDefault="0028027B" w:rsidP="00C03F9E">
            <w:pPr>
              <w:pStyle w:val="TableofFigures"/>
              <w:rPr>
                <w:b/>
                <w:sz w:val="20"/>
                <w:szCs w:val="20"/>
              </w:rPr>
            </w:pPr>
            <w:r w:rsidRPr="00DC1EE4">
              <w:rPr>
                <w:b/>
              </w:rPr>
              <w:t>27 677</w:t>
            </w:r>
          </w:p>
        </w:tc>
        <w:tc>
          <w:tcPr>
            <w:tcW w:w="1119" w:type="dxa"/>
            <w:tcBorders>
              <w:top w:val="single" w:sz="6" w:space="0" w:color="auto"/>
              <w:left w:val="nil"/>
              <w:bottom w:val="nil"/>
              <w:right w:val="nil"/>
            </w:tcBorders>
          </w:tcPr>
          <w:p w:rsidR="0028027B" w:rsidRPr="00DC1EE4" w:rsidRDefault="0028027B" w:rsidP="00C03F9E">
            <w:pPr>
              <w:pStyle w:val="TableofFigures"/>
              <w:rPr>
                <w:b/>
                <w:sz w:val="20"/>
                <w:szCs w:val="20"/>
              </w:rPr>
            </w:pPr>
            <w:r w:rsidRPr="00DC1EE4">
              <w:rPr>
                <w:b/>
              </w:rPr>
              <w:t>26 640</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b/>
                <w:szCs w:val="20"/>
              </w:rPr>
            </w:pPr>
            <w:r w:rsidRPr="00DC1EE4">
              <w:rPr>
                <w:b/>
                <w:szCs w:val="20"/>
              </w:rPr>
              <w:t>Payments</w:t>
            </w:r>
          </w:p>
        </w:tc>
        <w:tc>
          <w:tcPr>
            <w:tcW w:w="740" w:type="dxa"/>
            <w:gridSpan w:val="2"/>
            <w:tcBorders>
              <w:top w:val="nil"/>
              <w:left w:val="nil"/>
              <w:bottom w:val="nil"/>
              <w:right w:val="nil"/>
            </w:tcBorders>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1119" w:type="dxa"/>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112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c>
          <w:tcPr>
            <w:tcW w:w="1119" w:type="dxa"/>
            <w:tcBorders>
              <w:top w:val="nil"/>
              <w:left w:val="nil"/>
              <w:bottom w:val="nil"/>
              <w:right w:val="nil"/>
            </w:tcBorders>
          </w:tcPr>
          <w:p w:rsidR="0028027B" w:rsidRPr="00DC1EE4" w:rsidRDefault="0028027B" w:rsidP="00C03F9E">
            <w:pPr>
              <w:pStyle w:val="TableofFigures"/>
              <w:rPr>
                <w:b/>
                <w:sz w:val="20"/>
                <w:szCs w:val="20"/>
              </w:rPr>
            </w:pPr>
            <w:r w:rsidRPr="00DC1EE4">
              <w:t xml:space="preserve"> </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Payments for employees</w:t>
            </w:r>
          </w:p>
        </w:tc>
        <w:tc>
          <w:tcPr>
            <w:tcW w:w="740" w:type="dxa"/>
            <w:gridSpan w:val="2"/>
            <w:tcBorders>
              <w:top w:val="nil"/>
              <w:left w:val="nil"/>
              <w:bottom w:val="nil"/>
              <w:right w:val="nil"/>
            </w:tcBorders>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(10 135)</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(9 739)</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(9 622)</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(9 230)</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Superannuation</w:t>
            </w:r>
          </w:p>
        </w:tc>
        <w:tc>
          <w:tcPr>
            <w:tcW w:w="740" w:type="dxa"/>
            <w:gridSpan w:val="2"/>
            <w:tcBorders>
              <w:top w:val="nil"/>
              <w:left w:val="nil"/>
              <w:bottom w:val="nil"/>
              <w:right w:val="nil"/>
            </w:tcBorders>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(1 595)</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(1 481)</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(1 530)</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(1 420)</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Interest paid</w:t>
            </w:r>
          </w:p>
        </w:tc>
        <w:tc>
          <w:tcPr>
            <w:tcW w:w="740" w:type="dxa"/>
            <w:gridSpan w:val="2"/>
            <w:tcBorders>
              <w:top w:val="nil"/>
              <w:left w:val="nil"/>
              <w:bottom w:val="nil"/>
              <w:right w:val="nil"/>
            </w:tcBorders>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(1 365)</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(1 428)</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(1 031)</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(1 020)</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 xml:space="preserve">Grants and subsidies </w:t>
            </w:r>
          </w:p>
        </w:tc>
        <w:tc>
          <w:tcPr>
            <w:tcW w:w="740" w:type="dxa"/>
            <w:gridSpan w:val="2"/>
            <w:tcBorders>
              <w:top w:val="nil"/>
              <w:left w:val="nil"/>
              <w:bottom w:val="nil"/>
              <w:right w:val="nil"/>
            </w:tcBorders>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(2 875)</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(2 904)</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(4 336)</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(4 333)</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Goods and services</w:t>
            </w:r>
            <w:r w:rsidRPr="00DC1EE4">
              <w:rPr>
                <w:szCs w:val="20"/>
                <w:vertAlign w:val="superscript"/>
              </w:rPr>
              <w:t>(b)</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(12 648)</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(12 552)</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(8 966)</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(8 966)</w:t>
            </w:r>
          </w:p>
        </w:tc>
      </w:tr>
      <w:tr w:rsidR="0028027B" w:rsidRPr="00DC1EE4" w:rsidTr="00C03F9E">
        <w:tc>
          <w:tcPr>
            <w:tcW w:w="4964" w:type="dxa"/>
            <w:tcBorders>
              <w:top w:val="nil"/>
              <w:left w:val="nil"/>
              <w:bottom w:val="single" w:sz="6" w:space="0" w:color="auto"/>
              <w:right w:val="nil"/>
            </w:tcBorders>
          </w:tcPr>
          <w:p w:rsidR="0028027B" w:rsidRPr="00DC1EE4" w:rsidRDefault="0028027B" w:rsidP="00C03F9E">
            <w:pPr>
              <w:pStyle w:val="Tabletext"/>
              <w:rPr>
                <w:szCs w:val="20"/>
              </w:rPr>
            </w:pPr>
            <w:r w:rsidRPr="00DC1EE4">
              <w:rPr>
                <w:szCs w:val="20"/>
              </w:rPr>
              <w:t>Other payments</w:t>
            </w:r>
          </w:p>
        </w:tc>
        <w:tc>
          <w:tcPr>
            <w:tcW w:w="740" w:type="dxa"/>
            <w:gridSpan w:val="2"/>
            <w:tcBorders>
              <w:top w:val="nil"/>
              <w:left w:val="nil"/>
              <w:bottom w:val="single" w:sz="6" w:space="0" w:color="auto"/>
              <w:right w:val="nil"/>
            </w:tcBorders>
            <w:shd w:val="solid" w:color="FFFFFF" w:fill="auto"/>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(371)</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(341)</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(371)</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(339)</w:t>
            </w:r>
          </w:p>
        </w:tc>
      </w:tr>
      <w:tr w:rsidR="0028027B" w:rsidRPr="00DC1EE4" w:rsidTr="00C03F9E">
        <w:tc>
          <w:tcPr>
            <w:tcW w:w="4964" w:type="dxa"/>
            <w:tcBorders>
              <w:top w:val="nil"/>
              <w:left w:val="nil"/>
              <w:bottom w:val="single" w:sz="6" w:space="0" w:color="auto"/>
              <w:right w:val="nil"/>
            </w:tcBorders>
          </w:tcPr>
          <w:p w:rsidR="0028027B" w:rsidRPr="00DC1EE4" w:rsidRDefault="0028027B" w:rsidP="00C03F9E">
            <w:pPr>
              <w:pStyle w:val="Tabletext"/>
              <w:rPr>
                <w:b/>
                <w:szCs w:val="20"/>
              </w:rPr>
            </w:pPr>
            <w:r w:rsidRPr="00DC1EE4">
              <w:rPr>
                <w:b/>
                <w:szCs w:val="20"/>
              </w:rPr>
              <w:t>Total payments</w:t>
            </w:r>
          </w:p>
        </w:tc>
        <w:tc>
          <w:tcPr>
            <w:tcW w:w="740" w:type="dxa"/>
            <w:gridSpan w:val="2"/>
            <w:tcBorders>
              <w:top w:val="single" w:sz="6" w:space="0" w:color="auto"/>
              <w:left w:val="nil"/>
              <w:bottom w:val="single" w:sz="6" w:space="0" w:color="auto"/>
              <w:right w:val="nil"/>
            </w:tcBorders>
            <w:shd w:val="solid" w:color="FFFFFF" w:fill="auto"/>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single" w:sz="6" w:space="0" w:color="auto"/>
              <w:left w:val="nil"/>
              <w:bottom w:val="single" w:sz="6" w:space="0" w:color="auto"/>
              <w:right w:val="nil"/>
            </w:tcBorders>
          </w:tcPr>
          <w:p w:rsidR="0028027B" w:rsidRPr="00DC1EE4" w:rsidRDefault="0028027B" w:rsidP="00C03F9E">
            <w:pPr>
              <w:pStyle w:val="TableofFigures"/>
              <w:spacing w:before="0" w:after="0"/>
              <w:rPr>
                <w:b/>
                <w:sz w:val="20"/>
                <w:szCs w:val="20"/>
              </w:rPr>
            </w:pPr>
            <w:r w:rsidRPr="00DC1EE4">
              <w:rPr>
                <w:b/>
              </w:rPr>
              <w:t>(28 988)</w:t>
            </w:r>
          </w:p>
        </w:tc>
        <w:tc>
          <w:tcPr>
            <w:tcW w:w="1119" w:type="dxa"/>
            <w:tcBorders>
              <w:top w:val="single" w:sz="6" w:space="0" w:color="auto"/>
              <w:left w:val="nil"/>
              <w:bottom w:val="single" w:sz="6" w:space="0" w:color="auto"/>
              <w:right w:val="nil"/>
            </w:tcBorders>
          </w:tcPr>
          <w:p w:rsidR="0028027B" w:rsidRPr="00DC1EE4" w:rsidRDefault="0028027B" w:rsidP="00C03F9E">
            <w:pPr>
              <w:pStyle w:val="TableofFigures"/>
              <w:spacing w:before="0" w:after="0"/>
              <w:rPr>
                <w:b/>
                <w:sz w:val="20"/>
                <w:szCs w:val="20"/>
              </w:rPr>
            </w:pPr>
            <w:r w:rsidRPr="00DC1EE4">
              <w:rPr>
                <w:b/>
              </w:rPr>
              <w:t>(28 445)</w:t>
            </w:r>
          </w:p>
        </w:tc>
        <w:tc>
          <w:tcPr>
            <w:tcW w:w="1120" w:type="dxa"/>
            <w:gridSpan w:val="2"/>
            <w:tcBorders>
              <w:top w:val="single" w:sz="6" w:space="0" w:color="auto"/>
              <w:left w:val="nil"/>
              <w:bottom w:val="single" w:sz="6" w:space="0" w:color="auto"/>
              <w:right w:val="nil"/>
            </w:tcBorders>
          </w:tcPr>
          <w:p w:rsidR="0028027B" w:rsidRPr="00DC1EE4" w:rsidRDefault="0028027B" w:rsidP="00C03F9E">
            <w:pPr>
              <w:pStyle w:val="TableofFigures"/>
              <w:spacing w:before="0" w:after="0"/>
              <w:rPr>
                <w:b/>
                <w:sz w:val="20"/>
                <w:szCs w:val="20"/>
              </w:rPr>
            </w:pPr>
            <w:r w:rsidRPr="00DC1EE4">
              <w:rPr>
                <w:b/>
              </w:rPr>
              <w:t>(25 856)</w:t>
            </w:r>
          </w:p>
        </w:tc>
        <w:tc>
          <w:tcPr>
            <w:tcW w:w="1119" w:type="dxa"/>
            <w:tcBorders>
              <w:top w:val="single" w:sz="6" w:space="0" w:color="auto"/>
              <w:left w:val="nil"/>
              <w:bottom w:val="single" w:sz="6" w:space="0" w:color="auto"/>
              <w:right w:val="nil"/>
            </w:tcBorders>
          </w:tcPr>
          <w:p w:rsidR="0028027B" w:rsidRPr="00DC1EE4" w:rsidRDefault="0028027B" w:rsidP="00C03F9E">
            <w:pPr>
              <w:pStyle w:val="TableofFigures"/>
              <w:spacing w:before="0" w:after="0"/>
              <w:rPr>
                <w:b/>
                <w:sz w:val="20"/>
                <w:szCs w:val="20"/>
              </w:rPr>
            </w:pPr>
            <w:r w:rsidRPr="00DC1EE4">
              <w:rPr>
                <w:b/>
              </w:rPr>
              <w:t>(25 308)</w:t>
            </w:r>
          </w:p>
        </w:tc>
      </w:tr>
      <w:tr w:rsidR="0028027B" w:rsidRPr="00DC1EE4" w:rsidTr="00C03F9E">
        <w:tc>
          <w:tcPr>
            <w:tcW w:w="4964" w:type="dxa"/>
            <w:tcBorders>
              <w:top w:val="single" w:sz="6" w:space="0" w:color="auto"/>
              <w:left w:val="nil"/>
              <w:bottom w:val="nil"/>
              <w:right w:val="nil"/>
            </w:tcBorders>
          </w:tcPr>
          <w:p w:rsidR="0028027B" w:rsidRPr="00DC1EE4" w:rsidRDefault="0028027B" w:rsidP="00C03F9E">
            <w:pPr>
              <w:pStyle w:val="Tabletext"/>
              <w:rPr>
                <w:b/>
                <w:szCs w:val="20"/>
              </w:rPr>
            </w:pPr>
            <w:r w:rsidRPr="00DC1EE4">
              <w:rPr>
                <w:b/>
                <w:szCs w:val="20"/>
              </w:rPr>
              <w:t>Net cash flows from operating activities</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b/>
                <w:szCs w:val="20"/>
              </w:rPr>
            </w:pPr>
            <w:r w:rsidRPr="00DC1EE4">
              <w:rPr>
                <w:b/>
                <w:szCs w:val="20"/>
              </w:rPr>
              <w:t>27b</w:t>
            </w:r>
          </w:p>
        </w:tc>
        <w:tc>
          <w:tcPr>
            <w:tcW w:w="1125"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3 724</w:t>
            </w: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2 746</w:t>
            </w:r>
          </w:p>
        </w:tc>
        <w:tc>
          <w:tcPr>
            <w:tcW w:w="1120"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1 821</w:t>
            </w: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1 332</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b/>
                <w:szCs w:val="20"/>
              </w:rPr>
            </w:pPr>
            <w:r w:rsidRPr="00DC1EE4">
              <w:rPr>
                <w:b/>
                <w:szCs w:val="20"/>
              </w:rPr>
              <w:t>Cash flows from investing activities</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t xml:space="preserve"> </w:t>
            </w: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t xml:space="preserve"> </w:t>
            </w:r>
          </w:p>
        </w:tc>
        <w:tc>
          <w:tcPr>
            <w:tcW w:w="1120"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t xml:space="preserve"> </w:t>
            </w: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t xml:space="preserve"> </w:t>
            </w: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Purchases of non</w:t>
            </w:r>
            <w:r w:rsidR="005A4BB0">
              <w:rPr>
                <w:szCs w:val="20"/>
              </w:rPr>
              <w:noBreakHyphen/>
            </w:r>
            <w:r w:rsidRPr="00DC1EE4">
              <w:rPr>
                <w:szCs w:val="20"/>
              </w:rPr>
              <w:t>financial assets</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(3 266)</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(3 226)</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(2 037)</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(2 118)</w:t>
            </w:r>
          </w:p>
        </w:tc>
      </w:tr>
      <w:tr w:rsidR="0028027B" w:rsidRPr="00DC1EE4" w:rsidTr="00C03F9E">
        <w:tc>
          <w:tcPr>
            <w:tcW w:w="4964" w:type="dxa"/>
            <w:tcBorders>
              <w:top w:val="nil"/>
              <w:left w:val="nil"/>
              <w:bottom w:val="single" w:sz="6" w:space="0" w:color="auto"/>
              <w:right w:val="nil"/>
            </w:tcBorders>
          </w:tcPr>
          <w:p w:rsidR="0028027B" w:rsidRPr="00DC1EE4" w:rsidRDefault="0028027B" w:rsidP="00C03F9E">
            <w:pPr>
              <w:pStyle w:val="Tabletext"/>
              <w:rPr>
                <w:szCs w:val="20"/>
              </w:rPr>
            </w:pPr>
            <w:r w:rsidRPr="00DC1EE4">
              <w:rPr>
                <w:szCs w:val="20"/>
              </w:rPr>
              <w:t>Sales of non</w:t>
            </w:r>
            <w:r w:rsidR="005A4BB0">
              <w:rPr>
                <w:szCs w:val="20"/>
              </w:rPr>
              <w:noBreakHyphen/>
            </w:r>
            <w:r w:rsidRPr="00DC1EE4">
              <w:rPr>
                <w:szCs w:val="20"/>
              </w:rPr>
              <w:t>financial assets</w:t>
            </w:r>
          </w:p>
        </w:tc>
        <w:tc>
          <w:tcPr>
            <w:tcW w:w="740" w:type="dxa"/>
            <w:gridSpan w:val="2"/>
            <w:tcBorders>
              <w:top w:val="nil"/>
              <w:left w:val="nil"/>
              <w:bottom w:val="single" w:sz="6" w:space="0" w:color="auto"/>
              <w:right w:val="nil"/>
            </w:tcBorders>
            <w:shd w:val="solid" w:color="FFFFFF" w:fill="auto"/>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t>220</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t>238</w:t>
            </w:r>
          </w:p>
        </w:tc>
        <w:tc>
          <w:tcPr>
            <w:tcW w:w="1120"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t>73</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t>122</w:t>
            </w:r>
          </w:p>
        </w:tc>
      </w:tr>
      <w:tr w:rsidR="0028027B" w:rsidRPr="00DC1EE4" w:rsidTr="00C03F9E">
        <w:tc>
          <w:tcPr>
            <w:tcW w:w="4964" w:type="dxa"/>
            <w:tcBorders>
              <w:top w:val="nil"/>
              <w:left w:val="nil"/>
              <w:right w:val="nil"/>
            </w:tcBorders>
          </w:tcPr>
          <w:p w:rsidR="0028027B" w:rsidRPr="00DC1EE4" w:rsidRDefault="0028027B" w:rsidP="00C03F9E">
            <w:pPr>
              <w:pStyle w:val="Tabletext"/>
              <w:rPr>
                <w:b/>
                <w:szCs w:val="20"/>
              </w:rPr>
            </w:pPr>
            <w:r w:rsidRPr="00DC1EE4">
              <w:rPr>
                <w:b/>
                <w:szCs w:val="20"/>
              </w:rPr>
              <w:t>Cash flows from investments in non</w:t>
            </w:r>
            <w:r w:rsidR="005A4BB0">
              <w:rPr>
                <w:b/>
                <w:szCs w:val="20"/>
              </w:rPr>
              <w:noBreakHyphen/>
            </w:r>
            <w:r w:rsidRPr="00DC1EE4">
              <w:rPr>
                <w:b/>
                <w:szCs w:val="20"/>
              </w:rPr>
              <w:t>financial assets</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b/>
                <w:sz w:val="20"/>
                <w:szCs w:val="20"/>
              </w:rPr>
            </w:pPr>
            <w:r w:rsidRPr="00DC1EE4">
              <w:rPr>
                <w:b/>
              </w:rPr>
              <w:t>(3 046)</w:t>
            </w:r>
          </w:p>
        </w:tc>
        <w:tc>
          <w:tcPr>
            <w:tcW w:w="1119" w:type="dxa"/>
            <w:tcBorders>
              <w:top w:val="nil"/>
              <w:left w:val="nil"/>
              <w:bottom w:val="nil"/>
              <w:right w:val="nil"/>
            </w:tcBorders>
          </w:tcPr>
          <w:p w:rsidR="0028027B" w:rsidRPr="00DC1EE4" w:rsidRDefault="0028027B" w:rsidP="00C03F9E">
            <w:pPr>
              <w:pStyle w:val="TableofFigures"/>
              <w:rPr>
                <w:b/>
                <w:sz w:val="20"/>
                <w:szCs w:val="20"/>
              </w:rPr>
            </w:pPr>
            <w:r w:rsidRPr="00DC1EE4">
              <w:rPr>
                <w:b/>
              </w:rPr>
              <w:t>(2 989)</w:t>
            </w:r>
          </w:p>
        </w:tc>
        <w:tc>
          <w:tcPr>
            <w:tcW w:w="1120" w:type="dxa"/>
            <w:gridSpan w:val="2"/>
            <w:tcBorders>
              <w:top w:val="nil"/>
              <w:left w:val="nil"/>
              <w:bottom w:val="nil"/>
              <w:right w:val="nil"/>
            </w:tcBorders>
          </w:tcPr>
          <w:p w:rsidR="0028027B" w:rsidRPr="00DC1EE4" w:rsidRDefault="0028027B" w:rsidP="00C03F9E">
            <w:pPr>
              <w:pStyle w:val="TableofFigures"/>
              <w:rPr>
                <w:b/>
                <w:sz w:val="20"/>
                <w:szCs w:val="20"/>
              </w:rPr>
            </w:pPr>
            <w:r w:rsidRPr="00DC1EE4">
              <w:rPr>
                <w:b/>
              </w:rPr>
              <w:t>(1 964)</w:t>
            </w:r>
          </w:p>
        </w:tc>
        <w:tc>
          <w:tcPr>
            <w:tcW w:w="1119" w:type="dxa"/>
            <w:tcBorders>
              <w:top w:val="nil"/>
              <w:left w:val="nil"/>
              <w:bottom w:val="nil"/>
              <w:right w:val="nil"/>
            </w:tcBorders>
          </w:tcPr>
          <w:p w:rsidR="0028027B" w:rsidRPr="00DC1EE4" w:rsidRDefault="0028027B" w:rsidP="00C03F9E">
            <w:pPr>
              <w:pStyle w:val="TableofFigures"/>
              <w:rPr>
                <w:b/>
                <w:sz w:val="20"/>
                <w:szCs w:val="20"/>
              </w:rPr>
            </w:pPr>
            <w:r w:rsidRPr="00DC1EE4">
              <w:rPr>
                <w:b/>
              </w:rPr>
              <w:t>(1 996)</w:t>
            </w:r>
          </w:p>
        </w:tc>
      </w:tr>
      <w:tr w:rsidR="0028027B" w:rsidRPr="00DC1EE4" w:rsidTr="00C03F9E">
        <w:tc>
          <w:tcPr>
            <w:tcW w:w="5531" w:type="dxa"/>
            <w:gridSpan w:val="2"/>
            <w:tcBorders>
              <w:top w:val="nil"/>
              <w:left w:val="nil"/>
              <w:bottom w:val="nil"/>
              <w:right w:val="nil"/>
            </w:tcBorders>
            <w:shd w:val="clear" w:color="FFFF00" w:fill="auto"/>
          </w:tcPr>
          <w:p w:rsidR="0028027B" w:rsidRPr="00DC1EE4" w:rsidRDefault="0028027B" w:rsidP="00C03F9E">
            <w:pPr>
              <w:pStyle w:val="Tabletext"/>
              <w:rPr>
                <w:b/>
                <w:szCs w:val="20"/>
              </w:rPr>
            </w:pPr>
            <w:r w:rsidRPr="00DC1EE4">
              <w:rPr>
                <w:b/>
                <w:szCs w:val="20"/>
              </w:rPr>
              <w:t>Cash flows from investments in financial assets for policy purposes</w:t>
            </w:r>
          </w:p>
        </w:tc>
        <w:tc>
          <w:tcPr>
            <w:tcW w:w="173" w:type="dxa"/>
            <w:tcBorders>
              <w:top w:val="nil"/>
              <w:left w:val="nil"/>
              <w:bottom w:val="nil"/>
              <w:right w:val="nil"/>
            </w:tcBorders>
            <w:shd w:val="solid" w:color="FFFFFF" w:fill="auto"/>
          </w:tcPr>
          <w:p w:rsidR="0028027B" w:rsidRPr="00DC1EE4" w:rsidRDefault="0028027B" w:rsidP="00C03F9E">
            <w:pPr>
              <w:pStyle w:val="TableTextCentred"/>
              <w:spacing w:before="0" w:after="0"/>
              <w:rPr>
                <w:b/>
                <w:szCs w:val="20"/>
              </w:rPr>
            </w:pPr>
          </w:p>
        </w:tc>
        <w:tc>
          <w:tcPr>
            <w:tcW w:w="1125"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t xml:space="preserve"> </w:t>
            </w: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t xml:space="preserve"> </w:t>
            </w:r>
          </w:p>
        </w:tc>
        <w:tc>
          <w:tcPr>
            <w:tcW w:w="1120"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t xml:space="preserve"> </w:t>
            </w: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t xml:space="preserve"> </w:t>
            </w:r>
          </w:p>
        </w:tc>
      </w:tr>
      <w:tr w:rsidR="0028027B" w:rsidRPr="00DC1EE4" w:rsidTr="00C03F9E">
        <w:tc>
          <w:tcPr>
            <w:tcW w:w="4964" w:type="dxa"/>
            <w:tcBorders>
              <w:top w:val="nil"/>
              <w:left w:val="nil"/>
              <w:right w:val="nil"/>
            </w:tcBorders>
            <w:shd w:val="clear" w:color="FFFF00" w:fill="auto"/>
          </w:tcPr>
          <w:p w:rsidR="0028027B" w:rsidRPr="00DC1EE4" w:rsidRDefault="0028027B" w:rsidP="00C03F9E">
            <w:pPr>
              <w:pStyle w:val="Tabletext"/>
              <w:rPr>
                <w:szCs w:val="20"/>
              </w:rPr>
            </w:pPr>
            <w:r w:rsidRPr="00DC1EE4">
              <w:rPr>
                <w:szCs w:val="20"/>
              </w:rPr>
              <w:t>Cash inflows</w:t>
            </w:r>
          </w:p>
        </w:tc>
        <w:tc>
          <w:tcPr>
            <w:tcW w:w="740" w:type="dxa"/>
            <w:gridSpan w:val="2"/>
            <w:tcBorders>
              <w:top w:val="nil"/>
              <w:left w:val="nil"/>
              <w:right w:val="nil"/>
            </w:tcBorders>
            <w:shd w:val="solid" w:color="FFFFFF" w:fill="auto"/>
          </w:tcPr>
          <w:p w:rsidR="0028027B" w:rsidRPr="00DC1EE4" w:rsidRDefault="0028027B" w:rsidP="00C03F9E">
            <w:pPr>
              <w:pStyle w:val="TableTextCentred"/>
              <w:rPr>
                <w:szCs w:val="20"/>
              </w:rPr>
            </w:pPr>
          </w:p>
        </w:tc>
        <w:tc>
          <w:tcPr>
            <w:tcW w:w="1125" w:type="dxa"/>
            <w:gridSpan w:val="2"/>
            <w:tcBorders>
              <w:top w:val="nil"/>
              <w:left w:val="nil"/>
              <w:right w:val="nil"/>
            </w:tcBorders>
          </w:tcPr>
          <w:p w:rsidR="0028027B" w:rsidRPr="00DC1EE4" w:rsidRDefault="0028027B" w:rsidP="00C03F9E">
            <w:pPr>
              <w:pStyle w:val="TableofFigures"/>
              <w:rPr>
                <w:sz w:val="20"/>
                <w:szCs w:val="20"/>
              </w:rPr>
            </w:pPr>
            <w:r w:rsidRPr="00DC1EE4">
              <w:t>97</w:t>
            </w:r>
          </w:p>
        </w:tc>
        <w:tc>
          <w:tcPr>
            <w:tcW w:w="1119" w:type="dxa"/>
            <w:tcBorders>
              <w:top w:val="nil"/>
              <w:left w:val="nil"/>
              <w:right w:val="nil"/>
            </w:tcBorders>
          </w:tcPr>
          <w:p w:rsidR="0028027B" w:rsidRPr="00DC1EE4" w:rsidRDefault="0028027B" w:rsidP="00C03F9E">
            <w:pPr>
              <w:pStyle w:val="TableofFigures"/>
              <w:rPr>
                <w:sz w:val="20"/>
                <w:szCs w:val="20"/>
              </w:rPr>
            </w:pPr>
            <w:r w:rsidRPr="00DC1EE4">
              <w:t>1 736</w:t>
            </w:r>
          </w:p>
        </w:tc>
        <w:tc>
          <w:tcPr>
            <w:tcW w:w="1120" w:type="dxa"/>
            <w:gridSpan w:val="2"/>
            <w:tcBorders>
              <w:top w:val="nil"/>
              <w:left w:val="nil"/>
              <w:right w:val="nil"/>
            </w:tcBorders>
          </w:tcPr>
          <w:p w:rsidR="0028027B" w:rsidRPr="00DC1EE4" w:rsidRDefault="0028027B" w:rsidP="00C03F9E">
            <w:pPr>
              <w:pStyle w:val="TableofFigures"/>
              <w:rPr>
                <w:sz w:val="20"/>
                <w:szCs w:val="20"/>
              </w:rPr>
            </w:pPr>
            <w:r w:rsidRPr="00DC1EE4">
              <w:t>52</w:t>
            </w:r>
          </w:p>
        </w:tc>
        <w:tc>
          <w:tcPr>
            <w:tcW w:w="1119" w:type="dxa"/>
            <w:tcBorders>
              <w:top w:val="nil"/>
              <w:left w:val="nil"/>
              <w:right w:val="nil"/>
            </w:tcBorders>
          </w:tcPr>
          <w:p w:rsidR="0028027B" w:rsidRPr="00DC1EE4" w:rsidRDefault="0028027B" w:rsidP="00C03F9E">
            <w:pPr>
              <w:pStyle w:val="TableofFigures"/>
              <w:rPr>
                <w:sz w:val="20"/>
                <w:szCs w:val="20"/>
              </w:rPr>
            </w:pPr>
            <w:r w:rsidRPr="00DC1EE4">
              <w:t>333</w:t>
            </w:r>
          </w:p>
        </w:tc>
      </w:tr>
      <w:tr w:rsidR="0028027B" w:rsidRPr="00DC1EE4" w:rsidTr="00C03F9E">
        <w:tc>
          <w:tcPr>
            <w:tcW w:w="4964" w:type="dxa"/>
            <w:tcBorders>
              <w:top w:val="nil"/>
              <w:left w:val="nil"/>
              <w:bottom w:val="single" w:sz="6" w:space="0" w:color="auto"/>
              <w:right w:val="nil"/>
            </w:tcBorders>
            <w:shd w:val="clear" w:color="FFFF00" w:fill="auto"/>
          </w:tcPr>
          <w:p w:rsidR="0028027B" w:rsidRPr="00DC1EE4" w:rsidRDefault="0028027B" w:rsidP="00C03F9E">
            <w:pPr>
              <w:pStyle w:val="Tabletext"/>
              <w:rPr>
                <w:szCs w:val="20"/>
              </w:rPr>
            </w:pPr>
            <w:r w:rsidRPr="00DC1EE4">
              <w:rPr>
                <w:szCs w:val="20"/>
              </w:rPr>
              <w:t>Cash outflows</w:t>
            </w:r>
          </w:p>
        </w:tc>
        <w:tc>
          <w:tcPr>
            <w:tcW w:w="740" w:type="dxa"/>
            <w:gridSpan w:val="2"/>
            <w:tcBorders>
              <w:top w:val="nil"/>
              <w:left w:val="nil"/>
              <w:bottom w:val="single" w:sz="6" w:space="0" w:color="auto"/>
              <w:right w:val="nil"/>
            </w:tcBorders>
            <w:shd w:val="solid" w:color="FFFFFF" w:fill="auto"/>
          </w:tcPr>
          <w:p w:rsidR="0028027B" w:rsidRPr="00DC1EE4" w:rsidRDefault="0028027B" w:rsidP="00C03F9E">
            <w:pPr>
              <w:pStyle w:val="TableTextCentred"/>
              <w:rPr>
                <w:szCs w:val="20"/>
              </w:rPr>
            </w:pPr>
          </w:p>
        </w:tc>
        <w:tc>
          <w:tcPr>
            <w:tcW w:w="1125"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t>(9)</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t>(6)</w:t>
            </w:r>
          </w:p>
        </w:tc>
        <w:tc>
          <w:tcPr>
            <w:tcW w:w="1120"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t>(241)</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t>(289)</w:t>
            </w:r>
          </w:p>
        </w:tc>
      </w:tr>
      <w:tr w:rsidR="0028027B" w:rsidRPr="00DC1EE4" w:rsidTr="00C03F9E">
        <w:tc>
          <w:tcPr>
            <w:tcW w:w="4964" w:type="dxa"/>
            <w:tcBorders>
              <w:top w:val="single" w:sz="6" w:space="0" w:color="auto"/>
              <w:left w:val="nil"/>
              <w:bottom w:val="single" w:sz="6" w:space="0" w:color="auto"/>
              <w:right w:val="nil"/>
            </w:tcBorders>
            <w:shd w:val="solid" w:color="FFFFFF" w:fill="auto"/>
          </w:tcPr>
          <w:p w:rsidR="0028027B" w:rsidRPr="00DC1EE4" w:rsidRDefault="0028027B" w:rsidP="00C03F9E">
            <w:pPr>
              <w:pStyle w:val="Tabletext"/>
              <w:ind w:left="256" w:hanging="256"/>
              <w:rPr>
                <w:szCs w:val="20"/>
              </w:rPr>
            </w:pPr>
            <w:r w:rsidRPr="00DC1EE4">
              <w:rPr>
                <w:szCs w:val="20"/>
              </w:rPr>
              <w:t>Net cash flows from investments in financial assets for policy purposes</w:t>
            </w:r>
            <w:r w:rsidRPr="00DC1EE4">
              <w:rPr>
                <w:szCs w:val="20"/>
                <w:vertAlign w:val="superscript"/>
              </w:rPr>
              <w:t>(c)</w:t>
            </w:r>
          </w:p>
        </w:tc>
        <w:tc>
          <w:tcPr>
            <w:tcW w:w="740" w:type="dxa"/>
            <w:gridSpan w:val="2"/>
            <w:tcBorders>
              <w:top w:val="single" w:sz="6" w:space="0" w:color="auto"/>
              <w:left w:val="nil"/>
              <w:bottom w:val="single" w:sz="6" w:space="0" w:color="auto"/>
              <w:right w:val="nil"/>
            </w:tcBorders>
            <w:shd w:val="solid" w:color="FFFFFF" w:fill="auto"/>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single" w:sz="6" w:space="0" w:color="auto"/>
              <w:left w:val="nil"/>
              <w:bottom w:val="single" w:sz="6" w:space="0" w:color="auto"/>
              <w:right w:val="nil"/>
            </w:tcBorders>
          </w:tcPr>
          <w:p w:rsidR="0028027B" w:rsidRPr="00DC1EE4" w:rsidRDefault="0028027B" w:rsidP="00C03F9E">
            <w:pPr>
              <w:pStyle w:val="TableofFigures"/>
              <w:rPr>
                <w:sz w:val="20"/>
                <w:szCs w:val="20"/>
              </w:rPr>
            </w:pPr>
            <w:r w:rsidRPr="00DC1EE4">
              <w:t>88</w:t>
            </w:r>
          </w:p>
        </w:tc>
        <w:tc>
          <w:tcPr>
            <w:tcW w:w="1119" w:type="dxa"/>
            <w:tcBorders>
              <w:top w:val="single" w:sz="6" w:space="0" w:color="auto"/>
              <w:left w:val="nil"/>
              <w:bottom w:val="single" w:sz="6" w:space="0" w:color="auto"/>
              <w:right w:val="nil"/>
            </w:tcBorders>
          </w:tcPr>
          <w:p w:rsidR="0028027B" w:rsidRPr="00DC1EE4" w:rsidRDefault="0028027B" w:rsidP="00C03F9E">
            <w:pPr>
              <w:pStyle w:val="TableofFigures"/>
              <w:rPr>
                <w:sz w:val="20"/>
                <w:szCs w:val="20"/>
              </w:rPr>
            </w:pPr>
            <w:r w:rsidRPr="00DC1EE4">
              <w:t>1 729</w:t>
            </w:r>
          </w:p>
        </w:tc>
        <w:tc>
          <w:tcPr>
            <w:tcW w:w="1120" w:type="dxa"/>
            <w:gridSpan w:val="2"/>
            <w:tcBorders>
              <w:top w:val="single" w:sz="6" w:space="0" w:color="auto"/>
              <w:left w:val="nil"/>
              <w:bottom w:val="single" w:sz="6" w:space="0" w:color="auto"/>
              <w:right w:val="nil"/>
            </w:tcBorders>
          </w:tcPr>
          <w:p w:rsidR="0028027B" w:rsidRPr="00DC1EE4" w:rsidRDefault="0028027B" w:rsidP="00C03F9E">
            <w:pPr>
              <w:pStyle w:val="TableofFigures"/>
              <w:rPr>
                <w:sz w:val="20"/>
                <w:szCs w:val="20"/>
              </w:rPr>
            </w:pPr>
            <w:r w:rsidRPr="00DC1EE4">
              <w:t>(190)</w:t>
            </w:r>
          </w:p>
        </w:tc>
        <w:tc>
          <w:tcPr>
            <w:tcW w:w="1119" w:type="dxa"/>
            <w:tcBorders>
              <w:top w:val="single" w:sz="6" w:space="0" w:color="auto"/>
              <w:left w:val="nil"/>
              <w:bottom w:val="single" w:sz="6" w:space="0" w:color="auto"/>
              <w:right w:val="nil"/>
            </w:tcBorders>
          </w:tcPr>
          <w:p w:rsidR="0028027B" w:rsidRPr="00DC1EE4" w:rsidRDefault="0028027B" w:rsidP="00C03F9E">
            <w:pPr>
              <w:pStyle w:val="TableofFigures"/>
              <w:rPr>
                <w:sz w:val="20"/>
                <w:szCs w:val="20"/>
              </w:rPr>
            </w:pPr>
            <w:r w:rsidRPr="00DC1EE4">
              <w:t>44</w:t>
            </w:r>
          </w:p>
        </w:tc>
      </w:tr>
      <w:tr w:rsidR="0028027B" w:rsidRPr="00DC1EE4" w:rsidTr="00C03F9E">
        <w:tc>
          <w:tcPr>
            <w:tcW w:w="4964" w:type="dxa"/>
            <w:tcBorders>
              <w:top w:val="nil"/>
              <w:left w:val="nil"/>
              <w:bottom w:val="nil"/>
              <w:right w:val="nil"/>
            </w:tcBorders>
            <w:shd w:val="solid" w:color="FFFFFF" w:fill="auto"/>
          </w:tcPr>
          <w:p w:rsidR="0028027B" w:rsidRPr="00DC1EE4" w:rsidRDefault="0028027B" w:rsidP="00C03F9E">
            <w:pPr>
              <w:pStyle w:val="Tabletext"/>
              <w:tabs>
                <w:tab w:val="left" w:pos="1800"/>
              </w:tabs>
              <w:rPr>
                <w:b/>
                <w:szCs w:val="20"/>
              </w:rPr>
            </w:pPr>
            <w:r w:rsidRPr="00DC1EE4">
              <w:rPr>
                <w:b/>
                <w:szCs w:val="20"/>
              </w:rPr>
              <w:t>Sub</w:t>
            </w:r>
            <w:r w:rsidR="005A4BB0">
              <w:rPr>
                <w:b/>
                <w:szCs w:val="20"/>
              </w:rPr>
              <w:noBreakHyphen/>
            </w:r>
            <w:r w:rsidRPr="00DC1EE4">
              <w:rPr>
                <w:b/>
                <w:szCs w:val="20"/>
              </w:rPr>
              <w:t>total</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(2 958)</w:t>
            </w: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(1 259)</w:t>
            </w:r>
          </w:p>
        </w:tc>
        <w:tc>
          <w:tcPr>
            <w:tcW w:w="1120"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(2 153)</w:t>
            </w: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(1 952)</w:t>
            </w:r>
          </w:p>
        </w:tc>
      </w:tr>
      <w:tr w:rsidR="0028027B" w:rsidRPr="00DC1EE4" w:rsidTr="00C03F9E">
        <w:tc>
          <w:tcPr>
            <w:tcW w:w="4964" w:type="dxa"/>
            <w:tcBorders>
              <w:top w:val="nil"/>
              <w:left w:val="nil"/>
              <w:bottom w:val="single" w:sz="6" w:space="0" w:color="auto"/>
              <w:right w:val="nil"/>
            </w:tcBorders>
          </w:tcPr>
          <w:p w:rsidR="0028027B" w:rsidRPr="00DC1EE4" w:rsidRDefault="0028027B" w:rsidP="00C03F9E">
            <w:pPr>
              <w:pStyle w:val="Tabletext"/>
              <w:ind w:left="256" w:hanging="256"/>
              <w:rPr>
                <w:szCs w:val="20"/>
              </w:rPr>
            </w:pPr>
            <w:r w:rsidRPr="00DC1EE4">
              <w:rPr>
                <w:szCs w:val="20"/>
              </w:rPr>
              <w:t>Net cash flows from investments in financial assets for liquidity management purposes</w:t>
            </w:r>
          </w:p>
        </w:tc>
        <w:tc>
          <w:tcPr>
            <w:tcW w:w="740" w:type="dxa"/>
            <w:gridSpan w:val="2"/>
            <w:tcBorders>
              <w:top w:val="nil"/>
              <w:left w:val="nil"/>
              <w:bottom w:val="single" w:sz="6" w:space="0" w:color="auto"/>
              <w:right w:val="nil"/>
            </w:tcBorders>
            <w:shd w:val="solid" w:color="FFFFFF" w:fill="auto"/>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t>(1 447)</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t>(1 312)</w:t>
            </w:r>
          </w:p>
        </w:tc>
        <w:tc>
          <w:tcPr>
            <w:tcW w:w="1120"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t>(33)</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t>(316)</w:t>
            </w:r>
          </w:p>
        </w:tc>
      </w:tr>
      <w:tr w:rsidR="0028027B" w:rsidRPr="00DC1EE4" w:rsidTr="00C03F9E">
        <w:tc>
          <w:tcPr>
            <w:tcW w:w="4964" w:type="dxa"/>
            <w:tcBorders>
              <w:top w:val="single" w:sz="6" w:space="0" w:color="auto"/>
              <w:left w:val="nil"/>
              <w:bottom w:val="nil"/>
              <w:right w:val="nil"/>
            </w:tcBorders>
          </w:tcPr>
          <w:p w:rsidR="0028027B" w:rsidRPr="00DC1EE4" w:rsidRDefault="0028027B" w:rsidP="00C03F9E">
            <w:pPr>
              <w:pStyle w:val="Tabletext"/>
              <w:rPr>
                <w:b/>
                <w:szCs w:val="20"/>
              </w:rPr>
            </w:pPr>
            <w:r w:rsidRPr="00DC1EE4">
              <w:rPr>
                <w:b/>
                <w:szCs w:val="20"/>
              </w:rPr>
              <w:t>Net cash flows from investing activities</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(4 405)</w:t>
            </w: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(2 571)</w:t>
            </w:r>
          </w:p>
        </w:tc>
        <w:tc>
          <w:tcPr>
            <w:tcW w:w="1120"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(2 187)</w:t>
            </w: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r w:rsidRPr="00DC1EE4">
              <w:rPr>
                <w:b/>
              </w:rPr>
              <w:t>(2 268)</w:t>
            </w:r>
          </w:p>
        </w:tc>
      </w:tr>
      <w:tr w:rsidR="0028027B" w:rsidRPr="00DC1EE4" w:rsidTr="00C03F9E">
        <w:tc>
          <w:tcPr>
            <w:tcW w:w="4964" w:type="dxa"/>
            <w:tcBorders>
              <w:top w:val="nil"/>
              <w:left w:val="nil"/>
              <w:right w:val="nil"/>
            </w:tcBorders>
          </w:tcPr>
          <w:p w:rsidR="0028027B" w:rsidRPr="00DC1EE4" w:rsidRDefault="0028027B" w:rsidP="00C03F9E">
            <w:pPr>
              <w:pStyle w:val="Tabletext"/>
              <w:rPr>
                <w:b/>
                <w:szCs w:val="20"/>
              </w:rPr>
            </w:pPr>
            <w:r w:rsidRPr="00DC1EE4">
              <w:rPr>
                <w:b/>
                <w:szCs w:val="20"/>
              </w:rPr>
              <w:t>Cash flows from financing activities</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p>
        </w:tc>
        <w:tc>
          <w:tcPr>
            <w:tcW w:w="1120"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p>
        </w:tc>
      </w:tr>
      <w:tr w:rsidR="0028027B" w:rsidRPr="00DC1EE4" w:rsidTr="00C03F9E">
        <w:tc>
          <w:tcPr>
            <w:tcW w:w="4964" w:type="dxa"/>
            <w:tcBorders>
              <w:top w:val="nil"/>
              <w:left w:val="nil"/>
              <w:bottom w:val="nil"/>
              <w:right w:val="nil"/>
            </w:tcBorders>
            <w:shd w:val="clear" w:color="auto" w:fill="auto"/>
          </w:tcPr>
          <w:p w:rsidR="0028027B" w:rsidRPr="00DC1EE4" w:rsidRDefault="0028027B" w:rsidP="00C03F9E">
            <w:pPr>
              <w:pStyle w:val="Tabletext"/>
              <w:rPr>
                <w:szCs w:val="20"/>
              </w:rPr>
            </w:pPr>
            <w:r w:rsidRPr="00DC1EE4">
              <w:rPr>
                <w:szCs w:val="20"/>
              </w:rPr>
              <w:t>Advances received</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szCs w:val="20"/>
              </w:rPr>
            </w:pP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rPr>
                <w:sz w:val="20"/>
                <w:szCs w:val="20"/>
              </w:rPr>
              <w:t>39</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rPr>
                <w:sz w:val="20"/>
                <w:szCs w:val="20"/>
              </w:rPr>
              <w:t>21</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rPr>
                <w:sz w:val="20"/>
                <w:szCs w:val="20"/>
              </w:rPr>
              <w:t xml:space="preserve"> ..</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rPr>
                <w:sz w:val="20"/>
                <w:szCs w:val="20"/>
              </w:rPr>
              <w:t>1</w:t>
            </w:r>
          </w:p>
        </w:tc>
      </w:tr>
      <w:tr w:rsidR="0028027B" w:rsidRPr="00DC1EE4" w:rsidTr="00C03F9E">
        <w:tc>
          <w:tcPr>
            <w:tcW w:w="4964" w:type="dxa"/>
            <w:tcBorders>
              <w:top w:val="nil"/>
              <w:left w:val="nil"/>
              <w:bottom w:val="single" w:sz="6" w:space="0" w:color="auto"/>
              <w:right w:val="nil"/>
            </w:tcBorders>
            <w:shd w:val="clear" w:color="auto" w:fill="auto"/>
          </w:tcPr>
          <w:p w:rsidR="0028027B" w:rsidRPr="00DC1EE4" w:rsidRDefault="0028027B" w:rsidP="00C03F9E">
            <w:pPr>
              <w:pStyle w:val="Tabletext"/>
              <w:rPr>
                <w:szCs w:val="20"/>
              </w:rPr>
            </w:pPr>
            <w:r w:rsidRPr="00DC1EE4">
              <w:rPr>
                <w:szCs w:val="20"/>
              </w:rPr>
              <w:t>Advances repaid</w:t>
            </w:r>
          </w:p>
        </w:tc>
        <w:tc>
          <w:tcPr>
            <w:tcW w:w="740" w:type="dxa"/>
            <w:gridSpan w:val="2"/>
            <w:tcBorders>
              <w:top w:val="nil"/>
              <w:left w:val="nil"/>
              <w:bottom w:val="single" w:sz="6" w:space="0" w:color="auto"/>
              <w:right w:val="nil"/>
            </w:tcBorders>
            <w:shd w:val="solid" w:color="FFFFFF" w:fill="auto"/>
          </w:tcPr>
          <w:p w:rsidR="0028027B" w:rsidRPr="00DC1EE4" w:rsidRDefault="0028027B" w:rsidP="00C03F9E">
            <w:pPr>
              <w:pStyle w:val="TableTextCentred"/>
              <w:rPr>
                <w:szCs w:val="20"/>
              </w:rPr>
            </w:pPr>
          </w:p>
        </w:tc>
        <w:tc>
          <w:tcPr>
            <w:tcW w:w="1125"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rPr>
                <w:sz w:val="20"/>
                <w:szCs w:val="20"/>
              </w:rPr>
              <w:t>(2)</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rPr>
                <w:sz w:val="20"/>
                <w:szCs w:val="20"/>
              </w:rPr>
              <w:t>(5)</w:t>
            </w:r>
          </w:p>
        </w:tc>
        <w:tc>
          <w:tcPr>
            <w:tcW w:w="1120"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rPr>
                <w:sz w:val="20"/>
                <w:szCs w:val="20"/>
              </w:rPr>
              <w:t>..</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rPr>
                <w:sz w:val="20"/>
                <w:szCs w:val="20"/>
              </w:rPr>
              <w:t>..</w:t>
            </w:r>
          </w:p>
        </w:tc>
      </w:tr>
      <w:tr w:rsidR="0028027B" w:rsidRPr="00DC1EE4" w:rsidTr="00C03F9E">
        <w:tc>
          <w:tcPr>
            <w:tcW w:w="4964" w:type="dxa"/>
            <w:tcBorders>
              <w:top w:val="nil"/>
              <w:left w:val="nil"/>
              <w:bottom w:val="nil"/>
              <w:right w:val="nil"/>
            </w:tcBorders>
            <w:shd w:val="clear" w:color="auto" w:fill="auto"/>
          </w:tcPr>
          <w:p w:rsidR="0028027B" w:rsidRPr="00DC1EE4" w:rsidRDefault="0028027B" w:rsidP="00C03F9E">
            <w:pPr>
              <w:pStyle w:val="Tabletext"/>
              <w:rPr>
                <w:szCs w:val="20"/>
              </w:rPr>
            </w:pPr>
            <w:r w:rsidRPr="00DC1EE4">
              <w:rPr>
                <w:szCs w:val="20"/>
              </w:rPr>
              <w:t>Advances received (net)</w:t>
            </w:r>
            <w:r w:rsidRPr="00DC1EE4">
              <w:rPr>
                <w:szCs w:val="20"/>
                <w:vertAlign w:val="superscript"/>
              </w:rPr>
              <w:t>(c)</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38</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16</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w:t>
            </w:r>
          </w:p>
        </w:tc>
      </w:tr>
      <w:tr w:rsidR="0028027B" w:rsidRPr="00DC1EE4" w:rsidTr="00C03F9E">
        <w:tc>
          <w:tcPr>
            <w:tcW w:w="4964" w:type="dxa"/>
            <w:tcBorders>
              <w:top w:val="nil"/>
              <w:left w:val="nil"/>
              <w:bottom w:val="nil"/>
              <w:right w:val="nil"/>
            </w:tcBorders>
            <w:shd w:val="clear" w:color="auto" w:fill="auto"/>
          </w:tcPr>
          <w:p w:rsidR="0028027B" w:rsidRPr="00DC1EE4" w:rsidRDefault="0028027B" w:rsidP="00C03F9E">
            <w:pPr>
              <w:pStyle w:val="Tabletext"/>
              <w:rPr>
                <w:szCs w:val="20"/>
              </w:rPr>
            </w:pPr>
            <w:r w:rsidRPr="00DC1EE4">
              <w:rPr>
                <w:szCs w:val="20"/>
              </w:rPr>
              <w:t>Borrowings received</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szCs w:val="20"/>
              </w:rPr>
            </w:pP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281</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165</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359</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236</w:t>
            </w:r>
          </w:p>
        </w:tc>
      </w:tr>
      <w:tr w:rsidR="0028027B" w:rsidRPr="00DC1EE4" w:rsidTr="00C03F9E">
        <w:tc>
          <w:tcPr>
            <w:tcW w:w="4964" w:type="dxa"/>
            <w:tcBorders>
              <w:top w:val="nil"/>
              <w:left w:val="nil"/>
              <w:bottom w:val="single" w:sz="6" w:space="0" w:color="auto"/>
              <w:right w:val="nil"/>
            </w:tcBorders>
            <w:shd w:val="clear" w:color="auto" w:fill="auto"/>
          </w:tcPr>
          <w:p w:rsidR="0028027B" w:rsidRPr="00DC1EE4" w:rsidRDefault="0028027B" w:rsidP="00C03F9E">
            <w:pPr>
              <w:pStyle w:val="Tabletext"/>
              <w:rPr>
                <w:szCs w:val="20"/>
              </w:rPr>
            </w:pPr>
            <w:r w:rsidRPr="00DC1EE4">
              <w:rPr>
                <w:szCs w:val="20"/>
              </w:rPr>
              <w:t>Borrowings repaid</w:t>
            </w:r>
          </w:p>
        </w:tc>
        <w:tc>
          <w:tcPr>
            <w:tcW w:w="740" w:type="dxa"/>
            <w:gridSpan w:val="2"/>
            <w:tcBorders>
              <w:top w:val="nil"/>
              <w:left w:val="nil"/>
              <w:bottom w:val="single" w:sz="6" w:space="0" w:color="auto"/>
              <w:right w:val="nil"/>
            </w:tcBorders>
            <w:shd w:val="solid" w:color="FFFFFF" w:fill="auto"/>
          </w:tcPr>
          <w:p w:rsidR="0028027B" w:rsidRPr="00DC1EE4" w:rsidRDefault="0028027B" w:rsidP="00C03F9E">
            <w:pPr>
              <w:pStyle w:val="TableTextCentred"/>
              <w:rPr>
                <w:szCs w:val="20"/>
              </w:rPr>
            </w:pPr>
          </w:p>
        </w:tc>
        <w:tc>
          <w:tcPr>
            <w:tcW w:w="1125"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t>(308)</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t>(889)</w:t>
            </w:r>
          </w:p>
        </w:tc>
        <w:tc>
          <w:tcPr>
            <w:tcW w:w="1120"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t>(131)</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t>(173)</w:t>
            </w:r>
          </w:p>
        </w:tc>
      </w:tr>
      <w:tr w:rsidR="0028027B" w:rsidRPr="00DC1EE4" w:rsidTr="00C03F9E">
        <w:tc>
          <w:tcPr>
            <w:tcW w:w="4964" w:type="dxa"/>
            <w:tcBorders>
              <w:top w:val="nil"/>
              <w:left w:val="nil"/>
              <w:bottom w:val="nil"/>
              <w:right w:val="nil"/>
            </w:tcBorders>
            <w:shd w:val="clear" w:color="auto" w:fill="auto"/>
          </w:tcPr>
          <w:p w:rsidR="0028027B" w:rsidRPr="00DC1EE4" w:rsidRDefault="0028027B" w:rsidP="00C03F9E">
            <w:pPr>
              <w:pStyle w:val="Tabletext"/>
              <w:rPr>
                <w:szCs w:val="20"/>
              </w:rPr>
            </w:pPr>
            <w:r w:rsidRPr="00DC1EE4">
              <w:rPr>
                <w:szCs w:val="20"/>
              </w:rPr>
              <w:t>Net borrowings</w:t>
            </w:r>
            <w:r w:rsidRPr="00DC1EE4">
              <w:rPr>
                <w:szCs w:val="20"/>
                <w:vertAlign w:val="superscript"/>
              </w:rPr>
              <w:t>(c)</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(27)</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(724)</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229</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62</w:t>
            </w:r>
          </w:p>
        </w:tc>
      </w:tr>
      <w:tr w:rsidR="0028027B" w:rsidRPr="00DC1EE4" w:rsidTr="00C03F9E">
        <w:tc>
          <w:tcPr>
            <w:tcW w:w="4964" w:type="dxa"/>
            <w:tcBorders>
              <w:top w:val="nil"/>
              <w:left w:val="nil"/>
              <w:bottom w:val="nil"/>
              <w:right w:val="nil"/>
            </w:tcBorders>
            <w:shd w:val="clear" w:color="auto" w:fill="auto"/>
          </w:tcPr>
          <w:p w:rsidR="0028027B" w:rsidRPr="00DC1EE4" w:rsidRDefault="0028027B" w:rsidP="00C03F9E">
            <w:pPr>
              <w:pStyle w:val="Tabletext"/>
              <w:rPr>
                <w:szCs w:val="20"/>
              </w:rPr>
            </w:pPr>
            <w:r w:rsidRPr="00DC1EE4">
              <w:rPr>
                <w:szCs w:val="20"/>
              </w:rPr>
              <w:t>Deposits received</w:t>
            </w:r>
          </w:p>
        </w:tc>
        <w:tc>
          <w:tcPr>
            <w:tcW w:w="740" w:type="dxa"/>
            <w:gridSpan w:val="2"/>
            <w:tcBorders>
              <w:top w:val="nil"/>
              <w:left w:val="nil"/>
              <w:bottom w:val="nil"/>
              <w:right w:val="nil"/>
            </w:tcBorders>
            <w:shd w:val="solid" w:color="FFFFFF" w:fill="auto"/>
          </w:tcPr>
          <w:p w:rsidR="0028027B" w:rsidRPr="00DC1EE4" w:rsidRDefault="0028027B" w:rsidP="00C03F9E">
            <w:pPr>
              <w:pStyle w:val="TableTextCentred"/>
              <w:rPr>
                <w:szCs w:val="20"/>
              </w:rPr>
            </w:pPr>
          </w:p>
        </w:tc>
        <w:tc>
          <w:tcPr>
            <w:tcW w:w="1125" w:type="dxa"/>
            <w:gridSpan w:val="2"/>
            <w:tcBorders>
              <w:top w:val="nil"/>
              <w:left w:val="nil"/>
              <w:bottom w:val="nil"/>
              <w:right w:val="nil"/>
            </w:tcBorders>
          </w:tcPr>
          <w:p w:rsidR="0028027B" w:rsidRPr="00DC1EE4" w:rsidRDefault="0028027B" w:rsidP="00C03F9E">
            <w:pPr>
              <w:pStyle w:val="TableofFigures"/>
              <w:rPr>
                <w:sz w:val="20"/>
                <w:szCs w:val="20"/>
              </w:rPr>
            </w:pPr>
            <w:r w:rsidRPr="00DC1EE4">
              <w:t>429</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229</w:t>
            </w:r>
          </w:p>
        </w:tc>
        <w:tc>
          <w:tcPr>
            <w:tcW w:w="1120" w:type="dxa"/>
            <w:gridSpan w:val="2"/>
            <w:tcBorders>
              <w:top w:val="nil"/>
              <w:left w:val="nil"/>
              <w:bottom w:val="nil"/>
              <w:right w:val="nil"/>
            </w:tcBorders>
          </w:tcPr>
          <w:p w:rsidR="0028027B" w:rsidRPr="00DC1EE4" w:rsidRDefault="0028027B" w:rsidP="00C03F9E">
            <w:pPr>
              <w:pStyle w:val="TableofFigures"/>
              <w:rPr>
                <w:sz w:val="20"/>
                <w:szCs w:val="20"/>
              </w:rPr>
            </w:pPr>
            <w:r w:rsidRPr="00DC1EE4">
              <w:t>162</w:t>
            </w:r>
          </w:p>
        </w:tc>
        <w:tc>
          <w:tcPr>
            <w:tcW w:w="1119" w:type="dxa"/>
            <w:tcBorders>
              <w:top w:val="nil"/>
              <w:left w:val="nil"/>
              <w:bottom w:val="nil"/>
              <w:right w:val="nil"/>
            </w:tcBorders>
          </w:tcPr>
          <w:p w:rsidR="0028027B" w:rsidRPr="00DC1EE4" w:rsidRDefault="0028027B" w:rsidP="00C03F9E">
            <w:pPr>
              <w:pStyle w:val="TableofFigures"/>
              <w:rPr>
                <w:sz w:val="20"/>
                <w:szCs w:val="20"/>
              </w:rPr>
            </w:pPr>
            <w:r w:rsidRPr="00DC1EE4">
              <w:t>153</w:t>
            </w:r>
          </w:p>
        </w:tc>
      </w:tr>
      <w:tr w:rsidR="0028027B" w:rsidRPr="00DC1EE4" w:rsidTr="00C03F9E">
        <w:tc>
          <w:tcPr>
            <w:tcW w:w="4964" w:type="dxa"/>
            <w:tcBorders>
              <w:top w:val="nil"/>
              <w:left w:val="nil"/>
              <w:bottom w:val="single" w:sz="6" w:space="0" w:color="auto"/>
              <w:right w:val="nil"/>
            </w:tcBorders>
            <w:shd w:val="clear" w:color="auto" w:fill="auto"/>
          </w:tcPr>
          <w:p w:rsidR="0028027B" w:rsidRPr="00DC1EE4" w:rsidRDefault="0028027B" w:rsidP="00C03F9E">
            <w:pPr>
              <w:pStyle w:val="Tabletext"/>
              <w:rPr>
                <w:szCs w:val="20"/>
              </w:rPr>
            </w:pPr>
            <w:r w:rsidRPr="00DC1EE4">
              <w:rPr>
                <w:szCs w:val="20"/>
              </w:rPr>
              <w:t>Deposits paid</w:t>
            </w:r>
          </w:p>
        </w:tc>
        <w:tc>
          <w:tcPr>
            <w:tcW w:w="740" w:type="dxa"/>
            <w:gridSpan w:val="2"/>
            <w:tcBorders>
              <w:top w:val="nil"/>
              <w:left w:val="nil"/>
              <w:bottom w:val="single" w:sz="6" w:space="0" w:color="auto"/>
              <w:right w:val="nil"/>
            </w:tcBorders>
            <w:shd w:val="solid" w:color="FFFFFF" w:fill="auto"/>
          </w:tcPr>
          <w:p w:rsidR="0028027B" w:rsidRPr="00DC1EE4" w:rsidRDefault="0028027B" w:rsidP="00C03F9E">
            <w:pPr>
              <w:pStyle w:val="TableTextCentred"/>
              <w:rPr>
                <w:szCs w:val="20"/>
              </w:rPr>
            </w:pPr>
          </w:p>
        </w:tc>
        <w:tc>
          <w:tcPr>
            <w:tcW w:w="1125"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t>(323)</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t>(260)</w:t>
            </w:r>
          </w:p>
        </w:tc>
        <w:tc>
          <w:tcPr>
            <w:tcW w:w="1120" w:type="dxa"/>
            <w:gridSpan w:val="2"/>
            <w:tcBorders>
              <w:top w:val="nil"/>
              <w:left w:val="nil"/>
              <w:bottom w:val="single" w:sz="6" w:space="0" w:color="auto"/>
              <w:right w:val="nil"/>
            </w:tcBorders>
          </w:tcPr>
          <w:p w:rsidR="0028027B" w:rsidRPr="00DC1EE4" w:rsidRDefault="0028027B" w:rsidP="00C03F9E">
            <w:pPr>
              <w:pStyle w:val="TableofFigures"/>
              <w:rPr>
                <w:sz w:val="20"/>
                <w:szCs w:val="20"/>
              </w:rPr>
            </w:pPr>
            <w:r w:rsidRPr="00DC1EE4">
              <w:t>(194)</w:t>
            </w:r>
          </w:p>
        </w:tc>
        <w:tc>
          <w:tcPr>
            <w:tcW w:w="1119" w:type="dxa"/>
            <w:tcBorders>
              <w:top w:val="nil"/>
              <w:left w:val="nil"/>
              <w:bottom w:val="single" w:sz="6" w:space="0" w:color="auto"/>
              <w:right w:val="nil"/>
            </w:tcBorders>
          </w:tcPr>
          <w:p w:rsidR="0028027B" w:rsidRPr="00DC1EE4" w:rsidRDefault="0028027B" w:rsidP="00C03F9E">
            <w:pPr>
              <w:pStyle w:val="TableofFigures"/>
              <w:rPr>
                <w:sz w:val="20"/>
                <w:szCs w:val="20"/>
              </w:rPr>
            </w:pPr>
            <w:r w:rsidRPr="00DC1EE4">
              <w:t>(157)</w:t>
            </w:r>
          </w:p>
        </w:tc>
      </w:tr>
      <w:tr w:rsidR="0028027B" w:rsidRPr="00DC1EE4" w:rsidTr="00C03F9E">
        <w:tc>
          <w:tcPr>
            <w:tcW w:w="4964" w:type="dxa"/>
            <w:tcBorders>
              <w:top w:val="single" w:sz="6" w:space="0" w:color="auto"/>
              <w:left w:val="nil"/>
              <w:bottom w:val="single" w:sz="6" w:space="0" w:color="auto"/>
              <w:right w:val="nil"/>
            </w:tcBorders>
            <w:shd w:val="clear" w:color="auto" w:fill="auto"/>
          </w:tcPr>
          <w:p w:rsidR="0028027B" w:rsidRPr="00DC1EE4" w:rsidRDefault="0028027B" w:rsidP="00C03F9E">
            <w:pPr>
              <w:pStyle w:val="Tabletext"/>
              <w:rPr>
                <w:szCs w:val="20"/>
              </w:rPr>
            </w:pPr>
            <w:r w:rsidRPr="00DC1EE4">
              <w:rPr>
                <w:szCs w:val="20"/>
              </w:rPr>
              <w:t>Deposits received (net)</w:t>
            </w:r>
            <w:r w:rsidRPr="00DC1EE4">
              <w:rPr>
                <w:szCs w:val="20"/>
                <w:vertAlign w:val="superscript"/>
              </w:rPr>
              <w:t>(c)</w:t>
            </w:r>
          </w:p>
        </w:tc>
        <w:tc>
          <w:tcPr>
            <w:tcW w:w="740" w:type="dxa"/>
            <w:gridSpan w:val="2"/>
            <w:tcBorders>
              <w:top w:val="single" w:sz="6" w:space="0" w:color="auto"/>
              <w:left w:val="nil"/>
              <w:bottom w:val="single" w:sz="6" w:space="0" w:color="auto"/>
              <w:right w:val="nil"/>
            </w:tcBorders>
            <w:shd w:val="solid" w:color="FFFFFF" w:fill="auto"/>
          </w:tcPr>
          <w:p w:rsidR="0028027B" w:rsidRPr="00DC1EE4" w:rsidRDefault="0028027B" w:rsidP="00C03F9E">
            <w:pPr>
              <w:pStyle w:val="TableTextCentred"/>
              <w:rPr>
                <w:szCs w:val="20"/>
              </w:rPr>
            </w:pPr>
            <w:r w:rsidRPr="00DC1EE4">
              <w:rPr>
                <w:szCs w:val="20"/>
              </w:rPr>
              <w:t xml:space="preserve"> </w:t>
            </w:r>
          </w:p>
        </w:tc>
        <w:tc>
          <w:tcPr>
            <w:tcW w:w="1125" w:type="dxa"/>
            <w:gridSpan w:val="2"/>
            <w:tcBorders>
              <w:top w:val="single" w:sz="6" w:space="0" w:color="auto"/>
              <w:left w:val="nil"/>
              <w:bottom w:val="single" w:sz="6" w:space="0" w:color="auto"/>
              <w:right w:val="nil"/>
            </w:tcBorders>
          </w:tcPr>
          <w:p w:rsidR="0028027B" w:rsidRPr="00DC1EE4" w:rsidRDefault="0028027B" w:rsidP="00C03F9E">
            <w:pPr>
              <w:pStyle w:val="TableofFigures"/>
              <w:rPr>
                <w:sz w:val="20"/>
                <w:szCs w:val="20"/>
              </w:rPr>
            </w:pPr>
            <w:r w:rsidRPr="00DC1EE4">
              <w:t>107</w:t>
            </w:r>
          </w:p>
        </w:tc>
        <w:tc>
          <w:tcPr>
            <w:tcW w:w="1119" w:type="dxa"/>
            <w:tcBorders>
              <w:top w:val="single" w:sz="6" w:space="0" w:color="auto"/>
              <w:left w:val="nil"/>
              <w:bottom w:val="single" w:sz="6" w:space="0" w:color="auto"/>
              <w:right w:val="nil"/>
            </w:tcBorders>
          </w:tcPr>
          <w:p w:rsidR="0028027B" w:rsidRPr="00DC1EE4" w:rsidRDefault="0028027B" w:rsidP="00C03F9E">
            <w:pPr>
              <w:pStyle w:val="TableofFigures"/>
              <w:rPr>
                <w:sz w:val="20"/>
                <w:szCs w:val="20"/>
              </w:rPr>
            </w:pPr>
            <w:r w:rsidRPr="00DC1EE4">
              <w:t>(32)</w:t>
            </w:r>
          </w:p>
        </w:tc>
        <w:tc>
          <w:tcPr>
            <w:tcW w:w="1120" w:type="dxa"/>
            <w:gridSpan w:val="2"/>
            <w:tcBorders>
              <w:top w:val="single" w:sz="6" w:space="0" w:color="auto"/>
              <w:left w:val="nil"/>
              <w:bottom w:val="single" w:sz="6" w:space="0" w:color="auto"/>
              <w:right w:val="nil"/>
            </w:tcBorders>
          </w:tcPr>
          <w:p w:rsidR="0028027B" w:rsidRPr="00DC1EE4" w:rsidRDefault="0028027B" w:rsidP="00C03F9E">
            <w:pPr>
              <w:pStyle w:val="TableofFigures"/>
              <w:rPr>
                <w:sz w:val="20"/>
                <w:szCs w:val="20"/>
              </w:rPr>
            </w:pPr>
            <w:r w:rsidRPr="00DC1EE4">
              <w:t>(32)</w:t>
            </w:r>
          </w:p>
        </w:tc>
        <w:tc>
          <w:tcPr>
            <w:tcW w:w="1119" w:type="dxa"/>
            <w:tcBorders>
              <w:top w:val="single" w:sz="6" w:space="0" w:color="auto"/>
              <w:left w:val="nil"/>
              <w:bottom w:val="single" w:sz="6" w:space="0" w:color="auto"/>
              <w:right w:val="nil"/>
            </w:tcBorders>
          </w:tcPr>
          <w:p w:rsidR="0028027B" w:rsidRPr="00DC1EE4" w:rsidRDefault="0028027B" w:rsidP="00C03F9E">
            <w:pPr>
              <w:pStyle w:val="TableofFigures"/>
              <w:rPr>
                <w:sz w:val="20"/>
                <w:szCs w:val="20"/>
              </w:rPr>
            </w:pPr>
            <w:r w:rsidRPr="00DC1EE4">
              <w:t>(3)</w:t>
            </w:r>
          </w:p>
        </w:tc>
      </w:tr>
      <w:tr w:rsidR="0028027B" w:rsidRPr="00DC1EE4" w:rsidTr="00C03F9E">
        <w:tc>
          <w:tcPr>
            <w:tcW w:w="4964" w:type="dxa"/>
            <w:tcBorders>
              <w:top w:val="single" w:sz="6" w:space="0" w:color="auto"/>
              <w:left w:val="nil"/>
              <w:bottom w:val="single" w:sz="6" w:space="0" w:color="auto"/>
              <w:right w:val="nil"/>
            </w:tcBorders>
            <w:shd w:val="solid" w:color="FFFFFF" w:fill="auto"/>
          </w:tcPr>
          <w:p w:rsidR="0028027B" w:rsidRPr="00DC1EE4" w:rsidRDefault="0028027B" w:rsidP="00C03F9E">
            <w:pPr>
              <w:pStyle w:val="Tabletext"/>
              <w:rPr>
                <w:b/>
                <w:szCs w:val="20"/>
              </w:rPr>
            </w:pPr>
            <w:r w:rsidRPr="00DC1EE4">
              <w:rPr>
                <w:b/>
                <w:szCs w:val="20"/>
              </w:rPr>
              <w:t>Net cash flows from financing activities</w:t>
            </w:r>
          </w:p>
        </w:tc>
        <w:tc>
          <w:tcPr>
            <w:tcW w:w="740" w:type="dxa"/>
            <w:gridSpan w:val="2"/>
            <w:tcBorders>
              <w:top w:val="single" w:sz="6" w:space="0" w:color="auto"/>
              <w:left w:val="nil"/>
              <w:bottom w:val="single" w:sz="6" w:space="0" w:color="auto"/>
              <w:right w:val="nil"/>
            </w:tcBorders>
            <w:shd w:val="solid" w:color="FFFFFF" w:fill="auto"/>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117</w:t>
            </w:r>
          </w:p>
        </w:tc>
        <w:tc>
          <w:tcPr>
            <w:tcW w:w="1119" w:type="dxa"/>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(739)</w:t>
            </w:r>
          </w:p>
        </w:tc>
        <w:tc>
          <w:tcPr>
            <w:tcW w:w="1120" w:type="dxa"/>
            <w:gridSpan w:val="2"/>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196</w:t>
            </w:r>
          </w:p>
        </w:tc>
        <w:tc>
          <w:tcPr>
            <w:tcW w:w="1119" w:type="dxa"/>
            <w:tcBorders>
              <w:top w:val="single" w:sz="6" w:space="0" w:color="auto"/>
              <w:left w:val="nil"/>
              <w:bottom w:val="single" w:sz="6" w:space="0" w:color="auto"/>
              <w:right w:val="nil"/>
            </w:tcBorders>
          </w:tcPr>
          <w:p w:rsidR="0028027B" w:rsidRPr="00DC1EE4" w:rsidRDefault="0028027B" w:rsidP="00C03F9E">
            <w:pPr>
              <w:pStyle w:val="TableofFigures"/>
              <w:rPr>
                <w:b/>
                <w:sz w:val="20"/>
                <w:szCs w:val="20"/>
              </w:rPr>
            </w:pPr>
            <w:r w:rsidRPr="00DC1EE4">
              <w:rPr>
                <w:b/>
              </w:rPr>
              <w:t>60</w:t>
            </w:r>
          </w:p>
        </w:tc>
      </w:tr>
      <w:tr w:rsidR="0028027B" w:rsidRPr="00DC1EE4" w:rsidTr="00C03F9E">
        <w:tc>
          <w:tcPr>
            <w:tcW w:w="4964" w:type="dxa"/>
            <w:tcBorders>
              <w:top w:val="single" w:sz="6" w:space="0" w:color="auto"/>
              <w:left w:val="nil"/>
              <w:right w:val="nil"/>
            </w:tcBorders>
            <w:shd w:val="solid" w:color="FFFFFF" w:fill="auto"/>
          </w:tcPr>
          <w:p w:rsidR="0028027B" w:rsidRPr="00DC1EE4" w:rsidRDefault="0028027B" w:rsidP="00C03F9E">
            <w:pPr>
              <w:pStyle w:val="Tabletext"/>
              <w:rPr>
                <w:b/>
                <w:szCs w:val="20"/>
              </w:rPr>
            </w:pPr>
            <w:r w:rsidRPr="00DC1EE4">
              <w:rPr>
                <w:b/>
                <w:szCs w:val="20"/>
              </w:rPr>
              <w:t>Net increase/(decrease) in cash and cash equivalents</w:t>
            </w:r>
          </w:p>
        </w:tc>
        <w:tc>
          <w:tcPr>
            <w:tcW w:w="740" w:type="dxa"/>
            <w:gridSpan w:val="2"/>
            <w:tcBorders>
              <w:top w:val="single" w:sz="6" w:space="0" w:color="auto"/>
              <w:left w:val="nil"/>
              <w:right w:val="nil"/>
            </w:tcBorders>
            <w:shd w:val="solid" w:color="FFFFFF" w:fill="auto"/>
          </w:tcPr>
          <w:p w:rsidR="0028027B" w:rsidRPr="00DC1EE4" w:rsidRDefault="0028027B" w:rsidP="00C03F9E">
            <w:pPr>
              <w:pStyle w:val="TableTextCentred"/>
              <w:rPr>
                <w:b/>
                <w:szCs w:val="20"/>
              </w:rPr>
            </w:pPr>
            <w:r w:rsidRPr="00DC1EE4">
              <w:rPr>
                <w:b/>
                <w:szCs w:val="20"/>
              </w:rPr>
              <w:t xml:space="preserve"> </w:t>
            </w:r>
          </w:p>
        </w:tc>
        <w:tc>
          <w:tcPr>
            <w:tcW w:w="1125" w:type="dxa"/>
            <w:gridSpan w:val="2"/>
            <w:tcBorders>
              <w:top w:val="single" w:sz="6" w:space="0" w:color="auto"/>
              <w:left w:val="nil"/>
              <w:right w:val="nil"/>
            </w:tcBorders>
          </w:tcPr>
          <w:p w:rsidR="0028027B" w:rsidRPr="00DC1EE4" w:rsidRDefault="0028027B" w:rsidP="00C03F9E">
            <w:pPr>
              <w:pStyle w:val="TableofFigures"/>
              <w:rPr>
                <w:b/>
                <w:sz w:val="20"/>
                <w:szCs w:val="20"/>
              </w:rPr>
            </w:pPr>
            <w:r w:rsidRPr="00DC1EE4">
              <w:rPr>
                <w:b/>
              </w:rPr>
              <w:t>(564)</w:t>
            </w:r>
          </w:p>
        </w:tc>
        <w:tc>
          <w:tcPr>
            <w:tcW w:w="1119" w:type="dxa"/>
            <w:tcBorders>
              <w:top w:val="single" w:sz="6" w:space="0" w:color="auto"/>
              <w:left w:val="nil"/>
              <w:right w:val="nil"/>
            </w:tcBorders>
          </w:tcPr>
          <w:p w:rsidR="0028027B" w:rsidRPr="00DC1EE4" w:rsidRDefault="0028027B" w:rsidP="00C03F9E">
            <w:pPr>
              <w:pStyle w:val="TableofFigures"/>
              <w:rPr>
                <w:b/>
                <w:sz w:val="20"/>
                <w:szCs w:val="20"/>
              </w:rPr>
            </w:pPr>
            <w:r w:rsidRPr="00DC1EE4">
              <w:rPr>
                <w:b/>
              </w:rPr>
              <w:t>(564)</w:t>
            </w:r>
          </w:p>
        </w:tc>
        <w:tc>
          <w:tcPr>
            <w:tcW w:w="1120" w:type="dxa"/>
            <w:gridSpan w:val="2"/>
            <w:tcBorders>
              <w:top w:val="single" w:sz="6" w:space="0" w:color="auto"/>
              <w:left w:val="nil"/>
              <w:right w:val="nil"/>
            </w:tcBorders>
          </w:tcPr>
          <w:p w:rsidR="0028027B" w:rsidRPr="00DC1EE4" w:rsidRDefault="0028027B" w:rsidP="00C03F9E">
            <w:pPr>
              <w:pStyle w:val="TableofFigures"/>
              <w:rPr>
                <w:b/>
                <w:sz w:val="20"/>
                <w:szCs w:val="20"/>
              </w:rPr>
            </w:pPr>
            <w:r w:rsidRPr="00DC1EE4">
              <w:rPr>
                <w:b/>
              </w:rPr>
              <w:t>(169)</w:t>
            </w:r>
          </w:p>
        </w:tc>
        <w:tc>
          <w:tcPr>
            <w:tcW w:w="1119" w:type="dxa"/>
            <w:tcBorders>
              <w:top w:val="single" w:sz="6" w:space="0" w:color="auto"/>
              <w:left w:val="nil"/>
              <w:right w:val="nil"/>
            </w:tcBorders>
          </w:tcPr>
          <w:p w:rsidR="0028027B" w:rsidRPr="00DC1EE4" w:rsidRDefault="0028027B" w:rsidP="00C03F9E">
            <w:pPr>
              <w:pStyle w:val="TableofFigures"/>
              <w:rPr>
                <w:b/>
                <w:sz w:val="20"/>
                <w:szCs w:val="20"/>
              </w:rPr>
            </w:pPr>
            <w:r w:rsidRPr="00DC1EE4">
              <w:rPr>
                <w:b/>
              </w:rPr>
              <w:t>(876)</w:t>
            </w:r>
          </w:p>
        </w:tc>
      </w:tr>
      <w:tr w:rsidR="0028027B" w:rsidRPr="00DC1EE4" w:rsidTr="00C03F9E">
        <w:tc>
          <w:tcPr>
            <w:tcW w:w="4964" w:type="dxa"/>
            <w:tcBorders>
              <w:left w:val="nil"/>
              <w:bottom w:val="nil"/>
              <w:right w:val="nil"/>
            </w:tcBorders>
            <w:shd w:val="solid" w:color="FFFFFF" w:fill="auto"/>
          </w:tcPr>
          <w:p w:rsidR="0028027B" w:rsidRPr="00DC1EE4" w:rsidRDefault="0028027B" w:rsidP="00C03F9E">
            <w:pPr>
              <w:pStyle w:val="Tabletext"/>
              <w:rPr>
                <w:szCs w:val="20"/>
              </w:rPr>
            </w:pPr>
            <w:r w:rsidRPr="00DC1EE4">
              <w:rPr>
                <w:szCs w:val="20"/>
              </w:rPr>
              <w:t xml:space="preserve">Cash and cash equivalents at beginning of reporting period </w:t>
            </w:r>
          </w:p>
        </w:tc>
        <w:tc>
          <w:tcPr>
            <w:tcW w:w="740" w:type="dxa"/>
            <w:gridSpan w:val="2"/>
            <w:tcBorders>
              <w:left w:val="nil"/>
              <w:bottom w:val="nil"/>
              <w:right w:val="nil"/>
            </w:tcBorders>
            <w:shd w:val="solid" w:color="FFFFFF" w:fill="auto"/>
          </w:tcPr>
          <w:p w:rsidR="0028027B" w:rsidRPr="00DC1EE4" w:rsidRDefault="0028027B" w:rsidP="00C03F9E">
            <w:pPr>
              <w:pStyle w:val="TableTextCentred"/>
              <w:rPr>
                <w:szCs w:val="20"/>
              </w:rPr>
            </w:pPr>
            <w:r w:rsidRPr="00DC1EE4">
              <w:rPr>
                <w:szCs w:val="20"/>
              </w:rPr>
              <w:t xml:space="preserve"> </w:t>
            </w:r>
          </w:p>
        </w:tc>
        <w:tc>
          <w:tcPr>
            <w:tcW w:w="1125" w:type="dxa"/>
            <w:gridSpan w:val="2"/>
            <w:tcBorders>
              <w:left w:val="nil"/>
              <w:bottom w:val="nil"/>
              <w:right w:val="nil"/>
            </w:tcBorders>
            <w:shd w:val="solid" w:color="FFFFFF" w:fill="auto"/>
          </w:tcPr>
          <w:p w:rsidR="0028027B" w:rsidRPr="00DC1EE4" w:rsidRDefault="0028027B" w:rsidP="00C03F9E">
            <w:pPr>
              <w:pStyle w:val="TableofFigures"/>
              <w:rPr>
                <w:sz w:val="20"/>
                <w:szCs w:val="20"/>
              </w:rPr>
            </w:pPr>
            <w:r w:rsidRPr="00DC1EE4">
              <w:t>6 510</w:t>
            </w:r>
          </w:p>
        </w:tc>
        <w:tc>
          <w:tcPr>
            <w:tcW w:w="1119" w:type="dxa"/>
            <w:tcBorders>
              <w:left w:val="nil"/>
              <w:bottom w:val="nil"/>
              <w:right w:val="nil"/>
            </w:tcBorders>
            <w:shd w:val="solid" w:color="FFFFFF" w:fill="auto"/>
          </w:tcPr>
          <w:p w:rsidR="0028027B" w:rsidRPr="00DC1EE4" w:rsidRDefault="0028027B" w:rsidP="00C03F9E">
            <w:pPr>
              <w:pStyle w:val="TableofFigures"/>
              <w:rPr>
                <w:sz w:val="20"/>
                <w:szCs w:val="20"/>
              </w:rPr>
            </w:pPr>
            <w:r w:rsidRPr="00DC1EE4">
              <w:t>8 281</w:t>
            </w:r>
          </w:p>
        </w:tc>
        <w:tc>
          <w:tcPr>
            <w:tcW w:w="1120" w:type="dxa"/>
            <w:gridSpan w:val="2"/>
            <w:tcBorders>
              <w:left w:val="nil"/>
              <w:bottom w:val="nil"/>
              <w:right w:val="nil"/>
            </w:tcBorders>
            <w:shd w:val="solid" w:color="FFFFFF" w:fill="auto"/>
          </w:tcPr>
          <w:p w:rsidR="0028027B" w:rsidRPr="00DC1EE4" w:rsidRDefault="0028027B" w:rsidP="00C03F9E">
            <w:pPr>
              <w:pStyle w:val="TableofFigures"/>
              <w:rPr>
                <w:sz w:val="20"/>
                <w:szCs w:val="20"/>
              </w:rPr>
            </w:pPr>
            <w:r w:rsidRPr="00DC1EE4">
              <w:t>4 282</w:t>
            </w:r>
          </w:p>
        </w:tc>
        <w:tc>
          <w:tcPr>
            <w:tcW w:w="1119" w:type="dxa"/>
            <w:tcBorders>
              <w:left w:val="nil"/>
              <w:bottom w:val="nil"/>
              <w:right w:val="nil"/>
            </w:tcBorders>
            <w:shd w:val="solid" w:color="FFFFFF" w:fill="auto"/>
          </w:tcPr>
          <w:p w:rsidR="0028027B" w:rsidRPr="00DC1EE4" w:rsidRDefault="0028027B" w:rsidP="00C03F9E">
            <w:pPr>
              <w:pStyle w:val="TableofFigures"/>
              <w:rPr>
                <w:sz w:val="20"/>
                <w:szCs w:val="20"/>
              </w:rPr>
            </w:pPr>
            <w:r w:rsidRPr="00DC1EE4">
              <w:t>4 582</w:t>
            </w:r>
          </w:p>
        </w:tc>
      </w:tr>
      <w:tr w:rsidR="0028027B" w:rsidRPr="00DC1EE4" w:rsidTr="00C03F9E">
        <w:tc>
          <w:tcPr>
            <w:tcW w:w="4964" w:type="dxa"/>
            <w:tcBorders>
              <w:top w:val="single" w:sz="6" w:space="0" w:color="auto"/>
              <w:left w:val="nil"/>
              <w:bottom w:val="single" w:sz="12" w:space="0" w:color="auto"/>
              <w:right w:val="nil"/>
            </w:tcBorders>
            <w:shd w:val="solid" w:color="FFFFFF" w:fill="auto"/>
          </w:tcPr>
          <w:p w:rsidR="0028027B" w:rsidRPr="00DC1EE4" w:rsidRDefault="0028027B" w:rsidP="00C03F9E">
            <w:pPr>
              <w:pStyle w:val="Tabletext"/>
              <w:rPr>
                <w:b/>
                <w:szCs w:val="20"/>
              </w:rPr>
            </w:pPr>
            <w:r w:rsidRPr="00DC1EE4">
              <w:rPr>
                <w:b/>
                <w:szCs w:val="20"/>
              </w:rPr>
              <w:t xml:space="preserve">Cash and cash equivalents at end of reporting period </w:t>
            </w:r>
          </w:p>
        </w:tc>
        <w:tc>
          <w:tcPr>
            <w:tcW w:w="740" w:type="dxa"/>
            <w:gridSpan w:val="2"/>
            <w:tcBorders>
              <w:top w:val="single" w:sz="6" w:space="0" w:color="auto"/>
              <w:left w:val="nil"/>
              <w:bottom w:val="single" w:sz="12" w:space="0" w:color="auto"/>
              <w:right w:val="nil"/>
            </w:tcBorders>
            <w:shd w:val="solid" w:color="FFFFFF" w:fill="auto"/>
          </w:tcPr>
          <w:p w:rsidR="0028027B" w:rsidRPr="00DC1EE4" w:rsidRDefault="0028027B" w:rsidP="00C03F9E">
            <w:pPr>
              <w:pStyle w:val="TableTextCentred"/>
              <w:rPr>
                <w:b/>
                <w:szCs w:val="20"/>
              </w:rPr>
            </w:pPr>
            <w:r w:rsidRPr="00DC1EE4">
              <w:rPr>
                <w:b/>
                <w:szCs w:val="20"/>
              </w:rPr>
              <w:t>27a</w:t>
            </w:r>
          </w:p>
        </w:tc>
        <w:tc>
          <w:tcPr>
            <w:tcW w:w="1125" w:type="dxa"/>
            <w:gridSpan w:val="2"/>
            <w:tcBorders>
              <w:top w:val="single" w:sz="6" w:space="0" w:color="auto"/>
              <w:left w:val="nil"/>
              <w:bottom w:val="single" w:sz="12" w:space="0" w:color="auto"/>
              <w:right w:val="nil"/>
            </w:tcBorders>
            <w:vAlign w:val="center"/>
          </w:tcPr>
          <w:p w:rsidR="0028027B" w:rsidRPr="00DC1EE4" w:rsidRDefault="0028027B" w:rsidP="00C03F9E">
            <w:pPr>
              <w:pStyle w:val="TableofFigures"/>
              <w:spacing w:before="0" w:after="0"/>
              <w:rPr>
                <w:b/>
                <w:sz w:val="20"/>
                <w:szCs w:val="20"/>
              </w:rPr>
            </w:pPr>
            <w:r w:rsidRPr="00DC1EE4">
              <w:rPr>
                <w:b/>
              </w:rPr>
              <w:t>5 946</w:t>
            </w:r>
          </w:p>
        </w:tc>
        <w:tc>
          <w:tcPr>
            <w:tcW w:w="1119" w:type="dxa"/>
            <w:tcBorders>
              <w:top w:val="single" w:sz="6" w:space="0" w:color="auto"/>
              <w:left w:val="nil"/>
              <w:bottom w:val="single" w:sz="12" w:space="0" w:color="auto"/>
              <w:right w:val="nil"/>
            </w:tcBorders>
            <w:vAlign w:val="center"/>
          </w:tcPr>
          <w:p w:rsidR="0028027B" w:rsidRPr="00DC1EE4" w:rsidRDefault="0028027B" w:rsidP="00C03F9E">
            <w:pPr>
              <w:pStyle w:val="TableofFigures"/>
              <w:spacing w:before="0" w:after="0"/>
              <w:rPr>
                <w:b/>
                <w:sz w:val="20"/>
                <w:szCs w:val="20"/>
              </w:rPr>
            </w:pPr>
            <w:r w:rsidRPr="00DC1EE4">
              <w:rPr>
                <w:b/>
              </w:rPr>
              <w:t>7 717</w:t>
            </w:r>
          </w:p>
        </w:tc>
        <w:tc>
          <w:tcPr>
            <w:tcW w:w="1120" w:type="dxa"/>
            <w:gridSpan w:val="2"/>
            <w:tcBorders>
              <w:top w:val="single" w:sz="6" w:space="0" w:color="auto"/>
              <w:left w:val="nil"/>
              <w:bottom w:val="single" w:sz="12" w:space="0" w:color="auto"/>
              <w:right w:val="nil"/>
            </w:tcBorders>
            <w:vAlign w:val="center"/>
          </w:tcPr>
          <w:p w:rsidR="0028027B" w:rsidRPr="00DC1EE4" w:rsidRDefault="0028027B" w:rsidP="00C03F9E">
            <w:pPr>
              <w:pStyle w:val="TableofFigures"/>
              <w:spacing w:before="0" w:after="0"/>
              <w:rPr>
                <w:b/>
                <w:sz w:val="20"/>
                <w:szCs w:val="20"/>
              </w:rPr>
            </w:pPr>
            <w:r w:rsidRPr="00DC1EE4">
              <w:rPr>
                <w:b/>
              </w:rPr>
              <w:t>4 112</w:t>
            </w:r>
          </w:p>
        </w:tc>
        <w:tc>
          <w:tcPr>
            <w:tcW w:w="1119" w:type="dxa"/>
            <w:tcBorders>
              <w:top w:val="single" w:sz="6" w:space="0" w:color="auto"/>
              <w:left w:val="nil"/>
              <w:bottom w:val="single" w:sz="12" w:space="0" w:color="auto"/>
              <w:right w:val="nil"/>
            </w:tcBorders>
            <w:vAlign w:val="center"/>
          </w:tcPr>
          <w:p w:rsidR="0028027B" w:rsidRPr="00DC1EE4" w:rsidRDefault="0028027B" w:rsidP="00C03F9E">
            <w:pPr>
              <w:pStyle w:val="TableofFigures"/>
              <w:spacing w:before="0" w:after="0"/>
              <w:rPr>
                <w:b/>
                <w:sz w:val="20"/>
                <w:szCs w:val="20"/>
              </w:rPr>
            </w:pPr>
            <w:r w:rsidRPr="00DC1EE4">
              <w:rPr>
                <w:b/>
              </w:rPr>
              <w:t>3 707</w:t>
            </w:r>
          </w:p>
        </w:tc>
      </w:tr>
      <w:tr w:rsidR="0028027B" w:rsidRPr="00DC1EE4" w:rsidTr="00C03F9E">
        <w:trPr>
          <w:trHeight w:hRule="exact" w:val="120"/>
        </w:trPr>
        <w:tc>
          <w:tcPr>
            <w:tcW w:w="4964" w:type="dxa"/>
            <w:tcBorders>
              <w:top w:val="nil"/>
              <w:left w:val="nil"/>
              <w:bottom w:val="nil"/>
              <w:right w:val="nil"/>
            </w:tcBorders>
          </w:tcPr>
          <w:p w:rsidR="0028027B" w:rsidRPr="00DC1EE4" w:rsidRDefault="0028027B" w:rsidP="00487A9D">
            <w:pPr>
              <w:pStyle w:val="Tabletext"/>
              <w:pageBreakBefore/>
              <w:spacing w:before="0" w:after="0"/>
              <w:rPr>
                <w:szCs w:val="20"/>
              </w:rPr>
            </w:pPr>
          </w:p>
        </w:tc>
        <w:tc>
          <w:tcPr>
            <w:tcW w:w="740" w:type="dxa"/>
            <w:gridSpan w:val="2"/>
            <w:tcBorders>
              <w:top w:val="nil"/>
              <w:left w:val="nil"/>
              <w:bottom w:val="nil"/>
              <w:right w:val="nil"/>
            </w:tcBorders>
          </w:tcPr>
          <w:p w:rsidR="0028027B" w:rsidRPr="00DC1EE4" w:rsidRDefault="0028027B" w:rsidP="00C03F9E">
            <w:pPr>
              <w:pStyle w:val="TableTextCentred"/>
              <w:spacing w:before="0" w:after="0"/>
              <w:rPr>
                <w:szCs w:val="20"/>
              </w:rPr>
            </w:pPr>
          </w:p>
        </w:tc>
        <w:tc>
          <w:tcPr>
            <w:tcW w:w="1125" w:type="dxa"/>
            <w:gridSpan w:val="2"/>
            <w:tcBorders>
              <w:top w:val="nil"/>
              <w:left w:val="nil"/>
              <w:bottom w:val="nil"/>
              <w:right w:val="nil"/>
            </w:tcBorders>
          </w:tcPr>
          <w:p w:rsidR="0028027B" w:rsidRPr="00DC1EE4" w:rsidRDefault="0028027B" w:rsidP="00C03F9E">
            <w:pPr>
              <w:pStyle w:val="TableofFigures"/>
              <w:spacing w:before="0" w:after="0"/>
              <w:rPr>
                <w:sz w:val="20"/>
                <w:szCs w:val="20"/>
              </w:rPr>
            </w:pPr>
          </w:p>
        </w:tc>
        <w:tc>
          <w:tcPr>
            <w:tcW w:w="1119" w:type="dxa"/>
            <w:tcBorders>
              <w:top w:val="nil"/>
              <w:left w:val="nil"/>
              <w:bottom w:val="nil"/>
              <w:right w:val="nil"/>
            </w:tcBorders>
          </w:tcPr>
          <w:p w:rsidR="0028027B" w:rsidRPr="00DC1EE4" w:rsidRDefault="0028027B" w:rsidP="00C03F9E">
            <w:pPr>
              <w:pStyle w:val="TableofFigures"/>
              <w:spacing w:before="0" w:after="0"/>
              <w:rPr>
                <w:sz w:val="20"/>
                <w:szCs w:val="20"/>
              </w:rPr>
            </w:pPr>
          </w:p>
        </w:tc>
        <w:tc>
          <w:tcPr>
            <w:tcW w:w="1120" w:type="dxa"/>
            <w:gridSpan w:val="2"/>
            <w:tcBorders>
              <w:top w:val="nil"/>
              <w:left w:val="nil"/>
              <w:bottom w:val="nil"/>
              <w:right w:val="nil"/>
            </w:tcBorders>
          </w:tcPr>
          <w:p w:rsidR="0028027B" w:rsidRPr="00DC1EE4" w:rsidRDefault="0028027B" w:rsidP="00C03F9E">
            <w:pPr>
              <w:pStyle w:val="TableofFigures"/>
              <w:spacing w:before="0" w:after="0"/>
              <w:rPr>
                <w:sz w:val="20"/>
                <w:szCs w:val="20"/>
              </w:rPr>
            </w:pPr>
          </w:p>
        </w:tc>
        <w:tc>
          <w:tcPr>
            <w:tcW w:w="1119" w:type="dxa"/>
            <w:tcBorders>
              <w:top w:val="nil"/>
              <w:left w:val="nil"/>
              <w:bottom w:val="nil"/>
              <w:right w:val="nil"/>
            </w:tcBorders>
          </w:tcPr>
          <w:p w:rsidR="0028027B" w:rsidRPr="00DC1EE4" w:rsidRDefault="0028027B" w:rsidP="00C03F9E">
            <w:pPr>
              <w:pStyle w:val="TableofFigures"/>
              <w:spacing w:before="0" w:after="0"/>
              <w:rPr>
                <w:sz w:val="20"/>
                <w:szCs w:val="20"/>
              </w:rPr>
            </w:pP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spacing w:before="0" w:after="0"/>
              <w:rPr>
                <w:b/>
                <w:szCs w:val="20"/>
              </w:rPr>
            </w:pPr>
            <w:r w:rsidRPr="00DC1EE4">
              <w:rPr>
                <w:b/>
                <w:szCs w:val="20"/>
              </w:rPr>
              <w:t>FISCAL AGGREGATES</w:t>
            </w:r>
          </w:p>
        </w:tc>
        <w:tc>
          <w:tcPr>
            <w:tcW w:w="740" w:type="dxa"/>
            <w:gridSpan w:val="2"/>
            <w:tcBorders>
              <w:top w:val="nil"/>
              <w:left w:val="nil"/>
              <w:bottom w:val="nil"/>
              <w:right w:val="nil"/>
            </w:tcBorders>
          </w:tcPr>
          <w:p w:rsidR="0028027B" w:rsidRPr="00DC1EE4" w:rsidRDefault="0028027B" w:rsidP="00C03F9E">
            <w:pPr>
              <w:pStyle w:val="TableTextCentred"/>
              <w:spacing w:before="0" w:after="0"/>
              <w:rPr>
                <w:b/>
                <w:szCs w:val="20"/>
              </w:rPr>
            </w:pPr>
            <w:r w:rsidRPr="00DC1EE4">
              <w:rPr>
                <w:b/>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p>
        </w:tc>
        <w:tc>
          <w:tcPr>
            <w:tcW w:w="1120" w:type="dxa"/>
            <w:gridSpan w:val="2"/>
            <w:tcBorders>
              <w:top w:val="nil"/>
              <w:left w:val="nil"/>
              <w:bottom w:val="nil"/>
              <w:right w:val="nil"/>
            </w:tcBorders>
          </w:tcPr>
          <w:p w:rsidR="0028027B" w:rsidRPr="00DC1EE4" w:rsidRDefault="0028027B" w:rsidP="00C03F9E">
            <w:pPr>
              <w:pStyle w:val="TableofFigures"/>
              <w:spacing w:before="0" w:after="0"/>
              <w:rPr>
                <w:b/>
                <w:sz w:val="20"/>
                <w:szCs w:val="20"/>
              </w:rPr>
            </w:pPr>
          </w:p>
        </w:tc>
        <w:tc>
          <w:tcPr>
            <w:tcW w:w="1119" w:type="dxa"/>
            <w:tcBorders>
              <w:top w:val="nil"/>
              <w:left w:val="nil"/>
              <w:bottom w:val="nil"/>
              <w:right w:val="nil"/>
            </w:tcBorders>
          </w:tcPr>
          <w:p w:rsidR="0028027B" w:rsidRPr="00DC1EE4" w:rsidRDefault="0028027B" w:rsidP="00C03F9E">
            <w:pPr>
              <w:pStyle w:val="TableofFigures"/>
              <w:spacing w:before="0" w:after="0"/>
              <w:rPr>
                <w:b/>
                <w:sz w:val="20"/>
                <w:szCs w:val="20"/>
              </w:rPr>
            </w:pPr>
          </w:p>
        </w:tc>
      </w:tr>
      <w:tr w:rsidR="0028027B" w:rsidRPr="00DC1EE4" w:rsidTr="00C03F9E">
        <w:tc>
          <w:tcPr>
            <w:tcW w:w="4964" w:type="dxa"/>
            <w:tcBorders>
              <w:top w:val="nil"/>
              <w:left w:val="nil"/>
              <w:bottom w:val="nil"/>
              <w:right w:val="nil"/>
            </w:tcBorders>
          </w:tcPr>
          <w:p w:rsidR="0028027B" w:rsidRPr="00DC1EE4" w:rsidRDefault="0028027B" w:rsidP="00C03F9E">
            <w:pPr>
              <w:pStyle w:val="Tabletext"/>
              <w:rPr>
                <w:szCs w:val="20"/>
              </w:rPr>
            </w:pPr>
            <w:r w:rsidRPr="00DC1EE4">
              <w:rPr>
                <w:szCs w:val="20"/>
              </w:rPr>
              <w:t>Net cash flows from operating activities</w:t>
            </w:r>
          </w:p>
        </w:tc>
        <w:tc>
          <w:tcPr>
            <w:tcW w:w="740" w:type="dxa"/>
            <w:gridSpan w:val="2"/>
            <w:tcBorders>
              <w:top w:val="nil"/>
              <w:left w:val="nil"/>
              <w:bottom w:val="nil"/>
              <w:right w:val="nil"/>
            </w:tcBorders>
          </w:tcPr>
          <w:p w:rsidR="0028027B" w:rsidRPr="00DC1EE4" w:rsidRDefault="0028027B" w:rsidP="00C03F9E">
            <w:pPr>
              <w:pStyle w:val="TableTextCentred"/>
              <w:spacing w:before="0" w:after="0"/>
              <w:rPr>
                <w:szCs w:val="20"/>
              </w:rPr>
            </w:pPr>
            <w:r w:rsidRPr="00DC1EE4">
              <w:rPr>
                <w:szCs w:val="20"/>
              </w:rPr>
              <w:t xml:space="preserve"> </w:t>
            </w:r>
          </w:p>
        </w:tc>
        <w:tc>
          <w:tcPr>
            <w:tcW w:w="1125" w:type="dxa"/>
            <w:gridSpan w:val="2"/>
            <w:tcBorders>
              <w:top w:val="nil"/>
              <w:left w:val="nil"/>
              <w:bottom w:val="nil"/>
              <w:right w:val="nil"/>
            </w:tcBorders>
          </w:tcPr>
          <w:p w:rsidR="0028027B" w:rsidRPr="00DC1EE4" w:rsidRDefault="0028027B" w:rsidP="00C03F9E">
            <w:pPr>
              <w:pStyle w:val="TableofFigures"/>
              <w:spacing w:before="0" w:after="0"/>
              <w:rPr>
                <w:sz w:val="20"/>
                <w:szCs w:val="20"/>
              </w:rPr>
            </w:pPr>
            <w:r w:rsidRPr="00DC1EE4">
              <w:t>3 724</w:t>
            </w:r>
          </w:p>
        </w:tc>
        <w:tc>
          <w:tcPr>
            <w:tcW w:w="1119" w:type="dxa"/>
            <w:tcBorders>
              <w:top w:val="nil"/>
              <w:left w:val="nil"/>
              <w:bottom w:val="nil"/>
              <w:right w:val="nil"/>
            </w:tcBorders>
          </w:tcPr>
          <w:p w:rsidR="0028027B" w:rsidRPr="00DC1EE4" w:rsidRDefault="0028027B" w:rsidP="00C03F9E">
            <w:pPr>
              <w:pStyle w:val="TableofFigures"/>
              <w:spacing w:before="0" w:after="0"/>
              <w:rPr>
                <w:sz w:val="20"/>
                <w:szCs w:val="20"/>
              </w:rPr>
            </w:pPr>
            <w:r w:rsidRPr="00DC1EE4">
              <w:t>2 746</w:t>
            </w:r>
          </w:p>
        </w:tc>
        <w:tc>
          <w:tcPr>
            <w:tcW w:w="1120" w:type="dxa"/>
            <w:gridSpan w:val="2"/>
            <w:tcBorders>
              <w:top w:val="nil"/>
              <w:left w:val="nil"/>
              <w:bottom w:val="nil"/>
              <w:right w:val="nil"/>
            </w:tcBorders>
          </w:tcPr>
          <w:p w:rsidR="0028027B" w:rsidRPr="00DC1EE4" w:rsidRDefault="0028027B" w:rsidP="00C03F9E">
            <w:pPr>
              <w:pStyle w:val="TableofFigures"/>
              <w:spacing w:before="0" w:after="0"/>
              <w:rPr>
                <w:sz w:val="20"/>
                <w:szCs w:val="20"/>
              </w:rPr>
            </w:pPr>
            <w:r w:rsidRPr="00DC1EE4">
              <w:t>1 821</w:t>
            </w:r>
          </w:p>
        </w:tc>
        <w:tc>
          <w:tcPr>
            <w:tcW w:w="1119" w:type="dxa"/>
            <w:tcBorders>
              <w:top w:val="nil"/>
              <w:left w:val="nil"/>
              <w:bottom w:val="nil"/>
              <w:right w:val="nil"/>
            </w:tcBorders>
          </w:tcPr>
          <w:p w:rsidR="0028027B" w:rsidRPr="00DC1EE4" w:rsidRDefault="0028027B" w:rsidP="00C03F9E">
            <w:pPr>
              <w:pStyle w:val="TableofFigures"/>
              <w:spacing w:before="0" w:after="0"/>
              <w:rPr>
                <w:sz w:val="20"/>
                <w:szCs w:val="20"/>
              </w:rPr>
            </w:pPr>
            <w:r w:rsidRPr="00DC1EE4">
              <w:t>1 332</w:t>
            </w:r>
          </w:p>
        </w:tc>
      </w:tr>
      <w:tr w:rsidR="0028027B" w:rsidRPr="00DC1EE4" w:rsidTr="00C03F9E">
        <w:tc>
          <w:tcPr>
            <w:tcW w:w="4964" w:type="dxa"/>
            <w:tcBorders>
              <w:top w:val="nil"/>
              <w:left w:val="nil"/>
              <w:bottom w:val="single" w:sz="6" w:space="0" w:color="auto"/>
              <w:right w:val="nil"/>
            </w:tcBorders>
          </w:tcPr>
          <w:p w:rsidR="0028027B" w:rsidRPr="00DC1EE4" w:rsidRDefault="0028027B" w:rsidP="00C03F9E">
            <w:pPr>
              <w:pStyle w:val="Tabletext"/>
              <w:rPr>
                <w:szCs w:val="20"/>
              </w:rPr>
            </w:pPr>
            <w:r w:rsidRPr="00DC1EE4">
              <w:rPr>
                <w:szCs w:val="20"/>
              </w:rPr>
              <w:t>Net cash flows from investments in non</w:t>
            </w:r>
            <w:r w:rsidR="005A4BB0">
              <w:rPr>
                <w:szCs w:val="20"/>
              </w:rPr>
              <w:noBreakHyphen/>
            </w:r>
            <w:r w:rsidRPr="00DC1EE4">
              <w:rPr>
                <w:szCs w:val="20"/>
              </w:rPr>
              <w:t>financial assets</w:t>
            </w:r>
          </w:p>
        </w:tc>
        <w:tc>
          <w:tcPr>
            <w:tcW w:w="740" w:type="dxa"/>
            <w:gridSpan w:val="2"/>
            <w:tcBorders>
              <w:top w:val="nil"/>
              <w:left w:val="nil"/>
              <w:bottom w:val="single" w:sz="6" w:space="0" w:color="auto"/>
              <w:right w:val="nil"/>
            </w:tcBorders>
          </w:tcPr>
          <w:p w:rsidR="0028027B" w:rsidRPr="00DC1EE4" w:rsidRDefault="0028027B" w:rsidP="00C03F9E">
            <w:pPr>
              <w:pStyle w:val="TableTextCentred"/>
              <w:spacing w:before="0" w:after="0"/>
              <w:rPr>
                <w:szCs w:val="20"/>
              </w:rPr>
            </w:pPr>
            <w:r w:rsidRPr="00DC1EE4">
              <w:rPr>
                <w:szCs w:val="20"/>
              </w:rPr>
              <w:t xml:space="preserve"> </w:t>
            </w:r>
          </w:p>
        </w:tc>
        <w:tc>
          <w:tcPr>
            <w:tcW w:w="1125" w:type="dxa"/>
            <w:gridSpan w:val="2"/>
            <w:tcBorders>
              <w:top w:val="nil"/>
              <w:left w:val="nil"/>
              <w:bottom w:val="single" w:sz="6" w:space="0" w:color="auto"/>
              <w:right w:val="nil"/>
            </w:tcBorders>
          </w:tcPr>
          <w:p w:rsidR="0028027B" w:rsidRPr="00DC1EE4" w:rsidRDefault="0028027B" w:rsidP="00C03F9E">
            <w:pPr>
              <w:pStyle w:val="TableofFigures"/>
              <w:spacing w:before="0" w:after="0"/>
              <w:rPr>
                <w:sz w:val="20"/>
                <w:szCs w:val="20"/>
              </w:rPr>
            </w:pPr>
            <w:r w:rsidRPr="00DC1EE4">
              <w:t>(3 046)</w:t>
            </w:r>
          </w:p>
        </w:tc>
        <w:tc>
          <w:tcPr>
            <w:tcW w:w="1119" w:type="dxa"/>
            <w:tcBorders>
              <w:top w:val="nil"/>
              <w:left w:val="nil"/>
              <w:bottom w:val="single" w:sz="6" w:space="0" w:color="auto"/>
              <w:right w:val="nil"/>
            </w:tcBorders>
          </w:tcPr>
          <w:p w:rsidR="0028027B" w:rsidRPr="00DC1EE4" w:rsidRDefault="0028027B" w:rsidP="00C03F9E">
            <w:pPr>
              <w:pStyle w:val="TableofFigures"/>
              <w:spacing w:before="0" w:after="0"/>
              <w:rPr>
                <w:sz w:val="20"/>
                <w:szCs w:val="20"/>
              </w:rPr>
            </w:pPr>
            <w:r w:rsidRPr="00DC1EE4">
              <w:t>(2 989)</w:t>
            </w:r>
          </w:p>
        </w:tc>
        <w:tc>
          <w:tcPr>
            <w:tcW w:w="1120" w:type="dxa"/>
            <w:gridSpan w:val="2"/>
            <w:tcBorders>
              <w:top w:val="nil"/>
              <w:left w:val="nil"/>
              <w:bottom w:val="single" w:sz="6" w:space="0" w:color="auto"/>
              <w:right w:val="nil"/>
            </w:tcBorders>
          </w:tcPr>
          <w:p w:rsidR="0028027B" w:rsidRPr="00DC1EE4" w:rsidRDefault="0028027B" w:rsidP="00C03F9E">
            <w:pPr>
              <w:pStyle w:val="TableofFigures"/>
              <w:spacing w:before="0" w:after="0"/>
              <w:rPr>
                <w:sz w:val="20"/>
                <w:szCs w:val="20"/>
              </w:rPr>
            </w:pPr>
            <w:r w:rsidRPr="00DC1EE4">
              <w:t>(1 964)</w:t>
            </w:r>
          </w:p>
        </w:tc>
        <w:tc>
          <w:tcPr>
            <w:tcW w:w="1119" w:type="dxa"/>
            <w:tcBorders>
              <w:top w:val="nil"/>
              <w:left w:val="nil"/>
              <w:bottom w:val="single" w:sz="6" w:space="0" w:color="auto"/>
              <w:right w:val="nil"/>
            </w:tcBorders>
          </w:tcPr>
          <w:p w:rsidR="0028027B" w:rsidRPr="00DC1EE4" w:rsidRDefault="0028027B" w:rsidP="00C03F9E">
            <w:pPr>
              <w:pStyle w:val="TableofFigures"/>
              <w:spacing w:before="0" w:after="0"/>
              <w:rPr>
                <w:sz w:val="20"/>
                <w:szCs w:val="20"/>
              </w:rPr>
            </w:pPr>
            <w:r w:rsidRPr="00DC1EE4">
              <w:t>(1 996)</w:t>
            </w:r>
          </w:p>
        </w:tc>
      </w:tr>
      <w:tr w:rsidR="0028027B" w:rsidRPr="00DC1EE4" w:rsidTr="00C03F9E">
        <w:tc>
          <w:tcPr>
            <w:tcW w:w="4964" w:type="dxa"/>
            <w:tcBorders>
              <w:top w:val="single" w:sz="6" w:space="0" w:color="auto"/>
              <w:left w:val="nil"/>
              <w:bottom w:val="single" w:sz="12" w:space="0" w:color="000000"/>
              <w:right w:val="nil"/>
            </w:tcBorders>
            <w:shd w:val="clear" w:color="auto" w:fill="auto"/>
          </w:tcPr>
          <w:p w:rsidR="0028027B" w:rsidRPr="00DC1EE4" w:rsidRDefault="0028027B" w:rsidP="00C03F9E">
            <w:pPr>
              <w:pStyle w:val="Tabletext"/>
              <w:spacing w:before="0" w:after="0"/>
              <w:rPr>
                <w:b/>
                <w:szCs w:val="20"/>
              </w:rPr>
            </w:pPr>
            <w:r w:rsidRPr="00DC1EE4">
              <w:rPr>
                <w:b/>
                <w:szCs w:val="20"/>
              </w:rPr>
              <w:t>Cash surplus/(deficit)</w:t>
            </w:r>
          </w:p>
        </w:tc>
        <w:tc>
          <w:tcPr>
            <w:tcW w:w="740" w:type="dxa"/>
            <w:gridSpan w:val="2"/>
            <w:tcBorders>
              <w:top w:val="single" w:sz="6" w:space="0" w:color="auto"/>
              <w:left w:val="nil"/>
              <w:bottom w:val="single" w:sz="12" w:space="0" w:color="000000"/>
              <w:right w:val="nil"/>
            </w:tcBorders>
            <w:shd w:val="clear" w:color="auto" w:fill="auto"/>
          </w:tcPr>
          <w:p w:rsidR="0028027B" w:rsidRPr="00DC1EE4" w:rsidRDefault="0028027B" w:rsidP="00C03F9E">
            <w:pPr>
              <w:pStyle w:val="TableTextCentred"/>
              <w:spacing w:before="0" w:after="0"/>
              <w:rPr>
                <w:b/>
                <w:szCs w:val="20"/>
              </w:rPr>
            </w:pPr>
            <w:r w:rsidRPr="00DC1EE4">
              <w:rPr>
                <w:b/>
                <w:szCs w:val="20"/>
              </w:rPr>
              <w:t xml:space="preserve"> </w:t>
            </w:r>
          </w:p>
        </w:tc>
        <w:tc>
          <w:tcPr>
            <w:tcW w:w="1125" w:type="dxa"/>
            <w:gridSpan w:val="2"/>
            <w:tcBorders>
              <w:top w:val="single" w:sz="6" w:space="0" w:color="auto"/>
              <w:left w:val="nil"/>
              <w:bottom w:val="single" w:sz="12" w:space="0" w:color="000000"/>
              <w:right w:val="nil"/>
            </w:tcBorders>
            <w:shd w:val="clear" w:color="auto" w:fill="auto"/>
            <w:vAlign w:val="center"/>
          </w:tcPr>
          <w:p w:rsidR="0028027B" w:rsidRPr="00DC1EE4" w:rsidRDefault="0028027B" w:rsidP="00C03F9E">
            <w:pPr>
              <w:pStyle w:val="TableofFigures"/>
              <w:spacing w:before="0" w:after="0"/>
              <w:rPr>
                <w:b/>
                <w:sz w:val="20"/>
                <w:szCs w:val="20"/>
              </w:rPr>
            </w:pPr>
            <w:r w:rsidRPr="00DC1EE4">
              <w:rPr>
                <w:b/>
              </w:rPr>
              <w:t>678</w:t>
            </w:r>
          </w:p>
        </w:tc>
        <w:tc>
          <w:tcPr>
            <w:tcW w:w="1119" w:type="dxa"/>
            <w:tcBorders>
              <w:top w:val="single" w:sz="6" w:space="0" w:color="auto"/>
              <w:left w:val="nil"/>
              <w:bottom w:val="single" w:sz="12" w:space="0" w:color="000000"/>
              <w:right w:val="nil"/>
            </w:tcBorders>
            <w:shd w:val="clear" w:color="auto" w:fill="auto"/>
            <w:vAlign w:val="center"/>
          </w:tcPr>
          <w:p w:rsidR="0028027B" w:rsidRPr="00DC1EE4" w:rsidRDefault="0028027B" w:rsidP="00C03F9E">
            <w:pPr>
              <w:pStyle w:val="TableofFigures"/>
              <w:spacing w:before="0" w:after="0"/>
              <w:rPr>
                <w:b/>
                <w:sz w:val="20"/>
                <w:szCs w:val="20"/>
              </w:rPr>
            </w:pPr>
            <w:r w:rsidRPr="00DC1EE4">
              <w:rPr>
                <w:b/>
              </w:rPr>
              <w:t>(242)</w:t>
            </w:r>
          </w:p>
        </w:tc>
        <w:tc>
          <w:tcPr>
            <w:tcW w:w="1120" w:type="dxa"/>
            <w:gridSpan w:val="2"/>
            <w:tcBorders>
              <w:top w:val="single" w:sz="6" w:space="0" w:color="auto"/>
              <w:left w:val="nil"/>
              <w:bottom w:val="single" w:sz="12" w:space="0" w:color="000000"/>
              <w:right w:val="nil"/>
            </w:tcBorders>
            <w:shd w:val="clear" w:color="auto" w:fill="auto"/>
            <w:vAlign w:val="center"/>
          </w:tcPr>
          <w:p w:rsidR="0028027B" w:rsidRPr="00DC1EE4" w:rsidRDefault="0028027B" w:rsidP="00C03F9E">
            <w:pPr>
              <w:pStyle w:val="TableofFigures"/>
              <w:spacing w:before="0" w:after="0"/>
              <w:rPr>
                <w:b/>
                <w:sz w:val="20"/>
                <w:szCs w:val="20"/>
              </w:rPr>
            </w:pPr>
            <w:r w:rsidRPr="00DC1EE4">
              <w:rPr>
                <w:b/>
              </w:rPr>
              <w:t>(142)</w:t>
            </w:r>
          </w:p>
        </w:tc>
        <w:tc>
          <w:tcPr>
            <w:tcW w:w="1119" w:type="dxa"/>
            <w:tcBorders>
              <w:top w:val="single" w:sz="6" w:space="0" w:color="auto"/>
              <w:left w:val="nil"/>
              <w:bottom w:val="single" w:sz="12" w:space="0" w:color="000000"/>
              <w:right w:val="nil"/>
            </w:tcBorders>
            <w:shd w:val="clear" w:color="auto" w:fill="auto"/>
            <w:vAlign w:val="center"/>
          </w:tcPr>
          <w:p w:rsidR="0028027B" w:rsidRPr="00DC1EE4" w:rsidRDefault="0028027B" w:rsidP="00C03F9E">
            <w:pPr>
              <w:pStyle w:val="TableofFigures"/>
              <w:spacing w:before="0" w:after="0"/>
              <w:rPr>
                <w:b/>
                <w:sz w:val="20"/>
                <w:szCs w:val="20"/>
              </w:rPr>
            </w:pPr>
            <w:r w:rsidRPr="00DC1EE4">
              <w:rPr>
                <w:b/>
              </w:rPr>
              <w:t>(663)</w:t>
            </w:r>
          </w:p>
        </w:tc>
      </w:tr>
    </w:tbl>
    <w:p w:rsidR="0028027B" w:rsidRPr="00DC1EE4" w:rsidRDefault="0028027B" w:rsidP="0028027B">
      <w:pPr>
        <w:pStyle w:val="Source"/>
      </w:pPr>
      <w:r w:rsidRPr="00DC1EE4">
        <w:t>The accompanying notes form part of these financial statements.</w:t>
      </w:r>
    </w:p>
    <w:p w:rsidR="0028027B" w:rsidRPr="00DC1EE4" w:rsidRDefault="0028027B" w:rsidP="0028027B">
      <w:pPr>
        <w:pStyle w:val="Notes"/>
      </w:pPr>
      <w:r w:rsidRPr="00DC1EE4">
        <w:t>Notes:</w:t>
      </w:r>
    </w:p>
    <w:p w:rsidR="0028027B" w:rsidRPr="00DC1EE4" w:rsidRDefault="0028027B" w:rsidP="0028027B">
      <w:pPr>
        <w:pStyle w:val="Notes"/>
      </w:pPr>
      <w:r w:rsidRPr="00DC1EE4">
        <w:t>(a)</w:t>
      </w:r>
      <w:r w:rsidRPr="00DC1EE4">
        <w:tab/>
        <w:t xml:space="preserve">Certain December 2014 comparative figures have been restated to reflect more current information, mainly including adjustments outlined in Note 37 of the </w:t>
      </w:r>
      <w:r w:rsidRPr="00DC1EE4">
        <w:rPr>
          <w:i w:val="0"/>
        </w:rPr>
        <w:t>2014</w:t>
      </w:r>
      <w:r w:rsidR="005A4BB0">
        <w:rPr>
          <w:i w:val="0"/>
        </w:rPr>
        <w:noBreakHyphen/>
      </w:r>
      <w:r w:rsidRPr="00DC1EE4">
        <w:rPr>
          <w:i w:val="0"/>
        </w:rPr>
        <w:t>15 Financial Report</w:t>
      </w:r>
      <w:r w:rsidRPr="00DC1EE4">
        <w:t>.</w:t>
      </w:r>
    </w:p>
    <w:p w:rsidR="0028027B" w:rsidRPr="00DC1EE4" w:rsidRDefault="0028027B" w:rsidP="0028027B">
      <w:pPr>
        <w:pStyle w:val="Notes"/>
      </w:pPr>
      <w:r w:rsidRPr="00DC1EE4">
        <w:t>(b)</w:t>
      </w:r>
      <w:r w:rsidRPr="00DC1EE4">
        <w:tab/>
        <w:t>These items are inclusive of goods and services tax.</w:t>
      </w:r>
    </w:p>
    <w:p w:rsidR="0028027B" w:rsidRPr="00DC1EE4" w:rsidRDefault="0028027B" w:rsidP="0028027B">
      <w:pPr>
        <w:pStyle w:val="Notes"/>
      </w:pPr>
      <w:r w:rsidRPr="00DC1EE4">
        <w:t>(c)</w:t>
      </w:r>
      <w:r w:rsidRPr="00DC1EE4">
        <w:tab/>
        <w:t>In accordance with AASB 107, Treasury Corporation of Victoria is not required to gross up their cash flow information for whole of government consolidation purposes. The net cash movements for Treasury Corporation of Victoria have been added to cash inflows or outflows for both six months ended 31 December 2015 and 31 December 2014.</w:t>
      </w:r>
    </w:p>
    <w:p w:rsidR="0028027B" w:rsidRPr="00DC1EE4" w:rsidRDefault="0028027B" w:rsidP="0028027B">
      <w:pPr>
        <w:pStyle w:val="Notes"/>
      </w:pPr>
    </w:p>
    <w:p w:rsidR="0028027B" w:rsidRPr="00DC1EE4" w:rsidRDefault="0028027B" w:rsidP="0028027B">
      <w:pPr>
        <w:pStyle w:val="Notes"/>
      </w:pPr>
    </w:p>
    <w:p w:rsidR="0028027B" w:rsidRPr="00DC1EE4" w:rsidRDefault="0028027B" w:rsidP="0028027B">
      <w:pPr>
        <w:pStyle w:val="Heading2"/>
        <w:sectPr w:rsidR="0028027B" w:rsidRPr="00DC1EE4" w:rsidSect="00190A01">
          <w:headerReference w:type="default" r:id="rId359"/>
          <w:pgSz w:w="11906" w:h="16838" w:code="9"/>
          <w:pgMar w:top="1152" w:right="864" w:bottom="1152" w:left="864" w:header="432" w:footer="432" w:gutter="0"/>
          <w:cols w:space="708"/>
          <w:docGrid w:linePitch="360"/>
        </w:sectPr>
      </w:pPr>
      <w:bookmarkStart w:id="707" w:name="_Toc160269359"/>
    </w:p>
    <w:bookmarkEnd w:id="707"/>
    <w:p w:rsidR="0028027B" w:rsidRPr="00DC1EE4" w:rsidRDefault="0028027B" w:rsidP="00E348C3">
      <w:pPr>
        <w:pStyle w:val="Tableheading"/>
      </w:pPr>
      <w:r w:rsidRPr="00DC1EE4">
        <w:t>Table 1.12:</w:t>
      </w:r>
      <w:r w:rsidRPr="00DC1EE4">
        <w:tab/>
        <w:t>Statement of changes in equity for the six months ended 31 December</w:t>
      </w:r>
    </w:p>
    <w:p w:rsidR="0028027B" w:rsidRPr="00DC1EE4" w:rsidRDefault="0028027B" w:rsidP="0028027B">
      <w:pPr>
        <w:pStyle w:val="million"/>
      </w:pPr>
      <w:r w:rsidRPr="00DC1EE4">
        <w:t>($ million)</w:t>
      </w:r>
    </w:p>
    <w:tbl>
      <w:tblPr>
        <w:tblW w:w="9640" w:type="dxa"/>
        <w:tblInd w:w="28" w:type="dxa"/>
        <w:tblLayout w:type="fixed"/>
        <w:tblCellMar>
          <w:left w:w="45" w:type="dxa"/>
          <w:right w:w="45" w:type="dxa"/>
        </w:tblCellMar>
        <w:tblLook w:val="0000" w:firstRow="0" w:lastRow="0" w:firstColumn="0" w:lastColumn="0" w:noHBand="0" w:noVBand="0"/>
      </w:tblPr>
      <w:tblGrid>
        <w:gridCol w:w="5971"/>
        <w:gridCol w:w="1843"/>
        <w:gridCol w:w="1826"/>
      </w:tblGrid>
      <w:tr w:rsidR="0028027B" w:rsidRPr="00DC1EE4" w:rsidTr="00C03F9E">
        <w:trPr>
          <w:trHeight w:val="220"/>
        </w:trPr>
        <w:tc>
          <w:tcPr>
            <w:tcW w:w="5971" w:type="dxa"/>
            <w:tcBorders>
              <w:top w:val="single" w:sz="6" w:space="0" w:color="auto"/>
              <w:left w:val="single" w:sz="6" w:space="0" w:color="auto"/>
              <w:bottom w:val="single" w:sz="6" w:space="0" w:color="auto"/>
              <w:right w:val="nil"/>
            </w:tcBorders>
            <w:shd w:val="clear" w:color="000000" w:fill="000000"/>
            <w:vAlign w:val="bottom"/>
          </w:tcPr>
          <w:p w:rsidR="0028027B" w:rsidRPr="00DC1EE4" w:rsidRDefault="0028027B" w:rsidP="00C03F9E">
            <w:pPr>
              <w:pStyle w:val="TabletextheadingLeft"/>
            </w:pPr>
            <w:r w:rsidRPr="00DC1EE4">
              <w:br/>
            </w:r>
          </w:p>
          <w:p w:rsidR="0028027B" w:rsidRPr="00DC1EE4" w:rsidRDefault="0028027B" w:rsidP="00C03F9E">
            <w:pPr>
              <w:pStyle w:val="TabletextheadingLeft"/>
            </w:pPr>
            <w:r w:rsidRPr="00DC1EE4">
              <w:t>State of Victoria</w:t>
            </w:r>
          </w:p>
        </w:tc>
        <w:tc>
          <w:tcPr>
            <w:tcW w:w="1843" w:type="dxa"/>
            <w:tcBorders>
              <w:top w:val="single" w:sz="6" w:space="0" w:color="auto"/>
              <w:left w:val="nil"/>
              <w:bottom w:val="single" w:sz="6" w:space="0" w:color="auto"/>
              <w:right w:val="nil"/>
            </w:tcBorders>
            <w:shd w:val="clear" w:color="000000" w:fill="000000"/>
            <w:vAlign w:val="bottom"/>
          </w:tcPr>
          <w:p w:rsidR="0028027B" w:rsidRPr="00DC1EE4" w:rsidRDefault="0028027B" w:rsidP="00C03F9E">
            <w:pPr>
              <w:pStyle w:val="Tabletextheading"/>
            </w:pPr>
            <w:r w:rsidRPr="00DC1EE4">
              <w:br/>
              <w:t>Accumulated surplus/(deficit)</w:t>
            </w:r>
            <w:r w:rsidRPr="00DC1EE4">
              <w:rPr>
                <w:vertAlign w:val="superscript"/>
              </w:rPr>
              <w:t>(a)</w:t>
            </w:r>
            <w:r w:rsidRPr="00DC1EE4">
              <w:t xml:space="preserve"> </w:t>
            </w:r>
          </w:p>
        </w:tc>
        <w:tc>
          <w:tcPr>
            <w:tcW w:w="1826" w:type="dxa"/>
            <w:tcBorders>
              <w:top w:val="single" w:sz="6" w:space="0" w:color="auto"/>
              <w:left w:val="nil"/>
              <w:bottom w:val="single" w:sz="6" w:space="0" w:color="auto"/>
              <w:right w:val="single" w:sz="6" w:space="0" w:color="auto"/>
            </w:tcBorders>
            <w:shd w:val="clear" w:color="000000" w:fill="000000"/>
            <w:vAlign w:val="bottom"/>
          </w:tcPr>
          <w:p w:rsidR="0028027B" w:rsidRPr="00DC1EE4" w:rsidRDefault="0028027B" w:rsidP="00C03F9E">
            <w:pPr>
              <w:pStyle w:val="Tabletextheading"/>
            </w:pPr>
            <w:r w:rsidRPr="00DC1EE4">
              <w:br/>
              <w:t>Non</w:t>
            </w:r>
            <w:r w:rsidR="005A4BB0">
              <w:noBreakHyphen/>
            </w:r>
            <w:r w:rsidRPr="00DC1EE4">
              <w:t>controlling interest</w:t>
            </w:r>
          </w:p>
        </w:tc>
      </w:tr>
      <w:tr w:rsidR="0028027B" w:rsidRPr="00DC1EE4" w:rsidTr="00C03F9E">
        <w:trPr>
          <w:trHeight w:val="220"/>
        </w:trPr>
        <w:tc>
          <w:tcPr>
            <w:tcW w:w="5971" w:type="dxa"/>
            <w:tcBorders>
              <w:top w:val="single" w:sz="6" w:space="0" w:color="auto"/>
              <w:left w:val="nil"/>
              <w:bottom w:val="nil"/>
              <w:right w:val="nil"/>
            </w:tcBorders>
          </w:tcPr>
          <w:p w:rsidR="0028027B" w:rsidRPr="00DC1EE4" w:rsidRDefault="0028027B" w:rsidP="00C03F9E">
            <w:pPr>
              <w:pStyle w:val="Tabletext"/>
              <w:spacing w:before="20" w:after="20"/>
              <w:rPr>
                <w:b/>
              </w:rPr>
            </w:pPr>
            <w:r w:rsidRPr="00DC1EE4">
              <w:rPr>
                <w:b/>
              </w:rPr>
              <w:t>2015</w:t>
            </w:r>
          </w:p>
        </w:tc>
        <w:tc>
          <w:tcPr>
            <w:tcW w:w="1843" w:type="dxa"/>
            <w:tcBorders>
              <w:top w:val="single" w:sz="6" w:space="0" w:color="auto"/>
              <w:left w:val="nil"/>
              <w:bottom w:val="nil"/>
              <w:right w:val="nil"/>
            </w:tcBorders>
          </w:tcPr>
          <w:p w:rsidR="0028027B" w:rsidRPr="00DC1EE4" w:rsidRDefault="005A4BB0" w:rsidP="00C03F9E">
            <w:pPr>
              <w:pStyle w:val="TableofFigures"/>
              <w:spacing w:before="20" w:after="20"/>
              <w:rPr>
                <w:b/>
              </w:rPr>
            </w:pPr>
            <w:r>
              <w:rPr>
                <w:b/>
              </w:rPr>
              <w:t xml:space="preserve"> </w:t>
            </w:r>
          </w:p>
        </w:tc>
        <w:tc>
          <w:tcPr>
            <w:tcW w:w="1826" w:type="dxa"/>
            <w:tcBorders>
              <w:top w:val="single" w:sz="6" w:space="0" w:color="auto"/>
              <w:left w:val="nil"/>
              <w:bottom w:val="nil"/>
              <w:right w:val="nil"/>
            </w:tcBorders>
          </w:tcPr>
          <w:p w:rsidR="0028027B" w:rsidRPr="00DC1EE4" w:rsidRDefault="0028027B" w:rsidP="00C03F9E">
            <w:pPr>
              <w:pStyle w:val="TableofFigures"/>
              <w:spacing w:before="20" w:after="20"/>
              <w:rPr>
                <w:b/>
              </w:rPr>
            </w:pPr>
            <w:r w:rsidRPr="00DC1EE4">
              <w:rPr>
                <w:b/>
              </w:rPr>
              <w:t xml:space="preserve"> </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
              <w:spacing w:before="20" w:after="20"/>
            </w:pPr>
            <w:r w:rsidRPr="00DC1EE4">
              <w:t>Balance at 1 July 2015</w:t>
            </w:r>
          </w:p>
        </w:tc>
        <w:tc>
          <w:tcPr>
            <w:tcW w:w="1843" w:type="dxa"/>
            <w:tcBorders>
              <w:top w:val="nil"/>
              <w:left w:val="nil"/>
              <w:bottom w:val="nil"/>
              <w:right w:val="nil"/>
            </w:tcBorders>
          </w:tcPr>
          <w:p w:rsidR="0028027B" w:rsidRPr="00DC1EE4" w:rsidRDefault="0028027B" w:rsidP="00C03F9E">
            <w:pPr>
              <w:pStyle w:val="TableofFigures"/>
              <w:spacing w:before="20" w:after="20"/>
            </w:pPr>
            <w:r w:rsidRPr="00DC1EE4">
              <w:t>61 204</w:t>
            </w:r>
          </w:p>
        </w:tc>
        <w:tc>
          <w:tcPr>
            <w:tcW w:w="1826" w:type="dxa"/>
            <w:tcBorders>
              <w:top w:val="nil"/>
              <w:left w:val="nil"/>
              <w:bottom w:val="nil"/>
              <w:right w:val="nil"/>
            </w:tcBorders>
          </w:tcPr>
          <w:p w:rsidR="0028027B" w:rsidRPr="00DC1EE4" w:rsidRDefault="0028027B" w:rsidP="00C03F9E">
            <w:pPr>
              <w:pStyle w:val="TableofFigures"/>
              <w:spacing w:before="20" w:after="20"/>
            </w:pPr>
            <w:r w:rsidRPr="00DC1EE4">
              <w:t xml:space="preserve"> 50.0</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
              <w:spacing w:before="20" w:after="20"/>
            </w:pPr>
            <w:r w:rsidRPr="00DC1EE4">
              <w:t>Net result for the six months</w:t>
            </w:r>
          </w:p>
        </w:tc>
        <w:tc>
          <w:tcPr>
            <w:tcW w:w="1843" w:type="dxa"/>
            <w:tcBorders>
              <w:top w:val="nil"/>
              <w:left w:val="nil"/>
              <w:bottom w:val="nil"/>
              <w:right w:val="nil"/>
            </w:tcBorders>
          </w:tcPr>
          <w:p w:rsidR="0028027B" w:rsidRPr="00DC1EE4" w:rsidRDefault="0028027B" w:rsidP="00C03F9E">
            <w:pPr>
              <w:pStyle w:val="TableofFigures"/>
              <w:spacing w:before="20" w:after="20"/>
            </w:pPr>
            <w:r w:rsidRPr="00DC1EE4">
              <w:t>542</w:t>
            </w:r>
          </w:p>
        </w:tc>
        <w:tc>
          <w:tcPr>
            <w:tcW w:w="1826" w:type="dxa"/>
            <w:tcBorders>
              <w:top w:val="nil"/>
              <w:left w:val="nil"/>
              <w:bottom w:val="nil"/>
              <w:right w:val="nil"/>
            </w:tcBorders>
          </w:tcPr>
          <w:p w:rsidR="0028027B" w:rsidRPr="00DC1EE4" w:rsidRDefault="0028027B" w:rsidP="00C03F9E">
            <w:pPr>
              <w:pStyle w:val="TableofFigures"/>
              <w:spacing w:before="20" w:after="20"/>
            </w:pPr>
            <w:r w:rsidRPr="00DC1EE4">
              <w:t>..</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
              <w:spacing w:before="20" w:after="20"/>
            </w:pPr>
            <w:r w:rsidRPr="00DC1EE4">
              <w:t>Other comprehensive income for the year</w:t>
            </w:r>
          </w:p>
        </w:tc>
        <w:tc>
          <w:tcPr>
            <w:tcW w:w="1843" w:type="dxa"/>
            <w:tcBorders>
              <w:top w:val="nil"/>
              <w:left w:val="nil"/>
              <w:bottom w:val="nil"/>
              <w:right w:val="nil"/>
            </w:tcBorders>
          </w:tcPr>
          <w:p w:rsidR="0028027B" w:rsidRPr="00DC1EE4" w:rsidRDefault="0028027B" w:rsidP="00C03F9E">
            <w:pPr>
              <w:pStyle w:val="TableofFigures"/>
              <w:spacing w:before="20" w:after="20"/>
            </w:pPr>
            <w:r w:rsidRPr="00DC1EE4">
              <w:t>(616)</w:t>
            </w:r>
          </w:p>
        </w:tc>
        <w:tc>
          <w:tcPr>
            <w:tcW w:w="1826" w:type="dxa"/>
            <w:tcBorders>
              <w:top w:val="nil"/>
              <w:left w:val="nil"/>
              <w:bottom w:val="nil"/>
              <w:right w:val="nil"/>
            </w:tcBorders>
          </w:tcPr>
          <w:p w:rsidR="0028027B" w:rsidRPr="00DC1EE4" w:rsidRDefault="0028027B" w:rsidP="00C03F9E">
            <w:pPr>
              <w:pStyle w:val="TableofFigures"/>
              <w:spacing w:before="20" w:after="20"/>
            </w:pPr>
            <w:r w:rsidRPr="00DC1EE4">
              <w:t>..</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
              <w:spacing w:before="20" w:after="20"/>
            </w:pPr>
            <w:r w:rsidRPr="00DC1EE4">
              <w:t>Transfer to accumulated surplus</w:t>
            </w:r>
          </w:p>
        </w:tc>
        <w:tc>
          <w:tcPr>
            <w:tcW w:w="1843" w:type="dxa"/>
            <w:tcBorders>
              <w:top w:val="nil"/>
              <w:left w:val="nil"/>
              <w:bottom w:val="nil"/>
              <w:right w:val="nil"/>
            </w:tcBorders>
          </w:tcPr>
          <w:p w:rsidR="0028027B" w:rsidRPr="00DC1EE4" w:rsidRDefault="0028027B" w:rsidP="00C03F9E">
            <w:pPr>
              <w:pStyle w:val="TableofFigures"/>
              <w:spacing w:before="20" w:after="20"/>
            </w:pPr>
            <w:r w:rsidRPr="00DC1EE4">
              <w:t>(22)</w:t>
            </w:r>
          </w:p>
        </w:tc>
        <w:tc>
          <w:tcPr>
            <w:tcW w:w="1826" w:type="dxa"/>
            <w:tcBorders>
              <w:top w:val="nil"/>
              <w:left w:val="nil"/>
              <w:bottom w:val="nil"/>
              <w:right w:val="nil"/>
            </w:tcBorders>
          </w:tcPr>
          <w:p w:rsidR="0028027B" w:rsidRPr="00DC1EE4" w:rsidRDefault="0028027B" w:rsidP="00C03F9E">
            <w:pPr>
              <w:pStyle w:val="TableofFigures"/>
              <w:spacing w:before="20" w:after="20"/>
            </w:pPr>
            <w:r w:rsidRPr="00DC1EE4">
              <w:t>..</w:t>
            </w:r>
          </w:p>
        </w:tc>
      </w:tr>
      <w:tr w:rsidR="0028027B" w:rsidRPr="00DC1EE4" w:rsidTr="00C03F9E">
        <w:trPr>
          <w:trHeight w:val="220"/>
        </w:trPr>
        <w:tc>
          <w:tcPr>
            <w:tcW w:w="5971" w:type="dxa"/>
            <w:tcBorders>
              <w:top w:val="nil"/>
              <w:left w:val="nil"/>
              <w:bottom w:val="single" w:sz="6" w:space="0" w:color="auto"/>
              <w:right w:val="nil"/>
            </w:tcBorders>
          </w:tcPr>
          <w:p w:rsidR="0028027B" w:rsidRPr="00DC1EE4" w:rsidRDefault="0028027B" w:rsidP="00C03F9E">
            <w:pPr>
              <w:pStyle w:val="Tabletext"/>
              <w:spacing w:before="20" w:after="20"/>
            </w:pPr>
            <w:r w:rsidRPr="00DC1EE4">
              <w:t>Transactions with owners in their capacity as owners</w:t>
            </w:r>
          </w:p>
        </w:tc>
        <w:tc>
          <w:tcPr>
            <w:tcW w:w="1843" w:type="dxa"/>
            <w:tcBorders>
              <w:top w:val="nil"/>
              <w:left w:val="nil"/>
              <w:bottom w:val="single" w:sz="6" w:space="0" w:color="auto"/>
              <w:right w:val="nil"/>
            </w:tcBorders>
          </w:tcPr>
          <w:p w:rsidR="0028027B" w:rsidRPr="00DC1EE4" w:rsidRDefault="0028027B" w:rsidP="00C03F9E">
            <w:pPr>
              <w:pStyle w:val="TableofFigures"/>
              <w:spacing w:before="20" w:after="20"/>
            </w:pPr>
            <w:r w:rsidRPr="00DC1EE4">
              <w:t xml:space="preserve">.. </w:t>
            </w:r>
          </w:p>
        </w:tc>
        <w:tc>
          <w:tcPr>
            <w:tcW w:w="1826" w:type="dxa"/>
            <w:tcBorders>
              <w:top w:val="nil"/>
              <w:left w:val="nil"/>
              <w:bottom w:val="single" w:sz="6" w:space="0" w:color="auto"/>
              <w:right w:val="nil"/>
            </w:tcBorders>
          </w:tcPr>
          <w:p w:rsidR="0028027B" w:rsidRPr="00DC1EE4" w:rsidRDefault="0028027B" w:rsidP="00C03F9E">
            <w:pPr>
              <w:pStyle w:val="TableofFigures"/>
              <w:spacing w:before="20" w:after="20"/>
            </w:pPr>
            <w:r w:rsidRPr="00DC1EE4">
              <w:t>..</w:t>
            </w:r>
          </w:p>
        </w:tc>
      </w:tr>
      <w:tr w:rsidR="0028027B" w:rsidRPr="00DC1EE4" w:rsidTr="00C03F9E">
        <w:trPr>
          <w:trHeight w:val="220"/>
        </w:trPr>
        <w:tc>
          <w:tcPr>
            <w:tcW w:w="5971" w:type="dxa"/>
            <w:tcBorders>
              <w:top w:val="nil"/>
              <w:left w:val="nil"/>
              <w:bottom w:val="single" w:sz="12" w:space="0" w:color="auto"/>
              <w:right w:val="nil"/>
            </w:tcBorders>
          </w:tcPr>
          <w:p w:rsidR="0028027B" w:rsidRPr="00DC1EE4" w:rsidRDefault="0028027B" w:rsidP="00C03F9E">
            <w:pPr>
              <w:pStyle w:val="Tabletext"/>
              <w:spacing w:before="20" w:after="20"/>
              <w:rPr>
                <w:b/>
              </w:rPr>
            </w:pPr>
            <w:r w:rsidRPr="00DC1EE4">
              <w:rPr>
                <w:b/>
              </w:rPr>
              <w:t>Total equity as at 31 December 2015</w:t>
            </w:r>
          </w:p>
        </w:tc>
        <w:tc>
          <w:tcPr>
            <w:tcW w:w="1843" w:type="dxa"/>
            <w:tcBorders>
              <w:top w:val="nil"/>
              <w:left w:val="nil"/>
              <w:bottom w:val="single" w:sz="12" w:space="0" w:color="auto"/>
              <w:right w:val="nil"/>
            </w:tcBorders>
          </w:tcPr>
          <w:p w:rsidR="0028027B" w:rsidRPr="00DC1EE4" w:rsidRDefault="0028027B" w:rsidP="00C03F9E">
            <w:pPr>
              <w:pStyle w:val="TableofFigures"/>
              <w:spacing w:before="20" w:after="20"/>
              <w:rPr>
                <w:b/>
              </w:rPr>
            </w:pPr>
            <w:r w:rsidRPr="00DC1EE4">
              <w:rPr>
                <w:b/>
              </w:rPr>
              <w:t>61 108</w:t>
            </w:r>
          </w:p>
        </w:tc>
        <w:tc>
          <w:tcPr>
            <w:tcW w:w="1826" w:type="dxa"/>
            <w:tcBorders>
              <w:top w:val="nil"/>
              <w:left w:val="nil"/>
              <w:bottom w:val="single" w:sz="12" w:space="0" w:color="auto"/>
              <w:right w:val="nil"/>
            </w:tcBorders>
          </w:tcPr>
          <w:p w:rsidR="0028027B" w:rsidRPr="00DC1EE4" w:rsidRDefault="0028027B" w:rsidP="00C03F9E">
            <w:pPr>
              <w:pStyle w:val="TableofFigures"/>
              <w:spacing w:before="20" w:after="20"/>
              <w:rPr>
                <w:b/>
              </w:rPr>
            </w:pPr>
            <w:r w:rsidRPr="00DC1EE4">
              <w:rPr>
                <w:b/>
              </w:rPr>
              <w:t xml:space="preserve"> 50.0</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
              <w:spacing w:before="20" w:after="20"/>
              <w:rPr>
                <w:b/>
              </w:rPr>
            </w:pPr>
            <w:r w:rsidRPr="00DC1EE4">
              <w:rPr>
                <w:b/>
              </w:rPr>
              <w:t>2014</w:t>
            </w:r>
          </w:p>
        </w:tc>
        <w:tc>
          <w:tcPr>
            <w:tcW w:w="1843" w:type="dxa"/>
            <w:tcBorders>
              <w:top w:val="nil"/>
              <w:left w:val="nil"/>
              <w:bottom w:val="nil"/>
              <w:right w:val="nil"/>
            </w:tcBorders>
          </w:tcPr>
          <w:p w:rsidR="0028027B" w:rsidRPr="00DC1EE4" w:rsidRDefault="005A4BB0" w:rsidP="00C03F9E">
            <w:pPr>
              <w:pStyle w:val="TableofFigures"/>
              <w:spacing w:before="20" w:after="20"/>
              <w:rPr>
                <w:b/>
              </w:rPr>
            </w:pPr>
            <w:r>
              <w:rPr>
                <w:b/>
              </w:rPr>
              <w:t xml:space="preserve"> </w:t>
            </w:r>
          </w:p>
        </w:tc>
        <w:tc>
          <w:tcPr>
            <w:tcW w:w="1826" w:type="dxa"/>
            <w:tcBorders>
              <w:top w:val="nil"/>
              <w:left w:val="nil"/>
              <w:bottom w:val="nil"/>
              <w:right w:val="nil"/>
            </w:tcBorders>
          </w:tcPr>
          <w:p w:rsidR="0028027B" w:rsidRPr="00DC1EE4" w:rsidRDefault="005A4BB0" w:rsidP="00C03F9E">
            <w:pPr>
              <w:pStyle w:val="TableofFigures"/>
              <w:spacing w:before="20" w:after="20"/>
              <w:rPr>
                <w:b/>
              </w:rPr>
            </w:pPr>
            <w:r>
              <w:rPr>
                <w:b/>
              </w:rPr>
              <w:t xml:space="preserve"> </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
              <w:spacing w:before="20" w:after="20"/>
            </w:pPr>
            <w:r w:rsidRPr="00DC1EE4">
              <w:t>Balance at 1 July 2014</w:t>
            </w:r>
            <w:r w:rsidRPr="00DC1EE4">
              <w:rPr>
                <w:vertAlign w:val="superscript"/>
              </w:rPr>
              <w:t>(a)</w:t>
            </w:r>
          </w:p>
        </w:tc>
        <w:tc>
          <w:tcPr>
            <w:tcW w:w="1843" w:type="dxa"/>
            <w:tcBorders>
              <w:top w:val="nil"/>
              <w:left w:val="nil"/>
              <w:bottom w:val="nil"/>
              <w:right w:val="nil"/>
            </w:tcBorders>
          </w:tcPr>
          <w:p w:rsidR="0028027B" w:rsidRPr="00DC1EE4" w:rsidRDefault="0028027B" w:rsidP="00C03F9E">
            <w:pPr>
              <w:pStyle w:val="TableofFigures"/>
              <w:spacing w:before="20" w:after="20"/>
            </w:pPr>
            <w:r w:rsidRPr="00DC1EE4">
              <w:t>45 436</w:t>
            </w:r>
          </w:p>
        </w:tc>
        <w:tc>
          <w:tcPr>
            <w:tcW w:w="1826" w:type="dxa"/>
            <w:tcBorders>
              <w:top w:val="nil"/>
              <w:left w:val="nil"/>
              <w:bottom w:val="nil"/>
              <w:right w:val="nil"/>
            </w:tcBorders>
          </w:tcPr>
          <w:p w:rsidR="0028027B" w:rsidRPr="00DC1EE4" w:rsidRDefault="0028027B" w:rsidP="00C03F9E">
            <w:pPr>
              <w:pStyle w:val="TableofFigures"/>
              <w:spacing w:before="20" w:after="20"/>
            </w:pPr>
            <w:r w:rsidRPr="00DC1EE4">
              <w:t xml:space="preserve"> 50.0</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
              <w:spacing w:before="20" w:after="20"/>
            </w:pPr>
            <w:r w:rsidRPr="00DC1EE4">
              <w:t>Net result for the six months</w:t>
            </w:r>
          </w:p>
        </w:tc>
        <w:tc>
          <w:tcPr>
            <w:tcW w:w="1843" w:type="dxa"/>
            <w:tcBorders>
              <w:top w:val="nil"/>
              <w:left w:val="nil"/>
              <w:bottom w:val="nil"/>
              <w:right w:val="nil"/>
            </w:tcBorders>
          </w:tcPr>
          <w:p w:rsidR="0028027B" w:rsidRPr="00DC1EE4" w:rsidRDefault="0028027B" w:rsidP="00C03F9E">
            <w:pPr>
              <w:pStyle w:val="TableofFigures"/>
              <w:spacing w:before="20" w:after="20"/>
            </w:pPr>
            <w:r w:rsidRPr="00DC1EE4">
              <w:t>(1 779)</w:t>
            </w:r>
          </w:p>
        </w:tc>
        <w:tc>
          <w:tcPr>
            <w:tcW w:w="1826" w:type="dxa"/>
            <w:tcBorders>
              <w:top w:val="nil"/>
              <w:left w:val="nil"/>
              <w:bottom w:val="nil"/>
              <w:right w:val="nil"/>
            </w:tcBorders>
          </w:tcPr>
          <w:p w:rsidR="0028027B" w:rsidRPr="00DC1EE4" w:rsidRDefault="0028027B" w:rsidP="00C03F9E">
            <w:pPr>
              <w:pStyle w:val="TableofFigures"/>
              <w:spacing w:before="20" w:after="20"/>
            </w:pPr>
            <w:r w:rsidRPr="00DC1EE4">
              <w:t>..</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
              <w:spacing w:before="20" w:after="20"/>
            </w:pPr>
            <w:r w:rsidRPr="00DC1EE4">
              <w:t>Other comprehensive income for the year</w:t>
            </w:r>
          </w:p>
        </w:tc>
        <w:tc>
          <w:tcPr>
            <w:tcW w:w="1843" w:type="dxa"/>
            <w:tcBorders>
              <w:top w:val="nil"/>
              <w:left w:val="nil"/>
              <w:bottom w:val="nil"/>
              <w:right w:val="nil"/>
            </w:tcBorders>
          </w:tcPr>
          <w:p w:rsidR="0028027B" w:rsidRPr="00DC1EE4" w:rsidRDefault="0028027B" w:rsidP="00C03F9E">
            <w:pPr>
              <w:pStyle w:val="TableofFigures"/>
              <w:spacing w:before="20" w:after="20"/>
            </w:pPr>
            <w:r w:rsidRPr="00DC1EE4">
              <w:t>(2 380)</w:t>
            </w:r>
          </w:p>
        </w:tc>
        <w:tc>
          <w:tcPr>
            <w:tcW w:w="1826" w:type="dxa"/>
            <w:tcBorders>
              <w:top w:val="nil"/>
              <w:left w:val="nil"/>
              <w:bottom w:val="nil"/>
              <w:right w:val="nil"/>
            </w:tcBorders>
          </w:tcPr>
          <w:p w:rsidR="0028027B" w:rsidRPr="00DC1EE4" w:rsidRDefault="0028027B" w:rsidP="00C03F9E">
            <w:pPr>
              <w:pStyle w:val="TableofFigures"/>
              <w:spacing w:before="20" w:after="20"/>
            </w:pPr>
            <w:r w:rsidRPr="00DC1EE4">
              <w:t>..</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
              <w:spacing w:before="20" w:after="20"/>
            </w:pPr>
            <w:r w:rsidRPr="00DC1EE4">
              <w:t>Transfer to accumulated surplus</w:t>
            </w:r>
          </w:p>
        </w:tc>
        <w:tc>
          <w:tcPr>
            <w:tcW w:w="1843" w:type="dxa"/>
            <w:tcBorders>
              <w:top w:val="nil"/>
              <w:left w:val="nil"/>
              <w:bottom w:val="nil"/>
              <w:right w:val="nil"/>
            </w:tcBorders>
          </w:tcPr>
          <w:p w:rsidR="0028027B" w:rsidRPr="00DC1EE4" w:rsidRDefault="0028027B" w:rsidP="00C03F9E">
            <w:pPr>
              <w:pStyle w:val="TableofFigures"/>
              <w:spacing w:before="20" w:after="20"/>
            </w:pPr>
            <w:r w:rsidRPr="00DC1EE4">
              <w:t>392</w:t>
            </w:r>
          </w:p>
        </w:tc>
        <w:tc>
          <w:tcPr>
            <w:tcW w:w="1826" w:type="dxa"/>
            <w:tcBorders>
              <w:top w:val="nil"/>
              <w:left w:val="nil"/>
              <w:bottom w:val="nil"/>
              <w:right w:val="nil"/>
            </w:tcBorders>
          </w:tcPr>
          <w:p w:rsidR="0028027B" w:rsidRPr="00DC1EE4" w:rsidRDefault="0028027B" w:rsidP="00C03F9E">
            <w:pPr>
              <w:pStyle w:val="TableofFigures"/>
              <w:spacing w:before="20" w:after="20"/>
            </w:pPr>
            <w:r w:rsidRPr="00DC1EE4">
              <w:t>..</w:t>
            </w:r>
          </w:p>
        </w:tc>
      </w:tr>
      <w:tr w:rsidR="0028027B" w:rsidRPr="00DC1EE4" w:rsidTr="00C03F9E">
        <w:trPr>
          <w:trHeight w:val="220"/>
        </w:trPr>
        <w:tc>
          <w:tcPr>
            <w:tcW w:w="5971" w:type="dxa"/>
            <w:tcBorders>
              <w:top w:val="nil"/>
              <w:left w:val="nil"/>
              <w:bottom w:val="single" w:sz="6" w:space="0" w:color="auto"/>
              <w:right w:val="nil"/>
            </w:tcBorders>
          </w:tcPr>
          <w:p w:rsidR="0028027B" w:rsidRPr="00DC1EE4" w:rsidRDefault="0028027B" w:rsidP="00C03F9E">
            <w:pPr>
              <w:pStyle w:val="Tabletext"/>
              <w:spacing w:before="20" w:after="20"/>
            </w:pPr>
            <w:r w:rsidRPr="00DC1EE4">
              <w:t>Transactions with owners in their capacity as owners</w:t>
            </w:r>
          </w:p>
        </w:tc>
        <w:tc>
          <w:tcPr>
            <w:tcW w:w="1843" w:type="dxa"/>
            <w:tcBorders>
              <w:top w:val="nil"/>
              <w:left w:val="nil"/>
              <w:bottom w:val="single" w:sz="6" w:space="0" w:color="auto"/>
              <w:right w:val="nil"/>
            </w:tcBorders>
          </w:tcPr>
          <w:p w:rsidR="0028027B" w:rsidRPr="00DC1EE4" w:rsidRDefault="0028027B" w:rsidP="00C03F9E">
            <w:pPr>
              <w:pStyle w:val="TableofFigures"/>
              <w:spacing w:before="20" w:after="20"/>
            </w:pPr>
            <w:r w:rsidRPr="00DC1EE4">
              <w:t xml:space="preserve">.. </w:t>
            </w:r>
          </w:p>
        </w:tc>
        <w:tc>
          <w:tcPr>
            <w:tcW w:w="1826" w:type="dxa"/>
            <w:tcBorders>
              <w:top w:val="nil"/>
              <w:left w:val="nil"/>
              <w:bottom w:val="single" w:sz="6" w:space="0" w:color="auto"/>
              <w:right w:val="nil"/>
            </w:tcBorders>
          </w:tcPr>
          <w:p w:rsidR="0028027B" w:rsidRPr="00DC1EE4" w:rsidRDefault="0028027B" w:rsidP="00C03F9E">
            <w:pPr>
              <w:pStyle w:val="TableofFigures"/>
              <w:spacing w:before="20" w:after="20"/>
            </w:pPr>
            <w:r w:rsidRPr="00DC1EE4">
              <w:t>..</w:t>
            </w:r>
          </w:p>
        </w:tc>
      </w:tr>
      <w:tr w:rsidR="0028027B" w:rsidRPr="00DC1EE4" w:rsidTr="00C03F9E">
        <w:trPr>
          <w:trHeight w:val="220"/>
        </w:trPr>
        <w:tc>
          <w:tcPr>
            <w:tcW w:w="5971" w:type="dxa"/>
            <w:tcBorders>
              <w:top w:val="single" w:sz="6" w:space="0" w:color="auto"/>
              <w:left w:val="nil"/>
              <w:bottom w:val="single" w:sz="12" w:space="0" w:color="000000"/>
              <w:right w:val="nil"/>
            </w:tcBorders>
            <w:shd w:val="clear" w:color="auto" w:fill="auto"/>
          </w:tcPr>
          <w:p w:rsidR="0028027B" w:rsidRPr="00DC1EE4" w:rsidRDefault="0028027B" w:rsidP="00C03F9E">
            <w:pPr>
              <w:pStyle w:val="Tabletext"/>
              <w:spacing w:before="20" w:after="20"/>
              <w:rPr>
                <w:b/>
              </w:rPr>
            </w:pPr>
            <w:r w:rsidRPr="00DC1EE4">
              <w:rPr>
                <w:b/>
              </w:rPr>
              <w:t>Total equity as at 31 December 2014</w:t>
            </w:r>
          </w:p>
        </w:tc>
        <w:tc>
          <w:tcPr>
            <w:tcW w:w="1843" w:type="dxa"/>
            <w:tcBorders>
              <w:top w:val="single" w:sz="6" w:space="0" w:color="auto"/>
              <w:left w:val="nil"/>
              <w:bottom w:val="single" w:sz="12" w:space="0" w:color="000000"/>
              <w:right w:val="nil"/>
            </w:tcBorders>
            <w:shd w:val="clear" w:color="auto" w:fill="auto"/>
          </w:tcPr>
          <w:p w:rsidR="0028027B" w:rsidRPr="00DC1EE4" w:rsidRDefault="0028027B" w:rsidP="00C03F9E">
            <w:pPr>
              <w:pStyle w:val="TableofFigures"/>
              <w:spacing w:before="20" w:after="20"/>
              <w:rPr>
                <w:b/>
              </w:rPr>
            </w:pPr>
            <w:r w:rsidRPr="00DC1EE4">
              <w:rPr>
                <w:b/>
              </w:rPr>
              <w:t>41 668</w:t>
            </w:r>
          </w:p>
        </w:tc>
        <w:tc>
          <w:tcPr>
            <w:tcW w:w="1826" w:type="dxa"/>
            <w:tcBorders>
              <w:top w:val="single" w:sz="6" w:space="0" w:color="auto"/>
              <w:left w:val="nil"/>
              <w:bottom w:val="single" w:sz="12" w:space="0" w:color="000000"/>
              <w:right w:val="nil"/>
            </w:tcBorders>
            <w:shd w:val="clear" w:color="auto" w:fill="auto"/>
          </w:tcPr>
          <w:p w:rsidR="0028027B" w:rsidRPr="00DC1EE4" w:rsidRDefault="0028027B" w:rsidP="00C03F9E">
            <w:pPr>
              <w:pStyle w:val="TableofFigures"/>
              <w:spacing w:before="20" w:after="20"/>
              <w:rPr>
                <w:b/>
              </w:rPr>
            </w:pPr>
            <w:r w:rsidRPr="00DC1EE4">
              <w:rPr>
                <w:b/>
              </w:rPr>
              <w:t xml:space="preserve"> 50.0</w:t>
            </w:r>
          </w:p>
        </w:tc>
      </w:tr>
    </w:tbl>
    <w:p w:rsidR="0028027B" w:rsidRPr="00DC1EE4" w:rsidRDefault="0028027B" w:rsidP="0028027B">
      <w:pPr>
        <w:pStyle w:val="Source"/>
      </w:pPr>
      <w:r w:rsidRPr="00DC1EE4">
        <w:t>The accompanying notes form part of these financial statements.</w:t>
      </w:r>
    </w:p>
    <w:p w:rsidR="0028027B" w:rsidRPr="00DC1EE4" w:rsidRDefault="0028027B" w:rsidP="0028027B">
      <w:pPr>
        <w:pStyle w:val="Notes"/>
      </w:pPr>
      <w:r w:rsidRPr="00DC1EE4">
        <w:t>Note:</w:t>
      </w:r>
    </w:p>
    <w:p w:rsidR="0028027B" w:rsidRPr="00DC1EE4" w:rsidRDefault="0028027B" w:rsidP="0028027B">
      <w:pPr>
        <w:pStyle w:val="Notes"/>
      </w:pPr>
      <w:r w:rsidRPr="00DC1EE4">
        <w:t>(a)</w:t>
      </w:r>
      <w:r w:rsidRPr="00DC1EE4">
        <w:tab/>
        <w:t xml:space="preserve">The 1 July 2014 and December 2014 comparatives and the 1 July 2015 opening balances have been restated to reflect more current information, mainly including adjustments outlined in Note 37 of the </w:t>
      </w:r>
      <w:r w:rsidRPr="00DC1EE4">
        <w:rPr>
          <w:i w:val="0"/>
        </w:rPr>
        <w:t>2014</w:t>
      </w:r>
      <w:r w:rsidR="005A4BB0">
        <w:rPr>
          <w:i w:val="0"/>
        </w:rPr>
        <w:noBreakHyphen/>
      </w:r>
      <w:r w:rsidRPr="00DC1EE4">
        <w:rPr>
          <w:i w:val="0"/>
        </w:rPr>
        <w:t>15 Financial Report.</w:t>
      </w:r>
    </w:p>
    <w:p w:rsidR="0028027B" w:rsidRPr="00DC1EE4" w:rsidRDefault="0028027B" w:rsidP="0028027B">
      <w:pPr>
        <w:pStyle w:val="Notes"/>
      </w:pPr>
    </w:p>
    <w:p w:rsidR="0028027B" w:rsidRPr="00DC1EE4" w:rsidRDefault="0028027B" w:rsidP="0028027B">
      <w:pPr>
        <w:pStyle w:val="million"/>
      </w:pPr>
      <w:r w:rsidRPr="00DC1EE4">
        <w:t>($ million)</w:t>
      </w:r>
    </w:p>
    <w:tbl>
      <w:tblPr>
        <w:tblW w:w="9640" w:type="dxa"/>
        <w:tblInd w:w="28" w:type="dxa"/>
        <w:tblLayout w:type="fixed"/>
        <w:tblCellMar>
          <w:left w:w="45" w:type="dxa"/>
          <w:right w:w="45" w:type="dxa"/>
        </w:tblCellMar>
        <w:tblLook w:val="0000" w:firstRow="0" w:lastRow="0" w:firstColumn="0" w:lastColumn="0" w:noHBand="0" w:noVBand="0"/>
      </w:tblPr>
      <w:tblGrid>
        <w:gridCol w:w="5971"/>
        <w:gridCol w:w="1843"/>
        <w:gridCol w:w="1826"/>
      </w:tblGrid>
      <w:tr w:rsidR="0028027B" w:rsidRPr="00DC1EE4" w:rsidTr="00C03F9E">
        <w:trPr>
          <w:trHeight w:val="220"/>
        </w:trPr>
        <w:tc>
          <w:tcPr>
            <w:tcW w:w="5971" w:type="dxa"/>
            <w:tcBorders>
              <w:top w:val="single" w:sz="6" w:space="0" w:color="auto"/>
              <w:left w:val="single" w:sz="6" w:space="0" w:color="auto"/>
              <w:bottom w:val="single" w:sz="6" w:space="0" w:color="auto"/>
              <w:right w:val="nil"/>
            </w:tcBorders>
            <w:shd w:val="clear" w:color="000000" w:fill="000000"/>
            <w:vAlign w:val="bottom"/>
          </w:tcPr>
          <w:p w:rsidR="0028027B" w:rsidRPr="00DC1EE4" w:rsidRDefault="0028027B" w:rsidP="00C03F9E">
            <w:pPr>
              <w:pStyle w:val="Tabletext"/>
            </w:pPr>
          </w:p>
          <w:p w:rsidR="0028027B" w:rsidRPr="00DC1EE4" w:rsidRDefault="0028027B" w:rsidP="00C03F9E">
            <w:pPr>
              <w:pStyle w:val="Tabletext"/>
            </w:pPr>
          </w:p>
          <w:p w:rsidR="0028027B" w:rsidRPr="00DC1EE4" w:rsidRDefault="0028027B" w:rsidP="00C03F9E">
            <w:pPr>
              <w:pStyle w:val="TabletextheadingLeft"/>
            </w:pPr>
            <w:r w:rsidRPr="00DC1EE4">
              <w:t>General government sector</w:t>
            </w:r>
          </w:p>
        </w:tc>
        <w:tc>
          <w:tcPr>
            <w:tcW w:w="1843" w:type="dxa"/>
            <w:tcBorders>
              <w:top w:val="single" w:sz="6" w:space="0" w:color="auto"/>
              <w:left w:val="nil"/>
              <w:bottom w:val="single" w:sz="6" w:space="0" w:color="auto"/>
              <w:right w:val="nil"/>
            </w:tcBorders>
            <w:shd w:val="clear" w:color="000000" w:fill="000000"/>
            <w:vAlign w:val="bottom"/>
          </w:tcPr>
          <w:p w:rsidR="0028027B" w:rsidRPr="00DC1EE4" w:rsidRDefault="0028027B" w:rsidP="00C03F9E">
            <w:pPr>
              <w:pStyle w:val="Tabletextheading"/>
            </w:pPr>
          </w:p>
          <w:p w:rsidR="0028027B" w:rsidRPr="00DC1EE4" w:rsidRDefault="0028027B" w:rsidP="00C03F9E">
            <w:pPr>
              <w:pStyle w:val="Tabletextheading"/>
              <w:rPr>
                <w:vertAlign w:val="superscript"/>
              </w:rPr>
            </w:pPr>
            <w:r w:rsidRPr="00DC1EE4">
              <w:t>Accumulated surplus/(deficit)</w:t>
            </w:r>
            <w:r w:rsidRPr="00DC1EE4">
              <w:rPr>
                <w:vertAlign w:val="superscript"/>
              </w:rPr>
              <w:t>(a)</w:t>
            </w:r>
          </w:p>
        </w:tc>
        <w:tc>
          <w:tcPr>
            <w:tcW w:w="1826" w:type="dxa"/>
            <w:tcBorders>
              <w:top w:val="single" w:sz="6" w:space="0" w:color="auto"/>
              <w:left w:val="nil"/>
              <w:bottom w:val="single" w:sz="6" w:space="0" w:color="auto"/>
              <w:right w:val="single" w:sz="6" w:space="0" w:color="auto"/>
            </w:tcBorders>
            <w:shd w:val="clear" w:color="000000" w:fill="000000"/>
            <w:vAlign w:val="bottom"/>
          </w:tcPr>
          <w:p w:rsidR="0028027B" w:rsidRPr="00DC1EE4" w:rsidRDefault="0028027B" w:rsidP="00C03F9E">
            <w:pPr>
              <w:pStyle w:val="Tabletextheading"/>
            </w:pPr>
          </w:p>
          <w:p w:rsidR="0028027B" w:rsidRPr="00DC1EE4" w:rsidRDefault="0028027B" w:rsidP="00C03F9E">
            <w:pPr>
              <w:pStyle w:val="Tabletextheading"/>
            </w:pPr>
            <w:r w:rsidRPr="00DC1EE4">
              <w:t>Non</w:t>
            </w:r>
            <w:r w:rsidR="005A4BB0">
              <w:noBreakHyphen/>
            </w:r>
            <w:r w:rsidRPr="00DC1EE4">
              <w:t>controlling interest</w:t>
            </w:r>
          </w:p>
        </w:tc>
      </w:tr>
      <w:tr w:rsidR="0028027B" w:rsidRPr="00DC1EE4" w:rsidTr="00C03F9E">
        <w:trPr>
          <w:trHeight w:val="220"/>
        </w:trPr>
        <w:tc>
          <w:tcPr>
            <w:tcW w:w="5971" w:type="dxa"/>
            <w:tcBorders>
              <w:top w:val="single" w:sz="6" w:space="0" w:color="auto"/>
              <w:left w:val="nil"/>
              <w:bottom w:val="nil"/>
              <w:right w:val="nil"/>
            </w:tcBorders>
          </w:tcPr>
          <w:p w:rsidR="0028027B" w:rsidRPr="00DC1EE4" w:rsidRDefault="0028027B" w:rsidP="00C03F9E">
            <w:pPr>
              <w:pStyle w:val="TableText0"/>
              <w:rPr>
                <w:b/>
              </w:rPr>
            </w:pPr>
            <w:r w:rsidRPr="00DC1EE4">
              <w:rPr>
                <w:b/>
              </w:rPr>
              <w:t>2015</w:t>
            </w:r>
          </w:p>
        </w:tc>
        <w:tc>
          <w:tcPr>
            <w:tcW w:w="1843" w:type="dxa"/>
            <w:tcBorders>
              <w:top w:val="single" w:sz="6" w:space="0" w:color="auto"/>
              <w:left w:val="nil"/>
              <w:bottom w:val="nil"/>
              <w:right w:val="nil"/>
            </w:tcBorders>
          </w:tcPr>
          <w:p w:rsidR="0028027B" w:rsidRPr="00DC1EE4" w:rsidRDefault="005A4BB0" w:rsidP="00C03F9E">
            <w:pPr>
              <w:pStyle w:val="TableText0"/>
              <w:jc w:val="right"/>
              <w:rPr>
                <w:b/>
              </w:rPr>
            </w:pPr>
            <w:r>
              <w:rPr>
                <w:b/>
              </w:rPr>
              <w:t xml:space="preserve"> </w:t>
            </w:r>
          </w:p>
        </w:tc>
        <w:tc>
          <w:tcPr>
            <w:tcW w:w="1826" w:type="dxa"/>
            <w:tcBorders>
              <w:top w:val="single" w:sz="6" w:space="0" w:color="auto"/>
              <w:left w:val="nil"/>
              <w:bottom w:val="nil"/>
              <w:right w:val="nil"/>
            </w:tcBorders>
          </w:tcPr>
          <w:p w:rsidR="0028027B" w:rsidRPr="00DC1EE4" w:rsidRDefault="0028027B" w:rsidP="00C03F9E">
            <w:pPr>
              <w:pStyle w:val="TableText0"/>
              <w:jc w:val="right"/>
              <w:rPr>
                <w:b/>
              </w:rPr>
            </w:pPr>
            <w:r w:rsidRPr="00DC1EE4">
              <w:rPr>
                <w:b/>
              </w:rPr>
              <w:t xml:space="preserve"> </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0"/>
            </w:pPr>
            <w:r w:rsidRPr="00DC1EE4">
              <w:t>Balance at 1 July 2015</w:t>
            </w:r>
          </w:p>
        </w:tc>
        <w:tc>
          <w:tcPr>
            <w:tcW w:w="1843" w:type="dxa"/>
            <w:tcBorders>
              <w:top w:val="nil"/>
              <w:left w:val="nil"/>
              <w:bottom w:val="nil"/>
              <w:right w:val="nil"/>
            </w:tcBorders>
          </w:tcPr>
          <w:p w:rsidR="0028027B" w:rsidRPr="00DC1EE4" w:rsidRDefault="0028027B" w:rsidP="00C03F9E">
            <w:pPr>
              <w:pStyle w:val="TableText0"/>
              <w:jc w:val="right"/>
            </w:pPr>
            <w:r w:rsidRPr="00DC1EE4">
              <w:t>45 764</w:t>
            </w:r>
          </w:p>
        </w:tc>
        <w:tc>
          <w:tcPr>
            <w:tcW w:w="1826" w:type="dxa"/>
            <w:tcBorders>
              <w:top w:val="nil"/>
              <w:left w:val="nil"/>
              <w:bottom w:val="nil"/>
              <w:right w:val="nil"/>
            </w:tcBorders>
          </w:tcPr>
          <w:p w:rsidR="0028027B" w:rsidRPr="00DC1EE4" w:rsidRDefault="0028027B" w:rsidP="00C03F9E">
            <w:pPr>
              <w:pStyle w:val="TableText0"/>
              <w:jc w:val="right"/>
            </w:pPr>
            <w:r w:rsidRPr="00DC1EE4">
              <w:t xml:space="preserve"> 50.0</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0"/>
            </w:pPr>
            <w:r w:rsidRPr="00DC1EE4">
              <w:t>Net result for the six months</w:t>
            </w:r>
          </w:p>
        </w:tc>
        <w:tc>
          <w:tcPr>
            <w:tcW w:w="1843" w:type="dxa"/>
            <w:tcBorders>
              <w:top w:val="nil"/>
              <w:left w:val="nil"/>
              <w:bottom w:val="nil"/>
              <w:right w:val="nil"/>
            </w:tcBorders>
          </w:tcPr>
          <w:p w:rsidR="0028027B" w:rsidRPr="00DC1EE4" w:rsidRDefault="0028027B" w:rsidP="00C03F9E">
            <w:pPr>
              <w:pStyle w:val="TableText0"/>
              <w:jc w:val="right"/>
            </w:pPr>
            <w:r w:rsidRPr="00DC1EE4">
              <w:t>1 239</w:t>
            </w:r>
          </w:p>
        </w:tc>
        <w:tc>
          <w:tcPr>
            <w:tcW w:w="1826" w:type="dxa"/>
            <w:tcBorders>
              <w:top w:val="nil"/>
              <w:left w:val="nil"/>
              <w:bottom w:val="nil"/>
              <w:right w:val="nil"/>
            </w:tcBorders>
          </w:tcPr>
          <w:p w:rsidR="0028027B" w:rsidRPr="00DC1EE4" w:rsidRDefault="0028027B" w:rsidP="00C03F9E">
            <w:pPr>
              <w:pStyle w:val="TableText0"/>
              <w:jc w:val="right"/>
            </w:pPr>
            <w:r w:rsidRPr="00DC1EE4">
              <w:t>..</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0"/>
            </w:pPr>
            <w:r w:rsidRPr="00DC1EE4">
              <w:t>Other comprehensive income for the year</w:t>
            </w:r>
          </w:p>
        </w:tc>
        <w:tc>
          <w:tcPr>
            <w:tcW w:w="1843" w:type="dxa"/>
            <w:tcBorders>
              <w:top w:val="nil"/>
              <w:left w:val="nil"/>
              <w:bottom w:val="nil"/>
              <w:right w:val="nil"/>
            </w:tcBorders>
          </w:tcPr>
          <w:p w:rsidR="0028027B" w:rsidRPr="00DC1EE4" w:rsidRDefault="0028027B" w:rsidP="00C03F9E">
            <w:pPr>
              <w:pStyle w:val="TableText0"/>
              <w:jc w:val="right"/>
            </w:pPr>
            <w:r w:rsidRPr="00DC1EE4">
              <w:t>(678)</w:t>
            </w:r>
          </w:p>
        </w:tc>
        <w:tc>
          <w:tcPr>
            <w:tcW w:w="1826" w:type="dxa"/>
            <w:tcBorders>
              <w:top w:val="nil"/>
              <w:left w:val="nil"/>
              <w:bottom w:val="nil"/>
              <w:right w:val="nil"/>
            </w:tcBorders>
          </w:tcPr>
          <w:p w:rsidR="0028027B" w:rsidRPr="00DC1EE4" w:rsidRDefault="0028027B" w:rsidP="00C03F9E">
            <w:pPr>
              <w:pStyle w:val="TableText0"/>
              <w:jc w:val="right"/>
            </w:pPr>
            <w:r w:rsidRPr="00DC1EE4">
              <w:t>..</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0"/>
            </w:pPr>
            <w:r w:rsidRPr="00DC1EE4">
              <w:t>Transfer to accumulated surplus</w:t>
            </w:r>
          </w:p>
        </w:tc>
        <w:tc>
          <w:tcPr>
            <w:tcW w:w="1843" w:type="dxa"/>
            <w:tcBorders>
              <w:top w:val="nil"/>
              <w:left w:val="nil"/>
              <w:bottom w:val="nil"/>
              <w:right w:val="nil"/>
            </w:tcBorders>
          </w:tcPr>
          <w:p w:rsidR="0028027B" w:rsidRPr="00DC1EE4" w:rsidRDefault="0028027B" w:rsidP="00C03F9E">
            <w:pPr>
              <w:pStyle w:val="TableText0"/>
              <w:jc w:val="right"/>
            </w:pPr>
            <w:r w:rsidRPr="00DC1EE4">
              <w:t>(22)</w:t>
            </w:r>
          </w:p>
        </w:tc>
        <w:tc>
          <w:tcPr>
            <w:tcW w:w="1826" w:type="dxa"/>
            <w:tcBorders>
              <w:top w:val="nil"/>
              <w:left w:val="nil"/>
              <w:bottom w:val="nil"/>
              <w:right w:val="nil"/>
            </w:tcBorders>
          </w:tcPr>
          <w:p w:rsidR="0028027B" w:rsidRPr="00DC1EE4" w:rsidRDefault="0028027B" w:rsidP="00C03F9E">
            <w:pPr>
              <w:pStyle w:val="TableText0"/>
              <w:jc w:val="right"/>
            </w:pPr>
            <w:r w:rsidRPr="00DC1EE4">
              <w:t>..</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0"/>
            </w:pPr>
            <w:r w:rsidRPr="00DC1EE4">
              <w:t>Transactions with owners in their capacity as owners</w:t>
            </w:r>
          </w:p>
        </w:tc>
        <w:tc>
          <w:tcPr>
            <w:tcW w:w="1843" w:type="dxa"/>
            <w:tcBorders>
              <w:top w:val="nil"/>
              <w:left w:val="nil"/>
              <w:bottom w:val="nil"/>
              <w:right w:val="nil"/>
            </w:tcBorders>
          </w:tcPr>
          <w:p w:rsidR="0028027B" w:rsidRPr="00DC1EE4" w:rsidRDefault="0028027B" w:rsidP="00C03F9E">
            <w:pPr>
              <w:pStyle w:val="TableText0"/>
              <w:jc w:val="right"/>
            </w:pPr>
            <w:r w:rsidRPr="00DC1EE4">
              <w:t xml:space="preserve">.. </w:t>
            </w:r>
          </w:p>
        </w:tc>
        <w:tc>
          <w:tcPr>
            <w:tcW w:w="1826" w:type="dxa"/>
            <w:tcBorders>
              <w:top w:val="nil"/>
              <w:left w:val="nil"/>
              <w:bottom w:val="nil"/>
              <w:right w:val="nil"/>
            </w:tcBorders>
          </w:tcPr>
          <w:p w:rsidR="0028027B" w:rsidRPr="00DC1EE4" w:rsidRDefault="0028027B" w:rsidP="00C03F9E">
            <w:pPr>
              <w:pStyle w:val="TableText0"/>
              <w:jc w:val="right"/>
            </w:pPr>
            <w:r w:rsidRPr="00DC1EE4">
              <w:t>..</w:t>
            </w:r>
          </w:p>
        </w:tc>
      </w:tr>
      <w:tr w:rsidR="0028027B" w:rsidRPr="00DC1EE4" w:rsidTr="00C03F9E">
        <w:trPr>
          <w:trHeight w:val="220"/>
        </w:trPr>
        <w:tc>
          <w:tcPr>
            <w:tcW w:w="5971" w:type="dxa"/>
            <w:tcBorders>
              <w:top w:val="single" w:sz="6" w:space="0" w:color="auto"/>
              <w:left w:val="nil"/>
              <w:bottom w:val="single" w:sz="12" w:space="0" w:color="auto"/>
              <w:right w:val="nil"/>
            </w:tcBorders>
          </w:tcPr>
          <w:p w:rsidR="0028027B" w:rsidRPr="00DC1EE4" w:rsidRDefault="0028027B" w:rsidP="00C03F9E">
            <w:pPr>
              <w:pStyle w:val="TableText0"/>
              <w:rPr>
                <w:b/>
              </w:rPr>
            </w:pPr>
            <w:r w:rsidRPr="00DC1EE4">
              <w:rPr>
                <w:b/>
              </w:rPr>
              <w:t>Total equity as at 31 December 2015</w:t>
            </w:r>
          </w:p>
        </w:tc>
        <w:tc>
          <w:tcPr>
            <w:tcW w:w="1843" w:type="dxa"/>
            <w:tcBorders>
              <w:top w:val="single" w:sz="6" w:space="0" w:color="auto"/>
              <w:left w:val="nil"/>
              <w:bottom w:val="single" w:sz="12" w:space="0" w:color="auto"/>
              <w:right w:val="nil"/>
            </w:tcBorders>
          </w:tcPr>
          <w:p w:rsidR="0028027B" w:rsidRPr="00DC1EE4" w:rsidRDefault="0028027B" w:rsidP="00C03F9E">
            <w:pPr>
              <w:pStyle w:val="TableText0"/>
              <w:jc w:val="right"/>
              <w:rPr>
                <w:b/>
              </w:rPr>
            </w:pPr>
            <w:r w:rsidRPr="00DC1EE4">
              <w:rPr>
                <w:b/>
              </w:rPr>
              <w:t>46 304</w:t>
            </w:r>
          </w:p>
        </w:tc>
        <w:tc>
          <w:tcPr>
            <w:tcW w:w="1826" w:type="dxa"/>
            <w:tcBorders>
              <w:top w:val="single" w:sz="6" w:space="0" w:color="auto"/>
              <w:left w:val="nil"/>
              <w:bottom w:val="single" w:sz="12" w:space="0" w:color="auto"/>
              <w:right w:val="nil"/>
            </w:tcBorders>
          </w:tcPr>
          <w:p w:rsidR="0028027B" w:rsidRPr="00DC1EE4" w:rsidRDefault="0028027B" w:rsidP="00C03F9E">
            <w:pPr>
              <w:pStyle w:val="TableText0"/>
              <w:jc w:val="right"/>
              <w:rPr>
                <w:b/>
              </w:rPr>
            </w:pPr>
            <w:r w:rsidRPr="00DC1EE4">
              <w:rPr>
                <w:b/>
              </w:rPr>
              <w:t xml:space="preserve"> 50.0</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0"/>
              <w:rPr>
                <w:b/>
              </w:rPr>
            </w:pPr>
            <w:r w:rsidRPr="00DC1EE4">
              <w:rPr>
                <w:b/>
              </w:rPr>
              <w:t>2014</w:t>
            </w:r>
          </w:p>
        </w:tc>
        <w:tc>
          <w:tcPr>
            <w:tcW w:w="1843" w:type="dxa"/>
            <w:tcBorders>
              <w:top w:val="nil"/>
              <w:left w:val="nil"/>
              <w:bottom w:val="nil"/>
              <w:right w:val="nil"/>
            </w:tcBorders>
          </w:tcPr>
          <w:p w:rsidR="0028027B" w:rsidRPr="00DC1EE4" w:rsidRDefault="0028027B" w:rsidP="00C03F9E">
            <w:pPr>
              <w:pStyle w:val="TableText0"/>
              <w:jc w:val="right"/>
              <w:rPr>
                <w:b/>
              </w:rPr>
            </w:pPr>
            <w:r w:rsidRPr="00DC1EE4">
              <w:t xml:space="preserve"> </w:t>
            </w:r>
          </w:p>
        </w:tc>
        <w:tc>
          <w:tcPr>
            <w:tcW w:w="1826" w:type="dxa"/>
            <w:tcBorders>
              <w:top w:val="nil"/>
              <w:left w:val="nil"/>
              <w:bottom w:val="nil"/>
              <w:right w:val="nil"/>
            </w:tcBorders>
          </w:tcPr>
          <w:p w:rsidR="0028027B" w:rsidRPr="00DC1EE4" w:rsidRDefault="005A4BB0" w:rsidP="00C03F9E">
            <w:pPr>
              <w:pStyle w:val="TableText0"/>
              <w:jc w:val="right"/>
              <w:rPr>
                <w:b/>
              </w:rPr>
            </w:pPr>
            <w:r>
              <w:rPr>
                <w:b/>
              </w:rPr>
              <w:t xml:space="preserve"> </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0"/>
            </w:pPr>
            <w:r w:rsidRPr="00DC1EE4">
              <w:t>Balance at 1 July 2014</w:t>
            </w:r>
          </w:p>
        </w:tc>
        <w:tc>
          <w:tcPr>
            <w:tcW w:w="1843" w:type="dxa"/>
            <w:tcBorders>
              <w:top w:val="nil"/>
              <w:left w:val="nil"/>
              <w:bottom w:val="nil"/>
              <w:right w:val="nil"/>
            </w:tcBorders>
          </w:tcPr>
          <w:p w:rsidR="0028027B" w:rsidRPr="00DC1EE4" w:rsidRDefault="0028027B" w:rsidP="00C03F9E">
            <w:pPr>
              <w:pStyle w:val="TableText0"/>
              <w:jc w:val="right"/>
            </w:pPr>
            <w:r w:rsidRPr="00DC1EE4">
              <w:t>43 635</w:t>
            </w:r>
          </w:p>
        </w:tc>
        <w:tc>
          <w:tcPr>
            <w:tcW w:w="1826" w:type="dxa"/>
            <w:tcBorders>
              <w:top w:val="nil"/>
              <w:left w:val="nil"/>
              <w:bottom w:val="nil"/>
              <w:right w:val="nil"/>
            </w:tcBorders>
          </w:tcPr>
          <w:p w:rsidR="0028027B" w:rsidRPr="00DC1EE4" w:rsidRDefault="0028027B" w:rsidP="00C03F9E">
            <w:pPr>
              <w:pStyle w:val="TableText0"/>
              <w:jc w:val="right"/>
            </w:pPr>
            <w:r w:rsidRPr="00DC1EE4">
              <w:t xml:space="preserve"> 50.0</w:t>
            </w:r>
          </w:p>
        </w:tc>
      </w:tr>
      <w:tr w:rsidR="0028027B" w:rsidRPr="00DC1EE4" w:rsidTr="00C03F9E">
        <w:trPr>
          <w:trHeight w:val="220"/>
        </w:trPr>
        <w:tc>
          <w:tcPr>
            <w:tcW w:w="5971" w:type="dxa"/>
            <w:tcBorders>
              <w:top w:val="nil"/>
              <w:left w:val="nil"/>
              <w:right w:val="nil"/>
            </w:tcBorders>
          </w:tcPr>
          <w:p w:rsidR="0028027B" w:rsidRPr="00DC1EE4" w:rsidRDefault="0028027B" w:rsidP="00C03F9E">
            <w:pPr>
              <w:pStyle w:val="TableText0"/>
            </w:pPr>
            <w:r w:rsidRPr="00DC1EE4">
              <w:t>Net result for the six months</w:t>
            </w:r>
          </w:p>
        </w:tc>
        <w:tc>
          <w:tcPr>
            <w:tcW w:w="1843" w:type="dxa"/>
            <w:tcBorders>
              <w:top w:val="nil"/>
              <w:left w:val="nil"/>
              <w:right w:val="nil"/>
            </w:tcBorders>
          </w:tcPr>
          <w:p w:rsidR="0028027B" w:rsidRPr="00DC1EE4" w:rsidRDefault="0028027B" w:rsidP="00C03F9E">
            <w:pPr>
              <w:pStyle w:val="TableText0"/>
              <w:jc w:val="right"/>
            </w:pPr>
            <w:r w:rsidRPr="00DC1EE4">
              <w:t>191</w:t>
            </w:r>
          </w:p>
        </w:tc>
        <w:tc>
          <w:tcPr>
            <w:tcW w:w="1826" w:type="dxa"/>
            <w:tcBorders>
              <w:top w:val="nil"/>
              <w:left w:val="nil"/>
              <w:right w:val="nil"/>
            </w:tcBorders>
          </w:tcPr>
          <w:p w:rsidR="0028027B" w:rsidRPr="00DC1EE4" w:rsidRDefault="0028027B" w:rsidP="00C03F9E">
            <w:pPr>
              <w:pStyle w:val="TableText0"/>
              <w:jc w:val="right"/>
            </w:pPr>
            <w:r w:rsidRPr="00DC1EE4">
              <w:t>..</w:t>
            </w:r>
          </w:p>
        </w:tc>
      </w:tr>
      <w:tr w:rsidR="0028027B" w:rsidRPr="00DC1EE4" w:rsidTr="00C03F9E">
        <w:trPr>
          <w:trHeight w:val="220"/>
        </w:trPr>
        <w:tc>
          <w:tcPr>
            <w:tcW w:w="5971" w:type="dxa"/>
            <w:tcBorders>
              <w:top w:val="nil"/>
              <w:left w:val="nil"/>
              <w:bottom w:val="nil"/>
              <w:right w:val="nil"/>
            </w:tcBorders>
          </w:tcPr>
          <w:p w:rsidR="0028027B" w:rsidRPr="00DC1EE4" w:rsidRDefault="0028027B" w:rsidP="00C03F9E">
            <w:pPr>
              <w:pStyle w:val="TableText0"/>
            </w:pPr>
            <w:r w:rsidRPr="00DC1EE4">
              <w:t xml:space="preserve">Other comprehensive income for the year </w:t>
            </w:r>
          </w:p>
        </w:tc>
        <w:tc>
          <w:tcPr>
            <w:tcW w:w="1843" w:type="dxa"/>
            <w:tcBorders>
              <w:top w:val="nil"/>
              <w:left w:val="nil"/>
              <w:bottom w:val="nil"/>
              <w:right w:val="nil"/>
            </w:tcBorders>
          </w:tcPr>
          <w:p w:rsidR="0028027B" w:rsidRPr="00DC1EE4" w:rsidRDefault="0028027B" w:rsidP="00C03F9E">
            <w:pPr>
              <w:pStyle w:val="TableText0"/>
              <w:jc w:val="right"/>
            </w:pPr>
            <w:r w:rsidRPr="00DC1EE4">
              <w:t>(2 495)</w:t>
            </w:r>
          </w:p>
        </w:tc>
        <w:tc>
          <w:tcPr>
            <w:tcW w:w="1826" w:type="dxa"/>
            <w:tcBorders>
              <w:top w:val="nil"/>
              <w:left w:val="nil"/>
              <w:bottom w:val="nil"/>
              <w:right w:val="nil"/>
            </w:tcBorders>
          </w:tcPr>
          <w:p w:rsidR="0028027B" w:rsidRPr="00DC1EE4" w:rsidRDefault="0028027B" w:rsidP="00C03F9E">
            <w:pPr>
              <w:pStyle w:val="TableText0"/>
              <w:jc w:val="right"/>
            </w:pPr>
            <w:r w:rsidRPr="00DC1EE4">
              <w:t>..</w:t>
            </w:r>
          </w:p>
        </w:tc>
      </w:tr>
      <w:tr w:rsidR="0028027B" w:rsidRPr="00DC1EE4" w:rsidTr="00C03F9E">
        <w:trPr>
          <w:trHeight w:val="220"/>
        </w:trPr>
        <w:tc>
          <w:tcPr>
            <w:tcW w:w="5971" w:type="dxa"/>
            <w:tcBorders>
              <w:top w:val="nil"/>
              <w:left w:val="nil"/>
              <w:right w:val="nil"/>
            </w:tcBorders>
          </w:tcPr>
          <w:p w:rsidR="0028027B" w:rsidRPr="00DC1EE4" w:rsidRDefault="0028027B" w:rsidP="00C03F9E">
            <w:pPr>
              <w:pStyle w:val="TableText0"/>
            </w:pPr>
            <w:r w:rsidRPr="00DC1EE4">
              <w:t>Transfer to accumulated surplus</w:t>
            </w:r>
          </w:p>
        </w:tc>
        <w:tc>
          <w:tcPr>
            <w:tcW w:w="1843" w:type="dxa"/>
            <w:tcBorders>
              <w:top w:val="nil"/>
              <w:left w:val="nil"/>
              <w:right w:val="nil"/>
            </w:tcBorders>
          </w:tcPr>
          <w:p w:rsidR="0028027B" w:rsidRPr="00DC1EE4" w:rsidRDefault="0028027B" w:rsidP="00C03F9E">
            <w:pPr>
              <w:pStyle w:val="TableText0"/>
              <w:jc w:val="right"/>
            </w:pPr>
            <w:r w:rsidRPr="00DC1EE4">
              <w:t>392</w:t>
            </w:r>
          </w:p>
        </w:tc>
        <w:tc>
          <w:tcPr>
            <w:tcW w:w="1826" w:type="dxa"/>
            <w:tcBorders>
              <w:top w:val="nil"/>
              <w:left w:val="nil"/>
              <w:right w:val="nil"/>
            </w:tcBorders>
          </w:tcPr>
          <w:p w:rsidR="0028027B" w:rsidRPr="00DC1EE4" w:rsidRDefault="0028027B" w:rsidP="00C03F9E">
            <w:pPr>
              <w:pStyle w:val="TableText0"/>
              <w:jc w:val="right"/>
            </w:pPr>
            <w:r w:rsidRPr="00DC1EE4">
              <w:t>..</w:t>
            </w:r>
          </w:p>
        </w:tc>
      </w:tr>
      <w:tr w:rsidR="0028027B" w:rsidRPr="00DC1EE4" w:rsidTr="00C03F9E">
        <w:trPr>
          <w:trHeight w:val="220"/>
        </w:trPr>
        <w:tc>
          <w:tcPr>
            <w:tcW w:w="5971" w:type="dxa"/>
            <w:tcBorders>
              <w:left w:val="nil"/>
              <w:bottom w:val="single" w:sz="6" w:space="0" w:color="auto"/>
              <w:right w:val="nil"/>
            </w:tcBorders>
          </w:tcPr>
          <w:p w:rsidR="0028027B" w:rsidRPr="00DC1EE4" w:rsidRDefault="0028027B" w:rsidP="00C03F9E">
            <w:pPr>
              <w:pStyle w:val="TableText0"/>
            </w:pPr>
            <w:r w:rsidRPr="00DC1EE4">
              <w:t>Transactions with owners in their capacity as owners</w:t>
            </w:r>
          </w:p>
        </w:tc>
        <w:tc>
          <w:tcPr>
            <w:tcW w:w="1843" w:type="dxa"/>
            <w:tcBorders>
              <w:left w:val="nil"/>
              <w:bottom w:val="single" w:sz="6" w:space="0" w:color="auto"/>
              <w:right w:val="nil"/>
            </w:tcBorders>
          </w:tcPr>
          <w:p w:rsidR="0028027B" w:rsidRPr="00DC1EE4" w:rsidRDefault="0028027B" w:rsidP="00C03F9E">
            <w:pPr>
              <w:pStyle w:val="TableText0"/>
              <w:jc w:val="right"/>
            </w:pPr>
            <w:r w:rsidRPr="00DC1EE4">
              <w:t xml:space="preserve">.. </w:t>
            </w:r>
          </w:p>
        </w:tc>
        <w:tc>
          <w:tcPr>
            <w:tcW w:w="1826" w:type="dxa"/>
            <w:tcBorders>
              <w:left w:val="nil"/>
              <w:bottom w:val="single" w:sz="6" w:space="0" w:color="auto"/>
              <w:right w:val="nil"/>
            </w:tcBorders>
          </w:tcPr>
          <w:p w:rsidR="0028027B" w:rsidRPr="00DC1EE4" w:rsidRDefault="0028027B" w:rsidP="00C03F9E">
            <w:pPr>
              <w:pStyle w:val="TableText0"/>
              <w:jc w:val="right"/>
            </w:pPr>
            <w:r w:rsidRPr="00DC1EE4">
              <w:t>..</w:t>
            </w:r>
          </w:p>
        </w:tc>
      </w:tr>
      <w:tr w:rsidR="0028027B" w:rsidRPr="00DC1EE4" w:rsidTr="00C03F9E">
        <w:trPr>
          <w:trHeight w:val="220"/>
        </w:trPr>
        <w:tc>
          <w:tcPr>
            <w:tcW w:w="5971" w:type="dxa"/>
            <w:tcBorders>
              <w:top w:val="single" w:sz="6" w:space="0" w:color="auto"/>
              <w:left w:val="nil"/>
              <w:bottom w:val="single" w:sz="12" w:space="0" w:color="000000"/>
              <w:right w:val="nil"/>
            </w:tcBorders>
            <w:shd w:val="clear" w:color="auto" w:fill="auto"/>
          </w:tcPr>
          <w:p w:rsidR="0028027B" w:rsidRPr="00DC1EE4" w:rsidRDefault="0028027B" w:rsidP="00C03F9E">
            <w:pPr>
              <w:pStyle w:val="TableText0"/>
              <w:rPr>
                <w:b/>
              </w:rPr>
            </w:pPr>
            <w:r w:rsidRPr="00DC1EE4">
              <w:rPr>
                <w:b/>
              </w:rPr>
              <w:t>Total equity as at 31 December 2014</w:t>
            </w:r>
          </w:p>
        </w:tc>
        <w:tc>
          <w:tcPr>
            <w:tcW w:w="1843" w:type="dxa"/>
            <w:tcBorders>
              <w:top w:val="single" w:sz="6" w:space="0" w:color="auto"/>
              <w:left w:val="nil"/>
              <w:bottom w:val="single" w:sz="12" w:space="0" w:color="000000"/>
              <w:right w:val="nil"/>
            </w:tcBorders>
            <w:shd w:val="clear" w:color="auto" w:fill="auto"/>
          </w:tcPr>
          <w:p w:rsidR="0028027B" w:rsidRPr="00DC1EE4" w:rsidRDefault="0028027B" w:rsidP="00C03F9E">
            <w:pPr>
              <w:pStyle w:val="TableText0"/>
              <w:jc w:val="right"/>
              <w:rPr>
                <w:b/>
              </w:rPr>
            </w:pPr>
            <w:r w:rsidRPr="00DC1EE4">
              <w:rPr>
                <w:b/>
              </w:rPr>
              <w:t>41 722</w:t>
            </w:r>
          </w:p>
        </w:tc>
        <w:tc>
          <w:tcPr>
            <w:tcW w:w="1826" w:type="dxa"/>
            <w:tcBorders>
              <w:top w:val="single" w:sz="6" w:space="0" w:color="auto"/>
              <w:left w:val="nil"/>
              <w:bottom w:val="single" w:sz="12" w:space="0" w:color="000000"/>
              <w:right w:val="nil"/>
            </w:tcBorders>
            <w:shd w:val="clear" w:color="auto" w:fill="auto"/>
          </w:tcPr>
          <w:p w:rsidR="0028027B" w:rsidRPr="00DC1EE4" w:rsidRDefault="0028027B" w:rsidP="00C03F9E">
            <w:pPr>
              <w:pStyle w:val="TableText0"/>
              <w:jc w:val="right"/>
              <w:rPr>
                <w:b/>
              </w:rPr>
            </w:pPr>
            <w:r w:rsidRPr="00DC1EE4">
              <w:rPr>
                <w:b/>
              </w:rPr>
              <w:t xml:space="preserve"> 50.0</w:t>
            </w:r>
          </w:p>
        </w:tc>
      </w:tr>
    </w:tbl>
    <w:p w:rsidR="0028027B" w:rsidRPr="00DC1EE4" w:rsidRDefault="0028027B" w:rsidP="0028027B">
      <w:pPr>
        <w:pStyle w:val="Source"/>
      </w:pPr>
      <w:r w:rsidRPr="00DC1EE4">
        <w:t>The accompanying notes form part of these financial statements.</w:t>
      </w:r>
    </w:p>
    <w:p w:rsidR="0028027B" w:rsidRPr="00DC1EE4" w:rsidRDefault="0028027B" w:rsidP="0028027B">
      <w:pPr>
        <w:pStyle w:val="Notes"/>
      </w:pPr>
      <w:r w:rsidRPr="00DC1EE4">
        <w:t>Note:</w:t>
      </w:r>
    </w:p>
    <w:p w:rsidR="0028027B" w:rsidRPr="00DC1EE4" w:rsidRDefault="0028027B" w:rsidP="0028027B">
      <w:pPr>
        <w:pStyle w:val="Notes"/>
      </w:pPr>
      <w:r w:rsidRPr="00DC1EE4">
        <w:t>(a)</w:t>
      </w:r>
      <w:r w:rsidRPr="00DC1EE4">
        <w:tab/>
        <w:t xml:space="preserve">The 1 July 2014 and December 2014 comparatives and the 1 July 2015 opening balances have been restated to reflect more current information, mainly including adjustments outlined in Note 37 of the </w:t>
      </w:r>
      <w:r w:rsidRPr="00DC1EE4">
        <w:rPr>
          <w:i w:val="0"/>
        </w:rPr>
        <w:t>2014</w:t>
      </w:r>
      <w:r w:rsidR="005A4BB0">
        <w:rPr>
          <w:i w:val="0"/>
        </w:rPr>
        <w:noBreakHyphen/>
      </w:r>
      <w:r w:rsidRPr="00DC1EE4">
        <w:rPr>
          <w:i w:val="0"/>
        </w:rPr>
        <w:t>15 Financial Report</w:t>
      </w:r>
      <w:r w:rsidRPr="00DC1EE4">
        <w:t>.</w:t>
      </w:r>
    </w:p>
    <w:p w:rsidR="0028027B" w:rsidRPr="00DC1EE4" w:rsidRDefault="0028027B" w:rsidP="0028027B">
      <w:pPr>
        <w:pStyle w:val="Notes"/>
      </w:pPr>
    </w:p>
    <w:p w:rsidR="0028027B" w:rsidRPr="00DC1EE4" w:rsidRDefault="0028027B" w:rsidP="0028027B">
      <w:pPr>
        <w:pStyle w:val="Notes"/>
        <w:sectPr w:rsidR="0028027B" w:rsidRPr="00DC1EE4" w:rsidSect="00190A01">
          <w:headerReference w:type="even" r:id="rId360"/>
          <w:pgSz w:w="11906" w:h="16838" w:code="9"/>
          <w:pgMar w:top="1152" w:right="864" w:bottom="1152" w:left="864" w:header="432" w:footer="432" w:gutter="0"/>
          <w:cols w:space="708"/>
          <w:docGrid w:linePitch="360"/>
        </w:sectPr>
      </w:pPr>
    </w:p>
    <w:p w:rsidR="0028027B" w:rsidRPr="00DC1EE4" w:rsidRDefault="0028027B" w:rsidP="00AF0BE6">
      <w:pPr>
        <w:pStyle w:val="Heading2"/>
        <w:spacing w:before="60"/>
      </w:pPr>
    </w:p>
    <w:p w:rsidR="0028027B" w:rsidRPr="00DC1EE4" w:rsidRDefault="0028027B" w:rsidP="0028027B">
      <w:pPr>
        <w:pStyle w:val="million"/>
        <w:spacing w:before="80"/>
      </w:pPr>
    </w:p>
    <w:tbl>
      <w:tblPr>
        <w:tblW w:w="9676" w:type="dxa"/>
        <w:tblInd w:w="29" w:type="dxa"/>
        <w:tblLayout w:type="fixed"/>
        <w:tblCellMar>
          <w:left w:w="43" w:type="dxa"/>
          <w:right w:w="43" w:type="dxa"/>
        </w:tblCellMar>
        <w:tblLook w:val="0000" w:firstRow="0" w:lastRow="0" w:firstColumn="0" w:lastColumn="0" w:noHBand="0" w:noVBand="0"/>
      </w:tblPr>
      <w:tblGrid>
        <w:gridCol w:w="3225"/>
        <w:gridCol w:w="4610"/>
        <w:gridCol w:w="1841"/>
      </w:tblGrid>
      <w:tr w:rsidR="0028027B" w:rsidRPr="00DC1EE4" w:rsidTr="00C03F9E">
        <w:tc>
          <w:tcPr>
            <w:tcW w:w="3225" w:type="dxa"/>
            <w:tcBorders>
              <w:top w:val="single" w:sz="4" w:space="0" w:color="auto"/>
              <w:left w:val="single" w:sz="4" w:space="0" w:color="auto"/>
              <w:bottom w:val="single" w:sz="4" w:space="0" w:color="auto"/>
              <w:right w:val="nil"/>
            </w:tcBorders>
            <w:shd w:val="clear" w:color="auto" w:fill="000000"/>
            <w:vAlign w:val="bottom"/>
          </w:tcPr>
          <w:p w:rsidR="0028027B" w:rsidRPr="00DC1EE4" w:rsidRDefault="0028027B" w:rsidP="00C03F9E">
            <w:pPr>
              <w:pStyle w:val="Tabletextheading"/>
            </w:pPr>
            <w:r w:rsidRPr="00DC1EE4">
              <w:t>Non</w:t>
            </w:r>
            <w:r w:rsidR="005A4BB0">
              <w:noBreakHyphen/>
            </w:r>
            <w:r w:rsidRPr="00DC1EE4">
              <w:t>financial assets revaluation surplus</w:t>
            </w:r>
            <w:r w:rsidRPr="00DC1EE4">
              <w:rPr>
                <w:vertAlign w:val="superscript"/>
              </w:rPr>
              <w:t xml:space="preserve"> (a)</w:t>
            </w:r>
            <w:r w:rsidRPr="00DC1EE4">
              <w:t xml:space="preserve"> </w:t>
            </w:r>
          </w:p>
        </w:tc>
        <w:tc>
          <w:tcPr>
            <w:tcW w:w="4610" w:type="dxa"/>
            <w:tcBorders>
              <w:top w:val="single" w:sz="4" w:space="0" w:color="auto"/>
              <w:left w:val="nil"/>
              <w:bottom w:val="single" w:sz="4" w:space="0" w:color="auto"/>
              <w:right w:val="nil"/>
            </w:tcBorders>
            <w:shd w:val="clear" w:color="auto" w:fill="000000"/>
            <w:vAlign w:val="bottom"/>
          </w:tcPr>
          <w:p w:rsidR="0028027B" w:rsidRPr="00DC1EE4" w:rsidRDefault="0028027B" w:rsidP="00C03F9E">
            <w:pPr>
              <w:pStyle w:val="Tabletextheading"/>
            </w:pPr>
          </w:p>
          <w:p w:rsidR="0028027B" w:rsidRPr="00DC1EE4" w:rsidRDefault="0028027B" w:rsidP="00C03F9E">
            <w:pPr>
              <w:pStyle w:val="Tabletextheading"/>
            </w:pPr>
            <w:r w:rsidRPr="00DC1EE4">
              <w:t xml:space="preserve">Other </w:t>
            </w:r>
          </w:p>
          <w:p w:rsidR="0028027B" w:rsidRPr="00DC1EE4" w:rsidRDefault="0028027B" w:rsidP="00C03F9E">
            <w:pPr>
              <w:pStyle w:val="Tabletextheading"/>
            </w:pPr>
            <w:r w:rsidRPr="00DC1EE4">
              <w:t xml:space="preserve">reserves </w:t>
            </w:r>
          </w:p>
        </w:tc>
        <w:tc>
          <w:tcPr>
            <w:tcW w:w="1841" w:type="dxa"/>
            <w:tcBorders>
              <w:top w:val="single" w:sz="4" w:space="0" w:color="auto"/>
              <w:left w:val="nil"/>
              <w:bottom w:val="single" w:sz="4" w:space="0" w:color="auto"/>
              <w:right w:val="single" w:sz="4" w:space="0" w:color="auto"/>
            </w:tcBorders>
            <w:shd w:val="clear" w:color="auto" w:fill="000000"/>
            <w:vAlign w:val="bottom"/>
          </w:tcPr>
          <w:p w:rsidR="0028027B" w:rsidRPr="00DC1EE4" w:rsidRDefault="0028027B" w:rsidP="00C03F9E">
            <w:pPr>
              <w:pStyle w:val="Tabletextheading"/>
            </w:pPr>
          </w:p>
          <w:p w:rsidR="0028027B" w:rsidRPr="00DC1EE4" w:rsidRDefault="0028027B" w:rsidP="00C03F9E">
            <w:pPr>
              <w:pStyle w:val="Tabletextheading"/>
            </w:pPr>
          </w:p>
          <w:p w:rsidR="0028027B" w:rsidRPr="00DC1EE4" w:rsidRDefault="0028027B" w:rsidP="00C03F9E">
            <w:pPr>
              <w:pStyle w:val="Tabletextheading"/>
            </w:pPr>
            <w:r w:rsidRPr="00DC1EE4">
              <w:t>Total</w:t>
            </w:r>
            <w:r w:rsidRPr="00DC1EE4">
              <w:rPr>
                <w:vertAlign w:val="superscript"/>
              </w:rPr>
              <w:t xml:space="preserve"> (a)</w:t>
            </w:r>
          </w:p>
        </w:tc>
      </w:tr>
      <w:tr w:rsidR="0028027B" w:rsidRPr="00DC1EE4" w:rsidTr="00C03F9E">
        <w:tc>
          <w:tcPr>
            <w:tcW w:w="3225" w:type="dxa"/>
            <w:tcBorders>
              <w:top w:val="single" w:sz="4" w:space="0" w:color="auto"/>
              <w:left w:val="nil"/>
              <w:bottom w:val="nil"/>
              <w:right w:val="nil"/>
            </w:tcBorders>
          </w:tcPr>
          <w:p w:rsidR="0028027B" w:rsidRPr="00DC1EE4" w:rsidRDefault="0028027B" w:rsidP="00C03F9E">
            <w:pPr>
              <w:pStyle w:val="TableofFigures"/>
            </w:pPr>
            <w:r w:rsidRPr="00DC1EE4">
              <w:t xml:space="preserve"> </w:t>
            </w:r>
          </w:p>
        </w:tc>
        <w:tc>
          <w:tcPr>
            <w:tcW w:w="4610" w:type="dxa"/>
            <w:tcBorders>
              <w:top w:val="single" w:sz="4" w:space="0" w:color="auto"/>
              <w:left w:val="nil"/>
              <w:bottom w:val="nil"/>
              <w:right w:val="nil"/>
            </w:tcBorders>
          </w:tcPr>
          <w:p w:rsidR="0028027B" w:rsidRPr="00DC1EE4" w:rsidRDefault="0028027B" w:rsidP="00C03F9E">
            <w:pPr>
              <w:pStyle w:val="TableofFigures"/>
            </w:pPr>
            <w:r w:rsidRPr="00DC1EE4">
              <w:t xml:space="preserve"> </w:t>
            </w:r>
          </w:p>
        </w:tc>
        <w:tc>
          <w:tcPr>
            <w:tcW w:w="1841" w:type="dxa"/>
            <w:tcBorders>
              <w:top w:val="single" w:sz="4" w:space="0" w:color="auto"/>
              <w:left w:val="nil"/>
              <w:bottom w:val="nil"/>
              <w:right w:val="nil"/>
            </w:tcBorders>
          </w:tcPr>
          <w:p w:rsidR="0028027B" w:rsidRPr="00DC1EE4" w:rsidRDefault="0028027B" w:rsidP="00C03F9E">
            <w:pPr>
              <w:pStyle w:val="TableofFigures"/>
            </w:pPr>
            <w:r w:rsidRPr="00DC1EE4">
              <w:t xml:space="preserve"> </w:t>
            </w:r>
          </w:p>
        </w:tc>
      </w:tr>
      <w:tr w:rsidR="0028027B" w:rsidRPr="00DC1EE4" w:rsidTr="00C03F9E">
        <w:tc>
          <w:tcPr>
            <w:tcW w:w="3225" w:type="dxa"/>
            <w:tcBorders>
              <w:top w:val="nil"/>
              <w:left w:val="nil"/>
              <w:bottom w:val="nil"/>
              <w:right w:val="nil"/>
            </w:tcBorders>
          </w:tcPr>
          <w:p w:rsidR="0028027B" w:rsidRPr="00DC1EE4" w:rsidRDefault="0028027B" w:rsidP="00C03F9E">
            <w:pPr>
              <w:pStyle w:val="TableofFigures"/>
            </w:pPr>
            <w:r w:rsidRPr="00DC1EE4">
              <w:t>77 429</w:t>
            </w:r>
          </w:p>
        </w:tc>
        <w:tc>
          <w:tcPr>
            <w:tcW w:w="4610" w:type="dxa"/>
            <w:tcBorders>
              <w:top w:val="nil"/>
              <w:left w:val="nil"/>
              <w:bottom w:val="nil"/>
              <w:right w:val="nil"/>
            </w:tcBorders>
          </w:tcPr>
          <w:p w:rsidR="0028027B" w:rsidRPr="00DC1EE4" w:rsidRDefault="0028027B" w:rsidP="00C03F9E">
            <w:pPr>
              <w:pStyle w:val="TableofFigures"/>
            </w:pPr>
            <w:r w:rsidRPr="00DC1EE4">
              <w:t>1 201</w:t>
            </w:r>
          </w:p>
        </w:tc>
        <w:tc>
          <w:tcPr>
            <w:tcW w:w="1841" w:type="dxa"/>
            <w:tcBorders>
              <w:top w:val="nil"/>
              <w:left w:val="nil"/>
              <w:bottom w:val="nil"/>
              <w:right w:val="nil"/>
            </w:tcBorders>
          </w:tcPr>
          <w:p w:rsidR="0028027B" w:rsidRPr="00DC1EE4" w:rsidRDefault="0028027B" w:rsidP="00C03F9E">
            <w:pPr>
              <w:pStyle w:val="TableofFigures"/>
            </w:pPr>
            <w:r w:rsidRPr="00DC1EE4">
              <w:t>139 885</w:t>
            </w:r>
          </w:p>
        </w:tc>
      </w:tr>
      <w:tr w:rsidR="0028027B" w:rsidRPr="00DC1EE4" w:rsidTr="00C03F9E">
        <w:tc>
          <w:tcPr>
            <w:tcW w:w="3225" w:type="dxa"/>
            <w:tcBorders>
              <w:top w:val="nil"/>
              <w:left w:val="nil"/>
              <w:right w:val="nil"/>
            </w:tcBorders>
          </w:tcPr>
          <w:p w:rsidR="0028027B" w:rsidRPr="00DC1EE4" w:rsidRDefault="0028027B" w:rsidP="00C03F9E">
            <w:pPr>
              <w:pStyle w:val="TableofFigures"/>
            </w:pPr>
            <w:r w:rsidRPr="00DC1EE4">
              <w:t>..</w:t>
            </w:r>
          </w:p>
        </w:tc>
        <w:tc>
          <w:tcPr>
            <w:tcW w:w="4610" w:type="dxa"/>
            <w:tcBorders>
              <w:top w:val="nil"/>
              <w:left w:val="nil"/>
              <w:bottom w:val="nil"/>
              <w:right w:val="nil"/>
            </w:tcBorders>
          </w:tcPr>
          <w:p w:rsidR="0028027B" w:rsidRPr="00DC1EE4" w:rsidRDefault="0028027B" w:rsidP="00C03F9E">
            <w:pPr>
              <w:pStyle w:val="TableofFigures"/>
            </w:pPr>
            <w:r w:rsidRPr="00DC1EE4">
              <w:t>..</w:t>
            </w:r>
          </w:p>
        </w:tc>
        <w:tc>
          <w:tcPr>
            <w:tcW w:w="1841" w:type="dxa"/>
            <w:tcBorders>
              <w:top w:val="nil"/>
              <w:left w:val="nil"/>
              <w:bottom w:val="nil"/>
              <w:right w:val="nil"/>
            </w:tcBorders>
          </w:tcPr>
          <w:p w:rsidR="0028027B" w:rsidRPr="00DC1EE4" w:rsidRDefault="0028027B" w:rsidP="00C03F9E">
            <w:pPr>
              <w:pStyle w:val="TableofFigures"/>
            </w:pPr>
            <w:r w:rsidRPr="00DC1EE4">
              <w:t>542</w:t>
            </w:r>
          </w:p>
        </w:tc>
      </w:tr>
      <w:tr w:rsidR="0028027B" w:rsidRPr="00DC1EE4" w:rsidTr="00C03F9E">
        <w:tc>
          <w:tcPr>
            <w:tcW w:w="3225" w:type="dxa"/>
            <w:tcBorders>
              <w:top w:val="nil"/>
              <w:left w:val="nil"/>
              <w:right w:val="nil"/>
            </w:tcBorders>
          </w:tcPr>
          <w:p w:rsidR="0028027B" w:rsidRPr="00DC1EE4" w:rsidRDefault="0028027B" w:rsidP="00C03F9E">
            <w:pPr>
              <w:pStyle w:val="TableofFigures"/>
            </w:pPr>
            <w:r w:rsidRPr="00DC1EE4">
              <w:t>(82)</w:t>
            </w:r>
          </w:p>
        </w:tc>
        <w:tc>
          <w:tcPr>
            <w:tcW w:w="4610" w:type="dxa"/>
            <w:tcBorders>
              <w:top w:val="nil"/>
              <w:left w:val="nil"/>
              <w:right w:val="nil"/>
            </w:tcBorders>
          </w:tcPr>
          <w:p w:rsidR="0028027B" w:rsidRPr="00DC1EE4" w:rsidRDefault="0028027B" w:rsidP="00C03F9E">
            <w:pPr>
              <w:pStyle w:val="TableofFigures"/>
            </w:pPr>
            <w:r w:rsidRPr="00DC1EE4">
              <w:t>(65)</w:t>
            </w:r>
          </w:p>
        </w:tc>
        <w:tc>
          <w:tcPr>
            <w:tcW w:w="1841" w:type="dxa"/>
            <w:tcBorders>
              <w:top w:val="nil"/>
              <w:left w:val="nil"/>
              <w:right w:val="nil"/>
            </w:tcBorders>
          </w:tcPr>
          <w:p w:rsidR="0028027B" w:rsidRPr="00DC1EE4" w:rsidRDefault="0028027B" w:rsidP="00C03F9E">
            <w:pPr>
              <w:pStyle w:val="TableofFigures"/>
            </w:pPr>
            <w:r w:rsidRPr="00DC1EE4">
              <w:t>(763)</w:t>
            </w:r>
          </w:p>
        </w:tc>
      </w:tr>
      <w:tr w:rsidR="0028027B" w:rsidRPr="00DC1EE4" w:rsidTr="00C03F9E">
        <w:tc>
          <w:tcPr>
            <w:tcW w:w="3225" w:type="dxa"/>
            <w:tcBorders>
              <w:left w:val="nil"/>
              <w:right w:val="nil"/>
            </w:tcBorders>
          </w:tcPr>
          <w:p w:rsidR="0028027B" w:rsidRPr="00DC1EE4" w:rsidRDefault="0028027B" w:rsidP="00C03F9E">
            <w:pPr>
              <w:pStyle w:val="TableofFigures"/>
            </w:pPr>
            <w:r w:rsidRPr="00DC1EE4">
              <w:t>22</w:t>
            </w:r>
          </w:p>
        </w:tc>
        <w:tc>
          <w:tcPr>
            <w:tcW w:w="4610" w:type="dxa"/>
            <w:tcBorders>
              <w:top w:val="nil"/>
              <w:left w:val="nil"/>
              <w:right w:val="nil"/>
            </w:tcBorders>
          </w:tcPr>
          <w:p w:rsidR="0028027B" w:rsidRPr="00DC1EE4" w:rsidRDefault="0028027B" w:rsidP="00C03F9E">
            <w:pPr>
              <w:pStyle w:val="TableofFigures"/>
            </w:pPr>
            <w:r w:rsidRPr="00DC1EE4">
              <w:t>..</w:t>
            </w:r>
          </w:p>
        </w:tc>
        <w:tc>
          <w:tcPr>
            <w:tcW w:w="1841" w:type="dxa"/>
            <w:tcBorders>
              <w:top w:val="nil"/>
              <w:left w:val="nil"/>
              <w:right w:val="nil"/>
            </w:tcBorders>
          </w:tcPr>
          <w:p w:rsidR="0028027B" w:rsidRPr="00DC1EE4" w:rsidRDefault="0028027B" w:rsidP="00C03F9E">
            <w:pPr>
              <w:pStyle w:val="TableofFigures"/>
            </w:pPr>
            <w:r w:rsidRPr="00DC1EE4">
              <w:t>..</w:t>
            </w:r>
          </w:p>
        </w:tc>
      </w:tr>
      <w:tr w:rsidR="0028027B" w:rsidRPr="00DC1EE4" w:rsidTr="00C03F9E">
        <w:tc>
          <w:tcPr>
            <w:tcW w:w="3225" w:type="dxa"/>
            <w:tcBorders>
              <w:left w:val="nil"/>
              <w:bottom w:val="single" w:sz="6" w:space="0" w:color="auto"/>
              <w:right w:val="nil"/>
            </w:tcBorders>
          </w:tcPr>
          <w:p w:rsidR="0028027B" w:rsidRPr="00DC1EE4" w:rsidRDefault="0028027B" w:rsidP="00C03F9E">
            <w:pPr>
              <w:pStyle w:val="TableofFigures"/>
            </w:pPr>
            <w:r w:rsidRPr="00DC1EE4">
              <w:t xml:space="preserve">.. </w:t>
            </w:r>
          </w:p>
        </w:tc>
        <w:tc>
          <w:tcPr>
            <w:tcW w:w="4610" w:type="dxa"/>
            <w:tcBorders>
              <w:left w:val="nil"/>
              <w:bottom w:val="single" w:sz="6" w:space="0" w:color="auto"/>
              <w:right w:val="nil"/>
            </w:tcBorders>
          </w:tcPr>
          <w:p w:rsidR="0028027B" w:rsidRPr="00DC1EE4" w:rsidRDefault="0028027B" w:rsidP="00C03F9E">
            <w:pPr>
              <w:pStyle w:val="TableofFigures"/>
            </w:pPr>
            <w:r w:rsidRPr="00DC1EE4">
              <w:t xml:space="preserve">.. </w:t>
            </w:r>
          </w:p>
        </w:tc>
        <w:tc>
          <w:tcPr>
            <w:tcW w:w="1841" w:type="dxa"/>
            <w:tcBorders>
              <w:left w:val="nil"/>
              <w:bottom w:val="single" w:sz="6" w:space="0" w:color="auto"/>
              <w:right w:val="nil"/>
            </w:tcBorders>
          </w:tcPr>
          <w:p w:rsidR="0028027B" w:rsidRPr="00DC1EE4" w:rsidRDefault="0028027B" w:rsidP="00C03F9E">
            <w:pPr>
              <w:pStyle w:val="TableofFigures"/>
            </w:pPr>
            <w:r w:rsidRPr="00DC1EE4">
              <w:t xml:space="preserve">.. </w:t>
            </w:r>
          </w:p>
        </w:tc>
      </w:tr>
      <w:tr w:rsidR="0028027B" w:rsidRPr="00DC1EE4" w:rsidTr="00C03F9E">
        <w:tc>
          <w:tcPr>
            <w:tcW w:w="3225" w:type="dxa"/>
            <w:tcBorders>
              <w:top w:val="nil"/>
              <w:left w:val="nil"/>
              <w:bottom w:val="single" w:sz="12" w:space="0" w:color="auto"/>
              <w:right w:val="nil"/>
            </w:tcBorders>
          </w:tcPr>
          <w:p w:rsidR="0028027B" w:rsidRPr="00DC1EE4" w:rsidRDefault="0028027B" w:rsidP="00C03F9E">
            <w:pPr>
              <w:pStyle w:val="TableofFigures"/>
              <w:rPr>
                <w:b/>
              </w:rPr>
            </w:pPr>
            <w:r w:rsidRPr="00DC1EE4">
              <w:rPr>
                <w:b/>
              </w:rPr>
              <w:t>77 370</w:t>
            </w:r>
          </w:p>
        </w:tc>
        <w:tc>
          <w:tcPr>
            <w:tcW w:w="4610" w:type="dxa"/>
            <w:tcBorders>
              <w:top w:val="nil"/>
              <w:left w:val="nil"/>
              <w:bottom w:val="single" w:sz="12" w:space="0" w:color="auto"/>
              <w:right w:val="nil"/>
            </w:tcBorders>
          </w:tcPr>
          <w:p w:rsidR="0028027B" w:rsidRPr="00DC1EE4" w:rsidRDefault="0028027B" w:rsidP="00C03F9E">
            <w:pPr>
              <w:pStyle w:val="TableofFigures"/>
              <w:rPr>
                <w:b/>
              </w:rPr>
            </w:pPr>
            <w:r w:rsidRPr="00DC1EE4">
              <w:rPr>
                <w:b/>
              </w:rPr>
              <w:t>1 135</w:t>
            </w:r>
          </w:p>
        </w:tc>
        <w:tc>
          <w:tcPr>
            <w:tcW w:w="1841" w:type="dxa"/>
            <w:tcBorders>
              <w:top w:val="nil"/>
              <w:left w:val="nil"/>
              <w:bottom w:val="single" w:sz="12" w:space="0" w:color="auto"/>
              <w:right w:val="nil"/>
            </w:tcBorders>
          </w:tcPr>
          <w:p w:rsidR="0028027B" w:rsidRPr="00DC1EE4" w:rsidRDefault="0028027B" w:rsidP="00C03F9E">
            <w:pPr>
              <w:pStyle w:val="TableofFigures"/>
              <w:rPr>
                <w:b/>
              </w:rPr>
            </w:pPr>
            <w:r w:rsidRPr="00DC1EE4">
              <w:rPr>
                <w:b/>
              </w:rPr>
              <w:t>139 664</w:t>
            </w:r>
          </w:p>
        </w:tc>
      </w:tr>
      <w:tr w:rsidR="0028027B" w:rsidRPr="00DC1EE4" w:rsidTr="00C03F9E">
        <w:tc>
          <w:tcPr>
            <w:tcW w:w="3225" w:type="dxa"/>
            <w:tcBorders>
              <w:top w:val="nil"/>
              <w:left w:val="nil"/>
              <w:bottom w:val="nil"/>
              <w:right w:val="nil"/>
            </w:tcBorders>
          </w:tcPr>
          <w:p w:rsidR="0028027B" w:rsidRPr="00DC1EE4" w:rsidRDefault="005A4BB0" w:rsidP="00C03F9E">
            <w:pPr>
              <w:pStyle w:val="TableofFigures"/>
            </w:pPr>
            <w:r>
              <w:t xml:space="preserve"> </w:t>
            </w:r>
          </w:p>
        </w:tc>
        <w:tc>
          <w:tcPr>
            <w:tcW w:w="4610" w:type="dxa"/>
            <w:tcBorders>
              <w:top w:val="nil"/>
              <w:left w:val="nil"/>
              <w:bottom w:val="nil"/>
              <w:right w:val="nil"/>
            </w:tcBorders>
          </w:tcPr>
          <w:p w:rsidR="0028027B" w:rsidRPr="00DC1EE4" w:rsidRDefault="005A4BB0" w:rsidP="00C03F9E">
            <w:pPr>
              <w:pStyle w:val="TableofFigures"/>
            </w:pPr>
            <w:r>
              <w:t xml:space="preserve"> </w:t>
            </w:r>
          </w:p>
        </w:tc>
        <w:tc>
          <w:tcPr>
            <w:tcW w:w="1841" w:type="dxa"/>
            <w:tcBorders>
              <w:top w:val="nil"/>
              <w:left w:val="nil"/>
              <w:bottom w:val="nil"/>
              <w:right w:val="nil"/>
            </w:tcBorders>
          </w:tcPr>
          <w:p w:rsidR="0028027B" w:rsidRPr="00DC1EE4" w:rsidRDefault="005A4BB0" w:rsidP="00C03F9E">
            <w:pPr>
              <w:pStyle w:val="TableofFigures"/>
            </w:pPr>
            <w:r>
              <w:t xml:space="preserve"> </w:t>
            </w:r>
          </w:p>
        </w:tc>
      </w:tr>
      <w:tr w:rsidR="0028027B" w:rsidRPr="00DC1EE4" w:rsidTr="00C03F9E">
        <w:tc>
          <w:tcPr>
            <w:tcW w:w="3225" w:type="dxa"/>
            <w:tcBorders>
              <w:top w:val="nil"/>
              <w:left w:val="nil"/>
              <w:bottom w:val="nil"/>
              <w:right w:val="nil"/>
            </w:tcBorders>
          </w:tcPr>
          <w:p w:rsidR="0028027B" w:rsidRPr="00DC1EE4" w:rsidRDefault="0028027B" w:rsidP="00C03F9E">
            <w:pPr>
              <w:pStyle w:val="TableofFigures"/>
            </w:pPr>
            <w:r w:rsidRPr="00DC1EE4">
              <w:t>85 437</w:t>
            </w:r>
          </w:p>
        </w:tc>
        <w:tc>
          <w:tcPr>
            <w:tcW w:w="4610" w:type="dxa"/>
            <w:tcBorders>
              <w:top w:val="nil"/>
              <w:left w:val="nil"/>
              <w:bottom w:val="nil"/>
              <w:right w:val="nil"/>
            </w:tcBorders>
          </w:tcPr>
          <w:p w:rsidR="0028027B" w:rsidRPr="00DC1EE4" w:rsidRDefault="0028027B" w:rsidP="00C03F9E">
            <w:pPr>
              <w:pStyle w:val="TableofFigures"/>
            </w:pPr>
            <w:r w:rsidRPr="00DC1EE4">
              <w:t>1 161</w:t>
            </w:r>
          </w:p>
        </w:tc>
        <w:tc>
          <w:tcPr>
            <w:tcW w:w="1841" w:type="dxa"/>
            <w:tcBorders>
              <w:top w:val="nil"/>
              <w:left w:val="nil"/>
              <w:bottom w:val="nil"/>
              <w:right w:val="nil"/>
            </w:tcBorders>
          </w:tcPr>
          <w:p w:rsidR="0028027B" w:rsidRPr="00DC1EE4" w:rsidRDefault="0028027B" w:rsidP="00C03F9E">
            <w:pPr>
              <w:pStyle w:val="TableofFigures"/>
            </w:pPr>
            <w:r w:rsidRPr="00DC1EE4">
              <w:t>132 083</w:t>
            </w:r>
          </w:p>
        </w:tc>
      </w:tr>
      <w:tr w:rsidR="0028027B" w:rsidRPr="00DC1EE4" w:rsidTr="00C03F9E">
        <w:tc>
          <w:tcPr>
            <w:tcW w:w="3225" w:type="dxa"/>
            <w:tcBorders>
              <w:top w:val="nil"/>
              <w:left w:val="nil"/>
              <w:bottom w:val="nil"/>
              <w:right w:val="nil"/>
            </w:tcBorders>
          </w:tcPr>
          <w:p w:rsidR="0028027B" w:rsidRPr="00DC1EE4" w:rsidRDefault="0028027B" w:rsidP="00C03F9E">
            <w:pPr>
              <w:pStyle w:val="TableofFigures"/>
            </w:pPr>
            <w:r w:rsidRPr="00DC1EE4">
              <w:t>..</w:t>
            </w:r>
          </w:p>
        </w:tc>
        <w:tc>
          <w:tcPr>
            <w:tcW w:w="4610" w:type="dxa"/>
            <w:tcBorders>
              <w:top w:val="nil"/>
              <w:left w:val="nil"/>
              <w:bottom w:val="nil"/>
              <w:right w:val="nil"/>
            </w:tcBorders>
          </w:tcPr>
          <w:p w:rsidR="0028027B" w:rsidRPr="00DC1EE4" w:rsidRDefault="0028027B" w:rsidP="00C03F9E">
            <w:pPr>
              <w:pStyle w:val="TableofFigures"/>
            </w:pPr>
            <w:r w:rsidRPr="00DC1EE4">
              <w:t>..</w:t>
            </w:r>
          </w:p>
        </w:tc>
        <w:tc>
          <w:tcPr>
            <w:tcW w:w="1841" w:type="dxa"/>
            <w:tcBorders>
              <w:top w:val="nil"/>
              <w:left w:val="nil"/>
              <w:bottom w:val="nil"/>
              <w:right w:val="nil"/>
            </w:tcBorders>
          </w:tcPr>
          <w:p w:rsidR="0028027B" w:rsidRPr="00DC1EE4" w:rsidRDefault="0028027B" w:rsidP="00C03F9E">
            <w:pPr>
              <w:pStyle w:val="TableofFigures"/>
            </w:pPr>
            <w:r w:rsidRPr="00DC1EE4">
              <w:t>(1 779)</w:t>
            </w:r>
          </w:p>
        </w:tc>
      </w:tr>
      <w:tr w:rsidR="0028027B" w:rsidRPr="00DC1EE4" w:rsidTr="00C03F9E">
        <w:tc>
          <w:tcPr>
            <w:tcW w:w="3225" w:type="dxa"/>
            <w:tcBorders>
              <w:top w:val="nil"/>
              <w:left w:val="nil"/>
              <w:bottom w:val="nil"/>
              <w:right w:val="nil"/>
            </w:tcBorders>
          </w:tcPr>
          <w:p w:rsidR="0028027B" w:rsidRPr="00DC1EE4" w:rsidRDefault="0028027B" w:rsidP="00C03F9E">
            <w:pPr>
              <w:pStyle w:val="TableofFigures"/>
            </w:pPr>
            <w:r w:rsidRPr="00DC1EE4">
              <w:t>74</w:t>
            </w:r>
          </w:p>
        </w:tc>
        <w:tc>
          <w:tcPr>
            <w:tcW w:w="4610" w:type="dxa"/>
            <w:tcBorders>
              <w:top w:val="nil"/>
              <w:left w:val="nil"/>
              <w:bottom w:val="nil"/>
              <w:right w:val="nil"/>
            </w:tcBorders>
          </w:tcPr>
          <w:p w:rsidR="0028027B" w:rsidRPr="00DC1EE4" w:rsidRDefault="0028027B" w:rsidP="00C03F9E">
            <w:pPr>
              <w:pStyle w:val="TableofFigures"/>
            </w:pPr>
            <w:r w:rsidRPr="00DC1EE4">
              <w:t>(168)</w:t>
            </w:r>
          </w:p>
        </w:tc>
        <w:tc>
          <w:tcPr>
            <w:tcW w:w="1841" w:type="dxa"/>
            <w:tcBorders>
              <w:top w:val="nil"/>
              <w:left w:val="nil"/>
              <w:bottom w:val="nil"/>
              <w:right w:val="nil"/>
            </w:tcBorders>
          </w:tcPr>
          <w:p w:rsidR="0028027B" w:rsidRPr="00DC1EE4" w:rsidRDefault="0028027B" w:rsidP="00C03F9E">
            <w:pPr>
              <w:pStyle w:val="TableofFigures"/>
            </w:pPr>
            <w:r w:rsidRPr="00DC1EE4">
              <w:t>(2 473)</w:t>
            </w:r>
          </w:p>
        </w:tc>
      </w:tr>
      <w:tr w:rsidR="0028027B" w:rsidRPr="00DC1EE4" w:rsidTr="00C03F9E">
        <w:tc>
          <w:tcPr>
            <w:tcW w:w="3225" w:type="dxa"/>
            <w:tcBorders>
              <w:top w:val="nil"/>
              <w:left w:val="nil"/>
              <w:bottom w:val="nil"/>
              <w:right w:val="nil"/>
            </w:tcBorders>
          </w:tcPr>
          <w:p w:rsidR="0028027B" w:rsidRPr="00DC1EE4" w:rsidRDefault="0028027B" w:rsidP="00C03F9E">
            <w:pPr>
              <w:pStyle w:val="TableofFigures"/>
            </w:pPr>
            <w:r w:rsidRPr="00DC1EE4">
              <w:t>(392)</w:t>
            </w:r>
          </w:p>
        </w:tc>
        <w:tc>
          <w:tcPr>
            <w:tcW w:w="4610" w:type="dxa"/>
            <w:tcBorders>
              <w:top w:val="nil"/>
              <w:left w:val="nil"/>
              <w:bottom w:val="nil"/>
              <w:right w:val="nil"/>
            </w:tcBorders>
          </w:tcPr>
          <w:p w:rsidR="0028027B" w:rsidRPr="00DC1EE4" w:rsidRDefault="0028027B" w:rsidP="00C03F9E">
            <w:pPr>
              <w:pStyle w:val="TableofFigures"/>
            </w:pPr>
            <w:r w:rsidRPr="00DC1EE4">
              <w:t>..</w:t>
            </w:r>
          </w:p>
        </w:tc>
        <w:tc>
          <w:tcPr>
            <w:tcW w:w="1841" w:type="dxa"/>
            <w:tcBorders>
              <w:top w:val="nil"/>
              <w:left w:val="nil"/>
              <w:bottom w:val="nil"/>
              <w:right w:val="nil"/>
            </w:tcBorders>
          </w:tcPr>
          <w:p w:rsidR="0028027B" w:rsidRPr="00DC1EE4" w:rsidRDefault="0028027B" w:rsidP="00C03F9E">
            <w:pPr>
              <w:pStyle w:val="TableofFigures"/>
            </w:pPr>
            <w:r w:rsidRPr="00DC1EE4">
              <w:t>..</w:t>
            </w:r>
          </w:p>
        </w:tc>
      </w:tr>
      <w:tr w:rsidR="0028027B" w:rsidRPr="00DC1EE4" w:rsidTr="00C03F9E">
        <w:tc>
          <w:tcPr>
            <w:tcW w:w="3225" w:type="dxa"/>
            <w:tcBorders>
              <w:top w:val="nil"/>
              <w:left w:val="nil"/>
              <w:bottom w:val="nil"/>
              <w:right w:val="nil"/>
            </w:tcBorders>
          </w:tcPr>
          <w:p w:rsidR="0028027B" w:rsidRPr="00DC1EE4" w:rsidRDefault="0028027B" w:rsidP="00C03F9E">
            <w:pPr>
              <w:pStyle w:val="TableofFigures"/>
            </w:pPr>
            <w:r w:rsidRPr="00DC1EE4">
              <w:t xml:space="preserve">.. </w:t>
            </w:r>
          </w:p>
        </w:tc>
        <w:tc>
          <w:tcPr>
            <w:tcW w:w="4610" w:type="dxa"/>
            <w:tcBorders>
              <w:top w:val="nil"/>
              <w:left w:val="nil"/>
              <w:bottom w:val="nil"/>
              <w:right w:val="nil"/>
            </w:tcBorders>
          </w:tcPr>
          <w:p w:rsidR="0028027B" w:rsidRPr="00DC1EE4" w:rsidRDefault="0028027B" w:rsidP="00C03F9E">
            <w:pPr>
              <w:pStyle w:val="TableofFigures"/>
            </w:pPr>
            <w:r w:rsidRPr="00DC1EE4">
              <w:t xml:space="preserve">.. </w:t>
            </w:r>
          </w:p>
        </w:tc>
        <w:tc>
          <w:tcPr>
            <w:tcW w:w="1841" w:type="dxa"/>
            <w:tcBorders>
              <w:top w:val="nil"/>
              <w:left w:val="nil"/>
              <w:bottom w:val="nil"/>
              <w:right w:val="nil"/>
            </w:tcBorders>
          </w:tcPr>
          <w:p w:rsidR="0028027B" w:rsidRPr="00DC1EE4" w:rsidRDefault="0028027B" w:rsidP="00C03F9E">
            <w:pPr>
              <w:pStyle w:val="TableofFigures"/>
            </w:pPr>
            <w:r w:rsidRPr="00DC1EE4">
              <w:t xml:space="preserve">.. </w:t>
            </w:r>
          </w:p>
        </w:tc>
      </w:tr>
      <w:tr w:rsidR="0028027B" w:rsidRPr="00DC1EE4" w:rsidTr="00C03F9E">
        <w:tc>
          <w:tcPr>
            <w:tcW w:w="3225"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85 119</w:t>
            </w:r>
          </w:p>
        </w:tc>
        <w:tc>
          <w:tcPr>
            <w:tcW w:w="4610"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993</w:t>
            </w:r>
          </w:p>
        </w:tc>
        <w:tc>
          <w:tcPr>
            <w:tcW w:w="1841"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127 831</w:t>
            </w:r>
          </w:p>
        </w:tc>
      </w:tr>
    </w:tbl>
    <w:p w:rsidR="0028027B" w:rsidRPr="00DC1EE4" w:rsidRDefault="0028027B" w:rsidP="0028027B">
      <w:pPr>
        <w:pStyle w:val="Source"/>
      </w:pPr>
    </w:p>
    <w:p w:rsidR="0028027B" w:rsidRPr="00DC1EE4" w:rsidRDefault="0028027B" w:rsidP="0028027B">
      <w:pPr>
        <w:pStyle w:val="Notes"/>
        <w:spacing w:before="120" w:after="80"/>
      </w:pPr>
    </w:p>
    <w:p w:rsidR="0028027B" w:rsidRPr="00DC1EE4" w:rsidRDefault="0028027B" w:rsidP="00AF0BE6">
      <w:pPr>
        <w:pStyle w:val="Notes"/>
        <w:spacing w:after="160"/>
      </w:pPr>
    </w:p>
    <w:p w:rsidR="0028027B" w:rsidRPr="00DC1EE4" w:rsidRDefault="0028027B" w:rsidP="0028027B">
      <w:pPr>
        <w:pStyle w:val="million"/>
        <w:spacing w:before="140"/>
      </w:pPr>
    </w:p>
    <w:tbl>
      <w:tblPr>
        <w:tblW w:w="9674" w:type="dxa"/>
        <w:tblInd w:w="28" w:type="dxa"/>
        <w:tblLayout w:type="fixed"/>
        <w:tblCellMar>
          <w:left w:w="45" w:type="dxa"/>
          <w:right w:w="45" w:type="dxa"/>
        </w:tblCellMar>
        <w:tblLook w:val="0000" w:firstRow="0" w:lastRow="0" w:firstColumn="0" w:lastColumn="0" w:noHBand="0" w:noVBand="0"/>
      </w:tblPr>
      <w:tblGrid>
        <w:gridCol w:w="3230"/>
        <w:gridCol w:w="2883"/>
        <w:gridCol w:w="1701"/>
        <w:gridCol w:w="1860"/>
      </w:tblGrid>
      <w:tr w:rsidR="0028027B" w:rsidRPr="00DC1EE4" w:rsidTr="00C03F9E">
        <w:tc>
          <w:tcPr>
            <w:tcW w:w="3230" w:type="dxa"/>
            <w:tcBorders>
              <w:top w:val="single" w:sz="6" w:space="0" w:color="auto"/>
              <w:left w:val="single" w:sz="6" w:space="0" w:color="auto"/>
              <w:bottom w:val="single" w:sz="6" w:space="0" w:color="auto"/>
              <w:right w:val="nil"/>
            </w:tcBorders>
            <w:shd w:val="clear" w:color="000000" w:fill="000000"/>
            <w:vAlign w:val="bottom"/>
          </w:tcPr>
          <w:p w:rsidR="0028027B" w:rsidRPr="00DC1EE4" w:rsidRDefault="0028027B" w:rsidP="00C03F9E">
            <w:pPr>
              <w:pStyle w:val="Tabletextheading"/>
            </w:pPr>
            <w:r w:rsidRPr="00DC1EE4">
              <w:t>Non</w:t>
            </w:r>
            <w:r w:rsidR="005A4BB0">
              <w:noBreakHyphen/>
            </w:r>
            <w:r w:rsidRPr="00DC1EE4">
              <w:t>financial assets revaluation surplus</w:t>
            </w:r>
            <w:r w:rsidRPr="00DC1EE4">
              <w:rPr>
                <w:vertAlign w:val="superscript"/>
              </w:rPr>
              <w:t>(a)</w:t>
            </w:r>
            <w:r w:rsidRPr="00DC1EE4">
              <w:t xml:space="preserve"> </w:t>
            </w:r>
          </w:p>
        </w:tc>
        <w:tc>
          <w:tcPr>
            <w:tcW w:w="2883" w:type="dxa"/>
            <w:tcBorders>
              <w:top w:val="single" w:sz="6" w:space="0" w:color="auto"/>
              <w:left w:val="nil"/>
              <w:bottom w:val="single" w:sz="6" w:space="0" w:color="auto"/>
              <w:right w:val="nil"/>
            </w:tcBorders>
            <w:shd w:val="clear" w:color="000000" w:fill="000000"/>
            <w:vAlign w:val="bottom"/>
          </w:tcPr>
          <w:p w:rsidR="0028027B" w:rsidRPr="00DC1EE4" w:rsidRDefault="0028027B" w:rsidP="00C03F9E">
            <w:pPr>
              <w:pStyle w:val="Tabletextheading"/>
            </w:pPr>
            <w:r w:rsidRPr="00DC1EE4">
              <w:t xml:space="preserve">Investment in other </w:t>
            </w:r>
          </w:p>
          <w:p w:rsidR="0028027B" w:rsidRPr="00DC1EE4" w:rsidRDefault="0028027B" w:rsidP="00C03F9E">
            <w:pPr>
              <w:pStyle w:val="Tabletextheading"/>
            </w:pPr>
            <w:r w:rsidRPr="00DC1EE4">
              <w:t xml:space="preserve">sector entities </w:t>
            </w:r>
          </w:p>
          <w:p w:rsidR="0028027B" w:rsidRPr="00DC1EE4" w:rsidRDefault="0028027B" w:rsidP="00C03F9E">
            <w:pPr>
              <w:pStyle w:val="Tabletextheading"/>
            </w:pPr>
            <w:r w:rsidRPr="00DC1EE4">
              <w:t>revaluation surplus</w:t>
            </w:r>
          </w:p>
        </w:tc>
        <w:tc>
          <w:tcPr>
            <w:tcW w:w="1701" w:type="dxa"/>
            <w:tcBorders>
              <w:top w:val="single" w:sz="6" w:space="0" w:color="auto"/>
              <w:left w:val="nil"/>
              <w:bottom w:val="single" w:sz="6" w:space="0" w:color="auto"/>
              <w:right w:val="nil"/>
            </w:tcBorders>
            <w:shd w:val="clear" w:color="000000" w:fill="000000"/>
            <w:vAlign w:val="bottom"/>
          </w:tcPr>
          <w:p w:rsidR="0028027B" w:rsidRPr="00DC1EE4" w:rsidRDefault="0028027B" w:rsidP="00C03F9E">
            <w:pPr>
              <w:pStyle w:val="Tabletextheading"/>
            </w:pPr>
          </w:p>
          <w:p w:rsidR="0028027B" w:rsidRPr="00DC1EE4" w:rsidRDefault="0028027B" w:rsidP="00C03F9E">
            <w:pPr>
              <w:pStyle w:val="Tabletextheading"/>
            </w:pPr>
            <w:r w:rsidRPr="00DC1EE4">
              <w:t xml:space="preserve">Other </w:t>
            </w:r>
          </w:p>
          <w:p w:rsidR="0028027B" w:rsidRPr="00DC1EE4" w:rsidRDefault="0028027B" w:rsidP="00C03F9E">
            <w:pPr>
              <w:pStyle w:val="Tabletextheading"/>
            </w:pPr>
            <w:r w:rsidRPr="00DC1EE4">
              <w:t>reserves</w:t>
            </w:r>
          </w:p>
        </w:tc>
        <w:tc>
          <w:tcPr>
            <w:tcW w:w="1860" w:type="dxa"/>
            <w:tcBorders>
              <w:top w:val="single" w:sz="6" w:space="0" w:color="auto"/>
              <w:left w:val="nil"/>
              <w:bottom w:val="single" w:sz="6" w:space="0" w:color="auto"/>
              <w:right w:val="single" w:sz="6" w:space="0" w:color="auto"/>
            </w:tcBorders>
            <w:shd w:val="clear" w:color="000000" w:fill="000000"/>
            <w:vAlign w:val="bottom"/>
          </w:tcPr>
          <w:p w:rsidR="0028027B" w:rsidRPr="00DC1EE4" w:rsidRDefault="0028027B" w:rsidP="00C03F9E">
            <w:pPr>
              <w:pStyle w:val="Tabletextheading"/>
            </w:pPr>
          </w:p>
          <w:p w:rsidR="0028027B" w:rsidRPr="00DC1EE4" w:rsidRDefault="0028027B" w:rsidP="00C03F9E">
            <w:pPr>
              <w:pStyle w:val="Tabletextheading"/>
            </w:pPr>
          </w:p>
          <w:p w:rsidR="0028027B" w:rsidRPr="00DC1EE4" w:rsidRDefault="0028027B" w:rsidP="00C03F9E">
            <w:pPr>
              <w:pStyle w:val="Tabletextheading"/>
            </w:pPr>
            <w:r w:rsidRPr="00DC1EE4">
              <w:t>Total</w:t>
            </w:r>
            <w:r w:rsidRPr="00DC1EE4">
              <w:rPr>
                <w:vertAlign w:val="superscript"/>
              </w:rPr>
              <w:t>(a)</w:t>
            </w:r>
          </w:p>
        </w:tc>
      </w:tr>
      <w:tr w:rsidR="0028027B" w:rsidRPr="00DC1EE4" w:rsidTr="00C03F9E">
        <w:tc>
          <w:tcPr>
            <w:tcW w:w="3230" w:type="dxa"/>
            <w:tcBorders>
              <w:top w:val="single" w:sz="6" w:space="0" w:color="auto"/>
              <w:left w:val="nil"/>
              <w:bottom w:val="nil"/>
              <w:right w:val="nil"/>
            </w:tcBorders>
          </w:tcPr>
          <w:p w:rsidR="0028027B" w:rsidRPr="00DC1EE4" w:rsidRDefault="0028027B" w:rsidP="00C03F9E">
            <w:pPr>
              <w:pStyle w:val="TableofFigures"/>
            </w:pPr>
            <w:r w:rsidRPr="00DC1EE4">
              <w:t xml:space="preserve"> </w:t>
            </w:r>
          </w:p>
        </w:tc>
        <w:tc>
          <w:tcPr>
            <w:tcW w:w="2883" w:type="dxa"/>
            <w:tcBorders>
              <w:top w:val="single" w:sz="6" w:space="0" w:color="auto"/>
              <w:left w:val="nil"/>
              <w:bottom w:val="nil"/>
              <w:right w:val="nil"/>
            </w:tcBorders>
          </w:tcPr>
          <w:p w:rsidR="0028027B" w:rsidRPr="00DC1EE4" w:rsidRDefault="0028027B" w:rsidP="00C03F9E">
            <w:pPr>
              <w:pStyle w:val="TableofFigures"/>
            </w:pPr>
            <w:r w:rsidRPr="00DC1EE4">
              <w:t xml:space="preserve"> </w:t>
            </w:r>
          </w:p>
        </w:tc>
        <w:tc>
          <w:tcPr>
            <w:tcW w:w="1701" w:type="dxa"/>
            <w:tcBorders>
              <w:top w:val="single" w:sz="6" w:space="0" w:color="auto"/>
              <w:left w:val="nil"/>
              <w:bottom w:val="nil"/>
              <w:right w:val="nil"/>
            </w:tcBorders>
          </w:tcPr>
          <w:p w:rsidR="0028027B" w:rsidRPr="00DC1EE4" w:rsidRDefault="0028027B" w:rsidP="00C03F9E">
            <w:pPr>
              <w:pStyle w:val="TableofFigures"/>
            </w:pPr>
            <w:r w:rsidRPr="00DC1EE4">
              <w:t xml:space="preserve"> </w:t>
            </w:r>
          </w:p>
        </w:tc>
        <w:tc>
          <w:tcPr>
            <w:tcW w:w="1860" w:type="dxa"/>
            <w:tcBorders>
              <w:top w:val="single" w:sz="6" w:space="0" w:color="auto"/>
              <w:left w:val="nil"/>
              <w:bottom w:val="nil"/>
              <w:right w:val="nil"/>
            </w:tcBorders>
          </w:tcPr>
          <w:p w:rsidR="0028027B" w:rsidRPr="00DC1EE4" w:rsidRDefault="0028027B" w:rsidP="00C03F9E">
            <w:pPr>
              <w:pStyle w:val="TableofFigures"/>
            </w:pPr>
            <w:r w:rsidRPr="00DC1EE4">
              <w:t xml:space="preserve"> </w:t>
            </w:r>
          </w:p>
        </w:tc>
      </w:tr>
      <w:tr w:rsidR="0028027B" w:rsidRPr="00DC1EE4" w:rsidTr="00C03F9E">
        <w:tc>
          <w:tcPr>
            <w:tcW w:w="3230" w:type="dxa"/>
            <w:tcBorders>
              <w:top w:val="nil"/>
              <w:left w:val="nil"/>
              <w:bottom w:val="nil"/>
              <w:right w:val="nil"/>
            </w:tcBorders>
          </w:tcPr>
          <w:p w:rsidR="0028027B" w:rsidRPr="00DC1EE4" w:rsidRDefault="0028027B" w:rsidP="00C03F9E">
            <w:pPr>
              <w:pStyle w:val="TableofFigures"/>
            </w:pPr>
            <w:r w:rsidRPr="00DC1EE4">
              <w:t>43 355</w:t>
            </w:r>
          </w:p>
        </w:tc>
        <w:tc>
          <w:tcPr>
            <w:tcW w:w="2883" w:type="dxa"/>
            <w:tcBorders>
              <w:top w:val="nil"/>
              <w:left w:val="nil"/>
              <w:bottom w:val="nil"/>
              <w:right w:val="nil"/>
            </w:tcBorders>
          </w:tcPr>
          <w:p w:rsidR="0028027B" w:rsidRPr="00DC1EE4" w:rsidRDefault="0028027B" w:rsidP="00C03F9E">
            <w:pPr>
              <w:pStyle w:val="TableofFigures"/>
            </w:pPr>
            <w:r w:rsidRPr="00DC1EE4">
              <w:t>46 413</w:t>
            </w:r>
          </w:p>
        </w:tc>
        <w:tc>
          <w:tcPr>
            <w:tcW w:w="1701" w:type="dxa"/>
            <w:tcBorders>
              <w:top w:val="nil"/>
              <w:left w:val="nil"/>
              <w:bottom w:val="nil"/>
              <w:right w:val="nil"/>
            </w:tcBorders>
          </w:tcPr>
          <w:p w:rsidR="0028027B" w:rsidRPr="00DC1EE4" w:rsidRDefault="0028027B" w:rsidP="00C03F9E">
            <w:pPr>
              <w:pStyle w:val="TableofFigures"/>
            </w:pPr>
            <w:r w:rsidRPr="00DC1EE4">
              <w:t>728</w:t>
            </w:r>
          </w:p>
        </w:tc>
        <w:tc>
          <w:tcPr>
            <w:tcW w:w="1860" w:type="dxa"/>
            <w:tcBorders>
              <w:top w:val="nil"/>
              <w:left w:val="nil"/>
              <w:bottom w:val="nil"/>
              <w:right w:val="nil"/>
            </w:tcBorders>
          </w:tcPr>
          <w:p w:rsidR="0028027B" w:rsidRPr="00DC1EE4" w:rsidRDefault="0028027B" w:rsidP="00C03F9E">
            <w:pPr>
              <w:pStyle w:val="TableofFigures"/>
            </w:pPr>
            <w:r w:rsidRPr="00DC1EE4">
              <w:t>136 310</w:t>
            </w:r>
          </w:p>
        </w:tc>
      </w:tr>
      <w:tr w:rsidR="0028027B" w:rsidRPr="00DC1EE4" w:rsidTr="00C03F9E">
        <w:tc>
          <w:tcPr>
            <w:tcW w:w="3230" w:type="dxa"/>
            <w:tcBorders>
              <w:top w:val="nil"/>
              <w:left w:val="nil"/>
              <w:bottom w:val="nil"/>
              <w:right w:val="nil"/>
            </w:tcBorders>
          </w:tcPr>
          <w:p w:rsidR="0028027B" w:rsidRPr="00DC1EE4" w:rsidRDefault="0028027B" w:rsidP="00C03F9E">
            <w:pPr>
              <w:pStyle w:val="TableofFigures"/>
            </w:pPr>
            <w:r w:rsidRPr="00DC1EE4">
              <w:t>..</w:t>
            </w:r>
          </w:p>
        </w:tc>
        <w:tc>
          <w:tcPr>
            <w:tcW w:w="2883" w:type="dxa"/>
            <w:tcBorders>
              <w:top w:val="nil"/>
              <w:left w:val="nil"/>
              <w:bottom w:val="nil"/>
              <w:right w:val="nil"/>
            </w:tcBorders>
          </w:tcPr>
          <w:p w:rsidR="0028027B" w:rsidRPr="00DC1EE4" w:rsidRDefault="0028027B" w:rsidP="00C03F9E">
            <w:pPr>
              <w:pStyle w:val="TableofFigures"/>
            </w:pPr>
            <w:r w:rsidRPr="00DC1EE4">
              <w:t>..</w:t>
            </w:r>
          </w:p>
        </w:tc>
        <w:tc>
          <w:tcPr>
            <w:tcW w:w="1701" w:type="dxa"/>
            <w:tcBorders>
              <w:top w:val="nil"/>
              <w:left w:val="nil"/>
              <w:bottom w:val="nil"/>
              <w:right w:val="nil"/>
            </w:tcBorders>
          </w:tcPr>
          <w:p w:rsidR="0028027B" w:rsidRPr="00DC1EE4" w:rsidRDefault="0028027B" w:rsidP="00C03F9E">
            <w:pPr>
              <w:pStyle w:val="TableofFigures"/>
            </w:pPr>
            <w:r w:rsidRPr="00DC1EE4">
              <w:t>..</w:t>
            </w:r>
          </w:p>
        </w:tc>
        <w:tc>
          <w:tcPr>
            <w:tcW w:w="1860" w:type="dxa"/>
            <w:tcBorders>
              <w:top w:val="nil"/>
              <w:left w:val="nil"/>
              <w:bottom w:val="nil"/>
              <w:right w:val="nil"/>
            </w:tcBorders>
          </w:tcPr>
          <w:p w:rsidR="0028027B" w:rsidRPr="00DC1EE4" w:rsidRDefault="0028027B" w:rsidP="00C03F9E">
            <w:pPr>
              <w:pStyle w:val="TableofFigures"/>
            </w:pPr>
            <w:r w:rsidRPr="00DC1EE4">
              <w:t>1 239</w:t>
            </w:r>
          </w:p>
        </w:tc>
      </w:tr>
      <w:tr w:rsidR="0028027B" w:rsidRPr="00DC1EE4" w:rsidTr="00C03F9E">
        <w:tc>
          <w:tcPr>
            <w:tcW w:w="3230" w:type="dxa"/>
            <w:tcBorders>
              <w:top w:val="nil"/>
              <w:left w:val="nil"/>
              <w:bottom w:val="nil"/>
              <w:right w:val="nil"/>
            </w:tcBorders>
          </w:tcPr>
          <w:p w:rsidR="0028027B" w:rsidRPr="00DC1EE4" w:rsidRDefault="0028027B" w:rsidP="00C03F9E">
            <w:pPr>
              <w:pStyle w:val="TableofFigures"/>
            </w:pPr>
            <w:r w:rsidRPr="00DC1EE4">
              <w:t>8</w:t>
            </w:r>
          </w:p>
        </w:tc>
        <w:tc>
          <w:tcPr>
            <w:tcW w:w="2883" w:type="dxa"/>
            <w:tcBorders>
              <w:top w:val="nil"/>
              <w:left w:val="nil"/>
              <w:bottom w:val="nil"/>
              <w:right w:val="nil"/>
            </w:tcBorders>
          </w:tcPr>
          <w:p w:rsidR="0028027B" w:rsidRPr="00DC1EE4" w:rsidRDefault="0028027B" w:rsidP="00C03F9E">
            <w:pPr>
              <w:pStyle w:val="TableofFigures"/>
            </w:pPr>
            <w:r w:rsidRPr="00DC1EE4">
              <w:t>(246)</w:t>
            </w:r>
          </w:p>
        </w:tc>
        <w:tc>
          <w:tcPr>
            <w:tcW w:w="1701" w:type="dxa"/>
            <w:tcBorders>
              <w:top w:val="nil"/>
              <w:left w:val="nil"/>
              <w:bottom w:val="nil"/>
              <w:right w:val="nil"/>
            </w:tcBorders>
          </w:tcPr>
          <w:p w:rsidR="0028027B" w:rsidRPr="00DC1EE4" w:rsidRDefault="0028027B" w:rsidP="00C03F9E">
            <w:pPr>
              <w:pStyle w:val="TableofFigures"/>
            </w:pPr>
            <w:r w:rsidRPr="00DC1EE4">
              <w:t>(77)</w:t>
            </w:r>
          </w:p>
        </w:tc>
        <w:tc>
          <w:tcPr>
            <w:tcW w:w="1860" w:type="dxa"/>
            <w:tcBorders>
              <w:top w:val="nil"/>
              <w:left w:val="nil"/>
              <w:bottom w:val="nil"/>
              <w:right w:val="nil"/>
            </w:tcBorders>
          </w:tcPr>
          <w:p w:rsidR="0028027B" w:rsidRPr="00DC1EE4" w:rsidRDefault="0028027B" w:rsidP="00C03F9E">
            <w:pPr>
              <w:pStyle w:val="TableofFigures"/>
            </w:pPr>
            <w:r w:rsidRPr="00DC1EE4">
              <w:t>(993)</w:t>
            </w:r>
          </w:p>
        </w:tc>
      </w:tr>
      <w:tr w:rsidR="0028027B" w:rsidRPr="00DC1EE4" w:rsidTr="00C03F9E">
        <w:tc>
          <w:tcPr>
            <w:tcW w:w="3230" w:type="dxa"/>
            <w:tcBorders>
              <w:top w:val="nil"/>
              <w:left w:val="nil"/>
              <w:bottom w:val="nil"/>
              <w:right w:val="nil"/>
            </w:tcBorders>
          </w:tcPr>
          <w:p w:rsidR="0028027B" w:rsidRPr="00DC1EE4" w:rsidRDefault="0028027B" w:rsidP="00C03F9E">
            <w:pPr>
              <w:pStyle w:val="TableofFigures"/>
            </w:pPr>
            <w:r w:rsidRPr="00DC1EE4">
              <w:t>22</w:t>
            </w:r>
          </w:p>
        </w:tc>
        <w:tc>
          <w:tcPr>
            <w:tcW w:w="2883" w:type="dxa"/>
            <w:tcBorders>
              <w:top w:val="nil"/>
              <w:left w:val="nil"/>
              <w:bottom w:val="nil"/>
              <w:right w:val="nil"/>
            </w:tcBorders>
          </w:tcPr>
          <w:p w:rsidR="0028027B" w:rsidRPr="00DC1EE4" w:rsidRDefault="0028027B" w:rsidP="00C03F9E">
            <w:pPr>
              <w:pStyle w:val="TableofFigures"/>
            </w:pPr>
            <w:r w:rsidRPr="00DC1EE4">
              <w:t>..</w:t>
            </w:r>
          </w:p>
        </w:tc>
        <w:tc>
          <w:tcPr>
            <w:tcW w:w="1701" w:type="dxa"/>
            <w:tcBorders>
              <w:top w:val="nil"/>
              <w:left w:val="nil"/>
              <w:bottom w:val="nil"/>
              <w:right w:val="nil"/>
            </w:tcBorders>
          </w:tcPr>
          <w:p w:rsidR="0028027B" w:rsidRPr="00DC1EE4" w:rsidRDefault="0028027B" w:rsidP="00C03F9E">
            <w:pPr>
              <w:pStyle w:val="TableofFigures"/>
            </w:pPr>
            <w:r w:rsidRPr="00DC1EE4">
              <w:t>..</w:t>
            </w:r>
          </w:p>
        </w:tc>
        <w:tc>
          <w:tcPr>
            <w:tcW w:w="1860" w:type="dxa"/>
            <w:tcBorders>
              <w:top w:val="nil"/>
              <w:left w:val="nil"/>
              <w:bottom w:val="nil"/>
              <w:right w:val="nil"/>
            </w:tcBorders>
          </w:tcPr>
          <w:p w:rsidR="0028027B" w:rsidRPr="00DC1EE4" w:rsidRDefault="0028027B" w:rsidP="00C03F9E">
            <w:pPr>
              <w:pStyle w:val="TableofFigures"/>
            </w:pPr>
            <w:r w:rsidRPr="00DC1EE4">
              <w:t>..</w:t>
            </w:r>
          </w:p>
        </w:tc>
      </w:tr>
      <w:tr w:rsidR="0028027B" w:rsidRPr="00DC1EE4" w:rsidTr="00C03F9E">
        <w:tc>
          <w:tcPr>
            <w:tcW w:w="3230" w:type="dxa"/>
            <w:tcBorders>
              <w:top w:val="nil"/>
              <w:left w:val="nil"/>
              <w:bottom w:val="nil"/>
              <w:right w:val="nil"/>
            </w:tcBorders>
          </w:tcPr>
          <w:p w:rsidR="0028027B" w:rsidRPr="00DC1EE4" w:rsidRDefault="0028027B" w:rsidP="00C03F9E">
            <w:pPr>
              <w:pStyle w:val="TableofFigures"/>
            </w:pPr>
            <w:r w:rsidRPr="00DC1EE4">
              <w:t xml:space="preserve">.. </w:t>
            </w:r>
          </w:p>
        </w:tc>
        <w:tc>
          <w:tcPr>
            <w:tcW w:w="2883" w:type="dxa"/>
            <w:tcBorders>
              <w:top w:val="nil"/>
              <w:left w:val="nil"/>
              <w:bottom w:val="nil"/>
              <w:right w:val="nil"/>
            </w:tcBorders>
          </w:tcPr>
          <w:p w:rsidR="0028027B" w:rsidRPr="00DC1EE4" w:rsidRDefault="0028027B" w:rsidP="00C03F9E">
            <w:pPr>
              <w:pStyle w:val="TableofFigures"/>
            </w:pPr>
            <w:r w:rsidRPr="00DC1EE4">
              <w:t xml:space="preserve">.. </w:t>
            </w:r>
          </w:p>
        </w:tc>
        <w:tc>
          <w:tcPr>
            <w:tcW w:w="1701" w:type="dxa"/>
            <w:tcBorders>
              <w:top w:val="nil"/>
              <w:left w:val="nil"/>
              <w:bottom w:val="nil"/>
              <w:right w:val="nil"/>
            </w:tcBorders>
          </w:tcPr>
          <w:p w:rsidR="0028027B" w:rsidRPr="00DC1EE4" w:rsidRDefault="0028027B" w:rsidP="00C03F9E">
            <w:pPr>
              <w:pStyle w:val="TableofFigures"/>
            </w:pPr>
            <w:r w:rsidRPr="00DC1EE4">
              <w:t xml:space="preserve">.. </w:t>
            </w:r>
          </w:p>
        </w:tc>
        <w:tc>
          <w:tcPr>
            <w:tcW w:w="1860" w:type="dxa"/>
            <w:tcBorders>
              <w:top w:val="nil"/>
              <w:left w:val="nil"/>
              <w:bottom w:val="nil"/>
              <w:right w:val="nil"/>
            </w:tcBorders>
          </w:tcPr>
          <w:p w:rsidR="0028027B" w:rsidRPr="00DC1EE4" w:rsidRDefault="0028027B" w:rsidP="00C03F9E">
            <w:pPr>
              <w:pStyle w:val="TableofFigures"/>
            </w:pPr>
            <w:r w:rsidRPr="00DC1EE4">
              <w:t xml:space="preserve">.. </w:t>
            </w:r>
          </w:p>
        </w:tc>
      </w:tr>
      <w:tr w:rsidR="0028027B" w:rsidRPr="00DC1EE4" w:rsidTr="00C03F9E">
        <w:tc>
          <w:tcPr>
            <w:tcW w:w="3230"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43 385</w:t>
            </w:r>
          </w:p>
        </w:tc>
        <w:tc>
          <w:tcPr>
            <w:tcW w:w="2883"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46 167</w:t>
            </w:r>
          </w:p>
        </w:tc>
        <w:tc>
          <w:tcPr>
            <w:tcW w:w="1701"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651</w:t>
            </w:r>
          </w:p>
        </w:tc>
        <w:tc>
          <w:tcPr>
            <w:tcW w:w="1860"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136 556</w:t>
            </w:r>
          </w:p>
        </w:tc>
      </w:tr>
      <w:tr w:rsidR="0028027B" w:rsidRPr="00DC1EE4" w:rsidTr="00C03F9E">
        <w:tc>
          <w:tcPr>
            <w:tcW w:w="3230" w:type="dxa"/>
            <w:tcBorders>
              <w:top w:val="nil"/>
              <w:left w:val="nil"/>
              <w:bottom w:val="nil"/>
              <w:right w:val="nil"/>
            </w:tcBorders>
          </w:tcPr>
          <w:p w:rsidR="0028027B" w:rsidRPr="00DC1EE4" w:rsidRDefault="0028027B" w:rsidP="00C03F9E">
            <w:pPr>
              <w:pStyle w:val="TableofFigures"/>
            </w:pPr>
            <w:r w:rsidRPr="00DC1EE4">
              <w:t xml:space="preserve"> </w:t>
            </w:r>
          </w:p>
        </w:tc>
        <w:tc>
          <w:tcPr>
            <w:tcW w:w="2883" w:type="dxa"/>
            <w:tcBorders>
              <w:top w:val="nil"/>
              <w:left w:val="nil"/>
              <w:bottom w:val="nil"/>
              <w:right w:val="nil"/>
            </w:tcBorders>
          </w:tcPr>
          <w:p w:rsidR="0028027B" w:rsidRPr="00DC1EE4" w:rsidRDefault="0028027B" w:rsidP="00C03F9E">
            <w:pPr>
              <w:pStyle w:val="TableofFigures"/>
            </w:pPr>
            <w:r w:rsidRPr="00DC1EE4">
              <w:t xml:space="preserve"> </w:t>
            </w:r>
          </w:p>
        </w:tc>
        <w:tc>
          <w:tcPr>
            <w:tcW w:w="1701" w:type="dxa"/>
            <w:tcBorders>
              <w:top w:val="nil"/>
              <w:left w:val="nil"/>
              <w:bottom w:val="nil"/>
              <w:right w:val="nil"/>
            </w:tcBorders>
          </w:tcPr>
          <w:p w:rsidR="0028027B" w:rsidRPr="00DC1EE4" w:rsidRDefault="0028027B" w:rsidP="00C03F9E">
            <w:pPr>
              <w:pStyle w:val="TableofFigures"/>
            </w:pPr>
            <w:r w:rsidRPr="00DC1EE4">
              <w:t xml:space="preserve"> </w:t>
            </w:r>
          </w:p>
        </w:tc>
        <w:tc>
          <w:tcPr>
            <w:tcW w:w="1860" w:type="dxa"/>
            <w:tcBorders>
              <w:top w:val="nil"/>
              <w:left w:val="nil"/>
              <w:bottom w:val="nil"/>
              <w:right w:val="nil"/>
            </w:tcBorders>
          </w:tcPr>
          <w:p w:rsidR="0028027B" w:rsidRPr="00DC1EE4" w:rsidRDefault="0028027B" w:rsidP="00C03F9E">
            <w:pPr>
              <w:pStyle w:val="TableofFigures"/>
            </w:pPr>
            <w:r w:rsidRPr="00DC1EE4">
              <w:t xml:space="preserve"> </w:t>
            </w:r>
          </w:p>
        </w:tc>
      </w:tr>
      <w:tr w:rsidR="0028027B" w:rsidRPr="00DC1EE4" w:rsidTr="00C03F9E">
        <w:tc>
          <w:tcPr>
            <w:tcW w:w="3230" w:type="dxa"/>
            <w:tcBorders>
              <w:top w:val="nil"/>
              <w:left w:val="nil"/>
              <w:bottom w:val="nil"/>
              <w:right w:val="nil"/>
            </w:tcBorders>
          </w:tcPr>
          <w:p w:rsidR="0028027B" w:rsidRPr="00DC1EE4" w:rsidRDefault="0028027B" w:rsidP="00C03F9E">
            <w:pPr>
              <w:pStyle w:val="TableofFigures"/>
            </w:pPr>
            <w:r w:rsidRPr="00DC1EE4">
              <w:t>41 965</w:t>
            </w:r>
          </w:p>
        </w:tc>
        <w:tc>
          <w:tcPr>
            <w:tcW w:w="2883" w:type="dxa"/>
            <w:tcBorders>
              <w:top w:val="nil"/>
              <w:left w:val="nil"/>
              <w:bottom w:val="nil"/>
              <w:right w:val="nil"/>
            </w:tcBorders>
          </w:tcPr>
          <w:p w:rsidR="0028027B" w:rsidRPr="00DC1EE4" w:rsidRDefault="0028027B" w:rsidP="00C03F9E">
            <w:pPr>
              <w:pStyle w:val="TableofFigures"/>
            </w:pPr>
            <w:r w:rsidRPr="00DC1EE4">
              <w:t>42 187</w:t>
            </w:r>
          </w:p>
        </w:tc>
        <w:tc>
          <w:tcPr>
            <w:tcW w:w="1701" w:type="dxa"/>
            <w:tcBorders>
              <w:top w:val="nil"/>
              <w:left w:val="nil"/>
              <w:bottom w:val="nil"/>
              <w:right w:val="nil"/>
            </w:tcBorders>
          </w:tcPr>
          <w:p w:rsidR="0028027B" w:rsidRPr="00DC1EE4" w:rsidRDefault="0028027B" w:rsidP="00C03F9E">
            <w:pPr>
              <w:pStyle w:val="TableofFigures"/>
            </w:pPr>
            <w:r w:rsidRPr="00DC1EE4">
              <w:t>640</w:t>
            </w:r>
          </w:p>
        </w:tc>
        <w:tc>
          <w:tcPr>
            <w:tcW w:w="1860" w:type="dxa"/>
            <w:tcBorders>
              <w:top w:val="nil"/>
              <w:left w:val="nil"/>
              <w:bottom w:val="nil"/>
              <w:right w:val="nil"/>
            </w:tcBorders>
          </w:tcPr>
          <w:p w:rsidR="0028027B" w:rsidRPr="00DC1EE4" w:rsidRDefault="0028027B" w:rsidP="00C03F9E">
            <w:pPr>
              <w:pStyle w:val="TableofFigures"/>
            </w:pPr>
            <w:r w:rsidRPr="00DC1EE4">
              <w:t>128 477</w:t>
            </w:r>
          </w:p>
        </w:tc>
      </w:tr>
      <w:tr w:rsidR="0028027B" w:rsidRPr="00DC1EE4" w:rsidTr="00C03F9E">
        <w:tc>
          <w:tcPr>
            <w:tcW w:w="3230" w:type="dxa"/>
            <w:tcBorders>
              <w:top w:val="nil"/>
              <w:left w:val="nil"/>
              <w:bottom w:val="nil"/>
              <w:right w:val="nil"/>
            </w:tcBorders>
          </w:tcPr>
          <w:p w:rsidR="0028027B" w:rsidRPr="00DC1EE4" w:rsidRDefault="0028027B" w:rsidP="00C03F9E">
            <w:pPr>
              <w:pStyle w:val="TableofFigures"/>
            </w:pPr>
            <w:r w:rsidRPr="00DC1EE4">
              <w:t>..</w:t>
            </w:r>
          </w:p>
        </w:tc>
        <w:tc>
          <w:tcPr>
            <w:tcW w:w="2883" w:type="dxa"/>
            <w:tcBorders>
              <w:top w:val="nil"/>
              <w:left w:val="nil"/>
              <w:bottom w:val="nil"/>
              <w:right w:val="nil"/>
            </w:tcBorders>
          </w:tcPr>
          <w:p w:rsidR="0028027B" w:rsidRPr="00DC1EE4" w:rsidRDefault="0028027B" w:rsidP="00C03F9E">
            <w:pPr>
              <w:pStyle w:val="TableofFigures"/>
            </w:pPr>
            <w:r w:rsidRPr="00DC1EE4">
              <w:t>..</w:t>
            </w:r>
          </w:p>
        </w:tc>
        <w:tc>
          <w:tcPr>
            <w:tcW w:w="1701" w:type="dxa"/>
            <w:tcBorders>
              <w:top w:val="nil"/>
              <w:left w:val="nil"/>
              <w:bottom w:val="nil"/>
              <w:right w:val="nil"/>
            </w:tcBorders>
          </w:tcPr>
          <w:p w:rsidR="0028027B" w:rsidRPr="00DC1EE4" w:rsidRDefault="0028027B" w:rsidP="00C03F9E">
            <w:pPr>
              <w:pStyle w:val="TableofFigures"/>
            </w:pPr>
            <w:r w:rsidRPr="00DC1EE4">
              <w:t>..</w:t>
            </w:r>
          </w:p>
        </w:tc>
        <w:tc>
          <w:tcPr>
            <w:tcW w:w="1860" w:type="dxa"/>
            <w:tcBorders>
              <w:top w:val="nil"/>
              <w:left w:val="nil"/>
              <w:bottom w:val="nil"/>
              <w:right w:val="nil"/>
            </w:tcBorders>
          </w:tcPr>
          <w:p w:rsidR="0028027B" w:rsidRPr="00DC1EE4" w:rsidRDefault="0028027B" w:rsidP="00C03F9E">
            <w:pPr>
              <w:pStyle w:val="TableofFigures"/>
            </w:pPr>
            <w:r w:rsidRPr="00DC1EE4">
              <w:t>191</w:t>
            </w:r>
          </w:p>
        </w:tc>
      </w:tr>
      <w:tr w:rsidR="0028027B" w:rsidRPr="00DC1EE4" w:rsidTr="00C03F9E">
        <w:tc>
          <w:tcPr>
            <w:tcW w:w="3230" w:type="dxa"/>
            <w:tcBorders>
              <w:top w:val="nil"/>
              <w:left w:val="nil"/>
              <w:right w:val="nil"/>
            </w:tcBorders>
          </w:tcPr>
          <w:p w:rsidR="0028027B" w:rsidRPr="00DC1EE4" w:rsidRDefault="0028027B" w:rsidP="00C03F9E">
            <w:pPr>
              <w:pStyle w:val="TableofFigures"/>
            </w:pPr>
            <w:r w:rsidRPr="00DC1EE4">
              <w:t>59</w:t>
            </w:r>
          </w:p>
        </w:tc>
        <w:tc>
          <w:tcPr>
            <w:tcW w:w="2883" w:type="dxa"/>
            <w:tcBorders>
              <w:top w:val="nil"/>
              <w:left w:val="nil"/>
              <w:right w:val="nil"/>
            </w:tcBorders>
          </w:tcPr>
          <w:p w:rsidR="0028027B" w:rsidRPr="00DC1EE4" w:rsidRDefault="0028027B" w:rsidP="00C03F9E">
            <w:pPr>
              <w:pStyle w:val="TableofFigures"/>
            </w:pPr>
            <w:r w:rsidRPr="00DC1EE4">
              <w:t>3</w:t>
            </w:r>
          </w:p>
        </w:tc>
        <w:tc>
          <w:tcPr>
            <w:tcW w:w="1701" w:type="dxa"/>
            <w:tcBorders>
              <w:top w:val="nil"/>
              <w:left w:val="nil"/>
              <w:right w:val="nil"/>
            </w:tcBorders>
          </w:tcPr>
          <w:p w:rsidR="0028027B" w:rsidRPr="00DC1EE4" w:rsidRDefault="0028027B" w:rsidP="00C03F9E">
            <w:pPr>
              <w:pStyle w:val="TableofFigures"/>
            </w:pPr>
            <w:r w:rsidRPr="00DC1EE4">
              <w:t>(11)</w:t>
            </w:r>
          </w:p>
        </w:tc>
        <w:tc>
          <w:tcPr>
            <w:tcW w:w="1860" w:type="dxa"/>
            <w:tcBorders>
              <w:top w:val="nil"/>
              <w:left w:val="nil"/>
              <w:right w:val="nil"/>
            </w:tcBorders>
          </w:tcPr>
          <w:p w:rsidR="0028027B" w:rsidRPr="00DC1EE4" w:rsidRDefault="0028027B" w:rsidP="00C03F9E">
            <w:pPr>
              <w:pStyle w:val="TableofFigures"/>
            </w:pPr>
            <w:r w:rsidRPr="00DC1EE4">
              <w:t>(2 444)</w:t>
            </w:r>
          </w:p>
        </w:tc>
      </w:tr>
      <w:tr w:rsidR="0028027B" w:rsidRPr="00DC1EE4" w:rsidTr="00C03F9E">
        <w:tc>
          <w:tcPr>
            <w:tcW w:w="3230" w:type="dxa"/>
            <w:tcBorders>
              <w:top w:val="nil"/>
              <w:left w:val="nil"/>
              <w:right w:val="nil"/>
            </w:tcBorders>
          </w:tcPr>
          <w:p w:rsidR="0028027B" w:rsidRPr="00DC1EE4" w:rsidRDefault="0028027B" w:rsidP="00C03F9E">
            <w:pPr>
              <w:pStyle w:val="TableofFigures"/>
            </w:pPr>
            <w:r w:rsidRPr="00DC1EE4">
              <w:t>(392)</w:t>
            </w:r>
          </w:p>
        </w:tc>
        <w:tc>
          <w:tcPr>
            <w:tcW w:w="2883" w:type="dxa"/>
            <w:tcBorders>
              <w:top w:val="nil"/>
              <w:left w:val="nil"/>
              <w:right w:val="nil"/>
            </w:tcBorders>
          </w:tcPr>
          <w:p w:rsidR="0028027B" w:rsidRPr="00DC1EE4" w:rsidRDefault="0028027B" w:rsidP="00C03F9E">
            <w:pPr>
              <w:pStyle w:val="TableofFigures"/>
            </w:pPr>
            <w:r w:rsidRPr="00DC1EE4">
              <w:t>..</w:t>
            </w:r>
          </w:p>
        </w:tc>
        <w:tc>
          <w:tcPr>
            <w:tcW w:w="1701" w:type="dxa"/>
            <w:tcBorders>
              <w:top w:val="nil"/>
              <w:left w:val="nil"/>
              <w:right w:val="nil"/>
            </w:tcBorders>
          </w:tcPr>
          <w:p w:rsidR="0028027B" w:rsidRPr="00DC1EE4" w:rsidRDefault="0028027B" w:rsidP="00C03F9E">
            <w:pPr>
              <w:pStyle w:val="TableofFigures"/>
            </w:pPr>
            <w:r w:rsidRPr="00DC1EE4">
              <w:t>..</w:t>
            </w:r>
          </w:p>
        </w:tc>
        <w:tc>
          <w:tcPr>
            <w:tcW w:w="1860" w:type="dxa"/>
            <w:tcBorders>
              <w:top w:val="nil"/>
              <w:left w:val="nil"/>
              <w:right w:val="nil"/>
            </w:tcBorders>
          </w:tcPr>
          <w:p w:rsidR="0028027B" w:rsidRPr="00DC1EE4" w:rsidRDefault="0028027B" w:rsidP="00C03F9E">
            <w:pPr>
              <w:pStyle w:val="TableofFigures"/>
            </w:pPr>
            <w:r w:rsidRPr="00DC1EE4">
              <w:t>..</w:t>
            </w:r>
          </w:p>
        </w:tc>
      </w:tr>
      <w:tr w:rsidR="0028027B" w:rsidRPr="00DC1EE4" w:rsidTr="00C03F9E">
        <w:tc>
          <w:tcPr>
            <w:tcW w:w="3230" w:type="dxa"/>
            <w:tcBorders>
              <w:left w:val="nil"/>
              <w:bottom w:val="single" w:sz="6" w:space="0" w:color="auto"/>
              <w:right w:val="nil"/>
            </w:tcBorders>
          </w:tcPr>
          <w:p w:rsidR="0028027B" w:rsidRPr="00DC1EE4" w:rsidRDefault="0028027B" w:rsidP="00C03F9E">
            <w:pPr>
              <w:pStyle w:val="TableofFigures"/>
            </w:pPr>
            <w:r w:rsidRPr="00DC1EE4">
              <w:t xml:space="preserve">.. </w:t>
            </w:r>
          </w:p>
        </w:tc>
        <w:tc>
          <w:tcPr>
            <w:tcW w:w="2883" w:type="dxa"/>
            <w:tcBorders>
              <w:left w:val="nil"/>
              <w:bottom w:val="single" w:sz="6" w:space="0" w:color="auto"/>
              <w:right w:val="nil"/>
            </w:tcBorders>
          </w:tcPr>
          <w:p w:rsidR="0028027B" w:rsidRPr="00DC1EE4" w:rsidRDefault="0028027B" w:rsidP="00C03F9E">
            <w:pPr>
              <w:pStyle w:val="TableofFigures"/>
            </w:pPr>
            <w:r w:rsidRPr="00DC1EE4">
              <w:t xml:space="preserve">.. </w:t>
            </w:r>
          </w:p>
        </w:tc>
        <w:tc>
          <w:tcPr>
            <w:tcW w:w="1701" w:type="dxa"/>
            <w:tcBorders>
              <w:left w:val="nil"/>
              <w:bottom w:val="single" w:sz="6" w:space="0" w:color="auto"/>
              <w:right w:val="nil"/>
            </w:tcBorders>
          </w:tcPr>
          <w:p w:rsidR="0028027B" w:rsidRPr="00DC1EE4" w:rsidRDefault="0028027B" w:rsidP="00C03F9E">
            <w:pPr>
              <w:pStyle w:val="TableofFigures"/>
            </w:pPr>
            <w:r w:rsidRPr="00DC1EE4">
              <w:t xml:space="preserve">.. </w:t>
            </w:r>
          </w:p>
        </w:tc>
        <w:tc>
          <w:tcPr>
            <w:tcW w:w="1860" w:type="dxa"/>
            <w:tcBorders>
              <w:left w:val="nil"/>
              <w:bottom w:val="single" w:sz="6" w:space="0" w:color="auto"/>
              <w:right w:val="nil"/>
            </w:tcBorders>
          </w:tcPr>
          <w:p w:rsidR="0028027B" w:rsidRPr="00DC1EE4" w:rsidRDefault="0028027B" w:rsidP="00C03F9E">
            <w:pPr>
              <w:pStyle w:val="TableofFigures"/>
            </w:pPr>
            <w:r w:rsidRPr="00DC1EE4">
              <w:t xml:space="preserve">.. </w:t>
            </w:r>
          </w:p>
        </w:tc>
      </w:tr>
      <w:tr w:rsidR="0028027B" w:rsidRPr="00DC1EE4" w:rsidTr="00C03F9E">
        <w:tc>
          <w:tcPr>
            <w:tcW w:w="3230" w:type="dxa"/>
            <w:tcBorders>
              <w:top w:val="single" w:sz="6" w:space="0" w:color="auto"/>
              <w:left w:val="nil"/>
              <w:bottom w:val="single" w:sz="12" w:space="0" w:color="000000"/>
              <w:right w:val="nil"/>
            </w:tcBorders>
            <w:shd w:val="clear" w:color="auto" w:fill="auto"/>
          </w:tcPr>
          <w:p w:rsidR="0028027B" w:rsidRPr="00DC1EE4" w:rsidRDefault="0028027B" w:rsidP="00C03F9E">
            <w:pPr>
              <w:pStyle w:val="TableofFigures"/>
              <w:rPr>
                <w:b/>
              </w:rPr>
            </w:pPr>
            <w:r w:rsidRPr="00DC1EE4">
              <w:rPr>
                <w:b/>
              </w:rPr>
              <w:t>41 632</w:t>
            </w:r>
          </w:p>
        </w:tc>
        <w:tc>
          <w:tcPr>
            <w:tcW w:w="2883" w:type="dxa"/>
            <w:tcBorders>
              <w:top w:val="single" w:sz="6" w:space="0" w:color="auto"/>
              <w:left w:val="nil"/>
              <w:bottom w:val="single" w:sz="12" w:space="0" w:color="000000"/>
              <w:right w:val="nil"/>
            </w:tcBorders>
            <w:shd w:val="clear" w:color="auto" w:fill="auto"/>
          </w:tcPr>
          <w:p w:rsidR="0028027B" w:rsidRPr="00DC1EE4" w:rsidRDefault="0028027B" w:rsidP="00C03F9E">
            <w:pPr>
              <w:pStyle w:val="TableofFigures"/>
              <w:rPr>
                <w:b/>
              </w:rPr>
            </w:pPr>
            <w:r w:rsidRPr="00DC1EE4">
              <w:rPr>
                <w:b/>
              </w:rPr>
              <w:t>42 190</w:t>
            </w:r>
          </w:p>
        </w:tc>
        <w:tc>
          <w:tcPr>
            <w:tcW w:w="1701" w:type="dxa"/>
            <w:tcBorders>
              <w:top w:val="single" w:sz="6" w:space="0" w:color="auto"/>
              <w:left w:val="nil"/>
              <w:bottom w:val="single" w:sz="12" w:space="0" w:color="000000"/>
              <w:right w:val="nil"/>
            </w:tcBorders>
            <w:shd w:val="clear" w:color="auto" w:fill="auto"/>
          </w:tcPr>
          <w:p w:rsidR="0028027B" w:rsidRPr="00DC1EE4" w:rsidRDefault="0028027B" w:rsidP="00C03F9E">
            <w:pPr>
              <w:pStyle w:val="TableofFigures"/>
              <w:rPr>
                <w:b/>
              </w:rPr>
            </w:pPr>
            <w:r w:rsidRPr="00DC1EE4">
              <w:rPr>
                <w:b/>
              </w:rPr>
              <w:t>629</w:t>
            </w:r>
          </w:p>
        </w:tc>
        <w:tc>
          <w:tcPr>
            <w:tcW w:w="1860" w:type="dxa"/>
            <w:tcBorders>
              <w:top w:val="single" w:sz="6" w:space="0" w:color="auto"/>
              <w:left w:val="nil"/>
              <w:bottom w:val="single" w:sz="12" w:space="0" w:color="000000"/>
              <w:right w:val="nil"/>
            </w:tcBorders>
            <w:shd w:val="clear" w:color="auto" w:fill="auto"/>
          </w:tcPr>
          <w:p w:rsidR="0028027B" w:rsidRPr="00DC1EE4" w:rsidRDefault="0028027B" w:rsidP="00C03F9E">
            <w:pPr>
              <w:pStyle w:val="TableofFigures"/>
              <w:rPr>
                <w:b/>
              </w:rPr>
            </w:pPr>
            <w:r w:rsidRPr="00DC1EE4">
              <w:rPr>
                <w:b/>
              </w:rPr>
              <w:t>126 224</w:t>
            </w:r>
          </w:p>
        </w:tc>
      </w:tr>
    </w:tbl>
    <w:p w:rsidR="0028027B" w:rsidRPr="00DC1EE4" w:rsidRDefault="0028027B" w:rsidP="0028027B"/>
    <w:p w:rsidR="0028027B" w:rsidRPr="00DC1EE4" w:rsidRDefault="0028027B" w:rsidP="0028027B">
      <w:pPr>
        <w:pStyle w:val="Heading1"/>
      </w:pPr>
      <w:bookmarkStart w:id="708" w:name="_Toc324234842"/>
      <w:bookmarkStart w:id="709" w:name="_Toc330906648"/>
      <w:bookmarkStart w:id="710" w:name="_Toc332019437"/>
      <w:bookmarkStart w:id="711" w:name="_Toc350413728"/>
      <w:bookmarkStart w:id="712" w:name="_Toc388277753"/>
      <w:r w:rsidRPr="00DC1EE4">
        <w:br w:type="page"/>
      </w:r>
      <w:bookmarkStart w:id="713" w:name="_Toc448493019"/>
      <w:r w:rsidRPr="00DC1EE4">
        <w:t>Appendix 1(d) – Analysis of disclosures made in Victorian financial publications</w:t>
      </w:r>
      <w:bookmarkEnd w:id="708"/>
      <w:bookmarkEnd w:id="709"/>
      <w:bookmarkEnd w:id="710"/>
      <w:bookmarkEnd w:id="711"/>
      <w:bookmarkEnd w:id="712"/>
      <w:bookmarkEnd w:id="713"/>
    </w:p>
    <w:p w:rsidR="0028027B" w:rsidRPr="00DC1EE4" w:rsidRDefault="0028027B" w:rsidP="0028027B">
      <w:r w:rsidRPr="00DC1EE4">
        <w:t>Refer to footnotes for additional information about individual disclosures.</w:t>
      </w:r>
    </w:p>
    <w:p w:rsidR="0028027B" w:rsidRPr="00DC1EE4" w:rsidRDefault="0028027B" w:rsidP="0028027B">
      <w:pPr>
        <w:pStyle w:val="Heading2"/>
      </w:pPr>
      <w:r w:rsidRPr="00DC1EE4">
        <w:t xml:space="preserve">Glossary: </w:t>
      </w:r>
    </w:p>
    <w:p w:rsidR="0028027B" w:rsidRPr="00DC1EE4" w:rsidRDefault="0028027B" w:rsidP="0028027B">
      <w:r w:rsidRPr="00DC1EE4">
        <w:t>E – Estimated; A – Actual; F – Fictitious (for Model Report)</w:t>
      </w:r>
    </w:p>
    <w:p w:rsidR="0028027B" w:rsidRPr="00DC1EE4" w:rsidRDefault="0028027B" w:rsidP="0028027B">
      <w:pPr>
        <w:pStyle w:val="Notes"/>
      </w:pPr>
    </w:p>
    <w:tbl>
      <w:tblP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013"/>
        <w:gridCol w:w="1127"/>
        <w:gridCol w:w="810"/>
        <w:gridCol w:w="900"/>
        <w:gridCol w:w="900"/>
        <w:gridCol w:w="900"/>
        <w:gridCol w:w="757"/>
        <w:gridCol w:w="910"/>
        <w:gridCol w:w="1074"/>
      </w:tblGrid>
      <w:tr w:rsidR="0028027B" w:rsidRPr="00DC1EE4" w:rsidTr="00C03F9E">
        <w:trPr>
          <w:cantSplit/>
          <w:tblHeader/>
        </w:trPr>
        <w:tc>
          <w:tcPr>
            <w:tcW w:w="3013" w:type="dxa"/>
            <w:tcBorders>
              <w:top w:val="single" w:sz="6" w:space="0" w:color="auto"/>
              <w:left w:val="single" w:sz="6" w:space="0" w:color="auto"/>
              <w:bottom w:val="single" w:sz="4" w:space="0" w:color="BFBFBF" w:themeColor="background1" w:themeShade="BF"/>
              <w:right w:val="single" w:sz="4" w:space="0" w:color="BFBFBF" w:themeColor="background1" w:themeShade="BF"/>
            </w:tcBorders>
            <w:shd w:val="clear" w:color="auto" w:fill="000000"/>
          </w:tcPr>
          <w:p w:rsidR="0028027B" w:rsidRPr="00DC1EE4" w:rsidRDefault="0028027B" w:rsidP="00C03F9E">
            <w:pPr>
              <w:pStyle w:val="TabletextheadingLeft"/>
            </w:pPr>
            <w:r w:rsidRPr="00DC1EE4">
              <w:br/>
            </w:r>
            <w:r w:rsidRPr="00DC1EE4">
              <w:br/>
            </w:r>
            <w:r w:rsidRPr="00DC1EE4">
              <w:br/>
            </w:r>
            <w:r w:rsidRPr="00DC1EE4">
              <w:br/>
            </w:r>
          </w:p>
        </w:tc>
        <w:tc>
          <w:tcPr>
            <w:tcW w:w="1127"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vAlign w:val="bottom"/>
          </w:tcPr>
          <w:p w:rsidR="0028027B" w:rsidRPr="00DC1EE4" w:rsidRDefault="0028027B" w:rsidP="00C03F9E">
            <w:pPr>
              <w:pStyle w:val="Tabletextheading"/>
            </w:pPr>
            <w:r w:rsidRPr="00DC1EE4">
              <w:t>Model Report for Victorian Government Departments 2015</w:t>
            </w:r>
            <w:r w:rsidR="005A4BB0">
              <w:noBreakHyphen/>
            </w:r>
            <w:r w:rsidRPr="00DC1EE4">
              <w:t>16</w:t>
            </w:r>
          </w:p>
        </w:tc>
        <w:tc>
          <w:tcPr>
            <w:tcW w:w="810"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8027B" w:rsidRPr="00DC1EE4" w:rsidRDefault="0028027B" w:rsidP="00C03F9E">
            <w:pPr>
              <w:pStyle w:val="Tabletextheading"/>
            </w:pPr>
            <w:r w:rsidRPr="00DC1EE4">
              <w:t>2015</w:t>
            </w:r>
            <w:r w:rsidR="005A4BB0">
              <w:noBreakHyphen/>
            </w:r>
            <w:r w:rsidRPr="00DC1EE4">
              <w:t xml:space="preserve">16 Budget Paper </w:t>
            </w:r>
            <w:r w:rsidRPr="00DC1EE4">
              <w:br/>
              <w:t xml:space="preserve">No. 5 </w:t>
            </w:r>
            <w:r w:rsidRPr="00DC1EE4">
              <w:rPr>
                <w:vertAlign w:val="superscript"/>
              </w:rPr>
              <w:t>(a)</w:t>
            </w:r>
          </w:p>
        </w:tc>
        <w:tc>
          <w:tcPr>
            <w:tcW w:w="900"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8027B" w:rsidRPr="00DC1EE4" w:rsidRDefault="0028027B" w:rsidP="00C03F9E">
            <w:pPr>
              <w:pStyle w:val="Tabletextheading"/>
            </w:pPr>
            <w:r w:rsidRPr="00DC1EE4">
              <w:t>2014</w:t>
            </w:r>
            <w:r w:rsidR="005A4BB0">
              <w:noBreakHyphen/>
            </w:r>
            <w:r w:rsidRPr="00DC1EE4">
              <w:t>15</w:t>
            </w:r>
          </w:p>
          <w:p w:rsidR="0028027B" w:rsidRPr="00DC1EE4" w:rsidRDefault="0028027B" w:rsidP="00C03F9E">
            <w:pPr>
              <w:pStyle w:val="Tabletextheading"/>
            </w:pPr>
            <w:r w:rsidRPr="00DC1EE4">
              <w:t xml:space="preserve">Quarterly Financial Report </w:t>
            </w:r>
            <w:r w:rsidRPr="00DC1EE4">
              <w:br/>
              <w:t>No. 3</w:t>
            </w:r>
          </w:p>
        </w:tc>
        <w:tc>
          <w:tcPr>
            <w:tcW w:w="900"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8027B" w:rsidRPr="00DC1EE4" w:rsidRDefault="0028027B" w:rsidP="00C03F9E">
            <w:pPr>
              <w:pStyle w:val="Tabletextheading"/>
            </w:pPr>
            <w:r w:rsidRPr="00DC1EE4">
              <w:t>2014</w:t>
            </w:r>
            <w:r w:rsidR="005A4BB0">
              <w:noBreakHyphen/>
            </w:r>
            <w:r w:rsidRPr="00DC1EE4">
              <w:t xml:space="preserve">15 Financial Report </w:t>
            </w:r>
            <w:r w:rsidRPr="00DC1EE4">
              <w:rPr>
                <w:vertAlign w:val="superscript"/>
              </w:rPr>
              <w:t>(b)</w:t>
            </w:r>
          </w:p>
        </w:tc>
        <w:tc>
          <w:tcPr>
            <w:tcW w:w="900"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8027B" w:rsidRPr="00DC1EE4" w:rsidRDefault="0028027B" w:rsidP="00C03F9E">
            <w:pPr>
              <w:pStyle w:val="Tabletextheading"/>
            </w:pPr>
            <w:r w:rsidRPr="00DC1EE4">
              <w:t>2015</w:t>
            </w:r>
            <w:r w:rsidR="005A4BB0">
              <w:noBreakHyphen/>
            </w:r>
            <w:r w:rsidRPr="00DC1EE4">
              <w:t xml:space="preserve">16 Quarterly Financial Report </w:t>
            </w:r>
            <w:r w:rsidRPr="00DC1EE4">
              <w:br/>
              <w:t>No. 1</w:t>
            </w:r>
          </w:p>
        </w:tc>
        <w:tc>
          <w:tcPr>
            <w:tcW w:w="757"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8027B" w:rsidRPr="00DC1EE4" w:rsidRDefault="0028027B" w:rsidP="00C03F9E">
            <w:pPr>
              <w:pStyle w:val="Tabletextheading"/>
            </w:pPr>
            <w:r w:rsidRPr="00DC1EE4">
              <w:t>2015</w:t>
            </w:r>
            <w:r w:rsidR="005A4BB0">
              <w:noBreakHyphen/>
            </w:r>
            <w:r w:rsidRPr="00DC1EE4">
              <w:t>16 Budget Update</w:t>
            </w:r>
          </w:p>
        </w:tc>
        <w:tc>
          <w:tcPr>
            <w:tcW w:w="910"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8027B" w:rsidRPr="00DC1EE4" w:rsidRDefault="0028027B" w:rsidP="00C03F9E">
            <w:pPr>
              <w:pStyle w:val="Tabletextheading"/>
            </w:pPr>
            <w:r w:rsidRPr="00DC1EE4">
              <w:t>2015</w:t>
            </w:r>
            <w:r w:rsidR="005A4BB0">
              <w:noBreakHyphen/>
            </w:r>
            <w:r w:rsidRPr="00DC1EE4">
              <w:t>16</w:t>
            </w:r>
            <w:r w:rsidRPr="00DC1EE4">
              <w:br/>
              <w:t>Mid</w:t>
            </w:r>
            <w:r w:rsidR="005A4BB0">
              <w:noBreakHyphen/>
            </w:r>
            <w:r w:rsidRPr="00DC1EE4">
              <w:t xml:space="preserve">Year Financial Report </w:t>
            </w:r>
            <w:r w:rsidRPr="00DC1EE4">
              <w:rPr>
                <w:vertAlign w:val="superscript"/>
              </w:rPr>
              <w:t>(c)</w:t>
            </w:r>
          </w:p>
        </w:tc>
        <w:tc>
          <w:tcPr>
            <w:tcW w:w="1074" w:type="dxa"/>
            <w:tcBorders>
              <w:top w:val="single" w:sz="6" w:space="0" w:color="auto"/>
              <w:left w:val="single" w:sz="4" w:space="0" w:color="BFBFBF" w:themeColor="background1" w:themeShade="BF"/>
              <w:bottom w:val="single" w:sz="4" w:space="0" w:color="BFBFBF" w:themeColor="background1" w:themeShade="BF"/>
              <w:right w:val="single" w:sz="6" w:space="0" w:color="auto"/>
            </w:tcBorders>
            <w:shd w:val="clear" w:color="auto" w:fill="000000"/>
            <w:noWrap/>
            <w:vAlign w:val="bottom"/>
          </w:tcPr>
          <w:p w:rsidR="0028027B" w:rsidRPr="00DC1EE4" w:rsidRDefault="0028027B" w:rsidP="00C03F9E">
            <w:pPr>
              <w:pStyle w:val="Tabletextheading"/>
            </w:pPr>
            <w:r w:rsidRPr="00DC1EE4">
              <w:t xml:space="preserve">November 2014 </w:t>
            </w:r>
            <w:r w:rsidRPr="00DC1EE4">
              <w:br/>
              <w:t>Pre</w:t>
            </w:r>
            <w:r w:rsidR="005A4BB0">
              <w:noBreakHyphen/>
            </w:r>
            <w:r w:rsidRPr="00DC1EE4">
              <w:t>Election Budget Update</w:t>
            </w:r>
          </w:p>
        </w:tc>
      </w:tr>
      <w:tr w:rsidR="0028027B" w:rsidRPr="00DC1EE4" w:rsidTr="00C03F9E">
        <w:trPr>
          <w:cantSplit/>
          <w:trHeight w:val="220"/>
        </w:trPr>
        <w:tc>
          <w:tcPr>
            <w:tcW w:w="10391" w:type="dxa"/>
            <w:gridSpan w:val="9"/>
            <w:tcBorders>
              <w:top w:val="single" w:sz="4" w:space="0" w:color="BFBFBF" w:themeColor="background1" w:themeShade="BF"/>
              <w:left w:val="single" w:sz="4" w:space="0" w:color="000000"/>
              <w:bottom w:val="single" w:sz="4" w:space="0" w:color="BFBFBF" w:themeColor="background1" w:themeShade="BF"/>
              <w:right w:val="single" w:sz="4" w:space="0" w:color="000000"/>
            </w:tcBorders>
          </w:tcPr>
          <w:p w:rsidR="0028027B" w:rsidRPr="00DC1EE4" w:rsidRDefault="0028027B" w:rsidP="00C03F9E">
            <w:pPr>
              <w:pStyle w:val="Tabletext"/>
              <w:rPr>
                <w:b/>
              </w:rPr>
            </w:pPr>
            <w:r w:rsidRPr="00DC1EE4">
              <w:rPr>
                <w:b/>
              </w:rPr>
              <w:t>Financial statements</w:t>
            </w:r>
          </w:p>
        </w:tc>
      </w:tr>
      <w:tr w:rsidR="0028027B" w:rsidRPr="00DC1EE4" w:rsidTr="00C03F9E">
        <w:trPr>
          <w:cantSplit/>
          <w:trHeight w:val="220"/>
        </w:trPr>
        <w:tc>
          <w:tcPr>
            <w:tcW w:w="3013" w:type="dxa"/>
            <w:tcBorders>
              <w:top w:val="single" w:sz="4" w:space="0" w:color="BFBFBF" w:themeColor="background1" w:themeShade="BF"/>
              <w:left w:val="single" w:sz="4" w:space="0" w:color="000000"/>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Comprehensive operating statement (COS)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F</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E</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E</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cBorders>
            <w:noWrap/>
          </w:tcPr>
          <w:p w:rsidR="0028027B" w:rsidRPr="00DC1EE4" w:rsidRDefault="0028027B" w:rsidP="00C03F9E">
            <w:pPr>
              <w:pStyle w:val="TableTextCentred"/>
            </w:pPr>
            <w:r w:rsidRPr="00DC1EE4">
              <w:t>E</w:t>
            </w:r>
          </w:p>
        </w:tc>
      </w:tr>
      <w:tr w:rsidR="0028027B" w:rsidRPr="00DC1EE4" w:rsidTr="00C03F9E">
        <w:trPr>
          <w:cantSplit/>
          <w:trHeight w:val="220"/>
        </w:trPr>
        <w:tc>
          <w:tcPr>
            <w:tcW w:w="3013" w:type="dxa"/>
            <w:tcBorders>
              <w:top w:val="single" w:sz="4" w:space="0" w:color="BFBFBF" w:themeColor="background1" w:themeShade="BF"/>
              <w:left w:val="single" w:sz="4" w:space="0" w:color="000000"/>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Balance sheet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F</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E</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E</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cBorders>
            <w:noWrap/>
          </w:tcPr>
          <w:p w:rsidR="0028027B" w:rsidRPr="00DC1EE4" w:rsidRDefault="0028027B" w:rsidP="00C03F9E">
            <w:pPr>
              <w:pStyle w:val="TableTextCentred"/>
            </w:pPr>
            <w:r w:rsidRPr="00DC1EE4">
              <w:t>E</w:t>
            </w:r>
          </w:p>
        </w:tc>
      </w:tr>
      <w:tr w:rsidR="0028027B" w:rsidRPr="00DC1EE4" w:rsidTr="00C03F9E">
        <w:trPr>
          <w:cantSplit/>
          <w:trHeight w:val="220"/>
        </w:trPr>
        <w:tc>
          <w:tcPr>
            <w:tcW w:w="3013" w:type="dxa"/>
            <w:tcBorders>
              <w:top w:val="single" w:sz="4" w:space="0" w:color="BFBFBF" w:themeColor="background1" w:themeShade="BF"/>
              <w:left w:val="single" w:sz="4" w:space="0" w:color="000000"/>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Statement of changes in equity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F</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E</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E</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cBorders>
            <w:noWrap/>
          </w:tcPr>
          <w:p w:rsidR="0028027B" w:rsidRPr="00DC1EE4" w:rsidRDefault="0028027B" w:rsidP="00C03F9E">
            <w:pPr>
              <w:pStyle w:val="TableTextCentred"/>
            </w:pPr>
            <w:r w:rsidRPr="00DC1EE4">
              <w:t>E</w:t>
            </w:r>
          </w:p>
        </w:tc>
      </w:tr>
      <w:tr w:rsidR="0028027B" w:rsidRPr="00DC1EE4" w:rsidTr="00C03F9E">
        <w:trPr>
          <w:cantSplit/>
          <w:trHeight w:val="220"/>
        </w:trPr>
        <w:tc>
          <w:tcPr>
            <w:tcW w:w="3013" w:type="dxa"/>
            <w:tcBorders>
              <w:top w:val="single" w:sz="4" w:space="0" w:color="BFBFBF" w:themeColor="background1" w:themeShade="BF"/>
              <w:left w:val="single" w:sz="4" w:space="0" w:color="000000"/>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Cash flow statement</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F</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E</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E</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A</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cBorders>
            <w:noWrap/>
          </w:tcPr>
          <w:p w:rsidR="0028027B" w:rsidRPr="00DC1EE4" w:rsidRDefault="0028027B" w:rsidP="00C03F9E">
            <w:pPr>
              <w:pStyle w:val="TableTextCentred"/>
            </w:pPr>
            <w:r w:rsidRPr="00DC1EE4">
              <w:t>E</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tcPr>
          <w:p w:rsidR="0028027B" w:rsidRPr="00DC1EE4" w:rsidRDefault="0028027B" w:rsidP="00C03F9E">
            <w:pPr>
              <w:pStyle w:val="TableTextCentred"/>
            </w:pPr>
          </w:p>
        </w:tc>
      </w:tr>
      <w:tr w:rsidR="0028027B" w:rsidRPr="00DC1EE4" w:rsidTr="00C03F9E">
        <w:trPr>
          <w:cantSplit/>
          <w:trHeight w:val="220"/>
        </w:trPr>
        <w:tc>
          <w:tcPr>
            <w:tcW w:w="10391" w:type="dxa"/>
            <w:gridSpan w:val="9"/>
            <w:tcBorders>
              <w:top w:val="single" w:sz="4" w:space="0" w:color="BFBFBF" w:themeColor="background1" w:themeShade="BF"/>
              <w:bottom w:val="single" w:sz="4" w:space="0" w:color="BFBFBF" w:themeColor="background1" w:themeShade="BF"/>
            </w:tcBorders>
          </w:tcPr>
          <w:p w:rsidR="0028027B" w:rsidRPr="00DC1EE4" w:rsidRDefault="0028027B" w:rsidP="00C03F9E">
            <w:pPr>
              <w:pStyle w:val="Tabletext"/>
              <w:rPr>
                <w:b/>
              </w:rPr>
            </w:pPr>
            <w:r w:rsidRPr="00DC1EE4">
              <w:rPr>
                <w:b/>
              </w:rPr>
              <w:t>Notes to the financial statements</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Statement of significant accounting policies/statement of significant accounting policies and forecast assumptions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1</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Disaggregated information</w:t>
            </w:r>
            <w:r w:rsidRPr="00DC1EE4">
              <w:rPr>
                <w:vertAlign w:val="superscript"/>
              </w:rPr>
              <w:t>(d)</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Departmental (controlled) outputs</w:t>
            </w:r>
            <w:r w:rsidRPr="00DC1EE4">
              <w:rPr>
                <w:vertAlign w:val="superscript"/>
              </w:rPr>
              <w:t>(e)</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Administered (non</w:t>
            </w:r>
            <w:r w:rsidR="005A4BB0">
              <w:noBreakHyphen/>
            </w:r>
            <w:r w:rsidRPr="00DC1EE4">
              <w:t>controlled) items</w:t>
            </w:r>
            <w:r w:rsidRPr="00DC1EE4">
              <w:rPr>
                <w:vertAlign w:val="superscript"/>
              </w:rPr>
              <w:t xml:space="preserve">(e)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Income from transactions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Taxation</w:t>
            </w:r>
            <w:r w:rsidRPr="00DC1EE4">
              <w:rPr>
                <w:vertAlign w:val="superscript"/>
              </w:rPr>
              <w:t>(d)</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2</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Interest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4(a)</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Fines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Dividends and income tax equivalent and rate equivalent income</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4(e)</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3</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Grants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4(c)</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5</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5</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6</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5</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Sale of goods and services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4(b)</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5</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4</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Fair value of assets received free of charge or for nominal consideration</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4(d)</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Other income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4(e)</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6</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6</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7</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6</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Expenses from transactions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5</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Superannuation</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28</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7</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7</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8</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7</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Depreciation</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5(b)</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8</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8</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9</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8</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Interest expense</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5(c)</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9</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10</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9</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Grants and other transfers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5(d)</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11</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10</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Other operating expenses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5(e)</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11</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12</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Other economic flows included in net result</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6</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Del="0040207E"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Net gain/(loss) from non</w:t>
            </w:r>
            <w:r w:rsidR="005A4BB0">
              <w:noBreakHyphen/>
            </w:r>
            <w:r w:rsidRPr="00DC1EE4">
              <w:t>financial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6(a)</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Other gains/(losses) from other economic flows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6(d)</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Del="0040207E" w:rsidRDefault="0028027B" w:rsidP="00C03F9E">
            <w:pPr>
              <w:pStyle w:val="TableTextCentred"/>
            </w:pPr>
            <w:r w:rsidRPr="00DC1EE4">
              <w:t>15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10</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13</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13</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keepNext/>
            </w:pPr>
            <w:r w:rsidRPr="00DC1EE4">
              <w:t>Total expenses from transactions by departments</w:t>
            </w:r>
            <w:r w:rsidRPr="00DC1EE4">
              <w:rPr>
                <w:vertAlign w:val="superscript"/>
              </w:rPr>
              <w:t xml:space="preserve"> (d)</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r w:rsidRPr="00DC1EE4">
              <w:t>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r w:rsidRPr="00DC1EE4">
              <w:t>9</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keepNext/>
            </w:pPr>
            <w:r w:rsidRPr="00DC1EE4">
              <w:t>12(b)</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keepNext/>
            </w:pPr>
            <w:r w:rsidRPr="00DC1EE4">
              <w:t xml:space="preserve">Total expenses by government purpose classification/function </w:t>
            </w:r>
            <w:r w:rsidRPr="00DC1EE4">
              <w:rPr>
                <w:vertAlign w:val="superscript"/>
              </w:rPr>
              <w:t>(d)</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r w:rsidRPr="00DC1EE4">
              <w:t>12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r w:rsidRPr="00DC1EE4">
              <w:t>13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r w:rsidRPr="00DC1EE4">
              <w:t>12</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r w:rsidRPr="00DC1EE4">
              <w:t>13</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keepNext/>
            </w:pPr>
            <w:r w:rsidRPr="00DC1EE4">
              <w:t>12(a)</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keepNext/>
            </w:pPr>
            <w:r w:rsidRPr="00DC1EE4">
              <w:t>Revision of accounting estimates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r w:rsidRPr="00DC1EE4">
              <w:t>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keepNext/>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Correction of errors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8</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Restructuring of administrative arrangements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9</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Discontinued operations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10</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Receivables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11</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12</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16</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Investments and other financial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12</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15</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16</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Investments accounted for using the equity method</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13</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17</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Interests in subsidiary and unconsolidated structured entities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Non</w:t>
            </w:r>
            <w:r w:rsidR="005A4BB0">
              <w:noBreakHyphen/>
            </w:r>
            <w:r w:rsidRPr="00DC1EE4">
              <w:t>financial physical assets classified as held for sale including disposal group and directly associated liabilities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15</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19</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Inventories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16</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18</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Property, plant and equipment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13</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17</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20</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17</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Reconciliation of movements in property, plant and equipment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22(c)</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13</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18</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20</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18</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Biological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18</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21</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Investment properties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19</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21</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Intangible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20</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21</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Other non</w:t>
            </w:r>
            <w:r w:rsidR="005A4BB0">
              <w:noBreakHyphen/>
            </w:r>
            <w:r w:rsidRPr="00DC1EE4">
              <w:t>financial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21</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21</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Payables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22</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21</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23</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20</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Borrowings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23</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22</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24</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21</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Provisions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24</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26</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Employee benefits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24 (a)</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17</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23</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25</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22</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Reconciliation of net gain on equity investments in other sector entities at proportional share of net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14</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14</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Net acquisition of non</w:t>
            </w:r>
            <w:r w:rsidR="005A4BB0">
              <w:noBreakHyphen/>
            </w:r>
            <w:r w:rsidRPr="00DC1EE4">
              <w:t>financial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11</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15</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15</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Assets received as collateral</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25</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Assets pledged as security</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26</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De</w:t>
            </w:r>
            <w:r w:rsidR="005A4BB0">
              <w:noBreakHyphen/>
            </w:r>
            <w:r w:rsidRPr="00DC1EE4">
              <w:t>recognition of financial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Superannuation</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28</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7</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8</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7</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Assets classified by government purpose classification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20(d)</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22</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19(a)</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Other asset and liability disclosures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29</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Leases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30</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Purchase of non</w:t>
            </w:r>
            <w:r w:rsidR="005A4BB0">
              <w:noBreakHyphen/>
            </w:r>
            <w:r w:rsidRPr="00DC1EE4">
              <w:t>financial assets by department</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20(b)</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20(b)</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19(b)</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Commitments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31</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29</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Contingent assets and liabilities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32</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30</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Financial instruments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33</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26</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28</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25</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Cash flow information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34</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18</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27</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keepNext/>
            </w:pPr>
            <w:r w:rsidRPr="00DC1EE4">
              <w:t>Reserves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keepNext/>
            </w:pPr>
            <w:r w:rsidRPr="00DC1EE4">
              <w:t>35</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24</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23</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 xml:space="preserve">Reconciliations to Government Finance Statistics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25</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r w:rsidRPr="00DC1EE4">
              <w:t>24</w:t>
            </w: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Summary of compliance with annual parliamentary and special appropriations/Public Account disclosure</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36</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19</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32</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Ex gratia payments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Annotated income agreements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38</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Trust account balances/Funds under management</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39</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Responsible persons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40</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Remuneration of executives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41</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Remuneration of auditors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42</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Subsequent events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43</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38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Glossary of terms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44</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40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r w:rsidRPr="00DC1EE4">
              <w:t>20</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8027B" w:rsidRPr="00DC1EE4" w:rsidRDefault="0028027B" w:rsidP="00C03F9E">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8027B" w:rsidRPr="00DC1EE4" w:rsidRDefault="0028027B" w:rsidP="00C03F9E">
            <w:pPr>
              <w:pStyle w:val="TableTextCentred"/>
            </w:pPr>
          </w:p>
        </w:tc>
      </w:tr>
      <w:tr w:rsidR="0028027B" w:rsidRPr="00DC1EE4" w:rsidTr="00C03F9E">
        <w:trPr>
          <w:cantSplit/>
          <w:trHeight w:val="220"/>
        </w:trPr>
        <w:tc>
          <w:tcPr>
            <w:tcW w:w="3013" w:type="dxa"/>
            <w:tcBorders>
              <w:top w:val="single" w:sz="4" w:space="0" w:color="BFBFBF" w:themeColor="background1" w:themeShade="BF"/>
              <w:bottom w:val="single" w:sz="12" w:space="0" w:color="auto"/>
              <w:right w:val="single" w:sz="4" w:space="0" w:color="BFBFBF" w:themeColor="background1" w:themeShade="BF"/>
            </w:tcBorders>
          </w:tcPr>
          <w:p w:rsidR="0028027B" w:rsidRPr="00DC1EE4" w:rsidRDefault="0028027B" w:rsidP="00C03F9E">
            <w:pPr>
              <w:pStyle w:val="Tabletext"/>
            </w:pPr>
            <w:r w:rsidRPr="00DC1EE4">
              <w:t>Controlled entities</w:t>
            </w:r>
            <w:r w:rsidRPr="00DC1EE4">
              <w:rPr>
                <w:vertAlign w:val="superscript"/>
              </w:rPr>
              <w:t xml:space="preserve"> (d)</w:t>
            </w:r>
          </w:p>
        </w:tc>
        <w:tc>
          <w:tcPr>
            <w:tcW w:w="1127"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8027B" w:rsidRPr="00DC1EE4" w:rsidRDefault="0028027B" w:rsidP="00C03F9E">
            <w:pPr>
              <w:pStyle w:val="TableTextCentred"/>
            </w:pPr>
          </w:p>
        </w:tc>
        <w:tc>
          <w:tcPr>
            <w:tcW w:w="810"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8027B" w:rsidRPr="00DC1EE4" w:rsidRDefault="0028027B" w:rsidP="00C03F9E">
            <w:pPr>
              <w:pStyle w:val="TableTextCentred"/>
            </w:pPr>
            <w:r w:rsidRPr="00DC1EE4">
              <w:t>27</w:t>
            </w:r>
          </w:p>
        </w:tc>
        <w:tc>
          <w:tcPr>
            <w:tcW w:w="900"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8027B" w:rsidRPr="00DC1EE4" w:rsidRDefault="0028027B" w:rsidP="00C03F9E">
            <w:pPr>
              <w:pStyle w:val="TableTextCentred"/>
            </w:pPr>
          </w:p>
        </w:tc>
        <w:tc>
          <w:tcPr>
            <w:tcW w:w="900"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8027B" w:rsidRPr="00DC1EE4" w:rsidRDefault="0028027B" w:rsidP="00C03F9E">
            <w:pPr>
              <w:pStyle w:val="TableTextCentred"/>
            </w:pPr>
            <w:r w:rsidRPr="00DC1EE4">
              <w:t>42</w:t>
            </w:r>
          </w:p>
        </w:tc>
        <w:tc>
          <w:tcPr>
            <w:tcW w:w="900"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8027B" w:rsidRPr="00DC1EE4" w:rsidRDefault="0028027B" w:rsidP="00C03F9E">
            <w:pPr>
              <w:pStyle w:val="TableTextCentred"/>
            </w:pPr>
            <w:r w:rsidRPr="00DC1EE4">
              <w:t>21</w:t>
            </w:r>
          </w:p>
        </w:tc>
        <w:tc>
          <w:tcPr>
            <w:tcW w:w="757"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8027B" w:rsidRPr="00DC1EE4" w:rsidRDefault="0028027B" w:rsidP="00C03F9E">
            <w:pPr>
              <w:pStyle w:val="TableTextCentred"/>
            </w:pPr>
            <w:r w:rsidRPr="00DC1EE4">
              <w:t>27</w:t>
            </w:r>
          </w:p>
        </w:tc>
        <w:tc>
          <w:tcPr>
            <w:tcW w:w="910"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8027B" w:rsidRPr="00DC1EE4" w:rsidRDefault="0028027B" w:rsidP="00C03F9E">
            <w:pPr>
              <w:pStyle w:val="TableTextCentred"/>
            </w:pPr>
            <w:r w:rsidRPr="00DC1EE4">
              <w:t>33</w:t>
            </w:r>
          </w:p>
        </w:tc>
        <w:tc>
          <w:tcPr>
            <w:tcW w:w="1074" w:type="dxa"/>
            <w:tcBorders>
              <w:top w:val="single" w:sz="4" w:space="0" w:color="BFBFBF" w:themeColor="background1" w:themeShade="BF"/>
              <w:left w:val="single" w:sz="4" w:space="0" w:color="BFBFBF" w:themeColor="background1" w:themeShade="BF"/>
              <w:bottom w:val="single" w:sz="12" w:space="0" w:color="auto"/>
            </w:tcBorders>
            <w:noWrap/>
          </w:tcPr>
          <w:p w:rsidR="0028027B" w:rsidRPr="00DC1EE4" w:rsidRDefault="0028027B" w:rsidP="00C03F9E">
            <w:pPr>
              <w:pStyle w:val="TableTextCentred"/>
            </w:pPr>
            <w:r w:rsidRPr="00DC1EE4">
              <w:t>26</w:t>
            </w:r>
          </w:p>
        </w:tc>
      </w:tr>
    </w:tbl>
    <w:p w:rsidR="0028027B" w:rsidRPr="00DC1EE4" w:rsidRDefault="0028027B" w:rsidP="0028027B">
      <w:pPr>
        <w:pStyle w:val="Notes"/>
      </w:pPr>
      <w:r w:rsidRPr="00DC1EE4">
        <w:t>Notes:</w:t>
      </w:r>
    </w:p>
    <w:p w:rsidR="0028027B" w:rsidRPr="00DC1EE4" w:rsidRDefault="0028027B" w:rsidP="0028027B">
      <w:pPr>
        <w:pStyle w:val="Notes"/>
      </w:pPr>
      <w:r w:rsidRPr="00DC1EE4">
        <w:t>(a)</w:t>
      </w:r>
      <w:r w:rsidRPr="00DC1EE4">
        <w:tab/>
        <w:t xml:space="preserve">Incorporates general government sector </w:t>
      </w:r>
      <w:r w:rsidRPr="00DC1EE4">
        <w:rPr>
          <w:i w:val="0"/>
        </w:rPr>
        <w:t>Quarterly Financial Report No. 3</w:t>
      </w:r>
      <w:r w:rsidRPr="00DC1EE4">
        <w:t>.</w:t>
      </w:r>
    </w:p>
    <w:p w:rsidR="0028027B" w:rsidRPr="00DC1EE4" w:rsidRDefault="0028027B" w:rsidP="0028027B">
      <w:pPr>
        <w:pStyle w:val="Notes"/>
      </w:pPr>
      <w:r w:rsidRPr="00DC1EE4">
        <w:t>(b)</w:t>
      </w:r>
      <w:r w:rsidRPr="00DC1EE4">
        <w:tab/>
        <w:t xml:space="preserve">Incorporates general government sector </w:t>
      </w:r>
      <w:r w:rsidRPr="00DC1EE4">
        <w:rPr>
          <w:i w:val="0"/>
        </w:rPr>
        <w:t>Quarterly Financial Report No. 4</w:t>
      </w:r>
      <w:r w:rsidRPr="00DC1EE4">
        <w:t>.</w:t>
      </w:r>
    </w:p>
    <w:p w:rsidR="0028027B" w:rsidRPr="00DC1EE4" w:rsidRDefault="0028027B" w:rsidP="0028027B">
      <w:pPr>
        <w:pStyle w:val="Notes"/>
      </w:pPr>
      <w:r w:rsidRPr="00DC1EE4">
        <w:t>(c)</w:t>
      </w:r>
      <w:r w:rsidRPr="00DC1EE4">
        <w:tab/>
        <w:t xml:space="preserve">Incorporates general government sector </w:t>
      </w:r>
      <w:r w:rsidRPr="00DC1EE4">
        <w:rPr>
          <w:i w:val="0"/>
        </w:rPr>
        <w:t>Quarterly Financial Report No. 2</w:t>
      </w:r>
      <w:r w:rsidRPr="00DC1EE4">
        <w:t>.</w:t>
      </w:r>
    </w:p>
    <w:p w:rsidR="0028027B" w:rsidRPr="00DC1EE4" w:rsidRDefault="0028027B" w:rsidP="0028027B">
      <w:pPr>
        <w:pStyle w:val="Notes"/>
      </w:pPr>
      <w:r w:rsidRPr="00DC1EE4">
        <w:t>(d)</w:t>
      </w:r>
      <w:r w:rsidRPr="00DC1EE4">
        <w:tab/>
        <w:t>Notes specific to government sector reporting.</w:t>
      </w:r>
    </w:p>
    <w:p w:rsidR="0028027B" w:rsidRPr="00DC1EE4" w:rsidRDefault="0028027B" w:rsidP="0028027B">
      <w:pPr>
        <w:pStyle w:val="Notes"/>
      </w:pPr>
      <w:r w:rsidRPr="00DC1EE4">
        <w:t>(e)</w:t>
      </w:r>
      <w:r w:rsidRPr="00DC1EE4">
        <w:tab/>
        <w:t>Notes specific to the Model Report for departmental reporting.</w:t>
      </w:r>
    </w:p>
    <w:p w:rsidR="0028027B" w:rsidRPr="00DC1EE4" w:rsidRDefault="0028027B" w:rsidP="0028027B"/>
    <w:p w:rsidR="0028027B" w:rsidRPr="00DC1EE4" w:rsidRDefault="0028027B" w:rsidP="0028027B"/>
    <w:p w:rsidR="0028027B" w:rsidRPr="00DC1EE4" w:rsidRDefault="0028027B" w:rsidP="0028027B">
      <w:pPr>
        <w:pStyle w:val="ChapterHeading"/>
        <w:sectPr w:rsidR="0028027B" w:rsidRPr="00DC1EE4" w:rsidSect="00190A01">
          <w:headerReference w:type="even" r:id="rId361"/>
          <w:headerReference w:type="default" r:id="rId362"/>
          <w:pgSz w:w="11906" w:h="16838" w:code="9"/>
          <w:pgMar w:top="1152" w:right="864" w:bottom="1152" w:left="864" w:header="432" w:footer="432" w:gutter="0"/>
          <w:cols w:space="708"/>
          <w:docGrid w:linePitch="360"/>
        </w:sectPr>
      </w:pPr>
    </w:p>
    <w:p w:rsidR="0028027B" w:rsidRPr="00DC1EE4" w:rsidRDefault="0028027B" w:rsidP="00560B06">
      <w:pPr>
        <w:pStyle w:val="ChapterHeading"/>
      </w:pPr>
      <w:bookmarkStart w:id="714" w:name="_Toc324234843"/>
      <w:bookmarkStart w:id="715" w:name="_Toc330906649"/>
      <w:bookmarkStart w:id="716" w:name="_Toc332019438"/>
      <w:bookmarkStart w:id="717" w:name="_Toc350413729"/>
      <w:bookmarkStart w:id="718" w:name="_Toc388277754"/>
      <w:bookmarkStart w:id="719" w:name="_Toc448493020"/>
      <w:r w:rsidRPr="00DC1EE4">
        <w:t>Appendix 2 – Practical classification guide between transactions and other economic flows</w:t>
      </w:r>
      <w:bookmarkEnd w:id="714"/>
      <w:bookmarkEnd w:id="715"/>
      <w:bookmarkEnd w:id="716"/>
      <w:bookmarkEnd w:id="717"/>
      <w:bookmarkEnd w:id="718"/>
      <w:bookmarkEnd w:id="719"/>
    </w:p>
    <w:p w:rsidR="0028027B" w:rsidRPr="00DC1EE4" w:rsidRDefault="0028027B" w:rsidP="0028027B">
      <w:r w:rsidRPr="00DC1EE4">
        <w:t xml:space="preserve">Transactions (T) generally arise when there is mutual agreement between counterparties. They represent changes to assets/liabilities that result directly from economic activities such as production (including cultivated assets e.g. breeding stock and plantations) or consumption. </w:t>
      </w:r>
    </w:p>
    <w:p w:rsidR="0028027B" w:rsidRPr="00DC1EE4" w:rsidRDefault="0028027B" w:rsidP="0028027B">
      <w:r w:rsidRPr="00DC1EE4">
        <w:t>Other economic flows (OEF) are either holding gains/(losses) from revaluations of assets/liabilities due to market changes, or changes in volume due to non</w:t>
      </w:r>
      <w:r w:rsidR="005A4BB0">
        <w:noBreakHyphen/>
      </w:r>
      <w:r w:rsidRPr="00DC1EE4">
        <w:t xml:space="preserve">economic phenomena such as: entrance or exit from the balance sheet as a result of normal events other than transactions e.g. discoveries of mineral deposits; birth/demise of breeding stock; assets created by human activity not previously recognised; and destruction by catastrophe. </w:t>
      </w:r>
    </w:p>
    <w:p w:rsidR="0028027B" w:rsidRPr="00DC1EE4" w:rsidRDefault="0028027B" w:rsidP="0028027B">
      <w:r w:rsidRPr="00DC1EE4">
        <w:t xml:space="preserve">For operating statement presentation purposes, other economic flows are disaggregated into </w:t>
      </w:r>
      <w:r w:rsidR="005A4BB0">
        <w:t>‘</w:t>
      </w:r>
      <w:r w:rsidRPr="00DC1EE4">
        <w:t>other economic flows included in net result</w:t>
      </w:r>
      <w:r w:rsidR="005A4BB0">
        <w:t>’</w:t>
      </w:r>
      <w:r w:rsidRPr="00DC1EE4">
        <w:t xml:space="preserve"> and </w:t>
      </w:r>
      <w:r w:rsidR="005A4BB0">
        <w:t>‘</w:t>
      </w:r>
      <w:r w:rsidRPr="00DC1EE4">
        <w:t>other economic flows – other comprehensive income (OCI)</w:t>
      </w:r>
      <w:r w:rsidR="005A4BB0">
        <w:t>’</w:t>
      </w:r>
      <w:r w:rsidRPr="00DC1EE4">
        <w:t xml:space="preserve">. </w:t>
      </w:r>
    </w:p>
    <w:p w:rsidR="0028027B" w:rsidRPr="00DC1EE4" w:rsidRDefault="0028027B" w:rsidP="0028027B">
      <w:pPr>
        <w:pStyle w:val="Notes"/>
      </w:pPr>
    </w:p>
    <w:tbl>
      <w:tblPr>
        <w:tblW w:w="5000" w:type="pct"/>
        <w:tblBorders>
          <w:top w:val="single" w:sz="12" w:space="0" w:color="000000"/>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CellMar>
          <w:left w:w="43" w:type="dxa"/>
          <w:right w:w="43" w:type="dxa"/>
        </w:tblCellMar>
        <w:tblLook w:val="01E0" w:firstRow="1" w:lastRow="1" w:firstColumn="1" w:lastColumn="1" w:noHBand="0" w:noVBand="0"/>
      </w:tblPr>
      <w:tblGrid>
        <w:gridCol w:w="402"/>
        <w:gridCol w:w="2252"/>
        <w:gridCol w:w="989"/>
        <w:gridCol w:w="1080"/>
        <w:gridCol w:w="850"/>
        <w:gridCol w:w="4691"/>
      </w:tblGrid>
      <w:tr w:rsidR="0028027B" w:rsidRPr="00DC1EE4" w:rsidTr="00C03F9E">
        <w:trPr>
          <w:cantSplit/>
          <w:trHeight w:val="533"/>
          <w:tblHeader/>
        </w:trPr>
        <w:tc>
          <w:tcPr>
            <w:tcW w:w="196" w:type="pct"/>
            <w:shd w:val="clear" w:color="auto" w:fill="000000"/>
          </w:tcPr>
          <w:p w:rsidR="0028027B" w:rsidRPr="00DC1EE4" w:rsidRDefault="0028027B" w:rsidP="00C03F9E">
            <w:pPr>
              <w:pStyle w:val="NormalIndent"/>
            </w:pPr>
          </w:p>
        </w:tc>
        <w:tc>
          <w:tcPr>
            <w:tcW w:w="1097" w:type="pct"/>
            <w:shd w:val="clear" w:color="auto" w:fill="000000"/>
          </w:tcPr>
          <w:p w:rsidR="0028027B" w:rsidRPr="00DC1EE4" w:rsidRDefault="0028027B" w:rsidP="00C03F9E">
            <w:pPr>
              <w:pStyle w:val="TabletextheadingLeft"/>
            </w:pPr>
            <w:r w:rsidRPr="00DC1EE4">
              <w:br/>
              <w:t>Item</w:t>
            </w:r>
          </w:p>
        </w:tc>
        <w:tc>
          <w:tcPr>
            <w:tcW w:w="482" w:type="pct"/>
            <w:shd w:val="clear" w:color="auto" w:fill="000000"/>
          </w:tcPr>
          <w:p w:rsidR="0028027B" w:rsidRPr="00DC1EE4" w:rsidRDefault="0028027B" w:rsidP="00C03F9E">
            <w:pPr>
              <w:pStyle w:val="TabletextheadingCentred"/>
            </w:pPr>
            <w:r w:rsidRPr="00DC1EE4">
              <w:br/>
              <w:t>Transaction</w:t>
            </w:r>
          </w:p>
        </w:tc>
        <w:tc>
          <w:tcPr>
            <w:tcW w:w="526" w:type="pct"/>
            <w:shd w:val="clear" w:color="auto" w:fill="000000"/>
          </w:tcPr>
          <w:p w:rsidR="0028027B" w:rsidRPr="00DC1EE4" w:rsidRDefault="0028027B" w:rsidP="00C03F9E">
            <w:pPr>
              <w:pStyle w:val="TabletextheadingCentred"/>
            </w:pPr>
            <w:r w:rsidRPr="00DC1EE4">
              <w:t>OEF included in net result</w:t>
            </w:r>
          </w:p>
        </w:tc>
        <w:tc>
          <w:tcPr>
            <w:tcW w:w="414" w:type="pct"/>
            <w:shd w:val="clear" w:color="auto" w:fill="000000"/>
          </w:tcPr>
          <w:p w:rsidR="0028027B" w:rsidRPr="00DC1EE4" w:rsidRDefault="0028027B" w:rsidP="00C03F9E">
            <w:pPr>
              <w:pStyle w:val="TabletextheadingCentred"/>
            </w:pPr>
            <w:r w:rsidRPr="00DC1EE4">
              <w:br/>
              <w:t>OEF – OCI</w:t>
            </w:r>
          </w:p>
        </w:tc>
        <w:tc>
          <w:tcPr>
            <w:tcW w:w="2285" w:type="pct"/>
            <w:shd w:val="clear" w:color="auto" w:fill="000000"/>
          </w:tcPr>
          <w:p w:rsidR="0028027B" w:rsidRPr="00DC1EE4" w:rsidRDefault="0028027B" w:rsidP="00C03F9E">
            <w:pPr>
              <w:pStyle w:val="TabletextheadingLeft"/>
            </w:pPr>
            <w:r w:rsidRPr="00DC1EE4">
              <w:br/>
              <w:t>Reason for the classification</w:t>
            </w:r>
          </w:p>
        </w:tc>
      </w:tr>
      <w:tr w:rsidR="0028027B" w:rsidRPr="00DC1EE4" w:rsidTr="00C03F9E">
        <w:trPr>
          <w:cantSplit/>
          <w:trHeight w:val="220"/>
        </w:trPr>
        <w:tc>
          <w:tcPr>
            <w:tcW w:w="196" w:type="pct"/>
            <w:shd w:val="clear" w:color="auto" w:fill="auto"/>
          </w:tcPr>
          <w:p w:rsidR="0028027B" w:rsidRPr="00DC1EE4" w:rsidRDefault="0028027B" w:rsidP="00C03F9E">
            <w:pPr>
              <w:pStyle w:val="Tabletext"/>
            </w:pPr>
            <w:r w:rsidRPr="00DC1EE4">
              <w:t>1</w:t>
            </w:r>
          </w:p>
        </w:tc>
        <w:tc>
          <w:tcPr>
            <w:tcW w:w="1097" w:type="pct"/>
            <w:shd w:val="clear" w:color="auto" w:fill="auto"/>
          </w:tcPr>
          <w:p w:rsidR="0028027B" w:rsidRPr="00DC1EE4" w:rsidRDefault="0028027B" w:rsidP="00C03F9E">
            <w:pPr>
              <w:pStyle w:val="Tabletext"/>
            </w:pPr>
            <w:r w:rsidRPr="00DC1EE4">
              <w:t>Taxation</w:t>
            </w:r>
          </w:p>
        </w:tc>
        <w:tc>
          <w:tcPr>
            <w:tcW w:w="482" w:type="pct"/>
            <w:shd w:val="clear" w:color="auto" w:fill="auto"/>
          </w:tcPr>
          <w:p w:rsidR="0028027B" w:rsidRPr="00DC1EE4" w:rsidRDefault="0028027B" w:rsidP="00C03F9E">
            <w:pPr>
              <w:pStyle w:val="TableTextCentred"/>
            </w:pPr>
            <w:r w:rsidRPr="00DC1EE4">
              <w:rPr>
                <w:rFonts w:ascii="Wingdings" w:hAnsi="Wingdings" w:cs="Wingdings"/>
              </w:rPr>
              <w:t></w:t>
            </w:r>
          </w:p>
        </w:tc>
        <w:tc>
          <w:tcPr>
            <w:tcW w:w="526" w:type="pct"/>
            <w:shd w:val="clear" w:color="auto" w:fill="auto"/>
          </w:tcPr>
          <w:p w:rsidR="0028027B" w:rsidRPr="00DC1EE4" w:rsidRDefault="0028027B" w:rsidP="00C03F9E">
            <w:pPr>
              <w:pStyle w:val="TableTextCentred"/>
            </w:pPr>
          </w:p>
        </w:tc>
        <w:tc>
          <w:tcPr>
            <w:tcW w:w="414" w:type="pct"/>
          </w:tcPr>
          <w:p w:rsidR="0028027B" w:rsidRPr="00DC1EE4" w:rsidRDefault="0028027B" w:rsidP="00C03F9E">
            <w:pPr>
              <w:pStyle w:val="Tabletext"/>
              <w:jc w:val="center"/>
            </w:pPr>
          </w:p>
        </w:tc>
        <w:tc>
          <w:tcPr>
            <w:tcW w:w="2285" w:type="pct"/>
            <w:shd w:val="clear" w:color="auto" w:fill="auto"/>
          </w:tcPr>
          <w:p w:rsidR="0028027B" w:rsidRPr="00DC1EE4" w:rsidRDefault="0028027B" w:rsidP="00C03F9E">
            <w:pPr>
              <w:pStyle w:val="Tabletext"/>
            </w:pPr>
            <w:r w:rsidRPr="00DC1EE4">
              <w:t>Agreed between counterparties i.e. implicit agreement between government and taxpayers.</w:t>
            </w:r>
          </w:p>
        </w:tc>
      </w:tr>
      <w:tr w:rsidR="0028027B" w:rsidRPr="00DC1EE4" w:rsidTr="00C03F9E">
        <w:trPr>
          <w:cantSplit/>
          <w:trHeight w:val="220"/>
        </w:trPr>
        <w:tc>
          <w:tcPr>
            <w:tcW w:w="196" w:type="pct"/>
            <w:shd w:val="clear" w:color="auto" w:fill="auto"/>
          </w:tcPr>
          <w:p w:rsidR="0028027B" w:rsidRPr="00DC1EE4" w:rsidRDefault="0028027B" w:rsidP="00C03F9E">
            <w:pPr>
              <w:pStyle w:val="Tabletext"/>
            </w:pPr>
            <w:r w:rsidRPr="00DC1EE4">
              <w:t>2</w:t>
            </w:r>
          </w:p>
        </w:tc>
        <w:tc>
          <w:tcPr>
            <w:tcW w:w="1097" w:type="pct"/>
            <w:shd w:val="clear" w:color="auto" w:fill="auto"/>
          </w:tcPr>
          <w:p w:rsidR="0028027B" w:rsidRPr="00DC1EE4" w:rsidRDefault="0028027B" w:rsidP="00C03F9E">
            <w:pPr>
              <w:pStyle w:val="Tabletext"/>
            </w:pPr>
            <w:r w:rsidRPr="00DC1EE4">
              <w:t>Bad debts</w:t>
            </w:r>
          </w:p>
        </w:tc>
        <w:tc>
          <w:tcPr>
            <w:tcW w:w="482" w:type="pct"/>
            <w:shd w:val="clear" w:color="auto" w:fill="auto"/>
          </w:tcPr>
          <w:p w:rsidR="0028027B" w:rsidRPr="00DC1EE4" w:rsidRDefault="0028027B" w:rsidP="00C03F9E">
            <w:pPr>
              <w:pStyle w:val="TableTextCentred"/>
            </w:pPr>
            <w:r w:rsidRPr="00DC1EE4">
              <w:rPr>
                <w:rFonts w:ascii="Wingdings" w:hAnsi="Wingdings" w:cs="Wingdings"/>
              </w:rPr>
              <w:t></w:t>
            </w:r>
          </w:p>
        </w:tc>
        <w:tc>
          <w:tcPr>
            <w:tcW w:w="526" w:type="pct"/>
            <w:shd w:val="clear" w:color="auto" w:fill="auto"/>
          </w:tcPr>
          <w:p w:rsidR="0028027B" w:rsidRPr="00DC1EE4" w:rsidRDefault="0028027B" w:rsidP="00C03F9E">
            <w:pPr>
              <w:pStyle w:val="TableTextCentred"/>
            </w:pPr>
            <w:r w:rsidRPr="00DC1EE4">
              <w:rPr>
                <w:rFonts w:ascii="Wingdings" w:hAnsi="Wingdings" w:cs="Wingdings"/>
              </w:rPr>
              <w:t></w:t>
            </w:r>
          </w:p>
        </w:tc>
        <w:tc>
          <w:tcPr>
            <w:tcW w:w="414" w:type="pct"/>
          </w:tcPr>
          <w:p w:rsidR="0028027B" w:rsidRPr="00DC1EE4" w:rsidRDefault="0028027B" w:rsidP="00C03F9E">
            <w:pPr>
              <w:pStyle w:val="Tabletext"/>
              <w:jc w:val="center"/>
            </w:pPr>
          </w:p>
        </w:tc>
        <w:tc>
          <w:tcPr>
            <w:tcW w:w="2285" w:type="pct"/>
            <w:shd w:val="clear" w:color="auto" w:fill="auto"/>
          </w:tcPr>
          <w:p w:rsidR="0028027B" w:rsidRPr="00DC1EE4" w:rsidRDefault="0028027B" w:rsidP="00C03F9E">
            <w:pPr>
              <w:pStyle w:val="Tabletext"/>
            </w:pPr>
            <w:r w:rsidRPr="00DC1EE4">
              <w:t>Either:</w:t>
            </w:r>
          </w:p>
          <w:p w:rsidR="0028027B" w:rsidRPr="00DC1EE4" w:rsidRDefault="0028027B" w:rsidP="00C03F9E">
            <w:pPr>
              <w:pStyle w:val="Tabletext"/>
            </w:pPr>
            <w:r w:rsidRPr="00DC1EE4">
              <w:t>If agreed between counterparties = transaction.</w:t>
            </w:r>
          </w:p>
          <w:p w:rsidR="0028027B" w:rsidRPr="00DC1EE4" w:rsidRDefault="0028027B" w:rsidP="00C03F9E">
            <w:pPr>
              <w:pStyle w:val="Tabletext"/>
            </w:pPr>
            <w:r w:rsidRPr="00DC1EE4">
              <w:t>If unilateral write off = other economic flows included in net result.</w:t>
            </w:r>
          </w:p>
        </w:tc>
      </w:tr>
      <w:tr w:rsidR="0028027B" w:rsidRPr="00DC1EE4" w:rsidTr="00C03F9E">
        <w:trPr>
          <w:cantSplit/>
          <w:trHeight w:val="220"/>
        </w:trPr>
        <w:tc>
          <w:tcPr>
            <w:tcW w:w="196" w:type="pct"/>
            <w:shd w:val="clear" w:color="auto" w:fill="auto"/>
          </w:tcPr>
          <w:p w:rsidR="0028027B" w:rsidRPr="00DC1EE4" w:rsidRDefault="0028027B" w:rsidP="00C03F9E">
            <w:pPr>
              <w:pStyle w:val="Tabletext"/>
            </w:pPr>
            <w:r w:rsidRPr="00DC1EE4">
              <w:t>3</w:t>
            </w:r>
          </w:p>
        </w:tc>
        <w:tc>
          <w:tcPr>
            <w:tcW w:w="1097" w:type="pct"/>
            <w:shd w:val="clear" w:color="auto" w:fill="auto"/>
          </w:tcPr>
          <w:p w:rsidR="0028027B" w:rsidRPr="00DC1EE4" w:rsidRDefault="0028027B" w:rsidP="00C03F9E">
            <w:pPr>
              <w:pStyle w:val="Tabletext"/>
            </w:pPr>
            <w:r w:rsidRPr="00DC1EE4">
              <w:t>Dividends</w:t>
            </w:r>
          </w:p>
        </w:tc>
        <w:tc>
          <w:tcPr>
            <w:tcW w:w="482" w:type="pct"/>
            <w:shd w:val="clear" w:color="auto" w:fill="auto"/>
          </w:tcPr>
          <w:p w:rsidR="0028027B" w:rsidRPr="00DC1EE4" w:rsidRDefault="0028027B" w:rsidP="00C03F9E">
            <w:pPr>
              <w:pStyle w:val="TableTextCentred"/>
            </w:pPr>
            <w:r w:rsidRPr="00DC1EE4">
              <w:rPr>
                <w:rFonts w:ascii="Wingdings" w:hAnsi="Wingdings" w:cs="Wingdings"/>
              </w:rPr>
              <w:t></w:t>
            </w:r>
          </w:p>
        </w:tc>
        <w:tc>
          <w:tcPr>
            <w:tcW w:w="526" w:type="pct"/>
            <w:shd w:val="clear" w:color="auto" w:fill="auto"/>
          </w:tcPr>
          <w:p w:rsidR="0028027B" w:rsidRPr="00DC1EE4" w:rsidRDefault="0028027B" w:rsidP="00C03F9E">
            <w:pPr>
              <w:pStyle w:val="TableTextCentred"/>
            </w:pPr>
          </w:p>
        </w:tc>
        <w:tc>
          <w:tcPr>
            <w:tcW w:w="414" w:type="pct"/>
          </w:tcPr>
          <w:p w:rsidR="0028027B" w:rsidRPr="00DC1EE4" w:rsidRDefault="0028027B" w:rsidP="00C03F9E">
            <w:pPr>
              <w:pStyle w:val="Tabletext"/>
              <w:jc w:val="center"/>
            </w:pPr>
          </w:p>
        </w:tc>
        <w:tc>
          <w:tcPr>
            <w:tcW w:w="2285" w:type="pct"/>
            <w:shd w:val="clear" w:color="auto" w:fill="auto"/>
          </w:tcPr>
          <w:p w:rsidR="0028027B" w:rsidRPr="00DC1EE4" w:rsidRDefault="0028027B" w:rsidP="00C03F9E">
            <w:pPr>
              <w:pStyle w:val="Tabletext"/>
            </w:pPr>
            <w:r w:rsidRPr="00DC1EE4">
              <w:t>Agreed between counterparties i.e. owner and business.</w:t>
            </w:r>
          </w:p>
        </w:tc>
      </w:tr>
      <w:tr w:rsidR="0028027B" w:rsidRPr="00DC1EE4" w:rsidTr="00C03F9E">
        <w:trPr>
          <w:cantSplit/>
          <w:trHeight w:val="220"/>
        </w:trPr>
        <w:tc>
          <w:tcPr>
            <w:tcW w:w="196" w:type="pct"/>
            <w:shd w:val="clear" w:color="auto" w:fill="auto"/>
          </w:tcPr>
          <w:p w:rsidR="0028027B" w:rsidRPr="00DC1EE4" w:rsidRDefault="0028027B" w:rsidP="00C03F9E">
            <w:pPr>
              <w:pStyle w:val="Tabletext"/>
            </w:pPr>
            <w:r w:rsidRPr="00DC1EE4">
              <w:t>4</w:t>
            </w:r>
          </w:p>
        </w:tc>
        <w:tc>
          <w:tcPr>
            <w:tcW w:w="1097" w:type="pct"/>
            <w:shd w:val="clear" w:color="auto" w:fill="auto"/>
          </w:tcPr>
          <w:p w:rsidR="0028027B" w:rsidRPr="00DC1EE4" w:rsidRDefault="0028027B" w:rsidP="00C03F9E">
            <w:pPr>
              <w:pStyle w:val="Tabletext"/>
            </w:pPr>
            <w:r w:rsidRPr="00DC1EE4">
              <w:t>Net profit or loss from associates (other than dividends)</w:t>
            </w:r>
          </w:p>
        </w:tc>
        <w:tc>
          <w:tcPr>
            <w:tcW w:w="482" w:type="pct"/>
            <w:shd w:val="clear" w:color="auto" w:fill="auto"/>
          </w:tcPr>
          <w:p w:rsidR="0028027B" w:rsidRPr="00DC1EE4" w:rsidRDefault="0028027B" w:rsidP="00C03F9E">
            <w:pPr>
              <w:pStyle w:val="TableTextCentred"/>
            </w:pPr>
          </w:p>
        </w:tc>
        <w:tc>
          <w:tcPr>
            <w:tcW w:w="526" w:type="pct"/>
            <w:shd w:val="clear" w:color="auto" w:fill="auto"/>
          </w:tcPr>
          <w:p w:rsidR="0028027B" w:rsidRPr="00DC1EE4" w:rsidRDefault="0028027B" w:rsidP="00C03F9E">
            <w:pPr>
              <w:pStyle w:val="TableTextCentred"/>
            </w:pPr>
            <w:r w:rsidRPr="00DC1EE4">
              <w:rPr>
                <w:rFonts w:ascii="Wingdings" w:hAnsi="Wingdings" w:cs="Wingdings"/>
              </w:rPr>
              <w:t></w:t>
            </w:r>
          </w:p>
        </w:tc>
        <w:tc>
          <w:tcPr>
            <w:tcW w:w="414" w:type="pct"/>
          </w:tcPr>
          <w:p w:rsidR="0028027B" w:rsidRPr="00DC1EE4" w:rsidRDefault="0028027B" w:rsidP="00C03F9E">
            <w:pPr>
              <w:pStyle w:val="Tabletext"/>
              <w:jc w:val="center"/>
            </w:pPr>
          </w:p>
        </w:tc>
        <w:tc>
          <w:tcPr>
            <w:tcW w:w="2285" w:type="pct"/>
            <w:shd w:val="clear" w:color="auto" w:fill="auto"/>
          </w:tcPr>
          <w:p w:rsidR="0028027B" w:rsidRPr="00DC1EE4" w:rsidRDefault="0028027B" w:rsidP="00C03F9E">
            <w:pPr>
              <w:pStyle w:val="Tabletext"/>
            </w:pPr>
            <w:r w:rsidRPr="00DC1EE4">
              <w:t>Revaluation of investment.</w:t>
            </w:r>
          </w:p>
        </w:tc>
      </w:tr>
      <w:tr w:rsidR="0028027B" w:rsidRPr="00DC1EE4" w:rsidTr="00C03F9E">
        <w:trPr>
          <w:cantSplit/>
          <w:trHeight w:val="220"/>
        </w:trPr>
        <w:tc>
          <w:tcPr>
            <w:tcW w:w="196" w:type="pct"/>
            <w:shd w:val="clear" w:color="auto" w:fill="auto"/>
          </w:tcPr>
          <w:p w:rsidR="0028027B" w:rsidRPr="00DC1EE4" w:rsidRDefault="0028027B" w:rsidP="00C03F9E">
            <w:pPr>
              <w:pStyle w:val="Tabletext"/>
            </w:pPr>
            <w:r w:rsidRPr="00DC1EE4">
              <w:t>5</w:t>
            </w:r>
          </w:p>
        </w:tc>
        <w:tc>
          <w:tcPr>
            <w:tcW w:w="1097" w:type="pct"/>
            <w:shd w:val="clear" w:color="auto" w:fill="auto"/>
          </w:tcPr>
          <w:p w:rsidR="0028027B" w:rsidRPr="00DC1EE4" w:rsidRDefault="0028027B" w:rsidP="00C03F9E">
            <w:pPr>
              <w:pStyle w:val="Tabletext"/>
            </w:pPr>
            <w:r w:rsidRPr="00DC1EE4">
              <w:t>Depreciation</w:t>
            </w:r>
          </w:p>
        </w:tc>
        <w:tc>
          <w:tcPr>
            <w:tcW w:w="482" w:type="pct"/>
            <w:shd w:val="clear" w:color="auto" w:fill="auto"/>
          </w:tcPr>
          <w:p w:rsidR="0028027B" w:rsidRPr="00DC1EE4" w:rsidRDefault="0028027B" w:rsidP="00C03F9E">
            <w:pPr>
              <w:pStyle w:val="TableTextCentred"/>
            </w:pPr>
            <w:r w:rsidRPr="00DC1EE4">
              <w:rPr>
                <w:rFonts w:ascii="Wingdings" w:hAnsi="Wingdings" w:cs="Wingdings"/>
              </w:rPr>
              <w:t></w:t>
            </w:r>
          </w:p>
        </w:tc>
        <w:tc>
          <w:tcPr>
            <w:tcW w:w="526" w:type="pct"/>
            <w:shd w:val="clear" w:color="auto" w:fill="auto"/>
          </w:tcPr>
          <w:p w:rsidR="0028027B" w:rsidRPr="00DC1EE4" w:rsidRDefault="0028027B" w:rsidP="00C03F9E">
            <w:pPr>
              <w:pStyle w:val="TableTextCentred"/>
            </w:pPr>
          </w:p>
        </w:tc>
        <w:tc>
          <w:tcPr>
            <w:tcW w:w="414" w:type="pct"/>
          </w:tcPr>
          <w:p w:rsidR="0028027B" w:rsidRPr="00DC1EE4" w:rsidRDefault="0028027B" w:rsidP="00C03F9E">
            <w:pPr>
              <w:pStyle w:val="Tabletext"/>
              <w:jc w:val="center"/>
            </w:pPr>
          </w:p>
        </w:tc>
        <w:tc>
          <w:tcPr>
            <w:tcW w:w="2285" w:type="pct"/>
            <w:shd w:val="clear" w:color="auto" w:fill="auto"/>
          </w:tcPr>
          <w:p w:rsidR="0028027B" w:rsidRPr="00DC1EE4" w:rsidRDefault="0028027B" w:rsidP="00C03F9E">
            <w:pPr>
              <w:pStyle w:val="Tabletext"/>
            </w:pPr>
            <w:r w:rsidRPr="00DC1EE4">
              <w:t>Agreed between internal counterparties i.e. the business is simultaneously acting as the owner and consumer of the service provided by the asset.</w:t>
            </w:r>
          </w:p>
        </w:tc>
      </w:tr>
      <w:tr w:rsidR="0028027B" w:rsidRPr="00DC1EE4" w:rsidTr="00C03F9E">
        <w:trPr>
          <w:cantSplit/>
          <w:trHeight w:val="220"/>
        </w:trPr>
        <w:tc>
          <w:tcPr>
            <w:tcW w:w="196" w:type="pct"/>
            <w:shd w:val="clear" w:color="auto" w:fill="auto"/>
          </w:tcPr>
          <w:p w:rsidR="0028027B" w:rsidRPr="00DC1EE4" w:rsidRDefault="0028027B" w:rsidP="00C03F9E">
            <w:pPr>
              <w:pStyle w:val="Tabletext"/>
            </w:pPr>
            <w:r w:rsidRPr="00DC1EE4">
              <w:t>6</w:t>
            </w:r>
          </w:p>
        </w:tc>
        <w:tc>
          <w:tcPr>
            <w:tcW w:w="1097" w:type="pct"/>
            <w:shd w:val="clear" w:color="auto" w:fill="auto"/>
          </w:tcPr>
          <w:p w:rsidR="0028027B" w:rsidRPr="00DC1EE4" w:rsidRDefault="0028027B" w:rsidP="00C03F9E">
            <w:pPr>
              <w:pStyle w:val="Tabletext"/>
            </w:pPr>
            <w:r w:rsidRPr="00DC1EE4">
              <w:t>Provision for doubtful debts</w:t>
            </w:r>
          </w:p>
        </w:tc>
        <w:tc>
          <w:tcPr>
            <w:tcW w:w="482" w:type="pct"/>
            <w:shd w:val="clear" w:color="auto" w:fill="auto"/>
          </w:tcPr>
          <w:p w:rsidR="0028027B" w:rsidRPr="00DC1EE4" w:rsidRDefault="0028027B" w:rsidP="00C03F9E">
            <w:pPr>
              <w:pStyle w:val="TableTextCentred"/>
            </w:pPr>
          </w:p>
        </w:tc>
        <w:tc>
          <w:tcPr>
            <w:tcW w:w="526" w:type="pct"/>
            <w:shd w:val="clear" w:color="auto" w:fill="auto"/>
          </w:tcPr>
          <w:p w:rsidR="0028027B" w:rsidRPr="00DC1EE4" w:rsidRDefault="0028027B" w:rsidP="00C03F9E">
            <w:pPr>
              <w:pStyle w:val="TableTextCentred"/>
            </w:pPr>
            <w:r w:rsidRPr="00DC1EE4">
              <w:rPr>
                <w:rFonts w:ascii="Wingdings" w:hAnsi="Wingdings" w:cs="Wingdings"/>
              </w:rPr>
              <w:t></w:t>
            </w:r>
          </w:p>
        </w:tc>
        <w:tc>
          <w:tcPr>
            <w:tcW w:w="414" w:type="pct"/>
          </w:tcPr>
          <w:p w:rsidR="0028027B" w:rsidRPr="00DC1EE4" w:rsidRDefault="0028027B" w:rsidP="00C03F9E">
            <w:pPr>
              <w:pStyle w:val="Tabletext"/>
              <w:jc w:val="center"/>
            </w:pPr>
          </w:p>
        </w:tc>
        <w:tc>
          <w:tcPr>
            <w:tcW w:w="2285" w:type="pct"/>
            <w:shd w:val="clear" w:color="auto" w:fill="auto"/>
          </w:tcPr>
          <w:p w:rsidR="0028027B" w:rsidRPr="00DC1EE4" w:rsidRDefault="0028027B" w:rsidP="00C03F9E">
            <w:pPr>
              <w:pStyle w:val="Tabletext"/>
            </w:pPr>
            <w:r w:rsidRPr="00DC1EE4">
              <w:t xml:space="preserve">Treated as a unilateral decision to provision adjustment and affect net result. </w:t>
            </w:r>
          </w:p>
        </w:tc>
      </w:tr>
      <w:tr w:rsidR="0028027B" w:rsidRPr="00DC1EE4" w:rsidTr="00C03F9E">
        <w:trPr>
          <w:cantSplit/>
          <w:trHeight w:val="220"/>
        </w:trPr>
        <w:tc>
          <w:tcPr>
            <w:tcW w:w="196" w:type="pct"/>
            <w:shd w:val="clear" w:color="auto" w:fill="auto"/>
          </w:tcPr>
          <w:p w:rsidR="0028027B" w:rsidRPr="00DC1EE4" w:rsidRDefault="0028027B" w:rsidP="00C03F9E">
            <w:pPr>
              <w:pStyle w:val="Tabletext"/>
            </w:pPr>
            <w:r w:rsidRPr="00DC1EE4">
              <w:t>7</w:t>
            </w:r>
          </w:p>
        </w:tc>
        <w:tc>
          <w:tcPr>
            <w:tcW w:w="1097" w:type="pct"/>
            <w:shd w:val="clear" w:color="auto" w:fill="auto"/>
          </w:tcPr>
          <w:p w:rsidR="0028027B" w:rsidRPr="00DC1EE4" w:rsidRDefault="0028027B" w:rsidP="00C03F9E">
            <w:pPr>
              <w:pStyle w:val="Tabletext"/>
            </w:pPr>
            <w:r w:rsidRPr="00DC1EE4">
              <w:t>Long service leave provision:</w:t>
            </w:r>
          </w:p>
          <w:p w:rsidR="0028027B" w:rsidRPr="00DC1EE4" w:rsidRDefault="0028027B" w:rsidP="00C03F9E">
            <w:pPr>
              <w:pStyle w:val="Tabletext"/>
              <w:ind w:left="216" w:hanging="216"/>
            </w:pPr>
            <w:r w:rsidRPr="00DC1EE4">
              <w:t>1.</w:t>
            </w:r>
            <w:r w:rsidRPr="00DC1EE4">
              <w:tab/>
              <w:t>Change in provision due to changes in the bond rates</w:t>
            </w:r>
          </w:p>
        </w:tc>
        <w:tc>
          <w:tcPr>
            <w:tcW w:w="482" w:type="pct"/>
            <w:shd w:val="clear" w:color="auto" w:fill="auto"/>
          </w:tcPr>
          <w:p w:rsidR="0028027B" w:rsidRPr="00DC1EE4" w:rsidRDefault="0028027B" w:rsidP="00C03F9E">
            <w:pPr>
              <w:pStyle w:val="TableTextCentred"/>
            </w:pPr>
          </w:p>
          <w:p w:rsidR="0028027B" w:rsidRPr="00DC1EE4" w:rsidRDefault="0028027B" w:rsidP="00C03F9E">
            <w:pPr>
              <w:pStyle w:val="TableTextCentred"/>
            </w:pPr>
          </w:p>
        </w:tc>
        <w:tc>
          <w:tcPr>
            <w:tcW w:w="526" w:type="pct"/>
            <w:shd w:val="clear" w:color="auto" w:fill="auto"/>
          </w:tcPr>
          <w:p w:rsidR="0028027B" w:rsidRPr="00DC1EE4" w:rsidRDefault="0028027B" w:rsidP="00C03F9E">
            <w:pPr>
              <w:pStyle w:val="TableTextCentred"/>
            </w:pPr>
            <w:r w:rsidRPr="00DC1EE4">
              <w:rPr>
                <w:rFonts w:ascii="Wingdings" w:hAnsi="Wingdings" w:cs="Wingdings"/>
              </w:rPr>
              <w:t></w:t>
            </w:r>
          </w:p>
        </w:tc>
        <w:tc>
          <w:tcPr>
            <w:tcW w:w="414" w:type="pct"/>
          </w:tcPr>
          <w:p w:rsidR="0028027B" w:rsidRPr="00DC1EE4" w:rsidRDefault="0028027B" w:rsidP="00C03F9E">
            <w:pPr>
              <w:pStyle w:val="Tabletext"/>
              <w:jc w:val="center"/>
            </w:pPr>
          </w:p>
        </w:tc>
        <w:tc>
          <w:tcPr>
            <w:tcW w:w="2285" w:type="pct"/>
            <w:shd w:val="clear" w:color="auto" w:fill="auto"/>
          </w:tcPr>
          <w:p w:rsidR="0028027B" w:rsidRPr="00DC1EE4" w:rsidRDefault="0028027B" w:rsidP="00C03F9E">
            <w:pPr>
              <w:pStyle w:val="Tabletext"/>
            </w:pPr>
            <w:r w:rsidRPr="00DC1EE4">
              <w:t>The movements in the long service leave provision associated with a change in the bond rates will be reflected in other economic flows included in net result.</w:t>
            </w:r>
          </w:p>
        </w:tc>
      </w:tr>
      <w:tr w:rsidR="0028027B" w:rsidRPr="00DC1EE4" w:rsidTr="00C03F9E">
        <w:trPr>
          <w:cantSplit/>
          <w:trHeight w:val="220"/>
        </w:trPr>
        <w:tc>
          <w:tcPr>
            <w:tcW w:w="196" w:type="pct"/>
            <w:shd w:val="clear" w:color="auto" w:fill="auto"/>
          </w:tcPr>
          <w:p w:rsidR="0028027B" w:rsidRPr="00DC1EE4" w:rsidRDefault="0028027B" w:rsidP="00C03F9E">
            <w:pPr>
              <w:pStyle w:val="Tabletext"/>
            </w:pPr>
          </w:p>
        </w:tc>
        <w:tc>
          <w:tcPr>
            <w:tcW w:w="1097" w:type="pct"/>
            <w:shd w:val="clear" w:color="auto" w:fill="auto"/>
          </w:tcPr>
          <w:p w:rsidR="0028027B" w:rsidRPr="00DC1EE4" w:rsidRDefault="0028027B" w:rsidP="00C03F9E">
            <w:pPr>
              <w:pStyle w:val="Tabletext"/>
              <w:ind w:left="216" w:hanging="216"/>
            </w:pPr>
            <w:r w:rsidRPr="00DC1EE4">
              <w:t>2.</w:t>
            </w:r>
            <w:r w:rsidRPr="00DC1EE4">
              <w:tab/>
              <w:t>Change in provision due to changed estimation.</w:t>
            </w:r>
          </w:p>
        </w:tc>
        <w:tc>
          <w:tcPr>
            <w:tcW w:w="482" w:type="pct"/>
            <w:shd w:val="clear" w:color="auto" w:fill="auto"/>
          </w:tcPr>
          <w:p w:rsidR="0028027B" w:rsidRPr="00DC1EE4" w:rsidRDefault="0028027B" w:rsidP="00C03F9E">
            <w:pPr>
              <w:pStyle w:val="TableTextCentred"/>
            </w:pPr>
          </w:p>
        </w:tc>
        <w:tc>
          <w:tcPr>
            <w:tcW w:w="526" w:type="pct"/>
            <w:shd w:val="clear" w:color="auto" w:fill="auto"/>
          </w:tcPr>
          <w:p w:rsidR="0028027B" w:rsidRPr="00DC1EE4" w:rsidRDefault="0028027B" w:rsidP="00C03F9E">
            <w:pPr>
              <w:pStyle w:val="TableTextCentred"/>
            </w:pPr>
            <w:r w:rsidRPr="00DC1EE4">
              <w:rPr>
                <w:rFonts w:ascii="Wingdings" w:hAnsi="Wingdings" w:cs="Wingdings"/>
              </w:rPr>
              <w:t></w:t>
            </w:r>
          </w:p>
        </w:tc>
        <w:tc>
          <w:tcPr>
            <w:tcW w:w="414" w:type="pct"/>
          </w:tcPr>
          <w:p w:rsidR="0028027B" w:rsidRPr="00DC1EE4" w:rsidRDefault="0028027B" w:rsidP="00C03F9E">
            <w:pPr>
              <w:pStyle w:val="Tabletext"/>
              <w:jc w:val="center"/>
            </w:pPr>
          </w:p>
        </w:tc>
        <w:tc>
          <w:tcPr>
            <w:tcW w:w="2285" w:type="pct"/>
            <w:shd w:val="clear" w:color="auto" w:fill="auto"/>
          </w:tcPr>
          <w:p w:rsidR="0028027B" w:rsidRPr="00DC1EE4" w:rsidRDefault="0028027B" w:rsidP="00C03F9E">
            <w:pPr>
              <w:pStyle w:val="Tabletext"/>
            </w:pPr>
            <w:r w:rsidRPr="00DC1EE4">
              <w:t>The movements in the long service leave provision associated with a change in the estimates applied will be reflected in other economic flows included in net result.</w:t>
            </w:r>
          </w:p>
        </w:tc>
      </w:tr>
      <w:tr w:rsidR="0028027B" w:rsidRPr="00DC1EE4" w:rsidTr="00C03F9E">
        <w:trPr>
          <w:cantSplit/>
          <w:trHeight w:val="220"/>
        </w:trPr>
        <w:tc>
          <w:tcPr>
            <w:tcW w:w="196" w:type="pct"/>
            <w:shd w:val="clear" w:color="auto" w:fill="auto"/>
          </w:tcPr>
          <w:p w:rsidR="0028027B" w:rsidRPr="00DC1EE4" w:rsidRDefault="0028027B" w:rsidP="00C03F9E">
            <w:pPr>
              <w:pStyle w:val="Tabletext"/>
            </w:pPr>
            <w:r w:rsidRPr="00DC1EE4">
              <w:t>8</w:t>
            </w:r>
          </w:p>
        </w:tc>
        <w:tc>
          <w:tcPr>
            <w:tcW w:w="1097" w:type="pct"/>
            <w:shd w:val="clear" w:color="auto" w:fill="auto"/>
          </w:tcPr>
          <w:p w:rsidR="0028027B" w:rsidRPr="00DC1EE4" w:rsidRDefault="0028027B" w:rsidP="00C03F9E">
            <w:pPr>
              <w:pStyle w:val="Tabletext"/>
            </w:pPr>
            <w:r w:rsidRPr="00DC1EE4">
              <w:t xml:space="preserve">Whole of government unfunded superannuation liability: </w:t>
            </w:r>
          </w:p>
          <w:p w:rsidR="0028027B" w:rsidRPr="00DC1EE4" w:rsidRDefault="0028027B" w:rsidP="00C03F9E">
            <w:pPr>
              <w:pStyle w:val="Tabletext"/>
              <w:ind w:left="216" w:hanging="216"/>
            </w:pPr>
            <w:r w:rsidRPr="00DC1EE4">
              <w:t>1.</w:t>
            </w:r>
            <w:r w:rsidRPr="00DC1EE4">
              <w:tab/>
              <w:t>Net interest expense</w:t>
            </w:r>
          </w:p>
        </w:tc>
        <w:tc>
          <w:tcPr>
            <w:tcW w:w="482" w:type="pct"/>
            <w:shd w:val="clear" w:color="auto" w:fill="auto"/>
          </w:tcPr>
          <w:p w:rsidR="0028027B" w:rsidRPr="00DC1EE4" w:rsidRDefault="0028027B" w:rsidP="00C03F9E">
            <w:pPr>
              <w:pStyle w:val="Tabletext"/>
              <w:jc w:val="center"/>
            </w:pPr>
            <w:r w:rsidRPr="00DC1EE4">
              <w:br/>
            </w:r>
            <w:r w:rsidRPr="00DC1EE4">
              <w:br/>
            </w:r>
            <w:r w:rsidRPr="00DC1EE4">
              <w:br/>
            </w:r>
            <w:r w:rsidRPr="00DC1EE4">
              <w:rPr>
                <w:rFonts w:ascii="Wingdings" w:hAnsi="Wingdings" w:cs="Wingdings"/>
              </w:rPr>
              <w:t></w:t>
            </w:r>
          </w:p>
        </w:tc>
        <w:tc>
          <w:tcPr>
            <w:tcW w:w="526" w:type="pct"/>
            <w:shd w:val="clear" w:color="auto" w:fill="auto"/>
          </w:tcPr>
          <w:p w:rsidR="0028027B" w:rsidRPr="00DC1EE4" w:rsidRDefault="0028027B" w:rsidP="00C03F9E">
            <w:pPr>
              <w:pStyle w:val="Tabletext"/>
              <w:jc w:val="center"/>
            </w:pPr>
          </w:p>
        </w:tc>
        <w:tc>
          <w:tcPr>
            <w:tcW w:w="414" w:type="pct"/>
          </w:tcPr>
          <w:p w:rsidR="0028027B" w:rsidRPr="00DC1EE4" w:rsidRDefault="0028027B" w:rsidP="00C03F9E">
            <w:pPr>
              <w:pStyle w:val="Tabletext"/>
              <w:jc w:val="center"/>
            </w:pPr>
          </w:p>
        </w:tc>
        <w:tc>
          <w:tcPr>
            <w:tcW w:w="2285" w:type="pct"/>
            <w:shd w:val="clear" w:color="auto" w:fill="auto"/>
          </w:tcPr>
          <w:p w:rsidR="0028027B" w:rsidRPr="00DC1EE4" w:rsidRDefault="0028027B" w:rsidP="00C03F9E">
            <w:pPr>
              <w:pStyle w:val="Tabletext"/>
            </w:pPr>
          </w:p>
        </w:tc>
      </w:tr>
      <w:tr w:rsidR="0028027B" w:rsidRPr="00DC1EE4" w:rsidTr="00C03F9E">
        <w:trPr>
          <w:cantSplit/>
          <w:trHeight w:val="220"/>
        </w:trPr>
        <w:tc>
          <w:tcPr>
            <w:tcW w:w="196" w:type="pct"/>
            <w:shd w:val="clear" w:color="auto" w:fill="auto"/>
          </w:tcPr>
          <w:p w:rsidR="0028027B" w:rsidRPr="00DC1EE4" w:rsidRDefault="0028027B" w:rsidP="00C03F9E">
            <w:pPr>
              <w:pStyle w:val="Tabletext"/>
            </w:pPr>
          </w:p>
        </w:tc>
        <w:tc>
          <w:tcPr>
            <w:tcW w:w="1097" w:type="pct"/>
            <w:shd w:val="clear" w:color="auto" w:fill="auto"/>
          </w:tcPr>
          <w:p w:rsidR="0028027B" w:rsidRPr="00DC1EE4" w:rsidRDefault="0028027B" w:rsidP="00C03F9E">
            <w:pPr>
              <w:pStyle w:val="Tabletext"/>
              <w:ind w:left="216" w:hanging="216"/>
            </w:pPr>
            <w:r w:rsidRPr="00DC1EE4">
              <w:t>2.</w:t>
            </w:r>
            <w:r w:rsidRPr="00DC1EE4">
              <w:tab/>
              <w:t>Remeasurement</w:t>
            </w:r>
          </w:p>
        </w:tc>
        <w:tc>
          <w:tcPr>
            <w:tcW w:w="482" w:type="pct"/>
            <w:shd w:val="clear" w:color="auto" w:fill="auto"/>
          </w:tcPr>
          <w:p w:rsidR="0028027B" w:rsidRPr="00DC1EE4" w:rsidRDefault="0028027B" w:rsidP="00C03F9E">
            <w:pPr>
              <w:pStyle w:val="TableTextCentred"/>
            </w:pPr>
          </w:p>
        </w:tc>
        <w:tc>
          <w:tcPr>
            <w:tcW w:w="526" w:type="pct"/>
            <w:shd w:val="clear" w:color="auto" w:fill="auto"/>
          </w:tcPr>
          <w:p w:rsidR="0028027B" w:rsidRPr="00DC1EE4" w:rsidRDefault="0028027B" w:rsidP="00C03F9E">
            <w:pPr>
              <w:pStyle w:val="TableTextCentred"/>
            </w:pPr>
          </w:p>
        </w:tc>
        <w:tc>
          <w:tcPr>
            <w:tcW w:w="414" w:type="pct"/>
          </w:tcPr>
          <w:p w:rsidR="0028027B" w:rsidRPr="00DC1EE4" w:rsidRDefault="0028027B" w:rsidP="00C03F9E">
            <w:pPr>
              <w:pStyle w:val="Tabletext"/>
              <w:jc w:val="center"/>
            </w:pPr>
            <w:r w:rsidRPr="00DC1EE4">
              <w:rPr>
                <w:rFonts w:ascii="Wingdings" w:hAnsi="Wingdings" w:cs="Wingdings"/>
              </w:rPr>
              <w:t></w:t>
            </w:r>
          </w:p>
        </w:tc>
        <w:tc>
          <w:tcPr>
            <w:tcW w:w="2285" w:type="pct"/>
            <w:shd w:val="clear" w:color="auto" w:fill="auto"/>
          </w:tcPr>
          <w:p w:rsidR="0028027B" w:rsidRPr="00DC1EE4" w:rsidRDefault="0028027B" w:rsidP="00C03F9E">
            <w:pPr>
              <w:pStyle w:val="Tabletext"/>
            </w:pPr>
            <w:r w:rsidRPr="00DC1EE4">
              <w:t>Revaluation: (1) difference between expected return on assets and actual return; (2) change to gross obligation due to bond rate change.</w:t>
            </w:r>
          </w:p>
        </w:tc>
      </w:tr>
      <w:tr w:rsidR="0028027B" w:rsidRPr="00DC1EE4" w:rsidTr="00C03F9E">
        <w:trPr>
          <w:cantSplit/>
          <w:trHeight w:val="220"/>
        </w:trPr>
        <w:tc>
          <w:tcPr>
            <w:tcW w:w="196" w:type="pct"/>
            <w:shd w:val="clear" w:color="auto" w:fill="auto"/>
          </w:tcPr>
          <w:p w:rsidR="0028027B" w:rsidRPr="00DC1EE4" w:rsidRDefault="0028027B" w:rsidP="00C03F9E">
            <w:pPr>
              <w:pStyle w:val="Tabletext"/>
            </w:pPr>
            <w:r w:rsidRPr="00DC1EE4">
              <w:t>9</w:t>
            </w:r>
          </w:p>
        </w:tc>
        <w:tc>
          <w:tcPr>
            <w:tcW w:w="1097" w:type="pct"/>
            <w:shd w:val="clear" w:color="auto" w:fill="auto"/>
          </w:tcPr>
          <w:p w:rsidR="0028027B" w:rsidRPr="00DC1EE4" w:rsidRDefault="0028027B" w:rsidP="00C03F9E">
            <w:pPr>
              <w:pStyle w:val="Tabletext"/>
            </w:pPr>
            <w:r w:rsidRPr="00DC1EE4">
              <w:t>Gain/Loss on financial instruments/ non</w:t>
            </w:r>
            <w:r w:rsidR="005A4BB0">
              <w:noBreakHyphen/>
            </w:r>
            <w:r w:rsidRPr="00DC1EE4">
              <w:t>financial assets</w:t>
            </w:r>
          </w:p>
        </w:tc>
        <w:tc>
          <w:tcPr>
            <w:tcW w:w="482" w:type="pct"/>
            <w:shd w:val="clear" w:color="auto" w:fill="auto"/>
          </w:tcPr>
          <w:p w:rsidR="0028027B" w:rsidRPr="00DC1EE4" w:rsidRDefault="0028027B" w:rsidP="00C03F9E">
            <w:pPr>
              <w:pStyle w:val="TableTextCentred"/>
            </w:pPr>
          </w:p>
        </w:tc>
        <w:tc>
          <w:tcPr>
            <w:tcW w:w="526" w:type="pct"/>
            <w:shd w:val="clear" w:color="auto" w:fill="auto"/>
          </w:tcPr>
          <w:p w:rsidR="0028027B" w:rsidRPr="00DC1EE4" w:rsidRDefault="0028027B" w:rsidP="00C03F9E">
            <w:pPr>
              <w:pStyle w:val="TableTextCentred"/>
            </w:pPr>
            <w:r w:rsidRPr="00DC1EE4">
              <w:rPr>
                <w:rFonts w:ascii="Wingdings" w:hAnsi="Wingdings" w:cs="Wingdings"/>
              </w:rPr>
              <w:t></w:t>
            </w:r>
          </w:p>
        </w:tc>
        <w:tc>
          <w:tcPr>
            <w:tcW w:w="414" w:type="pct"/>
          </w:tcPr>
          <w:p w:rsidR="0028027B" w:rsidRPr="00DC1EE4" w:rsidRDefault="0028027B" w:rsidP="00C03F9E">
            <w:pPr>
              <w:pStyle w:val="Tabletext"/>
              <w:jc w:val="center"/>
            </w:pPr>
          </w:p>
        </w:tc>
        <w:tc>
          <w:tcPr>
            <w:tcW w:w="2285" w:type="pct"/>
            <w:shd w:val="clear" w:color="auto" w:fill="auto"/>
          </w:tcPr>
          <w:p w:rsidR="0028027B" w:rsidRPr="00DC1EE4" w:rsidRDefault="0028027B" w:rsidP="00C03F9E">
            <w:pPr>
              <w:pStyle w:val="Tabletext"/>
            </w:pPr>
            <w:r w:rsidRPr="00DC1EE4">
              <w:t>Revaluation.</w:t>
            </w:r>
          </w:p>
        </w:tc>
      </w:tr>
      <w:tr w:rsidR="0028027B" w:rsidRPr="00DC1EE4" w:rsidTr="00C03F9E">
        <w:trPr>
          <w:cantSplit/>
          <w:trHeight w:val="220"/>
        </w:trPr>
        <w:tc>
          <w:tcPr>
            <w:tcW w:w="196" w:type="pct"/>
            <w:tcBorders>
              <w:bottom w:val="single" w:sz="4" w:space="0" w:color="BFBFBF" w:themeColor="background1" w:themeShade="BF"/>
            </w:tcBorders>
            <w:shd w:val="clear" w:color="auto" w:fill="auto"/>
          </w:tcPr>
          <w:p w:rsidR="0028027B" w:rsidRPr="00DC1EE4" w:rsidRDefault="0028027B" w:rsidP="00C03F9E">
            <w:pPr>
              <w:pStyle w:val="Tabletext"/>
            </w:pPr>
            <w:r w:rsidRPr="00DC1EE4">
              <w:t>10</w:t>
            </w:r>
          </w:p>
        </w:tc>
        <w:tc>
          <w:tcPr>
            <w:tcW w:w="1097" w:type="pct"/>
            <w:tcBorders>
              <w:bottom w:val="single" w:sz="4" w:space="0" w:color="BFBFBF" w:themeColor="background1" w:themeShade="BF"/>
            </w:tcBorders>
            <w:shd w:val="clear" w:color="auto" w:fill="auto"/>
          </w:tcPr>
          <w:p w:rsidR="0028027B" w:rsidRPr="00DC1EE4" w:rsidRDefault="0028027B" w:rsidP="00C03F9E">
            <w:pPr>
              <w:pStyle w:val="Tabletext"/>
            </w:pPr>
            <w:r w:rsidRPr="00DC1EE4">
              <w:t>Depletion of natural assets by removal or physical use e.g. forest; destruction by catastrophe e.g. fire</w:t>
            </w:r>
          </w:p>
        </w:tc>
        <w:tc>
          <w:tcPr>
            <w:tcW w:w="482" w:type="pct"/>
            <w:tcBorders>
              <w:bottom w:val="single" w:sz="4" w:space="0" w:color="BFBFBF" w:themeColor="background1" w:themeShade="BF"/>
            </w:tcBorders>
            <w:shd w:val="clear" w:color="auto" w:fill="auto"/>
          </w:tcPr>
          <w:p w:rsidR="0028027B" w:rsidRPr="00DC1EE4" w:rsidRDefault="0028027B" w:rsidP="00C03F9E">
            <w:pPr>
              <w:pStyle w:val="TableTextCentred"/>
            </w:pPr>
          </w:p>
        </w:tc>
        <w:tc>
          <w:tcPr>
            <w:tcW w:w="526" w:type="pct"/>
            <w:tcBorders>
              <w:bottom w:val="single" w:sz="4" w:space="0" w:color="BFBFBF" w:themeColor="background1" w:themeShade="BF"/>
            </w:tcBorders>
            <w:shd w:val="clear" w:color="auto" w:fill="auto"/>
          </w:tcPr>
          <w:p w:rsidR="0028027B" w:rsidRPr="00DC1EE4" w:rsidRDefault="0028027B" w:rsidP="00C03F9E">
            <w:pPr>
              <w:pStyle w:val="TableTextCentred"/>
            </w:pPr>
            <w:r w:rsidRPr="00DC1EE4">
              <w:rPr>
                <w:rFonts w:ascii="Wingdings" w:hAnsi="Wingdings" w:cs="Wingdings"/>
              </w:rPr>
              <w:t></w:t>
            </w:r>
          </w:p>
        </w:tc>
        <w:tc>
          <w:tcPr>
            <w:tcW w:w="414" w:type="pct"/>
            <w:tcBorders>
              <w:bottom w:val="single" w:sz="4" w:space="0" w:color="BFBFBF" w:themeColor="background1" w:themeShade="BF"/>
            </w:tcBorders>
          </w:tcPr>
          <w:p w:rsidR="0028027B" w:rsidRPr="00DC1EE4" w:rsidRDefault="0028027B" w:rsidP="00C03F9E">
            <w:pPr>
              <w:pStyle w:val="Tabletext"/>
              <w:jc w:val="center"/>
            </w:pPr>
          </w:p>
        </w:tc>
        <w:tc>
          <w:tcPr>
            <w:tcW w:w="2285" w:type="pct"/>
            <w:tcBorders>
              <w:bottom w:val="single" w:sz="4" w:space="0" w:color="BFBFBF" w:themeColor="background1" w:themeShade="BF"/>
            </w:tcBorders>
            <w:shd w:val="clear" w:color="auto" w:fill="auto"/>
          </w:tcPr>
          <w:p w:rsidR="0028027B" w:rsidRPr="00DC1EE4" w:rsidRDefault="0028027B" w:rsidP="00C03F9E">
            <w:pPr>
              <w:pStyle w:val="Tabletext"/>
            </w:pPr>
            <w:r w:rsidRPr="00DC1EE4">
              <w:t>Change in volume.</w:t>
            </w:r>
          </w:p>
        </w:tc>
      </w:tr>
      <w:tr w:rsidR="0028027B" w:rsidRPr="00DC1EE4" w:rsidTr="00C03F9E">
        <w:trPr>
          <w:cantSplit/>
          <w:trHeight w:val="220"/>
        </w:trPr>
        <w:tc>
          <w:tcPr>
            <w:tcW w:w="196" w:type="pct"/>
            <w:tcBorders>
              <w:top w:val="single" w:sz="4" w:space="0" w:color="BFBFBF" w:themeColor="background1" w:themeShade="BF"/>
              <w:bottom w:val="single" w:sz="12" w:space="0" w:color="auto"/>
            </w:tcBorders>
            <w:shd w:val="clear" w:color="auto" w:fill="auto"/>
          </w:tcPr>
          <w:p w:rsidR="0028027B" w:rsidRPr="00DC1EE4" w:rsidRDefault="0028027B" w:rsidP="00C03F9E">
            <w:pPr>
              <w:pStyle w:val="Tabletext"/>
            </w:pPr>
            <w:r w:rsidRPr="00DC1EE4">
              <w:t>11</w:t>
            </w:r>
          </w:p>
        </w:tc>
        <w:tc>
          <w:tcPr>
            <w:tcW w:w="1097" w:type="pct"/>
            <w:tcBorders>
              <w:top w:val="single" w:sz="4" w:space="0" w:color="BFBFBF" w:themeColor="background1" w:themeShade="BF"/>
              <w:bottom w:val="single" w:sz="12" w:space="0" w:color="auto"/>
            </w:tcBorders>
            <w:shd w:val="clear" w:color="auto" w:fill="auto"/>
          </w:tcPr>
          <w:p w:rsidR="0028027B" w:rsidRPr="00DC1EE4" w:rsidRDefault="0028027B" w:rsidP="00C03F9E">
            <w:pPr>
              <w:pStyle w:val="Tabletext"/>
            </w:pPr>
            <w:r w:rsidRPr="00DC1EE4">
              <w:t xml:space="preserve">Gain from natural increase in livestock due to births </w:t>
            </w:r>
          </w:p>
        </w:tc>
        <w:tc>
          <w:tcPr>
            <w:tcW w:w="482" w:type="pct"/>
            <w:tcBorders>
              <w:top w:val="single" w:sz="4" w:space="0" w:color="BFBFBF" w:themeColor="background1" w:themeShade="BF"/>
              <w:bottom w:val="single" w:sz="12" w:space="0" w:color="auto"/>
            </w:tcBorders>
            <w:shd w:val="clear" w:color="auto" w:fill="auto"/>
          </w:tcPr>
          <w:p w:rsidR="0028027B" w:rsidRPr="00DC1EE4" w:rsidRDefault="0028027B" w:rsidP="00C03F9E">
            <w:pPr>
              <w:pStyle w:val="TableTextCentred"/>
            </w:pPr>
          </w:p>
        </w:tc>
        <w:tc>
          <w:tcPr>
            <w:tcW w:w="526" w:type="pct"/>
            <w:tcBorders>
              <w:top w:val="single" w:sz="4" w:space="0" w:color="BFBFBF" w:themeColor="background1" w:themeShade="BF"/>
              <w:bottom w:val="single" w:sz="12" w:space="0" w:color="auto"/>
            </w:tcBorders>
            <w:shd w:val="clear" w:color="auto" w:fill="auto"/>
          </w:tcPr>
          <w:p w:rsidR="0028027B" w:rsidRPr="00DC1EE4" w:rsidRDefault="0028027B" w:rsidP="00C03F9E">
            <w:pPr>
              <w:pStyle w:val="TableTextCentred"/>
            </w:pPr>
            <w:r w:rsidRPr="00DC1EE4">
              <w:rPr>
                <w:rFonts w:ascii="Wingdings" w:hAnsi="Wingdings" w:cs="Wingdings"/>
              </w:rPr>
              <w:t></w:t>
            </w:r>
          </w:p>
        </w:tc>
        <w:tc>
          <w:tcPr>
            <w:tcW w:w="414" w:type="pct"/>
            <w:tcBorders>
              <w:top w:val="single" w:sz="4" w:space="0" w:color="BFBFBF" w:themeColor="background1" w:themeShade="BF"/>
              <w:bottom w:val="single" w:sz="12" w:space="0" w:color="auto"/>
            </w:tcBorders>
          </w:tcPr>
          <w:p w:rsidR="0028027B" w:rsidRPr="00DC1EE4" w:rsidRDefault="0028027B" w:rsidP="00C03F9E">
            <w:pPr>
              <w:pStyle w:val="Tabletext"/>
              <w:jc w:val="center"/>
            </w:pPr>
          </w:p>
        </w:tc>
        <w:tc>
          <w:tcPr>
            <w:tcW w:w="2285" w:type="pct"/>
            <w:tcBorders>
              <w:top w:val="single" w:sz="4" w:space="0" w:color="BFBFBF" w:themeColor="background1" w:themeShade="BF"/>
              <w:bottom w:val="single" w:sz="12" w:space="0" w:color="auto"/>
            </w:tcBorders>
            <w:shd w:val="clear" w:color="auto" w:fill="auto"/>
          </w:tcPr>
          <w:p w:rsidR="0028027B" w:rsidRPr="00DC1EE4" w:rsidRDefault="0028027B" w:rsidP="00C03F9E">
            <w:pPr>
              <w:pStyle w:val="Tabletext"/>
            </w:pPr>
            <w:r w:rsidRPr="00DC1EE4">
              <w:t>Change in volume.</w:t>
            </w:r>
          </w:p>
        </w:tc>
      </w:tr>
    </w:tbl>
    <w:p w:rsidR="0028027B" w:rsidRPr="00DC1EE4" w:rsidRDefault="0028027B" w:rsidP="0028027B"/>
    <w:p w:rsidR="0028027B" w:rsidRPr="00DC1EE4" w:rsidRDefault="0028027B" w:rsidP="0028027B">
      <w:pPr>
        <w:sectPr w:rsidR="0028027B" w:rsidRPr="00DC1EE4" w:rsidSect="00190A01">
          <w:headerReference w:type="even" r:id="rId363"/>
          <w:headerReference w:type="default" r:id="rId364"/>
          <w:pgSz w:w="11906" w:h="16838"/>
          <w:pgMar w:top="1152" w:right="864" w:bottom="1152" w:left="864" w:header="432" w:footer="432" w:gutter="0"/>
          <w:cols w:space="708"/>
          <w:docGrid w:linePitch="360"/>
        </w:sectPr>
      </w:pPr>
    </w:p>
    <w:p w:rsidR="0028027B" w:rsidRPr="00DC1EE4" w:rsidRDefault="0028027B" w:rsidP="005A4031">
      <w:pPr>
        <w:pStyle w:val="ChapterHeading"/>
      </w:pPr>
      <w:bookmarkStart w:id="720" w:name="_Toc388277755"/>
      <w:bookmarkStart w:id="721" w:name="_Toc448493021"/>
      <w:r w:rsidRPr="00DC1EE4">
        <w:t>Appendix 3 – Fair value measurement indicative expectations</w:t>
      </w:r>
      <w:bookmarkEnd w:id="720"/>
      <w:bookmarkEnd w:id="721"/>
    </w:p>
    <w:tbl>
      <w:tblPr>
        <w:tblStyle w:val="TableGrid"/>
        <w:tblW w:w="10285" w:type="dxa"/>
        <w:tblBorders>
          <w:top w:val="none" w:sz="0" w:space="0" w:color="auto"/>
          <w:left w:val="none" w:sz="0" w:space="0" w:color="auto"/>
          <w:bottom w:val="single" w:sz="12" w:space="0" w:color="BFBFBF" w:themeColor="background1" w:themeShade="BF"/>
          <w:right w:val="none" w:sz="0" w:space="0" w:color="auto"/>
          <w:insideH w:val="single" w:sz="4" w:space="0" w:color="BFBFBF" w:themeColor="background1" w:themeShade="BF"/>
          <w:insideV w:val="none" w:sz="0" w:space="0" w:color="auto"/>
        </w:tblBorders>
        <w:tblLayout w:type="fixed"/>
        <w:tblCellMar>
          <w:left w:w="43" w:type="dxa"/>
          <w:right w:w="43" w:type="dxa"/>
        </w:tblCellMar>
        <w:tblLook w:val="04A0" w:firstRow="1" w:lastRow="0" w:firstColumn="1" w:lastColumn="0" w:noHBand="0" w:noVBand="1"/>
      </w:tblPr>
      <w:tblGrid>
        <w:gridCol w:w="1933"/>
        <w:gridCol w:w="2610"/>
        <w:gridCol w:w="1710"/>
        <w:gridCol w:w="1890"/>
        <w:gridCol w:w="2142"/>
      </w:tblGrid>
      <w:tr w:rsidR="0028027B" w:rsidRPr="00DC1EE4" w:rsidTr="00793BF3">
        <w:trPr>
          <w:cantSplit/>
          <w:tblHeader/>
        </w:trPr>
        <w:tc>
          <w:tcPr>
            <w:tcW w:w="1933" w:type="dxa"/>
            <w:shd w:val="clear" w:color="auto" w:fill="000000" w:themeFill="text1"/>
          </w:tcPr>
          <w:p w:rsidR="0028027B" w:rsidRPr="00DC1EE4" w:rsidRDefault="0028027B" w:rsidP="00C03F9E">
            <w:pPr>
              <w:pStyle w:val="TabletextheadingLeft"/>
              <w:rPr>
                <w:rFonts w:eastAsia="Tahoma"/>
              </w:rPr>
            </w:pPr>
            <w:r w:rsidRPr="00DC1EE4">
              <w:br/>
              <w:t>Asset class</w:t>
            </w:r>
          </w:p>
        </w:tc>
        <w:tc>
          <w:tcPr>
            <w:tcW w:w="2610" w:type="dxa"/>
            <w:shd w:val="clear" w:color="auto" w:fill="000000" w:themeFill="text1"/>
          </w:tcPr>
          <w:p w:rsidR="0028027B" w:rsidRPr="00DC1EE4" w:rsidRDefault="0028027B" w:rsidP="00C03F9E">
            <w:pPr>
              <w:pStyle w:val="TabletextheadingLeft"/>
              <w:rPr>
                <w:rFonts w:eastAsia="Tahoma"/>
              </w:rPr>
            </w:pPr>
            <w:r w:rsidRPr="00DC1EE4">
              <w:br/>
              <w:t>Examples of types of assets</w:t>
            </w:r>
          </w:p>
        </w:tc>
        <w:tc>
          <w:tcPr>
            <w:tcW w:w="1710" w:type="dxa"/>
            <w:shd w:val="clear" w:color="auto" w:fill="000000" w:themeFill="text1"/>
          </w:tcPr>
          <w:p w:rsidR="0028027B" w:rsidRPr="00DC1EE4" w:rsidRDefault="0028027B" w:rsidP="00C03F9E">
            <w:pPr>
              <w:pStyle w:val="TabletextheadingLeft"/>
              <w:rPr>
                <w:rFonts w:eastAsia="Tahoma"/>
              </w:rPr>
            </w:pPr>
            <w:r w:rsidRPr="00DC1EE4">
              <w:t>Expected fair value level</w:t>
            </w:r>
          </w:p>
        </w:tc>
        <w:tc>
          <w:tcPr>
            <w:tcW w:w="1890" w:type="dxa"/>
            <w:shd w:val="clear" w:color="auto" w:fill="000000" w:themeFill="text1"/>
          </w:tcPr>
          <w:p w:rsidR="0028027B" w:rsidRPr="00DC1EE4" w:rsidRDefault="0028027B" w:rsidP="00C03F9E">
            <w:pPr>
              <w:pStyle w:val="TabletextheadingLeft"/>
              <w:rPr>
                <w:rFonts w:eastAsia="Tahoma"/>
              </w:rPr>
            </w:pPr>
            <w:r w:rsidRPr="00DC1EE4">
              <w:t xml:space="preserve">Likely valuation </w:t>
            </w:r>
            <w:r w:rsidRPr="00DC1EE4">
              <w:br/>
              <w:t>approach</w:t>
            </w:r>
          </w:p>
        </w:tc>
        <w:tc>
          <w:tcPr>
            <w:tcW w:w="2142" w:type="dxa"/>
            <w:shd w:val="clear" w:color="auto" w:fill="000000" w:themeFill="text1"/>
          </w:tcPr>
          <w:p w:rsidR="0028027B" w:rsidRPr="00DC1EE4" w:rsidRDefault="0028027B" w:rsidP="00C03F9E">
            <w:pPr>
              <w:pStyle w:val="TabletextheadingLeft"/>
              <w:rPr>
                <w:rFonts w:eastAsia="Tahoma"/>
              </w:rPr>
            </w:pPr>
            <w:r w:rsidRPr="00DC1EE4">
              <w:t xml:space="preserve">Significant inputs </w:t>
            </w:r>
            <w:r w:rsidRPr="00DC1EE4">
              <w:br/>
              <w:t>(Level 3 only)</w:t>
            </w:r>
          </w:p>
        </w:tc>
      </w:tr>
      <w:tr w:rsidR="0028027B" w:rsidRPr="00DC1EE4" w:rsidTr="00793BF3">
        <w:trPr>
          <w:cantSplit/>
        </w:trPr>
        <w:tc>
          <w:tcPr>
            <w:tcW w:w="1933" w:type="dxa"/>
          </w:tcPr>
          <w:p w:rsidR="0028027B" w:rsidRPr="00DC1EE4" w:rsidRDefault="0028027B" w:rsidP="00793BF3">
            <w:pPr>
              <w:pStyle w:val="Tabletext"/>
              <w:rPr>
                <w:rFonts w:eastAsia="Tahoma"/>
              </w:rPr>
            </w:pPr>
            <w:r w:rsidRPr="00DC1EE4">
              <w:t>Non</w:t>
            </w:r>
            <w:r w:rsidR="005A4BB0">
              <w:noBreakHyphen/>
            </w:r>
            <w:r w:rsidRPr="00DC1EE4">
              <w:t>specialised land</w:t>
            </w:r>
          </w:p>
        </w:tc>
        <w:tc>
          <w:tcPr>
            <w:tcW w:w="2610" w:type="dxa"/>
          </w:tcPr>
          <w:p w:rsidR="0028027B" w:rsidRPr="00DC1EE4" w:rsidRDefault="0028027B" w:rsidP="00793BF3">
            <w:pPr>
              <w:pStyle w:val="Tabletext"/>
              <w:rPr>
                <w:rFonts w:eastAsia="Tahoma"/>
              </w:rPr>
            </w:pPr>
            <w:r w:rsidRPr="00DC1EE4">
              <w:t>In areas where there is an active market –</w:t>
            </w:r>
          </w:p>
          <w:p w:rsidR="0028027B" w:rsidRPr="00DC1EE4" w:rsidRDefault="0028027B" w:rsidP="00793BF3">
            <w:pPr>
              <w:pStyle w:val="TableBullet"/>
              <w:ind w:left="288" w:hanging="288"/>
              <w:rPr>
                <w:rFonts w:eastAsia="Tahoma"/>
              </w:rPr>
            </w:pPr>
            <w:r w:rsidRPr="00DC1EE4">
              <w:t>Vacant land</w:t>
            </w:r>
          </w:p>
          <w:p w:rsidR="0028027B" w:rsidRPr="00DC1EE4" w:rsidRDefault="0028027B" w:rsidP="00793BF3">
            <w:pPr>
              <w:pStyle w:val="TableBullet"/>
              <w:ind w:left="288" w:hanging="288"/>
              <w:rPr>
                <w:rFonts w:eastAsia="Tahoma"/>
              </w:rPr>
            </w:pPr>
            <w:r w:rsidRPr="00DC1EE4">
              <w:t>Land not subject to restrictions as to use or sale</w:t>
            </w:r>
          </w:p>
        </w:tc>
        <w:tc>
          <w:tcPr>
            <w:tcW w:w="1710" w:type="dxa"/>
          </w:tcPr>
          <w:p w:rsidR="0028027B" w:rsidRPr="00DC1EE4" w:rsidRDefault="0028027B" w:rsidP="00793BF3">
            <w:pPr>
              <w:pStyle w:val="Tabletext"/>
              <w:rPr>
                <w:rFonts w:eastAsia="Tahoma"/>
              </w:rPr>
            </w:pPr>
            <w:r w:rsidRPr="00DC1EE4">
              <w:t>Level 2</w:t>
            </w:r>
          </w:p>
        </w:tc>
        <w:tc>
          <w:tcPr>
            <w:tcW w:w="1890" w:type="dxa"/>
          </w:tcPr>
          <w:p w:rsidR="0028027B" w:rsidRPr="00DC1EE4" w:rsidRDefault="0028027B" w:rsidP="00793BF3">
            <w:pPr>
              <w:pStyle w:val="Tabletext"/>
              <w:rPr>
                <w:rFonts w:eastAsia="Tahoma"/>
              </w:rPr>
            </w:pPr>
            <w:r w:rsidRPr="00DC1EE4">
              <w:t>Market approach</w:t>
            </w:r>
          </w:p>
        </w:tc>
        <w:tc>
          <w:tcPr>
            <w:tcW w:w="2142" w:type="dxa"/>
          </w:tcPr>
          <w:p w:rsidR="0028027B" w:rsidRPr="00DC1EE4" w:rsidRDefault="0028027B" w:rsidP="00793BF3">
            <w:pPr>
              <w:pStyle w:val="Tabletext"/>
              <w:rPr>
                <w:rFonts w:eastAsia="Tahoma"/>
              </w:rPr>
            </w:pPr>
            <w:r w:rsidRPr="00DC1EE4">
              <w:t>n/a</w:t>
            </w:r>
          </w:p>
        </w:tc>
      </w:tr>
      <w:tr w:rsidR="0028027B" w:rsidRPr="00DC1EE4" w:rsidTr="00793BF3">
        <w:trPr>
          <w:cantSplit/>
        </w:trPr>
        <w:tc>
          <w:tcPr>
            <w:tcW w:w="1933" w:type="dxa"/>
          </w:tcPr>
          <w:p w:rsidR="0028027B" w:rsidRPr="00DC1EE4" w:rsidRDefault="0028027B" w:rsidP="00793BF3">
            <w:pPr>
              <w:pStyle w:val="Tabletext"/>
              <w:rPr>
                <w:rFonts w:eastAsia="Tahoma"/>
              </w:rPr>
            </w:pPr>
            <w:r w:rsidRPr="00DC1EE4">
              <w:t>Specialised Land</w:t>
            </w:r>
          </w:p>
        </w:tc>
        <w:tc>
          <w:tcPr>
            <w:tcW w:w="2610" w:type="dxa"/>
          </w:tcPr>
          <w:p w:rsidR="0028027B" w:rsidRPr="00DC1EE4" w:rsidRDefault="0028027B" w:rsidP="00793BF3">
            <w:pPr>
              <w:pStyle w:val="TableBullet"/>
              <w:ind w:left="288" w:hanging="288"/>
              <w:rPr>
                <w:rFonts w:eastAsia="Tahoma"/>
              </w:rPr>
            </w:pPr>
            <w:r w:rsidRPr="00DC1EE4">
              <w:t>Land subject to restriction as to use and/or sale</w:t>
            </w:r>
          </w:p>
          <w:p w:rsidR="0028027B" w:rsidRPr="00DC1EE4" w:rsidRDefault="0028027B" w:rsidP="00793BF3">
            <w:pPr>
              <w:pStyle w:val="TableBullet"/>
              <w:ind w:left="288" w:hanging="288"/>
            </w:pPr>
            <w:r w:rsidRPr="00DC1EE4">
              <w:t>Land in areas where there is not an active market</w:t>
            </w:r>
          </w:p>
        </w:tc>
        <w:tc>
          <w:tcPr>
            <w:tcW w:w="1710" w:type="dxa"/>
          </w:tcPr>
          <w:p w:rsidR="0028027B" w:rsidRPr="00DC1EE4" w:rsidRDefault="0028027B" w:rsidP="00793BF3">
            <w:pPr>
              <w:pStyle w:val="Tabletext"/>
              <w:rPr>
                <w:rFonts w:eastAsia="Tahoma"/>
              </w:rPr>
            </w:pPr>
            <w:r w:rsidRPr="00DC1EE4">
              <w:t>Level 3</w:t>
            </w:r>
          </w:p>
        </w:tc>
        <w:tc>
          <w:tcPr>
            <w:tcW w:w="1890" w:type="dxa"/>
          </w:tcPr>
          <w:p w:rsidR="0028027B" w:rsidRPr="00DC1EE4" w:rsidRDefault="0028027B" w:rsidP="00793BF3">
            <w:pPr>
              <w:pStyle w:val="Tabletext"/>
              <w:rPr>
                <w:rFonts w:eastAsia="Tahoma"/>
              </w:rPr>
            </w:pPr>
            <w:r w:rsidRPr="00DC1EE4">
              <w:t>Market approach</w:t>
            </w:r>
          </w:p>
        </w:tc>
        <w:tc>
          <w:tcPr>
            <w:tcW w:w="2142" w:type="dxa"/>
          </w:tcPr>
          <w:p w:rsidR="0028027B" w:rsidRPr="00DC1EE4" w:rsidRDefault="0028027B" w:rsidP="00793BF3">
            <w:pPr>
              <w:pStyle w:val="Tabletext"/>
              <w:rPr>
                <w:rFonts w:eastAsia="Tahoma"/>
              </w:rPr>
            </w:pPr>
            <w:r w:rsidRPr="00DC1EE4">
              <w:t>CSO adjustments</w:t>
            </w:r>
          </w:p>
        </w:tc>
      </w:tr>
      <w:tr w:rsidR="0028027B" w:rsidRPr="00DC1EE4" w:rsidTr="00793BF3">
        <w:trPr>
          <w:cantSplit/>
        </w:trPr>
        <w:tc>
          <w:tcPr>
            <w:tcW w:w="1933" w:type="dxa"/>
          </w:tcPr>
          <w:p w:rsidR="0028027B" w:rsidRPr="00DC1EE4" w:rsidRDefault="0028027B" w:rsidP="00793BF3">
            <w:pPr>
              <w:pStyle w:val="Tabletext"/>
              <w:rPr>
                <w:rFonts w:eastAsia="Tahoma"/>
              </w:rPr>
            </w:pPr>
            <w:r w:rsidRPr="00DC1EE4">
              <w:t>Non</w:t>
            </w:r>
            <w:r w:rsidR="005A4BB0">
              <w:noBreakHyphen/>
            </w:r>
            <w:r w:rsidRPr="00DC1EE4">
              <w:t>specialised buildings</w:t>
            </w:r>
          </w:p>
        </w:tc>
        <w:tc>
          <w:tcPr>
            <w:tcW w:w="2610" w:type="dxa"/>
          </w:tcPr>
          <w:p w:rsidR="0028027B" w:rsidRPr="00DC1EE4" w:rsidRDefault="0028027B" w:rsidP="00793BF3">
            <w:pPr>
              <w:pStyle w:val="TableBullet"/>
              <w:ind w:left="288" w:hanging="288"/>
            </w:pPr>
            <w:r w:rsidRPr="00DC1EE4">
              <w:t xml:space="preserve">For general/commercial buildings that are just built </w:t>
            </w:r>
          </w:p>
        </w:tc>
        <w:tc>
          <w:tcPr>
            <w:tcW w:w="1710" w:type="dxa"/>
          </w:tcPr>
          <w:p w:rsidR="0028027B" w:rsidRPr="00DC1EE4" w:rsidRDefault="0028027B" w:rsidP="00793BF3">
            <w:pPr>
              <w:pStyle w:val="Tabletext"/>
              <w:rPr>
                <w:rFonts w:eastAsia="Tahoma"/>
              </w:rPr>
            </w:pPr>
            <w:r w:rsidRPr="00DC1EE4">
              <w:t xml:space="preserve">Level 2 </w:t>
            </w:r>
          </w:p>
        </w:tc>
        <w:tc>
          <w:tcPr>
            <w:tcW w:w="1890" w:type="dxa"/>
          </w:tcPr>
          <w:p w:rsidR="0028027B" w:rsidRPr="00DC1EE4" w:rsidRDefault="0028027B" w:rsidP="00793BF3">
            <w:pPr>
              <w:pStyle w:val="Tabletext"/>
              <w:rPr>
                <w:rFonts w:eastAsia="Tahoma"/>
              </w:rPr>
            </w:pPr>
            <w:r w:rsidRPr="00DC1EE4">
              <w:t>Market approach</w:t>
            </w:r>
          </w:p>
        </w:tc>
        <w:tc>
          <w:tcPr>
            <w:tcW w:w="2142" w:type="dxa"/>
          </w:tcPr>
          <w:p w:rsidR="0028027B" w:rsidRPr="00DC1EE4" w:rsidRDefault="0028027B" w:rsidP="00793BF3">
            <w:pPr>
              <w:pStyle w:val="Tabletext"/>
              <w:rPr>
                <w:rFonts w:eastAsia="Tahoma"/>
              </w:rPr>
            </w:pPr>
            <w:r w:rsidRPr="00DC1EE4">
              <w:t>n/a</w:t>
            </w:r>
          </w:p>
        </w:tc>
      </w:tr>
      <w:tr w:rsidR="0028027B" w:rsidRPr="00DC1EE4" w:rsidTr="00793BF3">
        <w:trPr>
          <w:cantSplit/>
        </w:trPr>
        <w:tc>
          <w:tcPr>
            <w:tcW w:w="1933" w:type="dxa"/>
          </w:tcPr>
          <w:p w:rsidR="0028027B" w:rsidRPr="00DC1EE4" w:rsidRDefault="0028027B" w:rsidP="00793BF3">
            <w:pPr>
              <w:pStyle w:val="Tabletext"/>
              <w:rPr>
                <w:rFonts w:eastAsia="Tahoma"/>
              </w:rPr>
            </w:pPr>
            <w:r w:rsidRPr="00DC1EE4">
              <w:t>Specialised buildings </w:t>
            </w:r>
            <w:r w:rsidRPr="00DC1EE4">
              <w:rPr>
                <w:vertAlign w:val="superscript"/>
              </w:rPr>
              <w:t>(a)</w:t>
            </w:r>
          </w:p>
        </w:tc>
        <w:tc>
          <w:tcPr>
            <w:tcW w:w="2610" w:type="dxa"/>
          </w:tcPr>
          <w:p w:rsidR="0028027B" w:rsidRPr="00DC1EE4" w:rsidRDefault="0028027B" w:rsidP="00793BF3">
            <w:pPr>
              <w:pStyle w:val="TableBullet"/>
              <w:ind w:left="288" w:hanging="288"/>
            </w:pPr>
            <w:r w:rsidRPr="00DC1EE4">
              <w:t>Specialised buildings with limited alternative uses and/or substantial customisation e.g. prisons, hospitals and schools</w:t>
            </w:r>
          </w:p>
        </w:tc>
        <w:tc>
          <w:tcPr>
            <w:tcW w:w="1710" w:type="dxa"/>
          </w:tcPr>
          <w:p w:rsidR="0028027B" w:rsidRPr="00DC1EE4" w:rsidRDefault="0028027B" w:rsidP="00793BF3">
            <w:pPr>
              <w:pStyle w:val="Tabletext"/>
              <w:rPr>
                <w:rFonts w:eastAsia="Tahoma"/>
              </w:rPr>
            </w:pPr>
            <w:r w:rsidRPr="00DC1EE4">
              <w:t>Level 3</w:t>
            </w:r>
          </w:p>
        </w:tc>
        <w:tc>
          <w:tcPr>
            <w:tcW w:w="1890" w:type="dxa"/>
          </w:tcPr>
          <w:p w:rsidR="0028027B" w:rsidRPr="00DC1EE4" w:rsidRDefault="0028027B" w:rsidP="00793BF3">
            <w:pPr>
              <w:pStyle w:val="Tabletext"/>
              <w:rPr>
                <w:rFonts w:eastAsia="Tahoma"/>
              </w:rPr>
            </w:pPr>
            <w:r w:rsidRPr="00DC1EE4">
              <w:t>Depreciated replacement cost approach</w:t>
            </w:r>
          </w:p>
        </w:tc>
        <w:tc>
          <w:tcPr>
            <w:tcW w:w="2142" w:type="dxa"/>
          </w:tcPr>
          <w:p w:rsidR="0028027B" w:rsidRPr="00DC1EE4" w:rsidRDefault="0028027B" w:rsidP="00793BF3">
            <w:pPr>
              <w:pStyle w:val="TableBullet"/>
              <w:ind w:left="319" w:hanging="270"/>
            </w:pPr>
            <w:r w:rsidRPr="00DC1EE4">
              <w:t>Cost per square metre</w:t>
            </w:r>
          </w:p>
          <w:p w:rsidR="0028027B" w:rsidRPr="00DC1EE4" w:rsidRDefault="0028027B" w:rsidP="00793BF3">
            <w:pPr>
              <w:pStyle w:val="TableBullet"/>
              <w:ind w:left="319" w:hanging="270"/>
              <w:rPr>
                <w:rFonts w:eastAsia="Tahoma"/>
              </w:rPr>
            </w:pPr>
            <w:r w:rsidRPr="00DC1EE4">
              <w:t>Useful life</w:t>
            </w:r>
          </w:p>
        </w:tc>
      </w:tr>
      <w:tr w:rsidR="0028027B" w:rsidRPr="00DC1EE4" w:rsidTr="00793BF3">
        <w:trPr>
          <w:cantSplit/>
        </w:trPr>
        <w:tc>
          <w:tcPr>
            <w:tcW w:w="1933" w:type="dxa"/>
          </w:tcPr>
          <w:p w:rsidR="0028027B" w:rsidRPr="00DC1EE4" w:rsidRDefault="0028027B" w:rsidP="00793BF3">
            <w:pPr>
              <w:pStyle w:val="Tabletext"/>
              <w:rPr>
                <w:rFonts w:eastAsia="Tahoma"/>
              </w:rPr>
            </w:pPr>
            <w:r w:rsidRPr="00DC1EE4">
              <w:t>Heritage assets</w:t>
            </w:r>
          </w:p>
        </w:tc>
        <w:tc>
          <w:tcPr>
            <w:tcW w:w="2610" w:type="dxa"/>
          </w:tcPr>
          <w:p w:rsidR="0028027B" w:rsidRPr="00DC1EE4" w:rsidRDefault="0028027B" w:rsidP="00793BF3">
            <w:pPr>
              <w:pStyle w:val="TableBullet"/>
              <w:ind w:left="288" w:hanging="288"/>
              <w:rPr>
                <w:rFonts w:eastAsia="Tahoma"/>
              </w:rPr>
            </w:pPr>
            <w:r w:rsidRPr="00DC1EE4">
              <w:t>Shrine of Remembrance</w:t>
            </w:r>
          </w:p>
          <w:p w:rsidR="0028027B" w:rsidRPr="00DC1EE4" w:rsidRDefault="0028027B" w:rsidP="00793BF3">
            <w:pPr>
              <w:pStyle w:val="TableBullet"/>
              <w:ind w:left="288" w:hanging="288"/>
            </w:pPr>
            <w:r w:rsidRPr="00DC1EE4">
              <w:t>Governor</w:t>
            </w:r>
            <w:r w:rsidR="005A4BB0">
              <w:t>’</w:t>
            </w:r>
            <w:r w:rsidRPr="00DC1EE4">
              <w:t>s House</w:t>
            </w:r>
          </w:p>
        </w:tc>
        <w:tc>
          <w:tcPr>
            <w:tcW w:w="1710" w:type="dxa"/>
          </w:tcPr>
          <w:p w:rsidR="0028027B" w:rsidRPr="00DC1EE4" w:rsidRDefault="0028027B" w:rsidP="00793BF3">
            <w:pPr>
              <w:pStyle w:val="Tabletext"/>
              <w:rPr>
                <w:rFonts w:eastAsia="Tahoma"/>
              </w:rPr>
            </w:pPr>
            <w:r w:rsidRPr="00DC1EE4">
              <w:t>Level 3</w:t>
            </w:r>
          </w:p>
        </w:tc>
        <w:tc>
          <w:tcPr>
            <w:tcW w:w="1890" w:type="dxa"/>
          </w:tcPr>
          <w:p w:rsidR="0028027B" w:rsidRPr="00DC1EE4" w:rsidRDefault="0028027B" w:rsidP="00793BF3">
            <w:pPr>
              <w:pStyle w:val="Tabletext"/>
            </w:pPr>
            <w:r w:rsidRPr="00DC1EE4">
              <w:t>Depreciated replacement cost approach</w:t>
            </w:r>
            <w:r w:rsidRPr="00DC1EE4">
              <w:rPr>
                <w:vertAlign w:val="superscript"/>
              </w:rPr>
              <w:t xml:space="preserve"> (b)</w:t>
            </w:r>
          </w:p>
        </w:tc>
        <w:tc>
          <w:tcPr>
            <w:tcW w:w="2142" w:type="dxa"/>
          </w:tcPr>
          <w:p w:rsidR="0028027B" w:rsidRPr="00DC1EE4" w:rsidRDefault="0028027B" w:rsidP="00257F26">
            <w:pPr>
              <w:pStyle w:val="TableBullet"/>
              <w:ind w:left="317" w:hanging="317"/>
            </w:pPr>
            <w:r w:rsidRPr="00DC1EE4">
              <w:t>Cost per square metre</w:t>
            </w:r>
          </w:p>
          <w:p w:rsidR="0028027B" w:rsidRPr="00DC1EE4" w:rsidRDefault="0028027B" w:rsidP="00257F26">
            <w:pPr>
              <w:pStyle w:val="TableBullet"/>
              <w:ind w:left="317" w:hanging="317"/>
              <w:rPr>
                <w:rFonts w:eastAsia="Tahoma"/>
              </w:rPr>
            </w:pPr>
            <w:r w:rsidRPr="00DC1EE4">
              <w:t>Useful life</w:t>
            </w:r>
          </w:p>
        </w:tc>
      </w:tr>
      <w:tr w:rsidR="0028027B" w:rsidRPr="00DC1EE4" w:rsidTr="00793BF3">
        <w:trPr>
          <w:cantSplit/>
        </w:trPr>
        <w:tc>
          <w:tcPr>
            <w:tcW w:w="1933" w:type="dxa"/>
          </w:tcPr>
          <w:p w:rsidR="0028027B" w:rsidRPr="00DC1EE4" w:rsidRDefault="0028027B" w:rsidP="00793BF3">
            <w:pPr>
              <w:pStyle w:val="Tabletext"/>
              <w:rPr>
                <w:rFonts w:eastAsia="Tahoma"/>
              </w:rPr>
            </w:pPr>
            <w:r w:rsidRPr="00DC1EE4">
              <w:t>Dwellings</w:t>
            </w:r>
            <w:r w:rsidRPr="00DC1EE4">
              <w:rPr>
                <w:vertAlign w:val="superscript"/>
              </w:rPr>
              <w:t xml:space="preserve"> (a)</w:t>
            </w:r>
          </w:p>
        </w:tc>
        <w:tc>
          <w:tcPr>
            <w:tcW w:w="2610" w:type="dxa"/>
          </w:tcPr>
          <w:p w:rsidR="0028027B" w:rsidRPr="00DC1EE4" w:rsidRDefault="0028027B" w:rsidP="00793BF3">
            <w:pPr>
              <w:pStyle w:val="TableBullet"/>
              <w:ind w:left="288" w:hanging="288"/>
            </w:pPr>
            <w:r w:rsidRPr="00DC1EE4">
              <w:t>Social/public housing, employee housing</w:t>
            </w:r>
          </w:p>
        </w:tc>
        <w:tc>
          <w:tcPr>
            <w:tcW w:w="1710" w:type="dxa"/>
          </w:tcPr>
          <w:p w:rsidR="0028027B" w:rsidRPr="00DC1EE4" w:rsidRDefault="0028027B" w:rsidP="00793BF3">
            <w:pPr>
              <w:pStyle w:val="Tabletext"/>
              <w:rPr>
                <w:rFonts w:eastAsia="Tahoma"/>
              </w:rPr>
            </w:pPr>
            <w:r w:rsidRPr="00DC1EE4">
              <w:t>Level 2, where there is an active market in the area</w:t>
            </w:r>
          </w:p>
        </w:tc>
        <w:tc>
          <w:tcPr>
            <w:tcW w:w="1890" w:type="dxa"/>
          </w:tcPr>
          <w:p w:rsidR="0028027B" w:rsidRPr="00DC1EE4" w:rsidRDefault="0028027B" w:rsidP="00793BF3">
            <w:pPr>
              <w:pStyle w:val="Tabletext"/>
              <w:rPr>
                <w:rFonts w:eastAsia="Tahoma"/>
              </w:rPr>
            </w:pPr>
            <w:r w:rsidRPr="00DC1EE4">
              <w:t>Market approach</w:t>
            </w:r>
          </w:p>
        </w:tc>
        <w:tc>
          <w:tcPr>
            <w:tcW w:w="2142" w:type="dxa"/>
          </w:tcPr>
          <w:p w:rsidR="0028027B" w:rsidRPr="00DC1EE4" w:rsidRDefault="0028027B" w:rsidP="00793BF3">
            <w:pPr>
              <w:pStyle w:val="Tabletext"/>
              <w:rPr>
                <w:rFonts w:eastAsia="Tahoma"/>
              </w:rPr>
            </w:pPr>
            <w:r w:rsidRPr="00DC1EE4">
              <w:t>n/a</w:t>
            </w:r>
          </w:p>
        </w:tc>
      </w:tr>
      <w:tr w:rsidR="0028027B" w:rsidRPr="00DC1EE4" w:rsidTr="00793BF3">
        <w:trPr>
          <w:cantSplit/>
        </w:trPr>
        <w:tc>
          <w:tcPr>
            <w:tcW w:w="1933" w:type="dxa"/>
          </w:tcPr>
          <w:p w:rsidR="0028027B" w:rsidRPr="00DC1EE4" w:rsidRDefault="0028027B" w:rsidP="00793BF3">
            <w:pPr>
              <w:pStyle w:val="Tabletext"/>
            </w:pPr>
          </w:p>
        </w:tc>
        <w:tc>
          <w:tcPr>
            <w:tcW w:w="2610" w:type="dxa"/>
          </w:tcPr>
          <w:p w:rsidR="0028027B" w:rsidRPr="00DC1EE4" w:rsidRDefault="0028027B" w:rsidP="00793BF3">
            <w:pPr>
              <w:pStyle w:val="Tabletext"/>
            </w:pPr>
          </w:p>
        </w:tc>
        <w:tc>
          <w:tcPr>
            <w:tcW w:w="1710" w:type="dxa"/>
          </w:tcPr>
          <w:p w:rsidR="0028027B" w:rsidRPr="00DC1EE4" w:rsidRDefault="0028027B" w:rsidP="00793BF3">
            <w:pPr>
              <w:pStyle w:val="Tabletext"/>
              <w:rPr>
                <w:rFonts w:eastAsia="Tahoma"/>
              </w:rPr>
            </w:pPr>
            <w:r w:rsidRPr="00DC1EE4">
              <w:t>Level 3, where there is no active market in the area</w:t>
            </w:r>
          </w:p>
        </w:tc>
        <w:tc>
          <w:tcPr>
            <w:tcW w:w="1890" w:type="dxa"/>
          </w:tcPr>
          <w:p w:rsidR="0028027B" w:rsidRPr="00DC1EE4" w:rsidRDefault="0028027B" w:rsidP="00793BF3">
            <w:pPr>
              <w:pStyle w:val="Tabletext"/>
            </w:pPr>
            <w:r w:rsidRPr="00DC1EE4">
              <w:t>Depreciated replacement cost approach</w:t>
            </w:r>
          </w:p>
        </w:tc>
        <w:tc>
          <w:tcPr>
            <w:tcW w:w="2142" w:type="dxa"/>
          </w:tcPr>
          <w:p w:rsidR="0028027B" w:rsidRPr="00DC1EE4" w:rsidRDefault="0028027B" w:rsidP="00793BF3">
            <w:pPr>
              <w:pStyle w:val="TableBullet"/>
              <w:ind w:left="319" w:hanging="270"/>
            </w:pPr>
            <w:r w:rsidRPr="00DC1EE4">
              <w:t>Cost per square metre</w:t>
            </w:r>
          </w:p>
          <w:p w:rsidR="0028027B" w:rsidRPr="00DC1EE4" w:rsidRDefault="0028027B" w:rsidP="00793BF3">
            <w:pPr>
              <w:pStyle w:val="TableBullet"/>
              <w:ind w:left="319" w:hanging="270"/>
            </w:pPr>
            <w:r w:rsidRPr="00DC1EE4">
              <w:t>Useful life</w:t>
            </w:r>
          </w:p>
        </w:tc>
      </w:tr>
      <w:tr w:rsidR="0028027B" w:rsidRPr="00DC1EE4" w:rsidTr="00793BF3">
        <w:trPr>
          <w:cantSplit/>
        </w:trPr>
        <w:tc>
          <w:tcPr>
            <w:tcW w:w="1933" w:type="dxa"/>
          </w:tcPr>
          <w:p w:rsidR="0028027B" w:rsidRPr="00DC1EE4" w:rsidRDefault="0028027B" w:rsidP="00793BF3">
            <w:pPr>
              <w:pStyle w:val="Tabletext"/>
              <w:rPr>
                <w:rFonts w:eastAsia="Tahoma"/>
              </w:rPr>
            </w:pPr>
            <w:r w:rsidRPr="00DC1EE4">
              <w:t>Vehicles</w:t>
            </w:r>
          </w:p>
        </w:tc>
        <w:tc>
          <w:tcPr>
            <w:tcW w:w="2610" w:type="dxa"/>
          </w:tcPr>
          <w:p w:rsidR="0028027B" w:rsidRPr="00DC1EE4" w:rsidRDefault="0028027B" w:rsidP="00793BF3">
            <w:pPr>
              <w:pStyle w:val="TableBullet"/>
              <w:ind w:left="288" w:hanging="288"/>
            </w:pPr>
            <w:r w:rsidRPr="00DC1EE4">
              <w:t>If there is an active resale market available;</w:t>
            </w:r>
          </w:p>
        </w:tc>
        <w:tc>
          <w:tcPr>
            <w:tcW w:w="1710" w:type="dxa"/>
          </w:tcPr>
          <w:p w:rsidR="0028027B" w:rsidRPr="00DC1EE4" w:rsidRDefault="0028027B" w:rsidP="00793BF3">
            <w:pPr>
              <w:pStyle w:val="Tabletext"/>
            </w:pPr>
            <w:r w:rsidRPr="00DC1EE4">
              <w:t>Level 2</w:t>
            </w:r>
          </w:p>
        </w:tc>
        <w:tc>
          <w:tcPr>
            <w:tcW w:w="1890" w:type="dxa"/>
          </w:tcPr>
          <w:p w:rsidR="0028027B" w:rsidRPr="00DC1EE4" w:rsidRDefault="0028027B" w:rsidP="00793BF3">
            <w:pPr>
              <w:pStyle w:val="Tabletext"/>
            </w:pPr>
            <w:r w:rsidRPr="00DC1EE4">
              <w:t>Market approach</w:t>
            </w:r>
          </w:p>
        </w:tc>
        <w:tc>
          <w:tcPr>
            <w:tcW w:w="2142" w:type="dxa"/>
          </w:tcPr>
          <w:p w:rsidR="0028027B" w:rsidRPr="00DC1EE4" w:rsidRDefault="0028027B" w:rsidP="00793BF3">
            <w:pPr>
              <w:pStyle w:val="Tabletext"/>
            </w:pPr>
            <w:r w:rsidRPr="00DC1EE4">
              <w:t>n/a</w:t>
            </w:r>
          </w:p>
        </w:tc>
      </w:tr>
      <w:tr w:rsidR="0028027B" w:rsidRPr="00DC1EE4" w:rsidTr="00793BF3">
        <w:trPr>
          <w:cantSplit/>
        </w:trPr>
        <w:tc>
          <w:tcPr>
            <w:tcW w:w="1933" w:type="dxa"/>
          </w:tcPr>
          <w:p w:rsidR="0028027B" w:rsidRPr="00DC1EE4" w:rsidRDefault="0028027B" w:rsidP="00793BF3">
            <w:pPr>
              <w:pStyle w:val="Tabletext"/>
              <w:rPr>
                <w:rFonts w:eastAsia="Tahoma"/>
              </w:rPr>
            </w:pPr>
          </w:p>
        </w:tc>
        <w:tc>
          <w:tcPr>
            <w:tcW w:w="2610" w:type="dxa"/>
          </w:tcPr>
          <w:p w:rsidR="0028027B" w:rsidRPr="00DC1EE4" w:rsidRDefault="0028027B" w:rsidP="00793BF3">
            <w:pPr>
              <w:pStyle w:val="TableBullet"/>
              <w:ind w:left="288" w:hanging="288"/>
            </w:pPr>
            <w:r w:rsidRPr="00DC1EE4">
              <w:t>If there is no active resale market available</w:t>
            </w:r>
          </w:p>
        </w:tc>
        <w:tc>
          <w:tcPr>
            <w:tcW w:w="1710" w:type="dxa"/>
          </w:tcPr>
          <w:p w:rsidR="0028027B" w:rsidRPr="00DC1EE4" w:rsidRDefault="0028027B" w:rsidP="00793BF3">
            <w:pPr>
              <w:pStyle w:val="Tabletext"/>
            </w:pPr>
            <w:r w:rsidRPr="00DC1EE4">
              <w:t>Level 3</w:t>
            </w:r>
          </w:p>
        </w:tc>
        <w:tc>
          <w:tcPr>
            <w:tcW w:w="1890" w:type="dxa"/>
          </w:tcPr>
          <w:p w:rsidR="0028027B" w:rsidRPr="00DC1EE4" w:rsidRDefault="0028027B" w:rsidP="00793BF3">
            <w:pPr>
              <w:pStyle w:val="Tabletext"/>
            </w:pPr>
            <w:r w:rsidRPr="00DC1EE4">
              <w:t>Depreciated replacement cost approach</w:t>
            </w:r>
          </w:p>
        </w:tc>
        <w:tc>
          <w:tcPr>
            <w:tcW w:w="2142" w:type="dxa"/>
          </w:tcPr>
          <w:p w:rsidR="0028027B" w:rsidRPr="00DC1EE4" w:rsidRDefault="0028027B" w:rsidP="00793BF3">
            <w:pPr>
              <w:pStyle w:val="TableBullet"/>
              <w:ind w:left="319" w:hanging="270"/>
            </w:pPr>
            <w:r w:rsidRPr="00DC1EE4">
              <w:t>Cost per unit</w:t>
            </w:r>
          </w:p>
          <w:p w:rsidR="0028027B" w:rsidRPr="00DC1EE4" w:rsidRDefault="0028027B" w:rsidP="00793BF3">
            <w:pPr>
              <w:pStyle w:val="TableBullet"/>
              <w:ind w:left="319" w:hanging="270"/>
            </w:pPr>
            <w:r w:rsidRPr="00DC1EE4">
              <w:t>Useful life</w:t>
            </w:r>
          </w:p>
        </w:tc>
      </w:tr>
      <w:tr w:rsidR="0028027B" w:rsidRPr="00DC1EE4" w:rsidTr="00793BF3">
        <w:trPr>
          <w:cantSplit/>
        </w:trPr>
        <w:tc>
          <w:tcPr>
            <w:tcW w:w="1933" w:type="dxa"/>
          </w:tcPr>
          <w:p w:rsidR="0028027B" w:rsidRPr="00DC1EE4" w:rsidRDefault="0028027B" w:rsidP="00793BF3">
            <w:pPr>
              <w:pStyle w:val="Tabletext"/>
              <w:rPr>
                <w:rFonts w:eastAsia="Tahoma"/>
              </w:rPr>
            </w:pPr>
            <w:r w:rsidRPr="00DC1EE4">
              <w:t>Plant and equipment </w:t>
            </w:r>
            <w:r w:rsidRPr="00DC1EE4">
              <w:rPr>
                <w:vertAlign w:val="superscript"/>
              </w:rPr>
              <w:t>(a)</w:t>
            </w:r>
          </w:p>
        </w:tc>
        <w:tc>
          <w:tcPr>
            <w:tcW w:w="2610" w:type="dxa"/>
          </w:tcPr>
          <w:p w:rsidR="0028027B" w:rsidRPr="00DC1EE4" w:rsidRDefault="0028027B" w:rsidP="00793BF3">
            <w:pPr>
              <w:pStyle w:val="TableBullet"/>
              <w:ind w:left="288" w:hanging="288"/>
            </w:pPr>
            <w:r w:rsidRPr="00DC1EE4">
              <w:t>Specialised items with limited alternative uses and/or substantial customisation</w:t>
            </w:r>
          </w:p>
        </w:tc>
        <w:tc>
          <w:tcPr>
            <w:tcW w:w="1710" w:type="dxa"/>
          </w:tcPr>
          <w:p w:rsidR="0028027B" w:rsidRPr="00DC1EE4" w:rsidRDefault="0028027B" w:rsidP="00793BF3">
            <w:pPr>
              <w:pStyle w:val="Tabletext"/>
              <w:rPr>
                <w:rFonts w:eastAsia="Tahoma"/>
              </w:rPr>
            </w:pPr>
            <w:r w:rsidRPr="00DC1EE4">
              <w:t>Level 3</w:t>
            </w:r>
          </w:p>
        </w:tc>
        <w:tc>
          <w:tcPr>
            <w:tcW w:w="1890" w:type="dxa"/>
          </w:tcPr>
          <w:p w:rsidR="0028027B" w:rsidRPr="00DC1EE4" w:rsidRDefault="0028027B" w:rsidP="00793BF3">
            <w:pPr>
              <w:pStyle w:val="Tabletext"/>
            </w:pPr>
            <w:r w:rsidRPr="00DC1EE4">
              <w:t>Depreciated replacement cost approach</w:t>
            </w:r>
          </w:p>
        </w:tc>
        <w:tc>
          <w:tcPr>
            <w:tcW w:w="2142" w:type="dxa"/>
          </w:tcPr>
          <w:p w:rsidR="0028027B" w:rsidRPr="00DC1EE4" w:rsidRDefault="0028027B" w:rsidP="00793BF3">
            <w:pPr>
              <w:pStyle w:val="TableBullet"/>
              <w:ind w:left="319" w:hanging="270"/>
              <w:rPr>
                <w:rFonts w:eastAsia="Tahoma"/>
              </w:rPr>
            </w:pPr>
            <w:r w:rsidRPr="00DC1EE4">
              <w:t>Cost per</w:t>
            </w:r>
            <w:r w:rsidR="005A4BB0">
              <w:t xml:space="preserve"> </w:t>
            </w:r>
            <w:r w:rsidRPr="00DC1EE4">
              <w:t>square metre</w:t>
            </w:r>
          </w:p>
          <w:p w:rsidR="0028027B" w:rsidRPr="00DC1EE4" w:rsidRDefault="0028027B" w:rsidP="00793BF3">
            <w:pPr>
              <w:pStyle w:val="TableBullet"/>
              <w:ind w:left="319" w:hanging="270"/>
              <w:rPr>
                <w:rFonts w:eastAsia="Tahoma"/>
              </w:rPr>
            </w:pPr>
            <w:r w:rsidRPr="00DC1EE4">
              <w:t>Useful life</w:t>
            </w:r>
          </w:p>
        </w:tc>
      </w:tr>
      <w:tr w:rsidR="0028027B" w:rsidRPr="00DC1EE4" w:rsidTr="00793BF3">
        <w:trPr>
          <w:cantSplit/>
        </w:trPr>
        <w:tc>
          <w:tcPr>
            <w:tcW w:w="1933" w:type="dxa"/>
          </w:tcPr>
          <w:p w:rsidR="0028027B" w:rsidRPr="00DC1EE4" w:rsidRDefault="0028027B" w:rsidP="00793BF3">
            <w:pPr>
              <w:pStyle w:val="Tabletext"/>
              <w:rPr>
                <w:rFonts w:eastAsia="Tahoma"/>
              </w:rPr>
            </w:pPr>
            <w:r w:rsidRPr="00DC1EE4">
              <w:t>Infrastructure</w:t>
            </w:r>
          </w:p>
        </w:tc>
        <w:tc>
          <w:tcPr>
            <w:tcW w:w="2610" w:type="dxa"/>
          </w:tcPr>
          <w:p w:rsidR="0028027B" w:rsidRPr="00DC1EE4" w:rsidRDefault="0028027B" w:rsidP="00793BF3">
            <w:pPr>
              <w:pStyle w:val="TableBullet"/>
              <w:ind w:left="288" w:hanging="288"/>
              <w:rPr>
                <w:rFonts w:eastAsia="Tahoma"/>
              </w:rPr>
            </w:pPr>
            <w:r w:rsidRPr="00DC1EE4">
              <w:t>Water infrastructures (Metro)</w:t>
            </w:r>
          </w:p>
        </w:tc>
        <w:tc>
          <w:tcPr>
            <w:tcW w:w="1710" w:type="dxa"/>
          </w:tcPr>
          <w:p w:rsidR="0028027B" w:rsidRPr="00DC1EE4" w:rsidRDefault="0028027B" w:rsidP="00793BF3">
            <w:pPr>
              <w:pStyle w:val="Tabletext"/>
              <w:rPr>
                <w:rFonts w:eastAsia="Tahoma"/>
              </w:rPr>
            </w:pPr>
            <w:r w:rsidRPr="00DC1EE4">
              <w:t>Level 3</w:t>
            </w:r>
          </w:p>
        </w:tc>
        <w:tc>
          <w:tcPr>
            <w:tcW w:w="1890" w:type="dxa"/>
          </w:tcPr>
          <w:p w:rsidR="0028027B" w:rsidRPr="00DC1EE4" w:rsidRDefault="0028027B" w:rsidP="00793BF3">
            <w:pPr>
              <w:pStyle w:val="Tabletext"/>
            </w:pPr>
            <w:r w:rsidRPr="00DC1EE4">
              <w:t>Income approach</w:t>
            </w:r>
          </w:p>
        </w:tc>
        <w:tc>
          <w:tcPr>
            <w:tcW w:w="2142" w:type="dxa"/>
          </w:tcPr>
          <w:p w:rsidR="0028027B" w:rsidRPr="00DC1EE4" w:rsidRDefault="0028027B" w:rsidP="00793BF3">
            <w:pPr>
              <w:pStyle w:val="TableBullet"/>
              <w:ind w:left="319" w:hanging="270"/>
            </w:pPr>
            <w:r w:rsidRPr="00DC1EE4">
              <w:t>Estimated cash flow per year</w:t>
            </w:r>
          </w:p>
          <w:p w:rsidR="0028027B" w:rsidRPr="00DC1EE4" w:rsidRDefault="0028027B" w:rsidP="00793BF3">
            <w:pPr>
              <w:pStyle w:val="TableBullet"/>
              <w:ind w:left="319" w:hanging="270"/>
              <w:rPr>
                <w:rFonts w:eastAsia="Tahoma"/>
              </w:rPr>
            </w:pPr>
            <w:r w:rsidRPr="00DC1EE4">
              <w:t>Discount rate</w:t>
            </w:r>
          </w:p>
        </w:tc>
      </w:tr>
      <w:tr w:rsidR="0028027B" w:rsidRPr="00DC1EE4" w:rsidTr="00793BF3">
        <w:trPr>
          <w:cantSplit/>
        </w:trPr>
        <w:tc>
          <w:tcPr>
            <w:tcW w:w="1933" w:type="dxa"/>
          </w:tcPr>
          <w:p w:rsidR="0028027B" w:rsidRPr="00DC1EE4" w:rsidRDefault="0028027B" w:rsidP="00793BF3">
            <w:pPr>
              <w:pStyle w:val="Tabletext"/>
              <w:rPr>
                <w:rFonts w:eastAsia="Tahoma"/>
              </w:rPr>
            </w:pPr>
          </w:p>
        </w:tc>
        <w:tc>
          <w:tcPr>
            <w:tcW w:w="2610" w:type="dxa"/>
          </w:tcPr>
          <w:p w:rsidR="0028027B" w:rsidRPr="00DC1EE4" w:rsidRDefault="0028027B" w:rsidP="00793BF3">
            <w:pPr>
              <w:pStyle w:val="TableBullet"/>
              <w:ind w:left="288" w:hanging="288"/>
              <w:rPr>
                <w:rFonts w:eastAsia="Tahoma"/>
              </w:rPr>
            </w:pPr>
            <w:r w:rsidRPr="00DC1EE4">
              <w:t>Water infrastructure (Regional)</w:t>
            </w:r>
          </w:p>
          <w:p w:rsidR="0028027B" w:rsidRPr="00DC1EE4" w:rsidRDefault="0028027B" w:rsidP="00793BF3">
            <w:pPr>
              <w:pStyle w:val="TableBullet"/>
              <w:ind w:left="288" w:hanging="288"/>
              <w:rPr>
                <w:rFonts w:eastAsia="Tahoma"/>
              </w:rPr>
            </w:pPr>
            <w:r w:rsidRPr="00DC1EE4">
              <w:t>Rail infrastructure</w:t>
            </w:r>
          </w:p>
          <w:p w:rsidR="0028027B" w:rsidRPr="00DC1EE4" w:rsidRDefault="0028027B" w:rsidP="00793BF3">
            <w:pPr>
              <w:pStyle w:val="TableBullet"/>
              <w:ind w:left="288" w:hanging="288"/>
            </w:pPr>
            <w:r w:rsidRPr="00DC1EE4">
              <w:t>Others</w:t>
            </w:r>
          </w:p>
        </w:tc>
        <w:tc>
          <w:tcPr>
            <w:tcW w:w="1710" w:type="dxa"/>
          </w:tcPr>
          <w:p w:rsidR="0028027B" w:rsidRPr="00DC1EE4" w:rsidRDefault="0028027B" w:rsidP="00793BF3">
            <w:pPr>
              <w:pStyle w:val="Tabletext"/>
              <w:rPr>
                <w:rFonts w:eastAsia="Tahoma"/>
              </w:rPr>
            </w:pPr>
            <w:r w:rsidRPr="00DC1EE4">
              <w:t>Level 3</w:t>
            </w:r>
          </w:p>
        </w:tc>
        <w:tc>
          <w:tcPr>
            <w:tcW w:w="1890" w:type="dxa"/>
          </w:tcPr>
          <w:p w:rsidR="0028027B" w:rsidRPr="00DC1EE4" w:rsidDel="00232934" w:rsidRDefault="0028027B" w:rsidP="00793BF3">
            <w:pPr>
              <w:pStyle w:val="Tabletext"/>
            </w:pPr>
            <w:r w:rsidRPr="00DC1EE4">
              <w:t>Depreciated replacement cost approach</w:t>
            </w:r>
          </w:p>
        </w:tc>
        <w:tc>
          <w:tcPr>
            <w:tcW w:w="2142" w:type="dxa"/>
          </w:tcPr>
          <w:p w:rsidR="0028027B" w:rsidRPr="00DC1EE4" w:rsidRDefault="0028027B" w:rsidP="00793BF3">
            <w:pPr>
              <w:pStyle w:val="TableBullet"/>
              <w:ind w:left="319" w:hanging="270"/>
              <w:rPr>
                <w:rFonts w:eastAsia="Tahoma"/>
              </w:rPr>
            </w:pPr>
            <w:r w:rsidRPr="00DC1EE4">
              <w:t>Cost per unit</w:t>
            </w:r>
          </w:p>
          <w:p w:rsidR="0028027B" w:rsidRPr="00DC1EE4" w:rsidRDefault="0028027B" w:rsidP="00793BF3">
            <w:pPr>
              <w:pStyle w:val="TableBullet"/>
              <w:ind w:left="319" w:hanging="270"/>
              <w:rPr>
                <w:rFonts w:eastAsia="Tahoma"/>
              </w:rPr>
            </w:pPr>
            <w:r w:rsidRPr="00DC1EE4">
              <w:t>Useful life</w:t>
            </w:r>
          </w:p>
        </w:tc>
      </w:tr>
      <w:tr w:rsidR="0028027B" w:rsidRPr="00DC1EE4" w:rsidTr="00793BF3">
        <w:trPr>
          <w:cantSplit/>
        </w:trPr>
        <w:tc>
          <w:tcPr>
            <w:tcW w:w="1933" w:type="dxa"/>
          </w:tcPr>
          <w:p w:rsidR="0028027B" w:rsidRPr="00DC1EE4" w:rsidRDefault="0028027B" w:rsidP="00793BF3">
            <w:pPr>
              <w:pStyle w:val="Tabletext"/>
              <w:rPr>
                <w:rFonts w:eastAsia="Tahoma"/>
              </w:rPr>
            </w:pPr>
            <w:r w:rsidRPr="00DC1EE4">
              <w:t xml:space="preserve">Road, infrastructure and earthworks </w:t>
            </w:r>
            <w:r w:rsidRPr="00DC1EE4">
              <w:rPr>
                <w:vertAlign w:val="superscript"/>
              </w:rPr>
              <w:t>(a)</w:t>
            </w:r>
          </w:p>
        </w:tc>
        <w:tc>
          <w:tcPr>
            <w:tcW w:w="2610" w:type="dxa"/>
          </w:tcPr>
          <w:p w:rsidR="0028027B" w:rsidRPr="00DC1EE4" w:rsidRDefault="0028027B" w:rsidP="00793BF3">
            <w:pPr>
              <w:pStyle w:val="Tabletext"/>
              <w:rPr>
                <w:rFonts w:eastAsia="Tahoma"/>
              </w:rPr>
            </w:pPr>
            <w:r w:rsidRPr="00DC1EE4">
              <w:t>Any type</w:t>
            </w:r>
          </w:p>
        </w:tc>
        <w:tc>
          <w:tcPr>
            <w:tcW w:w="1710" w:type="dxa"/>
          </w:tcPr>
          <w:p w:rsidR="0028027B" w:rsidRPr="00DC1EE4" w:rsidRDefault="0028027B" w:rsidP="00793BF3">
            <w:pPr>
              <w:pStyle w:val="Tabletext"/>
              <w:rPr>
                <w:rFonts w:eastAsia="Tahoma"/>
              </w:rPr>
            </w:pPr>
            <w:r w:rsidRPr="00DC1EE4">
              <w:t>Level 3</w:t>
            </w:r>
          </w:p>
        </w:tc>
        <w:tc>
          <w:tcPr>
            <w:tcW w:w="1890" w:type="dxa"/>
          </w:tcPr>
          <w:p w:rsidR="0028027B" w:rsidRPr="00DC1EE4" w:rsidRDefault="0028027B" w:rsidP="00793BF3">
            <w:pPr>
              <w:pStyle w:val="Tabletext"/>
            </w:pPr>
            <w:r w:rsidRPr="00DC1EE4">
              <w:t>Depreciated replacement cost approach</w:t>
            </w:r>
          </w:p>
        </w:tc>
        <w:tc>
          <w:tcPr>
            <w:tcW w:w="2142" w:type="dxa"/>
          </w:tcPr>
          <w:p w:rsidR="0028027B" w:rsidRPr="00DC1EE4" w:rsidRDefault="0028027B" w:rsidP="00793BF3">
            <w:pPr>
              <w:pStyle w:val="TableBullet"/>
              <w:ind w:left="319" w:hanging="270"/>
              <w:rPr>
                <w:rFonts w:eastAsia="Tahoma"/>
              </w:rPr>
            </w:pPr>
            <w:r w:rsidRPr="00DC1EE4">
              <w:t>Cost per metre</w:t>
            </w:r>
          </w:p>
          <w:p w:rsidR="0028027B" w:rsidRPr="00DC1EE4" w:rsidRDefault="0028027B" w:rsidP="00793BF3">
            <w:pPr>
              <w:pStyle w:val="TableBullet"/>
              <w:ind w:left="319" w:hanging="270"/>
              <w:rPr>
                <w:rFonts w:eastAsia="Tahoma"/>
              </w:rPr>
            </w:pPr>
            <w:r w:rsidRPr="00DC1EE4">
              <w:t>Useful life</w:t>
            </w:r>
          </w:p>
        </w:tc>
      </w:tr>
      <w:tr w:rsidR="0028027B" w:rsidRPr="00DC1EE4" w:rsidTr="00793BF3">
        <w:trPr>
          <w:cantSplit/>
        </w:trPr>
        <w:tc>
          <w:tcPr>
            <w:tcW w:w="1933" w:type="dxa"/>
          </w:tcPr>
          <w:p w:rsidR="0028027B" w:rsidRPr="00DC1EE4" w:rsidRDefault="0028027B" w:rsidP="00793BF3">
            <w:pPr>
              <w:pStyle w:val="Tabletext"/>
              <w:rPr>
                <w:rFonts w:eastAsia="Tahoma"/>
              </w:rPr>
            </w:pPr>
            <w:r w:rsidRPr="00DC1EE4">
              <w:t>Cultural assets</w:t>
            </w:r>
          </w:p>
        </w:tc>
        <w:tc>
          <w:tcPr>
            <w:tcW w:w="2610" w:type="dxa"/>
          </w:tcPr>
          <w:p w:rsidR="0028027B" w:rsidRPr="00DC1EE4" w:rsidRDefault="0028027B" w:rsidP="00793BF3">
            <w:pPr>
              <w:pStyle w:val="TableBullet"/>
              <w:ind w:left="288" w:hanging="288"/>
              <w:rPr>
                <w:rFonts w:eastAsia="Tahoma"/>
              </w:rPr>
            </w:pPr>
            <w:r w:rsidRPr="00DC1EE4">
              <w:t>Artworks, for which there is an active market for the item</w:t>
            </w:r>
          </w:p>
        </w:tc>
        <w:tc>
          <w:tcPr>
            <w:tcW w:w="1710" w:type="dxa"/>
          </w:tcPr>
          <w:p w:rsidR="0028027B" w:rsidRPr="00DC1EE4" w:rsidRDefault="0028027B" w:rsidP="00793BF3">
            <w:pPr>
              <w:pStyle w:val="Tabletext"/>
              <w:rPr>
                <w:rFonts w:eastAsia="Tahoma"/>
              </w:rPr>
            </w:pPr>
            <w:r w:rsidRPr="00DC1EE4">
              <w:t>Level 2</w:t>
            </w:r>
          </w:p>
        </w:tc>
        <w:tc>
          <w:tcPr>
            <w:tcW w:w="1890" w:type="dxa"/>
          </w:tcPr>
          <w:p w:rsidR="0028027B" w:rsidRPr="00DC1EE4" w:rsidRDefault="0028027B" w:rsidP="00793BF3">
            <w:pPr>
              <w:pStyle w:val="Tabletext"/>
              <w:rPr>
                <w:rFonts w:eastAsia="Tahoma"/>
              </w:rPr>
            </w:pPr>
            <w:r w:rsidRPr="00DC1EE4">
              <w:t>Market approach</w:t>
            </w:r>
          </w:p>
        </w:tc>
        <w:tc>
          <w:tcPr>
            <w:tcW w:w="2142" w:type="dxa"/>
          </w:tcPr>
          <w:p w:rsidR="0028027B" w:rsidRPr="00DC1EE4" w:rsidRDefault="0028027B" w:rsidP="00793BF3">
            <w:pPr>
              <w:pStyle w:val="Tabletext"/>
              <w:rPr>
                <w:rFonts w:eastAsia="Tahoma"/>
              </w:rPr>
            </w:pPr>
            <w:r w:rsidRPr="00DC1EE4">
              <w:t>n/a</w:t>
            </w:r>
          </w:p>
        </w:tc>
      </w:tr>
      <w:tr w:rsidR="0028027B" w:rsidRPr="00DC1EE4" w:rsidTr="00793BF3">
        <w:trPr>
          <w:cantSplit/>
        </w:trPr>
        <w:tc>
          <w:tcPr>
            <w:tcW w:w="1933" w:type="dxa"/>
          </w:tcPr>
          <w:p w:rsidR="0028027B" w:rsidRPr="00DC1EE4" w:rsidDel="00E72D9A" w:rsidRDefault="0028027B" w:rsidP="00793BF3">
            <w:pPr>
              <w:pStyle w:val="Tabletext"/>
              <w:rPr>
                <w:rFonts w:eastAsia="Tahoma"/>
              </w:rPr>
            </w:pPr>
            <w:r w:rsidRPr="00DC1EE4">
              <w:t>Cultural assets</w:t>
            </w:r>
            <w:r w:rsidRPr="00DC1EE4">
              <w:rPr>
                <w:vertAlign w:val="superscript"/>
              </w:rPr>
              <w:t xml:space="preserve"> (b)</w:t>
            </w:r>
          </w:p>
        </w:tc>
        <w:tc>
          <w:tcPr>
            <w:tcW w:w="2610" w:type="dxa"/>
          </w:tcPr>
          <w:p w:rsidR="0028027B" w:rsidRPr="00DC1EE4" w:rsidRDefault="0028027B" w:rsidP="00793BF3">
            <w:pPr>
              <w:pStyle w:val="TableBullet"/>
              <w:ind w:left="288" w:hanging="288"/>
            </w:pPr>
            <w:r w:rsidRPr="00DC1EE4">
              <w:t>Museum/library collections, for which there is no active market for the item</w:t>
            </w:r>
          </w:p>
        </w:tc>
        <w:tc>
          <w:tcPr>
            <w:tcW w:w="1710" w:type="dxa"/>
          </w:tcPr>
          <w:p w:rsidR="0028027B" w:rsidRPr="00DC1EE4" w:rsidRDefault="0028027B" w:rsidP="00793BF3">
            <w:pPr>
              <w:pStyle w:val="Tabletext"/>
            </w:pPr>
            <w:r w:rsidRPr="00DC1EE4">
              <w:t>Level 3</w:t>
            </w:r>
          </w:p>
        </w:tc>
        <w:tc>
          <w:tcPr>
            <w:tcW w:w="1890" w:type="dxa"/>
          </w:tcPr>
          <w:p w:rsidR="0028027B" w:rsidRPr="00DC1EE4" w:rsidRDefault="0028027B" w:rsidP="00793BF3">
            <w:pPr>
              <w:pStyle w:val="Tabletext"/>
              <w:rPr>
                <w:rFonts w:eastAsia="Tahoma"/>
              </w:rPr>
            </w:pPr>
            <w:r w:rsidRPr="00DC1EE4">
              <w:t>Depreciated replacement cost approach</w:t>
            </w:r>
          </w:p>
        </w:tc>
        <w:tc>
          <w:tcPr>
            <w:tcW w:w="2142" w:type="dxa"/>
          </w:tcPr>
          <w:p w:rsidR="0028027B" w:rsidRPr="00DC1EE4" w:rsidRDefault="0028027B" w:rsidP="00793BF3">
            <w:pPr>
              <w:pStyle w:val="TableBullet"/>
              <w:ind w:left="319" w:hanging="270"/>
              <w:rPr>
                <w:rFonts w:eastAsia="Tahoma"/>
              </w:rPr>
            </w:pPr>
            <w:r w:rsidRPr="00DC1EE4">
              <w:t>Cost per unit</w:t>
            </w:r>
          </w:p>
          <w:p w:rsidR="0028027B" w:rsidRPr="00DC1EE4" w:rsidRDefault="0028027B" w:rsidP="00793BF3">
            <w:pPr>
              <w:pStyle w:val="TableBullet"/>
              <w:ind w:left="319" w:hanging="270"/>
            </w:pPr>
            <w:r w:rsidRPr="00DC1EE4">
              <w:t>Useful life</w:t>
            </w:r>
          </w:p>
        </w:tc>
      </w:tr>
    </w:tbl>
    <w:p w:rsidR="0028027B" w:rsidRPr="00DC1EE4" w:rsidRDefault="0028027B" w:rsidP="0028027B">
      <w:pPr>
        <w:pStyle w:val="Notes"/>
      </w:pPr>
      <w:r w:rsidRPr="00DC1EE4">
        <w:t>Notes:</w:t>
      </w:r>
    </w:p>
    <w:p w:rsidR="0028027B" w:rsidRPr="00DC1EE4" w:rsidRDefault="0028027B" w:rsidP="0028027B">
      <w:pPr>
        <w:pStyle w:val="Notes"/>
      </w:pPr>
      <w:r w:rsidRPr="00DC1EE4">
        <w:t>(a)</w:t>
      </w:r>
      <w:r w:rsidRPr="00DC1EE4">
        <w:tab/>
      </w:r>
      <w:r w:rsidRPr="00DC1EE4">
        <w:tab/>
        <w:t>Newly built/acquired assets could be categorised as Level 2 assets as depreciation would not be a significant unobservable input (based on the 10 per cent materiality threshold).</w:t>
      </w:r>
    </w:p>
    <w:p w:rsidR="0028027B" w:rsidRPr="00DC1EE4" w:rsidRDefault="0028027B" w:rsidP="0028027B">
      <w:pPr>
        <w:pStyle w:val="Notes"/>
      </w:pPr>
      <w:r w:rsidRPr="00DC1EE4">
        <w:t>(b)</w:t>
      </w:r>
      <w:r w:rsidRPr="00DC1EE4">
        <w:tab/>
        <w:t>For heritage and iconic assets, cost may be the reproduction cost of the asset rather than the replacement cost as their service potential could only be replaced by reproducing them with the same materials.</w:t>
      </w:r>
    </w:p>
    <w:p w:rsidR="0028027B" w:rsidRPr="00DC1EE4" w:rsidRDefault="0028027B" w:rsidP="0028027B">
      <w:pPr>
        <w:sectPr w:rsidR="0028027B" w:rsidRPr="00DC1EE4" w:rsidSect="00190A01">
          <w:headerReference w:type="even" r:id="rId365"/>
          <w:headerReference w:type="default" r:id="rId366"/>
          <w:pgSz w:w="11906" w:h="16838" w:code="9"/>
          <w:pgMar w:top="1152" w:right="864" w:bottom="1152" w:left="864" w:header="432" w:footer="432" w:gutter="0"/>
          <w:cols w:space="720"/>
        </w:sectPr>
      </w:pPr>
    </w:p>
    <w:p w:rsidR="0028027B" w:rsidRPr="00F47338" w:rsidRDefault="0028027B" w:rsidP="005A4031">
      <w:pPr>
        <w:pStyle w:val="ChapterHeading"/>
      </w:pPr>
      <w:bookmarkStart w:id="722" w:name="_Toc388277756"/>
      <w:bookmarkStart w:id="723" w:name="_Toc448493022"/>
      <w:r w:rsidRPr="00F47338">
        <w:t>Appendix 4 – Annual leave provisions</w:t>
      </w:r>
      <w:bookmarkEnd w:id="722"/>
      <w:bookmarkEnd w:id="723"/>
    </w:p>
    <w:p w:rsidR="0028027B" w:rsidRPr="00DC1EE4" w:rsidRDefault="0028027B" w:rsidP="00F47338">
      <w:pPr>
        <w:pStyle w:val="Heading1a"/>
      </w:pPr>
      <w:r w:rsidRPr="00DC1EE4">
        <w:t xml:space="preserve">AASB 119 Employee Benefits </w:t>
      </w:r>
    </w:p>
    <w:p w:rsidR="0028027B" w:rsidRPr="00DC1EE4" w:rsidRDefault="0028027B" w:rsidP="0028027B">
      <w:pPr>
        <w:pStyle w:val="Heading2"/>
      </w:pPr>
      <w:r w:rsidRPr="00DC1EE4">
        <w:t>Definitions (paragraph 8, AASB 119)</w:t>
      </w:r>
    </w:p>
    <w:p w:rsidR="0028027B" w:rsidRPr="00DC1EE4" w:rsidRDefault="0028027B" w:rsidP="0028027B">
      <w:r w:rsidRPr="00DC1EE4">
        <w:t>Short</w:t>
      </w:r>
      <w:r w:rsidR="005A4BB0">
        <w:noBreakHyphen/>
      </w:r>
      <w:r w:rsidRPr="00DC1EE4">
        <w:t>term employee benefits are employee benefits (other than termination benefits) that are expected to be settled wholly before 12 months after the end of the annual reporting period in which the employees render the related service.</w:t>
      </w:r>
    </w:p>
    <w:p w:rsidR="0028027B" w:rsidRPr="00DC1EE4" w:rsidRDefault="0028027B" w:rsidP="0028027B">
      <w:r w:rsidRPr="00DC1EE4">
        <w:t>Other long</w:t>
      </w:r>
      <w:r w:rsidR="005A4BB0">
        <w:noBreakHyphen/>
      </w:r>
      <w:r w:rsidRPr="00DC1EE4">
        <w:t>term employee benefits are all employee benefits other than short</w:t>
      </w:r>
      <w:r w:rsidR="005A4BB0">
        <w:noBreakHyphen/>
      </w:r>
      <w:r w:rsidRPr="00DC1EE4">
        <w:t>term employee benefits, post</w:t>
      </w:r>
      <w:r w:rsidR="005A4BB0">
        <w:noBreakHyphen/>
      </w:r>
      <w:r w:rsidRPr="00DC1EE4">
        <w:t>employment benefits and termination benefits.</w:t>
      </w:r>
    </w:p>
    <w:p w:rsidR="0028027B" w:rsidRPr="00DC1EE4" w:rsidRDefault="0028027B" w:rsidP="0028027B">
      <w:pPr>
        <w:pStyle w:val="Heading2"/>
      </w:pPr>
      <w:r w:rsidRPr="00DC1EE4">
        <w:t xml:space="preserve">Revised requirements </w:t>
      </w:r>
    </w:p>
    <w:p w:rsidR="0028027B" w:rsidRPr="00DC1EE4" w:rsidRDefault="0028027B" w:rsidP="0028027B">
      <w:r w:rsidRPr="00DC1EE4">
        <w:t>Under revised AASB 119, the classification of short</w:t>
      </w:r>
      <w:r w:rsidR="005A4BB0">
        <w:noBreakHyphen/>
      </w:r>
      <w:r w:rsidRPr="00DC1EE4">
        <w:t xml:space="preserve">term employee benefits centres around the question as to whether the employee benefits are expected to be wholly settled within 12 months. </w:t>
      </w:r>
    </w:p>
    <w:p w:rsidR="0028027B" w:rsidRPr="00DC1EE4" w:rsidRDefault="0028027B" w:rsidP="0028027B">
      <w:r w:rsidRPr="00DC1EE4">
        <w:t>In other words, if the employee benefits are not expected to be wholly settled within 12 months and this is a permanent expectation, the employee benefits should be classified as long</w:t>
      </w:r>
      <w:r w:rsidR="005A4BB0">
        <w:noBreakHyphen/>
      </w:r>
      <w:r w:rsidRPr="00DC1EE4">
        <w:t>term employee benefits and should be measured at a discounted value similar to other long</w:t>
      </w:r>
      <w:r w:rsidR="005A4BB0">
        <w:noBreakHyphen/>
      </w:r>
      <w:r w:rsidRPr="00DC1EE4">
        <w:t>term employee benefits.</w:t>
      </w:r>
    </w:p>
    <w:p w:rsidR="0028027B" w:rsidRPr="00DC1EE4" w:rsidRDefault="0028027B" w:rsidP="0028027B">
      <w:r w:rsidRPr="00DC1EE4">
        <w:t>However, an entity need not reclassify a short</w:t>
      </w:r>
      <w:r w:rsidR="005A4BB0">
        <w:noBreakHyphen/>
      </w:r>
      <w:r w:rsidRPr="00DC1EE4">
        <w:t>term employee benefit if the entity</w:t>
      </w:r>
      <w:r w:rsidR="005A4BB0">
        <w:t>’</w:t>
      </w:r>
      <w:r w:rsidRPr="00DC1EE4">
        <w:t>s expectations of the timing of employee benefit settlement change temporarily. In such cases, entities can continue to measure the employee benefits at nominal value.</w:t>
      </w:r>
    </w:p>
    <w:p w:rsidR="0028027B" w:rsidRPr="00DC1EE4" w:rsidRDefault="0028027B" w:rsidP="0028027B">
      <w:pPr>
        <w:pStyle w:val="Heading2"/>
      </w:pPr>
      <w:r w:rsidRPr="00DC1EE4">
        <w:t>Example assumptions</w:t>
      </w:r>
    </w:p>
    <w:p w:rsidR="0028027B" w:rsidRPr="00DC1EE4" w:rsidRDefault="0028027B" w:rsidP="0028027B">
      <w:pPr>
        <w:pStyle w:val="Bullet"/>
      </w:pPr>
      <w:r w:rsidRPr="00DC1EE4">
        <w:t xml:space="preserve">At 30 June Year 0 (i.e. the reporting date), the balance of outstanding annual leave entitlements are expected to be $100 (nominal value including wage inflation). </w:t>
      </w:r>
    </w:p>
    <w:p w:rsidR="0028027B" w:rsidRPr="00DC1EE4" w:rsidRDefault="0028027B" w:rsidP="0028027B">
      <w:pPr>
        <w:pStyle w:val="Bullet"/>
      </w:pPr>
      <w:r w:rsidRPr="00DC1EE4">
        <w:t>Based on historical trends, 70 per cent of the entitlements are expected to be taken during Year 1, with the remaining 30 per cent taken by the end of Year 2.</w:t>
      </w:r>
    </w:p>
    <w:p w:rsidR="0028027B" w:rsidRPr="00DC1EE4" w:rsidRDefault="0028027B" w:rsidP="0028027B">
      <w:pPr>
        <w:pStyle w:val="Bullet"/>
      </w:pPr>
      <w:r w:rsidRPr="00DC1EE4">
        <w:t>Cash settlements are made as expected.</w:t>
      </w:r>
    </w:p>
    <w:p w:rsidR="0028027B" w:rsidRPr="00DC1EE4" w:rsidRDefault="0028027B" w:rsidP="0028027B">
      <w:pPr>
        <w:pStyle w:val="Bullet"/>
      </w:pPr>
      <w:r w:rsidRPr="00DC1EE4">
        <w:t>Discount rate = 5 per cent.</w:t>
      </w:r>
    </w:p>
    <w:p w:rsidR="0028027B" w:rsidRPr="00DC1EE4" w:rsidRDefault="0028027B" w:rsidP="0028027B">
      <w:pPr>
        <w:pStyle w:val="Bullet"/>
      </w:pPr>
      <w:r w:rsidRPr="00DC1EE4">
        <w:t>Expected cash outflows are discounted on annual basis.</w:t>
      </w:r>
    </w:p>
    <w:p w:rsidR="0028027B" w:rsidRPr="00DC1EE4" w:rsidRDefault="0028027B" w:rsidP="0028027B">
      <w:pPr>
        <w:pStyle w:val="Heading2"/>
      </w:pPr>
      <w:r w:rsidRPr="00DC1EE4">
        <w:t>Questions</w:t>
      </w:r>
    </w:p>
    <w:p w:rsidR="0028027B" w:rsidRPr="00DC1EE4" w:rsidRDefault="0028027B" w:rsidP="0028027B">
      <w:pPr>
        <w:pStyle w:val="Heading3"/>
      </w:pPr>
      <w:r w:rsidRPr="00DC1EE4">
        <w:t>Do the annual leave provisions in this example qualify as short</w:t>
      </w:r>
      <w:r w:rsidR="005A4BB0">
        <w:noBreakHyphen/>
      </w:r>
      <w:r w:rsidRPr="00DC1EE4">
        <w:t>term employee benefits?</w:t>
      </w:r>
    </w:p>
    <w:p w:rsidR="0028027B" w:rsidRPr="00DC1EE4" w:rsidRDefault="0028027B" w:rsidP="0028027B">
      <w:r w:rsidRPr="00DC1EE4">
        <w:t xml:space="preserve">No. The classification of </w:t>
      </w:r>
      <w:r w:rsidR="005A4BB0">
        <w:t>‘</w:t>
      </w:r>
      <w:r w:rsidRPr="00DC1EE4">
        <w:t>short</w:t>
      </w:r>
      <w:r w:rsidR="005A4BB0">
        <w:noBreakHyphen/>
      </w:r>
      <w:r w:rsidRPr="00DC1EE4">
        <w:t>term employee benefits</w:t>
      </w:r>
      <w:r w:rsidR="005A4BB0">
        <w:t>’</w:t>
      </w:r>
      <w:r w:rsidRPr="00DC1EE4">
        <w:t xml:space="preserve"> is based on the </w:t>
      </w:r>
      <w:r w:rsidR="005A4BB0">
        <w:t>‘</w:t>
      </w:r>
      <w:r w:rsidRPr="00DC1EE4">
        <w:t>whole of the benefit</w:t>
      </w:r>
      <w:r w:rsidR="005A4BB0">
        <w:t>’</w:t>
      </w:r>
      <w:r w:rsidRPr="00DC1EE4">
        <w:t xml:space="preserve"> level. If a portion of the benefit is expected to be settled longer than 12 months after the end of the annual reporting period, then the whole of the benefit will be classified as a long</w:t>
      </w:r>
      <w:r w:rsidR="005A4BB0">
        <w:noBreakHyphen/>
      </w:r>
      <w:r w:rsidRPr="00DC1EE4">
        <w:t xml:space="preserve">term employee benefit. In this example, since 30 per cent of the entitlements are expected to be taken after 12 months, the whole balance of annual leave entitlements will be classified as </w:t>
      </w:r>
      <w:r w:rsidR="005A4BB0">
        <w:t>‘</w:t>
      </w:r>
      <w:r w:rsidRPr="00DC1EE4">
        <w:t>long</w:t>
      </w:r>
      <w:r w:rsidR="005A4BB0">
        <w:noBreakHyphen/>
      </w:r>
      <w:r w:rsidRPr="00DC1EE4">
        <w:t>term employee benefits</w:t>
      </w:r>
      <w:r w:rsidR="005A4BB0">
        <w:t>’</w:t>
      </w:r>
      <w:r w:rsidRPr="00DC1EE4">
        <w:t xml:space="preserve"> and calculated on discounted value. </w:t>
      </w:r>
    </w:p>
    <w:p w:rsidR="0028027B" w:rsidRPr="00DC1EE4" w:rsidRDefault="0028027B" w:rsidP="0028027B"/>
    <w:p w:rsidR="0028027B" w:rsidRPr="00DC1EE4" w:rsidRDefault="0028027B" w:rsidP="0028027B">
      <w:r w:rsidRPr="00DC1EE4">
        <w:br w:type="page"/>
      </w:r>
    </w:p>
    <w:p w:rsidR="0028027B" w:rsidRPr="00DC1EE4" w:rsidRDefault="0028027B" w:rsidP="0028027B">
      <w:pPr>
        <w:pStyle w:val="Heading3"/>
      </w:pPr>
      <w:r w:rsidRPr="00DC1EE4">
        <w:t xml:space="preserve">How should the annual leave provisions be calculated? </w:t>
      </w:r>
    </w:p>
    <w:p w:rsidR="0028027B" w:rsidRPr="00DC1EE4" w:rsidRDefault="0028027B" w:rsidP="0028027B">
      <w:pPr>
        <w:pStyle w:val="SmallLine"/>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468"/>
        <w:gridCol w:w="1242"/>
        <w:gridCol w:w="1539"/>
        <w:gridCol w:w="1328"/>
        <w:gridCol w:w="1971"/>
        <w:gridCol w:w="1526"/>
        <w:gridCol w:w="1527"/>
      </w:tblGrid>
      <w:tr w:rsidR="0028027B" w:rsidRPr="00DC1EE4" w:rsidTr="00C03F9E">
        <w:trPr>
          <w:jc w:val="center"/>
        </w:trPr>
        <w:tc>
          <w:tcPr>
            <w:tcW w:w="1710" w:type="dxa"/>
            <w:gridSpan w:val="2"/>
          </w:tcPr>
          <w:p w:rsidR="0028027B" w:rsidRPr="00DC1EE4" w:rsidRDefault="0028027B" w:rsidP="00C03F9E">
            <w:pPr>
              <w:pStyle w:val="Tabletext"/>
              <w:jc w:val="center"/>
            </w:pPr>
            <w:r w:rsidRPr="00DC1EE4">
              <w:t>PV</w:t>
            </w:r>
          </w:p>
        </w:tc>
        <w:tc>
          <w:tcPr>
            <w:tcW w:w="2867" w:type="dxa"/>
            <w:gridSpan w:val="2"/>
          </w:tcPr>
          <w:p w:rsidR="0028027B" w:rsidRPr="00DC1EE4" w:rsidRDefault="0028027B" w:rsidP="00C03F9E">
            <w:pPr>
              <w:pStyle w:val="Tabletext"/>
              <w:jc w:val="center"/>
            </w:pPr>
            <w:r w:rsidRPr="00DC1EE4">
              <w:t xml:space="preserve">Expected cash outflow of </w:t>
            </w:r>
            <w:r w:rsidRPr="00DC1EE4">
              <w:br/>
              <w:t>$70 (incl. CPI)</w:t>
            </w:r>
          </w:p>
        </w:tc>
        <w:tc>
          <w:tcPr>
            <w:tcW w:w="1971" w:type="dxa"/>
          </w:tcPr>
          <w:p w:rsidR="0028027B" w:rsidRPr="00DC1EE4" w:rsidRDefault="0028027B" w:rsidP="00C03F9E">
            <w:pPr>
              <w:pStyle w:val="Tabletext"/>
            </w:pPr>
          </w:p>
        </w:tc>
        <w:tc>
          <w:tcPr>
            <w:tcW w:w="3053" w:type="dxa"/>
            <w:gridSpan w:val="2"/>
          </w:tcPr>
          <w:p w:rsidR="0028027B" w:rsidRPr="00DC1EE4" w:rsidRDefault="0028027B" w:rsidP="00C03F9E">
            <w:pPr>
              <w:pStyle w:val="Tabletext"/>
              <w:jc w:val="center"/>
            </w:pPr>
            <w:r w:rsidRPr="00DC1EE4">
              <w:t>Expected cash outflow</w:t>
            </w:r>
            <w:r w:rsidRPr="00DC1EE4">
              <w:br/>
              <w:t>of $30 (incl. CPI)</w:t>
            </w:r>
          </w:p>
        </w:tc>
      </w:tr>
      <w:tr w:rsidR="0028027B" w:rsidRPr="00DC1EE4" w:rsidTr="00C03F9E">
        <w:trPr>
          <w:jc w:val="center"/>
        </w:trPr>
        <w:tc>
          <w:tcPr>
            <w:tcW w:w="468" w:type="dxa"/>
            <w:tcBorders>
              <w:right w:val="single" w:sz="6" w:space="0" w:color="auto"/>
            </w:tcBorders>
          </w:tcPr>
          <w:p w:rsidR="0028027B" w:rsidRPr="00DC1EE4" w:rsidRDefault="0028027B" w:rsidP="00C03F9E">
            <w:pPr>
              <w:pStyle w:val="Tabletext"/>
            </w:pPr>
          </w:p>
        </w:tc>
        <w:tc>
          <w:tcPr>
            <w:tcW w:w="1242" w:type="dxa"/>
            <w:tcBorders>
              <w:left w:val="single" w:sz="6" w:space="0" w:color="auto"/>
              <w:bottom w:val="single" w:sz="6" w:space="0" w:color="auto"/>
            </w:tcBorders>
          </w:tcPr>
          <w:p w:rsidR="0028027B" w:rsidRPr="00DC1EE4" w:rsidRDefault="0028027B" w:rsidP="00C03F9E">
            <w:pPr>
              <w:pStyle w:val="Tabletext"/>
            </w:pPr>
          </w:p>
        </w:tc>
        <w:tc>
          <w:tcPr>
            <w:tcW w:w="1539" w:type="dxa"/>
            <w:tcBorders>
              <w:bottom w:val="single" w:sz="6" w:space="0" w:color="auto"/>
              <w:right w:val="single" w:sz="6" w:space="0" w:color="auto"/>
            </w:tcBorders>
          </w:tcPr>
          <w:p w:rsidR="0028027B" w:rsidRPr="00DC1EE4" w:rsidRDefault="0028027B" w:rsidP="00C03F9E">
            <w:pPr>
              <w:pStyle w:val="Tabletext"/>
            </w:pPr>
          </w:p>
        </w:tc>
        <w:tc>
          <w:tcPr>
            <w:tcW w:w="1328" w:type="dxa"/>
            <w:tcBorders>
              <w:left w:val="single" w:sz="6" w:space="0" w:color="auto"/>
              <w:bottom w:val="single" w:sz="6" w:space="0" w:color="auto"/>
            </w:tcBorders>
          </w:tcPr>
          <w:p w:rsidR="0028027B" w:rsidRPr="00DC1EE4" w:rsidRDefault="0028027B" w:rsidP="00C03F9E">
            <w:pPr>
              <w:pStyle w:val="Tabletext"/>
            </w:pPr>
          </w:p>
        </w:tc>
        <w:tc>
          <w:tcPr>
            <w:tcW w:w="1971" w:type="dxa"/>
            <w:tcBorders>
              <w:bottom w:val="single" w:sz="6" w:space="0" w:color="auto"/>
            </w:tcBorders>
          </w:tcPr>
          <w:p w:rsidR="0028027B" w:rsidRPr="00DC1EE4" w:rsidRDefault="0028027B" w:rsidP="00C03F9E">
            <w:pPr>
              <w:pStyle w:val="Tabletext"/>
            </w:pPr>
          </w:p>
        </w:tc>
        <w:tc>
          <w:tcPr>
            <w:tcW w:w="1526" w:type="dxa"/>
            <w:tcBorders>
              <w:bottom w:val="single" w:sz="6" w:space="0" w:color="auto"/>
              <w:right w:val="single" w:sz="6" w:space="0" w:color="auto"/>
            </w:tcBorders>
          </w:tcPr>
          <w:p w:rsidR="0028027B" w:rsidRPr="00DC1EE4" w:rsidRDefault="0028027B" w:rsidP="00C03F9E">
            <w:pPr>
              <w:pStyle w:val="Tabletext"/>
            </w:pPr>
          </w:p>
        </w:tc>
        <w:tc>
          <w:tcPr>
            <w:tcW w:w="1527" w:type="dxa"/>
            <w:tcBorders>
              <w:left w:val="single" w:sz="6" w:space="0" w:color="auto"/>
            </w:tcBorders>
          </w:tcPr>
          <w:p w:rsidR="0028027B" w:rsidRPr="00DC1EE4" w:rsidRDefault="0028027B" w:rsidP="00C03F9E">
            <w:pPr>
              <w:pStyle w:val="Tabletext"/>
            </w:pPr>
          </w:p>
        </w:tc>
      </w:tr>
      <w:tr w:rsidR="0028027B" w:rsidRPr="00DC1EE4" w:rsidTr="00C03F9E">
        <w:trPr>
          <w:jc w:val="center"/>
        </w:trPr>
        <w:tc>
          <w:tcPr>
            <w:tcW w:w="468" w:type="dxa"/>
          </w:tcPr>
          <w:p w:rsidR="0028027B" w:rsidRPr="00DC1EE4" w:rsidRDefault="0028027B" w:rsidP="00C03F9E">
            <w:pPr>
              <w:pStyle w:val="Tabletext"/>
            </w:pPr>
          </w:p>
        </w:tc>
        <w:tc>
          <w:tcPr>
            <w:tcW w:w="1242" w:type="dxa"/>
          </w:tcPr>
          <w:p w:rsidR="0028027B" w:rsidRPr="00DC1EE4" w:rsidRDefault="0028027B" w:rsidP="00C03F9E">
            <w:pPr>
              <w:pStyle w:val="Tabletext"/>
            </w:pPr>
          </w:p>
        </w:tc>
        <w:tc>
          <w:tcPr>
            <w:tcW w:w="1539" w:type="dxa"/>
          </w:tcPr>
          <w:p w:rsidR="0028027B" w:rsidRPr="00DC1EE4" w:rsidRDefault="0028027B" w:rsidP="00C03F9E">
            <w:pPr>
              <w:pStyle w:val="Tabletext"/>
            </w:pPr>
          </w:p>
        </w:tc>
        <w:tc>
          <w:tcPr>
            <w:tcW w:w="1328" w:type="dxa"/>
          </w:tcPr>
          <w:p w:rsidR="0028027B" w:rsidRPr="00DC1EE4" w:rsidRDefault="0028027B" w:rsidP="00C03F9E">
            <w:pPr>
              <w:pStyle w:val="Tabletext"/>
            </w:pPr>
          </w:p>
        </w:tc>
        <w:tc>
          <w:tcPr>
            <w:tcW w:w="1971" w:type="dxa"/>
          </w:tcPr>
          <w:p w:rsidR="0028027B" w:rsidRPr="00DC1EE4" w:rsidRDefault="0028027B" w:rsidP="00C03F9E">
            <w:pPr>
              <w:pStyle w:val="Tabletext"/>
            </w:pPr>
          </w:p>
        </w:tc>
        <w:tc>
          <w:tcPr>
            <w:tcW w:w="1526" w:type="dxa"/>
          </w:tcPr>
          <w:p w:rsidR="0028027B" w:rsidRPr="00DC1EE4" w:rsidRDefault="0028027B" w:rsidP="00C03F9E">
            <w:pPr>
              <w:pStyle w:val="Tabletext"/>
            </w:pPr>
          </w:p>
        </w:tc>
        <w:tc>
          <w:tcPr>
            <w:tcW w:w="1527" w:type="dxa"/>
          </w:tcPr>
          <w:p w:rsidR="0028027B" w:rsidRPr="00DC1EE4" w:rsidRDefault="0028027B" w:rsidP="00C03F9E">
            <w:pPr>
              <w:pStyle w:val="Tabletext"/>
            </w:pPr>
          </w:p>
        </w:tc>
      </w:tr>
      <w:tr w:rsidR="0028027B" w:rsidRPr="00DC1EE4" w:rsidTr="00C03F9E">
        <w:trPr>
          <w:jc w:val="center"/>
        </w:trPr>
        <w:tc>
          <w:tcPr>
            <w:tcW w:w="1710" w:type="dxa"/>
            <w:gridSpan w:val="2"/>
          </w:tcPr>
          <w:p w:rsidR="0028027B" w:rsidRPr="00DC1EE4" w:rsidRDefault="0028027B" w:rsidP="00C03F9E">
            <w:pPr>
              <w:pStyle w:val="Tabletext"/>
            </w:pPr>
            <w:r w:rsidRPr="00DC1EE4">
              <w:t>30 Jun Y0</w:t>
            </w:r>
          </w:p>
          <w:p w:rsidR="0028027B" w:rsidRPr="00DC1EE4" w:rsidRDefault="0028027B" w:rsidP="00C03F9E">
            <w:pPr>
              <w:pStyle w:val="Tabletext"/>
            </w:pPr>
            <w:r w:rsidRPr="00DC1EE4">
              <w:t>(reporting date)</w:t>
            </w:r>
          </w:p>
        </w:tc>
        <w:tc>
          <w:tcPr>
            <w:tcW w:w="2867" w:type="dxa"/>
            <w:gridSpan w:val="2"/>
          </w:tcPr>
          <w:p w:rsidR="0028027B" w:rsidRPr="00DC1EE4" w:rsidRDefault="0028027B" w:rsidP="00C03F9E">
            <w:pPr>
              <w:pStyle w:val="Tabletext"/>
              <w:jc w:val="center"/>
            </w:pPr>
            <w:r w:rsidRPr="00DC1EE4">
              <w:t>30 Mar Y1</w:t>
            </w:r>
          </w:p>
        </w:tc>
        <w:tc>
          <w:tcPr>
            <w:tcW w:w="1971" w:type="dxa"/>
          </w:tcPr>
          <w:p w:rsidR="0028027B" w:rsidRPr="00DC1EE4" w:rsidRDefault="0028027B" w:rsidP="00C03F9E">
            <w:pPr>
              <w:pStyle w:val="Tabletext"/>
            </w:pPr>
          </w:p>
        </w:tc>
        <w:tc>
          <w:tcPr>
            <w:tcW w:w="1526" w:type="dxa"/>
          </w:tcPr>
          <w:p w:rsidR="0028027B" w:rsidRPr="00DC1EE4" w:rsidRDefault="0028027B" w:rsidP="00C03F9E">
            <w:pPr>
              <w:pStyle w:val="Tabletext"/>
              <w:jc w:val="center"/>
            </w:pPr>
            <w:r w:rsidRPr="00DC1EE4">
              <w:t>30 Jun Y2</w:t>
            </w:r>
          </w:p>
        </w:tc>
        <w:tc>
          <w:tcPr>
            <w:tcW w:w="1527" w:type="dxa"/>
          </w:tcPr>
          <w:p w:rsidR="0028027B" w:rsidRPr="00DC1EE4" w:rsidRDefault="0028027B" w:rsidP="00C03F9E">
            <w:pPr>
              <w:pStyle w:val="Tabletext"/>
            </w:pPr>
          </w:p>
        </w:tc>
      </w:tr>
      <w:tr w:rsidR="0028027B" w:rsidRPr="00DC1EE4" w:rsidTr="00C03F9E">
        <w:trPr>
          <w:jc w:val="center"/>
        </w:trPr>
        <w:tc>
          <w:tcPr>
            <w:tcW w:w="468" w:type="dxa"/>
          </w:tcPr>
          <w:p w:rsidR="0028027B" w:rsidRPr="00DC1EE4" w:rsidRDefault="0028027B" w:rsidP="00C03F9E">
            <w:pPr>
              <w:pStyle w:val="Tabletext"/>
            </w:pPr>
          </w:p>
        </w:tc>
        <w:tc>
          <w:tcPr>
            <w:tcW w:w="4109" w:type="dxa"/>
            <w:gridSpan w:val="3"/>
            <w:tcBorders>
              <w:right w:val="single" w:sz="6" w:space="0" w:color="auto"/>
            </w:tcBorders>
            <w:shd w:val="clear" w:color="auto" w:fill="D9D9D9" w:themeFill="background1" w:themeFillShade="D9"/>
          </w:tcPr>
          <w:p w:rsidR="0028027B" w:rsidRPr="00DC1EE4" w:rsidRDefault="0028027B" w:rsidP="00C03F9E">
            <w:pPr>
              <w:pStyle w:val="Tabletext"/>
              <w:jc w:val="center"/>
            </w:pPr>
            <w:r w:rsidRPr="00DC1EE4">
              <w:t>Within 12 months</w:t>
            </w:r>
          </w:p>
        </w:tc>
        <w:tc>
          <w:tcPr>
            <w:tcW w:w="3497" w:type="dxa"/>
            <w:gridSpan w:val="2"/>
            <w:tcBorders>
              <w:left w:val="single" w:sz="6" w:space="0" w:color="auto"/>
            </w:tcBorders>
            <w:shd w:val="clear" w:color="auto" w:fill="D9D9D9" w:themeFill="background1" w:themeFillShade="D9"/>
          </w:tcPr>
          <w:p w:rsidR="0028027B" w:rsidRPr="00DC1EE4" w:rsidRDefault="0028027B" w:rsidP="00C03F9E">
            <w:pPr>
              <w:pStyle w:val="Tabletext"/>
              <w:jc w:val="center"/>
            </w:pPr>
            <w:r w:rsidRPr="00DC1EE4">
              <w:t>After 12 months</w:t>
            </w:r>
          </w:p>
        </w:tc>
        <w:tc>
          <w:tcPr>
            <w:tcW w:w="1527" w:type="dxa"/>
          </w:tcPr>
          <w:p w:rsidR="0028027B" w:rsidRPr="00DC1EE4" w:rsidRDefault="0028027B" w:rsidP="00C03F9E">
            <w:pPr>
              <w:pStyle w:val="Tabletext"/>
            </w:pPr>
          </w:p>
        </w:tc>
      </w:tr>
    </w:tbl>
    <w:p w:rsidR="0028027B" w:rsidRPr="00DC1EE4" w:rsidRDefault="0028027B" w:rsidP="0028027B"/>
    <w:p w:rsidR="0028027B" w:rsidRPr="00DC1EE4" w:rsidRDefault="0028027B" w:rsidP="0028027B">
      <w:pPr>
        <w:pStyle w:val="Heading4"/>
      </w:pPr>
      <w:r w:rsidRPr="00DC1EE4">
        <w:t>Calculation guidance</w:t>
      </w:r>
    </w:p>
    <w:p w:rsidR="0028027B" w:rsidRPr="00DC1EE4" w:rsidRDefault="0028027B" w:rsidP="0028027B">
      <w:pPr>
        <w:pStyle w:val="Normalhanging"/>
      </w:pPr>
      <w:r w:rsidRPr="00DC1EE4">
        <w:t>1.</w:t>
      </w:r>
      <w:r w:rsidRPr="00DC1EE4">
        <w:tab/>
        <w:t xml:space="preserve">Entities need to estimate the expected cash outflows to settle the outstanding annual leave entitlements, taking into account the wage inflation rate as published by DTF for long service leave (LSL). </w:t>
      </w:r>
    </w:p>
    <w:p w:rsidR="0028027B" w:rsidRPr="00DC1EE4" w:rsidRDefault="0028027B" w:rsidP="0028027B">
      <w:pPr>
        <w:pStyle w:val="Normalhanging"/>
      </w:pPr>
      <w:r w:rsidRPr="00DC1EE4">
        <w:t>2.</w:t>
      </w:r>
      <w:r w:rsidRPr="00DC1EE4">
        <w:tab/>
        <w:t>At the reporting date (Y0), the present value of annual leave provisions is the sum of the discounted value of expected cash outflows (note: discount rate used should be consistent with the LSL discount rate issued by DTF).</w:t>
      </w:r>
    </w:p>
    <w:p w:rsidR="0028027B" w:rsidRPr="00DC1EE4" w:rsidRDefault="0028027B" w:rsidP="0028027B">
      <w:pPr>
        <w:pStyle w:val="Normalhanging"/>
      </w:pPr>
      <w:r w:rsidRPr="00DC1EE4">
        <w:t>3.</w:t>
      </w:r>
      <w:r w:rsidRPr="00DC1EE4">
        <w:tab/>
        <w:t>Discounted annual leave provision for the 12 months ended 30 June Y0.</w:t>
      </w:r>
    </w:p>
    <w:p w:rsidR="0028027B" w:rsidRPr="00DC1EE4" w:rsidRDefault="0028027B" w:rsidP="0028027B">
      <w:pPr>
        <w:pStyle w:val="Notes"/>
      </w:pPr>
    </w:p>
    <w:tbl>
      <w:tblPr>
        <w:tblStyle w:val="TableGrid"/>
        <w:tblW w:w="0" w:type="auto"/>
        <w:tblInd w:w="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980"/>
        <w:gridCol w:w="3150"/>
        <w:gridCol w:w="2770"/>
      </w:tblGrid>
      <w:tr w:rsidR="0028027B" w:rsidRPr="00DC1EE4" w:rsidTr="00C03F9E">
        <w:trPr>
          <w:cantSplit/>
        </w:trPr>
        <w:tc>
          <w:tcPr>
            <w:tcW w:w="1980"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textheadingLeft"/>
              <w:rPr>
                <w:rFonts w:eastAsia="Tahoma"/>
              </w:rPr>
            </w:pPr>
          </w:p>
        </w:tc>
        <w:tc>
          <w:tcPr>
            <w:tcW w:w="3150"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textheading"/>
              <w:rPr>
                <w:rFonts w:eastAsia="Tahoma"/>
              </w:rPr>
            </w:pPr>
            <w:r w:rsidRPr="00DC1EE4">
              <w:t xml:space="preserve">Expected cash outflow </w:t>
            </w:r>
            <w:r w:rsidRPr="00DC1EE4">
              <w:br/>
              <w:t>(including wage inflation)</w:t>
            </w:r>
          </w:p>
        </w:tc>
        <w:tc>
          <w:tcPr>
            <w:tcW w:w="2770"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textheading"/>
              <w:rPr>
                <w:rFonts w:eastAsia="Tahoma"/>
              </w:rPr>
            </w:pPr>
            <w:r w:rsidRPr="00DC1EE4">
              <w:t>Discounted value</w:t>
            </w:r>
          </w:p>
        </w:tc>
      </w:tr>
      <w:tr w:rsidR="0028027B" w:rsidRPr="00DC1EE4" w:rsidTr="00C03F9E">
        <w:trPr>
          <w:cantSplit/>
        </w:trPr>
        <w:tc>
          <w:tcPr>
            <w:tcW w:w="1980" w:type="dxa"/>
            <w:tcBorders>
              <w:top w:val="single" w:sz="6" w:space="0" w:color="auto"/>
            </w:tcBorders>
          </w:tcPr>
          <w:p w:rsidR="0028027B" w:rsidRPr="00DC1EE4" w:rsidRDefault="0028027B" w:rsidP="00C03F9E">
            <w:pPr>
              <w:pStyle w:val="TableofFigures"/>
              <w:rPr>
                <w:rFonts w:eastAsia="Tahoma"/>
              </w:rPr>
            </w:pPr>
            <w:r w:rsidRPr="00DC1EE4">
              <w:t>Y1</w:t>
            </w:r>
          </w:p>
        </w:tc>
        <w:tc>
          <w:tcPr>
            <w:tcW w:w="3150" w:type="dxa"/>
            <w:tcBorders>
              <w:top w:val="single" w:sz="6" w:space="0" w:color="auto"/>
            </w:tcBorders>
          </w:tcPr>
          <w:p w:rsidR="0028027B" w:rsidRPr="00DC1EE4" w:rsidRDefault="0028027B" w:rsidP="00C03F9E">
            <w:pPr>
              <w:pStyle w:val="TableofFigures"/>
              <w:rPr>
                <w:rFonts w:eastAsia="Tahoma"/>
              </w:rPr>
            </w:pPr>
            <w:r w:rsidRPr="00DC1EE4">
              <w:t>$70</w:t>
            </w:r>
          </w:p>
        </w:tc>
        <w:tc>
          <w:tcPr>
            <w:tcW w:w="2770" w:type="dxa"/>
            <w:tcBorders>
              <w:top w:val="single" w:sz="6" w:space="0" w:color="auto"/>
            </w:tcBorders>
          </w:tcPr>
          <w:p w:rsidR="0028027B" w:rsidRPr="00DC1EE4" w:rsidRDefault="0028027B" w:rsidP="00C03F9E">
            <w:pPr>
              <w:pStyle w:val="TableofFigures"/>
              <w:rPr>
                <w:rFonts w:eastAsia="Tahoma"/>
              </w:rPr>
            </w:pPr>
            <w:r w:rsidRPr="00DC1EE4">
              <w:t xml:space="preserve">$70 </w:t>
            </w:r>
            <w:r w:rsidRPr="00DC1EE4">
              <w:rPr>
                <w:vertAlign w:val="superscript"/>
              </w:rPr>
              <w:t>(a)</w:t>
            </w:r>
          </w:p>
        </w:tc>
      </w:tr>
      <w:tr w:rsidR="0028027B" w:rsidRPr="00DC1EE4" w:rsidTr="00C03F9E">
        <w:trPr>
          <w:cantSplit/>
        </w:trPr>
        <w:tc>
          <w:tcPr>
            <w:tcW w:w="1980" w:type="dxa"/>
          </w:tcPr>
          <w:p w:rsidR="0028027B" w:rsidRPr="00DC1EE4" w:rsidRDefault="0028027B" w:rsidP="00C03F9E">
            <w:pPr>
              <w:pStyle w:val="TableofFigures"/>
              <w:rPr>
                <w:rFonts w:eastAsia="Tahoma"/>
              </w:rPr>
            </w:pPr>
            <w:r w:rsidRPr="00DC1EE4">
              <w:t>Y2</w:t>
            </w:r>
          </w:p>
        </w:tc>
        <w:tc>
          <w:tcPr>
            <w:tcW w:w="3150" w:type="dxa"/>
          </w:tcPr>
          <w:p w:rsidR="0028027B" w:rsidRPr="00DC1EE4" w:rsidRDefault="0028027B" w:rsidP="00C03F9E">
            <w:pPr>
              <w:pStyle w:val="TableofFigures"/>
              <w:rPr>
                <w:rFonts w:eastAsia="Tahoma"/>
              </w:rPr>
            </w:pPr>
            <w:r w:rsidRPr="00DC1EE4">
              <w:t>$30</w:t>
            </w:r>
          </w:p>
        </w:tc>
        <w:tc>
          <w:tcPr>
            <w:tcW w:w="2770" w:type="dxa"/>
          </w:tcPr>
          <w:p w:rsidR="0028027B" w:rsidRPr="00DC1EE4" w:rsidRDefault="0028027B" w:rsidP="00C03F9E">
            <w:pPr>
              <w:pStyle w:val="TableofFigures"/>
              <w:rPr>
                <w:rFonts w:eastAsia="Tahoma"/>
              </w:rPr>
            </w:pPr>
            <w:r w:rsidRPr="00DC1EE4">
              <w:t>$27</w:t>
            </w:r>
            <w:r w:rsidRPr="00DC1EE4">
              <w:rPr>
                <w:vertAlign w:val="superscript"/>
              </w:rPr>
              <w:t xml:space="preserve"> (b)</w:t>
            </w:r>
          </w:p>
        </w:tc>
      </w:tr>
      <w:tr w:rsidR="0028027B" w:rsidRPr="00DC1EE4" w:rsidTr="00C03F9E">
        <w:trPr>
          <w:cantSplit/>
        </w:trPr>
        <w:tc>
          <w:tcPr>
            <w:tcW w:w="1980" w:type="dxa"/>
            <w:tcBorders>
              <w:bottom w:val="single" w:sz="12" w:space="0" w:color="auto"/>
            </w:tcBorders>
          </w:tcPr>
          <w:p w:rsidR="0028027B" w:rsidRPr="00DC1EE4" w:rsidRDefault="0028027B" w:rsidP="00C03F9E">
            <w:pPr>
              <w:pStyle w:val="TableofFigures"/>
              <w:rPr>
                <w:rFonts w:eastAsia="Tahoma"/>
              </w:rPr>
            </w:pPr>
            <w:r w:rsidRPr="00DC1EE4">
              <w:t>Total</w:t>
            </w:r>
          </w:p>
        </w:tc>
        <w:tc>
          <w:tcPr>
            <w:tcW w:w="3150" w:type="dxa"/>
            <w:tcBorders>
              <w:bottom w:val="single" w:sz="12" w:space="0" w:color="auto"/>
            </w:tcBorders>
          </w:tcPr>
          <w:p w:rsidR="0028027B" w:rsidRPr="00DC1EE4" w:rsidRDefault="0028027B" w:rsidP="00C03F9E">
            <w:pPr>
              <w:pStyle w:val="TableofFigures"/>
              <w:rPr>
                <w:rFonts w:eastAsia="Tahoma"/>
              </w:rPr>
            </w:pPr>
            <w:r w:rsidRPr="00DC1EE4">
              <w:t xml:space="preserve">$100 </w:t>
            </w:r>
            <w:r w:rsidRPr="00DC1EE4">
              <w:rPr>
                <w:vertAlign w:val="superscript"/>
              </w:rPr>
              <w:t>(c)</w:t>
            </w:r>
          </w:p>
        </w:tc>
        <w:tc>
          <w:tcPr>
            <w:tcW w:w="2770" w:type="dxa"/>
            <w:tcBorders>
              <w:bottom w:val="single" w:sz="12" w:space="0" w:color="auto"/>
            </w:tcBorders>
          </w:tcPr>
          <w:p w:rsidR="0028027B" w:rsidRPr="00DC1EE4" w:rsidRDefault="0028027B" w:rsidP="00C03F9E">
            <w:pPr>
              <w:pStyle w:val="TableofFigures"/>
              <w:rPr>
                <w:rFonts w:eastAsia="Tahoma"/>
              </w:rPr>
            </w:pPr>
            <w:r w:rsidRPr="00DC1EE4">
              <w:t>97</w:t>
            </w:r>
            <w:r w:rsidRPr="00DC1EE4">
              <w:rPr>
                <w:vertAlign w:val="superscript"/>
              </w:rPr>
              <w:t xml:space="preserve"> (d)</w:t>
            </w:r>
          </w:p>
        </w:tc>
      </w:tr>
    </w:tbl>
    <w:p w:rsidR="0028027B" w:rsidRPr="00DC1EE4" w:rsidRDefault="0028027B" w:rsidP="0028027B">
      <w:pPr>
        <w:pStyle w:val="NotesIndent"/>
      </w:pPr>
      <w:r w:rsidRPr="00DC1EE4">
        <w:t>Notes:</w:t>
      </w:r>
    </w:p>
    <w:p w:rsidR="0028027B" w:rsidRPr="00DC1EE4" w:rsidRDefault="0028027B" w:rsidP="0028027B">
      <w:pPr>
        <w:pStyle w:val="NotesIndent"/>
      </w:pPr>
      <w:r w:rsidRPr="00DC1EE4">
        <w:t>(a)</w:t>
      </w:r>
      <w:r w:rsidRPr="00DC1EE4">
        <w:tab/>
        <w:t xml:space="preserve">Theoretically, this discounted value should be different from the expected cash outflows if it is discounted on a monthly or quarterly basis. However, because of the discounting methodology used (i.e. annual basis as with LSL calculation), expected cash outflows within 12 months will be the same as the nominal value. </w:t>
      </w:r>
    </w:p>
    <w:p w:rsidR="0028027B" w:rsidRPr="00DC1EE4" w:rsidRDefault="0028027B" w:rsidP="0028027B">
      <w:pPr>
        <w:pStyle w:val="NotesIndent"/>
      </w:pPr>
      <w:r w:rsidRPr="00DC1EE4">
        <w:t>(b)</w:t>
      </w:r>
      <w:r w:rsidRPr="00DC1EE4">
        <w:tab/>
        <w:t>30/(1+5%)2 = 27 (rounded).</w:t>
      </w:r>
    </w:p>
    <w:p w:rsidR="0028027B" w:rsidRPr="00DC1EE4" w:rsidRDefault="0028027B" w:rsidP="0028027B">
      <w:pPr>
        <w:pStyle w:val="NotesIndent"/>
      </w:pPr>
      <w:r w:rsidRPr="00DC1EE4">
        <w:t>(c)</w:t>
      </w:r>
      <w:r w:rsidRPr="00DC1EE4">
        <w:tab/>
        <w:t xml:space="preserve">Annual leave provisions that meet the old definition of </w:t>
      </w:r>
      <w:r w:rsidR="005A4BB0">
        <w:t>‘</w:t>
      </w:r>
      <w:r w:rsidRPr="00DC1EE4">
        <w:t>short</w:t>
      </w:r>
      <w:r w:rsidR="005A4BB0">
        <w:noBreakHyphen/>
      </w:r>
      <w:r w:rsidRPr="00DC1EE4">
        <w:t>term employee benefit</w:t>
      </w:r>
      <w:r w:rsidR="005A4BB0">
        <w:t>’</w:t>
      </w:r>
      <w:r w:rsidRPr="00DC1EE4">
        <w:t xml:space="preserve"> will usually be measured at nominal value. </w:t>
      </w:r>
    </w:p>
    <w:p w:rsidR="0028027B" w:rsidRPr="00DC1EE4" w:rsidRDefault="0028027B" w:rsidP="0028027B">
      <w:pPr>
        <w:pStyle w:val="NotesIndent"/>
      </w:pPr>
      <w:r w:rsidRPr="00DC1EE4">
        <w:t>(d)</w:t>
      </w:r>
      <w:r w:rsidRPr="00DC1EE4">
        <w:tab/>
        <w:t xml:space="preserve">Since the annual leave provisions do not meet the new definition of </w:t>
      </w:r>
      <w:r w:rsidR="005A4BB0">
        <w:t>‘</w:t>
      </w:r>
      <w:r w:rsidRPr="00DC1EE4">
        <w:t>short</w:t>
      </w:r>
      <w:r w:rsidR="005A4BB0">
        <w:noBreakHyphen/>
      </w:r>
      <w:r w:rsidRPr="00DC1EE4">
        <w:t>term employee benefits</w:t>
      </w:r>
      <w:r w:rsidR="005A4BB0">
        <w:t>’</w:t>
      </w:r>
      <w:r w:rsidRPr="00DC1EE4">
        <w:t xml:space="preserve">, the whole benefit should be measured at present value (using the same LSL calculation methodology). </w:t>
      </w:r>
    </w:p>
    <w:p w:rsidR="0028027B" w:rsidRPr="00DC1EE4" w:rsidRDefault="0028027B" w:rsidP="0028027B">
      <w:r w:rsidRPr="00DC1EE4">
        <w:br w:type="page"/>
      </w:r>
    </w:p>
    <w:p w:rsidR="0028027B" w:rsidRPr="00DC1EE4" w:rsidRDefault="0028027B" w:rsidP="0028027B">
      <w:pPr>
        <w:pStyle w:val="Heading3"/>
      </w:pPr>
      <w:r w:rsidRPr="00DC1EE4">
        <w:t xml:space="preserve">Journal entries </w:t>
      </w:r>
    </w:p>
    <w:p w:rsidR="0028027B" w:rsidRPr="00DC1EE4" w:rsidRDefault="0028027B" w:rsidP="0028027B">
      <w:pPr>
        <w:pStyle w:val="SmallLi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4363"/>
        <w:gridCol w:w="1943"/>
        <w:gridCol w:w="1876"/>
      </w:tblGrid>
      <w:tr w:rsidR="0028027B" w:rsidRPr="00DC1EE4" w:rsidTr="00C03F9E">
        <w:tc>
          <w:tcPr>
            <w:tcW w:w="4363"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text"/>
            </w:pPr>
            <w:r w:rsidRPr="00DC1EE4">
              <w:t>30 June Y0</w:t>
            </w:r>
          </w:p>
        </w:tc>
        <w:tc>
          <w:tcPr>
            <w:tcW w:w="1943"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ofFigures"/>
            </w:pPr>
            <w:r w:rsidRPr="00DC1EE4">
              <w:t>DR</w:t>
            </w:r>
          </w:p>
        </w:tc>
        <w:tc>
          <w:tcPr>
            <w:tcW w:w="1876"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ofFigures"/>
            </w:pPr>
            <w:r w:rsidRPr="00DC1EE4">
              <w:t>CR</w:t>
            </w:r>
          </w:p>
        </w:tc>
      </w:tr>
      <w:tr w:rsidR="0028027B" w:rsidRPr="00DC1EE4" w:rsidTr="00C03F9E">
        <w:tc>
          <w:tcPr>
            <w:tcW w:w="4363" w:type="dxa"/>
            <w:tcBorders>
              <w:top w:val="single" w:sz="6" w:space="0" w:color="auto"/>
            </w:tcBorders>
          </w:tcPr>
          <w:p w:rsidR="0028027B" w:rsidRPr="00DC1EE4" w:rsidRDefault="0028027B" w:rsidP="00C03F9E">
            <w:pPr>
              <w:pStyle w:val="Tabletext"/>
            </w:pPr>
            <w:r w:rsidRPr="00DC1EE4">
              <w:t>AL expenses</w:t>
            </w:r>
          </w:p>
        </w:tc>
        <w:tc>
          <w:tcPr>
            <w:tcW w:w="1943" w:type="dxa"/>
            <w:tcBorders>
              <w:top w:val="single" w:sz="6" w:space="0" w:color="auto"/>
            </w:tcBorders>
          </w:tcPr>
          <w:p w:rsidR="0028027B" w:rsidRPr="00DC1EE4" w:rsidRDefault="0028027B" w:rsidP="00C03F9E">
            <w:pPr>
              <w:pStyle w:val="TableofFigures"/>
            </w:pPr>
            <w:r w:rsidRPr="00DC1EE4">
              <w:t>$97</w:t>
            </w:r>
          </w:p>
        </w:tc>
        <w:tc>
          <w:tcPr>
            <w:tcW w:w="1876" w:type="dxa"/>
            <w:tcBorders>
              <w:top w:val="single" w:sz="6" w:space="0" w:color="auto"/>
            </w:tcBorders>
          </w:tcPr>
          <w:p w:rsidR="0028027B" w:rsidRPr="00DC1EE4" w:rsidRDefault="0028027B" w:rsidP="00C03F9E">
            <w:pPr>
              <w:pStyle w:val="TableofFigures"/>
            </w:pPr>
          </w:p>
        </w:tc>
      </w:tr>
      <w:tr w:rsidR="0028027B" w:rsidRPr="00DC1EE4" w:rsidTr="00C03F9E">
        <w:tc>
          <w:tcPr>
            <w:tcW w:w="4363" w:type="dxa"/>
          </w:tcPr>
          <w:p w:rsidR="0028027B" w:rsidRPr="00DC1EE4" w:rsidRDefault="0028027B" w:rsidP="00C03F9E">
            <w:pPr>
              <w:pStyle w:val="TabletextIndent"/>
            </w:pPr>
            <w:r w:rsidRPr="00DC1EE4">
              <w:t>Provisions for AL</w:t>
            </w:r>
          </w:p>
        </w:tc>
        <w:tc>
          <w:tcPr>
            <w:tcW w:w="1943" w:type="dxa"/>
          </w:tcPr>
          <w:p w:rsidR="0028027B" w:rsidRPr="00DC1EE4" w:rsidRDefault="0028027B" w:rsidP="00C03F9E">
            <w:pPr>
              <w:pStyle w:val="TableofFigures"/>
            </w:pPr>
          </w:p>
        </w:tc>
        <w:tc>
          <w:tcPr>
            <w:tcW w:w="1876" w:type="dxa"/>
          </w:tcPr>
          <w:p w:rsidR="0028027B" w:rsidRPr="00DC1EE4" w:rsidRDefault="0028027B" w:rsidP="00C03F9E">
            <w:pPr>
              <w:pStyle w:val="TableofFigures"/>
            </w:pPr>
            <w:r w:rsidRPr="00DC1EE4">
              <w:t>$97</w:t>
            </w:r>
          </w:p>
        </w:tc>
      </w:tr>
      <w:tr w:rsidR="0028027B" w:rsidRPr="00DC1EE4" w:rsidTr="00C03F9E">
        <w:tc>
          <w:tcPr>
            <w:tcW w:w="8182" w:type="dxa"/>
            <w:gridSpan w:val="3"/>
            <w:tcBorders>
              <w:bottom w:val="single" w:sz="6" w:space="0" w:color="auto"/>
            </w:tcBorders>
          </w:tcPr>
          <w:p w:rsidR="0028027B" w:rsidRPr="00DC1EE4" w:rsidRDefault="0028027B" w:rsidP="00C03F9E">
            <w:pPr>
              <w:pStyle w:val="Tabletext"/>
            </w:pPr>
            <w:r w:rsidRPr="00DC1EE4">
              <w:t>Initial recognition for AL provisions</w:t>
            </w:r>
          </w:p>
        </w:tc>
      </w:tr>
      <w:tr w:rsidR="0028027B" w:rsidRPr="00DC1EE4" w:rsidTr="00C03F9E">
        <w:tc>
          <w:tcPr>
            <w:tcW w:w="4363"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text"/>
            </w:pPr>
            <w:r w:rsidRPr="00DC1EE4">
              <w:t>30 March Y1</w:t>
            </w:r>
          </w:p>
        </w:tc>
        <w:tc>
          <w:tcPr>
            <w:tcW w:w="1943"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ofFigures"/>
            </w:pPr>
            <w:r w:rsidRPr="00DC1EE4">
              <w:t>DR</w:t>
            </w:r>
          </w:p>
        </w:tc>
        <w:tc>
          <w:tcPr>
            <w:tcW w:w="1876"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ofFigures"/>
            </w:pPr>
            <w:r w:rsidRPr="00DC1EE4">
              <w:t>CR</w:t>
            </w:r>
          </w:p>
        </w:tc>
      </w:tr>
      <w:tr w:rsidR="0028027B" w:rsidRPr="00DC1EE4" w:rsidTr="00C03F9E">
        <w:tc>
          <w:tcPr>
            <w:tcW w:w="4363" w:type="dxa"/>
            <w:tcBorders>
              <w:top w:val="single" w:sz="6" w:space="0" w:color="auto"/>
            </w:tcBorders>
          </w:tcPr>
          <w:p w:rsidR="0028027B" w:rsidRPr="00DC1EE4" w:rsidRDefault="0028027B" w:rsidP="00C03F9E">
            <w:pPr>
              <w:pStyle w:val="Tabletext"/>
            </w:pPr>
            <w:r w:rsidRPr="00DC1EE4">
              <w:t xml:space="preserve">Provisions for AL </w:t>
            </w:r>
          </w:p>
        </w:tc>
        <w:tc>
          <w:tcPr>
            <w:tcW w:w="1943" w:type="dxa"/>
            <w:tcBorders>
              <w:top w:val="single" w:sz="6" w:space="0" w:color="auto"/>
            </w:tcBorders>
          </w:tcPr>
          <w:p w:rsidR="0028027B" w:rsidRPr="00DC1EE4" w:rsidRDefault="0028027B" w:rsidP="00C03F9E">
            <w:pPr>
              <w:pStyle w:val="TableofFigures"/>
            </w:pPr>
            <w:r w:rsidRPr="00DC1EE4">
              <w:t xml:space="preserve">$70 </w:t>
            </w:r>
          </w:p>
        </w:tc>
        <w:tc>
          <w:tcPr>
            <w:tcW w:w="1876" w:type="dxa"/>
            <w:tcBorders>
              <w:top w:val="single" w:sz="6" w:space="0" w:color="auto"/>
            </w:tcBorders>
          </w:tcPr>
          <w:p w:rsidR="0028027B" w:rsidRPr="00DC1EE4" w:rsidRDefault="0028027B" w:rsidP="00C03F9E">
            <w:pPr>
              <w:pStyle w:val="TableofFigures"/>
            </w:pPr>
          </w:p>
        </w:tc>
      </w:tr>
      <w:tr w:rsidR="0028027B" w:rsidRPr="00DC1EE4" w:rsidTr="00C03F9E">
        <w:tc>
          <w:tcPr>
            <w:tcW w:w="4363" w:type="dxa"/>
          </w:tcPr>
          <w:p w:rsidR="0028027B" w:rsidRPr="00DC1EE4" w:rsidRDefault="0028027B" w:rsidP="00C03F9E">
            <w:pPr>
              <w:pStyle w:val="TabletextIndent"/>
            </w:pPr>
            <w:r w:rsidRPr="00DC1EE4">
              <w:t>Cash</w:t>
            </w:r>
          </w:p>
        </w:tc>
        <w:tc>
          <w:tcPr>
            <w:tcW w:w="1943" w:type="dxa"/>
          </w:tcPr>
          <w:p w:rsidR="0028027B" w:rsidRPr="00DC1EE4" w:rsidRDefault="0028027B" w:rsidP="00C03F9E">
            <w:pPr>
              <w:pStyle w:val="TableofFigures"/>
            </w:pPr>
          </w:p>
        </w:tc>
        <w:tc>
          <w:tcPr>
            <w:tcW w:w="1876" w:type="dxa"/>
          </w:tcPr>
          <w:p w:rsidR="0028027B" w:rsidRPr="00DC1EE4" w:rsidRDefault="0028027B" w:rsidP="00C03F9E">
            <w:pPr>
              <w:pStyle w:val="TableofFigures"/>
            </w:pPr>
            <w:r w:rsidRPr="00DC1EE4">
              <w:t>$70</w:t>
            </w:r>
          </w:p>
        </w:tc>
      </w:tr>
      <w:tr w:rsidR="0028027B" w:rsidRPr="00DC1EE4" w:rsidTr="00C03F9E">
        <w:tc>
          <w:tcPr>
            <w:tcW w:w="8182" w:type="dxa"/>
            <w:gridSpan w:val="3"/>
            <w:tcBorders>
              <w:bottom w:val="single" w:sz="6" w:space="0" w:color="auto"/>
            </w:tcBorders>
          </w:tcPr>
          <w:p w:rsidR="0028027B" w:rsidRPr="00DC1EE4" w:rsidRDefault="0028027B" w:rsidP="00C03F9E">
            <w:pPr>
              <w:pStyle w:val="Tabletext"/>
            </w:pPr>
            <w:r w:rsidRPr="00DC1EE4">
              <w:t xml:space="preserve">Cash settlement of annual leave provision </w:t>
            </w:r>
          </w:p>
        </w:tc>
      </w:tr>
      <w:tr w:rsidR="0028027B" w:rsidRPr="00DC1EE4" w:rsidTr="00C03F9E">
        <w:tc>
          <w:tcPr>
            <w:tcW w:w="4363"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text"/>
            </w:pPr>
            <w:r w:rsidRPr="00DC1EE4">
              <w:t>30 June Y1</w:t>
            </w:r>
          </w:p>
        </w:tc>
        <w:tc>
          <w:tcPr>
            <w:tcW w:w="1943"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ofFigures"/>
            </w:pPr>
            <w:r w:rsidRPr="00DC1EE4">
              <w:t>DR</w:t>
            </w:r>
          </w:p>
        </w:tc>
        <w:tc>
          <w:tcPr>
            <w:tcW w:w="1876"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ofFigures"/>
            </w:pPr>
            <w:r w:rsidRPr="00DC1EE4">
              <w:t>CR</w:t>
            </w:r>
          </w:p>
        </w:tc>
      </w:tr>
      <w:tr w:rsidR="0028027B" w:rsidRPr="00DC1EE4" w:rsidTr="00C03F9E">
        <w:tc>
          <w:tcPr>
            <w:tcW w:w="4363" w:type="dxa"/>
            <w:tcBorders>
              <w:top w:val="single" w:sz="6" w:space="0" w:color="auto"/>
            </w:tcBorders>
          </w:tcPr>
          <w:p w:rsidR="0028027B" w:rsidRPr="00DC1EE4" w:rsidRDefault="0028027B" w:rsidP="00C03F9E">
            <w:pPr>
              <w:pStyle w:val="Tabletext"/>
            </w:pPr>
            <w:r w:rsidRPr="00DC1EE4">
              <w:t>Interest expense – Unwinding of provision (transaction)</w:t>
            </w:r>
          </w:p>
        </w:tc>
        <w:tc>
          <w:tcPr>
            <w:tcW w:w="1943" w:type="dxa"/>
            <w:tcBorders>
              <w:top w:val="single" w:sz="6" w:space="0" w:color="auto"/>
            </w:tcBorders>
          </w:tcPr>
          <w:p w:rsidR="0028027B" w:rsidRPr="00DC1EE4" w:rsidRDefault="0028027B" w:rsidP="00C03F9E">
            <w:pPr>
              <w:pStyle w:val="TableofFigures"/>
            </w:pPr>
            <w:r w:rsidRPr="00DC1EE4">
              <w:t>$1.35</w:t>
            </w:r>
            <w:r w:rsidRPr="00DC1EE4">
              <w:rPr>
                <w:vertAlign w:val="superscript"/>
              </w:rPr>
              <w:t>(a)</w:t>
            </w:r>
          </w:p>
        </w:tc>
        <w:tc>
          <w:tcPr>
            <w:tcW w:w="1876" w:type="dxa"/>
            <w:tcBorders>
              <w:top w:val="single" w:sz="6" w:space="0" w:color="auto"/>
            </w:tcBorders>
          </w:tcPr>
          <w:p w:rsidR="0028027B" w:rsidRPr="00DC1EE4" w:rsidRDefault="0028027B" w:rsidP="00C03F9E">
            <w:pPr>
              <w:pStyle w:val="TableofFigures"/>
            </w:pPr>
          </w:p>
        </w:tc>
      </w:tr>
      <w:tr w:rsidR="0028027B" w:rsidRPr="00DC1EE4" w:rsidTr="00C03F9E">
        <w:tc>
          <w:tcPr>
            <w:tcW w:w="4363" w:type="dxa"/>
          </w:tcPr>
          <w:p w:rsidR="0028027B" w:rsidRPr="00DC1EE4" w:rsidRDefault="0028027B" w:rsidP="00C03F9E">
            <w:pPr>
              <w:pStyle w:val="TabletextIndent"/>
            </w:pPr>
            <w:r w:rsidRPr="00DC1EE4">
              <w:t>Provision for AL</w:t>
            </w:r>
          </w:p>
        </w:tc>
        <w:tc>
          <w:tcPr>
            <w:tcW w:w="1943" w:type="dxa"/>
          </w:tcPr>
          <w:p w:rsidR="0028027B" w:rsidRPr="00DC1EE4" w:rsidRDefault="0028027B" w:rsidP="00C03F9E">
            <w:pPr>
              <w:pStyle w:val="TableofFigures"/>
            </w:pPr>
          </w:p>
        </w:tc>
        <w:tc>
          <w:tcPr>
            <w:tcW w:w="1876" w:type="dxa"/>
          </w:tcPr>
          <w:p w:rsidR="0028027B" w:rsidRPr="00DC1EE4" w:rsidRDefault="0028027B" w:rsidP="00C03F9E">
            <w:pPr>
              <w:pStyle w:val="TableofFigures"/>
            </w:pPr>
            <w:r w:rsidRPr="00DC1EE4">
              <w:t>$1.35</w:t>
            </w:r>
          </w:p>
        </w:tc>
      </w:tr>
      <w:tr w:rsidR="0028027B" w:rsidRPr="00DC1EE4" w:rsidTr="00C03F9E">
        <w:tc>
          <w:tcPr>
            <w:tcW w:w="8182" w:type="dxa"/>
            <w:gridSpan w:val="3"/>
            <w:tcBorders>
              <w:bottom w:val="single" w:sz="6" w:space="0" w:color="auto"/>
            </w:tcBorders>
          </w:tcPr>
          <w:p w:rsidR="0028027B" w:rsidRPr="00DC1EE4" w:rsidRDefault="0028027B" w:rsidP="00C03F9E">
            <w:pPr>
              <w:pStyle w:val="Tabletext"/>
            </w:pPr>
            <w:r w:rsidRPr="00DC1EE4">
              <w:t>Unwinding of provision at end of Y1</w:t>
            </w:r>
          </w:p>
        </w:tc>
      </w:tr>
      <w:tr w:rsidR="0028027B" w:rsidRPr="00DC1EE4" w:rsidTr="00C03F9E">
        <w:tc>
          <w:tcPr>
            <w:tcW w:w="4363"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text"/>
            </w:pPr>
            <w:r w:rsidRPr="00DC1EE4">
              <w:t>30 June Y2</w:t>
            </w:r>
          </w:p>
        </w:tc>
        <w:tc>
          <w:tcPr>
            <w:tcW w:w="1943"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ofFigures"/>
            </w:pPr>
            <w:r w:rsidRPr="00DC1EE4">
              <w:t>DR</w:t>
            </w:r>
          </w:p>
        </w:tc>
        <w:tc>
          <w:tcPr>
            <w:tcW w:w="1876"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ofFigures"/>
            </w:pPr>
            <w:r w:rsidRPr="00DC1EE4">
              <w:t>CR</w:t>
            </w:r>
          </w:p>
        </w:tc>
      </w:tr>
      <w:tr w:rsidR="0028027B" w:rsidRPr="00DC1EE4" w:rsidTr="00C03F9E">
        <w:tc>
          <w:tcPr>
            <w:tcW w:w="4363" w:type="dxa"/>
            <w:tcBorders>
              <w:top w:val="single" w:sz="6" w:space="0" w:color="auto"/>
            </w:tcBorders>
          </w:tcPr>
          <w:p w:rsidR="0028027B" w:rsidRPr="00DC1EE4" w:rsidRDefault="0028027B" w:rsidP="00C03F9E">
            <w:pPr>
              <w:pStyle w:val="Tabletext"/>
            </w:pPr>
            <w:r w:rsidRPr="00DC1EE4">
              <w:t>Interest expense – Unwinding of provision (transaction)</w:t>
            </w:r>
          </w:p>
        </w:tc>
        <w:tc>
          <w:tcPr>
            <w:tcW w:w="1943" w:type="dxa"/>
            <w:tcBorders>
              <w:top w:val="single" w:sz="6" w:space="0" w:color="auto"/>
            </w:tcBorders>
          </w:tcPr>
          <w:p w:rsidR="0028027B" w:rsidRPr="00DC1EE4" w:rsidRDefault="0028027B" w:rsidP="00C03F9E">
            <w:pPr>
              <w:pStyle w:val="TableofFigures"/>
            </w:pPr>
            <w:r w:rsidRPr="00DC1EE4">
              <w:t>$1.42</w:t>
            </w:r>
            <w:r w:rsidRPr="00DC1EE4">
              <w:rPr>
                <w:vertAlign w:val="superscript"/>
              </w:rPr>
              <w:t>(b)</w:t>
            </w:r>
          </w:p>
        </w:tc>
        <w:tc>
          <w:tcPr>
            <w:tcW w:w="1876" w:type="dxa"/>
            <w:tcBorders>
              <w:top w:val="single" w:sz="6" w:space="0" w:color="auto"/>
            </w:tcBorders>
          </w:tcPr>
          <w:p w:rsidR="0028027B" w:rsidRPr="00DC1EE4" w:rsidRDefault="0028027B" w:rsidP="00C03F9E">
            <w:pPr>
              <w:pStyle w:val="TableofFigures"/>
            </w:pPr>
          </w:p>
        </w:tc>
      </w:tr>
      <w:tr w:rsidR="0028027B" w:rsidRPr="00DC1EE4" w:rsidTr="00C03F9E">
        <w:tc>
          <w:tcPr>
            <w:tcW w:w="4363" w:type="dxa"/>
          </w:tcPr>
          <w:p w:rsidR="0028027B" w:rsidRPr="00DC1EE4" w:rsidRDefault="0028027B" w:rsidP="00C03F9E">
            <w:pPr>
              <w:pStyle w:val="TabletextIndent"/>
            </w:pPr>
            <w:r w:rsidRPr="00DC1EE4">
              <w:t xml:space="preserve">Provision for AL </w:t>
            </w:r>
          </w:p>
        </w:tc>
        <w:tc>
          <w:tcPr>
            <w:tcW w:w="1943" w:type="dxa"/>
          </w:tcPr>
          <w:p w:rsidR="0028027B" w:rsidRPr="00DC1EE4" w:rsidRDefault="0028027B" w:rsidP="00C03F9E">
            <w:pPr>
              <w:pStyle w:val="TableofFigures"/>
            </w:pPr>
          </w:p>
        </w:tc>
        <w:tc>
          <w:tcPr>
            <w:tcW w:w="1876" w:type="dxa"/>
          </w:tcPr>
          <w:p w:rsidR="0028027B" w:rsidRPr="00DC1EE4" w:rsidRDefault="0028027B" w:rsidP="00C03F9E">
            <w:pPr>
              <w:pStyle w:val="TableofFigures"/>
            </w:pPr>
            <w:r w:rsidRPr="00DC1EE4">
              <w:t>$1.42</w:t>
            </w:r>
          </w:p>
        </w:tc>
      </w:tr>
      <w:tr w:rsidR="0028027B" w:rsidRPr="00DC1EE4" w:rsidTr="00C03F9E">
        <w:tc>
          <w:tcPr>
            <w:tcW w:w="8182" w:type="dxa"/>
            <w:gridSpan w:val="3"/>
          </w:tcPr>
          <w:p w:rsidR="0028027B" w:rsidRPr="00DC1EE4" w:rsidRDefault="0028027B" w:rsidP="00C03F9E">
            <w:pPr>
              <w:pStyle w:val="Tabletext"/>
            </w:pPr>
            <w:r w:rsidRPr="00DC1EE4">
              <w:t>Unwinding of provision at end of Y2</w:t>
            </w:r>
          </w:p>
        </w:tc>
      </w:tr>
      <w:tr w:rsidR="0028027B" w:rsidRPr="00DC1EE4" w:rsidTr="00C03F9E">
        <w:tc>
          <w:tcPr>
            <w:tcW w:w="4363" w:type="dxa"/>
          </w:tcPr>
          <w:p w:rsidR="0028027B" w:rsidRPr="00DC1EE4" w:rsidRDefault="0028027B" w:rsidP="00C03F9E">
            <w:pPr>
              <w:pStyle w:val="TabletextIndent"/>
            </w:pPr>
            <w:r w:rsidRPr="00DC1EE4">
              <w:t>Provision for AL</w:t>
            </w:r>
          </w:p>
        </w:tc>
        <w:tc>
          <w:tcPr>
            <w:tcW w:w="1943" w:type="dxa"/>
          </w:tcPr>
          <w:p w:rsidR="0028027B" w:rsidRPr="00DC1EE4" w:rsidRDefault="0028027B" w:rsidP="00C03F9E">
            <w:pPr>
              <w:pStyle w:val="TableofFigures"/>
            </w:pPr>
            <w:r w:rsidRPr="00DC1EE4">
              <w:t>$30</w:t>
            </w:r>
          </w:p>
        </w:tc>
        <w:tc>
          <w:tcPr>
            <w:tcW w:w="1876" w:type="dxa"/>
          </w:tcPr>
          <w:p w:rsidR="0028027B" w:rsidRPr="00DC1EE4" w:rsidRDefault="0028027B" w:rsidP="00C03F9E">
            <w:pPr>
              <w:pStyle w:val="TableofFigures"/>
            </w:pPr>
          </w:p>
        </w:tc>
      </w:tr>
      <w:tr w:rsidR="0028027B" w:rsidRPr="00DC1EE4" w:rsidTr="00C03F9E">
        <w:tc>
          <w:tcPr>
            <w:tcW w:w="4363" w:type="dxa"/>
          </w:tcPr>
          <w:p w:rsidR="0028027B" w:rsidRPr="00DC1EE4" w:rsidRDefault="0028027B" w:rsidP="00C03F9E">
            <w:pPr>
              <w:pStyle w:val="TabletextIndent"/>
            </w:pPr>
            <w:r w:rsidRPr="00DC1EE4">
              <w:t>Cash</w:t>
            </w:r>
          </w:p>
        </w:tc>
        <w:tc>
          <w:tcPr>
            <w:tcW w:w="1943" w:type="dxa"/>
          </w:tcPr>
          <w:p w:rsidR="0028027B" w:rsidRPr="00DC1EE4" w:rsidRDefault="0028027B" w:rsidP="00C03F9E">
            <w:pPr>
              <w:pStyle w:val="TableofFigures"/>
            </w:pPr>
          </w:p>
        </w:tc>
        <w:tc>
          <w:tcPr>
            <w:tcW w:w="1876" w:type="dxa"/>
          </w:tcPr>
          <w:p w:rsidR="0028027B" w:rsidRPr="00DC1EE4" w:rsidRDefault="0028027B" w:rsidP="00C03F9E">
            <w:pPr>
              <w:pStyle w:val="TableofFigures"/>
            </w:pPr>
            <w:r w:rsidRPr="00DC1EE4">
              <w:t>$30</w:t>
            </w:r>
          </w:p>
        </w:tc>
      </w:tr>
      <w:tr w:rsidR="0028027B" w:rsidRPr="00DC1EE4" w:rsidTr="00C03F9E">
        <w:tc>
          <w:tcPr>
            <w:tcW w:w="8182" w:type="dxa"/>
            <w:gridSpan w:val="3"/>
            <w:tcBorders>
              <w:bottom w:val="single" w:sz="12" w:space="0" w:color="auto"/>
            </w:tcBorders>
          </w:tcPr>
          <w:p w:rsidR="0028027B" w:rsidRPr="00DC1EE4" w:rsidRDefault="0028027B" w:rsidP="00C03F9E">
            <w:pPr>
              <w:pStyle w:val="Tabletext"/>
            </w:pPr>
            <w:r w:rsidRPr="00DC1EE4">
              <w:t>Cash settlement of annual leave provision (assume at 30 Mar Y1)</w:t>
            </w:r>
          </w:p>
        </w:tc>
      </w:tr>
    </w:tbl>
    <w:p w:rsidR="0028027B" w:rsidRPr="00DC1EE4" w:rsidRDefault="0028027B" w:rsidP="0028027B">
      <w:pPr>
        <w:pStyle w:val="Notes"/>
      </w:pPr>
      <w:r w:rsidRPr="00DC1EE4">
        <w:t>Notes:</w:t>
      </w:r>
    </w:p>
    <w:p w:rsidR="0028027B" w:rsidRPr="00DC1EE4" w:rsidRDefault="0028027B" w:rsidP="0028027B">
      <w:pPr>
        <w:pStyle w:val="Notes"/>
      </w:pPr>
      <w:r w:rsidRPr="00DC1EE4">
        <w:t>(a)</w:t>
      </w:r>
      <w:r w:rsidRPr="00DC1EE4">
        <w:tab/>
        <w:t>27*5%=1.35.</w:t>
      </w:r>
    </w:p>
    <w:p w:rsidR="0028027B" w:rsidRPr="00DC1EE4" w:rsidRDefault="0028027B" w:rsidP="0028027B">
      <w:pPr>
        <w:pStyle w:val="Notes"/>
      </w:pPr>
      <w:r w:rsidRPr="00DC1EE4">
        <w:t>(b)</w:t>
      </w:r>
      <w:r w:rsidRPr="00DC1EE4">
        <w:tab/>
        <w:t>27*5%*5% = 1.42.</w:t>
      </w:r>
    </w:p>
    <w:p w:rsidR="0028027B" w:rsidRPr="00DC1EE4" w:rsidRDefault="0028027B" w:rsidP="0028027B">
      <w:pPr>
        <w:pStyle w:val="Notes"/>
      </w:pPr>
    </w:p>
    <w:p w:rsidR="0028027B" w:rsidRPr="00DC1EE4" w:rsidRDefault="0028027B" w:rsidP="0028027B">
      <w:pPr>
        <w:pStyle w:val="Heading2"/>
      </w:pPr>
      <w:r w:rsidRPr="00DC1EE4">
        <w:t xml:space="preserve">Disclosure illustration </w:t>
      </w:r>
    </w:p>
    <w:p w:rsidR="0028027B" w:rsidRPr="00DC1EE4" w:rsidRDefault="0028027B" w:rsidP="0028027B">
      <w:pPr>
        <w:spacing w:after="40"/>
      </w:pPr>
      <w:r w:rsidRPr="00DC1EE4">
        <w:t>Provisions for annual leave as at 30 June Y0 (i.e. current reporting period)</w:t>
      </w:r>
    </w:p>
    <w:tbl>
      <w:tblPr>
        <w:tblStyle w:val="TableGrid"/>
        <w:tblW w:w="8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4993"/>
        <w:gridCol w:w="1588"/>
        <w:gridCol w:w="1589"/>
      </w:tblGrid>
      <w:tr w:rsidR="0028027B" w:rsidRPr="00DC1EE4" w:rsidTr="00C03F9E">
        <w:tc>
          <w:tcPr>
            <w:tcW w:w="4993"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textheadingLeft"/>
            </w:pPr>
            <w:r w:rsidRPr="00DC1EE4">
              <w:t>Current provisions</w:t>
            </w:r>
          </w:p>
        </w:tc>
        <w:tc>
          <w:tcPr>
            <w:tcW w:w="1588"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textheading"/>
            </w:pPr>
            <w:r w:rsidRPr="00DC1EE4">
              <w:t xml:space="preserve">Old measurement </w:t>
            </w:r>
          </w:p>
        </w:tc>
        <w:tc>
          <w:tcPr>
            <w:tcW w:w="1589" w:type="dxa"/>
            <w:tcBorders>
              <w:top w:val="single" w:sz="6" w:space="0" w:color="auto"/>
              <w:bottom w:val="single" w:sz="6" w:space="0" w:color="auto"/>
            </w:tcBorders>
            <w:shd w:val="clear" w:color="auto" w:fill="D9D9D9" w:themeFill="background1" w:themeFillShade="D9"/>
          </w:tcPr>
          <w:p w:rsidR="0028027B" w:rsidRPr="00DC1EE4" w:rsidRDefault="0028027B" w:rsidP="00C03F9E">
            <w:pPr>
              <w:pStyle w:val="Tabletextheading"/>
            </w:pPr>
            <w:r w:rsidRPr="00DC1EE4">
              <w:t>New measurement</w:t>
            </w:r>
          </w:p>
        </w:tc>
      </w:tr>
      <w:tr w:rsidR="0028027B" w:rsidRPr="00DC1EE4" w:rsidTr="00C03F9E">
        <w:tc>
          <w:tcPr>
            <w:tcW w:w="4993" w:type="dxa"/>
            <w:tcBorders>
              <w:top w:val="single" w:sz="6" w:space="0" w:color="auto"/>
            </w:tcBorders>
          </w:tcPr>
          <w:p w:rsidR="0028027B" w:rsidRPr="00DC1EE4" w:rsidRDefault="0028027B" w:rsidP="00C03F9E">
            <w:pPr>
              <w:pStyle w:val="Tabletext"/>
              <w:rPr>
                <w:rFonts w:eastAsia="Tahoma"/>
              </w:rPr>
            </w:pPr>
            <w:r w:rsidRPr="00DC1EE4">
              <w:t>Employee benefits – annual leave:</w:t>
            </w:r>
          </w:p>
        </w:tc>
        <w:tc>
          <w:tcPr>
            <w:tcW w:w="1588" w:type="dxa"/>
            <w:tcBorders>
              <w:top w:val="single" w:sz="6" w:space="0" w:color="auto"/>
            </w:tcBorders>
          </w:tcPr>
          <w:p w:rsidR="0028027B" w:rsidRPr="00DC1EE4" w:rsidRDefault="0028027B" w:rsidP="00C03F9E">
            <w:pPr>
              <w:pStyle w:val="TableofFigures"/>
              <w:rPr>
                <w:rFonts w:eastAsia="Tahoma"/>
              </w:rPr>
            </w:pPr>
          </w:p>
        </w:tc>
        <w:tc>
          <w:tcPr>
            <w:tcW w:w="1589" w:type="dxa"/>
            <w:tcBorders>
              <w:top w:val="single" w:sz="6" w:space="0" w:color="auto"/>
            </w:tcBorders>
          </w:tcPr>
          <w:p w:rsidR="0028027B" w:rsidRPr="00DC1EE4" w:rsidRDefault="0028027B" w:rsidP="00C03F9E">
            <w:pPr>
              <w:pStyle w:val="TableofFigures"/>
              <w:rPr>
                <w:rFonts w:eastAsia="Tahoma"/>
              </w:rPr>
            </w:pPr>
          </w:p>
        </w:tc>
      </w:tr>
      <w:tr w:rsidR="0028027B" w:rsidRPr="00DC1EE4" w:rsidTr="00C03F9E">
        <w:tc>
          <w:tcPr>
            <w:tcW w:w="4993" w:type="dxa"/>
          </w:tcPr>
          <w:p w:rsidR="0028027B" w:rsidRPr="00DC1EE4" w:rsidRDefault="0028027B" w:rsidP="0028027B">
            <w:pPr>
              <w:pStyle w:val="TableBullet"/>
              <w:spacing w:line="240" w:lineRule="atLeast"/>
              <w:ind w:left="319" w:hanging="270"/>
              <w:rPr>
                <w:rFonts w:eastAsia="Tahoma"/>
              </w:rPr>
            </w:pPr>
            <w:r w:rsidRPr="00DC1EE4">
              <w:t>Unconditional and expected to be settled within 12 months</w:t>
            </w:r>
          </w:p>
        </w:tc>
        <w:tc>
          <w:tcPr>
            <w:tcW w:w="1588" w:type="dxa"/>
          </w:tcPr>
          <w:p w:rsidR="0028027B" w:rsidRPr="00DC1EE4" w:rsidRDefault="0028027B" w:rsidP="00C03F9E">
            <w:pPr>
              <w:pStyle w:val="TableofFigures"/>
              <w:rPr>
                <w:rFonts w:eastAsia="Tahoma"/>
              </w:rPr>
            </w:pPr>
            <w:r w:rsidRPr="00DC1EE4">
              <w:t xml:space="preserve">$ 70 </w:t>
            </w:r>
          </w:p>
        </w:tc>
        <w:tc>
          <w:tcPr>
            <w:tcW w:w="1589" w:type="dxa"/>
          </w:tcPr>
          <w:p w:rsidR="0028027B" w:rsidRPr="00DC1EE4" w:rsidRDefault="0028027B" w:rsidP="00C03F9E">
            <w:pPr>
              <w:pStyle w:val="TableofFigures"/>
              <w:rPr>
                <w:rFonts w:eastAsia="Tahoma"/>
              </w:rPr>
            </w:pPr>
            <w:r w:rsidRPr="00DC1EE4">
              <w:t xml:space="preserve">$ 70 </w:t>
            </w:r>
          </w:p>
        </w:tc>
      </w:tr>
      <w:tr w:rsidR="0028027B" w:rsidRPr="00DC1EE4" w:rsidTr="00C03F9E">
        <w:tc>
          <w:tcPr>
            <w:tcW w:w="4993" w:type="dxa"/>
            <w:tcBorders>
              <w:bottom w:val="single" w:sz="6" w:space="0" w:color="auto"/>
            </w:tcBorders>
          </w:tcPr>
          <w:p w:rsidR="0028027B" w:rsidRPr="00DC1EE4" w:rsidRDefault="0028027B" w:rsidP="0028027B">
            <w:pPr>
              <w:pStyle w:val="TableBullet"/>
              <w:spacing w:line="240" w:lineRule="atLeast"/>
              <w:ind w:left="319" w:hanging="270"/>
              <w:rPr>
                <w:rFonts w:eastAsia="Tahoma"/>
              </w:rPr>
            </w:pPr>
            <w:r w:rsidRPr="00DC1EE4">
              <w:t>Unconditional and expected to be settled after 12 months</w:t>
            </w:r>
          </w:p>
        </w:tc>
        <w:tc>
          <w:tcPr>
            <w:tcW w:w="1588" w:type="dxa"/>
            <w:tcBorders>
              <w:bottom w:val="single" w:sz="6" w:space="0" w:color="auto"/>
            </w:tcBorders>
          </w:tcPr>
          <w:p w:rsidR="0028027B" w:rsidRPr="00DC1EE4" w:rsidRDefault="0028027B" w:rsidP="00C03F9E">
            <w:pPr>
              <w:pStyle w:val="TableofFigures"/>
              <w:rPr>
                <w:rFonts w:eastAsia="Tahoma"/>
              </w:rPr>
            </w:pPr>
            <w:r w:rsidRPr="00DC1EE4">
              <w:t>$ 30</w:t>
            </w:r>
          </w:p>
        </w:tc>
        <w:tc>
          <w:tcPr>
            <w:tcW w:w="1589" w:type="dxa"/>
            <w:tcBorders>
              <w:bottom w:val="single" w:sz="6" w:space="0" w:color="auto"/>
            </w:tcBorders>
          </w:tcPr>
          <w:p w:rsidR="0028027B" w:rsidRPr="00DC1EE4" w:rsidRDefault="0028027B" w:rsidP="00C03F9E">
            <w:pPr>
              <w:pStyle w:val="TableofFigures"/>
              <w:rPr>
                <w:rFonts w:eastAsia="Tahoma"/>
              </w:rPr>
            </w:pPr>
            <w:r w:rsidRPr="00DC1EE4">
              <w:t xml:space="preserve">$27 </w:t>
            </w:r>
          </w:p>
        </w:tc>
      </w:tr>
      <w:tr w:rsidR="0028027B" w:rsidRPr="00DC1EE4" w:rsidTr="00C03F9E">
        <w:tc>
          <w:tcPr>
            <w:tcW w:w="4993" w:type="dxa"/>
            <w:tcBorders>
              <w:top w:val="single" w:sz="6" w:space="0" w:color="auto"/>
              <w:bottom w:val="single" w:sz="12" w:space="0" w:color="auto"/>
            </w:tcBorders>
          </w:tcPr>
          <w:p w:rsidR="0028027B" w:rsidRPr="00DC1EE4" w:rsidRDefault="0028027B" w:rsidP="00C03F9E">
            <w:pPr>
              <w:pStyle w:val="Tabletext"/>
            </w:pPr>
            <w:r w:rsidRPr="00DC1EE4">
              <w:t>Total</w:t>
            </w:r>
          </w:p>
        </w:tc>
        <w:tc>
          <w:tcPr>
            <w:tcW w:w="1588" w:type="dxa"/>
            <w:tcBorders>
              <w:top w:val="single" w:sz="6" w:space="0" w:color="auto"/>
              <w:bottom w:val="single" w:sz="12" w:space="0" w:color="auto"/>
            </w:tcBorders>
          </w:tcPr>
          <w:p w:rsidR="0028027B" w:rsidRPr="00DC1EE4" w:rsidRDefault="0028027B" w:rsidP="00C03F9E">
            <w:pPr>
              <w:pStyle w:val="TableofFigures"/>
            </w:pPr>
            <w:r w:rsidRPr="00DC1EE4">
              <w:t>$100</w:t>
            </w:r>
          </w:p>
        </w:tc>
        <w:tc>
          <w:tcPr>
            <w:tcW w:w="1589" w:type="dxa"/>
            <w:tcBorders>
              <w:top w:val="single" w:sz="6" w:space="0" w:color="auto"/>
              <w:bottom w:val="single" w:sz="12" w:space="0" w:color="auto"/>
            </w:tcBorders>
          </w:tcPr>
          <w:p w:rsidR="0028027B" w:rsidRPr="00DC1EE4" w:rsidRDefault="0028027B" w:rsidP="00C03F9E">
            <w:pPr>
              <w:pStyle w:val="TableofFigures"/>
            </w:pPr>
            <w:r w:rsidRPr="00DC1EE4">
              <w:t>$97</w:t>
            </w:r>
          </w:p>
        </w:tc>
      </w:tr>
    </w:tbl>
    <w:p w:rsidR="0028027B" w:rsidRPr="00DC1EE4" w:rsidRDefault="0028027B" w:rsidP="0028027B">
      <w:pPr>
        <w:pStyle w:val="Notes"/>
        <w:ind w:left="0" w:firstLine="0"/>
        <w:sectPr w:rsidR="0028027B" w:rsidRPr="00DC1EE4" w:rsidSect="00190A01">
          <w:headerReference w:type="even" r:id="rId367"/>
          <w:headerReference w:type="default" r:id="rId368"/>
          <w:pgSz w:w="11906" w:h="16838" w:code="9"/>
          <w:pgMar w:top="1152" w:right="864" w:bottom="1152" w:left="864" w:header="432" w:footer="432" w:gutter="0"/>
          <w:cols w:space="720"/>
        </w:sectPr>
      </w:pPr>
    </w:p>
    <w:p w:rsidR="0028027B" w:rsidRPr="00DC1EE4" w:rsidRDefault="0028027B" w:rsidP="0028027B"/>
    <w:p w:rsidR="0028027B" w:rsidRPr="00DC1EE4" w:rsidRDefault="0028027B" w:rsidP="0028027B"/>
    <w:p w:rsidR="0028027B" w:rsidRPr="00DC1EE4" w:rsidRDefault="0028027B" w:rsidP="0028027B"/>
    <w:p w:rsidR="0028027B" w:rsidRPr="00DC1EE4" w:rsidRDefault="0028027B" w:rsidP="0028027B">
      <w:pPr>
        <w:sectPr w:rsidR="0028027B" w:rsidRPr="00DC1EE4" w:rsidSect="00190A01">
          <w:headerReference w:type="even" r:id="rId369"/>
          <w:type w:val="continuous"/>
          <w:pgSz w:w="11906" w:h="16838" w:code="9"/>
          <w:pgMar w:top="994" w:right="864" w:bottom="994" w:left="864" w:header="432" w:footer="432" w:gutter="0"/>
          <w:cols w:space="720"/>
        </w:sectPr>
      </w:pPr>
    </w:p>
    <w:p w:rsidR="0028027B" w:rsidRPr="00DC1EE4" w:rsidRDefault="0028027B" w:rsidP="005A4031">
      <w:pPr>
        <w:pStyle w:val="ChapterHeading"/>
      </w:pPr>
      <w:bookmarkStart w:id="724" w:name="_Toc448493023"/>
      <w:r w:rsidRPr="00DC1EE4">
        <w:t>Appendix 5 – Summary of new/revised accounting standards effective for current and future reporting periods</w:t>
      </w:r>
      <w:bookmarkEnd w:id="724"/>
      <w:r w:rsidRPr="00DC1EE4">
        <w:t xml:space="preserve"> </w:t>
      </w:r>
    </w:p>
    <w:p w:rsidR="0028027B" w:rsidRPr="00DC1EE4" w:rsidRDefault="0028027B" w:rsidP="00E348C3">
      <w:pPr>
        <w:pStyle w:val="Tableheading"/>
      </w:pPr>
      <w:r w:rsidRPr="00DC1EE4">
        <w:t>[Update up to 1 March 2016]</w:t>
      </w:r>
    </w:p>
    <w:p w:rsidR="0028027B" w:rsidRPr="00DC1EE4" w:rsidRDefault="0028027B" w:rsidP="0028027B"/>
    <w:p w:rsidR="0028027B" w:rsidRPr="00DC1EE4" w:rsidRDefault="0028027B" w:rsidP="0028027B">
      <w:pPr>
        <w:pStyle w:val="Heading3a"/>
      </w:pPr>
      <w:r w:rsidRPr="00DC1EE4">
        <w:t>Current reporting period</w:t>
      </w:r>
    </w:p>
    <w:p w:rsidR="0028027B" w:rsidRPr="00DC1EE4" w:rsidRDefault="0028027B" w:rsidP="0028027B">
      <w:r w:rsidRPr="00DC1EE4">
        <w:t>The following accounting pronouncements effective from the 2015</w:t>
      </w:r>
      <w:r w:rsidR="005A4BB0">
        <w:noBreakHyphen/>
      </w:r>
      <w:r w:rsidRPr="00DC1EE4">
        <w:t>16 reporting period are considered to have insignificant impacts on public sector reporting:</w:t>
      </w:r>
    </w:p>
    <w:p w:rsidR="0028027B" w:rsidRPr="00DC1EE4" w:rsidRDefault="0028027B" w:rsidP="0028027B">
      <w:pPr>
        <w:pStyle w:val="Bullet"/>
      </w:pPr>
      <w:r w:rsidRPr="00DC1EE4">
        <w:t xml:space="preserve">AASB 1048 </w:t>
      </w:r>
      <w:r w:rsidRPr="00DC1EE4">
        <w:rPr>
          <w:i/>
        </w:rPr>
        <w:t>Interpretation of Standards</w:t>
      </w:r>
    </w:p>
    <w:p w:rsidR="0028027B" w:rsidRPr="00DC1EE4" w:rsidRDefault="0028027B" w:rsidP="0028027B">
      <w:pPr>
        <w:pStyle w:val="Bullet"/>
      </w:pPr>
      <w:r w:rsidRPr="00DC1EE4">
        <w:t>AASB 2013</w:t>
      </w:r>
      <w:r w:rsidR="005A4BB0">
        <w:noBreakHyphen/>
      </w:r>
      <w:r w:rsidRPr="00DC1EE4">
        <w:t xml:space="preserve">9 </w:t>
      </w:r>
      <w:r w:rsidRPr="00DC1EE4">
        <w:rPr>
          <w:i/>
        </w:rPr>
        <w:t>Amendments to Australian Accounting Standards [Part C Financial Instruments]</w:t>
      </w:r>
    </w:p>
    <w:p w:rsidR="0028027B" w:rsidRPr="00DC1EE4" w:rsidRDefault="0028027B" w:rsidP="0028027B">
      <w:pPr>
        <w:pStyle w:val="Bullet"/>
      </w:pPr>
      <w:r w:rsidRPr="00DC1EE4">
        <w:t>AASB 2014</w:t>
      </w:r>
      <w:r w:rsidR="005A4BB0">
        <w:noBreakHyphen/>
      </w:r>
      <w:r w:rsidRPr="00DC1EE4">
        <w:t xml:space="preserve">8 </w:t>
      </w:r>
      <w:r w:rsidRPr="00DC1EE4">
        <w:rPr>
          <w:i/>
        </w:rPr>
        <w:t>Amendments to Australian Accounting Standards arising from AASB 9 – Application of AASB 9 (December 2009) and AASB 9 (December 2010) [AASB 9 (2009 &amp; 2010)]</w:t>
      </w:r>
    </w:p>
    <w:p w:rsidR="0028027B" w:rsidRPr="00DC1EE4" w:rsidRDefault="0028027B" w:rsidP="0028027B">
      <w:pPr>
        <w:pStyle w:val="Bullet"/>
      </w:pPr>
      <w:r w:rsidRPr="00DC1EE4">
        <w:t>AASB 2015</w:t>
      </w:r>
      <w:r w:rsidR="005A4BB0">
        <w:noBreakHyphen/>
      </w:r>
      <w:r w:rsidRPr="00DC1EE4">
        <w:t xml:space="preserve">3 </w:t>
      </w:r>
      <w:r w:rsidRPr="00DC1EE4">
        <w:rPr>
          <w:i/>
        </w:rPr>
        <w:t>Amendments to Australian Accounting Standards arising from the Withdrawal of AASB 1031 Materiality</w:t>
      </w:r>
    </w:p>
    <w:p w:rsidR="0028027B" w:rsidRPr="00DC1EE4" w:rsidRDefault="0028027B" w:rsidP="0028027B">
      <w:pPr>
        <w:pStyle w:val="Bullet"/>
      </w:pPr>
      <w:r w:rsidRPr="00DC1EE4">
        <w:t>AASB 2015</w:t>
      </w:r>
      <w:r w:rsidR="005A4BB0">
        <w:noBreakHyphen/>
      </w:r>
      <w:r w:rsidRPr="00DC1EE4">
        <w:t xml:space="preserve">4 </w:t>
      </w:r>
      <w:r w:rsidRPr="00DC1EE4">
        <w:rPr>
          <w:i/>
        </w:rPr>
        <w:t>Amendments to Australian Accounting Standards – Financial Reporting Requirements for Australian Groups with a Foreign Parent [AASB 127 &amp; AASB 128]</w:t>
      </w:r>
    </w:p>
    <w:p w:rsidR="0028027B" w:rsidRPr="00DC1EE4" w:rsidRDefault="0028027B" w:rsidP="0028027B">
      <w:pPr>
        <w:pStyle w:val="Bullet"/>
        <w:numPr>
          <w:ilvl w:val="0"/>
          <w:numId w:val="0"/>
        </w:numPr>
      </w:pPr>
    </w:p>
    <w:p w:rsidR="0028027B" w:rsidRPr="00DC1EE4" w:rsidRDefault="0028027B" w:rsidP="0028027B">
      <w:pPr>
        <w:pStyle w:val="Notes"/>
        <w:tabs>
          <w:tab w:val="clear" w:pos="454"/>
          <w:tab w:val="left" w:pos="0"/>
        </w:tabs>
        <w:ind w:left="0" w:firstLine="0"/>
      </w:pPr>
      <w:r w:rsidRPr="00DC1EE4">
        <w:t>Note: Amending standard AASB 2015</w:t>
      </w:r>
      <w:r w:rsidR="005A4BB0">
        <w:noBreakHyphen/>
      </w:r>
      <w:r w:rsidRPr="00DC1EE4">
        <w:t xml:space="preserve">7 </w:t>
      </w:r>
      <w:r w:rsidRPr="00DC1EE4">
        <w:rPr>
          <w:i w:val="0"/>
        </w:rPr>
        <w:t>Amendments to Australian Accounting Standards – Fair Value Disclosures of Not</w:t>
      </w:r>
      <w:r w:rsidR="005A4BB0">
        <w:rPr>
          <w:i w:val="0"/>
        </w:rPr>
        <w:noBreakHyphen/>
      </w:r>
      <w:r w:rsidRPr="00DC1EE4">
        <w:rPr>
          <w:i w:val="0"/>
        </w:rPr>
        <w:t>for</w:t>
      </w:r>
      <w:r w:rsidR="005A4BB0">
        <w:rPr>
          <w:i w:val="0"/>
        </w:rPr>
        <w:noBreakHyphen/>
      </w:r>
      <w:r w:rsidRPr="00DC1EE4">
        <w:rPr>
          <w:i w:val="0"/>
        </w:rPr>
        <w:t xml:space="preserve">Profit Public Sector Entities, </w:t>
      </w:r>
      <w:r w:rsidRPr="00DC1EE4">
        <w:t>which is operative from 1 July 2016 provides an exemption for not</w:t>
      </w:r>
      <w:r w:rsidR="005A4BB0">
        <w:noBreakHyphen/>
      </w:r>
      <w:r w:rsidRPr="00DC1EE4">
        <w:t>for</w:t>
      </w:r>
      <w:r w:rsidR="005A4BB0">
        <w:noBreakHyphen/>
      </w:r>
      <w:r w:rsidRPr="00DC1EE4">
        <w:t>profit public sector entities from certain fair value disclosures. Please note that the State early adopted AASB 2015</w:t>
      </w:r>
      <w:r w:rsidR="005A4BB0">
        <w:noBreakHyphen/>
      </w:r>
      <w:r w:rsidRPr="00DC1EE4">
        <w:t>7 in the 2014</w:t>
      </w:r>
      <w:r w:rsidR="005A4BB0">
        <w:noBreakHyphen/>
      </w:r>
      <w:r w:rsidRPr="00DC1EE4">
        <w:t>15 reporting period and gave not</w:t>
      </w:r>
      <w:r w:rsidR="005A4BB0">
        <w:noBreakHyphen/>
      </w:r>
      <w:r w:rsidRPr="00DC1EE4">
        <w:t>for</w:t>
      </w:r>
      <w:r w:rsidR="005A4BB0">
        <w:noBreakHyphen/>
      </w:r>
      <w:r w:rsidRPr="00DC1EE4">
        <w:t>profit entities the option to early adopt this amending standard last year. As a result, all not</w:t>
      </w:r>
      <w:r w:rsidR="005A4BB0">
        <w:noBreakHyphen/>
      </w:r>
      <w:r w:rsidRPr="00DC1EE4">
        <w:t>for</w:t>
      </w:r>
      <w:r w:rsidR="005A4BB0">
        <w:noBreakHyphen/>
      </w:r>
      <w:r w:rsidRPr="00DC1EE4">
        <w:t>profit entities must now comply this amending standard for the current financial year.</w:t>
      </w:r>
    </w:p>
    <w:p w:rsidR="0028027B" w:rsidRPr="00DC1EE4" w:rsidRDefault="0028027B" w:rsidP="0028027B"/>
    <w:p w:rsidR="0028027B" w:rsidRPr="00DC1EE4" w:rsidRDefault="0028027B" w:rsidP="0028027B">
      <w:pPr>
        <w:pStyle w:val="Heading2"/>
      </w:pPr>
      <w:r w:rsidRPr="00DC1EE4">
        <w:t>Future reporting periods</w:t>
      </w:r>
    </w:p>
    <w:p w:rsidR="0028027B" w:rsidRPr="00DC1EE4" w:rsidRDefault="0028027B" w:rsidP="0028027B">
      <w:r w:rsidRPr="00DC1EE4">
        <w:t>The table below outlines the accounting pronouncements that have been issued but not effective for 2015</w:t>
      </w:r>
      <w:r w:rsidR="005A4BB0">
        <w:noBreakHyphen/>
      </w:r>
      <w:r w:rsidRPr="00DC1EE4">
        <w:t>16, which may result in potential impacts on public sector reporting for future reporting periods.</w:t>
      </w:r>
    </w:p>
    <w:p w:rsidR="0028027B" w:rsidRPr="00DC1EE4" w:rsidRDefault="0028027B" w:rsidP="0028027B">
      <w:pPr>
        <w:pStyle w:val="SmallLine"/>
      </w:pPr>
    </w:p>
    <w:p w:rsidR="0028027B" w:rsidRPr="00DC1EE4" w:rsidRDefault="0028027B" w:rsidP="0028027B">
      <w:pPr>
        <w:pStyle w:val="SmallLine"/>
      </w:pPr>
    </w:p>
    <w:tbl>
      <w:tblPr>
        <w:tblStyle w:val="TableGrid"/>
        <w:tblW w:w="0" w:type="auto"/>
        <w:tblBorders>
          <w:top w:val="none" w:sz="0" w:space="0" w:color="auto"/>
          <w:left w:val="none" w:sz="0" w:space="0" w:color="auto"/>
          <w:bottom w:val="single" w:sz="12" w:space="0" w:color="BFBFBF" w:themeColor="background1" w:themeShade="BF"/>
          <w:right w:val="none" w:sz="0" w:space="0" w:color="auto"/>
          <w:insideH w:val="single" w:sz="4" w:space="0" w:color="BFBFBF" w:themeColor="background1" w:themeShade="BF"/>
          <w:insideV w:val="none" w:sz="0" w:space="0" w:color="auto"/>
        </w:tblBorders>
        <w:tblCellMar>
          <w:left w:w="43" w:type="dxa"/>
          <w:right w:w="43" w:type="dxa"/>
        </w:tblCellMar>
        <w:tblLook w:val="04A0" w:firstRow="1" w:lastRow="0" w:firstColumn="1" w:lastColumn="0" w:noHBand="0" w:noVBand="1"/>
      </w:tblPr>
      <w:tblGrid>
        <w:gridCol w:w="2864"/>
        <w:gridCol w:w="5779"/>
        <w:gridCol w:w="1502"/>
      </w:tblGrid>
      <w:tr w:rsidR="0028027B" w:rsidRPr="00A24E40" w:rsidTr="00A24E40">
        <w:trPr>
          <w:tblHeader/>
        </w:trPr>
        <w:tc>
          <w:tcPr>
            <w:tcW w:w="2864" w:type="dxa"/>
            <w:shd w:val="clear" w:color="auto" w:fill="BFBFBF" w:themeFill="background1" w:themeFillShade="BF"/>
          </w:tcPr>
          <w:p w:rsidR="0028027B" w:rsidRPr="00A24E40" w:rsidRDefault="0028027B" w:rsidP="00A24E40">
            <w:pPr>
              <w:pStyle w:val="TabletextheadingLeft"/>
              <w:rPr>
                <w:sz w:val="20"/>
                <w:szCs w:val="20"/>
              </w:rPr>
            </w:pPr>
            <w:r w:rsidRPr="00A24E40">
              <w:rPr>
                <w:sz w:val="20"/>
                <w:szCs w:val="20"/>
              </w:rPr>
              <w:t>Topic</w:t>
            </w:r>
          </w:p>
        </w:tc>
        <w:tc>
          <w:tcPr>
            <w:tcW w:w="5779" w:type="dxa"/>
            <w:shd w:val="clear" w:color="auto" w:fill="BFBFBF" w:themeFill="background1" w:themeFillShade="BF"/>
          </w:tcPr>
          <w:p w:rsidR="0028027B" w:rsidRPr="00A24E40" w:rsidRDefault="0028027B" w:rsidP="00A24E40">
            <w:pPr>
              <w:pStyle w:val="Tabletextheadingleft0"/>
              <w:rPr>
                <w:szCs w:val="20"/>
              </w:rPr>
            </w:pPr>
            <w:r w:rsidRPr="00A24E40">
              <w:rPr>
                <w:szCs w:val="20"/>
              </w:rPr>
              <w:t>Key requirements</w:t>
            </w:r>
          </w:p>
        </w:tc>
        <w:tc>
          <w:tcPr>
            <w:tcW w:w="1502" w:type="dxa"/>
            <w:shd w:val="clear" w:color="auto" w:fill="BFBFBF" w:themeFill="background1" w:themeFillShade="BF"/>
          </w:tcPr>
          <w:p w:rsidR="0028027B" w:rsidRPr="00A24E40" w:rsidRDefault="0028027B" w:rsidP="00A24E40">
            <w:pPr>
              <w:pStyle w:val="Tabletextheading"/>
              <w:rPr>
                <w:sz w:val="20"/>
                <w:szCs w:val="20"/>
              </w:rPr>
            </w:pPr>
            <w:r w:rsidRPr="00A24E40">
              <w:rPr>
                <w:sz w:val="20"/>
                <w:szCs w:val="20"/>
              </w:rPr>
              <w:t>Effective date</w:t>
            </w:r>
          </w:p>
        </w:tc>
      </w:tr>
      <w:tr w:rsidR="0028027B" w:rsidRPr="00A24E40" w:rsidTr="00A24E40">
        <w:trPr>
          <w:trHeight w:val="220"/>
        </w:trPr>
        <w:tc>
          <w:tcPr>
            <w:tcW w:w="2864" w:type="dxa"/>
          </w:tcPr>
          <w:p w:rsidR="0028027B" w:rsidRPr="00A24E40" w:rsidRDefault="0028027B" w:rsidP="00C03F9E">
            <w:pPr>
              <w:pStyle w:val="Tabletext"/>
            </w:pPr>
            <w:r w:rsidRPr="00A24E40">
              <w:t xml:space="preserve">AASB 9 </w:t>
            </w:r>
            <w:r w:rsidRPr="00A24E40">
              <w:rPr>
                <w:i/>
              </w:rPr>
              <w:t>Financial Instruments</w:t>
            </w:r>
          </w:p>
        </w:tc>
        <w:tc>
          <w:tcPr>
            <w:tcW w:w="5779" w:type="dxa"/>
          </w:tcPr>
          <w:p w:rsidR="0028027B" w:rsidRPr="00A24E40" w:rsidRDefault="0028027B" w:rsidP="004E6826">
            <w:pPr>
              <w:pStyle w:val="Tabletext"/>
            </w:pPr>
            <w:r w:rsidRPr="00A24E40">
              <w:t>The key changes introduced by AASB 9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p>
        </w:tc>
        <w:tc>
          <w:tcPr>
            <w:tcW w:w="1502" w:type="dxa"/>
          </w:tcPr>
          <w:p w:rsidR="0028027B" w:rsidRPr="00A24E40" w:rsidRDefault="0028027B" w:rsidP="00C03F9E">
            <w:pPr>
              <w:pStyle w:val="Tabletext"/>
              <w:jc w:val="right"/>
            </w:pPr>
            <w:r w:rsidRPr="00A24E40">
              <w:t>1 January 2018</w:t>
            </w:r>
          </w:p>
        </w:tc>
      </w:tr>
      <w:tr w:rsidR="0028027B" w:rsidRPr="00A24E40" w:rsidTr="00A24E40">
        <w:trPr>
          <w:trHeight w:val="220"/>
        </w:trPr>
        <w:tc>
          <w:tcPr>
            <w:tcW w:w="2864" w:type="dxa"/>
          </w:tcPr>
          <w:p w:rsidR="0028027B" w:rsidRPr="00A24E40" w:rsidRDefault="0028027B" w:rsidP="00C03F9E">
            <w:pPr>
              <w:pStyle w:val="Tabletext"/>
            </w:pPr>
            <w:r w:rsidRPr="00A24E40">
              <w:t xml:space="preserve">AASB 15 </w:t>
            </w:r>
            <w:r w:rsidRPr="00A24E40">
              <w:rPr>
                <w:i/>
              </w:rPr>
              <w:t>Revenue from Contracts with Customers</w:t>
            </w:r>
          </w:p>
        </w:tc>
        <w:tc>
          <w:tcPr>
            <w:tcW w:w="5779" w:type="dxa"/>
          </w:tcPr>
          <w:p w:rsidR="0028027B" w:rsidRPr="00A24E40" w:rsidRDefault="0028027B" w:rsidP="004E6826">
            <w:pPr>
              <w:pStyle w:val="Tabletext"/>
            </w:pPr>
            <w:r w:rsidRPr="00A24E40">
              <w:t>The core principle of AASB 15 requires an entity to recognise revenue when the entity satisfies a performance obligation by transferring a promised good or service to a customer. Note that amending standard AASB 2015</w:t>
            </w:r>
            <w:r w:rsidR="005A4BB0">
              <w:noBreakHyphen/>
            </w:r>
            <w:r w:rsidRPr="00A24E40">
              <w:t xml:space="preserve">8 </w:t>
            </w:r>
            <w:r w:rsidRPr="00A24E40">
              <w:rPr>
                <w:i/>
              </w:rPr>
              <w:t>Amendments to Australian Accounting Standards – Effective Date of AASB 15</w:t>
            </w:r>
            <w:r w:rsidRPr="00A24E40">
              <w:t xml:space="preserve"> has deferred the effective date of AASB 15 to annual reporting periods beginning on or after 1 January 2018, instead of 1 January 2017.</w:t>
            </w:r>
          </w:p>
        </w:tc>
        <w:tc>
          <w:tcPr>
            <w:tcW w:w="1502" w:type="dxa"/>
          </w:tcPr>
          <w:p w:rsidR="0028027B" w:rsidRPr="00A24E40" w:rsidRDefault="0028027B" w:rsidP="00C03F9E">
            <w:pPr>
              <w:pStyle w:val="Tabletext"/>
              <w:jc w:val="right"/>
            </w:pPr>
            <w:r w:rsidRPr="00A24E40">
              <w:t>1 January 2018</w:t>
            </w:r>
          </w:p>
        </w:tc>
      </w:tr>
      <w:tr w:rsidR="0028027B" w:rsidRPr="00A24E40" w:rsidTr="00A24E40">
        <w:trPr>
          <w:trHeight w:val="220"/>
        </w:trPr>
        <w:tc>
          <w:tcPr>
            <w:tcW w:w="2864" w:type="dxa"/>
          </w:tcPr>
          <w:p w:rsidR="0028027B" w:rsidRPr="00A24E40" w:rsidRDefault="0028027B" w:rsidP="00C03F9E">
            <w:pPr>
              <w:pStyle w:val="Tabletext"/>
              <w:rPr>
                <w:i/>
              </w:rPr>
            </w:pPr>
            <w:r w:rsidRPr="00A24E40">
              <w:t xml:space="preserve">AASB 16 </w:t>
            </w:r>
            <w:r w:rsidRPr="00A24E40">
              <w:rPr>
                <w:i/>
              </w:rPr>
              <w:t>Leases</w:t>
            </w:r>
          </w:p>
        </w:tc>
        <w:tc>
          <w:tcPr>
            <w:tcW w:w="5779" w:type="dxa"/>
          </w:tcPr>
          <w:p w:rsidR="0028027B" w:rsidRPr="00A24E40" w:rsidRDefault="0028027B" w:rsidP="004E6826">
            <w:pPr>
              <w:pStyle w:val="Tabletext"/>
            </w:pPr>
            <w:r w:rsidRPr="00A24E40">
              <w:t>The key changes introduced by AASB 16 include the recognition of most operating leases (which are currently not recognised) on balance sheet.</w:t>
            </w:r>
          </w:p>
        </w:tc>
        <w:tc>
          <w:tcPr>
            <w:tcW w:w="1502" w:type="dxa"/>
          </w:tcPr>
          <w:p w:rsidR="0028027B" w:rsidRPr="00A24E40" w:rsidRDefault="0028027B" w:rsidP="00C03F9E">
            <w:pPr>
              <w:pStyle w:val="Tabletext"/>
              <w:jc w:val="right"/>
            </w:pPr>
            <w:r w:rsidRPr="00A24E40">
              <w:t>1 January 2019</w:t>
            </w:r>
          </w:p>
        </w:tc>
      </w:tr>
      <w:tr w:rsidR="0028027B" w:rsidRPr="00A24E40" w:rsidTr="00A24E40">
        <w:trPr>
          <w:trHeight w:val="220"/>
        </w:trPr>
        <w:tc>
          <w:tcPr>
            <w:tcW w:w="2864" w:type="dxa"/>
          </w:tcPr>
          <w:p w:rsidR="0028027B" w:rsidRPr="00A24E40" w:rsidRDefault="0028027B" w:rsidP="00C03F9E">
            <w:pPr>
              <w:pStyle w:val="Tabletext"/>
            </w:pPr>
            <w:r w:rsidRPr="00A24E40">
              <w:t>AASB 2010</w:t>
            </w:r>
            <w:r w:rsidR="005A4BB0">
              <w:noBreakHyphen/>
            </w:r>
            <w:r w:rsidRPr="00A24E40">
              <w:t xml:space="preserve">7 </w:t>
            </w:r>
            <w:r w:rsidRPr="00A24E40">
              <w:rPr>
                <w:i/>
              </w:rPr>
              <w:t>Amendments to Australian Accounting Standards arising from AASB 9 (December 2010) [AASB 1, 3, 4, 5, 7, 101, 102, 108, 112, 118, 120, 121, 127, 128, 131, 132, 136, 137, 139, 1023 &amp; 1038 and Interpretations 2, 5, 10, 12, 19 &amp; 127]</w:t>
            </w:r>
          </w:p>
        </w:tc>
        <w:tc>
          <w:tcPr>
            <w:tcW w:w="5779" w:type="dxa"/>
          </w:tcPr>
          <w:p w:rsidR="0028027B" w:rsidRPr="00A24E40" w:rsidRDefault="0028027B" w:rsidP="004E6826">
            <w:pPr>
              <w:pStyle w:val="Tabletext"/>
            </w:pPr>
            <w:r w:rsidRPr="00A24E40">
              <w:t>The requirements for classifying and measuring financial liabilities were added to AASB 9. The existing requirements for the classification of financial liabilities and the ability to use the fair value option have been retained. However, where the fair value option is used for financial liabilities the change in fair value is accounted for as follows:</w:t>
            </w:r>
          </w:p>
          <w:p w:rsidR="0028027B" w:rsidRPr="00A24E40" w:rsidRDefault="0028027B" w:rsidP="004E6826">
            <w:pPr>
              <w:pStyle w:val="TableBullet"/>
              <w:ind w:left="360"/>
              <w:rPr>
                <w:szCs w:val="18"/>
              </w:rPr>
            </w:pPr>
            <w:r w:rsidRPr="00A24E40">
              <w:rPr>
                <w:szCs w:val="18"/>
              </w:rPr>
              <w:t>the change in fair value attributable to changes in credit risk is presented in other comprehensive income (OCI); and</w:t>
            </w:r>
          </w:p>
          <w:p w:rsidR="0028027B" w:rsidRPr="00A24E40" w:rsidRDefault="0028027B" w:rsidP="004E6826">
            <w:pPr>
              <w:pStyle w:val="TableBullet"/>
              <w:ind w:left="360"/>
              <w:rPr>
                <w:szCs w:val="18"/>
              </w:rPr>
            </w:pPr>
            <w:r w:rsidRPr="00A24E40">
              <w:rPr>
                <w:szCs w:val="18"/>
              </w:rPr>
              <w:t>other fair value changes are presented in profit or loss. If this approach creates or enlarges an accounting mismatch in the profit or loss, the effect of the changes in credit risk are also presented in profit or loss.</w:t>
            </w:r>
          </w:p>
        </w:tc>
        <w:tc>
          <w:tcPr>
            <w:tcW w:w="1502" w:type="dxa"/>
          </w:tcPr>
          <w:p w:rsidR="0028027B" w:rsidRPr="00A24E40" w:rsidRDefault="0028027B" w:rsidP="00C03F9E">
            <w:pPr>
              <w:pStyle w:val="Tabletext"/>
              <w:jc w:val="right"/>
            </w:pPr>
            <w:r w:rsidRPr="00A24E40">
              <w:t>1 January 2018</w:t>
            </w:r>
          </w:p>
        </w:tc>
      </w:tr>
      <w:tr w:rsidR="0028027B" w:rsidRPr="00A24E40" w:rsidTr="00A24E40">
        <w:trPr>
          <w:trHeight w:val="220"/>
        </w:trPr>
        <w:tc>
          <w:tcPr>
            <w:tcW w:w="2864" w:type="dxa"/>
          </w:tcPr>
          <w:p w:rsidR="0028027B" w:rsidRPr="00A24E40" w:rsidRDefault="0028027B" w:rsidP="004E6826">
            <w:pPr>
              <w:pStyle w:val="Tabletext"/>
              <w:pageBreakBefore/>
            </w:pPr>
            <w:r w:rsidRPr="00A24E40">
              <w:t>AASB 2014</w:t>
            </w:r>
            <w:r w:rsidR="005A4BB0">
              <w:noBreakHyphen/>
            </w:r>
            <w:r w:rsidRPr="00A24E40">
              <w:t xml:space="preserve">1 </w:t>
            </w:r>
            <w:r w:rsidRPr="00A24E40">
              <w:rPr>
                <w:i/>
              </w:rPr>
              <w:t>Amendments to Australian Accounting Standards [Part E Financial Instruments]</w:t>
            </w:r>
          </w:p>
        </w:tc>
        <w:tc>
          <w:tcPr>
            <w:tcW w:w="5779" w:type="dxa"/>
          </w:tcPr>
          <w:p w:rsidR="0028027B" w:rsidRPr="00A24E40" w:rsidRDefault="0028027B" w:rsidP="004E6826">
            <w:pPr>
              <w:pStyle w:val="Tabletext"/>
            </w:pPr>
            <w:r w:rsidRPr="00A24E40">
              <w:t>Amends various AASs to reflect the AASB</w:t>
            </w:r>
            <w:r w:rsidR="005A4BB0">
              <w:t>’</w:t>
            </w:r>
            <w:r w:rsidRPr="00A24E40">
              <w:t>s decision to defer the mandatory application date of AASB 9 to annual reporting periods beginning on or after 1 January 2018; as a consequence of Chapter 6; and to amend reduced disclosure requirements.</w:t>
            </w:r>
          </w:p>
        </w:tc>
        <w:tc>
          <w:tcPr>
            <w:tcW w:w="1502" w:type="dxa"/>
          </w:tcPr>
          <w:p w:rsidR="0028027B" w:rsidRPr="00A24E40" w:rsidRDefault="0028027B" w:rsidP="00C03F9E">
            <w:pPr>
              <w:pStyle w:val="Tabletext"/>
              <w:jc w:val="right"/>
            </w:pPr>
            <w:r w:rsidRPr="00A24E40">
              <w:t>1 January 2018</w:t>
            </w:r>
          </w:p>
        </w:tc>
      </w:tr>
      <w:tr w:rsidR="0028027B" w:rsidRPr="00A24E40" w:rsidTr="00A24E40">
        <w:trPr>
          <w:trHeight w:val="220"/>
        </w:trPr>
        <w:tc>
          <w:tcPr>
            <w:tcW w:w="2864" w:type="dxa"/>
          </w:tcPr>
          <w:p w:rsidR="0028027B" w:rsidRPr="00A24E40" w:rsidRDefault="0028027B" w:rsidP="00C03F9E">
            <w:pPr>
              <w:pStyle w:val="Tabletext"/>
              <w:rPr>
                <w:rFonts w:eastAsia="Tahoma"/>
                <w:i/>
              </w:rPr>
            </w:pPr>
            <w:r w:rsidRPr="00A24E40">
              <w:t>AASB 2014</w:t>
            </w:r>
            <w:r w:rsidR="005A4BB0">
              <w:noBreakHyphen/>
            </w:r>
            <w:r w:rsidRPr="00A24E40">
              <w:t xml:space="preserve">4 </w:t>
            </w:r>
            <w:r w:rsidRPr="00A24E40">
              <w:rPr>
                <w:i/>
              </w:rPr>
              <w:t>Amendments to Australian Accounting Standards – Clarification of Acceptable Methods of Depreciation and Amortisation</w:t>
            </w:r>
          </w:p>
          <w:p w:rsidR="0028027B" w:rsidRPr="00A24E40" w:rsidRDefault="0028027B" w:rsidP="00C03F9E">
            <w:pPr>
              <w:pStyle w:val="Tabletext"/>
            </w:pPr>
            <w:r w:rsidRPr="00A24E40">
              <w:rPr>
                <w:i/>
              </w:rPr>
              <w:t>[AASB 116 &amp; AASB 138]</w:t>
            </w:r>
          </w:p>
        </w:tc>
        <w:tc>
          <w:tcPr>
            <w:tcW w:w="5779" w:type="dxa"/>
          </w:tcPr>
          <w:p w:rsidR="0028027B" w:rsidRPr="00A24E40" w:rsidRDefault="0028027B" w:rsidP="00C03F9E">
            <w:pPr>
              <w:pStyle w:val="Tabletext"/>
            </w:pPr>
            <w:r w:rsidRPr="00A24E40">
              <w:t>AASB 2014</w:t>
            </w:r>
            <w:r w:rsidR="005A4BB0">
              <w:noBreakHyphen/>
            </w:r>
            <w:r w:rsidRPr="00A24E40">
              <w:t>4 amends AASB 116 and AASB 138 to:</w:t>
            </w:r>
          </w:p>
          <w:p w:rsidR="0028027B" w:rsidRPr="00A24E40" w:rsidRDefault="0028027B" w:rsidP="004E6826">
            <w:pPr>
              <w:pStyle w:val="TableBullet"/>
              <w:ind w:left="360"/>
              <w:rPr>
                <w:szCs w:val="18"/>
              </w:rPr>
            </w:pPr>
            <w:r w:rsidRPr="00A24E40">
              <w:rPr>
                <w:szCs w:val="18"/>
              </w:rPr>
              <w:t>establish the principle for the basis of depreciation and amortisation as being the expected pattern of consumption of the future economic benefits of an asset;</w:t>
            </w:r>
          </w:p>
          <w:p w:rsidR="0028027B" w:rsidRPr="00A24E40" w:rsidRDefault="0028027B" w:rsidP="004E6826">
            <w:pPr>
              <w:pStyle w:val="TableBullet"/>
              <w:ind w:left="360"/>
              <w:rPr>
                <w:szCs w:val="18"/>
              </w:rPr>
            </w:pPr>
            <w:r w:rsidRPr="00A24E40">
              <w:rPr>
                <w:szCs w:val="18"/>
              </w:rPr>
              <w:t>clarify that the use of revenue</w:t>
            </w:r>
            <w:r w:rsidR="005A4BB0">
              <w:rPr>
                <w:szCs w:val="18"/>
              </w:rPr>
              <w:noBreakHyphen/>
            </w:r>
            <w:r w:rsidRPr="00A24E40">
              <w:rPr>
                <w:szCs w:val="18"/>
              </w:rPr>
              <w:t>based methods to calculate the depreciation of an asset is not appropriate because revenue generated by an activity that includes the use of an asset generally reflects factors other than the consumption of the economic benefits embodied in the asset; and</w:t>
            </w:r>
          </w:p>
          <w:p w:rsidR="0028027B" w:rsidRPr="00A24E40" w:rsidRDefault="0028027B" w:rsidP="004E6826">
            <w:pPr>
              <w:pStyle w:val="TableBullet"/>
              <w:ind w:left="360"/>
              <w:rPr>
                <w:szCs w:val="18"/>
              </w:rPr>
            </w:pPr>
            <w:r w:rsidRPr="00A24E40">
              <w:rPr>
                <w:szCs w:val="18"/>
              </w:rPr>
              <w:t>clarify that revenue is generally presumed to be an inappropriate basis for measuring the consumption of the economic benefits embodied in an intangible asset. This presumption, however, can be rebutted in certain limited circumstances.</w:t>
            </w:r>
          </w:p>
        </w:tc>
        <w:tc>
          <w:tcPr>
            <w:tcW w:w="1502" w:type="dxa"/>
          </w:tcPr>
          <w:p w:rsidR="0028027B" w:rsidRPr="00A24E40" w:rsidRDefault="0028027B" w:rsidP="00C03F9E">
            <w:pPr>
              <w:pStyle w:val="Tabletext"/>
              <w:jc w:val="right"/>
            </w:pPr>
            <w:r w:rsidRPr="00A24E40">
              <w:t>1 January 2016</w:t>
            </w:r>
          </w:p>
        </w:tc>
      </w:tr>
      <w:tr w:rsidR="0028027B" w:rsidRPr="00A24E40" w:rsidTr="00A24E40">
        <w:trPr>
          <w:trHeight w:val="220"/>
        </w:trPr>
        <w:tc>
          <w:tcPr>
            <w:tcW w:w="2864" w:type="dxa"/>
          </w:tcPr>
          <w:p w:rsidR="0028027B" w:rsidRPr="00A24E40" w:rsidRDefault="0028027B" w:rsidP="00C03F9E">
            <w:pPr>
              <w:pStyle w:val="Tabletext"/>
            </w:pPr>
            <w:r w:rsidRPr="00A24E40">
              <w:t>AASB 2014</w:t>
            </w:r>
            <w:r w:rsidR="005A4BB0">
              <w:noBreakHyphen/>
            </w:r>
            <w:r w:rsidRPr="00A24E40">
              <w:t xml:space="preserve">5 </w:t>
            </w:r>
            <w:r w:rsidRPr="00A24E40">
              <w:rPr>
                <w:i/>
              </w:rPr>
              <w:t>Amendments to Australian Accounting Standards arising from AASB 15</w:t>
            </w:r>
          </w:p>
        </w:tc>
        <w:tc>
          <w:tcPr>
            <w:tcW w:w="5779" w:type="dxa"/>
          </w:tcPr>
          <w:p w:rsidR="0028027B" w:rsidRPr="00A24E40" w:rsidRDefault="0028027B" w:rsidP="004E6826">
            <w:pPr>
              <w:pStyle w:val="Tabletext"/>
            </w:pPr>
            <w:r w:rsidRPr="00A24E40">
              <w:t>Amends the measurement of trade receivables and the recognition of dividends.</w:t>
            </w:r>
          </w:p>
        </w:tc>
        <w:tc>
          <w:tcPr>
            <w:tcW w:w="1502" w:type="dxa"/>
          </w:tcPr>
          <w:p w:rsidR="0028027B" w:rsidRPr="00A24E40" w:rsidRDefault="0028027B" w:rsidP="00C03F9E">
            <w:pPr>
              <w:pStyle w:val="Tabletext"/>
              <w:jc w:val="right"/>
            </w:pPr>
            <w:r w:rsidRPr="00A24E40">
              <w:t>1 January 2017, except amendments to AASB 9 (December 2009) and AASB 9 (December 2010) apply 1 January 2018.</w:t>
            </w:r>
          </w:p>
        </w:tc>
      </w:tr>
      <w:tr w:rsidR="0028027B" w:rsidRPr="00A24E40" w:rsidTr="00A24E40">
        <w:trPr>
          <w:trHeight w:val="220"/>
        </w:trPr>
        <w:tc>
          <w:tcPr>
            <w:tcW w:w="2864" w:type="dxa"/>
          </w:tcPr>
          <w:p w:rsidR="0028027B" w:rsidRPr="00A24E40" w:rsidRDefault="0028027B" w:rsidP="00C03F9E">
            <w:pPr>
              <w:pStyle w:val="Tabletext"/>
            </w:pPr>
            <w:r w:rsidRPr="00A24E40">
              <w:t>AASB 2014</w:t>
            </w:r>
            <w:r w:rsidR="005A4BB0">
              <w:noBreakHyphen/>
            </w:r>
            <w:r w:rsidRPr="00A24E40">
              <w:t xml:space="preserve">7 </w:t>
            </w:r>
            <w:r w:rsidRPr="00A24E40">
              <w:rPr>
                <w:i/>
              </w:rPr>
              <w:t>Amendments to Australian Accounting Standards arising from AASB 9</w:t>
            </w:r>
          </w:p>
        </w:tc>
        <w:tc>
          <w:tcPr>
            <w:tcW w:w="5779" w:type="dxa"/>
          </w:tcPr>
          <w:p w:rsidR="0028027B" w:rsidRPr="00A24E40" w:rsidRDefault="0028027B" w:rsidP="004E6826">
            <w:pPr>
              <w:pStyle w:val="Tabletext"/>
            </w:pPr>
            <w:r w:rsidRPr="00A24E40">
              <w:t>Amends various AASs to incorporate the consequential amendments arising from the issuance of AASB 9.</w:t>
            </w:r>
          </w:p>
        </w:tc>
        <w:tc>
          <w:tcPr>
            <w:tcW w:w="1502" w:type="dxa"/>
          </w:tcPr>
          <w:p w:rsidR="0028027B" w:rsidRPr="00A24E40" w:rsidRDefault="0028027B" w:rsidP="00C03F9E">
            <w:pPr>
              <w:pStyle w:val="Tabletext"/>
              <w:jc w:val="right"/>
            </w:pPr>
            <w:r w:rsidRPr="00A24E40">
              <w:t>1 January 2018</w:t>
            </w:r>
          </w:p>
        </w:tc>
      </w:tr>
      <w:tr w:rsidR="0028027B" w:rsidRPr="00A24E40" w:rsidTr="00A24E40">
        <w:trPr>
          <w:trHeight w:val="220"/>
        </w:trPr>
        <w:tc>
          <w:tcPr>
            <w:tcW w:w="2864" w:type="dxa"/>
          </w:tcPr>
          <w:p w:rsidR="0028027B" w:rsidRPr="00A24E40" w:rsidRDefault="0028027B" w:rsidP="00C03F9E">
            <w:pPr>
              <w:pStyle w:val="Tabletext"/>
            </w:pPr>
            <w:r w:rsidRPr="00A24E40">
              <w:t>AASB 2014</w:t>
            </w:r>
            <w:r w:rsidR="005A4BB0">
              <w:noBreakHyphen/>
            </w:r>
            <w:r w:rsidRPr="00A24E40">
              <w:t xml:space="preserve">9 </w:t>
            </w:r>
            <w:r w:rsidRPr="00A24E40">
              <w:rPr>
                <w:i/>
              </w:rPr>
              <w:t>Amendments to Australian Accounting Standards – Equity Method in Separate Financial Statements [AASB 1, 127 &amp; 128]</w:t>
            </w:r>
          </w:p>
        </w:tc>
        <w:tc>
          <w:tcPr>
            <w:tcW w:w="5779" w:type="dxa"/>
          </w:tcPr>
          <w:p w:rsidR="0028027B" w:rsidRPr="00A24E40" w:rsidRDefault="0028027B" w:rsidP="004E6826">
            <w:pPr>
              <w:pStyle w:val="Tabletext"/>
              <w:rPr>
                <w:rFonts w:eastAsia="Tahoma"/>
              </w:rPr>
            </w:pPr>
            <w:r w:rsidRPr="00A24E40">
              <w:t>Amends AASB 127 to allow entities to use the equity method of accounting for investments in subsidiaries, joint ventures and associates in their separate financial statements.</w:t>
            </w:r>
          </w:p>
          <w:p w:rsidR="0028027B" w:rsidRPr="00A24E40" w:rsidRDefault="0028027B" w:rsidP="004E6826">
            <w:pPr>
              <w:pStyle w:val="Tabletext"/>
            </w:pPr>
            <w:r w:rsidRPr="00A24E40">
              <w:t>In particular, dividends from a subsidiary, a joint venture or an associate are recognised in profit or loss in the separate financial statements of an entity when the entity</w:t>
            </w:r>
            <w:r w:rsidR="005A4BB0">
              <w:t>’</w:t>
            </w:r>
            <w:r w:rsidRPr="00A24E40">
              <w:t>s right to receive the dividend is established. The dividend is recognised in profit or loss unless the entity elects to use the equity method, in which case the dividend is recognised as a reduction from the carrying amount of the investment.</w:t>
            </w:r>
          </w:p>
        </w:tc>
        <w:tc>
          <w:tcPr>
            <w:tcW w:w="1502" w:type="dxa"/>
          </w:tcPr>
          <w:p w:rsidR="0028027B" w:rsidRPr="00A24E40" w:rsidRDefault="0028027B" w:rsidP="00C03F9E">
            <w:pPr>
              <w:pStyle w:val="Tabletext"/>
              <w:jc w:val="right"/>
            </w:pPr>
            <w:r w:rsidRPr="00A24E40">
              <w:t>1 January 2016</w:t>
            </w:r>
          </w:p>
        </w:tc>
      </w:tr>
      <w:tr w:rsidR="0028027B" w:rsidRPr="00A24E40" w:rsidTr="00A24E40">
        <w:trPr>
          <w:trHeight w:val="220"/>
        </w:trPr>
        <w:tc>
          <w:tcPr>
            <w:tcW w:w="2864" w:type="dxa"/>
          </w:tcPr>
          <w:p w:rsidR="0028027B" w:rsidRPr="00A24E40" w:rsidRDefault="0028027B" w:rsidP="00C03F9E">
            <w:pPr>
              <w:pStyle w:val="Tabletext"/>
            </w:pPr>
            <w:r w:rsidRPr="00A24E40">
              <w:t>AASB 2014</w:t>
            </w:r>
            <w:r w:rsidR="005A4BB0">
              <w:noBreakHyphen/>
            </w:r>
            <w:r w:rsidRPr="00A24E40">
              <w:t xml:space="preserve">10 </w:t>
            </w:r>
            <w:r w:rsidRPr="00A24E40">
              <w:rPr>
                <w:i/>
              </w:rPr>
              <w:t>Amendments to Australian Accounting Standards – Sale or Contribution of Assets between an Investor and its Associate or Joint Venture [AASB 10 &amp; AASB 128]</w:t>
            </w:r>
          </w:p>
        </w:tc>
        <w:tc>
          <w:tcPr>
            <w:tcW w:w="5779" w:type="dxa"/>
          </w:tcPr>
          <w:p w:rsidR="0028027B" w:rsidRPr="00A24E40" w:rsidRDefault="0028027B" w:rsidP="004E6826">
            <w:pPr>
              <w:pStyle w:val="Tabletext"/>
            </w:pPr>
            <w:r w:rsidRPr="00A24E40">
              <w:t>Amends AASB 10 and AASB 128 to ensure consistent treatment in dealing with the sale or contribution of assets between an investor and its associate or joint venture. The amendments require that:</w:t>
            </w:r>
          </w:p>
          <w:p w:rsidR="0028027B" w:rsidRPr="00A24E40" w:rsidRDefault="0028027B" w:rsidP="004E6826">
            <w:pPr>
              <w:pStyle w:val="TableBullet"/>
              <w:ind w:left="360"/>
              <w:rPr>
                <w:szCs w:val="18"/>
              </w:rPr>
            </w:pPr>
            <w:r w:rsidRPr="00A24E40">
              <w:rPr>
                <w:szCs w:val="18"/>
              </w:rPr>
              <w:t>a full gain or loss to be recognised when a transaction involves a business (whether it is housed in a subsidiary or not); and</w:t>
            </w:r>
          </w:p>
          <w:p w:rsidR="0028027B" w:rsidRPr="00A24E40" w:rsidRDefault="0028027B" w:rsidP="004E6826">
            <w:pPr>
              <w:pStyle w:val="TableBullet"/>
              <w:ind w:left="360"/>
              <w:rPr>
                <w:szCs w:val="18"/>
              </w:rPr>
            </w:pPr>
            <w:r w:rsidRPr="00A24E40">
              <w:rPr>
                <w:szCs w:val="18"/>
              </w:rPr>
              <w:t>a partial gain or loss to be recognised when a transaction involves assets that do not constitute a business, even if these assets are housed in a subsidiary.</w:t>
            </w:r>
          </w:p>
        </w:tc>
        <w:tc>
          <w:tcPr>
            <w:tcW w:w="1502" w:type="dxa"/>
          </w:tcPr>
          <w:p w:rsidR="0028027B" w:rsidRPr="00A24E40" w:rsidRDefault="0028027B" w:rsidP="00C03F9E">
            <w:pPr>
              <w:pStyle w:val="Tabletext"/>
              <w:jc w:val="right"/>
            </w:pPr>
            <w:r w:rsidRPr="00A24E40">
              <w:t>1 January 2016</w:t>
            </w:r>
          </w:p>
        </w:tc>
      </w:tr>
      <w:tr w:rsidR="0028027B" w:rsidRPr="00A24E40" w:rsidTr="00A24E40">
        <w:trPr>
          <w:trHeight w:val="220"/>
        </w:trPr>
        <w:tc>
          <w:tcPr>
            <w:tcW w:w="2864" w:type="dxa"/>
          </w:tcPr>
          <w:p w:rsidR="0028027B" w:rsidRPr="00A24E40" w:rsidRDefault="0028027B" w:rsidP="00487A9D">
            <w:pPr>
              <w:pStyle w:val="Tabletext"/>
              <w:rPr>
                <w:rFonts w:eastAsia="Tahoma"/>
                <w:i/>
              </w:rPr>
            </w:pPr>
            <w:r w:rsidRPr="00A24E40">
              <w:t>AASB 2015</w:t>
            </w:r>
            <w:r w:rsidR="005A4BB0">
              <w:noBreakHyphen/>
            </w:r>
            <w:r w:rsidRPr="00A24E40">
              <w:t xml:space="preserve">1 </w:t>
            </w:r>
            <w:r w:rsidRPr="00A24E40">
              <w:rPr>
                <w:i/>
              </w:rPr>
              <w:t xml:space="preserve">Amendments to Australian Accounting Standards – Annual Improvements to Australian Accounting Standards 2012–2014 Cycle </w:t>
            </w:r>
          </w:p>
          <w:p w:rsidR="0028027B" w:rsidRPr="00A24E40" w:rsidRDefault="0028027B" w:rsidP="00A24E40">
            <w:pPr>
              <w:pStyle w:val="TableText0"/>
              <w:rPr>
                <w:i/>
              </w:rPr>
            </w:pPr>
            <w:r w:rsidRPr="00A24E40">
              <w:rPr>
                <w:i/>
                <w:noProof/>
              </w:rPr>
              <w:t>[AASB 1, AASB 2, AASB 3, AASB 5, AASB 7, AASB 11, AASB 110, AASB 119, AASB 121, AASB 133, AASB 134, AASB 137 &amp; AASB 140]</w:t>
            </w:r>
          </w:p>
        </w:tc>
        <w:tc>
          <w:tcPr>
            <w:tcW w:w="5779" w:type="dxa"/>
          </w:tcPr>
          <w:p w:rsidR="0028027B" w:rsidRPr="00A24E40" w:rsidRDefault="0028027B" w:rsidP="004E6826">
            <w:pPr>
              <w:pStyle w:val="Tabletext"/>
            </w:pPr>
            <w:r w:rsidRPr="00A24E40">
              <w:t>Amends</w:t>
            </w:r>
            <w:r w:rsidR="005A4BB0">
              <w:t xml:space="preserve"> </w:t>
            </w:r>
            <w:r w:rsidRPr="00A24E40">
              <w:t>the methods of disposal in AASB 5 Non</w:t>
            </w:r>
            <w:r w:rsidR="005A4BB0">
              <w:noBreakHyphen/>
            </w:r>
            <w:r w:rsidRPr="00A24E40">
              <w:t>current assets held for sale and discontinued operations.</w:t>
            </w:r>
          </w:p>
          <w:p w:rsidR="0028027B" w:rsidRPr="00A24E40" w:rsidRDefault="0028027B" w:rsidP="00C03F9E">
            <w:pPr>
              <w:pStyle w:val="Tabletext"/>
            </w:pPr>
            <w:r w:rsidRPr="00A24E40">
              <w:t>Amends AASB 7 Financial Instruments by including further guidance on servicing contracts.</w:t>
            </w:r>
          </w:p>
        </w:tc>
        <w:tc>
          <w:tcPr>
            <w:tcW w:w="1502" w:type="dxa"/>
          </w:tcPr>
          <w:p w:rsidR="0028027B" w:rsidRPr="00A24E40" w:rsidRDefault="0028027B" w:rsidP="00C03F9E">
            <w:pPr>
              <w:pStyle w:val="Tabletext"/>
              <w:jc w:val="right"/>
            </w:pPr>
            <w:r w:rsidRPr="00A24E40">
              <w:t>1 January 2016</w:t>
            </w:r>
          </w:p>
        </w:tc>
      </w:tr>
      <w:tr w:rsidR="0028027B" w:rsidRPr="00A24E40" w:rsidTr="00A24E40">
        <w:trPr>
          <w:trHeight w:val="220"/>
        </w:trPr>
        <w:tc>
          <w:tcPr>
            <w:tcW w:w="2864" w:type="dxa"/>
          </w:tcPr>
          <w:p w:rsidR="0028027B" w:rsidRPr="00A24E40" w:rsidRDefault="0028027B" w:rsidP="00C03F9E">
            <w:pPr>
              <w:pStyle w:val="Tabletext"/>
            </w:pPr>
            <w:r w:rsidRPr="00A24E40">
              <w:t>AASB 2015</w:t>
            </w:r>
            <w:r w:rsidR="005A4BB0">
              <w:noBreakHyphen/>
            </w:r>
            <w:r w:rsidRPr="00A24E40">
              <w:t xml:space="preserve">6 </w:t>
            </w:r>
            <w:r w:rsidRPr="00A24E40">
              <w:rPr>
                <w:i/>
              </w:rPr>
              <w:t>Amendments to Australian Accounting Standards – Extending Related Party Disclosures to Not</w:t>
            </w:r>
            <w:r w:rsidR="005A4BB0">
              <w:rPr>
                <w:i/>
              </w:rPr>
              <w:noBreakHyphen/>
            </w:r>
            <w:r w:rsidRPr="00A24E40">
              <w:rPr>
                <w:i/>
              </w:rPr>
              <w:t>for</w:t>
            </w:r>
            <w:r w:rsidR="005A4BB0">
              <w:rPr>
                <w:i/>
              </w:rPr>
              <w:noBreakHyphen/>
            </w:r>
            <w:r w:rsidRPr="00A24E40">
              <w:rPr>
                <w:i/>
              </w:rPr>
              <w:t>Profit Public Sector Entities</w:t>
            </w:r>
            <w:r w:rsidRPr="00A24E40">
              <w:rPr>
                <w:i/>
              </w:rPr>
              <w:br/>
              <w:t>[AASB 10, AASB 124 &amp; AASB 1049]</w:t>
            </w:r>
          </w:p>
        </w:tc>
        <w:tc>
          <w:tcPr>
            <w:tcW w:w="5779" w:type="dxa"/>
          </w:tcPr>
          <w:p w:rsidR="0028027B" w:rsidRPr="00A24E40" w:rsidRDefault="0028027B" w:rsidP="004E6826">
            <w:pPr>
              <w:pStyle w:val="TableText0"/>
              <w:rPr>
                <w:noProof/>
              </w:rPr>
            </w:pPr>
            <w:r w:rsidRPr="00A24E40">
              <w:rPr>
                <w:noProof/>
              </w:rPr>
              <w:t>AASB 2015</w:t>
            </w:r>
            <w:r w:rsidR="005A4BB0">
              <w:rPr>
                <w:noProof/>
              </w:rPr>
              <w:noBreakHyphen/>
            </w:r>
            <w:r w:rsidRPr="00A24E40">
              <w:rPr>
                <w:noProof/>
              </w:rPr>
              <w:t xml:space="preserve">6 extends the scope of AASB 124 </w:t>
            </w:r>
            <w:r w:rsidRPr="00A24E40">
              <w:rPr>
                <w:i/>
                <w:noProof/>
              </w:rPr>
              <w:t>Related Party Disclosures</w:t>
            </w:r>
            <w:r w:rsidRPr="00A24E40">
              <w:rPr>
                <w:noProof/>
              </w:rPr>
              <w:t xml:space="preserve"> to not</w:t>
            </w:r>
            <w:r w:rsidR="005A4BB0">
              <w:rPr>
                <w:noProof/>
              </w:rPr>
              <w:noBreakHyphen/>
            </w:r>
            <w:r w:rsidRPr="00A24E40">
              <w:rPr>
                <w:noProof/>
              </w:rPr>
              <w:t>for</w:t>
            </w:r>
            <w:r w:rsidR="005A4BB0">
              <w:rPr>
                <w:noProof/>
              </w:rPr>
              <w:noBreakHyphen/>
            </w:r>
            <w:r w:rsidRPr="00A24E40">
              <w:rPr>
                <w:noProof/>
              </w:rPr>
              <w:t>profit public sector entities. Guidance has been included to assist the application of the Standard by not</w:t>
            </w:r>
            <w:r w:rsidR="005A4BB0">
              <w:rPr>
                <w:noProof/>
              </w:rPr>
              <w:noBreakHyphen/>
            </w:r>
            <w:r w:rsidRPr="00A24E40">
              <w:rPr>
                <w:noProof/>
              </w:rPr>
              <w:t>for</w:t>
            </w:r>
            <w:r w:rsidR="005A4BB0">
              <w:rPr>
                <w:noProof/>
              </w:rPr>
              <w:noBreakHyphen/>
            </w:r>
            <w:r w:rsidRPr="00A24E40">
              <w:rPr>
                <w:noProof/>
              </w:rPr>
              <w:t xml:space="preserve">profit public sector entities. </w:t>
            </w:r>
          </w:p>
        </w:tc>
        <w:tc>
          <w:tcPr>
            <w:tcW w:w="1502" w:type="dxa"/>
          </w:tcPr>
          <w:p w:rsidR="0028027B" w:rsidRPr="00A24E40" w:rsidRDefault="0028027B" w:rsidP="00C03F9E">
            <w:pPr>
              <w:pStyle w:val="Tabletext"/>
              <w:jc w:val="right"/>
            </w:pPr>
            <w:r w:rsidRPr="00A24E40">
              <w:t>1 January 2016</w:t>
            </w:r>
          </w:p>
        </w:tc>
      </w:tr>
    </w:tbl>
    <w:p w:rsidR="0028027B" w:rsidRPr="00DC1EE4" w:rsidRDefault="0028027B" w:rsidP="0028027B">
      <w:pPr>
        <w:pStyle w:val="Notes"/>
      </w:pPr>
    </w:p>
    <w:p w:rsidR="0028027B" w:rsidRPr="00DC1EE4" w:rsidRDefault="0028027B" w:rsidP="0028027B">
      <w:r w:rsidRPr="00DC1EE4">
        <w:t>The following accounting pronouncements are also issued but not effective for the 2015</w:t>
      </w:r>
      <w:r w:rsidR="005A4BB0">
        <w:noBreakHyphen/>
      </w:r>
      <w:r w:rsidRPr="00DC1EE4">
        <w:t>16 reporting period. At this stage, the preliminary assessment suggests they may have insignificant impacts on public sector reporting.</w:t>
      </w:r>
    </w:p>
    <w:p w:rsidR="0028027B" w:rsidRPr="00DC1EE4" w:rsidRDefault="0028027B" w:rsidP="0028027B">
      <w:pPr>
        <w:pStyle w:val="Bullet"/>
      </w:pPr>
      <w:r w:rsidRPr="00DC1EE4">
        <w:t xml:space="preserve">AASB 14 </w:t>
      </w:r>
      <w:r w:rsidRPr="00DC1EE4">
        <w:rPr>
          <w:i/>
        </w:rPr>
        <w:t>Regulatory Deferral Accounts</w:t>
      </w:r>
    </w:p>
    <w:p w:rsidR="0028027B" w:rsidRPr="00DC1EE4" w:rsidRDefault="0028027B" w:rsidP="0028027B">
      <w:pPr>
        <w:pStyle w:val="Bullet"/>
      </w:pPr>
      <w:r w:rsidRPr="00DC1EE4">
        <w:t xml:space="preserve">AASB 1056 </w:t>
      </w:r>
      <w:r w:rsidRPr="00DC1EE4">
        <w:rPr>
          <w:i/>
        </w:rPr>
        <w:t>Superannuation Entities</w:t>
      </w:r>
    </w:p>
    <w:p w:rsidR="0028027B" w:rsidRPr="00DC1EE4" w:rsidRDefault="0028027B" w:rsidP="0028027B">
      <w:pPr>
        <w:pStyle w:val="Bullet"/>
      </w:pPr>
      <w:r w:rsidRPr="00DC1EE4">
        <w:t xml:space="preserve">AASB 1057 </w:t>
      </w:r>
      <w:r w:rsidRPr="00DC1EE4">
        <w:rPr>
          <w:i/>
        </w:rPr>
        <w:t>Application of Australian Accounting Standards</w:t>
      </w:r>
    </w:p>
    <w:p w:rsidR="0028027B" w:rsidRPr="00DC1EE4" w:rsidRDefault="0028027B" w:rsidP="0028027B">
      <w:pPr>
        <w:pStyle w:val="Bullet"/>
      </w:pPr>
      <w:r w:rsidRPr="00DC1EE4">
        <w:t>AASB 2014</w:t>
      </w:r>
      <w:r w:rsidR="005A4BB0">
        <w:noBreakHyphen/>
      </w:r>
      <w:r w:rsidRPr="00DC1EE4">
        <w:t xml:space="preserve">1 </w:t>
      </w:r>
      <w:r w:rsidRPr="00DC1EE4">
        <w:rPr>
          <w:i/>
        </w:rPr>
        <w:t>Amendments to Australian Accounting Standards [Part D – Consequential Amendments arising from AASB 14 Regulatory Deferral Accounts only]</w:t>
      </w:r>
    </w:p>
    <w:p w:rsidR="0028027B" w:rsidRPr="00DC1EE4" w:rsidRDefault="0028027B" w:rsidP="0028027B">
      <w:pPr>
        <w:pStyle w:val="Bullet"/>
      </w:pPr>
      <w:r w:rsidRPr="00DC1EE4">
        <w:t>AASB 2014</w:t>
      </w:r>
      <w:r w:rsidR="005A4BB0">
        <w:noBreakHyphen/>
      </w:r>
      <w:r w:rsidRPr="00DC1EE4">
        <w:t xml:space="preserve">3 </w:t>
      </w:r>
      <w:r w:rsidRPr="00DC1EE4">
        <w:rPr>
          <w:i/>
        </w:rPr>
        <w:t>Amendments to Australian Accounting Standards – Accounting for Acquisitions of Interests in Joint Operations [AASB 1 &amp; AASB 11]</w:t>
      </w:r>
    </w:p>
    <w:p w:rsidR="0028027B" w:rsidRPr="00DC1EE4" w:rsidRDefault="0028027B" w:rsidP="0028027B">
      <w:pPr>
        <w:pStyle w:val="Bullet"/>
      </w:pPr>
      <w:r w:rsidRPr="00DC1EE4">
        <w:t>AASB 2014</w:t>
      </w:r>
      <w:r w:rsidR="005A4BB0">
        <w:noBreakHyphen/>
      </w:r>
      <w:r w:rsidRPr="00DC1EE4">
        <w:t xml:space="preserve">6 </w:t>
      </w:r>
      <w:r w:rsidRPr="00DC1EE4">
        <w:rPr>
          <w:i/>
        </w:rPr>
        <w:t>Amendments to Australian Accounting Standards – Agriculture: Bearer Plants [AASB 101, AASB 116, AASB 117, AASB 123, AASB 136, AASB 140 &amp; AASB 141]</w:t>
      </w:r>
    </w:p>
    <w:p w:rsidR="0028027B" w:rsidRPr="00DC1EE4" w:rsidRDefault="0028027B" w:rsidP="0028027B">
      <w:pPr>
        <w:pStyle w:val="Bullet"/>
      </w:pPr>
      <w:r w:rsidRPr="00DC1EE4">
        <w:t>AASB 2015</w:t>
      </w:r>
      <w:r w:rsidR="005A4BB0">
        <w:noBreakHyphen/>
      </w:r>
      <w:r w:rsidRPr="00DC1EE4">
        <w:t xml:space="preserve">5 </w:t>
      </w:r>
      <w:r w:rsidRPr="00DC1EE4">
        <w:rPr>
          <w:i/>
        </w:rPr>
        <w:t>Amendments to Australian Accounting Standards – Investment Entities: Applying the Consolidation Exception [AASB 10, AASB 12, AASB 128]</w:t>
      </w:r>
      <w:r w:rsidRPr="00DC1EE4">
        <w:t xml:space="preserve"> </w:t>
      </w:r>
    </w:p>
    <w:p w:rsidR="0028027B" w:rsidRPr="00DC1EE4" w:rsidRDefault="0028027B" w:rsidP="0028027B">
      <w:pPr>
        <w:pStyle w:val="Bullet"/>
      </w:pPr>
      <w:r w:rsidRPr="00DC1EE4">
        <w:t>AASB 2015</w:t>
      </w:r>
      <w:r w:rsidR="005A4BB0">
        <w:noBreakHyphen/>
      </w:r>
      <w:r w:rsidRPr="00DC1EE4">
        <w:t xml:space="preserve">9 </w:t>
      </w:r>
      <w:r w:rsidRPr="00DC1EE4">
        <w:rPr>
          <w:i/>
        </w:rPr>
        <w:t>Amendments to Australian Accounting Standards – Scope and Application Paragraphs [AASB 8, AASB 133 &amp; AASB 1057]</w:t>
      </w:r>
    </w:p>
    <w:p w:rsidR="0028027B" w:rsidRPr="00DC1EE4" w:rsidRDefault="0028027B" w:rsidP="0028027B">
      <w:pPr>
        <w:pStyle w:val="Bullet"/>
        <w:rPr>
          <w:i/>
        </w:rPr>
      </w:pPr>
      <w:r w:rsidRPr="00DC1EE4">
        <w:t>AASB 2015</w:t>
      </w:r>
      <w:r w:rsidR="005A4BB0">
        <w:noBreakHyphen/>
      </w:r>
      <w:r w:rsidRPr="00DC1EE4">
        <w:t xml:space="preserve">10 </w:t>
      </w:r>
      <w:r w:rsidRPr="00DC1EE4">
        <w:rPr>
          <w:i/>
        </w:rPr>
        <w:t>Amendments to Australian Accounting Standards – Effective Date of Amendments to AASB 10 and AASB 128</w:t>
      </w:r>
    </w:p>
    <w:p w:rsidR="0028027B" w:rsidRPr="00DC1EE4" w:rsidRDefault="0028027B" w:rsidP="0028027B"/>
    <w:p w:rsidR="0028027B" w:rsidRPr="00DC1EE4" w:rsidRDefault="0028027B" w:rsidP="0028027B"/>
    <w:p w:rsidR="0028027B" w:rsidRPr="00DC1EE4" w:rsidRDefault="0028027B" w:rsidP="0028027B"/>
    <w:p w:rsidR="0028027B" w:rsidRPr="00DC1EE4" w:rsidRDefault="0028027B" w:rsidP="0028027B">
      <w:pPr>
        <w:sectPr w:rsidR="0028027B" w:rsidRPr="00DC1EE4" w:rsidSect="005A4031">
          <w:headerReference w:type="even" r:id="rId370"/>
          <w:headerReference w:type="default" r:id="rId371"/>
          <w:pgSz w:w="11906" w:h="16838" w:code="9"/>
          <w:pgMar w:top="1152" w:right="864" w:bottom="1152" w:left="864" w:header="432" w:footer="432" w:gutter="0"/>
          <w:cols w:space="720"/>
        </w:sectPr>
      </w:pPr>
    </w:p>
    <w:p w:rsidR="0028027B" w:rsidRPr="00DC1EE4" w:rsidRDefault="0028027B" w:rsidP="0028027B">
      <w:pPr>
        <w:pStyle w:val="Reference"/>
        <w:spacing w:before="280"/>
      </w:pPr>
      <w:r w:rsidRPr="00DC1EE4">
        <w:t>Recommendation 47, PAEC Report 118</w:t>
      </w:r>
    </w:p>
    <w:p w:rsidR="0028027B" w:rsidRPr="00DC1EE4" w:rsidRDefault="0028027B" w:rsidP="0028027B">
      <w:pPr>
        <w:pStyle w:val="Reference"/>
      </w:pPr>
    </w:p>
    <w:p w:rsidR="0028027B" w:rsidRPr="00DC1EE4" w:rsidRDefault="0028027B" w:rsidP="0028027B">
      <w:pPr>
        <w:pStyle w:val="Reference"/>
      </w:pPr>
    </w:p>
    <w:p w:rsidR="0028027B" w:rsidRPr="00F47338" w:rsidRDefault="0028027B" w:rsidP="00F47338">
      <w:pPr>
        <w:pStyle w:val="ChapterHeading"/>
      </w:pPr>
      <w:r w:rsidRPr="00DC1EE4">
        <w:br w:type="column"/>
      </w:r>
      <w:bookmarkStart w:id="725" w:name="_Toc448493024"/>
      <w:r w:rsidRPr="00F47338">
        <w:t>Ap</w:t>
      </w:r>
      <w:r w:rsidR="005A4BB0">
        <w:t>pendix 6 – Budgetary reporting:</w:t>
      </w:r>
      <w:r w:rsidRPr="00F47338">
        <w:br/>
        <w:t>explanation of material variances between budget and actual outcomes</w:t>
      </w:r>
      <w:bookmarkEnd w:id="725"/>
    </w:p>
    <w:p w:rsidR="0028027B" w:rsidRPr="00DC1EE4" w:rsidRDefault="0028027B" w:rsidP="0028027B">
      <w:r w:rsidRPr="00DC1EE4">
        <w:t>The requirements for budgetary reporting are detailed in AASB 1055 Budgetary Reporting. The standard applies to the general government sector and the not</w:t>
      </w:r>
      <w:r w:rsidR="005A4BB0">
        <w:noBreakHyphen/>
      </w:r>
      <w:r w:rsidRPr="00DC1EE4">
        <w:t>for</w:t>
      </w:r>
      <w:r w:rsidR="005A4BB0">
        <w:noBreakHyphen/>
      </w:r>
      <w:r w:rsidRPr="00DC1EE4">
        <w:t>profit entities within the general government sector for year ending 30 June 2015 and requires:</w:t>
      </w:r>
    </w:p>
    <w:p w:rsidR="0028027B" w:rsidRPr="00DC1EE4" w:rsidRDefault="0028027B" w:rsidP="0028027B">
      <w:pPr>
        <w:pStyle w:val="Bullet"/>
      </w:pPr>
      <w:r w:rsidRPr="00DC1EE4">
        <w:t>where the entity</w:t>
      </w:r>
      <w:r w:rsidR="005A4BB0">
        <w:t>’</w:t>
      </w:r>
      <w:r w:rsidRPr="00DC1EE4">
        <w:t>s budgeted financial statements (i.e. comprehensive operating statement, balance sheet, cash flow statement or statement of changes in equity) for controlled items are presented to the Parliament and are separately identified as relating to the entity, the entity should disclose for the reporting period:</w:t>
      </w:r>
    </w:p>
    <w:p w:rsidR="0028027B" w:rsidRPr="00DC1EE4" w:rsidRDefault="0028027B" w:rsidP="0028027B">
      <w:pPr>
        <w:pStyle w:val="Dash"/>
      </w:pPr>
      <w:r w:rsidRPr="00DC1EE4">
        <w:t>the original budgeted financial statement presented to Parliament, presented and classified on a basis that is consistent with the presentation and classification adopted in the corresponding financial statements prepared in accordance with Australian Accounting Standards; and</w:t>
      </w:r>
    </w:p>
    <w:p w:rsidR="0028027B" w:rsidRPr="00DC1EE4" w:rsidRDefault="0028027B" w:rsidP="0028027B">
      <w:pPr>
        <w:pStyle w:val="Dash"/>
      </w:pPr>
      <w:r w:rsidRPr="00DC1EE4">
        <w:t>explanations of major variances between the actual amounts presented in the financial statements and the corresponding original budget amounts.</w:t>
      </w:r>
    </w:p>
    <w:p w:rsidR="0028027B" w:rsidRPr="00DC1EE4" w:rsidRDefault="0028027B" w:rsidP="0028027B">
      <w:pPr>
        <w:pStyle w:val="Bullet"/>
      </w:pPr>
      <w:r w:rsidRPr="00DC1EE4">
        <w:t>where the entity</w:t>
      </w:r>
      <w:r w:rsidR="005A4BB0">
        <w:t>’</w:t>
      </w:r>
      <w:r w:rsidRPr="00DC1EE4">
        <w:t>s budgeted financial information for major classes of administered income and expense, or major classes of administered assets and liabilities, is presented to Parliament and is separately identified as relating to that entity, the entity should disclose for the reporting period:</w:t>
      </w:r>
    </w:p>
    <w:p w:rsidR="0028027B" w:rsidRPr="00DC1EE4" w:rsidRDefault="0028027B" w:rsidP="0028027B">
      <w:pPr>
        <w:pStyle w:val="Dash"/>
      </w:pPr>
      <w:r w:rsidRPr="00DC1EE4">
        <w:t xml:space="preserve">the original budgeted financial information presented to parliament, presented and classified on a basis that is consistent with the presentation and classification adopted to comply with AASB 1050 Administered Items; and </w:t>
      </w:r>
    </w:p>
    <w:p w:rsidR="0028027B" w:rsidRPr="00DC1EE4" w:rsidRDefault="0028027B" w:rsidP="0028027B">
      <w:pPr>
        <w:pStyle w:val="Dash"/>
      </w:pPr>
      <w:r w:rsidRPr="00DC1EE4">
        <w:t>explanations of major variances between the actual disclosed amounts in the financial statements in accordance with AASB 1050 and the corresponding original budget amounts.</w:t>
      </w:r>
    </w:p>
    <w:p w:rsidR="0028027B" w:rsidRPr="00DC1EE4" w:rsidRDefault="0028027B" w:rsidP="0028027B">
      <w:r w:rsidRPr="00DC1EE4">
        <w:t>Comparative budgetary information in respect of the previous period need not be disclosed.</w:t>
      </w:r>
    </w:p>
    <w:p w:rsidR="0028027B" w:rsidRPr="00DC1EE4" w:rsidRDefault="0028027B" w:rsidP="0028027B"/>
    <w:p w:rsidR="0028027B" w:rsidRPr="00DC1EE4" w:rsidRDefault="0028027B" w:rsidP="0028027B">
      <w:pPr>
        <w:pStyle w:val="Heading2"/>
        <w:spacing w:before="0"/>
      </w:pPr>
      <w:r w:rsidRPr="00DC1EE4">
        <w:t>Additional guidance</w:t>
      </w:r>
    </w:p>
    <w:p w:rsidR="0028027B" w:rsidRPr="00DC1EE4" w:rsidRDefault="0028027B" w:rsidP="0028027B">
      <w:pPr>
        <w:pStyle w:val="Normalhanging"/>
      </w:pPr>
      <w:r w:rsidRPr="00DC1EE4">
        <w:t>(1)</w:t>
      </w:r>
      <w:r w:rsidRPr="00DC1EE4">
        <w:tab/>
        <w:t>This standard is expected to have little impact for a majority of departments and entities, as the budgeted financial statements presented to Parliament are portfolio budgetary information that is not separately identifiable for individual reporting entities.</w:t>
      </w:r>
    </w:p>
    <w:p w:rsidR="0028027B" w:rsidRPr="00DC1EE4" w:rsidRDefault="0028027B" w:rsidP="0028027B">
      <w:pPr>
        <w:pStyle w:val="Normalhanging"/>
      </w:pPr>
      <w:r w:rsidRPr="00DC1EE4">
        <w:t>(2)</w:t>
      </w:r>
      <w:r w:rsidRPr="00DC1EE4">
        <w:tab/>
        <w:t>The explanations of major variances required to be disclosed are those relevant to an assessment of the discharge of accountability and to an analysis of performance of an entity, not merely focusing on the numerical differences between original budget and actual amounts. They include high</w:t>
      </w:r>
      <w:r w:rsidR="005A4BB0">
        <w:noBreakHyphen/>
      </w:r>
      <w:r w:rsidRPr="00DC1EE4">
        <w:t xml:space="preserve">level explanations of the causes of major variances rather than merely the nature of the variances. Furthermore, if revised budgets are presented to Parliament, even when there are no major numerical differences between the original budget and actual amounts, an entity might need to have regard to those revised budgets and include explanations for major numerical differences between them and actual amounts. </w:t>
      </w:r>
    </w:p>
    <w:p w:rsidR="0028027B" w:rsidRPr="00DC1EE4" w:rsidRDefault="0028027B" w:rsidP="0028027B">
      <w:pPr>
        <w:pStyle w:val="NormalBlue"/>
      </w:pPr>
      <w:r w:rsidRPr="00DC1EE4">
        <w:t>[Where applicable, entities are required to include the information illustrated in this Appendix in a note to the financial statements.]</w:t>
      </w:r>
    </w:p>
    <w:p w:rsidR="0028027B" w:rsidRPr="00DC1EE4" w:rsidRDefault="0028027B" w:rsidP="0028027B">
      <w:pPr>
        <w:spacing w:line="240" w:lineRule="atLeast"/>
      </w:pPr>
      <w:r w:rsidRPr="00DC1EE4">
        <w:br w:type="page"/>
      </w:r>
    </w:p>
    <w:p w:rsidR="0028027B" w:rsidRPr="00DC1EE4" w:rsidRDefault="0028027B" w:rsidP="0028027B">
      <w:pPr>
        <w:pStyle w:val="Reference"/>
      </w:pPr>
    </w:p>
    <w:p w:rsidR="0028027B" w:rsidRPr="00DC1EE4" w:rsidRDefault="0028027B" w:rsidP="0028027B">
      <w:pPr>
        <w:pStyle w:val="Reference"/>
      </w:pPr>
    </w:p>
    <w:p w:rsidR="0028027B" w:rsidRPr="00DC1EE4" w:rsidRDefault="0028027B" w:rsidP="0028027B">
      <w:pPr>
        <w:pStyle w:val="Reference"/>
      </w:pPr>
    </w:p>
    <w:p w:rsidR="0028027B" w:rsidRPr="00DC1EE4" w:rsidRDefault="0028027B" w:rsidP="0028027B">
      <w:pPr>
        <w:pStyle w:val="Reference"/>
        <w:spacing w:before="200"/>
      </w:pPr>
      <w:r w:rsidRPr="00DC1EE4">
        <w:t>AASB 1055.6</w:t>
      </w:r>
    </w:p>
    <w:p w:rsidR="0028027B" w:rsidRPr="00DC1EE4" w:rsidRDefault="0028027B" w:rsidP="0028027B">
      <w:pPr>
        <w:pStyle w:val="Heading2"/>
      </w:pPr>
      <w:r w:rsidRPr="00DC1EE4">
        <w:br w:type="column"/>
        <w:t>Comprehensive operating statement for the financial year ended 30 June 2015</w:t>
      </w:r>
    </w:p>
    <w:p w:rsidR="0028027B" w:rsidRPr="00DC1EE4" w:rsidRDefault="0028027B" w:rsidP="0028027B">
      <w:pPr>
        <w:pStyle w:val="million"/>
      </w:pPr>
      <w:r w:rsidRPr="00DC1EE4">
        <w:t>($ thousand)</w:t>
      </w:r>
    </w:p>
    <w:tbl>
      <w:tblPr>
        <w:tblW w:w="8438" w:type="dxa"/>
        <w:tblInd w:w="108" w:type="dxa"/>
        <w:tblLayout w:type="fixed"/>
        <w:tblCellMar>
          <w:left w:w="43" w:type="dxa"/>
          <w:right w:w="43" w:type="dxa"/>
        </w:tblCellMar>
        <w:tblLook w:val="04A0" w:firstRow="1" w:lastRow="0" w:firstColumn="1" w:lastColumn="0" w:noHBand="0" w:noVBand="1"/>
      </w:tblPr>
      <w:tblGrid>
        <w:gridCol w:w="5128"/>
        <w:gridCol w:w="712"/>
        <w:gridCol w:w="1018"/>
        <w:gridCol w:w="713"/>
        <w:gridCol w:w="867"/>
      </w:tblGrid>
      <w:tr w:rsidR="0028027B" w:rsidRPr="00DC1EE4" w:rsidTr="00C03F9E">
        <w:trPr>
          <w:cantSplit/>
        </w:trPr>
        <w:tc>
          <w:tcPr>
            <w:tcW w:w="5128" w:type="dxa"/>
            <w:tcBorders>
              <w:top w:val="single" w:sz="6" w:space="0" w:color="auto"/>
              <w:left w:val="nil"/>
              <w:bottom w:val="single" w:sz="6" w:space="0" w:color="auto"/>
              <w:right w:val="nil"/>
            </w:tcBorders>
            <w:shd w:val="clear" w:color="auto" w:fill="auto"/>
            <w:vAlign w:val="bottom"/>
            <w:hideMark/>
          </w:tcPr>
          <w:p w:rsidR="0028027B" w:rsidRPr="00DC1EE4" w:rsidRDefault="0028027B" w:rsidP="00C03F9E">
            <w:pPr>
              <w:pStyle w:val="TabletextheadingLeft"/>
            </w:pPr>
            <w:r w:rsidRPr="00DC1EE4">
              <w:t>FOR ILLUSTRATIVE PURPOSES ONLY</w:t>
            </w:r>
          </w:p>
        </w:tc>
        <w:tc>
          <w:tcPr>
            <w:tcW w:w="712"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textheadingCentred"/>
            </w:pPr>
            <w:r w:rsidRPr="00DC1EE4">
              <w:br/>
              <w:t>Notes</w:t>
            </w: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8027B" w:rsidRPr="00DC1EE4" w:rsidRDefault="0028027B" w:rsidP="00C03F9E">
            <w:pPr>
              <w:pStyle w:val="Tabletextheading"/>
            </w:pPr>
            <w:r w:rsidRPr="00DC1EE4">
              <w:t>Original Budget 2015</w:t>
            </w:r>
          </w:p>
        </w:tc>
        <w:tc>
          <w:tcPr>
            <w:tcW w:w="713"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textheading"/>
            </w:pPr>
            <w:r w:rsidRPr="00DC1EE4">
              <w:t>Actual 2015</w:t>
            </w:r>
          </w:p>
        </w:tc>
        <w:tc>
          <w:tcPr>
            <w:tcW w:w="867" w:type="dxa"/>
            <w:tcBorders>
              <w:top w:val="single" w:sz="6" w:space="0" w:color="auto"/>
              <w:left w:val="nil"/>
              <w:bottom w:val="single" w:sz="6" w:space="0" w:color="auto"/>
              <w:right w:val="nil"/>
            </w:tcBorders>
          </w:tcPr>
          <w:p w:rsidR="0028027B" w:rsidRPr="00DC1EE4" w:rsidRDefault="0028027B" w:rsidP="00C03F9E">
            <w:pPr>
              <w:pStyle w:val="Tabletextheading"/>
            </w:pPr>
            <w:r w:rsidRPr="00DC1EE4">
              <w:br/>
              <w:t>Variance</w:t>
            </w:r>
          </w:p>
        </w:tc>
      </w:tr>
      <w:tr w:rsidR="0028027B" w:rsidRPr="00DC1EE4" w:rsidTr="00C03F9E">
        <w:trPr>
          <w:cantSplit/>
        </w:trPr>
        <w:tc>
          <w:tcPr>
            <w:tcW w:w="5128" w:type="dxa"/>
            <w:tcBorders>
              <w:top w:val="single" w:sz="6" w:space="0" w:color="auto"/>
              <w:left w:val="nil"/>
              <w:bottom w:val="nil"/>
              <w:right w:val="nil"/>
            </w:tcBorders>
            <w:shd w:val="clear" w:color="auto" w:fill="auto"/>
            <w:hideMark/>
          </w:tcPr>
          <w:p w:rsidR="0028027B" w:rsidRPr="00DC1EE4" w:rsidRDefault="0028027B" w:rsidP="00C03F9E">
            <w:pPr>
              <w:pStyle w:val="Tabletext"/>
              <w:rPr>
                <w:b/>
              </w:rPr>
            </w:pPr>
            <w:r w:rsidRPr="00DC1EE4">
              <w:rPr>
                <w:b/>
              </w:rPr>
              <w:t>Continuing operations</w:t>
            </w:r>
          </w:p>
        </w:tc>
        <w:tc>
          <w:tcPr>
            <w:tcW w:w="712" w:type="dxa"/>
            <w:tcBorders>
              <w:top w:val="single" w:sz="6" w:space="0" w:color="auto"/>
              <w:left w:val="nil"/>
              <w:bottom w:val="nil"/>
              <w:right w:val="nil"/>
            </w:tcBorders>
            <w:shd w:val="clear" w:color="auto" w:fill="auto"/>
            <w:noWrap/>
            <w:hideMark/>
          </w:tcPr>
          <w:p w:rsidR="0028027B" w:rsidRPr="00DC1EE4" w:rsidRDefault="0028027B" w:rsidP="00C03F9E">
            <w:pPr>
              <w:pStyle w:val="TableTextCentred"/>
            </w:pPr>
          </w:p>
        </w:tc>
        <w:tc>
          <w:tcPr>
            <w:tcW w:w="1018" w:type="dxa"/>
            <w:tcBorders>
              <w:top w:val="single" w:sz="6" w:space="0" w:color="auto"/>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w:t>
            </w:r>
          </w:p>
        </w:tc>
        <w:tc>
          <w:tcPr>
            <w:tcW w:w="713" w:type="dxa"/>
            <w:tcBorders>
              <w:top w:val="single" w:sz="6" w:space="0" w:color="auto"/>
              <w:left w:val="nil"/>
              <w:bottom w:val="nil"/>
              <w:right w:val="nil"/>
            </w:tcBorders>
            <w:shd w:val="clear" w:color="auto" w:fill="auto"/>
            <w:noWrap/>
            <w:hideMark/>
          </w:tcPr>
          <w:p w:rsidR="0028027B" w:rsidRPr="00DC1EE4" w:rsidRDefault="0028027B" w:rsidP="00C03F9E">
            <w:pPr>
              <w:pStyle w:val="TableofFigures"/>
            </w:pPr>
            <w:r w:rsidRPr="00DC1EE4">
              <w:t xml:space="preserve"> </w:t>
            </w:r>
          </w:p>
        </w:tc>
        <w:tc>
          <w:tcPr>
            <w:tcW w:w="867" w:type="dxa"/>
            <w:tcBorders>
              <w:top w:val="single" w:sz="6" w:space="0" w:color="auto"/>
              <w:left w:val="nil"/>
              <w:bottom w:val="nil"/>
              <w:right w:val="nil"/>
            </w:tcBorders>
          </w:tcPr>
          <w:p w:rsidR="0028027B" w:rsidRPr="00DC1EE4" w:rsidRDefault="0028027B" w:rsidP="00C03F9E">
            <w:pPr>
              <w:pStyle w:val="TableofFigures"/>
            </w:pP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rPr>
                <w:b/>
              </w:rPr>
            </w:pPr>
            <w:r w:rsidRPr="00DC1EE4">
              <w:rPr>
                <w:b/>
              </w:rPr>
              <w:t>Income from transactions</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 xml:space="preserve"> </w:t>
            </w:r>
          </w:p>
        </w:tc>
        <w:tc>
          <w:tcPr>
            <w:tcW w:w="867" w:type="dxa"/>
            <w:tcBorders>
              <w:top w:val="nil"/>
              <w:left w:val="nil"/>
              <w:bottom w:val="nil"/>
              <w:right w:val="nil"/>
            </w:tcBorders>
          </w:tcPr>
          <w:p w:rsidR="0028027B" w:rsidRPr="00DC1EE4" w:rsidRDefault="0028027B" w:rsidP="00C03F9E">
            <w:pPr>
              <w:pStyle w:val="TableofFigures"/>
            </w:pP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pPr>
            <w:r w:rsidRPr="00DC1EE4">
              <w:t>Output appropriations</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r w:rsidRPr="00DC1EE4">
              <w:t>a</w:t>
            </w: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85 535</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63 682</w:t>
            </w:r>
          </w:p>
        </w:tc>
        <w:tc>
          <w:tcPr>
            <w:tcW w:w="867" w:type="dxa"/>
            <w:tcBorders>
              <w:top w:val="nil"/>
              <w:left w:val="nil"/>
              <w:bottom w:val="nil"/>
              <w:right w:val="nil"/>
            </w:tcBorders>
          </w:tcPr>
          <w:p w:rsidR="0028027B" w:rsidRPr="00DC1EE4" w:rsidRDefault="0028027B" w:rsidP="00C03F9E">
            <w:pPr>
              <w:pStyle w:val="TableofFigures"/>
            </w:pPr>
            <w:r w:rsidRPr="00DC1EE4">
              <w:t>(21 853)</w:t>
            </w: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pPr>
            <w:r w:rsidRPr="00DC1EE4">
              <w:t>Special appropriations</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r w:rsidRPr="00DC1EE4">
              <w:t>b</w:t>
            </w: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8 128</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11 396</w:t>
            </w:r>
          </w:p>
        </w:tc>
        <w:tc>
          <w:tcPr>
            <w:tcW w:w="867" w:type="dxa"/>
            <w:tcBorders>
              <w:top w:val="nil"/>
              <w:left w:val="nil"/>
              <w:bottom w:val="nil"/>
              <w:right w:val="nil"/>
            </w:tcBorders>
          </w:tcPr>
          <w:p w:rsidR="0028027B" w:rsidRPr="00DC1EE4" w:rsidRDefault="0028027B" w:rsidP="00C03F9E">
            <w:pPr>
              <w:pStyle w:val="TableofFigures"/>
            </w:pPr>
            <w:r w:rsidRPr="00DC1EE4">
              <w:t>3 268</w:t>
            </w: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pPr>
            <w:r w:rsidRPr="00DC1EE4">
              <w:t>Interest</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3 864</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3654</w:t>
            </w:r>
          </w:p>
        </w:tc>
        <w:tc>
          <w:tcPr>
            <w:tcW w:w="867" w:type="dxa"/>
            <w:tcBorders>
              <w:top w:val="nil"/>
              <w:left w:val="nil"/>
              <w:bottom w:val="nil"/>
              <w:right w:val="nil"/>
            </w:tcBorders>
          </w:tcPr>
          <w:p w:rsidR="0028027B" w:rsidRPr="00DC1EE4" w:rsidRDefault="0028027B" w:rsidP="00C03F9E">
            <w:pPr>
              <w:pStyle w:val="TableofFigures"/>
            </w:pPr>
            <w:r w:rsidRPr="00DC1EE4">
              <w:t>(210)</w:t>
            </w: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pPr>
            <w:r w:rsidRPr="00DC1EE4">
              <w:t>Sale of goods and services</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1 839</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1 346</w:t>
            </w:r>
          </w:p>
        </w:tc>
        <w:tc>
          <w:tcPr>
            <w:tcW w:w="867" w:type="dxa"/>
            <w:tcBorders>
              <w:top w:val="nil"/>
              <w:left w:val="nil"/>
              <w:bottom w:val="nil"/>
              <w:right w:val="nil"/>
            </w:tcBorders>
          </w:tcPr>
          <w:p w:rsidR="0028027B" w:rsidRPr="00DC1EE4" w:rsidRDefault="0028027B" w:rsidP="00C03F9E">
            <w:pPr>
              <w:pStyle w:val="TableofFigures"/>
            </w:pPr>
            <w:r w:rsidRPr="00DC1EE4">
              <w:t>(493)</w:t>
            </w: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pPr>
            <w:r w:rsidRPr="00DC1EE4">
              <w:t>Grants</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306</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 xml:space="preserve"> 140</w:t>
            </w:r>
          </w:p>
        </w:tc>
        <w:tc>
          <w:tcPr>
            <w:tcW w:w="867" w:type="dxa"/>
            <w:tcBorders>
              <w:top w:val="nil"/>
              <w:left w:val="nil"/>
              <w:bottom w:val="nil"/>
              <w:right w:val="nil"/>
            </w:tcBorders>
          </w:tcPr>
          <w:p w:rsidR="0028027B" w:rsidRPr="00DC1EE4" w:rsidRDefault="0028027B" w:rsidP="00C03F9E">
            <w:pPr>
              <w:pStyle w:val="TableofFigures"/>
            </w:pPr>
            <w:r w:rsidRPr="00DC1EE4">
              <w:t>(166)</w:t>
            </w:r>
          </w:p>
        </w:tc>
      </w:tr>
      <w:tr w:rsidR="0028027B" w:rsidRPr="00DC1EE4" w:rsidTr="00C03F9E">
        <w:trPr>
          <w:cantSplit/>
        </w:trPr>
        <w:tc>
          <w:tcPr>
            <w:tcW w:w="5128" w:type="dxa"/>
            <w:tcBorders>
              <w:top w:val="nil"/>
              <w:left w:val="nil"/>
              <w:right w:val="nil"/>
            </w:tcBorders>
            <w:shd w:val="clear" w:color="auto" w:fill="auto"/>
            <w:hideMark/>
          </w:tcPr>
          <w:p w:rsidR="0028027B" w:rsidRPr="00DC1EE4" w:rsidRDefault="0028027B" w:rsidP="00C03F9E">
            <w:pPr>
              <w:pStyle w:val="Tabletext"/>
            </w:pPr>
            <w:r w:rsidRPr="00DC1EE4">
              <w:t>Fair value of assets and services received free of charge or for nominal consideration</w:t>
            </w:r>
          </w:p>
        </w:tc>
        <w:tc>
          <w:tcPr>
            <w:tcW w:w="712" w:type="dxa"/>
            <w:tcBorders>
              <w:top w:val="nil"/>
              <w:left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right w:val="nil"/>
            </w:tcBorders>
            <w:shd w:val="clear" w:color="auto" w:fill="BFBFBF" w:themeFill="background1" w:themeFillShade="BF"/>
            <w:noWrap/>
            <w:hideMark/>
          </w:tcPr>
          <w:p w:rsidR="0028027B" w:rsidRPr="00DC1EE4" w:rsidRDefault="0028027B" w:rsidP="00C03F9E">
            <w:pPr>
              <w:pStyle w:val="TableofFigures"/>
            </w:pPr>
            <w:r w:rsidRPr="00DC1EE4">
              <w:t>1 589</w:t>
            </w:r>
          </w:p>
        </w:tc>
        <w:tc>
          <w:tcPr>
            <w:tcW w:w="713" w:type="dxa"/>
            <w:tcBorders>
              <w:top w:val="nil"/>
              <w:left w:val="nil"/>
              <w:right w:val="nil"/>
            </w:tcBorders>
            <w:shd w:val="clear" w:color="auto" w:fill="auto"/>
            <w:noWrap/>
            <w:hideMark/>
          </w:tcPr>
          <w:p w:rsidR="0028027B" w:rsidRPr="00DC1EE4" w:rsidRDefault="0028027B" w:rsidP="00C03F9E">
            <w:pPr>
              <w:pStyle w:val="TableofFigures"/>
            </w:pPr>
            <w:r w:rsidRPr="00DC1EE4">
              <w:t>1 708</w:t>
            </w:r>
          </w:p>
        </w:tc>
        <w:tc>
          <w:tcPr>
            <w:tcW w:w="867" w:type="dxa"/>
            <w:tcBorders>
              <w:top w:val="nil"/>
              <w:left w:val="nil"/>
              <w:right w:val="nil"/>
            </w:tcBorders>
          </w:tcPr>
          <w:p w:rsidR="0028027B" w:rsidRPr="00DC1EE4" w:rsidRDefault="0028027B" w:rsidP="00C03F9E">
            <w:pPr>
              <w:pStyle w:val="TableofFigures"/>
            </w:pPr>
            <w:r w:rsidRPr="00DC1EE4">
              <w:t>119</w:t>
            </w:r>
          </w:p>
        </w:tc>
      </w:tr>
      <w:tr w:rsidR="0028027B" w:rsidRPr="00DC1EE4" w:rsidTr="00C03F9E">
        <w:trPr>
          <w:cantSplit/>
        </w:trPr>
        <w:tc>
          <w:tcPr>
            <w:tcW w:w="5128" w:type="dxa"/>
            <w:tcBorders>
              <w:top w:val="nil"/>
              <w:left w:val="nil"/>
              <w:bottom w:val="single" w:sz="6" w:space="0" w:color="auto"/>
              <w:right w:val="nil"/>
            </w:tcBorders>
            <w:shd w:val="clear" w:color="auto" w:fill="auto"/>
            <w:hideMark/>
          </w:tcPr>
          <w:p w:rsidR="0028027B" w:rsidRPr="00DC1EE4" w:rsidRDefault="0028027B" w:rsidP="00C03F9E">
            <w:pPr>
              <w:pStyle w:val="Tabletext"/>
            </w:pPr>
            <w:r w:rsidRPr="00DC1EE4">
              <w:t>Other income</w:t>
            </w:r>
          </w:p>
        </w:tc>
        <w:tc>
          <w:tcPr>
            <w:tcW w:w="712" w:type="dxa"/>
            <w:tcBorders>
              <w:top w:val="nil"/>
              <w:left w:val="nil"/>
              <w:bottom w:val="single" w:sz="6" w:space="0" w:color="auto"/>
              <w:right w:val="nil"/>
            </w:tcBorders>
            <w:shd w:val="clear" w:color="auto" w:fill="auto"/>
            <w:noWrap/>
            <w:hideMark/>
          </w:tcPr>
          <w:p w:rsidR="0028027B" w:rsidRPr="00DC1EE4" w:rsidRDefault="0028027B" w:rsidP="00C03F9E">
            <w:pPr>
              <w:pStyle w:val="TableTextCentred"/>
            </w:pPr>
            <w:r w:rsidRPr="00DC1EE4">
              <w:t>c</w:t>
            </w:r>
          </w:p>
        </w:tc>
        <w:tc>
          <w:tcPr>
            <w:tcW w:w="1018" w:type="dxa"/>
            <w:tcBorders>
              <w:top w:val="nil"/>
              <w:left w:val="nil"/>
              <w:bottom w:val="single" w:sz="6" w:space="0" w:color="auto"/>
              <w:right w:val="nil"/>
            </w:tcBorders>
            <w:shd w:val="clear" w:color="auto" w:fill="BFBFBF" w:themeFill="background1" w:themeFillShade="BF"/>
            <w:noWrap/>
            <w:hideMark/>
          </w:tcPr>
          <w:p w:rsidR="0028027B" w:rsidRPr="00DC1EE4" w:rsidRDefault="0028027B" w:rsidP="00C03F9E">
            <w:pPr>
              <w:pStyle w:val="TableofFigures"/>
            </w:pPr>
            <w:r w:rsidRPr="00DC1EE4">
              <w:t>6 213</w:t>
            </w:r>
          </w:p>
        </w:tc>
        <w:tc>
          <w:tcPr>
            <w:tcW w:w="713" w:type="dxa"/>
            <w:tcBorders>
              <w:top w:val="nil"/>
              <w:left w:val="nil"/>
              <w:bottom w:val="single" w:sz="6" w:space="0" w:color="auto"/>
              <w:right w:val="nil"/>
            </w:tcBorders>
            <w:shd w:val="clear" w:color="auto" w:fill="auto"/>
            <w:noWrap/>
            <w:hideMark/>
          </w:tcPr>
          <w:p w:rsidR="0028027B" w:rsidRPr="00DC1EE4" w:rsidRDefault="0028027B" w:rsidP="00C03F9E">
            <w:pPr>
              <w:pStyle w:val="TableofFigures"/>
            </w:pPr>
            <w:r w:rsidRPr="00DC1EE4">
              <w:t xml:space="preserve">7 335 </w:t>
            </w:r>
          </w:p>
        </w:tc>
        <w:tc>
          <w:tcPr>
            <w:tcW w:w="867" w:type="dxa"/>
            <w:tcBorders>
              <w:top w:val="nil"/>
              <w:left w:val="nil"/>
              <w:bottom w:val="single" w:sz="6" w:space="0" w:color="auto"/>
              <w:right w:val="nil"/>
            </w:tcBorders>
          </w:tcPr>
          <w:p w:rsidR="0028027B" w:rsidRPr="00DC1EE4" w:rsidRDefault="0028027B" w:rsidP="00C03F9E">
            <w:pPr>
              <w:pStyle w:val="TableofFigures"/>
            </w:pPr>
            <w:r w:rsidRPr="00DC1EE4">
              <w:t>1 122</w:t>
            </w:r>
          </w:p>
        </w:tc>
      </w:tr>
      <w:tr w:rsidR="0028027B" w:rsidRPr="00DC1EE4" w:rsidTr="00C03F9E">
        <w:trPr>
          <w:cantSplit/>
        </w:trPr>
        <w:tc>
          <w:tcPr>
            <w:tcW w:w="5128" w:type="dxa"/>
            <w:tcBorders>
              <w:top w:val="single" w:sz="6" w:space="0" w:color="auto"/>
              <w:left w:val="nil"/>
              <w:bottom w:val="nil"/>
              <w:right w:val="nil"/>
            </w:tcBorders>
            <w:shd w:val="clear" w:color="auto" w:fill="auto"/>
            <w:hideMark/>
          </w:tcPr>
          <w:p w:rsidR="0028027B" w:rsidRPr="00DC1EE4" w:rsidRDefault="0028027B" w:rsidP="00C03F9E">
            <w:pPr>
              <w:pStyle w:val="Tabletext"/>
              <w:rPr>
                <w:b/>
              </w:rPr>
            </w:pPr>
            <w:r w:rsidRPr="00DC1EE4">
              <w:rPr>
                <w:b/>
              </w:rPr>
              <w:t>Total income from transactions</w:t>
            </w:r>
          </w:p>
        </w:tc>
        <w:tc>
          <w:tcPr>
            <w:tcW w:w="712" w:type="dxa"/>
            <w:tcBorders>
              <w:top w:val="single" w:sz="6" w:space="0" w:color="auto"/>
              <w:left w:val="nil"/>
              <w:bottom w:val="nil"/>
              <w:right w:val="nil"/>
            </w:tcBorders>
            <w:shd w:val="clear" w:color="auto" w:fill="auto"/>
            <w:noWrap/>
            <w:hideMark/>
          </w:tcPr>
          <w:p w:rsidR="0028027B" w:rsidRPr="00DC1EE4" w:rsidRDefault="0028027B" w:rsidP="00C03F9E">
            <w:pPr>
              <w:pStyle w:val="TableTextCentred"/>
              <w:rPr>
                <w:b/>
              </w:rPr>
            </w:pPr>
          </w:p>
        </w:tc>
        <w:tc>
          <w:tcPr>
            <w:tcW w:w="1018" w:type="dxa"/>
            <w:tcBorders>
              <w:top w:val="single" w:sz="6" w:space="0" w:color="auto"/>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107 474</w:t>
            </w:r>
          </w:p>
        </w:tc>
        <w:tc>
          <w:tcPr>
            <w:tcW w:w="713" w:type="dxa"/>
            <w:tcBorders>
              <w:top w:val="single" w:sz="6" w:space="0" w:color="auto"/>
              <w:left w:val="nil"/>
              <w:bottom w:val="nil"/>
              <w:right w:val="nil"/>
            </w:tcBorders>
            <w:shd w:val="clear" w:color="auto" w:fill="auto"/>
            <w:noWrap/>
            <w:hideMark/>
          </w:tcPr>
          <w:p w:rsidR="0028027B" w:rsidRPr="00DC1EE4" w:rsidRDefault="0028027B" w:rsidP="00C03F9E">
            <w:pPr>
              <w:pStyle w:val="TableofFigures"/>
              <w:rPr>
                <w:b/>
              </w:rPr>
            </w:pPr>
            <w:r w:rsidRPr="00DC1EE4">
              <w:rPr>
                <w:b/>
              </w:rPr>
              <w:t>89 261</w:t>
            </w:r>
          </w:p>
        </w:tc>
        <w:tc>
          <w:tcPr>
            <w:tcW w:w="867" w:type="dxa"/>
            <w:tcBorders>
              <w:top w:val="single" w:sz="6" w:space="0" w:color="auto"/>
              <w:left w:val="nil"/>
              <w:bottom w:val="nil"/>
              <w:right w:val="nil"/>
            </w:tcBorders>
          </w:tcPr>
          <w:p w:rsidR="0028027B" w:rsidRPr="00DC1EE4" w:rsidRDefault="0028027B" w:rsidP="00C03F9E">
            <w:pPr>
              <w:pStyle w:val="TableofFigures"/>
              <w:rPr>
                <w:b/>
              </w:rPr>
            </w:pPr>
            <w:r w:rsidRPr="00DC1EE4">
              <w:rPr>
                <w:b/>
              </w:rPr>
              <w:t>(18 213)</w:t>
            </w: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rPr>
                <w:b/>
              </w:rPr>
            </w:pPr>
            <w:r w:rsidRPr="00DC1EE4">
              <w:rPr>
                <w:b/>
              </w:rPr>
              <w:t>Expenses from transactions</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rPr>
                <w:b/>
              </w:rPr>
            </w:pP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 xml:space="preserve"> </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rPr>
                <w:b/>
              </w:rPr>
            </w:pPr>
            <w:r w:rsidRPr="00DC1EE4">
              <w:rPr>
                <w:b/>
              </w:rPr>
              <w:t xml:space="preserve"> </w:t>
            </w:r>
          </w:p>
        </w:tc>
        <w:tc>
          <w:tcPr>
            <w:tcW w:w="867" w:type="dxa"/>
            <w:tcBorders>
              <w:top w:val="nil"/>
              <w:left w:val="nil"/>
              <w:bottom w:val="nil"/>
              <w:right w:val="nil"/>
            </w:tcBorders>
          </w:tcPr>
          <w:p w:rsidR="0028027B" w:rsidRPr="00DC1EE4" w:rsidRDefault="0028027B" w:rsidP="00C03F9E">
            <w:pPr>
              <w:pStyle w:val="TableofFigures"/>
              <w:rPr>
                <w:b/>
              </w:rPr>
            </w:pP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pPr>
            <w:r w:rsidRPr="00DC1EE4">
              <w:t>Employee expenses</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r w:rsidRPr="00DC1EE4">
              <w:t>d</w:t>
            </w: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(13 767)</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(24 970)</w:t>
            </w:r>
          </w:p>
        </w:tc>
        <w:tc>
          <w:tcPr>
            <w:tcW w:w="867" w:type="dxa"/>
            <w:tcBorders>
              <w:top w:val="nil"/>
              <w:left w:val="nil"/>
              <w:bottom w:val="nil"/>
              <w:right w:val="nil"/>
            </w:tcBorders>
          </w:tcPr>
          <w:p w:rsidR="0028027B" w:rsidRPr="00DC1EE4" w:rsidRDefault="0028027B" w:rsidP="00C03F9E">
            <w:pPr>
              <w:pStyle w:val="TableofFigures"/>
            </w:pPr>
            <w:r w:rsidRPr="00DC1EE4">
              <w:t>(11 203)</w:t>
            </w: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pPr>
            <w:r w:rsidRPr="00DC1EE4">
              <w:t xml:space="preserve">Depreciation </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r w:rsidRPr="00DC1EE4">
              <w:t>e</w:t>
            </w: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(15 099)</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(9 157)</w:t>
            </w:r>
          </w:p>
        </w:tc>
        <w:tc>
          <w:tcPr>
            <w:tcW w:w="867" w:type="dxa"/>
            <w:tcBorders>
              <w:top w:val="nil"/>
              <w:left w:val="nil"/>
              <w:bottom w:val="nil"/>
              <w:right w:val="nil"/>
            </w:tcBorders>
          </w:tcPr>
          <w:p w:rsidR="0028027B" w:rsidRPr="00DC1EE4" w:rsidRDefault="0028027B" w:rsidP="00C03F9E">
            <w:pPr>
              <w:pStyle w:val="TableofFigures"/>
            </w:pPr>
            <w:r w:rsidRPr="00DC1EE4">
              <w:t>5 942</w:t>
            </w: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pPr>
            <w:r w:rsidRPr="00DC1EE4">
              <w:t>Interest expense</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(2 366)</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(2 336)</w:t>
            </w:r>
          </w:p>
        </w:tc>
        <w:tc>
          <w:tcPr>
            <w:tcW w:w="867" w:type="dxa"/>
            <w:tcBorders>
              <w:top w:val="nil"/>
              <w:left w:val="nil"/>
              <w:bottom w:val="nil"/>
              <w:right w:val="nil"/>
            </w:tcBorders>
          </w:tcPr>
          <w:p w:rsidR="0028027B" w:rsidRPr="00DC1EE4" w:rsidRDefault="0028027B" w:rsidP="00C03F9E">
            <w:pPr>
              <w:pStyle w:val="TableofFigures"/>
            </w:pPr>
            <w:r w:rsidRPr="00DC1EE4">
              <w:t>..</w:t>
            </w: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pPr>
            <w:r w:rsidRPr="00DC1EE4">
              <w:t>Grants and other transfers</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r w:rsidRPr="00DC1EE4">
              <w:t>f</w:t>
            </w: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(32 883)</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(23 040)</w:t>
            </w:r>
          </w:p>
        </w:tc>
        <w:tc>
          <w:tcPr>
            <w:tcW w:w="867" w:type="dxa"/>
            <w:tcBorders>
              <w:top w:val="nil"/>
              <w:left w:val="nil"/>
              <w:bottom w:val="nil"/>
              <w:right w:val="nil"/>
            </w:tcBorders>
          </w:tcPr>
          <w:p w:rsidR="0028027B" w:rsidRPr="00DC1EE4" w:rsidRDefault="0028027B" w:rsidP="00C03F9E">
            <w:pPr>
              <w:pStyle w:val="TableofFigures"/>
            </w:pPr>
            <w:r w:rsidRPr="00DC1EE4">
              <w:t>9 843</w:t>
            </w:r>
          </w:p>
        </w:tc>
      </w:tr>
      <w:tr w:rsidR="0028027B" w:rsidRPr="00DC1EE4" w:rsidTr="00C03F9E">
        <w:trPr>
          <w:cantSplit/>
        </w:trPr>
        <w:tc>
          <w:tcPr>
            <w:tcW w:w="5128" w:type="dxa"/>
            <w:tcBorders>
              <w:top w:val="nil"/>
              <w:left w:val="nil"/>
              <w:right w:val="nil"/>
            </w:tcBorders>
            <w:shd w:val="clear" w:color="auto" w:fill="auto"/>
            <w:hideMark/>
          </w:tcPr>
          <w:p w:rsidR="0028027B" w:rsidRPr="00DC1EE4" w:rsidRDefault="0028027B" w:rsidP="00C03F9E">
            <w:pPr>
              <w:pStyle w:val="Tabletext"/>
            </w:pPr>
            <w:r w:rsidRPr="00DC1EE4">
              <w:t>Capital asset charge</w:t>
            </w:r>
          </w:p>
        </w:tc>
        <w:tc>
          <w:tcPr>
            <w:tcW w:w="712" w:type="dxa"/>
            <w:tcBorders>
              <w:top w:val="nil"/>
              <w:left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right w:val="nil"/>
            </w:tcBorders>
            <w:shd w:val="clear" w:color="auto" w:fill="BFBFBF" w:themeFill="background1" w:themeFillShade="BF"/>
            <w:noWrap/>
            <w:hideMark/>
          </w:tcPr>
          <w:p w:rsidR="0028027B" w:rsidRPr="00DC1EE4" w:rsidRDefault="0028027B" w:rsidP="00C03F9E">
            <w:pPr>
              <w:pStyle w:val="TableofFigures"/>
            </w:pPr>
            <w:r w:rsidRPr="00DC1EE4">
              <w:t>(1 309)</w:t>
            </w:r>
          </w:p>
        </w:tc>
        <w:tc>
          <w:tcPr>
            <w:tcW w:w="713" w:type="dxa"/>
            <w:tcBorders>
              <w:top w:val="nil"/>
              <w:left w:val="nil"/>
              <w:right w:val="nil"/>
            </w:tcBorders>
            <w:shd w:val="clear" w:color="auto" w:fill="auto"/>
            <w:noWrap/>
            <w:hideMark/>
          </w:tcPr>
          <w:p w:rsidR="0028027B" w:rsidRPr="00DC1EE4" w:rsidRDefault="0028027B" w:rsidP="00C03F9E">
            <w:pPr>
              <w:pStyle w:val="TableofFigures"/>
            </w:pPr>
            <w:r w:rsidRPr="00DC1EE4">
              <w:t>( 720)</w:t>
            </w:r>
          </w:p>
        </w:tc>
        <w:tc>
          <w:tcPr>
            <w:tcW w:w="867" w:type="dxa"/>
            <w:tcBorders>
              <w:top w:val="nil"/>
              <w:left w:val="nil"/>
              <w:right w:val="nil"/>
            </w:tcBorders>
          </w:tcPr>
          <w:p w:rsidR="0028027B" w:rsidRPr="00DC1EE4" w:rsidRDefault="0028027B" w:rsidP="00C03F9E">
            <w:pPr>
              <w:pStyle w:val="TableofFigures"/>
            </w:pPr>
            <w:r w:rsidRPr="00DC1EE4">
              <w:t>589</w:t>
            </w:r>
          </w:p>
        </w:tc>
      </w:tr>
      <w:tr w:rsidR="0028027B" w:rsidRPr="00DC1EE4" w:rsidTr="00C03F9E">
        <w:trPr>
          <w:cantSplit/>
        </w:trPr>
        <w:tc>
          <w:tcPr>
            <w:tcW w:w="5128" w:type="dxa"/>
            <w:tcBorders>
              <w:top w:val="nil"/>
              <w:left w:val="nil"/>
              <w:bottom w:val="single" w:sz="6" w:space="0" w:color="auto"/>
              <w:right w:val="nil"/>
            </w:tcBorders>
            <w:shd w:val="clear" w:color="auto" w:fill="auto"/>
            <w:hideMark/>
          </w:tcPr>
          <w:p w:rsidR="0028027B" w:rsidRPr="00DC1EE4" w:rsidRDefault="0028027B" w:rsidP="00C03F9E">
            <w:pPr>
              <w:pStyle w:val="Tabletext"/>
            </w:pPr>
            <w:r w:rsidRPr="00DC1EE4">
              <w:t>Other operating expenses</w:t>
            </w:r>
          </w:p>
        </w:tc>
        <w:tc>
          <w:tcPr>
            <w:tcW w:w="712" w:type="dxa"/>
            <w:tcBorders>
              <w:top w:val="nil"/>
              <w:left w:val="nil"/>
              <w:bottom w:val="single" w:sz="6" w:space="0" w:color="auto"/>
              <w:right w:val="nil"/>
            </w:tcBorders>
            <w:shd w:val="clear" w:color="auto" w:fill="auto"/>
            <w:noWrap/>
            <w:hideMark/>
          </w:tcPr>
          <w:p w:rsidR="0028027B" w:rsidRPr="00DC1EE4" w:rsidRDefault="0028027B" w:rsidP="00C03F9E">
            <w:pPr>
              <w:pStyle w:val="TableTextCentred"/>
            </w:pPr>
            <w:r w:rsidRPr="00DC1EE4">
              <w:t>g</w:t>
            </w:r>
          </w:p>
        </w:tc>
        <w:tc>
          <w:tcPr>
            <w:tcW w:w="1018" w:type="dxa"/>
            <w:tcBorders>
              <w:top w:val="nil"/>
              <w:left w:val="nil"/>
              <w:bottom w:val="single" w:sz="6" w:space="0" w:color="auto"/>
              <w:right w:val="nil"/>
            </w:tcBorders>
            <w:shd w:val="clear" w:color="auto" w:fill="BFBFBF" w:themeFill="background1" w:themeFillShade="BF"/>
            <w:noWrap/>
            <w:hideMark/>
          </w:tcPr>
          <w:p w:rsidR="0028027B" w:rsidRPr="00DC1EE4" w:rsidRDefault="0028027B" w:rsidP="00C03F9E">
            <w:pPr>
              <w:pStyle w:val="TableofFigures"/>
            </w:pPr>
            <w:r w:rsidRPr="00DC1EE4">
              <w:t>(15 828)</w:t>
            </w:r>
          </w:p>
        </w:tc>
        <w:tc>
          <w:tcPr>
            <w:tcW w:w="713" w:type="dxa"/>
            <w:tcBorders>
              <w:top w:val="nil"/>
              <w:left w:val="nil"/>
              <w:bottom w:val="single" w:sz="6" w:space="0" w:color="auto"/>
              <w:right w:val="nil"/>
            </w:tcBorders>
            <w:shd w:val="clear" w:color="auto" w:fill="auto"/>
            <w:noWrap/>
            <w:hideMark/>
          </w:tcPr>
          <w:p w:rsidR="0028027B" w:rsidRPr="00DC1EE4" w:rsidRDefault="0028027B" w:rsidP="00C03F9E">
            <w:pPr>
              <w:pStyle w:val="TableofFigures"/>
            </w:pPr>
            <w:r w:rsidRPr="00DC1EE4">
              <w:t>(22 197)</w:t>
            </w:r>
          </w:p>
        </w:tc>
        <w:tc>
          <w:tcPr>
            <w:tcW w:w="867" w:type="dxa"/>
            <w:tcBorders>
              <w:top w:val="nil"/>
              <w:left w:val="nil"/>
              <w:bottom w:val="single" w:sz="6" w:space="0" w:color="auto"/>
              <w:right w:val="nil"/>
            </w:tcBorders>
          </w:tcPr>
          <w:p w:rsidR="0028027B" w:rsidRPr="00DC1EE4" w:rsidRDefault="0028027B" w:rsidP="00C03F9E">
            <w:pPr>
              <w:pStyle w:val="TableofFigures"/>
            </w:pPr>
            <w:r w:rsidRPr="00DC1EE4">
              <w:t>(6 369)</w:t>
            </w:r>
          </w:p>
        </w:tc>
      </w:tr>
      <w:tr w:rsidR="0028027B" w:rsidRPr="00DC1EE4" w:rsidTr="00C03F9E">
        <w:trPr>
          <w:cantSplit/>
        </w:trPr>
        <w:tc>
          <w:tcPr>
            <w:tcW w:w="5128" w:type="dxa"/>
            <w:tcBorders>
              <w:top w:val="single" w:sz="6" w:space="0" w:color="auto"/>
              <w:left w:val="nil"/>
              <w:bottom w:val="single" w:sz="6" w:space="0" w:color="auto"/>
              <w:right w:val="nil"/>
            </w:tcBorders>
            <w:shd w:val="clear" w:color="auto" w:fill="auto"/>
            <w:hideMark/>
          </w:tcPr>
          <w:p w:rsidR="0028027B" w:rsidRPr="00DC1EE4" w:rsidRDefault="0028027B" w:rsidP="00C03F9E">
            <w:pPr>
              <w:pStyle w:val="Tabletext"/>
              <w:rPr>
                <w:b/>
              </w:rPr>
            </w:pPr>
            <w:r w:rsidRPr="00DC1EE4">
              <w:rPr>
                <w:b/>
              </w:rPr>
              <w:t>Total expenses from transactions</w:t>
            </w:r>
          </w:p>
        </w:tc>
        <w:tc>
          <w:tcPr>
            <w:tcW w:w="712"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TextCentred"/>
              <w:rPr>
                <w:b/>
              </w:rPr>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(81 252)</w:t>
            </w:r>
          </w:p>
        </w:tc>
        <w:tc>
          <w:tcPr>
            <w:tcW w:w="713"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ofFigures"/>
              <w:rPr>
                <w:b/>
              </w:rPr>
            </w:pPr>
            <w:r w:rsidRPr="00DC1EE4">
              <w:rPr>
                <w:b/>
              </w:rPr>
              <w:t>(82 420)</w:t>
            </w:r>
          </w:p>
        </w:tc>
        <w:tc>
          <w:tcPr>
            <w:tcW w:w="867"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(1 168)</w:t>
            </w:r>
          </w:p>
        </w:tc>
      </w:tr>
      <w:tr w:rsidR="0028027B" w:rsidRPr="00DC1EE4" w:rsidTr="00C03F9E">
        <w:trPr>
          <w:cantSplit/>
        </w:trPr>
        <w:tc>
          <w:tcPr>
            <w:tcW w:w="5128" w:type="dxa"/>
            <w:tcBorders>
              <w:top w:val="single" w:sz="6" w:space="0" w:color="auto"/>
              <w:left w:val="nil"/>
              <w:bottom w:val="single" w:sz="12" w:space="0" w:color="auto"/>
              <w:right w:val="nil"/>
            </w:tcBorders>
            <w:shd w:val="clear" w:color="auto" w:fill="auto"/>
            <w:hideMark/>
          </w:tcPr>
          <w:p w:rsidR="0028027B" w:rsidRPr="00DC1EE4" w:rsidRDefault="0028027B" w:rsidP="00C03F9E">
            <w:pPr>
              <w:pStyle w:val="Tabletext"/>
              <w:rPr>
                <w:b/>
              </w:rPr>
            </w:pPr>
            <w:r w:rsidRPr="00DC1EE4">
              <w:rPr>
                <w:b/>
              </w:rPr>
              <w:t>Net result from transactions (net operating balance)</w:t>
            </w:r>
          </w:p>
        </w:tc>
        <w:tc>
          <w:tcPr>
            <w:tcW w:w="712" w:type="dxa"/>
            <w:tcBorders>
              <w:top w:val="single" w:sz="6" w:space="0" w:color="auto"/>
              <w:left w:val="nil"/>
              <w:bottom w:val="single" w:sz="12" w:space="0" w:color="auto"/>
              <w:right w:val="nil"/>
            </w:tcBorders>
            <w:shd w:val="clear" w:color="auto" w:fill="auto"/>
            <w:noWrap/>
            <w:hideMark/>
          </w:tcPr>
          <w:p w:rsidR="0028027B" w:rsidRPr="00DC1EE4" w:rsidRDefault="0028027B" w:rsidP="00C03F9E">
            <w:pPr>
              <w:pStyle w:val="TableTextCentred"/>
              <w:rPr>
                <w:b/>
              </w:rPr>
            </w:pPr>
          </w:p>
        </w:tc>
        <w:tc>
          <w:tcPr>
            <w:tcW w:w="1018" w:type="dxa"/>
            <w:tcBorders>
              <w:top w:val="single" w:sz="6" w:space="0" w:color="auto"/>
              <w:left w:val="nil"/>
              <w:bottom w:val="single" w:sz="12"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26 222</w:t>
            </w:r>
          </w:p>
        </w:tc>
        <w:tc>
          <w:tcPr>
            <w:tcW w:w="713" w:type="dxa"/>
            <w:tcBorders>
              <w:top w:val="single" w:sz="6" w:space="0" w:color="auto"/>
              <w:left w:val="nil"/>
              <w:bottom w:val="single" w:sz="12" w:space="0" w:color="auto"/>
              <w:right w:val="nil"/>
            </w:tcBorders>
            <w:shd w:val="clear" w:color="auto" w:fill="auto"/>
            <w:noWrap/>
            <w:hideMark/>
          </w:tcPr>
          <w:p w:rsidR="0028027B" w:rsidRPr="00DC1EE4" w:rsidRDefault="0028027B" w:rsidP="00C03F9E">
            <w:pPr>
              <w:pStyle w:val="TableofFigures"/>
              <w:rPr>
                <w:b/>
              </w:rPr>
            </w:pPr>
            <w:r w:rsidRPr="00DC1EE4">
              <w:rPr>
                <w:b/>
              </w:rPr>
              <w:t>6 841</w:t>
            </w:r>
          </w:p>
        </w:tc>
        <w:tc>
          <w:tcPr>
            <w:tcW w:w="867"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(19 381)</w:t>
            </w:r>
          </w:p>
        </w:tc>
      </w:tr>
      <w:tr w:rsidR="0028027B" w:rsidRPr="00DC1EE4" w:rsidTr="00C03F9E">
        <w:trPr>
          <w:cantSplit/>
        </w:trPr>
        <w:tc>
          <w:tcPr>
            <w:tcW w:w="5128" w:type="dxa"/>
            <w:tcBorders>
              <w:top w:val="single" w:sz="12" w:space="0" w:color="auto"/>
              <w:left w:val="nil"/>
              <w:bottom w:val="nil"/>
              <w:right w:val="nil"/>
            </w:tcBorders>
            <w:shd w:val="clear" w:color="auto" w:fill="auto"/>
            <w:hideMark/>
          </w:tcPr>
          <w:p w:rsidR="0028027B" w:rsidRPr="00DC1EE4" w:rsidRDefault="0028027B" w:rsidP="00C03F9E">
            <w:pPr>
              <w:pStyle w:val="Tabletext"/>
              <w:rPr>
                <w:b/>
              </w:rPr>
            </w:pPr>
            <w:r w:rsidRPr="00DC1EE4">
              <w:rPr>
                <w:b/>
              </w:rPr>
              <w:t>Other economic flows included in net result</w:t>
            </w:r>
          </w:p>
        </w:tc>
        <w:tc>
          <w:tcPr>
            <w:tcW w:w="712" w:type="dxa"/>
            <w:tcBorders>
              <w:top w:val="single" w:sz="12" w:space="0" w:color="auto"/>
              <w:left w:val="nil"/>
              <w:bottom w:val="nil"/>
              <w:right w:val="nil"/>
            </w:tcBorders>
            <w:shd w:val="clear" w:color="auto" w:fill="auto"/>
            <w:noWrap/>
            <w:hideMark/>
          </w:tcPr>
          <w:p w:rsidR="0028027B" w:rsidRPr="00DC1EE4" w:rsidRDefault="0028027B" w:rsidP="00C03F9E">
            <w:pPr>
              <w:pStyle w:val="TableTextCentred"/>
            </w:pPr>
          </w:p>
        </w:tc>
        <w:tc>
          <w:tcPr>
            <w:tcW w:w="1018" w:type="dxa"/>
            <w:tcBorders>
              <w:top w:val="single" w:sz="12" w:space="0" w:color="auto"/>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w:t>
            </w:r>
          </w:p>
        </w:tc>
        <w:tc>
          <w:tcPr>
            <w:tcW w:w="713" w:type="dxa"/>
            <w:tcBorders>
              <w:top w:val="single" w:sz="12" w:space="0" w:color="auto"/>
              <w:left w:val="nil"/>
              <w:bottom w:val="nil"/>
              <w:right w:val="nil"/>
            </w:tcBorders>
            <w:shd w:val="clear" w:color="auto" w:fill="auto"/>
            <w:noWrap/>
            <w:hideMark/>
          </w:tcPr>
          <w:p w:rsidR="0028027B" w:rsidRPr="00DC1EE4" w:rsidRDefault="0028027B" w:rsidP="00C03F9E">
            <w:pPr>
              <w:pStyle w:val="TableofFigures"/>
            </w:pPr>
            <w:r w:rsidRPr="00DC1EE4">
              <w:t xml:space="preserve"> </w:t>
            </w:r>
          </w:p>
        </w:tc>
        <w:tc>
          <w:tcPr>
            <w:tcW w:w="867" w:type="dxa"/>
            <w:tcBorders>
              <w:top w:val="single" w:sz="12" w:space="0" w:color="auto"/>
              <w:left w:val="nil"/>
              <w:bottom w:val="nil"/>
              <w:right w:val="nil"/>
            </w:tcBorders>
          </w:tcPr>
          <w:p w:rsidR="0028027B" w:rsidRPr="00DC1EE4" w:rsidRDefault="0028027B" w:rsidP="00C03F9E">
            <w:pPr>
              <w:pStyle w:val="TableofFigures"/>
            </w:pP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pPr>
            <w:r w:rsidRPr="00DC1EE4">
              <w:t>Net gain/(loss) on non</w:t>
            </w:r>
            <w:r w:rsidR="005A4BB0">
              <w:noBreakHyphen/>
            </w:r>
            <w:r w:rsidRPr="00DC1EE4">
              <w:t>financial assets</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(5 161)</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1 805</w:t>
            </w:r>
          </w:p>
        </w:tc>
        <w:tc>
          <w:tcPr>
            <w:tcW w:w="867" w:type="dxa"/>
            <w:tcBorders>
              <w:top w:val="nil"/>
              <w:left w:val="nil"/>
              <w:bottom w:val="nil"/>
              <w:right w:val="nil"/>
            </w:tcBorders>
          </w:tcPr>
          <w:p w:rsidR="0028027B" w:rsidRPr="00DC1EE4" w:rsidRDefault="0028027B" w:rsidP="00C03F9E">
            <w:pPr>
              <w:pStyle w:val="TableofFigures"/>
            </w:pPr>
            <w:r w:rsidRPr="00DC1EE4">
              <w:t>6 966</w:t>
            </w:r>
          </w:p>
        </w:tc>
      </w:tr>
      <w:tr w:rsidR="0028027B" w:rsidRPr="00DC1EE4" w:rsidTr="00C03F9E">
        <w:trPr>
          <w:cantSplit/>
        </w:trPr>
        <w:tc>
          <w:tcPr>
            <w:tcW w:w="5128" w:type="dxa"/>
            <w:tcBorders>
              <w:top w:val="nil"/>
              <w:left w:val="nil"/>
              <w:bottom w:val="nil"/>
              <w:right w:val="nil"/>
            </w:tcBorders>
            <w:shd w:val="clear" w:color="auto" w:fill="auto"/>
            <w:hideMark/>
          </w:tcPr>
          <w:p w:rsidR="0028027B" w:rsidRPr="00DC1EE4" w:rsidRDefault="0028027B" w:rsidP="00C03F9E">
            <w:pPr>
              <w:pStyle w:val="Tabletext"/>
            </w:pPr>
            <w:r w:rsidRPr="00DC1EE4">
              <w:t>Net gain/(loss) on financial instruments</w:t>
            </w:r>
          </w:p>
        </w:tc>
        <w:tc>
          <w:tcPr>
            <w:tcW w:w="712" w:type="dxa"/>
            <w:tcBorders>
              <w:top w:val="nil"/>
              <w:left w:val="nil"/>
              <w:bottom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(5 891)</w:t>
            </w:r>
          </w:p>
        </w:tc>
        <w:tc>
          <w:tcPr>
            <w:tcW w:w="713"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(3 971)</w:t>
            </w:r>
          </w:p>
        </w:tc>
        <w:tc>
          <w:tcPr>
            <w:tcW w:w="867" w:type="dxa"/>
            <w:tcBorders>
              <w:top w:val="nil"/>
              <w:left w:val="nil"/>
              <w:bottom w:val="nil"/>
              <w:right w:val="nil"/>
            </w:tcBorders>
          </w:tcPr>
          <w:p w:rsidR="0028027B" w:rsidRPr="00DC1EE4" w:rsidRDefault="0028027B" w:rsidP="00C03F9E">
            <w:pPr>
              <w:pStyle w:val="TableofFigures"/>
            </w:pPr>
            <w:r w:rsidRPr="00DC1EE4">
              <w:t>1 920</w:t>
            </w:r>
          </w:p>
        </w:tc>
      </w:tr>
      <w:tr w:rsidR="0028027B" w:rsidRPr="00DC1EE4" w:rsidTr="00C03F9E">
        <w:trPr>
          <w:cantSplit/>
        </w:trPr>
        <w:tc>
          <w:tcPr>
            <w:tcW w:w="5128" w:type="dxa"/>
            <w:tcBorders>
              <w:top w:val="nil"/>
              <w:left w:val="nil"/>
              <w:right w:val="nil"/>
            </w:tcBorders>
            <w:shd w:val="clear" w:color="auto" w:fill="auto"/>
            <w:hideMark/>
          </w:tcPr>
          <w:p w:rsidR="0028027B" w:rsidRPr="00DC1EE4" w:rsidRDefault="0028027B" w:rsidP="00C03F9E">
            <w:pPr>
              <w:pStyle w:val="Tabletext"/>
            </w:pPr>
            <w:r w:rsidRPr="00DC1EE4">
              <w:t>Share of net profits/(losses) of associates and joint entities, excluding dividends</w:t>
            </w:r>
          </w:p>
        </w:tc>
        <w:tc>
          <w:tcPr>
            <w:tcW w:w="712" w:type="dxa"/>
            <w:tcBorders>
              <w:top w:val="nil"/>
              <w:left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right w:val="nil"/>
            </w:tcBorders>
            <w:shd w:val="clear" w:color="auto" w:fill="BFBFBF" w:themeFill="background1" w:themeFillShade="BF"/>
            <w:noWrap/>
            <w:hideMark/>
          </w:tcPr>
          <w:p w:rsidR="0028027B" w:rsidRPr="00DC1EE4" w:rsidRDefault="0028027B" w:rsidP="00C03F9E">
            <w:pPr>
              <w:pStyle w:val="TableofFigures"/>
            </w:pPr>
            <w:r w:rsidRPr="00DC1EE4">
              <w:t>1 286</w:t>
            </w:r>
          </w:p>
        </w:tc>
        <w:tc>
          <w:tcPr>
            <w:tcW w:w="713" w:type="dxa"/>
            <w:tcBorders>
              <w:top w:val="nil"/>
              <w:left w:val="nil"/>
              <w:right w:val="nil"/>
            </w:tcBorders>
            <w:shd w:val="clear" w:color="auto" w:fill="auto"/>
            <w:noWrap/>
            <w:hideMark/>
          </w:tcPr>
          <w:p w:rsidR="0028027B" w:rsidRPr="00DC1EE4" w:rsidRDefault="0028027B" w:rsidP="00C03F9E">
            <w:pPr>
              <w:pStyle w:val="TableofFigures"/>
            </w:pPr>
            <w:r w:rsidRPr="00DC1EE4">
              <w:t>1 397</w:t>
            </w:r>
          </w:p>
        </w:tc>
        <w:tc>
          <w:tcPr>
            <w:tcW w:w="867" w:type="dxa"/>
            <w:tcBorders>
              <w:top w:val="nil"/>
              <w:left w:val="nil"/>
              <w:right w:val="nil"/>
            </w:tcBorders>
          </w:tcPr>
          <w:p w:rsidR="0028027B" w:rsidRPr="00DC1EE4" w:rsidRDefault="0028027B" w:rsidP="00C03F9E">
            <w:pPr>
              <w:pStyle w:val="TableofFigures"/>
            </w:pPr>
            <w:r w:rsidRPr="00DC1EE4">
              <w:t>111</w:t>
            </w:r>
          </w:p>
        </w:tc>
      </w:tr>
      <w:tr w:rsidR="0028027B" w:rsidRPr="00DC1EE4" w:rsidTr="00C03F9E">
        <w:trPr>
          <w:cantSplit/>
        </w:trPr>
        <w:tc>
          <w:tcPr>
            <w:tcW w:w="5128" w:type="dxa"/>
            <w:tcBorders>
              <w:top w:val="nil"/>
              <w:left w:val="nil"/>
              <w:bottom w:val="single" w:sz="6" w:space="0" w:color="auto"/>
              <w:right w:val="nil"/>
            </w:tcBorders>
            <w:shd w:val="clear" w:color="auto" w:fill="auto"/>
            <w:hideMark/>
          </w:tcPr>
          <w:p w:rsidR="0028027B" w:rsidRPr="00DC1EE4" w:rsidRDefault="0028027B" w:rsidP="00C03F9E">
            <w:pPr>
              <w:pStyle w:val="Tabletext"/>
            </w:pPr>
            <w:r w:rsidRPr="00DC1EE4">
              <w:t>Other gains/(losses) from other economic flows</w:t>
            </w:r>
          </w:p>
        </w:tc>
        <w:tc>
          <w:tcPr>
            <w:tcW w:w="712" w:type="dxa"/>
            <w:tcBorders>
              <w:top w:val="nil"/>
              <w:left w:val="nil"/>
              <w:bottom w:val="single" w:sz="6" w:space="0" w:color="auto"/>
              <w:right w:val="nil"/>
            </w:tcBorders>
            <w:shd w:val="clear" w:color="auto" w:fill="auto"/>
            <w:noWrap/>
            <w:hideMark/>
          </w:tcPr>
          <w:p w:rsidR="0028027B" w:rsidRPr="00DC1EE4" w:rsidRDefault="0028027B" w:rsidP="00C03F9E">
            <w:pPr>
              <w:pStyle w:val="TableTextCentred"/>
            </w:pPr>
          </w:p>
        </w:tc>
        <w:tc>
          <w:tcPr>
            <w:tcW w:w="1018" w:type="dxa"/>
            <w:tcBorders>
              <w:top w:val="nil"/>
              <w:left w:val="nil"/>
              <w:bottom w:val="single" w:sz="6" w:space="0" w:color="auto"/>
              <w:right w:val="nil"/>
            </w:tcBorders>
            <w:shd w:val="clear" w:color="auto" w:fill="BFBFBF" w:themeFill="background1" w:themeFillShade="BF"/>
            <w:noWrap/>
            <w:hideMark/>
          </w:tcPr>
          <w:p w:rsidR="0028027B" w:rsidRPr="00DC1EE4" w:rsidRDefault="0028027B" w:rsidP="00C03F9E">
            <w:pPr>
              <w:pStyle w:val="TableofFigures"/>
            </w:pPr>
            <w:r w:rsidRPr="00DC1EE4">
              <w:t>(2 895)</w:t>
            </w:r>
          </w:p>
        </w:tc>
        <w:tc>
          <w:tcPr>
            <w:tcW w:w="713" w:type="dxa"/>
            <w:tcBorders>
              <w:top w:val="nil"/>
              <w:left w:val="nil"/>
              <w:bottom w:val="single" w:sz="6" w:space="0" w:color="auto"/>
              <w:right w:val="nil"/>
            </w:tcBorders>
            <w:shd w:val="clear" w:color="auto" w:fill="auto"/>
            <w:noWrap/>
            <w:hideMark/>
          </w:tcPr>
          <w:p w:rsidR="0028027B" w:rsidRPr="00DC1EE4" w:rsidRDefault="0028027B" w:rsidP="00C03F9E">
            <w:pPr>
              <w:pStyle w:val="TableofFigures"/>
            </w:pPr>
            <w:r w:rsidRPr="00DC1EE4">
              <w:t>(2 047)</w:t>
            </w:r>
          </w:p>
        </w:tc>
        <w:tc>
          <w:tcPr>
            <w:tcW w:w="867" w:type="dxa"/>
            <w:tcBorders>
              <w:top w:val="nil"/>
              <w:left w:val="nil"/>
              <w:bottom w:val="single" w:sz="6" w:space="0" w:color="auto"/>
              <w:right w:val="nil"/>
            </w:tcBorders>
          </w:tcPr>
          <w:p w:rsidR="0028027B" w:rsidRPr="00DC1EE4" w:rsidRDefault="0028027B" w:rsidP="00C03F9E">
            <w:pPr>
              <w:pStyle w:val="TableofFigures"/>
            </w:pPr>
            <w:r w:rsidRPr="00DC1EE4">
              <w:t>848</w:t>
            </w:r>
          </w:p>
        </w:tc>
      </w:tr>
      <w:tr w:rsidR="0028027B" w:rsidRPr="00DC1EE4" w:rsidTr="00C03F9E">
        <w:trPr>
          <w:cantSplit/>
        </w:trPr>
        <w:tc>
          <w:tcPr>
            <w:tcW w:w="5128" w:type="dxa"/>
            <w:tcBorders>
              <w:top w:val="single" w:sz="6" w:space="0" w:color="auto"/>
              <w:left w:val="nil"/>
              <w:bottom w:val="single" w:sz="6" w:space="0" w:color="auto"/>
              <w:right w:val="nil"/>
            </w:tcBorders>
            <w:shd w:val="clear" w:color="auto" w:fill="auto"/>
            <w:hideMark/>
          </w:tcPr>
          <w:p w:rsidR="0028027B" w:rsidRPr="00DC1EE4" w:rsidRDefault="0028027B" w:rsidP="00C03F9E">
            <w:pPr>
              <w:pStyle w:val="Tabletext"/>
              <w:rPr>
                <w:b/>
              </w:rPr>
            </w:pPr>
            <w:r w:rsidRPr="00DC1EE4">
              <w:rPr>
                <w:b/>
              </w:rPr>
              <w:t>Total other economic flows included in net result</w:t>
            </w:r>
          </w:p>
        </w:tc>
        <w:tc>
          <w:tcPr>
            <w:tcW w:w="712"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TextCentred"/>
              <w:rPr>
                <w:b/>
              </w:rPr>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(12 661)</w:t>
            </w:r>
          </w:p>
        </w:tc>
        <w:tc>
          <w:tcPr>
            <w:tcW w:w="713"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ofFigures"/>
              <w:rPr>
                <w:b/>
              </w:rPr>
            </w:pPr>
            <w:r w:rsidRPr="00DC1EE4">
              <w:rPr>
                <w:b/>
              </w:rPr>
              <w:t>(2 816)</w:t>
            </w:r>
          </w:p>
        </w:tc>
        <w:tc>
          <w:tcPr>
            <w:tcW w:w="867"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9 845</w:t>
            </w:r>
          </w:p>
        </w:tc>
      </w:tr>
      <w:tr w:rsidR="0028027B" w:rsidRPr="00DC1EE4" w:rsidTr="00C03F9E">
        <w:trPr>
          <w:cantSplit/>
        </w:trPr>
        <w:tc>
          <w:tcPr>
            <w:tcW w:w="5128" w:type="dxa"/>
            <w:tcBorders>
              <w:top w:val="single" w:sz="6" w:space="0" w:color="auto"/>
              <w:left w:val="nil"/>
              <w:bottom w:val="single" w:sz="6" w:space="0" w:color="auto"/>
              <w:right w:val="nil"/>
            </w:tcBorders>
            <w:shd w:val="clear" w:color="auto" w:fill="auto"/>
            <w:hideMark/>
          </w:tcPr>
          <w:p w:rsidR="0028027B" w:rsidRPr="00DC1EE4" w:rsidRDefault="0028027B" w:rsidP="00C03F9E">
            <w:pPr>
              <w:pStyle w:val="Tabletext"/>
              <w:rPr>
                <w:b/>
              </w:rPr>
            </w:pPr>
            <w:r w:rsidRPr="00DC1EE4">
              <w:rPr>
                <w:b/>
              </w:rPr>
              <w:t>Net result from continuing operations</w:t>
            </w:r>
          </w:p>
        </w:tc>
        <w:tc>
          <w:tcPr>
            <w:tcW w:w="712"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TextCentred"/>
              <w:rPr>
                <w:b/>
              </w:rPr>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13 562</w:t>
            </w:r>
          </w:p>
        </w:tc>
        <w:tc>
          <w:tcPr>
            <w:tcW w:w="713"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ofFigures"/>
              <w:rPr>
                <w:b/>
              </w:rPr>
            </w:pPr>
            <w:r w:rsidRPr="00DC1EE4">
              <w:rPr>
                <w:b/>
              </w:rPr>
              <w:t>6 023</w:t>
            </w:r>
          </w:p>
        </w:tc>
        <w:tc>
          <w:tcPr>
            <w:tcW w:w="867"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(7 539)</w:t>
            </w:r>
          </w:p>
        </w:tc>
      </w:tr>
      <w:tr w:rsidR="0028027B" w:rsidRPr="00DC1EE4" w:rsidTr="00C03F9E">
        <w:trPr>
          <w:cantSplit/>
        </w:trPr>
        <w:tc>
          <w:tcPr>
            <w:tcW w:w="5128" w:type="dxa"/>
            <w:tcBorders>
              <w:top w:val="single" w:sz="6" w:space="0" w:color="auto"/>
              <w:left w:val="nil"/>
              <w:bottom w:val="single" w:sz="6" w:space="0" w:color="auto"/>
              <w:right w:val="nil"/>
            </w:tcBorders>
            <w:shd w:val="clear" w:color="auto" w:fill="auto"/>
            <w:hideMark/>
          </w:tcPr>
          <w:p w:rsidR="0028027B" w:rsidRPr="00DC1EE4" w:rsidRDefault="0028027B" w:rsidP="00C03F9E">
            <w:pPr>
              <w:pStyle w:val="Tabletext"/>
            </w:pPr>
            <w:r w:rsidRPr="00DC1EE4">
              <w:t>Net result from discontinued operations</w:t>
            </w:r>
          </w:p>
        </w:tc>
        <w:tc>
          <w:tcPr>
            <w:tcW w:w="712"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TextCentred"/>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8027B" w:rsidRPr="00DC1EE4" w:rsidRDefault="0028027B" w:rsidP="00C03F9E">
            <w:pPr>
              <w:pStyle w:val="TableofFigures"/>
            </w:pPr>
            <w:r w:rsidRPr="00DC1EE4">
              <w:t>1 229</w:t>
            </w:r>
          </w:p>
        </w:tc>
        <w:tc>
          <w:tcPr>
            <w:tcW w:w="713"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ofFigures"/>
            </w:pPr>
            <w:r w:rsidRPr="00DC1EE4">
              <w:t>3 856</w:t>
            </w:r>
          </w:p>
        </w:tc>
        <w:tc>
          <w:tcPr>
            <w:tcW w:w="867" w:type="dxa"/>
            <w:tcBorders>
              <w:top w:val="single" w:sz="6" w:space="0" w:color="auto"/>
              <w:left w:val="nil"/>
              <w:bottom w:val="single" w:sz="6" w:space="0" w:color="auto"/>
              <w:right w:val="nil"/>
            </w:tcBorders>
          </w:tcPr>
          <w:p w:rsidR="0028027B" w:rsidRPr="00DC1EE4" w:rsidRDefault="0028027B" w:rsidP="00C03F9E">
            <w:pPr>
              <w:pStyle w:val="TableofFigures"/>
            </w:pPr>
            <w:r w:rsidRPr="00DC1EE4">
              <w:t>2 627</w:t>
            </w:r>
          </w:p>
        </w:tc>
      </w:tr>
      <w:tr w:rsidR="0028027B" w:rsidRPr="00DC1EE4" w:rsidTr="00C03F9E">
        <w:trPr>
          <w:cantSplit/>
        </w:trPr>
        <w:tc>
          <w:tcPr>
            <w:tcW w:w="5128" w:type="dxa"/>
            <w:tcBorders>
              <w:top w:val="single" w:sz="6" w:space="0" w:color="auto"/>
              <w:left w:val="nil"/>
              <w:bottom w:val="single" w:sz="6" w:space="0" w:color="auto"/>
              <w:right w:val="nil"/>
            </w:tcBorders>
            <w:shd w:val="clear" w:color="auto" w:fill="auto"/>
            <w:hideMark/>
          </w:tcPr>
          <w:p w:rsidR="0028027B" w:rsidRPr="00DC1EE4" w:rsidRDefault="0028027B" w:rsidP="00C03F9E">
            <w:pPr>
              <w:pStyle w:val="Tabletext"/>
              <w:rPr>
                <w:b/>
              </w:rPr>
            </w:pPr>
            <w:r w:rsidRPr="00DC1EE4">
              <w:rPr>
                <w:b/>
              </w:rPr>
              <w:t>Net result</w:t>
            </w:r>
          </w:p>
        </w:tc>
        <w:tc>
          <w:tcPr>
            <w:tcW w:w="712"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TextCentred"/>
              <w:rPr>
                <w:b/>
              </w:rPr>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14 790</w:t>
            </w:r>
          </w:p>
        </w:tc>
        <w:tc>
          <w:tcPr>
            <w:tcW w:w="713"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ofFigures"/>
              <w:rPr>
                <w:b/>
              </w:rPr>
            </w:pPr>
            <w:r w:rsidRPr="00DC1EE4">
              <w:rPr>
                <w:b/>
              </w:rPr>
              <w:t>9 879</w:t>
            </w:r>
          </w:p>
        </w:tc>
        <w:tc>
          <w:tcPr>
            <w:tcW w:w="867"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(4 911)</w:t>
            </w:r>
          </w:p>
        </w:tc>
      </w:tr>
      <w:tr w:rsidR="0028027B" w:rsidRPr="00DC1EE4" w:rsidTr="00C03F9E">
        <w:trPr>
          <w:cantSplit/>
        </w:trPr>
        <w:tc>
          <w:tcPr>
            <w:tcW w:w="5128" w:type="dxa"/>
            <w:tcBorders>
              <w:top w:val="single" w:sz="6" w:space="0" w:color="auto"/>
              <w:left w:val="nil"/>
              <w:bottom w:val="nil"/>
              <w:right w:val="nil"/>
            </w:tcBorders>
            <w:shd w:val="clear" w:color="auto" w:fill="auto"/>
            <w:hideMark/>
          </w:tcPr>
          <w:p w:rsidR="0028027B" w:rsidRPr="00DC1EE4" w:rsidRDefault="0028027B" w:rsidP="00C03F9E">
            <w:pPr>
              <w:pStyle w:val="Tabletext"/>
              <w:rPr>
                <w:b/>
              </w:rPr>
            </w:pPr>
            <w:r w:rsidRPr="00DC1EE4">
              <w:rPr>
                <w:b/>
              </w:rPr>
              <w:t>Other economic flows – other comprehensive income</w:t>
            </w:r>
          </w:p>
        </w:tc>
        <w:tc>
          <w:tcPr>
            <w:tcW w:w="712" w:type="dxa"/>
            <w:tcBorders>
              <w:top w:val="single" w:sz="6" w:space="0" w:color="auto"/>
              <w:left w:val="nil"/>
              <w:bottom w:val="nil"/>
              <w:right w:val="nil"/>
            </w:tcBorders>
            <w:shd w:val="clear" w:color="auto" w:fill="auto"/>
            <w:noWrap/>
            <w:hideMark/>
          </w:tcPr>
          <w:p w:rsidR="0028027B" w:rsidRPr="00DC1EE4" w:rsidRDefault="0028027B" w:rsidP="00C03F9E">
            <w:pPr>
              <w:pStyle w:val="TableTextCentred"/>
              <w:rPr>
                <w:b/>
              </w:rPr>
            </w:pPr>
          </w:p>
        </w:tc>
        <w:tc>
          <w:tcPr>
            <w:tcW w:w="1018" w:type="dxa"/>
            <w:tcBorders>
              <w:top w:val="single" w:sz="6" w:space="0" w:color="auto"/>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w:t>
            </w:r>
          </w:p>
        </w:tc>
        <w:tc>
          <w:tcPr>
            <w:tcW w:w="713" w:type="dxa"/>
            <w:tcBorders>
              <w:top w:val="single" w:sz="6" w:space="0" w:color="auto"/>
              <w:left w:val="nil"/>
              <w:bottom w:val="nil"/>
              <w:right w:val="nil"/>
            </w:tcBorders>
            <w:shd w:val="clear" w:color="auto" w:fill="auto"/>
            <w:noWrap/>
            <w:hideMark/>
          </w:tcPr>
          <w:p w:rsidR="0028027B" w:rsidRPr="00DC1EE4" w:rsidRDefault="0028027B" w:rsidP="00C03F9E">
            <w:pPr>
              <w:pStyle w:val="TableofFigures"/>
            </w:pPr>
            <w:r w:rsidRPr="00DC1EE4">
              <w:t xml:space="preserve"> </w:t>
            </w:r>
          </w:p>
        </w:tc>
        <w:tc>
          <w:tcPr>
            <w:tcW w:w="867" w:type="dxa"/>
            <w:tcBorders>
              <w:top w:val="single" w:sz="6" w:space="0" w:color="auto"/>
              <w:left w:val="nil"/>
              <w:bottom w:val="nil"/>
              <w:right w:val="nil"/>
            </w:tcBorders>
          </w:tcPr>
          <w:p w:rsidR="0028027B" w:rsidRPr="00DC1EE4" w:rsidRDefault="0028027B" w:rsidP="00C03F9E">
            <w:pPr>
              <w:pStyle w:val="TableofFigures"/>
            </w:pPr>
          </w:p>
        </w:tc>
      </w:tr>
      <w:tr w:rsidR="0028027B" w:rsidRPr="00DC1EE4" w:rsidTr="00C03F9E">
        <w:trPr>
          <w:cantSplit/>
        </w:trPr>
        <w:tc>
          <w:tcPr>
            <w:tcW w:w="5128" w:type="dxa"/>
            <w:tcBorders>
              <w:top w:val="single" w:sz="6" w:space="0" w:color="auto"/>
              <w:left w:val="nil"/>
              <w:bottom w:val="nil"/>
              <w:right w:val="nil"/>
            </w:tcBorders>
            <w:shd w:val="clear" w:color="auto" w:fill="auto"/>
          </w:tcPr>
          <w:p w:rsidR="0028027B" w:rsidRPr="00DC1EE4" w:rsidRDefault="0028027B" w:rsidP="00C03F9E">
            <w:pPr>
              <w:pStyle w:val="Tabletext"/>
              <w:rPr>
                <w:b/>
              </w:rPr>
            </w:pPr>
            <w:r w:rsidRPr="00DC1EE4">
              <w:rPr>
                <w:b/>
              </w:rPr>
              <w:t>Items that will not be reclassified to net result</w:t>
            </w:r>
          </w:p>
        </w:tc>
        <w:tc>
          <w:tcPr>
            <w:tcW w:w="712" w:type="dxa"/>
            <w:tcBorders>
              <w:top w:val="single" w:sz="6" w:space="0" w:color="auto"/>
              <w:left w:val="nil"/>
              <w:bottom w:val="nil"/>
              <w:right w:val="nil"/>
            </w:tcBorders>
            <w:shd w:val="clear" w:color="auto" w:fill="auto"/>
            <w:noWrap/>
          </w:tcPr>
          <w:p w:rsidR="0028027B" w:rsidRPr="00DC1EE4" w:rsidRDefault="0028027B" w:rsidP="00C03F9E">
            <w:pPr>
              <w:pStyle w:val="TableTextCentred"/>
            </w:pPr>
          </w:p>
        </w:tc>
        <w:tc>
          <w:tcPr>
            <w:tcW w:w="1018" w:type="dxa"/>
            <w:tcBorders>
              <w:top w:val="single" w:sz="6" w:space="0" w:color="auto"/>
              <w:left w:val="nil"/>
              <w:bottom w:val="nil"/>
              <w:right w:val="nil"/>
            </w:tcBorders>
            <w:shd w:val="clear" w:color="auto" w:fill="BFBFBF" w:themeFill="background1" w:themeFillShade="BF"/>
            <w:noWrap/>
          </w:tcPr>
          <w:p w:rsidR="0028027B" w:rsidRPr="00DC1EE4" w:rsidRDefault="0028027B" w:rsidP="00C03F9E">
            <w:pPr>
              <w:pStyle w:val="TableofFigures"/>
            </w:pPr>
          </w:p>
        </w:tc>
        <w:tc>
          <w:tcPr>
            <w:tcW w:w="713" w:type="dxa"/>
            <w:tcBorders>
              <w:top w:val="single" w:sz="6" w:space="0" w:color="auto"/>
              <w:left w:val="nil"/>
              <w:bottom w:val="nil"/>
              <w:right w:val="nil"/>
            </w:tcBorders>
            <w:shd w:val="clear" w:color="auto" w:fill="auto"/>
            <w:noWrap/>
          </w:tcPr>
          <w:p w:rsidR="0028027B" w:rsidRPr="00DC1EE4" w:rsidRDefault="0028027B" w:rsidP="00C03F9E">
            <w:pPr>
              <w:pStyle w:val="TableofFigures"/>
            </w:pPr>
          </w:p>
        </w:tc>
        <w:tc>
          <w:tcPr>
            <w:tcW w:w="867" w:type="dxa"/>
            <w:tcBorders>
              <w:top w:val="single" w:sz="6" w:space="0" w:color="auto"/>
              <w:left w:val="nil"/>
              <w:bottom w:val="nil"/>
              <w:right w:val="nil"/>
            </w:tcBorders>
          </w:tcPr>
          <w:p w:rsidR="0028027B" w:rsidRPr="00DC1EE4" w:rsidRDefault="0028027B" w:rsidP="00C03F9E">
            <w:pPr>
              <w:pStyle w:val="TableofFigures"/>
            </w:pPr>
          </w:p>
        </w:tc>
      </w:tr>
      <w:tr w:rsidR="0028027B" w:rsidRPr="00DC1EE4" w:rsidTr="00C03F9E">
        <w:trPr>
          <w:cantSplit/>
        </w:trPr>
        <w:tc>
          <w:tcPr>
            <w:tcW w:w="5128" w:type="dxa"/>
            <w:tcBorders>
              <w:top w:val="nil"/>
              <w:left w:val="nil"/>
              <w:right w:val="nil"/>
            </w:tcBorders>
            <w:shd w:val="clear" w:color="auto" w:fill="auto"/>
            <w:hideMark/>
          </w:tcPr>
          <w:p w:rsidR="0028027B" w:rsidRPr="00DC1EE4" w:rsidRDefault="0028027B" w:rsidP="00C03F9E">
            <w:pPr>
              <w:pStyle w:val="Tabletext"/>
            </w:pPr>
            <w:r w:rsidRPr="00DC1EE4">
              <w:t>Changes in physical asset revaluation surplus</w:t>
            </w:r>
          </w:p>
        </w:tc>
        <w:tc>
          <w:tcPr>
            <w:tcW w:w="712" w:type="dxa"/>
            <w:tcBorders>
              <w:top w:val="nil"/>
              <w:left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right w:val="nil"/>
            </w:tcBorders>
            <w:shd w:val="clear" w:color="auto" w:fill="BFBFBF" w:themeFill="background1" w:themeFillShade="BF"/>
            <w:noWrap/>
            <w:hideMark/>
          </w:tcPr>
          <w:p w:rsidR="0028027B" w:rsidRPr="00DC1EE4" w:rsidRDefault="0028027B" w:rsidP="00C03F9E">
            <w:pPr>
              <w:pStyle w:val="TableofFigures"/>
            </w:pPr>
            <w:r w:rsidRPr="00DC1EE4">
              <w:t>7 403</w:t>
            </w:r>
          </w:p>
        </w:tc>
        <w:tc>
          <w:tcPr>
            <w:tcW w:w="713" w:type="dxa"/>
            <w:tcBorders>
              <w:top w:val="nil"/>
              <w:left w:val="nil"/>
              <w:right w:val="nil"/>
            </w:tcBorders>
            <w:shd w:val="clear" w:color="auto" w:fill="auto"/>
            <w:noWrap/>
            <w:hideMark/>
          </w:tcPr>
          <w:p w:rsidR="0028027B" w:rsidRPr="00DC1EE4" w:rsidRDefault="0028027B" w:rsidP="00C03F9E">
            <w:pPr>
              <w:pStyle w:val="TableofFigures"/>
            </w:pPr>
            <w:r w:rsidRPr="00DC1EE4">
              <w:t>2 825</w:t>
            </w:r>
          </w:p>
        </w:tc>
        <w:tc>
          <w:tcPr>
            <w:tcW w:w="867" w:type="dxa"/>
            <w:tcBorders>
              <w:top w:val="nil"/>
              <w:left w:val="nil"/>
              <w:right w:val="nil"/>
            </w:tcBorders>
          </w:tcPr>
          <w:p w:rsidR="0028027B" w:rsidRPr="00DC1EE4" w:rsidRDefault="0028027B" w:rsidP="00C03F9E">
            <w:pPr>
              <w:pStyle w:val="TableofFigures"/>
            </w:pPr>
            <w:r w:rsidRPr="00DC1EE4">
              <w:t>(4 578)</w:t>
            </w:r>
          </w:p>
        </w:tc>
      </w:tr>
      <w:tr w:rsidR="0028027B" w:rsidRPr="00DC1EE4" w:rsidTr="00C03F9E">
        <w:trPr>
          <w:cantSplit/>
        </w:trPr>
        <w:tc>
          <w:tcPr>
            <w:tcW w:w="5128" w:type="dxa"/>
            <w:tcBorders>
              <w:top w:val="nil"/>
              <w:left w:val="nil"/>
              <w:right w:val="nil"/>
            </w:tcBorders>
            <w:shd w:val="clear" w:color="auto" w:fill="auto"/>
            <w:hideMark/>
          </w:tcPr>
          <w:p w:rsidR="0028027B" w:rsidRPr="00DC1EE4" w:rsidRDefault="0028027B" w:rsidP="00C03F9E">
            <w:pPr>
              <w:pStyle w:val="Tabletext"/>
            </w:pPr>
            <w:r w:rsidRPr="00DC1EE4">
              <w:t>Share of net movement in revaluation surplus of associates and joint ventures</w:t>
            </w:r>
          </w:p>
        </w:tc>
        <w:tc>
          <w:tcPr>
            <w:tcW w:w="712" w:type="dxa"/>
            <w:tcBorders>
              <w:top w:val="nil"/>
              <w:left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260</w:t>
            </w:r>
          </w:p>
        </w:tc>
        <w:tc>
          <w:tcPr>
            <w:tcW w:w="713" w:type="dxa"/>
            <w:tcBorders>
              <w:top w:val="nil"/>
              <w:left w:val="nil"/>
              <w:right w:val="nil"/>
            </w:tcBorders>
            <w:shd w:val="clear" w:color="auto" w:fill="auto"/>
            <w:noWrap/>
            <w:hideMark/>
          </w:tcPr>
          <w:p w:rsidR="0028027B" w:rsidRPr="00DC1EE4" w:rsidRDefault="0028027B" w:rsidP="00C03F9E">
            <w:pPr>
              <w:pStyle w:val="TableofFigures"/>
            </w:pPr>
            <w:r w:rsidRPr="00DC1EE4">
              <w:t xml:space="preserve"> 280</w:t>
            </w:r>
          </w:p>
        </w:tc>
        <w:tc>
          <w:tcPr>
            <w:tcW w:w="867" w:type="dxa"/>
            <w:tcBorders>
              <w:top w:val="nil"/>
              <w:left w:val="nil"/>
              <w:right w:val="nil"/>
            </w:tcBorders>
          </w:tcPr>
          <w:p w:rsidR="0028027B" w:rsidRPr="00DC1EE4" w:rsidRDefault="0028027B" w:rsidP="00C03F9E">
            <w:pPr>
              <w:pStyle w:val="TableofFigures"/>
            </w:pPr>
            <w:r w:rsidRPr="00DC1EE4">
              <w:t>20</w:t>
            </w:r>
          </w:p>
        </w:tc>
      </w:tr>
      <w:tr w:rsidR="0028027B" w:rsidRPr="00DC1EE4" w:rsidTr="00C03F9E">
        <w:trPr>
          <w:cantSplit/>
        </w:trPr>
        <w:tc>
          <w:tcPr>
            <w:tcW w:w="5128" w:type="dxa"/>
            <w:tcBorders>
              <w:left w:val="nil"/>
              <w:bottom w:val="nil"/>
              <w:right w:val="nil"/>
            </w:tcBorders>
            <w:shd w:val="clear" w:color="auto" w:fill="auto"/>
          </w:tcPr>
          <w:p w:rsidR="0028027B" w:rsidRPr="00DC1EE4" w:rsidRDefault="0028027B" w:rsidP="00C03F9E">
            <w:pPr>
              <w:pStyle w:val="Tabletext"/>
              <w:rPr>
                <w:b/>
              </w:rPr>
            </w:pPr>
            <w:r w:rsidRPr="00DC1EE4">
              <w:rPr>
                <w:b/>
              </w:rPr>
              <w:t>Items that may be reclassified subsequently to net result</w:t>
            </w:r>
          </w:p>
        </w:tc>
        <w:tc>
          <w:tcPr>
            <w:tcW w:w="712" w:type="dxa"/>
            <w:tcBorders>
              <w:left w:val="nil"/>
              <w:bottom w:val="nil"/>
              <w:right w:val="nil"/>
            </w:tcBorders>
            <w:shd w:val="clear" w:color="auto" w:fill="auto"/>
            <w:noWrap/>
          </w:tcPr>
          <w:p w:rsidR="0028027B" w:rsidRPr="00DC1EE4" w:rsidRDefault="0028027B" w:rsidP="00C03F9E">
            <w:pPr>
              <w:pStyle w:val="TableTextCentred"/>
            </w:pPr>
          </w:p>
        </w:tc>
        <w:tc>
          <w:tcPr>
            <w:tcW w:w="1018" w:type="dxa"/>
            <w:tcBorders>
              <w:left w:val="nil"/>
              <w:bottom w:val="nil"/>
              <w:right w:val="nil"/>
            </w:tcBorders>
            <w:shd w:val="clear" w:color="auto" w:fill="BFBFBF" w:themeFill="background1" w:themeFillShade="BF"/>
            <w:noWrap/>
          </w:tcPr>
          <w:p w:rsidR="0028027B" w:rsidRPr="00DC1EE4" w:rsidRDefault="0028027B" w:rsidP="00C03F9E">
            <w:pPr>
              <w:pStyle w:val="TableofFigures"/>
            </w:pPr>
          </w:p>
        </w:tc>
        <w:tc>
          <w:tcPr>
            <w:tcW w:w="713" w:type="dxa"/>
            <w:tcBorders>
              <w:left w:val="nil"/>
              <w:bottom w:val="nil"/>
              <w:right w:val="nil"/>
            </w:tcBorders>
            <w:shd w:val="clear" w:color="auto" w:fill="auto"/>
            <w:noWrap/>
          </w:tcPr>
          <w:p w:rsidR="0028027B" w:rsidRPr="00DC1EE4" w:rsidRDefault="0028027B" w:rsidP="00C03F9E">
            <w:pPr>
              <w:pStyle w:val="TableofFigures"/>
            </w:pPr>
          </w:p>
        </w:tc>
        <w:tc>
          <w:tcPr>
            <w:tcW w:w="867" w:type="dxa"/>
            <w:tcBorders>
              <w:left w:val="nil"/>
              <w:bottom w:val="nil"/>
              <w:right w:val="nil"/>
            </w:tcBorders>
          </w:tcPr>
          <w:p w:rsidR="0028027B" w:rsidRPr="00DC1EE4" w:rsidRDefault="0028027B" w:rsidP="00C03F9E">
            <w:pPr>
              <w:pStyle w:val="TableofFigures"/>
            </w:pPr>
          </w:p>
        </w:tc>
      </w:tr>
      <w:tr w:rsidR="0028027B" w:rsidRPr="00DC1EE4" w:rsidTr="00C03F9E">
        <w:trPr>
          <w:cantSplit/>
        </w:trPr>
        <w:tc>
          <w:tcPr>
            <w:tcW w:w="5128" w:type="dxa"/>
            <w:tcBorders>
              <w:top w:val="nil"/>
              <w:left w:val="nil"/>
              <w:right w:val="nil"/>
            </w:tcBorders>
            <w:shd w:val="clear" w:color="auto" w:fill="auto"/>
            <w:hideMark/>
          </w:tcPr>
          <w:p w:rsidR="0028027B" w:rsidRPr="00DC1EE4" w:rsidRDefault="0028027B" w:rsidP="00C03F9E">
            <w:pPr>
              <w:pStyle w:val="Tabletext"/>
            </w:pPr>
            <w:r w:rsidRPr="00DC1EE4">
              <w:t>Changes to financial assets available</w:t>
            </w:r>
            <w:r w:rsidR="005A4BB0">
              <w:noBreakHyphen/>
            </w:r>
            <w:r w:rsidRPr="00DC1EE4">
              <w:t>for</w:t>
            </w:r>
            <w:r w:rsidR="005A4BB0">
              <w:noBreakHyphen/>
            </w:r>
            <w:r w:rsidRPr="00DC1EE4">
              <w:t>sale revaluation surplus</w:t>
            </w:r>
          </w:p>
        </w:tc>
        <w:tc>
          <w:tcPr>
            <w:tcW w:w="712" w:type="dxa"/>
            <w:tcBorders>
              <w:top w:val="nil"/>
              <w:left w:val="nil"/>
              <w:right w:val="nil"/>
            </w:tcBorders>
            <w:shd w:val="clear" w:color="auto" w:fill="auto"/>
            <w:noWrap/>
            <w:hideMark/>
          </w:tcPr>
          <w:p w:rsidR="0028027B" w:rsidRPr="00DC1EE4" w:rsidRDefault="0028027B" w:rsidP="00C03F9E">
            <w:pPr>
              <w:pStyle w:val="TableTextCentred"/>
            </w:pPr>
          </w:p>
        </w:tc>
        <w:tc>
          <w:tcPr>
            <w:tcW w:w="1018" w:type="dxa"/>
            <w:tcBorders>
              <w:top w:val="nil"/>
              <w:left w:val="nil"/>
              <w:right w:val="nil"/>
            </w:tcBorders>
            <w:shd w:val="clear" w:color="auto" w:fill="BFBFBF" w:themeFill="background1" w:themeFillShade="BF"/>
            <w:noWrap/>
            <w:hideMark/>
          </w:tcPr>
          <w:p w:rsidR="0028027B" w:rsidRPr="00DC1EE4" w:rsidRDefault="0028027B" w:rsidP="00C03F9E">
            <w:pPr>
              <w:pStyle w:val="TableofFigures"/>
            </w:pPr>
            <w:r w:rsidRPr="00DC1EE4">
              <w:t>(1 250)</w:t>
            </w:r>
          </w:p>
        </w:tc>
        <w:tc>
          <w:tcPr>
            <w:tcW w:w="713" w:type="dxa"/>
            <w:tcBorders>
              <w:top w:val="nil"/>
              <w:left w:val="nil"/>
              <w:right w:val="nil"/>
            </w:tcBorders>
            <w:shd w:val="clear" w:color="auto" w:fill="auto"/>
            <w:noWrap/>
            <w:hideMark/>
          </w:tcPr>
          <w:p w:rsidR="0028027B" w:rsidRPr="00DC1EE4" w:rsidRDefault="0028027B" w:rsidP="00C03F9E">
            <w:pPr>
              <w:pStyle w:val="TableofFigures"/>
            </w:pPr>
            <w:r w:rsidRPr="00DC1EE4">
              <w:t xml:space="preserve"> 996</w:t>
            </w:r>
          </w:p>
        </w:tc>
        <w:tc>
          <w:tcPr>
            <w:tcW w:w="867" w:type="dxa"/>
            <w:tcBorders>
              <w:top w:val="nil"/>
              <w:left w:val="nil"/>
              <w:right w:val="nil"/>
            </w:tcBorders>
          </w:tcPr>
          <w:p w:rsidR="0028027B" w:rsidRPr="00DC1EE4" w:rsidRDefault="0028027B" w:rsidP="00C03F9E">
            <w:pPr>
              <w:pStyle w:val="TableofFigures"/>
            </w:pPr>
            <w:r w:rsidRPr="00DC1EE4">
              <w:t>2 246</w:t>
            </w:r>
          </w:p>
        </w:tc>
      </w:tr>
      <w:tr w:rsidR="0028027B" w:rsidRPr="00DC1EE4" w:rsidTr="00C03F9E">
        <w:trPr>
          <w:cantSplit/>
        </w:trPr>
        <w:tc>
          <w:tcPr>
            <w:tcW w:w="5128" w:type="dxa"/>
            <w:tcBorders>
              <w:top w:val="single" w:sz="6" w:space="0" w:color="auto"/>
              <w:left w:val="nil"/>
              <w:bottom w:val="single" w:sz="6" w:space="0" w:color="auto"/>
              <w:right w:val="nil"/>
            </w:tcBorders>
            <w:shd w:val="clear" w:color="auto" w:fill="auto"/>
            <w:hideMark/>
          </w:tcPr>
          <w:p w:rsidR="0028027B" w:rsidRPr="00DC1EE4" w:rsidRDefault="0028027B" w:rsidP="00C03F9E">
            <w:pPr>
              <w:pStyle w:val="Tabletext"/>
              <w:rPr>
                <w:b/>
              </w:rPr>
            </w:pPr>
            <w:r w:rsidRPr="00DC1EE4">
              <w:rPr>
                <w:b/>
              </w:rPr>
              <w:t>Total other economic flows – other comprehensive income</w:t>
            </w:r>
          </w:p>
        </w:tc>
        <w:tc>
          <w:tcPr>
            <w:tcW w:w="712"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TextCentred"/>
              <w:rPr>
                <w:b/>
              </w:rPr>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6 413</w:t>
            </w:r>
          </w:p>
        </w:tc>
        <w:tc>
          <w:tcPr>
            <w:tcW w:w="713" w:type="dxa"/>
            <w:tcBorders>
              <w:top w:val="single" w:sz="6" w:space="0" w:color="auto"/>
              <w:left w:val="nil"/>
              <w:bottom w:val="single" w:sz="6" w:space="0" w:color="auto"/>
              <w:right w:val="nil"/>
            </w:tcBorders>
            <w:shd w:val="clear" w:color="auto" w:fill="auto"/>
            <w:noWrap/>
            <w:hideMark/>
          </w:tcPr>
          <w:p w:rsidR="0028027B" w:rsidRPr="00DC1EE4" w:rsidRDefault="0028027B" w:rsidP="00C03F9E">
            <w:pPr>
              <w:pStyle w:val="TableofFigures"/>
              <w:rPr>
                <w:b/>
              </w:rPr>
            </w:pPr>
            <w:r w:rsidRPr="00DC1EE4">
              <w:rPr>
                <w:b/>
              </w:rPr>
              <w:t>4 101</w:t>
            </w:r>
          </w:p>
        </w:tc>
        <w:tc>
          <w:tcPr>
            <w:tcW w:w="867" w:type="dxa"/>
            <w:tcBorders>
              <w:top w:val="single" w:sz="6" w:space="0" w:color="auto"/>
              <w:left w:val="nil"/>
              <w:bottom w:val="single" w:sz="6" w:space="0" w:color="auto"/>
              <w:right w:val="nil"/>
            </w:tcBorders>
          </w:tcPr>
          <w:p w:rsidR="0028027B" w:rsidRPr="00DC1EE4" w:rsidRDefault="0028027B" w:rsidP="00C03F9E">
            <w:pPr>
              <w:pStyle w:val="TableofFigures"/>
              <w:rPr>
                <w:b/>
              </w:rPr>
            </w:pPr>
            <w:r w:rsidRPr="00DC1EE4">
              <w:rPr>
                <w:b/>
              </w:rPr>
              <w:t>(2 312)</w:t>
            </w:r>
          </w:p>
        </w:tc>
      </w:tr>
      <w:tr w:rsidR="0028027B" w:rsidRPr="00DC1EE4" w:rsidTr="00C03F9E">
        <w:trPr>
          <w:cantSplit/>
        </w:trPr>
        <w:tc>
          <w:tcPr>
            <w:tcW w:w="5128" w:type="dxa"/>
            <w:tcBorders>
              <w:top w:val="single" w:sz="6" w:space="0" w:color="auto"/>
              <w:left w:val="nil"/>
              <w:bottom w:val="single" w:sz="12" w:space="0" w:color="auto"/>
              <w:right w:val="nil"/>
            </w:tcBorders>
            <w:shd w:val="clear" w:color="auto" w:fill="auto"/>
            <w:hideMark/>
          </w:tcPr>
          <w:p w:rsidR="0028027B" w:rsidRPr="00DC1EE4" w:rsidRDefault="0028027B" w:rsidP="00C03F9E">
            <w:pPr>
              <w:pStyle w:val="Tabletext"/>
              <w:rPr>
                <w:b/>
              </w:rPr>
            </w:pPr>
            <w:r w:rsidRPr="00DC1EE4">
              <w:rPr>
                <w:b/>
              </w:rPr>
              <w:t>Comprehensive result</w:t>
            </w:r>
          </w:p>
        </w:tc>
        <w:tc>
          <w:tcPr>
            <w:tcW w:w="712" w:type="dxa"/>
            <w:tcBorders>
              <w:top w:val="single" w:sz="6" w:space="0" w:color="auto"/>
              <w:left w:val="nil"/>
              <w:bottom w:val="single" w:sz="12" w:space="0" w:color="auto"/>
              <w:right w:val="nil"/>
            </w:tcBorders>
            <w:shd w:val="clear" w:color="auto" w:fill="auto"/>
            <w:noWrap/>
            <w:hideMark/>
          </w:tcPr>
          <w:p w:rsidR="0028027B" w:rsidRPr="00DC1EE4" w:rsidRDefault="0028027B" w:rsidP="00C03F9E">
            <w:pPr>
              <w:pStyle w:val="TableTextCentred"/>
              <w:rPr>
                <w:b/>
              </w:rPr>
            </w:pPr>
          </w:p>
        </w:tc>
        <w:tc>
          <w:tcPr>
            <w:tcW w:w="1018" w:type="dxa"/>
            <w:tcBorders>
              <w:top w:val="single" w:sz="6" w:space="0" w:color="auto"/>
              <w:left w:val="nil"/>
              <w:bottom w:val="single" w:sz="12"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21 203</w:t>
            </w:r>
          </w:p>
        </w:tc>
        <w:tc>
          <w:tcPr>
            <w:tcW w:w="713" w:type="dxa"/>
            <w:tcBorders>
              <w:top w:val="single" w:sz="6" w:space="0" w:color="auto"/>
              <w:left w:val="nil"/>
              <w:bottom w:val="single" w:sz="12" w:space="0" w:color="auto"/>
              <w:right w:val="nil"/>
            </w:tcBorders>
            <w:shd w:val="clear" w:color="auto" w:fill="auto"/>
            <w:noWrap/>
            <w:hideMark/>
          </w:tcPr>
          <w:p w:rsidR="0028027B" w:rsidRPr="00DC1EE4" w:rsidRDefault="0028027B" w:rsidP="00C03F9E">
            <w:pPr>
              <w:pStyle w:val="TableofFigures"/>
              <w:rPr>
                <w:b/>
              </w:rPr>
            </w:pPr>
            <w:r w:rsidRPr="00DC1EE4">
              <w:rPr>
                <w:b/>
              </w:rPr>
              <w:t>13 980</w:t>
            </w:r>
          </w:p>
        </w:tc>
        <w:tc>
          <w:tcPr>
            <w:tcW w:w="867"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(7 223)</w:t>
            </w:r>
          </w:p>
        </w:tc>
      </w:tr>
    </w:tbl>
    <w:p w:rsidR="0028027B" w:rsidRPr="00DC1EE4" w:rsidRDefault="0028027B" w:rsidP="0028027B"/>
    <w:p w:rsidR="0028027B" w:rsidRPr="00DC1EE4" w:rsidRDefault="0028027B" w:rsidP="0028027B"/>
    <w:p w:rsidR="0028027B" w:rsidRPr="00DC1EE4" w:rsidRDefault="0028027B" w:rsidP="0028027B">
      <w:pPr>
        <w:pStyle w:val="Reference"/>
      </w:pPr>
      <w:r w:rsidRPr="00DC1EE4">
        <w:br w:type="column"/>
      </w:r>
    </w:p>
    <w:p w:rsidR="0028027B" w:rsidRPr="00DC1EE4" w:rsidRDefault="0028027B" w:rsidP="0028027B">
      <w:r w:rsidRPr="00DC1EE4">
        <w:br w:type="column"/>
        <w:t>The following are brief explanations for major variances that are assessed to be relevant for the entity</w:t>
      </w:r>
      <w:r w:rsidR="005A4BB0">
        <w:t>’</w:t>
      </w:r>
      <w:r w:rsidRPr="00DC1EE4">
        <w:t>s performance analysis, and the discharge of accountability.</w:t>
      </w:r>
    </w:p>
    <w:p w:rsidR="0028027B" w:rsidRPr="00DC1EE4" w:rsidRDefault="0028027B" w:rsidP="0028027B">
      <w:pPr>
        <w:pStyle w:val="Normalhanging"/>
      </w:pPr>
      <w:r w:rsidRPr="00DC1EE4">
        <w:t xml:space="preserve">Footnotes: </w:t>
      </w:r>
    </w:p>
    <w:p w:rsidR="0028027B" w:rsidRPr="00DC1EE4" w:rsidRDefault="0028027B" w:rsidP="0028027B">
      <w:pPr>
        <w:pStyle w:val="Normalhanging"/>
      </w:pPr>
      <w:r w:rsidRPr="00DC1EE4">
        <w:t>(a)</w:t>
      </w:r>
      <w:r w:rsidRPr="00DC1EE4">
        <w:tab/>
        <w:t>Output appropriations were lower than the original budget primarily due to a number of machinery of government changes resulting in an adjustment to the 2014</w:t>
      </w:r>
      <w:r w:rsidR="005A4BB0">
        <w:noBreakHyphen/>
      </w:r>
      <w:r w:rsidRPr="00DC1EE4">
        <w:t>15 appropriations.</w:t>
      </w:r>
    </w:p>
    <w:p w:rsidR="0028027B" w:rsidRPr="00DC1EE4" w:rsidRDefault="0028027B" w:rsidP="0028027B">
      <w:pPr>
        <w:pStyle w:val="Normalhanging"/>
      </w:pPr>
      <w:r w:rsidRPr="00DC1EE4">
        <w:t>(b)</w:t>
      </w:r>
      <w:r w:rsidRPr="00DC1EE4">
        <w:tab/>
        <w:t>Special appropriations were higher than the original budget due to the approved financing of a particular project.</w:t>
      </w:r>
    </w:p>
    <w:p w:rsidR="0028027B" w:rsidRPr="00DC1EE4" w:rsidRDefault="0028027B" w:rsidP="0028027B">
      <w:pPr>
        <w:pStyle w:val="Normalhanging"/>
      </w:pPr>
      <w:r w:rsidRPr="00DC1EE4">
        <w:t>(c)</w:t>
      </w:r>
      <w:r w:rsidRPr="00DC1EE4">
        <w:tab/>
        <w:t>Other income was higher than the original budget primarily due to higher rental income received from investment properties.</w:t>
      </w:r>
    </w:p>
    <w:p w:rsidR="0028027B" w:rsidRPr="00DC1EE4" w:rsidRDefault="0028027B" w:rsidP="0028027B">
      <w:pPr>
        <w:pStyle w:val="Normalhanging"/>
      </w:pPr>
      <w:r w:rsidRPr="00DC1EE4">
        <w:t>(d)</w:t>
      </w:r>
      <w:r w:rsidRPr="00DC1EE4">
        <w:tab/>
        <w:t>Employee expenses were greater than the original budget largely due an increase to the long service leave (LSL) expense. The LSL expense increased because of an increase in the number of staff achieving long</w:t>
      </w:r>
      <w:r w:rsidR="005A4BB0">
        <w:noBreakHyphen/>
      </w:r>
      <w:r w:rsidRPr="00DC1EE4">
        <w:t xml:space="preserve">term tenure and the increased EBA wage rates. </w:t>
      </w:r>
    </w:p>
    <w:p w:rsidR="0028027B" w:rsidRPr="00DC1EE4" w:rsidRDefault="0028027B" w:rsidP="0028027B">
      <w:pPr>
        <w:pStyle w:val="Normalhanging"/>
      </w:pPr>
      <w:r w:rsidRPr="00DC1EE4">
        <w:t>(e)</w:t>
      </w:r>
      <w:r w:rsidRPr="00DC1EE4">
        <w:tab/>
        <w:t>Depreciation was lower than the original budget due to leasehold improvements assets being classified as work</w:t>
      </w:r>
      <w:r w:rsidR="005A4BB0">
        <w:noBreakHyphen/>
      </w:r>
      <w:r w:rsidRPr="00DC1EE4">
        <w:t>in</w:t>
      </w:r>
      <w:r w:rsidR="005A4BB0">
        <w:noBreakHyphen/>
      </w:r>
      <w:r w:rsidRPr="00DC1EE4">
        <w:t>progress and not being depreciated in the current year.</w:t>
      </w:r>
    </w:p>
    <w:p w:rsidR="0028027B" w:rsidRPr="00DC1EE4" w:rsidRDefault="0028027B" w:rsidP="0028027B">
      <w:pPr>
        <w:pStyle w:val="Normalhanging"/>
      </w:pPr>
      <w:r w:rsidRPr="00DC1EE4">
        <w:t>(f)</w:t>
      </w:r>
      <w:r w:rsidRPr="00DC1EE4">
        <w:tab/>
        <w:t xml:space="preserve">Grants and other transfers were lower than the original budget due to the grant program for restoring heritage assets being abolished. </w:t>
      </w:r>
    </w:p>
    <w:p w:rsidR="0028027B" w:rsidRPr="00DC1EE4" w:rsidRDefault="0028027B" w:rsidP="0028027B">
      <w:pPr>
        <w:pStyle w:val="Normalhanging"/>
      </w:pPr>
      <w:r w:rsidRPr="00DC1EE4">
        <w:t>(g)</w:t>
      </w:r>
      <w:r w:rsidRPr="00DC1EE4">
        <w:tab/>
        <w:t xml:space="preserve">Other operating expenses were higher than the original budget due to the increased level of rent and utility expenses. </w:t>
      </w:r>
    </w:p>
    <w:p w:rsidR="0028027B" w:rsidRPr="00DC1EE4" w:rsidRDefault="0028027B" w:rsidP="0028027B"/>
    <w:p w:rsidR="0028027B" w:rsidRPr="00DC1EE4" w:rsidRDefault="0028027B" w:rsidP="0028027B"/>
    <w:p w:rsidR="0028027B" w:rsidRPr="00DC1EE4" w:rsidRDefault="0028027B" w:rsidP="0028027B">
      <w:r w:rsidRPr="00DC1EE4">
        <w:br w:type="page"/>
      </w:r>
    </w:p>
    <w:p w:rsidR="0028027B" w:rsidRPr="00DC1EE4" w:rsidRDefault="0028027B" w:rsidP="0028027B">
      <w:pPr>
        <w:pStyle w:val="SmallLine"/>
      </w:pPr>
    </w:p>
    <w:p w:rsidR="0028027B" w:rsidRPr="00DC1EE4" w:rsidRDefault="0028027B" w:rsidP="0028027B">
      <w:pPr>
        <w:pStyle w:val="SmallLine"/>
      </w:pPr>
    </w:p>
    <w:p w:rsidR="0028027B" w:rsidRPr="00DC1EE4" w:rsidRDefault="0028027B" w:rsidP="0028027B">
      <w:pPr>
        <w:pStyle w:val="SmallLine"/>
      </w:pPr>
    </w:p>
    <w:p w:rsidR="0028027B" w:rsidRPr="00DC1EE4" w:rsidRDefault="0028027B" w:rsidP="002E1AF3">
      <w:pPr>
        <w:pStyle w:val="Reference"/>
        <w:spacing w:before="120"/>
      </w:pPr>
      <w:r w:rsidRPr="00DC1EE4">
        <w:t>AASB 1055.6</w:t>
      </w:r>
    </w:p>
    <w:p w:rsidR="0028027B" w:rsidRPr="00DC1EE4" w:rsidRDefault="0028027B" w:rsidP="0028027B">
      <w:pPr>
        <w:pStyle w:val="Heading2"/>
      </w:pPr>
      <w:r w:rsidRPr="00DC1EE4">
        <w:br w:type="column"/>
      </w:r>
      <w:bookmarkStart w:id="726" w:name="_Toc388272004"/>
      <w:r w:rsidRPr="00DC1EE4">
        <w:t>Balance sheet as at 30 June 201</w:t>
      </w:r>
      <w:bookmarkEnd w:id="726"/>
      <w:r w:rsidRPr="00DC1EE4">
        <w:t>5</w:t>
      </w:r>
    </w:p>
    <w:p w:rsidR="0028027B" w:rsidRPr="00DC1EE4" w:rsidRDefault="0028027B" w:rsidP="0028027B">
      <w:pPr>
        <w:pStyle w:val="million"/>
      </w:pPr>
      <w:r w:rsidRPr="00DC1EE4">
        <w:t>($ thousand))</w:t>
      </w:r>
    </w:p>
    <w:tbl>
      <w:tblPr>
        <w:tblW w:w="8429" w:type="dxa"/>
        <w:tblInd w:w="108" w:type="dxa"/>
        <w:tblLayout w:type="fixed"/>
        <w:tblCellMar>
          <w:left w:w="43" w:type="dxa"/>
          <w:right w:w="43" w:type="dxa"/>
        </w:tblCellMar>
        <w:tblLook w:val="04A0" w:firstRow="1" w:lastRow="0" w:firstColumn="1" w:lastColumn="0" w:noHBand="0" w:noVBand="1"/>
      </w:tblPr>
      <w:tblGrid>
        <w:gridCol w:w="220"/>
        <w:gridCol w:w="4665"/>
        <w:gridCol w:w="760"/>
        <w:gridCol w:w="1083"/>
        <w:gridCol w:w="850"/>
        <w:gridCol w:w="851"/>
      </w:tblGrid>
      <w:tr w:rsidR="0028027B" w:rsidRPr="00DC1EE4" w:rsidTr="00C03F9E">
        <w:trPr>
          <w:cantSplit/>
        </w:trPr>
        <w:tc>
          <w:tcPr>
            <w:tcW w:w="220" w:type="dxa"/>
            <w:tcBorders>
              <w:top w:val="single" w:sz="4" w:space="0" w:color="auto"/>
              <w:left w:val="nil"/>
              <w:bottom w:val="nil"/>
              <w:right w:val="nil"/>
            </w:tcBorders>
            <w:shd w:val="clear" w:color="auto" w:fill="auto"/>
            <w:noWrap/>
            <w:vAlign w:val="bottom"/>
            <w:hideMark/>
          </w:tcPr>
          <w:p w:rsidR="0028027B" w:rsidRPr="00DC1EE4" w:rsidRDefault="0028027B" w:rsidP="00C03F9E">
            <w:pPr>
              <w:pStyle w:val="Tabletext"/>
            </w:pPr>
          </w:p>
        </w:tc>
        <w:tc>
          <w:tcPr>
            <w:tcW w:w="4665" w:type="dxa"/>
            <w:tcBorders>
              <w:top w:val="single" w:sz="4" w:space="0" w:color="auto"/>
              <w:left w:val="nil"/>
              <w:bottom w:val="single" w:sz="4" w:space="0" w:color="auto"/>
              <w:right w:val="nil"/>
            </w:tcBorders>
            <w:shd w:val="clear" w:color="auto" w:fill="auto"/>
            <w:vAlign w:val="bottom"/>
            <w:hideMark/>
          </w:tcPr>
          <w:p w:rsidR="0028027B" w:rsidRPr="00DC1EE4" w:rsidRDefault="0028027B" w:rsidP="00C03F9E">
            <w:pPr>
              <w:pStyle w:val="TabletextheadingLeft"/>
            </w:pPr>
            <w:r w:rsidRPr="00DC1EE4">
              <w:t>FOR ILLUSTRATIVE PURPOSES ONLY</w:t>
            </w:r>
          </w:p>
        </w:tc>
        <w:tc>
          <w:tcPr>
            <w:tcW w:w="760"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textheadingCentred"/>
              <w:jc w:val="right"/>
            </w:pPr>
            <w:r w:rsidRPr="00DC1EE4">
              <w:br/>
              <w:t xml:space="preserve">Notes </w:t>
            </w:r>
            <w:r w:rsidRPr="00DC1EE4">
              <w:rPr>
                <w:vertAlign w:val="superscript"/>
              </w:rPr>
              <w:t>(i)</w:t>
            </w:r>
            <w:r w:rsidR="005A4BB0">
              <w:rPr>
                <w:vertAlign w:val="superscript"/>
              </w:rPr>
              <w:t xml:space="preserve"> </w:t>
            </w:r>
          </w:p>
        </w:tc>
        <w:tc>
          <w:tcPr>
            <w:tcW w:w="1083" w:type="dxa"/>
            <w:tcBorders>
              <w:top w:val="single" w:sz="4" w:space="0" w:color="auto"/>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textheading"/>
            </w:pPr>
            <w:r w:rsidRPr="00DC1EE4">
              <w:t>Original Budget 2015</w:t>
            </w:r>
          </w:p>
        </w:tc>
        <w:tc>
          <w:tcPr>
            <w:tcW w:w="850"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textheading"/>
            </w:pPr>
            <w:r w:rsidRPr="00DC1EE4">
              <w:t>Actual</w:t>
            </w:r>
            <w:r w:rsidR="005A4BB0">
              <w:t xml:space="preserve"> </w:t>
            </w:r>
            <w:r w:rsidRPr="00DC1EE4">
              <w:t>2015</w:t>
            </w:r>
          </w:p>
        </w:tc>
        <w:tc>
          <w:tcPr>
            <w:tcW w:w="851" w:type="dxa"/>
            <w:tcBorders>
              <w:top w:val="single" w:sz="4" w:space="0" w:color="auto"/>
              <w:left w:val="nil"/>
              <w:bottom w:val="single" w:sz="4" w:space="0" w:color="auto"/>
              <w:right w:val="nil"/>
            </w:tcBorders>
          </w:tcPr>
          <w:p w:rsidR="0028027B" w:rsidRPr="00DC1EE4" w:rsidRDefault="0028027B" w:rsidP="00C03F9E">
            <w:pPr>
              <w:pStyle w:val="Tabletextheading"/>
            </w:pPr>
            <w:r w:rsidRPr="00DC1EE4">
              <w:br/>
              <w:t>Variance</w:t>
            </w:r>
          </w:p>
        </w:tc>
      </w:tr>
      <w:tr w:rsidR="0028027B" w:rsidRPr="00DC1EE4" w:rsidTr="00C03F9E">
        <w:trPr>
          <w:cantSplit/>
        </w:trPr>
        <w:tc>
          <w:tcPr>
            <w:tcW w:w="220" w:type="dxa"/>
            <w:tcBorders>
              <w:top w:val="single" w:sz="4" w:space="0" w:color="auto"/>
              <w:left w:val="nil"/>
              <w:bottom w:val="nil"/>
              <w:right w:val="nil"/>
            </w:tcBorders>
            <w:shd w:val="clear" w:color="auto" w:fill="auto"/>
            <w:noWrap/>
            <w:vAlign w:val="bottom"/>
            <w:hideMark/>
          </w:tcPr>
          <w:p w:rsidR="0028027B" w:rsidRPr="00DC1EE4" w:rsidRDefault="0028027B" w:rsidP="00C03F9E">
            <w:pPr>
              <w:pStyle w:val="Tabletext"/>
              <w:rPr>
                <w:b/>
              </w:rPr>
            </w:pPr>
            <w:r w:rsidRPr="00DC1EE4">
              <w:rPr>
                <w:b/>
              </w:rPr>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rPr>
                <w:b/>
              </w:rPr>
            </w:pPr>
            <w:r w:rsidRPr="00DC1EE4">
              <w:rPr>
                <w:b/>
              </w:rPr>
              <w:t>Assets</w:t>
            </w:r>
          </w:p>
        </w:tc>
        <w:tc>
          <w:tcPr>
            <w:tcW w:w="760" w:type="dxa"/>
            <w:tcBorders>
              <w:top w:val="nil"/>
              <w:left w:val="nil"/>
              <w:bottom w:val="nil"/>
              <w:right w:val="nil"/>
            </w:tcBorders>
            <w:shd w:val="clear" w:color="auto" w:fill="auto"/>
            <w:noWrap/>
            <w:hideMark/>
          </w:tcPr>
          <w:p w:rsidR="0028027B" w:rsidRPr="00DC1EE4" w:rsidRDefault="0028027B" w:rsidP="00C03F9E">
            <w:pPr>
              <w:pStyle w:val="TableofFigures"/>
              <w:jc w:val="center"/>
              <w:rPr>
                <w:b/>
              </w:rP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 xml:space="preserve"> </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rPr>
                <w:b/>
              </w:rPr>
            </w:pPr>
            <w:r w:rsidRPr="00DC1EE4">
              <w:rPr>
                <w:b/>
              </w:rPr>
              <w:t xml:space="preserve"> </w:t>
            </w:r>
          </w:p>
        </w:tc>
        <w:tc>
          <w:tcPr>
            <w:tcW w:w="851" w:type="dxa"/>
            <w:tcBorders>
              <w:top w:val="nil"/>
              <w:left w:val="nil"/>
              <w:bottom w:val="nil"/>
              <w:right w:val="nil"/>
            </w:tcBorders>
          </w:tcPr>
          <w:p w:rsidR="0028027B" w:rsidRPr="00DC1EE4" w:rsidRDefault="0028027B" w:rsidP="00C03F9E">
            <w:pPr>
              <w:pStyle w:val="TableofFigures"/>
              <w:rPr>
                <w:b/>
              </w:rPr>
            </w:pP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Financial assets</w:t>
            </w:r>
          </w:p>
        </w:tc>
        <w:tc>
          <w:tcPr>
            <w:tcW w:w="760" w:type="dxa"/>
            <w:tcBorders>
              <w:top w:val="nil"/>
              <w:left w:val="nil"/>
              <w:bottom w:val="nil"/>
              <w:right w:val="nil"/>
            </w:tcBorders>
            <w:shd w:val="clear" w:color="auto" w:fill="auto"/>
            <w:noWrap/>
            <w:hideMark/>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 xml:space="preserve"> </w:t>
            </w:r>
          </w:p>
        </w:tc>
        <w:tc>
          <w:tcPr>
            <w:tcW w:w="851" w:type="dxa"/>
            <w:tcBorders>
              <w:top w:val="nil"/>
              <w:left w:val="nil"/>
              <w:bottom w:val="nil"/>
              <w:right w:val="nil"/>
            </w:tcBorders>
          </w:tcPr>
          <w:p w:rsidR="0028027B" w:rsidRPr="00DC1EE4" w:rsidRDefault="0028027B" w:rsidP="00C03F9E">
            <w:pPr>
              <w:pStyle w:val="TableofFigures"/>
            </w:pP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Cash and deposits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59 528</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48 648</w:t>
            </w:r>
          </w:p>
        </w:tc>
        <w:tc>
          <w:tcPr>
            <w:tcW w:w="851" w:type="dxa"/>
            <w:tcBorders>
              <w:top w:val="nil"/>
              <w:left w:val="nil"/>
              <w:bottom w:val="nil"/>
              <w:right w:val="nil"/>
            </w:tcBorders>
          </w:tcPr>
          <w:p w:rsidR="0028027B" w:rsidRPr="00DC1EE4" w:rsidRDefault="0028027B" w:rsidP="00C03F9E">
            <w:pPr>
              <w:pStyle w:val="TableofFigures"/>
            </w:pPr>
            <w:r w:rsidRPr="00DC1EE4">
              <w:t>(10 880)</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Receivables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36 045</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20 544</w:t>
            </w:r>
          </w:p>
        </w:tc>
        <w:tc>
          <w:tcPr>
            <w:tcW w:w="851" w:type="dxa"/>
            <w:tcBorders>
              <w:top w:val="nil"/>
              <w:left w:val="nil"/>
              <w:bottom w:val="nil"/>
              <w:right w:val="nil"/>
            </w:tcBorders>
          </w:tcPr>
          <w:p w:rsidR="0028027B" w:rsidRPr="00DC1EE4" w:rsidRDefault="0028027B" w:rsidP="00C03F9E">
            <w:pPr>
              <w:pStyle w:val="TableofFigures"/>
            </w:pPr>
            <w:r w:rsidRPr="00DC1EE4">
              <w:t>(15 501)</w:t>
            </w:r>
          </w:p>
        </w:tc>
      </w:tr>
      <w:tr w:rsidR="0028027B" w:rsidRPr="00DC1EE4" w:rsidTr="00C03F9E">
        <w:trPr>
          <w:cantSplit/>
        </w:trPr>
        <w:tc>
          <w:tcPr>
            <w:tcW w:w="220" w:type="dxa"/>
            <w:tcBorders>
              <w:top w:val="nil"/>
              <w:left w:val="nil"/>
              <w:bottom w:val="nil"/>
              <w:right w:val="nil"/>
            </w:tcBorders>
            <w:shd w:val="clear" w:color="auto" w:fill="auto"/>
            <w:noWrap/>
            <w:vAlign w:val="bottom"/>
          </w:tcPr>
          <w:p w:rsidR="0028027B" w:rsidRPr="00DC1EE4" w:rsidRDefault="0028027B" w:rsidP="00C03F9E">
            <w:pPr>
              <w:pStyle w:val="Tabletext"/>
            </w:pPr>
          </w:p>
        </w:tc>
        <w:tc>
          <w:tcPr>
            <w:tcW w:w="4665" w:type="dxa"/>
            <w:tcBorders>
              <w:top w:val="nil"/>
              <w:left w:val="nil"/>
              <w:bottom w:val="nil"/>
              <w:right w:val="nil"/>
            </w:tcBorders>
            <w:shd w:val="clear" w:color="auto" w:fill="auto"/>
          </w:tcPr>
          <w:p w:rsidR="0028027B" w:rsidRPr="00DC1EE4" w:rsidRDefault="0028027B" w:rsidP="00C03F9E">
            <w:pPr>
              <w:pStyle w:val="Tabletext"/>
            </w:pPr>
            <w:r w:rsidRPr="00DC1EE4">
              <w:t>Financial assets classified as held for sale including disposal group assets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tcPr>
          <w:p w:rsidR="0028027B" w:rsidRPr="00DC1EE4" w:rsidRDefault="0028027B" w:rsidP="00C03F9E">
            <w:pPr>
              <w:pStyle w:val="TableofFigures"/>
            </w:pPr>
            <w:r w:rsidRPr="00DC1EE4">
              <w:t>8 572</w:t>
            </w:r>
          </w:p>
        </w:tc>
        <w:tc>
          <w:tcPr>
            <w:tcW w:w="850" w:type="dxa"/>
            <w:tcBorders>
              <w:top w:val="nil"/>
              <w:left w:val="nil"/>
              <w:bottom w:val="nil"/>
              <w:right w:val="nil"/>
            </w:tcBorders>
            <w:shd w:val="clear" w:color="auto" w:fill="auto"/>
            <w:noWrap/>
          </w:tcPr>
          <w:p w:rsidR="0028027B" w:rsidRPr="00DC1EE4" w:rsidRDefault="0028027B" w:rsidP="00C03F9E">
            <w:pPr>
              <w:pStyle w:val="TableofFigures"/>
            </w:pPr>
            <w:r w:rsidRPr="00DC1EE4">
              <w:t>11 757</w:t>
            </w:r>
          </w:p>
        </w:tc>
        <w:tc>
          <w:tcPr>
            <w:tcW w:w="851" w:type="dxa"/>
            <w:tcBorders>
              <w:top w:val="nil"/>
              <w:left w:val="nil"/>
              <w:bottom w:val="nil"/>
              <w:right w:val="nil"/>
            </w:tcBorders>
          </w:tcPr>
          <w:p w:rsidR="0028027B" w:rsidRPr="00DC1EE4" w:rsidRDefault="0028027B" w:rsidP="00C03F9E">
            <w:pPr>
              <w:pStyle w:val="TableofFigures"/>
            </w:pPr>
            <w:r w:rsidRPr="00DC1EE4">
              <w:t>3 185</w:t>
            </w:r>
          </w:p>
        </w:tc>
      </w:tr>
      <w:tr w:rsidR="0028027B" w:rsidRPr="00DC1EE4" w:rsidTr="00C03F9E">
        <w:trPr>
          <w:cantSplit/>
        </w:trPr>
        <w:tc>
          <w:tcPr>
            <w:tcW w:w="220" w:type="dxa"/>
            <w:tcBorders>
              <w:top w:val="nil"/>
              <w:left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Investments and other financial assets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right w:val="nil"/>
            </w:tcBorders>
            <w:shd w:val="clear" w:color="auto" w:fill="BFBFBF" w:themeFill="background1" w:themeFillShade="BF"/>
            <w:noWrap/>
            <w:hideMark/>
          </w:tcPr>
          <w:p w:rsidR="0028027B" w:rsidRPr="00DC1EE4" w:rsidRDefault="0028027B" w:rsidP="00C03F9E">
            <w:pPr>
              <w:pStyle w:val="TableofFigures"/>
            </w:pPr>
            <w:r w:rsidRPr="00DC1EE4">
              <w:t>13 976</w:t>
            </w:r>
          </w:p>
        </w:tc>
        <w:tc>
          <w:tcPr>
            <w:tcW w:w="850" w:type="dxa"/>
            <w:tcBorders>
              <w:top w:val="nil"/>
              <w:left w:val="nil"/>
              <w:right w:val="nil"/>
            </w:tcBorders>
            <w:shd w:val="clear" w:color="auto" w:fill="auto"/>
            <w:noWrap/>
            <w:hideMark/>
          </w:tcPr>
          <w:p w:rsidR="0028027B" w:rsidRPr="00DC1EE4" w:rsidRDefault="0028027B" w:rsidP="00C03F9E">
            <w:pPr>
              <w:pStyle w:val="TableofFigures"/>
            </w:pPr>
            <w:r w:rsidRPr="00DC1EE4">
              <w:t>16 731</w:t>
            </w:r>
          </w:p>
        </w:tc>
        <w:tc>
          <w:tcPr>
            <w:tcW w:w="851" w:type="dxa"/>
            <w:tcBorders>
              <w:top w:val="nil"/>
              <w:left w:val="nil"/>
              <w:right w:val="nil"/>
            </w:tcBorders>
          </w:tcPr>
          <w:p w:rsidR="0028027B" w:rsidRPr="00DC1EE4" w:rsidRDefault="0028027B" w:rsidP="00C03F9E">
            <w:pPr>
              <w:pStyle w:val="TableofFigures"/>
            </w:pPr>
            <w:r w:rsidRPr="00DC1EE4">
              <w:t>2 755</w:t>
            </w:r>
          </w:p>
        </w:tc>
      </w:tr>
      <w:tr w:rsidR="0028027B" w:rsidRPr="00DC1EE4" w:rsidTr="00C03F9E">
        <w:trPr>
          <w:cantSplit/>
        </w:trPr>
        <w:tc>
          <w:tcPr>
            <w:tcW w:w="220" w:type="dxa"/>
            <w:tcBorders>
              <w:top w:val="nil"/>
              <w:left w:val="nil"/>
              <w:bottom w:val="single" w:sz="4" w:space="0" w:color="auto"/>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Investments accounted for using the equity method</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pPr>
            <w:r w:rsidRPr="00DC1EE4">
              <w:t>5 187</w:t>
            </w:r>
          </w:p>
        </w:tc>
        <w:tc>
          <w:tcPr>
            <w:tcW w:w="850" w:type="dxa"/>
            <w:tcBorders>
              <w:top w:val="nil"/>
              <w:left w:val="nil"/>
              <w:bottom w:val="single" w:sz="4" w:space="0" w:color="auto"/>
              <w:right w:val="nil"/>
            </w:tcBorders>
            <w:shd w:val="clear" w:color="auto" w:fill="auto"/>
            <w:noWrap/>
            <w:hideMark/>
          </w:tcPr>
          <w:p w:rsidR="0028027B" w:rsidRPr="00DC1EE4" w:rsidRDefault="0028027B" w:rsidP="00C03F9E">
            <w:pPr>
              <w:pStyle w:val="TableofFigures"/>
            </w:pPr>
            <w:r w:rsidRPr="00DC1EE4">
              <w:t>6 112</w:t>
            </w:r>
          </w:p>
        </w:tc>
        <w:tc>
          <w:tcPr>
            <w:tcW w:w="851" w:type="dxa"/>
            <w:tcBorders>
              <w:top w:val="nil"/>
              <w:left w:val="nil"/>
              <w:bottom w:val="single" w:sz="4" w:space="0" w:color="auto"/>
              <w:right w:val="nil"/>
            </w:tcBorders>
          </w:tcPr>
          <w:p w:rsidR="0028027B" w:rsidRPr="00DC1EE4" w:rsidRDefault="0028027B" w:rsidP="00C03F9E">
            <w:pPr>
              <w:pStyle w:val="TableofFigures"/>
            </w:pPr>
            <w:r w:rsidRPr="00DC1EE4">
              <w:t>925</w:t>
            </w:r>
          </w:p>
        </w:tc>
      </w:tr>
      <w:tr w:rsidR="0028027B" w:rsidRPr="00DC1EE4" w:rsidTr="00C03F9E">
        <w:trPr>
          <w:cantSplit/>
        </w:trPr>
        <w:tc>
          <w:tcPr>
            <w:tcW w:w="220" w:type="dxa"/>
            <w:tcBorders>
              <w:top w:val="single" w:sz="4" w:space="0" w:color="auto"/>
              <w:left w:val="nil"/>
              <w:bottom w:val="single" w:sz="4" w:space="0" w:color="auto"/>
              <w:right w:val="nil"/>
            </w:tcBorders>
            <w:shd w:val="clear" w:color="auto" w:fill="auto"/>
            <w:noWrap/>
            <w:vAlign w:val="bottom"/>
            <w:hideMark/>
          </w:tcPr>
          <w:p w:rsidR="0028027B" w:rsidRPr="00DC1EE4" w:rsidRDefault="0028027B" w:rsidP="00C03F9E">
            <w:pPr>
              <w:pStyle w:val="Tabletext"/>
              <w:rPr>
                <w:b/>
              </w:rPr>
            </w:pPr>
            <w:r w:rsidRPr="00DC1EE4">
              <w:rPr>
                <w:b/>
              </w:rPr>
              <w:t xml:space="preserve"> </w:t>
            </w:r>
          </w:p>
        </w:tc>
        <w:tc>
          <w:tcPr>
            <w:tcW w:w="4665"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
              <w:rPr>
                <w:b/>
              </w:rPr>
            </w:pPr>
            <w:r w:rsidRPr="00DC1EE4">
              <w:rPr>
                <w:b/>
              </w:rPr>
              <w:t>Total financial assets</w:t>
            </w:r>
          </w:p>
        </w:tc>
        <w:tc>
          <w:tcPr>
            <w:tcW w:w="760" w:type="dxa"/>
            <w:tcBorders>
              <w:top w:val="single" w:sz="4" w:space="0" w:color="auto"/>
              <w:left w:val="nil"/>
              <w:bottom w:val="single" w:sz="4" w:space="0" w:color="auto"/>
              <w:right w:val="nil"/>
            </w:tcBorders>
            <w:shd w:val="clear" w:color="auto" w:fill="auto"/>
            <w:noWrap/>
          </w:tcPr>
          <w:p w:rsidR="0028027B" w:rsidRPr="00DC1EE4" w:rsidRDefault="0028027B" w:rsidP="00C03F9E">
            <w:pPr>
              <w:pStyle w:val="TableofFigures"/>
              <w:jc w:val="center"/>
              <w:rPr>
                <w:b/>
              </w:rPr>
            </w:pPr>
          </w:p>
        </w:tc>
        <w:tc>
          <w:tcPr>
            <w:tcW w:w="1083" w:type="dxa"/>
            <w:tcBorders>
              <w:top w:val="single" w:sz="4" w:space="0" w:color="auto"/>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123 308</w:t>
            </w:r>
          </w:p>
        </w:tc>
        <w:tc>
          <w:tcPr>
            <w:tcW w:w="850"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ofFigures"/>
              <w:rPr>
                <w:b/>
              </w:rPr>
            </w:pPr>
            <w:r w:rsidRPr="00DC1EE4">
              <w:rPr>
                <w:b/>
              </w:rPr>
              <w:t>103 792</w:t>
            </w:r>
          </w:p>
        </w:tc>
        <w:tc>
          <w:tcPr>
            <w:tcW w:w="851" w:type="dxa"/>
            <w:tcBorders>
              <w:top w:val="single" w:sz="4" w:space="0" w:color="auto"/>
              <w:left w:val="nil"/>
              <w:bottom w:val="single" w:sz="4" w:space="0" w:color="auto"/>
              <w:right w:val="nil"/>
            </w:tcBorders>
          </w:tcPr>
          <w:p w:rsidR="0028027B" w:rsidRPr="00DC1EE4" w:rsidRDefault="0028027B" w:rsidP="00C03F9E">
            <w:pPr>
              <w:pStyle w:val="TableofFigures"/>
              <w:rPr>
                <w:b/>
              </w:rPr>
            </w:pPr>
            <w:r w:rsidRPr="00DC1EE4">
              <w:rPr>
                <w:b/>
              </w:rPr>
              <w:t>(19 516)</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rPr>
                <w:b/>
              </w:rPr>
            </w:pPr>
            <w:r w:rsidRPr="00DC1EE4">
              <w:rPr>
                <w:b/>
              </w:rPr>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rPr>
                <w:b/>
              </w:rPr>
            </w:pPr>
            <w:r w:rsidRPr="00DC1EE4">
              <w:rPr>
                <w:b/>
              </w:rPr>
              <w:t>Non</w:t>
            </w:r>
            <w:r w:rsidR="005A4BB0">
              <w:rPr>
                <w:b/>
              </w:rPr>
              <w:noBreakHyphen/>
            </w:r>
            <w:r w:rsidRPr="00DC1EE4">
              <w:rPr>
                <w:b/>
              </w:rPr>
              <w:t>financial assets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rPr>
                <w:b/>
              </w:rP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 xml:space="preserve"> </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rPr>
                <w:b/>
              </w:rPr>
            </w:pPr>
            <w:r w:rsidRPr="00DC1EE4">
              <w:rPr>
                <w:b/>
              </w:rPr>
              <w:t xml:space="preserve"> </w:t>
            </w:r>
          </w:p>
        </w:tc>
        <w:tc>
          <w:tcPr>
            <w:tcW w:w="851" w:type="dxa"/>
            <w:tcBorders>
              <w:top w:val="nil"/>
              <w:left w:val="nil"/>
              <w:bottom w:val="nil"/>
              <w:right w:val="nil"/>
            </w:tcBorders>
          </w:tcPr>
          <w:p w:rsidR="0028027B" w:rsidRPr="00DC1EE4" w:rsidRDefault="0028027B" w:rsidP="00C03F9E">
            <w:pPr>
              <w:pStyle w:val="TableofFigures"/>
              <w:rPr>
                <w:b/>
              </w:rPr>
            </w:pP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Inventories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12 056</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19 733</w:t>
            </w:r>
          </w:p>
        </w:tc>
        <w:tc>
          <w:tcPr>
            <w:tcW w:w="851" w:type="dxa"/>
            <w:tcBorders>
              <w:top w:val="nil"/>
              <w:left w:val="nil"/>
              <w:bottom w:val="nil"/>
              <w:right w:val="nil"/>
            </w:tcBorders>
          </w:tcPr>
          <w:p w:rsidR="0028027B" w:rsidRPr="00DC1EE4" w:rsidRDefault="0028027B" w:rsidP="00C03F9E">
            <w:pPr>
              <w:pStyle w:val="TableofFigures"/>
            </w:pPr>
            <w:r w:rsidRPr="00DC1EE4">
              <w:t>7 677</w:t>
            </w:r>
          </w:p>
        </w:tc>
      </w:tr>
      <w:tr w:rsidR="0028027B" w:rsidRPr="00DC1EE4" w:rsidTr="00C03F9E">
        <w:trPr>
          <w:cantSplit/>
        </w:trPr>
        <w:tc>
          <w:tcPr>
            <w:tcW w:w="220" w:type="dxa"/>
            <w:tcBorders>
              <w:top w:val="nil"/>
              <w:left w:val="nil"/>
              <w:bottom w:val="nil"/>
              <w:right w:val="nil"/>
            </w:tcBorders>
            <w:shd w:val="clear" w:color="auto" w:fill="auto"/>
            <w:noWrap/>
            <w:vAlign w:val="bottom"/>
          </w:tcPr>
          <w:p w:rsidR="0028027B" w:rsidRPr="00DC1EE4" w:rsidRDefault="0028027B" w:rsidP="00C03F9E">
            <w:pPr>
              <w:pStyle w:val="Tabletext"/>
            </w:pPr>
          </w:p>
        </w:tc>
        <w:tc>
          <w:tcPr>
            <w:tcW w:w="4665" w:type="dxa"/>
            <w:tcBorders>
              <w:top w:val="nil"/>
              <w:left w:val="nil"/>
              <w:bottom w:val="nil"/>
              <w:right w:val="nil"/>
            </w:tcBorders>
            <w:shd w:val="clear" w:color="auto" w:fill="auto"/>
          </w:tcPr>
          <w:p w:rsidR="0028027B" w:rsidRPr="00DC1EE4" w:rsidRDefault="0028027B" w:rsidP="00C03F9E">
            <w:pPr>
              <w:pStyle w:val="Tabletext"/>
            </w:pPr>
            <w:r w:rsidRPr="00DC1EE4">
              <w:t>Non</w:t>
            </w:r>
            <w:r w:rsidR="005A4BB0">
              <w:noBreakHyphen/>
            </w:r>
            <w:r w:rsidRPr="00DC1EE4">
              <w:t>financial physical assets classified as held for sale including disposal group assets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tcPr>
          <w:p w:rsidR="0028027B" w:rsidRPr="00DC1EE4" w:rsidRDefault="0028027B" w:rsidP="00C03F9E">
            <w:pPr>
              <w:pStyle w:val="TableofFigures"/>
            </w:pPr>
            <w:r w:rsidRPr="00DC1EE4">
              <w:t>6 781</w:t>
            </w:r>
          </w:p>
        </w:tc>
        <w:tc>
          <w:tcPr>
            <w:tcW w:w="850" w:type="dxa"/>
            <w:tcBorders>
              <w:top w:val="nil"/>
              <w:left w:val="nil"/>
              <w:bottom w:val="nil"/>
              <w:right w:val="nil"/>
            </w:tcBorders>
            <w:shd w:val="clear" w:color="auto" w:fill="auto"/>
            <w:noWrap/>
          </w:tcPr>
          <w:p w:rsidR="0028027B" w:rsidRPr="00DC1EE4" w:rsidRDefault="0028027B" w:rsidP="00C03F9E">
            <w:pPr>
              <w:pStyle w:val="TableofFigures"/>
            </w:pPr>
            <w:r w:rsidRPr="00DC1EE4">
              <w:t>14 599</w:t>
            </w:r>
          </w:p>
        </w:tc>
        <w:tc>
          <w:tcPr>
            <w:tcW w:w="851" w:type="dxa"/>
            <w:tcBorders>
              <w:top w:val="nil"/>
              <w:left w:val="nil"/>
              <w:bottom w:val="nil"/>
              <w:right w:val="nil"/>
            </w:tcBorders>
          </w:tcPr>
          <w:p w:rsidR="0028027B" w:rsidRPr="00DC1EE4" w:rsidRDefault="0028027B" w:rsidP="00C03F9E">
            <w:pPr>
              <w:pStyle w:val="TableofFigures"/>
            </w:pPr>
            <w:r w:rsidRPr="00DC1EE4">
              <w:t>7 818</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Property, plant and equipment</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83 044</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76 807</w:t>
            </w:r>
          </w:p>
        </w:tc>
        <w:tc>
          <w:tcPr>
            <w:tcW w:w="851" w:type="dxa"/>
            <w:tcBorders>
              <w:top w:val="nil"/>
              <w:left w:val="nil"/>
              <w:bottom w:val="nil"/>
              <w:right w:val="nil"/>
            </w:tcBorders>
          </w:tcPr>
          <w:p w:rsidR="0028027B" w:rsidRPr="00DC1EE4" w:rsidRDefault="0028027B" w:rsidP="00C03F9E">
            <w:pPr>
              <w:pStyle w:val="TableofFigures"/>
            </w:pPr>
            <w:r w:rsidRPr="00DC1EE4">
              <w:t>(6 237)</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Biological assets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4 034</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w:t>
            </w:r>
          </w:p>
        </w:tc>
        <w:tc>
          <w:tcPr>
            <w:tcW w:w="851" w:type="dxa"/>
            <w:tcBorders>
              <w:top w:val="nil"/>
              <w:left w:val="nil"/>
              <w:bottom w:val="nil"/>
              <w:right w:val="nil"/>
            </w:tcBorders>
          </w:tcPr>
          <w:p w:rsidR="0028027B" w:rsidRPr="00DC1EE4" w:rsidRDefault="0028027B" w:rsidP="00C03F9E">
            <w:pPr>
              <w:pStyle w:val="TableofFigures"/>
            </w:pPr>
            <w:r w:rsidRPr="00DC1EE4">
              <w:t>(4 034)</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Investment properties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2 354</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5 029</w:t>
            </w:r>
          </w:p>
        </w:tc>
        <w:tc>
          <w:tcPr>
            <w:tcW w:w="851" w:type="dxa"/>
            <w:tcBorders>
              <w:top w:val="nil"/>
              <w:left w:val="nil"/>
              <w:bottom w:val="nil"/>
              <w:right w:val="nil"/>
            </w:tcBorders>
          </w:tcPr>
          <w:p w:rsidR="0028027B" w:rsidRPr="00DC1EE4" w:rsidRDefault="0028027B" w:rsidP="00C03F9E">
            <w:pPr>
              <w:pStyle w:val="TableofFigures"/>
            </w:pPr>
            <w:r w:rsidRPr="00DC1EE4">
              <w:t>2 675</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Intangible assets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right w:val="nil"/>
            </w:tcBorders>
            <w:shd w:val="clear" w:color="auto" w:fill="BFBFBF" w:themeFill="background1" w:themeFillShade="BF"/>
            <w:noWrap/>
            <w:hideMark/>
          </w:tcPr>
          <w:p w:rsidR="0028027B" w:rsidRPr="00DC1EE4" w:rsidRDefault="0028027B" w:rsidP="00C03F9E">
            <w:pPr>
              <w:pStyle w:val="TableofFigures"/>
            </w:pPr>
            <w:r w:rsidRPr="00DC1EE4">
              <w:t>5 974</w:t>
            </w:r>
          </w:p>
        </w:tc>
        <w:tc>
          <w:tcPr>
            <w:tcW w:w="850" w:type="dxa"/>
            <w:tcBorders>
              <w:top w:val="nil"/>
              <w:left w:val="nil"/>
              <w:right w:val="nil"/>
            </w:tcBorders>
            <w:shd w:val="clear" w:color="auto" w:fill="auto"/>
            <w:noWrap/>
            <w:hideMark/>
          </w:tcPr>
          <w:p w:rsidR="0028027B" w:rsidRPr="00DC1EE4" w:rsidRDefault="0028027B" w:rsidP="00C03F9E">
            <w:pPr>
              <w:pStyle w:val="TableofFigures"/>
            </w:pPr>
            <w:r w:rsidRPr="00DC1EE4">
              <w:t>7 447</w:t>
            </w:r>
          </w:p>
        </w:tc>
        <w:tc>
          <w:tcPr>
            <w:tcW w:w="851" w:type="dxa"/>
            <w:tcBorders>
              <w:top w:val="nil"/>
              <w:left w:val="nil"/>
              <w:right w:val="nil"/>
            </w:tcBorders>
          </w:tcPr>
          <w:p w:rsidR="0028027B" w:rsidRPr="00DC1EE4" w:rsidRDefault="0028027B" w:rsidP="00C03F9E">
            <w:pPr>
              <w:pStyle w:val="TableofFigures"/>
            </w:pPr>
            <w:r w:rsidRPr="00DC1EE4">
              <w:t xml:space="preserve">1 473 </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Other non</w:t>
            </w:r>
            <w:r w:rsidR="005A4BB0">
              <w:noBreakHyphen/>
            </w:r>
            <w:r w:rsidRPr="00DC1EE4">
              <w:t>financial assets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pPr>
            <w:r w:rsidRPr="00DC1EE4">
              <w:t>1 483</w:t>
            </w:r>
          </w:p>
        </w:tc>
        <w:tc>
          <w:tcPr>
            <w:tcW w:w="850" w:type="dxa"/>
            <w:tcBorders>
              <w:top w:val="nil"/>
              <w:left w:val="nil"/>
              <w:bottom w:val="single" w:sz="4" w:space="0" w:color="auto"/>
              <w:right w:val="nil"/>
            </w:tcBorders>
            <w:shd w:val="clear" w:color="auto" w:fill="auto"/>
            <w:noWrap/>
            <w:hideMark/>
          </w:tcPr>
          <w:p w:rsidR="0028027B" w:rsidRPr="00DC1EE4" w:rsidRDefault="0028027B" w:rsidP="00C03F9E">
            <w:pPr>
              <w:pStyle w:val="TableofFigures"/>
            </w:pPr>
            <w:r w:rsidRPr="00DC1EE4">
              <w:t xml:space="preserve"> 380</w:t>
            </w:r>
          </w:p>
        </w:tc>
        <w:tc>
          <w:tcPr>
            <w:tcW w:w="851" w:type="dxa"/>
            <w:tcBorders>
              <w:top w:val="nil"/>
              <w:left w:val="nil"/>
              <w:bottom w:val="single" w:sz="4" w:space="0" w:color="auto"/>
              <w:right w:val="nil"/>
            </w:tcBorders>
          </w:tcPr>
          <w:p w:rsidR="0028027B" w:rsidRPr="00DC1EE4" w:rsidRDefault="0028027B" w:rsidP="00C03F9E">
            <w:pPr>
              <w:pStyle w:val="TableofFigures"/>
            </w:pPr>
            <w:r w:rsidRPr="00DC1EE4">
              <w:t>(1 103)</w:t>
            </w:r>
          </w:p>
        </w:tc>
      </w:tr>
      <w:tr w:rsidR="0028027B" w:rsidRPr="00DC1EE4" w:rsidTr="00C03F9E">
        <w:trPr>
          <w:cantSplit/>
        </w:trPr>
        <w:tc>
          <w:tcPr>
            <w:tcW w:w="220" w:type="dxa"/>
            <w:tcBorders>
              <w:top w:val="single" w:sz="4" w:space="0" w:color="auto"/>
              <w:left w:val="nil"/>
              <w:bottom w:val="nil"/>
              <w:right w:val="nil"/>
            </w:tcBorders>
            <w:shd w:val="clear" w:color="auto" w:fill="auto"/>
            <w:noWrap/>
            <w:vAlign w:val="bottom"/>
            <w:hideMark/>
          </w:tcPr>
          <w:p w:rsidR="0028027B" w:rsidRPr="00DC1EE4" w:rsidRDefault="0028027B" w:rsidP="00C03F9E">
            <w:pPr>
              <w:pStyle w:val="Tabletext"/>
              <w:rPr>
                <w:b/>
              </w:rPr>
            </w:pPr>
            <w:r w:rsidRPr="00DC1EE4">
              <w:rPr>
                <w:b/>
              </w:rPr>
              <w:t xml:space="preserve"> </w:t>
            </w:r>
          </w:p>
        </w:tc>
        <w:tc>
          <w:tcPr>
            <w:tcW w:w="4665"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
              <w:rPr>
                <w:b/>
              </w:rPr>
            </w:pPr>
            <w:r w:rsidRPr="00DC1EE4">
              <w:rPr>
                <w:b/>
              </w:rPr>
              <w:t>Total non</w:t>
            </w:r>
            <w:r w:rsidR="005A4BB0">
              <w:rPr>
                <w:b/>
              </w:rPr>
              <w:noBreakHyphen/>
            </w:r>
            <w:r w:rsidRPr="00DC1EE4">
              <w:rPr>
                <w:b/>
              </w:rPr>
              <w:t>financial assets</w:t>
            </w:r>
          </w:p>
        </w:tc>
        <w:tc>
          <w:tcPr>
            <w:tcW w:w="760" w:type="dxa"/>
            <w:tcBorders>
              <w:top w:val="single" w:sz="4" w:space="0" w:color="auto"/>
              <w:left w:val="nil"/>
              <w:bottom w:val="single" w:sz="4" w:space="0" w:color="auto"/>
              <w:right w:val="nil"/>
            </w:tcBorders>
            <w:shd w:val="clear" w:color="auto" w:fill="auto"/>
            <w:noWrap/>
          </w:tcPr>
          <w:p w:rsidR="0028027B" w:rsidRPr="00DC1EE4" w:rsidRDefault="0028027B" w:rsidP="00C03F9E">
            <w:pPr>
              <w:pStyle w:val="TableofFigures"/>
              <w:jc w:val="center"/>
              <w:rPr>
                <w:b/>
              </w:rPr>
            </w:pPr>
          </w:p>
        </w:tc>
        <w:tc>
          <w:tcPr>
            <w:tcW w:w="1083" w:type="dxa"/>
            <w:tcBorders>
              <w:top w:val="single" w:sz="4" w:space="0" w:color="auto"/>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115 726</w:t>
            </w:r>
          </w:p>
        </w:tc>
        <w:tc>
          <w:tcPr>
            <w:tcW w:w="850"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ofFigures"/>
              <w:rPr>
                <w:b/>
              </w:rPr>
            </w:pPr>
            <w:r w:rsidRPr="00DC1EE4">
              <w:rPr>
                <w:b/>
              </w:rPr>
              <w:t>123 995</w:t>
            </w:r>
          </w:p>
        </w:tc>
        <w:tc>
          <w:tcPr>
            <w:tcW w:w="851" w:type="dxa"/>
            <w:tcBorders>
              <w:top w:val="single" w:sz="4" w:space="0" w:color="auto"/>
              <w:left w:val="nil"/>
              <w:bottom w:val="single" w:sz="4" w:space="0" w:color="auto"/>
              <w:right w:val="nil"/>
            </w:tcBorders>
          </w:tcPr>
          <w:p w:rsidR="0028027B" w:rsidRPr="00DC1EE4" w:rsidRDefault="0028027B" w:rsidP="00C03F9E">
            <w:pPr>
              <w:pStyle w:val="TableofFigures"/>
              <w:rPr>
                <w:b/>
              </w:rPr>
            </w:pPr>
            <w:r w:rsidRPr="00DC1EE4">
              <w:rPr>
                <w:b/>
              </w:rPr>
              <w:t>8 269</w:t>
            </w:r>
          </w:p>
        </w:tc>
      </w:tr>
      <w:tr w:rsidR="0028027B" w:rsidRPr="00DC1EE4" w:rsidTr="00C03F9E">
        <w:trPr>
          <w:cantSplit/>
        </w:trPr>
        <w:tc>
          <w:tcPr>
            <w:tcW w:w="220" w:type="dxa"/>
            <w:tcBorders>
              <w:top w:val="single" w:sz="4" w:space="0" w:color="auto"/>
              <w:left w:val="nil"/>
              <w:bottom w:val="nil"/>
              <w:right w:val="nil"/>
            </w:tcBorders>
            <w:shd w:val="clear" w:color="auto" w:fill="auto"/>
            <w:noWrap/>
            <w:vAlign w:val="bottom"/>
            <w:hideMark/>
          </w:tcPr>
          <w:p w:rsidR="0028027B" w:rsidRPr="00DC1EE4" w:rsidRDefault="0028027B" w:rsidP="00C03F9E">
            <w:pPr>
              <w:pStyle w:val="Tabletext"/>
              <w:rPr>
                <w:b/>
              </w:rPr>
            </w:pPr>
            <w:r w:rsidRPr="00DC1EE4">
              <w:rPr>
                <w:b/>
              </w:rPr>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rPr>
                <w:b/>
              </w:rPr>
            </w:pPr>
            <w:r w:rsidRPr="00DC1EE4">
              <w:rPr>
                <w:b/>
              </w:rPr>
              <w:t>Total assets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rPr>
                <w:b/>
              </w:rP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239 034</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rPr>
                <w:b/>
              </w:rPr>
            </w:pPr>
            <w:r w:rsidRPr="00DC1EE4">
              <w:rPr>
                <w:b/>
              </w:rPr>
              <w:t>227 787</w:t>
            </w:r>
          </w:p>
        </w:tc>
        <w:tc>
          <w:tcPr>
            <w:tcW w:w="851" w:type="dxa"/>
            <w:tcBorders>
              <w:top w:val="nil"/>
              <w:left w:val="nil"/>
              <w:bottom w:val="nil"/>
              <w:right w:val="nil"/>
            </w:tcBorders>
          </w:tcPr>
          <w:p w:rsidR="0028027B" w:rsidRPr="00DC1EE4" w:rsidRDefault="0028027B" w:rsidP="00C03F9E">
            <w:pPr>
              <w:pStyle w:val="TableofFigures"/>
              <w:rPr>
                <w:b/>
              </w:rPr>
            </w:pPr>
            <w:r w:rsidRPr="00DC1EE4">
              <w:rPr>
                <w:b/>
              </w:rPr>
              <w:t>(11 247)</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rPr>
                <w:b/>
              </w:rPr>
            </w:pPr>
            <w:r w:rsidRPr="00DC1EE4">
              <w:rPr>
                <w:b/>
              </w:rPr>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rPr>
                <w:b/>
              </w:rPr>
            </w:pPr>
            <w:r w:rsidRPr="00DC1EE4">
              <w:rPr>
                <w:b/>
              </w:rPr>
              <w:t>Liabilities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rPr>
                <w:b/>
              </w:rP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 xml:space="preserve"> </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rPr>
                <w:b/>
              </w:rPr>
            </w:pPr>
            <w:r w:rsidRPr="00DC1EE4">
              <w:rPr>
                <w:b/>
              </w:rPr>
              <w:t xml:space="preserve"> </w:t>
            </w:r>
          </w:p>
        </w:tc>
        <w:tc>
          <w:tcPr>
            <w:tcW w:w="851" w:type="dxa"/>
            <w:tcBorders>
              <w:top w:val="nil"/>
              <w:left w:val="nil"/>
              <w:bottom w:val="nil"/>
              <w:right w:val="nil"/>
            </w:tcBorders>
          </w:tcPr>
          <w:p w:rsidR="0028027B" w:rsidRPr="00DC1EE4" w:rsidRDefault="0028027B" w:rsidP="00C03F9E">
            <w:pPr>
              <w:pStyle w:val="TableofFigures"/>
              <w:rPr>
                <w:b/>
              </w:rPr>
            </w:pP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Payables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17 591</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16 704</w:t>
            </w:r>
          </w:p>
        </w:tc>
        <w:tc>
          <w:tcPr>
            <w:tcW w:w="851" w:type="dxa"/>
            <w:tcBorders>
              <w:top w:val="nil"/>
              <w:left w:val="nil"/>
              <w:bottom w:val="nil"/>
              <w:right w:val="nil"/>
            </w:tcBorders>
          </w:tcPr>
          <w:p w:rsidR="0028027B" w:rsidRPr="00DC1EE4" w:rsidRDefault="0028027B" w:rsidP="00C03F9E">
            <w:pPr>
              <w:pStyle w:val="TableofFigures"/>
            </w:pPr>
            <w:r w:rsidRPr="00DC1EE4">
              <w:t>(887)</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Borrowings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62 074</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65 548</w:t>
            </w:r>
          </w:p>
        </w:tc>
        <w:tc>
          <w:tcPr>
            <w:tcW w:w="851" w:type="dxa"/>
            <w:tcBorders>
              <w:top w:val="nil"/>
              <w:left w:val="nil"/>
              <w:bottom w:val="nil"/>
              <w:right w:val="nil"/>
            </w:tcBorders>
          </w:tcPr>
          <w:p w:rsidR="0028027B" w:rsidRPr="00DC1EE4" w:rsidRDefault="0028027B" w:rsidP="00C03F9E">
            <w:pPr>
              <w:pStyle w:val="TableofFigures"/>
            </w:pPr>
            <w:r w:rsidRPr="00DC1EE4">
              <w:t>3 474</w:t>
            </w:r>
          </w:p>
        </w:tc>
      </w:tr>
      <w:tr w:rsidR="0028027B" w:rsidRPr="00DC1EE4" w:rsidTr="00C03F9E">
        <w:trPr>
          <w:cantSplit/>
          <w:trHeight w:val="261"/>
        </w:trPr>
        <w:tc>
          <w:tcPr>
            <w:tcW w:w="220" w:type="dxa"/>
            <w:tcBorders>
              <w:top w:val="nil"/>
              <w:left w:val="nil"/>
              <w:bottom w:val="nil"/>
              <w:right w:val="nil"/>
            </w:tcBorders>
            <w:shd w:val="clear" w:color="auto" w:fill="auto"/>
            <w:noWrap/>
            <w:hideMark/>
          </w:tcPr>
          <w:p w:rsidR="0028027B" w:rsidRPr="00DC1EE4" w:rsidRDefault="0028027B" w:rsidP="00C03F9E">
            <w:pPr>
              <w:pStyle w:val="Tabletext"/>
            </w:pP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Provisions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12 906</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21 011</w:t>
            </w:r>
          </w:p>
        </w:tc>
        <w:tc>
          <w:tcPr>
            <w:tcW w:w="851" w:type="dxa"/>
            <w:tcBorders>
              <w:top w:val="nil"/>
              <w:left w:val="nil"/>
              <w:bottom w:val="nil"/>
              <w:right w:val="nil"/>
            </w:tcBorders>
          </w:tcPr>
          <w:p w:rsidR="0028027B" w:rsidRPr="00DC1EE4" w:rsidRDefault="0028027B" w:rsidP="00C03F9E">
            <w:pPr>
              <w:pStyle w:val="TableofFigures"/>
            </w:pPr>
            <w:r w:rsidRPr="00DC1EE4">
              <w:t>8 105</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Other liabilities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592</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 xml:space="preserve"> 583</w:t>
            </w:r>
          </w:p>
        </w:tc>
        <w:tc>
          <w:tcPr>
            <w:tcW w:w="851" w:type="dxa"/>
            <w:tcBorders>
              <w:top w:val="nil"/>
              <w:left w:val="nil"/>
              <w:bottom w:val="nil"/>
              <w:right w:val="nil"/>
            </w:tcBorders>
          </w:tcPr>
          <w:p w:rsidR="0028027B" w:rsidRPr="00DC1EE4" w:rsidRDefault="0028027B" w:rsidP="00C03F9E">
            <w:pPr>
              <w:pStyle w:val="TableofFigures"/>
            </w:pPr>
            <w:r w:rsidRPr="00DC1EE4">
              <w:t>(9)</w:t>
            </w:r>
          </w:p>
        </w:tc>
      </w:tr>
      <w:tr w:rsidR="0028027B" w:rsidRPr="00DC1EE4" w:rsidTr="00C03F9E">
        <w:trPr>
          <w:cantSplit/>
        </w:trPr>
        <w:tc>
          <w:tcPr>
            <w:tcW w:w="220" w:type="dxa"/>
            <w:tcBorders>
              <w:top w:val="nil"/>
              <w:left w:val="nil"/>
              <w:bottom w:val="single" w:sz="4" w:space="0" w:color="auto"/>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Liabilities directly associated with assets classified as held for sale including disposal groups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pPr>
            <w:r w:rsidRPr="00DC1EE4">
              <w:t>4 438</w:t>
            </w:r>
          </w:p>
        </w:tc>
        <w:tc>
          <w:tcPr>
            <w:tcW w:w="850" w:type="dxa"/>
            <w:tcBorders>
              <w:top w:val="nil"/>
              <w:left w:val="nil"/>
              <w:bottom w:val="single" w:sz="4" w:space="0" w:color="auto"/>
              <w:right w:val="nil"/>
            </w:tcBorders>
            <w:shd w:val="clear" w:color="auto" w:fill="auto"/>
            <w:noWrap/>
            <w:hideMark/>
          </w:tcPr>
          <w:p w:rsidR="0028027B" w:rsidRPr="00DC1EE4" w:rsidRDefault="0028027B" w:rsidP="00C03F9E">
            <w:pPr>
              <w:pStyle w:val="TableofFigures"/>
            </w:pPr>
            <w:r w:rsidRPr="00DC1EE4">
              <w:t>8 980</w:t>
            </w:r>
          </w:p>
        </w:tc>
        <w:tc>
          <w:tcPr>
            <w:tcW w:w="851" w:type="dxa"/>
            <w:tcBorders>
              <w:top w:val="nil"/>
              <w:left w:val="nil"/>
              <w:bottom w:val="single" w:sz="4" w:space="0" w:color="auto"/>
              <w:right w:val="nil"/>
            </w:tcBorders>
          </w:tcPr>
          <w:p w:rsidR="0028027B" w:rsidRPr="00DC1EE4" w:rsidRDefault="0028027B" w:rsidP="00C03F9E">
            <w:pPr>
              <w:pStyle w:val="TableofFigures"/>
            </w:pPr>
            <w:r w:rsidRPr="00DC1EE4">
              <w:t>4 542</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rPr>
                <w:b/>
              </w:rPr>
            </w:pPr>
            <w:r w:rsidRPr="00DC1EE4">
              <w:rPr>
                <w:b/>
              </w:rPr>
              <w:t xml:space="preserve"> </w:t>
            </w:r>
          </w:p>
        </w:tc>
        <w:tc>
          <w:tcPr>
            <w:tcW w:w="4665"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
              <w:rPr>
                <w:b/>
              </w:rPr>
            </w:pPr>
            <w:r w:rsidRPr="00DC1EE4">
              <w:rPr>
                <w:b/>
              </w:rPr>
              <w:t>Total liabilities</w:t>
            </w:r>
          </w:p>
        </w:tc>
        <w:tc>
          <w:tcPr>
            <w:tcW w:w="760"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ofFigures"/>
              <w:jc w:val="center"/>
              <w:rPr>
                <w:b/>
              </w:rPr>
            </w:pPr>
          </w:p>
        </w:tc>
        <w:tc>
          <w:tcPr>
            <w:tcW w:w="1083" w:type="dxa"/>
            <w:tcBorders>
              <w:top w:val="nil"/>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97 601</w:t>
            </w:r>
          </w:p>
        </w:tc>
        <w:tc>
          <w:tcPr>
            <w:tcW w:w="850" w:type="dxa"/>
            <w:tcBorders>
              <w:top w:val="nil"/>
              <w:left w:val="nil"/>
              <w:bottom w:val="single" w:sz="4" w:space="0" w:color="auto"/>
              <w:right w:val="nil"/>
            </w:tcBorders>
            <w:shd w:val="clear" w:color="auto" w:fill="auto"/>
            <w:noWrap/>
            <w:hideMark/>
          </w:tcPr>
          <w:p w:rsidR="0028027B" w:rsidRPr="00DC1EE4" w:rsidRDefault="0028027B" w:rsidP="00C03F9E">
            <w:pPr>
              <w:pStyle w:val="TableofFigures"/>
              <w:rPr>
                <w:b/>
              </w:rPr>
            </w:pPr>
            <w:r w:rsidRPr="00DC1EE4">
              <w:rPr>
                <w:b/>
              </w:rPr>
              <w:t>112 826</w:t>
            </w:r>
          </w:p>
        </w:tc>
        <w:tc>
          <w:tcPr>
            <w:tcW w:w="851" w:type="dxa"/>
            <w:tcBorders>
              <w:top w:val="nil"/>
              <w:left w:val="nil"/>
              <w:bottom w:val="single" w:sz="4" w:space="0" w:color="auto"/>
              <w:right w:val="nil"/>
            </w:tcBorders>
          </w:tcPr>
          <w:p w:rsidR="0028027B" w:rsidRPr="00DC1EE4" w:rsidRDefault="0028027B" w:rsidP="00C03F9E">
            <w:pPr>
              <w:pStyle w:val="TableofFigures"/>
              <w:rPr>
                <w:b/>
              </w:rPr>
            </w:pPr>
            <w:r w:rsidRPr="00DC1EE4">
              <w:rPr>
                <w:b/>
              </w:rPr>
              <w:t>15 225</w:t>
            </w:r>
          </w:p>
        </w:tc>
      </w:tr>
      <w:tr w:rsidR="0028027B" w:rsidRPr="00DC1EE4" w:rsidTr="00C03F9E">
        <w:trPr>
          <w:cantSplit/>
        </w:trPr>
        <w:tc>
          <w:tcPr>
            <w:tcW w:w="220" w:type="dxa"/>
            <w:tcBorders>
              <w:top w:val="single" w:sz="4" w:space="0" w:color="auto"/>
              <w:left w:val="nil"/>
              <w:bottom w:val="nil"/>
              <w:right w:val="nil"/>
            </w:tcBorders>
            <w:shd w:val="clear" w:color="auto" w:fill="auto"/>
            <w:noWrap/>
            <w:vAlign w:val="bottom"/>
            <w:hideMark/>
          </w:tcPr>
          <w:p w:rsidR="0028027B" w:rsidRPr="00DC1EE4" w:rsidRDefault="0028027B" w:rsidP="00C03F9E">
            <w:pPr>
              <w:pStyle w:val="Tabletext"/>
              <w:rPr>
                <w:b/>
              </w:rPr>
            </w:pPr>
            <w:r w:rsidRPr="00DC1EE4">
              <w:rPr>
                <w:b/>
              </w:rPr>
              <w:t xml:space="preserve"> </w:t>
            </w:r>
          </w:p>
        </w:tc>
        <w:tc>
          <w:tcPr>
            <w:tcW w:w="4665" w:type="dxa"/>
            <w:tcBorders>
              <w:top w:val="nil"/>
              <w:left w:val="nil"/>
              <w:bottom w:val="single" w:sz="4" w:space="0" w:color="auto"/>
              <w:right w:val="nil"/>
            </w:tcBorders>
            <w:shd w:val="clear" w:color="auto" w:fill="auto"/>
            <w:hideMark/>
          </w:tcPr>
          <w:p w:rsidR="0028027B" w:rsidRPr="00DC1EE4" w:rsidRDefault="0028027B" w:rsidP="00C03F9E">
            <w:pPr>
              <w:pStyle w:val="Tabletext"/>
              <w:rPr>
                <w:b/>
              </w:rPr>
            </w:pPr>
            <w:r w:rsidRPr="00DC1EE4">
              <w:rPr>
                <w:b/>
              </w:rPr>
              <w:t>Net assets</w:t>
            </w:r>
          </w:p>
        </w:tc>
        <w:tc>
          <w:tcPr>
            <w:tcW w:w="760" w:type="dxa"/>
            <w:tcBorders>
              <w:top w:val="nil"/>
              <w:left w:val="nil"/>
              <w:bottom w:val="single" w:sz="4" w:space="0" w:color="auto"/>
              <w:right w:val="nil"/>
            </w:tcBorders>
            <w:shd w:val="clear" w:color="auto" w:fill="auto"/>
            <w:noWrap/>
            <w:hideMark/>
          </w:tcPr>
          <w:p w:rsidR="0028027B" w:rsidRPr="00DC1EE4" w:rsidRDefault="0028027B" w:rsidP="00C03F9E">
            <w:pPr>
              <w:pStyle w:val="TableofFigures"/>
              <w:jc w:val="center"/>
              <w:rPr>
                <w:b/>
              </w:rPr>
            </w:pPr>
          </w:p>
        </w:tc>
        <w:tc>
          <w:tcPr>
            <w:tcW w:w="1083" w:type="dxa"/>
            <w:tcBorders>
              <w:top w:val="nil"/>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141 432</w:t>
            </w:r>
          </w:p>
        </w:tc>
        <w:tc>
          <w:tcPr>
            <w:tcW w:w="850" w:type="dxa"/>
            <w:tcBorders>
              <w:top w:val="nil"/>
              <w:left w:val="nil"/>
              <w:bottom w:val="single" w:sz="4" w:space="0" w:color="auto"/>
              <w:right w:val="nil"/>
            </w:tcBorders>
            <w:shd w:val="clear" w:color="auto" w:fill="auto"/>
            <w:noWrap/>
            <w:hideMark/>
          </w:tcPr>
          <w:p w:rsidR="0028027B" w:rsidRPr="00DC1EE4" w:rsidRDefault="0028027B" w:rsidP="00C03F9E">
            <w:pPr>
              <w:pStyle w:val="TableofFigures"/>
              <w:rPr>
                <w:b/>
              </w:rPr>
            </w:pPr>
            <w:r w:rsidRPr="00DC1EE4">
              <w:rPr>
                <w:b/>
              </w:rPr>
              <w:t>114 961</w:t>
            </w:r>
          </w:p>
        </w:tc>
        <w:tc>
          <w:tcPr>
            <w:tcW w:w="851" w:type="dxa"/>
            <w:tcBorders>
              <w:top w:val="nil"/>
              <w:left w:val="nil"/>
              <w:bottom w:val="single" w:sz="4" w:space="0" w:color="auto"/>
              <w:right w:val="nil"/>
            </w:tcBorders>
          </w:tcPr>
          <w:p w:rsidR="0028027B" w:rsidRPr="00DC1EE4" w:rsidRDefault="0028027B" w:rsidP="00C03F9E">
            <w:pPr>
              <w:pStyle w:val="TableofFigures"/>
              <w:rPr>
                <w:b/>
              </w:rPr>
            </w:pPr>
            <w:r w:rsidRPr="00DC1EE4">
              <w:rPr>
                <w:b/>
              </w:rPr>
              <w:t>(26 471)</w:t>
            </w:r>
          </w:p>
        </w:tc>
      </w:tr>
      <w:tr w:rsidR="0028027B" w:rsidRPr="00DC1EE4" w:rsidTr="00C03F9E">
        <w:trPr>
          <w:cantSplit/>
        </w:trPr>
        <w:tc>
          <w:tcPr>
            <w:tcW w:w="220" w:type="dxa"/>
            <w:tcBorders>
              <w:top w:val="single" w:sz="4" w:space="0" w:color="auto"/>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Equity</w:t>
            </w:r>
          </w:p>
        </w:tc>
        <w:tc>
          <w:tcPr>
            <w:tcW w:w="760" w:type="dxa"/>
            <w:tcBorders>
              <w:top w:val="nil"/>
              <w:left w:val="nil"/>
              <w:bottom w:val="nil"/>
              <w:right w:val="nil"/>
            </w:tcBorders>
            <w:shd w:val="clear" w:color="auto" w:fill="auto"/>
            <w:noWrap/>
            <w:hideMark/>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 xml:space="preserve"> </w:t>
            </w:r>
          </w:p>
        </w:tc>
        <w:tc>
          <w:tcPr>
            <w:tcW w:w="851" w:type="dxa"/>
            <w:tcBorders>
              <w:top w:val="nil"/>
              <w:left w:val="nil"/>
              <w:bottom w:val="nil"/>
              <w:right w:val="nil"/>
            </w:tcBorders>
          </w:tcPr>
          <w:p w:rsidR="0028027B" w:rsidRPr="00DC1EE4" w:rsidRDefault="0028027B" w:rsidP="00C03F9E">
            <w:pPr>
              <w:pStyle w:val="TableofFigures"/>
            </w:pP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Accumulated surplus/(deficit)</w:t>
            </w:r>
          </w:p>
        </w:tc>
        <w:tc>
          <w:tcPr>
            <w:tcW w:w="760" w:type="dxa"/>
            <w:tcBorders>
              <w:top w:val="nil"/>
              <w:left w:val="nil"/>
              <w:bottom w:val="nil"/>
              <w:right w:val="nil"/>
            </w:tcBorders>
            <w:shd w:val="clear" w:color="auto" w:fill="auto"/>
            <w:noWrap/>
            <w:hideMark/>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76 434</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71 133</w:t>
            </w:r>
          </w:p>
        </w:tc>
        <w:tc>
          <w:tcPr>
            <w:tcW w:w="851" w:type="dxa"/>
            <w:tcBorders>
              <w:top w:val="nil"/>
              <w:left w:val="nil"/>
              <w:bottom w:val="nil"/>
              <w:right w:val="nil"/>
            </w:tcBorders>
          </w:tcPr>
          <w:p w:rsidR="0028027B" w:rsidRPr="00DC1EE4" w:rsidRDefault="0028027B" w:rsidP="00C03F9E">
            <w:pPr>
              <w:pStyle w:val="TableofFigures"/>
            </w:pPr>
            <w:r w:rsidRPr="00DC1EE4">
              <w:t>(5 301)</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Physical asset revaluation surplus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7 338</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3 759</w:t>
            </w:r>
          </w:p>
        </w:tc>
        <w:tc>
          <w:tcPr>
            <w:tcW w:w="851" w:type="dxa"/>
            <w:tcBorders>
              <w:top w:val="nil"/>
              <w:left w:val="nil"/>
              <w:bottom w:val="nil"/>
              <w:right w:val="nil"/>
            </w:tcBorders>
          </w:tcPr>
          <w:p w:rsidR="0028027B" w:rsidRPr="00DC1EE4" w:rsidRDefault="0028027B" w:rsidP="00C03F9E">
            <w:pPr>
              <w:pStyle w:val="TableofFigures"/>
            </w:pPr>
            <w:r w:rsidRPr="00DC1EE4">
              <w:t>(3 579)</w:t>
            </w:r>
          </w:p>
        </w:tc>
      </w:tr>
      <w:tr w:rsidR="0028027B" w:rsidRPr="00DC1EE4" w:rsidTr="00C03F9E">
        <w:trPr>
          <w:cantSplit/>
        </w:trPr>
        <w:tc>
          <w:tcPr>
            <w:tcW w:w="220" w:type="dxa"/>
            <w:tcBorders>
              <w:top w:val="nil"/>
              <w:left w:val="nil"/>
              <w:bottom w:val="nil"/>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nil"/>
              <w:right w:val="nil"/>
            </w:tcBorders>
            <w:shd w:val="clear" w:color="auto" w:fill="auto"/>
            <w:hideMark/>
          </w:tcPr>
          <w:p w:rsidR="0028027B" w:rsidRPr="00DC1EE4" w:rsidRDefault="0028027B" w:rsidP="00C03F9E">
            <w:pPr>
              <w:pStyle w:val="Tabletext"/>
            </w:pPr>
            <w:r w:rsidRPr="00DC1EE4">
              <w:t>Financial assets available</w:t>
            </w:r>
            <w:r w:rsidR="005A4BB0">
              <w:noBreakHyphen/>
            </w:r>
            <w:r w:rsidRPr="00DC1EE4">
              <w:t>for</w:t>
            </w:r>
            <w:r w:rsidR="005A4BB0">
              <w:noBreakHyphen/>
            </w:r>
            <w:r w:rsidRPr="00DC1EE4">
              <w:t>sale revaluation surplus</w:t>
            </w:r>
          </w:p>
        </w:tc>
        <w:tc>
          <w:tcPr>
            <w:tcW w:w="760" w:type="dxa"/>
            <w:tcBorders>
              <w:top w:val="nil"/>
              <w:left w:val="nil"/>
              <w:bottom w:val="nil"/>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200</w:t>
            </w:r>
          </w:p>
        </w:tc>
        <w:tc>
          <w:tcPr>
            <w:tcW w:w="850"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1 723</w:t>
            </w:r>
          </w:p>
        </w:tc>
        <w:tc>
          <w:tcPr>
            <w:tcW w:w="851" w:type="dxa"/>
            <w:tcBorders>
              <w:top w:val="nil"/>
              <w:left w:val="nil"/>
              <w:bottom w:val="nil"/>
              <w:right w:val="nil"/>
            </w:tcBorders>
          </w:tcPr>
          <w:p w:rsidR="0028027B" w:rsidRPr="00DC1EE4" w:rsidRDefault="0028027B" w:rsidP="00C03F9E">
            <w:pPr>
              <w:pStyle w:val="TableofFigures"/>
            </w:pPr>
            <w:r w:rsidRPr="00DC1EE4">
              <w:t>1 523</w:t>
            </w:r>
          </w:p>
        </w:tc>
      </w:tr>
      <w:tr w:rsidR="0028027B" w:rsidRPr="00DC1EE4" w:rsidTr="00C03F9E">
        <w:trPr>
          <w:cantSplit/>
        </w:trPr>
        <w:tc>
          <w:tcPr>
            <w:tcW w:w="220" w:type="dxa"/>
            <w:tcBorders>
              <w:top w:val="nil"/>
              <w:left w:val="nil"/>
              <w:bottom w:val="single" w:sz="6" w:space="0" w:color="auto"/>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665" w:type="dxa"/>
            <w:tcBorders>
              <w:top w:val="nil"/>
              <w:left w:val="nil"/>
              <w:bottom w:val="single" w:sz="6" w:space="0" w:color="auto"/>
              <w:right w:val="nil"/>
            </w:tcBorders>
            <w:shd w:val="clear" w:color="auto" w:fill="auto"/>
            <w:hideMark/>
          </w:tcPr>
          <w:p w:rsidR="0028027B" w:rsidRPr="00DC1EE4" w:rsidRDefault="0028027B" w:rsidP="00C03F9E">
            <w:pPr>
              <w:pStyle w:val="Tabletext"/>
            </w:pPr>
            <w:r w:rsidRPr="00DC1EE4">
              <w:t>Contributed capital</w:t>
            </w:r>
          </w:p>
        </w:tc>
        <w:tc>
          <w:tcPr>
            <w:tcW w:w="760" w:type="dxa"/>
            <w:tcBorders>
              <w:top w:val="nil"/>
              <w:left w:val="nil"/>
              <w:bottom w:val="single" w:sz="6" w:space="0" w:color="auto"/>
              <w:right w:val="nil"/>
            </w:tcBorders>
            <w:shd w:val="clear" w:color="auto" w:fill="auto"/>
            <w:noWrap/>
          </w:tcPr>
          <w:p w:rsidR="0028027B" w:rsidRPr="00DC1EE4" w:rsidRDefault="0028027B" w:rsidP="00C03F9E">
            <w:pPr>
              <w:pStyle w:val="TableofFigures"/>
              <w:jc w:val="center"/>
            </w:pPr>
          </w:p>
        </w:tc>
        <w:tc>
          <w:tcPr>
            <w:tcW w:w="1083" w:type="dxa"/>
            <w:tcBorders>
              <w:top w:val="nil"/>
              <w:left w:val="nil"/>
              <w:bottom w:val="single" w:sz="6" w:space="0" w:color="auto"/>
              <w:right w:val="nil"/>
            </w:tcBorders>
            <w:shd w:val="clear" w:color="auto" w:fill="BFBFBF" w:themeFill="background1" w:themeFillShade="BF"/>
            <w:noWrap/>
            <w:hideMark/>
          </w:tcPr>
          <w:p w:rsidR="0028027B" w:rsidRPr="00DC1EE4" w:rsidRDefault="0028027B" w:rsidP="00C03F9E">
            <w:pPr>
              <w:pStyle w:val="TableofFigures"/>
            </w:pPr>
            <w:r w:rsidRPr="00DC1EE4">
              <w:t>57 460</w:t>
            </w:r>
          </w:p>
        </w:tc>
        <w:tc>
          <w:tcPr>
            <w:tcW w:w="850" w:type="dxa"/>
            <w:tcBorders>
              <w:top w:val="nil"/>
              <w:left w:val="nil"/>
              <w:bottom w:val="single" w:sz="6" w:space="0" w:color="auto"/>
              <w:right w:val="nil"/>
            </w:tcBorders>
            <w:shd w:val="clear" w:color="auto" w:fill="auto"/>
            <w:noWrap/>
            <w:hideMark/>
          </w:tcPr>
          <w:p w:rsidR="0028027B" w:rsidRPr="00DC1EE4" w:rsidRDefault="0028027B" w:rsidP="00C03F9E">
            <w:pPr>
              <w:pStyle w:val="TableofFigures"/>
            </w:pPr>
            <w:r w:rsidRPr="00DC1EE4">
              <w:t>38 345</w:t>
            </w:r>
          </w:p>
        </w:tc>
        <w:tc>
          <w:tcPr>
            <w:tcW w:w="851" w:type="dxa"/>
            <w:tcBorders>
              <w:top w:val="nil"/>
              <w:left w:val="nil"/>
              <w:bottom w:val="single" w:sz="6" w:space="0" w:color="auto"/>
              <w:right w:val="nil"/>
            </w:tcBorders>
          </w:tcPr>
          <w:p w:rsidR="0028027B" w:rsidRPr="00DC1EE4" w:rsidRDefault="0028027B" w:rsidP="00C03F9E">
            <w:pPr>
              <w:pStyle w:val="TableofFigures"/>
            </w:pPr>
            <w:r w:rsidRPr="00DC1EE4">
              <w:t>(19 115)</w:t>
            </w:r>
          </w:p>
        </w:tc>
      </w:tr>
      <w:tr w:rsidR="0028027B" w:rsidRPr="00DC1EE4" w:rsidTr="00C03F9E">
        <w:trPr>
          <w:cantSplit/>
        </w:trPr>
        <w:tc>
          <w:tcPr>
            <w:tcW w:w="220" w:type="dxa"/>
            <w:tcBorders>
              <w:top w:val="single" w:sz="6" w:space="0" w:color="auto"/>
              <w:left w:val="nil"/>
              <w:bottom w:val="single" w:sz="12" w:space="0" w:color="auto"/>
              <w:right w:val="nil"/>
            </w:tcBorders>
            <w:shd w:val="clear" w:color="auto" w:fill="auto"/>
            <w:noWrap/>
            <w:vAlign w:val="bottom"/>
            <w:hideMark/>
          </w:tcPr>
          <w:p w:rsidR="0028027B" w:rsidRPr="00DC1EE4" w:rsidRDefault="0028027B" w:rsidP="00C03F9E">
            <w:pPr>
              <w:pStyle w:val="Tabletext"/>
              <w:rPr>
                <w:b/>
              </w:rPr>
            </w:pPr>
            <w:r w:rsidRPr="00DC1EE4">
              <w:rPr>
                <w:b/>
              </w:rPr>
              <w:t xml:space="preserve"> </w:t>
            </w:r>
          </w:p>
        </w:tc>
        <w:tc>
          <w:tcPr>
            <w:tcW w:w="4665" w:type="dxa"/>
            <w:tcBorders>
              <w:top w:val="single" w:sz="6" w:space="0" w:color="auto"/>
              <w:left w:val="nil"/>
              <w:bottom w:val="single" w:sz="12" w:space="0" w:color="auto"/>
              <w:right w:val="nil"/>
            </w:tcBorders>
            <w:shd w:val="clear" w:color="auto" w:fill="auto"/>
            <w:hideMark/>
          </w:tcPr>
          <w:p w:rsidR="0028027B" w:rsidRPr="00DC1EE4" w:rsidRDefault="0028027B" w:rsidP="00C03F9E">
            <w:pPr>
              <w:pStyle w:val="Tabletext"/>
              <w:rPr>
                <w:b/>
              </w:rPr>
            </w:pPr>
            <w:r w:rsidRPr="00DC1EE4">
              <w:rPr>
                <w:b/>
              </w:rPr>
              <w:t>Net worth</w:t>
            </w:r>
          </w:p>
        </w:tc>
        <w:tc>
          <w:tcPr>
            <w:tcW w:w="760" w:type="dxa"/>
            <w:tcBorders>
              <w:top w:val="single" w:sz="6" w:space="0" w:color="auto"/>
              <w:left w:val="nil"/>
              <w:bottom w:val="single" w:sz="12" w:space="0" w:color="auto"/>
              <w:right w:val="nil"/>
            </w:tcBorders>
            <w:shd w:val="clear" w:color="auto" w:fill="auto"/>
            <w:noWrap/>
            <w:hideMark/>
          </w:tcPr>
          <w:p w:rsidR="0028027B" w:rsidRPr="00DC1EE4" w:rsidRDefault="0028027B" w:rsidP="00C03F9E">
            <w:pPr>
              <w:pStyle w:val="TableofFigures"/>
              <w:jc w:val="center"/>
              <w:rPr>
                <w:b/>
              </w:rPr>
            </w:pPr>
          </w:p>
        </w:tc>
        <w:tc>
          <w:tcPr>
            <w:tcW w:w="1083" w:type="dxa"/>
            <w:tcBorders>
              <w:top w:val="single" w:sz="6" w:space="0" w:color="auto"/>
              <w:left w:val="nil"/>
              <w:bottom w:val="single" w:sz="12"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141 432</w:t>
            </w:r>
          </w:p>
        </w:tc>
        <w:tc>
          <w:tcPr>
            <w:tcW w:w="850" w:type="dxa"/>
            <w:tcBorders>
              <w:top w:val="single" w:sz="6" w:space="0" w:color="auto"/>
              <w:left w:val="nil"/>
              <w:bottom w:val="single" w:sz="12" w:space="0" w:color="auto"/>
              <w:right w:val="nil"/>
            </w:tcBorders>
            <w:shd w:val="clear" w:color="auto" w:fill="auto"/>
            <w:noWrap/>
            <w:hideMark/>
          </w:tcPr>
          <w:p w:rsidR="0028027B" w:rsidRPr="00DC1EE4" w:rsidRDefault="0028027B" w:rsidP="00C03F9E">
            <w:pPr>
              <w:pStyle w:val="TableofFigures"/>
              <w:rPr>
                <w:b/>
              </w:rPr>
            </w:pPr>
            <w:r w:rsidRPr="00DC1EE4">
              <w:rPr>
                <w:b/>
              </w:rPr>
              <w:t>114 960</w:t>
            </w:r>
          </w:p>
        </w:tc>
        <w:tc>
          <w:tcPr>
            <w:tcW w:w="851" w:type="dxa"/>
            <w:tcBorders>
              <w:top w:val="single" w:sz="6" w:space="0" w:color="auto"/>
              <w:left w:val="nil"/>
              <w:bottom w:val="single" w:sz="12" w:space="0" w:color="auto"/>
              <w:right w:val="nil"/>
            </w:tcBorders>
          </w:tcPr>
          <w:p w:rsidR="0028027B" w:rsidRPr="00DC1EE4" w:rsidRDefault="0028027B" w:rsidP="00C03F9E">
            <w:pPr>
              <w:pStyle w:val="TableofFigures"/>
              <w:rPr>
                <w:b/>
              </w:rPr>
            </w:pPr>
            <w:r w:rsidRPr="00DC1EE4">
              <w:rPr>
                <w:b/>
              </w:rPr>
              <w:t>(26 472)</w:t>
            </w:r>
          </w:p>
        </w:tc>
      </w:tr>
      <w:tr w:rsidR="0028027B" w:rsidRPr="00DC1EE4" w:rsidTr="00C03F9E">
        <w:trPr>
          <w:cantSplit/>
        </w:trPr>
        <w:tc>
          <w:tcPr>
            <w:tcW w:w="8429" w:type="dxa"/>
            <w:gridSpan w:val="6"/>
            <w:tcBorders>
              <w:top w:val="single" w:sz="12" w:space="0" w:color="auto"/>
              <w:left w:val="nil"/>
              <w:bottom w:val="nil"/>
              <w:right w:val="nil"/>
            </w:tcBorders>
            <w:shd w:val="clear" w:color="auto" w:fill="auto"/>
            <w:noWrap/>
          </w:tcPr>
          <w:p w:rsidR="0028027B" w:rsidRPr="00DC1EE4" w:rsidRDefault="0028027B" w:rsidP="00C03F9E">
            <w:pPr>
              <w:pStyle w:val="NotesBlue"/>
            </w:pPr>
            <w:r w:rsidRPr="00DC1EE4">
              <w:t>Note:</w:t>
            </w:r>
          </w:p>
          <w:p w:rsidR="0028027B" w:rsidRPr="00DC1EE4" w:rsidRDefault="0028027B" w:rsidP="00C03F9E">
            <w:pPr>
              <w:pStyle w:val="NotesBlue"/>
            </w:pPr>
            <w:r w:rsidRPr="00DC1EE4">
              <w:t>(i)</w:t>
            </w:r>
            <w:r w:rsidRPr="00DC1EE4">
              <w:tab/>
              <w:t>Entities are required to disclose a brief explanation for any major variances identified.</w:t>
            </w:r>
          </w:p>
        </w:tc>
      </w:tr>
    </w:tbl>
    <w:p w:rsidR="0028027B" w:rsidRPr="00DC1EE4" w:rsidRDefault="0028027B" w:rsidP="0028027B"/>
    <w:p w:rsidR="0028027B" w:rsidRPr="00DC1EE4" w:rsidRDefault="0028027B" w:rsidP="0028027B"/>
    <w:p w:rsidR="0028027B" w:rsidRPr="00DC1EE4" w:rsidRDefault="0028027B" w:rsidP="0028027B">
      <w:pPr>
        <w:sectPr w:rsidR="0028027B" w:rsidRPr="00DC1EE4" w:rsidSect="00190A01">
          <w:headerReference w:type="even" r:id="rId372"/>
          <w:headerReference w:type="default" r:id="rId373"/>
          <w:pgSz w:w="11906" w:h="16838" w:code="9"/>
          <w:pgMar w:top="1152" w:right="864" w:bottom="1152" w:left="864" w:header="432" w:footer="432" w:gutter="0"/>
          <w:cols w:num="2" w:space="360" w:equalWidth="0">
            <w:col w:w="1440" w:space="360"/>
            <w:col w:w="8378"/>
          </w:cols>
        </w:sectPr>
      </w:pPr>
    </w:p>
    <w:p w:rsidR="0028027B" w:rsidRPr="00DC1EE4" w:rsidRDefault="0028027B" w:rsidP="0028027B">
      <w:pPr>
        <w:pStyle w:val="SmallLine"/>
      </w:pPr>
    </w:p>
    <w:p w:rsidR="0028027B" w:rsidRPr="00DC1EE4" w:rsidRDefault="0028027B" w:rsidP="0028027B">
      <w:pPr>
        <w:pStyle w:val="SmallLine"/>
      </w:pPr>
    </w:p>
    <w:p w:rsidR="0028027B" w:rsidRPr="00DC1EE4" w:rsidRDefault="0028027B" w:rsidP="002E1AF3">
      <w:pPr>
        <w:pStyle w:val="Reference"/>
        <w:spacing w:before="120"/>
      </w:pPr>
      <w:r w:rsidRPr="00DC1EE4">
        <w:t>AASB 1055.6</w:t>
      </w:r>
    </w:p>
    <w:p w:rsidR="0028027B" w:rsidRPr="00DC1EE4" w:rsidRDefault="0028027B" w:rsidP="0028027B">
      <w:pPr>
        <w:pStyle w:val="Heading2"/>
      </w:pPr>
      <w:r w:rsidRPr="00DC1EE4">
        <w:br w:type="column"/>
      </w:r>
      <w:bookmarkStart w:id="727" w:name="_Toc388272006"/>
      <w:r w:rsidRPr="00DC1EE4">
        <w:t>Cash flow statement for the financial year ended 30 June 201</w:t>
      </w:r>
      <w:bookmarkEnd w:id="727"/>
      <w:r w:rsidRPr="00DC1EE4">
        <w:t>5</w:t>
      </w:r>
    </w:p>
    <w:p w:rsidR="0028027B" w:rsidRPr="00DC1EE4" w:rsidRDefault="0028027B" w:rsidP="0028027B">
      <w:pPr>
        <w:pStyle w:val="million"/>
      </w:pPr>
      <w:r w:rsidRPr="00DC1EE4">
        <w:t>($ thousand)</w:t>
      </w:r>
    </w:p>
    <w:tbl>
      <w:tblPr>
        <w:tblW w:w="8437" w:type="dxa"/>
        <w:tblInd w:w="108" w:type="dxa"/>
        <w:tblLayout w:type="fixed"/>
        <w:tblCellMar>
          <w:left w:w="43" w:type="dxa"/>
          <w:right w:w="43" w:type="dxa"/>
        </w:tblCellMar>
        <w:tblLook w:val="04A0" w:firstRow="1" w:lastRow="0" w:firstColumn="1" w:lastColumn="0" w:noHBand="0" w:noVBand="1"/>
      </w:tblPr>
      <w:tblGrid>
        <w:gridCol w:w="385"/>
        <w:gridCol w:w="4228"/>
        <w:gridCol w:w="708"/>
        <w:gridCol w:w="1135"/>
        <w:gridCol w:w="991"/>
        <w:gridCol w:w="990"/>
      </w:tblGrid>
      <w:tr w:rsidR="0028027B" w:rsidRPr="00DC1EE4" w:rsidTr="00C03F9E">
        <w:trPr>
          <w:cantSplit/>
          <w:trHeight w:val="463"/>
        </w:trPr>
        <w:tc>
          <w:tcPr>
            <w:tcW w:w="385" w:type="dxa"/>
            <w:tcBorders>
              <w:top w:val="single" w:sz="4" w:space="0" w:color="auto"/>
              <w:left w:val="nil"/>
              <w:bottom w:val="single" w:sz="4" w:space="0" w:color="auto"/>
              <w:right w:val="nil"/>
            </w:tcBorders>
            <w:shd w:val="clear" w:color="auto" w:fill="auto"/>
            <w:noWrap/>
            <w:vAlign w:val="bottom"/>
            <w:hideMark/>
          </w:tcPr>
          <w:p w:rsidR="0028027B" w:rsidRPr="00DC1EE4" w:rsidRDefault="0028027B" w:rsidP="00C03F9E">
            <w:pPr>
              <w:pStyle w:val="Tabletext"/>
            </w:pPr>
            <w:r w:rsidRPr="00DC1EE4">
              <w:t xml:space="preserve"> </w:t>
            </w:r>
          </w:p>
        </w:tc>
        <w:tc>
          <w:tcPr>
            <w:tcW w:w="4228" w:type="dxa"/>
            <w:tcBorders>
              <w:top w:val="single" w:sz="4" w:space="0" w:color="auto"/>
              <w:left w:val="nil"/>
              <w:bottom w:val="single" w:sz="4" w:space="0" w:color="auto"/>
              <w:right w:val="nil"/>
            </w:tcBorders>
            <w:shd w:val="clear" w:color="auto" w:fill="auto"/>
            <w:vAlign w:val="bottom"/>
            <w:hideMark/>
          </w:tcPr>
          <w:p w:rsidR="0028027B" w:rsidRPr="00DC1EE4" w:rsidRDefault="0028027B" w:rsidP="00C03F9E">
            <w:pPr>
              <w:pStyle w:val="TabletextheadingLeft"/>
            </w:pPr>
            <w:r w:rsidRPr="00DC1EE4">
              <w:t>FOR ILLUSTRATIVE PURPOSES ONLY</w:t>
            </w:r>
          </w:p>
        </w:tc>
        <w:tc>
          <w:tcPr>
            <w:tcW w:w="708"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textheadingCentred"/>
              <w:jc w:val="right"/>
            </w:pPr>
            <w:r w:rsidRPr="00DC1EE4">
              <w:br/>
              <w:t xml:space="preserve">Notes </w:t>
            </w:r>
            <w:r w:rsidRPr="00DC1EE4">
              <w:rPr>
                <w:vertAlign w:val="superscript"/>
              </w:rPr>
              <w:t>(i)</w:t>
            </w:r>
          </w:p>
        </w:tc>
        <w:tc>
          <w:tcPr>
            <w:tcW w:w="1135" w:type="dxa"/>
            <w:tcBorders>
              <w:top w:val="single" w:sz="4" w:space="0" w:color="auto"/>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textheading"/>
            </w:pPr>
            <w:r w:rsidRPr="00DC1EE4">
              <w:t>Original budget 2015</w:t>
            </w:r>
          </w:p>
        </w:tc>
        <w:tc>
          <w:tcPr>
            <w:tcW w:w="991"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textheading"/>
            </w:pPr>
            <w:r w:rsidRPr="00DC1EE4">
              <w:t xml:space="preserve">Actual </w:t>
            </w:r>
            <w:r w:rsidRPr="00DC1EE4">
              <w:br/>
              <w:t>2015</w:t>
            </w:r>
          </w:p>
        </w:tc>
        <w:tc>
          <w:tcPr>
            <w:tcW w:w="990" w:type="dxa"/>
            <w:tcBorders>
              <w:top w:val="single" w:sz="4" w:space="0" w:color="auto"/>
              <w:left w:val="nil"/>
              <w:bottom w:val="single" w:sz="4" w:space="0" w:color="auto"/>
              <w:right w:val="nil"/>
            </w:tcBorders>
          </w:tcPr>
          <w:p w:rsidR="0028027B" w:rsidRPr="00DC1EE4" w:rsidRDefault="0028027B" w:rsidP="00C03F9E">
            <w:pPr>
              <w:pStyle w:val="Tabletextheading"/>
            </w:pPr>
            <w:r w:rsidRPr="00DC1EE4">
              <w:br/>
              <w:t>Variance</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rPr>
                <w:b/>
              </w:rPr>
            </w:pPr>
          </w:p>
        </w:tc>
        <w:tc>
          <w:tcPr>
            <w:tcW w:w="4228" w:type="dxa"/>
            <w:tcBorders>
              <w:top w:val="nil"/>
              <w:left w:val="nil"/>
              <w:bottom w:val="nil"/>
              <w:right w:val="nil"/>
            </w:tcBorders>
            <w:shd w:val="clear" w:color="auto" w:fill="auto"/>
            <w:hideMark/>
          </w:tcPr>
          <w:p w:rsidR="0028027B" w:rsidRPr="00DC1EE4" w:rsidRDefault="0028027B" w:rsidP="00C03F9E">
            <w:pPr>
              <w:pStyle w:val="Tabletext"/>
              <w:rPr>
                <w:b/>
              </w:rPr>
            </w:pPr>
            <w:r w:rsidRPr="00DC1EE4">
              <w:rPr>
                <w:b/>
              </w:rPr>
              <w:t>Cash flows from operating activities</w:t>
            </w:r>
          </w:p>
        </w:tc>
        <w:tc>
          <w:tcPr>
            <w:tcW w:w="708" w:type="dxa"/>
            <w:tcBorders>
              <w:top w:val="nil"/>
              <w:left w:val="nil"/>
              <w:bottom w:val="nil"/>
              <w:right w:val="nil"/>
            </w:tcBorders>
            <w:shd w:val="clear" w:color="auto" w:fill="auto"/>
            <w:noWrap/>
            <w:hideMark/>
          </w:tcPr>
          <w:p w:rsidR="0028027B" w:rsidRPr="00DC1EE4" w:rsidRDefault="0028027B" w:rsidP="00C03F9E">
            <w:pPr>
              <w:pStyle w:val="TableTextCentred"/>
              <w:rPr>
                <w:b/>
              </w:rPr>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 xml:space="preserve"> </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rPr>
                <w:b/>
              </w:rPr>
            </w:pPr>
            <w:r w:rsidRPr="00DC1EE4">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Receipts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p>
        </w:tc>
        <w:tc>
          <w:tcPr>
            <w:tcW w:w="990" w:type="dxa"/>
            <w:tcBorders>
              <w:top w:val="nil"/>
              <w:left w:val="nil"/>
              <w:bottom w:val="nil"/>
              <w:right w:val="nil"/>
            </w:tcBorders>
          </w:tcPr>
          <w:p w:rsidR="0028027B" w:rsidRPr="00DC1EE4" w:rsidRDefault="0028027B" w:rsidP="00C03F9E">
            <w:pPr>
              <w:pStyle w:val="TableofFigures"/>
            </w:pP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Receipts from government</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78 344</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87 135</w:t>
            </w:r>
          </w:p>
        </w:tc>
        <w:tc>
          <w:tcPr>
            <w:tcW w:w="990" w:type="dxa"/>
            <w:tcBorders>
              <w:top w:val="nil"/>
              <w:left w:val="nil"/>
              <w:bottom w:val="nil"/>
              <w:right w:val="nil"/>
            </w:tcBorders>
          </w:tcPr>
          <w:p w:rsidR="0028027B" w:rsidRPr="00DC1EE4" w:rsidRDefault="0028027B" w:rsidP="00C03F9E">
            <w:pPr>
              <w:pStyle w:val="TableofFigures"/>
            </w:pPr>
            <w:r w:rsidRPr="00DC1EE4">
              <w:t>8 791</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Receipts from other entities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5 536</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4 373</w:t>
            </w:r>
          </w:p>
        </w:tc>
        <w:tc>
          <w:tcPr>
            <w:tcW w:w="990" w:type="dxa"/>
            <w:tcBorders>
              <w:top w:val="nil"/>
              <w:left w:val="nil"/>
              <w:bottom w:val="nil"/>
              <w:right w:val="nil"/>
            </w:tcBorders>
          </w:tcPr>
          <w:p w:rsidR="0028027B" w:rsidRPr="00DC1EE4" w:rsidRDefault="0028027B" w:rsidP="00C03F9E">
            <w:pPr>
              <w:pStyle w:val="TableofFigures"/>
            </w:pPr>
            <w:r w:rsidRPr="00DC1EE4">
              <w:t>(1 163)</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Interest received</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1 749</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1 606</w:t>
            </w:r>
          </w:p>
        </w:tc>
        <w:tc>
          <w:tcPr>
            <w:tcW w:w="990" w:type="dxa"/>
            <w:tcBorders>
              <w:top w:val="nil"/>
              <w:left w:val="nil"/>
              <w:bottom w:val="nil"/>
              <w:right w:val="nil"/>
            </w:tcBorders>
          </w:tcPr>
          <w:p w:rsidR="0028027B" w:rsidRPr="00DC1EE4" w:rsidRDefault="0028027B" w:rsidP="00C03F9E">
            <w:pPr>
              <w:pStyle w:val="TableofFigures"/>
            </w:pPr>
            <w:r w:rsidRPr="00DC1EE4">
              <w:t>(143)</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Dividends received</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1 698</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1 611</w:t>
            </w:r>
          </w:p>
        </w:tc>
        <w:tc>
          <w:tcPr>
            <w:tcW w:w="990" w:type="dxa"/>
            <w:tcBorders>
              <w:top w:val="nil"/>
              <w:left w:val="nil"/>
              <w:bottom w:val="nil"/>
              <w:right w:val="nil"/>
            </w:tcBorders>
          </w:tcPr>
          <w:p w:rsidR="0028027B" w:rsidRPr="00DC1EE4" w:rsidRDefault="0028027B" w:rsidP="00C03F9E">
            <w:pPr>
              <w:pStyle w:val="TableofFigures"/>
            </w:pPr>
            <w:r w:rsidRPr="00DC1EE4">
              <w:t>(87)</w:t>
            </w:r>
          </w:p>
        </w:tc>
      </w:tr>
      <w:tr w:rsidR="0028027B" w:rsidRPr="00DC1EE4" w:rsidTr="00C03F9E">
        <w:trPr>
          <w:cantSplit/>
        </w:trPr>
        <w:tc>
          <w:tcPr>
            <w:tcW w:w="385" w:type="dxa"/>
            <w:tcBorders>
              <w:top w:val="nil"/>
              <w:left w:val="nil"/>
              <w:bottom w:val="single" w:sz="4" w:space="0" w:color="auto"/>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Other receipts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516</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 xml:space="preserve"> 262</w:t>
            </w:r>
          </w:p>
        </w:tc>
        <w:tc>
          <w:tcPr>
            <w:tcW w:w="990" w:type="dxa"/>
            <w:tcBorders>
              <w:top w:val="nil"/>
              <w:left w:val="nil"/>
              <w:bottom w:val="nil"/>
              <w:right w:val="nil"/>
            </w:tcBorders>
          </w:tcPr>
          <w:p w:rsidR="0028027B" w:rsidRPr="00DC1EE4" w:rsidRDefault="0028027B" w:rsidP="00C03F9E">
            <w:pPr>
              <w:pStyle w:val="TableofFigures"/>
            </w:pPr>
            <w:r w:rsidRPr="00DC1EE4">
              <w:t>(254)</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rPr>
                <w:b/>
              </w:rPr>
            </w:pPr>
            <w:r w:rsidRPr="00DC1EE4">
              <w:rPr>
                <w:b/>
              </w:rPr>
              <w:t xml:space="preserve"> </w:t>
            </w:r>
          </w:p>
        </w:tc>
        <w:tc>
          <w:tcPr>
            <w:tcW w:w="4228" w:type="dxa"/>
            <w:tcBorders>
              <w:top w:val="single" w:sz="4" w:space="0" w:color="auto"/>
              <w:left w:val="nil"/>
              <w:bottom w:val="nil"/>
              <w:right w:val="nil"/>
            </w:tcBorders>
            <w:shd w:val="clear" w:color="auto" w:fill="auto"/>
            <w:hideMark/>
          </w:tcPr>
          <w:p w:rsidR="0028027B" w:rsidRPr="00DC1EE4" w:rsidRDefault="0028027B" w:rsidP="00C03F9E">
            <w:pPr>
              <w:pStyle w:val="Tabletext"/>
              <w:rPr>
                <w:b/>
              </w:rPr>
            </w:pPr>
            <w:r w:rsidRPr="00DC1EE4">
              <w:rPr>
                <w:b/>
              </w:rPr>
              <w:t>Total receipts</w:t>
            </w:r>
          </w:p>
        </w:tc>
        <w:tc>
          <w:tcPr>
            <w:tcW w:w="708" w:type="dxa"/>
            <w:tcBorders>
              <w:top w:val="single" w:sz="4" w:space="0" w:color="auto"/>
              <w:left w:val="nil"/>
              <w:bottom w:val="nil"/>
              <w:right w:val="nil"/>
            </w:tcBorders>
            <w:shd w:val="clear" w:color="auto" w:fill="auto"/>
            <w:noWrap/>
          </w:tcPr>
          <w:p w:rsidR="0028027B" w:rsidRPr="00DC1EE4" w:rsidRDefault="0028027B" w:rsidP="00C03F9E">
            <w:pPr>
              <w:pStyle w:val="TableTextCentred"/>
              <w:rPr>
                <w:b/>
              </w:rPr>
            </w:pPr>
          </w:p>
        </w:tc>
        <w:tc>
          <w:tcPr>
            <w:tcW w:w="1135" w:type="dxa"/>
            <w:tcBorders>
              <w:top w:val="single" w:sz="4" w:space="0" w:color="auto"/>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87 843</w:t>
            </w:r>
          </w:p>
        </w:tc>
        <w:tc>
          <w:tcPr>
            <w:tcW w:w="991" w:type="dxa"/>
            <w:tcBorders>
              <w:top w:val="single" w:sz="4" w:space="0" w:color="auto"/>
              <w:left w:val="nil"/>
              <w:bottom w:val="nil"/>
              <w:right w:val="nil"/>
            </w:tcBorders>
            <w:shd w:val="clear" w:color="auto" w:fill="auto"/>
            <w:noWrap/>
            <w:hideMark/>
          </w:tcPr>
          <w:p w:rsidR="0028027B" w:rsidRPr="00DC1EE4" w:rsidRDefault="0028027B" w:rsidP="00C03F9E">
            <w:pPr>
              <w:pStyle w:val="TableofFigures"/>
              <w:rPr>
                <w:b/>
              </w:rPr>
            </w:pPr>
            <w:r w:rsidRPr="00DC1EE4">
              <w:rPr>
                <w:b/>
              </w:rPr>
              <w:t>94 987</w:t>
            </w:r>
          </w:p>
        </w:tc>
        <w:tc>
          <w:tcPr>
            <w:tcW w:w="990" w:type="dxa"/>
            <w:tcBorders>
              <w:top w:val="single" w:sz="4" w:space="0" w:color="auto"/>
              <w:left w:val="nil"/>
              <w:bottom w:val="nil"/>
              <w:right w:val="nil"/>
            </w:tcBorders>
          </w:tcPr>
          <w:p w:rsidR="0028027B" w:rsidRPr="00DC1EE4" w:rsidRDefault="0028027B" w:rsidP="00C03F9E">
            <w:pPr>
              <w:pStyle w:val="TableofFigures"/>
              <w:rPr>
                <w:b/>
              </w:rPr>
            </w:pPr>
            <w:r w:rsidRPr="00DC1EE4">
              <w:rPr>
                <w:b/>
              </w:rPr>
              <w:t>7 144</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rPr>
                <w:b/>
              </w:rPr>
            </w:pPr>
            <w:r w:rsidRPr="00DC1EE4">
              <w:rPr>
                <w:b/>
              </w:rPr>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rPr>
                <w:b/>
              </w:rPr>
            </w:pPr>
            <w:r w:rsidRPr="00DC1EE4">
              <w:rPr>
                <w:b/>
              </w:rPr>
              <w:t>Payments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rPr>
                <w:b/>
              </w:rPr>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 xml:space="preserve"> </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rPr>
                <w:b/>
              </w:rPr>
            </w:pPr>
            <w:r w:rsidRPr="00DC1EE4">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Payments of grants and other transfers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(36 227)</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(47 011)</w:t>
            </w:r>
          </w:p>
        </w:tc>
        <w:tc>
          <w:tcPr>
            <w:tcW w:w="990" w:type="dxa"/>
            <w:tcBorders>
              <w:top w:val="nil"/>
              <w:left w:val="nil"/>
              <w:bottom w:val="nil"/>
              <w:right w:val="nil"/>
            </w:tcBorders>
          </w:tcPr>
          <w:p w:rsidR="0028027B" w:rsidRPr="00DC1EE4" w:rsidRDefault="0028027B" w:rsidP="00C03F9E">
            <w:pPr>
              <w:pStyle w:val="TableofFigures"/>
            </w:pPr>
            <w:r w:rsidRPr="00DC1EE4">
              <w:t>(10 784)</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Payments to suppliers and employees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(22 979)</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(19 167)</w:t>
            </w:r>
          </w:p>
        </w:tc>
        <w:tc>
          <w:tcPr>
            <w:tcW w:w="990" w:type="dxa"/>
            <w:tcBorders>
              <w:top w:val="nil"/>
              <w:left w:val="nil"/>
              <w:bottom w:val="nil"/>
              <w:right w:val="nil"/>
            </w:tcBorders>
          </w:tcPr>
          <w:p w:rsidR="0028027B" w:rsidRPr="00DC1EE4" w:rsidRDefault="0028027B" w:rsidP="00C03F9E">
            <w:pPr>
              <w:pStyle w:val="TableofFigures"/>
            </w:pPr>
            <w:r w:rsidRPr="00DC1EE4">
              <w:t>3 812</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Goods and Services Tax paid to the ATO</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(3 055)</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(3 497)</w:t>
            </w:r>
          </w:p>
        </w:tc>
        <w:tc>
          <w:tcPr>
            <w:tcW w:w="990" w:type="dxa"/>
            <w:tcBorders>
              <w:top w:val="nil"/>
              <w:left w:val="nil"/>
              <w:bottom w:val="nil"/>
              <w:right w:val="nil"/>
            </w:tcBorders>
          </w:tcPr>
          <w:p w:rsidR="0028027B" w:rsidRPr="00DC1EE4" w:rsidRDefault="0028027B" w:rsidP="00C03F9E">
            <w:pPr>
              <w:pStyle w:val="TableofFigures"/>
            </w:pPr>
            <w:r w:rsidRPr="00DC1EE4">
              <w:t>(442)</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Capital asset charge payments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(1 567)</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( 952)</w:t>
            </w:r>
          </w:p>
        </w:tc>
        <w:tc>
          <w:tcPr>
            <w:tcW w:w="990" w:type="dxa"/>
            <w:tcBorders>
              <w:top w:val="nil"/>
              <w:left w:val="nil"/>
              <w:bottom w:val="nil"/>
              <w:right w:val="nil"/>
            </w:tcBorders>
          </w:tcPr>
          <w:p w:rsidR="0028027B" w:rsidRPr="00DC1EE4" w:rsidRDefault="0028027B" w:rsidP="00C03F9E">
            <w:pPr>
              <w:pStyle w:val="TableofFigures"/>
            </w:pPr>
            <w:r w:rsidRPr="00DC1EE4">
              <w:t>615</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Interest and other costs of finance paid</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(2 427)</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(2 507)</w:t>
            </w:r>
          </w:p>
        </w:tc>
        <w:tc>
          <w:tcPr>
            <w:tcW w:w="990" w:type="dxa"/>
            <w:tcBorders>
              <w:top w:val="nil"/>
              <w:left w:val="nil"/>
              <w:bottom w:val="nil"/>
              <w:right w:val="nil"/>
            </w:tcBorders>
          </w:tcPr>
          <w:p w:rsidR="0028027B" w:rsidRPr="00DC1EE4" w:rsidRDefault="0028027B" w:rsidP="00C03F9E">
            <w:pPr>
              <w:pStyle w:val="TableofFigures"/>
            </w:pPr>
            <w:r w:rsidRPr="00DC1EE4">
              <w:t>(80)</w:t>
            </w:r>
          </w:p>
        </w:tc>
      </w:tr>
      <w:tr w:rsidR="0028027B" w:rsidRPr="00DC1EE4" w:rsidTr="00C03F9E">
        <w:trPr>
          <w:cantSplit/>
        </w:trPr>
        <w:tc>
          <w:tcPr>
            <w:tcW w:w="385" w:type="dxa"/>
            <w:tcBorders>
              <w:top w:val="nil"/>
              <w:left w:val="nil"/>
              <w:bottom w:val="single" w:sz="4" w:space="0" w:color="auto"/>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Other payments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(6 382)</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(3 200)</w:t>
            </w:r>
          </w:p>
        </w:tc>
        <w:tc>
          <w:tcPr>
            <w:tcW w:w="990" w:type="dxa"/>
            <w:tcBorders>
              <w:top w:val="nil"/>
              <w:left w:val="nil"/>
              <w:bottom w:val="nil"/>
              <w:right w:val="nil"/>
            </w:tcBorders>
          </w:tcPr>
          <w:p w:rsidR="0028027B" w:rsidRPr="00DC1EE4" w:rsidRDefault="0028027B" w:rsidP="00C03F9E">
            <w:pPr>
              <w:pStyle w:val="TableofFigures"/>
            </w:pPr>
            <w:r w:rsidRPr="00DC1EE4">
              <w:t>3 182</w:t>
            </w:r>
          </w:p>
        </w:tc>
      </w:tr>
      <w:tr w:rsidR="0028027B" w:rsidRPr="00DC1EE4" w:rsidTr="00C03F9E">
        <w:trPr>
          <w:cantSplit/>
        </w:trPr>
        <w:tc>
          <w:tcPr>
            <w:tcW w:w="385" w:type="dxa"/>
            <w:tcBorders>
              <w:top w:val="nil"/>
              <w:left w:val="nil"/>
              <w:bottom w:val="single" w:sz="4" w:space="0" w:color="auto"/>
              <w:right w:val="nil"/>
            </w:tcBorders>
            <w:shd w:val="clear" w:color="auto" w:fill="auto"/>
            <w:noWrap/>
            <w:hideMark/>
          </w:tcPr>
          <w:p w:rsidR="0028027B" w:rsidRPr="00DC1EE4" w:rsidRDefault="0028027B" w:rsidP="00C03F9E">
            <w:pPr>
              <w:pStyle w:val="Tabletext"/>
              <w:rPr>
                <w:b/>
              </w:rPr>
            </w:pPr>
            <w:r w:rsidRPr="00DC1EE4">
              <w:rPr>
                <w:b/>
              </w:rPr>
              <w:t xml:space="preserve"> </w:t>
            </w:r>
          </w:p>
        </w:tc>
        <w:tc>
          <w:tcPr>
            <w:tcW w:w="4228"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
              <w:rPr>
                <w:b/>
              </w:rPr>
            </w:pPr>
            <w:r w:rsidRPr="00DC1EE4">
              <w:rPr>
                <w:b/>
              </w:rPr>
              <w:t>Total payments</w:t>
            </w:r>
          </w:p>
        </w:tc>
        <w:tc>
          <w:tcPr>
            <w:tcW w:w="708" w:type="dxa"/>
            <w:tcBorders>
              <w:top w:val="single" w:sz="4" w:space="0" w:color="auto"/>
              <w:left w:val="nil"/>
              <w:bottom w:val="single" w:sz="4" w:space="0" w:color="auto"/>
              <w:right w:val="nil"/>
            </w:tcBorders>
            <w:shd w:val="clear" w:color="auto" w:fill="auto"/>
            <w:noWrap/>
          </w:tcPr>
          <w:p w:rsidR="0028027B" w:rsidRPr="00DC1EE4" w:rsidRDefault="0028027B" w:rsidP="00C03F9E">
            <w:pPr>
              <w:pStyle w:val="TableTextCentred"/>
              <w:rPr>
                <w:b/>
              </w:rPr>
            </w:pPr>
          </w:p>
        </w:tc>
        <w:tc>
          <w:tcPr>
            <w:tcW w:w="1135" w:type="dxa"/>
            <w:tcBorders>
              <w:top w:val="single" w:sz="4" w:space="0" w:color="auto"/>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(72 637)</w:t>
            </w:r>
          </w:p>
        </w:tc>
        <w:tc>
          <w:tcPr>
            <w:tcW w:w="991"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ofFigures"/>
              <w:rPr>
                <w:b/>
              </w:rPr>
            </w:pPr>
            <w:r w:rsidRPr="00DC1EE4">
              <w:rPr>
                <w:b/>
              </w:rPr>
              <w:t>(76 334)</w:t>
            </w:r>
          </w:p>
        </w:tc>
        <w:tc>
          <w:tcPr>
            <w:tcW w:w="990" w:type="dxa"/>
            <w:tcBorders>
              <w:top w:val="single" w:sz="4" w:space="0" w:color="auto"/>
              <w:left w:val="nil"/>
              <w:bottom w:val="single" w:sz="4" w:space="0" w:color="auto"/>
              <w:right w:val="nil"/>
            </w:tcBorders>
          </w:tcPr>
          <w:p w:rsidR="0028027B" w:rsidRPr="00DC1EE4" w:rsidRDefault="0028027B" w:rsidP="00C03F9E">
            <w:pPr>
              <w:pStyle w:val="TableofFigures"/>
              <w:rPr>
                <w:b/>
              </w:rPr>
            </w:pPr>
            <w:r w:rsidRPr="00DC1EE4">
              <w:rPr>
                <w:b/>
              </w:rPr>
              <w:t>(3 697)</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rPr>
                <w:b/>
              </w:rPr>
            </w:pPr>
            <w:r w:rsidRPr="00DC1EE4">
              <w:rPr>
                <w:b/>
              </w:rPr>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rPr>
                <w:b/>
              </w:rPr>
            </w:pPr>
            <w:r w:rsidRPr="00DC1EE4">
              <w:rPr>
                <w:b/>
              </w:rPr>
              <w:t>Net cash flows from/(used in) operating activities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rPr>
                <w:b/>
              </w:rPr>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15 207</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rPr>
                <w:b/>
              </w:rPr>
            </w:pPr>
            <w:r w:rsidRPr="00DC1EE4">
              <w:rPr>
                <w:b/>
              </w:rPr>
              <w:t>18 654</w:t>
            </w:r>
          </w:p>
        </w:tc>
        <w:tc>
          <w:tcPr>
            <w:tcW w:w="990" w:type="dxa"/>
            <w:tcBorders>
              <w:top w:val="nil"/>
              <w:left w:val="nil"/>
              <w:bottom w:val="nil"/>
              <w:right w:val="nil"/>
            </w:tcBorders>
          </w:tcPr>
          <w:p w:rsidR="0028027B" w:rsidRPr="00DC1EE4" w:rsidRDefault="0028027B" w:rsidP="00C03F9E">
            <w:pPr>
              <w:pStyle w:val="TableofFigures"/>
              <w:rPr>
                <w:b/>
              </w:rPr>
            </w:pPr>
            <w:r w:rsidRPr="00DC1EE4">
              <w:rPr>
                <w:b/>
              </w:rPr>
              <w:t>3 447</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rPr>
                <w:b/>
              </w:rPr>
            </w:pPr>
            <w:r w:rsidRPr="00DC1EE4">
              <w:rPr>
                <w:b/>
              </w:rPr>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rPr>
                <w:b/>
              </w:rPr>
            </w:pPr>
            <w:r w:rsidRPr="00DC1EE4">
              <w:rPr>
                <w:b/>
              </w:rPr>
              <w:t>Cash flows from investing activities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rPr>
                <w:b/>
              </w:rPr>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 xml:space="preserve"> </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rPr>
                <w:b/>
              </w:rPr>
            </w:pPr>
            <w:r w:rsidRPr="00DC1EE4">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Payments for investments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(6 364)</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(13 386)</w:t>
            </w:r>
          </w:p>
        </w:tc>
        <w:tc>
          <w:tcPr>
            <w:tcW w:w="990" w:type="dxa"/>
            <w:tcBorders>
              <w:top w:val="nil"/>
              <w:left w:val="nil"/>
              <w:bottom w:val="nil"/>
              <w:right w:val="nil"/>
            </w:tcBorders>
          </w:tcPr>
          <w:p w:rsidR="0028027B" w:rsidRPr="00DC1EE4" w:rsidRDefault="0028027B" w:rsidP="00C03F9E">
            <w:pPr>
              <w:pStyle w:val="TableofFigures"/>
            </w:pPr>
            <w:r w:rsidRPr="00DC1EE4">
              <w:t>(7 022)</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Proceeds from sale of investments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7 857</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2 409</w:t>
            </w:r>
          </w:p>
        </w:tc>
        <w:tc>
          <w:tcPr>
            <w:tcW w:w="990" w:type="dxa"/>
            <w:tcBorders>
              <w:top w:val="nil"/>
              <w:left w:val="nil"/>
              <w:bottom w:val="nil"/>
              <w:right w:val="nil"/>
            </w:tcBorders>
          </w:tcPr>
          <w:p w:rsidR="0028027B" w:rsidRPr="00DC1EE4" w:rsidRDefault="0028027B" w:rsidP="00C03F9E">
            <w:pPr>
              <w:pStyle w:val="TableofFigures"/>
            </w:pPr>
            <w:r w:rsidRPr="00DC1EE4">
              <w:t>5 448</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Purchases of non</w:t>
            </w:r>
            <w:r w:rsidR="005A4BB0">
              <w:noBreakHyphen/>
            </w:r>
            <w:r w:rsidRPr="00DC1EE4">
              <w:t>financial assets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(23 828)</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(19 438)</w:t>
            </w:r>
          </w:p>
        </w:tc>
        <w:tc>
          <w:tcPr>
            <w:tcW w:w="990" w:type="dxa"/>
            <w:tcBorders>
              <w:top w:val="nil"/>
              <w:left w:val="nil"/>
              <w:bottom w:val="nil"/>
              <w:right w:val="nil"/>
            </w:tcBorders>
          </w:tcPr>
          <w:p w:rsidR="0028027B" w:rsidRPr="00DC1EE4" w:rsidRDefault="0028027B" w:rsidP="00C03F9E">
            <w:pPr>
              <w:pStyle w:val="TableofFigures"/>
            </w:pPr>
            <w:r w:rsidRPr="00DC1EE4">
              <w:t>4 390</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Sales of non</w:t>
            </w:r>
            <w:r w:rsidR="005A4BB0">
              <w:noBreakHyphen/>
            </w:r>
            <w:r w:rsidRPr="00DC1EE4">
              <w:t>financial assets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2 855</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7 428</w:t>
            </w:r>
          </w:p>
        </w:tc>
        <w:tc>
          <w:tcPr>
            <w:tcW w:w="990" w:type="dxa"/>
            <w:tcBorders>
              <w:top w:val="nil"/>
              <w:left w:val="nil"/>
              <w:bottom w:val="nil"/>
              <w:right w:val="nil"/>
            </w:tcBorders>
          </w:tcPr>
          <w:p w:rsidR="0028027B" w:rsidRPr="00DC1EE4" w:rsidRDefault="0028027B" w:rsidP="00C03F9E">
            <w:pPr>
              <w:pStyle w:val="TableofFigures"/>
            </w:pPr>
            <w:r w:rsidRPr="00DC1EE4">
              <w:t>4 573</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Loans granted to other parties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( 390)</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( 277)</w:t>
            </w:r>
          </w:p>
        </w:tc>
        <w:tc>
          <w:tcPr>
            <w:tcW w:w="990" w:type="dxa"/>
            <w:tcBorders>
              <w:top w:val="nil"/>
              <w:left w:val="nil"/>
              <w:bottom w:val="nil"/>
              <w:right w:val="nil"/>
            </w:tcBorders>
          </w:tcPr>
          <w:p w:rsidR="0028027B" w:rsidRPr="00DC1EE4" w:rsidRDefault="0028027B" w:rsidP="00C03F9E">
            <w:pPr>
              <w:pStyle w:val="TableofFigures"/>
            </w:pPr>
            <w:r w:rsidRPr="00DC1EE4">
              <w:t>113</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Repayments of loans from other parties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78</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 xml:space="preserve"> 140</w:t>
            </w:r>
          </w:p>
        </w:tc>
        <w:tc>
          <w:tcPr>
            <w:tcW w:w="990" w:type="dxa"/>
            <w:tcBorders>
              <w:top w:val="nil"/>
              <w:left w:val="nil"/>
              <w:bottom w:val="nil"/>
              <w:right w:val="nil"/>
            </w:tcBorders>
          </w:tcPr>
          <w:p w:rsidR="0028027B" w:rsidRPr="00DC1EE4" w:rsidRDefault="0028027B" w:rsidP="00C03F9E">
            <w:pPr>
              <w:pStyle w:val="TableofFigures"/>
            </w:pPr>
            <w:r w:rsidRPr="00DC1EE4">
              <w:t>62</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Proceeds from disposal of activity</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17 795</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w:t>
            </w:r>
          </w:p>
        </w:tc>
        <w:tc>
          <w:tcPr>
            <w:tcW w:w="990" w:type="dxa"/>
            <w:tcBorders>
              <w:top w:val="nil"/>
              <w:left w:val="nil"/>
              <w:bottom w:val="nil"/>
              <w:right w:val="nil"/>
            </w:tcBorders>
          </w:tcPr>
          <w:p w:rsidR="0028027B" w:rsidRPr="00DC1EE4" w:rsidRDefault="0028027B" w:rsidP="00C03F9E">
            <w:pPr>
              <w:pStyle w:val="TableofFigures"/>
            </w:pPr>
            <w:r w:rsidRPr="00DC1EE4">
              <w:t>(17 795)</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Cash received from activity transferred in</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 xml:space="preserve"> 5</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w:t>
            </w:r>
          </w:p>
        </w:tc>
        <w:tc>
          <w:tcPr>
            <w:tcW w:w="990" w:type="dxa"/>
            <w:tcBorders>
              <w:top w:val="nil"/>
              <w:left w:val="nil"/>
              <w:bottom w:val="nil"/>
              <w:right w:val="nil"/>
            </w:tcBorders>
          </w:tcPr>
          <w:p w:rsidR="0028027B" w:rsidRPr="00DC1EE4" w:rsidRDefault="0028027B" w:rsidP="00C03F9E">
            <w:pPr>
              <w:pStyle w:val="TableofFigures"/>
            </w:pPr>
            <w:r w:rsidRPr="00DC1EE4">
              <w:t>(5)</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Payments for purchase of activity</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(23 407)</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w:t>
            </w:r>
          </w:p>
        </w:tc>
        <w:tc>
          <w:tcPr>
            <w:tcW w:w="990" w:type="dxa"/>
            <w:tcBorders>
              <w:top w:val="nil"/>
              <w:left w:val="nil"/>
              <w:bottom w:val="nil"/>
              <w:right w:val="nil"/>
            </w:tcBorders>
          </w:tcPr>
          <w:p w:rsidR="0028027B" w:rsidRPr="00DC1EE4" w:rsidRDefault="0028027B" w:rsidP="00C03F9E">
            <w:pPr>
              <w:pStyle w:val="TableofFigures"/>
            </w:pPr>
            <w:r w:rsidRPr="00DC1EE4">
              <w:t>23 407</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Cash transferred on activity transferred out</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(3 072)</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w:t>
            </w:r>
          </w:p>
        </w:tc>
        <w:tc>
          <w:tcPr>
            <w:tcW w:w="990" w:type="dxa"/>
            <w:tcBorders>
              <w:top w:val="nil"/>
              <w:left w:val="nil"/>
              <w:bottom w:val="nil"/>
              <w:right w:val="nil"/>
            </w:tcBorders>
          </w:tcPr>
          <w:p w:rsidR="0028027B" w:rsidRPr="00DC1EE4" w:rsidRDefault="0028027B" w:rsidP="00C03F9E">
            <w:pPr>
              <w:pStyle w:val="TableofFigures"/>
            </w:pPr>
            <w:r w:rsidRPr="00DC1EE4">
              <w:t>3 072</w:t>
            </w:r>
          </w:p>
        </w:tc>
      </w:tr>
      <w:tr w:rsidR="0028027B" w:rsidRPr="00DC1EE4" w:rsidTr="00C03F9E">
        <w:trPr>
          <w:cantSplit/>
        </w:trPr>
        <w:tc>
          <w:tcPr>
            <w:tcW w:w="385" w:type="dxa"/>
            <w:tcBorders>
              <w:top w:val="single" w:sz="4" w:space="0" w:color="auto"/>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single" w:sz="4" w:space="0" w:color="auto"/>
              <w:left w:val="nil"/>
              <w:bottom w:val="nil"/>
              <w:right w:val="nil"/>
            </w:tcBorders>
            <w:shd w:val="clear" w:color="auto" w:fill="auto"/>
            <w:hideMark/>
          </w:tcPr>
          <w:p w:rsidR="0028027B" w:rsidRPr="00DC1EE4" w:rsidRDefault="0028027B" w:rsidP="00C03F9E">
            <w:pPr>
              <w:pStyle w:val="Tabletext"/>
            </w:pPr>
            <w:r w:rsidRPr="00DC1EE4">
              <w:t>Net cash flows from/(used in) investing activities</w:t>
            </w:r>
          </w:p>
        </w:tc>
        <w:tc>
          <w:tcPr>
            <w:tcW w:w="708" w:type="dxa"/>
            <w:tcBorders>
              <w:top w:val="single" w:sz="4" w:space="0" w:color="auto"/>
              <w:left w:val="nil"/>
              <w:bottom w:val="nil"/>
              <w:right w:val="nil"/>
            </w:tcBorders>
            <w:shd w:val="clear" w:color="auto" w:fill="auto"/>
            <w:noWrap/>
          </w:tcPr>
          <w:p w:rsidR="0028027B" w:rsidRPr="00DC1EE4" w:rsidRDefault="0028027B" w:rsidP="00C03F9E">
            <w:pPr>
              <w:pStyle w:val="TableTextCentred"/>
            </w:pPr>
          </w:p>
        </w:tc>
        <w:tc>
          <w:tcPr>
            <w:tcW w:w="1135" w:type="dxa"/>
            <w:tcBorders>
              <w:top w:val="single" w:sz="4" w:space="0" w:color="auto"/>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(28 470)</w:t>
            </w:r>
          </w:p>
        </w:tc>
        <w:tc>
          <w:tcPr>
            <w:tcW w:w="991" w:type="dxa"/>
            <w:tcBorders>
              <w:top w:val="single" w:sz="4" w:space="0" w:color="auto"/>
              <w:left w:val="nil"/>
              <w:bottom w:val="nil"/>
              <w:right w:val="nil"/>
            </w:tcBorders>
            <w:shd w:val="clear" w:color="auto" w:fill="auto"/>
            <w:noWrap/>
            <w:hideMark/>
          </w:tcPr>
          <w:p w:rsidR="0028027B" w:rsidRPr="00DC1EE4" w:rsidRDefault="0028027B" w:rsidP="00C03F9E">
            <w:pPr>
              <w:pStyle w:val="TableofFigures"/>
            </w:pPr>
            <w:r w:rsidRPr="00DC1EE4">
              <w:t>(23 124)</w:t>
            </w:r>
          </w:p>
        </w:tc>
        <w:tc>
          <w:tcPr>
            <w:tcW w:w="990" w:type="dxa"/>
            <w:tcBorders>
              <w:top w:val="single" w:sz="4" w:space="0" w:color="auto"/>
              <w:left w:val="nil"/>
              <w:bottom w:val="nil"/>
              <w:right w:val="nil"/>
            </w:tcBorders>
          </w:tcPr>
          <w:p w:rsidR="0028027B" w:rsidRPr="00DC1EE4" w:rsidRDefault="0028027B" w:rsidP="00C03F9E">
            <w:pPr>
              <w:pStyle w:val="TableofFigures"/>
            </w:pPr>
            <w:r w:rsidRPr="00DC1EE4">
              <w:t>5 346</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rPr>
                <w:b/>
              </w:rPr>
            </w:pPr>
            <w:r w:rsidRPr="00DC1EE4">
              <w:rPr>
                <w:b/>
              </w:rPr>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rPr>
                <w:b/>
              </w:rPr>
            </w:pPr>
            <w:r w:rsidRPr="00DC1EE4">
              <w:rPr>
                <w:b/>
              </w:rPr>
              <w:t>Cash flows from financing activities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rPr>
                <w:b/>
              </w:rPr>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 xml:space="preserve"> </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rPr>
                <w:b/>
              </w:rPr>
            </w:pPr>
            <w:r w:rsidRPr="00DC1EE4">
              <w:rPr>
                <w:b/>
              </w:rPr>
              <w:t xml:space="preserve"> </w:t>
            </w:r>
          </w:p>
        </w:tc>
        <w:tc>
          <w:tcPr>
            <w:tcW w:w="990" w:type="dxa"/>
            <w:tcBorders>
              <w:top w:val="nil"/>
              <w:left w:val="nil"/>
              <w:bottom w:val="nil"/>
              <w:right w:val="nil"/>
            </w:tcBorders>
          </w:tcPr>
          <w:p w:rsidR="0028027B" w:rsidRPr="00DC1EE4" w:rsidRDefault="0028027B" w:rsidP="00C03F9E">
            <w:pPr>
              <w:pStyle w:val="TableofFigures"/>
              <w:rPr>
                <w:b/>
              </w:rPr>
            </w:pP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Owner contributions by State Government</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5 750</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10 500</w:t>
            </w:r>
          </w:p>
        </w:tc>
        <w:tc>
          <w:tcPr>
            <w:tcW w:w="990" w:type="dxa"/>
            <w:tcBorders>
              <w:top w:val="nil"/>
              <w:left w:val="nil"/>
              <w:bottom w:val="nil"/>
              <w:right w:val="nil"/>
            </w:tcBorders>
          </w:tcPr>
          <w:p w:rsidR="0028027B" w:rsidRPr="00DC1EE4" w:rsidRDefault="0028027B" w:rsidP="00C03F9E">
            <w:pPr>
              <w:pStyle w:val="TableofFigures"/>
            </w:pPr>
            <w:r w:rsidRPr="00DC1EE4">
              <w:t>4 750</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Proceeds from borrowings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34 673</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7 255</w:t>
            </w:r>
          </w:p>
        </w:tc>
        <w:tc>
          <w:tcPr>
            <w:tcW w:w="990" w:type="dxa"/>
            <w:tcBorders>
              <w:top w:val="nil"/>
              <w:left w:val="nil"/>
              <w:bottom w:val="nil"/>
              <w:right w:val="nil"/>
            </w:tcBorders>
          </w:tcPr>
          <w:p w:rsidR="0028027B" w:rsidRPr="00DC1EE4" w:rsidRDefault="0028027B" w:rsidP="00C03F9E">
            <w:pPr>
              <w:pStyle w:val="TableofFigures"/>
            </w:pPr>
            <w:r w:rsidRPr="00DC1EE4">
              <w:t>(27 418)</w:t>
            </w:r>
          </w:p>
        </w:tc>
      </w:tr>
      <w:tr w:rsidR="0028027B" w:rsidRPr="00DC1EE4" w:rsidTr="00C03F9E">
        <w:trPr>
          <w:cantSplit/>
        </w:trPr>
        <w:tc>
          <w:tcPr>
            <w:tcW w:w="385" w:type="dxa"/>
            <w:tcBorders>
              <w:top w:val="nil"/>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nil"/>
              <w:right w:val="nil"/>
            </w:tcBorders>
            <w:shd w:val="clear" w:color="auto" w:fill="auto"/>
            <w:hideMark/>
          </w:tcPr>
          <w:p w:rsidR="0028027B" w:rsidRPr="00DC1EE4" w:rsidRDefault="0028027B" w:rsidP="00C03F9E">
            <w:pPr>
              <w:pStyle w:val="Tabletext"/>
            </w:pPr>
            <w:r w:rsidRPr="00DC1EE4">
              <w:t>Repayment of borrowings and finance leases</w:t>
            </w:r>
          </w:p>
        </w:tc>
        <w:tc>
          <w:tcPr>
            <w:tcW w:w="708" w:type="dxa"/>
            <w:tcBorders>
              <w:top w:val="nil"/>
              <w:left w:val="nil"/>
              <w:bottom w:val="nil"/>
              <w:right w:val="nil"/>
            </w:tcBorders>
            <w:shd w:val="clear" w:color="auto" w:fill="auto"/>
            <w:noWrap/>
          </w:tcPr>
          <w:p w:rsidR="0028027B" w:rsidRPr="00DC1EE4" w:rsidRDefault="0028027B" w:rsidP="00C03F9E">
            <w:pPr>
              <w:pStyle w:val="TableTextCentred"/>
            </w:pPr>
          </w:p>
        </w:tc>
        <w:tc>
          <w:tcPr>
            <w:tcW w:w="1135"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(6 749)</w:t>
            </w:r>
          </w:p>
        </w:tc>
        <w:tc>
          <w:tcPr>
            <w:tcW w:w="991" w:type="dxa"/>
            <w:tcBorders>
              <w:top w:val="nil"/>
              <w:left w:val="nil"/>
              <w:bottom w:val="nil"/>
              <w:right w:val="nil"/>
            </w:tcBorders>
            <w:shd w:val="clear" w:color="auto" w:fill="auto"/>
            <w:noWrap/>
            <w:hideMark/>
          </w:tcPr>
          <w:p w:rsidR="0028027B" w:rsidRPr="00DC1EE4" w:rsidRDefault="0028027B" w:rsidP="00C03F9E">
            <w:pPr>
              <w:pStyle w:val="TableofFigures"/>
            </w:pPr>
            <w:r w:rsidRPr="00DC1EE4">
              <w:t>(4 044)</w:t>
            </w:r>
          </w:p>
        </w:tc>
        <w:tc>
          <w:tcPr>
            <w:tcW w:w="990" w:type="dxa"/>
            <w:tcBorders>
              <w:top w:val="nil"/>
              <w:left w:val="nil"/>
              <w:bottom w:val="nil"/>
              <w:right w:val="nil"/>
            </w:tcBorders>
          </w:tcPr>
          <w:p w:rsidR="0028027B" w:rsidRPr="00DC1EE4" w:rsidRDefault="0028027B" w:rsidP="00C03F9E">
            <w:pPr>
              <w:pStyle w:val="TableofFigures"/>
            </w:pPr>
            <w:r w:rsidRPr="00DC1EE4">
              <w:t>2 705</w:t>
            </w:r>
          </w:p>
        </w:tc>
      </w:tr>
      <w:tr w:rsidR="0028027B" w:rsidRPr="00DC1EE4" w:rsidTr="00C03F9E">
        <w:trPr>
          <w:cantSplit/>
        </w:trPr>
        <w:tc>
          <w:tcPr>
            <w:tcW w:w="385"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
            </w:pPr>
            <w:r w:rsidRPr="00DC1EE4">
              <w:t>Net cash flows from/(used in) financing activities</w:t>
            </w:r>
          </w:p>
        </w:tc>
        <w:tc>
          <w:tcPr>
            <w:tcW w:w="708" w:type="dxa"/>
            <w:tcBorders>
              <w:top w:val="single" w:sz="4" w:space="0" w:color="auto"/>
              <w:left w:val="nil"/>
              <w:bottom w:val="single" w:sz="4" w:space="0" w:color="auto"/>
              <w:right w:val="nil"/>
            </w:tcBorders>
            <w:shd w:val="clear" w:color="auto" w:fill="auto"/>
            <w:noWrap/>
          </w:tcPr>
          <w:p w:rsidR="0028027B" w:rsidRPr="00DC1EE4" w:rsidRDefault="0028027B" w:rsidP="00C03F9E">
            <w:pPr>
              <w:pStyle w:val="TableTextCentred"/>
            </w:pPr>
          </w:p>
        </w:tc>
        <w:tc>
          <w:tcPr>
            <w:tcW w:w="1135" w:type="dxa"/>
            <w:tcBorders>
              <w:top w:val="single" w:sz="4" w:space="0" w:color="auto"/>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pPr>
            <w:r w:rsidRPr="00DC1EE4">
              <w:t>33 674</w:t>
            </w:r>
          </w:p>
        </w:tc>
        <w:tc>
          <w:tcPr>
            <w:tcW w:w="991"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ofFigures"/>
            </w:pPr>
            <w:r w:rsidRPr="00DC1EE4">
              <w:t>13 711</w:t>
            </w:r>
          </w:p>
        </w:tc>
        <w:tc>
          <w:tcPr>
            <w:tcW w:w="990" w:type="dxa"/>
            <w:tcBorders>
              <w:top w:val="single" w:sz="4" w:space="0" w:color="auto"/>
              <w:left w:val="nil"/>
              <w:bottom w:val="single" w:sz="4" w:space="0" w:color="auto"/>
              <w:right w:val="nil"/>
            </w:tcBorders>
          </w:tcPr>
          <w:p w:rsidR="0028027B" w:rsidRPr="00DC1EE4" w:rsidRDefault="0028027B" w:rsidP="00C03F9E">
            <w:pPr>
              <w:pStyle w:val="TableofFigures"/>
            </w:pPr>
            <w:r w:rsidRPr="00DC1EE4">
              <w:t>(19 963)</w:t>
            </w:r>
          </w:p>
        </w:tc>
      </w:tr>
      <w:tr w:rsidR="0028027B" w:rsidRPr="00DC1EE4" w:rsidTr="00C03F9E">
        <w:trPr>
          <w:cantSplit/>
        </w:trPr>
        <w:tc>
          <w:tcPr>
            <w:tcW w:w="385" w:type="dxa"/>
            <w:tcBorders>
              <w:top w:val="single" w:sz="4" w:space="0" w:color="auto"/>
              <w:left w:val="nil"/>
              <w:bottom w:val="single" w:sz="12" w:space="0" w:color="auto"/>
              <w:right w:val="nil"/>
            </w:tcBorders>
            <w:shd w:val="clear" w:color="auto" w:fill="auto"/>
            <w:noWrap/>
            <w:hideMark/>
          </w:tcPr>
          <w:p w:rsidR="0028027B" w:rsidRPr="00DC1EE4" w:rsidRDefault="0028027B" w:rsidP="00C03F9E">
            <w:pPr>
              <w:pStyle w:val="Tabletext"/>
              <w:rPr>
                <w:b/>
              </w:rPr>
            </w:pPr>
            <w:r w:rsidRPr="00DC1EE4">
              <w:rPr>
                <w:b/>
              </w:rPr>
              <w:t xml:space="preserve"> </w:t>
            </w:r>
          </w:p>
        </w:tc>
        <w:tc>
          <w:tcPr>
            <w:tcW w:w="4228" w:type="dxa"/>
            <w:tcBorders>
              <w:top w:val="single" w:sz="4" w:space="0" w:color="auto"/>
              <w:left w:val="nil"/>
              <w:bottom w:val="single" w:sz="12" w:space="0" w:color="auto"/>
              <w:right w:val="nil"/>
            </w:tcBorders>
            <w:shd w:val="clear" w:color="auto" w:fill="auto"/>
            <w:hideMark/>
          </w:tcPr>
          <w:p w:rsidR="0028027B" w:rsidRPr="00DC1EE4" w:rsidRDefault="0028027B" w:rsidP="00C03F9E">
            <w:pPr>
              <w:pStyle w:val="Tabletext"/>
              <w:rPr>
                <w:b/>
              </w:rPr>
            </w:pPr>
            <w:r w:rsidRPr="00DC1EE4">
              <w:rPr>
                <w:b/>
              </w:rPr>
              <w:t>Net increase/(decrease) in cash and cash equivalents</w:t>
            </w:r>
          </w:p>
        </w:tc>
        <w:tc>
          <w:tcPr>
            <w:tcW w:w="708" w:type="dxa"/>
            <w:tcBorders>
              <w:top w:val="single" w:sz="4" w:space="0" w:color="auto"/>
              <w:left w:val="nil"/>
              <w:bottom w:val="single" w:sz="12" w:space="0" w:color="auto"/>
              <w:right w:val="nil"/>
            </w:tcBorders>
            <w:shd w:val="clear" w:color="auto" w:fill="auto"/>
            <w:noWrap/>
          </w:tcPr>
          <w:p w:rsidR="0028027B" w:rsidRPr="00DC1EE4" w:rsidRDefault="0028027B" w:rsidP="00C03F9E">
            <w:pPr>
              <w:pStyle w:val="TableTextCentred"/>
              <w:rPr>
                <w:b/>
              </w:rPr>
            </w:pPr>
          </w:p>
        </w:tc>
        <w:tc>
          <w:tcPr>
            <w:tcW w:w="1135" w:type="dxa"/>
            <w:tcBorders>
              <w:top w:val="single" w:sz="4" w:space="0" w:color="auto"/>
              <w:left w:val="nil"/>
              <w:bottom w:val="single" w:sz="12"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20 411</w:t>
            </w:r>
          </w:p>
        </w:tc>
        <w:tc>
          <w:tcPr>
            <w:tcW w:w="991" w:type="dxa"/>
            <w:tcBorders>
              <w:top w:val="single" w:sz="4" w:space="0" w:color="auto"/>
              <w:left w:val="nil"/>
              <w:bottom w:val="single" w:sz="12" w:space="0" w:color="auto"/>
              <w:right w:val="nil"/>
            </w:tcBorders>
            <w:shd w:val="clear" w:color="auto" w:fill="auto"/>
            <w:noWrap/>
            <w:hideMark/>
          </w:tcPr>
          <w:p w:rsidR="0028027B" w:rsidRPr="00DC1EE4" w:rsidRDefault="0028027B" w:rsidP="00C03F9E">
            <w:pPr>
              <w:pStyle w:val="TableofFigures"/>
              <w:rPr>
                <w:b/>
              </w:rPr>
            </w:pPr>
            <w:r w:rsidRPr="00DC1EE4">
              <w:rPr>
                <w:b/>
              </w:rPr>
              <w:t>9 241</w:t>
            </w:r>
          </w:p>
        </w:tc>
        <w:tc>
          <w:tcPr>
            <w:tcW w:w="990" w:type="dxa"/>
            <w:tcBorders>
              <w:top w:val="single" w:sz="4" w:space="0" w:color="auto"/>
              <w:left w:val="nil"/>
              <w:bottom w:val="single" w:sz="12" w:space="0" w:color="auto"/>
              <w:right w:val="nil"/>
            </w:tcBorders>
          </w:tcPr>
          <w:p w:rsidR="0028027B" w:rsidRPr="00DC1EE4" w:rsidRDefault="0028027B" w:rsidP="00C03F9E">
            <w:pPr>
              <w:pStyle w:val="TableofFigures"/>
              <w:rPr>
                <w:b/>
              </w:rPr>
            </w:pPr>
            <w:r w:rsidRPr="00DC1EE4">
              <w:rPr>
                <w:b/>
              </w:rPr>
              <w:t>(11 170)</w:t>
            </w:r>
          </w:p>
        </w:tc>
      </w:tr>
      <w:tr w:rsidR="0028027B" w:rsidRPr="00DC1EE4" w:rsidTr="00C03F9E">
        <w:trPr>
          <w:cantSplit/>
        </w:trPr>
        <w:tc>
          <w:tcPr>
            <w:tcW w:w="385" w:type="dxa"/>
            <w:tcBorders>
              <w:top w:val="single" w:sz="12" w:space="0" w:color="auto"/>
              <w:left w:val="nil"/>
              <w:bottom w:val="nil"/>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single" w:sz="12" w:space="0" w:color="auto"/>
              <w:left w:val="nil"/>
              <w:bottom w:val="nil"/>
              <w:right w:val="nil"/>
            </w:tcBorders>
            <w:shd w:val="clear" w:color="auto" w:fill="auto"/>
            <w:hideMark/>
          </w:tcPr>
          <w:p w:rsidR="0028027B" w:rsidRPr="00DC1EE4" w:rsidRDefault="0028027B" w:rsidP="00C03F9E">
            <w:pPr>
              <w:pStyle w:val="Tabletext"/>
            </w:pPr>
            <w:r w:rsidRPr="00DC1EE4">
              <w:t>Cash and cash equivalents at beginning of financial year</w:t>
            </w:r>
          </w:p>
        </w:tc>
        <w:tc>
          <w:tcPr>
            <w:tcW w:w="708" w:type="dxa"/>
            <w:tcBorders>
              <w:top w:val="single" w:sz="12" w:space="0" w:color="auto"/>
              <w:left w:val="nil"/>
              <w:bottom w:val="nil"/>
              <w:right w:val="nil"/>
            </w:tcBorders>
            <w:shd w:val="clear" w:color="auto" w:fill="auto"/>
            <w:noWrap/>
          </w:tcPr>
          <w:p w:rsidR="0028027B" w:rsidRPr="00DC1EE4" w:rsidRDefault="0028027B" w:rsidP="00C03F9E">
            <w:pPr>
              <w:pStyle w:val="TableTextCentred"/>
            </w:pPr>
          </w:p>
        </w:tc>
        <w:tc>
          <w:tcPr>
            <w:tcW w:w="1135" w:type="dxa"/>
            <w:tcBorders>
              <w:top w:val="single" w:sz="12" w:space="0" w:color="auto"/>
              <w:left w:val="nil"/>
              <w:bottom w:val="nil"/>
              <w:right w:val="nil"/>
            </w:tcBorders>
            <w:shd w:val="clear" w:color="auto" w:fill="BFBFBF" w:themeFill="background1" w:themeFillShade="BF"/>
            <w:noWrap/>
            <w:hideMark/>
          </w:tcPr>
          <w:p w:rsidR="0028027B" w:rsidRPr="00DC1EE4" w:rsidRDefault="0028027B" w:rsidP="00C03F9E">
            <w:pPr>
              <w:pStyle w:val="TableofFigures"/>
            </w:pPr>
            <w:r w:rsidRPr="00DC1EE4">
              <w:t>44 494</w:t>
            </w:r>
          </w:p>
        </w:tc>
        <w:tc>
          <w:tcPr>
            <w:tcW w:w="991" w:type="dxa"/>
            <w:tcBorders>
              <w:top w:val="single" w:sz="12" w:space="0" w:color="auto"/>
              <w:left w:val="nil"/>
              <w:bottom w:val="nil"/>
              <w:right w:val="nil"/>
            </w:tcBorders>
            <w:shd w:val="clear" w:color="auto" w:fill="auto"/>
            <w:noWrap/>
            <w:hideMark/>
          </w:tcPr>
          <w:p w:rsidR="0028027B" w:rsidRPr="00DC1EE4" w:rsidRDefault="0028027B" w:rsidP="00C03F9E">
            <w:pPr>
              <w:pStyle w:val="TableofFigures"/>
            </w:pPr>
            <w:r w:rsidRPr="00DC1EE4">
              <w:t>35 094</w:t>
            </w:r>
          </w:p>
        </w:tc>
        <w:tc>
          <w:tcPr>
            <w:tcW w:w="990" w:type="dxa"/>
            <w:tcBorders>
              <w:top w:val="single" w:sz="12" w:space="0" w:color="auto"/>
              <w:left w:val="nil"/>
              <w:bottom w:val="nil"/>
              <w:right w:val="nil"/>
            </w:tcBorders>
          </w:tcPr>
          <w:p w:rsidR="0028027B" w:rsidRPr="00DC1EE4" w:rsidRDefault="0028027B" w:rsidP="00C03F9E">
            <w:pPr>
              <w:pStyle w:val="TableofFigures"/>
            </w:pPr>
            <w:r w:rsidRPr="00DC1EE4">
              <w:t>(9 400)</w:t>
            </w:r>
          </w:p>
        </w:tc>
      </w:tr>
      <w:tr w:rsidR="0028027B" w:rsidRPr="00DC1EE4" w:rsidTr="00C03F9E">
        <w:trPr>
          <w:cantSplit/>
        </w:trPr>
        <w:tc>
          <w:tcPr>
            <w:tcW w:w="385" w:type="dxa"/>
            <w:tcBorders>
              <w:top w:val="nil"/>
              <w:left w:val="nil"/>
              <w:bottom w:val="single" w:sz="4" w:space="0" w:color="auto"/>
              <w:right w:val="nil"/>
            </w:tcBorders>
            <w:shd w:val="clear" w:color="auto" w:fill="auto"/>
            <w:noWrap/>
            <w:hideMark/>
          </w:tcPr>
          <w:p w:rsidR="0028027B" w:rsidRPr="00DC1EE4" w:rsidRDefault="0028027B" w:rsidP="00C03F9E">
            <w:pPr>
              <w:pStyle w:val="Tabletext"/>
            </w:pPr>
            <w:r w:rsidRPr="00DC1EE4">
              <w:t xml:space="preserve"> </w:t>
            </w:r>
          </w:p>
        </w:tc>
        <w:tc>
          <w:tcPr>
            <w:tcW w:w="4228" w:type="dxa"/>
            <w:tcBorders>
              <w:top w:val="nil"/>
              <w:left w:val="nil"/>
              <w:bottom w:val="single" w:sz="4" w:space="0" w:color="auto"/>
              <w:right w:val="nil"/>
            </w:tcBorders>
            <w:shd w:val="clear" w:color="auto" w:fill="auto"/>
            <w:hideMark/>
          </w:tcPr>
          <w:p w:rsidR="0028027B" w:rsidRPr="00DC1EE4" w:rsidRDefault="0028027B" w:rsidP="00C03F9E">
            <w:pPr>
              <w:pStyle w:val="Tabletext"/>
            </w:pPr>
            <w:r w:rsidRPr="00DC1EE4">
              <w:t>Effect of exchange rate fluctuations on cash held in foreign currency</w:t>
            </w:r>
          </w:p>
        </w:tc>
        <w:tc>
          <w:tcPr>
            <w:tcW w:w="708" w:type="dxa"/>
            <w:tcBorders>
              <w:top w:val="nil"/>
              <w:left w:val="nil"/>
              <w:bottom w:val="single" w:sz="4" w:space="0" w:color="auto"/>
              <w:right w:val="nil"/>
            </w:tcBorders>
            <w:shd w:val="clear" w:color="auto" w:fill="auto"/>
            <w:noWrap/>
          </w:tcPr>
          <w:p w:rsidR="0028027B" w:rsidRPr="00DC1EE4" w:rsidRDefault="0028027B" w:rsidP="00C03F9E">
            <w:pPr>
              <w:pStyle w:val="TableTextCentred"/>
            </w:pPr>
          </w:p>
        </w:tc>
        <w:tc>
          <w:tcPr>
            <w:tcW w:w="1135" w:type="dxa"/>
            <w:tcBorders>
              <w:top w:val="nil"/>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pPr>
            <w:r w:rsidRPr="00DC1EE4">
              <w:t>( 471)</w:t>
            </w:r>
          </w:p>
        </w:tc>
        <w:tc>
          <w:tcPr>
            <w:tcW w:w="991" w:type="dxa"/>
            <w:tcBorders>
              <w:top w:val="nil"/>
              <w:left w:val="nil"/>
              <w:bottom w:val="single" w:sz="4" w:space="0" w:color="auto"/>
              <w:right w:val="nil"/>
            </w:tcBorders>
            <w:shd w:val="clear" w:color="auto" w:fill="auto"/>
            <w:noWrap/>
            <w:hideMark/>
          </w:tcPr>
          <w:p w:rsidR="0028027B" w:rsidRPr="00DC1EE4" w:rsidRDefault="0028027B" w:rsidP="00C03F9E">
            <w:pPr>
              <w:pStyle w:val="TableofFigures"/>
            </w:pPr>
            <w:r w:rsidRPr="00DC1EE4">
              <w:t xml:space="preserve"> 160</w:t>
            </w:r>
          </w:p>
        </w:tc>
        <w:tc>
          <w:tcPr>
            <w:tcW w:w="990" w:type="dxa"/>
            <w:tcBorders>
              <w:top w:val="nil"/>
              <w:left w:val="nil"/>
              <w:bottom w:val="single" w:sz="4" w:space="0" w:color="auto"/>
              <w:right w:val="nil"/>
            </w:tcBorders>
          </w:tcPr>
          <w:p w:rsidR="0028027B" w:rsidRPr="00DC1EE4" w:rsidRDefault="0028027B" w:rsidP="00C03F9E">
            <w:pPr>
              <w:pStyle w:val="TableofFigures"/>
            </w:pPr>
            <w:r w:rsidRPr="00DC1EE4">
              <w:t>631</w:t>
            </w:r>
          </w:p>
        </w:tc>
      </w:tr>
      <w:tr w:rsidR="0028027B" w:rsidRPr="00DC1EE4" w:rsidTr="00C03F9E">
        <w:trPr>
          <w:cantSplit/>
        </w:trPr>
        <w:tc>
          <w:tcPr>
            <w:tcW w:w="385"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text"/>
              <w:rPr>
                <w:b/>
              </w:rPr>
            </w:pPr>
            <w:r w:rsidRPr="00DC1EE4">
              <w:rPr>
                <w:b/>
              </w:rPr>
              <w:t xml:space="preserve"> </w:t>
            </w:r>
          </w:p>
        </w:tc>
        <w:tc>
          <w:tcPr>
            <w:tcW w:w="4228"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
              <w:rPr>
                <w:b/>
              </w:rPr>
            </w:pPr>
            <w:r w:rsidRPr="00DC1EE4">
              <w:rPr>
                <w:b/>
              </w:rPr>
              <w:t>Cash and cash equivalents at end of financial year</w:t>
            </w:r>
          </w:p>
        </w:tc>
        <w:tc>
          <w:tcPr>
            <w:tcW w:w="708"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TextCentred"/>
              <w:rPr>
                <w:b/>
              </w:rPr>
            </w:pPr>
          </w:p>
        </w:tc>
        <w:tc>
          <w:tcPr>
            <w:tcW w:w="1135" w:type="dxa"/>
            <w:tcBorders>
              <w:top w:val="single" w:sz="4" w:space="0" w:color="auto"/>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rPr>
                <w:b/>
              </w:rPr>
            </w:pPr>
            <w:r w:rsidRPr="00DC1EE4">
              <w:rPr>
                <w:b/>
              </w:rPr>
              <w:t>64 434</w:t>
            </w:r>
          </w:p>
        </w:tc>
        <w:tc>
          <w:tcPr>
            <w:tcW w:w="991"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ofFigures"/>
              <w:rPr>
                <w:b/>
              </w:rPr>
            </w:pPr>
            <w:r w:rsidRPr="00DC1EE4">
              <w:rPr>
                <w:b/>
              </w:rPr>
              <w:t>44 494</w:t>
            </w:r>
          </w:p>
        </w:tc>
        <w:tc>
          <w:tcPr>
            <w:tcW w:w="990" w:type="dxa"/>
            <w:tcBorders>
              <w:top w:val="single" w:sz="4" w:space="0" w:color="auto"/>
              <w:left w:val="nil"/>
              <w:bottom w:val="single" w:sz="4" w:space="0" w:color="auto"/>
              <w:right w:val="nil"/>
            </w:tcBorders>
          </w:tcPr>
          <w:p w:rsidR="0028027B" w:rsidRPr="00DC1EE4" w:rsidRDefault="0028027B" w:rsidP="00C03F9E">
            <w:pPr>
              <w:pStyle w:val="TableofFigures"/>
              <w:rPr>
                <w:b/>
              </w:rPr>
            </w:pPr>
            <w:r w:rsidRPr="00DC1EE4">
              <w:rPr>
                <w:b/>
              </w:rPr>
              <w:t>(19 940)</w:t>
            </w:r>
          </w:p>
        </w:tc>
      </w:tr>
    </w:tbl>
    <w:p w:rsidR="0028027B" w:rsidRPr="00DC1EE4" w:rsidRDefault="0028027B" w:rsidP="0028027B">
      <w:pPr>
        <w:pStyle w:val="SmallLine"/>
      </w:pPr>
    </w:p>
    <w:p w:rsidR="0028027B" w:rsidRPr="00DC1EE4" w:rsidRDefault="0028027B" w:rsidP="0028027B">
      <w:pPr>
        <w:pStyle w:val="NotesBlue"/>
        <w:ind w:hanging="369"/>
      </w:pPr>
      <w:r w:rsidRPr="00DC1EE4">
        <w:t>Note:</w:t>
      </w:r>
    </w:p>
    <w:p w:rsidR="0028027B" w:rsidRPr="00DC1EE4" w:rsidRDefault="0028027B" w:rsidP="0028027B">
      <w:pPr>
        <w:pStyle w:val="NotesBlue"/>
        <w:ind w:hanging="369"/>
      </w:pPr>
      <w:r w:rsidRPr="00DC1EE4">
        <w:t>(i)</w:t>
      </w:r>
      <w:r w:rsidRPr="00DC1EE4">
        <w:tab/>
        <w:t>Entities are required to disclose a brief explanation for any major variances identified.</w:t>
      </w:r>
      <w:r w:rsidRPr="00DC1EE4">
        <w:br w:type="page"/>
      </w:r>
    </w:p>
    <w:p w:rsidR="0028027B" w:rsidRPr="00DC1EE4" w:rsidRDefault="0028027B" w:rsidP="0028027B">
      <w:pPr>
        <w:pStyle w:val="Reference"/>
      </w:pPr>
    </w:p>
    <w:p w:rsidR="0028027B" w:rsidRPr="00DC1EE4" w:rsidRDefault="0028027B" w:rsidP="0028027B">
      <w:pPr>
        <w:pStyle w:val="Reference"/>
        <w:spacing w:before="40"/>
      </w:pPr>
      <w:r w:rsidRPr="00DC1EE4">
        <w:t>AASB 1055.6</w:t>
      </w:r>
    </w:p>
    <w:p w:rsidR="0028027B" w:rsidRPr="00DC1EE4" w:rsidRDefault="0028027B" w:rsidP="0028027B">
      <w:pPr>
        <w:pStyle w:val="Heading2"/>
      </w:pPr>
      <w:r w:rsidRPr="00DC1EE4">
        <w:br w:type="column"/>
      </w:r>
      <w:bookmarkStart w:id="728" w:name="_Toc388272005"/>
      <w:r w:rsidRPr="00DC1EE4">
        <w:t xml:space="preserve">Statement of changes in equity for the financial year ended 30 June </w:t>
      </w:r>
      <w:bookmarkEnd w:id="728"/>
      <w:r w:rsidRPr="00DC1EE4">
        <w:t>2015</w:t>
      </w:r>
    </w:p>
    <w:p w:rsidR="0028027B" w:rsidRPr="00DC1EE4" w:rsidRDefault="0028027B" w:rsidP="0028027B">
      <w:pPr>
        <w:pStyle w:val="million"/>
      </w:pPr>
      <w:r w:rsidRPr="00DC1EE4">
        <w:t>($ thousand)</w:t>
      </w:r>
    </w:p>
    <w:tbl>
      <w:tblPr>
        <w:tblW w:w="8460" w:type="dxa"/>
        <w:tblInd w:w="43" w:type="dxa"/>
        <w:tblLayout w:type="fixed"/>
        <w:tblCellMar>
          <w:left w:w="43" w:type="dxa"/>
          <w:right w:w="43" w:type="dxa"/>
        </w:tblCellMar>
        <w:tblLook w:val="04A0" w:firstRow="1" w:lastRow="0" w:firstColumn="1" w:lastColumn="0" w:noHBand="0" w:noVBand="1"/>
      </w:tblPr>
      <w:tblGrid>
        <w:gridCol w:w="5850"/>
        <w:gridCol w:w="960"/>
        <w:gridCol w:w="1650"/>
      </w:tblGrid>
      <w:tr w:rsidR="0028027B" w:rsidRPr="00DC1EE4" w:rsidTr="00C03F9E">
        <w:trPr>
          <w:cantSplit/>
        </w:trPr>
        <w:tc>
          <w:tcPr>
            <w:tcW w:w="5850" w:type="dxa"/>
            <w:tcBorders>
              <w:top w:val="single" w:sz="4" w:space="0" w:color="auto"/>
              <w:bottom w:val="single" w:sz="4" w:space="0" w:color="auto"/>
            </w:tcBorders>
            <w:shd w:val="clear" w:color="auto" w:fill="auto"/>
            <w:vAlign w:val="bottom"/>
            <w:hideMark/>
          </w:tcPr>
          <w:p w:rsidR="0028027B" w:rsidRPr="00DC1EE4" w:rsidRDefault="0028027B" w:rsidP="00C03F9E">
            <w:pPr>
              <w:pStyle w:val="Tabletext"/>
              <w:rPr>
                <w:szCs w:val="20"/>
              </w:rPr>
            </w:pPr>
            <w:r w:rsidRPr="00DC1EE4">
              <w:rPr>
                <w:szCs w:val="20"/>
              </w:rPr>
              <w:t> </w:t>
            </w:r>
          </w:p>
        </w:tc>
        <w:tc>
          <w:tcPr>
            <w:tcW w:w="960" w:type="dxa"/>
            <w:tcBorders>
              <w:top w:val="single" w:sz="4" w:space="0" w:color="auto"/>
              <w:bottom w:val="single" w:sz="4" w:space="0" w:color="auto"/>
            </w:tcBorders>
            <w:shd w:val="clear" w:color="auto" w:fill="auto"/>
            <w:hideMark/>
          </w:tcPr>
          <w:p w:rsidR="0028027B" w:rsidRPr="00DC1EE4" w:rsidRDefault="0028027B" w:rsidP="00C03F9E">
            <w:pPr>
              <w:pStyle w:val="TabletextheadingCentred"/>
              <w:rPr>
                <w:sz w:val="20"/>
              </w:rPr>
            </w:pPr>
            <w:r w:rsidRPr="00DC1EE4">
              <w:rPr>
                <w:sz w:val="20"/>
              </w:rPr>
              <w:br/>
            </w:r>
            <w:r w:rsidRPr="00DC1EE4">
              <w:rPr>
                <w:sz w:val="20"/>
              </w:rPr>
              <w:br/>
              <w:t xml:space="preserve">Note </w:t>
            </w:r>
            <w:r w:rsidRPr="00DC1EE4">
              <w:rPr>
                <w:sz w:val="20"/>
                <w:vertAlign w:val="superscript"/>
              </w:rPr>
              <w:t>(i)</w:t>
            </w:r>
          </w:p>
        </w:tc>
        <w:tc>
          <w:tcPr>
            <w:tcW w:w="1650" w:type="dxa"/>
            <w:tcBorders>
              <w:top w:val="single" w:sz="4" w:space="0" w:color="auto"/>
              <w:bottom w:val="single" w:sz="4" w:space="0" w:color="auto"/>
            </w:tcBorders>
            <w:shd w:val="clear" w:color="auto" w:fill="auto"/>
            <w:hideMark/>
          </w:tcPr>
          <w:p w:rsidR="0028027B" w:rsidRPr="00DC1EE4" w:rsidRDefault="0028027B" w:rsidP="00C03F9E">
            <w:pPr>
              <w:pStyle w:val="Tabletextheading"/>
              <w:rPr>
                <w:sz w:val="20"/>
                <w:szCs w:val="20"/>
              </w:rPr>
            </w:pPr>
            <w:r w:rsidRPr="00DC1EE4">
              <w:rPr>
                <w:sz w:val="20"/>
                <w:szCs w:val="20"/>
              </w:rPr>
              <w:br/>
              <w:t>Physical asset revaluation surplus</w:t>
            </w:r>
          </w:p>
        </w:tc>
      </w:tr>
      <w:tr w:rsidR="0028027B" w:rsidRPr="00DC1EE4" w:rsidTr="00C03F9E">
        <w:trPr>
          <w:cantSplit/>
        </w:trPr>
        <w:tc>
          <w:tcPr>
            <w:tcW w:w="5850" w:type="dxa"/>
            <w:tcBorders>
              <w:top w:val="single" w:sz="4" w:space="0" w:color="auto"/>
              <w:left w:val="nil"/>
              <w:bottom w:val="single" w:sz="4" w:space="0" w:color="auto"/>
              <w:right w:val="nil"/>
            </w:tcBorders>
            <w:shd w:val="clear" w:color="auto" w:fill="auto"/>
            <w:vAlign w:val="bottom"/>
          </w:tcPr>
          <w:p w:rsidR="0028027B" w:rsidRPr="00DC1EE4" w:rsidRDefault="0028027B" w:rsidP="00C03F9E">
            <w:pPr>
              <w:pStyle w:val="Tabletext"/>
              <w:rPr>
                <w:b/>
                <w:szCs w:val="20"/>
              </w:rPr>
            </w:pPr>
            <w:r w:rsidRPr="00DC1EE4">
              <w:rPr>
                <w:b/>
                <w:szCs w:val="20"/>
              </w:rPr>
              <w:t>2014</w:t>
            </w:r>
            <w:r w:rsidR="005A4BB0">
              <w:rPr>
                <w:b/>
                <w:szCs w:val="20"/>
              </w:rPr>
              <w:noBreakHyphen/>
            </w:r>
            <w:r w:rsidRPr="00DC1EE4">
              <w:rPr>
                <w:b/>
                <w:szCs w:val="20"/>
              </w:rPr>
              <w:t>15 original budget</w:t>
            </w:r>
          </w:p>
        </w:tc>
        <w:tc>
          <w:tcPr>
            <w:tcW w:w="960" w:type="dxa"/>
            <w:tcBorders>
              <w:top w:val="single" w:sz="4" w:space="0" w:color="auto"/>
              <w:left w:val="nil"/>
              <w:bottom w:val="single" w:sz="4" w:space="0" w:color="auto"/>
              <w:right w:val="nil"/>
            </w:tcBorders>
            <w:shd w:val="clear" w:color="auto" w:fill="auto"/>
            <w:vAlign w:val="bottom"/>
          </w:tcPr>
          <w:p w:rsidR="0028027B" w:rsidRPr="00DC1EE4" w:rsidRDefault="0028027B" w:rsidP="00C03F9E">
            <w:pPr>
              <w:pStyle w:val="TableTextCentred"/>
              <w:rPr>
                <w:b/>
                <w:szCs w:val="20"/>
              </w:rPr>
            </w:pPr>
          </w:p>
        </w:tc>
        <w:tc>
          <w:tcPr>
            <w:tcW w:w="1650" w:type="dxa"/>
            <w:tcBorders>
              <w:top w:val="single" w:sz="4" w:space="0" w:color="auto"/>
              <w:left w:val="nil"/>
              <w:bottom w:val="single" w:sz="4" w:space="0" w:color="auto"/>
              <w:right w:val="nil"/>
            </w:tcBorders>
            <w:shd w:val="clear" w:color="auto" w:fill="auto"/>
            <w:noWrap/>
          </w:tcPr>
          <w:p w:rsidR="0028027B" w:rsidRPr="00DC1EE4" w:rsidRDefault="0028027B" w:rsidP="00C03F9E">
            <w:pPr>
              <w:pStyle w:val="TableofFigures"/>
              <w:rPr>
                <w:b/>
                <w:sz w:val="20"/>
                <w:szCs w:val="20"/>
              </w:rPr>
            </w:pPr>
          </w:p>
        </w:tc>
      </w:tr>
      <w:tr w:rsidR="0028027B" w:rsidRPr="00DC1EE4" w:rsidTr="00C03F9E">
        <w:trPr>
          <w:cantSplit/>
        </w:trPr>
        <w:tc>
          <w:tcPr>
            <w:tcW w:w="5850" w:type="dxa"/>
            <w:tcBorders>
              <w:top w:val="single" w:sz="4" w:space="0" w:color="auto"/>
              <w:left w:val="nil"/>
              <w:bottom w:val="nil"/>
              <w:right w:val="nil"/>
            </w:tcBorders>
            <w:shd w:val="clear" w:color="auto" w:fill="auto"/>
            <w:vAlign w:val="bottom"/>
          </w:tcPr>
          <w:p w:rsidR="0028027B" w:rsidRPr="00DC1EE4" w:rsidRDefault="0028027B" w:rsidP="00C03F9E">
            <w:pPr>
              <w:pStyle w:val="Tabletext"/>
              <w:rPr>
                <w:b/>
                <w:szCs w:val="20"/>
              </w:rPr>
            </w:pPr>
            <w:r w:rsidRPr="00DC1EE4">
              <w:rPr>
                <w:b/>
                <w:szCs w:val="20"/>
              </w:rPr>
              <w:t xml:space="preserve">Balance as at 1 July 2014 </w:t>
            </w:r>
          </w:p>
        </w:tc>
        <w:tc>
          <w:tcPr>
            <w:tcW w:w="960" w:type="dxa"/>
            <w:tcBorders>
              <w:top w:val="single" w:sz="4" w:space="0" w:color="auto"/>
              <w:left w:val="nil"/>
              <w:bottom w:val="nil"/>
              <w:right w:val="nil"/>
            </w:tcBorders>
            <w:shd w:val="clear" w:color="auto" w:fill="auto"/>
            <w:vAlign w:val="bottom"/>
          </w:tcPr>
          <w:p w:rsidR="0028027B" w:rsidRPr="00DC1EE4" w:rsidRDefault="0028027B" w:rsidP="00C03F9E">
            <w:pPr>
              <w:pStyle w:val="TableTextCentred"/>
              <w:rPr>
                <w:b/>
                <w:szCs w:val="20"/>
              </w:rPr>
            </w:pPr>
          </w:p>
        </w:tc>
        <w:tc>
          <w:tcPr>
            <w:tcW w:w="1650" w:type="dxa"/>
            <w:tcBorders>
              <w:top w:val="single" w:sz="4" w:space="0" w:color="auto"/>
              <w:left w:val="nil"/>
              <w:bottom w:val="nil"/>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3 759</w:t>
            </w:r>
          </w:p>
        </w:tc>
      </w:tr>
      <w:tr w:rsidR="0028027B" w:rsidRPr="00DC1EE4" w:rsidTr="00C03F9E">
        <w:trPr>
          <w:cantSplit/>
        </w:trPr>
        <w:tc>
          <w:tcPr>
            <w:tcW w:w="5850" w:type="dxa"/>
            <w:tcBorders>
              <w:top w:val="nil"/>
              <w:left w:val="nil"/>
              <w:bottom w:val="nil"/>
              <w:right w:val="nil"/>
            </w:tcBorders>
            <w:shd w:val="clear" w:color="auto" w:fill="auto"/>
            <w:vAlign w:val="bottom"/>
          </w:tcPr>
          <w:p w:rsidR="0028027B" w:rsidRPr="00DC1EE4" w:rsidRDefault="0028027B" w:rsidP="00C03F9E">
            <w:pPr>
              <w:pStyle w:val="Tabletext"/>
              <w:rPr>
                <w:b/>
                <w:szCs w:val="20"/>
              </w:rPr>
            </w:pPr>
            <w:r w:rsidRPr="00DC1EE4">
              <w:rPr>
                <w:b/>
                <w:szCs w:val="20"/>
              </w:rPr>
              <w:t>Net result for the year</w:t>
            </w:r>
          </w:p>
        </w:tc>
        <w:tc>
          <w:tcPr>
            <w:tcW w:w="960" w:type="dxa"/>
            <w:tcBorders>
              <w:top w:val="nil"/>
              <w:left w:val="nil"/>
              <w:bottom w:val="nil"/>
              <w:right w:val="nil"/>
            </w:tcBorders>
            <w:shd w:val="clear" w:color="auto" w:fill="auto"/>
            <w:vAlign w:val="bottom"/>
          </w:tcPr>
          <w:p w:rsidR="0028027B" w:rsidRPr="00DC1EE4" w:rsidRDefault="0028027B" w:rsidP="00C03F9E">
            <w:pPr>
              <w:pStyle w:val="TableTextCentred"/>
              <w:rPr>
                <w:b/>
                <w:szCs w:val="20"/>
              </w:rPr>
            </w:pPr>
          </w:p>
        </w:tc>
        <w:tc>
          <w:tcPr>
            <w:tcW w:w="1650" w:type="dxa"/>
            <w:tcBorders>
              <w:top w:val="nil"/>
              <w:left w:val="nil"/>
              <w:bottom w:val="nil"/>
              <w:right w:val="nil"/>
            </w:tcBorders>
            <w:shd w:val="clear" w:color="auto" w:fill="auto"/>
            <w:noWrap/>
          </w:tcPr>
          <w:p w:rsidR="0028027B" w:rsidRPr="00DC1EE4" w:rsidRDefault="0028027B" w:rsidP="00C03F9E">
            <w:pPr>
              <w:pStyle w:val="TableofFigures"/>
              <w:rPr>
                <w:b/>
                <w:sz w:val="20"/>
                <w:szCs w:val="20"/>
              </w:rPr>
            </w:pPr>
          </w:p>
        </w:tc>
      </w:tr>
      <w:tr w:rsidR="0028027B" w:rsidRPr="00DC1EE4" w:rsidTr="00C03F9E">
        <w:trPr>
          <w:cantSplit/>
        </w:trPr>
        <w:tc>
          <w:tcPr>
            <w:tcW w:w="5850" w:type="dxa"/>
            <w:tcBorders>
              <w:top w:val="nil"/>
              <w:left w:val="nil"/>
              <w:bottom w:val="nil"/>
              <w:right w:val="nil"/>
            </w:tcBorders>
            <w:shd w:val="clear" w:color="auto" w:fill="auto"/>
            <w:vAlign w:val="bottom"/>
          </w:tcPr>
          <w:p w:rsidR="0028027B" w:rsidRPr="00DC1EE4" w:rsidRDefault="0028027B" w:rsidP="00C03F9E">
            <w:pPr>
              <w:pStyle w:val="Tabletext"/>
              <w:rPr>
                <w:szCs w:val="20"/>
              </w:rPr>
            </w:pPr>
            <w:r w:rsidRPr="00DC1EE4">
              <w:rPr>
                <w:szCs w:val="20"/>
              </w:rPr>
              <w:t>Other comprehensive income for the year</w:t>
            </w:r>
          </w:p>
        </w:tc>
        <w:tc>
          <w:tcPr>
            <w:tcW w:w="960" w:type="dxa"/>
            <w:tcBorders>
              <w:top w:val="nil"/>
              <w:left w:val="nil"/>
              <w:bottom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7 500</w:t>
            </w:r>
          </w:p>
        </w:tc>
      </w:tr>
      <w:tr w:rsidR="0028027B" w:rsidRPr="00DC1EE4" w:rsidTr="00C03F9E">
        <w:trPr>
          <w:cantSplit/>
        </w:trPr>
        <w:tc>
          <w:tcPr>
            <w:tcW w:w="5850" w:type="dxa"/>
            <w:tcBorders>
              <w:top w:val="nil"/>
              <w:left w:val="nil"/>
              <w:right w:val="nil"/>
            </w:tcBorders>
            <w:shd w:val="clear" w:color="auto" w:fill="auto"/>
            <w:vAlign w:val="bottom"/>
          </w:tcPr>
          <w:p w:rsidR="0028027B" w:rsidRPr="00DC1EE4" w:rsidRDefault="0028027B" w:rsidP="00C03F9E">
            <w:pPr>
              <w:pStyle w:val="Tabletext"/>
              <w:rPr>
                <w:szCs w:val="20"/>
              </w:rPr>
            </w:pPr>
            <w:r w:rsidRPr="00DC1EE4">
              <w:rPr>
                <w:szCs w:val="20"/>
              </w:rPr>
              <w:t>Transfer to accumulated surplus – on disposal of business</w:t>
            </w:r>
          </w:p>
        </w:tc>
        <w:tc>
          <w:tcPr>
            <w:tcW w:w="960" w:type="dxa"/>
            <w:tcBorders>
              <w:top w:val="nil"/>
              <w:left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(3 396)</w:t>
            </w:r>
          </w:p>
        </w:tc>
      </w:tr>
      <w:tr w:rsidR="0028027B" w:rsidRPr="00DC1EE4" w:rsidTr="00C03F9E">
        <w:trPr>
          <w:cantSplit/>
        </w:trPr>
        <w:tc>
          <w:tcPr>
            <w:tcW w:w="5850" w:type="dxa"/>
            <w:tcBorders>
              <w:top w:val="nil"/>
              <w:left w:val="nil"/>
              <w:right w:val="nil"/>
            </w:tcBorders>
            <w:shd w:val="clear" w:color="auto" w:fill="auto"/>
            <w:vAlign w:val="bottom"/>
          </w:tcPr>
          <w:p w:rsidR="0028027B" w:rsidRPr="00DC1EE4" w:rsidRDefault="0028027B" w:rsidP="00C03F9E">
            <w:pPr>
              <w:pStyle w:val="Tabletext"/>
              <w:rPr>
                <w:szCs w:val="20"/>
              </w:rPr>
            </w:pPr>
            <w:r w:rsidRPr="00DC1EE4">
              <w:rPr>
                <w:szCs w:val="20"/>
              </w:rPr>
              <w:t>Transfer to accumulated surplus</w:t>
            </w:r>
          </w:p>
        </w:tc>
        <w:tc>
          <w:tcPr>
            <w:tcW w:w="960" w:type="dxa"/>
            <w:tcBorders>
              <w:top w:val="nil"/>
              <w:left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(600)</w:t>
            </w:r>
          </w:p>
        </w:tc>
      </w:tr>
      <w:tr w:rsidR="0028027B" w:rsidRPr="00DC1EE4" w:rsidTr="00C03F9E">
        <w:trPr>
          <w:cantSplit/>
        </w:trPr>
        <w:tc>
          <w:tcPr>
            <w:tcW w:w="5850" w:type="dxa"/>
            <w:tcBorders>
              <w:left w:val="nil"/>
              <w:bottom w:val="nil"/>
              <w:right w:val="nil"/>
            </w:tcBorders>
            <w:shd w:val="clear" w:color="auto" w:fill="auto"/>
            <w:vAlign w:val="bottom"/>
            <w:hideMark/>
          </w:tcPr>
          <w:p w:rsidR="0028027B" w:rsidRPr="00DC1EE4" w:rsidRDefault="0028027B" w:rsidP="00C03F9E">
            <w:pPr>
              <w:pStyle w:val="Tabletext"/>
              <w:rPr>
                <w:szCs w:val="20"/>
              </w:rPr>
            </w:pPr>
            <w:r w:rsidRPr="00DC1EE4">
              <w:rPr>
                <w:szCs w:val="20"/>
              </w:rPr>
              <w:t>Transfer to contributed capital(i)</w:t>
            </w:r>
          </w:p>
        </w:tc>
        <w:tc>
          <w:tcPr>
            <w:tcW w:w="960" w:type="dxa"/>
            <w:tcBorders>
              <w:left w:val="nil"/>
              <w:bottom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5850" w:type="dxa"/>
            <w:tcBorders>
              <w:top w:val="nil"/>
              <w:left w:val="nil"/>
              <w:bottom w:val="nil"/>
              <w:right w:val="nil"/>
            </w:tcBorders>
            <w:shd w:val="clear" w:color="auto" w:fill="auto"/>
            <w:vAlign w:val="bottom"/>
            <w:hideMark/>
          </w:tcPr>
          <w:p w:rsidR="0028027B" w:rsidRPr="00DC1EE4" w:rsidRDefault="0028027B" w:rsidP="00C03F9E">
            <w:pPr>
              <w:pStyle w:val="Tabletext"/>
              <w:rPr>
                <w:szCs w:val="20"/>
              </w:rPr>
            </w:pPr>
            <w:r w:rsidRPr="00DC1EE4">
              <w:rPr>
                <w:szCs w:val="20"/>
              </w:rPr>
              <w:t>Capital appropriations</w:t>
            </w:r>
          </w:p>
        </w:tc>
        <w:tc>
          <w:tcPr>
            <w:tcW w:w="960" w:type="dxa"/>
            <w:tcBorders>
              <w:top w:val="nil"/>
              <w:left w:val="nil"/>
              <w:bottom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5850" w:type="dxa"/>
            <w:tcBorders>
              <w:top w:val="nil"/>
              <w:left w:val="nil"/>
              <w:right w:val="nil"/>
            </w:tcBorders>
            <w:shd w:val="clear" w:color="auto" w:fill="auto"/>
            <w:vAlign w:val="bottom"/>
            <w:hideMark/>
          </w:tcPr>
          <w:p w:rsidR="0028027B" w:rsidRPr="00DC1EE4" w:rsidRDefault="0028027B" w:rsidP="00C03F9E">
            <w:pPr>
              <w:pStyle w:val="Tabletext"/>
              <w:rPr>
                <w:szCs w:val="20"/>
              </w:rPr>
            </w:pPr>
            <w:r w:rsidRPr="00DC1EE4">
              <w:rPr>
                <w:szCs w:val="20"/>
              </w:rPr>
              <w:t>Administrative restructure – net assets received</w:t>
            </w:r>
          </w:p>
        </w:tc>
        <w:tc>
          <w:tcPr>
            <w:tcW w:w="960" w:type="dxa"/>
            <w:tcBorders>
              <w:top w:val="nil"/>
              <w:left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5850" w:type="dxa"/>
            <w:tcBorders>
              <w:left w:val="nil"/>
              <w:right w:val="nil"/>
            </w:tcBorders>
            <w:shd w:val="clear" w:color="auto" w:fill="auto"/>
            <w:vAlign w:val="bottom"/>
            <w:hideMark/>
          </w:tcPr>
          <w:p w:rsidR="0028027B" w:rsidRPr="00DC1EE4" w:rsidRDefault="0028027B" w:rsidP="00C03F9E">
            <w:pPr>
              <w:pStyle w:val="Tabletext"/>
              <w:rPr>
                <w:szCs w:val="20"/>
              </w:rPr>
            </w:pPr>
            <w:r w:rsidRPr="00DC1EE4">
              <w:rPr>
                <w:szCs w:val="20"/>
              </w:rPr>
              <w:t>Administrative restructure – net assets transferred</w:t>
            </w:r>
          </w:p>
        </w:tc>
        <w:tc>
          <w:tcPr>
            <w:tcW w:w="960" w:type="dxa"/>
            <w:tcBorders>
              <w:left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 ..</w:t>
            </w:r>
          </w:p>
        </w:tc>
      </w:tr>
      <w:tr w:rsidR="0028027B" w:rsidRPr="00DC1EE4" w:rsidTr="00C03F9E">
        <w:trPr>
          <w:cantSplit/>
        </w:trPr>
        <w:tc>
          <w:tcPr>
            <w:tcW w:w="5850" w:type="dxa"/>
            <w:tcBorders>
              <w:left w:val="nil"/>
              <w:bottom w:val="single" w:sz="4" w:space="0" w:color="auto"/>
              <w:right w:val="nil"/>
            </w:tcBorders>
            <w:shd w:val="clear" w:color="auto" w:fill="auto"/>
            <w:vAlign w:val="bottom"/>
          </w:tcPr>
          <w:p w:rsidR="0028027B" w:rsidRPr="00DC1EE4" w:rsidRDefault="0028027B" w:rsidP="00C03F9E">
            <w:pPr>
              <w:pStyle w:val="Tabletext"/>
              <w:rPr>
                <w:b/>
                <w:szCs w:val="20"/>
              </w:rPr>
            </w:pPr>
            <w:r w:rsidRPr="00DC1EE4">
              <w:rPr>
                <w:b/>
                <w:szCs w:val="20"/>
              </w:rPr>
              <w:t xml:space="preserve">Balance as at 30 June 2015 </w:t>
            </w:r>
          </w:p>
        </w:tc>
        <w:tc>
          <w:tcPr>
            <w:tcW w:w="960" w:type="dxa"/>
            <w:tcBorders>
              <w:left w:val="nil"/>
              <w:bottom w:val="single" w:sz="4" w:space="0" w:color="auto"/>
              <w:right w:val="nil"/>
            </w:tcBorders>
            <w:shd w:val="clear" w:color="auto" w:fill="auto"/>
            <w:vAlign w:val="bottom"/>
          </w:tcPr>
          <w:p w:rsidR="0028027B" w:rsidRPr="00DC1EE4" w:rsidRDefault="0028027B" w:rsidP="00C03F9E">
            <w:pPr>
              <w:pStyle w:val="TableTextCentred"/>
              <w:rPr>
                <w:b/>
                <w:szCs w:val="20"/>
              </w:rPr>
            </w:pPr>
          </w:p>
        </w:tc>
        <w:tc>
          <w:tcPr>
            <w:tcW w:w="1650" w:type="dxa"/>
            <w:tcBorders>
              <w:left w:val="nil"/>
              <w:bottom w:val="single" w:sz="4" w:space="0" w:color="auto"/>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7 263</w:t>
            </w:r>
          </w:p>
        </w:tc>
      </w:tr>
      <w:tr w:rsidR="0028027B" w:rsidRPr="00DC1EE4" w:rsidTr="00C03F9E">
        <w:trPr>
          <w:cantSplit/>
        </w:trPr>
        <w:tc>
          <w:tcPr>
            <w:tcW w:w="5850" w:type="dxa"/>
            <w:tcBorders>
              <w:top w:val="single" w:sz="4" w:space="0" w:color="auto"/>
              <w:left w:val="nil"/>
              <w:right w:val="nil"/>
            </w:tcBorders>
            <w:shd w:val="clear" w:color="auto" w:fill="auto"/>
            <w:vAlign w:val="bottom"/>
          </w:tcPr>
          <w:p w:rsidR="0028027B" w:rsidRPr="00DC1EE4" w:rsidRDefault="0028027B" w:rsidP="00C03F9E">
            <w:pPr>
              <w:pStyle w:val="Tabletext"/>
              <w:rPr>
                <w:b/>
                <w:szCs w:val="20"/>
              </w:rPr>
            </w:pPr>
            <w:r w:rsidRPr="00DC1EE4">
              <w:rPr>
                <w:b/>
                <w:szCs w:val="20"/>
              </w:rPr>
              <w:t>2014</w:t>
            </w:r>
            <w:r w:rsidR="005A4BB0">
              <w:rPr>
                <w:b/>
                <w:szCs w:val="20"/>
              </w:rPr>
              <w:noBreakHyphen/>
            </w:r>
            <w:r w:rsidRPr="00DC1EE4">
              <w:rPr>
                <w:b/>
                <w:szCs w:val="20"/>
              </w:rPr>
              <w:t>15 actuals</w:t>
            </w:r>
          </w:p>
        </w:tc>
        <w:tc>
          <w:tcPr>
            <w:tcW w:w="960" w:type="dxa"/>
            <w:tcBorders>
              <w:top w:val="single" w:sz="4" w:space="0" w:color="auto"/>
              <w:left w:val="nil"/>
              <w:right w:val="nil"/>
            </w:tcBorders>
            <w:shd w:val="clear" w:color="auto" w:fill="auto"/>
            <w:vAlign w:val="bottom"/>
          </w:tcPr>
          <w:p w:rsidR="0028027B" w:rsidRPr="00DC1EE4" w:rsidRDefault="0028027B" w:rsidP="00C03F9E">
            <w:pPr>
              <w:pStyle w:val="TableTextCentred"/>
              <w:rPr>
                <w:b/>
                <w:szCs w:val="20"/>
              </w:rPr>
            </w:pPr>
          </w:p>
        </w:tc>
        <w:tc>
          <w:tcPr>
            <w:tcW w:w="1650" w:type="dxa"/>
            <w:tcBorders>
              <w:top w:val="single" w:sz="4" w:space="0" w:color="auto"/>
              <w:left w:val="nil"/>
              <w:right w:val="nil"/>
            </w:tcBorders>
            <w:shd w:val="clear" w:color="auto" w:fill="auto"/>
            <w:noWrap/>
          </w:tcPr>
          <w:p w:rsidR="0028027B" w:rsidRPr="00DC1EE4" w:rsidRDefault="0028027B" w:rsidP="00C03F9E">
            <w:pPr>
              <w:pStyle w:val="TableofFigures"/>
              <w:rPr>
                <w:b/>
                <w:sz w:val="20"/>
                <w:szCs w:val="20"/>
              </w:rPr>
            </w:pPr>
          </w:p>
        </w:tc>
      </w:tr>
      <w:tr w:rsidR="0028027B" w:rsidRPr="00DC1EE4" w:rsidTr="00C03F9E">
        <w:trPr>
          <w:cantSplit/>
        </w:trPr>
        <w:tc>
          <w:tcPr>
            <w:tcW w:w="5850" w:type="dxa"/>
            <w:tcBorders>
              <w:top w:val="single" w:sz="4" w:space="0" w:color="auto"/>
              <w:left w:val="nil"/>
              <w:right w:val="nil"/>
            </w:tcBorders>
            <w:shd w:val="clear" w:color="auto" w:fill="auto"/>
            <w:vAlign w:val="bottom"/>
            <w:hideMark/>
          </w:tcPr>
          <w:p w:rsidR="0028027B" w:rsidRPr="00DC1EE4" w:rsidRDefault="0028027B" w:rsidP="00C03F9E">
            <w:pPr>
              <w:pStyle w:val="Tabletext"/>
              <w:rPr>
                <w:b/>
                <w:szCs w:val="20"/>
              </w:rPr>
            </w:pPr>
            <w:r w:rsidRPr="00DC1EE4">
              <w:rPr>
                <w:b/>
                <w:szCs w:val="20"/>
              </w:rPr>
              <w:t>Balance as at 1 July 2014</w:t>
            </w:r>
          </w:p>
        </w:tc>
        <w:tc>
          <w:tcPr>
            <w:tcW w:w="960" w:type="dxa"/>
            <w:tcBorders>
              <w:top w:val="single" w:sz="4" w:space="0" w:color="auto"/>
              <w:left w:val="nil"/>
              <w:right w:val="nil"/>
            </w:tcBorders>
            <w:shd w:val="clear" w:color="auto" w:fill="auto"/>
            <w:vAlign w:val="bottom"/>
            <w:hideMark/>
          </w:tcPr>
          <w:p w:rsidR="0028027B" w:rsidRPr="00DC1EE4" w:rsidRDefault="0028027B" w:rsidP="00C03F9E">
            <w:pPr>
              <w:pStyle w:val="TableTextCentred"/>
              <w:rPr>
                <w:b/>
                <w:szCs w:val="20"/>
              </w:rPr>
            </w:pPr>
          </w:p>
        </w:tc>
        <w:tc>
          <w:tcPr>
            <w:tcW w:w="1650" w:type="dxa"/>
            <w:tcBorders>
              <w:top w:val="single" w:sz="4" w:space="0" w:color="auto"/>
              <w:left w:val="nil"/>
              <w:right w:val="nil"/>
            </w:tcBorders>
            <w:shd w:val="clear" w:color="auto" w:fill="auto"/>
            <w:noWrap/>
            <w:hideMark/>
          </w:tcPr>
          <w:p w:rsidR="0028027B" w:rsidRPr="00DC1EE4" w:rsidRDefault="0028027B" w:rsidP="00C03F9E">
            <w:pPr>
              <w:pStyle w:val="TableofFigures"/>
              <w:rPr>
                <w:b/>
                <w:sz w:val="20"/>
                <w:szCs w:val="20"/>
              </w:rPr>
            </w:pPr>
            <w:r w:rsidRPr="00DC1EE4">
              <w:rPr>
                <w:b/>
                <w:sz w:val="20"/>
                <w:szCs w:val="20"/>
              </w:rPr>
              <w:t>3 759</w:t>
            </w:r>
          </w:p>
        </w:tc>
      </w:tr>
      <w:tr w:rsidR="0028027B" w:rsidRPr="00DC1EE4" w:rsidTr="00C03F9E">
        <w:trPr>
          <w:cantSplit/>
        </w:trPr>
        <w:tc>
          <w:tcPr>
            <w:tcW w:w="5850" w:type="dxa"/>
            <w:tcBorders>
              <w:top w:val="nil"/>
              <w:left w:val="nil"/>
              <w:right w:val="nil"/>
            </w:tcBorders>
            <w:shd w:val="clear" w:color="auto" w:fill="auto"/>
            <w:vAlign w:val="bottom"/>
            <w:hideMark/>
          </w:tcPr>
          <w:p w:rsidR="0028027B" w:rsidRPr="00DC1EE4" w:rsidRDefault="0028027B" w:rsidP="00C03F9E">
            <w:pPr>
              <w:pStyle w:val="Tabletext"/>
              <w:rPr>
                <w:b/>
                <w:szCs w:val="20"/>
              </w:rPr>
            </w:pPr>
            <w:r w:rsidRPr="00DC1EE4">
              <w:rPr>
                <w:b/>
                <w:szCs w:val="20"/>
              </w:rPr>
              <w:t>Net result for the year</w:t>
            </w:r>
          </w:p>
        </w:tc>
        <w:tc>
          <w:tcPr>
            <w:tcW w:w="960" w:type="dxa"/>
            <w:tcBorders>
              <w:top w:val="nil"/>
              <w:left w:val="nil"/>
              <w:right w:val="nil"/>
            </w:tcBorders>
            <w:shd w:val="clear" w:color="auto" w:fill="auto"/>
            <w:vAlign w:val="bottom"/>
            <w:hideMark/>
          </w:tcPr>
          <w:p w:rsidR="0028027B" w:rsidRPr="00DC1EE4" w:rsidRDefault="0028027B" w:rsidP="00C03F9E">
            <w:pPr>
              <w:pStyle w:val="TableTextCentred"/>
              <w:rPr>
                <w:b/>
                <w:szCs w:val="20"/>
              </w:rPr>
            </w:pPr>
          </w:p>
        </w:tc>
        <w:tc>
          <w:tcPr>
            <w:tcW w:w="1650" w:type="dxa"/>
            <w:tcBorders>
              <w:top w:val="nil"/>
              <w:left w:val="nil"/>
              <w:right w:val="nil"/>
            </w:tcBorders>
            <w:shd w:val="clear" w:color="auto" w:fill="auto"/>
            <w:noWrap/>
            <w:hideMark/>
          </w:tcPr>
          <w:p w:rsidR="0028027B" w:rsidRPr="00DC1EE4" w:rsidRDefault="0028027B" w:rsidP="00C03F9E">
            <w:pPr>
              <w:pStyle w:val="TableofFigures"/>
              <w:rPr>
                <w:b/>
                <w:sz w:val="20"/>
                <w:szCs w:val="20"/>
              </w:rPr>
            </w:pPr>
          </w:p>
        </w:tc>
      </w:tr>
      <w:tr w:rsidR="0028027B" w:rsidRPr="00DC1EE4" w:rsidTr="00C03F9E">
        <w:trPr>
          <w:cantSplit/>
        </w:trPr>
        <w:tc>
          <w:tcPr>
            <w:tcW w:w="5850" w:type="dxa"/>
            <w:tcBorders>
              <w:top w:val="nil"/>
              <w:left w:val="nil"/>
              <w:bottom w:val="nil"/>
              <w:right w:val="nil"/>
            </w:tcBorders>
            <w:shd w:val="clear" w:color="auto" w:fill="auto"/>
            <w:vAlign w:val="bottom"/>
            <w:hideMark/>
          </w:tcPr>
          <w:p w:rsidR="0028027B" w:rsidRPr="00DC1EE4" w:rsidRDefault="0028027B" w:rsidP="00C03F9E">
            <w:pPr>
              <w:pStyle w:val="Tabletext"/>
              <w:rPr>
                <w:szCs w:val="20"/>
              </w:rPr>
            </w:pPr>
            <w:r w:rsidRPr="00DC1EE4">
              <w:rPr>
                <w:szCs w:val="20"/>
              </w:rPr>
              <w:t>Other comprehensive income for the year</w:t>
            </w:r>
          </w:p>
        </w:tc>
        <w:tc>
          <w:tcPr>
            <w:tcW w:w="960" w:type="dxa"/>
            <w:tcBorders>
              <w:top w:val="nil"/>
              <w:left w:val="nil"/>
              <w:bottom w:val="nil"/>
              <w:right w:val="nil"/>
            </w:tcBorders>
            <w:shd w:val="clear" w:color="auto" w:fill="auto"/>
            <w:vAlign w:val="bottom"/>
            <w:hideMark/>
          </w:tcPr>
          <w:p w:rsidR="0028027B" w:rsidRPr="00DC1EE4" w:rsidRDefault="0028027B" w:rsidP="00C03F9E">
            <w:pPr>
              <w:pStyle w:val="TableTextCentred"/>
              <w:rPr>
                <w:szCs w:val="20"/>
              </w:rPr>
            </w:pPr>
          </w:p>
        </w:tc>
        <w:tc>
          <w:tcPr>
            <w:tcW w:w="1650" w:type="dxa"/>
            <w:tcBorders>
              <w:top w:val="nil"/>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7 613</w:t>
            </w:r>
          </w:p>
        </w:tc>
      </w:tr>
      <w:tr w:rsidR="0028027B" w:rsidRPr="00DC1EE4" w:rsidTr="00C03F9E">
        <w:trPr>
          <w:cantSplit/>
        </w:trPr>
        <w:tc>
          <w:tcPr>
            <w:tcW w:w="5850" w:type="dxa"/>
            <w:tcBorders>
              <w:top w:val="nil"/>
              <w:left w:val="nil"/>
              <w:bottom w:val="nil"/>
              <w:right w:val="nil"/>
            </w:tcBorders>
            <w:shd w:val="clear" w:color="auto" w:fill="auto"/>
            <w:vAlign w:val="bottom"/>
          </w:tcPr>
          <w:p w:rsidR="0028027B" w:rsidRPr="00DC1EE4" w:rsidRDefault="0028027B" w:rsidP="00C03F9E">
            <w:pPr>
              <w:pStyle w:val="Tabletext"/>
              <w:rPr>
                <w:szCs w:val="20"/>
              </w:rPr>
            </w:pPr>
            <w:r w:rsidRPr="00DC1EE4">
              <w:rPr>
                <w:szCs w:val="20"/>
              </w:rPr>
              <w:t>Transfer to accumulated surplus – on disposal of business</w:t>
            </w:r>
          </w:p>
        </w:tc>
        <w:tc>
          <w:tcPr>
            <w:tcW w:w="960" w:type="dxa"/>
            <w:tcBorders>
              <w:top w:val="nil"/>
              <w:left w:val="nil"/>
              <w:bottom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(3 396)</w:t>
            </w:r>
          </w:p>
        </w:tc>
      </w:tr>
      <w:tr w:rsidR="0028027B" w:rsidRPr="00DC1EE4" w:rsidTr="00C03F9E">
        <w:trPr>
          <w:cantSplit/>
        </w:trPr>
        <w:tc>
          <w:tcPr>
            <w:tcW w:w="5850" w:type="dxa"/>
            <w:tcBorders>
              <w:top w:val="nil"/>
              <w:left w:val="nil"/>
              <w:right w:val="nil"/>
            </w:tcBorders>
            <w:shd w:val="clear" w:color="auto" w:fill="auto"/>
            <w:vAlign w:val="bottom"/>
          </w:tcPr>
          <w:p w:rsidR="0028027B" w:rsidRPr="00DC1EE4" w:rsidRDefault="0028027B" w:rsidP="00C03F9E">
            <w:pPr>
              <w:pStyle w:val="Tabletext"/>
              <w:rPr>
                <w:szCs w:val="20"/>
              </w:rPr>
            </w:pPr>
            <w:r w:rsidRPr="00DC1EE4">
              <w:rPr>
                <w:szCs w:val="20"/>
              </w:rPr>
              <w:t>Transfer to accumulated surplus</w:t>
            </w:r>
          </w:p>
        </w:tc>
        <w:tc>
          <w:tcPr>
            <w:tcW w:w="960" w:type="dxa"/>
            <w:tcBorders>
              <w:top w:val="nil"/>
              <w:left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(637)</w:t>
            </w:r>
          </w:p>
        </w:tc>
      </w:tr>
      <w:tr w:rsidR="0028027B" w:rsidRPr="00DC1EE4" w:rsidTr="00C03F9E">
        <w:trPr>
          <w:cantSplit/>
        </w:trPr>
        <w:tc>
          <w:tcPr>
            <w:tcW w:w="5850" w:type="dxa"/>
            <w:tcBorders>
              <w:top w:val="nil"/>
              <w:left w:val="nil"/>
              <w:bottom w:val="nil"/>
              <w:right w:val="nil"/>
            </w:tcBorders>
            <w:shd w:val="clear" w:color="auto" w:fill="auto"/>
            <w:vAlign w:val="bottom"/>
          </w:tcPr>
          <w:p w:rsidR="0028027B" w:rsidRPr="00DC1EE4" w:rsidRDefault="0028027B" w:rsidP="00C03F9E">
            <w:pPr>
              <w:pStyle w:val="Tabletext"/>
              <w:rPr>
                <w:szCs w:val="20"/>
              </w:rPr>
            </w:pPr>
            <w:r w:rsidRPr="00DC1EE4">
              <w:rPr>
                <w:szCs w:val="20"/>
              </w:rPr>
              <w:t>Transfer to contributed capital(i)</w:t>
            </w:r>
          </w:p>
        </w:tc>
        <w:tc>
          <w:tcPr>
            <w:tcW w:w="960" w:type="dxa"/>
            <w:tcBorders>
              <w:top w:val="nil"/>
              <w:left w:val="nil"/>
              <w:bottom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5850" w:type="dxa"/>
            <w:tcBorders>
              <w:top w:val="nil"/>
              <w:left w:val="nil"/>
              <w:bottom w:val="nil"/>
              <w:right w:val="nil"/>
            </w:tcBorders>
            <w:shd w:val="clear" w:color="auto" w:fill="auto"/>
            <w:vAlign w:val="bottom"/>
          </w:tcPr>
          <w:p w:rsidR="0028027B" w:rsidRPr="00DC1EE4" w:rsidRDefault="0028027B" w:rsidP="00C03F9E">
            <w:pPr>
              <w:pStyle w:val="Tabletext"/>
              <w:rPr>
                <w:szCs w:val="20"/>
              </w:rPr>
            </w:pPr>
            <w:r w:rsidRPr="00DC1EE4">
              <w:rPr>
                <w:szCs w:val="20"/>
              </w:rPr>
              <w:t>Capital appropriations</w:t>
            </w:r>
          </w:p>
        </w:tc>
        <w:tc>
          <w:tcPr>
            <w:tcW w:w="960" w:type="dxa"/>
            <w:tcBorders>
              <w:top w:val="nil"/>
              <w:left w:val="nil"/>
              <w:bottom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5850" w:type="dxa"/>
            <w:tcBorders>
              <w:top w:val="nil"/>
              <w:left w:val="nil"/>
              <w:right w:val="nil"/>
            </w:tcBorders>
            <w:shd w:val="clear" w:color="auto" w:fill="auto"/>
            <w:vAlign w:val="bottom"/>
          </w:tcPr>
          <w:p w:rsidR="0028027B" w:rsidRPr="00DC1EE4" w:rsidRDefault="0028027B" w:rsidP="00C03F9E">
            <w:pPr>
              <w:pStyle w:val="Tabletext"/>
              <w:rPr>
                <w:szCs w:val="20"/>
              </w:rPr>
            </w:pPr>
            <w:r w:rsidRPr="00DC1EE4">
              <w:rPr>
                <w:szCs w:val="20"/>
              </w:rPr>
              <w:t>Administrative restructure – net assets received</w:t>
            </w:r>
          </w:p>
        </w:tc>
        <w:tc>
          <w:tcPr>
            <w:tcW w:w="960" w:type="dxa"/>
            <w:tcBorders>
              <w:top w:val="nil"/>
              <w:left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5850" w:type="dxa"/>
            <w:tcBorders>
              <w:top w:val="nil"/>
              <w:left w:val="nil"/>
              <w:right w:val="nil"/>
            </w:tcBorders>
            <w:shd w:val="clear" w:color="auto" w:fill="auto"/>
            <w:vAlign w:val="bottom"/>
          </w:tcPr>
          <w:p w:rsidR="0028027B" w:rsidRPr="00DC1EE4" w:rsidRDefault="0028027B" w:rsidP="00C03F9E">
            <w:pPr>
              <w:pStyle w:val="Tabletext"/>
              <w:rPr>
                <w:szCs w:val="20"/>
              </w:rPr>
            </w:pPr>
            <w:r w:rsidRPr="00DC1EE4">
              <w:rPr>
                <w:szCs w:val="20"/>
              </w:rPr>
              <w:t>Administrative restructure – net assets transferred</w:t>
            </w:r>
          </w:p>
        </w:tc>
        <w:tc>
          <w:tcPr>
            <w:tcW w:w="960" w:type="dxa"/>
            <w:tcBorders>
              <w:top w:val="nil"/>
              <w:left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 ..</w:t>
            </w:r>
          </w:p>
        </w:tc>
      </w:tr>
      <w:tr w:rsidR="0028027B" w:rsidRPr="00DC1EE4" w:rsidTr="00C03F9E">
        <w:trPr>
          <w:cantSplit/>
        </w:trPr>
        <w:tc>
          <w:tcPr>
            <w:tcW w:w="5850" w:type="dxa"/>
            <w:tcBorders>
              <w:left w:val="nil"/>
              <w:bottom w:val="single" w:sz="4" w:space="0" w:color="auto"/>
              <w:right w:val="nil"/>
            </w:tcBorders>
            <w:shd w:val="clear" w:color="auto" w:fill="auto"/>
            <w:vAlign w:val="bottom"/>
          </w:tcPr>
          <w:p w:rsidR="0028027B" w:rsidRPr="00DC1EE4" w:rsidRDefault="0028027B" w:rsidP="00C03F9E">
            <w:pPr>
              <w:pStyle w:val="Tabletext"/>
              <w:rPr>
                <w:b/>
                <w:szCs w:val="20"/>
              </w:rPr>
            </w:pPr>
            <w:r w:rsidRPr="00DC1EE4">
              <w:rPr>
                <w:b/>
                <w:szCs w:val="20"/>
              </w:rPr>
              <w:t xml:space="preserve">Balance as at 30 June 2015 </w:t>
            </w:r>
          </w:p>
        </w:tc>
        <w:tc>
          <w:tcPr>
            <w:tcW w:w="960" w:type="dxa"/>
            <w:tcBorders>
              <w:left w:val="nil"/>
              <w:bottom w:val="single" w:sz="4" w:space="0" w:color="auto"/>
              <w:right w:val="nil"/>
            </w:tcBorders>
            <w:shd w:val="clear" w:color="auto" w:fill="auto"/>
            <w:vAlign w:val="bottom"/>
          </w:tcPr>
          <w:p w:rsidR="0028027B" w:rsidRPr="00DC1EE4" w:rsidRDefault="0028027B" w:rsidP="00C03F9E">
            <w:pPr>
              <w:pStyle w:val="TableTextCentred"/>
              <w:rPr>
                <w:b/>
                <w:szCs w:val="20"/>
              </w:rPr>
            </w:pPr>
          </w:p>
        </w:tc>
        <w:tc>
          <w:tcPr>
            <w:tcW w:w="1650" w:type="dxa"/>
            <w:tcBorders>
              <w:left w:val="nil"/>
              <w:bottom w:val="single" w:sz="4" w:space="0" w:color="auto"/>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7 339</w:t>
            </w:r>
          </w:p>
        </w:tc>
      </w:tr>
      <w:tr w:rsidR="0028027B" w:rsidRPr="00DC1EE4" w:rsidTr="00C03F9E">
        <w:trPr>
          <w:cantSplit/>
        </w:trPr>
        <w:tc>
          <w:tcPr>
            <w:tcW w:w="5850" w:type="dxa"/>
            <w:tcBorders>
              <w:top w:val="single" w:sz="4" w:space="0" w:color="auto"/>
              <w:left w:val="nil"/>
              <w:bottom w:val="single" w:sz="4" w:space="0" w:color="auto"/>
              <w:right w:val="nil"/>
            </w:tcBorders>
            <w:shd w:val="clear" w:color="auto" w:fill="auto"/>
            <w:vAlign w:val="bottom"/>
          </w:tcPr>
          <w:p w:rsidR="0028027B" w:rsidRPr="00DC1EE4" w:rsidRDefault="0028027B" w:rsidP="00C03F9E">
            <w:pPr>
              <w:pStyle w:val="Tabletext"/>
              <w:rPr>
                <w:b/>
                <w:szCs w:val="20"/>
              </w:rPr>
            </w:pPr>
            <w:r w:rsidRPr="00DC1EE4">
              <w:rPr>
                <w:b/>
                <w:szCs w:val="20"/>
              </w:rPr>
              <w:t>Variance to original budget</w:t>
            </w:r>
          </w:p>
        </w:tc>
        <w:tc>
          <w:tcPr>
            <w:tcW w:w="960" w:type="dxa"/>
            <w:tcBorders>
              <w:top w:val="single" w:sz="4" w:space="0" w:color="auto"/>
              <w:left w:val="nil"/>
              <w:bottom w:val="single" w:sz="4" w:space="0" w:color="auto"/>
              <w:right w:val="nil"/>
            </w:tcBorders>
            <w:shd w:val="clear" w:color="auto" w:fill="auto"/>
            <w:vAlign w:val="bottom"/>
          </w:tcPr>
          <w:p w:rsidR="0028027B" w:rsidRPr="00DC1EE4" w:rsidRDefault="0028027B" w:rsidP="00C03F9E">
            <w:pPr>
              <w:pStyle w:val="TableTextCentred"/>
              <w:rPr>
                <w:b/>
                <w:szCs w:val="20"/>
              </w:rPr>
            </w:pPr>
          </w:p>
        </w:tc>
        <w:tc>
          <w:tcPr>
            <w:tcW w:w="1650" w:type="dxa"/>
            <w:tcBorders>
              <w:top w:val="single" w:sz="4" w:space="0" w:color="auto"/>
              <w:left w:val="nil"/>
              <w:bottom w:val="single" w:sz="4" w:space="0" w:color="auto"/>
              <w:right w:val="nil"/>
            </w:tcBorders>
            <w:shd w:val="clear" w:color="auto" w:fill="auto"/>
            <w:noWrap/>
          </w:tcPr>
          <w:p w:rsidR="0028027B" w:rsidRPr="00DC1EE4" w:rsidRDefault="0028027B" w:rsidP="00C03F9E">
            <w:pPr>
              <w:pStyle w:val="TableofFigures"/>
              <w:rPr>
                <w:b/>
                <w:sz w:val="20"/>
                <w:szCs w:val="20"/>
              </w:rPr>
            </w:pPr>
          </w:p>
        </w:tc>
      </w:tr>
      <w:tr w:rsidR="0028027B" w:rsidRPr="00DC1EE4" w:rsidTr="00C03F9E">
        <w:trPr>
          <w:cantSplit/>
        </w:trPr>
        <w:tc>
          <w:tcPr>
            <w:tcW w:w="5850" w:type="dxa"/>
            <w:tcBorders>
              <w:top w:val="single" w:sz="4" w:space="0" w:color="auto"/>
              <w:left w:val="nil"/>
              <w:right w:val="nil"/>
            </w:tcBorders>
            <w:shd w:val="clear" w:color="auto" w:fill="auto"/>
            <w:vAlign w:val="bottom"/>
            <w:hideMark/>
          </w:tcPr>
          <w:p w:rsidR="0028027B" w:rsidRPr="00DC1EE4" w:rsidRDefault="0028027B" w:rsidP="00C03F9E">
            <w:pPr>
              <w:pStyle w:val="Tabletext"/>
              <w:rPr>
                <w:b/>
                <w:szCs w:val="20"/>
              </w:rPr>
            </w:pPr>
            <w:r w:rsidRPr="00DC1EE4">
              <w:rPr>
                <w:b/>
                <w:szCs w:val="20"/>
              </w:rPr>
              <w:t>Balance as at 1 July 2014</w:t>
            </w:r>
          </w:p>
        </w:tc>
        <w:tc>
          <w:tcPr>
            <w:tcW w:w="960" w:type="dxa"/>
            <w:tcBorders>
              <w:top w:val="single" w:sz="4" w:space="0" w:color="auto"/>
              <w:left w:val="nil"/>
              <w:right w:val="nil"/>
            </w:tcBorders>
            <w:shd w:val="clear" w:color="auto" w:fill="auto"/>
            <w:vAlign w:val="bottom"/>
            <w:hideMark/>
          </w:tcPr>
          <w:p w:rsidR="0028027B" w:rsidRPr="00DC1EE4" w:rsidRDefault="0028027B" w:rsidP="00C03F9E">
            <w:pPr>
              <w:pStyle w:val="TableTextCentred"/>
              <w:rPr>
                <w:b/>
                <w:szCs w:val="20"/>
              </w:rPr>
            </w:pPr>
          </w:p>
        </w:tc>
        <w:tc>
          <w:tcPr>
            <w:tcW w:w="1650" w:type="dxa"/>
            <w:tcBorders>
              <w:top w:val="single" w:sz="4" w:space="0" w:color="auto"/>
              <w:left w:val="nil"/>
              <w:right w:val="nil"/>
            </w:tcBorders>
            <w:shd w:val="clear" w:color="auto" w:fill="auto"/>
            <w:noWrap/>
            <w:hideMark/>
          </w:tcPr>
          <w:p w:rsidR="0028027B" w:rsidRPr="00DC1EE4" w:rsidRDefault="0028027B" w:rsidP="00C03F9E">
            <w:pPr>
              <w:pStyle w:val="TableofFigures"/>
              <w:rPr>
                <w:b/>
                <w:sz w:val="20"/>
                <w:szCs w:val="20"/>
              </w:rPr>
            </w:pPr>
            <w:r w:rsidRPr="00DC1EE4">
              <w:rPr>
                <w:b/>
                <w:sz w:val="20"/>
                <w:szCs w:val="20"/>
              </w:rPr>
              <w:t>..</w:t>
            </w:r>
          </w:p>
        </w:tc>
      </w:tr>
      <w:tr w:rsidR="0028027B" w:rsidRPr="00DC1EE4" w:rsidTr="00C03F9E">
        <w:trPr>
          <w:cantSplit/>
        </w:trPr>
        <w:tc>
          <w:tcPr>
            <w:tcW w:w="5850" w:type="dxa"/>
            <w:tcBorders>
              <w:left w:val="nil"/>
              <w:bottom w:val="nil"/>
              <w:right w:val="nil"/>
            </w:tcBorders>
            <w:shd w:val="clear" w:color="auto" w:fill="auto"/>
            <w:vAlign w:val="bottom"/>
          </w:tcPr>
          <w:p w:rsidR="0028027B" w:rsidRPr="00DC1EE4" w:rsidRDefault="0028027B" w:rsidP="00C03F9E">
            <w:pPr>
              <w:pStyle w:val="Tabletext"/>
              <w:rPr>
                <w:b/>
                <w:szCs w:val="20"/>
              </w:rPr>
            </w:pPr>
            <w:r w:rsidRPr="00DC1EE4">
              <w:rPr>
                <w:b/>
                <w:szCs w:val="20"/>
              </w:rPr>
              <w:t>Net result for the year</w:t>
            </w:r>
          </w:p>
        </w:tc>
        <w:tc>
          <w:tcPr>
            <w:tcW w:w="960" w:type="dxa"/>
            <w:tcBorders>
              <w:left w:val="nil"/>
              <w:bottom w:val="nil"/>
              <w:right w:val="nil"/>
            </w:tcBorders>
            <w:shd w:val="clear" w:color="auto" w:fill="auto"/>
            <w:vAlign w:val="bottom"/>
          </w:tcPr>
          <w:p w:rsidR="0028027B" w:rsidRPr="00DC1EE4" w:rsidRDefault="0028027B" w:rsidP="00C03F9E">
            <w:pPr>
              <w:pStyle w:val="TableTextCentred"/>
              <w:rPr>
                <w:b/>
                <w:szCs w:val="20"/>
              </w:rPr>
            </w:pPr>
          </w:p>
        </w:tc>
        <w:tc>
          <w:tcPr>
            <w:tcW w:w="1650" w:type="dxa"/>
            <w:tcBorders>
              <w:left w:val="nil"/>
              <w:bottom w:val="nil"/>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w:t>
            </w:r>
          </w:p>
        </w:tc>
      </w:tr>
      <w:tr w:rsidR="0028027B" w:rsidRPr="00DC1EE4" w:rsidTr="00C03F9E">
        <w:trPr>
          <w:cantSplit/>
        </w:trPr>
        <w:tc>
          <w:tcPr>
            <w:tcW w:w="5850" w:type="dxa"/>
            <w:tcBorders>
              <w:top w:val="nil"/>
              <w:left w:val="nil"/>
              <w:bottom w:val="nil"/>
              <w:right w:val="nil"/>
            </w:tcBorders>
            <w:shd w:val="clear" w:color="auto" w:fill="auto"/>
            <w:vAlign w:val="bottom"/>
          </w:tcPr>
          <w:p w:rsidR="0028027B" w:rsidRPr="00DC1EE4" w:rsidRDefault="0028027B" w:rsidP="00C03F9E">
            <w:pPr>
              <w:pStyle w:val="Tabletext"/>
              <w:rPr>
                <w:szCs w:val="20"/>
              </w:rPr>
            </w:pPr>
            <w:r w:rsidRPr="00DC1EE4">
              <w:rPr>
                <w:szCs w:val="20"/>
              </w:rPr>
              <w:t>Other comprehensive income for the year</w:t>
            </w:r>
          </w:p>
        </w:tc>
        <w:tc>
          <w:tcPr>
            <w:tcW w:w="960" w:type="dxa"/>
            <w:tcBorders>
              <w:top w:val="nil"/>
              <w:left w:val="nil"/>
              <w:bottom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113</w:t>
            </w:r>
          </w:p>
        </w:tc>
      </w:tr>
      <w:tr w:rsidR="0028027B" w:rsidRPr="00DC1EE4" w:rsidTr="00C03F9E">
        <w:trPr>
          <w:cantSplit/>
        </w:trPr>
        <w:tc>
          <w:tcPr>
            <w:tcW w:w="5850" w:type="dxa"/>
            <w:tcBorders>
              <w:top w:val="nil"/>
              <w:left w:val="nil"/>
              <w:bottom w:val="nil"/>
              <w:right w:val="nil"/>
            </w:tcBorders>
            <w:shd w:val="clear" w:color="auto" w:fill="auto"/>
            <w:vAlign w:val="bottom"/>
          </w:tcPr>
          <w:p w:rsidR="0028027B" w:rsidRPr="00DC1EE4" w:rsidRDefault="0028027B" w:rsidP="00C03F9E">
            <w:pPr>
              <w:pStyle w:val="Tabletext"/>
              <w:rPr>
                <w:szCs w:val="20"/>
              </w:rPr>
            </w:pPr>
            <w:r w:rsidRPr="00DC1EE4">
              <w:rPr>
                <w:szCs w:val="20"/>
              </w:rPr>
              <w:t>Transfer to accumulated surplus – on disposal of business</w:t>
            </w:r>
          </w:p>
        </w:tc>
        <w:tc>
          <w:tcPr>
            <w:tcW w:w="960" w:type="dxa"/>
            <w:tcBorders>
              <w:top w:val="nil"/>
              <w:left w:val="nil"/>
              <w:bottom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5850" w:type="dxa"/>
            <w:tcBorders>
              <w:top w:val="nil"/>
              <w:left w:val="nil"/>
              <w:bottom w:val="nil"/>
              <w:right w:val="nil"/>
            </w:tcBorders>
            <w:shd w:val="clear" w:color="auto" w:fill="auto"/>
            <w:vAlign w:val="bottom"/>
          </w:tcPr>
          <w:p w:rsidR="0028027B" w:rsidRPr="00DC1EE4" w:rsidRDefault="0028027B" w:rsidP="00C03F9E">
            <w:pPr>
              <w:pStyle w:val="Tabletext"/>
              <w:rPr>
                <w:szCs w:val="20"/>
              </w:rPr>
            </w:pPr>
            <w:r w:rsidRPr="00DC1EE4">
              <w:rPr>
                <w:szCs w:val="20"/>
              </w:rPr>
              <w:t>Transfer to accumulated surplus</w:t>
            </w:r>
          </w:p>
        </w:tc>
        <w:tc>
          <w:tcPr>
            <w:tcW w:w="960" w:type="dxa"/>
            <w:tcBorders>
              <w:top w:val="nil"/>
              <w:left w:val="nil"/>
              <w:bottom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(37)</w:t>
            </w:r>
          </w:p>
        </w:tc>
      </w:tr>
      <w:tr w:rsidR="0028027B" w:rsidRPr="00DC1EE4" w:rsidTr="00C03F9E">
        <w:trPr>
          <w:cantSplit/>
        </w:trPr>
        <w:tc>
          <w:tcPr>
            <w:tcW w:w="5850" w:type="dxa"/>
            <w:tcBorders>
              <w:top w:val="nil"/>
              <w:left w:val="nil"/>
              <w:bottom w:val="nil"/>
              <w:right w:val="nil"/>
            </w:tcBorders>
            <w:shd w:val="clear" w:color="auto" w:fill="auto"/>
            <w:vAlign w:val="bottom"/>
          </w:tcPr>
          <w:p w:rsidR="0028027B" w:rsidRPr="00DC1EE4" w:rsidRDefault="0028027B" w:rsidP="00C03F9E">
            <w:pPr>
              <w:pStyle w:val="Tabletext"/>
              <w:rPr>
                <w:szCs w:val="20"/>
              </w:rPr>
            </w:pPr>
            <w:r w:rsidRPr="00DC1EE4">
              <w:rPr>
                <w:szCs w:val="20"/>
              </w:rPr>
              <w:t>Transfer to contributed capital(i)</w:t>
            </w:r>
          </w:p>
        </w:tc>
        <w:tc>
          <w:tcPr>
            <w:tcW w:w="960" w:type="dxa"/>
            <w:tcBorders>
              <w:top w:val="nil"/>
              <w:left w:val="nil"/>
              <w:bottom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5850" w:type="dxa"/>
            <w:tcBorders>
              <w:top w:val="nil"/>
              <w:left w:val="nil"/>
              <w:bottom w:val="nil"/>
              <w:right w:val="nil"/>
            </w:tcBorders>
            <w:shd w:val="clear" w:color="auto" w:fill="auto"/>
            <w:vAlign w:val="bottom"/>
          </w:tcPr>
          <w:p w:rsidR="0028027B" w:rsidRPr="00DC1EE4" w:rsidRDefault="0028027B" w:rsidP="00C03F9E">
            <w:pPr>
              <w:pStyle w:val="Tabletext"/>
              <w:rPr>
                <w:szCs w:val="20"/>
              </w:rPr>
            </w:pPr>
            <w:r w:rsidRPr="00DC1EE4">
              <w:rPr>
                <w:szCs w:val="20"/>
              </w:rPr>
              <w:t>Capital appropriations</w:t>
            </w:r>
          </w:p>
        </w:tc>
        <w:tc>
          <w:tcPr>
            <w:tcW w:w="960" w:type="dxa"/>
            <w:tcBorders>
              <w:top w:val="nil"/>
              <w:left w:val="nil"/>
              <w:bottom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5850" w:type="dxa"/>
            <w:tcBorders>
              <w:top w:val="nil"/>
              <w:left w:val="nil"/>
              <w:right w:val="nil"/>
            </w:tcBorders>
            <w:shd w:val="clear" w:color="auto" w:fill="auto"/>
            <w:vAlign w:val="bottom"/>
          </w:tcPr>
          <w:p w:rsidR="0028027B" w:rsidRPr="00DC1EE4" w:rsidRDefault="0028027B" w:rsidP="00C03F9E">
            <w:pPr>
              <w:pStyle w:val="Tabletext"/>
              <w:rPr>
                <w:szCs w:val="20"/>
              </w:rPr>
            </w:pPr>
            <w:r w:rsidRPr="00DC1EE4">
              <w:rPr>
                <w:szCs w:val="20"/>
              </w:rPr>
              <w:t>Administrative restructure – net assets received</w:t>
            </w:r>
          </w:p>
        </w:tc>
        <w:tc>
          <w:tcPr>
            <w:tcW w:w="960" w:type="dxa"/>
            <w:tcBorders>
              <w:top w:val="nil"/>
              <w:left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5850" w:type="dxa"/>
            <w:tcBorders>
              <w:top w:val="nil"/>
              <w:left w:val="nil"/>
              <w:right w:val="nil"/>
            </w:tcBorders>
            <w:shd w:val="clear" w:color="auto" w:fill="auto"/>
            <w:vAlign w:val="bottom"/>
          </w:tcPr>
          <w:p w:rsidR="0028027B" w:rsidRPr="00DC1EE4" w:rsidRDefault="0028027B" w:rsidP="00C03F9E">
            <w:pPr>
              <w:pStyle w:val="Tabletext"/>
              <w:rPr>
                <w:szCs w:val="20"/>
              </w:rPr>
            </w:pPr>
            <w:r w:rsidRPr="00DC1EE4">
              <w:rPr>
                <w:szCs w:val="20"/>
              </w:rPr>
              <w:t>Administrative restructure – net assets transferred</w:t>
            </w:r>
          </w:p>
        </w:tc>
        <w:tc>
          <w:tcPr>
            <w:tcW w:w="960" w:type="dxa"/>
            <w:tcBorders>
              <w:top w:val="nil"/>
              <w:left w:val="nil"/>
              <w:right w:val="nil"/>
            </w:tcBorders>
            <w:shd w:val="clear" w:color="auto" w:fill="auto"/>
            <w:vAlign w:val="bottom"/>
          </w:tcPr>
          <w:p w:rsidR="0028027B" w:rsidRPr="00DC1EE4" w:rsidRDefault="0028027B" w:rsidP="00C03F9E">
            <w:pPr>
              <w:pStyle w:val="TableTextCentred"/>
              <w:rPr>
                <w:szCs w:val="20"/>
              </w:rPr>
            </w:pPr>
          </w:p>
        </w:tc>
        <w:tc>
          <w:tcPr>
            <w:tcW w:w="1650" w:type="dxa"/>
            <w:tcBorders>
              <w:top w:val="nil"/>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5850" w:type="dxa"/>
            <w:tcBorders>
              <w:top w:val="nil"/>
              <w:left w:val="nil"/>
              <w:bottom w:val="single" w:sz="12" w:space="0" w:color="auto"/>
              <w:right w:val="nil"/>
            </w:tcBorders>
            <w:shd w:val="clear" w:color="auto" w:fill="auto"/>
            <w:vAlign w:val="bottom"/>
          </w:tcPr>
          <w:p w:rsidR="0028027B" w:rsidRPr="00DC1EE4" w:rsidRDefault="0028027B" w:rsidP="00C03F9E">
            <w:pPr>
              <w:pStyle w:val="Tabletext"/>
              <w:rPr>
                <w:b/>
                <w:szCs w:val="20"/>
              </w:rPr>
            </w:pPr>
            <w:r w:rsidRPr="00DC1EE4">
              <w:rPr>
                <w:b/>
                <w:szCs w:val="20"/>
              </w:rPr>
              <w:t>Balance as at 30 June 2015</w:t>
            </w:r>
          </w:p>
        </w:tc>
        <w:tc>
          <w:tcPr>
            <w:tcW w:w="960" w:type="dxa"/>
            <w:tcBorders>
              <w:top w:val="nil"/>
              <w:left w:val="nil"/>
              <w:bottom w:val="single" w:sz="12" w:space="0" w:color="auto"/>
              <w:right w:val="nil"/>
            </w:tcBorders>
            <w:shd w:val="clear" w:color="auto" w:fill="auto"/>
            <w:vAlign w:val="bottom"/>
          </w:tcPr>
          <w:p w:rsidR="0028027B" w:rsidRPr="00DC1EE4" w:rsidRDefault="0028027B" w:rsidP="00C03F9E">
            <w:pPr>
              <w:pStyle w:val="TableTextCentred"/>
              <w:rPr>
                <w:b/>
                <w:szCs w:val="20"/>
              </w:rPr>
            </w:pPr>
          </w:p>
        </w:tc>
        <w:tc>
          <w:tcPr>
            <w:tcW w:w="1650" w:type="dxa"/>
            <w:tcBorders>
              <w:top w:val="nil"/>
              <w:left w:val="nil"/>
              <w:bottom w:val="single" w:sz="12" w:space="0" w:color="auto"/>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76</w:t>
            </w:r>
          </w:p>
        </w:tc>
      </w:tr>
    </w:tbl>
    <w:p w:rsidR="0028027B" w:rsidRPr="00DC1EE4" w:rsidRDefault="0028027B" w:rsidP="0028027B">
      <w:pPr>
        <w:ind w:left="-142"/>
        <w:sectPr w:rsidR="0028027B" w:rsidRPr="00DC1EE4" w:rsidSect="00190A01">
          <w:pgSz w:w="11906" w:h="16838" w:code="9"/>
          <w:pgMar w:top="1152" w:right="864" w:bottom="1152" w:left="864" w:header="432" w:footer="432" w:gutter="0"/>
          <w:cols w:num="2" w:space="360" w:equalWidth="0">
            <w:col w:w="1440" w:space="360"/>
            <w:col w:w="8378"/>
          </w:cols>
        </w:sectPr>
      </w:pPr>
    </w:p>
    <w:p w:rsidR="0028027B" w:rsidRPr="00DC1EE4" w:rsidRDefault="0028027B" w:rsidP="0028027B">
      <w:pPr>
        <w:ind w:left="-142"/>
      </w:pPr>
    </w:p>
    <w:p w:rsidR="0028027B" w:rsidRPr="00DC1EE4" w:rsidRDefault="0028027B" w:rsidP="0028027B">
      <w:pPr>
        <w:pStyle w:val="NotesBlue"/>
      </w:pPr>
      <w:r w:rsidRPr="00DC1EE4">
        <w:br w:type="column"/>
        <w:t>Note:</w:t>
      </w:r>
    </w:p>
    <w:p w:rsidR="0028027B" w:rsidRPr="00DC1EE4" w:rsidRDefault="0028027B" w:rsidP="0028027B">
      <w:pPr>
        <w:pStyle w:val="NotesBlue"/>
      </w:pPr>
      <w:r w:rsidRPr="00DC1EE4">
        <w:t>(i)</w:t>
      </w:r>
      <w:r w:rsidRPr="00DC1EE4">
        <w:tab/>
        <w:t>Entities are required to disclose a brief explanation for any major variances identified.</w:t>
      </w:r>
    </w:p>
    <w:p w:rsidR="0028027B" w:rsidRPr="00DC1EE4" w:rsidRDefault="0028027B" w:rsidP="0028027B">
      <w:pPr>
        <w:pStyle w:val="NotesBlue"/>
      </w:pPr>
    </w:p>
    <w:p w:rsidR="0028027B" w:rsidRPr="00DC1EE4" w:rsidRDefault="0028027B" w:rsidP="0028027B">
      <w:pPr>
        <w:sectPr w:rsidR="0028027B" w:rsidRPr="00DC1EE4" w:rsidSect="00190A01">
          <w:headerReference w:type="even" r:id="rId374"/>
          <w:headerReference w:type="default" r:id="rId375"/>
          <w:type w:val="continuous"/>
          <w:pgSz w:w="11906" w:h="16838" w:code="9"/>
          <w:pgMar w:top="1152" w:right="864" w:bottom="1152" w:left="864" w:header="432" w:footer="432" w:gutter="0"/>
          <w:cols w:num="2" w:space="360" w:equalWidth="0">
            <w:col w:w="1440" w:space="360"/>
            <w:col w:w="8378"/>
          </w:cols>
        </w:sectPr>
      </w:pPr>
    </w:p>
    <w:p w:rsidR="0028027B" w:rsidRPr="00DC1EE4" w:rsidRDefault="0028027B" w:rsidP="0028027B">
      <w:pPr>
        <w:pStyle w:val="Heading2"/>
      </w:pPr>
    </w:p>
    <w:p w:rsidR="0028027B" w:rsidRPr="00DC1EE4" w:rsidRDefault="0028027B" w:rsidP="0028027B">
      <w:pPr>
        <w:pStyle w:val="million"/>
        <w:spacing w:before="200"/>
      </w:pPr>
    </w:p>
    <w:tbl>
      <w:tblPr>
        <w:tblW w:w="7023" w:type="dxa"/>
        <w:tblInd w:w="108" w:type="dxa"/>
        <w:tblLayout w:type="fixed"/>
        <w:tblCellMar>
          <w:left w:w="43" w:type="dxa"/>
          <w:right w:w="43" w:type="dxa"/>
        </w:tblCellMar>
        <w:tblLook w:val="04A0" w:firstRow="1" w:lastRow="0" w:firstColumn="1" w:lastColumn="0" w:noHBand="0" w:noVBand="1"/>
      </w:tblPr>
      <w:tblGrid>
        <w:gridCol w:w="2095"/>
        <w:gridCol w:w="1620"/>
        <w:gridCol w:w="1645"/>
        <w:gridCol w:w="1663"/>
      </w:tblGrid>
      <w:tr w:rsidR="0028027B" w:rsidRPr="00DC1EE4" w:rsidTr="00C03F9E">
        <w:trPr>
          <w:cantSplit/>
        </w:trPr>
        <w:tc>
          <w:tcPr>
            <w:tcW w:w="2095"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heading"/>
              <w:rPr>
                <w:sz w:val="20"/>
                <w:szCs w:val="20"/>
              </w:rPr>
            </w:pPr>
            <w:r w:rsidRPr="00DC1EE4">
              <w:rPr>
                <w:sz w:val="20"/>
                <w:szCs w:val="20"/>
              </w:rPr>
              <w:t>Available</w:t>
            </w:r>
            <w:r w:rsidR="005A4BB0">
              <w:rPr>
                <w:sz w:val="20"/>
                <w:szCs w:val="20"/>
              </w:rPr>
              <w:noBreakHyphen/>
            </w:r>
            <w:r w:rsidRPr="00DC1EE4">
              <w:rPr>
                <w:sz w:val="20"/>
                <w:szCs w:val="20"/>
              </w:rPr>
              <w:t>for</w:t>
            </w:r>
            <w:r w:rsidR="005A4BB0">
              <w:rPr>
                <w:sz w:val="20"/>
                <w:szCs w:val="20"/>
              </w:rPr>
              <w:noBreakHyphen/>
            </w:r>
            <w:r w:rsidRPr="00DC1EE4">
              <w:rPr>
                <w:sz w:val="20"/>
                <w:szCs w:val="20"/>
              </w:rPr>
              <w:t xml:space="preserve">sale </w:t>
            </w:r>
            <w:r w:rsidRPr="00DC1EE4">
              <w:rPr>
                <w:sz w:val="20"/>
                <w:szCs w:val="20"/>
              </w:rPr>
              <w:br/>
              <w:t xml:space="preserve">financial asset </w:t>
            </w:r>
            <w:r w:rsidRPr="00DC1EE4">
              <w:rPr>
                <w:sz w:val="20"/>
                <w:szCs w:val="20"/>
              </w:rPr>
              <w:br/>
              <w:t>revaluation surplus</w:t>
            </w:r>
          </w:p>
        </w:tc>
        <w:tc>
          <w:tcPr>
            <w:tcW w:w="1620"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heading"/>
              <w:rPr>
                <w:sz w:val="20"/>
                <w:szCs w:val="20"/>
              </w:rPr>
            </w:pPr>
            <w:r w:rsidRPr="00DC1EE4">
              <w:rPr>
                <w:sz w:val="20"/>
                <w:szCs w:val="20"/>
              </w:rPr>
              <w:br/>
              <w:t>Accumulated surplus</w:t>
            </w:r>
          </w:p>
        </w:tc>
        <w:tc>
          <w:tcPr>
            <w:tcW w:w="1645"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heading"/>
              <w:rPr>
                <w:sz w:val="20"/>
                <w:szCs w:val="20"/>
              </w:rPr>
            </w:pPr>
            <w:r w:rsidRPr="00DC1EE4">
              <w:rPr>
                <w:sz w:val="20"/>
                <w:szCs w:val="20"/>
              </w:rPr>
              <w:br/>
              <w:t xml:space="preserve">Contributions </w:t>
            </w:r>
            <w:r w:rsidRPr="00DC1EE4">
              <w:rPr>
                <w:sz w:val="20"/>
                <w:szCs w:val="20"/>
              </w:rPr>
              <w:br/>
              <w:t>by owner</w:t>
            </w:r>
          </w:p>
        </w:tc>
        <w:tc>
          <w:tcPr>
            <w:tcW w:w="1663" w:type="dxa"/>
            <w:tcBorders>
              <w:top w:val="single" w:sz="4" w:space="0" w:color="auto"/>
              <w:left w:val="nil"/>
              <w:bottom w:val="single" w:sz="4" w:space="0" w:color="auto"/>
              <w:right w:val="nil"/>
            </w:tcBorders>
            <w:shd w:val="clear" w:color="auto" w:fill="BFBFBF" w:themeFill="background1" w:themeFillShade="BF"/>
            <w:hideMark/>
          </w:tcPr>
          <w:p w:rsidR="0028027B" w:rsidRPr="00DC1EE4" w:rsidRDefault="0028027B" w:rsidP="00C03F9E">
            <w:pPr>
              <w:pStyle w:val="Tabletextheading"/>
              <w:rPr>
                <w:sz w:val="20"/>
                <w:szCs w:val="20"/>
              </w:rPr>
            </w:pPr>
            <w:r w:rsidRPr="00DC1EE4">
              <w:rPr>
                <w:sz w:val="20"/>
                <w:szCs w:val="20"/>
              </w:rPr>
              <w:br/>
            </w:r>
            <w:r w:rsidRPr="00DC1EE4">
              <w:rPr>
                <w:sz w:val="20"/>
                <w:szCs w:val="20"/>
              </w:rPr>
              <w:br/>
              <w:t>Total</w:t>
            </w:r>
          </w:p>
        </w:tc>
      </w:tr>
      <w:tr w:rsidR="0028027B" w:rsidRPr="00DC1EE4" w:rsidTr="00C03F9E">
        <w:trPr>
          <w:cantSplit/>
        </w:trPr>
        <w:tc>
          <w:tcPr>
            <w:tcW w:w="2095" w:type="dxa"/>
            <w:tcBorders>
              <w:top w:val="single" w:sz="4" w:space="0" w:color="auto"/>
              <w:left w:val="nil"/>
              <w:bottom w:val="single" w:sz="4" w:space="0" w:color="auto"/>
              <w:right w:val="nil"/>
            </w:tcBorders>
            <w:shd w:val="clear" w:color="auto" w:fill="auto"/>
            <w:noWrap/>
          </w:tcPr>
          <w:p w:rsidR="0028027B" w:rsidRPr="00DC1EE4" w:rsidRDefault="0028027B" w:rsidP="00C03F9E">
            <w:pPr>
              <w:pStyle w:val="TableofFigures"/>
              <w:rPr>
                <w:b/>
                <w:sz w:val="20"/>
                <w:szCs w:val="20"/>
              </w:rPr>
            </w:pPr>
          </w:p>
        </w:tc>
        <w:tc>
          <w:tcPr>
            <w:tcW w:w="1620" w:type="dxa"/>
            <w:tcBorders>
              <w:top w:val="single" w:sz="4" w:space="0" w:color="auto"/>
              <w:left w:val="nil"/>
              <w:bottom w:val="single" w:sz="4" w:space="0" w:color="auto"/>
              <w:right w:val="nil"/>
            </w:tcBorders>
            <w:shd w:val="clear" w:color="auto" w:fill="auto"/>
            <w:noWrap/>
          </w:tcPr>
          <w:p w:rsidR="0028027B" w:rsidRPr="00DC1EE4" w:rsidRDefault="0028027B" w:rsidP="00C03F9E">
            <w:pPr>
              <w:pStyle w:val="TableofFigures"/>
              <w:rPr>
                <w:b/>
                <w:sz w:val="20"/>
                <w:szCs w:val="20"/>
              </w:rPr>
            </w:pPr>
          </w:p>
        </w:tc>
        <w:tc>
          <w:tcPr>
            <w:tcW w:w="1645" w:type="dxa"/>
            <w:tcBorders>
              <w:top w:val="single" w:sz="4" w:space="0" w:color="auto"/>
              <w:left w:val="nil"/>
              <w:bottom w:val="single" w:sz="4" w:space="0" w:color="auto"/>
              <w:right w:val="nil"/>
            </w:tcBorders>
            <w:shd w:val="clear" w:color="auto" w:fill="auto"/>
            <w:noWrap/>
          </w:tcPr>
          <w:p w:rsidR="0028027B" w:rsidRPr="00DC1EE4" w:rsidRDefault="0028027B" w:rsidP="00C03F9E">
            <w:pPr>
              <w:pStyle w:val="TableofFigures"/>
              <w:rPr>
                <w:b/>
                <w:sz w:val="20"/>
                <w:szCs w:val="20"/>
              </w:rPr>
            </w:pPr>
          </w:p>
        </w:tc>
        <w:tc>
          <w:tcPr>
            <w:tcW w:w="1663" w:type="dxa"/>
            <w:tcBorders>
              <w:top w:val="single" w:sz="4" w:space="0" w:color="auto"/>
              <w:left w:val="nil"/>
              <w:bottom w:val="single" w:sz="4" w:space="0" w:color="auto"/>
              <w:right w:val="nil"/>
            </w:tcBorders>
            <w:shd w:val="clear" w:color="auto" w:fill="BFBFBF" w:themeFill="background1" w:themeFillShade="BF"/>
            <w:noWrap/>
          </w:tcPr>
          <w:p w:rsidR="0028027B" w:rsidRPr="00DC1EE4" w:rsidRDefault="0028027B" w:rsidP="00C03F9E">
            <w:pPr>
              <w:pStyle w:val="TableofFigures"/>
              <w:rPr>
                <w:b/>
                <w:sz w:val="20"/>
                <w:szCs w:val="20"/>
              </w:rPr>
            </w:pPr>
          </w:p>
        </w:tc>
      </w:tr>
      <w:tr w:rsidR="0028027B" w:rsidRPr="00DC1EE4" w:rsidTr="00C03F9E">
        <w:trPr>
          <w:cantSplit/>
        </w:trPr>
        <w:tc>
          <w:tcPr>
            <w:tcW w:w="2095" w:type="dxa"/>
            <w:tcBorders>
              <w:top w:val="single" w:sz="4" w:space="0" w:color="auto"/>
              <w:left w:val="nil"/>
              <w:bottom w:val="nil"/>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1 723</w:t>
            </w:r>
          </w:p>
        </w:tc>
        <w:tc>
          <w:tcPr>
            <w:tcW w:w="1620" w:type="dxa"/>
            <w:tcBorders>
              <w:top w:val="single" w:sz="4" w:space="0" w:color="auto"/>
              <w:left w:val="nil"/>
              <w:bottom w:val="nil"/>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71 133</w:t>
            </w:r>
          </w:p>
        </w:tc>
        <w:tc>
          <w:tcPr>
            <w:tcW w:w="1645" w:type="dxa"/>
            <w:tcBorders>
              <w:top w:val="single" w:sz="4" w:space="0" w:color="auto"/>
              <w:left w:val="nil"/>
              <w:bottom w:val="nil"/>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38 345</w:t>
            </w:r>
          </w:p>
        </w:tc>
        <w:tc>
          <w:tcPr>
            <w:tcW w:w="1663" w:type="dxa"/>
            <w:tcBorders>
              <w:top w:val="single" w:sz="4" w:space="0" w:color="auto"/>
              <w:left w:val="nil"/>
              <w:bottom w:val="nil"/>
              <w:right w:val="nil"/>
            </w:tcBorders>
            <w:shd w:val="clear" w:color="auto" w:fill="BFBFBF" w:themeFill="background1" w:themeFillShade="BF"/>
            <w:noWrap/>
          </w:tcPr>
          <w:p w:rsidR="0028027B" w:rsidRPr="00DC1EE4" w:rsidRDefault="0028027B" w:rsidP="00C03F9E">
            <w:pPr>
              <w:pStyle w:val="TableofFigures"/>
              <w:rPr>
                <w:b/>
                <w:sz w:val="20"/>
                <w:szCs w:val="20"/>
              </w:rPr>
            </w:pPr>
            <w:r w:rsidRPr="00DC1EE4">
              <w:rPr>
                <w:b/>
                <w:sz w:val="20"/>
                <w:szCs w:val="20"/>
              </w:rPr>
              <w:t>114 960</w:t>
            </w:r>
          </w:p>
        </w:tc>
      </w:tr>
      <w:tr w:rsidR="0028027B" w:rsidRPr="00DC1EE4" w:rsidTr="00C03F9E">
        <w:trPr>
          <w:cantSplit/>
        </w:trPr>
        <w:tc>
          <w:tcPr>
            <w:tcW w:w="2095" w:type="dxa"/>
            <w:tcBorders>
              <w:top w:val="nil"/>
              <w:left w:val="nil"/>
              <w:bottom w:val="nil"/>
              <w:right w:val="nil"/>
            </w:tcBorders>
            <w:shd w:val="clear" w:color="auto" w:fill="auto"/>
            <w:noWrap/>
            <w:hideMark/>
          </w:tcPr>
          <w:p w:rsidR="0028027B" w:rsidRPr="00DC1EE4" w:rsidRDefault="0028027B" w:rsidP="00C03F9E">
            <w:pPr>
              <w:pStyle w:val="TableofFigures"/>
              <w:rPr>
                <w:b/>
                <w:sz w:val="20"/>
                <w:szCs w:val="20"/>
              </w:rPr>
            </w:pPr>
            <w:r w:rsidRPr="00DC1EE4">
              <w:rPr>
                <w:b/>
                <w:sz w:val="20"/>
                <w:szCs w:val="20"/>
              </w:rPr>
              <w:t>..</w:t>
            </w:r>
          </w:p>
        </w:tc>
        <w:tc>
          <w:tcPr>
            <w:tcW w:w="1620" w:type="dxa"/>
            <w:tcBorders>
              <w:top w:val="nil"/>
              <w:left w:val="nil"/>
              <w:bottom w:val="nil"/>
              <w:right w:val="nil"/>
            </w:tcBorders>
            <w:shd w:val="clear" w:color="auto" w:fill="auto"/>
            <w:noWrap/>
            <w:hideMark/>
          </w:tcPr>
          <w:p w:rsidR="0028027B" w:rsidRPr="00DC1EE4" w:rsidRDefault="0028027B" w:rsidP="00C03F9E">
            <w:pPr>
              <w:pStyle w:val="TableofFigures"/>
              <w:rPr>
                <w:b/>
                <w:sz w:val="20"/>
                <w:szCs w:val="20"/>
              </w:rPr>
            </w:pPr>
            <w:r w:rsidRPr="00DC1EE4">
              <w:rPr>
                <w:b/>
                <w:sz w:val="20"/>
                <w:szCs w:val="20"/>
              </w:rPr>
              <w:t>14 790</w:t>
            </w:r>
          </w:p>
        </w:tc>
        <w:tc>
          <w:tcPr>
            <w:tcW w:w="1645" w:type="dxa"/>
            <w:tcBorders>
              <w:top w:val="nil"/>
              <w:left w:val="nil"/>
              <w:bottom w:val="nil"/>
              <w:right w:val="nil"/>
            </w:tcBorders>
            <w:shd w:val="clear" w:color="auto" w:fill="auto"/>
            <w:noWrap/>
            <w:hideMark/>
          </w:tcPr>
          <w:p w:rsidR="0028027B" w:rsidRPr="00DC1EE4" w:rsidRDefault="0028027B" w:rsidP="00C03F9E">
            <w:pPr>
              <w:pStyle w:val="TableofFigures"/>
              <w:rPr>
                <w:b/>
                <w:sz w:val="20"/>
                <w:szCs w:val="20"/>
              </w:rPr>
            </w:pPr>
            <w:r w:rsidRPr="00DC1EE4">
              <w:rPr>
                <w:b/>
                <w:sz w:val="20"/>
                <w:szCs w:val="20"/>
              </w:rPr>
              <w:t>..</w:t>
            </w:r>
          </w:p>
        </w:tc>
        <w:tc>
          <w:tcPr>
            <w:tcW w:w="166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b/>
                <w:sz w:val="20"/>
                <w:szCs w:val="20"/>
              </w:rPr>
            </w:pPr>
            <w:r w:rsidRPr="00DC1EE4">
              <w:rPr>
                <w:b/>
                <w:sz w:val="20"/>
                <w:szCs w:val="20"/>
              </w:rPr>
              <w:t>14 790</w:t>
            </w:r>
          </w:p>
        </w:tc>
      </w:tr>
      <w:tr w:rsidR="0028027B" w:rsidRPr="00DC1EE4" w:rsidTr="00C03F9E">
        <w:trPr>
          <w:cantSplit/>
        </w:trPr>
        <w:tc>
          <w:tcPr>
            <w:tcW w:w="2095" w:type="dxa"/>
            <w:tcBorders>
              <w:top w:val="nil"/>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(1 200)</w:t>
            </w:r>
          </w:p>
        </w:tc>
        <w:tc>
          <w:tcPr>
            <w:tcW w:w="1620" w:type="dxa"/>
            <w:tcBorders>
              <w:top w:val="nil"/>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c>
          <w:tcPr>
            <w:tcW w:w="1645" w:type="dxa"/>
            <w:tcBorders>
              <w:top w:val="nil"/>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c>
          <w:tcPr>
            <w:tcW w:w="1663" w:type="dxa"/>
            <w:tcBorders>
              <w:top w:val="nil"/>
              <w:left w:val="nil"/>
              <w:right w:val="nil"/>
            </w:tcBorders>
            <w:shd w:val="clear" w:color="auto" w:fill="BFBFBF" w:themeFill="background1" w:themeFillShade="BF"/>
            <w:noWrap/>
            <w:hideMark/>
          </w:tcPr>
          <w:p w:rsidR="0028027B" w:rsidRPr="00DC1EE4" w:rsidRDefault="0028027B" w:rsidP="00C03F9E">
            <w:pPr>
              <w:pStyle w:val="TableofFigures"/>
              <w:rPr>
                <w:sz w:val="20"/>
                <w:szCs w:val="20"/>
              </w:rPr>
            </w:pPr>
            <w:r w:rsidRPr="00DC1EE4">
              <w:rPr>
                <w:sz w:val="20"/>
                <w:szCs w:val="20"/>
              </w:rPr>
              <w:t>6 300</w:t>
            </w:r>
          </w:p>
        </w:tc>
      </w:tr>
      <w:tr w:rsidR="0028027B" w:rsidRPr="00DC1EE4" w:rsidTr="00C03F9E">
        <w:trPr>
          <w:cantSplit/>
        </w:trPr>
        <w:tc>
          <w:tcPr>
            <w:tcW w:w="2095" w:type="dxa"/>
            <w:tcBorders>
              <w:top w:val="nil"/>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(323)</w:t>
            </w:r>
          </w:p>
        </w:tc>
        <w:tc>
          <w:tcPr>
            <w:tcW w:w="1620" w:type="dxa"/>
            <w:tcBorders>
              <w:top w:val="nil"/>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3 719</w:t>
            </w:r>
          </w:p>
        </w:tc>
        <w:tc>
          <w:tcPr>
            <w:tcW w:w="1645" w:type="dxa"/>
            <w:tcBorders>
              <w:top w:val="nil"/>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c>
          <w:tcPr>
            <w:tcW w:w="166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2095" w:type="dxa"/>
            <w:tcBorders>
              <w:top w:val="nil"/>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c>
          <w:tcPr>
            <w:tcW w:w="1620" w:type="dxa"/>
            <w:tcBorders>
              <w:top w:val="nil"/>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 xml:space="preserve"> 637</w:t>
            </w:r>
          </w:p>
        </w:tc>
        <w:tc>
          <w:tcPr>
            <w:tcW w:w="1645" w:type="dxa"/>
            <w:tcBorders>
              <w:top w:val="nil"/>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c>
          <w:tcPr>
            <w:tcW w:w="1663" w:type="dxa"/>
            <w:tcBorders>
              <w:top w:val="nil"/>
              <w:left w:val="nil"/>
              <w:right w:val="nil"/>
            </w:tcBorders>
            <w:shd w:val="clear" w:color="auto" w:fill="BFBFBF" w:themeFill="background1" w:themeFillShade="BF"/>
            <w:noWrap/>
            <w:hideMark/>
          </w:tcPr>
          <w:p w:rsidR="0028027B" w:rsidRPr="00DC1EE4" w:rsidRDefault="0028027B" w:rsidP="00C03F9E">
            <w:pPr>
              <w:pStyle w:val="TableofFigures"/>
              <w:rPr>
                <w:sz w:val="20"/>
                <w:szCs w:val="20"/>
              </w:rPr>
            </w:pPr>
            <w:r w:rsidRPr="00DC1EE4">
              <w:rPr>
                <w:sz w:val="20"/>
                <w:szCs w:val="20"/>
              </w:rPr>
              <w:t>37</w:t>
            </w:r>
          </w:p>
        </w:tc>
      </w:tr>
      <w:tr w:rsidR="0028027B" w:rsidRPr="00DC1EE4" w:rsidTr="00C03F9E">
        <w:trPr>
          <w:cantSplit/>
        </w:trPr>
        <w:tc>
          <w:tcPr>
            <w:tcW w:w="2095" w:type="dxa"/>
            <w:tcBorders>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(13 847)</w:t>
            </w:r>
          </w:p>
        </w:tc>
        <w:tc>
          <w:tcPr>
            <w:tcW w:w="1645" w:type="dxa"/>
            <w:tcBorders>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13 847</w:t>
            </w:r>
          </w:p>
        </w:tc>
        <w:tc>
          <w:tcPr>
            <w:tcW w:w="1663" w:type="dxa"/>
            <w:tcBorders>
              <w:left w:val="nil"/>
              <w:right w:val="nil"/>
            </w:tcBorders>
            <w:shd w:val="clear" w:color="auto" w:fill="BFBFBF" w:themeFill="background1" w:themeFillShade="BF"/>
            <w:noWrap/>
            <w:hideMark/>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2095" w:type="dxa"/>
            <w:tcBorders>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c>
          <w:tcPr>
            <w:tcW w:w="1645" w:type="dxa"/>
            <w:tcBorders>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5 750</w:t>
            </w:r>
          </w:p>
        </w:tc>
        <w:tc>
          <w:tcPr>
            <w:tcW w:w="1663" w:type="dxa"/>
            <w:tcBorders>
              <w:left w:val="nil"/>
              <w:right w:val="nil"/>
            </w:tcBorders>
            <w:shd w:val="clear" w:color="auto" w:fill="BFBFBF" w:themeFill="background1" w:themeFillShade="BF"/>
            <w:noWrap/>
            <w:hideMark/>
          </w:tcPr>
          <w:p w:rsidR="0028027B" w:rsidRPr="00DC1EE4" w:rsidRDefault="0028027B" w:rsidP="00C03F9E">
            <w:pPr>
              <w:pStyle w:val="TableofFigures"/>
              <w:rPr>
                <w:sz w:val="20"/>
                <w:szCs w:val="20"/>
              </w:rPr>
            </w:pPr>
            <w:r w:rsidRPr="00DC1EE4">
              <w:rPr>
                <w:sz w:val="20"/>
                <w:szCs w:val="20"/>
              </w:rPr>
              <w:t>5 750</w:t>
            </w:r>
          </w:p>
        </w:tc>
      </w:tr>
      <w:tr w:rsidR="0028027B" w:rsidRPr="00DC1EE4" w:rsidTr="00C03F9E">
        <w:trPr>
          <w:cantSplit/>
        </w:trPr>
        <w:tc>
          <w:tcPr>
            <w:tcW w:w="2095"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2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19 616</w:t>
            </w:r>
          </w:p>
        </w:tc>
        <w:tc>
          <w:tcPr>
            <w:tcW w:w="1663" w:type="dxa"/>
            <w:tcBorders>
              <w:top w:val="nil"/>
              <w:left w:val="nil"/>
              <w:bottom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19 616</w:t>
            </w:r>
          </w:p>
        </w:tc>
      </w:tr>
      <w:tr w:rsidR="0028027B" w:rsidRPr="00DC1EE4" w:rsidTr="00C03F9E">
        <w:trPr>
          <w:cantSplit/>
        </w:trPr>
        <w:tc>
          <w:tcPr>
            <w:tcW w:w="2095" w:type="dxa"/>
            <w:tcBorders>
              <w:top w:val="nil"/>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 ..</w:t>
            </w:r>
          </w:p>
        </w:tc>
        <w:tc>
          <w:tcPr>
            <w:tcW w:w="1620" w:type="dxa"/>
            <w:tcBorders>
              <w:top w:val="nil"/>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 </w:t>
            </w:r>
          </w:p>
        </w:tc>
        <w:tc>
          <w:tcPr>
            <w:tcW w:w="1645" w:type="dxa"/>
            <w:tcBorders>
              <w:top w:val="nil"/>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(20 097)</w:t>
            </w:r>
          </w:p>
        </w:tc>
        <w:tc>
          <w:tcPr>
            <w:tcW w:w="1663" w:type="dxa"/>
            <w:tcBorders>
              <w:top w:val="nil"/>
              <w:left w:val="nil"/>
              <w:bottom w:val="nil"/>
              <w:right w:val="nil"/>
            </w:tcBorders>
            <w:shd w:val="clear" w:color="auto" w:fill="BFBFBF" w:themeFill="background1" w:themeFillShade="BF"/>
            <w:noWrap/>
            <w:hideMark/>
          </w:tcPr>
          <w:p w:rsidR="0028027B" w:rsidRPr="00DC1EE4" w:rsidRDefault="0028027B" w:rsidP="00C03F9E">
            <w:pPr>
              <w:pStyle w:val="TableofFigures"/>
              <w:rPr>
                <w:sz w:val="20"/>
                <w:szCs w:val="20"/>
              </w:rPr>
            </w:pPr>
            <w:r w:rsidRPr="00DC1EE4">
              <w:rPr>
                <w:sz w:val="20"/>
                <w:szCs w:val="20"/>
              </w:rPr>
              <w:t>(20 097)</w:t>
            </w:r>
          </w:p>
        </w:tc>
      </w:tr>
      <w:tr w:rsidR="0028027B" w:rsidRPr="00DC1EE4" w:rsidTr="00C03F9E">
        <w:trPr>
          <w:cantSplit/>
        </w:trPr>
        <w:tc>
          <w:tcPr>
            <w:tcW w:w="2095" w:type="dxa"/>
            <w:tcBorders>
              <w:top w:val="nil"/>
              <w:left w:val="nil"/>
              <w:bottom w:val="single" w:sz="4" w:space="0" w:color="auto"/>
              <w:right w:val="nil"/>
            </w:tcBorders>
            <w:shd w:val="clear" w:color="auto" w:fill="auto"/>
            <w:noWrap/>
            <w:hideMark/>
          </w:tcPr>
          <w:p w:rsidR="0028027B" w:rsidRPr="00DC1EE4" w:rsidRDefault="0028027B" w:rsidP="00C03F9E">
            <w:pPr>
              <w:pStyle w:val="TableofFigures"/>
              <w:rPr>
                <w:b/>
                <w:sz w:val="20"/>
                <w:szCs w:val="20"/>
              </w:rPr>
            </w:pPr>
            <w:r w:rsidRPr="00DC1EE4">
              <w:rPr>
                <w:b/>
                <w:sz w:val="20"/>
                <w:szCs w:val="20"/>
              </w:rPr>
              <w:t xml:space="preserve"> 200</w:t>
            </w:r>
          </w:p>
        </w:tc>
        <w:tc>
          <w:tcPr>
            <w:tcW w:w="1620" w:type="dxa"/>
            <w:tcBorders>
              <w:top w:val="nil"/>
              <w:left w:val="nil"/>
              <w:bottom w:val="single" w:sz="4" w:space="0" w:color="auto"/>
              <w:right w:val="nil"/>
            </w:tcBorders>
            <w:shd w:val="clear" w:color="auto" w:fill="auto"/>
            <w:noWrap/>
            <w:hideMark/>
          </w:tcPr>
          <w:p w:rsidR="0028027B" w:rsidRPr="00DC1EE4" w:rsidRDefault="0028027B" w:rsidP="00C03F9E">
            <w:pPr>
              <w:pStyle w:val="TableofFigures"/>
              <w:rPr>
                <w:b/>
                <w:sz w:val="20"/>
                <w:szCs w:val="20"/>
              </w:rPr>
            </w:pPr>
            <w:r w:rsidRPr="00DC1EE4">
              <w:rPr>
                <w:b/>
                <w:sz w:val="20"/>
                <w:szCs w:val="20"/>
              </w:rPr>
              <w:t>76 432</w:t>
            </w:r>
          </w:p>
        </w:tc>
        <w:tc>
          <w:tcPr>
            <w:tcW w:w="1645" w:type="dxa"/>
            <w:tcBorders>
              <w:top w:val="nil"/>
              <w:left w:val="nil"/>
              <w:bottom w:val="single" w:sz="4" w:space="0" w:color="auto"/>
              <w:right w:val="nil"/>
            </w:tcBorders>
            <w:shd w:val="clear" w:color="auto" w:fill="auto"/>
            <w:noWrap/>
            <w:hideMark/>
          </w:tcPr>
          <w:p w:rsidR="0028027B" w:rsidRPr="00DC1EE4" w:rsidRDefault="0028027B" w:rsidP="00C03F9E">
            <w:pPr>
              <w:pStyle w:val="TableofFigures"/>
              <w:rPr>
                <w:b/>
                <w:sz w:val="20"/>
                <w:szCs w:val="20"/>
              </w:rPr>
            </w:pPr>
            <w:r w:rsidRPr="00DC1EE4">
              <w:rPr>
                <w:b/>
                <w:sz w:val="20"/>
                <w:szCs w:val="20"/>
              </w:rPr>
              <w:t>57 461</w:t>
            </w:r>
          </w:p>
        </w:tc>
        <w:tc>
          <w:tcPr>
            <w:tcW w:w="1663" w:type="dxa"/>
            <w:tcBorders>
              <w:top w:val="nil"/>
              <w:left w:val="nil"/>
              <w:bottom w:val="single" w:sz="4" w:space="0" w:color="auto"/>
              <w:right w:val="nil"/>
            </w:tcBorders>
            <w:shd w:val="clear" w:color="auto" w:fill="BFBFBF" w:themeFill="background1" w:themeFillShade="BF"/>
            <w:noWrap/>
            <w:hideMark/>
          </w:tcPr>
          <w:p w:rsidR="0028027B" w:rsidRPr="00DC1EE4" w:rsidRDefault="0028027B" w:rsidP="00C03F9E">
            <w:pPr>
              <w:pStyle w:val="TableofFigures"/>
              <w:rPr>
                <w:b/>
                <w:sz w:val="20"/>
                <w:szCs w:val="20"/>
              </w:rPr>
            </w:pPr>
            <w:r w:rsidRPr="00DC1EE4">
              <w:rPr>
                <w:b/>
                <w:sz w:val="20"/>
                <w:szCs w:val="20"/>
              </w:rPr>
              <w:t>141 356</w:t>
            </w:r>
          </w:p>
        </w:tc>
      </w:tr>
      <w:tr w:rsidR="0028027B" w:rsidRPr="00DC1EE4" w:rsidTr="00C03F9E">
        <w:trPr>
          <w:cantSplit/>
        </w:trPr>
        <w:tc>
          <w:tcPr>
            <w:tcW w:w="2095" w:type="dxa"/>
            <w:tcBorders>
              <w:top w:val="single" w:sz="4" w:space="0" w:color="auto"/>
              <w:left w:val="nil"/>
              <w:right w:val="nil"/>
            </w:tcBorders>
            <w:shd w:val="clear" w:color="auto" w:fill="auto"/>
            <w:noWrap/>
          </w:tcPr>
          <w:p w:rsidR="0028027B" w:rsidRPr="00DC1EE4" w:rsidRDefault="0028027B" w:rsidP="00C03F9E">
            <w:pPr>
              <w:pStyle w:val="TableofFigures"/>
              <w:rPr>
                <w:b/>
                <w:sz w:val="20"/>
                <w:szCs w:val="20"/>
              </w:rPr>
            </w:pPr>
          </w:p>
        </w:tc>
        <w:tc>
          <w:tcPr>
            <w:tcW w:w="1620" w:type="dxa"/>
            <w:tcBorders>
              <w:top w:val="single" w:sz="4" w:space="0" w:color="auto"/>
              <w:left w:val="nil"/>
              <w:right w:val="nil"/>
            </w:tcBorders>
            <w:shd w:val="clear" w:color="auto" w:fill="auto"/>
            <w:noWrap/>
          </w:tcPr>
          <w:p w:rsidR="0028027B" w:rsidRPr="00DC1EE4" w:rsidRDefault="0028027B" w:rsidP="00C03F9E">
            <w:pPr>
              <w:pStyle w:val="TableofFigures"/>
              <w:rPr>
                <w:b/>
                <w:sz w:val="20"/>
                <w:szCs w:val="20"/>
              </w:rPr>
            </w:pPr>
          </w:p>
        </w:tc>
        <w:tc>
          <w:tcPr>
            <w:tcW w:w="1645" w:type="dxa"/>
            <w:tcBorders>
              <w:top w:val="single" w:sz="4" w:space="0" w:color="auto"/>
              <w:left w:val="nil"/>
              <w:right w:val="nil"/>
            </w:tcBorders>
            <w:shd w:val="clear" w:color="auto" w:fill="auto"/>
            <w:noWrap/>
          </w:tcPr>
          <w:p w:rsidR="0028027B" w:rsidRPr="00DC1EE4" w:rsidRDefault="0028027B" w:rsidP="00C03F9E">
            <w:pPr>
              <w:pStyle w:val="TableofFigures"/>
              <w:rPr>
                <w:b/>
                <w:sz w:val="20"/>
                <w:szCs w:val="20"/>
              </w:rPr>
            </w:pPr>
          </w:p>
        </w:tc>
        <w:tc>
          <w:tcPr>
            <w:tcW w:w="1663" w:type="dxa"/>
            <w:tcBorders>
              <w:top w:val="single" w:sz="4" w:space="0" w:color="auto"/>
              <w:left w:val="nil"/>
              <w:right w:val="nil"/>
            </w:tcBorders>
            <w:shd w:val="clear" w:color="auto" w:fill="BFBFBF" w:themeFill="background1" w:themeFillShade="BF"/>
            <w:noWrap/>
          </w:tcPr>
          <w:p w:rsidR="0028027B" w:rsidRPr="00DC1EE4" w:rsidRDefault="0028027B" w:rsidP="00C03F9E">
            <w:pPr>
              <w:pStyle w:val="TableofFigures"/>
              <w:rPr>
                <w:b/>
                <w:sz w:val="20"/>
                <w:szCs w:val="20"/>
              </w:rPr>
            </w:pPr>
          </w:p>
        </w:tc>
      </w:tr>
      <w:tr w:rsidR="0028027B" w:rsidRPr="00DC1EE4" w:rsidTr="00C03F9E">
        <w:trPr>
          <w:cantSplit/>
        </w:trPr>
        <w:tc>
          <w:tcPr>
            <w:tcW w:w="2095" w:type="dxa"/>
            <w:tcBorders>
              <w:top w:val="single" w:sz="4" w:space="0" w:color="auto"/>
              <w:left w:val="nil"/>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1 723</w:t>
            </w:r>
          </w:p>
        </w:tc>
        <w:tc>
          <w:tcPr>
            <w:tcW w:w="1620" w:type="dxa"/>
            <w:tcBorders>
              <w:top w:val="single" w:sz="4" w:space="0" w:color="auto"/>
              <w:left w:val="nil"/>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71 133</w:t>
            </w:r>
          </w:p>
        </w:tc>
        <w:tc>
          <w:tcPr>
            <w:tcW w:w="1645" w:type="dxa"/>
            <w:tcBorders>
              <w:top w:val="single" w:sz="4" w:space="0" w:color="auto"/>
              <w:left w:val="nil"/>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38 345</w:t>
            </w:r>
          </w:p>
        </w:tc>
        <w:tc>
          <w:tcPr>
            <w:tcW w:w="1663" w:type="dxa"/>
            <w:tcBorders>
              <w:top w:val="single" w:sz="4" w:space="0" w:color="auto"/>
              <w:left w:val="nil"/>
              <w:right w:val="nil"/>
            </w:tcBorders>
            <w:shd w:val="clear" w:color="auto" w:fill="BFBFBF" w:themeFill="background1" w:themeFillShade="BF"/>
            <w:noWrap/>
          </w:tcPr>
          <w:p w:rsidR="0028027B" w:rsidRPr="00DC1EE4" w:rsidRDefault="0028027B" w:rsidP="00C03F9E">
            <w:pPr>
              <w:pStyle w:val="TableofFigures"/>
              <w:rPr>
                <w:b/>
                <w:sz w:val="20"/>
                <w:szCs w:val="20"/>
              </w:rPr>
            </w:pPr>
            <w:r w:rsidRPr="00DC1EE4">
              <w:rPr>
                <w:b/>
                <w:sz w:val="20"/>
                <w:szCs w:val="20"/>
              </w:rPr>
              <w:t>114 960</w:t>
            </w:r>
          </w:p>
        </w:tc>
      </w:tr>
      <w:tr w:rsidR="0028027B" w:rsidRPr="00DC1EE4" w:rsidTr="00C03F9E">
        <w:trPr>
          <w:cantSplit/>
        </w:trPr>
        <w:tc>
          <w:tcPr>
            <w:tcW w:w="2095" w:type="dxa"/>
            <w:tcBorders>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c>
          <w:tcPr>
            <w:tcW w:w="1620" w:type="dxa"/>
            <w:tcBorders>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14 790</w:t>
            </w:r>
          </w:p>
        </w:tc>
        <w:tc>
          <w:tcPr>
            <w:tcW w:w="1645" w:type="dxa"/>
            <w:tcBorders>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63" w:type="dxa"/>
            <w:tcBorders>
              <w:left w:val="nil"/>
              <w:bottom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14 790</w:t>
            </w:r>
          </w:p>
        </w:tc>
      </w:tr>
      <w:tr w:rsidR="0028027B" w:rsidRPr="00DC1EE4" w:rsidTr="00C03F9E">
        <w:trPr>
          <w:cantSplit/>
        </w:trPr>
        <w:tc>
          <w:tcPr>
            <w:tcW w:w="2095" w:type="dxa"/>
            <w:tcBorders>
              <w:top w:val="nil"/>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(1 000)</w:t>
            </w:r>
          </w:p>
        </w:tc>
        <w:tc>
          <w:tcPr>
            <w:tcW w:w="162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63" w:type="dxa"/>
            <w:tcBorders>
              <w:top w:val="nil"/>
              <w:left w:val="nil"/>
              <w:bottom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6 613</w:t>
            </w:r>
          </w:p>
        </w:tc>
      </w:tr>
      <w:tr w:rsidR="0028027B" w:rsidRPr="00DC1EE4" w:rsidTr="00C03F9E">
        <w:trPr>
          <w:cantSplit/>
        </w:trPr>
        <w:tc>
          <w:tcPr>
            <w:tcW w:w="2095" w:type="dxa"/>
            <w:tcBorders>
              <w:top w:val="nil"/>
              <w:left w:val="nil"/>
              <w:bottom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(323)</w:t>
            </w:r>
          </w:p>
        </w:tc>
        <w:tc>
          <w:tcPr>
            <w:tcW w:w="1620"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3 719</w:t>
            </w:r>
          </w:p>
        </w:tc>
        <w:tc>
          <w:tcPr>
            <w:tcW w:w="1645" w:type="dxa"/>
            <w:tcBorders>
              <w:top w:val="nil"/>
              <w:left w:val="nil"/>
              <w:bottom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63" w:type="dxa"/>
            <w:tcBorders>
              <w:top w:val="nil"/>
              <w:left w:val="nil"/>
              <w:bottom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2095" w:type="dxa"/>
            <w:tcBorders>
              <w:top w:val="nil"/>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c>
          <w:tcPr>
            <w:tcW w:w="1620" w:type="dxa"/>
            <w:tcBorders>
              <w:top w:val="nil"/>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 xml:space="preserve"> 637</w:t>
            </w:r>
          </w:p>
        </w:tc>
        <w:tc>
          <w:tcPr>
            <w:tcW w:w="1645" w:type="dxa"/>
            <w:tcBorders>
              <w:top w:val="nil"/>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63" w:type="dxa"/>
            <w:tcBorders>
              <w:top w:val="nil"/>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2095" w:type="dxa"/>
            <w:tcBorders>
              <w:left w:val="nil"/>
              <w:right w:val="nil"/>
            </w:tcBorders>
            <w:shd w:val="clear" w:color="auto" w:fill="auto"/>
            <w:noWrap/>
            <w:hideMark/>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(13 847)</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13 847</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209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8 000</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8 000</w:t>
            </w:r>
          </w:p>
        </w:tc>
      </w:tr>
      <w:tr w:rsidR="0028027B" w:rsidRPr="00DC1EE4" w:rsidTr="00C03F9E">
        <w:trPr>
          <w:cantSplit/>
        </w:trPr>
        <w:tc>
          <w:tcPr>
            <w:tcW w:w="209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20 100</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20 100</w:t>
            </w:r>
          </w:p>
        </w:tc>
      </w:tr>
      <w:tr w:rsidR="0028027B" w:rsidRPr="00DC1EE4" w:rsidTr="00C03F9E">
        <w:trPr>
          <w:cantSplit/>
        </w:trPr>
        <w:tc>
          <w:tcPr>
            <w:tcW w:w="209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 ..</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 </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(20 097)</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 (20 097)</w:t>
            </w:r>
          </w:p>
        </w:tc>
      </w:tr>
      <w:tr w:rsidR="0028027B" w:rsidRPr="00DC1EE4" w:rsidTr="00C03F9E">
        <w:trPr>
          <w:cantSplit/>
        </w:trPr>
        <w:tc>
          <w:tcPr>
            <w:tcW w:w="2095" w:type="dxa"/>
            <w:tcBorders>
              <w:left w:val="nil"/>
              <w:bottom w:val="single" w:sz="4" w:space="0" w:color="auto"/>
              <w:right w:val="nil"/>
            </w:tcBorders>
            <w:shd w:val="clear" w:color="auto" w:fill="auto"/>
            <w:noWrap/>
          </w:tcPr>
          <w:p w:rsidR="0028027B" w:rsidRPr="00DC1EE4" w:rsidRDefault="0028027B" w:rsidP="00C03F9E">
            <w:pPr>
              <w:pStyle w:val="TableofFigures"/>
              <w:rPr>
                <w:sz w:val="20"/>
                <w:szCs w:val="20"/>
              </w:rPr>
            </w:pPr>
            <w:r w:rsidRPr="00DC1EE4">
              <w:rPr>
                <w:sz w:val="20"/>
                <w:szCs w:val="20"/>
              </w:rPr>
              <w:t xml:space="preserve"> 400</w:t>
            </w:r>
          </w:p>
        </w:tc>
        <w:tc>
          <w:tcPr>
            <w:tcW w:w="1620" w:type="dxa"/>
            <w:tcBorders>
              <w:left w:val="nil"/>
              <w:bottom w:val="single" w:sz="4" w:space="0" w:color="auto"/>
              <w:right w:val="nil"/>
            </w:tcBorders>
            <w:shd w:val="clear" w:color="auto" w:fill="auto"/>
            <w:noWrap/>
          </w:tcPr>
          <w:p w:rsidR="0028027B" w:rsidRPr="00DC1EE4" w:rsidRDefault="0028027B" w:rsidP="00C03F9E">
            <w:pPr>
              <w:pStyle w:val="TableofFigures"/>
              <w:rPr>
                <w:sz w:val="20"/>
                <w:szCs w:val="20"/>
              </w:rPr>
            </w:pPr>
            <w:r w:rsidRPr="00DC1EE4">
              <w:rPr>
                <w:sz w:val="20"/>
                <w:szCs w:val="20"/>
              </w:rPr>
              <w:t>76 432</w:t>
            </w:r>
          </w:p>
        </w:tc>
        <w:tc>
          <w:tcPr>
            <w:tcW w:w="1645" w:type="dxa"/>
            <w:tcBorders>
              <w:left w:val="nil"/>
              <w:bottom w:val="single" w:sz="4" w:space="0" w:color="auto"/>
              <w:right w:val="nil"/>
            </w:tcBorders>
            <w:shd w:val="clear" w:color="auto" w:fill="auto"/>
            <w:noWrap/>
          </w:tcPr>
          <w:p w:rsidR="0028027B" w:rsidRPr="00DC1EE4" w:rsidRDefault="0028027B" w:rsidP="00C03F9E">
            <w:pPr>
              <w:pStyle w:val="TableofFigures"/>
              <w:rPr>
                <w:sz w:val="20"/>
                <w:szCs w:val="20"/>
              </w:rPr>
            </w:pPr>
            <w:r w:rsidRPr="00DC1EE4">
              <w:rPr>
                <w:sz w:val="20"/>
                <w:szCs w:val="20"/>
              </w:rPr>
              <w:t>60 195</w:t>
            </w:r>
          </w:p>
        </w:tc>
        <w:tc>
          <w:tcPr>
            <w:tcW w:w="1663" w:type="dxa"/>
            <w:tcBorders>
              <w:left w:val="nil"/>
              <w:bottom w:val="single" w:sz="4" w:space="0" w:color="auto"/>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144 366</w:t>
            </w:r>
          </w:p>
        </w:tc>
      </w:tr>
      <w:tr w:rsidR="0028027B" w:rsidRPr="00DC1EE4" w:rsidTr="00C03F9E">
        <w:trPr>
          <w:cantSplit/>
        </w:trPr>
        <w:tc>
          <w:tcPr>
            <w:tcW w:w="2095" w:type="dxa"/>
            <w:tcBorders>
              <w:top w:val="single" w:sz="4" w:space="0" w:color="auto"/>
              <w:left w:val="nil"/>
              <w:right w:val="nil"/>
            </w:tcBorders>
            <w:shd w:val="clear" w:color="auto" w:fill="auto"/>
            <w:noWrap/>
          </w:tcPr>
          <w:p w:rsidR="0028027B" w:rsidRPr="00DC1EE4" w:rsidRDefault="0028027B" w:rsidP="00C03F9E">
            <w:pPr>
              <w:pStyle w:val="TableofFigures"/>
              <w:rPr>
                <w:sz w:val="20"/>
                <w:szCs w:val="20"/>
              </w:rPr>
            </w:pPr>
          </w:p>
        </w:tc>
        <w:tc>
          <w:tcPr>
            <w:tcW w:w="1620" w:type="dxa"/>
            <w:tcBorders>
              <w:top w:val="single" w:sz="4" w:space="0" w:color="auto"/>
              <w:left w:val="nil"/>
              <w:right w:val="nil"/>
            </w:tcBorders>
            <w:shd w:val="clear" w:color="auto" w:fill="auto"/>
            <w:noWrap/>
          </w:tcPr>
          <w:p w:rsidR="0028027B" w:rsidRPr="00DC1EE4" w:rsidRDefault="0028027B" w:rsidP="00C03F9E">
            <w:pPr>
              <w:pStyle w:val="TableofFigures"/>
              <w:rPr>
                <w:sz w:val="20"/>
                <w:szCs w:val="20"/>
              </w:rPr>
            </w:pPr>
          </w:p>
        </w:tc>
        <w:tc>
          <w:tcPr>
            <w:tcW w:w="1645" w:type="dxa"/>
            <w:tcBorders>
              <w:top w:val="single" w:sz="4" w:space="0" w:color="auto"/>
              <w:left w:val="nil"/>
              <w:right w:val="nil"/>
            </w:tcBorders>
            <w:shd w:val="clear" w:color="auto" w:fill="auto"/>
            <w:noWrap/>
          </w:tcPr>
          <w:p w:rsidR="0028027B" w:rsidRPr="00DC1EE4" w:rsidRDefault="0028027B" w:rsidP="00C03F9E">
            <w:pPr>
              <w:pStyle w:val="TableofFigures"/>
              <w:rPr>
                <w:sz w:val="20"/>
                <w:szCs w:val="20"/>
              </w:rPr>
            </w:pPr>
          </w:p>
        </w:tc>
        <w:tc>
          <w:tcPr>
            <w:tcW w:w="1663" w:type="dxa"/>
            <w:tcBorders>
              <w:top w:val="single" w:sz="4" w:space="0" w:color="auto"/>
              <w:left w:val="nil"/>
              <w:right w:val="nil"/>
            </w:tcBorders>
            <w:shd w:val="clear" w:color="auto" w:fill="BFBFBF" w:themeFill="background1" w:themeFillShade="BF"/>
            <w:noWrap/>
          </w:tcPr>
          <w:p w:rsidR="0028027B" w:rsidRPr="00DC1EE4" w:rsidRDefault="0028027B" w:rsidP="00C03F9E">
            <w:pPr>
              <w:pStyle w:val="TableofFigures"/>
              <w:rPr>
                <w:sz w:val="20"/>
                <w:szCs w:val="20"/>
              </w:rPr>
            </w:pPr>
          </w:p>
        </w:tc>
      </w:tr>
      <w:tr w:rsidR="0028027B" w:rsidRPr="00DC1EE4" w:rsidTr="00C03F9E">
        <w:trPr>
          <w:cantSplit/>
        </w:trPr>
        <w:tc>
          <w:tcPr>
            <w:tcW w:w="2095" w:type="dxa"/>
            <w:tcBorders>
              <w:top w:val="single" w:sz="4" w:space="0" w:color="auto"/>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20" w:type="dxa"/>
            <w:tcBorders>
              <w:top w:val="single" w:sz="4" w:space="0" w:color="auto"/>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top w:val="single" w:sz="4" w:space="0" w:color="auto"/>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63" w:type="dxa"/>
            <w:tcBorders>
              <w:top w:val="single" w:sz="4" w:space="0" w:color="auto"/>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209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209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200</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313</w:t>
            </w:r>
          </w:p>
        </w:tc>
      </w:tr>
      <w:tr w:rsidR="0028027B" w:rsidRPr="00DC1EE4" w:rsidTr="00C03F9E">
        <w:trPr>
          <w:cantSplit/>
        </w:trPr>
        <w:tc>
          <w:tcPr>
            <w:tcW w:w="209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209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(37)</w:t>
            </w:r>
          </w:p>
        </w:tc>
      </w:tr>
      <w:tr w:rsidR="0028027B" w:rsidRPr="00DC1EE4" w:rsidTr="00C03F9E">
        <w:trPr>
          <w:cantSplit/>
        </w:trPr>
        <w:tc>
          <w:tcPr>
            <w:tcW w:w="209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209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2 250</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2 250</w:t>
            </w:r>
          </w:p>
        </w:tc>
      </w:tr>
      <w:tr w:rsidR="0028027B" w:rsidRPr="00DC1EE4" w:rsidTr="00C03F9E">
        <w:trPr>
          <w:cantSplit/>
        </w:trPr>
        <w:tc>
          <w:tcPr>
            <w:tcW w:w="209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484</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484</w:t>
            </w:r>
          </w:p>
        </w:tc>
      </w:tr>
      <w:tr w:rsidR="0028027B" w:rsidRPr="00DC1EE4" w:rsidTr="00C03F9E">
        <w:trPr>
          <w:cantSplit/>
        </w:trPr>
        <w:tc>
          <w:tcPr>
            <w:tcW w:w="209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20"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45" w:type="dxa"/>
            <w:tcBorders>
              <w:left w:val="nil"/>
              <w:right w:val="nil"/>
            </w:tcBorders>
            <w:shd w:val="clear" w:color="auto" w:fill="auto"/>
            <w:noWrap/>
          </w:tcPr>
          <w:p w:rsidR="0028027B" w:rsidRPr="00DC1EE4" w:rsidRDefault="0028027B" w:rsidP="00C03F9E">
            <w:pPr>
              <w:pStyle w:val="TableofFigures"/>
              <w:rPr>
                <w:sz w:val="20"/>
                <w:szCs w:val="20"/>
              </w:rPr>
            </w:pPr>
            <w:r w:rsidRPr="00DC1EE4">
              <w:rPr>
                <w:sz w:val="20"/>
                <w:szCs w:val="20"/>
              </w:rPr>
              <w:t>..</w:t>
            </w:r>
          </w:p>
        </w:tc>
        <w:tc>
          <w:tcPr>
            <w:tcW w:w="1663" w:type="dxa"/>
            <w:tcBorders>
              <w:left w:val="nil"/>
              <w:right w:val="nil"/>
            </w:tcBorders>
            <w:shd w:val="clear" w:color="auto" w:fill="BFBFBF" w:themeFill="background1" w:themeFillShade="BF"/>
            <w:noWrap/>
          </w:tcPr>
          <w:p w:rsidR="0028027B" w:rsidRPr="00DC1EE4" w:rsidRDefault="0028027B" w:rsidP="00C03F9E">
            <w:pPr>
              <w:pStyle w:val="TableofFigures"/>
              <w:rPr>
                <w:sz w:val="20"/>
                <w:szCs w:val="20"/>
              </w:rPr>
            </w:pPr>
            <w:r w:rsidRPr="00DC1EE4">
              <w:rPr>
                <w:sz w:val="20"/>
                <w:szCs w:val="20"/>
              </w:rPr>
              <w:t>..</w:t>
            </w:r>
          </w:p>
        </w:tc>
      </w:tr>
      <w:tr w:rsidR="0028027B" w:rsidRPr="00DC1EE4" w:rsidTr="00C03F9E">
        <w:trPr>
          <w:cantSplit/>
        </w:trPr>
        <w:tc>
          <w:tcPr>
            <w:tcW w:w="2095" w:type="dxa"/>
            <w:tcBorders>
              <w:left w:val="nil"/>
              <w:bottom w:val="single" w:sz="4" w:space="0" w:color="auto"/>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200</w:t>
            </w:r>
          </w:p>
        </w:tc>
        <w:tc>
          <w:tcPr>
            <w:tcW w:w="1620" w:type="dxa"/>
            <w:tcBorders>
              <w:left w:val="nil"/>
              <w:bottom w:val="single" w:sz="4" w:space="0" w:color="auto"/>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w:t>
            </w:r>
          </w:p>
        </w:tc>
        <w:tc>
          <w:tcPr>
            <w:tcW w:w="1645" w:type="dxa"/>
            <w:tcBorders>
              <w:left w:val="nil"/>
              <w:bottom w:val="single" w:sz="4" w:space="0" w:color="auto"/>
              <w:right w:val="nil"/>
            </w:tcBorders>
            <w:shd w:val="clear" w:color="auto" w:fill="auto"/>
            <w:noWrap/>
          </w:tcPr>
          <w:p w:rsidR="0028027B" w:rsidRPr="00DC1EE4" w:rsidRDefault="0028027B" w:rsidP="00C03F9E">
            <w:pPr>
              <w:pStyle w:val="TableofFigures"/>
              <w:rPr>
                <w:b/>
                <w:sz w:val="20"/>
                <w:szCs w:val="20"/>
              </w:rPr>
            </w:pPr>
            <w:r w:rsidRPr="00DC1EE4">
              <w:rPr>
                <w:b/>
                <w:sz w:val="20"/>
                <w:szCs w:val="20"/>
              </w:rPr>
              <w:t>2 734</w:t>
            </w:r>
          </w:p>
        </w:tc>
        <w:tc>
          <w:tcPr>
            <w:tcW w:w="1663" w:type="dxa"/>
            <w:tcBorders>
              <w:left w:val="nil"/>
              <w:bottom w:val="single" w:sz="4" w:space="0" w:color="auto"/>
              <w:right w:val="nil"/>
            </w:tcBorders>
            <w:shd w:val="clear" w:color="auto" w:fill="BFBFBF" w:themeFill="background1" w:themeFillShade="BF"/>
            <w:noWrap/>
          </w:tcPr>
          <w:p w:rsidR="0028027B" w:rsidRPr="00DC1EE4" w:rsidRDefault="0028027B" w:rsidP="00C03F9E">
            <w:pPr>
              <w:pStyle w:val="TableofFigures"/>
              <w:rPr>
                <w:b/>
                <w:sz w:val="20"/>
                <w:szCs w:val="20"/>
              </w:rPr>
            </w:pPr>
            <w:r w:rsidRPr="00DC1EE4">
              <w:rPr>
                <w:b/>
                <w:sz w:val="20"/>
                <w:szCs w:val="20"/>
              </w:rPr>
              <w:t>3 010</w:t>
            </w:r>
          </w:p>
        </w:tc>
      </w:tr>
    </w:tbl>
    <w:p w:rsidR="0028027B" w:rsidRPr="00DC1EE4" w:rsidRDefault="0028027B" w:rsidP="0028027B">
      <w:pPr>
        <w:ind w:left="-142"/>
      </w:pPr>
    </w:p>
    <w:p w:rsidR="0028027B" w:rsidRPr="00DC1EE4" w:rsidRDefault="0028027B" w:rsidP="0028027B">
      <w:pPr>
        <w:ind w:left="-142"/>
      </w:pPr>
    </w:p>
    <w:p w:rsidR="0028027B" w:rsidRPr="00DC1EE4" w:rsidRDefault="0028027B" w:rsidP="0028027B">
      <w:pPr>
        <w:ind w:left="-142"/>
      </w:pPr>
    </w:p>
    <w:p w:rsidR="0028027B" w:rsidRPr="00DC1EE4" w:rsidRDefault="0028027B" w:rsidP="0028027B">
      <w:pPr>
        <w:ind w:left="-142"/>
        <w:sectPr w:rsidR="0028027B" w:rsidRPr="00DC1EE4" w:rsidSect="00C03F9E">
          <w:headerReference w:type="default" r:id="rId376"/>
          <w:pgSz w:w="11906" w:h="16838" w:code="9"/>
          <w:pgMar w:top="1152" w:right="864" w:bottom="1152" w:left="864" w:header="432" w:footer="432" w:gutter="0"/>
          <w:cols w:space="360"/>
        </w:sectPr>
      </w:pPr>
    </w:p>
    <w:p w:rsidR="0028027B" w:rsidRPr="00DC1EE4" w:rsidRDefault="0028027B" w:rsidP="0028027B">
      <w:pPr>
        <w:pStyle w:val="Reference"/>
      </w:pPr>
    </w:p>
    <w:p w:rsidR="0028027B" w:rsidRPr="00DC1EE4" w:rsidRDefault="0028027B" w:rsidP="0028027B">
      <w:pPr>
        <w:pStyle w:val="Reference"/>
        <w:spacing w:before="180"/>
      </w:pPr>
      <w:r w:rsidRPr="00DC1EE4">
        <w:br/>
      </w:r>
    </w:p>
    <w:p w:rsidR="0028027B" w:rsidRPr="00DC1EE4" w:rsidRDefault="0028027B" w:rsidP="0028027B">
      <w:pPr>
        <w:pStyle w:val="Reference"/>
      </w:pPr>
      <w:r w:rsidRPr="00DC1EE4">
        <w:t>AASB 1055.7</w:t>
      </w:r>
    </w:p>
    <w:p w:rsidR="0028027B" w:rsidRPr="00DC1EE4" w:rsidRDefault="0028027B" w:rsidP="0028027B">
      <w:pPr>
        <w:pStyle w:val="SmallLine"/>
      </w:pPr>
    </w:p>
    <w:p w:rsidR="0028027B" w:rsidRPr="00DC1EE4" w:rsidRDefault="0028027B" w:rsidP="0028027B">
      <w:pPr>
        <w:pStyle w:val="Heading2"/>
        <w:spacing w:before="0"/>
      </w:pPr>
      <w:r w:rsidRPr="00DC1EE4">
        <w:br w:type="column"/>
        <w:t>Administered items</w:t>
      </w:r>
    </w:p>
    <w:p w:rsidR="0028027B" w:rsidRPr="00DC1EE4" w:rsidRDefault="0028027B" w:rsidP="0028027B">
      <w:pPr>
        <w:pStyle w:val="million"/>
        <w:spacing w:before="0"/>
      </w:pPr>
      <w:r w:rsidRPr="00DC1EE4">
        <w:t>($ thousand)</w:t>
      </w:r>
    </w:p>
    <w:tbl>
      <w:tblPr>
        <w:tblW w:w="8532" w:type="dxa"/>
        <w:tblInd w:w="43" w:type="dxa"/>
        <w:tblLayout w:type="fixed"/>
        <w:tblCellMar>
          <w:left w:w="43" w:type="dxa"/>
          <w:right w:w="43" w:type="dxa"/>
        </w:tblCellMar>
        <w:tblLook w:val="04A0" w:firstRow="1" w:lastRow="0" w:firstColumn="1" w:lastColumn="0" w:noHBand="0" w:noVBand="1"/>
      </w:tblPr>
      <w:tblGrid>
        <w:gridCol w:w="5128"/>
        <w:gridCol w:w="702"/>
        <w:gridCol w:w="7"/>
        <w:gridCol w:w="1136"/>
        <w:gridCol w:w="693"/>
        <w:gridCol w:w="16"/>
        <w:gridCol w:w="850"/>
      </w:tblGrid>
      <w:tr w:rsidR="0028027B" w:rsidRPr="00DC1EE4" w:rsidTr="00C03F9E">
        <w:tc>
          <w:tcPr>
            <w:tcW w:w="5128" w:type="dxa"/>
            <w:tcBorders>
              <w:top w:val="single" w:sz="4" w:space="0" w:color="auto"/>
              <w:left w:val="nil"/>
              <w:bottom w:val="single" w:sz="4" w:space="0" w:color="auto"/>
              <w:right w:val="nil"/>
            </w:tcBorders>
            <w:shd w:val="clear" w:color="auto" w:fill="auto"/>
            <w:vAlign w:val="bottom"/>
            <w:hideMark/>
          </w:tcPr>
          <w:p w:rsidR="0028027B" w:rsidRPr="00DC1EE4" w:rsidRDefault="0028027B" w:rsidP="00C03F9E">
            <w:pPr>
              <w:pStyle w:val="TabletextheadingCentred"/>
              <w:ind w:left="-1035" w:firstLine="1035"/>
              <w:jc w:val="left"/>
            </w:pPr>
            <w:r w:rsidRPr="00DC1EE4">
              <w:t>FOR ILLUSTRATIVE PURPOSES ONLY</w:t>
            </w:r>
          </w:p>
        </w:tc>
        <w:tc>
          <w:tcPr>
            <w:tcW w:w="702" w:type="dxa"/>
            <w:tcBorders>
              <w:top w:val="single" w:sz="4" w:space="0" w:color="auto"/>
              <w:left w:val="nil"/>
              <w:bottom w:val="single" w:sz="4" w:space="0" w:color="auto"/>
              <w:right w:val="nil"/>
            </w:tcBorders>
          </w:tcPr>
          <w:p w:rsidR="0028027B" w:rsidRPr="00DC1EE4" w:rsidRDefault="0028027B" w:rsidP="00C03F9E">
            <w:pPr>
              <w:pStyle w:val="TabletextheadingCentred"/>
            </w:pPr>
            <w:r w:rsidRPr="00DC1EE4">
              <w:br/>
              <w:t xml:space="preserve">Notes </w:t>
            </w:r>
            <w:r w:rsidRPr="00DC1EE4">
              <w:rPr>
                <w:vertAlign w:val="superscript"/>
              </w:rPr>
              <w:t>(i)</w:t>
            </w:r>
          </w:p>
        </w:tc>
        <w:tc>
          <w:tcPr>
            <w:tcW w:w="1143" w:type="dxa"/>
            <w:gridSpan w:val="2"/>
            <w:tcBorders>
              <w:top w:val="single" w:sz="4" w:space="0" w:color="auto"/>
              <w:left w:val="nil"/>
              <w:bottom w:val="single" w:sz="4" w:space="0" w:color="auto"/>
              <w:right w:val="nil"/>
            </w:tcBorders>
            <w:shd w:val="clear" w:color="000000" w:fill="CCCCCC"/>
            <w:noWrap/>
            <w:hideMark/>
          </w:tcPr>
          <w:p w:rsidR="0028027B" w:rsidRPr="00DC1EE4" w:rsidRDefault="0028027B" w:rsidP="00C03F9E">
            <w:pPr>
              <w:pStyle w:val="Tabletextheading"/>
            </w:pPr>
            <w:r w:rsidRPr="00DC1EE4">
              <w:t>Original budget 2015</w:t>
            </w:r>
          </w:p>
        </w:tc>
        <w:tc>
          <w:tcPr>
            <w:tcW w:w="693"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textheading"/>
            </w:pPr>
            <w:r w:rsidRPr="00DC1EE4">
              <w:t xml:space="preserve">Actual </w:t>
            </w:r>
            <w:r w:rsidRPr="00DC1EE4">
              <w:br/>
              <w:t>2015</w:t>
            </w:r>
          </w:p>
        </w:tc>
        <w:tc>
          <w:tcPr>
            <w:tcW w:w="866" w:type="dxa"/>
            <w:gridSpan w:val="2"/>
            <w:tcBorders>
              <w:top w:val="single" w:sz="4" w:space="0" w:color="auto"/>
              <w:left w:val="nil"/>
              <w:bottom w:val="single" w:sz="4" w:space="0" w:color="auto"/>
              <w:right w:val="nil"/>
            </w:tcBorders>
          </w:tcPr>
          <w:p w:rsidR="0028027B" w:rsidRPr="00DC1EE4" w:rsidRDefault="0028027B" w:rsidP="00C03F9E">
            <w:pPr>
              <w:pStyle w:val="Tabletextheading"/>
            </w:pPr>
            <w:r w:rsidRPr="00DC1EE4">
              <w:br/>
              <w:t>Variance</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rPr>
                <w:b/>
              </w:rPr>
            </w:pPr>
            <w:r w:rsidRPr="00DC1EE4">
              <w:rPr>
                <w:b/>
              </w:rPr>
              <w:t>Administered income from transactions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rPr>
                <w:b/>
              </w:rPr>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rPr>
                <w:b/>
              </w:rPr>
            </w:pPr>
            <w:r w:rsidRPr="00DC1EE4">
              <w:rPr>
                <w:b/>
              </w:rPr>
              <w:t xml:space="preserve"> </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rPr>
                <w:b/>
              </w:rPr>
            </w:pPr>
            <w:r w:rsidRPr="00DC1EE4">
              <w:rPr>
                <w:b/>
              </w:rPr>
              <w:t xml:space="preserve"> </w:t>
            </w:r>
          </w:p>
        </w:tc>
        <w:tc>
          <w:tcPr>
            <w:tcW w:w="850" w:type="dxa"/>
            <w:tcBorders>
              <w:top w:val="nil"/>
              <w:left w:val="nil"/>
              <w:bottom w:val="nil"/>
              <w:right w:val="nil"/>
            </w:tcBorders>
          </w:tcPr>
          <w:p w:rsidR="0028027B" w:rsidRPr="00DC1EE4" w:rsidRDefault="0028027B" w:rsidP="00C03F9E">
            <w:pPr>
              <w:pStyle w:val="TableofFigures"/>
              <w:spacing w:before="10" w:after="10"/>
              <w:rPr>
                <w:b/>
              </w:rPr>
            </w:pP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Appropriations – payments made on behalf of the State</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6 786</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6 245</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(541)</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Sales of goods and services [include fees]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5 887</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5 634</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(253)</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Grants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 xml:space="preserve"> 871</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1 790</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919</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Taxation income</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Fines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Refunds and other miscellaneous income</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w:t>
            </w:r>
          </w:p>
        </w:tc>
      </w:tr>
      <w:tr w:rsidR="0028027B" w:rsidRPr="00DC1EE4" w:rsidTr="00C03F9E">
        <w:tc>
          <w:tcPr>
            <w:tcW w:w="5128"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
              <w:spacing w:before="10" w:after="10"/>
              <w:rPr>
                <w:b/>
              </w:rPr>
            </w:pPr>
            <w:r w:rsidRPr="00DC1EE4">
              <w:rPr>
                <w:b/>
              </w:rPr>
              <w:t>Total administered income from transactions</w:t>
            </w:r>
          </w:p>
        </w:tc>
        <w:tc>
          <w:tcPr>
            <w:tcW w:w="709" w:type="dxa"/>
            <w:gridSpan w:val="2"/>
            <w:tcBorders>
              <w:top w:val="single" w:sz="4" w:space="0" w:color="auto"/>
              <w:left w:val="nil"/>
              <w:bottom w:val="single" w:sz="4" w:space="0" w:color="auto"/>
              <w:right w:val="nil"/>
            </w:tcBorders>
          </w:tcPr>
          <w:p w:rsidR="0028027B" w:rsidRPr="00DC1EE4" w:rsidRDefault="0028027B" w:rsidP="00C03F9E">
            <w:pPr>
              <w:pStyle w:val="TableTextCentred"/>
              <w:spacing w:before="10" w:after="10"/>
              <w:rPr>
                <w:b/>
              </w:rPr>
            </w:pPr>
          </w:p>
        </w:tc>
        <w:tc>
          <w:tcPr>
            <w:tcW w:w="1136" w:type="dxa"/>
            <w:tcBorders>
              <w:top w:val="single" w:sz="4" w:space="0" w:color="auto"/>
              <w:left w:val="nil"/>
              <w:bottom w:val="single" w:sz="4" w:space="0" w:color="auto"/>
              <w:right w:val="nil"/>
            </w:tcBorders>
            <w:shd w:val="clear" w:color="auto" w:fill="BFBFBF"/>
            <w:noWrap/>
            <w:hideMark/>
          </w:tcPr>
          <w:p w:rsidR="0028027B" w:rsidRPr="00DC1EE4" w:rsidRDefault="0028027B" w:rsidP="00C03F9E">
            <w:pPr>
              <w:pStyle w:val="TableofFigures"/>
              <w:spacing w:before="10" w:after="10"/>
              <w:rPr>
                <w:b/>
              </w:rPr>
            </w:pPr>
            <w:r w:rsidRPr="00DC1EE4">
              <w:rPr>
                <w:b/>
              </w:rPr>
              <w:t>13 544</w:t>
            </w:r>
          </w:p>
        </w:tc>
        <w:tc>
          <w:tcPr>
            <w:tcW w:w="709" w:type="dxa"/>
            <w:gridSpan w:val="2"/>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ofFigures"/>
              <w:spacing w:before="10" w:after="10"/>
              <w:rPr>
                <w:b/>
              </w:rPr>
            </w:pPr>
            <w:r w:rsidRPr="00DC1EE4">
              <w:rPr>
                <w:b/>
              </w:rPr>
              <w:t>13 669</w:t>
            </w:r>
          </w:p>
        </w:tc>
        <w:tc>
          <w:tcPr>
            <w:tcW w:w="850" w:type="dxa"/>
            <w:tcBorders>
              <w:top w:val="single" w:sz="4" w:space="0" w:color="auto"/>
              <w:left w:val="nil"/>
              <w:bottom w:val="single" w:sz="4" w:space="0" w:color="auto"/>
              <w:right w:val="nil"/>
            </w:tcBorders>
          </w:tcPr>
          <w:p w:rsidR="0028027B" w:rsidRPr="00DC1EE4" w:rsidRDefault="0028027B" w:rsidP="00C03F9E">
            <w:pPr>
              <w:pStyle w:val="TableofFigures"/>
              <w:spacing w:before="10" w:after="10"/>
              <w:rPr>
                <w:b/>
              </w:rPr>
            </w:pPr>
            <w:r w:rsidRPr="00DC1EE4">
              <w:rPr>
                <w:b/>
              </w:rPr>
              <w:t>125</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Administered expenses from transactions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 xml:space="preserve"> </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 xml:space="preserve"> </w:t>
            </w:r>
          </w:p>
        </w:tc>
        <w:tc>
          <w:tcPr>
            <w:tcW w:w="850" w:type="dxa"/>
            <w:tcBorders>
              <w:top w:val="nil"/>
              <w:left w:val="nil"/>
              <w:bottom w:val="nil"/>
              <w:right w:val="nil"/>
            </w:tcBorders>
          </w:tcPr>
          <w:p w:rsidR="0028027B" w:rsidRPr="00DC1EE4" w:rsidRDefault="0028027B" w:rsidP="00C03F9E">
            <w:pPr>
              <w:pStyle w:val="TableofFigures"/>
              <w:spacing w:before="10" w:after="10"/>
            </w:pP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Payments made on behalf of the State</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(6 786)</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(6 245)</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541</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Payments into the consolidated fund</w:t>
            </w:r>
          </w:p>
        </w:tc>
        <w:tc>
          <w:tcPr>
            <w:tcW w:w="709" w:type="dxa"/>
            <w:gridSpan w:val="2"/>
            <w:tcBorders>
              <w:top w:val="nil"/>
              <w:left w:val="nil"/>
              <w:bottom w:val="single" w:sz="4" w:space="0" w:color="auto"/>
              <w:right w:val="nil"/>
            </w:tcBorders>
          </w:tcPr>
          <w:p w:rsidR="0028027B" w:rsidRPr="00DC1EE4" w:rsidRDefault="0028027B" w:rsidP="00C03F9E">
            <w:pPr>
              <w:pStyle w:val="TableTextCentred"/>
              <w:spacing w:before="10" w:after="10"/>
            </w:pPr>
          </w:p>
        </w:tc>
        <w:tc>
          <w:tcPr>
            <w:tcW w:w="1136" w:type="dxa"/>
            <w:tcBorders>
              <w:top w:val="nil"/>
              <w:left w:val="nil"/>
              <w:bottom w:val="single" w:sz="4" w:space="0" w:color="auto"/>
              <w:right w:val="nil"/>
            </w:tcBorders>
            <w:shd w:val="clear" w:color="auto" w:fill="BFBFBF"/>
            <w:noWrap/>
            <w:hideMark/>
          </w:tcPr>
          <w:p w:rsidR="0028027B" w:rsidRPr="00DC1EE4" w:rsidRDefault="0028027B" w:rsidP="00C03F9E">
            <w:pPr>
              <w:pStyle w:val="TableofFigures"/>
              <w:spacing w:before="10" w:after="10"/>
            </w:pPr>
            <w:r w:rsidRPr="00DC1EE4">
              <w:t>(6 758)</w:t>
            </w:r>
          </w:p>
        </w:tc>
        <w:tc>
          <w:tcPr>
            <w:tcW w:w="709" w:type="dxa"/>
            <w:gridSpan w:val="2"/>
            <w:tcBorders>
              <w:top w:val="nil"/>
              <w:left w:val="nil"/>
              <w:bottom w:val="single" w:sz="4" w:space="0" w:color="auto"/>
              <w:right w:val="nil"/>
            </w:tcBorders>
            <w:shd w:val="clear" w:color="auto" w:fill="auto"/>
            <w:noWrap/>
            <w:hideMark/>
          </w:tcPr>
          <w:p w:rsidR="0028027B" w:rsidRPr="00DC1EE4" w:rsidRDefault="0028027B" w:rsidP="00C03F9E">
            <w:pPr>
              <w:pStyle w:val="TableofFigures"/>
              <w:spacing w:before="10" w:after="10"/>
            </w:pPr>
            <w:r w:rsidRPr="00DC1EE4">
              <w:t>(7 424)</w:t>
            </w:r>
          </w:p>
        </w:tc>
        <w:tc>
          <w:tcPr>
            <w:tcW w:w="850" w:type="dxa"/>
            <w:tcBorders>
              <w:top w:val="nil"/>
              <w:left w:val="nil"/>
              <w:bottom w:val="single" w:sz="4" w:space="0" w:color="auto"/>
              <w:right w:val="nil"/>
            </w:tcBorders>
          </w:tcPr>
          <w:p w:rsidR="0028027B" w:rsidRPr="00DC1EE4" w:rsidRDefault="0028027B" w:rsidP="00C03F9E">
            <w:pPr>
              <w:pStyle w:val="TableofFigures"/>
              <w:spacing w:before="10" w:after="10"/>
            </w:pPr>
            <w:r w:rsidRPr="00DC1EE4">
              <w:t>(666)</w:t>
            </w:r>
          </w:p>
        </w:tc>
      </w:tr>
      <w:tr w:rsidR="0028027B" w:rsidRPr="00DC1EE4" w:rsidTr="00C03F9E">
        <w:tc>
          <w:tcPr>
            <w:tcW w:w="5128"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
              <w:spacing w:before="10" w:after="10"/>
              <w:rPr>
                <w:b/>
              </w:rPr>
            </w:pPr>
            <w:r w:rsidRPr="00DC1EE4">
              <w:rPr>
                <w:b/>
              </w:rPr>
              <w:t>Total administered expenses from transactions</w:t>
            </w:r>
          </w:p>
        </w:tc>
        <w:tc>
          <w:tcPr>
            <w:tcW w:w="709" w:type="dxa"/>
            <w:gridSpan w:val="2"/>
            <w:tcBorders>
              <w:top w:val="nil"/>
              <w:left w:val="nil"/>
              <w:bottom w:val="single" w:sz="4" w:space="0" w:color="auto"/>
              <w:right w:val="nil"/>
            </w:tcBorders>
          </w:tcPr>
          <w:p w:rsidR="0028027B" w:rsidRPr="00DC1EE4" w:rsidRDefault="0028027B" w:rsidP="00C03F9E">
            <w:pPr>
              <w:pStyle w:val="TableTextCentred"/>
              <w:spacing w:before="10" w:after="10"/>
              <w:rPr>
                <w:b/>
              </w:rPr>
            </w:pPr>
          </w:p>
        </w:tc>
        <w:tc>
          <w:tcPr>
            <w:tcW w:w="1136" w:type="dxa"/>
            <w:tcBorders>
              <w:top w:val="nil"/>
              <w:left w:val="nil"/>
              <w:bottom w:val="single" w:sz="4" w:space="0" w:color="auto"/>
              <w:right w:val="nil"/>
            </w:tcBorders>
            <w:shd w:val="clear" w:color="auto" w:fill="BFBFBF"/>
            <w:noWrap/>
            <w:hideMark/>
          </w:tcPr>
          <w:p w:rsidR="0028027B" w:rsidRPr="00DC1EE4" w:rsidRDefault="0028027B" w:rsidP="00C03F9E">
            <w:pPr>
              <w:pStyle w:val="TableofFigures"/>
              <w:spacing w:before="10" w:after="10"/>
              <w:rPr>
                <w:b/>
              </w:rPr>
            </w:pPr>
            <w:r w:rsidRPr="00DC1EE4">
              <w:rPr>
                <w:b/>
              </w:rPr>
              <w:t>(13 544)</w:t>
            </w:r>
          </w:p>
        </w:tc>
        <w:tc>
          <w:tcPr>
            <w:tcW w:w="709" w:type="dxa"/>
            <w:gridSpan w:val="2"/>
            <w:tcBorders>
              <w:top w:val="nil"/>
              <w:left w:val="nil"/>
              <w:bottom w:val="single" w:sz="4" w:space="0" w:color="auto"/>
              <w:right w:val="nil"/>
            </w:tcBorders>
            <w:shd w:val="clear" w:color="auto" w:fill="auto"/>
            <w:noWrap/>
            <w:hideMark/>
          </w:tcPr>
          <w:p w:rsidR="0028027B" w:rsidRPr="00DC1EE4" w:rsidRDefault="0028027B" w:rsidP="00C03F9E">
            <w:pPr>
              <w:pStyle w:val="TableofFigures"/>
              <w:spacing w:before="10" w:after="10"/>
              <w:rPr>
                <w:b/>
              </w:rPr>
            </w:pPr>
            <w:r w:rsidRPr="00DC1EE4">
              <w:rPr>
                <w:b/>
              </w:rPr>
              <w:t>(13 669)</w:t>
            </w:r>
          </w:p>
        </w:tc>
        <w:tc>
          <w:tcPr>
            <w:tcW w:w="850" w:type="dxa"/>
            <w:tcBorders>
              <w:top w:val="nil"/>
              <w:left w:val="nil"/>
              <w:bottom w:val="single" w:sz="4" w:space="0" w:color="auto"/>
              <w:right w:val="nil"/>
            </w:tcBorders>
          </w:tcPr>
          <w:p w:rsidR="0028027B" w:rsidRPr="00DC1EE4" w:rsidRDefault="0028027B" w:rsidP="00C03F9E">
            <w:pPr>
              <w:pStyle w:val="TableofFigures"/>
              <w:spacing w:before="10" w:after="10"/>
              <w:rPr>
                <w:b/>
              </w:rPr>
            </w:pPr>
            <w:r w:rsidRPr="00DC1EE4">
              <w:rPr>
                <w:b/>
              </w:rPr>
              <w:t>(125)</w:t>
            </w:r>
          </w:p>
        </w:tc>
      </w:tr>
      <w:tr w:rsidR="0028027B" w:rsidRPr="00DC1EE4" w:rsidTr="00C03F9E">
        <w:tc>
          <w:tcPr>
            <w:tcW w:w="5128" w:type="dxa"/>
            <w:tcBorders>
              <w:top w:val="nil"/>
              <w:left w:val="nil"/>
              <w:bottom w:val="single" w:sz="4" w:space="0" w:color="auto"/>
              <w:right w:val="nil"/>
            </w:tcBorders>
            <w:shd w:val="clear" w:color="auto" w:fill="auto"/>
            <w:hideMark/>
          </w:tcPr>
          <w:p w:rsidR="0028027B" w:rsidRPr="00DC1EE4" w:rsidRDefault="0028027B" w:rsidP="00C03F9E">
            <w:pPr>
              <w:pStyle w:val="Tabletext"/>
              <w:spacing w:before="10" w:after="10"/>
              <w:rPr>
                <w:b/>
              </w:rPr>
            </w:pPr>
            <w:r w:rsidRPr="00DC1EE4">
              <w:rPr>
                <w:b/>
              </w:rPr>
              <w:t>Total administered net result from transactions (net operating balance)</w:t>
            </w:r>
          </w:p>
        </w:tc>
        <w:tc>
          <w:tcPr>
            <w:tcW w:w="709" w:type="dxa"/>
            <w:gridSpan w:val="2"/>
            <w:tcBorders>
              <w:top w:val="nil"/>
              <w:left w:val="nil"/>
              <w:bottom w:val="single" w:sz="4" w:space="0" w:color="auto"/>
              <w:right w:val="nil"/>
            </w:tcBorders>
          </w:tcPr>
          <w:p w:rsidR="0028027B" w:rsidRPr="00DC1EE4" w:rsidRDefault="0028027B" w:rsidP="00C03F9E">
            <w:pPr>
              <w:pStyle w:val="TableTextCentred"/>
              <w:spacing w:before="10" w:after="10"/>
              <w:rPr>
                <w:b/>
              </w:rPr>
            </w:pPr>
          </w:p>
        </w:tc>
        <w:tc>
          <w:tcPr>
            <w:tcW w:w="1136" w:type="dxa"/>
            <w:tcBorders>
              <w:top w:val="nil"/>
              <w:left w:val="nil"/>
              <w:bottom w:val="single" w:sz="4" w:space="0" w:color="auto"/>
              <w:right w:val="nil"/>
            </w:tcBorders>
            <w:shd w:val="clear" w:color="auto" w:fill="BFBFBF"/>
            <w:noWrap/>
            <w:hideMark/>
          </w:tcPr>
          <w:p w:rsidR="0028027B" w:rsidRPr="00DC1EE4" w:rsidRDefault="0028027B" w:rsidP="00C03F9E">
            <w:pPr>
              <w:pStyle w:val="TableofFigures"/>
              <w:spacing w:before="10" w:after="10"/>
              <w:rPr>
                <w:b/>
              </w:rPr>
            </w:pPr>
            <w:r w:rsidRPr="00DC1EE4">
              <w:rPr>
                <w:b/>
              </w:rPr>
              <w:t>..</w:t>
            </w:r>
          </w:p>
        </w:tc>
        <w:tc>
          <w:tcPr>
            <w:tcW w:w="709" w:type="dxa"/>
            <w:gridSpan w:val="2"/>
            <w:tcBorders>
              <w:top w:val="nil"/>
              <w:left w:val="nil"/>
              <w:bottom w:val="single" w:sz="4" w:space="0" w:color="auto"/>
              <w:right w:val="nil"/>
            </w:tcBorders>
            <w:shd w:val="clear" w:color="auto" w:fill="auto"/>
            <w:noWrap/>
            <w:hideMark/>
          </w:tcPr>
          <w:p w:rsidR="0028027B" w:rsidRPr="00DC1EE4" w:rsidRDefault="0028027B" w:rsidP="00C03F9E">
            <w:pPr>
              <w:pStyle w:val="TableofFigures"/>
              <w:spacing w:before="10" w:after="10"/>
              <w:rPr>
                <w:b/>
              </w:rPr>
            </w:pPr>
            <w:r w:rsidRPr="00DC1EE4">
              <w:rPr>
                <w:b/>
              </w:rPr>
              <w:t>..</w:t>
            </w:r>
          </w:p>
        </w:tc>
        <w:tc>
          <w:tcPr>
            <w:tcW w:w="850" w:type="dxa"/>
            <w:tcBorders>
              <w:top w:val="nil"/>
              <w:left w:val="nil"/>
              <w:bottom w:val="single" w:sz="4" w:space="0" w:color="auto"/>
              <w:right w:val="nil"/>
            </w:tcBorders>
          </w:tcPr>
          <w:p w:rsidR="0028027B" w:rsidRPr="00DC1EE4" w:rsidRDefault="0028027B" w:rsidP="00C03F9E">
            <w:pPr>
              <w:pStyle w:val="TableofFigures"/>
              <w:spacing w:before="10" w:after="10"/>
              <w:rPr>
                <w:b/>
              </w:rPr>
            </w:pPr>
            <w:r w:rsidRPr="00DC1EE4">
              <w:rPr>
                <w:b/>
              </w:rPr>
              <w:t>..</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rPr>
                <w:b/>
              </w:rPr>
            </w:pPr>
            <w:r w:rsidRPr="00DC1EE4">
              <w:rPr>
                <w:b/>
              </w:rPr>
              <w:t>Administered other economic flows included in administered net result</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rPr>
                <w:b/>
              </w:rPr>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rPr>
                <w:b/>
              </w:rPr>
            </w:pPr>
            <w:r w:rsidRPr="00DC1EE4">
              <w:rPr>
                <w:b/>
              </w:rPr>
              <w:t xml:space="preserve"> </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rPr>
                <w:b/>
              </w:rPr>
            </w:pPr>
            <w:r w:rsidRPr="00DC1EE4">
              <w:rPr>
                <w:b/>
              </w:rPr>
              <w:t xml:space="preserve"> </w:t>
            </w:r>
          </w:p>
        </w:tc>
        <w:tc>
          <w:tcPr>
            <w:tcW w:w="850" w:type="dxa"/>
            <w:tcBorders>
              <w:top w:val="nil"/>
              <w:left w:val="nil"/>
              <w:bottom w:val="nil"/>
              <w:right w:val="nil"/>
            </w:tcBorders>
          </w:tcPr>
          <w:p w:rsidR="0028027B" w:rsidRPr="00DC1EE4" w:rsidRDefault="0028027B" w:rsidP="00C03F9E">
            <w:pPr>
              <w:pStyle w:val="TableofFigures"/>
              <w:spacing w:before="10" w:after="10"/>
              <w:rPr>
                <w:b/>
              </w:rPr>
            </w:pP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Net gain/(loss) on non</w:t>
            </w:r>
            <w:r w:rsidR="005A4BB0">
              <w:noBreakHyphen/>
            </w:r>
            <w:r w:rsidRPr="00DC1EE4">
              <w:t>financial assets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Net gain/(loss) on financial instruments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 xml:space="preserve"> 253</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(156)</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(409)</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Share of net profits/(losses) of associates and joint entities, excluding dividends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Other gains/(losses) from other economic flows</w:t>
            </w:r>
          </w:p>
        </w:tc>
        <w:tc>
          <w:tcPr>
            <w:tcW w:w="709" w:type="dxa"/>
            <w:gridSpan w:val="2"/>
            <w:tcBorders>
              <w:top w:val="nil"/>
              <w:left w:val="nil"/>
              <w:bottom w:val="single" w:sz="4" w:space="0" w:color="auto"/>
              <w:right w:val="nil"/>
            </w:tcBorders>
          </w:tcPr>
          <w:p w:rsidR="0028027B" w:rsidRPr="00DC1EE4" w:rsidRDefault="0028027B" w:rsidP="00C03F9E">
            <w:pPr>
              <w:pStyle w:val="TableTextCentred"/>
              <w:spacing w:before="10" w:after="10"/>
            </w:pPr>
          </w:p>
        </w:tc>
        <w:tc>
          <w:tcPr>
            <w:tcW w:w="1136" w:type="dxa"/>
            <w:tcBorders>
              <w:top w:val="nil"/>
              <w:left w:val="nil"/>
              <w:bottom w:val="single" w:sz="4" w:space="0" w:color="auto"/>
              <w:right w:val="nil"/>
            </w:tcBorders>
            <w:shd w:val="clear" w:color="auto" w:fill="BFBFBF"/>
            <w:noWrap/>
            <w:hideMark/>
          </w:tcPr>
          <w:p w:rsidR="0028027B" w:rsidRPr="00DC1EE4" w:rsidRDefault="0028027B" w:rsidP="00C03F9E">
            <w:pPr>
              <w:pStyle w:val="TableofFigures"/>
              <w:spacing w:before="10" w:after="10"/>
            </w:pPr>
            <w:r w:rsidRPr="00DC1EE4">
              <w:t>..</w:t>
            </w:r>
          </w:p>
        </w:tc>
        <w:tc>
          <w:tcPr>
            <w:tcW w:w="709" w:type="dxa"/>
            <w:gridSpan w:val="2"/>
            <w:tcBorders>
              <w:top w:val="nil"/>
              <w:left w:val="nil"/>
              <w:bottom w:val="single" w:sz="4" w:space="0" w:color="auto"/>
              <w:right w:val="nil"/>
            </w:tcBorders>
            <w:shd w:val="clear" w:color="auto" w:fill="auto"/>
            <w:noWrap/>
            <w:hideMark/>
          </w:tcPr>
          <w:p w:rsidR="0028027B" w:rsidRPr="00DC1EE4" w:rsidRDefault="0028027B" w:rsidP="00C03F9E">
            <w:pPr>
              <w:pStyle w:val="TableofFigures"/>
              <w:spacing w:before="10" w:after="10"/>
            </w:pPr>
            <w:r w:rsidRPr="00DC1EE4">
              <w:t>..</w:t>
            </w:r>
          </w:p>
        </w:tc>
        <w:tc>
          <w:tcPr>
            <w:tcW w:w="850" w:type="dxa"/>
            <w:tcBorders>
              <w:top w:val="nil"/>
              <w:left w:val="nil"/>
              <w:bottom w:val="single" w:sz="4" w:space="0" w:color="auto"/>
              <w:right w:val="nil"/>
            </w:tcBorders>
          </w:tcPr>
          <w:p w:rsidR="0028027B" w:rsidRPr="00DC1EE4" w:rsidRDefault="0028027B" w:rsidP="00C03F9E">
            <w:pPr>
              <w:pStyle w:val="TableofFigures"/>
              <w:spacing w:before="10" w:after="10"/>
            </w:pPr>
            <w:r w:rsidRPr="00DC1EE4">
              <w:t>..</w:t>
            </w:r>
          </w:p>
        </w:tc>
      </w:tr>
      <w:tr w:rsidR="0028027B" w:rsidRPr="00DC1EE4" w:rsidTr="00C03F9E">
        <w:tc>
          <w:tcPr>
            <w:tcW w:w="5128"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
              <w:spacing w:before="10" w:after="10"/>
              <w:rPr>
                <w:b/>
              </w:rPr>
            </w:pPr>
            <w:r w:rsidRPr="00DC1EE4">
              <w:rPr>
                <w:b/>
              </w:rPr>
              <w:t>Total administered other economic flows</w:t>
            </w:r>
          </w:p>
        </w:tc>
        <w:tc>
          <w:tcPr>
            <w:tcW w:w="709" w:type="dxa"/>
            <w:gridSpan w:val="2"/>
            <w:tcBorders>
              <w:top w:val="nil"/>
              <w:left w:val="nil"/>
              <w:bottom w:val="single" w:sz="4" w:space="0" w:color="auto"/>
              <w:right w:val="nil"/>
            </w:tcBorders>
          </w:tcPr>
          <w:p w:rsidR="0028027B" w:rsidRPr="00DC1EE4" w:rsidRDefault="0028027B" w:rsidP="00C03F9E">
            <w:pPr>
              <w:pStyle w:val="TableTextCentred"/>
              <w:spacing w:before="10" w:after="10"/>
              <w:rPr>
                <w:b/>
              </w:rPr>
            </w:pPr>
          </w:p>
        </w:tc>
        <w:tc>
          <w:tcPr>
            <w:tcW w:w="1136" w:type="dxa"/>
            <w:tcBorders>
              <w:top w:val="nil"/>
              <w:left w:val="nil"/>
              <w:bottom w:val="single" w:sz="4" w:space="0" w:color="auto"/>
              <w:right w:val="nil"/>
            </w:tcBorders>
            <w:shd w:val="clear" w:color="auto" w:fill="BFBFBF"/>
            <w:noWrap/>
            <w:hideMark/>
          </w:tcPr>
          <w:p w:rsidR="0028027B" w:rsidRPr="00DC1EE4" w:rsidRDefault="0028027B" w:rsidP="00C03F9E">
            <w:pPr>
              <w:pStyle w:val="TableofFigures"/>
              <w:spacing w:before="10" w:after="10"/>
              <w:rPr>
                <w:b/>
              </w:rPr>
            </w:pPr>
            <w:r w:rsidRPr="00DC1EE4">
              <w:rPr>
                <w:b/>
              </w:rPr>
              <w:t xml:space="preserve"> 253</w:t>
            </w:r>
          </w:p>
        </w:tc>
        <w:tc>
          <w:tcPr>
            <w:tcW w:w="709" w:type="dxa"/>
            <w:gridSpan w:val="2"/>
            <w:tcBorders>
              <w:top w:val="nil"/>
              <w:left w:val="nil"/>
              <w:bottom w:val="single" w:sz="4" w:space="0" w:color="auto"/>
              <w:right w:val="nil"/>
            </w:tcBorders>
            <w:shd w:val="clear" w:color="auto" w:fill="auto"/>
            <w:noWrap/>
            <w:hideMark/>
          </w:tcPr>
          <w:p w:rsidR="0028027B" w:rsidRPr="00DC1EE4" w:rsidRDefault="0028027B" w:rsidP="00C03F9E">
            <w:pPr>
              <w:pStyle w:val="TableofFigures"/>
              <w:spacing w:before="10" w:after="10"/>
              <w:rPr>
                <w:b/>
              </w:rPr>
            </w:pPr>
            <w:r w:rsidRPr="00DC1EE4">
              <w:rPr>
                <w:b/>
              </w:rPr>
              <w:t>(156)</w:t>
            </w:r>
          </w:p>
        </w:tc>
        <w:tc>
          <w:tcPr>
            <w:tcW w:w="850" w:type="dxa"/>
            <w:tcBorders>
              <w:top w:val="nil"/>
              <w:left w:val="nil"/>
              <w:bottom w:val="single" w:sz="4" w:space="0" w:color="auto"/>
              <w:right w:val="nil"/>
            </w:tcBorders>
          </w:tcPr>
          <w:p w:rsidR="0028027B" w:rsidRPr="00DC1EE4" w:rsidRDefault="0028027B" w:rsidP="00C03F9E">
            <w:pPr>
              <w:pStyle w:val="TableofFigures"/>
              <w:spacing w:before="10" w:after="10"/>
              <w:rPr>
                <w:b/>
              </w:rPr>
            </w:pPr>
            <w:r w:rsidRPr="00DC1EE4">
              <w:rPr>
                <w:b/>
              </w:rPr>
              <w:t>(409)</w:t>
            </w:r>
          </w:p>
        </w:tc>
      </w:tr>
      <w:tr w:rsidR="0028027B" w:rsidRPr="00DC1EE4" w:rsidTr="00C03F9E">
        <w:tc>
          <w:tcPr>
            <w:tcW w:w="5128" w:type="dxa"/>
            <w:tcBorders>
              <w:top w:val="nil"/>
              <w:left w:val="nil"/>
              <w:bottom w:val="single" w:sz="4" w:space="0" w:color="auto"/>
              <w:right w:val="nil"/>
            </w:tcBorders>
            <w:shd w:val="clear" w:color="auto" w:fill="auto"/>
            <w:hideMark/>
          </w:tcPr>
          <w:p w:rsidR="0028027B" w:rsidRPr="00DC1EE4" w:rsidRDefault="0028027B" w:rsidP="00C03F9E">
            <w:pPr>
              <w:pStyle w:val="Tabletext"/>
              <w:spacing w:before="10" w:after="10"/>
              <w:rPr>
                <w:b/>
              </w:rPr>
            </w:pPr>
            <w:r w:rsidRPr="00DC1EE4">
              <w:rPr>
                <w:b/>
              </w:rPr>
              <w:t>Administered net result</w:t>
            </w:r>
          </w:p>
        </w:tc>
        <w:tc>
          <w:tcPr>
            <w:tcW w:w="709" w:type="dxa"/>
            <w:gridSpan w:val="2"/>
            <w:tcBorders>
              <w:top w:val="nil"/>
              <w:left w:val="nil"/>
              <w:bottom w:val="single" w:sz="4" w:space="0" w:color="auto"/>
              <w:right w:val="nil"/>
            </w:tcBorders>
          </w:tcPr>
          <w:p w:rsidR="0028027B" w:rsidRPr="00DC1EE4" w:rsidRDefault="0028027B" w:rsidP="00C03F9E">
            <w:pPr>
              <w:pStyle w:val="TableTextCentred"/>
              <w:spacing w:before="10" w:after="10"/>
              <w:rPr>
                <w:b/>
              </w:rPr>
            </w:pPr>
          </w:p>
        </w:tc>
        <w:tc>
          <w:tcPr>
            <w:tcW w:w="1136" w:type="dxa"/>
            <w:tcBorders>
              <w:top w:val="nil"/>
              <w:left w:val="nil"/>
              <w:bottom w:val="single" w:sz="4" w:space="0" w:color="auto"/>
              <w:right w:val="nil"/>
            </w:tcBorders>
            <w:shd w:val="clear" w:color="auto" w:fill="BFBFBF"/>
            <w:noWrap/>
            <w:hideMark/>
          </w:tcPr>
          <w:p w:rsidR="0028027B" w:rsidRPr="00DC1EE4" w:rsidRDefault="0028027B" w:rsidP="00C03F9E">
            <w:pPr>
              <w:pStyle w:val="TableofFigures"/>
              <w:spacing w:before="10" w:after="10"/>
              <w:rPr>
                <w:b/>
              </w:rPr>
            </w:pPr>
            <w:r w:rsidRPr="00DC1EE4">
              <w:rPr>
                <w:b/>
              </w:rPr>
              <w:t xml:space="preserve"> 253</w:t>
            </w:r>
          </w:p>
        </w:tc>
        <w:tc>
          <w:tcPr>
            <w:tcW w:w="709" w:type="dxa"/>
            <w:gridSpan w:val="2"/>
            <w:tcBorders>
              <w:top w:val="nil"/>
              <w:left w:val="nil"/>
              <w:bottom w:val="single" w:sz="4" w:space="0" w:color="auto"/>
              <w:right w:val="nil"/>
            </w:tcBorders>
            <w:shd w:val="clear" w:color="auto" w:fill="auto"/>
            <w:noWrap/>
            <w:hideMark/>
          </w:tcPr>
          <w:p w:rsidR="0028027B" w:rsidRPr="00DC1EE4" w:rsidRDefault="0028027B" w:rsidP="00C03F9E">
            <w:pPr>
              <w:pStyle w:val="TableofFigures"/>
              <w:spacing w:before="10" w:after="10"/>
              <w:rPr>
                <w:b/>
              </w:rPr>
            </w:pPr>
            <w:r w:rsidRPr="00DC1EE4">
              <w:rPr>
                <w:b/>
              </w:rPr>
              <w:t>(156)</w:t>
            </w:r>
          </w:p>
        </w:tc>
        <w:tc>
          <w:tcPr>
            <w:tcW w:w="850" w:type="dxa"/>
            <w:tcBorders>
              <w:top w:val="nil"/>
              <w:left w:val="nil"/>
              <w:bottom w:val="single" w:sz="4" w:space="0" w:color="auto"/>
              <w:right w:val="nil"/>
            </w:tcBorders>
          </w:tcPr>
          <w:p w:rsidR="0028027B" w:rsidRPr="00DC1EE4" w:rsidRDefault="0028027B" w:rsidP="00C03F9E">
            <w:pPr>
              <w:pStyle w:val="TableofFigures"/>
              <w:spacing w:before="10" w:after="10"/>
              <w:rPr>
                <w:b/>
              </w:rPr>
            </w:pPr>
            <w:r w:rsidRPr="00DC1EE4">
              <w:rPr>
                <w:b/>
              </w:rPr>
              <w:t>(409)</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rPr>
                <w:b/>
              </w:rPr>
            </w:pPr>
            <w:r w:rsidRPr="00DC1EE4">
              <w:rPr>
                <w:b/>
              </w:rPr>
              <w:t>Administered other economic flows – other comprehensive income</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rPr>
                <w:b/>
              </w:rPr>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rPr>
                <w:b/>
              </w:rPr>
            </w:pPr>
            <w:r w:rsidRPr="00DC1EE4">
              <w:rPr>
                <w:b/>
              </w:rPr>
              <w:t xml:space="preserve"> </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rPr>
                <w:b/>
              </w:rPr>
            </w:pPr>
            <w:r w:rsidRPr="00DC1EE4">
              <w:rPr>
                <w:b/>
              </w:rPr>
              <w:t xml:space="preserve"> </w:t>
            </w:r>
          </w:p>
        </w:tc>
        <w:tc>
          <w:tcPr>
            <w:tcW w:w="850" w:type="dxa"/>
            <w:tcBorders>
              <w:top w:val="nil"/>
              <w:left w:val="nil"/>
              <w:bottom w:val="nil"/>
              <w:right w:val="nil"/>
            </w:tcBorders>
          </w:tcPr>
          <w:p w:rsidR="0028027B" w:rsidRPr="00DC1EE4" w:rsidRDefault="0028027B" w:rsidP="00C03F9E">
            <w:pPr>
              <w:pStyle w:val="TableofFigures"/>
              <w:spacing w:before="10" w:after="10"/>
              <w:rPr>
                <w:b/>
              </w:rPr>
            </w:pPr>
          </w:p>
        </w:tc>
      </w:tr>
      <w:tr w:rsidR="0028027B" w:rsidRPr="00DC1EE4" w:rsidTr="00C03F9E">
        <w:tc>
          <w:tcPr>
            <w:tcW w:w="5128" w:type="dxa"/>
            <w:tcBorders>
              <w:top w:val="nil"/>
              <w:left w:val="nil"/>
              <w:bottom w:val="nil"/>
              <w:right w:val="nil"/>
            </w:tcBorders>
            <w:shd w:val="clear" w:color="auto" w:fill="auto"/>
          </w:tcPr>
          <w:p w:rsidR="0028027B" w:rsidRPr="00DC1EE4" w:rsidRDefault="0028027B" w:rsidP="00C03F9E">
            <w:pPr>
              <w:pStyle w:val="Tabletext"/>
              <w:spacing w:before="10" w:after="10"/>
            </w:pPr>
            <w:r w:rsidRPr="00DC1EE4">
              <w:t>Items that will not be reclassified to administered net result</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tcPr>
          <w:p w:rsidR="0028027B" w:rsidRPr="00DC1EE4" w:rsidRDefault="0028027B" w:rsidP="00C03F9E">
            <w:pPr>
              <w:pStyle w:val="TableofFigures"/>
              <w:spacing w:before="10" w:after="10"/>
            </w:pPr>
          </w:p>
        </w:tc>
        <w:tc>
          <w:tcPr>
            <w:tcW w:w="709" w:type="dxa"/>
            <w:gridSpan w:val="2"/>
            <w:tcBorders>
              <w:top w:val="nil"/>
              <w:left w:val="nil"/>
              <w:bottom w:val="nil"/>
              <w:right w:val="nil"/>
            </w:tcBorders>
            <w:shd w:val="clear" w:color="auto" w:fill="auto"/>
            <w:noWrap/>
          </w:tcPr>
          <w:p w:rsidR="0028027B" w:rsidRPr="00DC1EE4" w:rsidRDefault="0028027B" w:rsidP="00C03F9E">
            <w:pPr>
              <w:pStyle w:val="TableofFigures"/>
              <w:spacing w:before="10" w:after="10"/>
            </w:pPr>
          </w:p>
        </w:tc>
        <w:tc>
          <w:tcPr>
            <w:tcW w:w="850" w:type="dxa"/>
            <w:tcBorders>
              <w:top w:val="nil"/>
              <w:left w:val="nil"/>
              <w:bottom w:val="nil"/>
              <w:right w:val="nil"/>
            </w:tcBorders>
          </w:tcPr>
          <w:p w:rsidR="0028027B" w:rsidRPr="00DC1EE4" w:rsidRDefault="0028027B" w:rsidP="00C03F9E">
            <w:pPr>
              <w:pStyle w:val="TableofFigures"/>
              <w:spacing w:before="10" w:after="10"/>
            </w:pP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Adjustment to accumulated surplus/(deficit) due to change in accounting policy</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 xml:space="preserve"> 153</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153</w:t>
            </w:r>
          </w:p>
        </w:tc>
      </w:tr>
      <w:tr w:rsidR="0028027B" w:rsidRPr="00DC1EE4" w:rsidTr="00C03F9E">
        <w:tc>
          <w:tcPr>
            <w:tcW w:w="5128" w:type="dxa"/>
            <w:tcBorders>
              <w:top w:val="nil"/>
              <w:left w:val="nil"/>
              <w:bottom w:val="nil"/>
              <w:right w:val="nil"/>
            </w:tcBorders>
            <w:shd w:val="clear" w:color="auto" w:fill="auto"/>
            <w:hideMark/>
          </w:tcPr>
          <w:p w:rsidR="0028027B" w:rsidRPr="00DC1EE4" w:rsidRDefault="0028027B" w:rsidP="00C03F9E">
            <w:pPr>
              <w:pStyle w:val="Tabletext"/>
              <w:spacing w:before="10" w:after="10"/>
            </w:pPr>
            <w:r w:rsidRPr="00DC1EE4">
              <w:t>Changes in physical asset revaluation surplus</w:t>
            </w:r>
          </w:p>
        </w:tc>
        <w:tc>
          <w:tcPr>
            <w:tcW w:w="709" w:type="dxa"/>
            <w:gridSpan w:val="2"/>
            <w:tcBorders>
              <w:top w:val="nil"/>
              <w:left w:val="nil"/>
              <w:bottom w:val="single" w:sz="4" w:space="0" w:color="auto"/>
              <w:right w:val="nil"/>
            </w:tcBorders>
          </w:tcPr>
          <w:p w:rsidR="0028027B" w:rsidRPr="00DC1EE4" w:rsidRDefault="0028027B" w:rsidP="00C03F9E">
            <w:pPr>
              <w:pStyle w:val="TableTextCentred"/>
              <w:spacing w:before="10" w:after="10"/>
            </w:pPr>
          </w:p>
        </w:tc>
        <w:tc>
          <w:tcPr>
            <w:tcW w:w="1136" w:type="dxa"/>
            <w:tcBorders>
              <w:top w:val="nil"/>
              <w:left w:val="nil"/>
              <w:bottom w:val="single" w:sz="4" w:space="0" w:color="auto"/>
              <w:right w:val="nil"/>
            </w:tcBorders>
            <w:shd w:val="clear" w:color="auto" w:fill="BFBFBF"/>
            <w:noWrap/>
            <w:hideMark/>
          </w:tcPr>
          <w:p w:rsidR="0028027B" w:rsidRPr="00DC1EE4" w:rsidRDefault="0028027B" w:rsidP="00C03F9E">
            <w:pPr>
              <w:pStyle w:val="TableofFigures"/>
              <w:spacing w:before="10" w:after="10"/>
            </w:pPr>
            <w:r w:rsidRPr="00DC1EE4">
              <w:t>..</w:t>
            </w:r>
          </w:p>
        </w:tc>
        <w:tc>
          <w:tcPr>
            <w:tcW w:w="709" w:type="dxa"/>
            <w:gridSpan w:val="2"/>
            <w:tcBorders>
              <w:top w:val="nil"/>
              <w:left w:val="nil"/>
              <w:bottom w:val="single" w:sz="4" w:space="0" w:color="auto"/>
              <w:right w:val="nil"/>
            </w:tcBorders>
            <w:shd w:val="clear" w:color="auto" w:fill="auto"/>
            <w:noWrap/>
            <w:hideMark/>
          </w:tcPr>
          <w:p w:rsidR="0028027B" w:rsidRPr="00DC1EE4" w:rsidRDefault="0028027B" w:rsidP="00C03F9E">
            <w:pPr>
              <w:pStyle w:val="TableofFigures"/>
              <w:spacing w:before="10" w:after="10"/>
            </w:pPr>
            <w:r w:rsidRPr="00DC1EE4">
              <w:t>..</w:t>
            </w:r>
          </w:p>
        </w:tc>
        <w:tc>
          <w:tcPr>
            <w:tcW w:w="850" w:type="dxa"/>
            <w:tcBorders>
              <w:top w:val="nil"/>
              <w:left w:val="nil"/>
              <w:bottom w:val="single" w:sz="4" w:space="0" w:color="auto"/>
              <w:right w:val="nil"/>
            </w:tcBorders>
          </w:tcPr>
          <w:p w:rsidR="0028027B" w:rsidRPr="00DC1EE4" w:rsidRDefault="0028027B" w:rsidP="00C03F9E">
            <w:pPr>
              <w:pStyle w:val="TableofFigures"/>
              <w:spacing w:before="10" w:after="10"/>
            </w:pPr>
            <w:r w:rsidRPr="00DC1EE4">
              <w:t>..</w:t>
            </w:r>
          </w:p>
        </w:tc>
      </w:tr>
      <w:tr w:rsidR="0028027B" w:rsidRPr="00DC1EE4" w:rsidTr="00C03F9E">
        <w:tc>
          <w:tcPr>
            <w:tcW w:w="5128" w:type="dxa"/>
            <w:tcBorders>
              <w:top w:val="single" w:sz="4" w:space="0" w:color="auto"/>
              <w:left w:val="nil"/>
              <w:bottom w:val="single" w:sz="4" w:space="0" w:color="auto"/>
              <w:right w:val="nil"/>
            </w:tcBorders>
            <w:shd w:val="clear" w:color="auto" w:fill="auto"/>
            <w:hideMark/>
          </w:tcPr>
          <w:p w:rsidR="0028027B" w:rsidRPr="00DC1EE4" w:rsidRDefault="0028027B" w:rsidP="00C03F9E">
            <w:pPr>
              <w:pStyle w:val="Tabletext"/>
              <w:spacing w:before="10" w:after="10"/>
              <w:rPr>
                <w:b/>
              </w:rPr>
            </w:pPr>
            <w:r w:rsidRPr="00DC1EE4">
              <w:rPr>
                <w:b/>
              </w:rPr>
              <w:t>Total administered other economic flows – other comprehensive income</w:t>
            </w:r>
          </w:p>
        </w:tc>
        <w:tc>
          <w:tcPr>
            <w:tcW w:w="709" w:type="dxa"/>
            <w:gridSpan w:val="2"/>
            <w:tcBorders>
              <w:top w:val="nil"/>
              <w:left w:val="nil"/>
              <w:bottom w:val="single" w:sz="4" w:space="0" w:color="auto"/>
              <w:right w:val="nil"/>
            </w:tcBorders>
          </w:tcPr>
          <w:p w:rsidR="0028027B" w:rsidRPr="00DC1EE4" w:rsidRDefault="0028027B" w:rsidP="00C03F9E">
            <w:pPr>
              <w:pStyle w:val="TableTextCentred"/>
              <w:spacing w:before="10" w:after="10"/>
              <w:rPr>
                <w:b/>
              </w:rPr>
            </w:pPr>
          </w:p>
        </w:tc>
        <w:tc>
          <w:tcPr>
            <w:tcW w:w="1136" w:type="dxa"/>
            <w:tcBorders>
              <w:top w:val="nil"/>
              <w:left w:val="nil"/>
              <w:bottom w:val="single" w:sz="4" w:space="0" w:color="auto"/>
              <w:right w:val="nil"/>
            </w:tcBorders>
            <w:shd w:val="clear" w:color="auto" w:fill="BFBFBF"/>
            <w:noWrap/>
            <w:hideMark/>
          </w:tcPr>
          <w:p w:rsidR="0028027B" w:rsidRPr="00DC1EE4" w:rsidRDefault="0028027B" w:rsidP="00C03F9E">
            <w:pPr>
              <w:pStyle w:val="TableofFigures"/>
              <w:spacing w:before="10" w:after="10"/>
              <w:rPr>
                <w:b/>
              </w:rPr>
            </w:pPr>
            <w:r w:rsidRPr="00DC1EE4">
              <w:rPr>
                <w:b/>
              </w:rPr>
              <w:t>..</w:t>
            </w:r>
          </w:p>
        </w:tc>
        <w:tc>
          <w:tcPr>
            <w:tcW w:w="709" w:type="dxa"/>
            <w:gridSpan w:val="2"/>
            <w:tcBorders>
              <w:top w:val="nil"/>
              <w:left w:val="nil"/>
              <w:bottom w:val="single" w:sz="4" w:space="0" w:color="auto"/>
              <w:right w:val="nil"/>
            </w:tcBorders>
            <w:shd w:val="clear" w:color="auto" w:fill="auto"/>
            <w:noWrap/>
            <w:hideMark/>
          </w:tcPr>
          <w:p w:rsidR="0028027B" w:rsidRPr="00DC1EE4" w:rsidRDefault="0028027B" w:rsidP="00C03F9E">
            <w:pPr>
              <w:pStyle w:val="TableofFigures"/>
              <w:spacing w:before="10" w:after="10"/>
              <w:rPr>
                <w:b/>
              </w:rPr>
            </w:pPr>
            <w:r w:rsidRPr="00DC1EE4">
              <w:rPr>
                <w:b/>
              </w:rPr>
              <w:t xml:space="preserve"> 153</w:t>
            </w:r>
          </w:p>
        </w:tc>
        <w:tc>
          <w:tcPr>
            <w:tcW w:w="850" w:type="dxa"/>
            <w:tcBorders>
              <w:top w:val="nil"/>
              <w:left w:val="nil"/>
              <w:bottom w:val="single" w:sz="4" w:space="0" w:color="auto"/>
              <w:right w:val="nil"/>
            </w:tcBorders>
          </w:tcPr>
          <w:p w:rsidR="0028027B" w:rsidRPr="00DC1EE4" w:rsidRDefault="0028027B" w:rsidP="00C03F9E">
            <w:pPr>
              <w:pStyle w:val="TableofFigures"/>
              <w:spacing w:before="10" w:after="10"/>
              <w:rPr>
                <w:b/>
              </w:rPr>
            </w:pPr>
            <w:r w:rsidRPr="00DC1EE4">
              <w:rPr>
                <w:b/>
              </w:rPr>
              <w:t>153</w:t>
            </w:r>
          </w:p>
        </w:tc>
      </w:tr>
      <w:tr w:rsidR="0028027B" w:rsidRPr="00DC1EE4" w:rsidTr="00C03F9E">
        <w:tc>
          <w:tcPr>
            <w:tcW w:w="5128" w:type="dxa"/>
            <w:tcBorders>
              <w:top w:val="single" w:sz="4" w:space="0" w:color="auto"/>
              <w:left w:val="nil"/>
              <w:bottom w:val="single" w:sz="12" w:space="0" w:color="auto"/>
              <w:right w:val="nil"/>
            </w:tcBorders>
            <w:shd w:val="clear" w:color="auto" w:fill="auto"/>
            <w:hideMark/>
          </w:tcPr>
          <w:p w:rsidR="0028027B" w:rsidRPr="00DC1EE4" w:rsidRDefault="0028027B" w:rsidP="00C03F9E">
            <w:pPr>
              <w:pStyle w:val="Tabletext"/>
              <w:spacing w:before="10" w:after="10"/>
              <w:rPr>
                <w:b/>
              </w:rPr>
            </w:pPr>
            <w:r w:rsidRPr="00DC1EE4">
              <w:rPr>
                <w:b/>
              </w:rPr>
              <w:t>Total administered comprehensive result</w:t>
            </w:r>
          </w:p>
        </w:tc>
        <w:tc>
          <w:tcPr>
            <w:tcW w:w="709" w:type="dxa"/>
            <w:gridSpan w:val="2"/>
            <w:tcBorders>
              <w:top w:val="single" w:sz="4" w:space="0" w:color="auto"/>
              <w:left w:val="nil"/>
              <w:bottom w:val="single" w:sz="12" w:space="0" w:color="auto"/>
              <w:right w:val="nil"/>
            </w:tcBorders>
          </w:tcPr>
          <w:p w:rsidR="0028027B" w:rsidRPr="00DC1EE4" w:rsidRDefault="0028027B" w:rsidP="00C03F9E">
            <w:pPr>
              <w:pStyle w:val="TableTextCentred"/>
              <w:spacing w:before="10" w:after="10"/>
              <w:rPr>
                <w:b/>
              </w:rPr>
            </w:pPr>
          </w:p>
        </w:tc>
        <w:tc>
          <w:tcPr>
            <w:tcW w:w="1136" w:type="dxa"/>
            <w:tcBorders>
              <w:top w:val="single" w:sz="4" w:space="0" w:color="auto"/>
              <w:left w:val="nil"/>
              <w:bottom w:val="single" w:sz="12" w:space="0" w:color="auto"/>
              <w:right w:val="nil"/>
            </w:tcBorders>
            <w:shd w:val="clear" w:color="auto" w:fill="BFBFBF"/>
            <w:noWrap/>
            <w:hideMark/>
          </w:tcPr>
          <w:p w:rsidR="0028027B" w:rsidRPr="00DC1EE4" w:rsidRDefault="0028027B" w:rsidP="00C03F9E">
            <w:pPr>
              <w:pStyle w:val="TableofFigures"/>
              <w:spacing w:before="10" w:after="10"/>
              <w:rPr>
                <w:b/>
              </w:rPr>
            </w:pPr>
            <w:r w:rsidRPr="00DC1EE4">
              <w:rPr>
                <w:b/>
              </w:rPr>
              <w:t xml:space="preserve"> 253</w:t>
            </w:r>
          </w:p>
        </w:tc>
        <w:tc>
          <w:tcPr>
            <w:tcW w:w="709" w:type="dxa"/>
            <w:gridSpan w:val="2"/>
            <w:tcBorders>
              <w:top w:val="single" w:sz="4" w:space="0" w:color="auto"/>
              <w:left w:val="nil"/>
              <w:bottom w:val="single" w:sz="12" w:space="0" w:color="auto"/>
              <w:right w:val="nil"/>
            </w:tcBorders>
            <w:shd w:val="clear" w:color="auto" w:fill="auto"/>
            <w:noWrap/>
            <w:hideMark/>
          </w:tcPr>
          <w:p w:rsidR="0028027B" w:rsidRPr="00DC1EE4" w:rsidRDefault="0028027B" w:rsidP="00C03F9E">
            <w:pPr>
              <w:pStyle w:val="TableofFigures"/>
              <w:spacing w:before="10" w:after="10"/>
              <w:rPr>
                <w:b/>
              </w:rPr>
            </w:pPr>
            <w:r w:rsidRPr="00DC1EE4">
              <w:rPr>
                <w:b/>
              </w:rPr>
              <w:t>(3)</w:t>
            </w:r>
          </w:p>
        </w:tc>
        <w:tc>
          <w:tcPr>
            <w:tcW w:w="850" w:type="dxa"/>
            <w:tcBorders>
              <w:top w:val="single" w:sz="4" w:space="0" w:color="auto"/>
              <w:left w:val="nil"/>
              <w:bottom w:val="single" w:sz="12" w:space="0" w:color="auto"/>
              <w:right w:val="nil"/>
            </w:tcBorders>
          </w:tcPr>
          <w:p w:rsidR="0028027B" w:rsidRPr="00DC1EE4" w:rsidRDefault="0028027B" w:rsidP="00C03F9E">
            <w:pPr>
              <w:pStyle w:val="TableofFigures"/>
              <w:spacing w:before="10" w:after="10"/>
              <w:rPr>
                <w:b/>
              </w:rPr>
            </w:pPr>
            <w:r w:rsidRPr="00DC1EE4">
              <w:rPr>
                <w:b/>
              </w:rPr>
              <w:t>(256)</w:t>
            </w:r>
          </w:p>
        </w:tc>
      </w:tr>
      <w:tr w:rsidR="0028027B" w:rsidRPr="00DC1EE4" w:rsidTr="00C03F9E">
        <w:tblPrEx>
          <w:tblCellMar>
            <w:left w:w="17" w:type="dxa"/>
            <w:right w:w="17" w:type="dxa"/>
          </w:tblCellMar>
        </w:tblPrEx>
        <w:tc>
          <w:tcPr>
            <w:tcW w:w="5128" w:type="dxa"/>
            <w:tcBorders>
              <w:top w:val="nil"/>
              <w:left w:val="nil"/>
              <w:bottom w:val="nil"/>
              <w:right w:val="nil"/>
            </w:tcBorders>
            <w:shd w:val="clear" w:color="auto" w:fill="auto"/>
            <w:noWrap/>
            <w:hideMark/>
          </w:tcPr>
          <w:p w:rsidR="0028027B" w:rsidRPr="00DC1EE4" w:rsidRDefault="0028027B" w:rsidP="00C03F9E">
            <w:pPr>
              <w:pStyle w:val="Tabletext"/>
              <w:spacing w:before="10" w:after="10"/>
              <w:rPr>
                <w:b/>
              </w:rPr>
            </w:pPr>
            <w:r w:rsidRPr="00DC1EE4">
              <w:rPr>
                <w:b/>
              </w:rPr>
              <w:t>Administered financial assets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rPr>
                <w:b/>
              </w:rPr>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rPr>
                <w:b/>
              </w:rPr>
            </w:pPr>
            <w:r w:rsidRPr="00DC1EE4">
              <w:rPr>
                <w:b/>
              </w:rPr>
              <w:t xml:space="preserve"> </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rPr>
                <w:b/>
              </w:rPr>
            </w:pPr>
            <w:r w:rsidRPr="00DC1EE4">
              <w:rPr>
                <w:b/>
              </w:rPr>
              <w:t xml:space="preserve"> </w:t>
            </w:r>
          </w:p>
        </w:tc>
        <w:tc>
          <w:tcPr>
            <w:tcW w:w="850" w:type="dxa"/>
            <w:tcBorders>
              <w:top w:val="nil"/>
              <w:left w:val="nil"/>
              <w:bottom w:val="nil"/>
              <w:right w:val="nil"/>
            </w:tcBorders>
          </w:tcPr>
          <w:p w:rsidR="0028027B" w:rsidRPr="00DC1EE4" w:rsidRDefault="0028027B" w:rsidP="00C03F9E">
            <w:pPr>
              <w:pStyle w:val="TableofFigures"/>
              <w:spacing w:before="10" w:after="10"/>
              <w:rPr>
                <w:b/>
              </w:rPr>
            </w:pPr>
          </w:p>
        </w:tc>
      </w:tr>
      <w:tr w:rsidR="0028027B" w:rsidRPr="00DC1EE4" w:rsidTr="00C03F9E">
        <w:tblPrEx>
          <w:tblCellMar>
            <w:left w:w="17" w:type="dxa"/>
            <w:right w:w="17" w:type="dxa"/>
          </w:tblCellMar>
        </w:tblPrEx>
        <w:tc>
          <w:tcPr>
            <w:tcW w:w="5128" w:type="dxa"/>
            <w:tcBorders>
              <w:top w:val="nil"/>
              <w:left w:val="nil"/>
              <w:bottom w:val="nil"/>
              <w:right w:val="nil"/>
            </w:tcBorders>
            <w:shd w:val="clear" w:color="auto" w:fill="auto"/>
            <w:noWrap/>
            <w:hideMark/>
          </w:tcPr>
          <w:p w:rsidR="0028027B" w:rsidRPr="00DC1EE4" w:rsidRDefault="0028027B" w:rsidP="00C03F9E">
            <w:pPr>
              <w:pStyle w:val="Tabletext"/>
              <w:spacing w:before="10" w:after="10"/>
            </w:pPr>
            <w:r w:rsidRPr="00DC1EE4">
              <w:t>Receivables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 xml:space="preserve"> 443</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 xml:space="preserve"> 746</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303</w:t>
            </w:r>
          </w:p>
        </w:tc>
      </w:tr>
      <w:tr w:rsidR="0028027B" w:rsidRPr="00DC1EE4" w:rsidTr="00C03F9E">
        <w:tblPrEx>
          <w:tblCellMar>
            <w:left w:w="17" w:type="dxa"/>
            <w:right w:w="17" w:type="dxa"/>
          </w:tblCellMar>
        </w:tblPrEx>
        <w:tc>
          <w:tcPr>
            <w:tcW w:w="5128" w:type="dxa"/>
            <w:tcBorders>
              <w:top w:val="nil"/>
              <w:left w:val="nil"/>
              <w:bottom w:val="nil"/>
              <w:right w:val="nil"/>
            </w:tcBorders>
            <w:shd w:val="clear" w:color="auto" w:fill="auto"/>
            <w:noWrap/>
            <w:hideMark/>
          </w:tcPr>
          <w:p w:rsidR="0028027B" w:rsidRPr="00DC1EE4" w:rsidRDefault="0028027B" w:rsidP="00C03F9E">
            <w:pPr>
              <w:pStyle w:val="Tabletext"/>
              <w:spacing w:before="10" w:after="10"/>
            </w:pPr>
            <w:r w:rsidRPr="00DC1EE4">
              <w:t>Investments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5 897</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4 378</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(1 519)</w:t>
            </w:r>
          </w:p>
        </w:tc>
      </w:tr>
      <w:tr w:rsidR="0028027B" w:rsidRPr="00DC1EE4" w:rsidTr="00C03F9E">
        <w:tblPrEx>
          <w:tblCellMar>
            <w:left w:w="17" w:type="dxa"/>
            <w:right w:w="17" w:type="dxa"/>
          </w:tblCellMar>
        </w:tblPrEx>
        <w:tc>
          <w:tcPr>
            <w:tcW w:w="5128"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text"/>
              <w:spacing w:before="10" w:after="10"/>
              <w:rPr>
                <w:b/>
              </w:rPr>
            </w:pPr>
            <w:r w:rsidRPr="00DC1EE4">
              <w:rPr>
                <w:b/>
              </w:rPr>
              <w:t>Total administered financial assets</w:t>
            </w:r>
          </w:p>
        </w:tc>
        <w:tc>
          <w:tcPr>
            <w:tcW w:w="709" w:type="dxa"/>
            <w:gridSpan w:val="2"/>
            <w:tcBorders>
              <w:top w:val="single" w:sz="4" w:space="0" w:color="auto"/>
              <w:left w:val="nil"/>
              <w:bottom w:val="single" w:sz="4" w:space="0" w:color="auto"/>
              <w:right w:val="nil"/>
            </w:tcBorders>
          </w:tcPr>
          <w:p w:rsidR="0028027B" w:rsidRPr="00DC1EE4" w:rsidRDefault="0028027B" w:rsidP="00C03F9E">
            <w:pPr>
              <w:pStyle w:val="TableTextCentred"/>
              <w:spacing w:before="10" w:after="10"/>
              <w:rPr>
                <w:b/>
              </w:rPr>
            </w:pPr>
          </w:p>
        </w:tc>
        <w:tc>
          <w:tcPr>
            <w:tcW w:w="1136" w:type="dxa"/>
            <w:tcBorders>
              <w:top w:val="single" w:sz="4" w:space="0" w:color="auto"/>
              <w:left w:val="nil"/>
              <w:bottom w:val="single" w:sz="4" w:space="0" w:color="auto"/>
              <w:right w:val="nil"/>
            </w:tcBorders>
            <w:shd w:val="clear" w:color="auto" w:fill="BFBFBF"/>
            <w:noWrap/>
            <w:hideMark/>
          </w:tcPr>
          <w:p w:rsidR="0028027B" w:rsidRPr="00DC1EE4" w:rsidRDefault="0028027B" w:rsidP="00C03F9E">
            <w:pPr>
              <w:pStyle w:val="TableofFigures"/>
              <w:spacing w:before="10" w:after="10"/>
              <w:rPr>
                <w:b/>
              </w:rPr>
            </w:pPr>
            <w:r w:rsidRPr="00DC1EE4">
              <w:rPr>
                <w:b/>
              </w:rPr>
              <w:t>6 340</w:t>
            </w:r>
          </w:p>
        </w:tc>
        <w:tc>
          <w:tcPr>
            <w:tcW w:w="709" w:type="dxa"/>
            <w:gridSpan w:val="2"/>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ofFigures"/>
              <w:spacing w:before="10" w:after="10"/>
              <w:rPr>
                <w:b/>
              </w:rPr>
            </w:pPr>
            <w:r w:rsidRPr="00DC1EE4">
              <w:rPr>
                <w:b/>
              </w:rPr>
              <w:t>5 124</w:t>
            </w:r>
          </w:p>
        </w:tc>
        <w:tc>
          <w:tcPr>
            <w:tcW w:w="850" w:type="dxa"/>
            <w:tcBorders>
              <w:top w:val="single" w:sz="4" w:space="0" w:color="auto"/>
              <w:left w:val="nil"/>
              <w:bottom w:val="single" w:sz="4" w:space="0" w:color="auto"/>
              <w:right w:val="nil"/>
            </w:tcBorders>
          </w:tcPr>
          <w:p w:rsidR="0028027B" w:rsidRPr="00DC1EE4" w:rsidRDefault="0028027B" w:rsidP="00C03F9E">
            <w:pPr>
              <w:pStyle w:val="TableofFigures"/>
              <w:spacing w:before="10" w:after="10"/>
              <w:rPr>
                <w:b/>
              </w:rPr>
            </w:pPr>
            <w:r w:rsidRPr="00DC1EE4">
              <w:rPr>
                <w:b/>
              </w:rPr>
              <w:t>(1 216)</w:t>
            </w:r>
          </w:p>
        </w:tc>
      </w:tr>
      <w:tr w:rsidR="0028027B" w:rsidRPr="00DC1EE4" w:rsidTr="00C03F9E">
        <w:tblPrEx>
          <w:tblCellMar>
            <w:left w:w="17" w:type="dxa"/>
            <w:right w:w="17" w:type="dxa"/>
          </w:tblCellMar>
        </w:tblPrEx>
        <w:tc>
          <w:tcPr>
            <w:tcW w:w="5128" w:type="dxa"/>
            <w:tcBorders>
              <w:top w:val="nil"/>
              <w:left w:val="nil"/>
              <w:bottom w:val="nil"/>
              <w:right w:val="nil"/>
            </w:tcBorders>
            <w:shd w:val="clear" w:color="auto" w:fill="auto"/>
            <w:noWrap/>
            <w:hideMark/>
          </w:tcPr>
          <w:p w:rsidR="0028027B" w:rsidRPr="00DC1EE4" w:rsidRDefault="0028027B" w:rsidP="00C03F9E">
            <w:pPr>
              <w:pStyle w:val="Tabletext"/>
              <w:spacing w:before="10" w:after="10"/>
              <w:rPr>
                <w:b/>
              </w:rPr>
            </w:pPr>
            <w:r w:rsidRPr="00DC1EE4">
              <w:rPr>
                <w:b/>
              </w:rPr>
              <w:t>Administered non</w:t>
            </w:r>
            <w:r w:rsidR="005A4BB0">
              <w:rPr>
                <w:b/>
              </w:rPr>
              <w:noBreakHyphen/>
            </w:r>
            <w:r w:rsidRPr="00DC1EE4">
              <w:rPr>
                <w:b/>
              </w:rPr>
              <w:t>financial assets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rPr>
                <w:b/>
              </w:rPr>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rPr>
                <w:b/>
              </w:rPr>
            </w:pPr>
            <w:r w:rsidRPr="00DC1EE4">
              <w:rPr>
                <w:b/>
              </w:rPr>
              <w:t xml:space="preserve"> </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rPr>
                <w:b/>
              </w:rPr>
            </w:pPr>
            <w:r w:rsidRPr="00DC1EE4">
              <w:rPr>
                <w:b/>
              </w:rPr>
              <w:t xml:space="preserve"> </w:t>
            </w:r>
          </w:p>
        </w:tc>
        <w:tc>
          <w:tcPr>
            <w:tcW w:w="850" w:type="dxa"/>
            <w:tcBorders>
              <w:top w:val="nil"/>
              <w:left w:val="nil"/>
              <w:bottom w:val="nil"/>
              <w:right w:val="nil"/>
            </w:tcBorders>
          </w:tcPr>
          <w:p w:rsidR="0028027B" w:rsidRPr="00DC1EE4" w:rsidRDefault="0028027B" w:rsidP="00C03F9E">
            <w:pPr>
              <w:pStyle w:val="TableofFigures"/>
              <w:spacing w:before="10" w:after="10"/>
              <w:rPr>
                <w:b/>
              </w:rPr>
            </w:pPr>
          </w:p>
        </w:tc>
      </w:tr>
      <w:tr w:rsidR="0028027B" w:rsidRPr="00DC1EE4" w:rsidTr="00C03F9E">
        <w:tblPrEx>
          <w:tblCellMar>
            <w:left w:w="17" w:type="dxa"/>
            <w:right w:w="17" w:type="dxa"/>
          </w:tblCellMar>
        </w:tblPrEx>
        <w:tc>
          <w:tcPr>
            <w:tcW w:w="5128" w:type="dxa"/>
            <w:tcBorders>
              <w:top w:val="nil"/>
              <w:left w:val="nil"/>
              <w:bottom w:val="nil"/>
              <w:right w:val="nil"/>
            </w:tcBorders>
            <w:shd w:val="clear" w:color="auto" w:fill="auto"/>
            <w:noWrap/>
            <w:hideMark/>
          </w:tcPr>
          <w:p w:rsidR="0028027B" w:rsidRPr="00DC1EE4" w:rsidRDefault="0028027B" w:rsidP="00C03F9E">
            <w:pPr>
              <w:pStyle w:val="Tabletext"/>
              <w:spacing w:before="10" w:after="10"/>
            </w:pPr>
            <w:r w:rsidRPr="00DC1EE4">
              <w:t>Inventories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w:t>
            </w:r>
          </w:p>
        </w:tc>
        <w:tc>
          <w:tcPr>
            <w:tcW w:w="850" w:type="dxa"/>
            <w:tcBorders>
              <w:top w:val="nil"/>
              <w:left w:val="nil"/>
              <w:bottom w:val="nil"/>
              <w:right w:val="nil"/>
            </w:tcBorders>
          </w:tcPr>
          <w:p w:rsidR="0028027B" w:rsidRPr="00DC1EE4" w:rsidRDefault="0028027B" w:rsidP="00C03F9E">
            <w:pPr>
              <w:pStyle w:val="TableofFigures"/>
              <w:spacing w:before="10" w:after="10"/>
            </w:pPr>
          </w:p>
        </w:tc>
      </w:tr>
      <w:tr w:rsidR="0028027B" w:rsidRPr="00DC1EE4" w:rsidTr="00C03F9E">
        <w:tblPrEx>
          <w:tblCellMar>
            <w:left w:w="17" w:type="dxa"/>
            <w:right w:w="17" w:type="dxa"/>
          </w:tblCellMar>
        </w:tblPrEx>
        <w:tc>
          <w:tcPr>
            <w:tcW w:w="5128" w:type="dxa"/>
            <w:tcBorders>
              <w:top w:val="nil"/>
              <w:left w:val="nil"/>
              <w:bottom w:val="nil"/>
              <w:right w:val="nil"/>
            </w:tcBorders>
            <w:shd w:val="clear" w:color="auto" w:fill="auto"/>
            <w:noWrap/>
            <w:hideMark/>
          </w:tcPr>
          <w:p w:rsidR="0028027B" w:rsidRPr="00DC1EE4" w:rsidRDefault="0028027B" w:rsidP="00C03F9E">
            <w:pPr>
              <w:pStyle w:val="Tabletext"/>
              <w:spacing w:before="10" w:after="10"/>
            </w:pPr>
            <w:r w:rsidRPr="00DC1EE4">
              <w:t>Prepayments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 xml:space="preserve"> 578</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 xml:space="preserve"> 872</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294</w:t>
            </w:r>
          </w:p>
        </w:tc>
      </w:tr>
      <w:tr w:rsidR="0028027B" w:rsidRPr="00DC1EE4" w:rsidTr="00C03F9E">
        <w:tblPrEx>
          <w:tblCellMar>
            <w:left w:w="17" w:type="dxa"/>
            <w:right w:w="17" w:type="dxa"/>
          </w:tblCellMar>
        </w:tblPrEx>
        <w:tc>
          <w:tcPr>
            <w:tcW w:w="5128"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text"/>
              <w:spacing w:before="10" w:after="10"/>
              <w:rPr>
                <w:b/>
              </w:rPr>
            </w:pPr>
            <w:r w:rsidRPr="00DC1EE4">
              <w:rPr>
                <w:b/>
              </w:rPr>
              <w:t>Total administered non</w:t>
            </w:r>
            <w:r w:rsidR="005A4BB0">
              <w:rPr>
                <w:b/>
              </w:rPr>
              <w:noBreakHyphen/>
            </w:r>
            <w:r w:rsidRPr="00DC1EE4">
              <w:rPr>
                <w:b/>
              </w:rPr>
              <w:t xml:space="preserve">financial assets </w:t>
            </w:r>
          </w:p>
        </w:tc>
        <w:tc>
          <w:tcPr>
            <w:tcW w:w="709" w:type="dxa"/>
            <w:gridSpan w:val="2"/>
            <w:tcBorders>
              <w:top w:val="single" w:sz="4" w:space="0" w:color="auto"/>
              <w:left w:val="nil"/>
              <w:bottom w:val="single" w:sz="4" w:space="0" w:color="auto"/>
              <w:right w:val="nil"/>
            </w:tcBorders>
          </w:tcPr>
          <w:p w:rsidR="0028027B" w:rsidRPr="00DC1EE4" w:rsidRDefault="0028027B" w:rsidP="00C03F9E">
            <w:pPr>
              <w:pStyle w:val="TableTextCentred"/>
              <w:spacing w:before="10" w:after="10"/>
              <w:rPr>
                <w:b/>
              </w:rPr>
            </w:pPr>
          </w:p>
        </w:tc>
        <w:tc>
          <w:tcPr>
            <w:tcW w:w="1136" w:type="dxa"/>
            <w:tcBorders>
              <w:top w:val="single" w:sz="4" w:space="0" w:color="auto"/>
              <w:left w:val="nil"/>
              <w:bottom w:val="single" w:sz="4" w:space="0" w:color="auto"/>
              <w:right w:val="nil"/>
            </w:tcBorders>
            <w:shd w:val="clear" w:color="auto" w:fill="BFBFBF"/>
            <w:noWrap/>
            <w:hideMark/>
          </w:tcPr>
          <w:p w:rsidR="0028027B" w:rsidRPr="00DC1EE4" w:rsidRDefault="0028027B" w:rsidP="00C03F9E">
            <w:pPr>
              <w:pStyle w:val="TableofFigures"/>
              <w:spacing w:before="10" w:after="10"/>
              <w:rPr>
                <w:b/>
              </w:rPr>
            </w:pPr>
            <w:r w:rsidRPr="00DC1EE4">
              <w:rPr>
                <w:b/>
              </w:rPr>
              <w:t xml:space="preserve"> 578</w:t>
            </w:r>
          </w:p>
        </w:tc>
        <w:tc>
          <w:tcPr>
            <w:tcW w:w="709" w:type="dxa"/>
            <w:gridSpan w:val="2"/>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ofFigures"/>
              <w:spacing w:before="10" w:after="10"/>
              <w:rPr>
                <w:b/>
              </w:rPr>
            </w:pPr>
            <w:r w:rsidRPr="00DC1EE4">
              <w:rPr>
                <w:b/>
              </w:rPr>
              <w:t xml:space="preserve"> 872</w:t>
            </w:r>
          </w:p>
        </w:tc>
        <w:tc>
          <w:tcPr>
            <w:tcW w:w="850" w:type="dxa"/>
            <w:tcBorders>
              <w:top w:val="single" w:sz="4" w:space="0" w:color="auto"/>
              <w:left w:val="nil"/>
              <w:bottom w:val="single" w:sz="4" w:space="0" w:color="auto"/>
              <w:right w:val="nil"/>
            </w:tcBorders>
          </w:tcPr>
          <w:p w:rsidR="0028027B" w:rsidRPr="00DC1EE4" w:rsidRDefault="0028027B" w:rsidP="00C03F9E">
            <w:pPr>
              <w:pStyle w:val="TableofFigures"/>
              <w:spacing w:before="10" w:after="10"/>
              <w:rPr>
                <w:b/>
              </w:rPr>
            </w:pPr>
            <w:r w:rsidRPr="00DC1EE4">
              <w:rPr>
                <w:b/>
              </w:rPr>
              <w:t>294</w:t>
            </w:r>
          </w:p>
        </w:tc>
      </w:tr>
      <w:tr w:rsidR="0028027B" w:rsidRPr="00DC1EE4" w:rsidTr="00C03F9E">
        <w:tblPrEx>
          <w:tblCellMar>
            <w:left w:w="17" w:type="dxa"/>
            <w:right w:w="17" w:type="dxa"/>
          </w:tblCellMar>
        </w:tblPrEx>
        <w:tc>
          <w:tcPr>
            <w:tcW w:w="5128" w:type="dxa"/>
            <w:tcBorders>
              <w:top w:val="nil"/>
              <w:left w:val="nil"/>
              <w:bottom w:val="single" w:sz="4" w:space="0" w:color="auto"/>
              <w:right w:val="nil"/>
            </w:tcBorders>
            <w:shd w:val="clear" w:color="auto" w:fill="auto"/>
            <w:noWrap/>
            <w:hideMark/>
          </w:tcPr>
          <w:p w:rsidR="0028027B" w:rsidRPr="00DC1EE4" w:rsidRDefault="0028027B" w:rsidP="00C03F9E">
            <w:pPr>
              <w:pStyle w:val="Tabletext"/>
              <w:spacing w:before="10" w:after="10"/>
              <w:rPr>
                <w:b/>
              </w:rPr>
            </w:pPr>
            <w:r w:rsidRPr="00DC1EE4">
              <w:rPr>
                <w:b/>
              </w:rPr>
              <w:t>Total administered assets</w:t>
            </w:r>
          </w:p>
        </w:tc>
        <w:tc>
          <w:tcPr>
            <w:tcW w:w="709" w:type="dxa"/>
            <w:gridSpan w:val="2"/>
            <w:tcBorders>
              <w:top w:val="nil"/>
              <w:left w:val="nil"/>
              <w:bottom w:val="single" w:sz="4" w:space="0" w:color="auto"/>
              <w:right w:val="nil"/>
            </w:tcBorders>
          </w:tcPr>
          <w:p w:rsidR="0028027B" w:rsidRPr="00DC1EE4" w:rsidRDefault="0028027B" w:rsidP="00C03F9E">
            <w:pPr>
              <w:pStyle w:val="TableTextCentred"/>
              <w:spacing w:before="10" w:after="10"/>
              <w:rPr>
                <w:b/>
              </w:rPr>
            </w:pPr>
          </w:p>
        </w:tc>
        <w:tc>
          <w:tcPr>
            <w:tcW w:w="1136" w:type="dxa"/>
            <w:tcBorders>
              <w:top w:val="nil"/>
              <w:left w:val="nil"/>
              <w:bottom w:val="single" w:sz="4" w:space="0" w:color="auto"/>
              <w:right w:val="nil"/>
            </w:tcBorders>
            <w:shd w:val="clear" w:color="auto" w:fill="BFBFBF"/>
            <w:noWrap/>
            <w:hideMark/>
          </w:tcPr>
          <w:p w:rsidR="0028027B" w:rsidRPr="00DC1EE4" w:rsidRDefault="0028027B" w:rsidP="00C03F9E">
            <w:pPr>
              <w:pStyle w:val="TableofFigures"/>
              <w:spacing w:before="10" w:after="10"/>
              <w:rPr>
                <w:b/>
              </w:rPr>
            </w:pPr>
            <w:r w:rsidRPr="00DC1EE4">
              <w:rPr>
                <w:b/>
              </w:rPr>
              <w:t>6 918</w:t>
            </w:r>
          </w:p>
        </w:tc>
        <w:tc>
          <w:tcPr>
            <w:tcW w:w="709" w:type="dxa"/>
            <w:gridSpan w:val="2"/>
            <w:tcBorders>
              <w:top w:val="nil"/>
              <w:left w:val="nil"/>
              <w:bottom w:val="single" w:sz="4" w:space="0" w:color="auto"/>
              <w:right w:val="nil"/>
            </w:tcBorders>
            <w:shd w:val="clear" w:color="auto" w:fill="auto"/>
            <w:noWrap/>
            <w:hideMark/>
          </w:tcPr>
          <w:p w:rsidR="0028027B" w:rsidRPr="00DC1EE4" w:rsidRDefault="0028027B" w:rsidP="00C03F9E">
            <w:pPr>
              <w:pStyle w:val="TableofFigures"/>
              <w:spacing w:before="10" w:after="10"/>
              <w:rPr>
                <w:b/>
              </w:rPr>
            </w:pPr>
            <w:r w:rsidRPr="00DC1EE4">
              <w:rPr>
                <w:b/>
              </w:rPr>
              <w:t>5 996</w:t>
            </w:r>
          </w:p>
        </w:tc>
        <w:tc>
          <w:tcPr>
            <w:tcW w:w="850" w:type="dxa"/>
            <w:tcBorders>
              <w:top w:val="nil"/>
              <w:left w:val="nil"/>
              <w:bottom w:val="single" w:sz="4" w:space="0" w:color="auto"/>
              <w:right w:val="nil"/>
            </w:tcBorders>
          </w:tcPr>
          <w:p w:rsidR="0028027B" w:rsidRPr="00DC1EE4" w:rsidRDefault="0028027B" w:rsidP="00C03F9E">
            <w:pPr>
              <w:pStyle w:val="TableofFigures"/>
              <w:spacing w:before="10" w:after="10"/>
              <w:rPr>
                <w:b/>
              </w:rPr>
            </w:pPr>
            <w:r w:rsidRPr="00DC1EE4">
              <w:rPr>
                <w:b/>
              </w:rPr>
              <w:t>(922)</w:t>
            </w:r>
          </w:p>
        </w:tc>
      </w:tr>
      <w:tr w:rsidR="0028027B" w:rsidRPr="00DC1EE4" w:rsidTr="00C03F9E">
        <w:tblPrEx>
          <w:tblCellMar>
            <w:left w:w="17" w:type="dxa"/>
            <w:right w:w="17" w:type="dxa"/>
          </w:tblCellMar>
        </w:tblPrEx>
        <w:tc>
          <w:tcPr>
            <w:tcW w:w="5128" w:type="dxa"/>
            <w:tcBorders>
              <w:top w:val="nil"/>
              <w:left w:val="nil"/>
              <w:bottom w:val="nil"/>
              <w:right w:val="nil"/>
            </w:tcBorders>
            <w:shd w:val="clear" w:color="auto" w:fill="auto"/>
            <w:noWrap/>
            <w:hideMark/>
          </w:tcPr>
          <w:p w:rsidR="0028027B" w:rsidRPr="00DC1EE4" w:rsidRDefault="0028027B" w:rsidP="00C03F9E">
            <w:pPr>
              <w:pStyle w:val="Tabletext"/>
              <w:spacing w:before="10" w:after="10"/>
              <w:rPr>
                <w:b/>
              </w:rPr>
            </w:pPr>
            <w:r w:rsidRPr="00DC1EE4">
              <w:rPr>
                <w:b/>
              </w:rPr>
              <w:t>Administered liabilities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rPr>
                <w:b/>
              </w:rPr>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rPr>
                <w:b/>
              </w:rPr>
            </w:pPr>
            <w:r w:rsidRPr="00DC1EE4">
              <w:rPr>
                <w:b/>
              </w:rPr>
              <w:t xml:space="preserve"> </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rPr>
                <w:b/>
              </w:rPr>
            </w:pPr>
            <w:r w:rsidRPr="00DC1EE4">
              <w:rPr>
                <w:b/>
              </w:rPr>
              <w:t xml:space="preserve"> </w:t>
            </w:r>
          </w:p>
        </w:tc>
        <w:tc>
          <w:tcPr>
            <w:tcW w:w="850" w:type="dxa"/>
            <w:tcBorders>
              <w:top w:val="nil"/>
              <w:left w:val="nil"/>
              <w:bottom w:val="nil"/>
              <w:right w:val="nil"/>
            </w:tcBorders>
          </w:tcPr>
          <w:p w:rsidR="0028027B" w:rsidRPr="00DC1EE4" w:rsidRDefault="0028027B" w:rsidP="00C03F9E">
            <w:pPr>
              <w:pStyle w:val="TableofFigures"/>
              <w:spacing w:before="10" w:after="10"/>
              <w:rPr>
                <w:b/>
              </w:rPr>
            </w:pPr>
          </w:p>
        </w:tc>
      </w:tr>
      <w:tr w:rsidR="0028027B" w:rsidRPr="00DC1EE4" w:rsidTr="00C03F9E">
        <w:tblPrEx>
          <w:tblCellMar>
            <w:left w:w="17" w:type="dxa"/>
            <w:right w:w="17" w:type="dxa"/>
          </w:tblCellMar>
        </w:tblPrEx>
        <w:tc>
          <w:tcPr>
            <w:tcW w:w="5128" w:type="dxa"/>
            <w:tcBorders>
              <w:top w:val="nil"/>
              <w:left w:val="nil"/>
              <w:bottom w:val="nil"/>
              <w:right w:val="nil"/>
            </w:tcBorders>
            <w:shd w:val="clear" w:color="auto" w:fill="auto"/>
            <w:noWrap/>
            <w:hideMark/>
          </w:tcPr>
          <w:p w:rsidR="0028027B" w:rsidRPr="00DC1EE4" w:rsidRDefault="0028027B" w:rsidP="00C03F9E">
            <w:pPr>
              <w:pStyle w:val="Tabletext"/>
              <w:spacing w:before="10" w:after="10"/>
            </w:pPr>
            <w:r w:rsidRPr="00DC1EE4">
              <w:t>Creditors and accruals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1 364</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1 093</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(271)</w:t>
            </w:r>
          </w:p>
        </w:tc>
      </w:tr>
      <w:tr w:rsidR="0028027B" w:rsidRPr="00DC1EE4" w:rsidTr="00C03F9E">
        <w:tblPrEx>
          <w:tblCellMar>
            <w:left w:w="17" w:type="dxa"/>
            <w:right w:w="17" w:type="dxa"/>
          </w:tblCellMar>
        </w:tblPrEx>
        <w:tc>
          <w:tcPr>
            <w:tcW w:w="5128" w:type="dxa"/>
            <w:tcBorders>
              <w:top w:val="nil"/>
              <w:left w:val="nil"/>
              <w:bottom w:val="nil"/>
              <w:right w:val="nil"/>
            </w:tcBorders>
            <w:shd w:val="clear" w:color="auto" w:fill="auto"/>
            <w:noWrap/>
            <w:hideMark/>
          </w:tcPr>
          <w:p w:rsidR="0028027B" w:rsidRPr="00DC1EE4" w:rsidRDefault="0028027B" w:rsidP="00C03F9E">
            <w:pPr>
              <w:pStyle w:val="Tabletext"/>
              <w:spacing w:before="10" w:after="10"/>
            </w:pPr>
            <w:r w:rsidRPr="00DC1EE4">
              <w:t>Amounts owing to other departments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w:t>
            </w:r>
          </w:p>
        </w:tc>
      </w:tr>
      <w:tr w:rsidR="0028027B" w:rsidRPr="00DC1EE4" w:rsidTr="00C03F9E">
        <w:tblPrEx>
          <w:tblCellMar>
            <w:left w:w="17" w:type="dxa"/>
            <w:right w:w="17" w:type="dxa"/>
          </w:tblCellMar>
        </w:tblPrEx>
        <w:tc>
          <w:tcPr>
            <w:tcW w:w="5128" w:type="dxa"/>
            <w:tcBorders>
              <w:top w:val="nil"/>
              <w:left w:val="nil"/>
              <w:bottom w:val="nil"/>
              <w:right w:val="nil"/>
            </w:tcBorders>
            <w:shd w:val="clear" w:color="auto" w:fill="auto"/>
            <w:noWrap/>
            <w:hideMark/>
          </w:tcPr>
          <w:p w:rsidR="0028027B" w:rsidRPr="00DC1EE4" w:rsidRDefault="0028027B" w:rsidP="00C03F9E">
            <w:pPr>
              <w:pStyle w:val="Tabletext"/>
              <w:spacing w:before="10" w:after="10"/>
            </w:pPr>
            <w:r w:rsidRPr="00DC1EE4">
              <w:t>Interest bearing liabilities</w:t>
            </w:r>
          </w:p>
        </w:tc>
        <w:tc>
          <w:tcPr>
            <w:tcW w:w="709" w:type="dxa"/>
            <w:gridSpan w:val="2"/>
            <w:tcBorders>
              <w:top w:val="nil"/>
              <w:left w:val="nil"/>
              <w:bottom w:val="nil"/>
              <w:right w:val="nil"/>
            </w:tcBorders>
          </w:tcPr>
          <w:p w:rsidR="0028027B" w:rsidRPr="00DC1EE4" w:rsidRDefault="0028027B" w:rsidP="00C03F9E">
            <w:pPr>
              <w:pStyle w:val="TableTextCentred"/>
              <w:spacing w:before="10" w:after="10"/>
            </w:pPr>
          </w:p>
        </w:tc>
        <w:tc>
          <w:tcPr>
            <w:tcW w:w="1136" w:type="dxa"/>
            <w:tcBorders>
              <w:top w:val="nil"/>
              <w:left w:val="nil"/>
              <w:bottom w:val="nil"/>
              <w:right w:val="nil"/>
            </w:tcBorders>
            <w:shd w:val="clear" w:color="auto" w:fill="BFBFBF"/>
            <w:noWrap/>
            <w:hideMark/>
          </w:tcPr>
          <w:p w:rsidR="0028027B" w:rsidRPr="00DC1EE4" w:rsidRDefault="0028027B" w:rsidP="00C03F9E">
            <w:pPr>
              <w:pStyle w:val="TableofFigures"/>
              <w:spacing w:before="10" w:after="10"/>
            </w:pPr>
            <w:r w:rsidRPr="00DC1EE4">
              <w:t>2 015</w:t>
            </w:r>
          </w:p>
        </w:tc>
        <w:tc>
          <w:tcPr>
            <w:tcW w:w="709" w:type="dxa"/>
            <w:gridSpan w:val="2"/>
            <w:tcBorders>
              <w:top w:val="nil"/>
              <w:left w:val="nil"/>
              <w:bottom w:val="nil"/>
              <w:right w:val="nil"/>
            </w:tcBorders>
            <w:shd w:val="clear" w:color="auto" w:fill="auto"/>
            <w:noWrap/>
            <w:hideMark/>
          </w:tcPr>
          <w:p w:rsidR="0028027B" w:rsidRPr="00DC1EE4" w:rsidRDefault="0028027B" w:rsidP="00C03F9E">
            <w:pPr>
              <w:pStyle w:val="TableofFigures"/>
              <w:spacing w:before="10" w:after="10"/>
            </w:pPr>
            <w:r w:rsidRPr="00DC1EE4">
              <w:t>2 227</w:t>
            </w:r>
          </w:p>
        </w:tc>
        <w:tc>
          <w:tcPr>
            <w:tcW w:w="850" w:type="dxa"/>
            <w:tcBorders>
              <w:top w:val="nil"/>
              <w:left w:val="nil"/>
              <w:bottom w:val="nil"/>
              <w:right w:val="nil"/>
            </w:tcBorders>
          </w:tcPr>
          <w:p w:rsidR="0028027B" w:rsidRPr="00DC1EE4" w:rsidRDefault="0028027B" w:rsidP="00C03F9E">
            <w:pPr>
              <w:pStyle w:val="TableofFigures"/>
              <w:spacing w:before="10" w:after="10"/>
            </w:pPr>
            <w:r w:rsidRPr="00DC1EE4">
              <w:t>212</w:t>
            </w:r>
          </w:p>
        </w:tc>
      </w:tr>
      <w:tr w:rsidR="0028027B" w:rsidRPr="00DC1EE4" w:rsidTr="00C03F9E">
        <w:tblPrEx>
          <w:tblCellMar>
            <w:left w:w="17" w:type="dxa"/>
            <w:right w:w="17" w:type="dxa"/>
          </w:tblCellMar>
        </w:tblPrEx>
        <w:tc>
          <w:tcPr>
            <w:tcW w:w="5128" w:type="dxa"/>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text"/>
              <w:spacing w:before="10" w:after="10"/>
              <w:rPr>
                <w:b/>
              </w:rPr>
            </w:pPr>
            <w:r w:rsidRPr="00DC1EE4">
              <w:rPr>
                <w:b/>
              </w:rPr>
              <w:t>Total administered liabilities</w:t>
            </w:r>
          </w:p>
        </w:tc>
        <w:tc>
          <w:tcPr>
            <w:tcW w:w="709" w:type="dxa"/>
            <w:gridSpan w:val="2"/>
            <w:tcBorders>
              <w:top w:val="single" w:sz="4" w:space="0" w:color="auto"/>
              <w:left w:val="nil"/>
              <w:bottom w:val="single" w:sz="4" w:space="0" w:color="auto"/>
              <w:right w:val="nil"/>
            </w:tcBorders>
          </w:tcPr>
          <w:p w:rsidR="0028027B" w:rsidRPr="00DC1EE4" w:rsidRDefault="0028027B" w:rsidP="00C03F9E">
            <w:pPr>
              <w:pStyle w:val="TableTextCentred"/>
              <w:spacing w:before="10" w:after="10"/>
              <w:rPr>
                <w:b/>
              </w:rPr>
            </w:pPr>
          </w:p>
        </w:tc>
        <w:tc>
          <w:tcPr>
            <w:tcW w:w="1136" w:type="dxa"/>
            <w:tcBorders>
              <w:top w:val="single" w:sz="4" w:space="0" w:color="auto"/>
              <w:left w:val="nil"/>
              <w:bottom w:val="single" w:sz="4" w:space="0" w:color="auto"/>
              <w:right w:val="nil"/>
            </w:tcBorders>
            <w:shd w:val="clear" w:color="auto" w:fill="BFBFBF"/>
            <w:noWrap/>
            <w:hideMark/>
          </w:tcPr>
          <w:p w:rsidR="0028027B" w:rsidRPr="00DC1EE4" w:rsidRDefault="0028027B" w:rsidP="00C03F9E">
            <w:pPr>
              <w:pStyle w:val="TableofFigures"/>
              <w:spacing w:before="10" w:after="10"/>
              <w:rPr>
                <w:b/>
              </w:rPr>
            </w:pPr>
            <w:r w:rsidRPr="00DC1EE4">
              <w:rPr>
                <w:b/>
              </w:rPr>
              <w:t>3 379</w:t>
            </w:r>
          </w:p>
        </w:tc>
        <w:tc>
          <w:tcPr>
            <w:tcW w:w="709" w:type="dxa"/>
            <w:gridSpan w:val="2"/>
            <w:tcBorders>
              <w:top w:val="single" w:sz="4" w:space="0" w:color="auto"/>
              <w:left w:val="nil"/>
              <w:bottom w:val="single" w:sz="4" w:space="0" w:color="auto"/>
              <w:right w:val="nil"/>
            </w:tcBorders>
            <w:shd w:val="clear" w:color="auto" w:fill="auto"/>
            <w:noWrap/>
            <w:hideMark/>
          </w:tcPr>
          <w:p w:rsidR="0028027B" w:rsidRPr="00DC1EE4" w:rsidRDefault="0028027B" w:rsidP="00C03F9E">
            <w:pPr>
              <w:pStyle w:val="TableofFigures"/>
              <w:spacing w:before="10" w:after="10"/>
              <w:rPr>
                <w:b/>
              </w:rPr>
            </w:pPr>
            <w:r w:rsidRPr="00DC1EE4">
              <w:rPr>
                <w:b/>
              </w:rPr>
              <w:t>3 320</w:t>
            </w:r>
          </w:p>
        </w:tc>
        <w:tc>
          <w:tcPr>
            <w:tcW w:w="850" w:type="dxa"/>
            <w:tcBorders>
              <w:top w:val="single" w:sz="4" w:space="0" w:color="auto"/>
              <w:left w:val="nil"/>
              <w:bottom w:val="single" w:sz="4" w:space="0" w:color="auto"/>
              <w:right w:val="nil"/>
            </w:tcBorders>
          </w:tcPr>
          <w:p w:rsidR="0028027B" w:rsidRPr="00DC1EE4" w:rsidRDefault="0028027B" w:rsidP="00C03F9E">
            <w:pPr>
              <w:pStyle w:val="TableofFigures"/>
              <w:spacing w:before="10" w:after="10"/>
              <w:rPr>
                <w:b/>
              </w:rPr>
            </w:pPr>
            <w:r w:rsidRPr="00DC1EE4">
              <w:rPr>
                <w:b/>
              </w:rPr>
              <w:t>(59)</w:t>
            </w:r>
          </w:p>
        </w:tc>
      </w:tr>
    </w:tbl>
    <w:p w:rsidR="0028027B" w:rsidRPr="00DC1EE4" w:rsidRDefault="0028027B" w:rsidP="0028027B">
      <w:pPr>
        <w:pStyle w:val="Notes"/>
        <w:tabs>
          <w:tab w:val="clear" w:pos="454"/>
        </w:tabs>
        <w:ind w:left="450"/>
      </w:pPr>
      <w:r w:rsidRPr="00DC1EE4">
        <w:t>Note:</w:t>
      </w:r>
    </w:p>
    <w:p w:rsidR="0028027B" w:rsidRPr="00DC1EE4" w:rsidRDefault="0028027B" w:rsidP="0028027B">
      <w:pPr>
        <w:pStyle w:val="Notes"/>
        <w:tabs>
          <w:tab w:val="clear" w:pos="454"/>
        </w:tabs>
        <w:ind w:left="450"/>
      </w:pPr>
      <w:r w:rsidRPr="00DC1EE4">
        <w:t>(i)</w:t>
      </w:r>
      <w:r w:rsidRPr="00DC1EE4">
        <w:tab/>
        <w:t xml:space="preserve"> Entities are required to disclose a brief explanation for any major variances identified.</w:t>
      </w:r>
    </w:p>
    <w:p w:rsidR="0028027B" w:rsidRPr="00DC1EE4" w:rsidRDefault="0028027B" w:rsidP="0028027B">
      <w:pPr>
        <w:sectPr w:rsidR="0028027B" w:rsidRPr="00DC1EE4" w:rsidSect="00C03F9E">
          <w:pgSz w:w="11906" w:h="16838" w:code="9"/>
          <w:pgMar w:top="1152" w:right="864" w:bottom="1152" w:left="864" w:header="432" w:footer="432" w:gutter="0"/>
          <w:cols w:num="2" w:space="360" w:equalWidth="0">
            <w:col w:w="1440" w:space="360"/>
            <w:col w:w="8378"/>
          </w:cols>
        </w:sectPr>
      </w:pPr>
    </w:p>
    <w:p w:rsidR="0028027B" w:rsidRPr="00DC1EE4" w:rsidRDefault="0028027B" w:rsidP="00560B06">
      <w:pPr>
        <w:pStyle w:val="ChapterHeading"/>
      </w:pPr>
      <w:bookmarkStart w:id="729" w:name="_Toc448493025"/>
      <w:r w:rsidRPr="00DC1EE4">
        <w:t>Appendix 7 – AASB 10 Consolidated Financial Statements checklist – control analysis for Victorian public sector entities</w:t>
      </w:r>
      <w:bookmarkEnd w:id="729"/>
    </w:p>
    <w:p w:rsidR="0028027B" w:rsidRPr="00DC1EE4" w:rsidRDefault="0028027B" w:rsidP="0028027B">
      <w:r w:rsidRPr="00DC1EE4">
        <w:t xml:space="preserve">AASB 10 Consolidated Financial Statements focuses on </w:t>
      </w:r>
      <w:r w:rsidR="005A4BB0">
        <w:t>‘</w:t>
      </w:r>
      <w:r w:rsidRPr="00DC1EE4">
        <w:t>control</w:t>
      </w:r>
      <w:r w:rsidR="005A4BB0">
        <w:t>’</w:t>
      </w:r>
      <w:r w:rsidRPr="00DC1EE4">
        <w:t xml:space="preserve"> in determining whether an entity needs to consolidate another entity. Under AASB 10, control is assessed on the achievement of all three criteria, i.e.</w:t>
      </w:r>
    </w:p>
    <w:p w:rsidR="0028027B" w:rsidRPr="00DC1EE4" w:rsidRDefault="0028027B" w:rsidP="002E1AF3">
      <w:pPr>
        <w:pStyle w:val="NormalIndent2"/>
        <w:tabs>
          <w:tab w:val="left" w:pos="450"/>
        </w:tabs>
        <w:ind w:left="0"/>
      </w:pPr>
      <w:r w:rsidRPr="00DC1EE4">
        <w:t>(i)</w:t>
      </w:r>
      <w:r w:rsidRPr="00DC1EE4">
        <w:tab/>
        <w:t>power over the investee;</w:t>
      </w:r>
    </w:p>
    <w:p w:rsidR="0028027B" w:rsidRPr="00DC1EE4" w:rsidRDefault="0028027B" w:rsidP="002E1AF3">
      <w:pPr>
        <w:pStyle w:val="NormalIndent2"/>
        <w:tabs>
          <w:tab w:val="left" w:pos="450"/>
        </w:tabs>
        <w:ind w:left="0"/>
      </w:pPr>
      <w:r w:rsidRPr="00DC1EE4">
        <w:t>(ii)</w:t>
      </w:r>
      <w:r w:rsidRPr="00DC1EE4">
        <w:tab/>
        <w:t>exposure, or rights, to variable returns from its involvement with the investee; and</w:t>
      </w:r>
    </w:p>
    <w:p w:rsidR="0028027B" w:rsidRPr="00DC1EE4" w:rsidRDefault="0028027B" w:rsidP="002E1AF3">
      <w:pPr>
        <w:pStyle w:val="NormalIndent2"/>
        <w:tabs>
          <w:tab w:val="left" w:pos="450"/>
        </w:tabs>
        <w:ind w:left="0"/>
      </w:pPr>
      <w:r w:rsidRPr="00DC1EE4">
        <w:t>(iii)</w:t>
      </w:r>
      <w:r w:rsidRPr="00DC1EE4">
        <w:tab/>
        <w:t>the ability to use its power over the investee to affect the amount of the investor</w:t>
      </w:r>
      <w:r w:rsidR="005A4BB0">
        <w:t>’</w:t>
      </w:r>
      <w:r w:rsidRPr="00DC1EE4">
        <w:t>s return.</w:t>
      </w:r>
    </w:p>
    <w:p w:rsidR="0028027B" w:rsidRPr="00DC1EE4" w:rsidRDefault="0028027B" w:rsidP="0028027B">
      <w:r w:rsidRPr="00DC1EE4">
        <w:t xml:space="preserve">The Department of Treasury and Finance (DTF) has developed a list of questions to help you determine if each of the criteria has been satisfied to meet the </w:t>
      </w:r>
      <w:r w:rsidR="005A4BB0">
        <w:t>‘</w:t>
      </w:r>
      <w:r w:rsidRPr="00DC1EE4">
        <w:t>control</w:t>
      </w:r>
      <w:r w:rsidR="005A4BB0">
        <w:t>’</w:t>
      </w:r>
      <w:r w:rsidRPr="00DC1EE4">
        <w:t xml:space="preserve"> test.</w:t>
      </w:r>
    </w:p>
    <w:p w:rsidR="0028027B" w:rsidRPr="00DC1EE4" w:rsidRDefault="0028027B" w:rsidP="0028027B">
      <w:r w:rsidRPr="00DC1EE4">
        <w:t xml:space="preserve">If all three criteria are met, the </w:t>
      </w:r>
      <w:r w:rsidR="005A4BB0">
        <w:t>‘</w:t>
      </w:r>
      <w:r w:rsidRPr="00DC1EE4">
        <w:t>control</w:t>
      </w:r>
      <w:r w:rsidR="005A4BB0">
        <w:t>’</w:t>
      </w:r>
      <w:r w:rsidRPr="00DC1EE4">
        <w:t xml:space="preserve"> test will be met and the entity will need to be consolidated.</w:t>
      </w:r>
    </w:p>
    <w:p w:rsidR="0028027B" w:rsidRPr="00DC1EE4" w:rsidRDefault="0028027B" w:rsidP="0028027B">
      <w:r w:rsidRPr="00DC1EE4">
        <w:t xml:space="preserve">If this assessment has resulted in you having control over any additional entities that are required to be consolidated, please advise DTF by emailing </w:t>
      </w:r>
      <w:hyperlink r:id="rId377" w:history="1">
        <w:r w:rsidRPr="00DC1EE4">
          <w:t>accpol@dtf.vic.gov.au</w:t>
        </w:r>
      </w:hyperlink>
      <w:r w:rsidRPr="00DC1EE4">
        <w:t>. Please do not hesitate to contact DTF should you have any questions regarding this checklist.</w:t>
      </w:r>
    </w:p>
    <w:p w:rsidR="0028027B" w:rsidRPr="00DC1EE4" w:rsidRDefault="0028027B" w:rsidP="0028027B">
      <w:r w:rsidRPr="00DC1EE4">
        <w:t>In addition, you are strongly encouraged to liaise with the Victorian Auditor</w:t>
      </w:r>
      <w:r w:rsidR="005A4BB0">
        <w:noBreakHyphen/>
      </w:r>
      <w:r w:rsidRPr="00DC1EE4">
        <w:t>General</w:t>
      </w:r>
      <w:r w:rsidR="005A4BB0">
        <w:t>’</w:t>
      </w:r>
      <w:r w:rsidRPr="00DC1EE4">
        <w:t>s Office once you have discussed your assessments of any changes with DTF to confirm year</w:t>
      </w:r>
      <w:r w:rsidR="005A4BB0">
        <w:noBreakHyphen/>
      </w:r>
      <w:r w:rsidRPr="00DC1EE4">
        <w:t>end reporting requirements.</w:t>
      </w:r>
    </w:p>
    <w:p w:rsidR="0028027B" w:rsidRPr="00DC1EE4" w:rsidRDefault="0028027B" w:rsidP="0028027B"/>
    <w:p w:rsidR="0028027B" w:rsidRPr="00DC1EE4" w:rsidRDefault="0028027B" w:rsidP="0028027B">
      <w:r w:rsidRPr="00DC1EE4">
        <w:br w:type="page"/>
      </w:r>
    </w:p>
    <w:p w:rsidR="0028027B" w:rsidRPr="00DC1EE4" w:rsidRDefault="0028027B" w:rsidP="0028027B">
      <w:pPr>
        <w:pStyle w:val="SmallLine"/>
      </w:pPr>
    </w:p>
    <w:tbl>
      <w:tblPr>
        <w:tblStyle w:val="TableGrid3"/>
        <w:tblW w:w="0" w:type="auto"/>
        <w:tblInd w:w="392"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98"/>
        <w:gridCol w:w="50"/>
        <w:gridCol w:w="7532"/>
        <w:gridCol w:w="1695"/>
      </w:tblGrid>
      <w:tr w:rsidR="0028027B" w:rsidRPr="00DC1EE4" w:rsidTr="00C03F9E">
        <w:trPr>
          <w:trHeight w:val="331"/>
          <w:tblHeader/>
        </w:trPr>
        <w:tc>
          <w:tcPr>
            <w:tcW w:w="8080" w:type="dxa"/>
            <w:gridSpan w:val="3"/>
            <w:tcBorders>
              <w:top w:val="single" w:sz="4" w:space="0" w:color="595959" w:themeColor="text1" w:themeTint="A6"/>
              <w:left w:val="single" w:sz="4" w:space="0" w:color="595959" w:themeColor="text1" w:themeTint="A6"/>
              <w:bottom w:val="single" w:sz="4" w:space="0" w:color="595959" w:themeColor="text1" w:themeTint="A6"/>
            </w:tcBorders>
            <w:shd w:val="clear" w:color="auto" w:fill="595959" w:themeFill="text1" w:themeFillTint="A6"/>
          </w:tcPr>
          <w:p w:rsidR="0028027B" w:rsidRPr="00DC1EE4" w:rsidRDefault="0028027B" w:rsidP="00C03F9E">
            <w:pPr>
              <w:pStyle w:val="Tableheader"/>
            </w:pPr>
            <w:r w:rsidRPr="00DC1EE4">
              <w:br/>
            </w:r>
            <w:r w:rsidRPr="00DC1EE4">
              <w:br/>
              <w:t xml:space="preserve">Entity name: </w:t>
            </w:r>
          </w:p>
        </w:tc>
        <w:tc>
          <w:tcPr>
            <w:tcW w:w="1695"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28027B" w:rsidRPr="00DC1EE4" w:rsidRDefault="0028027B" w:rsidP="00C03F9E">
            <w:pPr>
              <w:pStyle w:val="Tableheader"/>
            </w:pPr>
            <w:r w:rsidRPr="00DC1EE4">
              <w:t>Analysis and supporting documentation</w:t>
            </w:r>
          </w:p>
        </w:tc>
      </w:tr>
      <w:tr w:rsidR="0028027B" w:rsidRPr="00DC1EE4" w:rsidTr="00C03F9E">
        <w:trPr>
          <w:trHeight w:val="238"/>
        </w:trPr>
        <w:tc>
          <w:tcPr>
            <w:tcW w:w="9775" w:type="dxa"/>
            <w:gridSpan w:val="4"/>
            <w:tcBorders>
              <w:top w:val="single" w:sz="4" w:space="0" w:color="595959" w:themeColor="text1" w:themeTint="A6"/>
              <w:left w:val="single" w:sz="4" w:space="0" w:color="BFBFBF" w:themeColor="background1" w:themeShade="BF"/>
              <w:right w:val="single" w:sz="4" w:space="0" w:color="BFBFBF" w:themeColor="background1" w:themeShade="BF"/>
            </w:tcBorders>
            <w:shd w:val="clear" w:color="auto" w:fill="DBDBDB"/>
          </w:tcPr>
          <w:p w:rsidR="0028027B" w:rsidRPr="00DC1EE4" w:rsidRDefault="0028027B" w:rsidP="00C03F9E">
            <w:pPr>
              <w:pStyle w:val="Tabletextbold"/>
            </w:pPr>
            <w:r w:rsidRPr="00DC1EE4">
              <w:t xml:space="preserve">Criterion (i): Power over the investee </w:t>
            </w:r>
          </w:p>
          <w:p w:rsidR="0028027B" w:rsidRPr="00DC1EE4" w:rsidRDefault="0028027B" w:rsidP="00C03F9E">
            <w:pPr>
              <w:pStyle w:val="Tabletext"/>
            </w:pPr>
            <w:r w:rsidRPr="00DC1EE4">
              <w:t>Questions 1</w:t>
            </w:r>
            <w:r w:rsidR="005A4BB0">
              <w:noBreakHyphen/>
            </w:r>
            <w:r w:rsidRPr="00DC1EE4">
              <w:t xml:space="preserve">9 are to help you assess whether you have power over the other entity. The determination depends on the relevant activities, the way decisions about the relevant activities are made and the rights you and other parties have in relation to the other entity. </w:t>
            </w:r>
          </w:p>
        </w:tc>
      </w:tr>
      <w:tr w:rsidR="0028027B" w:rsidRPr="00DC1EE4" w:rsidTr="00C03F9E">
        <w:trPr>
          <w:trHeight w:val="1467"/>
        </w:trPr>
        <w:tc>
          <w:tcPr>
            <w:tcW w:w="498" w:type="dxa"/>
            <w:tcBorders>
              <w:left w:val="single" w:sz="4" w:space="0" w:color="BFBFBF" w:themeColor="background1" w:themeShade="BF"/>
            </w:tcBorders>
          </w:tcPr>
          <w:p w:rsidR="0028027B" w:rsidRPr="00DC1EE4" w:rsidRDefault="0028027B" w:rsidP="00C03F9E">
            <w:pPr>
              <w:numPr>
                <w:ilvl w:val="0"/>
                <w:numId w:val="23"/>
              </w:numPr>
              <w:contextualSpacing/>
            </w:pPr>
          </w:p>
        </w:tc>
        <w:tc>
          <w:tcPr>
            <w:tcW w:w="7582" w:type="dxa"/>
            <w:gridSpan w:val="2"/>
            <w:tcBorders>
              <w:right w:val="single" w:sz="4" w:space="0" w:color="BFBFBF" w:themeColor="background1" w:themeShade="BF"/>
            </w:tcBorders>
          </w:tcPr>
          <w:p w:rsidR="0028027B" w:rsidRPr="00DC1EE4" w:rsidRDefault="0028027B" w:rsidP="00C03F9E">
            <w:pPr>
              <w:pStyle w:val="Tabletext"/>
            </w:pPr>
            <w:r w:rsidRPr="00DC1EE4">
              <w:t xml:space="preserve">Who is the other entity subject to the assessment for </w:t>
            </w:r>
            <w:r w:rsidR="005A4BB0">
              <w:t>‘</w:t>
            </w:r>
            <w:r w:rsidRPr="00DC1EE4">
              <w:t>control</w:t>
            </w:r>
            <w:r w:rsidR="005A4BB0">
              <w:t>’</w:t>
            </w:r>
            <w:r w:rsidRPr="00DC1EE4">
              <w:t>?</w:t>
            </w:r>
          </w:p>
          <w:p w:rsidR="0028027B" w:rsidRPr="00DC1EE4" w:rsidRDefault="0028027B" w:rsidP="00C03F9E">
            <w:pPr>
              <w:pStyle w:val="Tabletextbold"/>
            </w:pPr>
            <w:r w:rsidRPr="00DC1EE4">
              <w:t>Note:</w:t>
            </w:r>
          </w:p>
          <w:p w:rsidR="0028027B" w:rsidRPr="00DC1EE4" w:rsidRDefault="0028027B" w:rsidP="00C03F9E">
            <w:pPr>
              <w:pStyle w:val="Tabletext"/>
            </w:pPr>
            <w:r w:rsidRPr="00DC1EE4">
              <w:t xml:space="preserve">The basic terms </w:t>
            </w:r>
            <w:r w:rsidR="005A4BB0">
              <w:t>‘</w:t>
            </w:r>
            <w:r w:rsidRPr="00DC1EE4">
              <w:t>investor</w:t>
            </w:r>
            <w:r w:rsidR="005A4BB0">
              <w:t>’</w:t>
            </w:r>
            <w:r w:rsidRPr="00DC1EE4">
              <w:t xml:space="preserve"> and </w:t>
            </w:r>
            <w:r w:rsidR="005A4BB0">
              <w:t>‘</w:t>
            </w:r>
            <w:r w:rsidRPr="00DC1EE4">
              <w:t>investee</w:t>
            </w:r>
            <w:r w:rsidR="005A4BB0">
              <w:t>’</w:t>
            </w:r>
            <w:r w:rsidRPr="00DC1EE4">
              <w:t xml:space="preserve"> in AASB 10 are explained as entities that have a relationship in which control of one entity (the investee) by the other (the investor) might arise.</w:t>
            </w:r>
          </w:p>
        </w:tc>
        <w:tc>
          <w:tcPr>
            <w:tcW w:w="1695" w:type="dxa"/>
            <w:tcBorders>
              <w:left w:val="single" w:sz="4" w:space="0" w:color="BFBFBF" w:themeColor="background1" w:themeShade="BF"/>
              <w:right w:val="single" w:sz="4" w:space="0" w:color="BFBFBF" w:themeColor="background1" w:themeShade="BF"/>
            </w:tcBorders>
          </w:tcPr>
          <w:p w:rsidR="0028027B" w:rsidRPr="00DC1EE4" w:rsidRDefault="0028027B" w:rsidP="00C03F9E">
            <w:pPr>
              <w:pStyle w:val="Tabletext"/>
            </w:pPr>
          </w:p>
        </w:tc>
      </w:tr>
      <w:tr w:rsidR="0028027B" w:rsidRPr="00DC1EE4" w:rsidTr="00C03F9E">
        <w:trPr>
          <w:trHeight w:val="1467"/>
        </w:trPr>
        <w:tc>
          <w:tcPr>
            <w:tcW w:w="498" w:type="dxa"/>
            <w:tcBorders>
              <w:left w:val="single" w:sz="4" w:space="0" w:color="BFBFBF" w:themeColor="background1" w:themeShade="BF"/>
            </w:tcBorders>
          </w:tcPr>
          <w:p w:rsidR="0028027B" w:rsidRPr="00DC1EE4" w:rsidRDefault="0028027B" w:rsidP="00C03F9E">
            <w:pPr>
              <w:numPr>
                <w:ilvl w:val="0"/>
                <w:numId w:val="23"/>
              </w:numPr>
              <w:contextualSpacing/>
            </w:pPr>
          </w:p>
        </w:tc>
        <w:tc>
          <w:tcPr>
            <w:tcW w:w="7582" w:type="dxa"/>
            <w:gridSpan w:val="2"/>
            <w:tcBorders>
              <w:right w:val="single" w:sz="4" w:space="0" w:color="BFBFBF" w:themeColor="background1" w:themeShade="BF"/>
            </w:tcBorders>
          </w:tcPr>
          <w:p w:rsidR="0028027B" w:rsidRPr="00DC1EE4" w:rsidRDefault="0028027B" w:rsidP="00C03F9E">
            <w:pPr>
              <w:pStyle w:val="Tabletext"/>
            </w:pPr>
            <w:r w:rsidRPr="00DC1EE4">
              <w:t>What is the nature of the relationship with the other entity?</w:t>
            </w:r>
          </w:p>
          <w:p w:rsidR="0028027B" w:rsidRPr="00DC1EE4" w:rsidRDefault="0028027B" w:rsidP="00C03F9E">
            <w:pPr>
              <w:pStyle w:val="Tabletextbold"/>
            </w:pPr>
            <w:r w:rsidRPr="00DC1EE4">
              <w:t>Note:</w:t>
            </w:r>
          </w:p>
          <w:p w:rsidR="0028027B" w:rsidRPr="00DC1EE4" w:rsidRDefault="0028027B" w:rsidP="00C03F9E">
            <w:pPr>
              <w:pStyle w:val="Tabletext"/>
            </w:pPr>
            <w:r w:rsidRPr="00DC1EE4">
              <w:t xml:space="preserve">When assessing control, an investor shall consider the nature of its relationship with other parties. In the public sector, the relationship between a government and entities can often been established in one of the following scenarios, which may or may not result in government controlling the other entity, depending on the specific circumstances. </w:t>
            </w:r>
          </w:p>
          <w:p w:rsidR="0028027B" w:rsidRPr="00DC1EE4" w:rsidRDefault="0028027B" w:rsidP="00C03F9E">
            <w:pPr>
              <w:pStyle w:val="SmallLine"/>
            </w:pPr>
          </w:p>
          <w:p w:rsidR="0028027B" w:rsidRPr="00DC1EE4" w:rsidRDefault="0028027B" w:rsidP="00C03F9E">
            <w:pPr>
              <w:pStyle w:val="Tabletextbold"/>
            </w:pPr>
            <w:r w:rsidRPr="00DC1EE4">
              <w:t xml:space="preserve">Economic dependence </w:t>
            </w:r>
          </w:p>
          <w:p w:rsidR="0028027B" w:rsidRPr="00DC1EE4" w:rsidRDefault="0028027B" w:rsidP="00C03F9E">
            <w:pPr>
              <w:pStyle w:val="Tabletext"/>
            </w:pPr>
            <w:r w:rsidRPr="00DC1EE4">
              <w:t>A statutory entity</w:t>
            </w:r>
            <w:r w:rsidR="005A4BB0">
              <w:t>’</w:t>
            </w:r>
            <w:r w:rsidRPr="00DC1EE4">
              <w:t xml:space="preserve">s operations could be dependent on the Government, e.g. dependence on the Government to fund a significant portion of its operations, guarantee a significant portion of its obligations, or provide critical goods or services. Nevertheless, if the governing body of the statutory entity has discretion with respect to whether it will accept resources from the Government, or the manner in which their resources are to be deployed, the Government is considered not to have the current ability to direct the relevant activities of the entity, even though it may be financially dependent on government funding. </w:t>
            </w:r>
          </w:p>
          <w:p w:rsidR="0028027B" w:rsidRPr="00DC1EE4" w:rsidRDefault="0028027B" w:rsidP="00C03F9E">
            <w:pPr>
              <w:pStyle w:val="Tabletext"/>
            </w:pPr>
            <w:r w:rsidRPr="00DC1EE4">
              <w:t>Therefore, the economic dependence of an investee on the investor does not necessarily lead to the investor having power over the investee, in the absence of other rights.</w:t>
            </w:r>
          </w:p>
          <w:p w:rsidR="0028027B" w:rsidRPr="00DC1EE4" w:rsidRDefault="0028027B" w:rsidP="00C03F9E">
            <w:pPr>
              <w:pStyle w:val="SmallLine"/>
            </w:pPr>
          </w:p>
          <w:p w:rsidR="0028027B" w:rsidRPr="00DC1EE4" w:rsidRDefault="0028027B" w:rsidP="00C03F9E">
            <w:pPr>
              <w:pStyle w:val="Tabletextbold"/>
            </w:pPr>
            <w:r w:rsidRPr="00DC1EE4">
              <w:t>Existence of congruent objectives</w:t>
            </w:r>
          </w:p>
          <w:p w:rsidR="0028027B" w:rsidRPr="00DC1EE4" w:rsidRDefault="0028027B" w:rsidP="00C03F9E">
            <w:pPr>
              <w:pStyle w:val="SmallLine"/>
            </w:pPr>
          </w:p>
          <w:p w:rsidR="0028027B" w:rsidRPr="00DC1EE4" w:rsidRDefault="0028027B" w:rsidP="00C03F9E">
            <w:pPr>
              <w:pStyle w:val="Tabletext"/>
            </w:pPr>
            <w:r w:rsidRPr="00DC1EE4">
              <w:t>The Government would have the ability to use its power over the entity when it can direct the entity to work with the Government to further the Government</w:t>
            </w:r>
            <w:r w:rsidR="005A4BB0">
              <w:t>’</w:t>
            </w:r>
            <w:r w:rsidRPr="00DC1EE4">
              <w:t>s objectives. However, the existence of congruent objectives alone is insufficient for a government to conclude that it controls a statutory entity.</w:t>
            </w:r>
          </w:p>
          <w:p w:rsidR="0028027B" w:rsidRPr="00DC1EE4" w:rsidRDefault="0028027B" w:rsidP="00C03F9E">
            <w:pPr>
              <w:pStyle w:val="SmallLine"/>
            </w:pPr>
          </w:p>
          <w:p w:rsidR="0028027B" w:rsidRPr="00DC1EE4" w:rsidRDefault="0028027B" w:rsidP="00C03F9E">
            <w:pPr>
              <w:pStyle w:val="Tabletextbold"/>
            </w:pPr>
            <w:r w:rsidRPr="00DC1EE4">
              <w:t xml:space="preserve">Delegated powers </w:t>
            </w:r>
          </w:p>
          <w:p w:rsidR="0028027B" w:rsidRPr="00DC1EE4" w:rsidRDefault="0028027B" w:rsidP="00C03F9E">
            <w:pPr>
              <w:pStyle w:val="Tabletext"/>
            </w:pPr>
            <w:r w:rsidRPr="00DC1EE4">
              <w:t>A department with decision</w:t>
            </w:r>
            <w:r w:rsidR="005A4BB0">
              <w:noBreakHyphen/>
            </w:r>
            <w:r w:rsidRPr="00DC1EE4">
              <w:t xml:space="preserve">making rights is required by AASB 10 to determine whether it is a principal or an agent. See Item 14 for more details regarding when a department controls over another entity through the delegated powers. </w:t>
            </w:r>
          </w:p>
          <w:p w:rsidR="0028027B" w:rsidRPr="00DC1EE4" w:rsidRDefault="0028027B" w:rsidP="00C03F9E">
            <w:pPr>
              <w:pStyle w:val="SmallLine"/>
            </w:pPr>
          </w:p>
          <w:p w:rsidR="0028027B" w:rsidRPr="00DC1EE4" w:rsidRDefault="0028027B" w:rsidP="00C03F9E">
            <w:pPr>
              <w:pStyle w:val="Tabletextbold"/>
            </w:pPr>
            <w:r w:rsidRPr="00DC1EE4">
              <w:t>De facto agency relationship</w:t>
            </w:r>
          </w:p>
          <w:p w:rsidR="0028027B" w:rsidRPr="00DC1EE4" w:rsidRDefault="0028027B" w:rsidP="00C03F9E">
            <w:pPr>
              <w:pStyle w:val="Tabletext"/>
            </w:pPr>
            <w:r w:rsidRPr="00DC1EE4">
              <w:t>A party is a de facto agent if the investor or those who control the investor have the ability to direct that party to act on the investor</w:t>
            </w:r>
            <w:r w:rsidR="005A4BB0">
              <w:t>’</w:t>
            </w:r>
            <w:r w:rsidRPr="00DC1EE4">
              <w:t xml:space="preserve">s behalf (i.e. they are </w:t>
            </w:r>
            <w:r w:rsidR="005A4BB0">
              <w:t>‘</w:t>
            </w:r>
            <w:r w:rsidRPr="00DC1EE4">
              <w:t>de facto agents</w:t>
            </w:r>
            <w:r w:rsidR="005A4BB0">
              <w:t>’</w:t>
            </w:r>
            <w:r w:rsidRPr="00DC1EE4">
              <w:t xml:space="preserve">). Refer to </w:t>
            </w:r>
            <w:r w:rsidRPr="00DC1EE4">
              <w:rPr>
                <w:i/>
              </w:rPr>
              <w:t xml:space="preserve">Detailed guidance for application of AASB 10 Consolidated Financial Statements </w:t>
            </w:r>
            <w:r w:rsidRPr="00DC1EE4">
              <w:t xml:space="preserve">at the end of this appendix for more details regarding an entity acts as a </w:t>
            </w:r>
            <w:r w:rsidR="005A4BB0">
              <w:t>‘</w:t>
            </w:r>
            <w:r w:rsidRPr="00DC1EE4">
              <w:t>de facto agent</w:t>
            </w:r>
            <w:r w:rsidR="005A4BB0">
              <w:t>’</w:t>
            </w:r>
            <w:r w:rsidRPr="00DC1EE4">
              <w:t>.</w:t>
            </w:r>
          </w:p>
        </w:tc>
        <w:tc>
          <w:tcPr>
            <w:tcW w:w="1695" w:type="dxa"/>
            <w:tcBorders>
              <w:left w:val="single" w:sz="4" w:space="0" w:color="BFBFBF" w:themeColor="background1" w:themeShade="BF"/>
              <w:right w:val="single" w:sz="4" w:space="0" w:color="BFBFBF" w:themeColor="background1" w:themeShade="BF"/>
            </w:tcBorders>
          </w:tcPr>
          <w:p w:rsidR="0028027B" w:rsidRPr="00DC1EE4" w:rsidRDefault="0028027B" w:rsidP="00C03F9E">
            <w:pPr>
              <w:pStyle w:val="Tabletext"/>
            </w:pPr>
          </w:p>
        </w:tc>
      </w:tr>
      <w:tr w:rsidR="0028027B" w:rsidRPr="00DC1EE4" w:rsidTr="00C03F9E">
        <w:trPr>
          <w:trHeight w:val="418"/>
        </w:trPr>
        <w:tc>
          <w:tcPr>
            <w:tcW w:w="498" w:type="dxa"/>
            <w:tcBorders>
              <w:left w:val="single" w:sz="4" w:space="0" w:color="BFBFBF" w:themeColor="background1" w:themeShade="BF"/>
              <w:bottom w:val="single" w:sz="4" w:space="0" w:color="595959" w:themeColor="text1" w:themeTint="A6"/>
            </w:tcBorders>
          </w:tcPr>
          <w:p w:rsidR="0028027B" w:rsidRPr="00DC1EE4" w:rsidRDefault="0028027B" w:rsidP="00C03F9E">
            <w:pPr>
              <w:numPr>
                <w:ilvl w:val="0"/>
                <w:numId w:val="23"/>
              </w:numPr>
              <w:contextualSpacing/>
            </w:pPr>
          </w:p>
        </w:tc>
        <w:tc>
          <w:tcPr>
            <w:tcW w:w="7582" w:type="dxa"/>
            <w:gridSpan w:val="2"/>
            <w:tcBorders>
              <w:bottom w:val="single" w:sz="4" w:space="0" w:color="595959" w:themeColor="text1" w:themeTint="A6"/>
              <w:right w:val="single" w:sz="4" w:space="0" w:color="BFBFBF" w:themeColor="background1" w:themeShade="BF"/>
            </w:tcBorders>
          </w:tcPr>
          <w:p w:rsidR="0028027B" w:rsidRPr="00DC1EE4" w:rsidRDefault="0028027B" w:rsidP="00C03F9E">
            <w:pPr>
              <w:pStyle w:val="Tabletext"/>
            </w:pPr>
            <w:r w:rsidRPr="00DC1EE4">
              <w:t xml:space="preserve">What is the primary objective and functions of the other entity? </w:t>
            </w:r>
          </w:p>
          <w:p w:rsidR="0028027B" w:rsidRPr="00DC1EE4" w:rsidRDefault="0028027B" w:rsidP="00C03F9E">
            <w:pPr>
              <w:pStyle w:val="Tabletextbold"/>
            </w:pPr>
            <w:r w:rsidRPr="00DC1EE4">
              <w:t>Note:</w:t>
            </w:r>
          </w:p>
          <w:p w:rsidR="0028027B" w:rsidRPr="00DC1EE4" w:rsidRDefault="0028027B" w:rsidP="00C03F9E">
            <w:pPr>
              <w:pStyle w:val="Tabletext"/>
            </w:pPr>
            <w:r w:rsidRPr="00DC1EE4">
              <w:t xml:space="preserve">Assessing the purpose and design of the other entity will assist you in understanding what are the relevant activities taken by the other entity, and how decisions about the relevant activities are made. </w:t>
            </w:r>
          </w:p>
          <w:p w:rsidR="0028027B" w:rsidRPr="00DC1EE4" w:rsidRDefault="0028027B" w:rsidP="00C03F9E">
            <w:pPr>
              <w:pStyle w:val="SmallLine"/>
            </w:pPr>
          </w:p>
          <w:p w:rsidR="0028027B" w:rsidRPr="00DC1EE4" w:rsidRDefault="0028027B" w:rsidP="00C03F9E">
            <w:pPr>
              <w:pStyle w:val="Tabletext"/>
            </w:pPr>
            <w:r w:rsidRPr="00DC1EE4">
              <w:t>As the primary objective will affect the nature of the other entity</w:t>
            </w:r>
            <w:r w:rsidR="005A4BB0">
              <w:t>’</w:t>
            </w:r>
            <w:r w:rsidRPr="00DC1EE4">
              <w:t>s returns to be achieved, understanding the primary objective of the other entity will assist you to determine the scope of its relevant activities.</w:t>
            </w:r>
          </w:p>
        </w:tc>
        <w:tc>
          <w:tcPr>
            <w:tcW w:w="1695" w:type="dxa"/>
            <w:tcBorders>
              <w:left w:val="single" w:sz="4" w:space="0" w:color="BFBFBF" w:themeColor="background1" w:themeShade="BF"/>
              <w:bottom w:val="single" w:sz="4" w:space="0" w:color="595959" w:themeColor="text1" w:themeTint="A6"/>
              <w:right w:val="single" w:sz="4" w:space="0" w:color="BFBFBF" w:themeColor="background1" w:themeShade="BF"/>
            </w:tcBorders>
          </w:tcPr>
          <w:p w:rsidR="0028027B" w:rsidRPr="00DC1EE4" w:rsidRDefault="0028027B" w:rsidP="00C03F9E">
            <w:pPr>
              <w:pStyle w:val="Tabletext"/>
            </w:pPr>
          </w:p>
        </w:tc>
      </w:tr>
      <w:tr w:rsidR="0028027B" w:rsidRPr="00DC1EE4" w:rsidTr="00C03F9E">
        <w:trPr>
          <w:trHeight w:val="238"/>
        </w:trPr>
        <w:tc>
          <w:tcPr>
            <w:tcW w:w="9775" w:type="dxa"/>
            <w:gridSpan w:val="4"/>
            <w:tcBorders>
              <w:top w:val="single" w:sz="4" w:space="0" w:color="595959" w:themeColor="text1" w:themeTint="A6"/>
              <w:left w:val="single" w:sz="4" w:space="0" w:color="BFBFBF" w:themeColor="background1" w:themeShade="BF"/>
              <w:right w:val="single" w:sz="4" w:space="0" w:color="BFBFBF" w:themeColor="background1" w:themeShade="BF"/>
            </w:tcBorders>
            <w:shd w:val="clear" w:color="auto" w:fill="DBDBDB"/>
          </w:tcPr>
          <w:p w:rsidR="0028027B" w:rsidRPr="00DC1EE4" w:rsidRDefault="0028027B" w:rsidP="00C03F9E">
            <w:pPr>
              <w:pStyle w:val="Tabletextbold"/>
              <w:pageBreakBefore/>
            </w:pPr>
            <w:r w:rsidRPr="00DC1EE4">
              <w:t xml:space="preserve">Criterion (i): Power over the investee </w:t>
            </w:r>
            <w:r w:rsidRPr="00595D93">
              <w:rPr>
                <w:i/>
              </w:rPr>
              <w:t>(continued)</w:t>
            </w:r>
            <w:r w:rsidRPr="00DC1EE4">
              <w:t xml:space="preserve"> </w:t>
            </w:r>
          </w:p>
        </w:tc>
      </w:tr>
      <w:tr w:rsidR="0028027B" w:rsidRPr="00DC1EE4" w:rsidTr="00C03F9E">
        <w:trPr>
          <w:trHeight w:val="250"/>
        </w:trPr>
        <w:tc>
          <w:tcPr>
            <w:tcW w:w="498" w:type="dxa"/>
            <w:tcBorders>
              <w:left w:val="single" w:sz="4" w:space="0" w:color="BFBFBF" w:themeColor="background1" w:themeShade="BF"/>
            </w:tcBorders>
          </w:tcPr>
          <w:p w:rsidR="0028027B" w:rsidRPr="00DC1EE4" w:rsidRDefault="0028027B" w:rsidP="00C03F9E">
            <w:pPr>
              <w:numPr>
                <w:ilvl w:val="0"/>
                <w:numId w:val="23"/>
              </w:numPr>
              <w:contextualSpacing/>
            </w:pPr>
          </w:p>
        </w:tc>
        <w:tc>
          <w:tcPr>
            <w:tcW w:w="7582" w:type="dxa"/>
            <w:gridSpan w:val="2"/>
            <w:tcBorders>
              <w:right w:val="single" w:sz="4" w:space="0" w:color="BFBFBF" w:themeColor="background1" w:themeShade="BF"/>
            </w:tcBorders>
          </w:tcPr>
          <w:p w:rsidR="0028027B" w:rsidRPr="00DC1EE4" w:rsidRDefault="0028027B" w:rsidP="00C03F9E">
            <w:pPr>
              <w:pStyle w:val="Tabletext"/>
            </w:pPr>
            <w:r w:rsidRPr="00DC1EE4">
              <w:t xml:space="preserve">What are the relevant activities of the other entity that significantly affect its returns? </w:t>
            </w:r>
          </w:p>
          <w:p w:rsidR="0028027B" w:rsidRPr="00DC1EE4" w:rsidRDefault="0028027B" w:rsidP="00C03F9E">
            <w:pPr>
              <w:pStyle w:val="Tabletextbold"/>
            </w:pPr>
            <w:r w:rsidRPr="00DC1EE4">
              <w:t>Note:</w:t>
            </w:r>
          </w:p>
          <w:p w:rsidR="0028027B" w:rsidRPr="00DC1EE4" w:rsidRDefault="0028027B" w:rsidP="00C03F9E">
            <w:pPr>
              <w:pStyle w:val="Tabletext"/>
            </w:pPr>
            <w:r w:rsidRPr="00DC1EE4">
              <w:t>The relevant activities will include a range of operating and financing activities that significantly affect an entity</w:t>
            </w:r>
            <w:r w:rsidR="005A4BB0">
              <w:t>’</w:t>
            </w:r>
            <w:r w:rsidRPr="00DC1EE4">
              <w:t>s returns. In that case, if your entity were able to set the strategic operating and financing policies of the other entity, you would usually have power.</w:t>
            </w:r>
          </w:p>
          <w:p w:rsidR="0028027B" w:rsidRPr="00DC1EE4" w:rsidRDefault="0028027B" w:rsidP="00C03F9E">
            <w:pPr>
              <w:pStyle w:val="SmallLine"/>
            </w:pPr>
          </w:p>
          <w:p w:rsidR="0028027B" w:rsidRPr="00DC1EE4" w:rsidRDefault="0028027B" w:rsidP="00C03F9E">
            <w:pPr>
              <w:pStyle w:val="Tabletext"/>
            </w:pPr>
            <w:r w:rsidRPr="00DC1EE4">
              <w:t>However, a higher degree of judgement is particularly required for entities in the public sector when the primary objectives of the other entity could include non</w:t>
            </w:r>
            <w:r w:rsidR="005A4BB0">
              <w:noBreakHyphen/>
            </w:r>
            <w:r w:rsidRPr="00DC1EE4">
              <w:t>financial returns. More specifically, examples of relevant activities in the public sector include, but are not limited to:</w:t>
            </w:r>
          </w:p>
          <w:p w:rsidR="0028027B" w:rsidRPr="00DC1EE4" w:rsidRDefault="0028027B" w:rsidP="0028027B">
            <w:pPr>
              <w:pStyle w:val="TableBullet"/>
              <w:ind w:left="288" w:hanging="288"/>
            </w:pPr>
            <w:r w:rsidRPr="00DC1EE4">
              <w:t>the achievement of the other entity</w:t>
            </w:r>
            <w:r w:rsidR="005A4BB0">
              <w:t>’</w:t>
            </w:r>
            <w:r w:rsidRPr="00DC1EE4">
              <w:t>s objectives as set out in the specific legislation;</w:t>
            </w:r>
          </w:p>
          <w:p w:rsidR="0028027B" w:rsidRPr="00DC1EE4" w:rsidRDefault="0028027B" w:rsidP="0028027B">
            <w:pPr>
              <w:pStyle w:val="TableBullet"/>
              <w:ind w:left="288" w:hanging="288"/>
            </w:pPr>
            <w:r w:rsidRPr="00DC1EE4">
              <w:t>raising revenue to fund its functions and activities;</w:t>
            </w:r>
          </w:p>
          <w:p w:rsidR="0028027B" w:rsidRPr="00DC1EE4" w:rsidRDefault="0028027B" w:rsidP="0028027B">
            <w:pPr>
              <w:pStyle w:val="TableBullet"/>
              <w:ind w:left="288" w:hanging="288"/>
            </w:pPr>
            <w:r w:rsidRPr="00DC1EE4">
              <w:t>planning for and providing services and facilities; and</w:t>
            </w:r>
          </w:p>
          <w:p w:rsidR="0028027B" w:rsidRPr="00DC1EE4" w:rsidRDefault="0028027B" w:rsidP="0028027B">
            <w:pPr>
              <w:pStyle w:val="TableBullet"/>
              <w:ind w:left="288" w:hanging="288"/>
            </w:pPr>
            <w:r w:rsidRPr="00DC1EE4">
              <w:t>strategic planning and implementation.</w:t>
            </w:r>
          </w:p>
        </w:tc>
        <w:tc>
          <w:tcPr>
            <w:tcW w:w="169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p>
        </w:tc>
      </w:tr>
      <w:tr w:rsidR="0028027B" w:rsidRPr="00DC1EE4" w:rsidTr="00C03F9E">
        <w:trPr>
          <w:trHeight w:val="415"/>
        </w:trPr>
        <w:tc>
          <w:tcPr>
            <w:tcW w:w="498" w:type="dxa"/>
            <w:tcBorders>
              <w:left w:val="single" w:sz="4" w:space="0" w:color="BFBFBF" w:themeColor="background1" w:themeShade="BF"/>
            </w:tcBorders>
          </w:tcPr>
          <w:p w:rsidR="0028027B" w:rsidRPr="00DC1EE4" w:rsidRDefault="0028027B" w:rsidP="00C03F9E">
            <w:pPr>
              <w:numPr>
                <w:ilvl w:val="0"/>
                <w:numId w:val="23"/>
              </w:numPr>
              <w:contextualSpacing/>
            </w:pPr>
          </w:p>
        </w:tc>
        <w:tc>
          <w:tcPr>
            <w:tcW w:w="7582" w:type="dxa"/>
            <w:gridSpan w:val="2"/>
            <w:tcBorders>
              <w:right w:val="single" w:sz="4" w:space="0" w:color="BFBFBF" w:themeColor="background1" w:themeShade="BF"/>
            </w:tcBorders>
          </w:tcPr>
          <w:p w:rsidR="0028027B" w:rsidRPr="00DC1EE4" w:rsidRDefault="0028027B" w:rsidP="00C03F9E">
            <w:pPr>
              <w:pStyle w:val="TableText0"/>
            </w:pPr>
            <w:r w:rsidRPr="00DC1EE4">
              <w:t xml:space="preserve">What authority (e.g. enabling legislation, statutory provisions) is in place that enables the other entity to achieve its objectives? </w:t>
            </w:r>
          </w:p>
        </w:tc>
        <w:tc>
          <w:tcPr>
            <w:tcW w:w="1695" w:type="dxa"/>
            <w:tcBorders>
              <w:left w:val="single" w:sz="4" w:space="0" w:color="BFBFBF" w:themeColor="background1" w:themeShade="BF"/>
              <w:right w:val="single" w:sz="4" w:space="0" w:color="BFBFBF" w:themeColor="background1" w:themeShade="BF"/>
            </w:tcBorders>
          </w:tcPr>
          <w:p w:rsidR="0028027B" w:rsidRPr="00DC1EE4" w:rsidRDefault="0028027B" w:rsidP="00C03F9E">
            <w:pPr>
              <w:pStyle w:val="Tabletext"/>
            </w:pPr>
          </w:p>
        </w:tc>
      </w:tr>
      <w:tr w:rsidR="0028027B" w:rsidRPr="00DC1EE4" w:rsidTr="00C03F9E">
        <w:trPr>
          <w:trHeight w:val="250"/>
        </w:trPr>
        <w:tc>
          <w:tcPr>
            <w:tcW w:w="498" w:type="dxa"/>
            <w:tcBorders>
              <w:left w:val="single" w:sz="4" w:space="0" w:color="BFBFBF" w:themeColor="background1" w:themeShade="BF"/>
            </w:tcBorders>
          </w:tcPr>
          <w:p w:rsidR="0028027B" w:rsidRPr="00DC1EE4" w:rsidRDefault="0028027B" w:rsidP="00C03F9E">
            <w:pPr>
              <w:numPr>
                <w:ilvl w:val="0"/>
                <w:numId w:val="23"/>
              </w:numPr>
              <w:contextualSpacing/>
            </w:pPr>
          </w:p>
        </w:tc>
        <w:tc>
          <w:tcPr>
            <w:tcW w:w="7582" w:type="dxa"/>
            <w:gridSpan w:val="2"/>
            <w:tcBorders>
              <w:right w:val="single" w:sz="4" w:space="0" w:color="BFBFBF" w:themeColor="background1" w:themeShade="BF"/>
            </w:tcBorders>
          </w:tcPr>
          <w:p w:rsidR="0028027B" w:rsidRPr="00DC1EE4" w:rsidRDefault="0028027B" w:rsidP="00C03F9E">
            <w:pPr>
              <w:pStyle w:val="Tabletext"/>
            </w:pPr>
            <w:r w:rsidRPr="00DC1EE4">
              <w:t xml:space="preserve">How are decisions made about these relevant activities of the other entity? </w:t>
            </w:r>
          </w:p>
          <w:p w:rsidR="0028027B" w:rsidRPr="00DC1EE4" w:rsidRDefault="0028027B" w:rsidP="00C03F9E">
            <w:pPr>
              <w:pStyle w:val="SmallLine"/>
            </w:pPr>
          </w:p>
          <w:p w:rsidR="0028027B" w:rsidRPr="00DC1EE4" w:rsidRDefault="0028027B" w:rsidP="00C03F9E">
            <w:pPr>
              <w:pStyle w:val="Tabletextbold"/>
            </w:pPr>
            <w:r w:rsidRPr="00DC1EE4">
              <w:t>Note:</w:t>
            </w:r>
          </w:p>
          <w:p w:rsidR="0028027B" w:rsidRPr="00DC1EE4" w:rsidRDefault="0028027B" w:rsidP="00C03F9E">
            <w:pPr>
              <w:pStyle w:val="Tabletextbold"/>
            </w:pPr>
            <w:r w:rsidRPr="00DC1EE4">
              <w:t>Examples of decisions about relevant activities include but are not limited to:</w:t>
            </w:r>
          </w:p>
          <w:p w:rsidR="0028027B" w:rsidRPr="00DC1EE4" w:rsidRDefault="0028027B" w:rsidP="0028027B">
            <w:pPr>
              <w:pStyle w:val="TableBullet"/>
              <w:ind w:left="288" w:hanging="288"/>
            </w:pPr>
            <w:r w:rsidRPr="00DC1EE4">
              <w:t>making operating and capital decisions of the other entity, including budgets; and</w:t>
            </w:r>
          </w:p>
          <w:p w:rsidR="0028027B" w:rsidRPr="00DC1EE4" w:rsidRDefault="0028027B" w:rsidP="0028027B">
            <w:pPr>
              <w:pStyle w:val="TableBullet"/>
              <w:ind w:left="288" w:hanging="288"/>
            </w:pPr>
            <w:r w:rsidRPr="00DC1EE4">
              <w:t>appointing and remunerating the other entity</w:t>
            </w:r>
            <w:r w:rsidR="005A4BB0">
              <w:t>’</w:t>
            </w:r>
            <w:r w:rsidRPr="00DC1EE4">
              <w:t>s key management personnel or service providers and terminating their services or employment.</w:t>
            </w:r>
          </w:p>
          <w:p w:rsidR="0028027B" w:rsidRPr="00DC1EE4" w:rsidRDefault="0028027B" w:rsidP="00C03F9E">
            <w:pPr>
              <w:pStyle w:val="SmallLine"/>
            </w:pPr>
          </w:p>
          <w:p w:rsidR="0028027B" w:rsidRPr="00DC1EE4" w:rsidRDefault="0028027B" w:rsidP="00C03F9E">
            <w:pPr>
              <w:pStyle w:val="Tabletext"/>
            </w:pPr>
            <w:r w:rsidRPr="00DC1EE4">
              <w:t>Broadly speaking, those decisions can be made on by your entity on behalf of the relevant Minister (i.e. act as an agent), or by your entity</w:t>
            </w:r>
            <w:r w:rsidR="005A4BB0">
              <w:t>’</w:t>
            </w:r>
            <w:r w:rsidRPr="00DC1EE4">
              <w:t>s own discretion (i.e. act as a principal). If the decisions about these relevant activities of the other entity are made at your own discretion, you would have power over the other entity.</w:t>
            </w:r>
          </w:p>
        </w:tc>
        <w:tc>
          <w:tcPr>
            <w:tcW w:w="1695" w:type="dxa"/>
            <w:tcBorders>
              <w:left w:val="single" w:sz="4" w:space="0" w:color="BFBFBF" w:themeColor="background1" w:themeShade="BF"/>
              <w:right w:val="single" w:sz="4" w:space="0" w:color="BFBFBF" w:themeColor="background1" w:themeShade="BF"/>
            </w:tcBorders>
          </w:tcPr>
          <w:p w:rsidR="0028027B" w:rsidRPr="00DC1EE4" w:rsidRDefault="0028027B" w:rsidP="00C03F9E">
            <w:pPr>
              <w:pStyle w:val="Tabletext"/>
            </w:pPr>
          </w:p>
        </w:tc>
      </w:tr>
      <w:tr w:rsidR="0028027B" w:rsidRPr="00DC1EE4" w:rsidTr="00C03F9E">
        <w:trPr>
          <w:trHeight w:val="274"/>
        </w:trPr>
        <w:tc>
          <w:tcPr>
            <w:tcW w:w="498" w:type="dxa"/>
            <w:tcBorders>
              <w:left w:val="single" w:sz="4" w:space="0" w:color="BFBFBF" w:themeColor="background1" w:themeShade="BF"/>
            </w:tcBorders>
          </w:tcPr>
          <w:p w:rsidR="0028027B" w:rsidRPr="00DC1EE4" w:rsidRDefault="0028027B" w:rsidP="00C03F9E">
            <w:pPr>
              <w:numPr>
                <w:ilvl w:val="0"/>
                <w:numId w:val="23"/>
              </w:numPr>
              <w:contextualSpacing/>
            </w:pPr>
          </w:p>
        </w:tc>
        <w:tc>
          <w:tcPr>
            <w:tcW w:w="7582" w:type="dxa"/>
            <w:gridSpan w:val="2"/>
            <w:tcBorders>
              <w:right w:val="single" w:sz="4" w:space="0" w:color="BFBFBF" w:themeColor="background1" w:themeShade="BF"/>
            </w:tcBorders>
          </w:tcPr>
          <w:p w:rsidR="0028027B" w:rsidRPr="00DC1EE4" w:rsidRDefault="0028027B" w:rsidP="00C03F9E">
            <w:pPr>
              <w:pStyle w:val="Tabletext"/>
            </w:pPr>
            <w:r w:rsidRPr="00DC1EE4">
              <w:t xml:space="preserve">Do you have current ability to direct the relevant activities of the other entity? </w:t>
            </w:r>
          </w:p>
          <w:p w:rsidR="0028027B" w:rsidRPr="00DC1EE4" w:rsidRDefault="0028027B" w:rsidP="00C03F9E">
            <w:pPr>
              <w:pStyle w:val="Tabletextbold"/>
            </w:pPr>
            <w:r w:rsidRPr="00DC1EE4">
              <w:t>Note:</w:t>
            </w:r>
          </w:p>
          <w:p w:rsidR="0028027B" w:rsidRPr="00DC1EE4" w:rsidRDefault="0028027B" w:rsidP="00C03F9E">
            <w:pPr>
              <w:pStyle w:val="Tabletext"/>
            </w:pPr>
            <w:r w:rsidRPr="00DC1EE4">
              <w:t>For your entity to control the other entity, you must have the power to require the entity</w:t>
            </w:r>
            <w:r w:rsidR="005A4BB0">
              <w:t>’</w:t>
            </w:r>
            <w:r w:rsidRPr="00DC1EE4">
              <w:t>s assets to be deployed towards achieving your entity</w:t>
            </w:r>
            <w:r w:rsidR="005A4BB0">
              <w:t>’</w:t>
            </w:r>
            <w:r w:rsidRPr="00DC1EE4">
              <w:t>s objectives.</w:t>
            </w:r>
          </w:p>
          <w:p w:rsidR="0028027B" w:rsidRPr="00DC1EE4" w:rsidRDefault="0028027B" w:rsidP="00C03F9E">
            <w:pPr>
              <w:pStyle w:val="SmallLine"/>
            </w:pPr>
          </w:p>
          <w:p w:rsidR="0028027B" w:rsidRPr="00DC1EE4" w:rsidRDefault="0028027B" w:rsidP="00C03F9E">
            <w:pPr>
              <w:pStyle w:val="Tabletext"/>
            </w:pPr>
            <w:r w:rsidRPr="00DC1EE4">
              <w:t xml:space="preserve">Therefore, the ability to deploy resources is relevant to assessing whether your entity has power over the other entity. Restrictions on the ability to deploy resources may reflect barriers that prevent you from exercising them. Examples of barriers may include operational barriers, legal or regulatory restrictions. </w:t>
            </w:r>
          </w:p>
          <w:p w:rsidR="0028027B" w:rsidRPr="00DC1EE4" w:rsidRDefault="0028027B" w:rsidP="00C03F9E">
            <w:pPr>
              <w:pStyle w:val="SmallLine"/>
            </w:pPr>
          </w:p>
          <w:p w:rsidR="0028027B" w:rsidRPr="00DC1EE4" w:rsidRDefault="0028027B" w:rsidP="00C03F9E">
            <w:pPr>
              <w:pStyle w:val="Tabletext"/>
            </w:pPr>
            <w:r w:rsidRPr="00DC1EE4">
              <w:t>In addition, the economic dependence of the other entity on you alone is insufficient to determine whether you have current ability to deploy the other entity</w:t>
            </w:r>
            <w:r w:rsidR="005A4BB0">
              <w:t>’</w:t>
            </w:r>
            <w:r w:rsidRPr="00DC1EE4">
              <w:t xml:space="preserve">s assets. See Item 2 for more guidance on economic dependence. </w:t>
            </w:r>
          </w:p>
        </w:tc>
        <w:tc>
          <w:tcPr>
            <w:tcW w:w="1695" w:type="dxa"/>
            <w:tcBorders>
              <w:left w:val="single" w:sz="4" w:space="0" w:color="BFBFBF" w:themeColor="background1" w:themeShade="BF"/>
              <w:right w:val="single" w:sz="4" w:space="0" w:color="BFBFBF" w:themeColor="background1" w:themeShade="BF"/>
            </w:tcBorders>
          </w:tcPr>
          <w:p w:rsidR="0028027B" w:rsidRPr="00DC1EE4" w:rsidRDefault="0028027B" w:rsidP="00C03F9E">
            <w:pPr>
              <w:pStyle w:val="Tabletext"/>
            </w:pPr>
          </w:p>
        </w:tc>
      </w:tr>
      <w:tr w:rsidR="0028027B" w:rsidRPr="00DC1EE4" w:rsidTr="00C03F9E">
        <w:trPr>
          <w:trHeight w:val="535"/>
        </w:trPr>
        <w:tc>
          <w:tcPr>
            <w:tcW w:w="498" w:type="dxa"/>
            <w:tcBorders>
              <w:left w:val="single" w:sz="4" w:space="0" w:color="BFBFBF" w:themeColor="background1" w:themeShade="BF"/>
              <w:bottom w:val="single" w:sz="4" w:space="0" w:color="595959" w:themeColor="text1" w:themeTint="A6"/>
            </w:tcBorders>
          </w:tcPr>
          <w:p w:rsidR="0028027B" w:rsidRPr="00DC1EE4" w:rsidRDefault="0028027B" w:rsidP="00C03F9E">
            <w:pPr>
              <w:numPr>
                <w:ilvl w:val="0"/>
                <w:numId w:val="23"/>
              </w:numPr>
              <w:contextualSpacing/>
            </w:pPr>
          </w:p>
        </w:tc>
        <w:tc>
          <w:tcPr>
            <w:tcW w:w="7582" w:type="dxa"/>
            <w:gridSpan w:val="2"/>
            <w:tcBorders>
              <w:bottom w:val="single" w:sz="4" w:space="0" w:color="595959" w:themeColor="text1" w:themeTint="A6"/>
              <w:right w:val="single" w:sz="4" w:space="0" w:color="BFBFBF" w:themeColor="background1" w:themeShade="BF"/>
            </w:tcBorders>
          </w:tcPr>
          <w:p w:rsidR="0028027B" w:rsidRPr="00DC1EE4" w:rsidRDefault="0028027B" w:rsidP="00C03F9E">
            <w:pPr>
              <w:pStyle w:val="Tabletext"/>
            </w:pPr>
            <w:r w:rsidRPr="00DC1EE4">
              <w:t>What</w:t>
            </w:r>
            <w:r w:rsidR="005A4BB0">
              <w:t>’</w:t>
            </w:r>
            <w:r w:rsidRPr="00DC1EE4">
              <w:t>s the nature of rights held by you over the other entity? Are they only substantive rights, or only protective rights or both?</w:t>
            </w:r>
          </w:p>
          <w:p w:rsidR="0028027B" w:rsidRPr="00DC1EE4" w:rsidRDefault="0028027B" w:rsidP="00C03F9E">
            <w:pPr>
              <w:pStyle w:val="Tabletextbold"/>
            </w:pPr>
            <w:r w:rsidRPr="00DC1EE4">
              <w:t>Note:</w:t>
            </w:r>
          </w:p>
          <w:p w:rsidR="0028027B" w:rsidRPr="00DC1EE4" w:rsidRDefault="0028027B" w:rsidP="00C03F9E">
            <w:pPr>
              <w:pStyle w:val="Tabletext"/>
            </w:pPr>
            <w:r w:rsidRPr="00DC1EE4">
              <w:t xml:space="preserve">For a right to be substantive and to meet the </w:t>
            </w:r>
            <w:r w:rsidR="005A4BB0">
              <w:t>‘</w:t>
            </w:r>
            <w:r w:rsidRPr="00DC1EE4">
              <w:t>power</w:t>
            </w:r>
            <w:r w:rsidR="005A4BB0">
              <w:t>’</w:t>
            </w:r>
            <w:r w:rsidRPr="00DC1EE4">
              <w:t xml:space="preserve"> test, you must have the practical ability to exercise that right when decisions about the directions of relevant activities need to be made. Accordingly, you need to consider what are the relevant activities of the other entity, including the nature of returns to determine whether you have power.</w:t>
            </w:r>
          </w:p>
          <w:p w:rsidR="0028027B" w:rsidRPr="00DC1EE4" w:rsidRDefault="0028027B" w:rsidP="00C03F9E">
            <w:pPr>
              <w:pStyle w:val="SmallLine"/>
            </w:pPr>
          </w:p>
          <w:p w:rsidR="0028027B" w:rsidRPr="00DC1EE4" w:rsidRDefault="0028027B" w:rsidP="00C03F9E">
            <w:pPr>
              <w:pStyle w:val="Tabletext"/>
            </w:pPr>
            <w:r w:rsidRPr="00DC1EE4">
              <w:t>Examples of substantive rights include rights to:</w:t>
            </w:r>
          </w:p>
          <w:p w:rsidR="0028027B" w:rsidRPr="00DC1EE4" w:rsidRDefault="0028027B" w:rsidP="0028027B">
            <w:pPr>
              <w:pStyle w:val="TableBullet"/>
              <w:ind w:left="288" w:hanging="288"/>
            </w:pPr>
            <w:r w:rsidRPr="00DC1EE4">
              <w:t>give policy directions to the governing body of the other entity that give you the ability to direct the relevant activities of the other entity;</w:t>
            </w:r>
          </w:p>
          <w:p w:rsidR="0028027B" w:rsidRPr="00DC1EE4" w:rsidRDefault="0028027B" w:rsidP="0028027B">
            <w:pPr>
              <w:pStyle w:val="TableBullet"/>
              <w:ind w:left="288" w:hanging="288"/>
            </w:pPr>
            <w:r w:rsidRPr="00DC1EE4">
              <w:t>approve or veto operating and capital budgets relating to the relevant activities of the other entity;</w:t>
            </w:r>
          </w:p>
          <w:p w:rsidR="0028027B" w:rsidRPr="00DC1EE4" w:rsidRDefault="0028027B" w:rsidP="0028027B">
            <w:pPr>
              <w:pStyle w:val="TableBullet"/>
              <w:ind w:left="288" w:hanging="288"/>
            </w:pPr>
            <w:r w:rsidRPr="00DC1EE4">
              <w:t>appoint, or remove the entity</w:t>
            </w:r>
            <w:r w:rsidR="005A4BB0">
              <w:t>’</w:t>
            </w:r>
            <w:r w:rsidRPr="00DC1EE4">
              <w:t>s key management personnel; or</w:t>
            </w:r>
          </w:p>
          <w:p w:rsidR="0028027B" w:rsidRPr="00DC1EE4" w:rsidRDefault="0028027B" w:rsidP="0028027B">
            <w:pPr>
              <w:pStyle w:val="TableBullet"/>
              <w:ind w:left="288" w:hanging="288"/>
            </w:pPr>
            <w:r w:rsidRPr="00DC1EE4">
              <w:t>enter into, or veto transactions that would benefit you.</w:t>
            </w:r>
          </w:p>
        </w:tc>
        <w:tc>
          <w:tcPr>
            <w:tcW w:w="1695" w:type="dxa"/>
            <w:tcBorders>
              <w:left w:val="single" w:sz="4" w:space="0" w:color="BFBFBF" w:themeColor="background1" w:themeShade="BF"/>
              <w:bottom w:val="single" w:sz="4" w:space="0" w:color="595959" w:themeColor="text1" w:themeTint="A6"/>
              <w:right w:val="single" w:sz="4" w:space="0" w:color="BFBFBF" w:themeColor="background1" w:themeShade="BF"/>
            </w:tcBorders>
          </w:tcPr>
          <w:p w:rsidR="0028027B" w:rsidRPr="00DC1EE4" w:rsidRDefault="0028027B" w:rsidP="00C03F9E">
            <w:pPr>
              <w:pStyle w:val="Tabletext"/>
            </w:pPr>
          </w:p>
        </w:tc>
      </w:tr>
      <w:tr w:rsidR="0028027B" w:rsidRPr="00DC1EE4" w:rsidTr="00C03F9E">
        <w:trPr>
          <w:trHeight w:val="238"/>
        </w:trPr>
        <w:tc>
          <w:tcPr>
            <w:tcW w:w="9775" w:type="dxa"/>
            <w:gridSpan w:val="4"/>
            <w:tcBorders>
              <w:top w:val="single" w:sz="4" w:space="0" w:color="595959" w:themeColor="text1" w:themeTint="A6"/>
              <w:left w:val="single" w:sz="4" w:space="0" w:color="BFBFBF" w:themeColor="background1" w:themeShade="BF"/>
              <w:right w:val="single" w:sz="4" w:space="0" w:color="BFBFBF" w:themeColor="background1" w:themeShade="BF"/>
            </w:tcBorders>
            <w:shd w:val="clear" w:color="auto" w:fill="DBDBDB"/>
          </w:tcPr>
          <w:p w:rsidR="0028027B" w:rsidRPr="00DC1EE4" w:rsidRDefault="0028027B" w:rsidP="00C03F9E">
            <w:pPr>
              <w:pStyle w:val="Tabletextbold"/>
              <w:pageBreakBefore/>
            </w:pPr>
            <w:r w:rsidRPr="00DC1EE4">
              <w:t xml:space="preserve">Criterion (i): Power over the investee </w:t>
            </w:r>
            <w:r w:rsidRPr="00595D93">
              <w:rPr>
                <w:i/>
              </w:rPr>
              <w:t>(continued)</w:t>
            </w:r>
            <w:r w:rsidRPr="00DC1EE4">
              <w:t xml:space="preserve"> </w:t>
            </w:r>
          </w:p>
        </w:tc>
      </w:tr>
      <w:tr w:rsidR="0028027B" w:rsidRPr="00DC1EE4" w:rsidTr="00C03F9E">
        <w:trPr>
          <w:trHeight w:val="535"/>
        </w:trPr>
        <w:tc>
          <w:tcPr>
            <w:tcW w:w="498" w:type="dxa"/>
            <w:tcBorders>
              <w:left w:val="single" w:sz="4" w:space="0" w:color="BFBFBF" w:themeColor="background1" w:themeShade="BF"/>
            </w:tcBorders>
          </w:tcPr>
          <w:p w:rsidR="0028027B" w:rsidRPr="00DC1EE4" w:rsidRDefault="0028027B" w:rsidP="00C03F9E">
            <w:pPr>
              <w:ind w:left="360"/>
              <w:contextualSpacing/>
            </w:pPr>
          </w:p>
        </w:tc>
        <w:tc>
          <w:tcPr>
            <w:tcW w:w="7582" w:type="dxa"/>
            <w:gridSpan w:val="2"/>
            <w:tcBorders>
              <w:right w:val="single" w:sz="4" w:space="0" w:color="BFBFBF" w:themeColor="background1" w:themeShade="BF"/>
            </w:tcBorders>
          </w:tcPr>
          <w:p w:rsidR="0028027B" w:rsidRPr="00DC1EE4" w:rsidRDefault="0028027B" w:rsidP="00C03F9E">
            <w:pPr>
              <w:pStyle w:val="Tabletext"/>
            </w:pPr>
            <w:r w:rsidRPr="00DC1EE4">
              <w:t>Conversely, protective rights are designed to protect your interest without giving you power over the other entity, which those rights relate to. If you only have protective rights in relation to the other entity, you do not have power, or you cannot prevent another party having power over the other entity.</w:t>
            </w:r>
          </w:p>
          <w:p w:rsidR="0028027B" w:rsidRPr="00DC1EE4" w:rsidRDefault="0028027B" w:rsidP="00C03F9E">
            <w:pPr>
              <w:pStyle w:val="Tabletext"/>
            </w:pPr>
            <w:r w:rsidRPr="00DC1EE4">
              <w:t>Examples of protective rights include:</w:t>
            </w:r>
          </w:p>
          <w:p w:rsidR="0028027B" w:rsidRPr="00DC1EE4" w:rsidRDefault="0028027B" w:rsidP="0028027B">
            <w:pPr>
              <w:pStyle w:val="TableBullet"/>
              <w:ind w:left="288" w:hanging="288"/>
            </w:pPr>
            <w:r w:rsidRPr="00DC1EE4">
              <w:t>regulatory power that imposes conditions or sanctions on the other entity</w:t>
            </w:r>
            <w:r w:rsidR="005A4BB0">
              <w:t>’</w:t>
            </w:r>
            <w:r w:rsidRPr="00DC1EE4">
              <w:t>s operation in restricted circumstances (e.g. breaching of environmental regulations);</w:t>
            </w:r>
          </w:p>
          <w:p w:rsidR="0028027B" w:rsidRPr="00DC1EE4" w:rsidRDefault="0028027B" w:rsidP="0028027B">
            <w:pPr>
              <w:pStyle w:val="TableBullet"/>
              <w:ind w:left="288" w:hanging="288"/>
            </w:pPr>
            <w:r w:rsidRPr="00DC1EE4">
              <w:t xml:space="preserve">the right of a regulator to curtail or close the operation of entities that breach regulations or other requirements; </w:t>
            </w:r>
          </w:p>
          <w:p w:rsidR="0028027B" w:rsidRPr="00DC1EE4" w:rsidRDefault="0028027B" w:rsidP="0028027B">
            <w:pPr>
              <w:pStyle w:val="TableBullet"/>
              <w:ind w:left="288" w:hanging="288"/>
            </w:pPr>
            <w:r w:rsidRPr="00DC1EE4">
              <w:t>the right to remove or appoint members of the governing body of another entity under certain restricted circumstances (e.g. failure to comply with performance standards).</w:t>
            </w:r>
          </w:p>
          <w:p w:rsidR="0028027B" w:rsidRPr="00DC1EE4" w:rsidRDefault="0028027B" w:rsidP="00C03F9E">
            <w:pPr>
              <w:pStyle w:val="Tabletext"/>
            </w:pPr>
            <w:r w:rsidRPr="00DC1EE4">
              <w:t>In many cases, you may have a mixed of substantive rights and protective rights. To assess power, only substantive rights should be considered. However, not all substantive rights will give rise to power, as the substantive rights need to relate to the activities that significantly affect the investee entity</w:t>
            </w:r>
            <w:r w:rsidR="005A4BB0">
              <w:t>’</w:t>
            </w:r>
            <w:r w:rsidRPr="00DC1EE4">
              <w:t>s returns (i.e. the relevant activities). Accordingly, you also need to consider what are the relevant activities of the investee entity, including the nature of returns when determining whether you have power.</w:t>
            </w:r>
          </w:p>
        </w:tc>
        <w:tc>
          <w:tcPr>
            <w:tcW w:w="169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8027B" w:rsidRPr="00DC1EE4" w:rsidRDefault="0028027B" w:rsidP="00C03F9E">
            <w:pPr>
              <w:pStyle w:val="Tabletext"/>
            </w:pPr>
          </w:p>
        </w:tc>
      </w:tr>
      <w:tr w:rsidR="0028027B" w:rsidRPr="00DC1EE4" w:rsidTr="00C03F9E">
        <w:trPr>
          <w:trHeight w:val="503"/>
        </w:trPr>
        <w:tc>
          <w:tcPr>
            <w:tcW w:w="498" w:type="dxa"/>
            <w:tcBorders>
              <w:left w:val="single" w:sz="4" w:space="0" w:color="BFBFBF" w:themeColor="background1" w:themeShade="BF"/>
              <w:bottom w:val="single" w:sz="4" w:space="0" w:color="595959" w:themeColor="text1" w:themeTint="A6"/>
            </w:tcBorders>
          </w:tcPr>
          <w:p w:rsidR="0028027B" w:rsidRPr="00DC1EE4" w:rsidRDefault="0028027B" w:rsidP="00C03F9E">
            <w:pPr>
              <w:numPr>
                <w:ilvl w:val="0"/>
                <w:numId w:val="23"/>
              </w:numPr>
              <w:contextualSpacing/>
            </w:pPr>
          </w:p>
        </w:tc>
        <w:tc>
          <w:tcPr>
            <w:tcW w:w="7582" w:type="dxa"/>
            <w:gridSpan w:val="2"/>
            <w:tcBorders>
              <w:bottom w:val="single" w:sz="4" w:space="0" w:color="595959" w:themeColor="text1" w:themeTint="A6"/>
              <w:right w:val="single" w:sz="4" w:space="0" w:color="BFBFBF" w:themeColor="background1" w:themeShade="BF"/>
            </w:tcBorders>
          </w:tcPr>
          <w:p w:rsidR="0028027B" w:rsidRPr="00DC1EE4" w:rsidRDefault="0028027B" w:rsidP="00C03F9E">
            <w:pPr>
              <w:pStyle w:val="Tabletext"/>
            </w:pPr>
            <w:r w:rsidRPr="00DC1EE4">
              <w:t>Is the authority that the other entity operates under subject to any limitations through regulatory powers imposed by you or the State?</w:t>
            </w:r>
          </w:p>
        </w:tc>
        <w:tc>
          <w:tcPr>
            <w:tcW w:w="1695" w:type="dxa"/>
            <w:tcBorders>
              <w:left w:val="single" w:sz="4" w:space="0" w:color="BFBFBF" w:themeColor="background1" w:themeShade="BF"/>
              <w:bottom w:val="single" w:sz="4" w:space="0" w:color="595959" w:themeColor="text1" w:themeTint="A6"/>
              <w:right w:val="single" w:sz="4" w:space="0" w:color="BFBFBF" w:themeColor="background1" w:themeShade="BF"/>
            </w:tcBorders>
          </w:tcPr>
          <w:p w:rsidR="0028027B" w:rsidRPr="00DC1EE4" w:rsidRDefault="0028027B" w:rsidP="00C03F9E">
            <w:pPr>
              <w:pStyle w:val="Tabletext"/>
            </w:pPr>
          </w:p>
        </w:tc>
      </w:tr>
      <w:tr w:rsidR="0028027B" w:rsidRPr="00DC1EE4" w:rsidTr="00C03F9E">
        <w:trPr>
          <w:trHeight w:val="275"/>
        </w:trPr>
        <w:tc>
          <w:tcPr>
            <w:tcW w:w="9775" w:type="dxa"/>
            <w:gridSpan w:val="4"/>
            <w:tcBorders>
              <w:top w:val="single" w:sz="4" w:space="0" w:color="595959" w:themeColor="text1" w:themeTint="A6"/>
              <w:left w:val="single" w:sz="4" w:space="0" w:color="595959" w:themeColor="text1" w:themeTint="A6"/>
              <w:bottom w:val="nil"/>
              <w:right w:val="single" w:sz="4" w:space="0" w:color="595959" w:themeColor="text1" w:themeTint="A6"/>
            </w:tcBorders>
            <w:shd w:val="clear" w:color="auto" w:fill="auto"/>
          </w:tcPr>
          <w:p w:rsidR="0028027B" w:rsidRPr="00DC1EE4" w:rsidRDefault="0028027B" w:rsidP="00C03F9E">
            <w:pPr>
              <w:pStyle w:val="Heading4"/>
              <w:outlineLvl w:val="3"/>
            </w:pPr>
            <w:r w:rsidRPr="00DC1EE4">
              <w:t xml:space="preserve">Assessment for criterion (i): </w:t>
            </w:r>
          </w:p>
        </w:tc>
      </w:tr>
      <w:tr w:rsidR="0028027B" w:rsidRPr="00DC1EE4" w:rsidTr="00C03F9E">
        <w:trPr>
          <w:trHeight w:val="489"/>
        </w:trPr>
        <w:tc>
          <w:tcPr>
            <w:tcW w:w="9775" w:type="dxa"/>
            <w:gridSpan w:val="4"/>
            <w:tcBorders>
              <w:top w:val="nil"/>
              <w:left w:val="single" w:sz="4" w:space="0" w:color="595959" w:themeColor="text1" w:themeTint="A6"/>
              <w:bottom w:val="single" w:sz="4" w:space="0" w:color="595959" w:themeColor="text1" w:themeTint="A6"/>
              <w:right w:val="single" w:sz="4" w:space="0" w:color="595959" w:themeColor="text1" w:themeTint="A6"/>
            </w:tcBorders>
          </w:tcPr>
          <w:p w:rsidR="0028027B" w:rsidRPr="00DC1EE4" w:rsidRDefault="0028027B" w:rsidP="00C03F9E">
            <w:pPr>
              <w:pStyle w:val="Tabletext"/>
            </w:pPr>
            <w:r w:rsidRPr="00DC1EE4">
              <w:t xml:space="preserve">Your entity will satisfy Criterion (i) if you have a current ability to affect the relevant activities of the other entity that significantly affect its returns. </w:t>
            </w:r>
          </w:p>
          <w:p w:rsidR="0028027B" w:rsidRPr="00DC1EE4" w:rsidRDefault="0028027B" w:rsidP="00C03F9E">
            <w:pPr>
              <w:pStyle w:val="Tabletext"/>
            </w:pPr>
            <w:r w:rsidRPr="00DC1EE4">
              <w:t>The closer the activities directed by you relate to the other entity</w:t>
            </w:r>
            <w:r w:rsidR="005A4BB0">
              <w:t>’</w:t>
            </w:r>
            <w:r w:rsidRPr="00DC1EE4">
              <w:t>s primary objectives, the greater is the impact expected on the other entity</w:t>
            </w:r>
            <w:r w:rsidR="005A4BB0">
              <w:t>’</w:t>
            </w:r>
            <w:r w:rsidRPr="00DC1EE4">
              <w:t>s returns, and as a result, the greater involvement/power over the other entity.</w:t>
            </w:r>
          </w:p>
        </w:tc>
      </w:tr>
      <w:tr w:rsidR="0028027B" w:rsidRPr="00DC1EE4" w:rsidTr="00C03F9E">
        <w:tblPrEx>
          <w:tblCellMar>
            <w:left w:w="58" w:type="dxa"/>
            <w:right w:w="58" w:type="dxa"/>
          </w:tblCellMar>
        </w:tblPrEx>
        <w:trPr>
          <w:trHeight w:val="238"/>
        </w:trPr>
        <w:tc>
          <w:tcPr>
            <w:tcW w:w="9775" w:type="dxa"/>
            <w:gridSpan w:val="4"/>
            <w:tcBorders>
              <w:top w:val="single" w:sz="4" w:space="0" w:color="595959" w:themeColor="text1" w:themeTint="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DBDB"/>
          </w:tcPr>
          <w:p w:rsidR="0028027B" w:rsidRPr="00DC1EE4" w:rsidRDefault="0028027B" w:rsidP="00C03F9E">
            <w:pPr>
              <w:pStyle w:val="Tabletextbold"/>
              <w:spacing w:before="0" w:after="0"/>
              <w:ind w:left="360" w:hanging="360"/>
              <w:contextualSpacing/>
            </w:pPr>
            <w:r w:rsidRPr="00DC1EE4">
              <w:t>Criterion (ii): Exposure or rights to variable returns from its involvement with the investee</w:t>
            </w:r>
          </w:p>
          <w:p w:rsidR="0028027B" w:rsidRPr="00DC1EE4" w:rsidRDefault="0028027B" w:rsidP="00C03F9E">
            <w:pPr>
              <w:pStyle w:val="Tabletext"/>
            </w:pPr>
            <w:r w:rsidRPr="00DC1EE4">
              <w:t>Questions 10</w:t>
            </w:r>
            <w:r w:rsidR="005A4BB0">
              <w:noBreakHyphen/>
            </w:r>
            <w:r w:rsidRPr="00DC1EE4">
              <w:t>12 are to help you assess whether you have exposure or rights to variable returns of the other entity. Your involvement with the other entity may give rise to indirect and non</w:t>
            </w:r>
            <w:r w:rsidR="005A4BB0">
              <w:noBreakHyphen/>
            </w:r>
            <w:r w:rsidRPr="00DC1EE4">
              <w:t>financial returns, such as when achieving or furthering the objectives of the other entity contributes to your objectives.</w:t>
            </w:r>
          </w:p>
        </w:tc>
      </w:tr>
      <w:tr w:rsidR="0028027B" w:rsidRPr="00DC1EE4" w:rsidTr="00C03F9E">
        <w:tblPrEx>
          <w:tblCellMar>
            <w:left w:w="58" w:type="dxa"/>
            <w:right w:w="58" w:type="dxa"/>
          </w:tblCellMar>
        </w:tblPrEx>
        <w:trPr>
          <w:trHeight w:val="144"/>
        </w:trPr>
        <w:tc>
          <w:tcPr>
            <w:tcW w:w="498" w:type="dxa"/>
            <w:tcBorders>
              <w:top w:val="single" w:sz="4" w:space="0" w:color="BFBFBF" w:themeColor="background1" w:themeShade="BF"/>
              <w:left w:val="single" w:sz="4" w:space="0" w:color="BFBFBF" w:themeColor="background1" w:themeShade="BF"/>
            </w:tcBorders>
          </w:tcPr>
          <w:p w:rsidR="0028027B" w:rsidRPr="00DC1EE4" w:rsidRDefault="0028027B" w:rsidP="00C03F9E">
            <w:pPr>
              <w:numPr>
                <w:ilvl w:val="0"/>
                <w:numId w:val="23"/>
              </w:numPr>
              <w:contextualSpacing/>
            </w:pPr>
          </w:p>
        </w:tc>
        <w:tc>
          <w:tcPr>
            <w:tcW w:w="7582" w:type="dxa"/>
            <w:gridSpan w:val="2"/>
            <w:tcBorders>
              <w:top w:val="single" w:sz="4" w:space="0" w:color="BFBFBF" w:themeColor="background1" w:themeShade="BF"/>
              <w:right w:val="single" w:sz="4" w:space="0" w:color="BFBFBF" w:themeColor="background1" w:themeShade="BF"/>
            </w:tcBorders>
          </w:tcPr>
          <w:p w:rsidR="0028027B" w:rsidRPr="00DC1EE4" w:rsidRDefault="0028027B" w:rsidP="00C03F9E">
            <w:pPr>
              <w:pStyle w:val="Tabletext"/>
            </w:pPr>
            <w:r w:rsidRPr="00DC1EE4">
              <w:t>What is the nature of returns</w:t>
            </w:r>
            <w:r w:rsidRPr="00DC1EE4">
              <w:rPr>
                <w:vertAlign w:val="superscript"/>
              </w:rPr>
              <w:footnoteReference w:id="5"/>
            </w:r>
            <w:r w:rsidRPr="00DC1EE4">
              <w:t xml:space="preserve"> in the other entity? Are they financial/non</w:t>
            </w:r>
            <w:r w:rsidR="005A4BB0">
              <w:noBreakHyphen/>
            </w:r>
            <w:r w:rsidRPr="00DC1EE4">
              <w:t xml:space="preserve">financial? Does it include achievement, or furtherance of your objectives? </w:t>
            </w:r>
          </w:p>
          <w:p w:rsidR="0028027B" w:rsidRPr="00DC1EE4" w:rsidRDefault="0028027B" w:rsidP="00C03F9E">
            <w:pPr>
              <w:pStyle w:val="Tabletextbold"/>
            </w:pPr>
            <w:r w:rsidRPr="00DC1EE4">
              <w:t>Note:</w:t>
            </w:r>
          </w:p>
          <w:p w:rsidR="0028027B" w:rsidRPr="00DC1EE4" w:rsidRDefault="0028027B" w:rsidP="00C03F9E">
            <w:pPr>
              <w:pStyle w:val="Tabletext"/>
            </w:pPr>
            <w:r w:rsidRPr="00DC1EE4">
              <w:t>AASB 10 suggests that the scope of the nature of returns is broad for not</w:t>
            </w:r>
            <w:r w:rsidR="005A4BB0">
              <w:noBreakHyphen/>
            </w:r>
            <w:r w:rsidRPr="00DC1EE4">
              <w:t>for</w:t>
            </w:r>
            <w:r w:rsidR="005A4BB0">
              <w:noBreakHyphen/>
            </w:r>
            <w:r w:rsidRPr="00DC1EE4">
              <w:t>profit entities. It encompasses financial, non</w:t>
            </w:r>
            <w:r w:rsidR="005A4BB0">
              <w:noBreakHyphen/>
            </w:r>
            <w:r w:rsidRPr="00DC1EE4">
              <w:t>financial, direct, and indirect benefits, whether positive or negative, including the achievement or furtherance of the investor</w:t>
            </w:r>
            <w:r w:rsidR="005A4BB0">
              <w:t>’</w:t>
            </w:r>
            <w:r w:rsidRPr="00DC1EE4">
              <w:t>s objectives.</w:t>
            </w:r>
          </w:p>
        </w:tc>
        <w:tc>
          <w:tcPr>
            <w:tcW w:w="1695"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8027B" w:rsidRPr="00DC1EE4" w:rsidRDefault="0028027B" w:rsidP="00C03F9E"/>
        </w:tc>
      </w:tr>
      <w:tr w:rsidR="0028027B" w:rsidRPr="00DC1EE4" w:rsidTr="00C03F9E">
        <w:tblPrEx>
          <w:tblCellMar>
            <w:left w:w="58" w:type="dxa"/>
            <w:right w:w="58" w:type="dxa"/>
          </w:tblCellMar>
        </w:tblPrEx>
        <w:trPr>
          <w:trHeight w:val="250"/>
        </w:trPr>
        <w:tc>
          <w:tcPr>
            <w:tcW w:w="498" w:type="dxa"/>
            <w:tcBorders>
              <w:left w:val="single" w:sz="4" w:space="0" w:color="BFBFBF" w:themeColor="background1" w:themeShade="BF"/>
              <w:bottom w:val="single" w:sz="4" w:space="0" w:color="595959" w:themeColor="text1" w:themeTint="A6"/>
            </w:tcBorders>
          </w:tcPr>
          <w:p w:rsidR="0028027B" w:rsidRPr="00DC1EE4" w:rsidRDefault="0028027B" w:rsidP="00C03F9E">
            <w:pPr>
              <w:numPr>
                <w:ilvl w:val="0"/>
                <w:numId w:val="23"/>
              </w:numPr>
              <w:contextualSpacing/>
            </w:pPr>
          </w:p>
        </w:tc>
        <w:tc>
          <w:tcPr>
            <w:tcW w:w="7582" w:type="dxa"/>
            <w:gridSpan w:val="2"/>
            <w:tcBorders>
              <w:bottom w:val="single" w:sz="4" w:space="0" w:color="595959" w:themeColor="text1" w:themeTint="A6"/>
              <w:right w:val="single" w:sz="4" w:space="0" w:color="BFBFBF" w:themeColor="background1" w:themeShade="BF"/>
            </w:tcBorders>
          </w:tcPr>
          <w:p w:rsidR="0028027B" w:rsidRPr="00DC1EE4" w:rsidRDefault="0028027B" w:rsidP="00C03F9E">
            <w:pPr>
              <w:pStyle w:val="Tabletext"/>
            </w:pPr>
            <w:r w:rsidRPr="00DC1EE4">
              <w:t>Do you have any exposure to the variability of returns of the other entity?</w:t>
            </w:r>
          </w:p>
          <w:p w:rsidR="0028027B" w:rsidRPr="00DC1EE4" w:rsidRDefault="0028027B" w:rsidP="00C03F9E">
            <w:pPr>
              <w:pStyle w:val="Tabletextbold"/>
            </w:pPr>
            <w:r w:rsidRPr="00DC1EE4">
              <w:t>Note:</w:t>
            </w:r>
          </w:p>
          <w:p w:rsidR="0028027B" w:rsidRPr="00DC1EE4" w:rsidRDefault="0028027B" w:rsidP="00C03F9E">
            <w:pPr>
              <w:pStyle w:val="Tabletext"/>
            </w:pPr>
            <w:r w:rsidRPr="00DC1EE4">
              <w:t xml:space="preserve">The greater the magnitude of, and variability associated with the return, the more likely you are acting as a principal, rather than as an agent, of the other entity. </w:t>
            </w:r>
          </w:p>
          <w:p w:rsidR="0028027B" w:rsidRPr="00DC1EE4" w:rsidRDefault="0028027B" w:rsidP="00C03F9E">
            <w:pPr>
              <w:pStyle w:val="SmallLine"/>
            </w:pPr>
          </w:p>
          <w:p w:rsidR="0028027B" w:rsidRPr="00DC1EE4" w:rsidRDefault="0028027B" w:rsidP="00C03F9E">
            <w:pPr>
              <w:pStyle w:val="Tabletext"/>
            </w:pPr>
            <w:r w:rsidRPr="00DC1EE4">
              <w:t xml:space="preserve">In the public sector, achievement of common objectives will be a key indicator to determine if you have exposure to the variable returns of the other entity. </w:t>
            </w:r>
          </w:p>
          <w:p w:rsidR="0028027B" w:rsidRPr="00DC1EE4" w:rsidRDefault="0028027B" w:rsidP="00C03F9E">
            <w:pPr>
              <w:pStyle w:val="Tabletext"/>
            </w:pPr>
            <w:r w:rsidRPr="00DC1EE4">
              <w:t>In terms of the variability of returns, it should be noted that:</w:t>
            </w:r>
          </w:p>
          <w:p w:rsidR="0028027B" w:rsidRPr="00DC1EE4" w:rsidRDefault="0028027B" w:rsidP="00C03F9E">
            <w:pPr>
              <w:pStyle w:val="TableBullet"/>
              <w:ind w:left="319" w:hanging="270"/>
            </w:pPr>
            <w:r w:rsidRPr="00DC1EE4">
              <w:t>variable returns are returns that are not fixed and have the potential to vary as a result of the performance of the other entity; and</w:t>
            </w:r>
          </w:p>
          <w:p w:rsidR="0028027B" w:rsidRPr="00DC1EE4" w:rsidRDefault="0028027B" w:rsidP="00C03F9E">
            <w:pPr>
              <w:pStyle w:val="TableBullet"/>
              <w:ind w:left="319" w:hanging="270"/>
            </w:pPr>
            <w:r w:rsidRPr="00DC1EE4">
              <w:t>your entity</w:t>
            </w:r>
            <w:r w:rsidR="005A4BB0">
              <w:t>’</w:t>
            </w:r>
            <w:r w:rsidRPr="00DC1EE4">
              <w:t>s exposure to the variable returns can be positive, negative or both.</w:t>
            </w:r>
          </w:p>
        </w:tc>
        <w:tc>
          <w:tcPr>
            <w:tcW w:w="1695" w:type="dxa"/>
            <w:tcBorders>
              <w:left w:val="single" w:sz="4" w:space="0" w:color="BFBFBF" w:themeColor="background1" w:themeShade="BF"/>
              <w:bottom w:val="single" w:sz="4" w:space="0" w:color="595959" w:themeColor="text1" w:themeTint="A6"/>
              <w:right w:val="single" w:sz="4" w:space="0" w:color="BFBFBF" w:themeColor="background1" w:themeShade="BF"/>
            </w:tcBorders>
          </w:tcPr>
          <w:p w:rsidR="0028027B" w:rsidRPr="00DC1EE4" w:rsidRDefault="0028027B" w:rsidP="00C03F9E"/>
        </w:tc>
      </w:tr>
      <w:tr w:rsidR="0028027B" w:rsidRPr="00DC1EE4" w:rsidTr="00C03F9E">
        <w:tblPrEx>
          <w:tblCellMar>
            <w:left w:w="58" w:type="dxa"/>
            <w:right w:w="58" w:type="dxa"/>
          </w:tblCellMar>
        </w:tblPrEx>
        <w:trPr>
          <w:trHeight w:val="238"/>
        </w:trPr>
        <w:tc>
          <w:tcPr>
            <w:tcW w:w="9775" w:type="dxa"/>
            <w:gridSpan w:val="4"/>
            <w:tcBorders>
              <w:top w:val="single" w:sz="4" w:space="0" w:color="595959" w:themeColor="text1" w:themeTint="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DBDB"/>
          </w:tcPr>
          <w:p w:rsidR="0028027B" w:rsidRPr="00DC1EE4" w:rsidRDefault="0028027B" w:rsidP="00C03F9E">
            <w:pPr>
              <w:pStyle w:val="Tabletextbold"/>
              <w:pageBreakBefore/>
              <w:spacing w:before="0" w:after="0"/>
              <w:ind w:left="360" w:hanging="360"/>
              <w:contextualSpacing/>
            </w:pPr>
            <w:r w:rsidRPr="00DC1EE4">
              <w:t>Criterion (ii): Exposure or rights to variable returns from its involvement with the investee</w:t>
            </w:r>
            <w:r>
              <w:t xml:space="preserve"> </w:t>
            </w:r>
            <w:r w:rsidRPr="00595D93">
              <w:rPr>
                <w:i/>
              </w:rPr>
              <w:t>(continued)</w:t>
            </w:r>
          </w:p>
        </w:tc>
      </w:tr>
      <w:tr w:rsidR="0028027B" w:rsidRPr="00DC1EE4" w:rsidTr="00C03F9E">
        <w:tblPrEx>
          <w:tblCellMar>
            <w:left w:w="58" w:type="dxa"/>
            <w:right w:w="58" w:type="dxa"/>
          </w:tblCellMar>
        </w:tblPrEx>
        <w:trPr>
          <w:trHeight w:val="1425"/>
        </w:trPr>
        <w:tc>
          <w:tcPr>
            <w:tcW w:w="498" w:type="dxa"/>
            <w:tcBorders>
              <w:top w:val="single" w:sz="4" w:space="0" w:color="BFBFBF" w:themeColor="background1" w:themeShade="BF"/>
              <w:left w:val="single" w:sz="4" w:space="0" w:color="BFBFBF" w:themeColor="background1" w:themeShade="BF"/>
              <w:bottom w:val="single" w:sz="4" w:space="0" w:color="595959" w:themeColor="text1" w:themeTint="A6"/>
            </w:tcBorders>
          </w:tcPr>
          <w:p w:rsidR="0028027B" w:rsidRPr="00DC1EE4" w:rsidRDefault="0028027B" w:rsidP="00C03F9E">
            <w:pPr>
              <w:numPr>
                <w:ilvl w:val="0"/>
                <w:numId w:val="23"/>
              </w:numPr>
              <w:contextualSpacing/>
            </w:pPr>
          </w:p>
        </w:tc>
        <w:tc>
          <w:tcPr>
            <w:tcW w:w="7582" w:type="dxa"/>
            <w:gridSpan w:val="2"/>
            <w:tcBorders>
              <w:top w:val="single" w:sz="4" w:space="0" w:color="BFBFBF" w:themeColor="background1" w:themeShade="BF"/>
              <w:bottom w:val="single" w:sz="4" w:space="0" w:color="595959" w:themeColor="text1" w:themeTint="A6"/>
              <w:right w:val="single" w:sz="4" w:space="0" w:color="BFBFBF" w:themeColor="background1" w:themeShade="BF"/>
            </w:tcBorders>
          </w:tcPr>
          <w:p w:rsidR="0028027B" w:rsidRPr="00DC1EE4" w:rsidRDefault="0028027B" w:rsidP="00C03F9E">
            <w:pPr>
              <w:pStyle w:val="Tabletext"/>
            </w:pPr>
            <w:r w:rsidRPr="00DC1EE4">
              <w:t xml:space="preserve">Are you exposed to any risks arising from the existence of the other entity? </w:t>
            </w:r>
          </w:p>
          <w:p w:rsidR="0028027B" w:rsidRPr="00DC1EE4" w:rsidRDefault="0028027B" w:rsidP="00C03F9E">
            <w:pPr>
              <w:pStyle w:val="Tabletextbold"/>
            </w:pPr>
            <w:r w:rsidRPr="00DC1EE4">
              <w:t>Note:</w:t>
            </w:r>
          </w:p>
          <w:p w:rsidR="0028027B" w:rsidRPr="00DC1EE4" w:rsidRDefault="0028027B" w:rsidP="00C03F9E">
            <w:pPr>
              <w:pStyle w:val="Tabletext"/>
            </w:pPr>
            <w:r w:rsidRPr="00DC1EE4">
              <w:t xml:space="preserve">As the returns are variable and can be positive or negative, this could expose you to the risks of the other entity. Therefore, you should consider the risks of the other entity when evaluating the purpose of design of the entity, including any impact of those risks on you and other parties involved in the arrangement. </w:t>
            </w:r>
          </w:p>
        </w:tc>
        <w:tc>
          <w:tcPr>
            <w:tcW w:w="1695" w:type="dxa"/>
            <w:tcBorders>
              <w:top w:val="single" w:sz="4" w:space="0" w:color="BFBFBF" w:themeColor="background1" w:themeShade="BF"/>
              <w:left w:val="single" w:sz="4" w:space="0" w:color="BFBFBF" w:themeColor="background1" w:themeShade="BF"/>
              <w:bottom w:val="single" w:sz="4" w:space="0" w:color="595959" w:themeColor="text1" w:themeTint="A6"/>
              <w:right w:val="single" w:sz="4" w:space="0" w:color="BFBFBF" w:themeColor="background1" w:themeShade="BF"/>
            </w:tcBorders>
          </w:tcPr>
          <w:p w:rsidR="0028027B" w:rsidRPr="00DC1EE4" w:rsidRDefault="0028027B" w:rsidP="00C03F9E"/>
        </w:tc>
      </w:tr>
      <w:tr w:rsidR="0028027B" w:rsidRPr="00DC1EE4" w:rsidTr="00C03F9E">
        <w:tblPrEx>
          <w:tblCellMar>
            <w:left w:w="58" w:type="dxa"/>
            <w:right w:w="58" w:type="dxa"/>
          </w:tblCellMar>
        </w:tblPrEx>
        <w:trPr>
          <w:trHeight w:val="144"/>
        </w:trPr>
        <w:tc>
          <w:tcPr>
            <w:tcW w:w="9775" w:type="dxa"/>
            <w:gridSpan w:val="4"/>
            <w:tcBorders>
              <w:top w:val="single" w:sz="4" w:space="0" w:color="595959" w:themeColor="text1" w:themeTint="A6"/>
              <w:left w:val="single" w:sz="4" w:space="0" w:color="595959" w:themeColor="text1" w:themeTint="A6"/>
              <w:bottom w:val="nil"/>
              <w:right w:val="single" w:sz="4" w:space="0" w:color="595959" w:themeColor="text1" w:themeTint="A6"/>
            </w:tcBorders>
            <w:shd w:val="clear" w:color="auto" w:fill="auto"/>
          </w:tcPr>
          <w:p w:rsidR="0028027B" w:rsidRPr="00DC1EE4" w:rsidRDefault="0028027B" w:rsidP="00C03F9E">
            <w:pPr>
              <w:pStyle w:val="Heading4"/>
              <w:outlineLvl w:val="3"/>
            </w:pPr>
            <w:r w:rsidRPr="00DC1EE4">
              <w:t xml:space="preserve">Assessment for criterion (ii): </w:t>
            </w:r>
          </w:p>
        </w:tc>
      </w:tr>
      <w:tr w:rsidR="0028027B" w:rsidRPr="00DC1EE4" w:rsidTr="00C03F9E">
        <w:tblPrEx>
          <w:tblCellMar>
            <w:left w:w="58" w:type="dxa"/>
            <w:right w:w="58" w:type="dxa"/>
          </w:tblCellMar>
        </w:tblPrEx>
        <w:trPr>
          <w:trHeight w:val="144"/>
        </w:trPr>
        <w:tc>
          <w:tcPr>
            <w:tcW w:w="9775" w:type="dxa"/>
            <w:gridSpan w:val="4"/>
            <w:tcBorders>
              <w:top w:val="nil"/>
              <w:left w:val="single" w:sz="4" w:space="0" w:color="595959" w:themeColor="text1" w:themeTint="A6"/>
              <w:bottom w:val="single" w:sz="4" w:space="0" w:color="595959" w:themeColor="text1" w:themeTint="A6"/>
              <w:right w:val="single" w:sz="4" w:space="0" w:color="595959" w:themeColor="text1" w:themeTint="A6"/>
            </w:tcBorders>
          </w:tcPr>
          <w:p w:rsidR="0028027B" w:rsidRPr="00DC1EE4" w:rsidRDefault="0028027B" w:rsidP="00C03F9E">
            <w:pPr>
              <w:pStyle w:val="Tabletext"/>
            </w:pPr>
            <w:r w:rsidRPr="00DC1EE4">
              <w:t xml:space="preserve">When assessing </w:t>
            </w:r>
            <w:r w:rsidR="005A4BB0">
              <w:t>‘</w:t>
            </w:r>
            <w:r w:rsidRPr="00DC1EE4">
              <w:t>returns</w:t>
            </w:r>
            <w:r w:rsidR="005A4BB0">
              <w:t>’</w:t>
            </w:r>
            <w:r w:rsidRPr="00DC1EE4">
              <w:t>, AASB 10 intends to keep the scope of returns to be broad in the context of the not</w:t>
            </w:r>
            <w:r w:rsidR="005A4BB0">
              <w:noBreakHyphen/>
            </w:r>
            <w:r w:rsidRPr="00DC1EE4">
              <w:t>for</w:t>
            </w:r>
            <w:r w:rsidR="005A4BB0">
              <w:noBreakHyphen/>
            </w:r>
            <w:r w:rsidRPr="00DC1EE4">
              <w:t>profit (NFP) entities. Your entity will satisfy criterion (ii) if you have exposure, or rights to variable returns of the other entity, which could be both financial and non</w:t>
            </w:r>
            <w:r w:rsidR="005A4BB0">
              <w:noBreakHyphen/>
            </w:r>
            <w:r w:rsidRPr="00DC1EE4">
              <w:t xml:space="preserve">financial in nature. </w:t>
            </w:r>
          </w:p>
        </w:tc>
      </w:tr>
      <w:tr w:rsidR="0028027B" w:rsidRPr="00DC1EE4" w:rsidTr="00C03F9E">
        <w:tblPrEx>
          <w:tblCellMar>
            <w:left w:w="58" w:type="dxa"/>
            <w:right w:w="58" w:type="dxa"/>
          </w:tblCellMar>
        </w:tblPrEx>
        <w:trPr>
          <w:trHeight w:val="144"/>
        </w:trPr>
        <w:tc>
          <w:tcPr>
            <w:tcW w:w="9775" w:type="dxa"/>
            <w:gridSpan w:val="4"/>
            <w:tcBorders>
              <w:top w:val="single" w:sz="4" w:space="0" w:color="595959" w:themeColor="text1" w:themeTint="A6"/>
              <w:left w:val="single" w:sz="4" w:space="0" w:color="BFBFBF" w:themeColor="background1" w:themeShade="BF"/>
              <w:right w:val="single" w:sz="4" w:space="0" w:color="BFBFBF" w:themeColor="background1" w:themeShade="BF"/>
            </w:tcBorders>
            <w:shd w:val="clear" w:color="auto" w:fill="DBDBDB"/>
          </w:tcPr>
          <w:p w:rsidR="0028027B" w:rsidRPr="00DC1EE4" w:rsidRDefault="0028027B" w:rsidP="00C03F9E">
            <w:pPr>
              <w:pStyle w:val="Tabletextbold"/>
            </w:pPr>
            <w:r w:rsidRPr="00DC1EE4">
              <w:t>Criterion (iii): The ability to use its power over the investee to affect the amount of the investor</w:t>
            </w:r>
            <w:r w:rsidR="005A4BB0">
              <w:t>’</w:t>
            </w:r>
            <w:r w:rsidRPr="00DC1EE4">
              <w:t>s returns</w:t>
            </w:r>
            <w:r w:rsidRPr="00DC1EE4" w:rsidDel="007676F6">
              <w:t xml:space="preserve"> </w:t>
            </w:r>
            <w:r w:rsidRPr="00DC1EE4">
              <w:t xml:space="preserve">– questions 13 and 14 are to assist you in examining whether you can use the power over the other entity to affect the returns. </w:t>
            </w:r>
          </w:p>
        </w:tc>
      </w:tr>
      <w:tr w:rsidR="0028027B" w:rsidRPr="00DC1EE4" w:rsidTr="00C03F9E">
        <w:tblPrEx>
          <w:tblCellMar>
            <w:left w:w="58" w:type="dxa"/>
            <w:right w:w="58" w:type="dxa"/>
          </w:tblCellMar>
        </w:tblPrEx>
        <w:trPr>
          <w:trHeight w:val="144"/>
        </w:trPr>
        <w:tc>
          <w:tcPr>
            <w:tcW w:w="548" w:type="dxa"/>
            <w:gridSpan w:val="2"/>
            <w:tcBorders>
              <w:left w:val="single" w:sz="4" w:space="0" w:color="BFBFBF" w:themeColor="background1" w:themeShade="BF"/>
            </w:tcBorders>
          </w:tcPr>
          <w:p w:rsidR="0028027B" w:rsidRPr="00DC1EE4" w:rsidRDefault="0028027B" w:rsidP="00C03F9E">
            <w:pPr>
              <w:numPr>
                <w:ilvl w:val="0"/>
                <w:numId w:val="23"/>
              </w:numPr>
              <w:contextualSpacing/>
            </w:pPr>
          </w:p>
        </w:tc>
        <w:tc>
          <w:tcPr>
            <w:tcW w:w="7532" w:type="dxa"/>
            <w:tcBorders>
              <w:right w:val="single" w:sz="4" w:space="0" w:color="BFBFBF" w:themeColor="background1" w:themeShade="BF"/>
            </w:tcBorders>
          </w:tcPr>
          <w:p w:rsidR="0028027B" w:rsidRPr="00DC1EE4" w:rsidRDefault="0028027B" w:rsidP="00C03F9E">
            <w:pPr>
              <w:pStyle w:val="Tabletext"/>
            </w:pPr>
            <w:r w:rsidRPr="00DC1EE4">
              <w:t>What is the scope of decision</w:t>
            </w:r>
            <w:r w:rsidR="005A4BB0">
              <w:noBreakHyphen/>
            </w:r>
            <w:r w:rsidRPr="00DC1EE4">
              <w:t xml:space="preserve">making authority held by yourself to affect your returns? </w:t>
            </w:r>
          </w:p>
          <w:p w:rsidR="0028027B" w:rsidRPr="00DC1EE4" w:rsidRDefault="0028027B" w:rsidP="00C03F9E">
            <w:pPr>
              <w:pStyle w:val="Tabletextbold"/>
            </w:pPr>
            <w:r w:rsidRPr="00DC1EE4">
              <w:t>Note:</w:t>
            </w:r>
          </w:p>
          <w:p w:rsidR="0028027B" w:rsidRPr="00DC1EE4" w:rsidRDefault="0028027B" w:rsidP="00C03F9E">
            <w:pPr>
              <w:pStyle w:val="Tabletext"/>
            </w:pPr>
            <w:r w:rsidRPr="00DC1EE4">
              <w:t>The scope of the decision</w:t>
            </w:r>
            <w:r w:rsidR="005A4BB0">
              <w:noBreakHyphen/>
            </w:r>
            <w:r w:rsidRPr="00DC1EE4">
              <w:t>making authority will determine whether criterion (iii) is met or not. A restricted decision</w:t>
            </w:r>
            <w:r w:rsidR="005A4BB0">
              <w:noBreakHyphen/>
            </w:r>
            <w:r w:rsidRPr="00DC1EE4">
              <w:t>making authority could mean you are only acting as an agent and therefore does not control over the other entity.</w:t>
            </w:r>
          </w:p>
        </w:tc>
        <w:tc>
          <w:tcPr>
            <w:tcW w:w="1695" w:type="dxa"/>
            <w:tcBorders>
              <w:left w:val="single" w:sz="4" w:space="0" w:color="BFBFBF" w:themeColor="background1" w:themeShade="BF"/>
              <w:right w:val="single" w:sz="4" w:space="0" w:color="BFBFBF" w:themeColor="background1" w:themeShade="BF"/>
            </w:tcBorders>
          </w:tcPr>
          <w:p w:rsidR="0028027B" w:rsidRPr="00DC1EE4" w:rsidRDefault="0028027B" w:rsidP="00C03F9E"/>
        </w:tc>
      </w:tr>
      <w:tr w:rsidR="0028027B" w:rsidRPr="00DC1EE4" w:rsidTr="00C03F9E">
        <w:tblPrEx>
          <w:tblCellMar>
            <w:left w:w="58" w:type="dxa"/>
            <w:right w:w="58" w:type="dxa"/>
          </w:tblCellMar>
        </w:tblPrEx>
        <w:trPr>
          <w:trHeight w:val="144"/>
        </w:trPr>
        <w:tc>
          <w:tcPr>
            <w:tcW w:w="548" w:type="dxa"/>
            <w:gridSpan w:val="2"/>
            <w:tcBorders>
              <w:left w:val="single" w:sz="4" w:space="0" w:color="BFBFBF" w:themeColor="background1" w:themeShade="BF"/>
              <w:bottom w:val="single" w:sz="4" w:space="0" w:color="595959" w:themeColor="text1" w:themeTint="A6"/>
            </w:tcBorders>
          </w:tcPr>
          <w:p w:rsidR="0028027B" w:rsidRPr="00DC1EE4" w:rsidRDefault="0028027B" w:rsidP="00C03F9E">
            <w:pPr>
              <w:numPr>
                <w:ilvl w:val="0"/>
                <w:numId w:val="23"/>
              </w:numPr>
              <w:contextualSpacing/>
            </w:pPr>
          </w:p>
        </w:tc>
        <w:tc>
          <w:tcPr>
            <w:tcW w:w="7532" w:type="dxa"/>
            <w:tcBorders>
              <w:bottom w:val="single" w:sz="4" w:space="0" w:color="595959" w:themeColor="text1" w:themeTint="A6"/>
              <w:right w:val="single" w:sz="4" w:space="0" w:color="BFBFBF" w:themeColor="background1" w:themeShade="BF"/>
            </w:tcBorders>
          </w:tcPr>
          <w:p w:rsidR="0028027B" w:rsidRPr="00DC1EE4" w:rsidRDefault="0028027B" w:rsidP="00C03F9E">
            <w:pPr>
              <w:pStyle w:val="Tabletext"/>
              <w:pageBreakBefore/>
            </w:pPr>
            <w:r w:rsidRPr="00DC1EE4">
              <w:t>Is the authority a mere delegated power to act on behalf of the responsible Minister? Or do you have discretion of the authority and the direction of which is not specified by the relevant Minister?</w:t>
            </w:r>
          </w:p>
          <w:p w:rsidR="0028027B" w:rsidRPr="00DC1EE4" w:rsidRDefault="0028027B" w:rsidP="00C03F9E">
            <w:pPr>
              <w:pStyle w:val="Tabletextbold"/>
            </w:pPr>
            <w:r w:rsidRPr="00DC1EE4">
              <w:t>Note:</w:t>
            </w:r>
          </w:p>
          <w:p w:rsidR="0028027B" w:rsidRPr="00DC1EE4" w:rsidRDefault="0028027B" w:rsidP="00C03F9E">
            <w:pPr>
              <w:pStyle w:val="Tabletext"/>
            </w:pPr>
            <w:r w:rsidRPr="00DC1EE4">
              <w:t>From the department</w:t>
            </w:r>
            <w:r w:rsidR="005A4BB0">
              <w:t>’</w:t>
            </w:r>
            <w:r w:rsidRPr="00DC1EE4">
              <w:t>s perspective, a department acts as an agent of the responsible Minister in relation to the investee entity when the department is merely authorised by the Minister to act on the Minister</w:t>
            </w:r>
            <w:r w:rsidR="005A4BB0">
              <w:t>’</w:t>
            </w:r>
            <w:r w:rsidRPr="00DC1EE4">
              <w:t xml:space="preserve">s behalf. For example, a department may act as a </w:t>
            </w:r>
            <w:r w:rsidR="005A4BB0">
              <w:t>‘</w:t>
            </w:r>
            <w:r w:rsidRPr="00DC1EE4">
              <w:t>system manager</w:t>
            </w:r>
            <w:r w:rsidR="005A4BB0">
              <w:t>’</w:t>
            </w:r>
            <w:r w:rsidRPr="00DC1EE4">
              <w:t xml:space="preserve"> for the State health service systems. Its role includes providing strategic leadership, directions to the hospitals for the delivery of health services, or monitoring the hospitals</w:t>
            </w:r>
            <w:r w:rsidR="005A4BB0">
              <w:t>’</w:t>
            </w:r>
            <w:r w:rsidRPr="00DC1EE4">
              <w:t xml:space="preserve"> performance. However, ministerial approval is specifically required for the hospitals</w:t>
            </w:r>
            <w:r w:rsidR="005A4BB0">
              <w:t>’</w:t>
            </w:r>
            <w:r w:rsidRPr="00DC1EE4">
              <w:t xml:space="preserve"> operational or budgetary activities. In this case, the department acts only as an agent on behalf of the Minister, who controls the hospitals. Therefore, the hospitals will be consolidated into the State</w:t>
            </w:r>
            <w:r w:rsidR="005A4BB0">
              <w:t>’</w:t>
            </w:r>
            <w:r w:rsidRPr="00DC1EE4">
              <w:t xml:space="preserve">s financial reports. </w:t>
            </w:r>
          </w:p>
          <w:p w:rsidR="0028027B" w:rsidRPr="00DC1EE4" w:rsidRDefault="0028027B" w:rsidP="00C03F9E">
            <w:pPr>
              <w:pStyle w:val="Tabletext"/>
            </w:pPr>
          </w:p>
          <w:p w:rsidR="0028027B" w:rsidRPr="00DC1EE4" w:rsidRDefault="0028027B" w:rsidP="00C03F9E">
            <w:pPr>
              <w:pStyle w:val="Tabletext"/>
            </w:pPr>
            <w:r w:rsidRPr="00DC1EE4">
              <w:t>Alternatively, a department may act as a principal under a delegation of powers from the Minister if it is able to exercise its own discretion, and is not subject to specific directions by the Minister. In the previous example, if the department head has been delegated by the Minister to make specific decisions in relation to the operating and investing activities of the hospitals, e.g. appointment of the governing bodies of the hospitals, approval or veto service agreements, this indicates that the department is acting on its own discretion, and may have control if other criteria are also met.</w:t>
            </w:r>
          </w:p>
        </w:tc>
        <w:tc>
          <w:tcPr>
            <w:tcW w:w="1695" w:type="dxa"/>
            <w:tcBorders>
              <w:left w:val="single" w:sz="4" w:space="0" w:color="BFBFBF" w:themeColor="background1" w:themeShade="BF"/>
              <w:bottom w:val="single" w:sz="4" w:space="0" w:color="595959" w:themeColor="text1" w:themeTint="A6"/>
              <w:right w:val="single" w:sz="4" w:space="0" w:color="BFBFBF" w:themeColor="background1" w:themeShade="BF"/>
            </w:tcBorders>
          </w:tcPr>
          <w:p w:rsidR="0028027B" w:rsidRPr="00DC1EE4" w:rsidRDefault="0028027B" w:rsidP="00C03F9E"/>
        </w:tc>
      </w:tr>
      <w:tr w:rsidR="0028027B" w:rsidRPr="00DC1EE4" w:rsidTr="00C03F9E">
        <w:tblPrEx>
          <w:tblCellMar>
            <w:left w:w="58" w:type="dxa"/>
            <w:right w:w="58" w:type="dxa"/>
          </w:tblCellMar>
        </w:tblPrEx>
        <w:trPr>
          <w:trHeight w:val="144"/>
        </w:trPr>
        <w:tc>
          <w:tcPr>
            <w:tcW w:w="9775" w:type="dxa"/>
            <w:gridSpan w:val="4"/>
            <w:tcBorders>
              <w:top w:val="single" w:sz="4" w:space="0" w:color="595959" w:themeColor="text1" w:themeTint="A6"/>
              <w:left w:val="single" w:sz="4" w:space="0" w:color="595959" w:themeColor="text1" w:themeTint="A6"/>
              <w:bottom w:val="nil"/>
              <w:right w:val="single" w:sz="4" w:space="0" w:color="595959" w:themeColor="text1" w:themeTint="A6"/>
            </w:tcBorders>
            <w:shd w:val="clear" w:color="auto" w:fill="auto"/>
          </w:tcPr>
          <w:p w:rsidR="0028027B" w:rsidRPr="00DC1EE4" w:rsidRDefault="0028027B" w:rsidP="00C03F9E">
            <w:pPr>
              <w:pStyle w:val="Heading4"/>
              <w:outlineLvl w:val="3"/>
            </w:pPr>
            <w:r w:rsidRPr="00DC1EE4">
              <w:t>Assessment for criterion (iii)</w:t>
            </w:r>
          </w:p>
        </w:tc>
      </w:tr>
      <w:tr w:rsidR="0028027B" w:rsidRPr="00DC1EE4" w:rsidTr="00C03F9E">
        <w:tblPrEx>
          <w:tblCellMar>
            <w:left w:w="58" w:type="dxa"/>
            <w:right w:w="58" w:type="dxa"/>
          </w:tblCellMar>
        </w:tblPrEx>
        <w:trPr>
          <w:trHeight w:val="144"/>
        </w:trPr>
        <w:tc>
          <w:tcPr>
            <w:tcW w:w="9775" w:type="dxa"/>
            <w:gridSpan w:val="4"/>
            <w:tcBorders>
              <w:top w:val="nil"/>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28027B" w:rsidRPr="00DC1EE4" w:rsidRDefault="0028027B" w:rsidP="00C03F9E">
            <w:pPr>
              <w:pStyle w:val="Tabletext"/>
            </w:pPr>
            <w:r w:rsidRPr="00DC1EE4">
              <w:t>Your entity will satisfy criterion (iii) if the scope of your decision</w:t>
            </w:r>
            <w:r w:rsidR="005A4BB0">
              <w:noBreakHyphen/>
            </w:r>
            <w:r w:rsidRPr="00DC1EE4">
              <w:t>making authority is wide enough to provide you with sufficient discretion to direct the activities of the other entity.</w:t>
            </w:r>
          </w:p>
        </w:tc>
      </w:tr>
    </w:tbl>
    <w:p w:rsidR="0028027B" w:rsidRPr="00DC1EE4" w:rsidRDefault="0028027B" w:rsidP="0028027B"/>
    <w:p w:rsidR="0028027B" w:rsidRPr="00DC1EE4" w:rsidRDefault="0028027B" w:rsidP="0028027B">
      <w:r w:rsidRPr="00DC1EE4">
        <w:br w:type="page"/>
      </w:r>
    </w:p>
    <w:p w:rsidR="0028027B" w:rsidRPr="00DC1EE4" w:rsidRDefault="0028027B" w:rsidP="0028027B">
      <w:pPr>
        <w:pStyle w:val="Heading2"/>
      </w:pPr>
      <w:r w:rsidRPr="00DC1EE4">
        <w:t>Detailed guidance for application of AASB 10 Consolidated Financial Statements</w:t>
      </w:r>
    </w:p>
    <w:p w:rsidR="0028027B" w:rsidRPr="00DC1EE4" w:rsidRDefault="0028027B" w:rsidP="0028027B">
      <w:r w:rsidRPr="00DC1EE4">
        <w:t xml:space="preserve">AASB 10 focuses on </w:t>
      </w:r>
      <w:r w:rsidR="005A4BB0">
        <w:t>‘</w:t>
      </w:r>
      <w:r w:rsidRPr="00DC1EE4">
        <w:t>control</w:t>
      </w:r>
      <w:r w:rsidR="005A4BB0">
        <w:t>’</w:t>
      </w:r>
      <w:r w:rsidRPr="00DC1EE4">
        <w:t xml:space="preserve"> in determining whether an entity needs to consolidate another entity. Under AASB 10.7 control is assessed on the following three criteria:</w:t>
      </w:r>
    </w:p>
    <w:p w:rsidR="0028027B" w:rsidRPr="00DC1EE4" w:rsidRDefault="0028027B" w:rsidP="002E1AF3">
      <w:pPr>
        <w:pStyle w:val="NormalIndent2"/>
        <w:tabs>
          <w:tab w:val="left" w:pos="450"/>
        </w:tabs>
        <w:ind w:left="0"/>
      </w:pPr>
      <w:r w:rsidRPr="00DC1EE4">
        <w:t>(i)</w:t>
      </w:r>
      <w:r w:rsidRPr="00DC1EE4">
        <w:tab/>
        <w:t>power over the investee;</w:t>
      </w:r>
    </w:p>
    <w:p w:rsidR="0028027B" w:rsidRPr="00DC1EE4" w:rsidRDefault="0028027B" w:rsidP="002E1AF3">
      <w:pPr>
        <w:pStyle w:val="NormalIndent2"/>
        <w:tabs>
          <w:tab w:val="left" w:pos="450"/>
        </w:tabs>
        <w:ind w:left="0"/>
      </w:pPr>
      <w:r w:rsidRPr="00DC1EE4">
        <w:t>(ii)</w:t>
      </w:r>
      <w:r w:rsidRPr="00DC1EE4">
        <w:tab/>
        <w:t>exposure, or rights, to variable returns from its involvement with the investee; and</w:t>
      </w:r>
    </w:p>
    <w:p w:rsidR="0028027B" w:rsidRPr="00DC1EE4" w:rsidRDefault="0028027B" w:rsidP="002E1AF3">
      <w:pPr>
        <w:pStyle w:val="NormalIndent2"/>
        <w:tabs>
          <w:tab w:val="left" w:pos="450"/>
        </w:tabs>
        <w:ind w:left="0"/>
      </w:pPr>
      <w:r w:rsidRPr="00DC1EE4">
        <w:t>(iii)</w:t>
      </w:r>
      <w:r w:rsidRPr="00DC1EE4">
        <w:tab/>
        <w:t>the ability to use its power over the investee to affect the amount of the investor</w:t>
      </w:r>
      <w:r w:rsidR="005A4BB0">
        <w:t>’</w:t>
      </w:r>
      <w:r w:rsidRPr="00DC1EE4">
        <w:t>s returns.</w:t>
      </w:r>
    </w:p>
    <w:p w:rsidR="0028027B" w:rsidRPr="00DC1EE4" w:rsidRDefault="0028027B" w:rsidP="0028027B">
      <w:pPr>
        <w:spacing w:after="120"/>
      </w:pPr>
      <w:r w:rsidRPr="00DC1EE4">
        <w:t>Please note that these elements in isolation do not necessarily result in control as they would need to be assessed at an overall level and tested against the facts and circumstances specific to the entity.</w:t>
      </w:r>
    </w:p>
    <w:p w:rsidR="0028027B" w:rsidRPr="00DC1EE4" w:rsidRDefault="0028027B" w:rsidP="0028027B">
      <w:r w:rsidRPr="00DC1EE4">
        <w:t>References below are to the compiled version of AASB 10 as available on the AASB</w:t>
      </w:r>
      <w:r w:rsidR="005A4BB0">
        <w:t>’</w:t>
      </w:r>
      <w:r w:rsidRPr="00DC1EE4">
        <w:t>s website.</w:t>
      </w:r>
    </w:p>
    <w:p w:rsidR="0028027B" w:rsidRPr="00DC1EE4" w:rsidRDefault="0028027B" w:rsidP="00E348C3">
      <w:pPr>
        <w:pStyle w:val="Tableheading"/>
      </w:pPr>
      <w:r w:rsidRPr="00DC1EE4">
        <w:t xml:space="preserve">Detailed guidance in relation to the </w:t>
      </w:r>
      <w:r w:rsidR="005A4BB0">
        <w:t>‘</w:t>
      </w:r>
      <w:r w:rsidRPr="00DC1EE4">
        <w:t>control</w:t>
      </w:r>
      <w:r w:rsidR="005A4BB0">
        <w:t>’</w:t>
      </w:r>
      <w:r w:rsidRPr="00DC1EE4">
        <w:t xml:space="preserve"> criteria:</w:t>
      </w:r>
    </w:p>
    <w:tbl>
      <w:tblPr>
        <w:tblStyle w:val="TableGrid"/>
        <w:tblW w:w="5000" w:type="pct"/>
        <w:tblBorders>
          <w:top w:val="single" w:sz="4" w:space="0" w:color="BFBFBF" w:themeColor="background1" w:themeShade="BF"/>
          <w:left w:val="none" w:sz="0" w:space="0" w:color="auto"/>
          <w:bottom w:val="single" w:sz="12"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left w:w="58" w:type="dxa"/>
          <w:right w:w="58" w:type="dxa"/>
        </w:tblCellMar>
        <w:tblLook w:val="04A0" w:firstRow="1" w:lastRow="0" w:firstColumn="1" w:lastColumn="0" w:noHBand="0" w:noVBand="1"/>
      </w:tblPr>
      <w:tblGrid>
        <w:gridCol w:w="1828"/>
        <w:gridCol w:w="8466"/>
      </w:tblGrid>
      <w:tr w:rsidR="0028027B" w:rsidRPr="00DC1EE4" w:rsidTr="00C03F9E">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DBDB"/>
          </w:tcPr>
          <w:p w:rsidR="0028027B" w:rsidRPr="00DC1EE4" w:rsidRDefault="0028027B" w:rsidP="00C03F9E">
            <w:pPr>
              <w:pStyle w:val="Tabletextbold"/>
              <w:tabs>
                <w:tab w:val="left" w:pos="360"/>
              </w:tabs>
              <w:rPr>
                <w:rFonts w:eastAsia="Tahoma"/>
              </w:rPr>
            </w:pPr>
            <w:r w:rsidRPr="00DC1EE4">
              <w:t>(i)</w:t>
            </w:r>
            <w:r w:rsidRPr="00DC1EE4">
              <w:tab/>
              <w:t>Power over the investee</w:t>
            </w:r>
          </w:p>
        </w:tc>
      </w:tr>
      <w:tr w:rsidR="0028027B" w:rsidRPr="00DC1EE4" w:rsidTr="00C03F9E">
        <w:tc>
          <w:tcPr>
            <w:tcW w:w="888" w:type="pct"/>
            <w:tcBorders>
              <w:top w:val="single" w:sz="4" w:space="0" w:color="BFBFBF" w:themeColor="background1" w:themeShade="BF"/>
              <w:bottom w:val="single" w:sz="4" w:space="0" w:color="BFBFBF" w:themeColor="background1" w:themeShade="BF"/>
              <w:right w:val="nil"/>
            </w:tcBorders>
          </w:tcPr>
          <w:p w:rsidR="0028027B" w:rsidRPr="00DC1EE4" w:rsidRDefault="0028027B" w:rsidP="00C03F9E">
            <w:pPr>
              <w:pStyle w:val="Tabletext"/>
              <w:rPr>
                <w:rFonts w:eastAsia="Tahoma"/>
              </w:rPr>
            </w:pPr>
            <w:r w:rsidRPr="00DC1EE4">
              <w:t>AASB 10.8 and</w:t>
            </w:r>
            <w:r w:rsidRPr="00DC1EE4" w:rsidDel="00D76A98">
              <w:t xml:space="preserve"> </w:t>
            </w:r>
            <w:r w:rsidRPr="00DC1EE4">
              <w:t>B80</w:t>
            </w:r>
            <w:r w:rsidR="005A4BB0">
              <w:noBreakHyphen/>
            </w:r>
            <w:r w:rsidRPr="00DC1EE4">
              <w:t>84</w:t>
            </w:r>
          </w:p>
        </w:tc>
        <w:tc>
          <w:tcPr>
            <w:tcW w:w="4112" w:type="pct"/>
            <w:tcBorders>
              <w:top w:val="single" w:sz="4" w:space="0" w:color="BFBFBF" w:themeColor="background1" w:themeShade="BF"/>
              <w:left w:val="nil"/>
            </w:tcBorders>
          </w:tcPr>
          <w:p w:rsidR="0028027B" w:rsidRPr="00DC1EE4" w:rsidRDefault="0028027B" w:rsidP="00C03F9E">
            <w:pPr>
              <w:pStyle w:val="Tabletext"/>
              <w:rPr>
                <w:rFonts w:eastAsia="Tahoma"/>
              </w:rPr>
            </w:pPr>
            <w:r w:rsidRPr="00DC1EE4">
              <w:t>The assessment of control should be performed on a continuous basis and the investor entity shall reassess whether it controls the investee entity if the facts and circumstances indicate that there are changes to one or more elements of control.</w:t>
            </w:r>
          </w:p>
        </w:tc>
      </w:tr>
      <w:tr w:rsidR="0028027B" w:rsidRPr="00DC1EE4" w:rsidTr="00C03F9E">
        <w:tc>
          <w:tcPr>
            <w:tcW w:w="888" w:type="pct"/>
            <w:tcBorders>
              <w:bottom w:val="single" w:sz="4" w:space="0" w:color="BFBFBF" w:themeColor="background1" w:themeShade="BF"/>
              <w:right w:val="nil"/>
            </w:tcBorders>
          </w:tcPr>
          <w:p w:rsidR="0028027B" w:rsidRPr="00DC1EE4" w:rsidRDefault="0028027B" w:rsidP="00C03F9E">
            <w:pPr>
              <w:pStyle w:val="Tabletext"/>
              <w:rPr>
                <w:rFonts w:eastAsia="Tahoma"/>
              </w:rPr>
            </w:pPr>
            <w:r w:rsidRPr="00DC1EE4">
              <w:t>AASB 10.10</w:t>
            </w:r>
          </w:p>
        </w:tc>
        <w:tc>
          <w:tcPr>
            <w:tcW w:w="4112" w:type="pct"/>
            <w:tcBorders>
              <w:left w:val="nil"/>
            </w:tcBorders>
          </w:tcPr>
          <w:p w:rsidR="0028027B" w:rsidRPr="00DC1EE4" w:rsidRDefault="0028027B" w:rsidP="00C03F9E">
            <w:pPr>
              <w:pStyle w:val="Tabletext"/>
              <w:rPr>
                <w:rFonts w:eastAsia="Tahoma"/>
              </w:rPr>
            </w:pPr>
            <w:r w:rsidRPr="00DC1EE4">
              <w:t>The investor has power over the investee when it has existing rights with the current ability to direct the relevant activities of the investee, which significantly affect the investee</w:t>
            </w:r>
            <w:r w:rsidR="005A4BB0">
              <w:t>’</w:t>
            </w:r>
            <w:r w:rsidRPr="00DC1EE4">
              <w:t xml:space="preserve">s returns. </w:t>
            </w:r>
          </w:p>
          <w:p w:rsidR="0028027B" w:rsidRPr="00DC1EE4" w:rsidRDefault="0028027B" w:rsidP="00C03F9E">
            <w:pPr>
              <w:pStyle w:val="SmallLine"/>
            </w:pPr>
          </w:p>
          <w:p w:rsidR="0028027B" w:rsidRPr="00DC1EE4" w:rsidRDefault="0028027B" w:rsidP="00C03F9E">
            <w:pPr>
              <w:pStyle w:val="Tabletext"/>
              <w:rPr>
                <w:rFonts w:eastAsia="Tahoma"/>
              </w:rPr>
            </w:pPr>
            <w:r w:rsidRPr="00DC1EE4">
              <w:t>[Note the investor does not need to actively direct the investee</w:t>
            </w:r>
            <w:r w:rsidR="005A4BB0">
              <w:t>’</w:t>
            </w:r>
            <w:r w:rsidRPr="00DC1EE4">
              <w:t>s activities as long as there are no barriers preventing the exercise of its rights.]</w:t>
            </w:r>
          </w:p>
        </w:tc>
      </w:tr>
      <w:tr w:rsidR="0028027B" w:rsidRPr="00DC1EE4" w:rsidTr="00C03F9E">
        <w:tc>
          <w:tcPr>
            <w:tcW w:w="888" w:type="pct"/>
            <w:tcBorders>
              <w:bottom w:val="single" w:sz="4" w:space="0" w:color="BFBFBF" w:themeColor="background1" w:themeShade="BF"/>
              <w:right w:val="nil"/>
            </w:tcBorders>
          </w:tcPr>
          <w:p w:rsidR="0028027B" w:rsidRPr="00DC1EE4" w:rsidRDefault="0028027B" w:rsidP="00C03F9E">
            <w:pPr>
              <w:pStyle w:val="Tabletext"/>
              <w:rPr>
                <w:rFonts w:eastAsia="Tahoma"/>
              </w:rPr>
            </w:pPr>
            <w:r w:rsidRPr="00DC1EE4">
              <w:t>AASB10.IG5</w:t>
            </w:r>
          </w:p>
        </w:tc>
        <w:tc>
          <w:tcPr>
            <w:tcW w:w="4112" w:type="pct"/>
            <w:tcBorders>
              <w:left w:val="nil"/>
            </w:tcBorders>
          </w:tcPr>
          <w:p w:rsidR="0028027B" w:rsidRPr="00DC1EE4" w:rsidRDefault="0028027B" w:rsidP="00C03F9E">
            <w:pPr>
              <w:pStyle w:val="Tabletext"/>
              <w:rPr>
                <w:rFonts w:eastAsia="Tahoma"/>
              </w:rPr>
            </w:pPr>
            <w:r w:rsidRPr="00DC1EE4">
              <w:t>The investor has power over the investee when the investor can direct the investee to deploy its assets or incur liabilities in a way that affects the investee</w:t>
            </w:r>
            <w:r w:rsidR="005A4BB0">
              <w:t>’</w:t>
            </w:r>
            <w:r w:rsidRPr="00DC1EE4">
              <w:t>s returns (e.g. in providing goods/services to the investor, or assist in achieving or furthering the investor</w:t>
            </w:r>
            <w:r w:rsidR="005A4BB0">
              <w:t>’</w:t>
            </w:r>
            <w:r w:rsidRPr="00DC1EE4">
              <w:t xml:space="preserve">s objectives). </w:t>
            </w:r>
          </w:p>
        </w:tc>
      </w:tr>
      <w:tr w:rsidR="0028027B" w:rsidRPr="00DC1EE4" w:rsidTr="00C03F9E">
        <w:tc>
          <w:tcPr>
            <w:tcW w:w="888" w:type="pct"/>
            <w:tcBorders>
              <w:bottom w:val="single" w:sz="4" w:space="0" w:color="BFBFBF" w:themeColor="background1" w:themeShade="BF"/>
              <w:right w:val="nil"/>
            </w:tcBorders>
          </w:tcPr>
          <w:p w:rsidR="0028027B" w:rsidRPr="00DC1EE4" w:rsidRDefault="0028027B" w:rsidP="00C03F9E">
            <w:pPr>
              <w:pStyle w:val="Tabletext"/>
              <w:rPr>
                <w:rFonts w:eastAsia="Tahoma"/>
              </w:rPr>
            </w:pPr>
            <w:r w:rsidRPr="00DC1EE4">
              <w:t>AASB 10.B5</w:t>
            </w:r>
          </w:p>
        </w:tc>
        <w:tc>
          <w:tcPr>
            <w:tcW w:w="4112" w:type="pct"/>
            <w:tcBorders>
              <w:left w:val="nil"/>
            </w:tcBorders>
          </w:tcPr>
          <w:p w:rsidR="0028027B" w:rsidRPr="00DC1EE4" w:rsidRDefault="0028027B" w:rsidP="00C03F9E">
            <w:pPr>
              <w:pStyle w:val="Tabletext"/>
              <w:rPr>
                <w:rFonts w:eastAsia="Tahoma"/>
              </w:rPr>
            </w:pPr>
            <w:r w:rsidRPr="00DC1EE4">
              <w:t>The investor shall consider the purpose and design of the investee in order to identify the relevant activities, how relevant decisions are made, who has the current ability to direct those activities, and who receives returns from those activities.</w:t>
            </w:r>
          </w:p>
        </w:tc>
      </w:tr>
      <w:tr w:rsidR="0028027B" w:rsidRPr="00DC1EE4" w:rsidTr="00C03F9E">
        <w:tc>
          <w:tcPr>
            <w:tcW w:w="888" w:type="pct"/>
            <w:tcBorders>
              <w:bottom w:val="single" w:sz="4" w:space="0" w:color="BFBFBF" w:themeColor="background1" w:themeShade="BF"/>
              <w:right w:val="nil"/>
            </w:tcBorders>
          </w:tcPr>
          <w:p w:rsidR="0028027B" w:rsidRPr="00DC1EE4" w:rsidRDefault="0028027B" w:rsidP="00C03F9E">
            <w:pPr>
              <w:pStyle w:val="Tabletext"/>
              <w:rPr>
                <w:rFonts w:eastAsia="Tahoma"/>
              </w:rPr>
            </w:pPr>
            <w:r w:rsidRPr="00DC1EE4">
              <w:t>AASB 10.IG6</w:t>
            </w:r>
          </w:p>
        </w:tc>
        <w:tc>
          <w:tcPr>
            <w:tcW w:w="4112" w:type="pct"/>
            <w:tcBorders>
              <w:left w:val="nil"/>
            </w:tcBorders>
          </w:tcPr>
          <w:p w:rsidR="0028027B" w:rsidRPr="00DC1EE4" w:rsidRDefault="0028027B" w:rsidP="00C03F9E">
            <w:pPr>
              <w:pStyle w:val="Tabletext"/>
              <w:rPr>
                <w:rFonts w:eastAsia="Tahoma"/>
              </w:rPr>
            </w:pPr>
            <w:r w:rsidRPr="00DC1EE4">
              <w:t>For not</w:t>
            </w:r>
            <w:r w:rsidR="005A4BB0">
              <w:noBreakHyphen/>
            </w:r>
            <w:r w:rsidRPr="00DC1EE4">
              <w:t>for</w:t>
            </w:r>
            <w:r w:rsidR="005A4BB0">
              <w:noBreakHyphen/>
            </w:r>
            <w:r w:rsidRPr="00DC1EE4">
              <w:t xml:space="preserve">profit (NFP) entities, rights arising from administrative arrangements or statutory provisions will often be the source of power. </w:t>
            </w:r>
          </w:p>
        </w:tc>
      </w:tr>
      <w:tr w:rsidR="0028027B" w:rsidRPr="00DC1EE4" w:rsidTr="00C03F9E">
        <w:tc>
          <w:tcPr>
            <w:tcW w:w="888" w:type="pct"/>
            <w:tcBorders>
              <w:bottom w:val="single" w:sz="4" w:space="0" w:color="BFBFBF" w:themeColor="background1" w:themeShade="BF"/>
              <w:right w:val="nil"/>
            </w:tcBorders>
          </w:tcPr>
          <w:p w:rsidR="0028027B" w:rsidRPr="00DC1EE4" w:rsidRDefault="0028027B" w:rsidP="00C03F9E">
            <w:pPr>
              <w:pStyle w:val="Tabletext"/>
              <w:rPr>
                <w:rFonts w:eastAsia="Tahoma"/>
              </w:rPr>
            </w:pPr>
            <w:r w:rsidRPr="00DC1EE4">
              <w:t>AASB 10.IG7</w:t>
            </w:r>
          </w:p>
        </w:tc>
        <w:tc>
          <w:tcPr>
            <w:tcW w:w="4112" w:type="pct"/>
            <w:tcBorders>
              <w:left w:val="nil"/>
            </w:tcBorders>
          </w:tcPr>
          <w:p w:rsidR="0028027B" w:rsidRPr="00DC1EE4" w:rsidRDefault="0028027B" w:rsidP="00C03F9E">
            <w:pPr>
              <w:pStyle w:val="Tabletext"/>
              <w:rPr>
                <w:rFonts w:eastAsia="Tahoma"/>
              </w:rPr>
            </w:pPr>
            <w:r w:rsidRPr="00DC1EE4">
              <w:t>For example, an enabling legislation for the investee may specify the investor</w:t>
            </w:r>
            <w:r w:rsidR="005A4BB0">
              <w:t>’</w:t>
            </w:r>
            <w:r w:rsidRPr="00DC1EE4">
              <w:t>s rights to direct the operating and financing activities that may be carried out by the investee. Therefore, the legislation will give rise power to the investor over the investee through rights specified in it.</w:t>
            </w:r>
          </w:p>
          <w:p w:rsidR="0028027B" w:rsidRPr="00DC1EE4" w:rsidRDefault="0028027B" w:rsidP="00C03F9E">
            <w:pPr>
              <w:pStyle w:val="SmallLine"/>
              <w:rPr>
                <w:rFonts w:eastAsia="Tahoma"/>
              </w:rPr>
            </w:pPr>
          </w:p>
          <w:p w:rsidR="0028027B" w:rsidRPr="00DC1EE4" w:rsidRDefault="0028027B" w:rsidP="00C03F9E">
            <w:pPr>
              <w:pStyle w:val="Tabletext"/>
              <w:rPr>
                <w:rFonts w:eastAsia="Tahoma"/>
              </w:rPr>
            </w:pPr>
            <w:r w:rsidRPr="00DC1EE4">
              <w:t xml:space="preserve">However, the impact of the constituting document or legislation should be evaluated in the context of the prevailing circumstances. </w:t>
            </w:r>
          </w:p>
          <w:p w:rsidR="0028027B" w:rsidRPr="00DC1EE4" w:rsidRDefault="0028027B" w:rsidP="00C03F9E">
            <w:pPr>
              <w:pStyle w:val="SmallLine"/>
              <w:rPr>
                <w:rFonts w:eastAsia="Tahoma"/>
              </w:rPr>
            </w:pPr>
          </w:p>
          <w:p w:rsidR="0028027B" w:rsidRPr="00DC1EE4" w:rsidRDefault="0028027B" w:rsidP="00C03F9E">
            <w:pPr>
              <w:pStyle w:val="Tabletext"/>
              <w:rPr>
                <w:rFonts w:eastAsia="Tahoma"/>
              </w:rPr>
            </w:pPr>
            <w:r w:rsidRPr="00DC1EE4">
              <w:t>For example, the enabling legislation may not specify the investor</w:t>
            </w:r>
            <w:r w:rsidR="005A4BB0">
              <w:t>’</w:t>
            </w:r>
            <w:r w:rsidRPr="00DC1EE4">
              <w:t>s rights to direct the relevant activities of the investee, or the rights are actually held by other entities that are not controlled by the Government, even though the investee operates under a mandate created, and limited, by the Government</w:t>
            </w:r>
            <w:r w:rsidR="005A4BB0">
              <w:t>’</w:t>
            </w:r>
            <w:r w:rsidRPr="00DC1EE4">
              <w:t>s legislation. In this case, the investor would not have power over the investee.</w:t>
            </w:r>
          </w:p>
        </w:tc>
      </w:tr>
      <w:tr w:rsidR="0028027B" w:rsidRPr="00DC1EE4" w:rsidTr="00C03F9E">
        <w:tc>
          <w:tcPr>
            <w:tcW w:w="888" w:type="pct"/>
            <w:tcBorders>
              <w:bottom w:val="single" w:sz="4" w:space="0" w:color="BFBFBF" w:themeColor="background1" w:themeShade="BF"/>
              <w:right w:val="nil"/>
            </w:tcBorders>
          </w:tcPr>
          <w:p w:rsidR="0028027B" w:rsidRPr="00DC1EE4" w:rsidRDefault="0028027B" w:rsidP="00C03F9E">
            <w:pPr>
              <w:pStyle w:val="Tabletext"/>
              <w:rPr>
                <w:rFonts w:eastAsia="Tahoma"/>
              </w:rPr>
            </w:pPr>
            <w:r w:rsidRPr="00DC1EE4">
              <w:t>AASB 10.IG9</w:t>
            </w:r>
          </w:p>
        </w:tc>
        <w:tc>
          <w:tcPr>
            <w:tcW w:w="4112" w:type="pct"/>
            <w:tcBorders>
              <w:left w:val="nil"/>
            </w:tcBorders>
          </w:tcPr>
          <w:p w:rsidR="0028027B" w:rsidRPr="00DC1EE4" w:rsidRDefault="0028027B" w:rsidP="00C03F9E">
            <w:pPr>
              <w:pStyle w:val="Tabletext"/>
              <w:rPr>
                <w:rFonts w:eastAsia="Tahoma"/>
              </w:rPr>
            </w:pPr>
            <w:r w:rsidRPr="00DC1EE4">
              <w:t>Power arises from rights.</w:t>
            </w:r>
          </w:p>
          <w:p w:rsidR="0028027B" w:rsidRPr="00DC1EE4" w:rsidRDefault="0028027B" w:rsidP="00C03F9E">
            <w:pPr>
              <w:pStyle w:val="Tabletext"/>
              <w:rPr>
                <w:rFonts w:eastAsia="Tahoma"/>
              </w:rPr>
            </w:pPr>
            <w:r w:rsidRPr="00DC1EE4">
              <w:t>In relation to NFP investors, rights include:</w:t>
            </w:r>
          </w:p>
          <w:p w:rsidR="0028027B" w:rsidRPr="00DC1EE4" w:rsidRDefault="0028027B" w:rsidP="0028027B">
            <w:pPr>
              <w:pStyle w:val="TableBullet"/>
              <w:spacing w:line="240" w:lineRule="atLeast"/>
              <w:ind w:left="319" w:hanging="270"/>
              <w:rPr>
                <w:rFonts w:eastAsia="Tahoma"/>
              </w:rPr>
            </w:pPr>
            <w:r w:rsidRPr="00DC1EE4">
              <w:t xml:space="preserve">rights to give policy directions to the governing body of the investee that give the holder the ability to direct the relevant activities of the investee; and </w:t>
            </w:r>
          </w:p>
          <w:p w:rsidR="0028027B" w:rsidRPr="00DC1EE4" w:rsidRDefault="0028027B" w:rsidP="0028027B">
            <w:pPr>
              <w:pStyle w:val="TableBullet"/>
              <w:spacing w:line="240" w:lineRule="atLeast"/>
              <w:ind w:left="319" w:hanging="270"/>
              <w:rPr>
                <w:rFonts w:eastAsia="Tahoma"/>
              </w:rPr>
            </w:pPr>
            <w:r w:rsidRPr="00DC1EE4">
              <w:t xml:space="preserve">rights to approve or veto operating and capital budgets relating to the relevant activities of the investee. </w:t>
            </w:r>
          </w:p>
        </w:tc>
      </w:tr>
      <w:tr w:rsidR="0028027B" w:rsidRPr="00DC1EE4" w:rsidTr="00C03F9E">
        <w:tc>
          <w:tcPr>
            <w:tcW w:w="888" w:type="pct"/>
            <w:tcBorders>
              <w:bottom w:val="single" w:sz="4" w:space="0" w:color="BFBFBF" w:themeColor="background1" w:themeShade="BF"/>
              <w:right w:val="nil"/>
            </w:tcBorders>
          </w:tcPr>
          <w:p w:rsidR="0028027B" w:rsidRPr="00DC1EE4" w:rsidRDefault="0028027B" w:rsidP="00C03F9E">
            <w:pPr>
              <w:pStyle w:val="Tabletext"/>
              <w:rPr>
                <w:rFonts w:eastAsia="Tahoma"/>
              </w:rPr>
            </w:pPr>
            <w:r w:rsidRPr="00DC1EE4">
              <w:t>AASB 10.IG10</w:t>
            </w:r>
          </w:p>
        </w:tc>
        <w:tc>
          <w:tcPr>
            <w:tcW w:w="4112" w:type="pct"/>
            <w:tcBorders>
              <w:left w:val="nil"/>
              <w:bottom w:val="single" w:sz="4" w:space="0" w:color="BFBFBF" w:themeColor="background1" w:themeShade="BF"/>
            </w:tcBorders>
          </w:tcPr>
          <w:p w:rsidR="0028027B" w:rsidRPr="00DC1EE4" w:rsidRDefault="0028027B" w:rsidP="00C03F9E">
            <w:pPr>
              <w:pStyle w:val="Tabletext"/>
              <w:rPr>
                <w:rFonts w:eastAsia="Tahoma"/>
              </w:rPr>
            </w:pPr>
            <w:r w:rsidRPr="00DC1EE4">
              <w:t>A NFP investor can have power over the investee even if it does not have responsibility for the day</w:t>
            </w:r>
            <w:r w:rsidR="005A4BB0">
              <w:noBreakHyphen/>
            </w:r>
            <w:r w:rsidRPr="00DC1EE4">
              <w:t>to</w:t>
            </w:r>
            <w:r w:rsidR="005A4BB0">
              <w:noBreakHyphen/>
            </w:r>
            <w:r w:rsidRPr="00DC1EE4">
              <w:t xml:space="preserve">day operation of the investee or the specific manner in which prescribed functions are performed by the investee. If the Government provides resources (not limited to grants) that assist the investee in fulfilling its responsibilities, the resources of the investee remain government resources, albeit they are placed at the disposal of the investee. </w:t>
            </w:r>
          </w:p>
        </w:tc>
      </w:tr>
      <w:tr w:rsidR="002A448C" w:rsidRPr="00DC1EE4" w:rsidTr="00C03F9E">
        <w:tc>
          <w:tcPr>
            <w:tcW w:w="888" w:type="pct"/>
            <w:tcBorders>
              <w:bottom w:val="single" w:sz="4" w:space="0" w:color="BFBFBF" w:themeColor="background1" w:themeShade="BF"/>
              <w:right w:val="nil"/>
            </w:tcBorders>
          </w:tcPr>
          <w:p w:rsidR="002A448C" w:rsidRPr="00DC1EE4" w:rsidRDefault="002A448C" w:rsidP="00801F47">
            <w:pPr>
              <w:pStyle w:val="Tabletext"/>
              <w:rPr>
                <w:rFonts w:eastAsia="Tahoma"/>
              </w:rPr>
            </w:pPr>
            <w:r w:rsidRPr="00DC1EE4">
              <w:t>AASB 10.IG 11</w:t>
            </w:r>
            <w:r w:rsidR="005A4BB0">
              <w:noBreakHyphen/>
            </w:r>
            <w:r w:rsidRPr="00DC1EE4">
              <w:t>12</w:t>
            </w:r>
          </w:p>
        </w:tc>
        <w:tc>
          <w:tcPr>
            <w:tcW w:w="4112" w:type="pct"/>
            <w:tcBorders>
              <w:left w:val="nil"/>
              <w:bottom w:val="single" w:sz="4" w:space="0" w:color="BFBFBF" w:themeColor="background1" w:themeShade="BF"/>
            </w:tcBorders>
          </w:tcPr>
          <w:p w:rsidR="002A448C" w:rsidRPr="00DC1EE4" w:rsidRDefault="002A448C" w:rsidP="00801F47">
            <w:pPr>
              <w:pStyle w:val="Tabletext"/>
              <w:rPr>
                <w:rFonts w:eastAsia="Tahoma"/>
              </w:rPr>
            </w:pPr>
            <w:r w:rsidRPr="00DC1EE4">
              <w:t>A NFP investor can have more than a passive interest in an investee. For example, an investee</w:t>
            </w:r>
            <w:r w:rsidR="005A4BB0">
              <w:t>’</w:t>
            </w:r>
            <w:r w:rsidRPr="00DC1EE4">
              <w:t xml:space="preserve">s operations are dependent on the investor. </w:t>
            </w:r>
          </w:p>
          <w:p w:rsidR="002A448C" w:rsidRPr="00DC1EE4" w:rsidRDefault="002A448C" w:rsidP="00801F47">
            <w:pPr>
              <w:pStyle w:val="Tabletext"/>
              <w:rPr>
                <w:rFonts w:eastAsia="Tahoma"/>
              </w:rPr>
            </w:pPr>
            <w:r w:rsidRPr="00DC1EE4">
              <w:t>However, the existence of economic dependence alone may not lead to the investor entity having power over the investee. For instance, a government may not have the current ability to direct the relevant activities of entities (such as private schools, private hospitals, private aged</w:t>
            </w:r>
            <w:r w:rsidR="005A4BB0">
              <w:noBreakHyphen/>
            </w:r>
            <w:r w:rsidRPr="00DC1EE4">
              <w:t xml:space="preserve">care providers and universities) that are financially dependent on government funding, where the governing bodies of those entities have discretion with respect to whether they will accept resources from the Government, or the manner in which their resources are to be deployed. This may be so even if government grants provided to such entities require them to comply with specified conditions. Although these entities might receive government grants for capital construction and operating costs subject to specified service standards or restrictions on user fees, their independent governing body may have ultimate discretion about how assets are deployed. </w:t>
            </w:r>
          </w:p>
        </w:tc>
      </w:tr>
      <w:tr w:rsidR="002A448C" w:rsidRPr="00DC1EE4" w:rsidTr="00C03F9E">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DBDB"/>
          </w:tcPr>
          <w:p w:rsidR="002A448C" w:rsidRPr="00DC1EE4" w:rsidRDefault="002A448C" w:rsidP="00C03F9E">
            <w:pPr>
              <w:pStyle w:val="Tabletextbold"/>
              <w:pageBreakBefore/>
              <w:tabs>
                <w:tab w:val="left" w:pos="360"/>
              </w:tabs>
              <w:rPr>
                <w:rFonts w:eastAsia="Tahoma"/>
              </w:rPr>
            </w:pPr>
            <w:r w:rsidRPr="00DC1EE4">
              <w:t>(i)</w:t>
            </w:r>
            <w:r w:rsidRPr="00DC1EE4">
              <w:tab/>
              <w:t xml:space="preserve">Power over the investee </w:t>
            </w:r>
            <w:r w:rsidRPr="00DC1EE4">
              <w:rPr>
                <w:i/>
              </w:rPr>
              <w:t>(continued)</w:t>
            </w:r>
          </w:p>
        </w:tc>
      </w:tr>
      <w:tr w:rsidR="002A448C" w:rsidRPr="00DC1EE4" w:rsidTr="00C03F9E">
        <w:tc>
          <w:tcPr>
            <w:tcW w:w="888" w:type="pct"/>
            <w:tcBorders>
              <w:top w:val="single" w:sz="4" w:space="0" w:color="BFBFBF" w:themeColor="background1" w:themeShade="BF"/>
              <w:bottom w:val="single" w:sz="4" w:space="0" w:color="BFBFBF" w:themeColor="background1" w:themeShade="BF"/>
              <w:right w:val="nil"/>
            </w:tcBorders>
          </w:tcPr>
          <w:p w:rsidR="002A448C" w:rsidRPr="00DC1EE4" w:rsidRDefault="002A448C" w:rsidP="002A448C">
            <w:pPr>
              <w:pStyle w:val="Tabletext"/>
              <w:spacing w:before="100" w:beforeAutospacing="1" w:after="100" w:afterAutospacing="1"/>
              <w:rPr>
                <w:rFonts w:eastAsia="Tahoma"/>
              </w:rPr>
            </w:pPr>
            <w:r w:rsidRPr="00DC1EE4">
              <w:t>AASB 10. B22</w:t>
            </w:r>
          </w:p>
        </w:tc>
        <w:tc>
          <w:tcPr>
            <w:tcW w:w="4112" w:type="pct"/>
            <w:tcBorders>
              <w:top w:val="single" w:sz="4" w:space="0" w:color="BFBFBF" w:themeColor="background1" w:themeShade="BF"/>
              <w:left w:val="nil"/>
            </w:tcBorders>
          </w:tcPr>
          <w:p w:rsidR="002A448C" w:rsidRPr="00DC1EE4" w:rsidRDefault="002A448C" w:rsidP="00C03F9E">
            <w:pPr>
              <w:pStyle w:val="Tabletext"/>
              <w:rPr>
                <w:rFonts w:eastAsia="Tahoma"/>
              </w:rPr>
            </w:pPr>
            <w:r w:rsidRPr="00DC1EE4">
              <w:t xml:space="preserve">Only substantive rights held by the investor and others are considered when determining whether the rights give rise to power. </w:t>
            </w:r>
          </w:p>
          <w:p w:rsidR="002A448C" w:rsidRPr="00DC1EE4" w:rsidRDefault="002A448C" w:rsidP="00C03F9E">
            <w:pPr>
              <w:pStyle w:val="Tabletext"/>
              <w:rPr>
                <w:rFonts w:eastAsia="Tahoma"/>
              </w:rPr>
            </w:pPr>
            <w:r w:rsidRPr="00DC1EE4">
              <w:t xml:space="preserve">To be substantive, rights need to be exercisable when decisions about the relevant activities need to be made, and their holder needs to have a practical ability to exercise those rights. </w:t>
            </w:r>
          </w:p>
        </w:tc>
      </w:tr>
      <w:tr w:rsidR="002A448C" w:rsidRPr="00DC1EE4" w:rsidTr="00C03F9E">
        <w:tc>
          <w:tcPr>
            <w:tcW w:w="888" w:type="pct"/>
            <w:tcBorders>
              <w:bottom w:val="single" w:sz="4" w:space="0" w:color="BFBFBF" w:themeColor="background1" w:themeShade="BF"/>
              <w:right w:val="nil"/>
            </w:tcBorders>
          </w:tcPr>
          <w:p w:rsidR="002A448C" w:rsidRPr="00DC1EE4" w:rsidRDefault="002A448C" w:rsidP="00C03F9E">
            <w:pPr>
              <w:pStyle w:val="Tabletext"/>
              <w:rPr>
                <w:rFonts w:eastAsia="Tahoma"/>
              </w:rPr>
            </w:pPr>
            <w:r w:rsidRPr="00DC1EE4">
              <w:t>AASB 10.IG13</w:t>
            </w:r>
            <w:r w:rsidR="005A4BB0">
              <w:noBreakHyphen/>
            </w:r>
            <w:r w:rsidRPr="00DC1EE4">
              <w:t>14</w:t>
            </w:r>
          </w:p>
        </w:tc>
        <w:tc>
          <w:tcPr>
            <w:tcW w:w="4112" w:type="pct"/>
            <w:tcBorders>
              <w:left w:val="nil"/>
            </w:tcBorders>
          </w:tcPr>
          <w:p w:rsidR="002A448C" w:rsidRPr="00DC1EE4" w:rsidRDefault="002A448C" w:rsidP="00C03F9E">
            <w:pPr>
              <w:pStyle w:val="Tabletext"/>
              <w:rPr>
                <w:rFonts w:eastAsia="Tahoma"/>
              </w:rPr>
            </w:pPr>
            <w:r w:rsidRPr="00DC1EE4">
              <w:t xml:space="preserve">While AASB10.B24 states that for rights to be substantive, they must be currently exercisable, they note that sometimes rights can be substantive even when they are not currently exercisable. </w:t>
            </w:r>
          </w:p>
          <w:p w:rsidR="002A448C" w:rsidRPr="00DC1EE4" w:rsidRDefault="002A448C" w:rsidP="00C03F9E">
            <w:pPr>
              <w:pStyle w:val="Tabletext"/>
              <w:rPr>
                <w:rFonts w:eastAsia="Tahoma"/>
              </w:rPr>
            </w:pPr>
            <w:r w:rsidRPr="00DC1EE4">
              <w:t>The standard states that rights can be substantive even if not currently exercisable due to timing delays for the rights to become effective. For the NFP investor, rights specified in substantively enacted legislation would be substantive rights that need to be considered in assessing control if it is assessed that the rights will be exercisable when decisions about the direction of the relevant activities need to be made.</w:t>
            </w:r>
          </w:p>
        </w:tc>
      </w:tr>
      <w:tr w:rsidR="002A448C" w:rsidRPr="00DC1EE4" w:rsidTr="00C03F9E">
        <w:tc>
          <w:tcPr>
            <w:tcW w:w="888" w:type="pct"/>
            <w:tcBorders>
              <w:bottom w:val="single" w:sz="4" w:space="0" w:color="BFBFBF" w:themeColor="background1" w:themeShade="BF"/>
              <w:right w:val="nil"/>
            </w:tcBorders>
          </w:tcPr>
          <w:p w:rsidR="002A448C" w:rsidRPr="00DC1EE4" w:rsidRDefault="002A448C" w:rsidP="00C03F9E">
            <w:pPr>
              <w:pStyle w:val="Tabletext"/>
              <w:rPr>
                <w:rFonts w:eastAsia="Tahoma"/>
              </w:rPr>
            </w:pPr>
            <w:r w:rsidRPr="00DC1EE4">
              <w:t>AASB 10.IG14</w:t>
            </w:r>
          </w:p>
        </w:tc>
        <w:tc>
          <w:tcPr>
            <w:tcW w:w="4112" w:type="pct"/>
            <w:tcBorders>
              <w:left w:val="nil"/>
            </w:tcBorders>
          </w:tcPr>
          <w:p w:rsidR="002A448C" w:rsidRPr="00DC1EE4" w:rsidRDefault="002A448C" w:rsidP="00C03F9E">
            <w:pPr>
              <w:pStyle w:val="Tabletext"/>
              <w:rPr>
                <w:rFonts w:eastAsia="Tahoma"/>
              </w:rPr>
            </w:pPr>
            <w:r w:rsidRPr="00DC1EE4">
              <w:t xml:space="preserve">However, the power to enact or change legislation does not necessarily give the investor the current ability to direct relevant activities of the investee. </w:t>
            </w:r>
          </w:p>
        </w:tc>
      </w:tr>
      <w:tr w:rsidR="002A448C" w:rsidRPr="00DC1EE4" w:rsidTr="00C03F9E">
        <w:tc>
          <w:tcPr>
            <w:tcW w:w="888" w:type="pct"/>
            <w:tcBorders>
              <w:bottom w:val="single" w:sz="4" w:space="0" w:color="BFBFBF" w:themeColor="background1" w:themeShade="BF"/>
              <w:right w:val="nil"/>
            </w:tcBorders>
          </w:tcPr>
          <w:p w:rsidR="002A448C" w:rsidRPr="00DC1EE4" w:rsidRDefault="002A448C" w:rsidP="00C03F9E">
            <w:pPr>
              <w:pStyle w:val="Tabletext"/>
              <w:rPr>
                <w:rFonts w:eastAsia="Tahoma"/>
              </w:rPr>
            </w:pPr>
            <w:r w:rsidRPr="00DC1EE4">
              <w:t>AASB 10.B26</w:t>
            </w:r>
            <w:r w:rsidR="005A4BB0">
              <w:noBreakHyphen/>
            </w:r>
            <w:r w:rsidRPr="00DC1EE4">
              <w:t>B28</w:t>
            </w:r>
          </w:p>
        </w:tc>
        <w:tc>
          <w:tcPr>
            <w:tcW w:w="4112" w:type="pct"/>
            <w:tcBorders>
              <w:left w:val="nil"/>
            </w:tcBorders>
          </w:tcPr>
          <w:p w:rsidR="002A448C" w:rsidRPr="00DC1EE4" w:rsidRDefault="002A448C" w:rsidP="00C03F9E">
            <w:pPr>
              <w:pStyle w:val="Tabletext"/>
              <w:rPr>
                <w:rFonts w:eastAsia="Tahoma"/>
              </w:rPr>
            </w:pPr>
            <w:r w:rsidRPr="00DC1EE4">
              <w:t xml:space="preserve">Depending on the circumstances, statutory arrangements may be in the nature of protective rights rather than substantive rights. </w:t>
            </w:r>
          </w:p>
        </w:tc>
      </w:tr>
      <w:tr w:rsidR="002A448C" w:rsidRPr="00DC1EE4" w:rsidTr="00C03F9E">
        <w:tc>
          <w:tcPr>
            <w:tcW w:w="888" w:type="pct"/>
            <w:tcBorders>
              <w:bottom w:val="single" w:sz="4" w:space="0" w:color="BFBFBF" w:themeColor="background1" w:themeShade="BF"/>
              <w:right w:val="nil"/>
            </w:tcBorders>
          </w:tcPr>
          <w:p w:rsidR="002A448C" w:rsidRPr="00DC1EE4" w:rsidRDefault="002A448C" w:rsidP="00C03F9E">
            <w:pPr>
              <w:pStyle w:val="Tabletext"/>
              <w:rPr>
                <w:rFonts w:eastAsia="Tahoma"/>
              </w:rPr>
            </w:pPr>
            <w:r w:rsidRPr="00DC1EE4">
              <w:t>AASB 10.IG16</w:t>
            </w:r>
          </w:p>
        </w:tc>
        <w:tc>
          <w:tcPr>
            <w:tcW w:w="4112" w:type="pct"/>
            <w:tcBorders>
              <w:left w:val="nil"/>
            </w:tcBorders>
          </w:tcPr>
          <w:p w:rsidR="002A448C" w:rsidRPr="00DC1EE4" w:rsidRDefault="002A448C" w:rsidP="00C03F9E">
            <w:pPr>
              <w:pStyle w:val="Tabletext"/>
              <w:rPr>
                <w:rFonts w:eastAsia="Tahoma"/>
              </w:rPr>
            </w:pPr>
            <w:r w:rsidRPr="00DC1EE4">
              <w:t>Protective rights are related to fundamental changes in the activities of the other entity or rights that apply only in exceptional circumstances, and does not give the holder the power or prevent others from having power and therefore control the other entity.</w:t>
            </w:r>
          </w:p>
          <w:p w:rsidR="002A448C" w:rsidRPr="00DC1EE4" w:rsidRDefault="002A448C" w:rsidP="00C03F9E">
            <w:pPr>
              <w:pStyle w:val="Tabletext"/>
              <w:rPr>
                <w:rFonts w:eastAsia="Tahoma"/>
              </w:rPr>
            </w:pPr>
            <w:r w:rsidRPr="00DC1EE4">
              <w:t xml:space="preserve">For NFP entities, protective rights includes rights held by a government or other entity in order to protect (rather than enhance) the interests of the Government, the beneficiaries of an entity or the public at large. The regulatory powers may be exercisable through a framework within which entities operate, including the ability to impose conditions or sanctions on their operations. </w:t>
            </w:r>
          </w:p>
          <w:p w:rsidR="002A448C" w:rsidRPr="00DC1EE4" w:rsidRDefault="002A448C" w:rsidP="00C03F9E">
            <w:pPr>
              <w:pStyle w:val="Tabletext"/>
              <w:rPr>
                <w:rFonts w:eastAsia="Tahoma"/>
              </w:rPr>
            </w:pPr>
            <w:r w:rsidRPr="00DC1EE4">
              <w:t xml:space="preserve">As a result, these regulatory powers may represent protective rights, which do not give power over the other entity. </w:t>
            </w:r>
          </w:p>
          <w:p w:rsidR="002A448C" w:rsidRPr="00DC1EE4" w:rsidRDefault="002A448C" w:rsidP="00C03F9E">
            <w:pPr>
              <w:pStyle w:val="Tabletext"/>
              <w:rPr>
                <w:rFonts w:eastAsia="Tahoma"/>
              </w:rPr>
            </w:pPr>
            <w:r w:rsidRPr="00DC1EE4">
              <w:t>However, these may be substantive rights if they have the effect of giving the regulator the ability to direct the relevant activities of the other entity in particular circumstances.</w:t>
            </w:r>
          </w:p>
        </w:tc>
      </w:tr>
      <w:tr w:rsidR="002A448C" w:rsidRPr="00DC1EE4" w:rsidTr="00C03F9E">
        <w:tc>
          <w:tcPr>
            <w:tcW w:w="888" w:type="pct"/>
            <w:tcBorders>
              <w:bottom w:val="single" w:sz="4" w:space="0" w:color="BFBFBF" w:themeColor="background1" w:themeShade="BF"/>
              <w:right w:val="nil"/>
            </w:tcBorders>
          </w:tcPr>
          <w:p w:rsidR="002A448C" w:rsidRPr="00DC1EE4" w:rsidRDefault="002A448C" w:rsidP="00C03F9E">
            <w:pPr>
              <w:pStyle w:val="Tabletext"/>
              <w:rPr>
                <w:rFonts w:eastAsia="Tahoma"/>
              </w:rPr>
            </w:pPr>
            <w:r w:rsidRPr="00DC1EE4">
              <w:t>AASB 10.IG17</w:t>
            </w:r>
          </w:p>
        </w:tc>
        <w:tc>
          <w:tcPr>
            <w:tcW w:w="4112" w:type="pct"/>
            <w:tcBorders>
              <w:left w:val="nil"/>
            </w:tcBorders>
          </w:tcPr>
          <w:p w:rsidR="002A448C" w:rsidRPr="00DC1EE4" w:rsidRDefault="002A448C" w:rsidP="00C03F9E">
            <w:pPr>
              <w:pStyle w:val="Tabletext"/>
              <w:rPr>
                <w:rFonts w:eastAsia="Tahoma"/>
              </w:rPr>
            </w:pPr>
            <w:r w:rsidRPr="00DC1EE4">
              <w:t>Examples of protective rights in relation to NFP entities include, but are not limited to:</w:t>
            </w:r>
          </w:p>
          <w:p w:rsidR="002A448C" w:rsidRPr="00DC1EE4" w:rsidRDefault="002A448C" w:rsidP="0028027B">
            <w:pPr>
              <w:pStyle w:val="TableBullet"/>
              <w:spacing w:line="240" w:lineRule="atLeast"/>
              <w:ind w:left="319" w:hanging="270"/>
              <w:rPr>
                <w:rFonts w:eastAsia="Tahoma"/>
              </w:rPr>
            </w:pPr>
            <w:r w:rsidRPr="00DC1EE4">
              <w:t>regulatory power that imposes conditions or sanctions on the other entity</w:t>
            </w:r>
            <w:r w:rsidR="005A4BB0">
              <w:t>’</w:t>
            </w:r>
            <w:r w:rsidRPr="00DC1EE4">
              <w:t>s operation in restricted circumstances (e.g. breaching of environmental regulations);</w:t>
            </w:r>
          </w:p>
          <w:p w:rsidR="002A448C" w:rsidRPr="00DC1EE4" w:rsidRDefault="002A448C" w:rsidP="0028027B">
            <w:pPr>
              <w:pStyle w:val="TableBullet"/>
              <w:spacing w:line="240" w:lineRule="atLeast"/>
              <w:ind w:left="319" w:hanging="270"/>
              <w:rPr>
                <w:rFonts w:eastAsia="Tahoma"/>
              </w:rPr>
            </w:pPr>
            <w:r w:rsidRPr="00DC1EE4">
              <w:t>the right of a regulator to curtail or close the operation of entities that breach regulations or other requirements; or</w:t>
            </w:r>
          </w:p>
          <w:p w:rsidR="002A448C" w:rsidRPr="00DC1EE4" w:rsidRDefault="002A448C" w:rsidP="0028027B">
            <w:pPr>
              <w:pStyle w:val="TableBullet"/>
              <w:spacing w:line="240" w:lineRule="atLeast"/>
              <w:ind w:left="319" w:hanging="270"/>
              <w:rPr>
                <w:rFonts w:eastAsia="Tahoma"/>
              </w:rPr>
            </w:pPr>
            <w:r w:rsidRPr="00DC1EE4">
              <w:t>the right to remove or appoint members of the governing body of another entity under certain restricted circumstances (e.g. failure to comply with performance standards).</w:t>
            </w:r>
          </w:p>
        </w:tc>
      </w:tr>
      <w:tr w:rsidR="002A448C" w:rsidRPr="00DC1EE4" w:rsidTr="00C03F9E">
        <w:tc>
          <w:tcPr>
            <w:tcW w:w="888" w:type="pct"/>
            <w:tcBorders>
              <w:bottom w:val="single" w:sz="4" w:space="0" w:color="BFBFBF" w:themeColor="background1" w:themeShade="BF"/>
              <w:right w:val="nil"/>
            </w:tcBorders>
          </w:tcPr>
          <w:p w:rsidR="002A448C" w:rsidRPr="00DC1EE4" w:rsidRDefault="002A448C" w:rsidP="00C03F9E">
            <w:pPr>
              <w:pStyle w:val="Tabletext"/>
              <w:rPr>
                <w:rFonts w:eastAsia="Tahoma"/>
              </w:rPr>
            </w:pPr>
            <w:r w:rsidRPr="00DC1EE4">
              <w:t>AASB 10.B34</w:t>
            </w:r>
            <w:r w:rsidR="005A4BB0">
              <w:noBreakHyphen/>
            </w:r>
            <w:r w:rsidRPr="00DC1EE4">
              <w:t>B39</w:t>
            </w:r>
          </w:p>
        </w:tc>
        <w:tc>
          <w:tcPr>
            <w:tcW w:w="4112" w:type="pct"/>
            <w:tcBorders>
              <w:left w:val="nil"/>
            </w:tcBorders>
          </w:tcPr>
          <w:p w:rsidR="002A448C" w:rsidRPr="00DC1EE4" w:rsidRDefault="002A448C" w:rsidP="00C03F9E">
            <w:pPr>
              <w:pStyle w:val="Tabletext"/>
              <w:rPr>
                <w:rFonts w:eastAsia="Tahoma"/>
              </w:rPr>
            </w:pPr>
            <w:r w:rsidRPr="00DC1EE4">
              <w:t>The investor can have power over the investee when the relevant activities are directed through voting rights:</w:t>
            </w:r>
          </w:p>
          <w:p w:rsidR="002A448C" w:rsidRPr="00DC1EE4" w:rsidRDefault="002A448C" w:rsidP="0028027B">
            <w:pPr>
              <w:pStyle w:val="TableBullet"/>
              <w:spacing w:line="240" w:lineRule="atLeast"/>
              <w:ind w:left="319" w:hanging="270"/>
              <w:rPr>
                <w:rFonts w:eastAsia="Tahoma"/>
              </w:rPr>
            </w:pPr>
            <w:r w:rsidRPr="00DC1EE4">
              <w:t>where the investor holds a majority of the voting rights and these rights are substantive; or</w:t>
            </w:r>
          </w:p>
          <w:p w:rsidR="002A448C" w:rsidRPr="00DC1EE4" w:rsidRDefault="002A448C" w:rsidP="0028027B">
            <w:pPr>
              <w:pStyle w:val="TableBullet"/>
              <w:spacing w:line="240" w:lineRule="atLeast"/>
              <w:ind w:left="319" w:hanging="270"/>
              <w:rPr>
                <w:rFonts w:eastAsia="Tahoma"/>
              </w:rPr>
            </w:pPr>
            <w:r w:rsidRPr="00DC1EE4">
              <w:t>the investor holds less than half the voting rights but has an agreement with the other vote holders.</w:t>
            </w:r>
          </w:p>
        </w:tc>
      </w:tr>
      <w:tr w:rsidR="002A448C" w:rsidRPr="00DC1EE4" w:rsidTr="00C03F9E">
        <w:tc>
          <w:tcPr>
            <w:tcW w:w="888" w:type="pct"/>
            <w:tcBorders>
              <w:bottom w:val="single" w:sz="4" w:space="0" w:color="BFBFBF" w:themeColor="background1" w:themeShade="BF"/>
              <w:right w:val="nil"/>
            </w:tcBorders>
          </w:tcPr>
          <w:p w:rsidR="002A448C" w:rsidRPr="00DC1EE4" w:rsidRDefault="002A448C" w:rsidP="00C03F9E">
            <w:pPr>
              <w:pStyle w:val="Tabletext"/>
              <w:rPr>
                <w:rFonts w:eastAsia="Tahoma"/>
              </w:rPr>
            </w:pPr>
            <w:r w:rsidRPr="00DC1EE4">
              <w:t>AASB 10.B40</w:t>
            </w:r>
            <w:r w:rsidR="005A4BB0">
              <w:noBreakHyphen/>
            </w:r>
            <w:r w:rsidRPr="00DC1EE4">
              <w:t>B50</w:t>
            </w:r>
          </w:p>
        </w:tc>
        <w:tc>
          <w:tcPr>
            <w:tcW w:w="4112" w:type="pct"/>
            <w:tcBorders>
              <w:left w:val="nil"/>
              <w:bottom w:val="single" w:sz="4" w:space="0" w:color="BFBFBF" w:themeColor="background1" w:themeShade="BF"/>
            </w:tcBorders>
          </w:tcPr>
          <w:p w:rsidR="002A448C" w:rsidRPr="00DC1EE4" w:rsidRDefault="002A448C" w:rsidP="00C03F9E">
            <w:pPr>
              <w:pStyle w:val="Tabletext"/>
              <w:rPr>
                <w:rFonts w:eastAsia="Tahoma"/>
              </w:rPr>
            </w:pPr>
            <w:r w:rsidRPr="00DC1EE4">
              <w:t>The investor can have power over the investee when the relevant activities are directed through voting rights:</w:t>
            </w:r>
          </w:p>
          <w:p w:rsidR="002A448C" w:rsidRPr="00DC1EE4" w:rsidRDefault="002A448C" w:rsidP="0028027B">
            <w:pPr>
              <w:pStyle w:val="TableBullet"/>
              <w:spacing w:line="240" w:lineRule="atLeast"/>
              <w:ind w:left="319" w:hanging="270"/>
              <w:rPr>
                <w:rFonts w:eastAsia="Tahoma"/>
              </w:rPr>
            </w:pPr>
            <w:r w:rsidRPr="00DC1EE4">
              <w:t>where the investor holds rights arising from other contractual arrangements;</w:t>
            </w:r>
          </w:p>
          <w:p w:rsidR="002A448C" w:rsidRPr="00DC1EE4" w:rsidRDefault="002A448C" w:rsidP="0028027B">
            <w:pPr>
              <w:pStyle w:val="TableBullet"/>
              <w:spacing w:line="240" w:lineRule="atLeast"/>
              <w:ind w:left="319" w:hanging="270"/>
              <w:rPr>
                <w:rFonts w:eastAsia="Tahoma"/>
              </w:rPr>
            </w:pPr>
            <w:r w:rsidRPr="00DC1EE4">
              <w:t>holds substantive potential voting rights;</w:t>
            </w:r>
          </w:p>
          <w:p w:rsidR="002A448C" w:rsidRPr="00DC1EE4" w:rsidRDefault="002A448C" w:rsidP="0028027B">
            <w:pPr>
              <w:pStyle w:val="TableBullet"/>
              <w:spacing w:line="240" w:lineRule="atLeast"/>
              <w:ind w:left="319" w:hanging="270"/>
              <w:rPr>
                <w:rFonts w:eastAsia="Tahoma"/>
              </w:rPr>
            </w:pPr>
            <w:r w:rsidRPr="00DC1EE4">
              <w:t>holds rights sufficient to unilaterally direct the relevant activities of the investee (de facto power); or</w:t>
            </w:r>
          </w:p>
          <w:p w:rsidR="002A448C" w:rsidRPr="00DC1EE4" w:rsidRDefault="002A448C" w:rsidP="0028027B">
            <w:pPr>
              <w:pStyle w:val="TableBullet"/>
              <w:spacing w:line="240" w:lineRule="atLeast"/>
              <w:ind w:left="319" w:hanging="270"/>
              <w:rPr>
                <w:rFonts w:eastAsia="Tahoma"/>
              </w:rPr>
            </w:pPr>
            <w:r w:rsidRPr="00DC1EE4">
              <w:t>holds a combination of thereof.</w:t>
            </w:r>
          </w:p>
        </w:tc>
      </w:tr>
      <w:tr w:rsidR="002A448C" w:rsidRPr="00DC1EE4" w:rsidTr="00C03F9E">
        <w:tc>
          <w:tcPr>
            <w:tcW w:w="5000" w:type="pct"/>
            <w:gridSpan w:val="2"/>
            <w:tcBorders>
              <w:bottom w:val="single" w:sz="4" w:space="0" w:color="BFBFBF" w:themeColor="background1" w:themeShade="BF"/>
            </w:tcBorders>
            <w:shd w:val="clear" w:color="auto" w:fill="DBDBDB"/>
          </w:tcPr>
          <w:p w:rsidR="002A448C" w:rsidRPr="00DC1EE4" w:rsidRDefault="002A448C" w:rsidP="00C03F9E">
            <w:pPr>
              <w:pStyle w:val="Tabletextbold"/>
              <w:tabs>
                <w:tab w:val="left" w:pos="360"/>
              </w:tabs>
            </w:pPr>
            <w:r w:rsidRPr="00DC1EE4">
              <w:t>(ii)</w:t>
            </w:r>
            <w:r w:rsidRPr="00DC1EE4">
              <w:tab/>
              <w:t>Exposure, or rights, to variable returns from its involvement with the investee</w:t>
            </w:r>
          </w:p>
        </w:tc>
      </w:tr>
      <w:tr w:rsidR="002A448C" w:rsidRPr="00DC1EE4" w:rsidTr="00C03F9E">
        <w:tc>
          <w:tcPr>
            <w:tcW w:w="888" w:type="pct"/>
            <w:tcBorders>
              <w:top w:val="single" w:sz="4" w:space="0" w:color="BFBFBF" w:themeColor="background1" w:themeShade="BF"/>
              <w:bottom w:val="single" w:sz="4" w:space="0" w:color="BFBFBF" w:themeColor="background1" w:themeShade="BF"/>
              <w:right w:val="nil"/>
            </w:tcBorders>
          </w:tcPr>
          <w:p w:rsidR="002A448C" w:rsidRPr="00DC1EE4" w:rsidRDefault="002A448C" w:rsidP="00C03F9E">
            <w:pPr>
              <w:pStyle w:val="Tabletext"/>
              <w:rPr>
                <w:rFonts w:eastAsia="Tahoma"/>
              </w:rPr>
            </w:pPr>
            <w:r w:rsidRPr="00DC1EE4">
              <w:t>AASB 10.15 and B20</w:t>
            </w:r>
          </w:p>
        </w:tc>
        <w:tc>
          <w:tcPr>
            <w:tcW w:w="4112" w:type="pct"/>
            <w:tcBorders>
              <w:top w:val="single" w:sz="4" w:space="0" w:color="BFBFBF" w:themeColor="background1" w:themeShade="BF"/>
              <w:left w:val="nil"/>
            </w:tcBorders>
          </w:tcPr>
          <w:p w:rsidR="002A448C" w:rsidRPr="00DC1EE4" w:rsidRDefault="002A448C" w:rsidP="00C03F9E">
            <w:pPr>
              <w:pStyle w:val="Tabletext"/>
              <w:rPr>
                <w:rFonts w:eastAsia="Tahoma"/>
              </w:rPr>
            </w:pPr>
            <w:r w:rsidRPr="00DC1EE4">
              <w:t>Criterion (ii) of control requires an entity to assess whether it is exposed, or has rights, to variable returns from its involvement with the investee to assess control.</w:t>
            </w:r>
          </w:p>
        </w:tc>
      </w:tr>
      <w:tr w:rsidR="002A448C" w:rsidRPr="00DC1EE4" w:rsidTr="00C03F9E">
        <w:tc>
          <w:tcPr>
            <w:tcW w:w="888" w:type="pct"/>
            <w:tcBorders>
              <w:bottom w:val="single" w:sz="4" w:space="0" w:color="BFBFBF" w:themeColor="background1" w:themeShade="BF"/>
              <w:right w:val="nil"/>
            </w:tcBorders>
          </w:tcPr>
          <w:p w:rsidR="002A448C" w:rsidRPr="00DC1EE4" w:rsidRDefault="002A448C" w:rsidP="00C03F9E">
            <w:pPr>
              <w:pStyle w:val="Tabletext"/>
              <w:rPr>
                <w:rFonts w:eastAsia="Tahoma"/>
              </w:rPr>
            </w:pPr>
            <w:r w:rsidRPr="00DC1EE4">
              <w:t xml:space="preserve">AASB 10.IG 18 </w:t>
            </w:r>
          </w:p>
        </w:tc>
        <w:tc>
          <w:tcPr>
            <w:tcW w:w="4112" w:type="pct"/>
            <w:tcBorders>
              <w:left w:val="nil"/>
            </w:tcBorders>
          </w:tcPr>
          <w:p w:rsidR="002A448C" w:rsidRPr="00DC1EE4" w:rsidRDefault="002A448C" w:rsidP="00C03F9E">
            <w:pPr>
              <w:pStyle w:val="Tabletext"/>
              <w:rPr>
                <w:rFonts w:eastAsia="Tahoma"/>
              </w:rPr>
            </w:pPr>
            <w:r w:rsidRPr="00DC1EE4">
              <w:t>For NFP entities, the broad scope of the nature of returns encompasses financial, non</w:t>
            </w:r>
            <w:r w:rsidR="005A4BB0">
              <w:noBreakHyphen/>
            </w:r>
            <w:r w:rsidRPr="00DC1EE4">
              <w:t>financial, direct, and indirect benefits, whether positive or negative, including the achievement, or furtherance of the investor</w:t>
            </w:r>
            <w:r w:rsidR="005A4BB0">
              <w:t>’</w:t>
            </w:r>
            <w:r w:rsidRPr="00DC1EE4">
              <w:t>s objectives.</w:t>
            </w:r>
          </w:p>
        </w:tc>
      </w:tr>
      <w:tr w:rsidR="002A448C" w:rsidRPr="00DC1EE4" w:rsidTr="00C03F9E">
        <w:tc>
          <w:tcPr>
            <w:tcW w:w="888" w:type="pct"/>
            <w:tcBorders>
              <w:bottom w:val="single" w:sz="4" w:space="0" w:color="BFBFBF" w:themeColor="background1" w:themeShade="BF"/>
              <w:right w:val="nil"/>
            </w:tcBorders>
          </w:tcPr>
          <w:p w:rsidR="002A448C" w:rsidRPr="00DC1EE4" w:rsidRDefault="002A448C" w:rsidP="00C03F9E">
            <w:pPr>
              <w:pStyle w:val="Tabletext"/>
              <w:rPr>
                <w:rFonts w:eastAsia="Tahoma"/>
              </w:rPr>
            </w:pPr>
            <w:r w:rsidRPr="00DC1EE4">
              <w:t>AASB 10.IG 19</w:t>
            </w:r>
          </w:p>
        </w:tc>
        <w:tc>
          <w:tcPr>
            <w:tcW w:w="4112" w:type="pct"/>
            <w:tcBorders>
              <w:left w:val="nil"/>
              <w:bottom w:val="single" w:sz="4" w:space="0" w:color="BFBFBF" w:themeColor="background1" w:themeShade="BF"/>
            </w:tcBorders>
          </w:tcPr>
          <w:p w:rsidR="002A448C" w:rsidRPr="00DC1EE4" w:rsidRDefault="002A448C" w:rsidP="00C03F9E">
            <w:pPr>
              <w:pStyle w:val="Tabletext"/>
              <w:rPr>
                <w:rFonts w:eastAsia="Tahoma"/>
              </w:rPr>
            </w:pPr>
            <w:r w:rsidRPr="00DC1EE4">
              <w:t>Note that these may include the efficiency and effectiveness of delivery of the goods and services and changes in outcomes for the beneficiaries.</w:t>
            </w:r>
          </w:p>
          <w:p w:rsidR="002A448C" w:rsidRPr="00DC1EE4" w:rsidRDefault="002A448C" w:rsidP="00C03F9E">
            <w:pPr>
              <w:pStyle w:val="Tabletext"/>
              <w:rPr>
                <w:rFonts w:eastAsia="Tahoma"/>
              </w:rPr>
            </w:pPr>
            <w:r w:rsidRPr="00DC1EE4">
              <w:t>It should be noted that the existence on congruent objectives alone is not sufficient for a NFP to conclude it controls the other entity.</w:t>
            </w:r>
          </w:p>
        </w:tc>
      </w:tr>
      <w:tr w:rsidR="002A448C" w:rsidRPr="00DC1EE4" w:rsidTr="00C03F9E">
        <w:tc>
          <w:tcPr>
            <w:tcW w:w="5000" w:type="pct"/>
            <w:gridSpan w:val="2"/>
            <w:tcBorders>
              <w:bottom w:val="single" w:sz="4" w:space="0" w:color="BFBFBF" w:themeColor="background1" w:themeShade="BF"/>
            </w:tcBorders>
            <w:shd w:val="clear" w:color="auto" w:fill="DBDBDB"/>
          </w:tcPr>
          <w:p w:rsidR="002A448C" w:rsidRPr="00DC1EE4" w:rsidRDefault="002A448C" w:rsidP="002A448C">
            <w:pPr>
              <w:pStyle w:val="Tabletextbold"/>
              <w:pageBreakBefore/>
              <w:tabs>
                <w:tab w:val="left" w:pos="360"/>
              </w:tabs>
            </w:pPr>
            <w:r w:rsidRPr="00DC1EE4">
              <w:t>(iii)</w:t>
            </w:r>
            <w:r w:rsidRPr="00DC1EE4">
              <w:tab/>
              <w:t>The ability to use its power over the investee to affect the amount of the investor</w:t>
            </w:r>
            <w:r w:rsidR="005A4BB0">
              <w:t>’</w:t>
            </w:r>
            <w:r w:rsidRPr="00DC1EE4">
              <w:t>s returns</w:t>
            </w:r>
          </w:p>
        </w:tc>
      </w:tr>
      <w:tr w:rsidR="002A448C" w:rsidRPr="00DC1EE4" w:rsidTr="00C03F9E">
        <w:tc>
          <w:tcPr>
            <w:tcW w:w="888" w:type="pct"/>
            <w:tcBorders>
              <w:top w:val="single" w:sz="4" w:space="0" w:color="BFBFBF" w:themeColor="background1" w:themeShade="BF"/>
              <w:bottom w:val="single" w:sz="4" w:space="0" w:color="BFBFBF" w:themeColor="background1" w:themeShade="BF"/>
              <w:right w:val="nil"/>
            </w:tcBorders>
          </w:tcPr>
          <w:p w:rsidR="002A448C" w:rsidRPr="00DC1EE4" w:rsidRDefault="002A448C" w:rsidP="00C03F9E">
            <w:pPr>
              <w:pStyle w:val="Tabletext"/>
              <w:rPr>
                <w:rFonts w:eastAsia="Tahoma"/>
              </w:rPr>
            </w:pPr>
            <w:r w:rsidRPr="00DC1EE4">
              <w:t>AASB 10.17</w:t>
            </w:r>
          </w:p>
        </w:tc>
        <w:tc>
          <w:tcPr>
            <w:tcW w:w="4112" w:type="pct"/>
            <w:tcBorders>
              <w:top w:val="single" w:sz="4" w:space="0" w:color="BFBFBF" w:themeColor="background1" w:themeShade="BF"/>
              <w:left w:val="nil"/>
              <w:bottom w:val="single" w:sz="4" w:space="0" w:color="BFBFBF" w:themeColor="background1" w:themeShade="BF"/>
            </w:tcBorders>
          </w:tcPr>
          <w:p w:rsidR="002A448C" w:rsidRPr="00DC1EE4" w:rsidRDefault="002A448C" w:rsidP="00C03F9E">
            <w:pPr>
              <w:pStyle w:val="Tabletext"/>
              <w:rPr>
                <w:rFonts w:eastAsia="Tahoma"/>
              </w:rPr>
            </w:pPr>
            <w:r w:rsidRPr="00DC1EE4">
              <w:t>This criterion of control requires the investor not only to have the power over the investee and exposure or rights to variable returns from its involvement, but also the ability to use its power to affect the investor</w:t>
            </w:r>
            <w:r w:rsidR="005A4BB0">
              <w:t>’</w:t>
            </w:r>
            <w:r w:rsidRPr="00DC1EE4">
              <w:t>s return from its involvement.</w:t>
            </w:r>
          </w:p>
        </w:tc>
      </w:tr>
      <w:tr w:rsidR="002A448C" w:rsidRPr="00DC1EE4" w:rsidTr="00C03F9E">
        <w:tc>
          <w:tcPr>
            <w:tcW w:w="888" w:type="pct"/>
            <w:tcBorders>
              <w:bottom w:val="single" w:sz="4" w:space="0" w:color="BFBFBF" w:themeColor="background1" w:themeShade="BF"/>
              <w:right w:val="nil"/>
            </w:tcBorders>
          </w:tcPr>
          <w:p w:rsidR="002A448C" w:rsidRPr="00DC1EE4" w:rsidRDefault="002A448C" w:rsidP="00C03F9E">
            <w:pPr>
              <w:pStyle w:val="Tabletext"/>
              <w:rPr>
                <w:rFonts w:eastAsia="Tahoma"/>
              </w:rPr>
            </w:pPr>
            <w:r w:rsidRPr="00DC1EE4">
              <w:t>AASB 10.B58</w:t>
            </w:r>
          </w:p>
        </w:tc>
        <w:tc>
          <w:tcPr>
            <w:tcW w:w="4112" w:type="pct"/>
            <w:tcBorders>
              <w:left w:val="nil"/>
              <w:bottom w:val="single" w:sz="4" w:space="0" w:color="BFBFBF" w:themeColor="background1" w:themeShade="BF"/>
            </w:tcBorders>
          </w:tcPr>
          <w:p w:rsidR="002A448C" w:rsidRPr="00DC1EE4" w:rsidRDefault="002A448C" w:rsidP="00C03F9E">
            <w:pPr>
              <w:pStyle w:val="Tabletext"/>
              <w:rPr>
                <w:rFonts w:eastAsia="Tahoma"/>
              </w:rPr>
            </w:pPr>
            <w:r w:rsidRPr="00DC1EE4">
              <w:t xml:space="preserve">The concept of delegated power is introduced in AASB 10. </w:t>
            </w:r>
          </w:p>
          <w:p w:rsidR="002A448C" w:rsidRPr="00DC1EE4" w:rsidRDefault="002A448C" w:rsidP="00C03F9E">
            <w:pPr>
              <w:pStyle w:val="Tabletext"/>
              <w:rPr>
                <w:rFonts w:eastAsia="Tahoma"/>
              </w:rPr>
            </w:pPr>
            <w:r w:rsidRPr="00DC1EE4">
              <w:t xml:space="preserve">The decision maker needs to assess whether it is acting as a principal or agent on behalf of others when directing the activities of the investee. </w:t>
            </w:r>
          </w:p>
          <w:p w:rsidR="002A448C" w:rsidRPr="00DC1EE4" w:rsidRDefault="002A448C" w:rsidP="00C03F9E">
            <w:pPr>
              <w:pStyle w:val="Tabletext"/>
              <w:rPr>
                <w:rFonts w:eastAsia="Tahoma"/>
              </w:rPr>
            </w:pPr>
            <w:r w:rsidRPr="00DC1EE4">
              <w:t>If it has the power to direct the activities of the entity it manages to generate returns for itself, it is a principal and controls the investee.</w:t>
            </w:r>
          </w:p>
        </w:tc>
      </w:tr>
      <w:tr w:rsidR="002A448C" w:rsidRPr="00DC1EE4" w:rsidTr="00C03F9E">
        <w:tc>
          <w:tcPr>
            <w:tcW w:w="5000" w:type="pct"/>
            <w:gridSpan w:val="2"/>
            <w:tcBorders>
              <w:top w:val="single" w:sz="4" w:space="0" w:color="BFBFBF" w:themeColor="background1" w:themeShade="BF"/>
              <w:bottom w:val="single" w:sz="4" w:space="0" w:color="BFBFBF" w:themeColor="background1" w:themeShade="BF"/>
            </w:tcBorders>
            <w:shd w:val="clear" w:color="auto" w:fill="DBDBDB"/>
          </w:tcPr>
          <w:p w:rsidR="002A448C" w:rsidRPr="00DC1EE4" w:rsidRDefault="002A448C" w:rsidP="00C03F9E">
            <w:pPr>
              <w:pStyle w:val="Tabletextbold"/>
              <w:tabs>
                <w:tab w:val="left" w:pos="360"/>
              </w:tabs>
            </w:pPr>
            <w:r w:rsidRPr="00DC1EE4">
              <w:t>(iii)</w:t>
            </w:r>
            <w:r w:rsidRPr="00DC1EE4">
              <w:tab/>
              <w:t>The ability to use its power over the investee to affect the amount of the investor</w:t>
            </w:r>
            <w:r w:rsidR="005A4BB0">
              <w:t>’</w:t>
            </w:r>
            <w:r w:rsidRPr="00DC1EE4">
              <w:t xml:space="preserve">s returns </w:t>
            </w:r>
            <w:r w:rsidRPr="00DC1EE4">
              <w:rPr>
                <w:i/>
              </w:rPr>
              <w:t>(continued)</w:t>
            </w:r>
          </w:p>
        </w:tc>
      </w:tr>
      <w:tr w:rsidR="002A448C" w:rsidRPr="006618F6" w:rsidTr="00C03F9E">
        <w:tc>
          <w:tcPr>
            <w:tcW w:w="888" w:type="pct"/>
            <w:tcBorders>
              <w:bottom w:val="single" w:sz="12" w:space="0" w:color="BFBFBF" w:themeColor="background1" w:themeShade="BF"/>
              <w:right w:val="nil"/>
            </w:tcBorders>
          </w:tcPr>
          <w:p w:rsidR="002A448C" w:rsidRPr="00DC1EE4" w:rsidRDefault="002A448C" w:rsidP="00C03F9E">
            <w:pPr>
              <w:pStyle w:val="Tabletext"/>
              <w:jc w:val="both"/>
              <w:rPr>
                <w:rFonts w:eastAsia="Tahoma"/>
              </w:rPr>
            </w:pPr>
            <w:r w:rsidRPr="00DC1EE4">
              <w:t>AASB 10.B75</w:t>
            </w:r>
          </w:p>
        </w:tc>
        <w:tc>
          <w:tcPr>
            <w:tcW w:w="4112" w:type="pct"/>
            <w:tcBorders>
              <w:left w:val="nil"/>
              <w:bottom w:val="single" w:sz="12" w:space="0" w:color="BFBFBF" w:themeColor="background1" w:themeShade="BF"/>
            </w:tcBorders>
          </w:tcPr>
          <w:p w:rsidR="002A448C" w:rsidRPr="00DC1EE4" w:rsidRDefault="002A448C" w:rsidP="00C03F9E">
            <w:pPr>
              <w:pStyle w:val="Tabletext"/>
              <w:rPr>
                <w:rFonts w:eastAsia="Tahoma"/>
              </w:rPr>
            </w:pPr>
            <w:r w:rsidRPr="00DC1EE4">
              <w:t>When assessing control, the investor should also consider the nature of its relationships with other parties and whether the other parties act on the investor</w:t>
            </w:r>
            <w:r w:rsidR="005A4BB0">
              <w:t>’</w:t>
            </w:r>
            <w:r w:rsidRPr="00DC1EE4">
              <w:t xml:space="preserve">s behalf. </w:t>
            </w:r>
          </w:p>
          <w:p w:rsidR="002A448C" w:rsidRPr="00DC1EE4" w:rsidRDefault="002A448C" w:rsidP="00C03F9E">
            <w:pPr>
              <w:pStyle w:val="Tabletext"/>
              <w:rPr>
                <w:rFonts w:eastAsia="Tahoma"/>
              </w:rPr>
            </w:pPr>
            <w:r w:rsidRPr="00DC1EE4">
              <w:t>A party is a de facto agent if the investor or those who control the investor have the ability to direct that party to act on the investor</w:t>
            </w:r>
            <w:r w:rsidR="005A4BB0">
              <w:t>’</w:t>
            </w:r>
            <w:r w:rsidRPr="00DC1EE4">
              <w:t xml:space="preserve">s behalf (i.e. they are </w:t>
            </w:r>
            <w:r w:rsidR="005A4BB0">
              <w:t>‘</w:t>
            </w:r>
            <w:r w:rsidRPr="00DC1EE4">
              <w:t>de facto agents</w:t>
            </w:r>
            <w:r w:rsidR="005A4BB0">
              <w:t>’</w:t>
            </w:r>
            <w:r w:rsidRPr="00DC1EE4">
              <w:t xml:space="preserve">). </w:t>
            </w:r>
          </w:p>
          <w:p w:rsidR="002A448C" w:rsidRPr="00DC1EE4" w:rsidRDefault="002A448C" w:rsidP="00C03F9E">
            <w:pPr>
              <w:pStyle w:val="Tabletext"/>
              <w:rPr>
                <w:rFonts w:eastAsia="Tahoma"/>
              </w:rPr>
            </w:pPr>
            <w:r w:rsidRPr="00DC1EE4">
              <w:t>Examples of such other parties that, by the nature of their relationship, might act as de facto agents for the investor:</w:t>
            </w:r>
          </w:p>
          <w:p w:rsidR="002A448C" w:rsidRPr="00DC1EE4" w:rsidRDefault="002A448C" w:rsidP="00C03F9E">
            <w:pPr>
              <w:pStyle w:val="Tabletext"/>
              <w:ind w:left="392" w:hanging="392"/>
              <w:rPr>
                <w:rFonts w:eastAsia="Tahoma"/>
              </w:rPr>
            </w:pPr>
            <w:r w:rsidRPr="00DC1EE4">
              <w:t>(a)</w:t>
            </w:r>
            <w:r w:rsidRPr="00DC1EE4">
              <w:tab/>
              <w:t>the investor</w:t>
            </w:r>
            <w:r w:rsidR="005A4BB0">
              <w:t>’</w:t>
            </w:r>
            <w:r w:rsidRPr="00DC1EE4">
              <w:t>s related parties;</w:t>
            </w:r>
          </w:p>
          <w:p w:rsidR="002A448C" w:rsidRPr="00DC1EE4" w:rsidRDefault="002A448C" w:rsidP="00C03F9E">
            <w:pPr>
              <w:pStyle w:val="Tabletext"/>
              <w:ind w:left="392" w:hanging="392"/>
              <w:rPr>
                <w:rFonts w:eastAsia="Tahoma"/>
              </w:rPr>
            </w:pPr>
            <w:r w:rsidRPr="00DC1EE4">
              <w:t>(b)</w:t>
            </w:r>
            <w:r w:rsidRPr="00DC1EE4">
              <w:tab/>
              <w:t>a party that received its interest in the investee as a contribution or loan from the investor;</w:t>
            </w:r>
          </w:p>
          <w:p w:rsidR="002A448C" w:rsidRPr="00DC1EE4" w:rsidRDefault="002A448C" w:rsidP="00C03F9E">
            <w:pPr>
              <w:pStyle w:val="Tabletext"/>
              <w:ind w:left="392" w:hanging="392"/>
              <w:rPr>
                <w:rFonts w:eastAsia="Tahoma"/>
              </w:rPr>
            </w:pPr>
            <w:r w:rsidRPr="00DC1EE4">
              <w:t>(c)</w:t>
            </w:r>
            <w:r w:rsidRPr="00DC1EE4">
              <w:tab/>
              <w:t>a party that has agreed not to sell, transfer or encumber its interests in the investee without the investor</w:t>
            </w:r>
            <w:r w:rsidR="005A4BB0">
              <w:t>’</w:t>
            </w:r>
            <w:r w:rsidRPr="00DC1EE4">
              <w:t>s prior approval (except for situations in which the investor and the other party have the right of prior approval and the rights are based on mutually agreed terms by willing independent parties);</w:t>
            </w:r>
          </w:p>
          <w:p w:rsidR="002A448C" w:rsidRPr="00DC1EE4" w:rsidRDefault="002A448C" w:rsidP="00C03F9E">
            <w:pPr>
              <w:pStyle w:val="Tabletext"/>
              <w:ind w:left="392" w:hanging="392"/>
              <w:rPr>
                <w:rFonts w:eastAsia="Tahoma"/>
              </w:rPr>
            </w:pPr>
            <w:r w:rsidRPr="00DC1EE4">
              <w:t>(d)</w:t>
            </w:r>
            <w:r w:rsidRPr="00DC1EE4">
              <w:tab/>
              <w:t>a party that cannot finance its operations without subordinated financial support from the investor;</w:t>
            </w:r>
          </w:p>
          <w:p w:rsidR="002A448C" w:rsidRPr="00DC1EE4" w:rsidRDefault="002A448C" w:rsidP="00C03F9E">
            <w:pPr>
              <w:pStyle w:val="Tabletext"/>
              <w:ind w:left="392" w:hanging="392"/>
              <w:rPr>
                <w:rFonts w:eastAsia="Tahoma"/>
              </w:rPr>
            </w:pPr>
            <w:r w:rsidRPr="00DC1EE4">
              <w:t>(e)</w:t>
            </w:r>
            <w:r w:rsidRPr="00DC1EE4">
              <w:tab/>
              <w:t>an investee for which the majority of the members of its governing body or for which its key management personnel are the same as those of the investor; and</w:t>
            </w:r>
          </w:p>
          <w:p w:rsidR="002A448C" w:rsidRPr="006618F6" w:rsidRDefault="002A448C" w:rsidP="00C03F9E">
            <w:pPr>
              <w:pStyle w:val="Tabletext"/>
              <w:ind w:left="392" w:hanging="392"/>
              <w:rPr>
                <w:rFonts w:eastAsia="Tahoma"/>
              </w:rPr>
            </w:pPr>
            <w:r w:rsidRPr="00DC1EE4">
              <w:t>(f)</w:t>
            </w:r>
            <w:r w:rsidRPr="00DC1EE4">
              <w:tab/>
              <w:t>a party that has a close business relationship with the investor, such as the relationship between a professional service provider and one of its significant clients.</w:t>
            </w:r>
          </w:p>
        </w:tc>
      </w:tr>
    </w:tbl>
    <w:p w:rsidR="0028027B" w:rsidRDefault="0028027B" w:rsidP="0028027B"/>
    <w:p w:rsidR="0028027B" w:rsidRDefault="0028027B" w:rsidP="0028027B"/>
    <w:p w:rsidR="0028027B" w:rsidRPr="00C11852" w:rsidRDefault="0028027B" w:rsidP="0028027B">
      <w:pPr>
        <w:pStyle w:val="Smallline0"/>
        <w:shd w:val="clear" w:color="auto" w:fill="auto"/>
        <w:spacing w:before="120"/>
      </w:pPr>
    </w:p>
    <w:sectPr w:rsidR="0028027B" w:rsidRPr="00C11852" w:rsidSect="00C03F9E">
      <w:headerReference w:type="even" r:id="rId378"/>
      <w:headerReference w:type="default" r:id="rId379"/>
      <w:pgSz w:w="11906" w:h="16838" w:code="9"/>
      <w:pgMar w:top="1152" w:right="864" w:bottom="1152" w:left="864" w:header="432"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B85" w:rsidRDefault="00841B85">
      <w:r>
        <w:separator/>
      </w:r>
    </w:p>
    <w:p w:rsidR="00841B85" w:rsidRDefault="00841B85"/>
  </w:endnote>
  <w:endnote w:type="continuationSeparator" w:id="0">
    <w:p w:rsidR="00841B85" w:rsidRDefault="00841B85">
      <w:r>
        <w:continuationSeparator/>
      </w:r>
    </w:p>
    <w:p w:rsidR="00841B85" w:rsidRDefault="00841B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Y Gothic Cond MedPS">
    <w:altName w:val="Arial"/>
    <w:panose1 w:val="00000000000000000000"/>
    <w:charset w:val="00"/>
    <w:family w:val="swiss"/>
    <w:notTrueType/>
    <w:pitch w:val="variable"/>
    <w:sig w:usb0="00000083" w:usb1="00000000" w:usb2="00000000" w:usb3="00000000" w:csb0="00000009" w:csb1="00000000"/>
  </w:font>
  <w:font w:name="Stag Medium">
    <w:altName w:val="Stag Medium"/>
    <w:panose1 w:val="00000000000000000000"/>
    <w:charset w:val="00"/>
    <w:family w:val="roman"/>
    <w:notTrueType/>
    <w:pitch w:val="default"/>
    <w:sig w:usb0="00000003" w:usb1="00000000" w:usb2="00000000" w:usb3="00000000" w:csb0="00000001" w:csb1="00000000"/>
  </w:font>
  <w:font w:name="EYInterstate">
    <w:altName w:val="Corbel"/>
    <w:charset w:val="00"/>
    <w:family w:val="auto"/>
    <w:pitch w:val="variable"/>
    <w:sig w:usb0="A00002AF" w:usb1="5000206A"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g Light">
    <w:altName w:val="Stag Light"/>
    <w:panose1 w:val="00000000000000000000"/>
    <w:charset w:val="00"/>
    <w:family w:val="roman"/>
    <w:notTrueType/>
    <w:pitch w:val="default"/>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E32534" w:rsidRDefault="00841B85" w:rsidP="00F00F7E">
    <w:pPr>
      <w:pStyle w:val="Footer"/>
      <w:tabs>
        <w:tab w:val="clear" w:pos="7085"/>
        <w:tab w:val="right" w:pos="10206"/>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B934BC">
      <w:rPr>
        <w:noProof/>
      </w:rPr>
      <w:t>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E2CFB" w:rsidRDefault="00841B85" w:rsidP="00540F7E">
    <w:pPr>
      <w:pStyle w:val="Footer"/>
      <w:tabs>
        <w:tab w:val="clear" w:pos="7085"/>
        <w:tab w:val="right" w:pos="10170"/>
      </w:tabs>
    </w:pPr>
    <w:r>
      <w:tab/>
    </w:r>
    <w:r w:rsidRPr="00B736A6">
      <w:t>Model Report</w:t>
    </w:r>
    <w:r w:rsidRPr="00B736A6">
      <w:br/>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48</w:t>
    </w:r>
    <w:r>
      <w:rPr>
        <w:rStyle w:val="PageNumber"/>
      </w:rPr>
      <w:fldChar w:fldCharType="end"/>
    </w:r>
    <w:r>
      <w:tab/>
    </w:r>
    <w:r w:rsidRPr="00B736A6">
      <w:t>for Victorian Government Departments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40F7E">
    <w:pPr>
      <w:pStyle w:val="Footer"/>
      <w:tabs>
        <w:tab w:val="clear" w:pos="7085"/>
        <w:tab w:val="right" w:pos="10170"/>
      </w:tabs>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9</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40F7E">
    <w:pPr>
      <w:pStyle w:val="Footer"/>
      <w:tabs>
        <w:tab w:val="clear" w:pos="7085"/>
        <w:tab w:val="right" w:pos="10170"/>
      </w:tabs>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40F7E">
    <w:pPr>
      <w:pStyle w:val="Footer"/>
      <w:tabs>
        <w:tab w:val="clear" w:pos="7085"/>
        <w:tab w:val="right" w:pos="10170"/>
      </w:tabs>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11</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4506E4" w:rsidRDefault="00841B85" w:rsidP="00540F7E">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13</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4506E4" w:rsidRDefault="00841B85" w:rsidP="00540F7E">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21</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4506E4" w:rsidRDefault="00841B85" w:rsidP="00190A01">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47</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40F7E">
    <w:pPr>
      <w:pStyle w:val="Footer"/>
      <w:tabs>
        <w:tab w:val="clear" w:pos="7085"/>
        <w:tab w:val="right" w:pos="10170"/>
      </w:tabs>
    </w:pPr>
    <w:r>
      <w:tab/>
    </w:r>
    <w:r w:rsidRPr="00B736A6">
      <w:t>Model Report</w:t>
    </w:r>
    <w:r w:rsidRPr="00B736A6">
      <w:br/>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72</w:t>
    </w:r>
    <w:r>
      <w:rPr>
        <w:rStyle w:val="PageNumber"/>
      </w:rPr>
      <w:fldChar w:fldCharType="end"/>
    </w:r>
    <w:r>
      <w:tab/>
    </w:r>
    <w:r w:rsidRPr="00B736A6">
      <w:t>for Victorian Government Departments</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Footer"/>
      <w:tabs>
        <w:tab w:val="clear" w:pos="7085"/>
        <w:tab w:val="right" w:pos="10224"/>
      </w:tabs>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53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40F7E">
    <w:pPr>
      <w:pStyle w:val="Footer"/>
      <w:tabs>
        <w:tab w:val="clear" w:pos="7085"/>
        <w:tab w:val="right" w:pos="10170"/>
      </w:tabs>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AE30D9" w:rsidRDefault="00841B85" w:rsidP="00190A01">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55</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AE30D9" w:rsidRDefault="00841B85" w:rsidP="00540F7E">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57</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AE30D9" w:rsidRDefault="00841B85" w:rsidP="00540F7E">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71</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D51FAB" w:rsidRDefault="00841B85" w:rsidP="00540F7E">
    <w:pPr>
      <w:pStyle w:val="Footer"/>
      <w:tabs>
        <w:tab w:val="clear" w:pos="7085"/>
        <w:tab w:val="right" w:pos="10170"/>
      </w:tabs>
    </w:pPr>
    <w:r>
      <w:tab/>
    </w:r>
    <w:r w:rsidRPr="00B736A6">
      <w:t>Model Report</w:t>
    </w:r>
    <w:r w:rsidRPr="00B736A6">
      <w:br/>
    </w:r>
    <w:r>
      <w:rPr>
        <w:rStyle w:val="PageNumber"/>
      </w:rPr>
      <w:fldChar w:fldCharType="begin"/>
    </w:r>
    <w:r>
      <w:rPr>
        <w:rStyle w:val="PageNumber"/>
      </w:rPr>
      <w:instrText xml:space="preserve"> PAGE </w:instrText>
    </w:r>
    <w:r>
      <w:rPr>
        <w:rStyle w:val="PageNumber"/>
      </w:rPr>
      <w:fldChar w:fldCharType="separate"/>
    </w:r>
    <w:r w:rsidR="00B934BC">
      <w:rPr>
        <w:rStyle w:val="PageNumber"/>
        <w:noProof/>
      </w:rPr>
      <w:t>70</w:t>
    </w:r>
    <w:r>
      <w:rPr>
        <w:rStyle w:val="PageNumber"/>
      </w:rPr>
      <w:fldChar w:fldCharType="end"/>
    </w:r>
    <w:r>
      <w:tab/>
    </w:r>
    <w:r w:rsidRPr="00B736A6">
      <w:t>for Victorian Government Departments</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CA6471">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B934BC">
      <w:rPr>
        <w:noProof/>
      </w:rPr>
      <w:t>144</w:t>
    </w:r>
    <w:r>
      <w:fldChar w:fldCharType="end"/>
    </w:r>
    <w:r>
      <w:tab/>
    </w:r>
    <w:r w:rsidRPr="00B736A6">
      <w:t>for Victorian Government Departments</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CA6471">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B934BC">
      <w:rPr>
        <w:noProof/>
      </w:rPr>
      <w:t>143</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CA6471">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B934BC">
      <w:rPr>
        <w:noProof/>
      </w:rPr>
      <w:t>101</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3568EA" w:rsidRDefault="00841B85" w:rsidP="005D5E7E">
    <w:pPr>
      <w:pStyle w:val="Footer"/>
      <w:tabs>
        <w:tab w:val="clear" w:pos="7085"/>
        <w:tab w:val="right" w:pos="10170"/>
      </w:tabs>
    </w:pPr>
    <w:r>
      <w:rPr>
        <w:noProof/>
      </w:rPr>
      <mc:AlternateContent>
        <mc:Choice Requires="wps">
          <w:drawing>
            <wp:anchor distT="0" distB="0" distL="114300" distR="114300" simplePos="0" relativeHeight="251777024" behindDoc="0" locked="0" layoutInCell="1" allowOverlap="1" wp14:anchorId="03084A4A" wp14:editId="7016BBA4">
              <wp:simplePos x="0" y="0"/>
              <wp:positionH relativeFrom="column">
                <wp:posOffset>7004685</wp:posOffset>
              </wp:positionH>
              <wp:positionV relativeFrom="paragraph">
                <wp:posOffset>636905</wp:posOffset>
              </wp:positionV>
              <wp:extent cx="914400" cy="914400"/>
              <wp:effectExtent l="0" t="0" r="0" b="0"/>
              <wp:wrapNone/>
              <wp:docPr id="13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551.55pt;margin-top:50.15pt;width:1in;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F0HgIAAD8EAAAOAAAAZHJzL2Uyb0RvYy54bWysU9uO0zAQfUfiHyy/0yS9QImarlZdipAW&#10;WLHwAVPHSSx8Y+w2Xb5+J063dIEnRB6smcz4+MyZmdXV0Wh2kBiUsxUvJjln0gpXK9tW/NvX7asl&#10;ZyGCrUE7Kyv+IAO/Wr98sep9Kaeuc7qWyAjEhrL3Fe9i9GWWBdFJA2HivLQUbBwaiORim9UIPaEb&#10;nU3z/HXWO6w9OiFDoL83Y5CvE37TSBE/N02QkemKE7eYTkznbjiz9QrKFsF3SpxowD+wMKAsPXqG&#10;uoEIbI/qDyijBLrgmjgRzmSuaZSQqQaqpsh/q+a+Ay9TLSRO8GeZwv+DFZ8Od8hUTb2bzTizYKhJ&#10;X0g2sK2WrFjOBol6H0rKvPd3OBQZ/K0T3wOzbtNRnrxGdH0noSZixZCfPbswOIGusl3/0dWED/vo&#10;klrHBs0ASDqwY2rKw7kp8hiZoJ9vi/k8p9YJCp3s4QUony57DPG9dIYNRsWRyCdwONyGOKY+pSTy&#10;Tqt6q7RODra7jUZ2AJqPbfoSf6rxMk1b1tPri+kiIT+LhUuIPH1/gzAq0qBrZSq+PCdBOaj2ztZE&#10;E8oISo82VaftScZBubEDO1c/kIroximmrSOjc/iTs54muOLhxx5QcqY/WOpEEotGPjnzxZspiYiX&#10;kd1lBKwgqIpHzkZzE8c12XtUbUcvFal2666pe41Kyg6dHVmdyNKUpt6cNmpYg0s/Zf3a+/UjAAAA&#10;//8DAFBLAwQUAAYACAAAACEATr5HNeAAAAANAQAADwAAAGRycy9kb3ducmV2LnhtbEyPzU7DMBCE&#10;70i8g7VI3KidHwENcSoEKhLHNr1w2yRuEojXUey0gadne4Lbzu5o9pt8s9hBnMzke0caopUCYah2&#10;TU+thkO5vXsE4QNSg4Mjo+HbeNgU11c5Zo07086c9qEVHEI+Qw1dCGMmpa87Y9Gv3GiIb0c3WQws&#10;p1Y2E5453A4yVupeWuyJP3Q4mpfO1F/72Wqo+viAP7vyTdn1NgnvS/k5f7xqfXuzPD+BCGYJf2a4&#10;4DM6FMxUuZkaLwbWkUoi9vKkVALiYonTB15VGuI0TUAWufzfovgFAAD//wMAUEsBAi0AFAAGAAgA&#10;AAAhALaDOJL+AAAA4QEAABMAAAAAAAAAAAAAAAAAAAAAAFtDb250ZW50X1R5cGVzXS54bWxQSwEC&#10;LQAUAAYACAAAACEAOP0h/9YAAACUAQAACwAAAAAAAAAAAAAAAAAvAQAAX3JlbHMvLnJlbHNQSwEC&#10;LQAUAAYACAAAACEAY6hxdB4CAAA/BAAADgAAAAAAAAAAAAAAAAAuAgAAZHJzL2Uyb0RvYy54bWxQ&#10;SwECLQAUAAYACAAAACEATr5HNeAAAAANAQAADwAAAAAAAAAAAAAAAAB4BAAAZHJzL2Rvd25yZXYu&#10;eG1sUEsFBgAAAAAEAAQA8wAAAIUFAAAAAA==&#10;"/>
          </w:pict>
        </mc:Fallback>
      </mc:AlternateContent>
    </w:r>
    <w:r>
      <w:tab/>
    </w:r>
    <w:r w:rsidRPr="00B736A6">
      <w:t>Model Report</w:t>
    </w:r>
    <w:r w:rsidRPr="00B736A6">
      <w:br/>
    </w:r>
    <w:r>
      <w:fldChar w:fldCharType="begin"/>
    </w:r>
    <w:r>
      <w:instrText xml:space="preserve"> PAGE </w:instrText>
    </w:r>
    <w:r>
      <w:fldChar w:fldCharType="separate"/>
    </w:r>
    <w:r>
      <w:rPr>
        <w:noProof/>
      </w:rPr>
      <w:t>146</w:t>
    </w:r>
    <w:r>
      <w:fldChar w:fldCharType="end"/>
    </w:r>
    <w:r>
      <w:tab/>
    </w:r>
    <w:r w:rsidRPr="00B736A6">
      <w:t>for Victorian Government Departments</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B19AD" w:rsidRDefault="00841B85" w:rsidP="00540F7E">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B934BC">
      <w:rPr>
        <w:noProof/>
      </w:rPr>
      <w:t>145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3568EA" w:rsidRDefault="00841B85" w:rsidP="005D5E7E">
    <w:pPr>
      <w:pStyle w:val="Footer"/>
      <w:tabs>
        <w:tab w:val="clear" w:pos="7085"/>
        <w:tab w:val="right" w:pos="10170"/>
      </w:tabs>
    </w:pPr>
    <w:r>
      <w:rPr>
        <w:noProof/>
      </w:rPr>
      <mc:AlternateContent>
        <mc:Choice Requires="wps">
          <w:drawing>
            <wp:anchor distT="0" distB="0" distL="114300" distR="114300" simplePos="0" relativeHeight="251776000" behindDoc="0" locked="0" layoutInCell="1" allowOverlap="1" wp14:anchorId="74C2E58A" wp14:editId="73ECDA63">
              <wp:simplePos x="0" y="0"/>
              <wp:positionH relativeFrom="column">
                <wp:posOffset>7004685</wp:posOffset>
              </wp:positionH>
              <wp:positionV relativeFrom="paragraph">
                <wp:posOffset>636905</wp:posOffset>
              </wp:positionV>
              <wp:extent cx="914400" cy="914400"/>
              <wp:effectExtent l="0" t="0" r="0" b="0"/>
              <wp:wrapNone/>
              <wp:docPr id="13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551.55pt;margin-top:50.15pt;width:1in;height:1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lIHgIAAD8EAAAOAAAAZHJzL2Uyb0RvYy54bWysU1GP0zAMfkfiP0R5Z23Hdoxq3em0Ywjp&#10;gBMHPyBL0zYijYOTrRu//px0N3bAE6IPkV07Xz5/tpfXh96wvUKvwVa8mOScKSuh1rat+Levm1cL&#10;znwQthYGrKr4UXl+vXr5Yjm4Uk2hA1MrZARifTm4inchuDLLvOxUL/wEnLIUbAB7EcjFNqtRDITe&#10;m2ya51fZAFg7BKm8p7+3Y5CvEn7TKBk+N41XgZmKE7eQTkznNp7ZainKFoXrtDzREP/Aohfa0qNn&#10;qFsRBNuh/gOq1xLBQxMmEvoMmkZLlWqgaor8t2oeOuFUqoXE8e4sk/9/sPLT/h6Zrql3r684s6Kn&#10;Jn0h2YRtjWLFYholGpwvKfPB3WMs0rs7kN89s7DuKE/dIMLQKVETsSLmZ88uRMfTVbYdPkJN+GIX&#10;IKl1aLCPgKQDO6SmHM9NUYfAJP18W8xmObVOUuhkxxdE+XTZoQ/vFfQsGhVHIp/Axf7OhzH1KSWR&#10;B6PrjTYmOdhu1wbZXtB8bNKX+FONl2nGsoFen0/nCflZzF9C5On7G0SvAw260X3FF+ckUUbV3tma&#10;aIoyCG1Gm6oz9iRjVG7swBbqI6mIME4xbR0ZHeBPzgaa4Ir7HzuBijPzwVInklg08smZzd9MSUS8&#10;jGwvI8JKgqp44Gw012Fck51D3Xb0UpFqt3BD3Wt0UjZ2dmR1IktTmnpz2qi4Bpd+yvq196tHAAAA&#10;//8DAFBLAwQUAAYACAAAACEATr5HNeAAAAANAQAADwAAAGRycy9kb3ducmV2LnhtbEyPzU7DMBCE&#10;70i8g7VI3KidHwENcSoEKhLHNr1w2yRuEojXUey0gadne4Lbzu5o9pt8s9hBnMzke0caopUCYah2&#10;TU+thkO5vXsE4QNSg4Mjo+HbeNgU11c5Zo07086c9qEVHEI+Qw1dCGMmpa87Y9Gv3GiIb0c3WQws&#10;p1Y2E5453A4yVupeWuyJP3Q4mpfO1F/72Wqo+viAP7vyTdn1NgnvS/k5f7xqfXuzPD+BCGYJf2a4&#10;4DM6FMxUuZkaLwbWkUoi9vKkVALiYonTB15VGuI0TUAWufzfovgFAAD//wMAUEsBAi0AFAAGAAgA&#10;AAAhALaDOJL+AAAA4QEAABMAAAAAAAAAAAAAAAAAAAAAAFtDb250ZW50X1R5cGVzXS54bWxQSwEC&#10;LQAUAAYACAAAACEAOP0h/9YAAACUAQAACwAAAAAAAAAAAAAAAAAvAQAAX3JlbHMvLnJlbHNQSwEC&#10;LQAUAAYACAAAACEAtYhJSB4CAAA/BAAADgAAAAAAAAAAAAAAAAAuAgAAZHJzL2Uyb0RvYy54bWxQ&#10;SwECLQAUAAYACAAAACEATr5HNeAAAAANAQAADwAAAAAAAAAAAAAAAAB4BAAAZHJzL2Rvd25yZXYu&#10;eG1sUEsFBgAAAAAEAAQA8wAAAIUFAAAAAA==&#10;"/>
          </w:pict>
        </mc:Fallback>
      </mc:AlternateContent>
    </w:r>
    <w:r>
      <w:tab/>
    </w:r>
    <w:r w:rsidRPr="00B736A6">
      <w:t>Model Report</w:t>
    </w:r>
    <w:r w:rsidRPr="00B736A6">
      <w:br/>
    </w:r>
    <w:r>
      <w:fldChar w:fldCharType="begin"/>
    </w:r>
    <w:r>
      <w:instrText xml:space="preserve"> PAGE </w:instrText>
    </w:r>
    <w:r>
      <w:fldChar w:fldCharType="separate"/>
    </w:r>
    <w:r w:rsidR="00B934BC">
      <w:rPr>
        <w:noProof/>
      </w:rPr>
      <w:t>150</w:t>
    </w:r>
    <w:r>
      <w:fldChar w:fldCharType="end"/>
    </w:r>
    <w:r>
      <w:tab/>
    </w:r>
    <w:r w:rsidRPr="00B736A6">
      <w:t>for Victorian Government Departments</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B19AD" w:rsidRDefault="00841B85" w:rsidP="00540F7E">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B934BC">
      <w:rPr>
        <w:noProof/>
      </w:rPr>
      <w:t>151</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0A2E57">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B934BC">
      <w:rPr>
        <w:noProof/>
      </w:rPr>
      <w:t>152</w:t>
    </w:r>
    <w:r>
      <w:fldChar w:fldCharType="end"/>
    </w:r>
    <w:r>
      <w:tab/>
    </w:r>
    <w:r w:rsidRPr="00B736A6">
      <w:t>for Victorian Government Departments</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0A2E57">
    <w:pPr>
      <w:pStyle w:val="Footer"/>
      <w:tabs>
        <w:tab w:val="clear" w:pos="7085"/>
        <w:tab w:val="right" w:pos="10170"/>
      </w:tabs>
    </w:pPr>
    <w:r>
      <w:t>M</w:t>
    </w:r>
    <w:r w:rsidRPr="00B736A6">
      <w:t>odel</w:t>
    </w:r>
    <w:r>
      <w:t xml:space="preserve"> </w:t>
    </w:r>
    <w:r w:rsidRPr="00B736A6">
      <w:t>Report</w:t>
    </w:r>
    <w:r w:rsidRPr="00B736A6">
      <w:br/>
    </w:r>
    <w:r>
      <w:t>f</w:t>
    </w:r>
    <w:r w:rsidRPr="00B736A6">
      <w:t>or Victorian Government Departments</w:t>
    </w:r>
    <w:r>
      <w:tab/>
    </w:r>
    <w:r>
      <w:fldChar w:fldCharType="begin"/>
    </w:r>
    <w:r>
      <w:instrText xml:space="preserve"> PAGE </w:instrText>
    </w:r>
    <w:r>
      <w:fldChar w:fldCharType="separate"/>
    </w:r>
    <w:r>
      <w:rPr>
        <w:noProof/>
      </w:rPr>
      <w:t>153</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674B6">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B934BC">
      <w:rPr>
        <w:noProof/>
      </w:rPr>
      <w:t>158</w:t>
    </w:r>
    <w:r>
      <w:fldChar w:fldCharType="end"/>
    </w:r>
    <w:r>
      <w:tab/>
    </w:r>
    <w:r w:rsidRPr="00B736A6">
      <w:t>for Victorian Government Departments</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0A2E57" w:rsidRDefault="00841B85" w:rsidP="00540F7E">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B934BC">
      <w:rPr>
        <w:noProof/>
      </w:rPr>
      <w:t>157</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
      <w:t>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Pr>
        <w:noProof/>
      </w:rPr>
      <w:t>179</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674B6">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1B4C4C">
      <w:rPr>
        <w:noProof/>
      </w:rPr>
      <w:t>246</w:t>
    </w:r>
    <w:r>
      <w:fldChar w:fldCharType="end"/>
    </w:r>
    <w:r>
      <w:tab/>
    </w:r>
    <w:r w:rsidRPr="00B736A6">
      <w:t>for Victorian Government Departments</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1B4C4C">
      <w:rPr>
        <w:noProof/>
      </w:rPr>
      <w:t>165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41B85">
    <w:pPr>
      <w:pStyle w:val="Footer"/>
      <w:tabs>
        <w:tab w:val="clear" w:pos="7085"/>
        <w:tab w:val="right" w:pos="10170"/>
      </w:tabs>
    </w:pPr>
    <w:r>
      <w:tab/>
    </w:r>
    <w:r w:rsidRPr="00B736A6">
      <w:br/>
    </w:r>
    <w:r>
      <w:fldChar w:fldCharType="begin"/>
    </w:r>
    <w:r>
      <w:instrText xml:space="preserve"> PAGE </w:instrText>
    </w:r>
    <w:r>
      <w:fldChar w:fldCharType="separate"/>
    </w:r>
    <w:r w:rsidR="00B934BC">
      <w:rPr>
        <w:noProof/>
      </w:rPr>
      <w:t>ii</w:t>
    </w:r>
    <w:r>
      <w:fldChar w:fldCharType="end"/>
    </w:r>
    <w:r>
      <w:tab/>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1B4C4C">
      <w:rPr>
        <w:noProof/>
      </w:rPr>
      <w:t>197</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D5E7E">
    <w:pPr>
      <w:pStyle w:val="Footer"/>
      <w:tabs>
        <w:tab w:val="clear" w:pos="7085"/>
        <w:tab w:val="right" w:pos="10170"/>
      </w:tabs>
    </w:pPr>
    <w:r w:rsidRPr="0027272F">
      <w:t>Model Report</w:t>
    </w:r>
    <w:r w:rsidRPr="0027272F">
      <w:br/>
      <w:t>for Victorian Government Departments</w:t>
    </w:r>
    <w:r>
      <w:tab/>
    </w:r>
    <w:r>
      <w:fldChar w:fldCharType="begin"/>
    </w:r>
    <w:r>
      <w:instrText xml:space="preserve"> PAGE </w:instrText>
    </w:r>
    <w:r>
      <w:fldChar w:fldCharType="separate"/>
    </w:r>
    <w:r w:rsidR="001B4C4C">
      <w:rPr>
        <w:noProof/>
      </w:rPr>
      <w:t>247</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
      <w:t>s</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
      <w:t>o</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0A2E57" w:rsidRDefault="00841B85" w:rsidP="000A2E57">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1B4C4C">
      <w:rPr>
        <w:noProof/>
      </w:rPr>
      <w:t>252</w:t>
    </w:r>
    <w:r>
      <w:fldChar w:fldCharType="end"/>
    </w:r>
    <w:r>
      <w:tab/>
    </w:r>
    <w:r w:rsidRPr="00B736A6">
      <w:t>for Victorian Government Departments</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B19AD" w:rsidRDefault="00841B85" w:rsidP="00CB19AD">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1B4C4C">
      <w:rPr>
        <w:noProof/>
      </w:rPr>
      <w:t>251</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B19AD" w:rsidRDefault="00841B85" w:rsidP="00CB19AD">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1B4C4C">
      <w:rPr>
        <w:noProof/>
      </w:rPr>
      <w:t>254</w:t>
    </w:r>
    <w:r>
      <w:fldChar w:fldCharType="end"/>
    </w:r>
    <w:r>
      <w:tab/>
    </w:r>
    <w:r w:rsidRPr="00B736A6">
      <w:t>for Victorian Government Departments</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0A2E57" w:rsidRDefault="00841B85" w:rsidP="007310F9">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1B4C4C">
      <w:rPr>
        <w:noProof/>
      </w:rPr>
      <w:t>255</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CB19AD">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1B4C4C">
      <w:rPr>
        <w:noProof/>
      </w:rPr>
      <w:t>256</w:t>
    </w:r>
    <w:r>
      <w:fldChar w:fldCharType="end"/>
    </w:r>
    <w:r>
      <w:tab/>
    </w:r>
    <w:r w:rsidRPr="00B736A6">
      <w:t>for Victorian Government Departments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0A2E57">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1B4C4C">
      <w:rPr>
        <w:noProof/>
      </w:rPr>
      <w:t>263</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CB19AD">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1B4C4C">
      <w:rPr>
        <w:noProof/>
      </w:rPr>
      <w:t>264</w:t>
    </w:r>
    <w:r>
      <w:fldChar w:fldCharType="end"/>
    </w:r>
    <w:r>
      <w:tab/>
    </w:r>
    <w:r w:rsidRPr="00B736A6">
      <w:t>for Victorian Government Departments</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CB19AD">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1B4C4C">
      <w:rPr>
        <w:noProof/>
      </w:rPr>
      <w:t>268</w:t>
    </w:r>
    <w:r>
      <w:fldChar w:fldCharType="end"/>
    </w:r>
    <w:r>
      <w:tab/>
    </w:r>
    <w:r w:rsidRPr="00B736A6">
      <w:t>for Victorian Government Departments</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0A2E57">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1B4C4C">
      <w:rPr>
        <w:noProof/>
      </w:rPr>
      <w:t>269</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D5E7E">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1B4C4C">
      <w:rPr>
        <w:noProof/>
      </w:rPr>
      <w:t>316</w:t>
    </w:r>
    <w:r>
      <w:fldChar w:fldCharType="end"/>
    </w:r>
    <w:r>
      <w:tab/>
    </w:r>
    <w:r w:rsidRPr="00B736A6">
      <w:t>for Victorian Government Departments</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0A2E57">
    <w:pPr>
      <w:pStyle w:val="Footer"/>
      <w:tabs>
        <w:tab w:val="clear" w:pos="7085"/>
        <w:tab w:val="right" w:pos="10170"/>
      </w:tabs>
    </w:pPr>
    <w:r>
      <w:t>M</w:t>
    </w:r>
    <w:r w:rsidRPr="00B736A6">
      <w:t>odel Repor</w:t>
    </w:r>
    <w:r>
      <w:t>t</w:t>
    </w:r>
    <w:r w:rsidRPr="00B736A6">
      <w:br/>
    </w:r>
    <w:r>
      <w:t>f</w:t>
    </w:r>
    <w:r w:rsidRPr="00B736A6">
      <w:t>or Victorian Government Departments</w:t>
    </w:r>
    <w:r>
      <w:tab/>
    </w:r>
    <w:r>
      <w:fldChar w:fldCharType="begin"/>
    </w:r>
    <w:r>
      <w:instrText xml:space="preserve"> PAGE </w:instrText>
    </w:r>
    <w:r>
      <w:fldChar w:fldCharType="separate"/>
    </w:r>
    <w:r w:rsidR="001B4C4C">
      <w:rPr>
        <w:noProof/>
      </w:rPr>
      <w:t>295</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7310F9">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1B4C4C">
      <w:rPr>
        <w:noProof/>
      </w:rPr>
      <w:t>315</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Footer"/>
      <w:tabs>
        <w:tab w:val="clear" w:pos="7085"/>
        <w:tab w:val="right" w:pos="10170"/>
      </w:tabs>
      <w:jc w:val="right"/>
    </w:pPr>
    <w:r w:rsidRPr="00B736A6">
      <w:t>Model Report</w:t>
    </w:r>
    <w:r>
      <w:br/>
    </w:r>
    <w:r>
      <w:fldChar w:fldCharType="begin"/>
    </w:r>
    <w:r>
      <w:instrText xml:space="preserve"> PAGE </w:instrText>
    </w:r>
    <w:r>
      <w:fldChar w:fldCharType="separate"/>
    </w:r>
    <w:r w:rsidR="001B4C4C">
      <w:rPr>
        <w:noProof/>
      </w:rPr>
      <w:t>360</w:t>
    </w:r>
    <w:r>
      <w:fldChar w:fldCharType="end"/>
    </w:r>
    <w:r>
      <w:tab/>
    </w:r>
    <w:r w:rsidRPr="00B736A6">
      <w:t>for Victorian Government Departments</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1B4C4C">
      <w:rPr>
        <w:noProof/>
      </w:rPr>
      <w:t>359</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40F7E">
    <w:pPr>
      <w:pStyle w:val="Footer"/>
      <w:tabs>
        <w:tab w:val="clear" w:pos="7085"/>
        <w:tab w:val="right" w:pos="10170"/>
      </w:tabs>
    </w:pPr>
    <w:r>
      <w:tab/>
    </w:r>
    <w:r w:rsidRPr="00B736A6">
      <w:br/>
    </w:r>
    <w:r>
      <w:fldChar w:fldCharType="begin"/>
    </w:r>
    <w:r>
      <w:instrText xml:space="preserve"> PAGE </w:instrText>
    </w:r>
    <w:r>
      <w:fldChar w:fldCharType="separate"/>
    </w:r>
    <w:r w:rsidR="00B934BC">
      <w:rPr>
        <w:noProof/>
      </w:rPr>
      <w:t>iv</w:t>
    </w:r>
    <w:r>
      <w:fldChar w:fldCharType="end"/>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479D2">
    <w:pPr>
      <w:pStyle w:val="Footer"/>
      <w:tabs>
        <w:tab w:val="clear" w:pos="7085"/>
        <w:tab w:val="right" w:pos="10206"/>
      </w:tabs>
    </w:pPr>
    <w:r>
      <w:tab/>
    </w:r>
    <w:r>
      <w:fldChar w:fldCharType="begin"/>
    </w:r>
    <w:r>
      <w:instrText xml:space="preserve"> PAGE </w:instrText>
    </w:r>
    <w:r>
      <w:fldChar w:fldCharType="separate"/>
    </w:r>
    <w:r w:rsidR="00B934BC">
      <w:rPr>
        <w:noProof/>
      </w:rPr>
      <w:t>iii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C4C" w:rsidRDefault="001B4C4C" w:rsidP="001B4C4C">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B934BC">
      <w:rPr>
        <w:noProof/>
      </w:rPr>
      <w:t>8</w:t>
    </w:r>
    <w:r>
      <w:fldChar w:fldCharType="end"/>
    </w:r>
    <w:r>
      <w:tab/>
    </w:r>
    <w:r w:rsidRPr="00B736A6">
      <w:t>for Victorian Government Departments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479D2">
    <w:pPr>
      <w:pStyle w:val="Footer"/>
      <w:tabs>
        <w:tab w:val="clear" w:pos="7085"/>
        <w:tab w:val="right" w:pos="10206"/>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B934BC">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B85" w:rsidRDefault="00841B85">
      <w:r>
        <w:separator/>
      </w:r>
    </w:p>
  </w:footnote>
  <w:footnote w:type="continuationSeparator" w:id="0">
    <w:p w:rsidR="00841B85" w:rsidRDefault="00841B85">
      <w:r>
        <w:continuationSeparator/>
      </w:r>
    </w:p>
    <w:p w:rsidR="00841B85" w:rsidRDefault="00841B85"/>
  </w:footnote>
  <w:footnote w:id="1">
    <w:p w:rsidR="00841B85" w:rsidRDefault="00841B85" w:rsidP="00253E69">
      <w:pPr>
        <w:pStyle w:val="FootnoteText"/>
      </w:pPr>
      <w:r w:rsidRPr="00CF7C4B">
        <w:rPr>
          <w:vertAlign w:val="superscript"/>
        </w:rPr>
        <w:footnoteRef/>
      </w:r>
      <w:r>
        <w:t xml:space="preserve"> </w:t>
      </w:r>
      <w:r w:rsidRPr="009A5762">
        <w:rPr>
          <w:i/>
        </w:rPr>
        <w:t>Australian System of Government Finance Statistics: Concepts, Sources and Methods</w:t>
      </w:r>
      <w:r w:rsidRPr="009A5762">
        <w:t>, 2005 (Catalogue No. 5514.0)</w:t>
      </w:r>
      <w:r w:rsidRPr="009A5762">
        <w:rPr>
          <w:i/>
          <w:iCs/>
        </w:rPr>
        <w:t>,</w:t>
      </w:r>
      <w:r w:rsidRPr="009A5762">
        <w:t xml:space="preserve"> published by Australian</w:t>
      </w:r>
      <w:r w:rsidRPr="008B4293">
        <w:t xml:space="preserve"> Bureau of Statistics</w:t>
      </w:r>
      <w:r>
        <w:t>. The</w:t>
      </w:r>
      <w:r w:rsidRPr="00B77107">
        <w:t xml:space="preserve"> Australian Bureau of Statistics (ABS) released a new manual, </w:t>
      </w:r>
      <w:r w:rsidRPr="00B77107">
        <w:rPr>
          <w:i/>
        </w:rPr>
        <w:t>Australian System of Government Finance Statistics: Concepts, Sources and Methods 2015</w:t>
      </w:r>
      <w:r w:rsidRPr="00B77107">
        <w:t xml:space="preserve"> on 23 December 2015. The new manual will be </w:t>
      </w:r>
      <w:r>
        <w:t>operative</w:t>
      </w:r>
      <w:r w:rsidRPr="00B77107">
        <w:t xml:space="preserve"> from </w:t>
      </w:r>
      <w:r>
        <w:t>1 July 2017</w:t>
      </w:r>
      <w:r w:rsidRPr="00B77107">
        <w:t xml:space="preserve">. </w:t>
      </w:r>
      <w:r>
        <w:t>For the purpose of financial reporting under AASB 1049</w:t>
      </w:r>
      <w:r w:rsidRPr="007C5E3C">
        <w:rPr>
          <w:i/>
          <w:iCs/>
        </w:rPr>
        <w:t xml:space="preserve"> </w:t>
      </w:r>
      <w:r w:rsidRPr="009A5762">
        <w:rPr>
          <w:i/>
          <w:iCs/>
        </w:rPr>
        <w:t>Whole of government and general government sector financial reporting</w:t>
      </w:r>
      <w:r>
        <w:t xml:space="preserve">, the new manual will apply for reporting periods beginning from 1 July 2018. </w:t>
      </w:r>
      <w:r w:rsidRPr="00B77107">
        <w:t>DTF is currently in the process of assessing the impact of the changes and will consult departments where appropriate.</w:t>
      </w:r>
    </w:p>
  </w:footnote>
  <w:footnote w:id="2">
    <w:p w:rsidR="00841B85" w:rsidRDefault="00841B85" w:rsidP="00244F5E">
      <w:pPr>
        <w:pStyle w:val="FootnoteText"/>
      </w:pPr>
      <w:r w:rsidRPr="00CF7C4B">
        <w:rPr>
          <w:vertAlign w:val="superscript"/>
        </w:rPr>
        <w:footnoteRef/>
      </w:r>
      <w:r w:rsidRPr="00CF7C4B">
        <w:rPr>
          <w:vertAlign w:val="superscript"/>
        </w:rPr>
        <w:t xml:space="preserve"> </w:t>
      </w:r>
      <w:r w:rsidRPr="00253E69">
        <w:t xml:space="preserve">Located on </w:t>
      </w:r>
      <w:r w:rsidRPr="00244F5E">
        <w:t>the</w:t>
      </w:r>
      <w:r w:rsidRPr="00253E69">
        <w:t xml:space="preserve"> DTF website at </w:t>
      </w:r>
    </w:p>
    <w:p w:rsidR="00841B85" w:rsidRPr="00740783" w:rsidRDefault="00841B85" w:rsidP="00244F5E">
      <w:pPr>
        <w:pStyle w:val="FootnoteText"/>
      </w:pPr>
      <w:r w:rsidRPr="00740783">
        <w:rPr>
          <w:rStyle w:val="Hyperlink"/>
          <w:rFonts w:ascii="Garamond" w:hAnsi="Garamond"/>
          <w:sz w:val="18"/>
        </w:rPr>
        <w:t>http://www.dtf.vic.gov.au/Publications/Government</w:t>
      </w:r>
      <w:r>
        <w:rPr>
          <w:rStyle w:val="Hyperlink"/>
          <w:rFonts w:ascii="Garamond" w:hAnsi="Garamond"/>
          <w:sz w:val="18"/>
        </w:rPr>
        <w:noBreakHyphen/>
      </w:r>
      <w:r w:rsidRPr="00740783">
        <w:rPr>
          <w:rStyle w:val="Hyperlink"/>
          <w:rFonts w:ascii="Garamond" w:hAnsi="Garamond"/>
          <w:sz w:val="18"/>
        </w:rPr>
        <w:t>Financial</w:t>
      </w:r>
      <w:r>
        <w:rPr>
          <w:rStyle w:val="Hyperlink"/>
          <w:rFonts w:ascii="Garamond" w:hAnsi="Garamond"/>
          <w:sz w:val="18"/>
        </w:rPr>
        <w:noBreakHyphen/>
      </w:r>
      <w:r w:rsidRPr="00740783">
        <w:rPr>
          <w:rStyle w:val="Hyperlink"/>
          <w:rFonts w:ascii="Garamond" w:hAnsi="Garamond"/>
          <w:sz w:val="18"/>
        </w:rPr>
        <w:t>Management</w:t>
      </w:r>
      <w:r>
        <w:rPr>
          <w:rStyle w:val="Hyperlink"/>
          <w:rFonts w:ascii="Garamond" w:hAnsi="Garamond"/>
          <w:sz w:val="18"/>
        </w:rPr>
        <w:noBreakHyphen/>
      </w:r>
      <w:r w:rsidRPr="00740783">
        <w:rPr>
          <w:rStyle w:val="Hyperlink"/>
          <w:rFonts w:ascii="Garamond" w:hAnsi="Garamond"/>
          <w:sz w:val="18"/>
        </w:rPr>
        <w:t>publications/Financial</w:t>
      </w:r>
      <w:r>
        <w:rPr>
          <w:rStyle w:val="Hyperlink"/>
          <w:rFonts w:ascii="Garamond" w:hAnsi="Garamond"/>
          <w:sz w:val="18"/>
        </w:rPr>
        <w:noBreakHyphen/>
      </w:r>
      <w:r w:rsidRPr="00740783">
        <w:rPr>
          <w:rStyle w:val="Hyperlink"/>
          <w:rFonts w:ascii="Garamond" w:hAnsi="Garamond"/>
          <w:sz w:val="18"/>
        </w:rPr>
        <w:t>Reporting</w:t>
      </w:r>
      <w:r>
        <w:rPr>
          <w:rStyle w:val="Hyperlink"/>
          <w:rFonts w:ascii="Garamond" w:hAnsi="Garamond"/>
          <w:sz w:val="18"/>
        </w:rPr>
        <w:noBreakHyphen/>
      </w:r>
      <w:r w:rsidRPr="00740783">
        <w:rPr>
          <w:rStyle w:val="Hyperlink"/>
          <w:rFonts w:ascii="Garamond" w:hAnsi="Garamond"/>
          <w:sz w:val="18"/>
        </w:rPr>
        <w:t>Policy/Financial</w:t>
      </w:r>
      <w:r>
        <w:rPr>
          <w:rStyle w:val="Hyperlink"/>
          <w:rFonts w:ascii="Garamond" w:hAnsi="Garamond"/>
          <w:sz w:val="18"/>
        </w:rPr>
        <w:noBreakHyphen/>
      </w:r>
      <w:r w:rsidRPr="00740783">
        <w:rPr>
          <w:rStyle w:val="Hyperlink"/>
          <w:rFonts w:ascii="Garamond" w:hAnsi="Garamond"/>
          <w:sz w:val="18"/>
        </w:rPr>
        <w:t>reporting</w:t>
      </w:r>
      <w:r>
        <w:rPr>
          <w:rStyle w:val="Hyperlink"/>
          <w:rFonts w:ascii="Garamond" w:hAnsi="Garamond"/>
          <w:sz w:val="18"/>
        </w:rPr>
        <w:noBreakHyphen/>
      </w:r>
      <w:r w:rsidRPr="00740783">
        <w:rPr>
          <w:rStyle w:val="Hyperlink"/>
          <w:rFonts w:ascii="Garamond" w:hAnsi="Garamond"/>
          <w:sz w:val="18"/>
        </w:rPr>
        <w:t>directions</w:t>
      </w:r>
      <w:r>
        <w:rPr>
          <w:rStyle w:val="Hyperlink"/>
          <w:rFonts w:ascii="Garamond" w:hAnsi="Garamond"/>
          <w:sz w:val="18"/>
        </w:rPr>
        <w:noBreakHyphen/>
      </w:r>
      <w:r w:rsidRPr="00740783">
        <w:rPr>
          <w:rStyle w:val="Hyperlink"/>
          <w:rFonts w:ascii="Garamond" w:hAnsi="Garamond"/>
          <w:sz w:val="18"/>
        </w:rPr>
        <w:t>and</w:t>
      </w:r>
      <w:r>
        <w:rPr>
          <w:rStyle w:val="Hyperlink"/>
          <w:rFonts w:ascii="Garamond" w:hAnsi="Garamond"/>
          <w:sz w:val="18"/>
        </w:rPr>
        <w:noBreakHyphen/>
      </w:r>
      <w:r w:rsidRPr="00740783">
        <w:rPr>
          <w:rStyle w:val="Hyperlink"/>
          <w:rFonts w:ascii="Garamond" w:hAnsi="Garamond"/>
          <w:sz w:val="18"/>
        </w:rPr>
        <w:t>guidance</w:t>
      </w:r>
    </w:p>
  </w:footnote>
  <w:footnote w:id="3">
    <w:p w:rsidR="00841B85" w:rsidRPr="00253E69" w:rsidRDefault="00841B85" w:rsidP="00253E69">
      <w:pPr>
        <w:pStyle w:val="FootnoteText"/>
      </w:pPr>
      <w:r w:rsidRPr="00740783">
        <w:rPr>
          <w:vertAlign w:val="superscript"/>
        </w:rPr>
        <w:footnoteRef/>
      </w:r>
      <w:r w:rsidRPr="00740783">
        <w:t xml:space="preserve"> Accessible to Victorian government</w:t>
      </w:r>
      <w:r w:rsidRPr="00253E69">
        <w:t xml:space="preserve"> reporting entities only.</w:t>
      </w:r>
      <w:r w:rsidRPr="001A5B74">
        <w:t xml:space="preserve"> </w:t>
      </w:r>
      <w:r w:rsidRPr="00740783">
        <w:t>Note that the BFMGs are currently being revised as part of the revision to the Standing Directions of the Minister for Finance and</w:t>
      </w:r>
      <w:r w:rsidRPr="001A5B74">
        <w:t xml:space="preserve"> </w:t>
      </w:r>
      <w:r>
        <w:t>will</w:t>
      </w:r>
      <w:r w:rsidRPr="001A5B74">
        <w:t xml:space="preserve"> remain operational until 30 June 2016.</w:t>
      </w:r>
      <w:r>
        <w:t xml:space="preserve"> The BFMGs will be </w:t>
      </w:r>
      <w:r w:rsidRPr="00BA18CA">
        <w:t>replaced by the Financial Reporting Operations Framework, Budget Operations Framework and Performance Management Framework documents.</w:t>
      </w:r>
    </w:p>
  </w:footnote>
  <w:footnote w:id="4">
    <w:p w:rsidR="00841B85" w:rsidRDefault="00841B85" w:rsidP="00253E69">
      <w:pPr>
        <w:pStyle w:val="FootnoteText"/>
      </w:pPr>
      <w:r w:rsidRPr="00CF7C4B">
        <w:rPr>
          <w:vertAlign w:val="superscript"/>
        </w:rPr>
        <w:sym w:font="Symbol" w:char="F034"/>
      </w:r>
      <w:r>
        <w:t xml:space="preserve"> </w:t>
      </w:r>
      <w:r w:rsidRPr="009A5762">
        <w:t>The System of National Accounts 1993 was</w:t>
      </w:r>
      <w:r>
        <w:t xml:space="preserve"> released under the auspices of the Commission of the European Communities, International Monetary Fund, Organisation for Economic Cooperation and Development, United Nations and World Bank.</w:t>
      </w:r>
    </w:p>
  </w:footnote>
  <w:footnote w:id="5">
    <w:p w:rsidR="00841B85" w:rsidRDefault="00841B85" w:rsidP="0028027B">
      <w:pPr>
        <w:pStyle w:val="FootnoteText"/>
      </w:pPr>
      <w:r>
        <w:rPr>
          <w:rStyle w:val="FootnoteReference"/>
        </w:rPr>
        <w:footnoteRef/>
      </w:r>
      <w:r>
        <w:t xml:space="preserve"> </w:t>
      </w:r>
      <w:r w:rsidRPr="005A7E04">
        <w:rPr>
          <w:rFonts w:cstheme="minorHAnsi"/>
          <w:i/>
          <w:sz w:val="16"/>
          <w:szCs w:val="16"/>
        </w:rPr>
        <w:t xml:space="preserve">From the perspective of a </w:t>
      </w:r>
      <w:r>
        <w:rPr>
          <w:rFonts w:cstheme="minorHAnsi"/>
          <w:i/>
          <w:sz w:val="16"/>
          <w:szCs w:val="16"/>
        </w:rPr>
        <w:t>NFP</w:t>
      </w:r>
      <w:r w:rsidRPr="005A7E04">
        <w:rPr>
          <w:rFonts w:cstheme="minorHAnsi"/>
          <w:i/>
          <w:sz w:val="16"/>
          <w:szCs w:val="16"/>
        </w:rPr>
        <w:t xml:space="preserve"> entity, the scope of the nature of returns is broad and encompasses financial, non</w:t>
      </w:r>
      <w:r>
        <w:rPr>
          <w:rFonts w:cstheme="minorHAnsi"/>
          <w:i/>
          <w:sz w:val="16"/>
          <w:szCs w:val="16"/>
        </w:rPr>
        <w:noBreakHyphen/>
      </w:r>
      <w:r w:rsidRPr="005A7E04">
        <w:rPr>
          <w:rFonts w:cstheme="minorHAnsi"/>
          <w:i/>
          <w:sz w:val="16"/>
          <w:szCs w:val="16"/>
        </w:rPr>
        <w:t>financial, direct and indirect benefits, whether positive or negative, including the achievement or furtherance of the investor</w:t>
      </w:r>
      <w:r>
        <w:rPr>
          <w:rFonts w:cstheme="minorHAnsi"/>
          <w:i/>
          <w:sz w:val="16"/>
          <w:szCs w:val="16"/>
        </w:rPr>
        <w:t>’</w:t>
      </w:r>
      <w:r w:rsidRPr="005A7E04">
        <w:rPr>
          <w:rFonts w:cstheme="minorHAnsi"/>
          <w:i/>
          <w:sz w:val="16"/>
          <w:szCs w:val="16"/>
        </w:rPr>
        <w:t>s objectives.</w:t>
      </w:r>
      <w:r>
        <w:rPr>
          <w:rFonts w:cstheme="minorHAnsi"/>
          <w:i/>
          <w:sz w:val="16"/>
          <w:szCs w:val="16"/>
        </w:rPr>
        <w:t xml:space="preserve"> </w:t>
      </w:r>
      <w:r w:rsidRPr="0079620E">
        <w:rPr>
          <w:rFonts w:cstheme="minorHAnsi"/>
          <w:i/>
          <w:sz w:val="16"/>
          <w:szCs w:val="16"/>
        </w:rPr>
        <w:t xml:space="preserve">For more detailed guidance on the </w:t>
      </w:r>
      <w:r>
        <w:rPr>
          <w:rFonts w:cstheme="minorHAnsi"/>
          <w:i/>
          <w:sz w:val="16"/>
          <w:szCs w:val="16"/>
        </w:rPr>
        <w:t>‘</w:t>
      </w:r>
      <w:r w:rsidRPr="0079620E">
        <w:rPr>
          <w:rFonts w:cstheme="minorHAnsi"/>
          <w:i/>
          <w:sz w:val="16"/>
          <w:szCs w:val="16"/>
        </w:rPr>
        <w:t>control</w:t>
      </w:r>
      <w:r>
        <w:rPr>
          <w:rFonts w:cstheme="minorHAnsi"/>
          <w:i/>
          <w:sz w:val="16"/>
          <w:szCs w:val="16"/>
        </w:rPr>
        <w:t>’</w:t>
      </w:r>
      <w:r w:rsidRPr="0079620E">
        <w:rPr>
          <w:rFonts w:cstheme="minorHAnsi"/>
          <w:i/>
          <w:sz w:val="16"/>
          <w:szCs w:val="16"/>
        </w:rPr>
        <w:t xml:space="preserve"> criteria, please refer to </w:t>
      </w:r>
      <w:r w:rsidRPr="0019533A">
        <w:rPr>
          <w:rFonts w:cstheme="minorHAnsi"/>
          <w:sz w:val="16"/>
          <w:szCs w:val="16"/>
        </w:rPr>
        <w:t>Detailed guidance for application of AASB 10 Consolidated Financial Statements</w:t>
      </w:r>
      <w:r w:rsidRPr="0019533A">
        <w:rPr>
          <w:rFonts w:cstheme="minorHAnsi"/>
          <w:i/>
          <w:sz w:val="16"/>
          <w:szCs w:val="16"/>
        </w:rPr>
        <w:t xml:space="preserve"> at the end of this appendix</w:t>
      </w:r>
      <w:r w:rsidRPr="0079620E">
        <w:rPr>
          <w:rFonts w:cstheme="minorHAnsi"/>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540F7E">
    <w:pPr>
      <w:pStyle w:val="Header"/>
      <w:rPr>
        <w:b/>
        <w:bCs/>
      </w:rPr>
    </w:pPr>
    <w:r>
      <w:rPr>
        <w:noProof/>
      </w:rPr>
      <mc:AlternateContent>
        <mc:Choice Requires="wps">
          <w:drawing>
            <wp:anchor distT="0" distB="0" distL="114300" distR="114300" simplePos="0" relativeHeight="251663360" behindDoc="0" locked="0" layoutInCell="1" allowOverlap="0" wp14:anchorId="0CAC8544" wp14:editId="51813E2B">
              <wp:simplePos x="0" y="0"/>
              <wp:positionH relativeFrom="page">
                <wp:posOffset>1571625</wp:posOffset>
              </wp:positionH>
              <wp:positionV relativeFrom="page">
                <wp:posOffset>599440</wp:posOffset>
              </wp:positionV>
              <wp:extent cx="0" cy="9429750"/>
              <wp:effectExtent l="0" t="0" r="0" b="0"/>
              <wp:wrapNone/>
              <wp:docPr id="2"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7.2pt" to="123.75pt,7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dQ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HSJEO&#10;JNoKxVGWzp5Cc3rjSvBZqZ0N5dGzejFbTb87pPSqJerAI8nXi4HILEQkb0LCxhlIse8/awY+5Oh1&#10;7NS5sV2AhB6gcxTkcheEnz2iwyGF03mRz58mUayElLdAY53/xHWHglFhCbQjMDltnQ9ESHlzCXmU&#10;3ggpo95SoR5QJ/kkBjgtBQuXwc3Zw34lLTqRMDHxi1XBzaOb1UfFIljLCVtfbU+EHGxILlXAg1KA&#10;ztUaRuLHPJ2vZ+tZMSry6XpUpHU9+rhZFaPpJnua1B/q1arOfgZqWVG2gjGuArvbeGbF38l/fSjD&#10;YN0H9N6G5C167BeQvf0j6ahlkG8YhL1ml529aQwTGZ2vryeM/OMe7Mc3vvwFAAD//wMAUEsDBBQA&#10;BgAIAAAAIQAA9fUk3wAAAAsBAAAPAAAAZHJzL2Rvd25yZXYueG1sTI+xTsNADIZ3JN7hZCSWqr0Q&#10;0paGXCoEZOtCAbG6iUkicr40d20DT48RA4y2P/3+/mw92k4dafCtYwNXswgUcemqlmsDL8/F9AaU&#10;D8gVdo7JwCd5WOfnZxmmlTvxEx23oVYSwj5FA00Ifaq1Lxuy6GeuJ5bbuxssBhmHWlcDniTcdjqO&#10;ooW22LJ8aLCn+4bKj+3BGvDFK+2Lr0k5id6ua0fx/mHziMZcXox3t6ACjeEPhh99UYdcnHbuwJVX&#10;nYE4Wc4FNbBKElAC/C52Qs6XqwR0nun/HfJvAAAA//8DAFBLAQItABQABgAIAAAAIQC2gziS/gAA&#10;AOEBAAATAAAAAAAAAAAAAAAAAAAAAABbQ29udGVudF9UeXBlc10ueG1sUEsBAi0AFAAGAAgAAAAh&#10;ADj9If/WAAAAlAEAAAsAAAAAAAAAAAAAAAAALwEAAF9yZWxzLy5yZWxzUEsBAi0AFAAGAAgAAAAh&#10;AMx051AUAgAAKwQAAA4AAAAAAAAAAAAAAAAALgIAAGRycy9lMm9Eb2MueG1sUEsBAi0AFAAGAAgA&#10;AAAhAAD19STfAAAACwEAAA8AAAAAAAAAAAAAAAAAbgQAAGRycy9kb3ducmV2LnhtbFBLBQYAAAAA&#10;BAAEAPMAAAB6BQAAAAA=&#10;" o:allowoverlap="f">
              <w10:wrap anchorx="page" anchory="page"/>
            </v:line>
          </w:pict>
        </mc:Fallback>
      </mc:AlternateContent>
    </w:r>
    <w:r w:rsidRPr="00935B60">
      <w:rPr>
        <w:b/>
        <w:bCs/>
      </w:rPr>
      <w:br/>
    </w:r>
  </w:p>
  <w:p w:rsidR="00841B85" w:rsidRPr="00935B60" w:rsidRDefault="00841B85" w:rsidP="00540F7E">
    <w:pPr>
      <w:pStyle w:val="SourceReference"/>
    </w:pPr>
    <w:r>
      <w:t>Source reference</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Pr>
        <w:noProof/>
      </w:rPr>
      <mc:AlternateContent>
        <mc:Choice Requires="wps">
          <w:drawing>
            <wp:anchor distT="0" distB="0" distL="114300" distR="114300" simplePos="0" relativeHeight="251696128" behindDoc="0" locked="0" layoutInCell="1" allowOverlap="1" wp14:anchorId="0870B39A" wp14:editId="66A6CCC5">
              <wp:simplePos x="0" y="0"/>
              <wp:positionH relativeFrom="column">
                <wp:posOffset>1026160</wp:posOffset>
              </wp:positionH>
              <wp:positionV relativeFrom="paragraph">
                <wp:posOffset>321310</wp:posOffset>
              </wp:positionV>
              <wp:extent cx="0" cy="9427210"/>
              <wp:effectExtent l="0" t="0" r="0" b="0"/>
              <wp:wrapNone/>
              <wp:docPr id="22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NnEwIAACsEAAAOAAAAZHJzL2Uyb0RvYy54bWysU02P2jAQvVfqf7B8h3xsYCEirCoCvdAW&#10;abc/wNgOserYlm0IqOp/79gBtLu9VFVzcGY84+c388aLp3Mn0YlbJ7SqcDZOMeKKaibUocLfXzaj&#10;GUbOE8WI1IpX+MIdflp+/LDoTclz3WrJuEUAolzZmwq33psySRxteUfcWBuuINho2xEPrj0kzJIe&#10;0DuZ5Gk6TXptmbGacudgtx6CeBnxm4ZT/61pHPdIVhi4+bjauO7DmiwXpDxYYlpBrzTIP7DoiFBw&#10;6R2qJp6goxV/QHWCWu1048dUd4luGkF5rAGqydJ31Ty3xPBYCzTHmXub3P+DpV9PO4sEq3CeTzBS&#10;pAORtkJx9FCE5vTGlZCzUjsbyqNn9Wy2mv5wSOlVS9SBR5IvFwPnsnAieXMkOM7AFfv+i2aQQ45e&#10;x06dG9sFSOgBOkdBLndB+NkjOmxS2J0X+WOeRbESUt4OGuv8Z647FIwKSyAdgclp63wgQspbSrhH&#10;6Y2QMuotFeoBdQIVh4jTUrAQjI497FfSohMJExO/WNW7NKuPikWwlhO2vtqeCDnYcLlUAQ9KATpX&#10;axiJn/N0vp6tZ8WoyKfrUZHW9ejTZlWMppvscVI/1KtVnf0K1LKibAVjXAV2t/HMir+T//pQhsG6&#10;D+i9Dclb9NgvIHv7R9JRyyDfMAh7zS47e9MYJjImX19PGPnXPtiv3/jyNwAAAP//AwBQSwMEFAAG&#10;AAgAAAAhACQXfBbeAAAACwEAAA8AAABkcnMvZG93bnJldi54bWxMj0FPwzAMhe9I/IfISFymLVmn&#10;VlNpOiGgNy5sIK5eY9qKJumabCv8ejwucLKf/fT8udhMthcnGkPnnYblQoEgV3vTuUbD666ar0GE&#10;iM5g7x1p+KIAm/L6qsDc+LN7odM2NoJDXMhRQxvjkEsZ6pYshoUfyPHuw48WI8uxkWbEM4fbXiZK&#10;ZdJi5/hCiwM9tFR/bo9WQ6je6FB9z+qZel81npLD4/MTan17M93fgYg0xT8zXPAZHUpm2vujM0H0&#10;rLNlxlYNqeJ6MfwO9tykqzQBWRby/w/lDwAAAP//AwBQSwECLQAUAAYACAAAACEAtoM4kv4AAADh&#10;AQAAEwAAAAAAAAAAAAAAAAAAAAAAW0NvbnRlbnRfVHlwZXNdLnhtbFBLAQItABQABgAIAAAAIQA4&#10;/SH/1gAAAJQBAAALAAAAAAAAAAAAAAAAAC8BAABfcmVscy8ucmVsc1BLAQItABQABgAIAAAAIQAK&#10;+7NnEwIAACsEAAAOAAAAAAAAAAAAAAAAAC4CAABkcnMvZTJvRG9jLnhtbFBLAQItABQABgAIAAAA&#10;IQAkF3wW3gAAAAsBAAAPAAAAAAAAAAAAAAAAAG0EAABkcnMvZG93bnJldi54bWxQSwUGAAAAAAQA&#10;BADzAAAAeAUAAAAA&#10;"/>
          </w:pict>
        </mc:Fallback>
      </mc:AlternateContent>
    </w:r>
    <w:r w:rsidRPr="0088461C">
      <w:rPr>
        <w:b/>
        <w:bCs/>
      </w:rPr>
      <w:t>Balance sheet</w:t>
    </w:r>
    <w:r w:rsidRPr="0088461C">
      <w:br/>
    </w:r>
    <w:r>
      <w:t xml:space="preserve">for the financial year ended </w:t>
    </w:r>
    <w:r w:rsidRPr="0088461C">
      <w:t xml:space="preserve">30 June </w:t>
    </w:r>
    <w:r>
      <w:t>2014</w:t>
    </w:r>
  </w:p>
  <w:p w:rsidR="00841B85" w:rsidRPr="00A3039B" w:rsidRDefault="00841B85" w:rsidP="00D47C9F">
    <w:pPr>
      <w:pStyle w:val="Reference"/>
    </w:pPr>
    <w:r>
      <w:t>Source Reference</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Pr>
        <w:noProof/>
      </w:rPr>
      <mc:AlternateContent>
        <mc:Choice Requires="wps">
          <w:drawing>
            <wp:anchor distT="0" distB="0" distL="114300" distR="114300" simplePos="0" relativeHeight="251737088" behindDoc="0" locked="0" layoutInCell="1" allowOverlap="1" wp14:anchorId="280A99C1" wp14:editId="39B94214">
              <wp:simplePos x="0" y="0"/>
              <wp:positionH relativeFrom="page">
                <wp:posOffset>1536065</wp:posOffset>
              </wp:positionH>
              <wp:positionV relativeFrom="page">
                <wp:posOffset>667385</wp:posOffset>
              </wp:positionV>
              <wp:extent cx="0" cy="9427464"/>
              <wp:effectExtent l="0" t="0" r="19050" b="21590"/>
              <wp:wrapNone/>
              <wp:docPr id="6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yq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1mE&#10;JO5gRjsuGUrTzDen17YAn0rujS+PXOSL3iny3SKpqhbLIwskX68aAlMfET+E+I3VkOLQf1YUfPDJ&#10;qdCpS2M6Dwk9QJcwkOt9IOziEBkOCZwu8+wpn+cBHRe3QG2s+8RUh7xRRgJYB2B83lnnieDi5uLz&#10;SLXlQoR5C4l6QJ1lsxBgleDUX3o3a46HShh0xl4x4RvzPrgZdZI0gLUM081oO8zFYENyIT0elAJ0&#10;RmuQxI9lstwsNot8kmfzzSRP6nrycVvlk/k2fZrVH+qqqtOfnlqaFy2nlEnP7ibPNP+78Y8PZRDW&#10;XaD3NsSP6KFfQPb2D6TDLP34BiEcFL3uzW3GoMjgPL4eL/m3e7DfvvH1L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LTTMqhMCAAArBAAADgAAAAAAAAAAAAAAAAAuAgAAZHJzL2Uyb0RvYy54bWxQSwECLQAUAAYACAAA&#10;ACEAf9siHN8AAAAMAQAADwAAAAAAAAAAAAAAAABtBAAAZHJzL2Rvd25yZXYueG1sUEsFBgAAAAAE&#10;AAQA8wAAAHkFAAAAAA==&#10;">
              <w10:wrap anchorx="page" anchory="page"/>
            </v:line>
          </w:pict>
        </mc:Fallback>
      </mc:AlternateContent>
    </w:r>
    <w:r w:rsidRPr="0088461C">
      <w:rPr>
        <w:b/>
        <w:bCs/>
      </w:rPr>
      <w:t>Balance sheet</w:t>
    </w:r>
    <w:r w:rsidRPr="0088461C">
      <w:br/>
    </w:r>
    <w:r>
      <w:t xml:space="preserve">for the financial year ended </w:t>
    </w:r>
    <w:r w:rsidRPr="0088461C">
      <w:t xml:space="preserve">30 June </w:t>
    </w:r>
    <w:r>
      <w:t>2016</w:t>
    </w:r>
  </w:p>
  <w:p w:rsidR="00841B85" w:rsidRDefault="00841B85" w:rsidP="00F37D80">
    <w:pPr>
      <w:pStyle w:val="Reference"/>
    </w:pPr>
    <w:r>
      <w:t>Source Reference</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88461C" w:rsidRDefault="00841B85" w:rsidP="00FA67A3">
    <w:pPr>
      <w:pStyle w:val="Header"/>
    </w:pPr>
    <w:r>
      <w:rPr>
        <w:noProof/>
      </w:rPr>
      <mc:AlternateContent>
        <mc:Choice Requires="wps">
          <w:drawing>
            <wp:anchor distT="0" distB="0" distL="114300" distR="114300" simplePos="0" relativeHeight="251697152" behindDoc="0" locked="0" layoutInCell="1" allowOverlap="1" wp14:anchorId="350B60B2" wp14:editId="10894CF5">
              <wp:simplePos x="0" y="0"/>
              <wp:positionH relativeFrom="column">
                <wp:posOffset>1016635</wp:posOffset>
              </wp:positionH>
              <wp:positionV relativeFrom="paragraph">
                <wp:posOffset>197485</wp:posOffset>
              </wp:positionV>
              <wp:extent cx="0" cy="9541510"/>
              <wp:effectExtent l="0" t="0" r="0" b="0"/>
              <wp:wrapNone/>
              <wp:docPr id="6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05pt,15.55pt" to="80.05pt,7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w1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w0iR&#10;DjTaCsXR0zT0pjeuAJdK7Wyojp7Vi9lq+t0hpauWqAOPHF8vBuKyEJG8CQkbZyDDvv+sGfiQo9ex&#10;UefGdgESWoDOUY/LXQ9+9ogOhxROF9M8m2ZRq4QUt0Bjnf/EdYeCUWIJpCMwOW2dD0RIcXMJeZTe&#10;CCmj3FKhPqBOpjHAaSlYuAxuzh72lbToRMLAxC9WBTePblYfFYtgLSdsfbU9EXKwIblUAQ9KATpX&#10;a5iIH4t0sZ6v5/kon8zWozyt69HHTZWPZpvsw7R+qquqzn4GalletIIxrgK723Rm+d+pf30nw1zd&#10;5/PehuQteuwXkL39I+moZZBvGIS9ZpedvWkMAxmdr48nTPzjHuzHJ776BQAA//8DAFBLAwQUAAYA&#10;CAAAACEAtrUPot0AAAALAQAADwAAAGRycy9kb3ducmV2LnhtbEyPQU/DMAyF70j8h8hIXCaWdhUD&#10;laYTAnrjwgBx9RrTVjRO12Rb4dfj7QIn+9lPz5+L1eR6tacxdJ4NpPMEFHHtbceNgbfX6uoWVIjI&#10;FnvPZOCbAqzK87MCc+sP/EL7dWyUhHDI0UAb45BrHeqWHIa5H4hl9+lHh1Hk2Gg74kHCXa8XSbLU&#10;DjuWCy0O9NBS/bXeOQOheqdt9TOrZ8lH1nhabB+fn9CYy4vp/g5UpCn+meGIL+hQCtPG79gG1Yte&#10;JqlYDWSp1KPhNNhIc51lN6DLQv//ofwFAAD//wMAUEsBAi0AFAAGAAgAAAAhALaDOJL+AAAA4QEA&#10;ABMAAAAAAAAAAAAAAAAAAAAAAFtDb250ZW50X1R5cGVzXS54bWxQSwECLQAUAAYACAAAACEAOP0h&#10;/9YAAACUAQAACwAAAAAAAAAAAAAAAAAvAQAAX3JlbHMvLnJlbHNQSwECLQAUAAYACAAAACEARdW8&#10;NRICAAAqBAAADgAAAAAAAAAAAAAAAAAuAgAAZHJzL2Uyb0RvYy54bWxQSwECLQAUAAYACAAAACEA&#10;trUPot0AAAALAQAADwAAAAAAAAAAAAAAAABsBAAAZHJzL2Rvd25yZXYueG1sUEsFBgAAAAAEAAQA&#10;8wAAAHYFAAAAAA==&#10;"/>
          </w:pict>
        </mc:Fallback>
      </mc:AlternateContent>
    </w:r>
    <w:r w:rsidRPr="0088461C">
      <w:rPr>
        <w:b/>
        <w:bCs/>
      </w:rPr>
      <w:t>Balance sheet</w:t>
    </w:r>
    <w:r>
      <w:br/>
      <w:t xml:space="preserve">as at </w:t>
    </w:r>
    <w:r w:rsidRPr="0088461C">
      <w:t>30 June 2009</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47" w:name="_Hlk254873516"/>
  <w:p w:rsidR="00841B85" w:rsidRDefault="00841B85" w:rsidP="007310F9">
    <w:pPr>
      <w:pStyle w:val="Header"/>
    </w:pPr>
    <w:r>
      <w:rPr>
        <w:noProof/>
      </w:rPr>
      <mc:AlternateContent>
        <mc:Choice Requires="wps">
          <w:drawing>
            <wp:anchor distT="0" distB="0" distL="114300" distR="114300" simplePos="0" relativeHeight="251715584" behindDoc="0" locked="0" layoutInCell="1" allowOverlap="1" wp14:anchorId="7E5A00A2" wp14:editId="5DD73871">
              <wp:simplePos x="0" y="0"/>
              <wp:positionH relativeFrom="column">
                <wp:posOffset>1026160</wp:posOffset>
              </wp:positionH>
              <wp:positionV relativeFrom="paragraph">
                <wp:posOffset>321310</wp:posOffset>
              </wp:positionV>
              <wp:extent cx="0" cy="9427210"/>
              <wp:effectExtent l="0" t="0" r="0" b="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iqFA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j6hJEi&#10;HWi0FYqj6ST0pjeuBJeV2tlQHT2rF7PV9LtDSq9aog48cny9GIjLQkTyJiRsnIEM+/6zZuBDjl7H&#10;Rp0b2wVIaAE6Rz0udz342SM6HFI4nRf5U55FrRJS3gKNdf4T1x0KRoUlkI7A5LR1PhAh5c0l5FF6&#10;I6SMckuFekCd5JMY4LQULFwGN2cP+5W06ETCwMQvVgU3j25WHxWLYC0nbH21PRFysCG5VAEPSgE6&#10;V2uYiB/zdL6erWfFqMin61GR1vXo42ZVjKab7GlSf6hXqzr7GahlRdkKxrgK7G7TmRV/p/71nQxz&#10;dZ/PexuSt+ixX0D29o+ko5ZBvmEQ9ppddvamMQxkdL4+njDxj3uwH5/48hcAAAD//wMAUEsDBBQA&#10;BgAIAAAAIQAkF3wW3gAAAAsBAAAPAAAAZHJzL2Rvd25yZXYueG1sTI9BT8MwDIXvSPyHyEhcpi1Z&#10;p1ZTaTohoDcubCCuXmPaiibpmmwr/Ho8LnCyn/30/LnYTLYXJxpD552G5UKBIFd707lGw+uumq9B&#10;hIjOYO8dafiiAJvy+qrA3Pize6HTNjaCQ1zIUUMb45BLGeqWLIaFH8jx7sOPFiPLsZFmxDOH214m&#10;SmXSYuf4QosDPbRUf26PVkOo3uhQfc/qmXpfNZ6Sw+PzE2p9ezPd34GINMU/M1zwGR1KZtr7ozNB&#10;9KyzZcZWDaniejH8DvbcpKs0AVkW8v8P5Q8AAAD//wMAUEsBAi0AFAAGAAgAAAAhALaDOJL+AAAA&#10;4QEAABMAAAAAAAAAAAAAAAAAAAAAAFtDb250ZW50X1R5cGVzXS54bWxQSwECLQAUAAYACAAAACEA&#10;OP0h/9YAAACUAQAACwAAAAAAAAAAAAAAAAAvAQAAX3JlbHMvLnJlbHNQSwECLQAUAAYACAAAACEA&#10;xyaIqhQCAAAqBAAADgAAAAAAAAAAAAAAAAAuAgAAZHJzL2Uyb0RvYy54bWxQSwECLQAUAAYACAAA&#10;ACEAJBd8Ft4AAAALAQAADwAAAAAAAAAAAAAAAABuBAAAZHJzL2Rvd25yZXYueG1sUEsFBgAAAAAE&#10;AAQA8wAAAHkFAAAAAA==&#10;"/>
          </w:pict>
        </mc:Fallback>
      </mc:AlternateContent>
    </w:r>
    <w:r w:rsidRPr="0088461C">
      <w:rPr>
        <w:b/>
        <w:bCs/>
      </w:rPr>
      <w:t>Balance sheet</w:t>
    </w:r>
    <w:r w:rsidRPr="0088461C">
      <w:br/>
    </w:r>
    <w:r>
      <w:t xml:space="preserve">for the financial year ended </w:t>
    </w:r>
    <w:r w:rsidRPr="0088461C">
      <w:t xml:space="preserve">30 June </w:t>
    </w:r>
    <w:r>
      <w:t>2014</w:t>
    </w:r>
  </w:p>
  <w:p w:rsidR="00841B85" w:rsidRPr="007310F9" w:rsidRDefault="00841B85" w:rsidP="00D47C9F">
    <w:pPr>
      <w:pStyle w:val="Reference"/>
    </w:pPr>
    <w:r>
      <w:t>Source Reference</w:t>
    </w:r>
    <w:bookmarkEnd w:id="247"/>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A67A3">
    <w:pPr>
      <w:pStyle w:val="Header"/>
    </w:pPr>
    <w:r>
      <w:rPr>
        <w:noProof/>
      </w:rPr>
      <mc:AlternateContent>
        <mc:Choice Requires="wps">
          <w:drawing>
            <wp:anchor distT="0" distB="0" distL="114300" distR="114300" simplePos="0" relativeHeight="251831296" behindDoc="0" locked="0" layoutInCell="1" allowOverlap="1" wp14:anchorId="249D2EFA" wp14:editId="3D200430">
              <wp:simplePos x="0" y="0"/>
              <wp:positionH relativeFrom="column">
                <wp:posOffset>1016635</wp:posOffset>
              </wp:positionH>
              <wp:positionV relativeFrom="paragraph">
                <wp:posOffset>197485</wp:posOffset>
              </wp:positionV>
              <wp:extent cx="0" cy="9541510"/>
              <wp:effectExtent l="0" t="0" r="0" b="0"/>
              <wp:wrapNone/>
              <wp:docPr id="7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05pt,15.55pt" to="80.05pt,7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l0Ew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0B5F&#10;OtDoWSiOHqahN71xBbhUamtDdfSkXs2zpt8dUrpqidrzyPHtbCAuCxHJu5CwcQYy7PovmoEPOXgd&#10;G3VqbBcgoQXoFPU43/TgJ4/ocEjhdDHNs2kWtUpIcQ001vnPXHcoGCWWQDoCk+Oz84EIKa4uIY/S&#10;GyFllFsq1AfUyTQGOC0FC5fBzdn9rpIWHUkYmPjFquDm3s3qg2IRrOWErS+2J0IONiSXKuBBKUDn&#10;Yg0T8WORLtbz9Twf5ZPZepSndT36tKny0WyTPU7rh7qq6uxnoJblRSsY4yqwu05nlv+d+pd3MszV&#10;bT5vbUjeo8d+AdnrP5KOWgb5hkHYaXbe2qvGMJDR+fJ4wsTf78G+f+KrXwAAAP//AwBQSwMEFAAG&#10;AAgAAAAhALa1D6LdAAAACwEAAA8AAABkcnMvZG93bnJldi54bWxMj0FPwzAMhe9I/IfISFwmlnYV&#10;A5WmEwJ648IAcfUa01Y0TtdkW+HX4+0CJ/vZT8+fi9XkerWnMXSeDaTzBBRx7W3HjYG31+rqFlSI&#10;yBZ7z2TgmwKsyvOzAnPrD/xC+3VslIRwyNFAG+OQax3qlhyGuR+IZffpR4dR5NhoO+JBwl2vF0my&#10;1A47lgstDvTQUv213jkDoXqnbfUzq2fJR9Z4Wmwfn5/QmMuL6f4OVKQp/pnhiC/oUArTxu/YBtWL&#10;XiapWA1kqdSj4TTYSHOdZTegy0L//6H8BQAA//8DAFBLAQItABQABgAIAAAAIQC2gziS/gAAAOEB&#10;AAATAAAAAAAAAAAAAAAAAAAAAABbQ29udGVudF9UeXBlc10ueG1sUEsBAi0AFAAGAAgAAAAhADj9&#10;If/WAAAAlAEAAAsAAAAAAAAAAAAAAAAALwEAAF9yZWxzLy5yZWxzUEsBAi0AFAAGAAgAAAAhALht&#10;GXQTAgAAKgQAAA4AAAAAAAAAAAAAAAAALgIAAGRycy9lMm9Eb2MueG1sUEsBAi0AFAAGAAgAAAAh&#10;ALa1D6LdAAAACwEAAA8AAAAAAAAAAAAAAAAAbQQAAGRycy9kb3ducmV2LnhtbFBLBQYAAAAABAAE&#10;APMAAAB3BQAAAAA=&#10;"/>
          </w:pict>
        </mc:Fallback>
      </mc:AlternateContent>
    </w:r>
    <w:r w:rsidRPr="0088461C">
      <w:rPr>
        <w:b/>
        <w:bCs/>
      </w:rPr>
      <w:t>Balance sheet</w:t>
    </w:r>
    <w:r>
      <w:br/>
      <w:t xml:space="preserve">as at </w:t>
    </w:r>
    <w:r w:rsidRPr="0088461C">
      <w:t>30 June 20</w:t>
    </w:r>
    <w:r>
      <w:t>14</w:t>
    </w:r>
  </w:p>
  <w:p w:rsidR="00841B85" w:rsidRPr="0088461C" w:rsidRDefault="00841B85" w:rsidP="009A14BE">
    <w:pPr>
      <w:pStyle w:val="Reference"/>
    </w:pPr>
    <w:r>
      <w:t>Source Reference</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832320" behindDoc="0" locked="0" layoutInCell="1" allowOverlap="1" wp14:anchorId="104D7756" wp14:editId="06E7E62D">
              <wp:simplePos x="0" y="0"/>
              <wp:positionH relativeFrom="page">
                <wp:posOffset>1536065</wp:posOffset>
              </wp:positionH>
              <wp:positionV relativeFrom="page">
                <wp:posOffset>667385</wp:posOffset>
              </wp:positionV>
              <wp:extent cx="0" cy="9427464"/>
              <wp:effectExtent l="0" t="0" r="19050" b="21590"/>
              <wp:wrapNone/>
              <wp:docPr id="7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AdEwIAACs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X7KMFKk&#10;hRnthOIoy7LQnM64AnzWam9DefSiXsxO068OKb1uiDrySPL1aiAwRiQPIWHjDKQ4dB81Ax9y8jp2&#10;6lLbNkBCD9AlDuR6Hwi/eET7Qwqni3zylM/ywCchxS3QWOc/cN2iYJRYAusITM4753vXm0vIo/RW&#10;SBnnLRXqAHU6mcYAp6Vg4TK4OXs8rKVFZxIUE78h74Ob1SfFIljDCdsMtidC9jbwlCrgQSlAZ7B6&#10;SXxbpIvNfDPPR/lkthnlaVWN3m/X+Wi2zZ6m1btqva6y74FalheNYIyrwO4mzyz/u/EPD6UX1l2g&#10;9zYkj+ixtUD29o+k4yzD+HohHDS77m1obRgrKDI6D68nSP7XffT6+cZXP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yKqQHRMCAAArBAAADgAAAAAAAAAAAAAAAAAuAgAAZHJzL2Uyb0RvYy54bWxQSwECLQAUAAYACAAA&#10;ACEAf9siHN8AAAAMAQAADwAAAAAAAAAAAAAAAABtBAAAZHJzL2Rvd25yZXYueG1sUEsFBgAAAAAE&#10;AAQA8wAAAHkFAAAAAA==&#10;">
              <w10:wrap anchorx="page" anchory="page"/>
            </v:line>
          </w:pict>
        </mc:Fallback>
      </mc:AlternateContent>
    </w:r>
    <w:r w:rsidRPr="0088461C">
      <w:rPr>
        <w:b/>
        <w:bCs/>
      </w:rPr>
      <w:t>Balance sheet</w:t>
    </w:r>
    <w:r w:rsidRPr="0088461C">
      <w:br/>
    </w:r>
    <w:r>
      <w:t xml:space="preserve">for the financial year ended </w:t>
    </w:r>
    <w:r w:rsidRPr="0088461C">
      <w:t xml:space="preserve">30 June </w:t>
    </w:r>
    <w:r>
      <w:t>2015</w:t>
    </w:r>
  </w:p>
  <w:p w:rsidR="00841B85" w:rsidRDefault="00841B85" w:rsidP="00190A01">
    <w:pPr>
      <w:pStyle w:val="Reference"/>
    </w:pPr>
    <w:r>
      <w:t>Source Reference</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40F7E">
    <w:pPr>
      <w:pStyle w:val="SourceReference"/>
    </w:pPr>
    <w:r>
      <w:rPr>
        <w:noProof/>
      </w:rPr>
      <mc:AlternateContent>
        <mc:Choice Requires="wps">
          <w:drawing>
            <wp:anchor distT="0" distB="0" distL="114300" distR="114300" simplePos="0" relativeHeight="251662336" behindDoc="0" locked="0" layoutInCell="1" allowOverlap="0" wp14:anchorId="663AE7DD" wp14:editId="7CDDE6DE">
              <wp:simplePos x="0" y="0"/>
              <wp:positionH relativeFrom="page">
                <wp:posOffset>1533525</wp:posOffset>
              </wp:positionH>
              <wp:positionV relativeFrom="page">
                <wp:posOffset>713740</wp:posOffset>
              </wp:positionV>
              <wp:extent cx="0" cy="9429750"/>
              <wp:effectExtent l="0" t="0" r="0" b="0"/>
              <wp:wrapNone/>
              <wp:docPr id="3"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75pt,56.2pt" to="120.75pt,7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xI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GCnS&#10;gUTPQnGUpfNZaE5vXAE+ldraUB49qVfzrOl3h5SuWqL2PJJ8OxuIzEJE8i4kbJyBFLv+i2bgQw5e&#10;x06dGtsFSOgBOkVBzjdB+MkjOhxSOF3kk8XjNIqVkOIaaKzzn7nuUDBKLIF2BCbHZ+cDEVJcXUIe&#10;pTdCyqi3VKgH1OlkGgOcloKFy+Dm7H5XSYuOJExM/GJVcHPvZvVBsQjWcsLWF9sTIQcbkksV8KAU&#10;oHOxhpH4sUgX6/l6no/yyWw9ytO6Hn3aVPlotskep/VDXVV19jNQy/KiFYxxFdhdxzPL/07+y0MZ&#10;Bus2oLc2JO/RY7+A7PUfSUctg3zDIOw0O2/tVWOYyOh8eT1h5O/3YN+/8dUvAAAA//8DAFBLAwQU&#10;AAYACAAAACEA0+jpCN8AAAAMAQAADwAAAGRycy9kb3ducmV2LnhtbEyPT0+DQBDF7yZ+h82YeGna&#10;BaT+QZbGqNy8WGu8TmEEIjtL2W2LfnrHeNDjvPfLm/fy1WR7daDRd44NxIsIFHHl6o4bA5uXcn4N&#10;ygfkGnvHZOCTPKyK05Mcs9od+ZkO69AoCWGfoYE2hCHT2lctWfQLNxCL9+5Gi0HOsdH1iEcJt71O&#10;ouhSW+xYPrQ40H1L1cd6bw348pV25desmkVvF42jZPfw9IjGnJ9Nd7egAk3hD4af+lIdCum0dXuu&#10;veoNJGm8FFSMOElBCfGrbEVZ3lyloItc/x9RfAMAAP//AwBQSwECLQAUAAYACAAAACEAtoM4kv4A&#10;AADhAQAAEwAAAAAAAAAAAAAAAAAAAAAAW0NvbnRlbnRfVHlwZXNdLnhtbFBLAQItABQABgAIAAAA&#10;IQA4/SH/1gAAAJQBAAALAAAAAAAAAAAAAAAAAC8BAABfcmVscy8ucmVsc1BLAQItABQABgAIAAAA&#10;IQAjfAxIFQIAACsEAAAOAAAAAAAAAAAAAAAAAC4CAABkcnMvZTJvRG9jLnhtbFBLAQItABQABgAI&#10;AAAAIQDT6OkI3wAAAAwBAAAPAAAAAAAAAAAAAAAAAG8EAABkcnMvZG93bnJldi54bWxQSwUGAAAA&#10;AAQABADzAAAAewUAAAAA&#10;" o:allowoverlap="f">
              <w10:wrap anchorx="page" anchory="page"/>
            </v:line>
          </w:pict>
        </mc:Fallback>
      </mc:AlternateContent>
    </w:r>
    <w:r>
      <w:t>Source reference</w:t>
    </w:r>
  </w:p>
  <w:p w:rsidR="00841B85" w:rsidRDefault="00841B85" w:rsidP="00540F7E">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Pr>
        <w:noProof/>
      </w:rPr>
      <mc:AlternateContent>
        <mc:Choice Requires="wps">
          <w:drawing>
            <wp:anchor distT="0" distB="0" distL="114300" distR="114300" simplePos="0" relativeHeight="251738112" behindDoc="0" locked="0" layoutInCell="1" allowOverlap="1" wp14:anchorId="09760E37" wp14:editId="110BFA7F">
              <wp:simplePos x="0" y="0"/>
              <wp:positionH relativeFrom="page">
                <wp:posOffset>1536065</wp:posOffset>
              </wp:positionH>
              <wp:positionV relativeFrom="page">
                <wp:posOffset>667385</wp:posOffset>
              </wp:positionV>
              <wp:extent cx="0" cy="9546336"/>
              <wp:effectExtent l="0" t="0" r="19050" b="17145"/>
              <wp:wrapNone/>
              <wp:docPr id="7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lYEg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0yRC&#10;Ercwox2XDKXp1Den0zYHn1LujS+PXOSr3iny3SKpygbLIwsk364aAlMfET+E+I3VkOLQfVEUfPDJ&#10;qdCpS21aDwk9QJcwkOt9IOziEOkPCZwuZ9l8Op0HdJzfArWx7jNTLfJGEQlgHYDxeWedJ4Lzm4vP&#10;I9WWCxHmLSTqPOpkFgKsEpz6S+9mzfFQCoPO2CsmfEPeBzejTpIGsIZhuhlsh7nobUgupMeDUoDO&#10;YPWS+LFMlpvFZpGNssl8M8qSqhp92pbZaL5Nn2bVtCrLKv3pqaVZ3nBKmfTsbvJMs78b//BQemHd&#10;BXpvQ/yIHvoFZG//QDrM0o+vF8JB0eve3GYMigzOw+vxkn+/B/v9G1//AgAA//8DAFBLAwQUAAYA&#10;CAAAACEA/kJ7Ed4AAAAMAQAADwAAAGRycy9kb3ducmV2LnhtbEyPwU7DMBBE70j8g7VIXCpqJ9Cq&#10;hDgVAnLjQgFx3SZLEhGv09htA1/PIg5w3Jmn2Zl8PbleHWgMnWcLydyAIq583XFj4eW5vFiBChG5&#10;xt4zWfikAOvi9CTHrPZHfqLDJjZKQjhkaKGNcci0DlVLDsPcD8TivfvRYZRzbHQ94lHCXa9TY5ba&#10;YcfyocWB7lqqPjZ7ZyGUr7Qrv2bVzLxdNp7S3f3jA1p7fjbd3oCKNMU/GH7qS3UopNPW77kOqreQ&#10;XiXXgophFgkoIX6VrShLs1qALnL9f0TxDQAA//8DAFBLAQItABQABgAIAAAAIQC2gziS/gAAAOEB&#10;AAATAAAAAAAAAAAAAAAAAAAAAABbQ29udGVudF9UeXBlc10ueG1sUEsBAi0AFAAGAAgAAAAhADj9&#10;If/WAAAAlAEAAAsAAAAAAAAAAAAAAAAALwEAAF9yZWxzLy5yZWxzUEsBAi0AFAAGAAgAAAAhAJaE&#10;KVgSAgAAKwQAAA4AAAAAAAAAAAAAAAAALgIAAGRycy9lMm9Eb2MueG1sUEsBAi0AFAAGAAgAAAAh&#10;AP5CexHeAAAADAEAAA8AAAAAAAAAAAAAAAAAbAQAAGRycy9kb3ducmV2LnhtbFBLBQYAAAAABAAE&#10;APMAAAB3BQAAAAA=&#10;">
              <w10:wrap anchorx="page" anchory="page"/>
            </v:line>
          </w:pict>
        </mc:Fallback>
      </mc:AlternateContent>
    </w:r>
    <w:r w:rsidRPr="0088461C">
      <w:rPr>
        <w:b/>
        <w:bCs/>
      </w:rPr>
      <w:t>Balance sheet</w:t>
    </w:r>
    <w:r w:rsidRPr="0088461C">
      <w:br/>
    </w:r>
    <w:r>
      <w:t xml:space="preserve">for the financial year ended </w:t>
    </w:r>
    <w:r w:rsidRPr="0088461C">
      <w:t xml:space="preserve">30 June </w:t>
    </w:r>
    <w:r>
      <w:t>2016</w:t>
    </w:r>
  </w:p>
  <w:p w:rsidR="00841B85" w:rsidRDefault="00841B85" w:rsidP="00F37D80">
    <w:pPr>
      <w:pStyle w:val="Reference"/>
    </w:pPr>
    <w:r>
      <w:t>Source Reference</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0E20F8">
    <w:pPr>
      <w:pStyle w:val="Header"/>
    </w:pPr>
    <w:r>
      <w:rPr>
        <w:noProof/>
      </w:rPr>
      <mc:AlternateContent>
        <mc:Choice Requires="wps">
          <w:drawing>
            <wp:anchor distT="0" distB="0" distL="114300" distR="114300" simplePos="0" relativeHeight="251727872" behindDoc="0" locked="0" layoutInCell="1" allowOverlap="1" wp14:anchorId="13959B8D" wp14:editId="6D7D39A6">
              <wp:simplePos x="0" y="0"/>
              <wp:positionH relativeFrom="column">
                <wp:posOffset>1026160</wp:posOffset>
              </wp:positionH>
              <wp:positionV relativeFrom="paragraph">
                <wp:posOffset>321310</wp:posOffset>
              </wp:positionV>
              <wp:extent cx="0" cy="9427210"/>
              <wp:effectExtent l="0" t="0" r="0" b="0"/>
              <wp:wrapNone/>
              <wp:docPr id="7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aKFAIAACo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p0mE&#10;JO5Aoy2XDC0mvje9tgW4VHJnfHXkLF/1VpHvFklVtVgeWOD4dtEQl/qI+F2I31gNGfb9F0XBBx+d&#10;Co06N6bzkNACdA56XO56sLNDZDgkcLrIs6csDVrFuLgFamPdZ6Y65I0yEkA6AOPT1jpPBBc3F59H&#10;qg0XIsgtJOoBdZpNQ4BVglN/6d2sOewrYdAJ+4EJX6gKbh7djDpKGsBahun6ajvMxWBDciE9HpQC&#10;dK7WMBE/FsliPV/P81GezdajPKnr0adNlY9mm/RpWk/qqqrTn55amhctp5RJz+42nWn+d+pf38kw&#10;V/f5vLchfo8e+gVkb/9AOmjp5RsGYa/oZWduGsNABufr4/ET/7gH+/GJr34BAAD//wMAUEsDBBQA&#10;BgAIAAAAIQAkF3wW3gAAAAsBAAAPAAAAZHJzL2Rvd25yZXYueG1sTI9BT8MwDIXvSPyHyEhcpi1Z&#10;p1ZTaTohoDcubCCuXmPaiibpmmwr/Ho8LnCyn/30/LnYTLYXJxpD552G5UKBIFd707lGw+uumq9B&#10;hIjOYO8dafiiAJvy+qrA3Pize6HTNjaCQ1zIUUMb45BLGeqWLIaFH8jx7sOPFiPLsZFmxDOH214m&#10;SmXSYuf4QosDPbRUf26PVkOo3uhQfc/qmXpfNZ6Sw+PzE2p9ezPd34GINMU/M1zwGR1KZtr7ozNB&#10;9KyzZcZWDaniejH8DvbcpKs0AVkW8v8P5Q8AAAD//wMAUEsBAi0AFAAGAAgAAAAhALaDOJL+AAAA&#10;4QEAABMAAAAAAAAAAAAAAAAAAAAAAFtDb250ZW50X1R5cGVzXS54bWxQSwECLQAUAAYACAAAACEA&#10;OP0h/9YAAACUAQAACwAAAAAAAAAAAAAAAAAvAQAAX3JlbHMvLnJlbHNQSwECLQAUAAYACAAAACEA&#10;7NVGihQCAAAqBAAADgAAAAAAAAAAAAAAAAAuAgAAZHJzL2Uyb0RvYy54bWxQSwECLQAUAAYACAAA&#10;ACEAJBd8Ft4AAAALAQAADwAAAAAAAAAAAAAAAABuBAAAZHJzL2Rvd25yZXYueG1sUEsFBgAAAAAE&#10;AAQA8wAAAHkFAAAAAA==&#10;"/>
          </w:pict>
        </mc:Fallback>
      </mc:AlternateContent>
    </w:r>
  </w:p>
  <w:p w:rsidR="00841B85" w:rsidRDefault="00841B85" w:rsidP="000E20F8">
    <w:pPr>
      <w:pStyle w:val="Header"/>
    </w:pPr>
    <w:r>
      <w:t xml:space="preserve"> </w:t>
    </w:r>
  </w:p>
  <w:p w:rsidR="00841B85" w:rsidRDefault="00841B85" w:rsidP="00D47C9F">
    <w:pPr>
      <w:pStyle w:val="Reference"/>
    </w:pPr>
    <w:r>
      <w:t>Source Reference</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Pr>
        <w:noProof/>
      </w:rPr>
      <mc:AlternateContent>
        <mc:Choice Requires="wps">
          <w:drawing>
            <wp:anchor distT="0" distB="0" distL="114300" distR="114300" simplePos="0" relativeHeight="251726848" behindDoc="0" locked="0" layoutInCell="1" allowOverlap="1" wp14:anchorId="781995CE" wp14:editId="0894ED76">
              <wp:simplePos x="0" y="0"/>
              <wp:positionH relativeFrom="column">
                <wp:posOffset>1026160</wp:posOffset>
              </wp:positionH>
              <wp:positionV relativeFrom="paragraph">
                <wp:posOffset>321310</wp:posOffset>
              </wp:positionV>
              <wp:extent cx="0" cy="9427210"/>
              <wp:effectExtent l="0" t="0" r="0" b="0"/>
              <wp:wrapNone/>
              <wp:docPr id="7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hJEw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wEiR&#10;DjTaCsXRPA+96Y0rwWWldjZUR8/qxWw1/e6Q0quWqAOPHF8vBuKyEJG8CQkbZyDDvv+sGfiQo9ex&#10;UefGdgESWoDOUY/LXQ9+9ogOhxRO50X+lGdRq4SUt0Bjnf/EdYeCUWEJpCMwOW2dD0RIeXMJeZTe&#10;CCmj3FKhHlAn+SQGOC0FC5fBzdnDfiUtOpEwMPGLVcHNo5vVR8UiWMsJW19tT4QcbEguVcCDUoDO&#10;1Rom4sc8na9n61kxKvLpelSkdT36uFkVo+kme5rUH+rVqs5+BmpZUbaCMa4Cu9t0ZsXfqX99J8Nc&#10;3efz3obkLXrsF5C9/SPpqGWQbxiEvWaXnb1pDAMZna+PJ0z84x7sxye+/AUAAP//AwBQSwMEFAAG&#10;AAgAAAAhACQXfBbeAAAACwEAAA8AAABkcnMvZG93bnJldi54bWxMj0FPwzAMhe9I/IfISFymLVmn&#10;VlNpOiGgNy5sIK5eY9qKJumabCv8ejwucLKf/fT8udhMthcnGkPnnYblQoEgV3vTuUbD666ar0GE&#10;iM5g7x1p+KIAm/L6qsDc+LN7odM2NoJDXMhRQxvjkEsZ6pYshoUfyPHuw48WI8uxkWbEM4fbXiZK&#10;ZdJi5/hCiwM9tFR/bo9WQ6je6FB9z+qZel81npLD4/MTan17M93fgYg0xT8zXPAZHUpm2vujM0H0&#10;rLNlxlYNqeJ6MfwO9tykqzQBWRby/w/lDwAAAP//AwBQSwECLQAUAAYACAAAACEAtoM4kv4AAADh&#10;AQAAEwAAAAAAAAAAAAAAAAAAAAAAW0NvbnRlbnRfVHlwZXNdLnhtbFBLAQItABQABgAIAAAAIQA4&#10;/SH/1gAAAJQBAAALAAAAAAAAAAAAAAAAAC8BAABfcmVscy8ucmVsc1BLAQItABQABgAIAAAAIQD2&#10;6thJEwIAACoEAAAOAAAAAAAAAAAAAAAAAC4CAABkcnMvZTJvRG9jLnhtbFBLAQItABQABgAIAAAA&#10;IQAkF3wW3gAAAAsBAAAPAAAAAAAAAAAAAAAAAG0EAABkcnMvZG93bnJldi54bWxQSwUGAAAAAAQA&#10;BADzAAAAeAUAAAAA&#10;"/>
          </w:pict>
        </mc:Fallback>
      </mc:AlternateContent>
    </w:r>
    <w:r>
      <w:rPr>
        <w:b/>
        <w:bCs/>
      </w:rPr>
      <w:t>Statement of changes in equity</w:t>
    </w:r>
    <w:r w:rsidRPr="0088461C">
      <w:br/>
    </w:r>
    <w:r>
      <w:t xml:space="preserve">for the financial year ended </w:t>
    </w:r>
    <w:r w:rsidRPr="0088461C">
      <w:t xml:space="preserve">30 June </w:t>
    </w:r>
    <w:r>
      <w:t>2014</w:t>
    </w:r>
  </w:p>
  <w:p w:rsidR="00841B85" w:rsidRPr="00A3039B" w:rsidRDefault="00841B85" w:rsidP="00D47C9F">
    <w:pPr>
      <w:pStyle w:val="Reference"/>
    </w:pPr>
    <w:r>
      <w:t>Source Reference</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Pr>
        <w:b/>
        <w:bCs/>
      </w:rPr>
      <w:t>Statement of changes in equity</w:t>
    </w:r>
    <w:r w:rsidRPr="0088461C">
      <w:br/>
    </w:r>
    <w:r>
      <w:t xml:space="preserve">for the financial year ended </w:t>
    </w:r>
    <w:r w:rsidRPr="0088461C">
      <w:t xml:space="preserve">30 June </w:t>
    </w:r>
    <w:r>
      <w:t>2016</w:t>
    </w:r>
    <w:r>
      <w:rPr>
        <w:noProof/>
      </w:rPr>
      <mc:AlternateContent>
        <mc:Choice Requires="wps">
          <w:drawing>
            <wp:anchor distT="0" distB="0" distL="114300" distR="114300" simplePos="0" relativeHeight="251739136" behindDoc="0" locked="0" layoutInCell="1" allowOverlap="1" wp14:anchorId="54667174" wp14:editId="791B41B5">
              <wp:simplePos x="0" y="0"/>
              <wp:positionH relativeFrom="page">
                <wp:posOffset>1536065</wp:posOffset>
              </wp:positionH>
              <wp:positionV relativeFrom="page">
                <wp:posOffset>667385</wp:posOffset>
              </wp:positionV>
              <wp:extent cx="0" cy="9427464"/>
              <wp:effectExtent l="0" t="0" r="19050" b="21590"/>
              <wp:wrapNone/>
              <wp:docPr id="7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k5FAIAACs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fhphpEi&#10;HcxoKxRHWZaH5vTGFeBTqZ0N5dGzejFbTb87pHTVEnXgkeTrxUBgFiKSNyFh4wyk2PefNQMfcvQ6&#10;durc2C5AQg/QOQ7kch8IP3tEh0MKp4t88pTPIp+EFLdAY53/xHWHglFiCawjMDltnQ9ESHFzCXmU&#10;3ggp47ylQj2gTifTGOC0FCxcBjdnD/tKWnQiQTHxi1XBzaOb1UfFIljLCVtfbU+EHGxILlXAg1KA&#10;ztUaJPFjkS7W8/U8H+WT2XqUp3U9+rip8tFskz1N6w91VdXZz0Aty4tWMMZVYHeTZ5b/3fivD2UQ&#10;1l2g9zYkb9Fjv4Ds7R9Jx1mG8Q1C2Gt22dnbjEGR0fn6eoLkH/dgP77x1S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EDM2TkUAgAAKwQAAA4AAAAAAAAAAAAAAAAALgIAAGRycy9lMm9Eb2MueG1sUEsBAi0AFAAGAAgA&#10;AAAhAH/bIhzfAAAADAEAAA8AAAAAAAAAAAAAAAAAbgQAAGRycy9kb3ducmV2LnhtbFBLBQYAAAAA&#10;BAAEAPMAAAB6BQAAAAA=&#10;">
              <w10:wrap anchorx="page" anchory="page"/>
            </v:line>
          </w:pict>
        </mc:Fallback>
      </mc:AlternateContent>
    </w:r>
    <w:r w:rsidRPr="0088461C">
      <w:t xml:space="preserve"> </w:t>
    </w:r>
    <w:r w:rsidRPr="0088461C">
      <w:br/>
    </w:r>
  </w:p>
  <w:p w:rsidR="00841B85" w:rsidRDefault="00841B85" w:rsidP="00F37D80">
    <w:pPr>
      <w:pStyle w:val="Reference"/>
    </w:pPr>
    <w:r>
      <w:t>Source Reference</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Pr>
        <w:b/>
        <w:bCs/>
      </w:rPr>
      <w:t>Statement of changes in equity</w:t>
    </w:r>
    <w:r w:rsidRPr="0088461C">
      <w:br/>
    </w:r>
    <w:r>
      <w:t xml:space="preserve">for the financial year ended </w:t>
    </w:r>
    <w:r w:rsidRPr="0088461C">
      <w:t xml:space="preserve">30 June </w:t>
    </w:r>
    <w:r>
      <w:t>2016</w:t>
    </w:r>
  </w:p>
  <w:p w:rsidR="00841B85" w:rsidRPr="00A3039B" w:rsidRDefault="00841B85" w:rsidP="00D47C9F">
    <w:pPr>
      <w:pStyle w:val="Referenc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Pr>
        <w:noProof/>
      </w:rPr>
      <mc:AlternateContent>
        <mc:Choice Requires="wps">
          <w:drawing>
            <wp:anchor distT="0" distB="0" distL="114300" distR="114300" simplePos="0" relativeHeight="251740160" behindDoc="0" locked="0" layoutInCell="1" allowOverlap="1" wp14:anchorId="25B4C367" wp14:editId="22B909A1">
              <wp:simplePos x="0" y="0"/>
              <wp:positionH relativeFrom="page">
                <wp:posOffset>1536065</wp:posOffset>
              </wp:positionH>
              <wp:positionV relativeFrom="page">
                <wp:posOffset>667385</wp:posOffset>
              </wp:positionV>
              <wp:extent cx="0" cy="9427464"/>
              <wp:effectExtent l="0" t="0" r="19050" b="21590"/>
              <wp:wrapNone/>
              <wp:docPr id="7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UhEgIAACs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VpEc1BK&#10;4hY02nHJUJpOfXM6bXPwKeXe+PLIRT7rnSI/LZKqbLA8skDy5aohMPUR8UOI31gNKQ7dV0XBB5+c&#10;Cp261Kb1kNADdAmCXO+CsItDpD8kcLrMJvNslgV0nN8CtbHuC1Mt8kYRCWAdgPF5Z50ngvObi88j&#10;1ZYLEfQWEnWAOp1MQ4BVglN/6d2sOR5KYdAZ+4kJ35D3wc2ok6QBrGGYbgbbYS56G5IL6fGgFKAz&#10;WP1I/Fomy81is8hG2WS2GWVJVY0+b8tsNNum82n1qSrLKv3tqaVZ3nBKmfTsbuOZZm+Tf3go/WDd&#10;B/TehvgRPfQLyN7+gXTQ0svXD8JB0eve3DSGiQzOw+vxI/96D/brN77+Aw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AR&#10;OPUhEgIAACsEAAAOAAAAAAAAAAAAAAAAAC4CAABkcnMvZTJvRG9jLnhtbFBLAQItABQABgAIAAAA&#10;IQB/2yIc3wAAAAwBAAAPAAAAAAAAAAAAAAAAAGwEAABkcnMvZG93bnJldi54bWxQSwUGAAAAAAQA&#10;BADzAAAAeAUAAAAA&#10;">
              <w10:wrap anchorx="page" anchory="page"/>
            </v:line>
          </w:pict>
        </mc:Fallback>
      </mc:AlternateContent>
    </w:r>
    <w:r>
      <w:rPr>
        <w:b/>
        <w:bCs/>
      </w:rPr>
      <w:t>Statement of changes in equity</w:t>
    </w:r>
    <w:r w:rsidRPr="0088461C">
      <w:br/>
    </w:r>
    <w:r>
      <w:t xml:space="preserve">for the financial year ended </w:t>
    </w:r>
    <w:r w:rsidRPr="0088461C">
      <w:t xml:space="preserve">30 June </w:t>
    </w:r>
    <w:r>
      <w:t>2016</w:t>
    </w:r>
  </w:p>
  <w:p w:rsidR="00841B85" w:rsidRDefault="00841B85" w:rsidP="00F37D80">
    <w:pPr>
      <w:pStyle w:val="Reference"/>
    </w:pPr>
    <w:r>
      <w:t>Source Reference</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r>
      <w:rPr>
        <w:noProof/>
      </w:rPr>
      <mc:AlternateContent>
        <mc:Choice Requires="wps">
          <w:drawing>
            <wp:anchor distT="0" distB="0" distL="114300" distR="114300" simplePos="0" relativeHeight="251784192" behindDoc="0" locked="0" layoutInCell="1" allowOverlap="1" wp14:anchorId="2FB33CB5" wp14:editId="0A2CAFB8">
              <wp:simplePos x="0" y="0"/>
              <wp:positionH relativeFrom="column">
                <wp:posOffset>1022350</wp:posOffset>
              </wp:positionH>
              <wp:positionV relativeFrom="paragraph">
                <wp:posOffset>235321</wp:posOffset>
              </wp:positionV>
              <wp:extent cx="0" cy="9546590"/>
              <wp:effectExtent l="0" t="0" r="19050" b="16510"/>
              <wp:wrapNone/>
              <wp:docPr id="79"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18.55pt" to="80.5pt,7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xnEw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gZEi&#10;HWi0FYqjbD4LzemNK8CnUjsbyqNn9WK2mn53SOmqJerAI8nXi4HALEQkb0LCxhlIse8/awY+5Oh1&#10;7NS5sV2AhB6gcxTkcheEnz2iwyGF08U0n00XUayEFLdAY53/xHWHglFiCawjMDltnQ9ESHFzCXmU&#10;3ggpo95SoT6gTqYxwGkpWLgMbs4e9pW06ETCxMQvVgU3j25WHxWLYC0nbH21PRFysCG5VAEPSgE6&#10;V2sYiR+LdLGer+f5KJ/M1qM8revRx02Vj2ab7Glaf6irqs5+BmpZXrSCMa4Cu9t4ZvnfyX99KMNg&#10;3Qf03obkLXrsF5C9/SPpqGWQbxiEvWaXnb1pDBMZna+vJ4z84x7sxze++gUAAP//AwBQSwMEFAAG&#10;AAgAAAAhALjtZSXeAAAACwEAAA8AAABkcnMvZG93bnJldi54bWxMj0FPwzAMhe9I/IfISFwmlnRj&#10;A5WmEwJ647IB4uq1pq1onK7JtsKvx+MCNz/76fl72Wp0nTrQEFrPFpKpAUVc+qrl2sLrS3F1CypE&#10;5Ao7z2ThiwKs8vOzDNPKH3lNh02slYRwSNFCE2Ofah3KhhyGqe+J5fbhB4dR5FDrasCjhLtOz4xZ&#10;aocty4cGe3poqPzc7J2FULzRrvielBPzPq89zXaPz09o7eXFeH8HKtIY/8xwwhd0yIVp6/dcBdWJ&#10;XibSJVqY3ySgTobfxVaGxbVZgM4z/b9D/gMAAP//AwBQSwECLQAUAAYACAAAACEAtoM4kv4AAADh&#10;AQAAEwAAAAAAAAAAAAAAAAAAAAAAW0NvbnRlbnRfVHlwZXNdLnhtbFBLAQItABQABgAIAAAAIQA4&#10;/SH/1gAAAJQBAAALAAAAAAAAAAAAAAAAAC8BAABfcmVscy8ucmVsc1BLAQItABQABgAIAAAAIQDG&#10;czxnEwIAACsEAAAOAAAAAAAAAAAAAAAAAC4CAABkcnMvZTJvRG9jLnhtbFBLAQItABQABgAIAAAA&#10;IQC47WUl3gAAAAsBAAAPAAAAAAAAAAAAAAAAAG0EAABkcnMvZG93bnJldi54bWxQSwUGAAAAAAQA&#10;BADzAAAAeAUAAAAA&#10;"/>
          </w:pict>
        </mc:Fallback>
      </mc:AlternateContent>
    </w:r>
    <w:r>
      <w:rPr>
        <w:b/>
        <w:bCs/>
      </w:rPr>
      <w:t>Statement of changes in equity</w:t>
    </w:r>
    <w:r w:rsidRPr="0088461C">
      <w:br/>
    </w:r>
    <w:r>
      <w:t xml:space="preserve">for the financial year ended </w:t>
    </w:r>
    <w:r w:rsidRPr="0088461C">
      <w:t xml:space="preserve">30 June </w:t>
    </w:r>
    <w:r>
      <w:t>2014</w:t>
    </w:r>
  </w:p>
  <w:p w:rsidR="00841B85" w:rsidRDefault="00841B85" w:rsidP="00B43B00">
    <w:pPr>
      <w:pStyle w:val="Reference"/>
    </w:pPr>
    <w:r>
      <w:t>Source Reference</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84E95" w:rsidRDefault="00841B85" w:rsidP="00FA67A3">
    <w:pPr>
      <w:pStyle w:val="Header"/>
    </w:pPr>
    <w:r>
      <w:rPr>
        <w:noProof/>
      </w:rPr>
      <mc:AlternateContent>
        <mc:Choice Requires="wps">
          <w:drawing>
            <wp:anchor distT="0" distB="0" distL="114300" distR="114300" simplePos="0" relativeHeight="251698176" behindDoc="0" locked="0" layoutInCell="1" allowOverlap="1" wp14:anchorId="2AB79D4E" wp14:editId="611A720E">
              <wp:simplePos x="0" y="0"/>
              <wp:positionH relativeFrom="column">
                <wp:posOffset>1016635</wp:posOffset>
              </wp:positionH>
              <wp:positionV relativeFrom="paragraph">
                <wp:posOffset>197485</wp:posOffset>
              </wp:positionV>
              <wp:extent cx="0" cy="9541510"/>
              <wp:effectExtent l="0" t="0" r="0" b="0"/>
              <wp:wrapNone/>
              <wp:docPr id="8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05pt,15.55pt" to="80.05pt,7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kLEw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zaI8i&#10;HWj0LBRHD4+hN71xBbhUamtDdfSkXs2zpt8dUrpqidrzyPHtbCAuCxHJu5CwcQYy7PovmoEPOXgd&#10;G3VqbBcgoQXoFPU43/TgJ4/ocEjhdDHNs2kWtUpIcQ001vnPXHcoGCWWQDoCk+Oz84EIKa4uIY/S&#10;GyFllFsq1AfUyTQGOC0FC5fBzdn9rpIWHUkYmPjFquDm3s3qg2IRrOWErS+2J0IONiSXKuBBKUDn&#10;Yg0T8WORLtbz9Twf5ZPZepSndT36tKny0WyTPU7rh7qq6uxnoJblRSsY4yqwu05nlv+d+pd3MszV&#10;bT5vbUjeo8d+AdnrP5KOWgb5hkHYaXbe2qvGMJDR+fJ4wsTf78G+f+KrXwAAAP//AwBQSwMEFAAG&#10;AAgAAAAhALa1D6LdAAAACwEAAA8AAABkcnMvZG93bnJldi54bWxMj0FPwzAMhe9I/IfISFwmlnYV&#10;A5WmEwJ648IAcfUa01Y0TtdkW+HX4+0CJ/vZT8+fi9XkerWnMXSeDaTzBBRx7W3HjYG31+rqFlSI&#10;yBZ7z2TgmwKsyvOzAnPrD/xC+3VslIRwyNFAG+OQax3qlhyGuR+IZffpR4dR5NhoO+JBwl2vF0my&#10;1A47lgstDvTQUv213jkDoXqnbfUzq2fJR9Z4Wmwfn5/QmMuL6f4OVKQp/pnhiC/oUArTxu/YBtWL&#10;XiapWA1kqdSj4TTYSHOdZTegy0L//6H8BQAA//8DAFBLAQItABQABgAIAAAAIQC2gziS/gAAAOEB&#10;AAATAAAAAAAAAAAAAAAAAAAAAABbQ29udGVudF9UeXBlc10ueG1sUEsBAi0AFAAGAAgAAAAhADj9&#10;If/WAAAAlAEAAAsAAAAAAAAAAAAAAAAALwEAAF9yZWxzLy5yZWxzUEsBAi0AFAAGAAgAAAAhAMDj&#10;2QsTAgAAKgQAAA4AAAAAAAAAAAAAAAAALgIAAGRycy9lMm9Eb2MueG1sUEsBAi0AFAAGAAgAAAAh&#10;ALa1D6LdAAAACwEAAA8AAAAAAAAAAAAAAAAAbQQAAGRycy9kb3ducmV2LnhtbFBLBQYAAAAABAAE&#10;APMAAAB3BQAAAAA=&#10;"/>
          </w:pict>
        </mc:Fallback>
      </mc:AlternateContent>
    </w:r>
    <w:r>
      <w:rPr>
        <w:noProof/>
      </w:rPr>
      <mc:AlternateContent>
        <mc:Choice Requires="wps">
          <w:drawing>
            <wp:anchor distT="0" distB="0" distL="114300" distR="114300" simplePos="0" relativeHeight="251699200" behindDoc="0" locked="0" layoutInCell="1" allowOverlap="1" wp14:anchorId="4E96702E" wp14:editId="7C5A8088">
              <wp:simplePos x="0" y="0"/>
              <wp:positionH relativeFrom="column">
                <wp:posOffset>-110490</wp:posOffset>
              </wp:positionH>
              <wp:positionV relativeFrom="paragraph">
                <wp:posOffset>219075</wp:posOffset>
              </wp:positionV>
              <wp:extent cx="1085850" cy="200025"/>
              <wp:effectExtent l="0" t="0" r="0" b="0"/>
              <wp:wrapNone/>
              <wp:docPr id="8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B85" w:rsidRPr="00A3039B" w:rsidRDefault="00841B85" w:rsidP="00984E95">
                          <w:pPr>
                            <w:pStyle w:val="Reference"/>
                          </w:pPr>
                          <w:r>
                            <w:t>Source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8" type="#_x0000_t202" style="position:absolute;left:0;text-align:left;margin-left:-8.7pt;margin-top:17.25pt;width:85.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J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kxEjQHjh6YHuDbuUeXSa2P+OgM3C7H8DR7OEceHa16uFOVl81EnLZUrFhN0rJsWW0hvxCe9M/&#10;uzrhaAuyHj/IGuLQrZEOaN+o3jYP2oEAHXh6PHFjc6lsyCCJkxhMFdiA+SCKXQiaHW8PSpt3TPbI&#10;LnKsgHuHTnd32thsaHZ0scGELHnXOf478ewAHKcTiA1Xrc1m4ej8kQbpKlklxCPRbOWRoCi8m3JJ&#10;vFkZzuPislgui/CnjRuSrOV1zYQNc5RWSP6MuoPIJ1GcxKVlx2sLZ1PSarNedgrtKEi7dN+hIWdu&#10;/vM0XBOglhclhREJbqPUK2fJ3CMlib10HiReEKa36SwgKSnK5yXdccH+vSQ05jiNgUdXzm9rA67h&#10;e10bzXpuYHh0vAf1npxoZiW4ErWj1lDeTeuzVtj0n1oBdB+JdoK1Gp3UavbrvXsbTs1WzGtZP4KC&#10;lQSBgRZh8MGileo7RiMMkRzrb1uqGEbdewGvIA0JsVPHbUg8j2Cjzi3rcwsVFUDl2GA0LZdmmlTb&#10;QfFNC5GmdyfkDbychjtRP2V1eG8wKFxth6FmJ9H53nk9jd7FLwAAAP//AwBQSwMEFAAGAAgAAAAh&#10;AP8DMELeAAAACQEAAA8AAABkcnMvZG93bnJldi54bWxMj8tOwzAQRfdI/IM1ldi1dmkSaJpJhUBs&#10;QZSH1J0bT5OIeBzFbhP+HncFy9E9uvdMsZ1sJ840+NYxwnKhQBBXzrRcI3y8P8/vQfig2ejOMSH8&#10;kIdteX1V6Ny4kd/ovAu1iCXsc43QhNDnUvqqIav9wvXEMTu6weoQz6GWZtBjLLedvFUqk1a3HBca&#10;3dNjQ9X37mQRPl+O+69EvdZPNu1HNynJdi0Rb2bTwwZEoCn8wXDRj+pQRqeDO7HxokOYL++SiCKs&#10;khTEBUhXGYgDQpYpkGUh/39Q/gIAAP//AwBQSwECLQAUAAYACAAAACEAtoM4kv4AAADhAQAAEwAA&#10;AAAAAAAAAAAAAAAAAAAAW0NvbnRlbnRfVHlwZXNdLnhtbFBLAQItABQABgAIAAAAIQA4/SH/1gAA&#10;AJQBAAALAAAAAAAAAAAAAAAAAC8BAABfcmVscy8ucmVsc1BLAQItABQABgAIAAAAIQC+xZIJuAIA&#10;AMIFAAAOAAAAAAAAAAAAAAAAAC4CAABkcnMvZTJvRG9jLnhtbFBLAQItABQABgAIAAAAIQD/AzBC&#10;3gAAAAkBAAAPAAAAAAAAAAAAAAAAABIFAABkcnMvZG93bnJldi54bWxQSwUGAAAAAAQABADzAAAA&#10;HQYAAAAA&#10;" filled="f" stroked="f">
              <v:textbox>
                <w:txbxContent>
                  <w:p w:rsidR="00841B85" w:rsidRPr="00A3039B" w:rsidRDefault="00841B85" w:rsidP="00984E95">
                    <w:pPr>
                      <w:pStyle w:val="Reference"/>
                    </w:pPr>
                    <w:r>
                      <w:t>Source Reference</w:t>
                    </w:r>
                  </w:p>
                </w:txbxContent>
              </v:textbox>
            </v:shape>
          </w:pict>
        </mc:Fallback>
      </mc:AlternateContent>
    </w:r>
    <w:r w:rsidRPr="00984E95">
      <w:rPr>
        <w:b/>
        <w:bCs/>
      </w:rPr>
      <w:t>Cash flow statement</w:t>
    </w:r>
    <w:r w:rsidRPr="00984E95">
      <w:rPr>
        <w:b/>
        <w:bCs/>
      </w:rPr>
      <w:br/>
    </w:r>
    <w:r w:rsidRPr="00984E95">
      <w:t xml:space="preserve">for the financial year ended 30 June </w:t>
    </w:r>
    <w:r>
      <w:t>2015</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9A14BE">
    <w:pPr>
      <w:pStyle w:val="Header"/>
    </w:pPr>
    <w:r>
      <w:rPr>
        <w:noProof/>
      </w:rPr>
      <mc:AlternateContent>
        <mc:Choice Requires="wps">
          <w:drawing>
            <wp:anchor distT="0" distB="0" distL="114300" distR="114300" simplePos="0" relativeHeight="251787264" behindDoc="0" locked="0" layoutInCell="1" allowOverlap="1" wp14:anchorId="3701C9DB" wp14:editId="5AA9B87D">
              <wp:simplePos x="0" y="0"/>
              <wp:positionH relativeFrom="column">
                <wp:posOffset>1018540</wp:posOffset>
              </wp:positionH>
              <wp:positionV relativeFrom="paragraph">
                <wp:posOffset>255905</wp:posOffset>
              </wp:positionV>
              <wp:extent cx="0" cy="9545955"/>
              <wp:effectExtent l="0" t="0" r="0" b="0"/>
              <wp:wrapNone/>
              <wp:docPr id="8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muEgIAACsEAAAOAAAAZHJzL2Uyb0RvYy54bWysU8GO2jAQvVfqP1i5QxKaUIgIqyqBXmgX&#10;abcfYGyHWHVsyzYEVPXfO3YCWtpLVTUHZ2zPvHkz87x6unQCnZmxXMkySqdJhJgkinJ5LKNvr9vJ&#10;IkLWYUmxUJKV0ZXZ6Gn9/t2q1wWbqVYJygwCEGmLXpdR65wu4tiSlnXYTpVmEi4bZTrsYGuOMTW4&#10;B/ROxLMkmce9MlQbRZi1cFoPl9E64DcNI+65aSxzSJQRcHNhNWE9+DVer3BxNFi3nIw08D+w6DCX&#10;kPQOVWOH0cnwP6A6ToyyqnFTorpYNQ0nLNQA1aTJb9W8tFizUAs0x+p7m+z/gyVfz3uDOC2jxSxC&#10;Encwox2XDKXp3Den17YAn0rujS+PXOSL3iny3SKpqhbLIwskX68aAlMfET+E+I3VkOLQf1EUfPDJ&#10;qdCpS2M6Dwk9QJcwkOt9IOziEBkOCZwu8yxf5nlAx8UtUBvrPjPVIW+UkQDWARifd9Z5Iri4ufg8&#10;Um25EGHeQqLeo87yEGCV4NRfejdrjodKGHTGXjHhG/M+uBl1kjSAtQzTzWg7zMVgQ3IhPR6UAnRG&#10;a5DEj2Wy3Cw2i2ySzeabSZbU9eTTtsom8236Ma8/1FVVpz89tTQrWk4pk57dTZ5p9nfjHx/KIKy7&#10;QO9tiB/RQ7+A7O0fSIdZ+vENQjgoet2b24xBkcF5fD1e8m/3YL994+tfAAAA//8DAFBLAwQUAAYA&#10;CAAAACEApv4pB94AAAALAQAADwAAAGRycy9kb3ducmV2LnhtbEyPQU/DMAyF70j8h8hIXKYtYS0V&#10;Kk0nBPTGhQHaNWtMW9E4XZNthV+Ptwvc/Oyn5+8Vq8n14oBj6DxpuFkoEEi1tx01Gt7fqvkdiBAN&#10;WdN7Qg3fGGBVXl4UJrf+SK94WMdGcAiF3GhoYxxyKUPdojNh4Qckvn360ZnIcmykHc2Rw10vl0pl&#10;0pmO+ENrBnxssf5a752GUH3grvqZ1TO1SRqPy93Ty7PR+vpqergHEXGKf2Y44TM6lMy09XuyQfSs&#10;M5WyVUOqEhAnw3mx5eE2TTKQZSH/dyh/AQAA//8DAFBLAQItABQABgAIAAAAIQC2gziS/gAAAOEB&#10;AAATAAAAAAAAAAAAAAAAAAAAAABbQ29udGVudF9UeXBlc10ueG1sUEsBAi0AFAAGAAgAAAAhADj9&#10;If/WAAAAlAEAAAsAAAAAAAAAAAAAAAAALwEAAF9yZWxzLy5yZWxzUEsBAi0AFAAGAAgAAAAhAHh4&#10;Ga4SAgAAKwQAAA4AAAAAAAAAAAAAAAAALgIAAGRycy9lMm9Eb2MueG1sUEsBAi0AFAAGAAgAAAAh&#10;AKb+KQfeAAAACwEAAA8AAAAAAAAAAAAAAAAAbAQAAGRycy9kb3ducmV2LnhtbFBLBQYAAAAABAAE&#10;APMAAAB3BQAAAAA=&#10;"/>
          </w:pict>
        </mc:Fallback>
      </mc:AlternateContent>
    </w:r>
    <w:r w:rsidRPr="0088461C">
      <w:t xml:space="preserve"> </w:t>
    </w:r>
    <w:r>
      <w:rPr>
        <w:noProof/>
      </w:rPr>
      <mc:AlternateContent>
        <mc:Choice Requires="wps">
          <w:drawing>
            <wp:anchor distT="0" distB="0" distL="114300" distR="114300" simplePos="0" relativeHeight="251788288" behindDoc="0" locked="0" layoutInCell="1" allowOverlap="1" wp14:anchorId="3C177CC3" wp14:editId="6C1A0726">
              <wp:simplePos x="0" y="0"/>
              <wp:positionH relativeFrom="column">
                <wp:posOffset>1022350</wp:posOffset>
              </wp:positionH>
              <wp:positionV relativeFrom="paragraph">
                <wp:posOffset>235321</wp:posOffset>
              </wp:positionV>
              <wp:extent cx="0" cy="9546590"/>
              <wp:effectExtent l="0" t="0" r="19050" b="16510"/>
              <wp:wrapNone/>
              <wp:docPr id="8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18.55pt" to="80.5pt,7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V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hJEi&#10;HWi0FYqjbD4LzemNK8CnUjsbyqNn9WK2mn53SOmqJerAI8nXi4HALEQkb0LCxhlIse8/awY+5Oh1&#10;7NS5sV2AhB6gcxTkcheEnz2iwyGF08U0n00XUayEFLdAY53/xHWHglFiCawjMDltnQ9ESHFzCXmU&#10;3ggpo95SoT6gTqYxwGkpWLgMbs4e9pW06ETCxMQvVgU3j25WHxWLYC0nbH21PRFysCG5VAEPSgE6&#10;V2sYiR+LdLGer+f5KJ/M1qM8revRx02Vj2ab7MO0fqqrqs5+BmpZXrSCMa4Cu9t4ZvnfyX99KMNg&#10;3Qf03obkLXrsF5C9/SPpqGWQbxiEvWaXnb1pDBMZna+vJ4z84x7sxze++gUAAP//AwBQSwMEFAAG&#10;AAgAAAAhALjtZSXeAAAACwEAAA8AAABkcnMvZG93bnJldi54bWxMj0FPwzAMhe9I/IfISFwmlnRj&#10;A5WmEwJ647IB4uq1pq1onK7JtsKvx+MCNz/76fl72Wp0nTrQEFrPFpKpAUVc+qrl2sLrS3F1CypE&#10;5Ao7z2ThiwKs8vOzDNPKH3lNh02slYRwSNFCE2Ofah3KhhyGqe+J5fbhB4dR5FDrasCjhLtOz4xZ&#10;aocty4cGe3poqPzc7J2FULzRrvielBPzPq89zXaPz09o7eXFeH8HKtIY/8xwwhd0yIVp6/dcBdWJ&#10;XibSJVqY3ySgTobfxVaGxbVZgM4z/b9D/gMAAP//AwBQSwECLQAUAAYACAAAACEAtoM4kv4AAADh&#10;AQAAEwAAAAAAAAAAAAAAAAAAAAAAW0NvbnRlbnRfVHlwZXNdLnhtbFBLAQItABQABgAIAAAAIQA4&#10;/SH/1gAAAJQBAAALAAAAAAAAAAAAAAAAAC8BAABfcmVscy8ucmVsc1BLAQItABQABgAIAAAAIQB+&#10;atOVEwIAACsEAAAOAAAAAAAAAAAAAAAAAC4CAABkcnMvZTJvRG9jLnhtbFBLAQItABQABgAIAAAA&#10;IQC47WUl3gAAAAsBAAAPAAAAAAAAAAAAAAAAAG0EAABkcnMvZG93bnJldi54bWxQSwUGAAAAAAQA&#10;BADzAAAAeAUAAAAA&#10;"/>
          </w:pict>
        </mc:Fallback>
      </mc:AlternateContent>
    </w:r>
    <w:r>
      <w:rPr>
        <w:b/>
        <w:bCs/>
      </w:rPr>
      <w:t>Cash flow statement</w:t>
    </w:r>
    <w:r w:rsidRPr="0088461C">
      <w:br/>
    </w:r>
    <w:r>
      <w:t xml:space="preserve">for the financial year ended </w:t>
    </w:r>
    <w:r w:rsidRPr="0088461C">
      <w:t xml:space="preserve">30 June </w:t>
    </w:r>
    <w:r>
      <w:t>2013</w:t>
    </w:r>
  </w:p>
  <w:p w:rsidR="00841B85" w:rsidRPr="009A14BE" w:rsidRDefault="00841B85" w:rsidP="009A14BE">
    <w:pPr>
      <w:pStyle w:val="Reference"/>
    </w:pPr>
    <w:r>
      <w:t>Source Reference</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9A14BE">
    <w:pPr>
      <w:pStyle w:val="Header"/>
    </w:pPr>
    <w:r>
      <w:rPr>
        <w:b/>
        <w:bCs/>
      </w:rPr>
      <w:t>Cash flow statement</w:t>
    </w:r>
    <w:r>
      <w:rPr>
        <w:b/>
        <w:bCs/>
      </w:rPr>
      <w:br/>
    </w:r>
    <w:r>
      <w:t>for the financial year ended 30 June 2016</w:t>
    </w:r>
    <w:r>
      <w:rPr>
        <w:noProof/>
      </w:rPr>
      <mc:AlternateContent>
        <mc:Choice Requires="wps">
          <w:drawing>
            <wp:anchor distT="0" distB="0" distL="114300" distR="114300" simplePos="0" relativeHeight="251786240" behindDoc="0" locked="0" layoutInCell="1" allowOverlap="1" wp14:anchorId="3D91337E" wp14:editId="067137D4">
              <wp:simplePos x="0" y="0"/>
              <wp:positionH relativeFrom="page">
                <wp:posOffset>1536065</wp:posOffset>
              </wp:positionH>
              <wp:positionV relativeFrom="page">
                <wp:posOffset>667385</wp:posOffset>
              </wp:positionV>
              <wp:extent cx="0" cy="9427464"/>
              <wp:effectExtent l="0" t="0" r="19050" b="21590"/>
              <wp:wrapNone/>
              <wp:docPr id="8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u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PMVKk&#10;hRnthOIom89CczrjCvBZq70N5dGLejE7Tb87pPS6IerII8nXq4HALEQkDyFh4wykOHSfNQMfcvI6&#10;dupS2zZAQg/QJQ7keh8Iv3hE+0MKp4t88pTP8ohOilugsc5/4rpFwSixBNYRmJx3zgcipLi5hDxK&#10;b4WUcd5SoQ5Qp5NpDHBaChYug5uzx8NaWnQmQTHxG/I+uFl9UiyCNZywzWB7ImRvQ3KpAh6UAnQG&#10;q5fEj0W62Mw383yUT2abUZ5W1ejjdp2PZtvsaVp9qNbrKvsZqGV50QjGuArsbvLM8r8b//BQemHd&#10;BXpvQ/KIHvsFZG//SDrOMoyvF8JBs+ve3mYMiozOw+sJkn+7B/vtG1/9Ag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Bf&#10;M7/uEgIAACsEAAAOAAAAAAAAAAAAAAAAAC4CAABkcnMvZTJvRG9jLnhtbFBLAQItABQABgAIAAAA&#10;IQB/2yIc3wAAAAwBAAAPAAAAAAAAAAAAAAAAAGwEAABkcnMvZG93bnJldi54bWxQSwUGAAAAAAQA&#10;BADzAAAAeAUAAAAA&#10;">
              <w10:wrap anchorx="page" anchory="page"/>
            </v:line>
          </w:pict>
        </mc:Fallback>
      </mc:AlternateContent>
    </w:r>
    <w:r w:rsidRPr="0088461C">
      <w:br/>
    </w:r>
  </w:p>
  <w:p w:rsidR="00841B85" w:rsidRDefault="00841B85" w:rsidP="009A14BE">
    <w:pPr>
      <w:pStyle w:val="Reference"/>
    </w:pPr>
    <w:r>
      <w:t>Source Reference</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DB6194">
    <w:pPr>
      <w:pStyle w:val="Header"/>
    </w:pPr>
    <w:r>
      <w:rPr>
        <w:noProof/>
      </w:rPr>
      <mc:AlternateContent>
        <mc:Choice Requires="wps">
          <w:drawing>
            <wp:anchor distT="0" distB="0" distL="114300" distR="114300" simplePos="0" relativeHeight="251741184" behindDoc="0" locked="0" layoutInCell="1" allowOverlap="1" wp14:anchorId="03C7D6BB" wp14:editId="2485752A">
              <wp:simplePos x="0" y="0"/>
              <wp:positionH relativeFrom="page">
                <wp:posOffset>1536065</wp:posOffset>
              </wp:positionH>
              <wp:positionV relativeFrom="page">
                <wp:posOffset>667385</wp:posOffset>
              </wp:positionV>
              <wp:extent cx="0" cy="9427464"/>
              <wp:effectExtent l="0" t="0" r="19050" b="21590"/>
              <wp:wrapNone/>
              <wp:docPr id="8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Bv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fYqRI&#10;CzPaCcVRlj2F5nTGFeCzVnsbyqMX9WJ2mn53SOl1Q9SRR5KvVwOBWYhIHkLCxhlIceg+awY+5OR1&#10;7NSltm2AhB6gSxzI9T4QfvGI9ocUThf55Cmf5RGdFLdAY53/xHWLglFiCawjMDnvnA9ESHFzCXmU&#10;3gop47ylQh2gTifTGOC0FCxcBjdnj4e1tOhMgmLiN+R9cLP6pFgEazhhm8H2RMjehuRSBTwoBegM&#10;Vi+JH4t0sZlv5vkon8w2ozytqtHH7TofzbbZ07T6UK3XVfYzUMvyohGMcRXY3eSZ5X83/uGh9MK6&#10;C/TehuQRPfYLyN7+kXScZRhfL4SDZte9vc0YFBmdh9cTJP92D/bbN776B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B2&#10;eFBvEgIAACsEAAAOAAAAAAAAAAAAAAAAAC4CAABkcnMvZTJvRG9jLnhtbFBLAQItABQABgAIAAAA&#10;IQB/2yIc3wAAAAwBAAAPAAAAAAAAAAAAAAAAAGwEAABkcnMvZG93bnJldi54bWxQSwUGAAAAAAQA&#10;BADzAAAAeAUAAAAA&#10;">
              <w10:wrap anchorx="page" anchory="page"/>
            </v:line>
          </w:pict>
        </mc:Fallback>
      </mc:AlternateContent>
    </w:r>
    <w:r>
      <w:rPr>
        <w:b/>
        <w:bCs/>
      </w:rPr>
      <w:t>Cash flow statement</w:t>
    </w:r>
    <w:r>
      <w:rPr>
        <w:b/>
        <w:bCs/>
      </w:rPr>
      <w:br/>
    </w:r>
    <w:r>
      <w:t>for the financial year ended 30 June 2016</w:t>
    </w:r>
  </w:p>
  <w:p w:rsidR="00841B85" w:rsidRDefault="00841B85" w:rsidP="00DB6194">
    <w:pPr>
      <w:pStyle w:val="Reference"/>
    </w:pPr>
    <w:r>
      <w:t>Source Reference</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Pr>
        <w:noProof/>
      </w:rPr>
      <mc:AlternateContent>
        <mc:Choice Requires="wps">
          <w:drawing>
            <wp:anchor distT="0" distB="0" distL="114300" distR="114300" simplePos="0" relativeHeight="251700224" behindDoc="0" locked="0" layoutInCell="1" allowOverlap="1" wp14:anchorId="2EEC8CB3" wp14:editId="43DE6A98">
              <wp:simplePos x="0" y="0"/>
              <wp:positionH relativeFrom="column">
                <wp:posOffset>1026160</wp:posOffset>
              </wp:positionH>
              <wp:positionV relativeFrom="paragraph">
                <wp:posOffset>321310</wp:posOffset>
              </wp:positionV>
              <wp:extent cx="0" cy="9427210"/>
              <wp:effectExtent l="0" t="0" r="0" b="0"/>
              <wp:wrapNone/>
              <wp:docPr id="8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xxFA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zKUaK&#10;dKDRs1AcPcxDb3rjSnBZqa0N1dGTejXPmn53SOlVS9SeR45vZwNxWYhI3oWEjTOQYdd/0Qx8yMHr&#10;2KhTY7sACS1Ap6jH+aYHP3lEh0MKp/Mif8yzqFVCymugsc5/5rpDwaiwBNIRmByfnQ9ESHl1CXmU&#10;3ggpo9xSoR5QJ/kkBjgtBQuXwc3Z/W4lLTqSMDDxi1XBzb2b1QfFIljLCVtfbE+EHGxILlXAg1KA&#10;zsUaJuLHPJ2vZ+tZMSry6XpUpHU9+rRZFaPpJnuc1A/1alVnPwO1rChbwRhXgd11OrPi79S/vJNh&#10;rm7zeWtD8h499gvIXv+RdNQyyDcMwk6z89ZeNYaBjM6XxxMm/n4P9v0TX/4CAAD//wMAUEsDBBQA&#10;BgAIAAAAIQAkF3wW3gAAAAsBAAAPAAAAZHJzL2Rvd25yZXYueG1sTI9BT8MwDIXvSPyHyEhcpi1Z&#10;p1ZTaTohoDcubCCuXmPaiibpmmwr/Ho8LnCyn/30/LnYTLYXJxpD552G5UKBIFd707lGw+uumq9B&#10;hIjOYO8dafiiAJvy+qrA3Pize6HTNjaCQ1zIUUMb45BLGeqWLIaFH8jx7sOPFiPLsZFmxDOH214m&#10;SmXSYuf4QosDPbRUf26PVkOo3uhQfc/qmXpfNZ6Sw+PzE2p9ezPd34GINMU/M1zwGR1KZtr7ozNB&#10;9KyzZcZWDaniejH8DvbcpKs0AVkW8v8P5Q8AAAD//wMAUEsBAi0AFAAGAAgAAAAhALaDOJL+AAAA&#10;4QEAABMAAAAAAAAAAAAAAAAAAAAAAFtDb250ZW50X1R5cGVzXS54bWxQSwECLQAUAAYACAAAACEA&#10;OP0h/9YAAACUAQAACwAAAAAAAAAAAAAAAAAvAQAAX3JlbHMvLnJlbHNQSwECLQAUAAYACAAAACEA&#10;RayMcRQCAAAqBAAADgAAAAAAAAAAAAAAAAAuAgAAZHJzL2Uyb0RvYy54bWxQSwECLQAUAAYACAAA&#10;ACEAJBd8Ft4AAAALAQAADwAAAAAAAAAAAAAAAABuBAAAZHJzL2Rvd25yZXYueG1sUEsFBgAAAAAE&#10;AAQA8wAAAHkFAAAAAA==&#10;"/>
          </w:pict>
        </mc:Fallback>
      </mc:AlternateContent>
    </w:r>
    <w:r>
      <w:rPr>
        <w:b/>
        <w:bCs/>
      </w:rPr>
      <w:t>Cash flow statement</w:t>
    </w:r>
    <w:r>
      <w:rPr>
        <w:b/>
        <w:bCs/>
      </w:rPr>
      <w:br/>
    </w:r>
    <w:r>
      <w:t>for the financial year ended 30 June 2015</w:t>
    </w:r>
  </w:p>
  <w:p w:rsidR="00841B85" w:rsidRPr="00A3039B" w:rsidRDefault="00841B85" w:rsidP="00D47C9F">
    <w:pPr>
      <w:pStyle w:val="Reference"/>
    </w:pPr>
    <w:r>
      <w:t>Source Reference</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DB6194">
    <w:pPr>
      <w:pStyle w:val="Header"/>
    </w:pPr>
    <w:r>
      <w:rPr>
        <w:noProof/>
      </w:rPr>
      <mc:AlternateContent>
        <mc:Choice Requires="wps">
          <w:drawing>
            <wp:anchor distT="0" distB="0" distL="114300" distR="114300" simplePos="0" relativeHeight="251774976" behindDoc="0" locked="0" layoutInCell="1" allowOverlap="1" wp14:anchorId="38D85F84" wp14:editId="5FD51415">
              <wp:simplePos x="0" y="0"/>
              <wp:positionH relativeFrom="page">
                <wp:posOffset>1536065</wp:posOffset>
              </wp:positionH>
              <wp:positionV relativeFrom="page">
                <wp:posOffset>667385</wp:posOffset>
              </wp:positionV>
              <wp:extent cx="0" cy="9427464"/>
              <wp:effectExtent l="0" t="0" r="19050" b="21590"/>
              <wp:wrapNone/>
              <wp:docPr id="8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pw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wkiR&#10;Fma0E4qj7GkamtMZV4DPWu1tKI9e1IvZafrdIaXXDVFHHkm+Xg0EZiEieQgJG2cgxaH7rBn4kJPX&#10;sVOX2rYBEnqALnEg1/tA+MUj2h9SOF3kk6d8lkd0UtwCjXX+E9ctCkaJJbCOwOS8cz4QIcXNJeRR&#10;eiukjPOWCnWAOp1MY4DTUrBwGdycPR7W0qIzCYqJ35D3wc3qk2IRrOGEbQbbEyF7G5JLFfCgFKAz&#10;WL0kfizSxWa+meejfDLbjPK0qkYft+t8NNtC16sP1XpdZT8DtSwvGsEYV4HdTZ5Z/nfjHx5KL6y7&#10;QO9tSB7RY7+A7O0fScdZhvH1Qjhodt3b24xBkdF5eD1B8m/3YL9946tfAA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Dd&#10;9qpwEgIAACsEAAAOAAAAAAAAAAAAAAAAAC4CAABkcnMvZTJvRG9jLnhtbFBLAQItABQABgAIAAAA&#10;IQB/2yIc3wAAAAwBAAAPAAAAAAAAAAAAAAAAAGwEAABkcnMvZG93bnJldi54bWxQSwUGAAAAAAQA&#10;BADzAAAAeAUAAAAA&#10;">
              <w10:wrap anchorx="page" anchory="page"/>
            </v:line>
          </w:pict>
        </mc:Fallback>
      </mc:AlternateContent>
    </w:r>
    <w:r>
      <w:rPr>
        <w:b/>
        <w:bCs/>
      </w:rPr>
      <w:t>Cash flow statement</w:t>
    </w:r>
    <w:r>
      <w:rPr>
        <w:b/>
        <w:bCs/>
      </w:rPr>
      <w:br/>
    </w:r>
    <w:r>
      <w:t>for the financial year ended 30 June 2016</w:t>
    </w:r>
  </w:p>
  <w:p w:rsidR="00841B85" w:rsidRDefault="00841B85" w:rsidP="00DB6194">
    <w:pPr>
      <w:pStyle w:val="Reference"/>
    </w:pPr>
    <w:r>
      <w:t>Source Reference</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Pr>
        <w:noProof/>
      </w:rPr>
      <mc:AlternateContent>
        <mc:Choice Requires="wps">
          <w:drawing>
            <wp:anchor distT="0" distB="0" distL="114300" distR="114300" simplePos="0" relativeHeight="251742208" behindDoc="0" locked="0" layoutInCell="1" allowOverlap="1" wp14:anchorId="0C704E43" wp14:editId="4B7711A4">
              <wp:simplePos x="0" y="0"/>
              <wp:positionH relativeFrom="page">
                <wp:posOffset>1536065</wp:posOffset>
              </wp:positionH>
              <wp:positionV relativeFrom="page">
                <wp:posOffset>667385</wp:posOffset>
              </wp:positionV>
              <wp:extent cx="0" cy="9427464"/>
              <wp:effectExtent l="0" t="0" r="19050" b="21590"/>
              <wp:wrapNone/>
              <wp:docPr id="8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PEgIAACsEAAAOAAAAZHJzL2Uyb0RvYy54bWysU8GO2jAQvVfqP1i5QxIa2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C2jHJSS&#10;uAONdlwylKa5b06vbQE+ldwbXx65yBe9U+S7RVJVLZZHFki+XjUEpj4ifgjxG6shxaH/rCj44JNT&#10;oVOXxnQeEnqALkGQ610QdnGIDIcETpfZ7ClbZAEdF7dAbaz7xFSHvFFGAlgHYHzeWeeJ4OLm4vNI&#10;teVCBL2FRD2gzmfzEGCV4NRfejdrjodKGHTGfmLCN+Z9cDPqJGkAaxmmm9F2mIvBhuRCejwoBeiM&#10;1jASP5bJcpNv8mySzRabSZbU9eTjtsomi236NK8/1FVVpz89tTQrWk4pk57dbTzT7O/kHx/KMFj3&#10;Ab23IX5ED/0Csrd/IB209PINg3BQ9Lo3N41hIoPz+Hr8yL/dg/32ja9/A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Ad&#10;O/aPEgIAACsEAAAOAAAAAAAAAAAAAAAAAC4CAABkcnMvZTJvRG9jLnhtbFBLAQItABQABgAIAAAA&#10;IQB/2yIc3wAAAAwBAAAPAAAAAAAAAAAAAAAAAGwEAABkcnMvZG93bnJldi54bWxQSwUGAAAAAAQA&#10;BADzAAAAeAUAAAAA&#10;">
              <w10:wrap anchorx="page" anchory="page"/>
            </v:line>
          </w:pict>
        </mc:Fallback>
      </mc:AlternateContent>
    </w:r>
    <w:r>
      <w:rPr>
        <w:b/>
        <w:bCs/>
      </w:rPr>
      <w:t>Cash flow statement</w:t>
    </w:r>
    <w:r>
      <w:rPr>
        <w:b/>
        <w:bCs/>
      </w:rPr>
      <w:br/>
    </w:r>
    <w:r>
      <w:t>for the financial year ended 30 June 2016</w:t>
    </w:r>
  </w:p>
  <w:p w:rsidR="00841B85" w:rsidRDefault="00841B85" w:rsidP="00F37D80">
    <w:pPr>
      <w:pStyle w:val="Reference"/>
    </w:pPr>
    <w:r>
      <w:t>Source Reference</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Pr>
        <w:noProof/>
      </w:rPr>
      <mc:AlternateContent>
        <mc:Choice Requires="wps">
          <w:drawing>
            <wp:anchor distT="0" distB="0" distL="114300" distR="114300" simplePos="0" relativeHeight="251701248" behindDoc="0" locked="0" layoutInCell="1" allowOverlap="1" wp14:anchorId="5B96F5A5" wp14:editId="495AA497">
              <wp:simplePos x="0" y="0"/>
              <wp:positionH relativeFrom="column">
                <wp:posOffset>1026160</wp:posOffset>
              </wp:positionH>
              <wp:positionV relativeFrom="paragraph">
                <wp:posOffset>330835</wp:posOffset>
              </wp:positionV>
              <wp:extent cx="0" cy="9427210"/>
              <wp:effectExtent l="0" t="0" r="0" b="0"/>
              <wp:wrapNone/>
              <wp:docPr id="8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VOEwIAACo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GyOkSI9&#10;9GgjFEdFrM1gXAkmtdrakB09qRez0fS7Q0rXHVF7Hjm+ng34ZaGayRuXcHEGIuyGz5qBDTl4HQt1&#10;am0fIKEE6BT7cb73g588opdHCq/zIn/Ks8gnIeXN0VjnP3HdoyBUWALpCEyOG+cDEVLeTEIcpddC&#10;ythuqdAAqJN8Eh2cloIFZTBzdr+rpUVHEgYmfjEr0DyaWX1QLIJ1nLDVVfZEyIsMwaUKeJAK0LlK&#10;l4n4MU/nq9lqVoyKfLoaFWnTjD6u62I0XWdPk+ZDU9dN9jNQy4qyE4xxFdjdpjMr/q771z25zNV9&#10;Pu9lSN6ix3oB2ds/ko69DO0L6+TKnWbnrb31GAYyGl+XJ0z84x3kxxVf/gI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Au&#10;qfVOEwIAACoEAAAOAAAAAAAAAAAAAAAAAC4CAABkcnMvZTJvRG9jLnhtbFBLAQItABQABgAIAAAA&#10;IQAqPRUM3gAAAAsBAAAPAAAAAAAAAAAAAAAAAG0EAABkcnMvZG93bnJldi54bWxQSwUGAAAAAAQA&#10;BADzAAAAeAUAAAAA&#10;"/>
          </w:pict>
        </mc:Fallback>
      </mc:AlternateContent>
    </w:r>
    <w:r w:rsidRPr="00F42B4B">
      <w:rPr>
        <w:b/>
        <w:bCs/>
      </w:rPr>
      <w:t>Notes to the financial statements</w:t>
    </w:r>
    <w:r>
      <w:br/>
      <w:t>30 June 2015</w:t>
    </w:r>
  </w:p>
  <w:p w:rsidR="00841B85" w:rsidRDefault="00841B85" w:rsidP="00D47C9F">
    <w:pPr>
      <w:pStyle w:val="Reference"/>
    </w:pPr>
    <w:r>
      <w:t>Source Reference</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705AAE">
    <w:pPr>
      <w:pStyle w:val="Header"/>
    </w:pPr>
    <w:r>
      <w:rPr>
        <w:noProof/>
      </w:rPr>
      <mc:AlternateContent>
        <mc:Choice Requires="wps">
          <w:drawing>
            <wp:anchor distT="0" distB="0" distL="114300" distR="114300" simplePos="0" relativeHeight="251716608" behindDoc="0" locked="0" layoutInCell="1" allowOverlap="1" wp14:anchorId="3569130B" wp14:editId="1B0C4CD6">
              <wp:simplePos x="0" y="0"/>
              <wp:positionH relativeFrom="column">
                <wp:posOffset>1026160</wp:posOffset>
              </wp:positionH>
              <wp:positionV relativeFrom="paragraph">
                <wp:posOffset>330835</wp:posOffset>
              </wp:positionV>
              <wp:extent cx="0" cy="9427210"/>
              <wp:effectExtent l="0" t="0" r="0" b="0"/>
              <wp:wrapNone/>
              <wp:docPr id="9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vqEwIAACoEAAAOAAAAZHJzL2Uyb0RvYy54bWysU9uO2yAQfa/Uf0B+T3ypc7PirCo76Uva&#10;RtrtBxDAMSoGBCROVPXfO+AkyrYvq1X9gAeYOXNmzrB8OncCnZixXMkySsdJhJgkinJ5KKMfL5vR&#10;PELWYUmxUJKV0YXZ6Gn18cOy1wXLVKsEZQYBiLRFr8uodU4XcWxJyzpsx0ozCZeNMh12sDWHmBrc&#10;A3on4ixJpnGvDNVGEWYtnNbDZbQK+E3DiPveNJY5JMoIuLmwmrDu/Rqvlrg4GKxbTq408DtYdJhL&#10;SHqHqrHD6Gj4P1AdJ0ZZ1bgxUV2smoYTFmqAatLkr2qeW6xZqAWaY/W9Tfb/wZJvp51BnJbRAtoj&#10;cQcabblkaDrzvem1LcClkjvjqyNn+ay3ivy0SKqqxfLAAseXi4a41EfEr0L8xmrIsO+/Kgo++OhU&#10;aNS5MZ2HhBagc9DjcteDnR0iwyGB00WezbI0aBXj4haojXVfmOqQN8pIAOkAjE9b6zwRXNxcfB6p&#10;NlyIILeQqAfUSTYJAVYJTv2ld7PmsK+EQSfsByZ8oSq4eXQz6ihpAGsZpuur7TAXgw3JhfR4UArQ&#10;uVrDRPxaJIv1fD3PR3k2XY/ypK5HnzdVPppu0tmk/lRXVZ3+9tTSvGg5pUx6drfpTPO3qX99J8Nc&#10;3efz3ob4NXroF5C9/QPpoKWXbxiEvaKXnblpDAMZnK+Px0/84x7sxye++gM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D5&#10;K4vqEwIAACoEAAAOAAAAAAAAAAAAAAAAAC4CAABkcnMvZTJvRG9jLnhtbFBLAQItABQABgAIAAAA&#10;IQAqPRUM3gAAAAsBAAAPAAAAAAAAAAAAAAAAAG0EAABkcnMvZG93bnJldi54bWxQSwUGAAAAAAQA&#10;BADzAAAAeAUAAAAA&#10;"/>
          </w:pict>
        </mc:Fallback>
      </mc:AlternateContent>
    </w:r>
    <w:r w:rsidRPr="00F42B4B">
      <w:rPr>
        <w:b/>
        <w:bCs/>
      </w:rPr>
      <w:t>Notes to the financial statements</w:t>
    </w:r>
    <w:r>
      <w:br/>
      <w:t>30 June 2010</w:t>
    </w:r>
  </w:p>
  <w:p w:rsidR="00841B85" w:rsidRPr="00705AAE" w:rsidRDefault="00841B85" w:rsidP="00D47C9F">
    <w:pPr>
      <w:pStyle w:val="Reference"/>
    </w:pPr>
    <w:r>
      <w:t>Source Reference</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Pr>
        <w:noProof/>
      </w:rPr>
      <mc:AlternateContent>
        <mc:Choice Requires="wps">
          <w:drawing>
            <wp:anchor distT="0" distB="0" distL="114300" distR="114300" simplePos="0" relativeHeight="251720704" behindDoc="0" locked="0" layoutInCell="1" allowOverlap="1" wp14:anchorId="0F89139E" wp14:editId="18C2445B">
              <wp:simplePos x="0" y="0"/>
              <wp:positionH relativeFrom="column">
                <wp:posOffset>1026160</wp:posOffset>
              </wp:positionH>
              <wp:positionV relativeFrom="paragraph">
                <wp:posOffset>330835</wp:posOffset>
              </wp:positionV>
              <wp:extent cx="0" cy="9427210"/>
              <wp:effectExtent l="0" t="0" r="0" b="0"/>
              <wp:wrapNone/>
              <wp:docPr id="9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1tEw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eYaRI&#10;BxptheLoaRJ60xtXgstK7Wyojp7Vi9lq+t0hpVctUQceOb5eDMRlISJ5ExI2zkCGff9ZM/AhR69j&#10;o86N7QIktACdox6Xux787BEdDimczov8Kc+iVgkpb4HGOv+J6w4Fo8ISSEdgcto6H4iQ8uYS8ii9&#10;EVJGuaVCPaBO8kkMcFoKFi6Dm7OH/UpadCJhYOIXq4KbRzerj4pFsJYTtr7angg52JBcqoAHpQCd&#10;qzVMxI95Ol/P1rNiVOTT9ahI63r0cbMqRtNN9jSpP9SrVZ39DNSyomwFY1wFdrfpzIq/U//6Toa5&#10;us/nvQ3JW/TYLyB7+0fSUcsg3zAIe80uO3vTGAYyOl8fT5j4xz3Yj098+Qs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BU&#10;ln1tEwIAACoEAAAOAAAAAAAAAAAAAAAAAC4CAABkcnMvZTJvRG9jLnhtbFBLAQItABQABgAIAAAA&#10;IQAqPRUM3gAAAAsBAAAPAAAAAAAAAAAAAAAAAG0EAABkcnMvZG93bnJldi54bWxQSwUGAAAAAAQA&#10;BADzAAAAeAUAAAAA&#10;"/>
          </w:pict>
        </mc:Fallback>
      </mc:AlternateContent>
    </w:r>
    <w:r w:rsidRPr="00F42B4B">
      <w:rPr>
        <w:b/>
        <w:bCs/>
      </w:rPr>
      <w:t>Notes to the financial statements</w:t>
    </w:r>
    <w:r>
      <w:br/>
      <w:t>30 June 2012</w:t>
    </w:r>
  </w:p>
  <w:p w:rsidR="00841B85" w:rsidRDefault="00841B85" w:rsidP="00D47C9F">
    <w:pPr>
      <w:pStyle w:val="Reference"/>
    </w:pPr>
    <w:r>
      <w:t>Source Reference</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9C1116">
    <w:pPr>
      <w:pStyle w:val="Header"/>
    </w:pPr>
    <w:r>
      <w:rPr>
        <w:noProof/>
      </w:rPr>
      <mc:AlternateContent>
        <mc:Choice Requires="wps">
          <w:drawing>
            <wp:anchor distT="0" distB="0" distL="114300" distR="114300" simplePos="0" relativeHeight="251722752" behindDoc="0" locked="0" layoutInCell="1" allowOverlap="1" wp14:anchorId="6FC5141F" wp14:editId="76A1EAE2">
              <wp:simplePos x="0" y="0"/>
              <wp:positionH relativeFrom="column">
                <wp:posOffset>1026160</wp:posOffset>
              </wp:positionH>
              <wp:positionV relativeFrom="paragraph">
                <wp:posOffset>330835</wp:posOffset>
              </wp:positionV>
              <wp:extent cx="0" cy="9427210"/>
              <wp:effectExtent l="0" t="0" r="0" b="0"/>
              <wp:wrapNone/>
              <wp:docPr id="9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fEwIAACoEAAAOAAAAZHJzL2Uyb0RvYy54bWysU8uu2yAQ3VfqPyD2iR91XlacqypOurlt&#10;I93bDyCAY1QMCEicqOq/d8BJlNtuqqpe4AFmzpyZMyyfzp1EJ26d0KrC2TjFiCuqmVCHCn973Y7m&#10;GDlPFCNSK17hC3f4afX+3bI3Jc91qyXjFgGIcmVvKtx6b8okcbTlHXFjbbiCy0bbjnjY2kPCLOkB&#10;vZNJnqbTpNeWGaspdw5O6+ESryJ+03DqvzaN4x7JCgM3H1cb131Yk9WSlAdLTCvolQb5BxYdEQqS&#10;3qFq4gk6WvEHVCeo1U43fkx1l+imEZTHGqCaLP2tmpeWGB5rgeY4c2+T+3+w9MtpZ5FgFV7kGCnS&#10;gUbPQnE0m4Xe9MaV4LJWOxuqo2f1Yp41/e6Q0uuWqAOPHF8vBuKyEJG8CQkbZyDDvv+sGfiQo9ex&#10;UefGdgESWoDOUY/LXQ9+9ogOhxROF0U+y7OoVULKW6Cxzn/iukPBqLAE0hGYnJ6dD0RIeXMJeZTe&#10;Cimj3FKhHlAn+SQGOC0FC5fBzdnDfi0tOpEwMPGLVcHNo5vVR8UiWMsJ21xtT4QcbEguVcCDUoDO&#10;1Rom4sciXWzmm3kxKvLpZlSkdT36uF0Xo+k2m03qD/V6XWc/A7WsKFvBGFeB3W06s+Lv1L++k2Gu&#10;7vN5b0PyFj32C8je/pF01DLINwzCXrPLzt40hoGMztfHEyb+cQ/24xNf/QI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C1&#10;a+DfEwIAACoEAAAOAAAAAAAAAAAAAAAAAC4CAABkcnMvZTJvRG9jLnhtbFBLAQItABQABgAIAAAA&#10;IQAqPRUM3gAAAAsBAAAPAAAAAAAAAAAAAAAAAG0EAABkcnMvZG93bnJldi54bWxQSwUGAAAAAAQA&#10;BADzAAAAeAUAAAAA&#10;"/>
          </w:pict>
        </mc:Fallback>
      </mc:AlternateContent>
    </w:r>
  </w:p>
  <w:p w:rsidR="00841B85" w:rsidRDefault="00841B85" w:rsidP="00D47C9F">
    <w:pPr>
      <w:pStyle w:val="Reference"/>
    </w:pPr>
    <w:r>
      <w:t xml:space="preserve"> </w:t>
    </w:r>
  </w:p>
  <w:p w:rsidR="00841B85" w:rsidRPr="00781939" w:rsidRDefault="00841B85" w:rsidP="00D47C9F">
    <w:pPr>
      <w:pStyle w:val="Reference"/>
    </w:pPr>
    <w:r>
      <w:t>Source Reference</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sidRPr="00F42B4B">
      <w:rPr>
        <w:b/>
        <w:bCs/>
      </w:rPr>
      <w:t>Notes to the financial statements</w:t>
    </w:r>
    <w:r>
      <w:br/>
      <w:t>30 June 2016</w:t>
    </w:r>
    <w:r>
      <w:rPr>
        <w:noProof/>
      </w:rPr>
      <mc:AlternateContent>
        <mc:Choice Requires="wps">
          <w:drawing>
            <wp:anchor distT="0" distB="0" distL="114300" distR="114300" simplePos="0" relativeHeight="251743232" behindDoc="0" locked="0" layoutInCell="1" allowOverlap="1" wp14:anchorId="3CBCE998" wp14:editId="365A520C">
              <wp:simplePos x="0" y="0"/>
              <wp:positionH relativeFrom="page">
                <wp:posOffset>1536065</wp:posOffset>
              </wp:positionH>
              <wp:positionV relativeFrom="page">
                <wp:posOffset>667385</wp:posOffset>
              </wp:positionV>
              <wp:extent cx="0" cy="9427464"/>
              <wp:effectExtent l="0" t="0" r="19050" b="21590"/>
              <wp:wrapNone/>
              <wp:docPr id="9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pHEw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FA0aK&#10;tDCjZ6E4yrJFaE5nXAE+a7WzoTx6Vq/mWdPvDim9bog68Ejy7WIgMAsRyV1I2DgDKfbdF83Ahxy9&#10;jp0617YNkNADdI4DudwGws8e0f6Qwukinzzmszyik+IaaKzzn7luUTBKLIF1BCanZ+cDEVJcXUIe&#10;pbdCyjhvqVAHqNPJNAY4LQULl8HN2cN+LS06kaCY+A1579ysPioWwRpO2GawPRGytyG5VAEPSgE6&#10;g9VL4sciXWzmm3k+yiezzShPq2r0abvOR7Nt9jitHqr1usp+BmpZXjSCMa4Cu6s8s/zvxj88lF5Y&#10;N4He2pDco8d+AdnrP5KOswzj64Ww1+yys9cZgyKj8/B6guTf78F+/8ZXv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gCtqRxMCAAArBAAADgAAAAAAAAAAAAAAAAAuAgAAZHJzL2Uyb0RvYy54bWxQSwECLQAUAAYACAAA&#10;ACEAf9siHN8AAAAMAQAADwAAAAAAAAAAAAAAAABtBAAAZHJzL2Rvd25yZXYueG1sUEsFBgAAAAAE&#10;AAQA8wAAAHkFAAAAAA==&#10;">
              <w10:wrap anchorx="page" anchory="page"/>
            </v:line>
          </w:pict>
        </mc:Fallback>
      </mc:AlternateContent>
    </w:r>
  </w:p>
  <w:p w:rsidR="00841B85" w:rsidRDefault="00841B85" w:rsidP="00F37D80">
    <w:pPr>
      <w:pStyle w:val="Reference"/>
    </w:pPr>
    <w:r>
      <w:t>Source Reference</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45280" behindDoc="0" locked="0" layoutInCell="1" allowOverlap="1" wp14:anchorId="420A6A6E" wp14:editId="24A1D029">
              <wp:simplePos x="0" y="0"/>
              <wp:positionH relativeFrom="page">
                <wp:posOffset>1536065</wp:posOffset>
              </wp:positionH>
              <wp:positionV relativeFrom="page">
                <wp:posOffset>667385</wp:posOffset>
              </wp:positionV>
              <wp:extent cx="0" cy="9427464"/>
              <wp:effectExtent l="0" t="0" r="19050" b="21590"/>
              <wp:wrapNone/>
              <wp:docPr id="9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DxEwIAACs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ZR4h&#10;iTuY0Y5LhtIs9c3ptS3Ap5J748sjF/mid4p8tUiqqsXyyALJ16uGwBARP4T4jdWQ4tB/VBR88Mmp&#10;0KlLYzoPCT1AlzCQ630g7OIQGQ4JnC7z7Cmf555PjItboDbWfWCqQ94oIwGsAzA+76wbXG8uPo9U&#10;Wy5EmLeQqAfUWTYLAVYJTv2ld7PmeKiEQWfsFRO+Me+Dm1EnSQNYyzDdjLbDXAw28BTS40EpQGe0&#10;Bkl8WybLzWKzyCd5Nt9M8qSuJ++3VT6Zb9OnWf2urqo6/e6ppXnRckqZ9Oxu8kzzvxv/+FAGYd0F&#10;em9D/IgeWgtkb/9AOszSj28QwkHR69741vqxgiKD8/h6vOR/3Qevn298/QM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5zeg8R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540F7E">
    <w:pPr>
      <w:pStyle w:val="Header"/>
      <w:rPr>
        <w:b/>
        <w:bCs/>
      </w:rPr>
    </w:pPr>
    <w:r>
      <w:rPr>
        <w:noProof/>
      </w:rPr>
      <mc:AlternateContent>
        <mc:Choice Requires="wps">
          <w:drawing>
            <wp:anchor distT="0" distB="0" distL="114300" distR="114300" simplePos="0" relativeHeight="251665408" behindDoc="0" locked="0" layoutInCell="1" allowOverlap="0" wp14:anchorId="5EEE80AD" wp14:editId="7ECB61E2">
              <wp:simplePos x="0" y="0"/>
              <wp:positionH relativeFrom="page">
                <wp:posOffset>1536065</wp:posOffset>
              </wp:positionH>
              <wp:positionV relativeFrom="page">
                <wp:posOffset>667385</wp:posOffset>
              </wp:positionV>
              <wp:extent cx="0" cy="9427464"/>
              <wp:effectExtent l="0" t="0" r="19050" b="21590"/>
              <wp:wrapNone/>
              <wp:docPr id="4"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Uc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jpEgL&#10;I9oJxVGWzhehOZ1xBfis1d6G8uhFvZidpt8dUnrdEHXkkeTr1UBkFiKSh5CwcQZSHLrPmoEPOXkd&#10;O3WpbRsgoQfoEgdyvQ+EXzyi/SGF00U+ecpneUQnxS3QWOc/cd2iYJRYAu0ITM475wMRUtxcQh6l&#10;t0LKOG+pUAeo08k0BjgtBQuXwc3Z42EtLTqToJj4DXkf3Kw+KRbBGk7YZrA9EbK3IblUAQ9KATqD&#10;1UvixyJdbOabeT7KJ7PNKE+ravRxu85Hs232NK0+VOt1lf0M1LK8aARjXAV2N3lm+d+Nf3govbDu&#10;Ar23IXlEj/0Csrd/JB1nGcbXC+Gg2XVvbzMGRUbn4fUEyb/dg/32ja9+A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Dg&#10;6CUcEgIAACsEAAAOAAAAAAAAAAAAAAAAAC4CAABkcnMvZTJvRG9jLnhtbFBLAQItABQABgAIAAAA&#10;IQB/2yIc3wAAAAwBAAAPAAAAAAAAAAAAAAAAAGwEAABkcnMvZG93bnJldi54bWxQSwUGAAAAAAQA&#10;BADzAAAAeAU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935B60" w:rsidRDefault="00841B85" w:rsidP="00540F7E">
    <w:pPr>
      <w:pStyle w:val="SourceReference"/>
    </w:pPr>
    <w:r>
      <w:t>Source reference</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44256" behindDoc="0" locked="0" layoutInCell="1" allowOverlap="1" wp14:anchorId="6EBB7255" wp14:editId="281E24FC">
              <wp:simplePos x="0" y="0"/>
              <wp:positionH relativeFrom="page">
                <wp:posOffset>1536065</wp:posOffset>
              </wp:positionH>
              <wp:positionV relativeFrom="page">
                <wp:posOffset>667385</wp:posOffset>
              </wp:positionV>
              <wp:extent cx="0" cy="9427464"/>
              <wp:effectExtent l="0" t="0" r="19050" b="21590"/>
              <wp:wrapNone/>
              <wp:docPr id="9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a1EwIAACs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Z5PMFKk&#10;gxptheIoy6M4vXEl+KzUzob06Fm9mK2m3x1SetUSdeCR5OvFwMMsyJk8PAkbZyDEvv+sGfiQo9dR&#10;qXNjuwAJGqBzLMjlXhB+9oheDymczov8qZgWEZ2Ut4fGOv+J6w4Fo8ISWEdgcto6H4iQ8uYS4ii9&#10;EVLGekuF+pBwPokPnJaChcvg5uxhv5IWnUjomPgNcR/crD4qFsFaTth6sD0R8mpDcKkCHqQCdAbr&#10;2hI/5ul8PVvPilGRT9ejIq3r0cfNqhhNN9nTpP5Qr1Z19jNQy4qyFYxxFdjd2jMr/q78w6BcG+ve&#10;oHcZkkf0qBeQvf0j6VjLUL4wT67ca3bZ2VuNoSOj8zA9oeXf7sF+O+PLX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NzOGtR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Pr>
        <w:noProof/>
      </w:rPr>
      <mc:AlternateContent>
        <mc:Choice Requires="wps">
          <w:drawing>
            <wp:anchor distT="0" distB="0" distL="114300" distR="114300" simplePos="0" relativeHeight="251721728" behindDoc="0" locked="0" layoutInCell="1" allowOverlap="1" wp14:anchorId="277DA600" wp14:editId="1A56084C">
              <wp:simplePos x="0" y="0"/>
              <wp:positionH relativeFrom="page">
                <wp:posOffset>1536065</wp:posOffset>
              </wp:positionH>
              <wp:positionV relativeFrom="page">
                <wp:posOffset>667385</wp:posOffset>
              </wp:positionV>
              <wp:extent cx="0" cy="9427464"/>
              <wp:effectExtent l="0" t="0" r="19050" b="21590"/>
              <wp:wrapNone/>
              <wp:docPr id="12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ZXEg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SCV&#10;xB2ItOOSoae5b06vbQE+ldwbXx65yBe9U+S7RVJVLZZHFki+XjXEpT4ifgjxG6shxaH/rCj44JNT&#10;oVOXxnQeEnqALkGQ610QdnGIDIcETpd59pTP84COi1ugNtZ9YqpD3igjAaQDMD7vrPNEcHFz8Xmk&#10;2nIhgt5Coh5QZ9ksBFglOPWX3s2a46ESBp2xn5jwjXkf3Iw6SRrAWobpZrQd5mKwIbmQHg9KATqj&#10;NYzEj2Wy3Cw2i3ySZ/PNJE/qevJxW+WT+TZ9mtUf6qqq05+eWpoXLaeUSc/uNp5p/nfyjw9lGKz7&#10;gN7bED+ih34B2ds/kA5aevmGQTgoet2bm8YwkcF5fD1+5N/uwX77xte/AA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Bx&#10;FEZXEgIAACsEAAAOAAAAAAAAAAAAAAAAAC4CAABkcnMvZTJvRG9jLnhtbFBLAQItABQABgAIAAAA&#10;IQB/2yIc3wAAAAwBAAAPAAAAAAAAAAAAAAAAAGwEAABkcnMvZG93bnJldi54bWxQSwUGAAAAAAQA&#10;BADzAAAAeAUAAAAA&#10;">
              <w10:wrap anchorx="page" anchory="page"/>
            </v:line>
          </w:pict>
        </mc:Fallback>
      </mc:AlternateContent>
    </w:r>
    <w:r w:rsidRPr="00F42B4B">
      <w:rPr>
        <w:b/>
        <w:bCs/>
      </w:rPr>
      <w:t>Notes to the financial statements</w:t>
    </w:r>
    <w:r>
      <w:br/>
      <w:t>30 June 2016</w:t>
    </w:r>
  </w:p>
  <w:p w:rsidR="00841B85" w:rsidRDefault="00841B85" w:rsidP="00D47C9F">
    <w:pPr>
      <w:pStyle w:val="Reference"/>
    </w:pPr>
    <w:r>
      <w:t>Source Reference</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834368" behindDoc="0" locked="0" layoutInCell="1" allowOverlap="1" wp14:anchorId="71890B39" wp14:editId="31806BB7">
              <wp:simplePos x="0" y="0"/>
              <wp:positionH relativeFrom="page">
                <wp:posOffset>1536065</wp:posOffset>
              </wp:positionH>
              <wp:positionV relativeFrom="page">
                <wp:posOffset>667385</wp:posOffset>
              </wp:positionV>
              <wp:extent cx="0" cy="9427464"/>
              <wp:effectExtent l="0" t="0" r="19050" b="21590"/>
              <wp:wrapNone/>
              <wp:docPr id="22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ve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TaP&#10;kMQdDGnHJUNPc9+cXtsCfCq5N748cpEveqfId4ukqlosjyyQfL1qiEt9RPwQ4jdWQ4pD/1lR8MEn&#10;p0KnLo3pPCT0AF3CQK73gbCLQ2Q4JHC6zLOnfJ4HdFzcArWx7hNTHfJGGQkgHYDxeWedJ4KLm4vP&#10;I9WWCxHmLSTqAXWWzUKAVYJTf+ndrDkeKmHQGXvFhG/M++Bm1EnSANYyTDej7TAXgw3JhfR4UArQ&#10;Ga1BEj+WyXKz2CzySZ7NN5M8qevJx22VT+bb9GlWf6irqk5/emppXrScUiY9u5s80/zvxj8+lEFY&#10;d4He2xA/ood+AdnbP5AOs/TjG4RwUPS6N7cZgyKD8/h6vOTf7sF++8bXv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aclr3h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2016</w:t>
    </w:r>
  </w:p>
  <w:p w:rsidR="00841B85" w:rsidRDefault="00841B85" w:rsidP="00190A01">
    <w:pPr>
      <w:pStyle w:val="Reference"/>
    </w:pPr>
    <w:r>
      <w:t>Source Reference</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793408" behindDoc="0" locked="0" layoutInCell="1" allowOverlap="1" wp14:anchorId="26B11570" wp14:editId="729027E0">
              <wp:simplePos x="0" y="0"/>
              <wp:positionH relativeFrom="page">
                <wp:posOffset>1536065</wp:posOffset>
              </wp:positionH>
              <wp:positionV relativeFrom="page">
                <wp:posOffset>667385</wp:posOffset>
              </wp:positionV>
              <wp:extent cx="0" cy="9427464"/>
              <wp:effectExtent l="0" t="0" r="19050" b="21590"/>
              <wp:wrapNone/>
              <wp:docPr id="13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dRFAIAACwEAAAOAAAAZHJzL2Uyb0RvYy54bWysU02P2yAQvVfqf0C+J/5YJ5tYcVaVnfSy&#10;7Uba7Q8ggGNUDAhInKjqf++AnbRpL1VVH/AAM2/ezBtWT+dOoBMzlitZRuk0iRCTRFEuD2X05W07&#10;WUTIOiwpFkqyMrowGz2t379b9bpgmWqVoMwgAJG26HUZtc7pIo4taVmH7VRpJuGyUabDDrbmEFOD&#10;e0DvRJwlyTzulaHaKMKshdN6uIzWAb9pGHEvTWOZQ6KMgJsLqwnr3q/xeoWLg8G65WSkgf+BRYe5&#10;hKQ3qBo7jI6G/wHVcWKUVY2bEtXFqmk4YaEGqCZNfqvmtcWahVqgOVbf2mT/Hyz5fNoZxClo95BG&#10;SOIORHrmkqE0S313em0LcKrkzvj6yFm+6mdFvlokVdVieWCB5dtFQ2CIiO9C/MZqyLHvPykKPvjo&#10;VGjVuTGdh4QmoHNQ5HJThJ0dIsMhgdNlnj3m89zziXFxDdTGuo9MdcgbZSSAdQDGp2frBteri88j&#10;1ZYLEQQXEvWAOstmIcAqwam/9G7WHPaVMOiE/ciEb8x752bUUdIA1jJMN6PtMBeDDTyF9HhQCtAZ&#10;rWEmvi2T5WaxWeSTPJtvJnlS15MP2yqfzLfp46x+qKuqTr97amletJxSJj2763ym+d/pP76UYbJu&#10;E3prQ3yPHloLZK//QDpo6eUbBmGv6GVnfGu9rDCSwXl8Pn7mf90Hr5+PfP0D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Kl+h1E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2016</w:t>
    </w:r>
  </w:p>
  <w:p w:rsidR="00841B85" w:rsidRDefault="00841B85" w:rsidP="00190A01">
    <w:pPr>
      <w:pStyle w:val="Reference"/>
    </w:pPr>
    <w:r>
      <w:t>Source Reference</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b/>
        <w:bCs/>
        <w:noProof/>
      </w:rPr>
      <mc:AlternateContent>
        <mc:Choice Requires="wps">
          <w:drawing>
            <wp:anchor distT="0" distB="0" distL="114300" distR="114300" simplePos="0" relativeHeight="251794432" behindDoc="0" locked="0" layoutInCell="1" allowOverlap="1" wp14:anchorId="1F56B370" wp14:editId="5C2E9B4A">
              <wp:simplePos x="0" y="0"/>
              <wp:positionH relativeFrom="page">
                <wp:posOffset>1536065</wp:posOffset>
              </wp:positionH>
              <wp:positionV relativeFrom="page">
                <wp:posOffset>667385</wp:posOffset>
              </wp:positionV>
              <wp:extent cx="0" cy="9427464"/>
              <wp:effectExtent l="0" t="0" r="19050" b="21590"/>
              <wp:wrapNone/>
              <wp:docPr id="13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8IFAIAACsEAAAOAAAAZHJzL2Uyb0RvYy54bWysU02P2jAQvVfqf7Byh3xsYCEirKoEeqFd&#10;pN3+AGM7xKpjW7YhoKr/vWMT0NJeqtXm4Izt8Zs382YWT6dOoCMzlitZRuk4iRCTRFEu92X043U9&#10;mkXIOiwpFkqyMjozGz0tP39a9LpgmWqVoMwgAJG26HUZtc7pIo4taVmH7VhpJuGyUabDDrZmH1OD&#10;e0DvRJwlyTTulaHaKMKshdP6chktA37TMOKem8Yyh0QZATcXVhPWnV/j5QIXe4N1y8lAA7+DRYe5&#10;hKA3qBo7jA6G/wPVcWKUVY0bE9XFqmk4YSEHyCZN/srmpcWahVygOFbfymQ/DpZ8P24N4hS0e8gi&#10;JHEHIm24ZGgWitNrW4BPJbfGp0dO8kVvFPlpkVRVi+WeBZKvZw3vUl/O+O6J31gNIXb9N0XBBx+c&#10;CpU6NabzkFADdAqCnG+CsJND5HJI4HSeZ4/5NA/ouLg+1Ma6r0x1yBtlJIB0AMbHjXWeCC6uLj6O&#10;VGsuRNBbSNQD6iSbhAdWCU79pXezZr+rhEFH7DsmfEPcOzejDpIGsJZhuhpsh7m42BBcSI8HqQCd&#10;wbq0xK95Ml/NVrN8lGfT1ShP6nr0ZV3lo+k6fZzUD3VV1elvTy3Ni5ZTyqRnd23PNP8/+YdBuTTW&#10;rUFvZYjv0UO9gOz1H0gHLb18fp5ssVP0vDVXjaEjg/MwPb7l3+7Bfjvjyz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NbhDwgUAgAAKw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2016</w:t>
    </w:r>
  </w:p>
  <w:p w:rsidR="00841B85" w:rsidRPr="00781939" w:rsidRDefault="00841B85" w:rsidP="00190A01">
    <w:pPr>
      <w:pStyle w:val="Reference"/>
    </w:pPr>
    <w:r>
      <w:t>Source Reference</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sidRPr="00F42B4B">
      <w:rPr>
        <w:b/>
        <w:bCs/>
      </w:rPr>
      <w:t>Notes to the financial statements</w:t>
    </w:r>
    <w:r>
      <w:br/>
      <w:t>30 June 2014</w:t>
    </w:r>
  </w:p>
  <w:p w:rsidR="00841B85" w:rsidRDefault="00841B85" w:rsidP="00D47C9F">
    <w:pPr>
      <w:pStyle w:val="Reference"/>
    </w:pPr>
    <w:r>
      <w:t>Source Reference</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9C1116">
    <w:pPr>
      <w:pStyle w:val="Header"/>
    </w:pPr>
    <w:r w:rsidRPr="00F42B4B">
      <w:rPr>
        <w:b/>
        <w:bCs/>
      </w:rPr>
      <w:t>Notes to the financial statements</w:t>
    </w:r>
    <w:r>
      <w:br/>
      <w:t>30 June 2016</w:t>
    </w:r>
  </w:p>
  <w:p w:rsidR="00841B85" w:rsidRPr="00781939" w:rsidRDefault="00841B85" w:rsidP="00D47C9F">
    <w:pPr>
      <w:pStyle w:val="Referenc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79072" behindDoc="0" locked="0" layoutInCell="1" allowOverlap="1" wp14:anchorId="33297CB7" wp14:editId="59A245E1">
              <wp:simplePos x="0" y="0"/>
              <wp:positionH relativeFrom="page">
                <wp:posOffset>1536065</wp:posOffset>
              </wp:positionH>
              <wp:positionV relativeFrom="page">
                <wp:posOffset>667385</wp:posOffset>
              </wp:positionV>
              <wp:extent cx="0" cy="9427464"/>
              <wp:effectExtent l="0" t="0" r="19050" b="21590"/>
              <wp:wrapNone/>
              <wp:docPr id="13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9B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PWQR&#10;krgFkbZcMpTOp747nbY5OJVyZ3x95Cxf9FaRnxZJVTZYHlhg+XrREJj6iPguxG+shhz77pui4IOP&#10;ToVWnWvTekhoAjoHRS43RdjZIdIfEjhdZJPHbJYFdJxfA7Wx7itTLfJGEQlgHYDxaWudJ4Lzq4vP&#10;I9WGCxEEFxJ1gDqdTEOAVYJTf+ndrDnsS2HQCfuRCd+Q987NqKOkAaxhmK4H22EuehuSC+nxoBSg&#10;M1j9TPxaJIv1fD3PRtlkth5lSVWNvmzKbDTbpI/T6qEqyyr97amlWd5wSpn07K7zmWb/p//wUvrJ&#10;uk3orQ3xPXroF5C9/gPpoKWXrx+EvaKXnblqDCMZnIfn42f+7R7st4989Qc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eFy/QR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9C1116">
    <w:pPr>
      <w:pStyle w:val="Header"/>
    </w:pPr>
    <w:r>
      <w:rPr>
        <w:b/>
        <w:bCs/>
        <w:noProof/>
      </w:rPr>
      <mc:AlternateContent>
        <mc:Choice Requires="wps">
          <w:drawing>
            <wp:anchor distT="0" distB="0" distL="114300" distR="114300" simplePos="0" relativeHeight="251778048" behindDoc="0" locked="0" layoutInCell="1" allowOverlap="1" wp14:anchorId="415FBAEE" wp14:editId="10930F69">
              <wp:simplePos x="0" y="0"/>
              <wp:positionH relativeFrom="column">
                <wp:posOffset>1024255</wp:posOffset>
              </wp:positionH>
              <wp:positionV relativeFrom="paragraph">
                <wp:posOffset>274955</wp:posOffset>
              </wp:positionV>
              <wp:extent cx="0" cy="9427210"/>
              <wp:effectExtent l="0" t="0" r="0" b="0"/>
              <wp:wrapNone/>
              <wp:docPr id="13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21.65pt" to="80.65pt,7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hdFQIAACwEAAAOAAAAZHJzL2Uyb0RvYy54bWysU02P2jAQvVfqf7Byh3xsYCEirKoEeqFd&#10;pN3+AGM7xKpjW7YhoKr/vWMHENteqtXm4IztmTdv5o0XT6dOoCMzlitZRuk4iRCTRFEu92X043U9&#10;mkXIOiwpFkqyMjozGz0tP39a9LpgmWqVoMwgAJG26HUZtc7pIo4taVmH7VhpJuGyUabDDrZmH1OD&#10;e0DvRJwlyTTulaHaKMKshdN6uIyWAb9pGHHPTWOZQ6KMgJsLqwnrzq/xcoGLvcG65eRCA7+DRYe5&#10;hKQ3qBo7jA6G/wPVcWKUVY0bE9XFqmk4YaEGqCZN/qrmpcWahVqgOVbf2mQ/DpZ8P24N4hS0e5hE&#10;SOIORNpwyVA6y313em0LcKrk1vj6yEm+6I0iPy2Sqmqx3LPA8vWsITD1EfGbEL+xGnLs+m+Kgg8+&#10;OBVadWpM5yGhCegUFDnfFGEnh8hwSOB0nmePWRrUinFxDdTGuq9MdcgbZSSAdQDGx411ngguri4+&#10;j1RrLkQQXEjUA+okm4QAqwSn/tK7WbPfVcKgI/YjE75QFdzcuxl1kDSAtQzT1cV2mIvBhuRCejwo&#10;BehcrGEmfs2T+Wq2muWjPJuuRnlS16Mv6yofTdfp46R+qKuqTn97amletJxSJj2763ym+f/pf3kp&#10;w2TdJvTWhvgteugXkL3+A+mgpZdvGISdouetuWoMIxmcL8/Hz/z9Huz7R778AwAA//8DAFBLAwQU&#10;AAYACAAAACEAZL+PLN4AAAALAQAADwAAAGRycy9kb3ducmV2LnhtbEyPMU/DQAyFdyT+w8lILFV7&#10;aQIFQi4VArJ1oRSxuolJInK+NHdtA78elwUm+9lPz5+z5Wg7daDBt44NzGcRKOLSVS3XBjavxfQW&#10;lA/IFXaOycAXeVjm52cZppU78gsd1qFWEsI+RQNNCH2qtS8bsuhnrieW3YcbLAaRQ62rAY8Sbjsd&#10;R9FCW2xZLjTY02ND5ed6bw344o12xfeknETvSe0o3j2tntGYy4vx4R5UoDH8meGEL+iQC9PW7bny&#10;qhO9mCdiNXCVSD0Zfgdbaa7jmzvQeab//5D/AAAA//8DAFBLAQItABQABgAIAAAAIQC2gziS/gAA&#10;AOEBAAATAAAAAAAAAAAAAAAAAAAAAABbQ29udGVudF9UeXBlc10ueG1sUEsBAi0AFAAGAAgAAAAh&#10;ADj9If/WAAAAlAEAAAsAAAAAAAAAAAAAAAAALwEAAF9yZWxzLy5yZWxzUEsBAi0AFAAGAAgAAAAh&#10;AOeQKF0VAgAALAQAAA4AAAAAAAAAAAAAAAAALgIAAGRycy9lMm9Eb2MueG1sUEsBAi0AFAAGAAgA&#10;AAAhAGS/jyzeAAAACwEAAA8AAAAAAAAAAAAAAAAAbwQAAGRycy9kb3ducmV2LnhtbFBLBQYAAAAA&#10;BAAEAPMAAAB6BQAAAAA=&#10;"/>
          </w:pict>
        </mc:Fallback>
      </mc:AlternateContent>
    </w:r>
    <w:r w:rsidRPr="00F42B4B">
      <w:rPr>
        <w:b/>
        <w:bCs/>
      </w:rPr>
      <w:t>Notes to the financial statements</w:t>
    </w:r>
    <w:r>
      <w:br/>
      <w:t>30 June 2014</w:t>
    </w:r>
  </w:p>
  <w:p w:rsidR="00841B85" w:rsidRPr="00781939" w:rsidRDefault="00841B85" w:rsidP="00D47C9F">
    <w:pPr>
      <w:pStyle w:val="Reference"/>
    </w:pPr>
    <w:r>
      <w:t>Source Reference</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sidRPr="00F42B4B">
      <w:rPr>
        <w:b/>
        <w:bCs/>
      </w:rPr>
      <w:t>Notes to the financial statements</w:t>
    </w:r>
    <w:r>
      <w:br/>
      <w:t>30 June 2014</w:t>
    </w:r>
  </w:p>
  <w:p w:rsidR="00841B85" w:rsidRDefault="00841B85" w:rsidP="00D47C9F">
    <w:pPr>
      <w:pStyle w:val="Reference"/>
    </w:pPr>
    <w:r>
      <w:t>Source Reference</w:t>
    </w:r>
  </w:p>
  <w:p w:rsidR="00841B85" w:rsidRDefault="00841B85"/>
  <w:p w:rsidR="00841B85" w:rsidRDefault="00841B85"/>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9C1116">
    <w:pPr>
      <w:pStyle w:val="Header"/>
    </w:pPr>
    <w:r w:rsidRPr="00F42B4B">
      <w:rPr>
        <w:b/>
        <w:bCs/>
      </w:rPr>
      <w:t>Notes to the financial statements</w:t>
    </w:r>
    <w:r>
      <w:br/>
      <w:t>30 June 2016</w:t>
    </w:r>
  </w:p>
  <w:p w:rsidR="00841B85" w:rsidRPr="00781939" w:rsidRDefault="00841B85" w:rsidP="00D47C9F">
    <w:pPr>
      <w:pStyle w:val="Reference"/>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p w:rsidR="00841B85" w:rsidRDefault="00841B85"/>
  <w:p w:rsidR="00841B85" w:rsidRDefault="00841B85"/>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46304" behindDoc="0" locked="0" layoutInCell="1" allowOverlap="1" wp14:anchorId="60830086" wp14:editId="1CB7F890">
              <wp:simplePos x="0" y="0"/>
              <wp:positionH relativeFrom="page">
                <wp:posOffset>1536065</wp:posOffset>
              </wp:positionH>
              <wp:positionV relativeFrom="page">
                <wp:posOffset>667385</wp:posOffset>
              </wp:positionV>
              <wp:extent cx="0" cy="9427464"/>
              <wp:effectExtent l="0" t="0" r="19050" b="21590"/>
              <wp:wrapNone/>
              <wp:docPr id="13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XNFQIAACw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T7MI&#10;SdyBSFsuGUqz3Hen17YAp0rujK+PnOWr3iry3SKpqhbLAwss3y4aAlMfEb8L8RurIce+/6Io+OCj&#10;U6FV58Z0HhKagM5BkctdEXZ2iAyHBE4XeTbLp4FPjItboDbWfWaqQ94oIwGsAzA+ba3zRHBxc/F5&#10;pNpwIYLgQqIeUCfZJARYJTj1l97NmsO+EgadsB+Z8IWq4ObRzaijpAGsZZiur7bDXAw2JBfS40Ep&#10;QOdqDTPxY5Es1vP1PB/l2XQ9ypO6Hn3aVPlouklnk/qprqo6/emppXnRckqZ9Oxu85nmf6f/9aUM&#10;k3Wf0Hsb4vfooV9A9vYPpIOWXr5hEPaKXnbmpjGMZHC+Ph8/8497sB8f+eoX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CtoLXN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9C1116">
    <w:pPr>
      <w:pStyle w:val="Header"/>
    </w:pPr>
    <w:r>
      <w:rPr>
        <w:b/>
        <w:bCs/>
        <w:noProof/>
      </w:rPr>
      <mc:AlternateContent>
        <mc:Choice Requires="wps">
          <w:drawing>
            <wp:anchor distT="0" distB="0" distL="114300" distR="114300" simplePos="0" relativeHeight="251782144" behindDoc="0" locked="0" layoutInCell="1" allowOverlap="1" wp14:anchorId="58C764A8" wp14:editId="746D71A5">
              <wp:simplePos x="0" y="0"/>
              <wp:positionH relativeFrom="column">
                <wp:posOffset>1022350</wp:posOffset>
              </wp:positionH>
              <wp:positionV relativeFrom="paragraph">
                <wp:posOffset>264465</wp:posOffset>
              </wp:positionV>
              <wp:extent cx="0" cy="9427845"/>
              <wp:effectExtent l="0" t="0" r="19050" b="20955"/>
              <wp:wrapNone/>
              <wp:docPr id="13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20.8pt" to="80.5pt,7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WsEwIAACsEAAAOAAAAZHJzL2Uyb0RvYy54bWysU8GO2jAQvVfqP1i5QxI2sBARVlUCvdAu&#10;0u5+gLEdYtWxLdsQUNV/79gJtHQvVdUcnLE98+bNvPHy6dwKdGLGciWLKB0nEWKSKMrloYjeXjej&#10;eYSsw5JioSQroguz0dPq44dlp3M2UY0SlBkEINLmnS6ixjmdx7ElDWuxHSvNJFzWyrTYwdYcYmpw&#10;B+itiCdJMos7Zag2ijBr4bTqL6NVwK9rRtxzXVvmkCgi4ObCasK692u8WuL8YLBuOBlo4H9g0WIu&#10;IekNqsIOo6Ph76BaToyyqnZjotpY1TUnLNQA1aTJH9W8NFizUAs0x+pbm+z/gyVfTzuDOAXtHkAq&#10;iVsQacslQ/PUN6fTNgefUu6ML4+c5YveKvLNIqnKBssDCyRfLxriQkR8F+I3VkOKffdFUfDBR6dC&#10;p861aT0k9ACdgyCXmyDs7BDpDwmcLrLJ4zybej4xzq+B2lj3makWeaOIBJAOwPi0ta53vbr4PFJt&#10;uBBBbyFRB6jTyTQEWCU49ZfezZrDvhQGnbCfmPANee/cjDpKGsAahul6sB3moreBp5AeD0oBOoPV&#10;j8T3RbJYz9fzbJRNZutRllTV6NOmzEazTfo4rR6qsqzSH55amuUNp5RJz+46nmn2d/IPD6UfrNuA&#10;3toQ36OH1gLZ6z+QDlp6+fpB2Ct62RnfWi8rTGRwHl6PH/nf98Hr1xtf/QQAAP//AwBQSwMEFAAG&#10;AAgAAAAhAHRPhVreAAAACwEAAA8AAABkcnMvZG93bnJldi54bWxMj0FPg0AQhe8m/ofNmHhp2gWq&#10;xCBLY1RuXqyaXqcwApGdpey2RX+90170Nm/m5c338tVke3Wg0XeODcSLCBRx5eqOGwPvb+X8DpQP&#10;yDX2jsnAN3lYFZcXOWa1O/IrHdahURLCPkMDbQhDprWvWrLoF24gltunGy0GkWOj6xGPEm57nURR&#10;qi12LB9aHOixpeprvbcGfPlBu/JnVs2izbJxlOyeXp7RmOur6eEeVKAp/JnhhC/oUAjT1u259qoX&#10;ncbSJRi4iVNQJ8N5sZXhNkmXoItc/+9Q/AIAAP//AwBQSwECLQAUAAYACAAAACEAtoM4kv4AAADh&#10;AQAAEwAAAAAAAAAAAAAAAAAAAAAAW0NvbnRlbnRfVHlwZXNdLnhtbFBLAQItABQABgAIAAAAIQA4&#10;/SH/1gAAAJQBAAALAAAAAAAAAAAAAAAAAC8BAABfcmVscy8ucmVsc1BLAQItABQABgAIAAAAIQAi&#10;euWsEwIAACsEAAAOAAAAAAAAAAAAAAAAAC4CAABkcnMvZTJvRG9jLnhtbFBLAQItABQABgAIAAAA&#10;IQB0T4Va3gAAAAsBAAAPAAAAAAAAAAAAAAAAAG0EAABkcnMvZG93bnJldi54bWxQSwUGAAAAAAQA&#10;BADzAAAAeAUAAAAA&#10;"/>
          </w:pict>
        </mc:Fallback>
      </mc:AlternateContent>
    </w:r>
    <w:r w:rsidRPr="00F42B4B">
      <w:rPr>
        <w:b/>
        <w:bCs/>
      </w:rPr>
      <w:t>Notes to the financial statements</w:t>
    </w:r>
    <w:r>
      <w:br/>
      <w:t>30 June 2014</w:t>
    </w:r>
  </w:p>
  <w:p w:rsidR="00841B85" w:rsidRPr="00781939" w:rsidRDefault="00841B85" w:rsidP="00D47C9F">
    <w:pPr>
      <w:pStyle w:val="Reference"/>
    </w:pPr>
    <w:r>
      <w:t>Source Reference</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sidRPr="00F42B4B">
      <w:rPr>
        <w:b/>
        <w:bCs/>
      </w:rPr>
      <w:t>Notes to the financial statements</w:t>
    </w:r>
    <w:r>
      <w:br/>
      <w:t>30 June 2014</w:t>
    </w:r>
  </w:p>
  <w:p w:rsidR="00841B85" w:rsidRDefault="00841B85" w:rsidP="00D47C9F">
    <w:pPr>
      <w:pStyle w:val="Reference"/>
    </w:pPr>
    <w:r>
      <w:t>Source Reference</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9C1116">
    <w:pPr>
      <w:pStyle w:val="Header"/>
    </w:pPr>
    <w:r w:rsidRPr="00F42B4B">
      <w:rPr>
        <w:b/>
        <w:bCs/>
      </w:rPr>
      <w:t>Notes to the financial statements</w:t>
    </w:r>
    <w:r>
      <w:br/>
      <w:t>30 June 2016</w:t>
    </w:r>
  </w:p>
  <w:p w:rsidR="00841B85" w:rsidRPr="00781939" w:rsidRDefault="00841B85" w:rsidP="00D47C9F">
    <w:pPr>
      <w:pStyle w:val="Reference"/>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47328" behindDoc="0" locked="0" layoutInCell="1" allowOverlap="1" wp14:anchorId="25ADC75F" wp14:editId="16C647E1">
              <wp:simplePos x="0" y="0"/>
              <wp:positionH relativeFrom="page">
                <wp:posOffset>1536065</wp:posOffset>
              </wp:positionH>
              <wp:positionV relativeFrom="page">
                <wp:posOffset>667385</wp:posOffset>
              </wp:positionV>
              <wp:extent cx="0" cy="9427464"/>
              <wp:effectExtent l="0" t="0" r="19050" b="21590"/>
              <wp:wrapNone/>
              <wp:docPr id="13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nV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PSwi&#10;JHELIm25ZCidTH13Om1zcCrlzvj6yFm+6K0iPy2SqmywPLDA8vWiITD1EfFdiN9YDTn23TdFwQcf&#10;nQqtOtem9ZDQBHQOilxuirCzQ6Q/JHC6yCaP2SwL6Di/Bmpj3VemWuSNIhLAOgDj09Y6TwTnVxef&#10;R6oNFyIILiTqAHUKJfobqwSn/jJszGFfCoNO2I9M+Ia8d25GHSUNYA3DdD3YDnPR25BcSI8HpQCd&#10;wepn4tciWazn63k2yiaz9ShLqmr0ZVNmo9kmfZxWD1VZVulvTy3N8oZTyqRnd53PNPs//YeX0k/W&#10;bUJvbYjv0UO/gOz1H0gHLb18/SDsFb3szFVjGMngPDwfP/Nv92C/feSrP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FSZ1R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9C1116">
    <w:pPr>
      <w:pStyle w:val="Header"/>
    </w:pPr>
    <w:r w:rsidRPr="00F42B4B">
      <w:rPr>
        <w:b/>
        <w:bCs/>
      </w:rPr>
      <w:t>Notes to the financial statements</w:t>
    </w:r>
    <w:r>
      <w:br/>
      <w:t>30 June 2016</w:t>
    </w:r>
  </w:p>
  <w:p w:rsidR="00841B85" w:rsidRPr="00781939" w:rsidRDefault="00841B85" w:rsidP="00D47C9F">
    <w:pPr>
      <w:pStyle w:val="Reference"/>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sidRPr="00F42B4B">
      <w:rPr>
        <w:b/>
        <w:bCs/>
      </w:rPr>
      <w:t>Notes to the financial statements</w:t>
    </w:r>
    <w:r>
      <w:br/>
      <w:t>30 June 2015</w:t>
    </w:r>
  </w:p>
  <w:p w:rsidR="00841B85" w:rsidRDefault="00841B85" w:rsidP="00D47C9F">
    <w:pPr>
      <w:pStyle w:val="Reference"/>
    </w:pPr>
    <w:r>
      <w:t>Source Reference</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833344" behindDoc="0" locked="0" layoutInCell="1" allowOverlap="1" wp14:anchorId="4FC03756" wp14:editId="1C17CBB7">
              <wp:simplePos x="0" y="0"/>
              <wp:positionH relativeFrom="page">
                <wp:posOffset>1536065</wp:posOffset>
              </wp:positionH>
              <wp:positionV relativeFrom="page">
                <wp:posOffset>667385</wp:posOffset>
              </wp:positionV>
              <wp:extent cx="0" cy="9427464"/>
              <wp:effectExtent l="0" t="0" r="19050" b="21590"/>
              <wp:wrapNone/>
              <wp:docPr id="22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oiEgIAACwEAAAOAAAAZHJzL2Uyb0RvYy54bWysU82O2jAQvlfqO1i5Q34aWIgIqyqBXmiL&#10;tNsHMLZDrDq2ZRsCqvruHTsBLe2lqpqDM+OZ+eabH6+eL51AZ2YsV7KM0mkSISaJolwey+jb63ay&#10;iJB1WFIslGRldGU2el6/f7fqdcEy1SpBmUEAIm3R6zJqndNFHFvSsg7bqdJMgrFRpsMOVHOMqcE9&#10;oHcizpJkHvfKUG0UYdbCbT0Yo3XAbxpG3NemscwhUUbAzYXThPPgz3i9wsXRYN1yMtLA/8Ciw1xC&#10;0jtUjR1GJ8P/gOo4Mcqqxk2J6mLVNJywUANUkya/VfPSYs1CLdAcq+9tsv8Plnw57w3itIyy7ClC&#10;EncwpB2XDKXZzHen17YAp0ruja+PXOSL3iny3SKpqhbLIwssX68aAlMfET+EeMVqyHHoPysKPvjk&#10;VGjVpTGdh4QmoEuYyPU+EXZxiAyXBG6XefaUz/OAjotboDbWfWKqQ14oIwGsAzA+76zzRHBxc/F5&#10;pNpyIcLAhUQ9oM6gRG+xSnDqjUExx0MlDDpjvzLhG/M+uBl1kjSAtQzTzSg7zMUgQ3IhPR6UAnRG&#10;adiJH8tkuVlsFvkkz+abSZ7U9eTjtson8236NKs/1FVVpz89tTQvWk4pk57dbT/T/O/mP76UYbPu&#10;G3pvQ/yIHvoFZG//QDrM0o9vWISDote9uc0YVjI4j8/H7/xbHeS3j3z9Cw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DE&#10;VcoiEgIAACwEAAAOAAAAAAAAAAAAAAAAAC4CAABkcnMvZTJvRG9jLnhtbFBLAQItABQABgAIAAAA&#10;IQB/2yIc3wAAAAwBAAAPAAAAAAAAAAAAAAAAAGwEAABkcnMvZG93bnJldi54bWxQSwUGAAAAAAQA&#10;BADzAAAAeAUAAAAA&#10;">
              <w10:wrap anchorx="page" anchory="page"/>
            </v:line>
          </w:pict>
        </mc:Fallback>
      </mc:AlternateContent>
    </w:r>
    <w:r w:rsidRPr="00F42B4B">
      <w:rPr>
        <w:b/>
        <w:bCs/>
      </w:rPr>
      <w:t>Notes to the financial statements</w:t>
    </w:r>
    <w:r>
      <w:br/>
      <w:t>30 June 2016</w:t>
    </w:r>
  </w:p>
  <w:p w:rsidR="00841B85" w:rsidRDefault="00841B85" w:rsidP="004843DB">
    <w:pPr>
      <w:pStyle w:val="Reference"/>
    </w:pPr>
    <w:r>
      <w:t>Source Reference</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b/>
        <w:bCs/>
        <w:noProof/>
      </w:rPr>
      <mc:AlternateContent>
        <mc:Choice Requires="wps">
          <w:drawing>
            <wp:anchor distT="0" distB="0" distL="114300" distR="114300" simplePos="0" relativeHeight="251824128" behindDoc="0" locked="0" layoutInCell="1" allowOverlap="1" wp14:anchorId="57EEED6B" wp14:editId="0416F5B8">
              <wp:simplePos x="0" y="0"/>
              <wp:positionH relativeFrom="page">
                <wp:posOffset>1536065</wp:posOffset>
              </wp:positionH>
              <wp:positionV relativeFrom="page">
                <wp:posOffset>667385</wp:posOffset>
              </wp:positionV>
              <wp:extent cx="0" cy="9427464"/>
              <wp:effectExtent l="0" t="0" r="19050" b="21590"/>
              <wp:wrapNone/>
              <wp:docPr id="14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XEwIAACsEAAAOAAAAZHJzL2Uyb0RvYy54bWysU02P2jAQvVfqf7Byh3w0sBARVlUCvdAW&#10;abc/wNgOserYlm0IqOp/79gJaGkvVdUcnLE9fvNm3szq+dIJdGbGciXLKJ0mEWKSKMrlsYy+vW4n&#10;iwhZhyXFQklWRldmo+f1+3erXhcsU60SlBkEINIWvS6j1jldxLElLeuwnSrNJFw2ynTYwdYcY2pw&#10;D+idiLMkmce9MlQbRZi1cFoPl9E64DcNI+5r01jmkCgj4ObCasJ68Gu8XuHiaLBuORlp4H9g0WEu&#10;IegdqsYOo5Phf0B1nBhlVeOmRHWxahpOWMgBskmT37J5abFmIRcojtX3Mtn/B0u+nPcGcQra5VmE&#10;JO5ApB2XDC1CcXptC/Cp5N749MhFvuidIt8tkqpqsTyyQPL1quFd6ssZPzzxG6shxKH/rCj44JNT&#10;oVKXxnQeEmqALkGQ610QdnGIDIcETpd59pTP84COi9tDbaz7xFSHvFFGAkgHYHzeWeeJ4OLm4uNI&#10;teVCBL2FRD2gzrJZeGCV4NRfejdrjodKGHTGvmPCN8Z9cDPqJGkAaxmmm9F2mIvBhuBCejxIBeiM&#10;1tASP5bJcrPYLPJJns03kzyp68nHbZVP5tv0aVZ/qKuqTn96amletJxSJj27W3um+d/JPw7K0Fj3&#10;Br2XIX5ED/UCsrd/IB209PL5ebLFQdHr3tw0ho4MzuP0+JZ/uwf77YyvfwE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8MaPlx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841B85" w:rsidRPr="00781939" w:rsidRDefault="00841B85" w:rsidP="00190A01">
    <w:pPr>
      <w:pStyle w:val="Reference"/>
    </w:pPr>
    <w:r>
      <w:t>Source Reference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540F7E">
    <w:pPr>
      <w:pStyle w:val="Header"/>
      <w:rPr>
        <w:b/>
        <w:bCs/>
      </w:rPr>
    </w:pPr>
    <w:r>
      <w:rPr>
        <w:noProof/>
      </w:rPr>
      <mc:AlternateContent>
        <mc:Choice Requires="wps">
          <w:drawing>
            <wp:anchor distT="0" distB="0" distL="114300" distR="114300" simplePos="0" relativeHeight="251666432" behindDoc="0" locked="0" layoutInCell="1" allowOverlap="0" wp14:anchorId="4605EA51" wp14:editId="6BFAF3A6">
              <wp:simplePos x="0" y="0"/>
              <wp:positionH relativeFrom="page">
                <wp:posOffset>1571625</wp:posOffset>
              </wp:positionH>
              <wp:positionV relativeFrom="page">
                <wp:posOffset>589915</wp:posOffset>
              </wp:positionV>
              <wp:extent cx="0" cy="9429750"/>
              <wp:effectExtent l="0" t="0" r="0" b="0"/>
              <wp:wrapNone/>
              <wp:docPr id="5"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0"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d4FAIAACs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RQjRTpo&#10;0VYojrJ0EYvTG1eATaV2NqRHz+rFbDX97pDSVUvUgUeSrxcDnlkoZ/LGJVycgRD7/rNmYEOOXsdK&#10;nRvbBUioATrHhlzuDeFnj+j1kcLrIp8snqaRT0KKm6Oxzn/iukNBKLEE2hGYnLbOByKkuJmEOEpv&#10;hJSx31KhHlCnk2l0cFoKFpTBzNnDvpIWnUiYmPjFrEDzaGb1UbEI1nLC1oPsiZBXGYJLFfAgFaAz&#10;SNeR+LFIF+v5ep6P8slsPcrTuh593FT5aLbJnqb1h7qq6uxnoJblRSsY4yqwu41nlv9d+4dFuQ7W&#10;fUDvZUjeosd6AdnbP5KOvQztC/vkir1ml5299RgmMhoP2xNG/vEO8uOOr34BAAD//wMAUEsDBBQA&#10;BgAIAAAAIQDQ6zgX3gAAAAsBAAAPAAAAZHJzL2Rvd25yZXYueG1sTI/BToNAEIbvJr7DZky8NO0i&#10;WhFkaYzKzYu1xusURiCys5TdtujTO8aDHmfmyz/fn68m26sDjb5zbOBiEYEirlzdcWNg81LOb0D5&#10;gFxj75gMfJKHVXF6kmNWuyM/02EdGiUh7DM00IYwZFr7qiWLfuEGYrm9u9FikHFsdD3iUcJtr+Mo&#10;utYWO5YPLQ5031L1sd5bA758pV35Natm0dtl4yjePTw9ojHnZ9PdLahAU/iD4Udf1KEQp63bc+1V&#10;byC+SpaCGkjjFJQAv4utkMskSUEXuf7fofgGAAD//wMAUEsBAi0AFAAGAAgAAAAhALaDOJL+AAAA&#10;4QEAABMAAAAAAAAAAAAAAAAAAAAAAFtDb250ZW50X1R5cGVzXS54bWxQSwECLQAUAAYACAAAACEA&#10;OP0h/9YAAACUAQAACwAAAAAAAAAAAAAAAAAvAQAAX3JlbHMvLnJlbHNQSwECLQAUAAYACAAAACEA&#10;Ig5XeBQCAAArBAAADgAAAAAAAAAAAAAAAAAuAgAAZHJzL2Uyb0RvYy54bWxQSwECLQAUAAYACAAA&#10;ACEA0Os4F94AAAALAQAADwAAAAAAAAAAAAAAAABu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5040A2" w:rsidRDefault="00841B85" w:rsidP="00540F7E">
    <w:pPr>
      <w:pStyle w:val="SourceReference"/>
    </w:pPr>
    <w:r>
      <w:t>Source reference</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b/>
        <w:bCs/>
        <w:noProof/>
      </w:rPr>
      <mc:AlternateContent>
        <mc:Choice Requires="wps">
          <w:drawing>
            <wp:anchor distT="0" distB="0" distL="114300" distR="114300" simplePos="0" relativeHeight="251823104" behindDoc="0" locked="0" layoutInCell="1" allowOverlap="1" wp14:anchorId="7FDD5122" wp14:editId="687E7584">
              <wp:simplePos x="0" y="0"/>
              <wp:positionH relativeFrom="page">
                <wp:posOffset>1536065</wp:posOffset>
              </wp:positionH>
              <wp:positionV relativeFrom="page">
                <wp:posOffset>667385</wp:posOffset>
              </wp:positionV>
              <wp:extent cx="0" cy="9427464"/>
              <wp:effectExtent l="0" t="0" r="19050" b="21590"/>
              <wp:wrapNone/>
              <wp:docPr id="14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FuEgIAACsEAAAOAAAAZHJzL2Uyb0RvYy54bWysU8GO2jAQvVfqP1i5QxJqWIgIqyqBXmiL&#10;tNsPMLZDrDq2ZRsCqvrvHZuAlvZSVc3BGdvjN2/mzSyfz51EJ26d0KpM8nGWIK6oZkIdyuTb62Y0&#10;T5DzRDEiteJlcuEueV69f7fsTcEnutWScYsARLmiN2XSem+KNHW05R1xY224gstG24542NpDyizp&#10;Ab2T6STLZmmvLTNWU+4cnNbXy2QV8ZuGU/+1aRz3SJYJcPNxtXHdhzVdLUlxsMS0gg40yD+w6IhQ&#10;EPQOVRNP0NGKP6A6Qa12uvFjqrtUN42gPOYA2eTZb9m8tMTwmAsUx5l7mdz/g6VfTjuLBAPtME6Q&#10;Ih2ItBWKo3ksTm9cAT6V2tmQHj2rF7PV9LtDSlctUQceSb5eDLzLQznThydh4wyE2PefNQMfcvQ6&#10;Vurc2C5AQg3QOQpyuQvCzx7R6yGF0wWePOEZjuikuD001vlPXHcoGGUigXQEJqet84EIKW4uIY7S&#10;GyFl1Fsq1APqdDKND5yWgoXL4ObsYV9Ji04kdEz8hrgPblYfFYtgLSdsPdieCHm1IbhUAQ9SATqD&#10;dW2JH4tssZ6v53iEJ7P1CGd1Pfq4qfBotsmfpvWHuqrq/GegluOiFYxxFdjd2jPHfyf/MCjXxro3&#10;6L0M6SN6rBeQvf0j6ahlkC/Mkyv2ml129qYxdGR0HqYntPzbPdhvZ3z1Cw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CB&#10;xlFuEgIAACsEAAAOAAAAAAAAAAAAAAAAAC4CAABkcnMvZTJvRG9jLnhtbFBLAQItABQABgAIAAAA&#10;IQB/2yIc3wAAAAwBAAAPAAAAAAAAAAAAAAAAAGwEAABkcnMvZG93bnJldi54bWxQSwUGAAAAAAQA&#10;BADzAAAAeAUAAAAA&#10;">
              <w10:wrap anchorx="page" anchory="page"/>
            </v:line>
          </w:pict>
        </mc:Fallback>
      </mc:AlternateContent>
    </w:r>
    <w:r w:rsidRPr="00F42B4B">
      <w:rPr>
        <w:b/>
        <w:bCs/>
      </w:rPr>
      <w:t>Notes to the financial statements</w:t>
    </w:r>
    <w:r>
      <w:br/>
      <w:t>30 June 2016</w:t>
    </w:r>
  </w:p>
  <w:p w:rsidR="00841B85" w:rsidRPr="00781939" w:rsidRDefault="00841B85" w:rsidP="004843DB">
    <w:pPr>
      <w:pStyle w:val="Reference"/>
    </w:pPr>
    <w:r>
      <w:t>Source Reference</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
      <w:t>f</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pPr>
      <w:pStyle w:val="Header"/>
      <w:rPr>
        <w:b/>
      </w:rPr>
    </w:pPr>
    <w:r w:rsidRPr="00F42B4B">
      <w:rPr>
        <w:b/>
        <w:bCs/>
      </w:rPr>
      <w:t>Notes to the financial statements</w:t>
    </w:r>
    <w:r>
      <w:br/>
      <w:t>30 June 2016</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840512" behindDoc="0" locked="0" layoutInCell="1" allowOverlap="0" wp14:anchorId="566F4602" wp14:editId="05DD9AA3">
              <wp:simplePos x="0" y="0"/>
              <wp:positionH relativeFrom="page">
                <wp:posOffset>1536065</wp:posOffset>
              </wp:positionH>
              <wp:positionV relativeFrom="page">
                <wp:posOffset>667385</wp:posOffset>
              </wp:positionV>
              <wp:extent cx="0" cy="9427464"/>
              <wp:effectExtent l="0" t="0" r="19050" b="21590"/>
              <wp:wrapNone/>
              <wp:docPr id="228"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Ot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INR&#10;SdzBkHZcMpQmy9S3p9e2AK9K7o0vkFzki94p8tUiqaoWyyMLNF+vGiJDRPwQ4jdWQ5JD/1FR8MEn&#10;p0KvLo3pPCR0AV3CSK73kbCLQ2Q4JHC6zLOnfJ57PjEuboHaWPeBqQ55o4wE0A7A+LyzbnC9ufg8&#10;Um25EGHiQqIeUGfZLARYJTj1l97NmuOhEgadsddM+Ma8D25GnSQNYC3DdDPaDnMx2MBTSI8HpQCd&#10;0RpE8W2ZLDeLzSKf5Nl8M8mTup6831b5ZL5Nn2b1u7qq6vS7p5bmRcspZdKzuwk0zf9OAONTGaR1&#10;l+i9DfEjemgtkL39A+kwSz++QQgHRa9741vrxwqaDM7j+/Gi/3UfvH6+8vUP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ClkjOtFQIAAC0EAAAOAAAAAAAAAAAAAAAAAC4CAABkcnMvZTJvRG9jLnhtbFBLAQItABQABgAI&#10;AAAAIQB/2yIc3wAAAAwBAAAPAAAAAAAAAAAAAAAAAG8EAABkcnMvZG93bnJldi54bWxQSwUGAAAA&#10;AAQABADzAAAAewUAAAAA&#10;" o:allowoverlap="f">
              <w10:wrap anchorx="page" anchory="page"/>
            </v:line>
          </w:pict>
        </mc:Fallback>
      </mc:AlternateContent>
    </w:r>
    <w:r w:rsidRPr="00F15B7F">
      <w:rPr>
        <w:b/>
        <w:bCs/>
      </w:rPr>
      <w:t xml:space="preserve"> </w:t>
    </w:r>
    <w:r w:rsidRPr="00F42B4B">
      <w:rPr>
        <w:b/>
        <w:bCs/>
      </w:rPr>
      <w:t>Notes to the financial statements</w:t>
    </w:r>
    <w:r>
      <w:br/>
      <w:t>30 June 2016</w:t>
    </w:r>
  </w:p>
  <w:p w:rsidR="00841B85" w:rsidRPr="005040A2" w:rsidRDefault="00841B85" w:rsidP="004843DB">
    <w:pPr>
      <w:pStyle w:val="Reference"/>
    </w:pPr>
    <w:r>
      <w:t>Source reference</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746F05" w:rsidRDefault="00841B85">
    <w:pPr>
      <w:pStyle w:val="Header"/>
    </w:pPr>
    <w:r w:rsidRPr="00F42B4B">
      <w:rPr>
        <w:b/>
        <w:bCs/>
      </w:rPr>
      <w:t>Notes to the financial statements</w:t>
    </w:r>
    <w:r>
      <w:br/>
      <w:t>30 June 2016</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7146D4" w:rsidRDefault="00841B85" w:rsidP="00190A01">
    <w:pPr>
      <w:pStyle w:val="Header"/>
      <w:rPr>
        <w:sz w:val="32"/>
        <w:szCs w:val="32"/>
      </w:rPr>
    </w:pPr>
    <w:r w:rsidRPr="00F42B4B">
      <w:rPr>
        <w:b/>
        <w:bCs/>
      </w:rPr>
      <w:t>Notes to the financial statements</w:t>
    </w:r>
    <w:r>
      <w:br/>
      <w:t>30 June 2016</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826176" behindDoc="0" locked="0" layoutInCell="1" allowOverlap="1" wp14:anchorId="218225E0" wp14:editId="18F3C0DE">
              <wp:simplePos x="0" y="0"/>
              <wp:positionH relativeFrom="page">
                <wp:posOffset>1536065</wp:posOffset>
              </wp:positionH>
              <wp:positionV relativeFrom="page">
                <wp:posOffset>667385</wp:posOffset>
              </wp:positionV>
              <wp:extent cx="0" cy="9427464"/>
              <wp:effectExtent l="0" t="0" r="19050" b="21590"/>
              <wp:wrapNone/>
              <wp:docPr id="14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NO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2SxC&#10;Ercg0o5LhtLp1Hen0zYHp1Luja+PXOSr3iny3SKpygbLIwss364aAlMfET+E+I3VkOPQfVEUfPDJ&#10;qdCqS21aDwlNQJegyPWuCLs4RPpDAqfLbPKUzbOAjvNboDbWfWaqRd4oIgGsAzA+76zzRHB+c/F5&#10;pNpyIYLgQqIOUGeTWQiwSnDqL72bNcdDKQw6Yz8y4RvyPrgZdZI0gDUM081gO8xFb0NyIT0elAJ0&#10;BqufiR/LZLlZbBbZKJvMN6MsqarRp22Zjebb9GlWTauyrNKfnlqa5Q2nlEnP7jafafZ3+g8vpZ+s&#10;+4Te2xA/ood+AdnbP5AOWnr5+kE4KHrdm5vGMJLBeXg+fubf78F+/8jXv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Gq2DT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2016</w:t>
    </w:r>
  </w:p>
  <w:p w:rsidR="00841B85" w:rsidRDefault="00841B85" w:rsidP="004843DB">
    <w:pPr>
      <w:pStyle w:val="Reference"/>
    </w:pPr>
    <w:r>
      <w:t>Source Reference</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sidRPr="00F42B4B">
      <w:rPr>
        <w:b/>
        <w:bCs/>
      </w:rPr>
      <w:t>Notes to the financial statements</w:t>
    </w:r>
    <w:r>
      <w:br/>
      <w:t>30 June 2016</w:t>
    </w:r>
  </w:p>
  <w:p w:rsidR="00841B85" w:rsidRPr="00781939" w:rsidRDefault="00841B85" w:rsidP="004843DB">
    <w:pPr>
      <w:pStyle w:val="Reference"/>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sidRPr="00F42B4B">
      <w:rPr>
        <w:b/>
        <w:bCs/>
      </w:rPr>
      <w:t>Notes to the financial statements</w:t>
    </w:r>
    <w:r>
      <w:br/>
    </w:r>
    <w:r>
      <w:rPr>
        <w:noProof/>
      </w:rPr>
      <mc:AlternateContent>
        <mc:Choice Requires="wps">
          <w:drawing>
            <wp:anchor distT="0" distB="0" distL="114300" distR="114300" simplePos="0" relativeHeight="251841536" behindDoc="0" locked="0" layoutInCell="1" allowOverlap="1" wp14:anchorId="5A3ACADB" wp14:editId="1C8514F8">
              <wp:simplePos x="0" y="0"/>
              <wp:positionH relativeFrom="page">
                <wp:posOffset>1536065</wp:posOffset>
              </wp:positionH>
              <wp:positionV relativeFrom="page">
                <wp:posOffset>667385</wp:posOffset>
              </wp:positionV>
              <wp:extent cx="0" cy="9427464"/>
              <wp:effectExtent l="0" t="0" r="19050" b="21590"/>
              <wp:wrapNone/>
              <wp:docPr id="23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7TFAIAACw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ZRNskj&#10;JHELQ9pxyVA6mfjudNoW4LSWe+PrIxf5qneKfLdIqnWD5ZEFlm9XDYGpj4gfQvzGashx6L4oCj74&#10;5FRo1aU2rYeEJqBLmMj1PhF2cYj0hwROF3n2lM/ygI6LW6A21n1mqkXeKCMBrAMwPu+s80RwcXPx&#10;eaTaciHCwIVEHaBOs2kIsEpw6i+9mzXHw1oYdMZeMuEb8j64GXWSNIA1DNPNYDvMRW9DciE9HpQC&#10;dAar18SPRbLYzDfzfJRns80oT6pq9Gm7zkezbfo0rSbVel2lPz21NC8aTimTnt1Nn2n+d/MfXkqv&#10;rLtC722IH9FDv4Ds7R9Ih1n68fVCOCh63ZvbjEGSwXl4Pl7z7/dgv3/kq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Mrt/tMUAgAALAQAAA4AAAAAAAAAAAAAAAAALgIAAGRycy9lMm9Eb2MueG1sUEsBAi0AFAAGAAgA&#10;AAAhAH/bIhzfAAAADAEAAA8AAAAAAAAAAAAAAAAAbgQAAGRycy9kb3ducmV2LnhtbFBLBQYAAAAA&#10;BAAEAPMAAAB6BQAAAAA=&#10;">
              <w10:wrap anchorx="page" anchory="page"/>
            </v:line>
          </w:pict>
        </mc:Fallback>
      </mc:AlternateContent>
    </w:r>
    <w:r>
      <w:t>30 June 2016</w:t>
    </w:r>
  </w:p>
  <w:p w:rsidR="00841B85" w:rsidRPr="00781939" w:rsidRDefault="00841B85" w:rsidP="004843DB">
    <w:pPr>
      <w:pStyle w:val="Reference"/>
    </w:pPr>
    <w:r>
      <w:t>Source Reference</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49376" behindDoc="0" locked="0" layoutInCell="1" allowOverlap="1" wp14:anchorId="4182C293" wp14:editId="506F6282">
              <wp:simplePos x="0" y="0"/>
              <wp:positionH relativeFrom="page">
                <wp:posOffset>1536065</wp:posOffset>
              </wp:positionH>
              <wp:positionV relativeFrom="page">
                <wp:posOffset>667385</wp:posOffset>
              </wp:positionV>
              <wp:extent cx="0" cy="9427464"/>
              <wp:effectExtent l="0" t="0" r="19050" b="21590"/>
              <wp:wrapNone/>
              <wp:docPr id="14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GFAIAACwEAAAOAAAAZHJzL2Uyb0RvYy54bWysU02P2yAQvVfqf0C+J7azzpcVZ1XZSS9p&#10;N9JufwABHKNiQEDiRFX/ewfspE17qar6gAeYefNm3rB6vrQCnZmxXMkiSsdJhJgkinJ5LKIvb9vR&#10;IkLWYUmxUJIV0ZXZ6Hn9/t2q0zmbqEYJygwCEGnzThdR45zO49iShrXYjpVmEi5rZVrsYGuOMTW4&#10;A/RWxJMkmcWdMlQbRZi1cFr1l9E64Nc1I+6lri1zSBQRcHNhNWE9+DVer3B+NFg3nAw08D+waDGX&#10;kPQOVWGH0cnwP6BaToyyqnZjotpY1TUnLNQA1aTJb9W8NlizUAs0x+p7m+z/gyWfz3uDOAXtsnmE&#10;JG5BpB2XDKVPqe9Op20OTqXcG18fuchXvVPkq0VSlQ2WRxZYvl01BIaI+CHEb6yGHIfuk6Lgg09O&#10;hVZdatN6SGgCugRFrndF2MUh0h8SOF1mk3k2yzyfGOe3QG2s+8hUi7xRRAJYB2B83lnXu95cfB6p&#10;tlyIILiQqAPU6WQaAqwSnPpL72bN8VAKg87Yj0z4hrwPbkadJA1gDcN0M9gOc9HbwFNIjwelAJ3B&#10;6mfi2zJZbhabRTbKJrPNKEuqavRhW2aj2TadT6unqiyr9LunlmZ5wyll0rO7zWea/Z3+w0vpJ+s+&#10;ofc2xI/oobVA9vYPpIOWXr5+EA6KXvfGt9bLCiMZnIfn42f+133w+vnI1z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Lqkz8Y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48352" behindDoc="0" locked="0" layoutInCell="1" allowOverlap="1" wp14:anchorId="5C22FEA6" wp14:editId="459015F3">
              <wp:simplePos x="0" y="0"/>
              <wp:positionH relativeFrom="page">
                <wp:posOffset>1536065</wp:posOffset>
              </wp:positionH>
              <wp:positionV relativeFrom="page">
                <wp:posOffset>667385</wp:posOffset>
              </wp:positionV>
              <wp:extent cx="0" cy="9427464"/>
              <wp:effectExtent l="0" t="0" r="19050" b="21590"/>
              <wp:wrapNone/>
              <wp:docPr id="14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hmFAIAACwEAAAOAAAAZHJzL2Uyb0RvYy54bWysU8GO2jAQvVfqP1i5QxI2sBARVlUCvdAu&#10;0m4/wNgOserYlm0IqOq/d+wEtLSXarU5OGN7/ObNvJnl07kV6MSM5UoWUTpOIsQkUZTLQxH9eN2M&#10;5hGyDkuKhZKsiC7MRk+rz5+Wnc7ZRDVKUGYQgEibd7qIGud0HseWNKzFdqw0k3BZK9NiB1tziKnB&#10;HaC3Ip4kySzulKHaKMKshdOqv4xWAb+uGXHPdW2ZQ6KIgJsLqwnr3q/xaonzg8G64WSggd/BosVc&#10;QtAbVIUdRkfD/4FqOTHKqtqNiWpjVdecsJADZJMmf2Xz0mDNQi5QHKtvZbIfB0u+n3YGcQraZSCV&#10;xC2ItOWSofQhVKfTNgenUu6Mz4+c5YveKvLTIqnKBssDCyxfLxoepr6e8d0Tv7EaYuy7b4qCDz46&#10;FUp1rk3rIaEI6BwUudwUYWeHSH9I4HSRTR6zWRbQcX59qI11X5lqkTeKSADrAIxPW+s8EZxfXXwc&#10;qTZciCC4kKgD1OlkGh5YJTj1l97NmsO+FAadsG+Z8A1x79yMOkoawBqG6XqwHeaityG4kB4PUgE6&#10;g9X3xK9FsljP1/NslE1m61GWVNXoy6bMRrNN+jitHqqyrNLfnlqa5Q2nlEnP7tqfafZ/+g+T0nfW&#10;rUNvZYjv0UO9gOz1H0gHLb18fqBsvlf0sjNXjaElg/MwPr7n3+7Bfjvkqz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GfomGY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825152" behindDoc="0" locked="0" layoutInCell="1" allowOverlap="1" wp14:anchorId="43A6D77B" wp14:editId="72A5591B">
              <wp:simplePos x="0" y="0"/>
              <wp:positionH relativeFrom="page">
                <wp:posOffset>1536065</wp:posOffset>
              </wp:positionH>
              <wp:positionV relativeFrom="page">
                <wp:posOffset>667385</wp:posOffset>
              </wp:positionV>
              <wp:extent cx="0" cy="9427464"/>
              <wp:effectExtent l="0" t="0" r="19050" b="21590"/>
              <wp:wrapNone/>
              <wp:docPr id="14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QB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2TJC&#10;Ercg0o5LhtLp1Hen0zYHp1Luja+PXOSr3iny3SKpygbLIwss364aAlMfET+E+I3VkOPQfVEUfPDJ&#10;qdCqS21aDwlNQJegyPWuCLs4RPpDAqfLbPKUzbOAjvNboDbWfWaqRd4oIgGsAzA+76zzRHB+c/F5&#10;pNpyIYLgQqIOUGeTWQiwSnDqL72bNcdDKQw6Yz8y4RvyPrgZdZI0gDUM081gO8xFb0NyIT0elAJ0&#10;BqufiR/LZLlZbBbZKJvMN6MsqarRp22Zjebb9GlWTauyrNKfnlqa5Q2nlEnP7jafafZ3+g8vpZ+s&#10;+4Te2xA/ood+AdnbP5AOWnr5+kE4KHrdm5vGMJLBeXg+fubf78F+/8jXv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TpJ0AR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2016</w:t>
    </w:r>
  </w:p>
  <w:p w:rsidR="00841B85" w:rsidRDefault="00841B85" w:rsidP="00190A01">
    <w:pPr>
      <w:pStyle w:val="Reference"/>
    </w:pPr>
    <w:r>
      <w:t>Source Reference</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50400" behindDoc="0" locked="0" layoutInCell="1" allowOverlap="1" wp14:anchorId="4C584F54" wp14:editId="72E8205B">
              <wp:simplePos x="0" y="0"/>
              <wp:positionH relativeFrom="page">
                <wp:posOffset>1536065</wp:posOffset>
              </wp:positionH>
              <wp:positionV relativeFrom="page">
                <wp:posOffset>667385</wp:posOffset>
              </wp:positionV>
              <wp:extent cx="0" cy="9427464"/>
              <wp:effectExtent l="0" t="0" r="19050" b="21590"/>
              <wp:wrapNone/>
              <wp:docPr id="15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5iEw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bgb9&#10;kbgDkZ65ZCh9yHx3em0LcKrkzvj6yFm+6mdFvlskVdVieWCB5dtFQ2DqI+K7EL+xGnLs+y+Kgg8+&#10;OhVadW5M5yGhCegcFLncFGFnh8hwSOB0mWeP+TwP6Li4Bmpj3WemOuSNMhLAOgDj07N1ngguri4+&#10;j1RbLkQQXEjUA+osm4UAqwSn/tK7WXPYV8KgE/YjE74x752bUUdJA1jLMN2MtsNcDDYkF9LjQSlA&#10;Z7SGmfixTJabxWaRT/JsvpnkSV1PPm2rfDLfpo+z+qGuqjr96amledFySpn07K7zmeZ/p//4UobJ&#10;uk3orQ3xPXroF5C9/gPpoKWXbxiEvaKXnblqDCMZnMfn42f+/R7s9498/Qs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ivVuY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51424" behindDoc="0" locked="0" layoutInCell="1" allowOverlap="1" wp14:anchorId="4CE99459" wp14:editId="37ECF4EC">
              <wp:simplePos x="0" y="0"/>
              <wp:positionH relativeFrom="page">
                <wp:posOffset>1536065</wp:posOffset>
              </wp:positionH>
              <wp:positionV relativeFrom="page">
                <wp:posOffset>667385</wp:posOffset>
              </wp:positionV>
              <wp:extent cx="0" cy="9427464"/>
              <wp:effectExtent l="0" t="0" r="19050" b="21590"/>
              <wp:wrapNone/>
              <wp:docPr id="15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u+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hgp&#10;0oFIz0JxlD3koTu9cQU4VWprQ330pF7Ns6bfHVK6aona88jy7WwgMAsRybuQsHEGcuz6L5qBDzl4&#10;HVt1amwXIKEJ6BQVOd8U4SeP6HBI4XSRTx7zWeSTkOIaaKzzn7nuUDBKLIF1BCbHZ+cDEVJcXUIe&#10;pTdCyii4VKgH1OlkGgOcloKFy+Dm7H5XSYuOJIxM/GJVcHPvZvVBsQjWcsLWF9sTIQcbkksV8KAU&#10;oHOxhpn4sUgX6/l6no/yyWw9ytO6Hn3aVPlotskep/VDXVV19jNQy/KiFYxxFdhd5zPL/07/y0sZ&#10;Jus2obc2JO/RY7+A7PUfSUctg3zDIOw0O2/tVWMYyeh8eT5h5u/3YN8/8tUv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ANzku+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52448" behindDoc="0" locked="0" layoutInCell="1" allowOverlap="1" wp14:anchorId="187CCC5E" wp14:editId="06B8E255">
              <wp:simplePos x="0" y="0"/>
              <wp:positionH relativeFrom="page">
                <wp:posOffset>1536065</wp:posOffset>
              </wp:positionH>
              <wp:positionV relativeFrom="page">
                <wp:posOffset>667385</wp:posOffset>
              </wp:positionV>
              <wp:extent cx="0" cy="9427464"/>
              <wp:effectExtent l="0" t="0" r="19050" b="21590"/>
              <wp:wrapNone/>
              <wp:docPr id="15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tR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bpZF&#10;SOIORHrmkqH0Yea702tbgFMld8bXR87yVT8r8t0iqaoWywMLLN8uGgJTHxHfhfiN1ZBj339RFHzw&#10;0anQqnNjOg8JTUDnoMjlpgg7O0SGQwKnyzx7zOd5QMfFNVAb6z4z1SFvlJEA1gEYn56t80RwcXXx&#10;eaTaciGC4EKiHlBn2SwEWCU49ZfezZrDvhIGnbAfmfCNee/cjDpKGsBahulmtB3mYrAhuZAeD0oB&#10;OqM1zMSPZbLcLDaLfJJn880kT+p68mlb5ZP5Nn2c1Q91VdXpT08tzYuWU8qkZ3edzzT/O/3HlzJM&#10;1m1Cb22I79FDv4Ds9R9IBy29fMMg7BW97MxVYxjJ4Dw+Hz/z7/dgv3/k6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IS961E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827200" behindDoc="0" locked="0" layoutInCell="1" allowOverlap="1" wp14:anchorId="6B799C47" wp14:editId="336D4D14">
              <wp:simplePos x="0" y="0"/>
              <wp:positionH relativeFrom="page">
                <wp:posOffset>1536065</wp:posOffset>
              </wp:positionH>
              <wp:positionV relativeFrom="page">
                <wp:posOffset>667385</wp:posOffset>
              </wp:positionV>
              <wp:extent cx="0" cy="9427464"/>
              <wp:effectExtent l="0" t="0" r="19050" b="21590"/>
              <wp:wrapNone/>
              <wp:docPr id="23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BYFQIAACw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bPIU&#10;IYk7GNKWS4bSSe6702tbgFMld8bXR87yVW8V+W6RVFWL5YEFlm8XDYGpj4jfhfiN1ZBj339RFHzw&#10;0anQqnNjOg8JTUDnMJHLfSLs7BAZDgmcLvLsKZ8FPjEuboHaWPeZqQ55o4wEsA7A+LS1zhPBxc3F&#10;55Fqw4UIAxcS9YA6zaYhwCrBqb/0btYc9pUw6IS9ZMIXqoKbRzejjpIGsJZhur7aDnMx2JBcSI8H&#10;pQCdqzVo4sciWazn63k+yrPZepQndT36tKny0WyTPk3rSV1VdfrTU0vzouWUMunZ3fSZ5n83/+tL&#10;GZR1V+i9DfF79NAvIHv7B9Jhln58gxD2il525jZjkGRwvj4fr/nHPdiPj3z1Cw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IHQBY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841B85" w:rsidRDefault="00841B85" w:rsidP="00AF7416">
    <w:pPr>
      <w:pStyle w:val="Reference"/>
    </w:pPr>
    <w:r>
      <w:t>Source Reference</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828224" behindDoc="0" locked="0" layoutInCell="1" allowOverlap="1" wp14:anchorId="0332B76F" wp14:editId="4BB3D585">
              <wp:simplePos x="0" y="0"/>
              <wp:positionH relativeFrom="page">
                <wp:posOffset>1536065</wp:posOffset>
              </wp:positionH>
              <wp:positionV relativeFrom="page">
                <wp:posOffset>667385</wp:posOffset>
              </wp:positionV>
              <wp:extent cx="0" cy="9427464"/>
              <wp:effectExtent l="0" t="0" r="19050" b="21590"/>
              <wp:wrapNone/>
              <wp:docPr id="23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f4EwIAACwEAAAOAAAAZHJzL2Uyb0RvYy54bWysU02P2jAQvVfqf7Byh3wQWIgIq4pAL7SL&#10;tNsfYGyHWHVsyzYEVPW/d+wEtLSXqmoOztieefNm3nj5fGkFOjNjuZJllI6TCDFJFOXyWEbf3raj&#10;eYSsw5JioSQroyuz0fPq44dlpwuWqUYJygwCEGmLTpdR45wu4tiShrXYjpVmEi5rZVrsYGuOMTW4&#10;A/RWxFmSzOJOGaqNIsxaOK36y2gV8OuaEfdS15Y5JMoIuLmwmrAe/Bqvlrg4GqwbTgYa+B9YtJhL&#10;SHqHqrDD6GT4H1AtJ0ZZVbsxUW2s6poTFmqAatLkt2peG6xZqAWaY/W9Tfb/wZKv571BnJZRNgGp&#10;JG5BpB2XDKWTqe9Op20BTmu5N74+cpGveqfId4ukWjdYHllg+XbVEJj6iPghxG+shhyH7oui4INP&#10;ToVWXWrTekhoAroERa53RdjFIdIfEjhd5NlTPssDOi5ugdpY95mpFnmjjASwDsD4vLPOE8HFzcXn&#10;kWrLhQiCC4k6QJ1m0xBgleDUX3o3a46HtTDojP3IhG/I++Bm1EnSANYwTDeD7TAXvQ3JhfR4UArQ&#10;Gax+Jn4sksVmvpnnozybbUZ5UlWjT9t1Pppt06dpNanW6yr96amledFwSpn07G7zmeZ/p//wUvrJ&#10;uk/ovQ3xI3roF5C9/QPpoKWXrx+Eg6LXvblpDCMZnIfn42f+/R7s94989Qs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lVFX+B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841B85" w:rsidRDefault="00841B85" w:rsidP="00190A01">
    <w:pPr>
      <w:pStyle w:val="Reference"/>
    </w:pPr>
    <w:r>
      <w:t>Source Reference</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90336" behindDoc="0" locked="0" layoutInCell="1" allowOverlap="1" wp14:anchorId="4D133200" wp14:editId="7471FCF1">
              <wp:simplePos x="0" y="0"/>
              <wp:positionH relativeFrom="page">
                <wp:posOffset>1536065</wp:posOffset>
              </wp:positionH>
              <wp:positionV relativeFrom="page">
                <wp:posOffset>667385</wp:posOffset>
              </wp:positionV>
              <wp:extent cx="0" cy="9427464"/>
              <wp:effectExtent l="0" t="0" r="19050" b="21590"/>
              <wp:wrapNone/>
              <wp:docPr id="15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0VFQIAACw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s2mE&#10;JG5BpB2XDKXTzHen0zYHp1Luja+PXOSr3iny3SKpygbLIwss364aAlMfEb8L8RurIceh+6Io+OCT&#10;U6FVl9q0HhKagC5BketdEXZxiPSHBE6X2eQpmwc+Mc5vgdpY95mpFnmjiASwDsD4vLPOE8H5zcXn&#10;kWrLhQiCC4k6QJ1NZiHAKsGpv/Ru1hwPpTDojP3IhC9UBTePbkadJA1gDcN0M9gOc9HbkFxIjwel&#10;AJ3B6mfixzJZbhabRTbKJvPNKEuqavRpW2aj+TZ9mlXTqiyr9KenlmZ5wyll0rO7zWea/Z3+w0vp&#10;J+s+ofc2xO/RQ7+A7O0fSActvXz9IBwUve7NTWMYyeA8PB8/8497sB8f+foX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Uuc0V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841B85" w:rsidRDefault="00841B85" w:rsidP="00AF7416">
    <w:pPr>
      <w:pStyle w:val="Reference"/>
    </w:pPr>
    <w:r>
      <w:t>Source Reference</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797504" behindDoc="0" locked="0" layoutInCell="1" allowOverlap="1" wp14:anchorId="5401ACAD" wp14:editId="5F4A3DE4">
              <wp:simplePos x="0" y="0"/>
              <wp:positionH relativeFrom="page">
                <wp:posOffset>1536065</wp:posOffset>
              </wp:positionH>
              <wp:positionV relativeFrom="page">
                <wp:posOffset>667385</wp:posOffset>
              </wp:positionV>
              <wp:extent cx="0" cy="9427464"/>
              <wp:effectExtent l="0" t="0" r="19050" b="21590"/>
              <wp:wrapNone/>
              <wp:docPr id="15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B2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TbMI&#10;SdyCSFsuGUofpr47nbY5OJVyZ3x95Cxf9FaRnxZJVTZYHlhg+XrREJj6iPguxG+shhz77pui4IOP&#10;ToVWnWvTekhoAjoHRS43RdjZIdIfEjhdZJPHbJYFdJxfA7Wx7itTLfJGEQlgHYDxaWudJ4Lzq4vP&#10;I9WGCxEEFxJ1gDqdTEOAVYJTf+ndrDnsS2HQCfuRCd+Q987NqKOkAaxhmK4H22EuehuSC+nxoBSg&#10;M1j9TPxaJIv1fD3PRtlkth5lSVWNvmzKbDTbpI/T6qEqyyr97amlWd5wSpn07K7zmWb/p//wUvrJ&#10;uk3orQ3xPXroF5C9/gPpoKWXrx+EvaKXnblqDCMZnIfn42f+7R7st4989Qc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LiIQd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2016</w:t>
    </w:r>
  </w:p>
  <w:p w:rsidR="00841B85" w:rsidRDefault="00841B85" w:rsidP="00190A01">
    <w:pPr>
      <w:pStyle w:val="Reference"/>
    </w:pPr>
    <w:r>
      <w:t>Source Reference</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89312" behindDoc="0" locked="0" layoutInCell="1" allowOverlap="1" wp14:anchorId="68B33058" wp14:editId="3D528E0A">
              <wp:simplePos x="0" y="0"/>
              <wp:positionH relativeFrom="page">
                <wp:posOffset>1536065</wp:posOffset>
              </wp:positionH>
              <wp:positionV relativeFrom="page">
                <wp:posOffset>667385</wp:posOffset>
              </wp:positionV>
              <wp:extent cx="0" cy="9427464"/>
              <wp:effectExtent l="0" t="0" r="19050" b="21590"/>
              <wp:wrapNone/>
              <wp:docPr id="15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sh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jBS&#10;pAORnoXiKHvIQ3d64wpwqtTWhvroSb2aZ02/O6R01RK155Hl29lAYBYiknchYeMM5Nj1XzQDH3Lw&#10;Orbq1NguQEIT0Ckqcr4pwk8e0eGQwukinzzms8gnIcU10FjnP3PdoWCUWALrCEyOz84HIqS4uoQ8&#10;Sm+ElFFwqVAPqNPJNAY4LQULl8HN2f2ukhYdSRiZ+MWq4ObezeqDYhGs5YStL7YnQg42JJcq4EEp&#10;QOdiDTPxY5Eu1vP1PB/lk9l6lKd1Pfq0qfLRbJM9TuuHuqrq7GegluVFKxjjKrC7zmeW/53+l5cy&#10;TNZtQm9tSN6jx34B2es/ko5aBvmGQdhpdt7aq8YwktH58nzCzN/vwb5/5Ktf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Ar6csh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D5BB5">
    <w:pPr>
      <w:pStyle w:val="Header"/>
    </w:pPr>
    <w:r w:rsidRPr="00F42B4B">
      <w:rPr>
        <w:b/>
        <w:bCs/>
      </w:rPr>
      <w:t>Notes to the financial statements</w:t>
    </w:r>
    <w:r>
      <w:br/>
      <w:t>30 June 2016</w:t>
    </w:r>
  </w:p>
  <w:p w:rsidR="00841B85" w:rsidRPr="00FD5BB5" w:rsidRDefault="00841B85" w:rsidP="00D47C9F">
    <w:pPr>
      <w:pStyle w:val="Reference"/>
    </w:pPr>
    <w:r>
      <w:t>Source Reference</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sidRPr="00F42B4B">
      <w:rPr>
        <w:b/>
        <w:bCs/>
      </w:rPr>
      <w:t>Notes to the financial statements</w:t>
    </w:r>
    <w:r>
      <w:br/>
      <w:t>30 June 2016</w:t>
    </w:r>
  </w:p>
  <w:p w:rsidR="00841B85" w:rsidRDefault="00841B85" w:rsidP="00D47C9F">
    <w:pPr>
      <w:pStyle w:val="Referenc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r>
      <w:rPr>
        <w:noProof/>
      </w:rPr>
      <w:drawing>
        <wp:anchor distT="0" distB="0" distL="114300" distR="114300" simplePos="0" relativeHeight="251977728" behindDoc="0" locked="0" layoutInCell="1" allowOverlap="1" wp14:anchorId="7827BD41" wp14:editId="27946ED6">
          <wp:simplePos x="0" y="0"/>
          <wp:positionH relativeFrom="column">
            <wp:posOffset>-567690</wp:posOffset>
          </wp:positionH>
          <wp:positionV relativeFrom="paragraph">
            <wp:posOffset>-283845</wp:posOffset>
          </wp:positionV>
          <wp:extent cx="7581900" cy="10727741"/>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Report_cover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10727741"/>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681792" behindDoc="0" locked="0" layoutInCell="1" allowOverlap="0" wp14:anchorId="1562196C" wp14:editId="6F761049">
              <wp:simplePos x="0" y="0"/>
              <wp:positionH relativeFrom="page">
                <wp:posOffset>1571625</wp:posOffset>
              </wp:positionH>
              <wp:positionV relativeFrom="page">
                <wp:posOffset>599440</wp:posOffset>
              </wp:positionV>
              <wp:extent cx="0" cy="9429750"/>
              <wp:effectExtent l="0" t="0" r="0" b="0"/>
              <wp:wrapNone/>
              <wp:docPr id="6"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6"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7.2pt" to="123.75pt,7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P7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GkSId&#10;SLQViqMsS2ehOb1xBfhUamdDefSsXsxW0+8OKV21RB14JPl6MRCZhYjkTUjYOAMp9v1nzcCHHL2O&#10;nTo3tguQ0AN0joJc7oLws0d0OKRwusgni6dpFCshxS3QWOc/cd2hYJRYAu0ITE5b5wMRUtxcQh6l&#10;N0LKqLdUqAfU6WQaA5yWgoXL4ObsYV9Ji04kTEz8YlVw8+hm9VGxCNZywtZX2xMhBxuSSxXwoBSg&#10;c7WGkfixSBfr+Xqej/LJbD3K07oefdxU+Wi2yZ6m9Ye6qursZ6CW5UUrGOMqsLuNZ5b/nfzXhzIM&#10;1n1A721I3qLHfgHZ2z+SjloG+YZB2Gt22dmbxjCR0fn6esLIP+7Bfnzjq18AAAD//wMAUEsDBBQA&#10;BgAIAAAAIQAA9fUk3wAAAAsBAAAPAAAAZHJzL2Rvd25yZXYueG1sTI+xTsNADIZ3JN7hZCSWqr0Q&#10;0paGXCoEZOtCAbG6iUkicr40d20DT48RA4y2P/3+/mw92k4dafCtYwNXswgUcemqlmsDL8/F9AaU&#10;D8gVdo7JwCd5WOfnZxmmlTvxEx23oVYSwj5FA00Ifaq1Lxuy6GeuJ5bbuxssBhmHWlcDniTcdjqO&#10;ooW22LJ8aLCn+4bKj+3BGvDFK+2Lr0k5id6ua0fx/mHziMZcXox3t6ACjeEPhh99UYdcnHbuwJVX&#10;nYE4Wc4FNbBKElAC/C52Qs6XqwR0nun/HfJvAAAA//8DAFBLAQItABQABgAIAAAAIQC2gziS/gAA&#10;AOEBAAATAAAAAAAAAAAAAAAAAAAAAABbQ29udGVudF9UeXBlc10ueG1sUEsBAi0AFAAGAAgAAAAh&#10;ADj9If/WAAAAlAEAAAsAAAAAAAAAAAAAAAAALwEAAF9yZWxzLy5yZWxzUEsBAi0AFAAGAAgAAAAh&#10;AOYIs/sUAgAAKwQAAA4AAAAAAAAAAAAAAAAALgIAAGRycy9lMm9Eb2MueG1sUEsBAi0AFAAGAAgA&#10;AAAhAAD19STfAAAACw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935B60" w:rsidRDefault="00841B85" w:rsidP="00190A01">
    <w:pPr>
      <w:pStyle w:val="SourceReference"/>
    </w:pPr>
    <w:r>
      <w:t>Source reference</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53472" behindDoc="0" locked="0" layoutInCell="1" allowOverlap="1" wp14:anchorId="0A0E36B9" wp14:editId="5E561EB0">
              <wp:simplePos x="0" y="0"/>
              <wp:positionH relativeFrom="page">
                <wp:posOffset>1536065</wp:posOffset>
              </wp:positionH>
              <wp:positionV relativeFrom="page">
                <wp:posOffset>667385</wp:posOffset>
              </wp:positionV>
              <wp:extent cx="0" cy="9427464"/>
              <wp:effectExtent l="0" t="0" r="19050" b="21590"/>
              <wp:wrapNone/>
              <wp:docPr id="15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q6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ecR&#10;krgFkXZcMpQ+zXx3Om1zcCrl3vj6yEW+6p0i3y2SqmywPLLA8u2qITD1EfFDiN9YDTkO3RdFwQef&#10;nAqtutSm9ZDQBHQJilzvirCLQ6Q/JHC6zCbzbJYFdJzfArWx7jNTLfJGEQlgHYDxeWedJ4Lzm4vP&#10;I9WWCxEEFxJ1gDqdTEOAVYJTf+ndrDkeSmHQGfuRCd+Q98HNqJOkAaxhmG4G22EuehuSC+nxoBSg&#10;M1j9TPxYJsvNYrPIRtlkthllSVWNPm3LbDTbpvNp9VSVZZX+9NTSLG84pUx6drf5TLO/0394Kf1k&#10;3Sf03ob4ET30C8je/oF00NLL1w/CQdHr3tw0hpEMzsPz8TP/fg/2+0e+/gU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Xi96u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Pr>
        <w:noProof/>
      </w:rPr>
      <mc:AlternateContent>
        <mc:Choice Requires="wps">
          <w:drawing>
            <wp:anchor distT="0" distB="0" distL="114300" distR="114300" simplePos="0" relativeHeight="251724800" behindDoc="0" locked="0" layoutInCell="1" allowOverlap="1" wp14:anchorId="28E42AB8" wp14:editId="54479415">
              <wp:simplePos x="0" y="0"/>
              <wp:positionH relativeFrom="column">
                <wp:posOffset>1026160</wp:posOffset>
              </wp:positionH>
              <wp:positionV relativeFrom="paragraph">
                <wp:posOffset>330835</wp:posOffset>
              </wp:positionV>
              <wp:extent cx="0" cy="9427210"/>
              <wp:effectExtent l="0" t="0" r="0" b="0"/>
              <wp:wrapNone/>
              <wp:docPr id="15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F5FAIAACsEAAAOAAAAZHJzL2Uyb0RvYy54bWysU02P2jAQvVfqf7Byh3xsYCEirKoEeqFd&#10;pN3+AGM7xKpjW7YhoKr/vWMHENteqtXm4IztmTdv5o0XT6dOoCMzlitZRuk4iRCTRFEu92X043U9&#10;mkXIOiwpFkqyMjozGz0tP39a9LpgmWqVoMwgAJG26HUZtc7pIo4taVmH7VhpJuGyUabDDrZmH1OD&#10;e0DvRJwlyTTulaHaKMKshdN6uIyWAb9pGHHPTWOZQ6KMgJsLqwnrzq/xcoGLvcG65eRCA7+DRYe5&#10;hKQ3qBo7jA6G/wPVcWKUVY0bE9XFqmk4YaEGqCZN/qrmpcWahVqgOVbf2mQ/DpZ8P24N4hS0m4BU&#10;Encg0oZLhmYPvjm9tgX4VHJrfHnkJF/0RpGfFklVtVjuWSD5etYQl/qI+E2I31gNKXb9N0XBBx+c&#10;Cp06NabzkNADdAqCnG+CsJNDZDgkcDrPs8csDWLFuLgGamPdV6Y65I0yEkA6AOPjxjpPBBdXF59H&#10;qjUXIugtJOoBdZJNQoBVglN/6d2s2e8qYdAR+4kJX6gKbu7djDpIGsBahunqYjvMxWBDciE9HpQC&#10;dC7WMBK/5sl8NVvN8lGeTVejPKnr0Zd1lY+m6/RxUj/UVVWnvz21NC9aTimTnt11PNP8/+S/PJRh&#10;sG4DemtD/BY99AvIXv+BdNDSyzcMwk7R89ZcNYaJDM6X1+NH/n4P9v0bX/4BAAD//wMAUEsDBBQA&#10;BgAIAAAAIQAqPRUM3gAAAAsBAAAPAAAAZHJzL2Rvd25yZXYueG1sTI9BT4NAEIXvJv6HzZh4aewC&#10;TalBlsao3LxYbbxOYQQiO0vZbYv+eqde9DZv5uXN9/L1ZHt1pNF3jg3E8wgUceXqjhsDb6/lzS0o&#10;H5Br7B2TgS/ysC4uL3LManfiFzpuQqMkhH2GBtoQhkxrX7Vk0c/dQCy3DzdaDCLHRtcjniTc9jqJ&#10;olRb7Fg+tDjQQ0vV5+ZgDfhyS/vye1bNovdF4yjZPz4/oTHXV9P9HahAU/gzwxlf0KEQpp07cO1V&#10;LzqNU7EaWCYxqLPhd7GTYblIV6CLXP/vUPwAAAD//wMAUEsBAi0AFAAGAAgAAAAhALaDOJL+AAAA&#10;4QEAABMAAAAAAAAAAAAAAAAAAAAAAFtDb250ZW50X1R5cGVzXS54bWxQSwECLQAUAAYACAAAACEA&#10;OP0h/9YAAACUAQAACwAAAAAAAAAAAAAAAAAvAQAAX3JlbHMvLnJlbHNQSwECLQAUAAYACAAAACEA&#10;RHLBeRQCAAArBAAADgAAAAAAAAAAAAAAAAAuAgAAZHJzL2Uyb0RvYy54bWxQSwECLQAUAAYACAAA&#10;ACEAKj0VDN4AAAALAQAADwAAAAAAAAAAAAAAAABuBAAAZHJzL2Rvd25yZXYueG1sUEsFBgAAAAAE&#10;AAQA8wAAAHkFAAAAAA==&#10;"/>
          </w:pict>
        </mc:Fallback>
      </mc:AlternateContent>
    </w:r>
    <w:r w:rsidRPr="00F42B4B">
      <w:rPr>
        <w:b/>
        <w:bCs/>
      </w:rPr>
      <w:t>Notes to the financial statements</w:t>
    </w:r>
    <w:r>
      <w:br/>
      <w:t>30 June 2016</w:t>
    </w:r>
  </w:p>
  <w:p w:rsidR="00841B85" w:rsidRDefault="00841B85" w:rsidP="00D47C9F">
    <w:pPr>
      <w:pStyle w:val="Reference"/>
    </w:pPr>
    <w:r>
      <w:t>Source Reference</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854CEF">
    <w:pPr>
      <w:pStyle w:val="Header"/>
    </w:pPr>
    <w:r w:rsidRPr="00F42B4B">
      <w:rPr>
        <w:b/>
        <w:bCs/>
      </w:rPr>
      <w:t>Notes to the financial statements</w:t>
    </w:r>
    <w:r>
      <w:br/>
      <w:t>30 June 2016</w:t>
    </w:r>
  </w:p>
  <w:p w:rsidR="00841B85" w:rsidRDefault="00841B85" w:rsidP="00D47C9F">
    <w:pPr>
      <w:pStyle w:val="Reference"/>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54496" behindDoc="0" locked="0" layoutInCell="1" allowOverlap="1" wp14:anchorId="5908CF28" wp14:editId="42001017">
              <wp:simplePos x="0" y="0"/>
              <wp:positionH relativeFrom="page">
                <wp:posOffset>1536065</wp:posOffset>
              </wp:positionH>
              <wp:positionV relativeFrom="page">
                <wp:posOffset>667385</wp:posOffset>
              </wp:positionV>
              <wp:extent cx="0" cy="9427464"/>
              <wp:effectExtent l="0" t="0" r="19050" b="21590"/>
              <wp:wrapNone/>
              <wp:docPr id="15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1ai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ZcR&#10;krgFkXZcMpQ+zX13Om1zcCrl3vj6yEW+6p0i3y2SqmywPLLA8u2qITD1EfFDiN9YDTkO3RdFwQef&#10;nAqtutSm9ZDQBHQJilzvirCLQ6Q/JHC6zCbzbJYFdJzfArWx7jNTLfJGEQlgHYDxeWedJ4Lzm4vP&#10;I9WWCxEEFxJ1gDqdTEOAVYJTf+ndrDkeSmHQGfuRCd+Q98HNqJOkAaxhmG4G22EuehuSC+nxoBSg&#10;M1j9TPxYJsvNYrPIRtlkthllSVWNPm3LbDTbpvNp9VSVZZX+9NTSLG84pUx6drf5TLO/0394Kf1k&#10;3Sf03ob4ET30C8je/oF00NLL1w/CQdHr3tw0hpEMzsPz8TP/fg/2+0e+/gU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D9tWo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Pr>
        <w:noProof/>
      </w:rPr>
      <mc:AlternateContent>
        <mc:Choice Requires="wps">
          <w:drawing>
            <wp:anchor distT="0" distB="0" distL="114300" distR="114300" simplePos="0" relativeHeight="251755520" behindDoc="0" locked="0" layoutInCell="1" allowOverlap="1" wp14:anchorId="1776250A" wp14:editId="2A77AC94">
              <wp:simplePos x="0" y="0"/>
              <wp:positionH relativeFrom="page">
                <wp:posOffset>1536065</wp:posOffset>
              </wp:positionH>
              <wp:positionV relativeFrom="page">
                <wp:posOffset>667385</wp:posOffset>
              </wp:positionV>
              <wp:extent cx="0" cy="9427464"/>
              <wp:effectExtent l="0" t="0" r="19050" b="21590"/>
              <wp:wrapNone/>
              <wp:docPr id="35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QQ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LaM&#10;kMQtDGnHJUPpdOG702mbg1Mp98bXRy7yVe8U+W6RVGWD5ZEFlm9XDYGpj4gfQvzGashx6L4oCj74&#10;5FRo1aU2rYeEJqBLmMj1PhF2cYj0hwROl9nkKZtnAR3nt0BtrPvMVIu8UUQCWAdgfN5Z54ng/Obi&#10;80i15UKEgQuJOkCdTWYhwCrBqb/0btYcD6Uw6Iy9ZMI35H1wM+okaQBrGKabwXaYi96G5EJ6PCgF&#10;6AxWr4kfy2S5WWwW2SibzDejLKmq0adtmY3m2/RpVk2rsqzSn55amuUNp5RJz+6mzzT7u/kPL6VX&#10;1l2h9zbEj+ihX0D29g+kwyz9+HohHBS97s1txiDJ4Dw8H6/593uw3z/y9S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Li2ZBA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2016</w:t>
    </w:r>
  </w:p>
  <w:p w:rsidR="00841B85" w:rsidRDefault="00841B85" w:rsidP="00AF7416">
    <w:pPr>
      <w:pStyle w:val="Reference"/>
    </w:pPr>
    <w:r>
      <w:t>Source Reference</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Pr>
        <w:noProof/>
      </w:rPr>
      <mc:AlternateContent>
        <mc:Choice Requires="wps">
          <w:drawing>
            <wp:anchor distT="0" distB="0" distL="114300" distR="114300" simplePos="0" relativeHeight="251935744" behindDoc="0" locked="0" layoutInCell="1" allowOverlap="1" wp14:anchorId="1D220E30" wp14:editId="3E870DA5">
              <wp:simplePos x="0" y="0"/>
              <wp:positionH relativeFrom="page">
                <wp:posOffset>1536065</wp:posOffset>
              </wp:positionH>
              <wp:positionV relativeFrom="page">
                <wp:posOffset>667385</wp:posOffset>
              </wp:positionV>
              <wp:extent cx="0" cy="9427464"/>
              <wp:effectExtent l="0" t="0" r="19050" b="21590"/>
              <wp:wrapNone/>
              <wp:docPr id="25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8N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maz&#10;CEncwZCeuWQofVj47vTaFuBUyZ3x9ZGzfNXPiny3SKqqxfLAAsu3i4bA1EfEdyF+YzXk2PdfFAUf&#10;fHQqtOrcmM5DQhPQOUzkcpsIOztEhkMCp8s8e8zneUDHxTVQG+s+M9Uhb5SRANYBGJ+erfNEcHF1&#10;8Xmk2nIhwsCFRD2gzrJZCLBKcOovvZs1h30lDDphL5nwjXnv3Iw6ShrAWobpZrQd5mKwIbmQHg9K&#10;ATqjNWjixzJZbhabRT7Js/lmkid1Pfm0rfLJfJs+zuqHuqrq9KenluZFyyll0rO76jPN/27+40sZ&#10;lHVT6K0N8T166BeQvf4D6TBLP75BCHtFLztznTFIMjiPz8dr/v0e7PePfP0L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G7dHw0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2016</w:t>
    </w:r>
  </w:p>
  <w:p w:rsidR="00841B85" w:rsidRDefault="00841B85" w:rsidP="002E1A68">
    <w:pPr>
      <w:pStyle w:val="Reference"/>
    </w:pPr>
    <w:r>
      <w:t>Source Reference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540F7E">
    <w:pPr>
      <w:pStyle w:val="Header"/>
      <w:rPr>
        <w:b/>
        <w:bCs/>
      </w:rPr>
    </w:pPr>
    <w:r>
      <w:rPr>
        <w:noProof/>
      </w:rPr>
      <mc:AlternateContent>
        <mc:Choice Requires="wps">
          <w:drawing>
            <wp:anchor distT="0" distB="0" distL="114300" distR="114300" simplePos="0" relativeHeight="251674624" behindDoc="0" locked="0" layoutInCell="1" allowOverlap="0" wp14:anchorId="1F5BA85F" wp14:editId="1A571510">
              <wp:simplePos x="0" y="0"/>
              <wp:positionH relativeFrom="page">
                <wp:posOffset>1536065</wp:posOffset>
              </wp:positionH>
              <wp:positionV relativeFrom="page">
                <wp:posOffset>667385</wp:posOffset>
              </wp:positionV>
              <wp:extent cx="0" cy="9427464"/>
              <wp:effectExtent l="0" t="0" r="19050" b="21590"/>
              <wp:wrapNone/>
              <wp:docPr id="7"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8"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0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yEkSIt&#10;jGgnFEdZupiH5nTGFeCzVnsbyqMX9WJ2mn53SOl1Q9SRR5KvVwORWYhIHkLCxhlIceg+awY+5OR1&#10;7NSltm2AhB6gSxzI9T4QfvGI9ocUThf55Cmf5RGdFLdAY53/xHWLglFiCbQjMDnvnA9ESHFzCXmU&#10;3gop47ylQh2gTifTGOC0FCxcBjdnj4e1tOhMgmLiN+R9cLP6pFgEazhhm8H2RMjehuRSBTwoBegM&#10;Vi+JH4t0sZlv5vkon8w2ozytqtHH7TofzbbZ07T6UK3XVfYzUMvyohGMcRXY3eSZ5X83/uGh9MK6&#10;C/TehuQRPfYLyN7+kXScZRhfL4SDZte9vc0YFBmdh9cTJP92D/bbN776B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BL&#10;z/N0EgIAACsEAAAOAAAAAAAAAAAAAAAAAC4CAABkcnMvZTJvRG9jLnhtbFBLAQItABQABgAIAAAA&#10;IQB/2yIc3wAAAAwBAAAPAAAAAAAAAAAAAAAAAGwEAABkcnMvZG93bnJldi54bWxQSwUGAAAAAAQA&#10;BADzAAAAeAU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8C0368" w:rsidRDefault="00841B85" w:rsidP="00540F7E">
    <w:pPr>
      <w:pStyle w:val="SourceReference"/>
    </w:pPr>
    <w:r>
      <w:t>Source reference</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Pr>
        <w:noProof/>
      </w:rPr>
      <mc:AlternateContent>
        <mc:Choice Requires="wps">
          <w:drawing>
            <wp:anchor distT="0" distB="0" distL="114300" distR="114300" simplePos="0" relativeHeight="251937792" behindDoc="0" locked="0" layoutInCell="1" allowOverlap="1" wp14:anchorId="5E235459" wp14:editId="0C67B945">
              <wp:simplePos x="0" y="0"/>
              <wp:positionH relativeFrom="page">
                <wp:posOffset>1536065</wp:posOffset>
              </wp:positionH>
              <wp:positionV relativeFrom="page">
                <wp:posOffset>667385</wp:posOffset>
              </wp:positionV>
              <wp:extent cx="0" cy="9427464"/>
              <wp:effectExtent l="0" t="0" r="19050" b="21590"/>
              <wp:wrapNone/>
              <wp:docPr id="6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Z6FAIAACsEAAAOAAAAZHJzL2Uyb0RvYy54bWysU82O2jAQvlfqO1i+QxI2sBARVhWBXrZd&#10;pN0+gLEdYtWxLdsQUNV379gJtLSXqmoOznh+vvnmx8uncyvRiVsntCpxNk4x4opqJtShxF/etqM5&#10;Rs4TxYjUipf4wh1+Wr1/t+xMwSe60ZJxiwBEuaIzJW68N0WSONrwlrixNlyBsda2JR6u9pAwSzpA&#10;b2UySdNZ0mnLjNWUOwfaqjfiVcSva079S1077pEsMXDz8bTx3IczWS1JcbDENIIONMg/sGiJUJD0&#10;BlURT9DRij+gWkGtdrr2Y6rbRNe1oDzWANVk6W/VvDbE8FgLNMeZW5vc/4Oln087iwQr8SzHSJEW&#10;ZvQsFEfZwzw0pzOuAJ+12tlQHj2rV/Os6VeHlF43RB14JPl2MRCYhYjkLiRcnIEU++6TZuBDjl7H&#10;Tp1r2wZI6AE6x4FcbgPhZ49or6SgXeSTxxz4BXRSXAONdf4j1y0KQoklsI7A5PTsfO96dQl5lN4K&#10;KUFPCqlQB6jTyTQGOC0FC8Zgc/awX0uLTiRsTPyGvHduVh8Vi2ANJ2wzyJ4I2cvAU6qAB6UAnUHq&#10;V+LbIl1s5pt5Psons80oT6tq9GG7zkezbfY4rR6q9brKvgdqWV40gjGuArvremb5341/eCj9Yt0W&#10;9NaG5B49thbIXv+RdJxlGF+/CHvNLjsbWhvGChsZnYfXE1b+13v0+vnGVz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HqJFnoUAgAAKw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2016</w:t>
    </w:r>
  </w:p>
  <w:p w:rsidR="00841B85" w:rsidRDefault="00841B85" w:rsidP="002E1A68">
    <w:pPr>
      <w:pStyle w:val="Reference"/>
    </w:pPr>
    <w:r>
      <w:t>Source Reference</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
      <w:t>t</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C41990">
    <w:pPr>
      <w:pStyle w:val="Header"/>
    </w:pPr>
    <w:r w:rsidRPr="00F42B4B">
      <w:rPr>
        <w:b/>
        <w:bCs/>
      </w:rPr>
      <w:t>Notes to the financial statements</w:t>
    </w:r>
    <w:r>
      <w:br/>
      <w:t>30 June 2016</w:t>
    </w:r>
  </w:p>
  <w:p w:rsidR="00841B85" w:rsidRDefault="00841B85" w:rsidP="00D47C9F">
    <w:pPr>
      <w:pStyle w:val="Reference"/>
    </w:pPr>
    <w:r>
      <w:t>Source Reference</w:t>
    </w:r>
    <w:r>
      <w:rPr>
        <w:noProof/>
        <w:lang w:val="en-AU"/>
      </w:rPr>
      <mc:AlternateContent>
        <mc:Choice Requires="wps">
          <w:drawing>
            <wp:anchor distT="0" distB="0" distL="114300" distR="114300" simplePos="0" relativeHeight="251939840" behindDoc="0" locked="0" layoutInCell="1" allowOverlap="1" wp14:anchorId="7643B4EC" wp14:editId="1E80B547">
              <wp:simplePos x="0" y="0"/>
              <wp:positionH relativeFrom="page">
                <wp:posOffset>1536065</wp:posOffset>
              </wp:positionH>
              <wp:positionV relativeFrom="page">
                <wp:posOffset>667385</wp:posOffset>
              </wp:positionV>
              <wp:extent cx="0" cy="9427464"/>
              <wp:effectExtent l="0" t="0" r="19050" b="21590"/>
              <wp:wrapNone/>
              <wp:docPr id="6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E1EwIAACs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VpEM1BK&#10;4hY02nLJUPow983ptM3Bp5Q748sjZ/mit4r8tEiqssHywALJ14uGwNRHxHchfmM1pNh33xQFH3x0&#10;KnTqXJvWQ0IP0DkIcrkJws4Okf6QwOkimzxmsyyg4/waqI11X5lqkTeKSADrAIxPW+s8EZxfXXwe&#10;qTZciKC3kKgD1OlkGgKsEpz6S+9mzWFfCoNO2E9M+Ia8d25GHSUNYA3DdD3YDnPR25BcSI8HpQCd&#10;wepH4tciWazn63k2yiaz9ShLqmr0ZVNmo9kmfZxWD1VZVulvTy3N8oZTyqRndx3PNPs/+YeH0g/W&#10;bUBvbYjv0UO/gOz1H0gHLb18/SDsFb3szFVjmMjgPLweP/Jv92C/feOrP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LrbhNRMCAAArBAAADgAAAAAAAAAAAAAAAAAuAgAAZHJzL2Uyb0RvYy54bWxQSwECLQAUAAYACAAA&#10;ACEAf9siHN8AAAAMAQAADwAAAAAAAAAAAAAAAABtBAAAZHJzL2Rvd25yZXYueG1sUEsFBgAAAAAE&#10;AAQA8wAAAHkFAAAAAA==&#10;">
              <w10:wrap anchorx="page" anchory="page"/>
            </v:lin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CB19AD">
    <w:pPr>
      <w:pStyle w:val="Header"/>
    </w:pPr>
    <w:r w:rsidRPr="00F42B4B">
      <w:rPr>
        <w:b/>
        <w:bCs/>
      </w:rPr>
      <w:t>Notes to the financial statements</w:t>
    </w:r>
    <w:r>
      <w:br/>
      <w:t>30 June 2016</w:t>
    </w:r>
  </w:p>
  <w:p w:rsidR="00841B85" w:rsidRDefault="00841B85" w:rsidP="00D47C9F">
    <w:pPr>
      <w:pStyle w:val="Reference"/>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CB19AD">
    <w:pPr>
      <w:pStyle w:val="Header"/>
    </w:pPr>
    <w:r w:rsidRPr="00F42B4B">
      <w:rPr>
        <w:b/>
        <w:bCs/>
      </w:rPr>
      <w:t>Notes to the financial statements</w:t>
    </w:r>
    <w:r>
      <w:br/>
      <w:t>30 June 2016</w:t>
    </w:r>
  </w:p>
  <w:p w:rsidR="00841B85" w:rsidRPr="00CB19AD" w:rsidRDefault="00841B85" w:rsidP="00D47C9F">
    <w:pPr>
      <w:pStyle w:val="Reference"/>
    </w:pPr>
    <w:r>
      <w:t>Source Reference</w:t>
    </w:r>
    <w:r>
      <w:rPr>
        <w:noProof/>
        <w:lang w:val="en-AU"/>
      </w:rPr>
      <mc:AlternateContent>
        <mc:Choice Requires="wps">
          <w:drawing>
            <wp:anchor distT="0" distB="0" distL="114300" distR="114300" simplePos="0" relativeHeight="251941888" behindDoc="0" locked="0" layoutInCell="1" allowOverlap="1" wp14:anchorId="4AB71BDD" wp14:editId="6DB4DA87">
              <wp:simplePos x="0" y="0"/>
              <wp:positionH relativeFrom="page">
                <wp:posOffset>1536065</wp:posOffset>
              </wp:positionH>
              <wp:positionV relativeFrom="page">
                <wp:posOffset>667385</wp:posOffset>
              </wp:positionV>
              <wp:extent cx="0" cy="9427464"/>
              <wp:effectExtent l="0" t="0" r="19050" b="21590"/>
              <wp:wrapNone/>
              <wp:docPr id="6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qNEw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ZAiNF&#10;WpjRs1AcZQ/z0JzOuAJ81mpnQ3n0rF7Ns6bfHVJ63RB14JHk28VAYBYikruQsHEGUuy7L5qBDzl6&#10;HTt1rm0bIKEH6BwHcrkNhJ89ov0hhdNFPnnMZ3lEJ8U10FjnP3PdomCUWALrCExOz84HIqS4uoQ8&#10;Sm+FlHHeUqEOUKeTaQxwWgoWLoObs4f9Wlp0IkEx8Rvy3rlZfVQsgjWcsM1geyJkb0NyqQIelAJ0&#10;BquXxI9FutjMN/N8lE9mm1GeVtXo03adj2bb7HFaPVTrdZX9DNSyvGgEY1wFdld5ZvnfjX94KL2w&#10;bgK9tSG5R4/9ArLXfyQdZxnG1wthr9llZ68zBkVG5+H1BMm/34P9/o2vfgE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og6ajRMCAAArBAAADgAAAAAAAAAAAAAAAAAuAgAAZHJzL2Uyb0RvYy54bWxQSwECLQAUAAYACAAA&#10;ACEAf9siHN8AAAAMAQAADwAAAAAAAAAAAAAAAABtBAAAZHJzL2Rvd25yZXYueG1sUEsFBgAAAAAE&#10;AAQA8wAAAHkFAAAAAA==&#10;">
              <w10:wrap anchorx="page" anchory="page"/>
            </v:line>
          </w:pict>
        </mc:Fallback>
      </mc:AlternateConten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r>
      <w:t>Source Reference</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r>
      <w:t>Source Reference</w:t>
    </w:r>
    <w:r>
      <w:rPr>
        <w:noProof/>
        <w:lang w:val="en-AU"/>
      </w:rPr>
      <mc:AlternateContent>
        <mc:Choice Requires="wps">
          <w:drawing>
            <wp:anchor distT="0" distB="0" distL="114300" distR="114300" simplePos="0" relativeHeight="251968512" behindDoc="0" locked="0" layoutInCell="1" allowOverlap="1" wp14:anchorId="2075D49E" wp14:editId="636A840B">
              <wp:simplePos x="0" y="0"/>
              <wp:positionH relativeFrom="page">
                <wp:posOffset>1536065</wp:posOffset>
              </wp:positionH>
              <wp:positionV relativeFrom="page">
                <wp:posOffset>667385</wp:posOffset>
              </wp:positionV>
              <wp:extent cx="0" cy="9427464"/>
              <wp:effectExtent l="0" t="0" r="19050" b="21590"/>
              <wp:wrapNone/>
              <wp:docPr id="13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4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U+iP&#10;xC2ItOOSoXS68N3ptM3BqZR74+sjF/mqd4p8t0iqssHyyALLt6uGwNRHxA8hfmM15Dh0XxQFH3xy&#10;KrTqUpvWQ0IT0CUocr0rwi4Okf6QwOkymzxl8yyg4/wWqI11n5lqkTeKSADrAIzPO+s8EZzfXHwe&#10;qbZciCC4kKgD1NlkFgKsEpz6S+9mzfFQCoPO2I9M+Ia8D25GnSQNYA3DdDPYDnPR25BcSI8HpQCd&#10;wepn4scyWW4Wm0U2yibzzShLqmr0aVtmo/k2fZpV06osq/Snp5ZmecMpZdKzu81nmv2d/sNL6Sfr&#10;PqH3NsSP6KFfQPb2D6SDll6+fhAOil735qYxjGRwHp6Pn/n3e7DfP/L1L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sGp+BMCAAAsBAAADgAAAAAAAAAAAAAAAAAuAgAAZHJzL2Uyb0RvYy54bWxQSwECLQAUAAYACAAA&#10;ACEAf9siHN8AAAAMAQAADwAAAAAAAAAAAAAAAABtBAAAZHJzL2Rvd25yZXYueG1sUEsFBgAAAAAE&#10;AAQA8wAAAHkFAAAAAA==&#10;">
              <w10:wrap anchorx="page" anchory="page"/>
            </v:line>
          </w:pict>
        </mc:Fallback>
      </mc:AlternateConten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r>
      <w:t>Source Reference</w:t>
    </w:r>
    <w:r>
      <w:rPr>
        <w:noProof/>
        <w:lang w:val="en-AU"/>
      </w:rPr>
      <mc:AlternateContent>
        <mc:Choice Requires="wps">
          <w:drawing>
            <wp:anchor distT="0" distB="0" distL="114300" distR="114300" simplePos="0" relativeHeight="251945984" behindDoc="0" locked="0" layoutInCell="1" allowOverlap="1" wp14:anchorId="64D03269" wp14:editId="222AD6D7">
              <wp:simplePos x="0" y="0"/>
              <wp:positionH relativeFrom="page">
                <wp:posOffset>1536065</wp:posOffset>
              </wp:positionH>
              <wp:positionV relativeFrom="page">
                <wp:posOffset>667385</wp:posOffset>
              </wp:positionV>
              <wp:extent cx="0" cy="9427464"/>
              <wp:effectExtent l="0" t="0" r="19050" b="21590"/>
              <wp:wrapNone/>
              <wp:docPr id="12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5n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ltG&#10;SOIORHrmkqH0YeG702tbgFMld8bXR87yVT8r8t0iqaoWywMLLN8uGgJTHxHfhfiN1ZBj339RFHzw&#10;0anQqnNjOg8JTUDnoMjlpgg7O0SGQwKnyzx7zOd5QMfFNVAb6z4z1SFvlJEA1gEYn56t80RwcXXx&#10;eaTaciGC4EKiHlBn2SwEWCU49ZfezZrDvhIGnbAfmfCNee/cjDpKGsBahulmtB3mYrAhuZAeD0oB&#10;OqM1zMSPZbLcLDaLfJJn880kT+p68mlb5ZP5Nn2c1Q91VdXpT08tzYuWU8qkZ3edzzT/O/3HlzJM&#10;1m1Cb22I79FDv4Ds9R9IBy29fMMg7BW97MxVYxjJ4Dw+Hz/z7/dgv3/k6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GYa7mcUAgAALAQAAA4AAAAAAAAAAAAAAAAALgIAAGRycy9lMm9Eb2MueG1sUEsBAi0AFAAGAAgA&#10;AAAhAH/bIhzfAAAADAEAAA8AAAAAAAAAAAAAAAAAbgQAAGRycy9kb3ducmV2LnhtbFBLBQYAAAAA&#10;BAAEAPMAAAB6BQAAAAA=&#10;">
              <w10:wrap anchorx="page" anchory="page"/>
            </v:line>
          </w:pict>
        </mc:Fallback>
      </mc:AlternateConten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r>
      <w:t>Source Reference</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r>
      <w:t>Source Reference</w:t>
    </w:r>
    <w:r>
      <w:rPr>
        <w:noProof/>
        <w:lang w:val="en-AU"/>
      </w:rPr>
      <mc:AlternateContent>
        <mc:Choice Requires="wps">
          <w:drawing>
            <wp:anchor distT="0" distB="0" distL="114300" distR="114300" simplePos="0" relativeHeight="251964416" behindDoc="0" locked="0" layoutInCell="1" allowOverlap="1" wp14:anchorId="6080B0C6" wp14:editId="440A7E63">
              <wp:simplePos x="0" y="0"/>
              <wp:positionH relativeFrom="page">
                <wp:posOffset>1536065</wp:posOffset>
              </wp:positionH>
              <wp:positionV relativeFrom="page">
                <wp:posOffset>667385</wp:posOffset>
              </wp:positionV>
              <wp:extent cx="0" cy="9427464"/>
              <wp:effectExtent l="0" t="0" r="19050" b="21590"/>
              <wp:wrapNone/>
              <wp:docPr id="35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Nf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DaL&#10;kMQtDGnHJUPpdOG702mbg1Mp98bXRy7yVe8U+W6RVGWD5ZEFlm9XDYGpj4gfQvzGashx6L4oCj74&#10;5FRo1aU2rYeEJqBLmMj1PhF2cYj0hwROl9nkKZtnAR3nt0BtrPvMVIu8UUQCWAdgfN5Z54ng/Obi&#10;80i15UKEgQuJOkCdTWYhwCrBqb/0btYcD6Uw6Iy9ZMI35H1wM+okaQBrGKabwXaYi96G5EJ6PCgF&#10;6AxWr4kfy2S5WWwW2SibzDejLKmq0adtmY3m2/RpVk2rsqzSn55amuUNp5RJz+6mzzT7u/kPL6VX&#10;1l2h9zbEj+ihX0D29g+kwyz9+HohHBS97s1txiDJ4Dw8H6/593uw3z/y9S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OyJk18UAgAALAQAAA4AAAAAAAAAAAAAAAAALgIAAGRycy9lMm9Eb2MueG1sUEsBAi0AFAAGAAgA&#10;AAAhAH/bIhzfAAAADAEAAA8AAAAAAAAAAAAAAAAAbgQAAGRycy9kb3ducmV2LnhtbFBLBQYAAAAA&#10;BAAEAPMAAAB6BQAAAAA=&#10;">
              <w10:wrap anchorx="page" anchory="page"/>
            </v:line>
          </w:pict>
        </mc:Fallback>
      </mc:AlternateConten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r>
      <w:t>Source Reference</w:t>
    </w:r>
    <w:r>
      <w:rPr>
        <w:noProof/>
        <w:lang w:val="en-AU"/>
      </w:rPr>
      <mc:AlternateContent>
        <mc:Choice Requires="wps">
          <w:drawing>
            <wp:anchor distT="0" distB="0" distL="114300" distR="114300" simplePos="0" relativeHeight="251966464" behindDoc="0" locked="0" layoutInCell="1" allowOverlap="1" wp14:anchorId="619F695D" wp14:editId="3B9A06FA">
              <wp:simplePos x="0" y="0"/>
              <wp:positionH relativeFrom="page">
                <wp:posOffset>1536065</wp:posOffset>
              </wp:positionH>
              <wp:positionV relativeFrom="page">
                <wp:posOffset>667385</wp:posOffset>
              </wp:positionV>
              <wp:extent cx="0" cy="9427464"/>
              <wp:effectExtent l="0" t="0" r="19050" b="21590"/>
              <wp:wrapNone/>
              <wp:docPr id="356"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5M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DaP&#10;kMQtDGnHJUPpdOG702mbg1Mp98bXRy7yVe8U+W6RVGWD5ZEFlm9XDYGpj4gfQvzGashx6L4oCj74&#10;5FRo1aU2rYeEJqBLmMj1PhF2cYj0hwROl9nkKZtnAR3nt0BtrPvMVIu8UUQCWAdgfN5Z54ng/Obi&#10;80i15UKEgQuJOkCdTWYhwCrBqb/0btYcD6Uw6Iy9ZMI35H1wM+okaQBrGKabwXaYi96G5EJ6PCgF&#10;6AxWr4kfy2S5WWwW2SibzDejLKmq0adtmY3m2/RpVk2rsqzSn55amuUNp5RJz+6mzzT7u/kPL6VX&#10;1l2h9zbEj+ihX0D29g+kwyz9+HohHBS97s1txiDJ4Dw8H6/593uw3z/y9S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DlGbkwUAgAALAQAAA4AAAAAAAAAAAAAAAAALgIAAGRycy9lMm9Eb2MueG1sUEsBAi0AFAAGAAgA&#10;AAAhAH/bIhzfAAAADAEAAA8AAAAAAAAAAAAAAAAAbgQAAGRycy9kb3ducmV2LnhtbFBLBQYAAAAA&#10;BAAEAPMAAAB6BQAAAAA=&#10;">
              <w10:wrap anchorx="page" anchory="page"/>
            </v:line>
          </w:pict>
        </mc:Fallback>
      </mc:AlternateConten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r>
      <w:t>Source Reference</w:t>
    </w:r>
    <w:r>
      <w:rPr>
        <w:noProof/>
        <w:lang w:val="en-AU"/>
      </w:rPr>
      <mc:AlternateContent>
        <mc:Choice Requires="wps">
          <w:drawing>
            <wp:anchor distT="0" distB="0" distL="114300" distR="114300" simplePos="0" relativeHeight="251950080" behindDoc="0" locked="0" layoutInCell="1" allowOverlap="1" wp14:anchorId="26E1A4F6" wp14:editId="39822C09">
              <wp:simplePos x="0" y="0"/>
              <wp:positionH relativeFrom="page">
                <wp:posOffset>1536065</wp:posOffset>
              </wp:positionH>
              <wp:positionV relativeFrom="page">
                <wp:posOffset>667385</wp:posOffset>
              </wp:positionV>
              <wp:extent cx="0" cy="9427464"/>
              <wp:effectExtent l="0" t="0" r="19050" b="21590"/>
              <wp:wrapNone/>
              <wp:docPr id="14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sq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ZdAf&#10;iVsQacslQ+nD3Hen0zYHp1LujK+PnOWL3iry0yKpygbLAwssXy8aAlMfEd+F+I3VkGPffVMUfPDR&#10;qdCqc21aDwlNQOegyOWmCDs7RPpDAqeLbPKYzbKAjvNroDbWfWWqRd4oIgGsAzA+ba3zRHB+dfF5&#10;pNpwIYLgQqIOUKeTaQiwSnDqL72bNYd9KQw6YT8y4Rvy3rkZdZQ0gDUM0/VgO8xFb0NyIT0elAJ0&#10;BqufiV+LZLGer+fZKJvM1qMsqarRl02ZjWab9HFaPVRlWaW/PbU0yxtOKZOe3XU+0+z/9B9eSj9Z&#10;twm9tSG+Rw/9ArLXfyAdtPTy9YOwV/SyM1eNYSSD8/B8/My/3YP99pGv/g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JMQ7KhMCAAAsBAAADgAAAAAAAAAAAAAAAAAuAgAAZHJzL2Uyb0RvYy54bWxQSwECLQAUAAYACAAA&#10;ACEAf9siHN8AAAAMAQAADwAAAAAAAAAAAAAAAABtBAAAZHJzL2Rvd25yZXYueG1sUEsFBgAAAAAE&#10;AAQA8wAAAHkFAAAAAA==&#10;">
              <w10:wrap anchorx="page" anchory="page"/>
            </v:line>
          </w:pict>
        </mc:Fallback>
      </mc:AlternateConten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r>
      <w:t>Source Reference</w:t>
    </w:r>
    <w:r>
      <w:rPr>
        <w:noProof/>
        <w:lang w:val="en-AU"/>
      </w:rPr>
      <mc:AlternateContent>
        <mc:Choice Requires="wps">
          <w:drawing>
            <wp:anchor distT="0" distB="0" distL="114300" distR="114300" simplePos="0" relativeHeight="251960320" behindDoc="0" locked="0" layoutInCell="1" allowOverlap="1" wp14:anchorId="4A3F3FC9" wp14:editId="777ED005">
              <wp:simplePos x="0" y="0"/>
              <wp:positionH relativeFrom="page">
                <wp:posOffset>1536065</wp:posOffset>
              </wp:positionH>
              <wp:positionV relativeFrom="page">
                <wp:posOffset>667385</wp:posOffset>
              </wp:positionV>
              <wp:extent cx="0" cy="9427464"/>
              <wp:effectExtent l="0" t="0" r="19050" b="21590"/>
              <wp:wrapNone/>
              <wp:docPr id="35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PAFAIAACw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bRZJpF&#10;SOIWhrTjkqF0Mvfd6bQtwGkt98bXRy7yVe8U+W6RVOsGyyMLLN+uGgJTHxE/hPiN1ZDj0H1RFHzw&#10;yanQqkttWg8JTUCXMJHrfSLs4hDpDwmcLvLsKZ/lAR0Xt0BtrPvMVIu8UUYCWAdgfN5Z54ng4ubi&#10;80i15UKEgQuJOkCdZtMQYJXg1F96N2uOh7Uw6Iy9ZMI35H1wM+okaQBrGKabwXaYi96G5EJ6PCgF&#10;6AxWr4kfi2SxmW/m+SjPZptRnlTV6NN2nY9m2/RpWk2q9bpKf3pqaV40nFImPbubPtP87+Y/vJRe&#10;WXeF3tsQP6KHfgHZ2z+QDrP04+uFcFD0uje3GYMkg/PwfLzm3+/Bfv/IV7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MquE8AUAgAALAQAAA4AAAAAAAAAAAAAAAAALgIAAGRycy9lMm9Eb2MueG1sUEsBAi0AFAAGAAgA&#10;AAAhAH/bIhzfAAAADAEAAA8AAAAAAAAAAAAAAAAAbgQAAGRycy9kb3ducmV2LnhtbFBLBQYAAAAA&#10;BAAEAPMAAAB6BQAAAAA=&#10;">
              <w10:wrap anchorx="page" anchory="page"/>
            </v:line>
          </w:pict>
        </mc:Fallback>
      </mc:AlternateConten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r>
      <w:t>Source Reference</w:t>
    </w:r>
    <w:r>
      <w:rPr>
        <w:noProof/>
        <w:lang w:val="en-AU"/>
      </w:rPr>
      <mc:AlternateContent>
        <mc:Choice Requires="wps">
          <w:drawing>
            <wp:anchor distT="0" distB="0" distL="114300" distR="114300" simplePos="0" relativeHeight="251962368" behindDoc="0" locked="0" layoutInCell="1" allowOverlap="1" wp14:anchorId="29CB03B2" wp14:editId="6C599CD4">
              <wp:simplePos x="0" y="0"/>
              <wp:positionH relativeFrom="page">
                <wp:posOffset>1536065</wp:posOffset>
              </wp:positionH>
              <wp:positionV relativeFrom="page">
                <wp:posOffset>667385</wp:posOffset>
              </wp:positionV>
              <wp:extent cx="0" cy="9427464"/>
              <wp:effectExtent l="0" t="0" r="19050" b="21590"/>
              <wp:wrapNone/>
              <wp:docPr id="35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jn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JZF&#10;SOIWhrTjkqF0uvDd6bTNwamUe+PrIxf5qneKfLdIqrLB8sgCy7erhsDUR8QPIX5jNeQ4dF8UBR98&#10;ciq06lKb1kNCE9AlTOR6nwi7OET6QwKny2zylM2zgI7zW6A21n1mqkXeKCIBrAMwPu+s80RwfnPx&#10;eaTaciHCwIVEHaDOJrMQYJXg1F96N2uOh1IYdMZeMuEb8j64GXWSNIA1DNPNYDvMRW9DciE9HpQC&#10;dAar18SPZbLcLDaLbJRN5ptRllTV6NO2zEbzbfo0q6ZVWVbpT08tzfKGU8qkZ3fTZ5r93fyHl9Ir&#10;667QexviR/TQLyB7+wfSYZZ+fL0QDope9+Y2Y5BkcB6ej9f8+z3Y7x/5+hc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GAx6OcUAgAALAQAAA4AAAAAAAAAAAAAAAAALgIAAGRycy9lMm9Eb2MueG1sUEsBAi0AFAAGAAgA&#10;AAAhAH/bIhzfAAAADAEAAA8AAAAAAAAAAAAAAAAAbgQAAGRycy9kb3ducmV2LnhtbFBLBQYAAAAA&#10;BAAEAPMAAAB6BQAAAAA=&#10;">
              <w10:wrap anchorx="page" anchory="page"/>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682816" behindDoc="0" locked="0" layoutInCell="1" allowOverlap="0" wp14:anchorId="570B4E7A" wp14:editId="67CE8A37">
              <wp:simplePos x="0" y="0"/>
              <wp:positionH relativeFrom="page">
                <wp:posOffset>1536065</wp:posOffset>
              </wp:positionH>
              <wp:positionV relativeFrom="page">
                <wp:posOffset>667385</wp:posOffset>
              </wp:positionV>
              <wp:extent cx="0" cy="9427464"/>
              <wp:effectExtent l="0" t="0" r="19050" b="21590"/>
              <wp:wrapNone/>
              <wp:docPr id="8"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7"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roEgIAACs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VpEIJTE&#10;LUi045KhNE3mvjmdtjn4lHJvfHnkIp/1TpGfFklVNlgeWSD5ctUQmfqI+CHEb6yGFIfuq6Lgg09O&#10;hU5datN6SOgBugRBrndB2MUh0h8SOF1mk3k2ywI6zm+B2lj3hakWeaOIBNAOwPi8s84TwfnNxeeR&#10;asuFCHoLiTpAnU6mIcAqwam/9G7WHA+lMOiM/cSEb8j74GbUSdIA1jBMN4PtMBe9DcmF9HhQCtAZ&#10;rH4kfi2T5WaxWWSjbDLbjLKkqkaft2U2mm3T+bT6VJVllf721NIsbzilTHp2t/FMs7fJPzyUfrDu&#10;A3pvQ/yIHvoFZG//QDpo6eXrB+Gg6HVvbhrDRAbn4fX4kX+9B/v1G1//A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Dl&#10;7CroEgIAACsEAAAOAAAAAAAAAAAAAAAAAC4CAABkcnMvZTJvRG9jLnhtbFBLAQItABQABgAIAAAA&#10;IQB/2yIc3wAAAAwBAAAPAAAAAAAAAAAAAAAAAGwEAABkcnMvZG93bnJldi54bWxQSwUGAAAAAAQA&#10;BADzAAAAeAU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935B60" w:rsidRDefault="00841B85" w:rsidP="00190A01">
    <w:pPr>
      <w:pStyle w:val="SourceReference"/>
    </w:pPr>
    <w:r>
      <w:t>Source reference</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r>
      <w:t>Source Reference</w:t>
    </w:r>
    <w:r>
      <w:rPr>
        <w:noProof/>
        <w:lang w:val="en-AU"/>
      </w:rPr>
      <mc:AlternateContent>
        <mc:Choice Requires="wps">
          <w:drawing>
            <wp:anchor distT="0" distB="0" distL="114300" distR="114300" simplePos="0" relativeHeight="251954176" behindDoc="0" locked="0" layoutInCell="1" allowOverlap="1" wp14:anchorId="237EF32B" wp14:editId="58438559">
              <wp:simplePos x="0" y="0"/>
              <wp:positionH relativeFrom="page">
                <wp:posOffset>1536065</wp:posOffset>
              </wp:positionH>
              <wp:positionV relativeFrom="page">
                <wp:posOffset>667385</wp:posOffset>
              </wp:positionV>
              <wp:extent cx="0" cy="9427464"/>
              <wp:effectExtent l="0" t="0" r="19050" b="21590"/>
              <wp:wrapNone/>
              <wp:docPr id="14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Y5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2TRC&#10;Ercg0o5LhtLpwnen0zYHp1Luja+PXOSr3iny3SKpygbLIwss364aAlMfET+E+I3VkOPQfVEUfPDJ&#10;qdCqS21aDwlNQJegyPWuCLs4RPpDAqfLbPKUzbOAjvNboDbWfWaqRd4oIgGsAzA+76zzRHB+c/F5&#10;pNpyIYLgQqIOUGeTWQiwSnDqL72bNcdDKQw6Yz8y4RvyPrgZdZI0gDUM081gO8xFb0NyIT0elAJ0&#10;BqufiR/LZLlZbBbZKJvMN6MsqarRp22Zjebb9GlWTauyrNKfnlqa5Q2nlEnP7jafafZ3+g8vpZ+s&#10;+4Te2xA/ood+AdnbP5AOWnr5+kE4KHrdm5vGMJLBeXg+fubf78F+/8jXv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8QvGORMCAAAsBAAADgAAAAAAAAAAAAAAAAAuAgAAZHJzL2Uyb0RvYy54bWxQSwECLQAUAAYACAAA&#10;ACEAf9siHN8AAAAMAQAADwAAAAAAAAAAAAAAAABtBAAAZHJzL2Rvd25yZXYueG1sUEsFBgAAAAAE&#10;AAQA8wAAAHkFAAAAAA==&#10;">
              <w10:wrap anchorx="page" anchory="page"/>
            </v:line>
          </w:pict>
        </mc:Fallback>
      </mc:AlternateConten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E1A68">
    <w:pPr>
      <w:pStyle w:val="Header"/>
    </w:pPr>
    <w:r w:rsidRPr="00F42B4B">
      <w:rPr>
        <w:b/>
        <w:bCs/>
      </w:rPr>
      <w:t>Notes to the financial statements</w:t>
    </w:r>
    <w:r>
      <w:br/>
      <w:t>30 June 2016</w:t>
    </w:r>
  </w:p>
  <w:p w:rsidR="00841B85" w:rsidRPr="00CB19AD" w:rsidRDefault="00841B85" w:rsidP="002E1A68">
    <w:pPr>
      <w:pStyle w:val="Reference"/>
    </w:pPr>
    <w:r>
      <w:t>Source Reference</w:t>
    </w:r>
    <w:r>
      <w:rPr>
        <w:noProof/>
        <w:lang w:val="en-AU"/>
      </w:rPr>
      <mc:AlternateContent>
        <mc:Choice Requires="wps">
          <w:drawing>
            <wp:anchor distT="0" distB="0" distL="114300" distR="114300" simplePos="0" relativeHeight="251958272" behindDoc="0" locked="0" layoutInCell="1" allowOverlap="1" wp14:anchorId="56AF3D56" wp14:editId="1BD0FCB6">
              <wp:simplePos x="0" y="0"/>
              <wp:positionH relativeFrom="page">
                <wp:posOffset>1536065</wp:posOffset>
              </wp:positionH>
              <wp:positionV relativeFrom="page">
                <wp:posOffset>667385</wp:posOffset>
              </wp:positionV>
              <wp:extent cx="0" cy="9427464"/>
              <wp:effectExtent l="0" t="0" r="19050" b="21590"/>
              <wp:wrapNone/>
              <wp:docPr id="15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v6FA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TacR&#10;krgFkbZcMpQ+zH13Om1zcCrlzvj6yFm+6K0iPy2SqmywPLDA8vWiITD1EfFdiN9YDTn23TdFwQcf&#10;nQqtOtem9ZDQBHQOilxuirCzQ6Q/JHC6yCaP2SwL6Di/Bmpj3VemWuSNIhLAOgDj09Y6TwTnVxef&#10;R6oNFyIILiTqAHU6mYYAqwSn/tK7WXPYl8KgE/YjE74h752bUUdJA1jDMF0PtsNc9DYkF9LjQSlA&#10;Z7D6mfi1SBbr+XqejbLJbD3KkqoafdmU2Wi2SR+n1UNVllX621NLs7zhlDLp2V3nM83+T//hpfST&#10;dZvQWxvie/TQLyB7/QfSQUsvXz8Ie0UvO3PVGEYyOA/Px8/82z3Ybx/56g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Oggi/oUAgAALAQAAA4AAAAAAAAAAAAAAAAALgIAAGRycy9lMm9Eb2MueG1sUEsBAi0AFAAGAAgA&#10;AAAhAH/bIhzfAAAADAEAAA8AAAAAAAAAAAAAAAAAbgQAAGRycy9kb3ducmV2LnhtbFBLBQYAAAAA&#10;BAAEAPMAAAB6BQAAAAA=&#10;">
              <w10:wrap anchorx="page" anchory="page"/>
            </v:line>
          </w:pict>
        </mc:Fallback>
      </mc:AlternateConten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r w:rsidRPr="00F42B4B">
      <w:rPr>
        <w:b/>
        <w:bCs/>
      </w:rPr>
      <w:t>Notes to the financial statements</w:t>
    </w:r>
    <w:r>
      <w:br/>
      <w:t>30 June 2016</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sidRPr="00F42B4B">
      <w:rPr>
        <w:b/>
        <w:bCs/>
      </w:rPr>
      <w:t>Notes to the financial statements</w:t>
    </w:r>
    <w:r>
      <w:br/>
      <w:t>30 June 2016</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7F4AC7">
    <w:pPr>
      <w:pStyle w:val="Header"/>
    </w:pPr>
    <w:r w:rsidRPr="00F42B4B">
      <w:rPr>
        <w:b/>
        <w:bCs/>
      </w:rPr>
      <w:t>Notes to the financial statements</w:t>
    </w:r>
    <w:r>
      <w:br/>
      <w:t>30 June 2016</w:t>
    </w:r>
  </w:p>
  <w:p w:rsidR="00841B85" w:rsidRPr="00CB19AD" w:rsidRDefault="00841B85" w:rsidP="007F4AC7">
    <w:pPr>
      <w:pStyle w:val="Reference"/>
    </w:pPr>
    <w:r>
      <w:t>Source Reference</w:t>
    </w:r>
    <w:r>
      <w:rPr>
        <w:noProof/>
        <w:lang w:val="en-AU"/>
      </w:rPr>
      <mc:AlternateContent>
        <mc:Choice Requires="wps">
          <w:drawing>
            <wp:anchor distT="0" distB="0" distL="114300" distR="114300" simplePos="0" relativeHeight="251970560" behindDoc="0" locked="0" layoutInCell="1" allowOverlap="1" wp14:anchorId="77984B0F" wp14:editId="28846E2B">
              <wp:simplePos x="0" y="0"/>
              <wp:positionH relativeFrom="page">
                <wp:posOffset>1536065</wp:posOffset>
              </wp:positionH>
              <wp:positionV relativeFrom="page">
                <wp:posOffset>667385</wp:posOffset>
              </wp:positionV>
              <wp:extent cx="0" cy="9427464"/>
              <wp:effectExtent l="0" t="0" r="19050" b="21590"/>
              <wp:wrapNone/>
              <wp:docPr id="14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CS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ZWmE&#10;JG5BpC2XDKUPc9+dTtscnEq5M74+cpYveqvIT4ukKhssDyywfL1oCEx9RHwX4jdWQ459901R8MFH&#10;p0KrzrVpPSQ0AZ2DIpebIuzsEOkPCZwussljNssCOs6vgdpY95WpFnmjiASwDsD4tLXOE8H51cXn&#10;kWrDhQiCC4k6QJ1OpiHAKsGpv/Ru1hz2pTDohP3IhG/Ie+dm1FHSANYwTNeD7TAXvQ3JhfR4UArQ&#10;Gax+Jn4tksV6vp5no2wyW4+ypKpGXzZlNppt0sdp9VCVZZX+9tTSLG84pUx6dtf5TLP/0394Kf1k&#10;3Sb01ob4Hj30C8he/4F00NLL1w/CXtHLzlw1hpEMzsPz8TP/dg/220e++gM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qHxAkhMCAAAsBAAADgAAAAAAAAAAAAAAAAAuAgAAZHJzL2Uyb0RvYy54bWxQSwECLQAUAAYACAAA&#10;ACEAf9siHN8AAAAMAQAADwAAAAAAAAAAAAAAAABtBAAAZHJzL2Rvd25yZXYueG1sUEsFBgAAAAAE&#10;AAQA8wAAAHkFAAAAAA==&#10;">
              <w10:wrap anchorx="page" anchory="page"/>
            </v:line>
          </w:pict>
        </mc:Fallback>
      </mc:AlternateConten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7F4AC7">
    <w:pPr>
      <w:pStyle w:val="Header"/>
    </w:pPr>
    <w:r w:rsidRPr="00F42B4B">
      <w:rPr>
        <w:b/>
        <w:bCs/>
      </w:rPr>
      <w:t>Notes to the financial statements</w:t>
    </w:r>
    <w:r>
      <w:br/>
      <w:t>30 June 2016</w:t>
    </w:r>
  </w:p>
  <w:p w:rsidR="00841B85" w:rsidRPr="00CB19AD" w:rsidRDefault="00841B85" w:rsidP="007F4AC7">
    <w:pPr>
      <w:pStyle w:val="Reference"/>
    </w:pPr>
    <w:r>
      <w:t>Source Reference</w:t>
    </w:r>
    <w:r>
      <w:rPr>
        <w:noProof/>
        <w:lang w:val="en-AU"/>
      </w:rPr>
      <mc:AlternateContent>
        <mc:Choice Requires="wps">
          <w:drawing>
            <wp:anchor distT="0" distB="0" distL="114300" distR="114300" simplePos="0" relativeHeight="251972608" behindDoc="0" locked="0" layoutInCell="1" allowOverlap="1" wp14:anchorId="538FC779" wp14:editId="4DE456FB">
              <wp:simplePos x="0" y="0"/>
              <wp:positionH relativeFrom="page">
                <wp:posOffset>1536065</wp:posOffset>
              </wp:positionH>
              <wp:positionV relativeFrom="page">
                <wp:posOffset>667385</wp:posOffset>
              </wp:positionV>
              <wp:extent cx="0" cy="9427464"/>
              <wp:effectExtent l="0" t="0" r="19050" b="21590"/>
              <wp:wrapNone/>
              <wp:docPr id="146"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AN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ZbMI&#10;SdyCSFsuGUof5r47nbY5OJVyZ3x95Cxf9FaRnxZJVTZYHlhg+XrREJj6iPguxG+shhz77pui4IOP&#10;ToVWnWvTekhoAjoHRS43RdjZIdIfEjhdZJPHbJYFdJxfA7Wx7itTLfJGEQlgHYDxaWudJ4Lzq4vP&#10;I9WGCxEEFxJ1gDqdTEOAVYJTf+ndrDnsS2HQCfuRCd+Q987NqKOkAaxhmK4H22EuehuSC+nxoBSg&#10;M1j9TPxaJIv1fD3PRtlkth5lSVWNvmzKbDTbpI/T6qEqyyr97amlWd5wSpn07K7zmWb/p//wUvrJ&#10;uk3orQ3xPXroF5C9/gPpoKWXrx+EvaKXnblqDCMZnIfn42f+7R7st4989Qc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jlvADRMCAAAsBAAADgAAAAAAAAAAAAAAAAAuAgAAZHJzL2Uyb0RvYy54bWxQSwECLQAUAAYACAAA&#10;ACEAf9siHN8AAAAMAQAADwAAAAAAAAAAAAAAAABtBAAAZHJzL2Rvd25yZXYueG1sUEsFBgAAAAAE&#10;AAQA8wAAAHkFAAAAAA==&#10;">
              <w10:wrap anchorx="page" anchory="page"/>
            </v: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r>
      <w:rPr>
        <w:b/>
        <w:bCs/>
      </w:rPr>
      <w:t>Model report of operations</w:t>
    </w:r>
    <w:r w:rsidRPr="00935B60">
      <w:rPr>
        <w:b/>
        <w:bCs/>
      </w:rPr>
      <w:br/>
    </w:r>
    <w:r w:rsidRPr="00FB2642">
      <w:t>for Victorian Government Departments</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sidRPr="00F42B4B">
      <w:rPr>
        <w:b/>
        <w:bCs/>
      </w:rPr>
      <w:t>Notes to the financial statements</w:t>
    </w:r>
    <w:r>
      <w:br/>
      <w:t>30 June 2016</w:t>
    </w:r>
  </w:p>
  <w:p w:rsidR="00841B85" w:rsidRDefault="00841B85" w:rsidP="00AF7416">
    <w:pPr>
      <w:pStyle w:val="Reference"/>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AF7416">
    <w:pPr>
      <w:pStyle w:val="Header"/>
    </w:pPr>
    <w:r w:rsidRPr="00F42B4B">
      <w:rPr>
        <w:b/>
        <w:bCs/>
      </w:rPr>
      <w:t>Notes to the financial statements</w:t>
    </w:r>
    <w:r>
      <w:br/>
      <w:t>30 June 2016</w:t>
    </w:r>
  </w:p>
  <w:p w:rsidR="00841B85" w:rsidRDefault="00841B85" w:rsidP="002F5CC2">
    <w:pPr>
      <w:pStyle w:val="Reference"/>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704FC2">
    <w:pPr>
      <w:pStyle w:val="Header"/>
      <w:rPr>
        <w:b/>
        <w:bCs/>
      </w:rPr>
    </w:pPr>
    <w:r w:rsidRPr="00F42B4B">
      <w:rPr>
        <w:b/>
        <w:bCs/>
      </w:rPr>
      <w:t>Notes to the financial statements</w:t>
    </w:r>
    <w:r>
      <w:br/>
      <w:t>30 June 2016</w:t>
    </w:r>
  </w:p>
  <w:p w:rsidR="00841B85" w:rsidRPr="005040A2" w:rsidRDefault="00841B85" w:rsidP="00704FC2">
    <w:pPr>
      <w:pStyle w:val="SourceReference"/>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7F4AC7">
    <w:pPr>
      <w:pStyle w:val="Header"/>
    </w:pPr>
    <w:r w:rsidRPr="00F42B4B">
      <w:rPr>
        <w:b/>
        <w:bCs/>
      </w:rPr>
      <w:t>Notes to the financial statements</w:t>
    </w:r>
    <w:r>
      <w:br/>
      <w:t>30 June 2016</w:t>
    </w:r>
  </w:p>
  <w:p w:rsidR="00841B85" w:rsidRPr="00CB19AD" w:rsidRDefault="00841B85" w:rsidP="007F4AC7">
    <w:pPr>
      <w:pStyle w:val="Reference"/>
    </w:pPr>
    <w:r>
      <w:t>Source Reference</w:t>
    </w:r>
    <w:r>
      <w:rPr>
        <w:noProof/>
        <w:lang w:val="en-AU"/>
      </w:rPr>
      <mc:AlternateContent>
        <mc:Choice Requires="wps">
          <w:drawing>
            <wp:anchor distT="0" distB="0" distL="114300" distR="114300" simplePos="0" relativeHeight="251976704" behindDoc="0" locked="0" layoutInCell="1" allowOverlap="1" wp14:anchorId="5F11C0F6" wp14:editId="4724819F">
              <wp:simplePos x="0" y="0"/>
              <wp:positionH relativeFrom="page">
                <wp:posOffset>1536065</wp:posOffset>
              </wp:positionH>
              <wp:positionV relativeFrom="page">
                <wp:posOffset>667385</wp:posOffset>
              </wp:positionV>
              <wp:extent cx="0" cy="9427464"/>
              <wp:effectExtent l="0" t="0" r="19050" b="21590"/>
              <wp:wrapNone/>
              <wp:docPr id="35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0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PYU&#10;IYlbGNKOS4bS6cJ3p9M2B6dS7o2vj1zkq94p8t0iqcoGyyMLLN+uGgJTHxE/hPiN1ZDj0H1RFHzw&#10;yanQqkttWg8JTUCXMJHrfSLs4hDpDwmcLrPJUzbPAjrOb4HaWPeZqRZ5o4gEsA7A+LyzzhPB+c3F&#10;55Fqy4UIAxcSdYA6m8xCgFWCU3/p3aw5Hkph0Bl7yYRvyPvgZtRJ0gDWMEw3g+0wF70NyYX0eFAK&#10;0BmsXhM/lslys9gsslE2mW9GWVJVo0/bMhvNt+nTrJpWZVmlPz21NMsbTimTnt1Nn2n2d/MfXkqv&#10;rLtC722IH9FDv4Ds7R9Ih1n68fVCOCh63ZvbjEGSwXl4Pl7z7/dgv3/k6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LX+FfQUAgAALAQAAA4AAAAAAAAAAAAAAAAALgIAAGRycy9lMm9Eb2MueG1sUEsBAi0AFAAGAAgA&#10;AAAhAH/bIhzfAAAADAEAAA8AAAAAAAAAAAAAAAAAbgQAAGRycy9kb3ducmV2LnhtbFBLBQYAAAAA&#10;BAAEAPMAAAB6BQAAAAA=&#10;">
              <w10:wrap anchorx="page" anchory="page"/>
            </v:line>
          </w:pict>
        </mc:Fallback>
      </mc:AlternateConten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7F4AC7">
    <w:pPr>
      <w:pStyle w:val="Header"/>
    </w:pPr>
    <w:r w:rsidRPr="00F42B4B">
      <w:rPr>
        <w:b/>
        <w:bCs/>
      </w:rPr>
      <w:t>Notes to the financial statements</w:t>
    </w:r>
    <w:r>
      <w:br/>
      <w:t>30 June 2016</w:t>
    </w:r>
  </w:p>
  <w:p w:rsidR="00841B85" w:rsidRPr="00CB19AD" w:rsidRDefault="00841B85" w:rsidP="007F4AC7">
    <w:pPr>
      <w:pStyle w:val="Reference"/>
    </w:pPr>
    <w:r>
      <w:t>Source Reference</w:t>
    </w:r>
    <w:r>
      <w:rPr>
        <w:noProof/>
        <w:lang w:val="en-AU"/>
      </w:rPr>
      <mc:AlternateContent>
        <mc:Choice Requires="wps">
          <w:drawing>
            <wp:anchor distT="0" distB="0" distL="114300" distR="114300" simplePos="0" relativeHeight="251974656" behindDoc="0" locked="0" layoutInCell="1" allowOverlap="1" wp14:anchorId="7E195FAB" wp14:editId="2E782619">
              <wp:simplePos x="0" y="0"/>
              <wp:positionH relativeFrom="page">
                <wp:posOffset>1536065</wp:posOffset>
              </wp:positionH>
              <wp:positionV relativeFrom="page">
                <wp:posOffset>667385</wp:posOffset>
              </wp:positionV>
              <wp:extent cx="0" cy="9427464"/>
              <wp:effectExtent l="0" t="0" r="19050" b="21590"/>
              <wp:wrapNone/>
              <wp:docPr id="35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h4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DaN&#10;kMQtDGnHJUPpdOG702mbg1Mp98bXRy7yVe8U+W6RVGWD5ZEFlm9XDYGpj4gfQvzGashx6L4oCj74&#10;5FRo1aU2rYeEJqBLmMj1PhF2cYj0hwROl9nkKZtnAR3nt0BtrPvMVIu8UUQCWAdgfN5Z54ng/Obi&#10;80i15UKEgQuJOkCdTWYhwCrBqb/0btYcD6Uw6Iy9ZMI35H1wM+okaQBrGKabwXaYi96G5EJ6PCgF&#10;6AxWr4kfy2S5WWwW2SibzDejLKmq0adtmY3m2/RpVk2rsqzSn55amuUNp5RJz+6mzzT7u/kPL6VX&#10;1l2h9zbEj+ihX0D29g+kwyz9+HohHBS97s1txiDJ4Dw8H6/593uw3z/y9S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EYWaHgUAgAALAQAAA4AAAAAAAAAAAAAAAAALgIAAGRycy9lMm9Eb2MueG1sUEsBAi0AFAAGAAgA&#10;AAAhAH/bIhzfAAAADAEAAA8AAAAAAAAAAAAAAAAAbgQAAGRycy9kb3ducmV2LnhtbFBLBQYAAAAA&#10;BAAEAPMAAAB6BQAAAAA=&#10;">
              <w10:wrap anchorx="page" anchory="page"/>
            </v:line>
          </w:pict>
        </mc:Fallback>
      </mc:AlternateConten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7F4AC7">
    <w:pPr>
      <w:pStyle w:val="Header"/>
    </w:pPr>
    <w:r w:rsidRPr="00F42B4B">
      <w:rPr>
        <w:b/>
        <w:bCs/>
      </w:rPr>
      <w:t>Notes to the financial statements</w:t>
    </w:r>
    <w:r>
      <w:br/>
      <w:t>30 June 2016</w:t>
    </w:r>
  </w:p>
  <w:p w:rsidR="00841B85" w:rsidRPr="00CB19AD" w:rsidRDefault="00841B85" w:rsidP="007F4AC7">
    <w:pPr>
      <w:pStyle w:val="Reference"/>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26286F" w:rsidRDefault="00841B85">
    <w:pPr>
      <w:pStyle w:val="Header"/>
      <w:rPr>
        <w:b/>
      </w:rPr>
    </w:pPr>
    <w:r w:rsidRPr="00CC43A8">
      <w:rPr>
        <w:b/>
      </w:rPr>
      <w:t>A</w:t>
    </w:r>
    <w:r>
      <w:rPr>
        <w:b/>
      </w:rPr>
      <w:t>ppendix 1</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26286F" w:rsidRDefault="00841B85">
    <w:pPr>
      <w:pStyle w:val="Header"/>
      <w:rPr>
        <w:b/>
      </w:rPr>
    </w:pPr>
    <w:r w:rsidRPr="00CC43A8">
      <w:rPr>
        <w:b/>
      </w:rPr>
      <w:t>A</w:t>
    </w:r>
    <w:r>
      <w:rPr>
        <w:b/>
      </w:rPr>
      <w:t>ppendix 1</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26286F" w:rsidRDefault="00841B85">
    <w:pPr>
      <w:pStyle w:val="Header"/>
      <w:rPr>
        <w:b/>
      </w:rPr>
    </w:pPr>
    <w:r w:rsidRPr="00CC43A8">
      <w:rPr>
        <w:b/>
      </w:rPr>
      <w:t>A</w:t>
    </w:r>
    <w:r>
      <w:rPr>
        <w:b/>
      </w:rPr>
      <w:t>ppendix 1</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540F7E">
    <w:pPr>
      <w:pStyle w:val="Header"/>
      <w:rPr>
        <w:b/>
        <w:bCs/>
      </w:rPr>
    </w:pPr>
    <w:r>
      <w:rPr>
        <w:noProof/>
      </w:rPr>
      <mc:AlternateContent>
        <mc:Choice Requires="wps">
          <w:drawing>
            <wp:anchor distT="0" distB="0" distL="114300" distR="114300" simplePos="0" relativeHeight="251667456" behindDoc="0" locked="0" layoutInCell="1" allowOverlap="0" wp14:anchorId="0F2038BA" wp14:editId="622CE44D">
              <wp:simplePos x="0" y="0"/>
              <wp:positionH relativeFrom="page">
                <wp:posOffset>1536065</wp:posOffset>
              </wp:positionH>
              <wp:positionV relativeFrom="page">
                <wp:posOffset>667385</wp:posOffset>
              </wp:positionV>
              <wp:extent cx="0" cy="9427464"/>
              <wp:effectExtent l="0" t="0" r="19050" b="21590"/>
              <wp:wrapNone/>
              <wp:docPr id="9"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J5EwIAACs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V5gpEgL&#10;I9oJxVGWLrLQnM64AnzWam9DefSiXsxO068OKb1uiDrySPL1aiAyRiQPIWHjDKQ4dB81Ax9y8jp2&#10;6lLbNkBCD9AlDuR6Hwi/eET7Qwqni3zylM/ywCchxS3QWOc/cN2iYJRYAu0ITM4753vXm0vIo/RW&#10;SBnnLRXqAHU6mcYAp6Vg4TK4OXs8rKVFZxIUE78h74Ob1SfFIljDCdsMtidC9jbwlCrgQSlAZ7B6&#10;SXxbpIvNfDPPR/lkthnlaVWN3m/X+Wi2zZ6m1btqva6y74FalheNYIyrwO4mzyz/u/EPD6UX1l2g&#10;9zYkj+ixtUD29o+k4yzD+HohHDS77m1obRgrKDI6D68nSP7XffT6+cZXP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BoXSeRMCAAAr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5040A2" w:rsidRDefault="00841B85" w:rsidP="00540F7E">
    <w:pPr>
      <w:pStyle w:val="SourceReference"/>
    </w:pPr>
    <w:r>
      <w:t>Source reference</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26286F" w:rsidRDefault="00841B85">
    <w:pPr>
      <w:pStyle w:val="Header"/>
      <w:rPr>
        <w:b/>
      </w:rPr>
    </w:pPr>
    <w:r w:rsidRPr="00CC43A8">
      <w:rPr>
        <w:b/>
      </w:rPr>
      <w:t>A</w:t>
    </w:r>
    <w:r>
      <w:rPr>
        <w:b/>
      </w:rPr>
      <w:t>ppendix 1</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26286F" w:rsidRDefault="00841B85">
    <w:pPr>
      <w:pStyle w:val="Header"/>
      <w:rPr>
        <w:b/>
      </w:rPr>
    </w:pPr>
    <w:r w:rsidRPr="00CC43A8">
      <w:rPr>
        <w:b/>
      </w:rPr>
      <w:t>A</w:t>
    </w:r>
    <w:r>
      <w:rPr>
        <w:b/>
      </w:rPr>
      <w:t>ppendix 1</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26286F" w:rsidRDefault="00841B85">
    <w:pPr>
      <w:pStyle w:val="Header"/>
      <w:rPr>
        <w:b/>
      </w:rPr>
    </w:pPr>
    <w:r w:rsidRPr="00CC43A8">
      <w:rPr>
        <w:b/>
      </w:rPr>
      <w:t>A</w:t>
    </w:r>
    <w:r>
      <w:rPr>
        <w:b/>
      </w:rPr>
      <w:t>ppendix 1</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26286F" w:rsidRDefault="00841B85">
    <w:pPr>
      <w:pStyle w:val="Header"/>
      <w:rPr>
        <w:b/>
      </w:rPr>
    </w:pPr>
    <w:r w:rsidRPr="00CC43A8">
      <w:rPr>
        <w:b/>
      </w:rPr>
      <w:t>A</w:t>
    </w:r>
    <w:r>
      <w:rPr>
        <w:b/>
      </w:rPr>
      <w:t>ppendix 1</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rsidP="00DB6194">
    <w:pPr>
      <w:pStyle w:val="Header"/>
      <w:rPr>
        <w:b/>
      </w:rPr>
    </w:pPr>
    <w:r w:rsidRPr="00CC43A8">
      <w:rPr>
        <w:b/>
      </w:rPr>
      <w:t>Appendix</w:t>
    </w:r>
    <w:r>
      <w:rPr>
        <w:b/>
      </w:rPr>
      <w:t xml:space="preserve"> 2</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rsidP="00DB6194">
    <w:pPr>
      <w:pStyle w:val="Header"/>
      <w:rPr>
        <w:b/>
      </w:rPr>
    </w:pPr>
    <w:r w:rsidRPr="00CC43A8">
      <w:rPr>
        <w:b/>
      </w:rPr>
      <w:t>A</w:t>
    </w:r>
    <w:r>
      <w:rPr>
        <w:b/>
      </w:rPr>
      <w:t>ppendix 2</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rsidP="00540F7E">
    <w:pPr>
      <w:pStyle w:val="Header"/>
      <w:rPr>
        <w:b/>
      </w:rPr>
    </w:pPr>
    <w:r w:rsidRPr="00CC43A8">
      <w:rPr>
        <w:b/>
      </w:rPr>
      <w:t xml:space="preserve">Appendix </w:t>
    </w:r>
    <w:r>
      <w:rPr>
        <w:b/>
      </w:rPr>
      <w:t>3</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rsidP="00DB6194">
    <w:pPr>
      <w:pStyle w:val="Header"/>
      <w:rPr>
        <w:b/>
      </w:rPr>
    </w:pPr>
    <w:r w:rsidRPr="00CC43A8">
      <w:rPr>
        <w:b/>
      </w:rPr>
      <w:t>A</w:t>
    </w:r>
    <w:r>
      <w:rPr>
        <w:b/>
      </w:rPr>
      <w:t>ppendix 3</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rsidP="00540F7E">
    <w:pPr>
      <w:pStyle w:val="Header"/>
      <w:rPr>
        <w:b/>
      </w:rPr>
    </w:pPr>
    <w:r w:rsidRPr="00CC43A8">
      <w:rPr>
        <w:b/>
      </w:rPr>
      <w:t xml:space="preserve">Appendix </w:t>
    </w:r>
    <w:r>
      <w:rPr>
        <w:b/>
      </w:rPr>
      <w:t>4</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37C0D" w:rsidRDefault="00841B85">
    <w:pPr>
      <w:pStyle w:val="Header"/>
      <w:rPr>
        <w:sz w:val="24"/>
        <w:szCs w:val="24"/>
      </w:rPr>
    </w:pPr>
    <w:r w:rsidRPr="00CC43A8">
      <w:rPr>
        <w:b/>
      </w:rPr>
      <w:t xml:space="preserve">Appendix </w:t>
    </w:r>
    <w:r>
      <w:rPr>
        <w:b/>
      </w:rPr>
      <w:t>4</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rsidP="00540F7E">
    <w:pPr>
      <w:pStyle w:val="Header"/>
      <w:rPr>
        <w:b/>
      </w:rPr>
    </w:pPr>
    <w:r w:rsidRPr="00CC43A8">
      <w:rPr>
        <w:b/>
      </w:rPr>
      <w:t xml:space="preserve">Appendix </w:t>
    </w:r>
    <w:r>
      <w:rPr>
        <w:b/>
      </w:rPr>
      <w:t>5</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pPr>
      <w:pStyle w:val="Header"/>
      <w:rPr>
        <w:b/>
      </w:rPr>
    </w:pPr>
    <w:r w:rsidRPr="00CC43A8">
      <w:rPr>
        <w:b/>
      </w:rPr>
      <w:t xml:space="preserve">Appendix </w:t>
    </w:r>
    <w:r>
      <w:rPr>
        <w:b/>
      </w:rPr>
      <w:t>5</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37C0D" w:rsidRDefault="00841B85">
    <w:pPr>
      <w:pStyle w:val="Header"/>
      <w:rPr>
        <w:sz w:val="24"/>
        <w:szCs w:val="24"/>
      </w:rPr>
    </w:pPr>
    <w:r w:rsidRPr="00CC43A8">
      <w:rPr>
        <w:b/>
      </w:rPr>
      <w:t xml:space="preserve">Appendix </w:t>
    </w:r>
    <w:r>
      <w:rPr>
        <w:b/>
      </w:rPr>
      <w:t>5</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930624" behindDoc="0" locked="0" layoutInCell="1" allowOverlap="0" wp14:anchorId="2D730CE3" wp14:editId="31C22C85">
              <wp:simplePos x="0" y="0"/>
              <wp:positionH relativeFrom="page">
                <wp:posOffset>1536065</wp:posOffset>
              </wp:positionH>
              <wp:positionV relativeFrom="page">
                <wp:posOffset>667385</wp:posOffset>
              </wp:positionV>
              <wp:extent cx="0" cy="9427464"/>
              <wp:effectExtent l="0" t="0" r="19050" b="21590"/>
              <wp:wrapNone/>
              <wp:docPr id="242"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bD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M8i&#10;JHEHQ9pxyVCaLFPfnl7bArwquTe+QHKRL3qnyFeLpKpaLI8s0Hy9aogMEfFDiN9YDUkO/UdFwQef&#10;nAq9ujSm85DQBXQJI7neR8IuDpHhkMDpMs+e8nnu+cS4uAVqY90HpjrkjTISQDsA4/POusH15uLz&#10;SLXlQoSJC4l6QJ1lsxBgleDUX3o3a46HShh0xl4z4RvzPrgZdZI0gLUM081oO8zFYANPIT0elAJ0&#10;RmsQxbdlstwsNot8kmfzzSRP6nryflvlk/k2fZrV7+qqqtPvnlqaFy2nlEnP7ibQNP87AYxPZZDW&#10;XaL3NsSP6KG1QPb2D6TDLP34BiEcFL3ujW+tHytoMjiP78eL/td98Pr5ytc/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TvAbDFQIAAC0EAAAOAAAAAAAAAAAAAAAAAC4CAABkcnMvZTJvRG9jLnhtbFBLAQItABQABgAI&#10;AAAAIQB/2yIc3wAAAAwBAAAPAAAAAAAAAAAAAAAAAG8EAABkcnMvZG93bnJldi54bWxQSwUGAAAA&#10;AAQABADzAAAAewUAAAAA&#10;" o:allowoverlap="f">
              <w10:wrap anchorx="page" anchory="page"/>
            </v:line>
          </w:pict>
        </mc:Fallback>
      </mc:AlternateContent>
    </w:r>
    <w:r>
      <w:rPr>
        <w:b/>
        <w:bCs/>
      </w:rPr>
      <w:t>Appendix 6</w:t>
    </w:r>
    <w:r w:rsidRPr="00935B60">
      <w:rPr>
        <w:b/>
        <w:bCs/>
      </w:rPr>
      <w:br/>
    </w:r>
  </w:p>
  <w:p w:rsidR="00841B85" w:rsidRPr="005040A2" w:rsidRDefault="00841B85" w:rsidP="00190A01">
    <w:pPr>
      <w:pStyle w:val="SourceReference"/>
    </w:pPr>
    <w:r>
      <w:t>Source reference</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929600" behindDoc="0" locked="0" layoutInCell="1" allowOverlap="0" wp14:anchorId="0132ABCF" wp14:editId="0FF5CE3D">
              <wp:simplePos x="0" y="0"/>
              <wp:positionH relativeFrom="page">
                <wp:posOffset>1536065</wp:posOffset>
              </wp:positionH>
              <wp:positionV relativeFrom="page">
                <wp:posOffset>667385</wp:posOffset>
              </wp:positionV>
              <wp:extent cx="0" cy="9427464"/>
              <wp:effectExtent l="0" t="0" r="19050" b="21590"/>
              <wp:wrapNone/>
              <wp:docPr id="243"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AnFgIAAC0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flD&#10;hCTuYEjPXDKUJsvUt6fXtgCvSu6ML5Cc5at+VuSrRVJVLZYHFmi+XTREhoj4LsRvrIYk+/6TouCD&#10;j06FXp0b03lI6AI6h5FcbiNhZ4fIcEjgdJlnj/k893xiXFwDtbHuI1Md8kYZCaAdgPHp2brB9eri&#10;80i15UKEiQuJekCdZbMQYJXg1F96N2sO+0oYdMJeM+Eb8965GXWUNIC1DNPNaDvMxWADTyE9HpQC&#10;dEZrEMW3ZbLcLDaLfJJn880kT+p68mFb5ZP5Nn2c1Q91VdXpd08tzYuWU8qkZ3cVaJr/nQDGpzJI&#10;6ybRWxvie/TQWiB7/QfSYZZ+fIMQ9opedsa31o8VNBmcx/fjRf/rPnj9fOXrHwAAAP//AwBQSwME&#10;FAAGAAgAAAAhAH/bIhzfAAAADAEAAA8AAABkcnMvZG93bnJldi54bWxMj8FOwzAQRO9I/IO1SFyq&#10;1k6gpQ1xKgTk1gsFxHUbL0lEbKex2wa+nkUc4LgzT7Mz+Xq0nTjSEFrvNCQzBYJc5U3rag0vz+V0&#10;CSJEdAY770jDJwVYF+dnOWbGn9wTHbexFhziQoYamhj7TMpQNWQxzHxPjr13P1iMfA61NAOeONx2&#10;MlVqIS22jj802NN9Q9XH9mA1hPKV9uXXpJqot6vaU7p/2Dyi1pcX490tiEhj/IPhpz5Xh4I77fzB&#10;mSA6Del1smKUDTVPQDDxq+xYmS9XNyCLXP4fUXwDAAD//wMAUEsBAi0AFAAGAAgAAAAhALaDOJL+&#10;AAAA4QEAABMAAAAAAAAAAAAAAAAAAAAAAFtDb250ZW50X1R5cGVzXS54bWxQSwECLQAUAAYACAAA&#10;ACEAOP0h/9YAAACUAQAACwAAAAAAAAAAAAAAAAAvAQAAX3JlbHMvLnJlbHNQSwECLQAUAAYACAAA&#10;ACEA4AiwJxYCAAAtBAAADgAAAAAAAAAAAAAAAAAuAgAAZHJzL2Uyb0RvYy54bWxQSwECLQAUAAYA&#10;CAAAACEAf9siHN8AAAAMAQAADwAAAAAAAAAAAAAAAABwBAAAZHJzL2Rvd25yZXYueG1sUEsFBgAA&#10;AAAEAAQA8wAAAHwFAAAAAA==&#10;" o:allowoverlap="f">
              <w10:wrap anchorx="page" anchory="page"/>
            </v:line>
          </w:pict>
        </mc:Fallback>
      </mc:AlternateContent>
    </w:r>
    <w:r>
      <w:rPr>
        <w:b/>
        <w:bCs/>
      </w:rPr>
      <w:t>Appendix 6</w:t>
    </w:r>
    <w:r w:rsidRPr="00935B60">
      <w:rPr>
        <w:b/>
        <w:bCs/>
      </w:rPr>
      <w:t xml:space="preserve"> </w:t>
    </w:r>
    <w:r>
      <w:rPr>
        <w:b/>
        <w:bCs/>
      </w:rPr>
      <w:br/>
    </w:r>
  </w:p>
  <w:p w:rsidR="00841B85" w:rsidRPr="005040A2" w:rsidRDefault="00841B85" w:rsidP="00190A01">
    <w:pPr>
      <w:pStyle w:val="SourceReference"/>
    </w:pPr>
    <w:r>
      <w:t>Source reference</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933696" behindDoc="0" locked="0" layoutInCell="1" allowOverlap="0" wp14:anchorId="63F5A9D0" wp14:editId="628089FB">
              <wp:simplePos x="0" y="0"/>
              <wp:positionH relativeFrom="page">
                <wp:posOffset>1536065</wp:posOffset>
              </wp:positionH>
              <wp:positionV relativeFrom="page">
                <wp:posOffset>667385</wp:posOffset>
              </wp:positionV>
              <wp:extent cx="0" cy="9427464"/>
              <wp:effectExtent l="0" t="0" r="19050" b="21590"/>
              <wp:wrapNone/>
              <wp:docPr id="219"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G+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F1G&#10;SOIOhrTjkqE0Waa+Pb22BXhVcm98geQiX/ROka8WSVW1WB5ZoPl61RAZIuKHEL+xGpIc+o+Kgg8+&#10;ORV6dWlM5yGhC+gSRnK9j4RdHCLDIYHTZZ495fPc84lxcQvUxroPTHXIG2UkgHYAxueddYPrzcXn&#10;kWrLhQgTFxL1gDrLZiHAKsGpv/Ru1hwPlTDojL1mwjfmfXAz6iRpAGsZppvRdpiLwQaeQno8KAXo&#10;jNYgim/LZLlZbBb5JM/mm0me1PXk/bbKJ/Nt+jSr39VVVaffPbU0L1pOKZOe3U2gaf53AhifyiCt&#10;u0TvbYgf0UNrgeztH0iHWfrxDUI4KHrdG99aP1bQZHAe348X/a/74PXzla9/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CQ2xG+FQIAAC0EAAAOAAAAAAAAAAAAAAAAAC4CAABkcnMvZTJvRG9jLnhtbFBLAQItABQABgAI&#10;AAAAIQB/2yIc3wAAAAwBAAAPAAAAAAAAAAAAAAAAAG8EAABkcnMvZG93bnJldi54bWxQSwUGAAAA&#10;AAQABADzAAAAewUAAAAA&#10;" o:allowoverlap="f">
              <w10:wrap anchorx="page" anchory="page"/>
            </v:line>
          </w:pict>
        </mc:Fallback>
      </mc:AlternateContent>
    </w:r>
    <w:r>
      <w:rPr>
        <w:b/>
        <w:bCs/>
      </w:rPr>
      <w:t>Appendix 6</w:t>
    </w:r>
    <w:r w:rsidRPr="00935B60">
      <w:rPr>
        <w:b/>
        <w:bCs/>
      </w:rPr>
      <w:t xml:space="preserve"> </w:t>
    </w:r>
    <w:r>
      <w:rPr>
        <w:b/>
        <w:bCs/>
      </w:rPr>
      <w:br/>
    </w:r>
  </w:p>
  <w:p w:rsidR="00841B85" w:rsidRPr="005040A2" w:rsidRDefault="00841B85" w:rsidP="00190A01">
    <w:pPr>
      <w:pStyle w:val="SourceReference"/>
    </w:pPr>
    <w:r>
      <w:t>Source reference</w:t>
    </w:r>
  </w:p>
  <w:p w:rsidR="00841B85" w:rsidRPr="00C508CB" w:rsidRDefault="00841B85" w:rsidP="00190A01">
    <w:pPr>
      <w:pStyle w:val="Heade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37C0D" w:rsidRDefault="00841B85">
    <w:pPr>
      <w:pStyle w:val="Header"/>
      <w:rPr>
        <w:sz w:val="24"/>
        <w:szCs w:val="24"/>
      </w:rPr>
    </w:pPr>
    <w:r>
      <w:rPr>
        <w:noProof/>
      </w:rPr>
      <mc:AlternateContent>
        <mc:Choice Requires="wps">
          <w:drawing>
            <wp:anchor distT="0" distB="0" distL="114300" distR="114300" simplePos="0" relativeHeight="251932672" behindDoc="0" locked="0" layoutInCell="1" allowOverlap="0" wp14:anchorId="783A5C9D" wp14:editId="71FFEB98">
              <wp:simplePos x="0" y="0"/>
              <wp:positionH relativeFrom="page">
                <wp:posOffset>1536065</wp:posOffset>
              </wp:positionH>
              <wp:positionV relativeFrom="page">
                <wp:posOffset>667385</wp:posOffset>
              </wp:positionV>
              <wp:extent cx="0" cy="9427464"/>
              <wp:effectExtent l="0" t="0" r="19050" b="21590"/>
              <wp:wrapNone/>
              <wp:docPr id="220"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LlFAIAAC0EAAAOAAAAZHJzL2Uyb0RvYy54bWysU8uu2jAQ3VfqP1jZQx4NXIgIV1UC3dAW&#10;6d5+gLEdYtWxLdsQUNV/79gJtLSbqmoWjh8zx2fOHK+eL51AZ2YsV7KM0mkSISaJolwey+jL63ay&#10;iJB1WFIslGRldGU2el6/fbPqdcEy1SpBmUEAIm3R6zJqndNFHFvSsg7bqdJMwmGjTIcdLM0xpgb3&#10;gN6JOEuSedwrQ7VRhFkLu/VwGK0DftMw4j43jWUOiTICbi6MJowHP8brFS6OBuuWk5EG/gcWHeYS&#10;Lr1D1dhhdDL8D6iOE6OsatyUqC5WTcMJCzVANWnyWzUvLdYs1ALiWH2Xyf4/WPLpvDeI0zLKMtBH&#10;4g6atOOSoTRZpl6eXtsCoiq5N75AcpEveqfIV4ukqlosjyzQfL1qyAwZ8UOKX1gNlxz6j4pCDD45&#10;FbS6NKbzkKACuoSWXO8tYReHyLBJYHeZZ0/5PPd8YlzcErWx7gNTHfKTMhJAOwDj8866IfQW4u+R&#10;asuFCB0XEvWAOstmIcEqwak/9GHWHA+VMOiMvWfCN977EGbUSdIA1jJMN+PcYS6GOfAU0uNBKUBn&#10;nA2m+LZMlpvFZpFP8my+meRJXU/eb6t8Mt+mT7P6XV1VdfrdU0vzouWUMunZ3Qya5n9ngPGpDNa6&#10;W/QuQ/yIHqQFsrd/IB166ds3GOGg6HVvvLS+reDJEDy+H2/6X9ch6ucrX/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DkuQuUUAgAALQQAAA4AAAAAAAAAAAAAAAAALgIAAGRycy9lMm9Eb2MueG1sUEsBAi0AFAAGAAgA&#10;AAAhAH/bIhzfAAAADAEAAA8AAAAAAAAAAAAAAAAAbgQAAGRycy9kb3ducmV2LnhtbFBLBQYAAAAA&#10;BAAEAPMAAAB6BQAAAAA=&#10;" o:allowoverlap="f">
              <w10:wrap anchorx="page" anchory="page"/>
            </v:line>
          </w:pict>
        </mc:Fallback>
      </mc:AlternateContent>
    </w:r>
    <w:r w:rsidRPr="00CC43A8">
      <w:rPr>
        <w:b/>
      </w:rPr>
      <w:t xml:space="preserve">Appendix </w:t>
    </w:r>
    <w:r>
      <w:rPr>
        <w:b/>
      </w:rPr>
      <w:t>6</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37C0D" w:rsidRDefault="00841B85">
    <w:pPr>
      <w:pStyle w:val="Header"/>
      <w:rPr>
        <w:sz w:val="24"/>
        <w:szCs w:val="24"/>
      </w:rPr>
    </w:pPr>
    <w:r w:rsidRPr="00CC43A8">
      <w:rPr>
        <w:b/>
      </w:rPr>
      <w:t xml:space="preserve">Appendix </w:t>
    </w:r>
    <w:r>
      <w:rPr>
        <w:b/>
      </w:rPr>
      <w:t>6</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pPr>
      <w:pStyle w:val="Header"/>
      <w:rPr>
        <w:b/>
      </w:rPr>
    </w:pPr>
    <w:r w:rsidRPr="00CC43A8">
      <w:rPr>
        <w:b/>
      </w:rPr>
      <w:t xml:space="preserve">Appendix </w:t>
    </w:r>
    <w:r>
      <w:rPr>
        <w:b/>
      </w:rPr>
      <w:t>7</w:t>
    </w:r>
  </w:p>
  <w:p w:rsidR="00841B85" w:rsidRDefault="00841B85"/>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7146D4" w:rsidRDefault="00841B85">
    <w:pPr>
      <w:pStyle w:val="Header"/>
      <w:rPr>
        <w:sz w:val="32"/>
        <w:szCs w:val="32"/>
      </w:rPr>
    </w:pPr>
    <w:r w:rsidRPr="00CC43A8">
      <w:rPr>
        <w:b/>
      </w:rPr>
      <w:t xml:space="preserve">Appendix </w:t>
    </w:r>
    <w:r>
      <w:rPr>
        <w:b/>
      </w:rPr>
      <w:t>7</w:t>
    </w:r>
  </w:p>
  <w:p w:rsidR="00841B85" w:rsidRDefault="00841B85"/>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688960" behindDoc="0" locked="0" layoutInCell="1" allowOverlap="0" wp14:anchorId="0407C38F" wp14:editId="38E5EFBC">
              <wp:simplePos x="0" y="0"/>
              <wp:positionH relativeFrom="page">
                <wp:posOffset>1536065</wp:posOffset>
              </wp:positionH>
              <wp:positionV relativeFrom="page">
                <wp:posOffset>667385</wp:posOffset>
              </wp:positionV>
              <wp:extent cx="0" cy="9427464"/>
              <wp:effectExtent l="0" t="0" r="19050" b="21590"/>
              <wp:wrapNone/>
              <wp:docPr id="35"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0"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KTFAIAACw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HDFCNF&#10;OqjRs1AcZVka1emNK8CpUlsb8qMn9WqeNf3ukNJVS9SeR5ZvZwMvs6BncvckbJyBGLv+i2bgQw5e&#10;R6lOje0CJIiATrEi51tF+MkjejmkcLrIJ4/5LI/opLg+NNb5z1x3KBgllkA7ApPjs/OBCCmuLiGO&#10;0hshZSy4VKgH1OlkGh84LQULl8HN2f2ukhYdSWiZ+A1x79ysPigWwVpO2HqwPRHyYkNwqQIepAJ0&#10;BuvSEz8W6WI9X8/zUT6ZrUd5WtejT5sqH8022eO0fqirqs5+BmpZXrSCMa4Cu2t/Zvnf1X+YlEtn&#10;3Tr0JkNyjx71ArLXfyQdaxnKFwbKFTvNzlt7rTG0ZHQexif0/Ps92O+HfPUL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F1mgpMUAgAALAQAAA4AAAAAAAAAAAAAAAAALgIAAGRycy9lMm9Eb2MueG1sUEsBAi0AFAAGAAgA&#10;AAAhAH/bIhzfAAAADA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935B60" w:rsidRDefault="00841B85" w:rsidP="00190A01">
    <w:pPr>
      <w:pStyle w:val="SourceReference"/>
    </w:pPr>
    <w:r>
      <w:t>Source reference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675648" behindDoc="0" locked="0" layoutInCell="1" allowOverlap="0" wp14:anchorId="6382EF44" wp14:editId="3121FCB7">
              <wp:simplePos x="0" y="0"/>
              <wp:positionH relativeFrom="page">
                <wp:posOffset>1536065</wp:posOffset>
              </wp:positionH>
              <wp:positionV relativeFrom="page">
                <wp:posOffset>667385</wp:posOffset>
              </wp:positionV>
              <wp:extent cx="0" cy="9427464"/>
              <wp:effectExtent l="0" t="0" r="19050" b="21590"/>
              <wp:wrapNone/>
              <wp:docPr id="10"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0"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T2EwIAACwEAAAOAAAAZHJzL2Uyb0RvYy54bWysU02P2jAQvVfqf7Byh3w0sBARVlUCvdAW&#10;abc/wNgOserYlm0IqOp/79gkaGkvVdUcnLE9fvPmzczq+dIJdGbGciXLKJ0mEWKSKMrlsYy+vW4n&#10;iwhZhyXFQklWRldmo+f1+3erXhcsU60SlBkEINIWvS6j1jldxLElLeuwnSrNJFw2ynTYwdYcY2pw&#10;D+idiLMkmce9MlQbRZi1cFrfLqN1wG8aRtzXprHMIVFGwM2F1YT14Nd4vcLF0WDdcjLQwP/AosNc&#10;QtA7VI0dRifD/4DqODHKqsZNiepi1TScsJADZJMmv2Xz0mLNQi4gjtV3mez/gyVfznuDOIXagTwS&#10;d1CjHZcMpWkS1Om1LcCpknvj8yMX+aJ3iny3SKqqxfLIAsvXq4aXqdczfnjiN1ZDjEP/WVHwwSen&#10;glSXxnQeEkRAl1CR670i7OIQuR0SOF3m2VM+zwM6LsaH2lj3iakOeaOMBNAOwPi8s84TwcXo4uNI&#10;teVChIILiXpAnWWz8MAqwam/9G7WHA+VMOiMfcuEb4j74GbUSdIA1jJMN4PtMBc3G4IL6fEgFaAz&#10;WLee+LFMlpvFZpFP8my+meRJXU8+bqt8Mt+mT7P6Q11VdfrTU0vzouWUMunZjf2Z5n9X/2FSbp11&#10;79C7DPEjetALyI7/QDrU0pfPD5QtDope92asMbRkcB7Gx/f82z3Yb4d8/Qs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pKUU9h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935B60" w:rsidRDefault="00841B85" w:rsidP="00190A01">
    <w:pPr>
      <w:pStyle w:val="SourceReference"/>
    </w:pPr>
    <w:r>
      <w:t>Source reference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540F7E">
    <w:pPr>
      <w:pStyle w:val="Header"/>
      <w:rPr>
        <w:b/>
        <w:bCs/>
      </w:rPr>
    </w:pPr>
    <w:r>
      <w:rPr>
        <w:noProof/>
      </w:rPr>
      <mc:AlternateContent>
        <mc:Choice Requires="wps">
          <w:drawing>
            <wp:anchor distT="0" distB="0" distL="114300" distR="114300" simplePos="0" relativeHeight="251668480" behindDoc="0" locked="0" layoutInCell="1" allowOverlap="0" wp14:anchorId="76C886FA" wp14:editId="05EF1358">
              <wp:simplePos x="0" y="0"/>
              <wp:positionH relativeFrom="page">
                <wp:posOffset>1536065</wp:posOffset>
              </wp:positionH>
              <wp:positionV relativeFrom="page">
                <wp:posOffset>667385</wp:posOffset>
              </wp:positionV>
              <wp:extent cx="0" cy="9427464"/>
              <wp:effectExtent l="0" t="0" r="19050" b="21590"/>
              <wp:wrapNone/>
              <wp:docPr id="11"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ggEw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RGS&#10;uAONdlwylCbLzHen17YAp0ruja+PXOSL3iny3SKpqhbLIwssX68aIlMfET+E+I3VkOPQf1YUfPDJ&#10;qdCqS2M6DwlNQJegyPWuCLs4RIZDAqfLPHvK53lAx8UtUBvrPjHVIW+UkQDaARifd9Z5Iri4ufg8&#10;Um25EEFwIVEPqLNsFgKsEpz6S+9mzfFQCYPO2I9M+Ma8D25GnSQNYC3DdDPaDnMx2JBcSI8HpQCd&#10;0Rpm4scyWW4Wm0U+ybP5ZpIndT35uK3yyXybPs3qD3VV1elPTy3Ni5ZTyqRnd5vPNP87/ceXMkzW&#10;fULvbYgf0UO/gOztH0gHLb18wyAcFL3uzU1jGMngPD4fP/Nv92C/feTrX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tTF4IB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5040A2" w:rsidRDefault="00841B85" w:rsidP="00540F7E">
    <w:pPr>
      <w:pStyle w:val="SourceReference"/>
    </w:pPr>
    <w:r>
      <w:t>Source reference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540F7E">
    <w:pPr>
      <w:pStyle w:val="Header"/>
      <w:rPr>
        <w:b/>
        <w:bCs/>
      </w:rPr>
    </w:pPr>
    <w:r>
      <w:rPr>
        <w:noProof/>
      </w:rPr>
      <mc:AlternateContent>
        <mc:Choice Requires="wps">
          <w:drawing>
            <wp:anchor distT="0" distB="0" distL="114300" distR="114300" simplePos="0" relativeHeight="251669504" behindDoc="0" locked="0" layoutInCell="1" allowOverlap="0" wp14:anchorId="3FC5C773" wp14:editId="21814E43">
              <wp:simplePos x="0" y="0"/>
              <wp:positionH relativeFrom="page">
                <wp:posOffset>1536065</wp:posOffset>
              </wp:positionH>
              <wp:positionV relativeFrom="page">
                <wp:posOffset>667385</wp:posOffset>
              </wp:positionV>
              <wp:extent cx="0" cy="9427464"/>
              <wp:effectExtent l="0" t="0" r="19050" b="21590"/>
              <wp:wrapNone/>
              <wp:docPr id="12"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3"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8q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ouQ&#10;xB1o9MwlQ2myfPDd6bUtwKmSO+PrI2f5qp8V+W6RVFWL5YEFlm8XDZGpj4jvQvzGasix778oCj74&#10;6FRo1bkxnYeEJqBzUORyU4SdHSLDIYHTZZ495vM8oOPiGqiNdZ+Z6pA3ykgA7QCMT8/WeSK4uLr4&#10;PFJtuRBBcCFRD6izbBYCrBKc+kvvZs1hXwmDTtiPTPjGvHduRh0lDWAtw3Qz2g5zMdiQXEiPB6UA&#10;ndEaZuLHMlluFptFPsmz+WaSJ3U9+bSt8sl8mz7O6oe6qur0p6eW5kXLKWXSs7vOZ5r/nf7jSxkm&#10;6zahtzbE9+ihX0D2+g+kg5ZevmEQ9opeduaqMYxkcB6fj5/593uw3z/y9S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H1WjyoUAgAALAQAAA4AAAAAAAAAAAAAAAAALgIAAGRycy9lMm9Eb2MueG1sUEsBAi0AFAAGAAgA&#10;AAAhAH/bIhzfAAAADA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5040A2" w:rsidRDefault="00841B85" w:rsidP="00540F7E">
    <w:pPr>
      <w:pStyle w:val="SourceReference"/>
    </w:pPr>
    <w:r>
      <w:t>Source reference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40F7E">
    <w:pPr>
      <w:pStyle w:val="Header"/>
    </w:pPr>
    <w:r>
      <w:rPr>
        <w:noProof/>
      </w:rPr>
      <mc:AlternateContent>
        <mc:Choice Requires="wps">
          <w:drawing>
            <wp:anchor distT="0" distB="0" distL="114300" distR="114300" simplePos="0" relativeHeight="251664384" behindDoc="0" locked="0" layoutInCell="1" allowOverlap="1" wp14:anchorId="78A41EC1" wp14:editId="4B3CB7B7">
              <wp:simplePos x="0" y="0"/>
              <wp:positionH relativeFrom="column">
                <wp:posOffset>1026160</wp:posOffset>
              </wp:positionH>
              <wp:positionV relativeFrom="paragraph">
                <wp:posOffset>330835</wp:posOffset>
              </wp:positionV>
              <wp:extent cx="0" cy="9427210"/>
              <wp:effectExtent l="0" t="0" r="0" b="0"/>
              <wp:wrapNone/>
              <wp:docPr id="13"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ekFQIAACwEAAAOAAAAZHJzL2Uyb0RvYy54bWysU02P2jAQvVfqf7Byh3xsYCEirKoEeqFd&#10;pN3+AGM7xKpjW7YhoKr/vWMHENteqtXm4IztmTdv5o0XT6dOoCMzlitZRuk4iRCTRFEu92X043U9&#10;mkXIOiwpFkqyMjozGz0tP39a9LpgmWqVoMwgAJG26HUZtc7pIo4taVmH7VhpJuGyUabDDrZmH1OD&#10;e0DvRJwlyTTulaHaKMKshdN6uIyWAb9pGHHPTWOZQ6KMgJsLqwnrzq/xcoGLvcG65eRCA7+DRYe5&#10;hKQ3qBo7jA6G/wPVcWKUVY0bE9XFqmk4YaEGqCZN/qrmpcWahVqgOVbf2mQ/DpZ8P24N4hS0e4iQ&#10;xB1otOGSoTSZzXx3em0LcKrk1vj6yEm+6I0iPy2Sqmqx3LPA8vWsITL1EfGbEL+xGnLs+m+Kgg8+&#10;OBVadWpM5yGhCegUFDnfFGEnh8hwSOB0nmePWRrUinFxDdTGuq9MdcgbZSSAdgDGx411ngguri4+&#10;j1RrLkQQXEjUA+okm4QAqwSn/tK7WbPfVcKgI/YjE75QFdzcuxl1kDSAtQzT1cV2mIvBhuRCejwo&#10;BehcrGEmfs2T+Wq2muWjPJuuRnlS16Mv6yofTdfp46R+qKuqTn97amletJxSJj2763ym+f/pf3kp&#10;w2TdJvTWhvgteugXkL3+A+mgpZdvGISdouetuWoMIxmcL8/Hz/z9Huz7R778AwAA//8DAFBLAwQU&#10;AAYACAAAACEAKj0VDN4AAAALAQAADwAAAGRycy9kb3ducmV2LnhtbEyPQU+DQBCF7yb+h82YeGns&#10;Ak2pQZbGqNy8WG28TmEEIjtL2W2L/nqnXvQ2b+blzffy9WR7daTRd44NxPMIFHHl6o4bA2+v5c0t&#10;KB+Qa+wdk4Ev8rAuLi9yzGp34hc6bkKjJIR9hgbaEIZMa1+1ZNHP3UAstw83Wgwix0bXI54k3PY6&#10;iaJUW+xYPrQ40ENL1efmYA34ckv78ntWzaL3ReMo2T8+P6Ex11fT/R2oQFP4M8MZX9ChEKadO3Dt&#10;VS86jVOxGlgmMaiz4Xexk2G5SFegi1z/71D8AAAA//8DAFBLAQItABQABgAIAAAAIQC2gziS/gAA&#10;AOEBAAATAAAAAAAAAAAAAAAAAAAAAABbQ29udGVudF9UeXBlc10ueG1sUEsBAi0AFAAGAAgAAAAh&#10;ADj9If/WAAAAlAEAAAsAAAAAAAAAAAAAAAAALwEAAF9yZWxzLy5yZWxzUEsBAi0AFAAGAAgAAAAh&#10;AKNTF6QVAgAALAQAAA4AAAAAAAAAAAAAAAAALgIAAGRycy9lMm9Eb2MueG1sUEsBAi0AFAAGAAgA&#10;AAAhACo9FQzeAAAACwEAAA8AAAAAAAAAAAAAAAAAbwQAAGRycy9kb3ducmV2LnhtbFBLBQYAAAAA&#10;BAAEAPMAAAB6BQAAAAA=&#10;"/>
          </w:pict>
        </mc:Fallback>
      </mc:AlternateContent>
    </w:r>
    <w:r>
      <w:br/>
    </w:r>
  </w:p>
  <w:p w:rsidR="00841B85" w:rsidRDefault="00841B85" w:rsidP="00540F7E">
    <w:pPr>
      <w:pStyle w:val="SourceReference"/>
    </w:pPr>
    <w:r>
      <w:t>Source Reference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540F7E">
    <w:pPr>
      <w:pStyle w:val="Header"/>
      <w:rPr>
        <w:b/>
        <w:bCs/>
      </w:rPr>
    </w:pPr>
    <w:r>
      <w:rPr>
        <w:noProof/>
      </w:rPr>
      <mc:AlternateContent>
        <mc:Choice Requires="wps">
          <w:drawing>
            <wp:anchor distT="0" distB="0" distL="114300" distR="114300" simplePos="0" relativeHeight="251670528" behindDoc="0" locked="0" layoutInCell="1" allowOverlap="0" wp14:anchorId="18B49195" wp14:editId="6241D293">
              <wp:simplePos x="0" y="0"/>
              <wp:positionH relativeFrom="page">
                <wp:posOffset>1571625</wp:posOffset>
              </wp:positionH>
              <wp:positionV relativeFrom="page">
                <wp:posOffset>589915</wp:posOffset>
              </wp:positionV>
              <wp:extent cx="0" cy="9429750"/>
              <wp:effectExtent l="0" t="0" r="0" b="0"/>
              <wp:wrapNone/>
              <wp:docPr id="14"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4"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kV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5Rop0&#10;oNFWKI6ydJGH7vTGFeBUqZ0N9dGzejFbTb87pHTVEnXgkeXrxUBkFiKSNyFh4wzk2PefNQMfcvQ6&#10;turc2C5AQhPQOSpyuSvCzx7R4ZDC6SKfLJ6mUa2EFLdAY53/xHWHglFiCbQjMDltnQ9ESHFzCXmU&#10;3ggpo+BSoR5Qp5NpDHBaChYug5uzh30lLTqRMDLxi1XBzaOb1UfFIljLCVtfbU+EHGxILlXAg1KA&#10;ztUaZuLHIl2s5+t5Psons/UoT+t69HFT5aPZJnua1h/qqqqzn4FalhetYIyrwO42n1n+d/pfX8ow&#10;WfcJvbcheYse+wVkb/9IOmoZ5BsGYa/ZZWdvGsNIRufr8wkz/7gH+/GRr34BAAD//wMAUEsDBBQA&#10;BgAIAAAAIQDQ6zgX3gAAAAsBAAAPAAAAZHJzL2Rvd25yZXYueG1sTI/BToNAEIbvJr7DZky8NO0i&#10;WhFkaYzKzYu1xusURiCys5TdtujTO8aDHmfmyz/fn68m26sDjb5zbOBiEYEirlzdcWNg81LOb0D5&#10;gFxj75gMfJKHVXF6kmNWuyM/02EdGiUh7DM00IYwZFr7qiWLfuEGYrm9u9FikHFsdD3iUcJtr+Mo&#10;utYWO5YPLQ5031L1sd5bA758pV35Natm0dtl4yjePTw9ojHnZ9PdLahAU/iD4Udf1KEQp63bc+1V&#10;byC+SpaCGkjjFJQAv4utkMskSUEXuf7fofgGAAD//wMAUEsBAi0AFAAGAAgAAAAhALaDOJL+AAAA&#10;4QEAABMAAAAAAAAAAAAAAAAAAAAAAFtDb250ZW50X1R5cGVzXS54bWxQSwECLQAUAAYACAAAACEA&#10;OP0h/9YAAACUAQAACwAAAAAAAAAAAAAAAAAvAQAAX3JlbHMvLnJlbHNQSwECLQAUAAYACAAAACEA&#10;6Y05FRQCAAAsBAAADgAAAAAAAAAAAAAAAAAuAgAAZHJzL2Uyb0RvYy54bWxQSwECLQAUAAYACAAA&#10;ACEA0Os4F94AAAALAQAADwAAAAAAAAAAAAAAAABu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D51FAB" w:rsidRDefault="00841B85" w:rsidP="00540F7E">
    <w:pPr>
      <w:pStyle w:val="SourceReference"/>
    </w:pPr>
    <w:r>
      <w:t>Source reference</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540F7E">
    <w:pPr>
      <w:pStyle w:val="Header"/>
      <w:rPr>
        <w:b/>
        <w:bCs/>
      </w:rPr>
    </w:pPr>
    <w:r>
      <w:rPr>
        <w:noProof/>
      </w:rPr>
      <mc:AlternateContent>
        <mc:Choice Requires="wps">
          <w:drawing>
            <wp:anchor distT="0" distB="0" distL="114300" distR="114300" simplePos="0" relativeHeight="251671552" behindDoc="0" locked="0" layoutInCell="1" allowOverlap="0" wp14:anchorId="12383C41" wp14:editId="126C3DD7">
              <wp:simplePos x="0" y="0"/>
              <wp:positionH relativeFrom="page">
                <wp:posOffset>1536065</wp:posOffset>
              </wp:positionH>
              <wp:positionV relativeFrom="page">
                <wp:posOffset>667385</wp:posOffset>
              </wp:positionV>
              <wp:extent cx="0" cy="9427464"/>
              <wp:effectExtent l="0" t="0" r="19050" b="21590"/>
              <wp:wrapNone/>
              <wp:docPr id="15"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5"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OcEwIAACw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8whJ&#10;3IJGey4ZSpPV3Hen0zYHp1IejK+PXOWL3ivy3SKpygbLEwssX28aIlMfET+E+I3VkOPYfVYUfPDZ&#10;qdCqa21aDwlNQNegyG1UhF0dIv0hgdNVNnvKFllAx/k9UBvrPjHVIm8UkQDaARhf9tZ5Iji/u/g8&#10;Uu24EEFwIVEHqPPZPARYJTj1l97NmtOxFAZdsB+Z8A15H9yMOksawBqG6XawHeaityG5kB4PSgE6&#10;g9XPxI9Vstout8tsks0W20mWVNXk467MJotd+jSvPlRlWaU/PbU0yxtOKZOe3X0+0+zv9B9eSj9Z&#10;44SObYgf0UO/gOz9H0gHLb18/SAcFb0dzF1jGMngPDwfP/Nv92C/feSbX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rNBDnB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D51FAB" w:rsidRDefault="00841B85" w:rsidP="00540F7E">
    <w:pPr>
      <w:pStyle w:val="SourceReference"/>
    </w:pPr>
    <w:r>
      <w:t>Source reference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540F7E">
    <w:pPr>
      <w:pStyle w:val="Header"/>
      <w:rPr>
        <w:b/>
        <w:bCs/>
      </w:rPr>
    </w:pPr>
    <w:r>
      <w:rPr>
        <w:noProof/>
      </w:rPr>
      <mc:AlternateContent>
        <mc:Choice Requires="wps">
          <w:drawing>
            <wp:anchor distT="0" distB="0" distL="114300" distR="114300" simplePos="0" relativeHeight="251673600" behindDoc="0" locked="0" layoutInCell="1" allowOverlap="0" wp14:anchorId="5D8D2BBC" wp14:editId="0BD3A1D8">
              <wp:simplePos x="0" y="0"/>
              <wp:positionH relativeFrom="page">
                <wp:posOffset>1571625</wp:posOffset>
              </wp:positionH>
              <wp:positionV relativeFrom="page">
                <wp:posOffset>589915</wp:posOffset>
              </wp:positionV>
              <wp:extent cx="0" cy="9429750"/>
              <wp:effectExtent l="0" t="0" r="0" b="0"/>
              <wp:wrapNone/>
              <wp:docPr id="16"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LY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jBTp&#10;QKOtUBxl6eIpdKc3rgCnSu1sqI+e1YvZavrdIaWrlqgDjyxfLwYisxCRvAkJG2cgx77/rBn4kKPX&#10;sVXnxnYBEpqAzlGRy10RfvaIDocUThf5ZPE0jWolpLgFGuv8J647FIwSS6Adgclp63wgQoqbS8ij&#10;9EZIGQWXCvWAOp1MY4DTUrBwGdycPewradGJhJGJX6wKbh7drD4qFsFaTtj6ansi5GBDcqkCHpQC&#10;dK7WMBM/FuliPV/P81E+ma1HeVrXo4+bKh/NNtnTtP5QV1Wd/QzUsrxoBWNcBXa3+czyv9P/+lKG&#10;ybpP6L0NyVv02C8ge/tH0lHLIN8wCHvNLjt70xhGMjpfn0+Y+cc92I+PfPULAAD//wMAUEsDBBQA&#10;BgAIAAAAIQDQ6zgX3gAAAAsBAAAPAAAAZHJzL2Rvd25yZXYueG1sTI/BToNAEIbvJr7DZky8NO0i&#10;WhFkaYzKzYu1xusURiCys5TdtujTO8aDHmfmyz/fn68m26sDjb5zbOBiEYEirlzdcWNg81LOb0D5&#10;gFxj75gMfJKHVXF6kmNWuyM/02EdGiUh7DM00IYwZFr7qiWLfuEGYrm9u9FikHFsdD3iUcJtr+Mo&#10;utYWO5YPLQ5031L1sd5bA758pV35Natm0dtl4yjePTw9ojHnZ9PdLahAU/iD4Udf1KEQp63bc+1V&#10;byC+SpaCGkjjFJQAv4utkMskSUEXuf7fofgGAAD//wMAUEsBAi0AFAAGAAgAAAAhALaDOJL+AAAA&#10;4QEAABMAAAAAAAAAAAAAAAAAAAAAAFtDb250ZW50X1R5cGVzXS54bWxQSwECLQAUAAYACAAAACEA&#10;OP0h/9YAAACUAQAACwAAAAAAAAAAAAAAAAAvAQAAX3JlbHMvLnJlbHNQSwECLQAUAAYACAAAACEA&#10;ayCy2BQCAAAsBAAADgAAAAAAAAAAAAAAAAAuAgAAZHJzL2Uyb0RvYy54bWxQSwECLQAUAAYACAAA&#10;ACEA0Os4F94AAAALAQAADwAAAAAAAAAAAAAAAABu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D60FE3" w:rsidRDefault="00841B85" w:rsidP="00540F7E">
    <w:pPr>
      <w:pStyle w:val="SourceReference"/>
    </w:pPr>
    <w:r>
      <w:t>Source reference</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683840" behindDoc="0" locked="0" layoutInCell="1" allowOverlap="0" wp14:anchorId="3241AF6E" wp14:editId="1CF3EF8C">
              <wp:simplePos x="0" y="0"/>
              <wp:positionH relativeFrom="page">
                <wp:posOffset>1536065</wp:posOffset>
              </wp:positionH>
              <wp:positionV relativeFrom="page">
                <wp:posOffset>667385</wp:posOffset>
              </wp:positionV>
              <wp:extent cx="0" cy="9427464"/>
              <wp:effectExtent l="0" t="0" r="19050" b="21590"/>
              <wp:wrapNone/>
              <wp:docPr id="17"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8"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rEwIAACw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QrazSMk&#10;cQsa7bhkKE2The9Op20OTqXcG18fuchnvVPkp0VSlQ2WRxZYvlw1RKY+In4I8RurIceh+6oo+OCT&#10;U6FVl9q0HhKagC5BketdEXZxiPSHBE6X2WSezbKAjvNboDbWfWGqRd4oIgG0AzA+76zzRHB+c/F5&#10;pNpyIYLgQqIOUKeTaQiwSnDqL72bNcdDKQw6Yz8y4RvyPrgZdZI0gDUM081gO8xFb0NyIT0elAJ0&#10;BqufiV/LZLlZbBbZKJvMNqMsqarR522ZjWbbdD6tPlVlWaW/PbU0yxtOKZOe3W0+0+xt+g8vpZ+s&#10;+4Te2xA/ood+AdnbP5AOWnr5+kE4KHrdm5vGMJLBeXg+fuZf78F+/cjXf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mluvqx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5040A2" w:rsidRDefault="00841B85" w:rsidP="00190A01">
    <w:pPr>
      <w:pStyle w:val="SourceReference"/>
    </w:pPr>
    <w:r>
      <w:t>Source reference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676672" behindDoc="0" locked="0" layoutInCell="1" allowOverlap="0" wp14:anchorId="55398681" wp14:editId="1AE9E8FE">
              <wp:simplePos x="0" y="0"/>
              <wp:positionH relativeFrom="page">
                <wp:posOffset>1536065</wp:posOffset>
              </wp:positionH>
              <wp:positionV relativeFrom="page">
                <wp:posOffset>667385</wp:posOffset>
              </wp:positionV>
              <wp:extent cx="0" cy="9427464"/>
              <wp:effectExtent l="0" t="0" r="19050" b="21590"/>
              <wp:wrapNone/>
              <wp:docPr id="18"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hCEwIAACwEAAAOAAAAZHJzL2Uyb0RvYy54bWysU8GO2jAQvVfqP1i5QxIaWIgIqyqBXmiL&#10;tNsPMLZDrDq2ZRsSVPXfO3YCLe2lqpqDM7Zn3ryZN14/961AF2YsV7KI0mkSISaJolyeiujL626y&#10;jJB1WFIslGRFdGU2et68fbPudM5mqlGCMoMARNq800XUOKfzOLakYS22U6WZhMtamRY72JpTTA3u&#10;AL0V8SxJFnGnDNVGEWYtnFbDZbQJ+HXNiPtc15Y5JIoIuLmwmrAe/Rpv1jg/GawbTkYa+B9YtJhL&#10;SHqHqrDD6Gz4H1AtJ0ZZVbspUW2s6poTFmqAatLkt2peGqxZqAWaY/W9Tfb/wZJPl4NBnIJ2oJTE&#10;LWi055KhNE1S351O2xycSnkwvj7Syxe9V+SrRVKVDZYnFli+XjVEhoj4IcRvrIYcx+6jouCDz06F&#10;VvW1aT0kNAH1QZHrXRHWO0SGQwKnq2z2lC0yzyfG+S1QG+s+MNUibxSRANoBGF/21g2uNxefR6od&#10;FyIILiTqAHU+m4cAqwSn/tK7WXM6lsKgC/YjE74x74ObUWdJA1jDMN2OtsNcDDbwFNLjQSlAZ7SG&#10;mfi2Slbb5XaZTbLZYjvJkqqavN+V2WSxS5/m1buqLKv0u6eWZnnDKWXSs7vNZ5r9nf7jSxkm6z6h&#10;9zbEj+ihtUD29g+kg5ZevmEQjopeD8a31ssKIxmcx+fjZ/7XffD6+cg3P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ZKU4Qh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5040A2" w:rsidRDefault="00841B85" w:rsidP="00190A01">
    <w:pPr>
      <w:pStyle w:val="SourceReference"/>
    </w:pPr>
    <w:r>
      <w:t>Source reference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677696" behindDoc="0" locked="0" layoutInCell="1" allowOverlap="0" wp14:anchorId="4DA89EC4" wp14:editId="58DFA99B">
              <wp:simplePos x="0" y="0"/>
              <wp:positionH relativeFrom="page">
                <wp:posOffset>1536065</wp:posOffset>
              </wp:positionH>
              <wp:positionV relativeFrom="page">
                <wp:posOffset>667385</wp:posOffset>
              </wp:positionV>
              <wp:extent cx="0" cy="9427464"/>
              <wp:effectExtent l="0" t="0" r="19050" b="21590"/>
              <wp:wrapNone/>
              <wp:docPr id="19"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l5Ew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SMk&#10;cQca7bhkKE2TzHen17YAp0ruja+PXOSL3iny3SKpqhbLIwssX68aIlMfET+E+I3VkOPQf1YUfPDJ&#10;qdCqS2M6DwlNQJegyPWuCLs4RIZDAqfLPHvK53lAx8UtUBvrPjHVIW+UkQDaARifd9Z5Iri4ufg8&#10;Um25EEFwIVEPqLNsFgKsEpz6S+9mzfFQCYPO2I9M+Ma8D25GnSQNYC3DdDPaDnMx2JBcSI8HpQCd&#10;0Rpm4scyWW4Wm0U+ybP5ZpIndT35uK3yyXybPs3qD3VV1elPTy3Ni5ZTyqRnd5vPNP87/ceXMkzW&#10;fULvbYgf0UO/gOztH0gHLb18wyAcFL3uzU1jGMngPD4fP/Nv92C/feTrX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ctMZeR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D51FAB" w:rsidRDefault="00841B85" w:rsidP="00190A01">
    <w:pPr>
      <w:pStyle w:val="SourceReference"/>
    </w:pPr>
    <w:r>
      <w:t>Source reference</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679744" behindDoc="0" locked="0" layoutInCell="1" allowOverlap="0" wp14:anchorId="3ECE366C" wp14:editId="080AB311">
              <wp:simplePos x="0" y="0"/>
              <wp:positionH relativeFrom="page">
                <wp:posOffset>1571625</wp:posOffset>
              </wp:positionH>
              <wp:positionV relativeFrom="page">
                <wp:posOffset>589915</wp:posOffset>
              </wp:positionV>
              <wp:extent cx="0" cy="9429750"/>
              <wp:effectExtent l="0" t="0" r="0" b="0"/>
              <wp:wrapNone/>
              <wp:docPr id="20"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4"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IXXFQIAACwEAAAOAAAAZHJzL2Uyb0RvYy54bWysU02P2jAQvVfqf7Byh3w0s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VpGGbRH&#10;4g402nHJUJomue9Or20BTpXcG18fucgXvVPku0VSVS2WRxZYvl41RKY+In4T4jdWQ45D/1lR8MEn&#10;p0KrLo3pPCQ0AV2CIte7IuziEBkOCZwu82z5NAtqxbi4BWpj3SemOuSNMhJAOwDj8846TwQXNxef&#10;R6otFyIILiTqAXWWzUKAVYJTf+ndrDkeKmHQGfuRCV+oCm4e3Yw6SRrAWobpZrQd5mKwIbmQHg9K&#10;ATqjNczEj2Wy3Cw2i3ySZ/PNJE/qevJxW+WT+TZ9mtUf6qqq05+eWpoXLaeUSc/uNp9p/nf6jy9l&#10;mKz7hN7bEL9FD/0Csrd/IB209PINg3BQ9Lo3N41hJIPz+Hz8zD/uwX585OtfAAAA//8DAFBLAwQU&#10;AAYACAAAACEA0Os4F94AAAALAQAADwAAAGRycy9kb3ducmV2LnhtbEyPwU6DQBCG7ya+w2ZMvDTt&#10;IloRZGmMys2LtcbrFEYgsrOU3bbo0zvGgx5n5ss/35+vJturA42+c2zgYhGBIq5c3XFjYPNSzm9A&#10;+YBcY++YDHySh1VxepJjVrsjP9NhHRolIewzNNCGMGRa+6oli37hBmK5vbvRYpBxbHQ94lHCba/j&#10;KLrWFjuWDy0OdN9S9bHeWwO+fKVd+TWrZtHbZeMo3j08PaIx52fT3S2oQFP4g+FHX9ShEKet23Pt&#10;VW8gvkqWghpI4xSUAL+LrZDLJElBF7n+36H4BgAA//8DAFBLAQItABQABgAIAAAAIQC2gziS/gAA&#10;AOEBAAATAAAAAAAAAAAAAAAAAAAAAABbQ29udGVudF9UeXBlc10ueG1sUEsBAi0AFAAGAAgAAAAh&#10;ADj9If/WAAAAlAEAAAsAAAAAAAAAAAAAAAAALwEAAF9yZWxzLy5yZWxzUEsBAi0AFAAGAAgAAAAh&#10;AHrwhdcVAgAALAQAAA4AAAAAAAAAAAAAAAAALgIAAGRycy9lMm9Eb2MueG1sUEsBAi0AFAAGAAgA&#10;AAAhANDrOBfeAAAACwEAAA8AAAAAAAAAAAAAAAAAbw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D51FAB" w:rsidRDefault="00841B85" w:rsidP="00190A01">
    <w:pPr>
      <w:pStyle w:val="SourceReference"/>
    </w:pPr>
    <w:r>
      <w:t>Source reference</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678720" behindDoc="0" locked="0" layoutInCell="1" allowOverlap="0" wp14:anchorId="1D8440E2" wp14:editId="75B9F04C">
              <wp:simplePos x="0" y="0"/>
              <wp:positionH relativeFrom="page">
                <wp:posOffset>1536065</wp:posOffset>
              </wp:positionH>
              <wp:positionV relativeFrom="page">
                <wp:posOffset>667385</wp:posOffset>
              </wp:positionV>
              <wp:extent cx="0" cy="9427464"/>
              <wp:effectExtent l="0" t="0" r="19050" b="21590"/>
              <wp:wrapNone/>
              <wp:docPr id="21"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3"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E6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tII&#10;SdzBjJ65ZChNkwffnV7bApwquTO+PnKWr/pZke8WSVW1WB5YYPl20RCZ+oj4LsRvrIYc+/6LouCD&#10;j06FVp0b03lIaAI6h4lcbhNhZ4fIcEjgdJlnj/k8D+i4uAZqY91npjrkjTISQDsA49OzdZ4ILq4u&#10;Po9UWy5EGLiQqAfUWTYLAVYJTv2ld7PmsK+EQSfsJRO+Me+dm1FHSQNYyzDdjLbDXAw2JBfS40Ep&#10;QGe0Bk38WCbLzWKzyCd5Nt9M8qSuJ5+2VT6Zb9PHWf1QV1Wd/vTU0rxoOaVMenZXfab5381/fCmD&#10;sm4KvbUhvkcP/QKy138gHWbpxzcIYa/oZWeuMwZJBufx+XjNv9+D/f6Rr38B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DQuoToUAgAALAQAAA4AAAAAAAAAAAAAAAAALgIAAGRycy9lMm9Eb2MueG1sUEsBAi0AFAAGAAgA&#10;AAAhAH/bIhzfAAAADA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5040A2" w:rsidRDefault="00841B85" w:rsidP="00190A01">
    <w:pPr>
      <w:pStyle w:val="SourceReference"/>
    </w:pPr>
    <w:r>
      <w:t>Source reference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684864" behindDoc="0" locked="0" layoutInCell="1" allowOverlap="0" wp14:anchorId="79447769" wp14:editId="52A5F53F">
              <wp:simplePos x="0" y="0"/>
              <wp:positionH relativeFrom="page">
                <wp:posOffset>1571625</wp:posOffset>
              </wp:positionH>
              <wp:positionV relativeFrom="page">
                <wp:posOffset>589915</wp:posOffset>
              </wp:positionV>
              <wp:extent cx="0" cy="9429750"/>
              <wp:effectExtent l="0" t="0" r="0" b="0"/>
              <wp:wrapNone/>
              <wp:docPr id="22"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9"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nx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MVKk&#10;A422QnGUZek8dKc3rgSnldrZUB89qxez1fS7Q0qvWqIOPLJ8vRiIzEJE8iYkbJyBHPv+s2bgQ45e&#10;x1adG9sFSGgCOkdFLndF+NkjOhxSOJ0X+fxpEtVKSHkLNNb5T1x3KBgVlkA7ApPT1vlAhJQ3l5BH&#10;6Y2QMgouFeoBdZJPYoDTUrBwGdycPexX0qITCSMTv1gV3Dy6WX1ULIK1nLD11fZEyMGG5FIFPCgF&#10;6FytYSZ+zNP5eraeFaMin65HRVrXo4+bVTGabrKnSf2hXq3q7GeglhVlKxjjKrC7zWdW/J3+15cy&#10;TNZ9Qu9tSN6ix34B2ds/ko5aBvmGQdhrdtnZm8YwktH5+nzCzD/uwX585MtfAAAA//8DAFBLAwQU&#10;AAYACAAAACEA0Os4F94AAAALAQAADwAAAGRycy9kb3ducmV2LnhtbEyPwU6DQBCG7ya+w2ZMvDTt&#10;IloRZGmMys2LtcbrFEYgsrOU3bbo0zvGgx5n5ss/35+vJturA42+c2zgYhGBIq5c3XFjYPNSzm9A&#10;+YBcY++YDHySh1VxepJjVrsjP9NhHRolIewzNNCGMGRa+6oli37hBmK5vbvRYpBxbHQ94lHCba/j&#10;KLrWFjuWDy0OdN9S9bHeWwO+fKVd+TWrZtHbZeMo3j08PaIx52fT3S2oQFP4g+FHX9ShEKet23Pt&#10;VW8gvkqWghpI4xSUAL+LrZDLJElBF7n+36H4BgAA//8DAFBLAQItABQABgAIAAAAIQC2gziS/gAA&#10;AOEBAAATAAAAAAAAAAAAAAAAAAAAAABbQ29udGVudF9UeXBlc10ueG1sUEsBAi0AFAAGAAgAAAAh&#10;ADj9If/WAAAAlAEAAAsAAAAAAAAAAAAAAAAALwEAAF9yZWxzLy5yZWxzUEsBAi0AFAAGAAgAAAAh&#10;ABclefEVAgAALAQAAA4AAAAAAAAAAAAAAAAALgIAAGRycy9lMm9Eb2MueG1sUEsBAi0AFAAGAAgA&#10;AAAhANDrOBfeAAAACwEAAA8AAAAAAAAAAAAAAAAAbw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5040A2" w:rsidRDefault="00841B85" w:rsidP="00190A01">
    <w:pPr>
      <w:pStyle w:val="SourceReference"/>
    </w:pPr>
    <w:r>
      <w:t>Source reference</w:t>
    </w:r>
  </w:p>
  <w:p w:rsidR="00841B85" w:rsidRPr="009E52B4" w:rsidRDefault="00841B85" w:rsidP="00190A01">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686912" behindDoc="0" locked="0" layoutInCell="1" allowOverlap="0" wp14:anchorId="73C76089" wp14:editId="42CF6DF7">
              <wp:simplePos x="0" y="0"/>
              <wp:positionH relativeFrom="page">
                <wp:posOffset>1536065</wp:posOffset>
              </wp:positionH>
              <wp:positionV relativeFrom="page">
                <wp:posOffset>667385</wp:posOffset>
              </wp:positionV>
              <wp:extent cx="0" cy="9427464"/>
              <wp:effectExtent l="0" t="0" r="19050" b="21590"/>
              <wp:wrapNone/>
              <wp:docPr id="23"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ZpFAIAACwEAAAOAAAAZHJzL2Uyb0RvYy54bWysU02P2yAQvVfqf0C+J/5YJ5tYcVaVnfSy&#10;7Uba7Q8ggGNUDAhInKjqf++AnbRpL1VVH/AAM2/ezBtWT+dOoBMzlitZRuk0iRCTRFEuD2X05W07&#10;WUTIOiwpFkqyMrowGz2t379b9bpgmWqVoMwgAJG26HUZtc7pIo4taVmH7VRpJuGyUabDDrbmEFOD&#10;e0DvRJwlyTzulaHaKMKshdN6uIzWAb9pGHEvTWOZQ6KMgJsLqwnr3q/xeoWLg8G65WSkgf+BRYe5&#10;hKQ3qBo7jI6G/wHVcWKUVY2bEtXFqmk4YaEGqCZNfqvmtcWahVqgOVbf2mT/Hyz5fNoZxGkZZQ8R&#10;krgDjZ65ZCiFz3en17YAp0rujK+PnOWrflbkq0VSVS2WBxZYvl00RIaI+C7Eb6yGHPv+k6Lgg49O&#10;hVadG9N5SGgCOgdFLjdF2NkhMhwSOF3m2WM+zz2fGBfXQG2s+8hUh7xRRgJoB2B8erZucL26+DxS&#10;bbkQQXAhUQ+os2wWAqwSnPpL72bNYV8Jg07Yj0z4xrx3bkYdJQ1gLcN0M9oOczHYwFNIjwelAJ3R&#10;Gmbi2zJZbhabRT7Js/lmkid1PfmwrfLJfJs+zuqHuqrq9LunluZFyyll0rO7zmea/53+40sZJus2&#10;obc2xPfoobVA9voPpIOWXr5hEPaKXnbGt9bLCiMZnMfn42f+133w+vnI1z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Il/VmkUAgAALAQAAA4AAAAAAAAAAAAAAAAALgIAAGRycy9lMm9Eb2MueG1sUEsBAi0AFAAGAAgA&#10;AAAhAH/bIhzfAAAADA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D51FAB" w:rsidRDefault="00841B85" w:rsidP="00190A01">
    <w:pPr>
      <w:pStyle w:val="SourceReference"/>
    </w:pPr>
    <w:r>
      <w:t>Source reference</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685888" behindDoc="0" locked="0" layoutInCell="1" allowOverlap="0" wp14:anchorId="2ABA82DC" wp14:editId="503AFB80">
              <wp:simplePos x="0" y="0"/>
              <wp:positionH relativeFrom="page">
                <wp:posOffset>1536065</wp:posOffset>
              </wp:positionH>
              <wp:positionV relativeFrom="page">
                <wp:posOffset>667385</wp:posOffset>
              </wp:positionV>
              <wp:extent cx="0" cy="9427464"/>
              <wp:effectExtent l="0" t="0" r="19050" b="21590"/>
              <wp:wrapNone/>
              <wp:docPr id="24"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0"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lH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4LjBTp&#10;oEZboTjKsiyq0xtXgtNK7WzIj57Vi9lq+t0hpVctUQceWb5eDLzMgp7Jw5OwcQZi7PvPmoEPOXod&#10;pTo3tguQIAI6x4pc7hXhZ4/o9ZDC6bzIn4ppEdFJeXtorPOfuO5QMCosgXYEJqet84EIKW8uIY7S&#10;GyFlLLhUqAfUST6JD5yWgoXL4ObsYb+SFp1IaJn4DXEf3Kw+KhbBWk7YerA9EfJqQ3CpAh6kAnQG&#10;69oTP+bpfD1bz4pRkU/XoyKt69HHzaoYTTfZ06T+UK9WdfYzUMuKshWMcRXY3fozK/6u/sOkXDvr&#10;3qF3GZJH9KgXkL39I+lYy1C+MFCu3Gt22dlbjaElo/MwPqHn3+7Bfjvky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A/GmUcUAgAALAQAAA4AAAAAAAAAAAAAAAAALgIAAGRycy9lMm9Eb2MueG1sUEsBAi0AFAAGAAgA&#10;AAAhAH/bIhzfAAAADA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5040A2" w:rsidRDefault="00841B85" w:rsidP="00190A01">
    <w:pPr>
      <w:pStyle w:val="SourceReference"/>
    </w:pPr>
    <w:r>
      <w:t>Source reference</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190A01">
    <w:pPr>
      <w:pStyle w:val="Header"/>
      <w:rPr>
        <w:b/>
        <w:bCs/>
      </w:rPr>
    </w:pPr>
    <w:r>
      <w:rPr>
        <w:noProof/>
      </w:rPr>
      <mc:AlternateContent>
        <mc:Choice Requires="wps">
          <w:drawing>
            <wp:anchor distT="0" distB="0" distL="114300" distR="114300" simplePos="0" relativeHeight="251687936" behindDoc="0" locked="0" layoutInCell="1" allowOverlap="0" wp14:anchorId="01CF4594" wp14:editId="07ACFDB6">
              <wp:simplePos x="0" y="0"/>
              <wp:positionH relativeFrom="page">
                <wp:posOffset>1571625</wp:posOffset>
              </wp:positionH>
              <wp:positionV relativeFrom="page">
                <wp:posOffset>589915</wp:posOffset>
              </wp:positionV>
              <wp:extent cx="0" cy="9429750"/>
              <wp:effectExtent l="0" t="0" r="0" b="0"/>
              <wp:wrapNone/>
              <wp:docPr id="25"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2"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QREwIAACwEAAAOAAAAZHJzL2Uyb0RvYy54bWysU02P2jAQvVfqf7B8h3w0sB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VTifYKRI&#10;BxptheIoy7I8dKc3roSkldrZUB89q2ez1fSHQ0qvWqIOPLJ8uRg4mYUTyZsjwXEG7tj3XzWDHHL0&#10;Orbq3NguQEIT0Dkqcrkrws8e0WGTwu68yOcPk6hWQsrbQWOd/8J1h4JRYQm0IzA5bZ0PREh5Swn3&#10;KL0RUkbBpUI9oE6g5hBxWgoWgtGxh/1KWnQiYWTiF6t6l2b1UbEI1nLC1lfbEyEHGy6XKuBBKUDn&#10;ag0z8XOeztez9awYFfl0PSrSuh593qyK0XSTPUzqT/VqVWe/ArWsKFvBGFeB3W0+s+Lv9L++lGGy&#10;7hN6b0PyFj32C8je/pF01DLINwzCXrPLzt40hpGMydfnE2b+tQ/260e+/A0AAP//AwBQSwMEFAAG&#10;AAgAAAAhANDrOBfeAAAACwEAAA8AAABkcnMvZG93bnJldi54bWxMj8FOg0AQhu8mvsNmTLw07SJa&#10;EWRpjMrNi7XG6xRGILKzlN226NM7xoMeZ+bLP9+frybbqwONvnNs4GIRgSKuXN1xY2DzUs5vQPmA&#10;XGPvmAx8kodVcXqSY1a7Iz/TYR0aJSHsMzTQhjBkWvuqJYt+4QZiub270WKQcWx0PeJRwm2v4yi6&#10;1hY7lg8tDnTfUvWx3lsDvnylXfk1q2bR22XjKN49PD2iMedn090tqEBT+IPhR1/UoRCnrdtz7VVv&#10;IL5KloIaSOMUlAC/i62QyyRJQRe5/t+h+AYAAP//AwBQSwECLQAUAAYACAAAACEAtoM4kv4AAADh&#10;AQAAEwAAAAAAAAAAAAAAAAAAAAAAW0NvbnRlbnRfVHlwZXNdLnhtbFBLAQItABQABgAIAAAAIQA4&#10;/SH/1gAAAJQBAAALAAAAAAAAAAAAAAAAAC8BAABfcmVscy8ucmVsc1BLAQItABQABgAIAAAAIQDv&#10;WXQREwIAACwEAAAOAAAAAAAAAAAAAAAAAC4CAABkcnMvZTJvRG9jLnhtbFBLAQItABQABgAIAAAA&#10;IQDQ6zgX3gAAAAsBAAAPAAAAAAAAAAAAAAAAAG0EAABkcnMvZG93bnJldi54bWxQSwUGAAAAAAQA&#10;BADzAAAAeAU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5040A2" w:rsidRDefault="00841B85" w:rsidP="00190A01">
    <w:pPr>
      <w:pStyle w:val="SourceReference"/>
    </w:pPr>
    <w:r>
      <w:t>Source reference</w:t>
    </w:r>
  </w:p>
  <w:p w:rsidR="00841B85" w:rsidRPr="009E52B4" w:rsidRDefault="00841B85" w:rsidP="00190A01">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680768" behindDoc="0" locked="0" layoutInCell="1" allowOverlap="0" wp14:anchorId="493C31A5" wp14:editId="25495B63">
              <wp:simplePos x="0" y="0"/>
              <wp:positionH relativeFrom="page">
                <wp:posOffset>1536065</wp:posOffset>
              </wp:positionH>
              <wp:positionV relativeFrom="page">
                <wp:posOffset>667385</wp:posOffset>
              </wp:positionV>
              <wp:extent cx="0" cy="9427464"/>
              <wp:effectExtent l="0" t="0" r="19050" b="21590"/>
              <wp:wrapNone/>
              <wp:docPr id="26"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5"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2MEw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TxC&#10;Encwox2XDKVpMvPd6bUtwKmSe+PrIxf5oneKfLdIqqrF8sgCy9erhsjUR8QPIX5jNeQ49J8VBR98&#10;ciq06tKYzkNCE9AlTOR6nwi7OESGQwKnyzx7yud5QMfFLVAb6z4x1SFvlJEA2gEYn3fWeSK4uLn4&#10;PFJtuRBh4EKiHlBn2SwEWCU49ZfezZrjoRIGnbGXTPjGvA9uRp0kDWAtw3Qz2g5zMdiQXEiPB6UA&#10;ndEaNPFjmSw3i80in+TZfDPJk7qefNxW+WS+TZ9m9Ye6qur0p6eW5kXLKWXSs7vpM83/bv7jSxmU&#10;dVfovQ3xI3roF5C9/QPpMEs/vkEIB0Wve3ObMUgyOI/Px2v+7R7st498/Qs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5ahtjB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5040A2" w:rsidRDefault="00841B85" w:rsidP="00190A01">
    <w:pPr>
      <w:pStyle w:val="SourceReference"/>
    </w:pPr>
    <w:r>
      <w:t>Source reference</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935B60" w:rsidRDefault="00841B85" w:rsidP="00540F7E">
    <w:pPr>
      <w:pStyle w:val="Header"/>
      <w:rPr>
        <w:b/>
        <w:bCs/>
      </w:rPr>
    </w:pPr>
    <w:r>
      <w:rPr>
        <w:noProof/>
      </w:rPr>
      <mc:AlternateContent>
        <mc:Choice Requires="wps">
          <w:drawing>
            <wp:anchor distT="0" distB="0" distL="114300" distR="114300" simplePos="0" relativeHeight="251672576" behindDoc="0" locked="0" layoutInCell="1" allowOverlap="0" wp14:anchorId="0A43B3A5" wp14:editId="624F69C7">
              <wp:simplePos x="0" y="0"/>
              <wp:positionH relativeFrom="page">
                <wp:posOffset>1571625</wp:posOffset>
              </wp:positionH>
              <wp:positionV relativeFrom="page">
                <wp:posOffset>589915</wp:posOffset>
              </wp:positionV>
              <wp:extent cx="0" cy="9429750"/>
              <wp:effectExtent l="0" t="0" r="0" b="0"/>
              <wp:wrapNone/>
              <wp:docPr id="27"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03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h/wkiR&#10;DjTaCsVRls6noTu9cSU4rdTOhvroWb2YrabfHVJ61RJ14JHl68VAZBYikjchYeMM5Nj3nzUDH3L0&#10;Orbq3NguQEIT0Dkqcrkrws8e0eGQwum8yOdPk6hWQspboLHOf+K6Q8GosATaEZicts4HIqS8uYQ8&#10;Sm+ElFFwqVAPqJN8EgOcloKFy+Dm7GG/khadSBiZ+MWq4ObRzeqjYhGs5YStr7YnQg42JJcq4EEp&#10;QOdqDTPxY57O17P1rBgV+XQ9KtK6Hn3crIrRdJM9TeoP9WpVZz8DtawoW8EYV4HdbT6z4u/0v76U&#10;YbLuE3pvQ/IWPfYLyN7+kXTUMsg3DMJes8vO3jSGkYzO1+cTZv5xD/bjI1/+AgAA//8DAFBLAwQU&#10;AAYACAAAACEA0Os4F94AAAALAQAADwAAAGRycy9kb3ducmV2LnhtbEyPwU6DQBCG7ya+w2ZMvDTt&#10;IloRZGmMys2LtcbrFEYgsrOU3bbo0zvGgx5n5ss/35+vJturA42+c2zgYhGBIq5c3XFjYPNSzm9A&#10;+YBcY++YDHySh1VxepJjVrsjP9NhHRolIewzNNCGMGRa+6oli37hBmK5vbvRYpBxbHQ94lHCba/j&#10;KLrWFjuWDy0OdN9S9bHeWwO+fKVd+TWrZtHbZeMo3j08PaIx52fT3S2oQFP4g+FHX9ShEKet23Pt&#10;VW8gvkqWghpI4xSUAL+LrZDLJElBF7n+36H4BgAA//8DAFBLAQItABQABgAIAAAAIQC2gziS/gAA&#10;AOEBAAATAAAAAAAAAAAAAAAAAAAAAABbQ29udGVudF9UeXBlc10ueG1sUEsBAi0AFAAGAAgAAAAh&#10;ADj9If/WAAAAlAEAAAsAAAAAAAAAAAAAAAAALwEAAF9yZWxzLy5yZWxzUEsBAi0AFAAGAAgAAAAh&#10;AALVzTcVAgAALAQAAA4AAAAAAAAAAAAAAAAALgIAAGRycy9lMm9Eb2MueG1sUEsBAi0AFAAGAAgA&#10;AAAhANDrOBfeAAAACwEAAA8AAAAAAAAAAAAAAAAAbw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841B85" w:rsidRPr="00D51FAB" w:rsidRDefault="00841B85" w:rsidP="00540F7E">
    <w:pPr>
      <w:pStyle w:val="SourceReference"/>
    </w:pPr>
    <w:r>
      <w:t>Source reference</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40F7E">
    <w:pPr>
      <w:pStyle w:val="Header"/>
      <w:rPr>
        <w:b/>
        <w:bCs/>
      </w:rPr>
    </w:pPr>
    <w:r>
      <w:rPr>
        <w:noProof/>
      </w:rPr>
      <mc:AlternateContent>
        <mc:Choice Requires="wps">
          <w:drawing>
            <wp:anchor distT="0" distB="0" distL="114300" distR="114300" simplePos="0" relativeHeight="251660288" behindDoc="0" locked="0" layoutInCell="1" allowOverlap="0" wp14:anchorId="126EAB20" wp14:editId="3AA7B255">
              <wp:simplePos x="0" y="0"/>
              <wp:positionH relativeFrom="page">
                <wp:posOffset>1536065</wp:posOffset>
              </wp:positionH>
              <wp:positionV relativeFrom="page">
                <wp:posOffset>667385</wp:posOffset>
              </wp:positionV>
              <wp:extent cx="0" cy="9427464"/>
              <wp:effectExtent l="0" t="0" r="19050" b="21590"/>
              <wp:wrapNone/>
              <wp:docPr id="28"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R9FQIAACwEAAAOAAAAZHJzL2Uyb0RvYy54bWysU02P2jAQvVfqf7Byh3w0s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VpGGSgl&#10;cQca7bhkKE0Wue9Or20BTpXcG18fucgXvVPku0VSVS2WRxZYvl41RKY+In4T4jdWQ45D/1lR8MEn&#10;p0KrLo3pPCQ0AV2CIte7IuziEBkOCZwu8+wpnwc+MS5ugdpY94mpDnmjjATQDsD4vLPOE8HFzcXn&#10;kWrLhQiCC4l6QJ1lsxBgleDUX3o3a46HShh0xn5kwheqgptHN6NOkgawlmG6GW2HuRhsSC6kx4NS&#10;gM5oDTPxY5ksN4vNIp/k2XwzyZO6nnzcVvlkvk2fZvWHuqrq9KenluZFyyll0rO7zWea/53+40sZ&#10;Jus+ofc2xG/RQ7+A7O0fSActvXzDIBwUve7NTWMYyeA8Ph8/8497sB8f+foX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0B1R9FQIAACwEAAAOAAAAAAAAAAAAAAAAAC4CAABkcnMvZTJvRG9jLnhtbFBLAQItABQABgAI&#10;AAAAIQB/2yIc3wAAAAwBAAAPAAAAAAAAAAAAAAAAAG8EAABkcnMvZG93bnJldi54bWxQSwUGAAAA&#10;AAQABADzAAAAewUAAAAA&#10;" o:allowoverlap="f">
              <w10:wrap anchorx="page" anchory="page"/>
            </v:line>
          </w:pict>
        </mc:Fallback>
      </mc:AlternateContent>
    </w:r>
    <w:r>
      <w:rPr>
        <w:b/>
        <w:bCs/>
      </w:rPr>
      <w:t>Model report of operations</w:t>
    </w:r>
    <w:r w:rsidRPr="00935B60">
      <w:rPr>
        <w:b/>
        <w:bCs/>
      </w:rPr>
      <w:br/>
    </w:r>
    <w:r w:rsidRPr="00FB2642">
      <w:t xml:space="preserve">for </w:t>
    </w:r>
    <w:r>
      <w:t>Victorian Government Departments</w:t>
    </w:r>
  </w:p>
  <w:p w:rsidR="00841B85" w:rsidRDefault="00841B85" w:rsidP="00540F7E">
    <w:pPr>
      <w:pStyle w:val="SourceReference"/>
    </w:pPr>
    <w:r>
      <w:t>Source reference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rsidP="00540F7E">
    <w:pPr>
      <w:pStyle w:val="Header"/>
      <w:rPr>
        <w:b/>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3B55A3" w:rsidRDefault="00841B85" w:rsidP="00190A01">
    <w:pPr>
      <w:pStyle w:val="Header"/>
      <w:rPr>
        <w:b/>
        <w:bCs/>
      </w:rPr>
    </w:pPr>
    <w:r>
      <w:rPr>
        <w:b/>
        <w:bCs/>
      </w:rPr>
      <w:t>Model report of operations</w:t>
    </w:r>
    <w:r w:rsidRPr="00935B60">
      <w:rPr>
        <w:b/>
        <w:bCs/>
      </w:rPr>
      <w:br/>
    </w:r>
    <w:r w:rsidRPr="00FB2642">
      <w:t xml:space="preserve">for </w:t>
    </w:r>
    <w:r>
      <w:t>Victorian Government Departments</w:t>
    </w:r>
    <w:r>
      <w:rPr>
        <w:noProof/>
      </w:rPr>
      <mc:AlternateContent>
        <mc:Choice Requires="wps">
          <w:drawing>
            <wp:anchor distT="0" distB="0" distL="114300" distR="114300" simplePos="0" relativeHeight="251689984" behindDoc="0" locked="0" layoutInCell="1" allowOverlap="0" wp14:anchorId="4E713A33" wp14:editId="68D28FC4">
              <wp:simplePos x="0" y="0"/>
              <wp:positionH relativeFrom="page">
                <wp:posOffset>1546860</wp:posOffset>
              </wp:positionH>
              <wp:positionV relativeFrom="page">
                <wp:posOffset>638810</wp:posOffset>
              </wp:positionV>
              <wp:extent cx="0" cy="9427464"/>
              <wp:effectExtent l="0" t="0" r="19050" b="21590"/>
              <wp:wrapNone/>
              <wp:docPr id="37"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5"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8pt,50.3pt" to="121.8pt,7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c6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T/MI&#10;SdzCjHZcMpSmydR3p9M2B6dS7o2vj1zkq94p8t0iqcoGyyMLLN+uGiJTHxE/hPiN1ZDj0H1RFHzw&#10;yanQqkttWg8JTUCXMJHrfSLs4hDpDwmcLrPJPJtlAR3nt0BtrPvMVIu8UUQCaAdgfN5Z54ng/Obi&#10;80i15UKEgQuJOkCdTqYhwCrBqb/0btYcD6Uw6Iy9ZMI35H1wM+okaQBrGKabwXaYi96G5EJ6PCgF&#10;6AxWr4kfy2S5WWwW2SibzDajLKmq0adtmY1m23Q+rZ6qsqzSn55amuUNp5RJz+6mzzT7u/kPL6VX&#10;1l2h9zbEj+ihX0D29g+kwyz9+HohHBS97s1txiDJ4Dw8H6/593uw3z/y9S8AAAD//wMAUEsDBBQA&#10;BgAIAAAAIQApBzYv3gAAAAwBAAAPAAAAZHJzL2Rvd25yZXYueG1sTI/BTsMwEETvSPyDtUhcqtYh&#10;pVUV4lQIyI0LBdTrNl6SiHidxm4b+HoW9QDHnRnNvM3Xo+vUkYbQejZwM0tAEVfetlwbeHstpytQ&#10;ISJb7DyTgS8KsC4uL3LMrD/xCx03sVZSwiFDA02MfaZ1qBpyGGa+Jxbvww8Oo5xDre2AJyl3nU6T&#10;ZKkdtiwLDfb00FD1uTk4A6F8p335PakmyXZee0r3j89PaMz11Xh/ByrSGP/C8Isv6FAI084f2AbV&#10;GUhv50uJiiEzoCRxVnaiLFaLFHSR6/9PFD8AAAD//wMAUEsBAi0AFAAGAAgAAAAhALaDOJL+AAAA&#10;4QEAABMAAAAAAAAAAAAAAAAAAAAAAFtDb250ZW50X1R5cGVzXS54bWxQSwECLQAUAAYACAAAACEA&#10;OP0h/9YAAACUAQAACwAAAAAAAAAAAAAAAAAvAQAAX3JlbHMvLnJlbHNQSwECLQAUAAYACAAAACEA&#10;1EhXOhQCAAAsBAAADgAAAAAAAAAAAAAAAAAuAgAAZHJzL2Uyb0RvYy54bWxQSwECLQAUAAYACAAA&#10;ACEAKQc2L94AAAAMAQAADwAAAAAAAAAAAAAAAABuBAAAZHJzL2Rvd25yZXYueG1sUEsFBgAAAAAE&#10;AAQA8wAAAHkFAAAAAA==&#10;" o:allowoverlap="f">
              <w10:wrap anchorx="page" anchory="page"/>
            </v:lin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40F7E">
    <w:pPr>
      <w:pStyle w:val="Header"/>
      <w:rPr>
        <w:b/>
        <w:bCs/>
      </w:rPr>
    </w:pPr>
    <w:r>
      <w:rPr>
        <w:noProof/>
      </w:rPr>
      <mc:AlternateContent>
        <mc:Choice Requires="wps">
          <w:drawing>
            <wp:anchor distT="0" distB="0" distL="114300" distR="114300" simplePos="0" relativeHeight="251659264" behindDoc="0" locked="0" layoutInCell="1" allowOverlap="0" wp14:anchorId="390C3B07" wp14:editId="25413E02">
              <wp:simplePos x="0" y="0"/>
              <wp:positionH relativeFrom="page">
                <wp:posOffset>1536065</wp:posOffset>
              </wp:positionH>
              <wp:positionV relativeFrom="page">
                <wp:posOffset>667385</wp:posOffset>
              </wp:positionV>
              <wp:extent cx="0" cy="9427464"/>
              <wp:effectExtent l="0" t="0" r="19050" b="21590"/>
              <wp:wrapNone/>
              <wp:docPr id="29"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EB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pYR&#10;kriDGT1zyVCaLB58d3ptC3Cq5M74+shZvupnRb5bJFXVYnlggeXbRUNk6iPiuxC/sRpy7PsvioIP&#10;PjoVWnVuTOchoQnoHCZyuU2EnR0iwyGB02WePebzPKDj4hqojXWfmeqQN8pIAO0AjE/P1nkiuLi6&#10;+DxSbbkQYeBCoh5QZ9ksBFglOPWX3s2aw74SBp2wl0z4xrx3bkYdJQ1gLcN0M9oOczHYkFxIjwel&#10;AJ3RGjTxY5ksN4vNIp/k2XwzyZO6nnzaVvlkvk0fZ/VDXVV1+tNTS/Oi5ZQy6dld9Znmfzf/8aUM&#10;yrop9NaG+B499AvIXv+BdJilH98ghL2il525zhgkGZzH5+M1/34P9vtHvv4F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JCM4QEUAgAALAQAAA4AAAAAAAAAAAAAAAAALgIAAGRycy9lMm9Eb2MueG1sUEsBAi0AFAAGAAgA&#10;AAAhAH/bIhzfAAAADAEAAA8AAAAAAAAAAAAAAAAAbgQAAGRycy9kb3ducmV2LnhtbFBLBQYAAAAA&#10;BAAEAPMAAAB6BQAAAAA=&#10;" o:allowoverlap="f">
              <w10:wrap anchorx="page" anchory="page"/>
            </v:line>
          </w:pict>
        </mc:Fallback>
      </mc:AlternateContent>
    </w:r>
    <w:r w:rsidRPr="00D01C78">
      <w:rPr>
        <w:b/>
        <w:bCs/>
      </w:rPr>
      <w:t xml:space="preserve"> </w:t>
    </w:r>
    <w:r>
      <w:rPr>
        <w:b/>
        <w:bCs/>
      </w:rPr>
      <w:t>Model report of operations</w:t>
    </w:r>
    <w:r w:rsidRPr="00935B60">
      <w:rPr>
        <w:b/>
        <w:bCs/>
      </w:rPr>
      <w:br/>
    </w:r>
    <w:r w:rsidRPr="00FB2642">
      <w:t xml:space="preserve">for </w:t>
    </w:r>
    <w:r>
      <w:t>Victorian Government Departments</w:t>
    </w:r>
  </w:p>
  <w:p w:rsidR="00841B85" w:rsidRDefault="00841B85" w:rsidP="00540F7E">
    <w:pPr>
      <w:pStyle w:val="SourceReference"/>
    </w:pPr>
    <w:r>
      <w:t>Source reference</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A598B" w:rsidRDefault="00841B85">
    <w:pPr>
      <w:pStyle w:val="Header"/>
      <w:rPr>
        <w:b/>
        <w:bCs/>
      </w:rPr>
    </w:pPr>
    <w:r>
      <w:rPr>
        <w:b/>
        <w:bCs/>
      </w:rPr>
      <w:t>Model report of operations</w:t>
    </w:r>
    <w:r w:rsidRPr="00935B60">
      <w:rPr>
        <w:b/>
        <w:bCs/>
      </w:rPr>
      <w:br/>
    </w:r>
    <w:r w:rsidRPr="00FB2642">
      <w:t xml:space="preserve">for </w:t>
    </w:r>
    <w:r>
      <w:t>Victorian Government Departments</w:t>
    </w:r>
    <w:r>
      <w:rPr>
        <w:noProof/>
      </w:rPr>
      <mc:AlternateContent>
        <mc:Choice Requires="wps">
          <w:drawing>
            <wp:anchor distT="0" distB="0" distL="114300" distR="114300" simplePos="0" relativeHeight="251692032" behindDoc="0" locked="0" layoutInCell="1" allowOverlap="0" wp14:anchorId="52F48A9F" wp14:editId="0A76E2F0">
              <wp:simplePos x="0" y="0"/>
              <wp:positionH relativeFrom="page">
                <wp:posOffset>1546860</wp:posOffset>
              </wp:positionH>
              <wp:positionV relativeFrom="page">
                <wp:posOffset>638810</wp:posOffset>
              </wp:positionV>
              <wp:extent cx="0" cy="9427464"/>
              <wp:effectExtent l="0" t="0" r="19050" b="21590"/>
              <wp:wrapNone/>
              <wp:docPr id="48"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5"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8pt,50.3pt" to="121.8pt,7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DGEwIAACw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BZRBkpJ&#10;3IJGey4ZStNk7rvTaZuDUykPxtdHrvJF7xX5bpFUZYPliQWWrzcNkamPiB9C/MZqyHHsPisKPvjs&#10;VGjVtTath4QmoGtQ5DYqwq4Okf6QwOkqmz1liyyg4/weqI11n5hqkTeKSADtAIwve+s8EZzfXXwe&#10;qXZciCC4kKgD1PlsHgKsEpz6S+9mzelYCoMu2I9M+Ia8D25GnSUNYA3DdDvYDnPR25BcSI8HpQCd&#10;wepn4scqWW2X22U2yWaL7SRLqmrycVdmk8UufZpXH6qyrNKfnlqa5Q2nlEnP7j6fafZ3+g8vpZ+s&#10;cULHNsSP6KFfQPb+D6SDll6+fhCOit4O5q4xjGRwHp6Pn/m3e7DfPvLNLwAAAP//AwBQSwMEFAAG&#10;AAgAAAAhACkHNi/eAAAADAEAAA8AAABkcnMvZG93bnJldi54bWxMj8FOwzAQRO9I/IO1SFyq1iGl&#10;VRXiVAjIjQsF1Os2XpKIeJ3Gbhv4ehb1AMedGc28zdej69SRhtB6NnAzS0ARV962XBt4ey2nK1Ah&#10;IlvsPJOBLwqwLi4vcsysP/ELHTexVlLCIUMDTYx9pnWoGnIYZr4nFu/DDw6jnEOt7YAnKXedTpNk&#10;qR22LAsN9vTQUPW5OTgDoXynffk9qSbJdl57SvePz09ozPXVeH8HKtIY/8Lwiy/oUAjTzh/YBtUZ&#10;SG/nS4mKITOgJHFWdqIsVosUdJHr/08UPwAAAP//AwBQSwECLQAUAAYACAAAACEAtoM4kv4AAADh&#10;AQAAEwAAAAAAAAAAAAAAAAAAAAAAW0NvbnRlbnRfVHlwZXNdLnhtbFBLAQItABQABgAIAAAAIQA4&#10;/SH/1gAAAJQBAAALAAAAAAAAAAAAAAAAAC8BAABfcmVscy8ucmVsc1BLAQItABQABgAIAAAAIQBd&#10;WGDGEwIAACwEAAAOAAAAAAAAAAAAAAAAAC4CAABkcnMvZTJvRG9jLnhtbFBLAQItABQABgAIAAAA&#10;IQApBzYv3gAAAAwBAAAPAAAAAAAAAAAAAAAAAG0EAABkcnMvZG93bnJldi54bWxQSwUGAAAAAAQA&#10;BADzAAAAeAUAAAAA&#10;" o:allowoverlap="f">
              <w10:wrap anchorx="page" anchory="page"/>
            </v:lin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A598B" w:rsidRDefault="00841B85">
    <w:pPr>
      <w:pStyle w:val="Header"/>
      <w:rPr>
        <w:b/>
        <w:bCs/>
      </w:rPr>
    </w:pPr>
    <w:r>
      <w:rPr>
        <w:b/>
        <w:bCs/>
      </w:rPr>
      <w:t>Model report of operations</w:t>
    </w:r>
    <w:r w:rsidRPr="00935B60">
      <w:rPr>
        <w:b/>
        <w:bCs/>
      </w:rPr>
      <w:br/>
    </w:r>
    <w:r w:rsidRPr="00FB2642">
      <w:t xml:space="preserve">for </w:t>
    </w:r>
    <w:r>
      <w:t>Victorian Government Departments</w:t>
    </w:r>
    <w:r>
      <w:rPr>
        <w:noProof/>
      </w:rPr>
      <mc:AlternateContent>
        <mc:Choice Requires="wps">
          <w:drawing>
            <wp:anchor distT="0" distB="0" distL="114300" distR="114300" simplePos="0" relativeHeight="251691008" behindDoc="0" locked="0" layoutInCell="1" allowOverlap="0" wp14:anchorId="0DECB741" wp14:editId="4D3EF694">
              <wp:simplePos x="0" y="0"/>
              <wp:positionH relativeFrom="page">
                <wp:posOffset>1546860</wp:posOffset>
              </wp:positionH>
              <wp:positionV relativeFrom="page">
                <wp:posOffset>638810</wp:posOffset>
              </wp:positionV>
              <wp:extent cx="0" cy="9427464"/>
              <wp:effectExtent l="0" t="0" r="19050" b="21590"/>
              <wp:wrapNone/>
              <wp:docPr id="47"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5"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8pt,50.3pt" to="121.8pt,7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Nc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YaRI&#10;CzPaCcVRlqXT0J3OuAKc1mpvQ330ol7MTtPvDim9bog68sjy9WogMgsRyUNI2DgDOQ7dZ83Ah5y8&#10;jq261LYNkNAEdIkTud4nwi8e0f6Qwukinzzlszyik+IWaKzzn7huUTBKLIF2BCbnnfOBCCluLiGP&#10;0lshZRy4VKgD1OlkGgOcloKFy+Dm7PGwlhadSZBM/Ia8D25WnxSLYA0nbDPYngjZ25BcqoAHpQCd&#10;weo18WORLjbzzTwf5ZPZZpSnVTX6uF3no9k2e5pWH6r1usp+BmpZXjSCMa4Cu5s+s/zv5j+8lF5Z&#10;d4Xe25A8osd+AdnbP5KOswzj64Vw0Oy6t7cZgySj8/B8gubf7sF++8hXvwAAAP//AwBQSwMEFAAG&#10;AAgAAAAhACkHNi/eAAAADAEAAA8AAABkcnMvZG93bnJldi54bWxMj8FOwzAQRO9I/IO1SFyq1iGl&#10;VRXiVAjIjQsF1Os2XpKIeJ3Gbhv4ehb1AMedGc28zdej69SRhtB6NnAzS0ARV962XBt4ey2nK1Ah&#10;IlvsPJOBLwqwLi4vcsysP/ELHTexVlLCIUMDTYx9pnWoGnIYZr4nFu/DDw6jnEOt7YAnKXedTpNk&#10;qR22LAsN9vTQUPW5OTgDoXynffk9qSbJdl57SvePz09ozPXVeH8HKtIY/8Lwiy/oUAjTzh/YBtUZ&#10;SG/nS4mKITOgJHFWdqIsVosUdJHr/08UPwAAAP//AwBQSwECLQAUAAYACAAAACEAtoM4kv4AAADh&#10;AQAAEwAAAAAAAAAAAAAAAAAAAAAAW0NvbnRlbnRfVHlwZXNdLnhtbFBLAQItABQABgAIAAAAIQA4&#10;/SH/1gAAAJQBAAALAAAAAAAAAAAAAAAAAC8BAABfcmVscy8ucmVsc1BLAQItABQABgAIAAAAIQAb&#10;4YNcEwIAACwEAAAOAAAAAAAAAAAAAAAAAC4CAABkcnMvZTJvRG9jLnhtbFBLAQItABQABgAIAAAA&#10;IQApBzYv3gAAAAwBAAAPAAAAAAAAAAAAAAAAAG0EAABkcnMvZG93bnJldi54bWxQSwUGAAAAAAQA&#10;BADzAAAAeAUAAAAA&#10;" o:allowoverlap="f">
              <w10:wrap anchorx="page" anchory="page"/>
            </v:lin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Pr>
        <w:noProof/>
      </w:rPr>
      <mc:AlternateContent>
        <mc:Choice Requires="wps">
          <w:drawing>
            <wp:anchor distT="0" distB="0" distL="114300" distR="114300" simplePos="0" relativeHeight="251730944" behindDoc="0" locked="0" layoutInCell="1" allowOverlap="1" wp14:anchorId="2C72C213" wp14:editId="498C2C24">
              <wp:simplePos x="0" y="0"/>
              <wp:positionH relativeFrom="page">
                <wp:posOffset>1536065</wp:posOffset>
              </wp:positionH>
              <wp:positionV relativeFrom="page">
                <wp:posOffset>667385</wp:posOffset>
              </wp:positionV>
              <wp:extent cx="0" cy="9427464"/>
              <wp:effectExtent l="0" t="0" r="19050" b="21590"/>
              <wp:wrapNone/>
              <wp:docPr id="22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T+FQIAACw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jP5xgp&#10;0sGQtkJxlKVF6E5vXAlOK7WzoT56Vi9mq+l3h5RetUQdeGT5ejEQmIWI5E1I2DgDOfb9Z83Ahxy9&#10;jq06N7YLkNAEdI4Tudwnws8e0eGQwum8yJ+KaeSTkPIWaKzzn7juUDAqLIF1BCanrfOBCClvLiGP&#10;0hshZRy4VKgH1Ek+iQFOS8HCZXBz9rBfSYtOJEgmfrEquHl0s/qoWARrOWHrq+2JkIMNyaUKeFAK&#10;0LlagyZ+zNP5eraeFaMin65HRVrXo4+bVTGabrKnSf2hXq3q7GeglhVlKxjjKrC76TMr/m7+15cy&#10;KOuu0HsbkrfosV9A9vaPpOMsw/gGIew1u+zsbcYgyeh8fT5B8497sB8f+fIX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TIaT+FQIAACwEAAAOAAAAAAAAAAAAAAAAAC4CAABkcnMvZTJvRG9jLnhtbFBLAQItABQABgAI&#10;AAAAIQB/2yIc3wAAAAwBAAAPAAAAAAAAAAAAAAAAAG8EAABkcnMvZG93bnJldi54bWxQSwUGAAAA&#10;AAQABADzAAAAewUAAAAA&#10;">
              <w10:wrap anchorx="page" anchory="page"/>
            </v:line>
          </w:pict>
        </mc:Fallback>
      </mc:AlternateContent>
    </w:r>
    <w:r>
      <w:t xml:space="preserve"> </w:t>
    </w:r>
    <w:r>
      <w:br/>
    </w:r>
  </w:p>
  <w:p w:rsidR="00841B85" w:rsidRDefault="00841B85" w:rsidP="00F37D80">
    <w:pPr>
      <w:pStyle w:val="Reference"/>
    </w:pPr>
    <w:r>
      <w:t>Source Reference</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A67A3">
    <w:pPr>
      <w:pStyle w:val="Header"/>
    </w:pPr>
    <w:r>
      <w:rPr>
        <w:noProof/>
      </w:rPr>
      <mc:AlternateContent>
        <mc:Choice Requires="wps">
          <w:drawing>
            <wp:anchor distT="0" distB="0" distL="114300" distR="114300" simplePos="0" relativeHeight="251706368" behindDoc="0" locked="0" layoutInCell="1" allowOverlap="1" wp14:anchorId="218647BB" wp14:editId="377AA4EE">
              <wp:simplePos x="0" y="0"/>
              <wp:positionH relativeFrom="column">
                <wp:posOffset>1026160</wp:posOffset>
              </wp:positionH>
              <wp:positionV relativeFrom="paragraph">
                <wp:posOffset>330835</wp:posOffset>
              </wp:positionV>
              <wp:extent cx="0" cy="9427210"/>
              <wp:effectExtent l="0" t="0" r="0" b="0"/>
              <wp:wrapNone/>
              <wp:docPr id="23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NnFQIAACsEAAAOAAAAZHJzL2Uyb0RvYy54bWysU9uO2yAQfa/Uf0C8J76sk02sOKvKTvqy&#10;7Uba7QcQwDEqBgQkTlT13zuQi7LtS1XVD3hghjNnzgyLp2Mv0YFbJ7SqcDZOMeKKaibUrsLf3taj&#10;GUbOE8WI1IpX+MQdflp+/LAYTMlz3WnJuEUAolw5mAp33psySRzteE/cWBuuwNlq2xMPW7tLmCUD&#10;oPcyydN0mgzaMmM15c7BaXN24mXEb1tO/UvbOu6RrDBw83G1cd2GNVkuSLmzxHSCXmiQf2DRE6Eg&#10;6Q2qIZ6gvRV/QPWCWu1068dU94luW0F5rAGqydLfqnntiOGxFhDHmZtM7v/B0q+HjUWCVTh/AH0U&#10;6aFJz0JxNIniDMaVEFOrjQ3l0aN6Nc+afndI6bojascjybeTgXtZkDN5dyVsnIEU2+GLZhBD9l5H&#10;pY6t7QMkaICOsSGnW0P40SN6PqRwOi/yxzyLfBJSXi8a6/xnrnsUjApLIB2ByeHZ+UCElNeQkEfp&#10;tZAy9lsqNADqJJ/EC05LwYIzhDm729bSogMJExO/WBV47sOs3isWwTpO2OpieyLk2YbkUgU8KAXo&#10;XKzzSPyYp/PVbDUrRkU+XY2KtGlGn9Z1MZqus8dJ89DUdZP9DNSyouwEY1wFdtfxzIq/a//loZwH&#10;6zagNxmS9+hRLyB7/UfSsZehfeE9uXKr2Wljrz2GiYzBl9cTRv5+D/b9G1/+AgAA//8DAFBLAwQU&#10;AAYACAAAACEAKj0VDN4AAAALAQAADwAAAGRycy9kb3ducmV2LnhtbEyPQU+DQBCF7yb+h82YeGns&#10;Ak2pQZbGqNy8WG28TmEEIjtL2W2L/nqnXvQ2b+blzffy9WR7daTRd44NxPMIFHHl6o4bA2+v5c0t&#10;KB+Qa+wdk4Ev8rAuLi9yzGp34hc6bkKjJIR9hgbaEIZMa1+1ZNHP3UAstw83Wgwix0bXI54k3PY6&#10;iaJUW+xYPrQ40ENL1efmYA34ckv78ntWzaL3ReMo2T8+P6Ex11fT/R2oQFP4M8MZX9ChEKadO3Dt&#10;VS86jVOxGlgmMaiz4Xexk2G5SFegi1z/71D8AAAA//8DAFBLAQItABQABgAIAAAAIQC2gziS/gAA&#10;AOEBAAATAAAAAAAAAAAAAAAAAAAAAABbQ29udGVudF9UeXBlc10ueG1sUEsBAi0AFAAGAAgAAAAh&#10;ADj9If/WAAAAlAEAAAsAAAAAAAAAAAAAAAAALwEAAF9yZWxzLy5yZWxzUEsBAi0AFAAGAAgAAAAh&#10;ABa6Y2cVAgAAKwQAAA4AAAAAAAAAAAAAAAAALgIAAGRycy9lMm9Eb2MueG1sUEsBAi0AFAAGAAgA&#10;AAAhACo9FQzeAAAACwEAAA8AAAAAAAAAAAAAAAAAbwQAAGRycy9kb3ducmV2LnhtbFBLBQYAAAAA&#10;BAAEAPMAAAB6BQAAAAA=&#10;"/>
          </w:pict>
        </mc:Fallback>
      </mc:AlternateContent>
    </w:r>
    <w:r>
      <w:rPr>
        <w:b/>
        <w:bCs/>
      </w:rPr>
      <w:t>About the model financial statements</w:t>
    </w:r>
    <w:r>
      <w:rPr>
        <w:b/>
        <w:bCs/>
      </w:rPr>
      <w:br/>
    </w:r>
    <w:r>
      <w:t>for Victorian Government Departments</w:t>
    </w:r>
  </w:p>
  <w:p w:rsidR="00841B85" w:rsidRDefault="00841B85" w:rsidP="00D47C9F">
    <w:pPr>
      <w:pStyle w:val="Reference"/>
    </w:pPr>
    <w:r>
      <w:t>Source Reference</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Pr>
        <w:noProof/>
      </w:rPr>
      <mc:AlternateContent>
        <mc:Choice Requires="wps">
          <w:drawing>
            <wp:anchor distT="0" distB="0" distL="114300" distR="114300" simplePos="0" relativeHeight="251732992" behindDoc="0" locked="0" layoutInCell="1" allowOverlap="1" wp14:anchorId="771609B0" wp14:editId="237E8CDD">
              <wp:simplePos x="0" y="0"/>
              <wp:positionH relativeFrom="column">
                <wp:posOffset>1018540</wp:posOffset>
              </wp:positionH>
              <wp:positionV relativeFrom="paragraph">
                <wp:posOffset>255905</wp:posOffset>
              </wp:positionV>
              <wp:extent cx="0" cy="9545955"/>
              <wp:effectExtent l="0" t="0" r="0" b="0"/>
              <wp:wrapNone/>
              <wp:docPr id="23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ZYEwIAACwEAAAOAAAAZHJzL2Uyb0RvYy54bWysU8GO2jAQvVfqP1i5QxI2oRARVlUCvdAW&#10;abcfYGyHWHVsyzYEVPXfO3YCWtpLVTUHZ2zPvHkz87x6vnQCnZmxXMkySqdJhJgkinJ5LKNvr9vJ&#10;IkLWYUmxUJKV0ZXZ6Hn9/t2q1wWbqVYJygwCEGmLXpdR65wu4tiSlnXYTpVmEi4bZTrsYGuOMTW4&#10;B/ROxLMkmce9MlQbRZi1cFoPl9E64DcNI+5r01jmkCgj4ObCasJ68Gu8XuHiaLBuORlp4H9g0WEu&#10;IekdqsYOo5Phf0B1nBhlVeOmRHWxahpOWKgBqkmT36p5abFmoRZojtX3Ntn/B0u+nPcGcVpGs6c0&#10;QhJ3MKQdlwylydx3p9e2AKdK7o2vj1zki94p8t0iqaoWyyMLLF+vGgJTHxE/hPiN1ZDj0H9WFHzw&#10;yanQqktjOg8JTUCXMJHrfSLs4hAZDgmcLvMsX+Z5QMfFLVAb6z4x1SFvlJEA1gEYn3fWeSK4uLn4&#10;PFJtuRBh4EKi3qPO8hBgleDUX3o3a46HShh0xl4y4RvzPrgZdZI0gLUM081oO8zFYENyIT0elAJ0&#10;RmvQxI9lstwsNotsks3mm0mW1PXk47bKJvNt+iGvn+qqqtOfnlqaFS2nlEnP7qbPNPu7+Y8vZVDW&#10;XaH3NsSP6KFfQPb2D6TDLP34BiEcFL3uzW3GIMngPD4fr/m3e7DfPvL1LwAAAP//AwBQSwMEFAAG&#10;AAgAAAAhAKb+KQfeAAAACwEAAA8AAABkcnMvZG93bnJldi54bWxMj0FPwzAMhe9I/IfISFymLWEt&#10;FSpNJwT0xoUB2jVrTFvROF2TbYVfj7cL3Pzsp+fvFavJ9eKAY+g8abhZKBBItbcdNRre36r5HYgQ&#10;DVnTe0IN3xhgVV5eFCa3/kiveFjHRnAIhdxoaGMccilD3aIzYeEHJL59+tGZyHJspB3NkcNdL5dK&#10;ZdKZjvhDawZ8bLH+Wu+dhlB94K76mdUztUkaj8vd08uz0fr6anq4BxFxin9mOOEzOpTMtPV7skH0&#10;rDOVslVDqhIQJ8N5seXhNk0ykGUh/3cofwEAAP//AwBQSwECLQAUAAYACAAAACEAtoM4kv4AAADh&#10;AQAAEwAAAAAAAAAAAAAAAAAAAAAAW0NvbnRlbnRfVHlwZXNdLnhtbFBLAQItABQABgAIAAAAIQA4&#10;/SH/1gAAAJQBAAALAAAAAAAAAAAAAAAAAC8BAABfcmVscy8ucmVsc1BLAQItABQABgAIAAAAIQDK&#10;p8ZYEwIAACwEAAAOAAAAAAAAAAAAAAAAAC4CAABkcnMvZTJvRG9jLnhtbFBLAQItABQABgAIAAAA&#10;IQCm/ikH3gAAAAsBAAAPAAAAAAAAAAAAAAAAAG0EAABkcnMvZG93bnJldi54bWxQSwUGAAAAAAQA&#10;BADzAAAAeAUAAAAA&#10;"/>
          </w:pict>
        </mc:Fallback>
      </mc:AlternateContent>
    </w:r>
    <w:r>
      <w:rPr>
        <w:b/>
        <w:bCs/>
      </w:rPr>
      <w:t>About the model financial statements</w:t>
    </w:r>
    <w:r>
      <w:rPr>
        <w:b/>
        <w:bCs/>
      </w:rPr>
      <w:br/>
    </w:r>
    <w:r>
      <w:t>for Victorian Government Departments</w:t>
    </w:r>
  </w:p>
  <w:p w:rsidR="00841B85" w:rsidRDefault="00841B85" w:rsidP="00F37D80">
    <w:pPr>
      <w:pStyle w:val="Reference"/>
    </w:pPr>
    <w:r>
      <w:t>Source Reference</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Pr>
        <w:noProof/>
      </w:rPr>
      <mc:AlternateContent>
        <mc:Choice Requires="wps">
          <w:drawing>
            <wp:anchor distT="0" distB="0" distL="114300" distR="114300" simplePos="0" relativeHeight="251731968" behindDoc="0" locked="0" layoutInCell="1" allowOverlap="1" wp14:anchorId="48EED1BA" wp14:editId="0CF0A570">
              <wp:simplePos x="0" y="0"/>
              <wp:positionH relativeFrom="page">
                <wp:posOffset>1536065</wp:posOffset>
              </wp:positionH>
              <wp:positionV relativeFrom="page">
                <wp:posOffset>667385</wp:posOffset>
              </wp:positionV>
              <wp:extent cx="0" cy="9546336"/>
              <wp:effectExtent l="0" t="0" r="19050" b="17145"/>
              <wp:wrapNone/>
              <wp:docPr id="23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ZDEwIAACwEAAAOAAAAZHJzL2Uyb0RvYy54bWysU02P2jAQvVfqf7Byh3wQKESEVZVAL9sW&#10;abc/wNgOserYlm0IqOp/79gJaGkvVdUcnLE98+bNzPP66dIJdGbGciXLKJ0mEWKSKMrlsYy+ve4m&#10;ywhZhyXFQklWRldmo6fN+3frXhcsU60SlBkEINIWvS6j1jldxLElLeuwnSrNJFw2ynTYwdYcY2pw&#10;D+idiLMkWcS9MlQbRZi1cFoPl9Em4DcNI+5r01jmkCgj4ObCasJ68Gu8WePiaLBuORlp4H9g0WEu&#10;IekdqsYOo5Phf0B1nBhlVeOmRHWxahpOWKgBqkmT36p5abFmoRZojtX3Ntn/B0u+nPcGcVpG2SyL&#10;kMQdDOmZS4bSZO6702tbgFMl98bXRy7yRT8r8t0iqaoWyyMLLF+vGgJTHxE/hPiN1ZDj0H9WFHzw&#10;yanQqktjOg8JTUCXMJHrfSLs4hAZDgmcrub5YjZbBHRc3AK1se4TUx3yRhkJYB2A8fnZOk8EFzcX&#10;n0eqHRciDFxI1HvUbB4CrBKc+kvvZs3xUAmDzthLJnxj3gc3o06SBrCWYbodbYe5GGxILqTHg1KA&#10;zmgNmvixSlbb5XaZT/JssZ3kSV1PPu6qfLLYpR/m9ayuqjr96amledFySpn07G76TPO/m//4UgZl&#10;3RV6b0P8iB76BWRv/0A6zNKPbxDCQdHr3txmDJIMzuPz8Zp/uwf77SPf/AIAAP//AwBQSwMEFAAG&#10;AAgAAAAhAP5CexHeAAAADAEAAA8AAABkcnMvZG93bnJldi54bWxMj8FOwzAQRO9I/IO1SFwqaifQ&#10;qoQ4FQJy40IBcd0mSxIRr9PYbQNfzyIOcNyZp9mZfD25Xh1oDJ1nC8ncgCKufN1xY+HlubxYgQoR&#10;ucbeM1n4pADr4vQkx6z2R36iwyY2SkI4ZGihjXHItA5VSw7D3A/E4r370WGUc2x0PeJRwl2vU2OW&#10;2mHH8qHFge5aqj42e2chlK+0K79m1cy8XTae0t394wNae3423d6AijTFPxh+6kt1KKTT1u+5Dqq3&#10;kF4l14KKYRYJKCF+la0oS7NagC5y/X9E8Q0AAP//AwBQSwECLQAUAAYACAAAACEAtoM4kv4AAADh&#10;AQAAEwAAAAAAAAAAAAAAAAAAAAAAW0NvbnRlbnRfVHlwZXNdLnhtbFBLAQItABQABgAIAAAAIQA4&#10;/SH/1gAAAJQBAAALAAAAAAAAAAAAAAAAAC8BAABfcmVscy8ucmVsc1BLAQItABQABgAIAAAAIQC8&#10;rrZDEwIAACwEAAAOAAAAAAAAAAAAAAAAAC4CAABkcnMvZTJvRG9jLnhtbFBLAQItABQABgAIAAAA&#10;IQD+QnsR3gAAAAwBAAAPAAAAAAAAAAAAAAAAAG0EAABkcnMvZG93bnJldi54bWxQSwUGAAAAAAQA&#10;BADzAAAAeAUAAAAA&#10;">
              <w10:wrap anchorx="page" anchory="page"/>
            </v:line>
          </w:pict>
        </mc:Fallback>
      </mc:AlternateContent>
    </w:r>
    <w:r>
      <w:rPr>
        <w:b/>
        <w:bCs/>
      </w:rPr>
      <w:t>About the model financial statements</w:t>
    </w:r>
    <w:r>
      <w:rPr>
        <w:b/>
        <w:bCs/>
      </w:rPr>
      <w:br/>
    </w:r>
    <w:r>
      <w:t>for Victorian Government Departments</w:t>
    </w:r>
  </w:p>
  <w:p w:rsidR="00841B85" w:rsidRDefault="00841B85" w:rsidP="00F37D80">
    <w:pPr>
      <w:pStyle w:val="Reference"/>
    </w:pPr>
    <w:r>
      <w:t>Source Reference</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rsidP="00F00F7E">
    <w:pPr>
      <w:pStyle w:val="Header"/>
      <w:rPr>
        <w:b/>
      </w:rPr>
    </w:pPr>
    <w:r>
      <w:rPr>
        <w:b/>
      </w:rPr>
      <w:t>Introduction</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792384" behindDoc="0" locked="0" layoutInCell="1" allowOverlap="1" wp14:anchorId="589905EC" wp14:editId="0185091A">
              <wp:simplePos x="0" y="0"/>
              <wp:positionH relativeFrom="page">
                <wp:posOffset>1536065</wp:posOffset>
              </wp:positionH>
              <wp:positionV relativeFrom="page">
                <wp:posOffset>667385</wp:posOffset>
              </wp:positionV>
              <wp:extent cx="0" cy="9546336"/>
              <wp:effectExtent l="0" t="0" r="19050" b="17145"/>
              <wp:wrapNone/>
              <wp:docPr id="23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37Ew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ZTjFS&#10;pIUhPQvFUZbOQnc64wpw2qi9DfXRi3oxz5p+d0jpTUPUkUeWr1cDgVmISB5CwsYZyHHoPmsGPuTk&#10;dWzVpbZtgIQmoEucyPU+EX7xiPaHFE6Xs3w+nc4jOilugcY6/4nrFgWjxBJYR2ByfnY+ECHFzSXk&#10;UXonpIwDlwp1AXUyiwFOS8HCZXBz9njYSIvOJEgmfkPeBzerT4pFsIYTth1sT4TsbUguVcCDUoDO&#10;YPWa+LFMl9vFdpGP8sl8O8rTqhp93G3y0XyXfZhV02qzqbKfgVqWF41gjKvA7qbPLP+7+Q8vpVfW&#10;XaH3NiSP6LFfQPb2j6TjLMP4eiEcNLvu7W3GIMnoPDyfoPm3e7DfPvL1LwAAAP//AwBQSwMEFAAG&#10;AAgAAAAhAP5CexHeAAAADAEAAA8AAABkcnMvZG93bnJldi54bWxMj8FOwzAQRO9I/IO1SFwqaifQ&#10;qoQ4FQJy40IBcd0mSxIRr9PYbQNfzyIOcNyZp9mZfD25Xh1oDJ1nC8ncgCKufN1xY+HlubxYgQoR&#10;ucbeM1n4pADr4vQkx6z2R36iwyY2SkI4ZGihjXHItA5VSw7D3A/E4r370WGUc2x0PeJRwl2vU2OW&#10;2mHH8qHFge5aqj42e2chlK+0K79m1cy8XTae0t394wNae3423d6AijTFPxh+6kt1KKTT1u+5Dqq3&#10;kF4l14KKYRYJKCF+la0oS7NagC5y/X9E8Q0AAP//AwBQSwECLQAUAAYACAAAACEAtoM4kv4AAADh&#10;AQAAEwAAAAAAAAAAAAAAAAAAAAAAW0NvbnRlbnRfVHlwZXNdLnhtbFBLAQItABQABgAIAAAAIQA4&#10;/SH/1gAAAJQBAAALAAAAAAAAAAAAAAAAAC8BAABfcmVscy8ucmVsc1BLAQItABQABgAIAAAAIQAw&#10;Fs37EwIAACwEAAAOAAAAAAAAAAAAAAAAAC4CAABkcnMvZTJvRG9jLnhtbFBLAQItABQABgAIAAAA&#10;IQD+QnsR3gAAAAwBAAAPAAAAAAAAAAAAAAAAAG0EAABkcnMvZG93bnJldi54bWxQSwUGAAAAAAQA&#10;BADzAAAAeAUAAAAA&#10;">
              <w10:wrap anchorx="page" anchory="page"/>
            </v:line>
          </w:pict>
        </mc:Fallback>
      </mc:AlternateContent>
    </w:r>
    <w:r>
      <w:rPr>
        <w:b/>
        <w:bCs/>
      </w:rPr>
      <w:t>About the model financial statements</w:t>
    </w:r>
    <w:r>
      <w:rPr>
        <w:b/>
        <w:bCs/>
      </w:rPr>
      <w:br/>
    </w:r>
    <w:r>
      <w:t>for Victorian Government Departments</w:t>
    </w:r>
  </w:p>
  <w:p w:rsidR="00841B85" w:rsidRDefault="00841B85" w:rsidP="00190A01">
    <w:pPr>
      <w:pStyle w:val="Reference"/>
    </w:pPr>
    <w:r>
      <w:t>Source Reference</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836416" behindDoc="0" locked="0" layoutInCell="1" allowOverlap="1" wp14:anchorId="67BAE02B" wp14:editId="0736B488">
              <wp:simplePos x="0" y="0"/>
              <wp:positionH relativeFrom="page">
                <wp:posOffset>1536065</wp:posOffset>
              </wp:positionH>
              <wp:positionV relativeFrom="page">
                <wp:posOffset>667385</wp:posOffset>
              </wp:positionV>
              <wp:extent cx="0" cy="9546336"/>
              <wp:effectExtent l="0" t="0" r="19050" b="17145"/>
              <wp:wrapNone/>
              <wp:docPr id="5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H0Eg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bYqRI&#10;CzN6FoqjLJ2F5nTGFeCzUXsbyqMX9WKeNf3ukNKbhqgjjyRfrwYCsxCRPISEjTOQ4tB91gx8yMnr&#10;2KlLbdsACT1AlziQ630g/OIR7Q8pnC5n+Xw6nUd0UtwCjXX+E9ctCkaJJbCOwOT87HwgQoqbS8ij&#10;9E5IGectFeoC6mQWA5yWgoXL4Obs8bCRFp1JUEz8hrwPblafFItgDSdsO9ieCNnbkFyqgAelAJ3B&#10;6iXxY5kut4vtIh/lk/l2lKdVNfq42+Sj+S77MKum1WZTZT8DtSwvGsEYV4HdTZ5Z/nfjHx5KL6y7&#10;QO9tSB7RY7+A7O0fScdZhvH1Qjhodt3b24xBkdF5eD1B8m/3YL994+tfAAAA//8DAFBLAwQUAAYA&#10;CAAAACEA/kJ7Ed4AAAAMAQAADwAAAGRycy9kb3ducmV2LnhtbEyPwU7DMBBE70j8g7VIXCpqJ9Cq&#10;hDgVAnLjQgFx3SZLEhGv09htA1/PIg5w3Jmn2Zl8PbleHWgMnWcLydyAIq583XFj4eW5vFiBChG5&#10;xt4zWfikAOvi9CTHrPZHfqLDJjZKQjhkaKGNcci0DlVLDsPcD8TivfvRYZRzbHQ94lHCXa9TY5ba&#10;YcfyocWB7lqqPjZ7ZyGUr7Qrv2bVzLxdNp7S3f3jA1p7fjbd3oCKNMU/GH7qS3UopNPW77kOqreQ&#10;XiXXgophFgkoIX6VrShLs1qALnL9f0TxDQAA//8DAFBLAQItABQABgAIAAAAIQC2gziS/gAAAOEB&#10;AAATAAAAAAAAAAAAAAAAAAAAAABbQ29udGVudF9UeXBlc10ueG1sUEsBAi0AFAAGAAgAAAAhADj9&#10;If/WAAAAlAEAAAsAAAAAAAAAAAAAAAAALwEAAF9yZWxzLy5yZWxzUEsBAi0AFAAGAAgAAAAhAFWQ&#10;MfQSAgAAKwQAAA4AAAAAAAAAAAAAAAAALgIAAGRycy9lMm9Eb2MueG1sUEsBAi0AFAAGAAgAAAAh&#10;AP5CexHeAAAADAEAAA8AAAAAAAAAAAAAAAAAbAQAAGRycy9kb3ducmV2LnhtbFBLBQYAAAAABAAE&#10;APMAAAB3BQAAAAA=&#10;">
              <w10:wrap anchorx="page" anchory="page"/>
            </v:line>
          </w:pict>
        </mc:Fallback>
      </mc:AlternateContent>
    </w:r>
    <w:r>
      <w:rPr>
        <w:b/>
        <w:bCs/>
      </w:rPr>
      <w:t>About the model financial statements</w:t>
    </w:r>
    <w:r>
      <w:rPr>
        <w:b/>
        <w:bCs/>
      </w:rPr>
      <w:br/>
    </w:r>
    <w:r>
      <w:t>for Victorian Government Departments</w:t>
    </w:r>
  </w:p>
  <w:p w:rsidR="00841B85" w:rsidRDefault="00841B85" w:rsidP="00190A01">
    <w:pPr>
      <w:pStyle w:val="Reference"/>
    </w:pPr>
    <w:r>
      <w:t>Source Reference</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DB6194">
    <w:pPr>
      <w:pStyle w:val="Header"/>
      <w:rPr>
        <w:b/>
      </w:rPr>
    </w:pPr>
    <w:r>
      <w:rPr>
        <w:b/>
        <w:noProof/>
      </w:rPr>
      <mc:AlternateContent>
        <mc:Choice Requires="wps">
          <w:drawing>
            <wp:anchor distT="0" distB="0" distL="114300" distR="114300" simplePos="0" relativeHeight="251816960" behindDoc="0" locked="0" layoutInCell="1" allowOverlap="1" wp14:anchorId="05702786" wp14:editId="3AA8FB19">
              <wp:simplePos x="0" y="0"/>
              <wp:positionH relativeFrom="column">
                <wp:posOffset>1026160</wp:posOffset>
              </wp:positionH>
              <wp:positionV relativeFrom="page">
                <wp:posOffset>461645</wp:posOffset>
              </wp:positionV>
              <wp:extent cx="0" cy="9432290"/>
              <wp:effectExtent l="0" t="0" r="0" b="0"/>
              <wp:wrapNone/>
              <wp:docPr id="23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32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80.8pt,36.35pt" to="80.8pt,7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ZC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ifTDFS&#10;pAORnoXiKFvkoTu9cSU4rdXOhvroWb2YZ02/O6T0uiXqwCPL14uBwCxEJG9CwsYZyLHvP2sGPuTo&#10;dWzVubFdgIQmoHNU5HJXhJ89osMhhdNFMcnzRVQrIeUt0FjnP3HdoWBUWALrCExOz84HIqS8uYQ8&#10;Sm+FlFFwqVAPqNN8GgOcloKFy+Dm7GG/lhadSBiZ+MWq4ObRzeqjYhGs5YRtrrYnQg42JJcq4EEp&#10;QOdqDTPxY5EuNvPNvBgV+WwzKtK6Hn3crovRbJt9mNaTer2us5+BWlaUrWCMq8DuNp9Z8Xf6X1/K&#10;MFn3Cb23IXmLHvsFZG//SDpqGeQbBmGv2WVnbxrDSEbn6/MJM/+4B/vxka9+AQAA//8DAFBLAwQU&#10;AAYACAAAACEAmVokYN4AAAALAQAADwAAAGRycy9kb3ducmV2LnhtbEyPQU+DQBCF7yb+h82YeGns&#10;Aqa0QZbGqNy8WDVepzACkZ2l7LZFf73TXvQ2b+blzffy9WR7daDRd44NxPMIFHHl6o4bA2+v5c0K&#10;lA/INfaOycA3eVgXlxc5ZrU78gsdNqFREsI+QwNtCEOmta9asujnbiCW26cbLQaRY6PrEY8Sbnud&#10;RFGqLXYsH1oc6KGl6muztwZ8+U678mdWzaKP28ZRsnt8fkJjrq+m+ztQgabwZ4YTvqBDIUxbt+fa&#10;q150GqdiNbBMlqBOhvNiK8NisYpBF7n+36H4BQAA//8DAFBLAQItABQABgAIAAAAIQC2gziS/gAA&#10;AOEBAAATAAAAAAAAAAAAAAAAAAAAAABbQ29udGVudF9UeXBlc10ueG1sUEsBAi0AFAAGAAgAAAAh&#10;ADj9If/WAAAAlAEAAAsAAAAAAAAAAAAAAAAALwEAAF9yZWxzLy5yZWxzUEsBAi0AFAAGAAgAAAAh&#10;ALO05kIVAgAALAQAAA4AAAAAAAAAAAAAAAAALgIAAGRycy9lMm9Eb2MueG1sUEsBAi0AFAAGAAgA&#10;AAAhAJlaJGDeAAAACwEAAA8AAAAAAAAAAAAAAAAAbwQAAGRycy9kb3ducmV2LnhtbFBLBQYAAAAA&#10;BAAEAPMAAAB6BQAAAAA=&#10;">
              <w10:wrap anchory="page"/>
            </v:line>
          </w:pict>
        </mc:Fallback>
      </mc:AlternateContent>
    </w:r>
    <w:r w:rsidRPr="000E20F8">
      <w:rPr>
        <w:b/>
      </w:rPr>
      <w:t>Officer</w:t>
    </w:r>
    <w:r>
      <w:rPr>
        <w:b/>
      </w:rPr>
      <w:t>’</w:t>
    </w:r>
    <w:r w:rsidRPr="000E20F8">
      <w:rPr>
        <w:b/>
      </w:rPr>
      <w:t xml:space="preserve">s </w:t>
    </w:r>
    <w:r>
      <w:rPr>
        <w:b/>
      </w:rPr>
      <w:t>d</w:t>
    </w:r>
    <w:r w:rsidRPr="000E20F8">
      <w:rPr>
        <w:b/>
      </w:rPr>
      <w:t>eclaration</w:t>
    </w:r>
    <w:r w:rsidRPr="000E20F8">
      <w:rPr>
        <w:b/>
      </w:rPr>
      <w:br/>
    </w:r>
  </w:p>
  <w:p w:rsidR="00841B85" w:rsidRPr="001F1625" w:rsidRDefault="00841B85" w:rsidP="00190A01">
    <w:pPr>
      <w:pStyle w:val="Reference"/>
    </w:pPr>
    <w:r>
      <w:t>Source Reference</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DB6194">
    <w:pPr>
      <w:pStyle w:val="Header"/>
      <w:rPr>
        <w:b/>
      </w:rPr>
    </w:pPr>
    <w:r>
      <w:rPr>
        <w:b/>
        <w:noProof/>
      </w:rPr>
      <mc:AlternateContent>
        <mc:Choice Requires="wps">
          <w:drawing>
            <wp:anchor distT="0" distB="0" distL="114300" distR="114300" simplePos="0" relativeHeight="251781120" behindDoc="0" locked="0" layoutInCell="1" allowOverlap="1" wp14:anchorId="75B3F769" wp14:editId="14276EE2">
              <wp:simplePos x="0" y="0"/>
              <wp:positionH relativeFrom="page">
                <wp:posOffset>1536065</wp:posOffset>
              </wp:positionH>
              <wp:positionV relativeFrom="page">
                <wp:posOffset>667385</wp:posOffset>
              </wp:positionV>
              <wp:extent cx="0" cy="9546336"/>
              <wp:effectExtent l="0" t="0" r="19050" b="17145"/>
              <wp:wrapNone/>
              <wp:docPr id="236"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uxFAIAACwEAAAOAAAAZHJzL2Uyb0RvYy54bWysU8GO2jAQvVfqP1i+QxIIFCLCqkqgl22L&#10;tNsPMLZDrDq2ZRsCqvrvHZtAS3upqubgeOzxmzdvZlZP506iE7dOaFXibJxixBXVTKhDib+8bkcL&#10;jJwnihGpFS/xhTv8tH77ZtWbgk90qyXjFgGIckVvStx6b4okcbTlHXFjbbiCy0bbjngw7SFhlvSA&#10;3slkkqbzpNeWGaspdw5O6+slXkf8puHUf24axz2SJQZuPq42rvuwJusVKQ6WmFbQgQb5BxYdEQqC&#10;3qFq4gk6WvEHVCeo1U43fkx1l+imEZTHHCCbLP0tm5eWGB5zAXGcucvk/h8s/XTaWSRYiSfTOUaK&#10;dFCkZ6E4ypZRnd64ApwqtbMhP3pWL+ZZ068OKV21RB14ZPl6MfAwC3omD0+C4QzE2PcfNQMfcvQ6&#10;SnVubBcgQQR0jhW53CvCzx7R6yGF0+Usn0+BX0Anxe2hsc5/4LpDYVNiCawjMDk9O391vbmEOEpv&#10;hZSx4FKhPqBOZvGB01KwcBncnD3sK2nRiYSWid8Q98HN6qNiEazlhG2GvSdCXvfAU6qAB6kAnWF3&#10;7Ylvy3S5WWwW+SifzDejPK3r0fttlY/m2+zdrJ7WVVVn3wO1LC9awRhXgd2tP7P87+o/TMq1s+4d&#10;epcheUSP0gLZ2z+SjrUM5QsD5Yq9ZpedDdIGC1oyOg/jE3r+Vzt6/Rzy9Q8AAAD//wMAUEsDBBQA&#10;BgAIAAAAIQD+QnsR3gAAAAwBAAAPAAAAZHJzL2Rvd25yZXYueG1sTI/BTsMwEETvSPyDtUhcKmon&#10;0KqEOBUCcuNCAXHdJksSEa/T2G0DX88iDnDcmafZmXw9uV4daAydZwvJ3IAirnzdcWPh5bm8WIEK&#10;EbnG3jNZ+KQA6+L0JMes9kd+osMmNkpCOGRooY1xyLQOVUsOw9wPxOK9+9FhlHNsdD3iUcJdr1Nj&#10;ltphx/KhxYHuWqo+NntnIZSvtCu/ZtXMvF02ntLd/eMDWnt+Nt3egIo0xT8YfupLdSik09bvuQ6q&#10;t5BeJdeCimEWCSghfpWtKEuzWoAucv1/RPENAAD//wMAUEsBAi0AFAAGAAgAAAAhALaDOJL+AAAA&#10;4QEAABMAAAAAAAAAAAAAAAAAAAAAAFtDb250ZW50X1R5cGVzXS54bWxQSwECLQAUAAYACAAAACEA&#10;OP0h/9YAAACUAQAACwAAAAAAAAAAAAAAAAAvAQAAX3JlbHMvLnJlbHNQSwECLQAUAAYACAAAACEA&#10;GEjLsRQCAAAsBAAADgAAAAAAAAAAAAAAAAAuAgAAZHJzL2Uyb0RvYy54bWxQSwECLQAUAAYACAAA&#10;ACEA/kJ7Ed4AAAAMAQAADwAAAAAAAAAAAAAAAABuBAAAZHJzL2Rvd25yZXYueG1sUEsFBgAAAAAE&#10;AAQA8wAAAHkFAAAAAA==&#10;">
              <w10:wrap anchorx="page" anchory="page"/>
            </v:line>
          </w:pict>
        </mc:Fallback>
      </mc:AlternateContent>
    </w:r>
    <w:r w:rsidRPr="000E20F8">
      <w:rPr>
        <w:b/>
      </w:rPr>
      <w:t>Officer</w:t>
    </w:r>
    <w:r>
      <w:rPr>
        <w:b/>
      </w:rPr>
      <w:t>’</w:t>
    </w:r>
    <w:r w:rsidRPr="000E20F8">
      <w:rPr>
        <w:b/>
      </w:rPr>
      <w:t xml:space="preserve">s </w:t>
    </w:r>
    <w:r>
      <w:rPr>
        <w:b/>
      </w:rPr>
      <w:t>d</w:t>
    </w:r>
    <w:r w:rsidRPr="000E20F8">
      <w:rPr>
        <w:b/>
      </w:rPr>
      <w:t>eclaration</w:t>
    </w:r>
    <w:r w:rsidRPr="000E20F8">
      <w:rPr>
        <w:b/>
      </w:rPr>
      <w:br/>
    </w:r>
  </w:p>
  <w:p w:rsidR="00841B85" w:rsidRDefault="00841B85" w:rsidP="00190A01">
    <w:pPr>
      <w:pStyle w:val="Reference"/>
    </w:pPr>
    <w:r>
      <w:t>Source Reference</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DB6194">
    <w:pPr>
      <w:pStyle w:val="Header"/>
    </w:pPr>
    <w:r>
      <w:rPr>
        <w:noProof/>
      </w:rPr>
      <mc:AlternateContent>
        <mc:Choice Requires="wps">
          <w:drawing>
            <wp:anchor distT="0" distB="0" distL="114300" distR="114300" simplePos="0" relativeHeight="251817984" behindDoc="0" locked="0" layoutInCell="1" allowOverlap="1" wp14:anchorId="7ECB1D10" wp14:editId="5126F4B6">
              <wp:simplePos x="0" y="0"/>
              <wp:positionH relativeFrom="column">
                <wp:posOffset>1018540</wp:posOffset>
              </wp:positionH>
              <wp:positionV relativeFrom="paragraph">
                <wp:posOffset>255905</wp:posOffset>
              </wp:positionV>
              <wp:extent cx="0" cy="9545955"/>
              <wp:effectExtent l="0" t="0" r="0" b="0"/>
              <wp:wrapNone/>
              <wp:docPr id="25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sQEwIAACwEAAAOAAAAZHJzL2Uyb0RvYy54bWysU8uu2yAQ3VfqPyD2iR+1cxMrzlVlJ92k&#10;baR7+wEEsI2KAQGJE1X99wJ20qbdVFW9wAPMnDkzc1g/X3oOzlQbJkUJk3kMARVYEibaEn553c2W&#10;EBiLBEFcClrCKzXwefP2zXpQBU1lJzmhGjgQYYpBlbCzVhVRZHBHe2TmUlHhLhupe2TdVrcR0Whw&#10;6D2P0jheRIPURGmJqTHutB4v4SbgNw3F9nPTGGoBL6HjZsOqw3r0a7RZo6LVSHUMTzTQP7DoERMu&#10;6R2qRhaBk2Z/QPUMa2lkY+dY9pFsGoZpqMFVk8S/VfPSIUVDLa45Rt3bZP4fLP50PmjASAnTPIVA&#10;oN4Nac8EBclT4rszKFM4p0octK8PX8SL2kv81QAhqw6JlgaWr1flAkNE9BDiN0a5HMfhoyTOB52s&#10;DK26NLr3kK4J4BImcr1PhF4swOMhdqerPMtXee75RKi4BSpt7Acqe+CNEnLHOgCj897Y0fXm4vMI&#10;uWOch4FzAQaPmuYhwEjOiL/0bka3x4prcEZeMuGb8j64aXkSJIB1FJHtZFvE+Gg7nlx4PFeKozNZ&#10;oya+reLVdrldZrMsXWxnWVzXs/e7KpstdslTXr+rq6pOvntqSVZ0jBAqPLubPpPs7+Y/vZRRWXeF&#10;3tsQPaKH1jqyt38gHWbpxzcK4SjJ9aB9a/1YnSSD8/R8vOZ/3Qevn4988wMAAP//AwBQSwMEFAAG&#10;AAgAAAAhAKb+KQfeAAAACwEAAA8AAABkcnMvZG93bnJldi54bWxMj0FPwzAMhe9I/IfISFymLWEt&#10;FSpNJwT0xoUB2jVrTFvROF2TbYVfj7cL3Pzsp+fvFavJ9eKAY+g8abhZKBBItbcdNRre36r5HYgQ&#10;DVnTe0IN3xhgVV5eFCa3/kiveFjHRnAIhdxoaGMccilD3aIzYeEHJL59+tGZyHJspB3NkcNdL5dK&#10;ZdKZjvhDawZ8bLH+Wu+dhlB94K76mdUztUkaj8vd08uz0fr6anq4BxFxin9mOOEzOpTMtPV7skH0&#10;rDOVslVDqhIQJ8N5seXhNk0ykGUh/3cofwEAAP//AwBQSwECLQAUAAYACAAAACEAtoM4kv4AAADh&#10;AQAAEwAAAAAAAAAAAAAAAAAAAAAAW0NvbnRlbnRfVHlwZXNdLnhtbFBLAQItABQABgAIAAAAIQA4&#10;/SH/1gAAAJQBAAALAAAAAAAAAAAAAAAAAC8BAABfcmVscy8ucmVsc1BLAQItABQABgAIAAAAIQBJ&#10;IYsQEwIAACwEAAAOAAAAAAAAAAAAAAAAAC4CAABkcnMvZTJvRG9jLnhtbFBLAQItABQABgAIAAAA&#10;IQCm/ikH3gAAAAsBAAAPAAAAAAAAAAAAAAAAAG0EAABkcnMvZG93bnJldi54bWxQSwUGAAAAAAQA&#10;BADzAAAAeAUAAAAA&#10;"/>
          </w:pict>
        </mc:Fallback>
      </mc:AlternateContent>
    </w:r>
    <w:r w:rsidRPr="000E20F8">
      <w:rPr>
        <w:b/>
      </w:rPr>
      <w:t>Officer</w:t>
    </w:r>
    <w:r>
      <w:rPr>
        <w:b/>
      </w:rPr>
      <w:t>’</w:t>
    </w:r>
    <w:r w:rsidRPr="000E20F8">
      <w:rPr>
        <w:b/>
      </w:rPr>
      <w:t xml:space="preserve">s </w:t>
    </w:r>
    <w:r>
      <w:rPr>
        <w:b/>
      </w:rPr>
      <w:t>d</w:t>
    </w:r>
    <w:r w:rsidRPr="000E20F8">
      <w:rPr>
        <w:b/>
      </w:rPr>
      <w:t>eclaration</w:t>
    </w:r>
    <w:r w:rsidRPr="000E20F8">
      <w:rPr>
        <w:b/>
      </w:rPr>
      <w:br/>
    </w:r>
  </w:p>
  <w:p w:rsidR="00841B85" w:rsidRDefault="00841B85" w:rsidP="00DB6194">
    <w:pPr>
      <w:pStyle w:val="Reference"/>
    </w:pPr>
    <w:r>
      <w:t>Source Reference</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CC43A8" w:rsidRDefault="00841B85" w:rsidP="00540F7E">
    <w:pPr>
      <w:pStyle w:val="Header"/>
      <w:rPr>
        <w:b/>
      </w:rPr>
    </w:pPr>
    <w:r>
      <w:rPr>
        <w:b/>
      </w:rPr>
      <w:t>Introduction</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Pr="000E20F8" w:rsidRDefault="00841B85" w:rsidP="00FA67A3">
    <w:pPr>
      <w:pStyle w:val="Header"/>
      <w:rPr>
        <w:b/>
      </w:rPr>
    </w:pPr>
    <w:r>
      <w:rPr>
        <w:b/>
        <w:noProof/>
      </w:rPr>
      <mc:AlternateContent>
        <mc:Choice Requires="wps">
          <w:drawing>
            <wp:anchor distT="0" distB="0" distL="114300" distR="114300" simplePos="0" relativeHeight="251717632" behindDoc="0" locked="0" layoutInCell="1" allowOverlap="1" wp14:anchorId="62F9518B" wp14:editId="11BA1A97">
              <wp:simplePos x="0" y="0"/>
              <wp:positionH relativeFrom="column">
                <wp:posOffset>1026160</wp:posOffset>
              </wp:positionH>
              <wp:positionV relativeFrom="page">
                <wp:posOffset>461645</wp:posOffset>
              </wp:positionV>
              <wp:extent cx="0" cy="9432290"/>
              <wp:effectExtent l="0" t="0" r="0" b="0"/>
              <wp:wrapNone/>
              <wp:docPr id="25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32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80.8pt,36.35pt" to="80.8pt,7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j7FAIAACs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I9HGCnS&#10;QZM2QnH0FIvTG1eCzVJtbUiPntSr2Wj63SGlly1Rex5Jvp0N+GWhnMk7l3BxBkLs+i+agQ05eB0r&#10;dWpsFyChBugUG3K+N4SfPKKXRwqvs2KU57PIJyHlzdFY5z9z3aEgVFgC6QhMjhvnAxFS3kxCHKXX&#10;QsrYb6lQD6jjfBwdnJaCBWUwc3a/W0qLjiRMTPxiVqB5NLP6oFgEazlhq6vsiZAXGYJLFfAgFaBz&#10;lS4j8WOWzlbT1bQYFPlkNSjSuh58Wi+LwWSdPY3rUb1c1tnPQC0rylYwxlVgdxvPrPi79l8X5TJY&#10;9wG9lyF5jx7rBWRv/0g69jK0L+yTK3eanbf21mOYyGh83Z4w8o93kB93fPELAAD//wMAUEsDBBQA&#10;BgAIAAAAIQCZWiRg3gAAAAsBAAAPAAAAZHJzL2Rvd25yZXYueG1sTI9BT4NAEIXvJv6HzZh4aewC&#10;prRBlsao3LxYNV6nMAKRnaXstkV/vdNe9DZv5uXN9/L1ZHt1oNF3jg3E8wgUceXqjhsDb6/lzQqU&#10;D8g19o7JwDd5WBeXFzlmtTvyCx02oVESwj5DA20IQ6a1r1qy6OduIJbbpxstBpFjo+sRjxJue51E&#10;UaotdiwfWhzooaXqa7O3Bnz5TrvyZ1bNoo/bxlGye3x+QmOur6b7O1CBpvBnhhO+oEMhTFu359qr&#10;XnQap2I1sEyWoE6G82Irw2KxikEXuf7fofgFAAD//wMAUEsBAi0AFAAGAAgAAAAhALaDOJL+AAAA&#10;4QEAABMAAAAAAAAAAAAAAAAAAAAAAFtDb250ZW50X1R5cGVzXS54bWxQSwECLQAUAAYACAAAACEA&#10;OP0h/9YAAACUAQAACwAAAAAAAAAAAAAAAAAvAQAAX3JlbHMvLnJlbHNQSwECLQAUAAYACAAAACEA&#10;2Dyo+xQCAAArBAAADgAAAAAAAAAAAAAAAAAuAgAAZHJzL2Uyb0RvYy54bWxQSwECLQAUAAYACAAA&#10;ACEAmVokYN4AAAALAQAADwAAAAAAAAAAAAAAAABuBAAAZHJzL2Rvd25yZXYueG1sUEsFBgAAAAAE&#10;AAQA8wAAAHkFAAAAAA==&#10;">
              <w10:wrap anchory="page"/>
            </v:line>
          </w:pict>
        </mc:Fallback>
      </mc:AlternateContent>
    </w:r>
    <w:r>
      <w:rPr>
        <w:b/>
        <w:noProof/>
      </w:rPr>
      <mc:AlternateContent>
        <mc:Choice Requires="wps">
          <w:drawing>
            <wp:anchor distT="0" distB="0" distL="114300" distR="114300" simplePos="0" relativeHeight="251718656" behindDoc="0" locked="0" layoutInCell="1" allowOverlap="1" wp14:anchorId="2B9AC535" wp14:editId="6B8C5E7D">
              <wp:simplePos x="0" y="0"/>
              <wp:positionH relativeFrom="column">
                <wp:posOffset>-110490</wp:posOffset>
              </wp:positionH>
              <wp:positionV relativeFrom="paragraph">
                <wp:posOffset>219075</wp:posOffset>
              </wp:positionV>
              <wp:extent cx="1085850" cy="200025"/>
              <wp:effectExtent l="0" t="0" r="0" b="0"/>
              <wp:wrapNone/>
              <wp:docPr id="5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B85" w:rsidRPr="00A3039B" w:rsidRDefault="00841B85" w:rsidP="00B710FB">
                          <w:pPr>
                            <w:pStyle w:val="Reference"/>
                          </w:pPr>
                          <w:r>
                            <w:t>Source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67" type="#_x0000_t202" style="position:absolute;left:0;text-align:left;margin-left:-8.7pt;margin-top:17.25pt;width:85.5pt;height:1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LktAIAALsFAAAOAAAAZHJzL2Uyb0RvYy54bWysVO1umzAU/T9p72D5P+VjJgFUUrUhTJO6&#10;D6ndAzhggjWwme2EdNXefdcmSdNWk6Zt/LBs3+tzP87hXl7t+w7tmNJcihyHFwFGTFSy5mKT46/3&#10;pZdgpA0VNe2kYDl+YBpfLd6+uRyHjEWylV3NFAIQobNxyHFrzJD5vq5a1lN9IQcmwNhI1VMDR7Xx&#10;a0VHQO87PwqCmT9KVQ9KVkxruC0mI144/KZhlfncNJoZ1OUYcjNuVW5d29VfXNJso+jQ8uqQBv2L&#10;LHrKBQQ9QRXUULRV/BVUzysltWzMRSV7XzYNr5irAaoJgxfV3LV0YK4WaI4eTm3S/w+2+rT7ohCv&#10;cxwTjATtgaN7tjfoRu7RPLT9GQedgdvdAI5mD/fAs6tVD7ey+qaRkMuWig27VkqOLaM15Ode+mdP&#10;JxxtQdbjR1lDHLo10gHtG9Xb5kE7EKADTw8nbmwulQ0ZJHESg6kCGzAfRLFNzqfZ8fWgtHnPZI/s&#10;JscKuHfodHerzeR6dLHBhCx51zn+O/HsAjCnG4gNT63NZuHofEyDdJWsEuKRaLbySFAU3nW5JN6s&#10;DOdx8a5YLovwp40bkqzldc2EDXOUVkj+jLqDyCdRnMSlZcdrC2dT0mqzXnYK7ShIu3TfoSFnbv7z&#10;NFy/oJYXJYURCW6i1CtnydwjJYm9dB4kXhCmN+ksICkpyucl3XLB/r0kNOY4jYFHV85vawOu4Xtd&#10;G816bmB4dLzPcXJyopmV4ErUjlpDeTftz1ph039qBdB9JNoJ1mp0UqvZr/eAYlW8lvUDSFdJUBaI&#10;ECYebFqpfmA0wvTIsf6+pYph1H0QIP80JMSOG3cg8TyCgzq3rM8tVFQAlWOD0bRdmmlEbQfFNy1E&#10;mn44Ia/hl2m4U/NTVlCKPcCEcEUdppkdQedn5/U0cxe/AAAA//8DAFBLAwQUAAYACAAAACEA/wMw&#10;Qt4AAAAJAQAADwAAAGRycy9kb3ducmV2LnhtbEyPy07DMBBF90j8gzWV2LV2aRJomkmFQGxBlIfU&#10;nRtPk4h4HMVuE/4edwXL0T2690yxnWwnzjT41jHCcqFAEFfOtFwjfLw/z+9B+KDZ6M4xIfyQh215&#10;fVXo3LiR3+i8C7WIJexzjdCE0OdS+qohq/3C9cQxO7rB6hDPoZZm0GMst528VSqTVrccFxrd02ND&#10;1ffuZBE+X477r0S91k827Uc3Kcl2LRFvZtPDBkSgKfzBcNGP6lBGp4M7sfGiQ5gv75KIIqySFMQF&#10;SFcZiANClimQZSH/f1D+AgAA//8DAFBLAQItABQABgAIAAAAIQC2gziS/gAAAOEBAAATAAAAAAAA&#10;AAAAAAAAAAAAAABbQ29udGVudF9UeXBlc10ueG1sUEsBAi0AFAAGAAgAAAAhADj9If/WAAAAlAEA&#10;AAsAAAAAAAAAAAAAAAAALwEAAF9yZWxzLy5yZWxzUEsBAi0AFAAGAAgAAAAhAFJQ8uS0AgAAuwUA&#10;AA4AAAAAAAAAAAAAAAAALgIAAGRycy9lMm9Eb2MueG1sUEsBAi0AFAAGAAgAAAAhAP8DMELeAAAA&#10;CQEAAA8AAAAAAAAAAAAAAAAADgUAAGRycy9kb3ducmV2LnhtbFBLBQYAAAAABAAEAPMAAAAZBgAA&#10;AAA=&#10;" filled="f" stroked="f">
              <v:textbox>
                <w:txbxContent>
                  <w:p w:rsidR="00841B85" w:rsidRPr="00A3039B" w:rsidRDefault="00841B85" w:rsidP="00B710FB">
                    <w:pPr>
                      <w:pStyle w:val="Reference"/>
                    </w:pPr>
                    <w:r>
                      <w:t>Source Reference</w:t>
                    </w:r>
                  </w:p>
                </w:txbxContent>
              </v:textbox>
            </v:shape>
          </w:pict>
        </mc:Fallback>
      </mc:AlternateContent>
    </w:r>
    <w:r w:rsidRPr="000E20F8">
      <w:rPr>
        <w:b/>
      </w:rPr>
      <w:t>Officer</w:t>
    </w:r>
    <w:r>
      <w:rPr>
        <w:b/>
      </w:rPr>
      <w:t>’</w:t>
    </w:r>
    <w:r w:rsidRPr="000E20F8">
      <w:rPr>
        <w:b/>
      </w:rPr>
      <w:t xml:space="preserve">s </w:t>
    </w:r>
    <w:r>
      <w:rPr>
        <w:b/>
      </w:rPr>
      <w:t>d</w:t>
    </w:r>
    <w:r w:rsidRPr="000E20F8">
      <w:rPr>
        <w:b/>
      </w:rPr>
      <w:t>eclaration</w:t>
    </w:r>
    <w:r w:rsidRPr="000E20F8">
      <w:rPr>
        <w:b/>
      </w:rPr>
      <w:br/>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0A1AB5">
    <w:pPr>
      <w:pStyle w:val="Header"/>
    </w:pPr>
    <w:r>
      <w:rPr>
        <w:noProof/>
      </w:rPr>
      <mc:AlternateContent>
        <mc:Choice Requires="wps">
          <w:drawing>
            <wp:anchor distT="0" distB="0" distL="114300" distR="114300" simplePos="0" relativeHeight="251829248" behindDoc="0" locked="0" layoutInCell="1" allowOverlap="1" wp14:anchorId="370A7718" wp14:editId="2787992E">
              <wp:simplePos x="0" y="0"/>
              <wp:positionH relativeFrom="page">
                <wp:posOffset>1536065</wp:posOffset>
              </wp:positionH>
              <wp:positionV relativeFrom="page">
                <wp:posOffset>667385</wp:posOffset>
              </wp:positionV>
              <wp:extent cx="0" cy="9427464"/>
              <wp:effectExtent l="0" t="0" r="19050" b="21590"/>
              <wp:wrapNone/>
              <wp:docPr id="5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GEQIAACo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dYqRI&#10;CzPaCcVRPg+96YwrwGWt9jZURy/qxew0/e6Q0uuGqCOPHF+vBuKyEJE8hISNM5Dh0H3WDHzIyevY&#10;qEtt2wAJLUCXOI/rfR784hHtDymcLvLJUz7LIzopboHGOv+J6xYFo8QSSEdgct45H4iQ4uYS8ii9&#10;FVLGcUuFOkCdTqYxwGkpWLgMbs4eD2tp0ZkEwcRvyPvgZvVJsQjWcMI2g+2JkL0NyaUKeFAK0Bms&#10;XhE/FuliM9/M81E+mW1GeVpVo4/bdT6abbOnafWhWq+r7GegluVFIxjjKrC7qTPL/276wzvpdXXX&#10;570NySN67BeQvf0j6TjLML5eCAfNrnt7mzEIMjoPjyco/u0e7LdPfPULAAD//wMAUEsDBBQABgAI&#10;AAAAIQB/2yIc3wAAAAwBAAAPAAAAZHJzL2Rvd25yZXYueG1sTI/BTsMwEETvSPyDtUhcqtZOoKUN&#10;cSoE5NYLBcR1Gy9JRGynsdsGvp5FHOC4M0+zM/l6tJ040hBa7zQkMwWCXOVN62oNL8/ldAkiRHQG&#10;O+9IwycFWBfnZzlmxp/cEx23sRYc4kKGGpoY+0zKUDVkMcx8T469dz9YjHwOtTQDnjjcdjJVaiEt&#10;to4/NNjTfUPVx/ZgNYTylfbl16SaqLer2lO6f9g8otaXF+PdLYhIY/yD4ac+V4eCO+38wZkgOg3p&#10;dbJilA01T0Aw8avsWJkvVzcgi1z+H1F8AwAA//8DAFBLAQItABQABgAIAAAAIQC2gziS/gAAAOEB&#10;AAATAAAAAAAAAAAAAAAAAAAAAABbQ29udGVudF9UeXBlc10ueG1sUEsBAi0AFAAGAAgAAAAhADj9&#10;If/WAAAAlAEAAAsAAAAAAAAAAAAAAAAALwEAAF9yZWxzLy5yZWxzUEsBAi0AFAAGAAgAAAAhAP4b&#10;LEYRAgAAKgQAAA4AAAAAAAAAAAAAAAAALgIAAGRycy9lMm9Eb2MueG1sUEsBAi0AFAAGAAgAAAAh&#10;AH/bIhzfAAAADAEAAA8AAAAAAAAAAAAAAAAAawQAAGRycy9kb3ducmV2LnhtbFBLBQYAAAAABAAE&#10;APMAAAB3BQAAAAA=&#10;">
              <w10:wrap anchorx="page" anchory="page"/>
            </v:line>
          </w:pict>
        </mc:Fallback>
      </mc:AlternateContent>
    </w:r>
    <w:r>
      <w:rPr>
        <w:b/>
        <w:bCs/>
      </w:rPr>
      <w:t>Comprehensive operating statement</w:t>
    </w:r>
    <w:r>
      <w:br/>
      <w:t>for the financial year ended 30 June 2016</w:t>
    </w:r>
  </w:p>
  <w:p w:rsidR="00841B85" w:rsidRPr="009E26C4" w:rsidRDefault="00841B85" w:rsidP="00D47C9F">
    <w:pPr>
      <w:pStyle w:val="Reference"/>
    </w:pPr>
    <w:r>
      <w:t>Source Reference</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830272" behindDoc="0" locked="0" layoutInCell="1" allowOverlap="1" wp14:anchorId="180C3BCD" wp14:editId="285EE2E4">
              <wp:simplePos x="0" y="0"/>
              <wp:positionH relativeFrom="page">
                <wp:posOffset>1536065</wp:posOffset>
              </wp:positionH>
              <wp:positionV relativeFrom="page">
                <wp:posOffset>667385</wp:posOffset>
              </wp:positionV>
              <wp:extent cx="0" cy="9427464"/>
              <wp:effectExtent l="0" t="0" r="19050" b="21590"/>
              <wp:wrapNone/>
              <wp:docPr id="5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R9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dYaRI&#10;CzPaCcVRli5CczrjCvBZq70N5dGLejE7Tb87pPS6IerII8nXq4HALEQkDyFh4wykOHSfNQMfcvI6&#10;dupS2zZAQg/QJQ7keh8Iv3hE+0MKp4t88pTP8ohOilugsc5/4rpFwSixBNYRmJx3zgcipLi5hDxK&#10;b4WUcd5SoQ5Qp5NpDHBaChYug5uzx8NaWnQmQTHxG/I+uFl9UiyCNZywzWB7ImRvQ3KpAh6UAnQG&#10;q5fEj0W62Mw383yUT2abUZ5W1ejjdp2PZtvsaVp9qNbrKvsZqGV50QjGuArsbvLM8r8b//BQemHd&#10;BXpvQ/KIHvsFZG//SDrOMoyvF8JBs+ve3mYMiozOw+sJkn+7B/vtG1/9Ag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BO&#10;WQR9EgIAACsEAAAOAAAAAAAAAAAAAAAAAC4CAABkcnMvZTJvRG9jLnhtbFBLAQItABQABgAIAAAA&#10;IQB/2yIc3wAAAAwBAAAPAAAAAAAAAAAAAAAAAGwEAABkcnMvZG93bnJldi54bWxQSwUGAAAAAAQA&#10;BADzAAAAeAUAAAAA&#10;">
              <w10:wrap anchorx="page" anchory="page"/>
            </v:line>
          </w:pict>
        </mc:Fallback>
      </mc:AlternateContent>
    </w:r>
    <w:r>
      <w:br/>
    </w:r>
  </w:p>
  <w:p w:rsidR="00841B85" w:rsidRDefault="00841B85" w:rsidP="00190A01">
    <w:pPr>
      <w:pStyle w:val="Reference"/>
    </w:pPr>
    <w:r>
      <w:t>Source Reference</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256626">
    <w:pPr>
      <w:pStyle w:val="Header"/>
    </w:pPr>
    <w:r>
      <w:rPr>
        <w:noProof/>
      </w:rPr>
      <mc:AlternateContent>
        <mc:Choice Requires="wps">
          <w:drawing>
            <wp:anchor distT="0" distB="0" distL="114300" distR="114300" simplePos="0" relativeHeight="251719680" behindDoc="0" locked="0" layoutInCell="1" allowOverlap="1" wp14:anchorId="41C098BD" wp14:editId="14B0524B">
              <wp:simplePos x="0" y="0"/>
              <wp:positionH relativeFrom="page">
                <wp:posOffset>1536065</wp:posOffset>
              </wp:positionH>
              <wp:positionV relativeFrom="page">
                <wp:posOffset>667385</wp:posOffset>
              </wp:positionV>
              <wp:extent cx="0" cy="9427464"/>
              <wp:effectExtent l="0" t="0" r="19050" b="21590"/>
              <wp:wrapNone/>
              <wp:docPr id="3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nhEwIAACo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VpET6CU&#10;xC1otOOSoXnme9Npm4NLKffGV0cu8lXvFPlukVRlg+WRBY5vVw1xqY+I34X4jdWQ4dB9URR88Mmp&#10;0KhLbVoPCS1Al6DH9a4HuzhE+kMCp8tsMs9mgU+M81ugNtZ9ZqpF3igiAaQDMD7vrPNEcH5z8Xmk&#10;2nIhgtxCog5Qp5NpCLBKcOovvZs1x0MpDDpjPzDhC1XBzaObUSdJA1jDMN0MtsNc9DYkF9LjQSlA&#10;Z7D6ifixTJabxWaRjbLJbDPKkqoafdqW2Wi2TefT6qkqyyr96amlWd5wSpn07G7TmWZ/p/7wTvq5&#10;us/nvQ3xe/TQLyB7+wfSQUsvXz8IB0Wve3PTGAYyOA+Px0/84x7sxye+/gU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c8fZ4RMCAAAqBAAADgAAAAAAAAAAAAAAAAAuAgAAZHJzL2Uyb0RvYy54bWxQSwECLQAUAAYACAAA&#10;ACEAf9siHN8AAAAMAQAADwAAAAAAAAAAAAAAAABtBAAAZHJzL2Rvd25yZXYueG1sUEsFBgAAAAAE&#10;AAQA8wAAAHkFAAAAAA==&#10;">
              <w10:wrap anchorx="page" anchory="page"/>
            </v:line>
          </w:pict>
        </mc:Fallback>
      </mc:AlternateContent>
    </w:r>
    <w:r>
      <w:br/>
    </w:r>
  </w:p>
  <w:p w:rsidR="00841B85" w:rsidRDefault="00841B85" w:rsidP="00D47C9F">
    <w:pPr>
      <w:pStyle w:val="Reference"/>
    </w:pPr>
    <w:r>
      <w:t>Source Reference</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DB6194">
    <w:pPr>
      <w:pStyle w:val="Header"/>
    </w:pPr>
    <w:r>
      <w:rPr>
        <w:noProof/>
      </w:rPr>
      <mc:AlternateContent>
        <mc:Choice Requires="wps">
          <w:drawing>
            <wp:anchor distT="0" distB="0" distL="114300" distR="114300" simplePos="0" relativeHeight="251771904" behindDoc="0" locked="0" layoutInCell="1" allowOverlap="1" wp14:anchorId="4B51D399" wp14:editId="1D2F71F2">
              <wp:simplePos x="0" y="0"/>
              <wp:positionH relativeFrom="page">
                <wp:posOffset>1536065</wp:posOffset>
              </wp:positionH>
              <wp:positionV relativeFrom="page">
                <wp:posOffset>667385</wp:posOffset>
              </wp:positionV>
              <wp:extent cx="0" cy="9546336"/>
              <wp:effectExtent l="0" t="0" r="19050" b="17145"/>
              <wp:wrapNone/>
              <wp:docPr id="4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uEg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Bu2R&#10;uIUZ7bhkKH2a+OZ02ubgU8q98eWRi3zVO0W+WyRV2WB5ZIHk21VDYOoj4ocQv7EaUhy6L4qCDz45&#10;FTp1qU3rIaEH6BIGcr0PhF0cIv0hgdPlLJtPp/OAjvNboDbWfWaqRd4oIgGsAzA+76zzRHB+c/F5&#10;pNpyIcK8hUSdR53MQoBVglN/6d2sOR5KYdAZe8WEb8j74GbUSdIA1jBMN4PtMBe9DcmF9HhQCtAZ&#10;rF4SP5bJcrPYLLJRNplvRllSVaNP2zIbzbfp06yaVmVZpT89tTTLG04pk57dTZ5p9nfjHx5KL6y7&#10;QO9tiB/RQ7+A7O0fSIdZ+vH1Qjgoet2b24xBkcF5eD1e8u/3YL9/4+tfAAAA//8DAFBLAwQUAAYA&#10;CAAAACEA/kJ7Ed4AAAAMAQAADwAAAGRycy9kb3ducmV2LnhtbEyPwU7DMBBE70j8g7VIXCpqJ9Cq&#10;hDgVAnLjQgFx3SZLEhGv09htA1/PIg5w3Jmn2Zl8PbleHWgMnWcLydyAIq583XFj4eW5vFiBChG5&#10;xt4zWfikAOvi9CTHrPZHfqLDJjZKQjhkaKGNcci0DlVLDsPcD8TivfvRYZRzbHQ94lHCXa9TY5ba&#10;YcfyocWB7lqqPjZ7ZyGUr7Qrv2bVzLxdNp7S3f3jA1p7fjbd3oCKNMU/GH7qS3UopNPW77kOqreQ&#10;XiXXgophFgkoIX6VrShLs1qALnL9f0TxDQAA//8DAFBLAQItABQABgAIAAAAIQC2gziS/gAAAOEB&#10;AAATAAAAAAAAAAAAAAAAAAAAAABbQ29udGVudF9UeXBlc10ueG1sUEsBAi0AFAAGAAgAAAAhADj9&#10;If/WAAAAlAEAAAsAAAAAAAAAAAAAAAAALwEAAF9yZWxzLy5yZWxzUEsBAi0AFAAGAAgAAAAhAAwT&#10;7m4SAgAAKwQAAA4AAAAAAAAAAAAAAAAALgIAAGRycy9lMm9Eb2MueG1sUEsBAi0AFAAGAAgAAAAh&#10;AP5CexHeAAAADAEAAA8AAAAAAAAAAAAAAAAAbAQAAGRycy9kb3ducmV2LnhtbFBLBQYAAAAABAAE&#10;APMAAAB3BQAAAAA=&#10;">
              <w10:wrap anchorx="page" anchory="page"/>
            </v:line>
          </w:pict>
        </mc:Fallback>
      </mc:AlternateContent>
    </w:r>
    <w:r w:rsidRPr="001F1625">
      <w:rPr>
        <w:b/>
        <w:bCs/>
      </w:rPr>
      <w:t xml:space="preserve"> </w:t>
    </w:r>
    <w:r>
      <w:rPr>
        <w:b/>
        <w:bCs/>
      </w:rPr>
      <w:t>Comprehensive operating statement</w:t>
    </w:r>
    <w:r>
      <w:br/>
      <w:t>for the financial year ended 30 June 2016</w:t>
    </w:r>
  </w:p>
  <w:p w:rsidR="00841B85" w:rsidRDefault="00841B85" w:rsidP="00F37D80">
    <w:pPr>
      <w:pStyle w:val="Reference"/>
    </w:pPr>
    <w:r>
      <w:t>Source Reference</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0A1AB5">
    <w:pPr>
      <w:pStyle w:val="Header"/>
    </w:pPr>
    <w:r>
      <w:rPr>
        <w:noProof/>
      </w:rPr>
      <mc:AlternateContent>
        <mc:Choice Requires="wps">
          <w:drawing>
            <wp:anchor distT="0" distB="0" distL="114300" distR="114300" simplePos="0" relativeHeight="251705344" behindDoc="0" locked="0" layoutInCell="1" allowOverlap="1" wp14:anchorId="403310D4" wp14:editId="02196C89">
              <wp:simplePos x="0" y="0"/>
              <wp:positionH relativeFrom="column">
                <wp:posOffset>1026160</wp:posOffset>
              </wp:positionH>
              <wp:positionV relativeFrom="paragraph">
                <wp:posOffset>330835</wp:posOffset>
              </wp:positionV>
              <wp:extent cx="0" cy="9427210"/>
              <wp:effectExtent l="0" t="0" r="0" b="0"/>
              <wp:wrapNone/>
              <wp:docPr id="4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CWZEw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jIMVKk&#10;A422QnFUzEJveuNKcFmpnQ3V0bN6MVtNvzuk9Kol6sAjx9eLgbgsRCRvQsLGGciw7z9rBj7k6HVs&#10;1LmxXYCEFqBz1ONy14OfPaLDIYXTeZE/5VnUKiHlLdBY5z9x3aFgVFgC6QhMTlvnAxFS3lxCHqU3&#10;Qsoot1SoB9RJPokBTkvBwmVwc/awX0mLTiQMTPxiVXDz6Gb1UbEI1nLC1lfbEyEHG5JLFfCgFKBz&#10;tYaJ+DFP5+vZelaMiny6HhVpXY8+blbFaLrJnib1h3q1qrOfgVpWlK1gjKvA7jadWfF36l/fyTBX&#10;9/m8tyF5ix77BWRv/0g6ahnkGwZhr9llZ28aw0BG5+vjCRP/uAf78YkvfwE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B7&#10;6CWZEwIAACoEAAAOAAAAAAAAAAAAAAAAAC4CAABkcnMvZTJvRG9jLnhtbFBLAQItABQABgAIAAAA&#10;IQAqPRUM3gAAAAsBAAAPAAAAAAAAAAAAAAAAAG0EAABkcnMvZG93bnJldi54bWxQSwUGAAAAAAQA&#10;BADzAAAAeAUAAAAA&#10;"/>
          </w:pict>
        </mc:Fallback>
      </mc:AlternateContent>
    </w:r>
    <w:r>
      <w:rPr>
        <w:b/>
        <w:bCs/>
      </w:rPr>
      <w:t>Comprehensive operating statement</w:t>
    </w:r>
    <w:r>
      <w:br/>
      <w:t>for the financial year ended 30 June 2014</w:t>
    </w:r>
  </w:p>
  <w:p w:rsidR="00841B85" w:rsidRPr="009E26C4" w:rsidRDefault="00841B85" w:rsidP="00D47C9F">
    <w:pPr>
      <w:pStyle w:val="Reference"/>
    </w:pPr>
    <w:r>
      <w:t>Source Reference</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352E85">
    <w:pPr>
      <w:pStyle w:val="Header"/>
    </w:pPr>
    <w:r>
      <w:rPr>
        <w:noProof/>
      </w:rPr>
      <mc:AlternateContent>
        <mc:Choice Requires="wps">
          <w:drawing>
            <wp:anchor distT="0" distB="0" distL="114300" distR="114300" simplePos="0" relativeHeight="251723776" behindDoc="0" locked="0" layoutInCell="1" allowOverlap="1" wp14:anchorId="24657D3E" wp14:editId="64827337">
              <wp:simplePos x="0" y="0"/>
              <wp:positionH relativeFrom="column">
                <wp:posOffset>1026160</wp:posOffset>
              </wp:positionH>
              <wp:positionV relativeFrom="paragraph">
                <wp:posOffset>330835</wp:posOffset>
              </wp:positionV>
              <wp:extent cx="0" cy="9427210"/>
              <wp:effectExtent l="0" t="0" r="0" b="0"/>
              <wp:wrapNone/>
              <wp:docPr id="4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U6Ew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goMFKk&#10;A422QnH0NA+96Y0rwWWldjZUR8/qxWw1/e6Q0quWqAOPHF8vBuKyEJG8CQkbZyDDvv+sGfiQo9ex&#10;UefGdgESWoDOUY/LXQ9+9ogOhxRO50X+lGdRq4SUt0Bjnf/EdYeCUWEJpCMwOW2dD0RIeXMJeZTe&#10;CCmj3FKhHlAn+SQGOC0FC5fBzdnDfiUtOpEwMPGLVcHNo5vVR8UiWMsJW19tT4QcbEguVcCDUoDO&#10;1Rom4sc8na9n61kxKvLpelSkdT36uFkVo+kme5rUH+rVqs5+BmpZUbaCMa4Cu9t0ZsXfqX99J8Nc&#10;3efz3obkLXrsF5C9/SPpqGWQbxiEvWaXnb1pDAMZna+PJ0z84x7sxye+/AU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Dz&#10;lMU6EwIAACoEAAAOAAAAAAAAAAAAAAAAAC4CAABkcnMvZTJvRG9jLnhtbFBLAQItABQABgAIAAAA&#10;IQAqPRUM3gAAAAsBAAAPAAAAAAAAAAAAAAAAAG0EAABkcnMvZG93bnJldi54bWxQSwUGAAAAAAQA&#10;BADzAAAAeAUAAAAA&#10;"/>
          </w:pict>
        </mc:Fallback>
      </mc:AlternateContent>
    </w:r>
    <w:r>
      <w:rPr>
        <w:b/>
        <w:bCs/>
      </w:rPr>
      <w:t>Comprehensive operating statement</w:t>
    </w:r>
    <w:r>
      <w:br/>
      <w:t>for the financial year ended 30 June 2014</w:t>
    </w:r>
  </w:p>
  <w:p w:rsidR="00841B85" w:rsidRDefault="00841B85" w:rsidP="00D47C9F">
    <w:pPr>
      <w:pStyle w:val="Reference"/>
    </w:pPr>
    <w:r>
      <w:t>Source Reference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0A1AB5">
    <w:pPr>
      <w:pStyle w:val="Header"/>
    </w:pPr>
    <w:r>
      <w:rPr>
        <w:noProof/>
      </w:rPr>
      <mc:AlternateContent>
        <mc:Choice Requires="wps">
          <w:drawing>
            <wp:anchor distT="0" distB="0" distL="114300" distR="114300" simplePos="0" relativeHeight="251791360" behindDoc="0" locked="0" layoutInCell="1" allowOverlap="1" wp14:anchorId="7B8ADE97" wp14:editId="198A505A">
              <wp:simplePos x="0" y="0"/>
              <wp:positionH relativeFrom="column">
                <wp:posOffset>1026160</wp:posOffset>
              </wp:positionH>
              <wp:positionV relativeFrom="paragraph">
                <wp:posOffset>330835</wp:posOffset>
              </wp:positionV>
              <wp:extent cx="0" cy="9427210"/>
              <wp:effectExtent l="0" t="0" r="0" b="0"/>
              <wp:wrapNone/>
              <wp:docPr id="4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mEw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YKRI&#10;BxptheKomIXe9MaV4LJSOxuqo2f1YraafndI6VVL1IFHjq8XA3FZiEjehISNM5Bh33/WDHzI0evY&#10;qHNjuwAJLUDnqMflrgc/e0SHQwqn8yJ/yrOoVULKW6Cxzn/iukPBqLAE0hGYnLbOByKkvLmEPEpv&#10;hJRRbqlQD6iTfBIDnJaChcvg5uxhv5IWnUgYmPjFquDm0c3qo2IRrOWEra+2J0IONiSXKuBBKUDn&#10;ag0T8WOeztez9awYFfl0PSrSuh593KyK0XSTPU3qD/VqVWc/A7WsKFvBGFeB3W06s+Lv1L++k2Gu&#10;7vN5b0PyFj32C8je/pF01DLINwzCXrPLzt40hoGMztfHEyb+cQ/24xNf/gI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A9&#10;a+amEwIAACoEAAAOAAAAAAAAAAAAAAAAAC4CAABkcnMvZTJvRG9jLnhtbFBLAQItABQABgAIAAAA&#10;IQAqPRUM3gAAAAsBAAAPAAAAAAAAAAAAAAAAAG0EAABkcnMvZG93bnJldi54bWxQSwUGAAAAAAQA&#10;BADzAAAAeAUAAAAA&#10;"/>
          </w:pict>
        </mc:Fallback>
      </mc:AlternateContent>
    </w:r>
    <w:r>
      <w:rPr>
        <w:b/>
        <w:bCs/>
      </w:rPr>
      <w:t>Comprehensive operating statement</w:t>
    </w:r>
    <w:r>
      <w:br/>
      <w:t>for the financial year ended 30 June 2014</w:t>
    </w:r>
  </w:p>
  <w:p w:rsidR="00841B85" w:rsidRPr="009E26C4" w:rsidRDefault="00841B85" w:rsidP="00D47C9F">
    <w:pPr>
      <w:pStyle w:val="Reference"/>
    </w:pPr>
    <w:r>
      <w:t>Source Reference</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795456" behindDoc="0" locked="0" layoutInCell="1" allowOverlap="1" wp14:anchorId="6A394C28" wp14:editId="332B94F7">
              <wp:simplePos x="0" y="0"/>
              <wp:positionH relativeFrom="page">
                <wp:posOffset>1536065</wp:posOffset>
              </wp:positionH>
              <wp:positionV relativeFrom="page">
                <wp:posOffset>667385</wp:posOffset>
              </wp:positionV>
              <wp:extent cx="0" cy="9427464"/>
              <wp:effectExtent l="0" t="0" r="19050" b="21590"/>
              <wp:wrapNone/>
              <wp:docPr id="4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bKZ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zPMFKk&#10;hRnthOIoSxehOZ1xBfis1d6G8uhFvZidpt8dUnrdEHXkkeTr1UBgFiKSh5CwcQZSHLrPmoEPOXkd&#10;O3WpbRsgoQfoEgdyvQ+EXzyi/SGF00U+ecpneUQnxS3QWOc/cd2iYJRYAusITM475wMRUtxcQh6l&#10;t0LKOG+pUAeo08k0BjgtBQuXwc3Z42EtLTqToJj4DXkf3Kw+KRbBGk7YZrA9EbK3IblUAQ9KATqD&#10;1UvixyJdbOabeT7KJ7PNKE+ravRxu85Hs232NK0+VOt1lf0M1LK8aARjXAV2N3lm+d+Nf3govbDu&#10;Ar23IXlEj/0Csrd/JB1nGcbXC+Gg2XVvbzMGRUbn4fUEyb/dg/32ja9+A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D9&#10;7bKZEgIAACsEAAAOAAAAAAAAAAAAAAAAAC4CAABkcnMvZTJvRG9jLnhtbFBLAQItABQABgAIAAAA&#10;IQB/2yIc3wAAAAwBAAAPAAAAAAAAAAAAAAAAAGwEAABkcnMvZG93bnJldi54bWxQSwUGAAAAAAQA&#10;BADzAAAAeAUAAAAA&#10;">
              <w10:wrap anchorx="page" anchory="page"/>
            </v:line>
          </w:pict>
        </mc:Fallback>
      </mc:AlternateContent>
    </w:r>
    <w:r>
      <w:rPr>
        <w:b/>
        <w:bCs/>
      </w:rPr>
      <w:t>Comprehensive operating statement</w:t>
    </w:r>
    <w:r>
      <w:br/>
      <w:t>for the financial year ended 30 June 2015</w:t>
    </w:r>
  </w:p>
  <w:p w:rsidR="00841B85" w:rsidRDefault="00841B85" w:rsidP="00190A01">
    <w:pPr>
      <w:pStyle w:val="Reference"/>
    </w:pPr>
    <w:r>
      <w:t>Source Reference</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B03050">
    <w:pPr>
      <w:pStyle w:val="Header"/>
    </w:pPr>
    <w:r>
      <w:rPr>
        <w:noProof/>
      </w:rPr>
      <mc:AlternateContent>
        <mc:Choice Requires="wps">
          <w:drawing>
            <wp:anchor distT="0" distB="0" distL="114300" distR="114300" simplePos="0" relativeHeight="251712512" behindDoc="0" locked="0" layoutInCell="1" allowOverlap="1" wp14:anchorId="70A201A3" wp14:editId="1225B37E">
              <wp:simplePos x="0" y="0"/>
              <wp:positionH relativeFrom="page">
                <wp:posOffset>1536065</wp:posOffset>
              </wp:positionH>
              <wp:positionV relativeFrom="page">
                <wp:posOffset>667385</wp:posOffset>
              </wp:positionV>
              <wp:extent cx="0" cy="9427464"/>
              <wp:effectExtent l="0" t="0" r="19050" b="21590"/>
              <wp:wrapNone/>
              <wp:docPr id="5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CmEgIAACo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4+YaRI&#10;CzPaCcXRLAu96YwrwGWt9jZURy/qxew0/eqQ0uuGqCOPHF+vBuJiRPIQEjbOQIZD91Ez8CEnr2Oj&#10;LrVtAyS0AF3iPK73efCLR7Q/pHC6yCdP+SwPfBJS3AKNdf4D1y0KRoklkI7A5Lxzvne9uYQ8Sm+F&#10;lHHcUqEOUKeTaQxwWgoWLoObs8fDWlp0JkEw8RvyPrhZfVIsgjWcsM1geyJkbwNPqQIelAJ0BqtX&#10;xLdFutjMN/N8lE9mm1GeVtXo/Xadj2bb7GlavavW6yr7HqhledEIxrgK7G7qzPK/m/7wTnpd3fV5&#10;b0PyiB5bC2Rv/0g6zjKMrxfCQbPr3obWhrGCIKPz8HiC4n/dR6+fT3z1Aw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Cv&#10;3FCmEgIAACoEAAAOAAAAAAAAAAAAAAAAAC4CAABkcnMvZTJvRG9jLnhtbFBLAQItABQABgAIAAAA&#10;IQB/2yIc3wAAAAwBAAAPAAAAAAAAAAAAAAAAAGwEAABkcnMvZG93bnJldi54bWxQSwUGAAAAAAQA&#10;BADzAAAAeAUAAAAA&#10;">
              <w10:wrap anchorx="page" anchory="page"/>
            </v:line>
          </w:pict>
        </mc:Fallback>
      </mc:AlternateContent>
    </w:r>
    <w:r>
      <w:rPr>
        <w:b/>
        <w:bCs/>
      </w:rPr>
      <w:t>Comprehensive operating statement</w:t>
    </w:r>
    <w:r>
      <w:br/>
      <w:t>for the financial year ended 30 June 2016</w:t>
    </w:r>
  </w:p>
  <w:p w:rsidR="00841B85" w:rsidRDefault="00841B85" w:rsidP="00D47C9F">
    <w:pPr>
      <w:pStyle w:val="Reference"/>
    </w:pPr>
    <w:r>
      <w:t>Source Reference</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832F4">
    <w:pPr>
      <w:pStyle w:val="Header"/>
    </w:pPr>
    <w:r>
      <w:rPr>
        <w:noProof/>
      </w:rPr>
      <mc:AlternateContent>
        <mc:Choice Requires="wps">
          <w:drawing>
            <wp:anchor distT="0" distB="0" distL="114300" distR="114300" simplePos="0" relativeHeight="251694080" behindDoc="0" locked="0" layoutInCell="1" allowOverlap="1" wp14:anchorId="4B63A431" wp14:editId="489EC737">
              <wp:simplePos x="0" y="0"/>
              <wp:positionH relativeFrom="column">
                <wp:posOffset>1026160</wp:posOffset>
              </wp:positionH>
              <wp:positionV relativeFrom="paragraph">
                <wp:posOffset>330835</wp:posOffset>
              </wp:positionV>
              <wp:extent cx="0" cy="9427210"/>
              <wp:effectExtent l="0" t="0" r="0" b="0"/>
              <wp:wrapNone/>
              <wp:docPr id="5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AvFAIAACoEAAAOAAAAZHJzL2Uyb0RvYy54bWysU02P2jAQvVfqf7Byh3xsYCEirKoEeqFd&#10;pN3+AGM7xKpjW7YhoKr/vWMHENteqtXm4IztmTdv5o0XT6dOoCMzlitZRuk4iRCTRFEu92X043U9&#10;mkXIOiwpFkqyMjozGz0tP39a9LpgmWqVoMwgAJG26HUZtc7pIo4taVmH7VhpJuGyUabDDrZmH1OD&#10;e0DvRJwlyTTulaHaKMKshdN6uIyWAb9pGHHPTWOZQ6KMgJsLqwnrzq/xcoGLvcG65eRCA7+DRYe5&#10;hKQ3qBo7jA6G/wPVcWKUVY0bE9XFqmk4YaEGqCZN/qrmpcWahVqgOVbf2mQ/DpZ8P24N4rSMJtAe&#10;iTvQaMMlQw+Z702vbQEuldwaXx05yRe9UeSnRVJVLZZ7Fji+njXEpT4ifhPiN1ZDhl3/TVHwwQen&#10;QqNOjek8JLQAnYIe55se7OQQGQ4JnM7z7DFLg1YxLq6B2lj3lakOeaOMBJAOwPi4sc4TwcXVxeeR&#10;as2FCHILiXpAnWSTEGCV4NRfejdr9rtKGHTEfmDCF6qCm3s3ow6SBrCWYbq62A5zMdiQXEiPB6UA&#10;nYs1TMSveTJfzVazfJRn09UoT+p69GVd5aPpOn2c1A91VdXpb08tzYuWU8qkZ3edzjT/P/Uv72SY&#10;q9t83toQv0UP/QKy138gHbT08g2DsFP0vDVXjWEgg/Pl8fiJv9+Dff/El38AAAD//wMAUEsDBBQA&#10;BgAIAAAAIQAqPRUM3gAAAAsBAAAPAAAAZHJzL2Rvd25yZXYueG1sTI9BT4NAEIXvJv6HzZh4aewC&#10;TalBlsao3LxYbbxOYQQiO0vZbYv+eqde9DZv5uXN9/L1ZHt1pNF3jg3E8wgUceXqjhsDb6/lzS0o&#10;H5Br7B2TgS/ysC4uL3LManfiFzpuQqMkhH2GBtoQhkxrX7Vk0c/dQCy3DzdaDCLHRtcjniTc9jqJ&#10;olRb7Fg+tDjQQ0vV5+ZgDfhyS/vye1bNovdF4yjZPz4/oTHXV9P9HahAU/gzwxlf0KEQpp07cO1V&#10;LzqNU7EaWCYxqLPhd7GTYblIV6CLXP/vUPwAAAD//wMAUEsBAi0AFAAGAAgAAAAhALaDOJL+AAAA&#10;4QEAABMAAAAAAAAAAAAAAAAAAAAAAFtDb250ZW50X1R5cGVzXS54bWxQSwECLQAUAAYACAAAACEA&#10;OP0h/9YAAACUAQAACwAAAAAAAAAAAAAAAAAvAQAAX3JlbHMvLnJlbHNQSwECLQAUAAYACAAAACEA&#10;rRJgLxQCAAAqBAAADgAAAAAAAAAAAAAAAAAuAgAAZHJzL2Uyb0RvYy54bWxQSwECLQAUAAYACAAA&#10;ACEAKj0VDN4AAAALAQAADwAAAAAAAAAAAAAAAABuBAAAZHJzL2Rvd25yZXYueG1sUEsFBgAAAAAE&#10;AAQA8wAAAHkFAAAAAA==&#10;"/>
          </w:pict>
        </mc:Fallback>
      </mc:AlternateContent>
    </w:r>
    <w:r>
      <w:rPr>
        <w:b/>
        <w:bCs/>
      </w:rPr>
      <w:t>Comprehensive operating statement</w:t>
    </w:r>
    <w:r>
      <w:br/>
      <w:t>for the financial year ended 30 June 2012</w:t>
    </w:r>
  </w:p>
  <w:p w:rsidR="00841B85" w:rsidRDefault="00841B85" w:rsidP="00D47C9F">
    <w:pPr>
      <w:pStyle w:val="Reference"/>
    </w:pPr>
    <w:r>
      <w:t>Source Reference</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190A01">
    <w:pPr>
      <w:pStyle w:val="Header"/>
    </w:pPr>
    <w:r>
      <w:rPr>
        <w:noProof/>
      </w:rPr>
      <mc:AlternateContent>
        <mc:Choice Requires="wps">
          <w:drawing>
            <wp:anchor distT="0" distB="0" distL="114300" distR="114300" simplePos="0" relativeHeight="251796480" behindDoc="0" locked="0" layoutInCell="1" allowOverlap="1" wp14:anchorId="0E4D538A" wp14:editId="478A7E58">
              <wp:simplePos x="0" y="0"/>
              <wp:positionH relativeFrom="page">
                <wp:posOffset>1536065</wp:posOffset>
              </wp:positionH>
              <wp:positionV relativeFrom="page">
                <wp:posOffset>667385</wp:posOffset>
              </wp:positionV>
              <wp:extent cx="0" cy="9427464"/>
              <wp:effectExtent l="0" t="0" r="19050" b="21590"/>
              <wp:wrapNone/>
              <wp:docPr id="5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vQ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szRC&#10;Encwox2XDKVp5pvTa1uATyX3xpdHLvJF7xT5bpFUVYvlkQWSr1cNgamPiB9C/MZqSHHoPysKPvjk&#10;VOjUpTGdh4QeoEsYyPU+EHZxiAyHBE6XefaUz/OAjotboDbWfWKqQ94oIwGsAzA+76zzRHBxc/F5&#10;pNpyIcK8hUQ9oM6yWQiwSnDqL72bNcdDJQw6Y6+Y8I15H9yMOkkawFqG6Wa0HeZisCG5kB4PSgE6&#10;ozVI4scyWW4Wm0U+ybP5ZpIndT35uK3yyXybPs3qD3VV1elPTy3Ni5ZTyqRnd5Nnmv/d+MeHMgjr&#10;LtB7G+JH9NAvIHv7B9Jhln58gxAOil735jZjUGRwHl+Pl/zbPdhv3/j6F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Sgcb0BMCAAArBAAADgAAAAAAAAAAAAAAAAAuAgAAZHJzL2Uyb0RvYy54bWxQSwECLQAUAAYACAAA&#10;ACEAf9siHN8AAAAMAQAADwAAAAAAAAAAAAAAAABtBAAAZHJzL2Rvd25yZXYueG1sUEsFBgAAAAAE&#10;AAQA8wAAAHkFAAAAAA==&#10;">
              <w10:wrap anchorx="page" anchory="page"/>
            </v:line>
          </w:pict>
        </mc:Fallback>
      </mc:AlternateContent>
    </w:r>
    <w:r>
      <w:rPr>
        <w:b/>
        <w:bCs/>
      </w:rPr>
      <w:t>Comprehensive operating statement</w:t>
    </w:r>
    <w:r>
      <w:br/>
      <w:t>for the financial year ended 30 June 2015</w:t>
    </w:r>
  </w:p>
  <w:p w:rsidR="00841B85" w:rsidRDefault="00841B85" w:rsidP="00190A01">
    <w:pPr>
      <w:pStyle w:val="Reference"/>
    </w:pPr>
    <w:r>
      <w:t>Source Reference</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Pr>
        <w:noProof/>
      </w:rPr>
      <mc:AlternateContent>
        <mc:Choice Requires="wps">
          <w:drawing>
            <wp:anchor distT="0" distB="0" distL="114300" distR="114300" simplePos="0" relativeHeight="251734016" behindDoc="0" locked="0" layoutInCell="1" allowOverlap="1" wp14:anchorId="271DCC10" wp14:editId="3D2A5056">
              <wp:simplePos x="0" y="0"/>
              <wp:positionH relativeFrom="page">
                <wp:posOffset>1536065</wp:posOffset>
              </wp:positionH>
              <wp:positionV relativeFrom="page">
                <wp:posOffset>667385</wp:posOffset>
              </wp:positionV>
              <wp:extent cx="0" cy="9427464"/>
              <wp:effectExtent l="0" t="0" r="19050" b="21590"/>
              <wp:wrapNone/>
              <wp:docPr id="5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nx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syxC&#10;Encwox2XDKXJ0jen17YAn0rujS+PXOSL3iny3SKpqhbLIwskX68aAlMfET+E+I3VkOLQf1YUfPDJ&#10;qdCpS2M6Dwk9QJcwkOt9IOziEBkOCZwu8+wpn+cBHRe3QG2s+8RUh7xRRgJYB2B83lnnieDi5uLz&#10;SLXlQoR5C4l6QJ1lsxBgleDUX3o3a46HShh0xl4x4RvzPrgZdZI0gLUM081oO8zFYENyIT0elAJ0&#10;RmuQxI9lstwsNot8kmfzzSRP6nrycVvlk/k2fZrVH+qqqtOfnlqaFy2nlEnP7ibPNP+78Y8PZRDW&#10;XaD3NsSP6KFfQPb2D6TDLP34BiEcFL3uzW3GoMjgPL4eL/m3e7DfvvH1L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vbF58RMCAAArBAAADgAAAAAAAAAAAAAAAAAuAgAAZHJzL2Uyb0RvYy54bWxQSwECLQAUAAYACAAA&#10;ACEAf9siHN8AAAAMAQAADwAAAAAAAAAAAAAAAABtBAAAZHJzL2Rvd25yZXYueG1sUEsFBgAAAAAE&#10;AAQA8wAAAHkFAAAAAA==&#10;">
              <w10:wrap anchorx="page" anchory="page"/>
            </v:line>
          </w:pict>
        </mc:Fallback>
      </mc:AlternateContent>
    </w:r>
    <w:r>
      <w:rPr>
        <w:b/>
        <w:bCs/>
      </w:rPr>
      <w:t>Comprehensive operating statement</w:t>
    </w:r>
    <w:r>
      <w:br/>
      <w:t>for the financial year ended 30 June 2016</w:t>
    </w:r>
  </w:p>
  <w:p w:rsidR="00841B85" w:rsidRDefault="00841B85" w:rsidP="00F37D80">
    <w:pPr>
      <w:pStyle w:val="Reference"/>
    </w:pPr>
    <w:r>
      <w:t>Source Reference</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540F7E">
    <w:pPr>
      <w:pStyle w:val="Header"/>
    </w:pPr>
    <w:r>
      <w:br/>
    </w:r>
  </w:p>
  <w:p w:rsidR="00841B85" w:rsidRDefault="00841B85" w:rsidP="00540F7E">
    <w:pPr>
      <w:pStyle w:val="SourceReference"/>
    </w:pPr>
    <w:r>
      <w:rPr>
        <w:noProof/>
      </w:rPr>
      <mc:AlternateContent>
        <mc:Choice Requires="wps">
          <w:drawing>
            <wp:anchor distT="0" distB="0" distL="114300" distR="114300" simplePos="0" relativeHeight="251661312" behindDoc="0" locked="0" layoutInCell="1" allowOverlap="0" wp14:anchorId="364785E2" wp14:editId="70E7EE43">
              <wp:simplePos x="0" y="0"/>
              <wp:positionH relativeFrom="page">
                <wp:posOffset>1533525</wp:posOffset>
              </wp:positionH>
              <wp:positionV relativeFrom="page">
                <wp:posOffset>669554</wp:posOffset>
              </wp:positionV>
              <wp:extent cx="0" cy="9427464"/>
              <wp:effectExtent l="0" t="0" r="19050" b="21590"/>
              <wp:wrapNone/>
              <wp:docPr id="1"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75pt,52.7pt" to="12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YUEgIAACs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EZK4&#10;BYn2XDKUJsu5b06nbQ4+pTwYXx65yhe9V+S7RVKVDZYnFki+3jREpj4ifgjxG6shxbH7rCj44LNT&#10;oVPX2rQeEnqArkGQ2ygIuzpE+kMCp6ts9pQtsoCO83ugNtZ9YqpF3igiAbQDML7srfNEcH538Xmk&#10;2nEhgt5Cog5Q57N5CLBKcOovvZs1p2MpDLpgPzHhG/I+uBl1ljSANQzT7WA7zEVvQ3IhPR6UAnQG&#10;qx+JH6tktV1ul9kkmy22kyypqsnHXZlNFrv0aV59qMqySn96ammWN5xSJj27+3im2d/JPzyUfrDG&#10;AR3bED+ih34B2fs/kA5aevn6QTgqejuYu8YwkcF5eD1+5N/uwX77xje/AAAA//8DAFBLAwQUAAYA&#10;CAAAACEA++VPnd4AAAAMAQAADwAAAGRycy9kb3ducmV2LnhtbEyPwU7DMBBE70j8g7VIXCpqNzQI&#10;QpwKAblxaQFx3SZLEhGv09htA1/PIg5w3Jmn2Zl8NbleHWgMnWcLi7kBRVz5uuPGwstzeXENKkTk&#10;GnvPZOGTAqyK05Mcs9ofeU2HTWyUhHDI0EIb45BpHaqWHIa5H4jFe/ejwyjn2Oh6xKOEu14nxlxp&#10;hx3LhxYHum+p+tjsnYVQvtKu/JpVM/N22XhKdg9Pj2jt+dl0dwsq0hT/YPipL9WhkE5bv+c6qN5C&#10;slykgoph0iUoIX6VrSjpjTGgi1z/H1F8AwAA//8DAFBLAQItABQABgAIAAAAIQC2gziS/gAAAOEB&#10;AAATAAAAAAAAAAAAAAAAAAAAAABbQ29udGVudF9UeXBlc10ueG1sUEsBAi0AFAAGAAgAAAAhADj9&#10;If/WAAAAlAEAAAsAAAAAAAAAAAAAAAAALwEAAF9yZWxzLy5yZWxzUEsBAi0AFAAGAAgAAAAhAAuE&#10;FhQSAgAAKwQAAA4AAAAAAAAAAAAAAAAALgIAAGRycy9lMm9Eb2MueG1sUEsBAi0AFAAGAAgAAAAh&#10;APvlT53eAAAADAEAAA8AAAAAAAAAAAAAAAAAbAQAAGRycy9kb3ducmV2LnhtbFBLBQYAAAAABAAE&#10;APMAAAB3BQAAAAA=&#10;" o:allowoverlap="f">
              <w10:wrap anchorx="page" anchory="page"/>
            </v:line>
          </w:pict>
        </mc:Fallback>
      </mc:AlternateContent>
    </w:r>
    <w:r>
      <w:t>Source reference</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A67A3">
    <w:pPr>
      <w:pStyle w:val="Header"/>
    </w:pPr>
    <w:r>
      <w:rPr>
        <w:noProof/>
      </w:rPr>
      <mc:AlternateContent>
        <mc:Choice Requires="wps">
          <w:drawing>
            <wp:anchor distT="0" distB="0" distL="114300" distR="114300" simplePos="0" relativeHeight="251695104" behindDoc="0" locked="0" layoutInCell="1" allowOverlap="1" wp14:anchorId="4CFBEE8E" wp14:editId="77FB9AB8">
              <wp:simplePos x="0" y="0"/>
              <wp:positionH relativeFrom="column">
                <wp:posOffset>1026160</wp:posOffset>
              </wp:positionH>
              <wp:positionV relativeFrom="paragraph">
                <wp:posOffset>321310</wp:posOffset>
              </wp:positionV>
              <wp:extent cx="0" cy="9427210"/>
              <wp:effectExtent l="0" t="0" r="0" b="0"/>
              <wp:wrapNone/>
              <wp:docPr id="5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RVEwIAACo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KSgl&#10;cQcabblkaDLxvem1LcClkjvjqyNn+aq3iny3SKqqxfLAAse3i4a41EfE70L8xmrIsO+/KAo++OhU&#10;aNS5MZ2HhBagc9DjcteDnR0iwyGB00WePWVp0CrGxS1QG+s+M9Uhb5SRANIBGJ+21nkiuLi5+DxS&#10;bbgQQW4hUQ+o02waAqwSnPpL72bNYV8Jg07YD0z4QlVw8+hm1FHSANYyTNdX22EuBhuSC+nxoBSg&#10;c7WGifixSBbr+Xqej/Jsth7lSV2PPm2qfDTbpE/TelJXVZ3+9NTSvGg5pUx6drfpTPO/U//6Toa5&#10;us/nvQ3xe/TQLyB7+wfSQUsv3zAIe0UvO3PTGAYyOF8fj5/4xz3Yj0989QsAAP//AwBQSwMEFAAG&#10;AAgAAAAhACQXfBbeAAAACwEAAA8AAABkcnMvZG93bnJldi54bWxMj0FPwzAMhe9I/IfISFymLVmn&#10;VlNpOiGgNy5sIK5eY9qKJumabCv8ejwucLKf/fT8udhMthcnGkPnnYblQoEgV3vTuUbD666ar0GE&#10;iM5g7x1p+KIAm/L6qsDc+LN7odM2NoJDXMhRQxvjkEsZ6pYshoUfyPHuw48WI8uxkWbEM4fbXiZK&#10;ZdJi5/hCiwM9tFR/bo9WQ6je6FB9z+qZel81npLD4/MTan17M93fgYg0xT8zXPAZHUpm2vujM0H0&#10;rLNlxlYNqeJ6MfwO9tykqzQBWRby/w/lDwAAAP//AwBQSwECLQAUAAYACAAAACEAtoM4kv4AAADh&#10;AQAAEwAAAAAAAAAAAAAAAAAAAAAAW0NvbnRlbnRfVHlwZXNdLnhtbFBLAQItABQABgAIAAAAIQA4&#10;/SH/1gAAAJQBAAALAAAAAAAAAAAAAAAAAC8BAABfcmVscy8ucmVsc1BLAQItABQABgAIAAAAIQAM&#10;qGRVEwIAACoEAAAOAAAAAAAAAAAAAAAAAC4CAABkcnMvZTJvRG9jLnhtbFBLAQItABQABgAIAAAA&#10;IQAkF3wW3gAAAAsBAAAPAAAAAAAAAAAAAAAAAG0EAABkcnMvZG93bnJldi54bWxQSwUGAAAAAAQA&#10;BADzAAAAeAUAAAAA&#10;"/>
          </w:pict>
        </mc:Fallback>
      </mc:AlternateContent>
    </w:r>
    <w:r>
      <w:t xml:space="preserve"> </w:t>
    </w:r>
  </w:p>
  <w:p w:rsidR="00841B85" w:rsidRPr="00A3039B" w:rsidRDefault="00841B85" w:rsidP="00D47C9F">
    <w:pPr>
      <w:pStyle w:val="Reference"/>
    </w:pPr>
    <w:r>
      <w:t>Source Reference</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7310F9">
    <w:pPr>
      <w:pStyle w:val="Header"/>
    </w:pPr>
    <w:r>
      <w:rPr>
        <w:noProof/>
      </w:rPr>
      <mc:AlternateContent>
        <mc:Choice Requires="wps">
          <w:drawing>
            <wp:anchor distT="0" distB="0" distL="114300" distR="114300" simplePos="0" relativeHeight="251713536" behindDoc="0" locked="0" layoutInCell="1" allowOverlap="1" wp14:anchorId="0A6B7C95" wp14:editId="58971DCB">
              <wp:simplePos x="0" y="0"/>
              <wp:positionH relativeFrom="column">
                <wp:posOffset>1026160</wp:posOffset>
              </wp:positionH>
              <wp:positionV relativeFrom="paragraph">
                <wp:posOffset>321310</wp:posOffset>
              </wp:positionV>
              <wp:extent cx="0" cy="9427210"/>
              <wp:effectExtent l="0" t="0" r="0" b="0"/>
              <wp:wrapNone/>
              <wp:docPr id="5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yiFA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OUaK&#10;dKDRs1AcTR9Cb3rjSnBZqa0N1dGTejXPmn53SOlVS9SeR45vZwNxWYhI3oWEjTOQYdd/0Qx8yMHr&#10;2KhTY7sACS1Ap6jH+aYHP3lEh0MKp/Mif8yzqFVCymugsc5/5rpDwaiwBNIRmByfnQ9ESHl1CXmU&#10;3ggpo9xSoR5QJ/kkBjgtBQuXwc3Z/W4lLTqSMDDxi1XBzb2b1QfFIljLCVtfbE+EHGxILlXAg1KA&#10;zsUaJuLHPJ2vZ+tZMSry6XpUpHU9+rRZFaPpJnuc1A/1alVnPwO1rChbwRhXgd11OrPi79S/vJNh&#10;rm7zeWtD8h499gvIXv+RdNQyyDcMwk6z89ZeNYaBjM6XxxMm/n4P9v0TX/4CAAD//wMAUEsDBBQA&#10;BgAIAAAAIQAkF3wW3gAAAAsBAAAPAAAAZHJzL2Rvd25yZXYueG1sTI9BT8MwDIXvSPyHyEhcpi1Z&#10;p1ZTaTohoDcubCCuXmPaiibpmmwr/Ho8LnCyn/30/LnYTLYXJxpD552G5UKBIFd707lGw+uumq9B&#10;hIjOYO8dafiiAJvy+qrA3Pize6HTNjaCQ1zIUUMb45BLGeqWLIaFH8jx7sOPFiPLsZFmxDOH214m&#10;SmXSYuf4QosDPbRUf26PVkOo3uhQfc/qmXpfNZ6Sw+PzE2p9ezPd34GINMU/M1zwGR1KZtr7ozNB&#10;9KyzZcZWDaniejH8DvbcpKs0AVkW8v8P5Q8AAAD//wMAUEsBAi0AFAAGAAgAAAAhALaDOJL+AAAA&#10;4QEAABMAAAAAAAAAAAAAAAAAAAAAAFtDb250ZW50X1R5cGVzXS54bWxQSwECLQAUAAYACAAAACEA&#10;OP0h/9YAAACUAQAACwAAAAAAAAAAAAAAAAAvAQAAX3JlbHMvLnJlbHNQSwECLQAUAAYACAAAACEA&#10;lWysohQCAAAqBAAADgAAAAAAAAAAAAAAAAAuAgAAZHJzL2Uyb0RvYy54bWxQSwECLQAUAAYACAAA&#10;ACEAJBd8Ft4AAAALAQAADwAAAAAAAAAAAAAAAABuBAAAZHJzL2Rvd25yZXYueG1sUEsFBgAAAAAE&#10;AAQA8wAAAHkFAAAAAA==&#10;"/>
          </w:pict>
        </mc:Fallback>
      </mc:AlternateContent>
    </w:r>
    <w:r w:rsidRPr="0088461C">
      <w:rPr>
        <w:b/>
        <w:bCs/>
      </w:rPr>
      <w:t>Balance sheet</w:t>
    </w:r>
    <w:r w:rsidRPr="0088461C">
      <w:br/>
    </w:r>
    <w:r>
      <w:t xml:space="preserve">for the financial year ended </w:t>
    </w:r>
    <w:r w:rsidRPr="0088461C">
      <w:t xml:space="preserve">30 June </w:t>
    </w:r>
    <w:r>
      <w:t>2012</w:t>
    </w:r>
  </w:p>
  <w:p w:rsidR="00841B85" w:rsidRPr="000A1AB5" w:rsidRDefault="00841B85" w:rsidP="00D47C9F">
    <w:pPr>
      <w:pStyle w:val="Reference"/>
    </w:pPr>
    <w:r>
      <w:t>Source Reference</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sidRPr="0088461C">
      <w:rPr>
        <w:b/>
        <w:bCs/>
      </w:rPr>
      <w:t>Balance sheet</w:t>
    </w:r>
    <w:r w:rsidRPr="0088461C">
      <w:br/>
    </w:r>
    <w:r>
      <w:t xml:space="preserve">for the financial year ended </w:t>
    </w:r>
    <w:r w:rsidRPr="0088461C">
      <w:t xml:space="preserve">30 June </w:t>
    </w:r>
    <w:r>
      <w:t>2016</w:t>
    </w:r>
    <w:r>
      <w:rPr>
        <w:noProof/>
      </w:rPr>
      <mc:AlternateContent>
        <mc:Choice Requires="wps">
          <w:drawing>
            <wp:anchor distT="0" distB="0" distL="114300" distR="114300" simplePos="0" relativeHeight="251735040" behindDoc="0" locked="0" layoutInCell="1" allowOverlap="1" wp14:anchorId="385EE165" wp14:editId="2AF9A1B4">
              <wp:simplePos x="0" y="0"/>
              <wp:positionH relativeFrom="page">
                <wp:posOffset>1536065</wp:posOffset>
              </wp:positionH>
              <wp:positionV relativeFrom="page">
                <wp:posOffset>667385</wp:posOffset>
              </wp:positionV>
              <wp:extent cx="0" cy="9427464"/>
              <wp:effectExtent l="0" t="0" r="19050" b="21590"/>
              <wp:wrapNone/>
              <wp:docPr id="6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C9EwIAACs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6BPIp0&#10;UKOtUBxlWRSnN64An0rtbEiPntWL2Wr63SGlq5aoA48kXy8GHmZBzuThSdg4AyH2/WfNwIccvY5K&#10;nRvbBUjQAJ1jQS73gvCzR/R6SOF0kU+e8lke0Ulxe2is85+47lAwSiyBdQQmp63zgQgpbi4hjtIb&#10;IWWst1SoB9TpZBofOC0FC5fBzdnDvpIWnUjomPgNcR/crD4qFsFaTth6sD0R8mpDcKkCHqQCdAbr&#10;2hI/FuliPV/P81E+ma1HeVrXo4+bKh/NNtnTtP5QV1Wd/QzUsrxoBWNcBXa39szyvyv/MCjXxro3&#10;6F2G5BE96gVkb/9IOtYylC/Mkyv2ml129lZj6MjoPExPaPm3e7DfzvjqF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qxoAvRMCAAArBAAADgAAAAAAAAAAAAAAAAAuAgAAZHJzL2Uyb0RvYy54bWxQSwECLQAUAAYACAAA&#10;ACEAf9siHN8AAAAMAQAADwAAAAAAAAAAAAAAAABtBAAAZHJzL2Rvd25yZXYueG1sUEsFBgAAAAAE&#10;AAQA8wAAAHkFAAAAAA==&#10;">
              <w10:wrap anchorx="page" anchory="page"/>
            </v:line>
          </w:pict>
        </mc:Fallback>
      </mc:AlternateContent>
    </w:r>
    <w:r>
      <w:t xml:space="preserve"> </w:t>
    </w:r>
    <w:r>
      <w:br/>
    </w:r>
  </w:p>
  <w:p w:rsidR="00841B85" w:rsidRPr="00D24D60" w:rsidRDefault="00841B85" w:rsidP="00F37D80">
    <w:pPr>
      <w:pStyle w:val="Reference"/>
    </w:pPr>
    <w:r w:rsidRPr="00D24D60">
      <w:t>Source Reference</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B43B00">
    <w:pPr>
      <w:pStyle w:val="Header"/>
    </w:pPr>
    <w:r>
      <w:rPr>
        <w:noProof/>
      </w:rPr>
      <mc:AlternateContent>
        <mc:Choice Requires="wps">
          <w:drawing>
            <wp:anchor distT="0" distB="0" distL="114300" distR="114300" simplePos="0" relativeHeight="251785216" behindDoc="0" locked="0" layoutInCell="1" allowOverlap="1" wp14:anchorId="45BD5134" wp14:editId="0AE1176E">
              <wp:simplePos x="0" y="0"/>
              <wp:positionH relativeFrom="column">
                <wp:posOffset>1026160</wp:posOffset>
              </wp:positionH>
              <wp:positionV relativeFrom="paragraph">
                <wp:posOffset>330835</wp:posOffset>
              </wp:positionV>
              <wp:extent cx="0" cy="9427210"/>
              <wp:effectExtent l="0" t="0" r="0" b="0"/>
              <wp:wrapNone/>
              <wp:docPr id="6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AA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aYaRI&#10;BxptheIomz2F5vTGleCzUjsbyqNn9WK2mn53SOlVS9SBR5KvFwOBWYhI3oSEjTOQYt9/1gx8yNHr&#10;2KlzY7sACT1A5yjI5S4IP3tEh0MKp/Mif8qzKFZCylugsc5/4rpDwaiwBNYRmJy2zgcipLy5hDxK&#10;b4SUUW+pUA+ok3wSA5yWgoXL4ObsYb+SFp1ImJj4xarg5tHN6qNiEazlhK2vtidCDjYklyrgQSlA&#10;52oNI/Fjns7Xs/WsGBX5dD0q0roefdysitF0kz1N6g/1alVnPwO1rChbwRhXgd1tPLPi7+S/PpRh&#10;sO4Dem9D8hY99gvI3v6RdNQyyDcMwl6zy87eNIaJjM7X1xNG/nEP9uMbX/4CAAD//wMAUEsDBBQA&#10;BgAIAAAAIQAqPRUM3gAAAAsBAAAPAAAAZHJzL2Rvd25yZXYueG1sTI9BT4NAEIXvJv6HzZh4aewC&#10;TalBlsao3LxYbbxOYQQiO0vZbYv+eqde9DZv5uXN9/L1ZHt1pNF3jg3E8wgUceXqjhsDb6/lzS0o&#10;H5Br7B2TgS/ysC4uL3LManfiFzpuQqMkhH2GBtoQhkxrX7Vk0c/dQCy3DzdaDCLHRtcjniTc9jqJ&#10;olRb7Fg+tDjQQ0vV5+ZgDfhyS/vye1bNovdF4yjZPz4/oTHXV9P9HahAU/gzwxlf0KEQpp07cO1V&#10;LzqNU7EaWCYxqLPhd7GTYblIV6CLXP/vUPwAAAD//wMAUEsBAi0AFAAGAAgAAAAhALaDOJL+AAAA&#10;4QEAABMAAAAAAAAAAAAAAAAAAAAAAFtDb250ZW50X1R5cGVzXS54bWxQSwECLQAUAAYACAAAACEA&#10;OP0h/9YAAACUAQAACwAAAAAAAAAAAAAAAAAvAQAAX3JlbHMvLnJlbHNQSwECLQAUAAYACAAAACEA&#10;xhoAABQCAAArBAAADgAAAAAAAAAAAAAAAAAuAgAAZHJzL2Uyb0RvYy54bWxQSwECLQAUAAYACAAA&#10;ACEAKj0VDN4AAAALAQAADwAAAAAAAAAAAAAAAABuBAAAZHJzL2Rvd25yZXYueG1sUEsFBgAAAAAE&#10;AAQA8wAAAHkFAAAAAA==&#10;"/>
          </w:pict>
        </mc:Fallback>
      </mc:AlternateContent>
    </w:r>
    <w:r>
      <w:rPr>
        <w:b/>
      </w:rPr>
      <w:t>Balance sheet</w:t>
    </w:r>
    <w:r>
      <w:t xml:space="preserve"> </w:t>
    </w:r>
    <w:r>
      <w:br/>
      <w:t>for the financial year ended 30 June 2015</w:t>
    </w:r>
  </w:p>
  <w:p w:rsidR="00841B85" w:rsidRPr="00B43B00" w:rsidRDefault="00841B85" w:rsidP="00B43B00">
    <w:pPr>
      <w:pStyle w:val="Reference"/>
    </w:pPr>
    <w:r w:rsidRPr="00D24D60">
      <w:t>Source Reference</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DB6194">
    <w:pPr>
      <w:pStyle w:val="Header"/>
    </w:pPr>
    <w:r>
      <w:rPr>
        <w:noProof/>
      </w:rPr>
      <mc:AlternateContent>
        <mc:Choice Requires="wps">
          <w:drawing>
            <wp:anchor distT="0" distB="0" distL="114300" distR="114300" simplePos="0" relativeHeight="251780096" behindDoc="0" locked="0" layoutInCell="1" allowOverlap="1" wp14:anchorId="784C7AC6" wp14:editId="290EF764">
              <wp:simplePos x="0" y="0"/>
              <wp:positionH relativeFrom="column">
                <wp:posOffset>1026160</wp:posOffset>
              </wp:positionH>
              <wp:positionV relativeFrom="paragraph">
                <wp:posOffset>330835</wp:posOffset>
              </wp:positionV>
              <wp:extent cx="0" cy="9427210"/>
              <wp:effectExtent l="0" t="0" r="0" b="0"/>
              <wp:wrapNone/>
              <wp:docPr id="62"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f0T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aY6RI&#10;BxptheIomz2F5vTGleCzUjsbyqNn9WK2mn53SOlVS9SBR5KvFwOBWYhI3oSEjTOQYt9/1gx8yNHr&#10;2KlzY7sACT1A5yjI5S4IP3tEh0MKp/Mif8qzKFZCylugsc5/4rpDwaiwBNYRmJy2zgcipLy5hDxK&#10;b4SUUW+pUA+ok3wSA5yWgoXL4ObsYb+SFp1ImJj4xarg5tHN6qNiEazlhK2vtidCDjYklyrgQSlA&#10;52oNI/Fjns7Xs/WsGBX5dD0q0roefdysitF0kz1N6g/1alVnPwO1rChbwRhXgd1tPLPi7+S/PpRh&#10;sO4Dem9D8hY99gvI3v6RdNQyyDcMwl6zy87eNIaJjM7X1xNG/nEP9uMbX/4CAAD//wMAUEsDBBQA&#10;BgAIAAAAIQAqPRUM3gAAAAsBAAAPAAAAZHJzL2Rvd25yZXYueG1sTI9BT4NAEIXvJv6HzZh4aewC&#10;TalBlsao3LxYbbxOYQQiO0vZbYv+eqde9DZv5uXN9/L1ZHt1pNF3jg3E8wgUceXqjhsDb6/lzS0o&#10;H5Br7B2TgS/ysC4uL3LManfiFzpuQqMkhH2GBtoQhkxrX7Vk0c/dQCy3DzdaDCLHRtcjniTc9jqJ&#10;olRb7Fg+tDjQQ0vV5+ZgDfhyS/vye1bNovdF4yjZPz4/oTHXV9P9HahAU/gzwxlf0KEQpp07cO1V&#10;LzqNU7EaWCYxqLPhd7GTYblIV6CLXP/vUPwAAAD//wMAUEsBAi0AFAAGAAgAAAAhALaDOJL+AAAA&#10;4QEAABMAAAAAAAAAAAAAAAAAAAAAAFtDb250ZW50X1R5cGVzXS54bWxQSwECLQAUAAYACAAAACEA&#10;OP0h/9YAAACUAQAACwAAAAAAAAAAAAAAAAAvAQAAX3JlbHMvLnJlbHNQSwECLQAUAAYACAAAACEA&#10;E9X9ExQCAAArBAAADgAAAAAAAAAAAAAAAAAuAgAAZHJzL2Uyb0RvYy54bWxQSwECLQAUAAYACAAA&#10;ACEAKj0VDN4AAAALAQAADwAAAAAAAAAAAAAAAABuBAAAZHJzL2Rvd25yZXYueG1sUEsFBgAAAAAE&#10;AAQA8wAAAHkFAAAAAA==&#10;"/>
          </w:pict>
        </mc:Fallback>
      </mc:AlternateContent>
    </w:r>
    <w:r>
      <w:rPr>
        <w:b/>
      </w:rPr>
      <w:t>Balance sheet</w:t>
    </w:r>
    <w:r>
      <w:t xml:space="preserve"> </w:t>
    </w:r>
    <w:r>
      <w:br/>
      <w:t>for the financial year ended 30 June 2014</w:t>
    </w:r>
  </w:p>
  <w:p w:rsidR="00841B85" w:rsidRPr="00D24D60" w:rsidRDefault="00841B85" w:rsidP="00DB6194">
    <w:pPr>
      <w:pStyle w:val="Reference"/>
    </w:pPr>
    <w:r w:rsidRPr="00D24D60">
      <w:t>Source Reference</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F37D80">
    <w:pPr>
      <w:pStyle w:val="Header"/>
    </w:pPr>
    <w:r>
      <w:rPr>
        <w:noProof/>
      </w:rPr>
      <mc:AlternateContent>
        <mc:Choice Requires="wps">
          <w:drawing>
            <wp:anchor distT="0" distB="0" distL="114300" distR="114300" simplePos="0" relativeHeight="251736064" behindDoc="0" locked="0" layoutInCell="1" allowOverlap="1" wp14:anchorId="3E357BBD" wp14:editId="24D8D548">
              <wp:simplePos x="0" y="0"/>
              <wp:positionH relativeFrom="page">
                <wp:posOffset>1536065</wp:posOffset>
              </wp:positionH>
              <wp:positionV relativeFrom="page">
                <wp:posOffset>667385</wp:posOffset>
              </wp:positionV>
              <wp:extent cx="0" cy="9427464"/>
              <wp:effectExtent l="0" t="0" r="19050" b="21590"/>
              <wp:wrapNone/>
              <wp:docPr id="6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BSFAIAACs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K/HsASNF&#10;WpjRs1AcZVkWmtMZV4DPWu1sKI+e1at51vSrQ0qvG6IOPJJ8uxgIjBHJXUjYOAMp9t0nzcCHHL2O&#10;nTrXtg2Q0AN0jgO53AbCzx7R/pDC6SKfPOazPPBJSHENNNb5j1y3KBgllsA6ApPTs/O969Ul5FF6&#10;K6SM85YKdYA6nUxjgNNSsHAZ3Jw97NfSohMJionfkPfOzeqjYhGs4YRtBtsTIXsbeEoV8KAUoDNY&#10;vSS+LdLFZr6Z56N8MtuM8rSqRh+263w022aP0+qhWq+r7HugluVFIxjjKrC7yjPL/278w0PphXUT&#10;6K0NyT16bC2Qvf4j6TjLML5eCHvNLjsbWhvGCoqMzsPrCZL/dR+9fr7x1Q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CJpoFIUAgAAKwQAAA4AAAAAAAAAAAAAAAAALgIAAGRycy9lMm9Eb2MueG1sUEsBAi0AFAAGAAgA&#10;AAAhAH/bIhzfAAAADAEAAA8AAAAAAAAAAAAAAAAAbgQAAGRycy9kb3ducmV2LnhtbFBLBQYAAAAA&#10;BAAEAPMAAAB6BQAAAAA=&#10;">
              <w10:wrap anchorx="page" anchory="page"/>
            </v:line>
          </w:pict>
        </mc:Fallback>
      </mc:AlternateContent>
    </w:r>
    <w:r w:rsidRPr="0088461C">
      <w:rPr>
        <w:b/>
        <w:bCs/>
      </w:rPr>
      <w:t>Balance sheet</w:t>
    </w:r>
    <w:r w:rsidRPr="0088461C">
      <w:br/>
    </w:r>
    <w:r>
      <w:t xml:space="preserve">for the financial year ended </w:t>
    </w:r>
    <w:r w:rsidRPr="0088461C">
      <w:t xml:space="preserve">30 June </w:t>
    </w:r>
    <w:r>
      <w:t>2016</w:t>
    </w:r>
  </w:p>
  <w:p w:rsidR="00841B85" w:rsidRDefault="00841B85" w:rsidP="00F37D80">
    <w:pPr>
      <w:pStyle w:val="Reference"/>
    </w:pPr>
    <w:r>
      <w:t>Source Reference</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85" w:rsidRDefault="00841B85" w:rsidP="007310F9">
    <w:pPr>
      <w:pStyle w:val="Header"/>
    </w:pPr>
    <w:r>
      <w:rPr>
        <w:noProof/>
      </w:rPr>
      <mc:AlternateContent>
        <mc:Choice Requires="wps">
          <w:drawing>
            <wp:anchor distT="0" distB="0" distL="114300" distR="114300" simplePos="0" relativeHeight="251714560" behindDoc="0" locked="0" layoutInCell="1" allowOverlap="1" wp14:anchorId="490357DE" wp14:editId="204EC1E2">
              <wp:simplePos x="0" y="0"/>
              <wp:positionH relativeFrom="column">
                <wp:posOffset>1026160</wp:posOffset>
              </wp:positionH>
              <wp:positionV relativeFrom="paragraph">
                <wp:posOffset>321310</wp:posOffset>
              </wp:positionV>
              <wp:extent cx="0" cy="9427210"/>
              <wp:effectExtent l="0" t="0" r="0" b="0"/>
              <wp:wrapNone/>
              <wp:docPr id="22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uQ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C4wU&#10;6UCkrVAcTYvQnN64EnxWamdDefSsXsxW0+8OKb1qiTrwSPL1YiAuCxHJm5CwcQZS7PvPmoEPOXod&#10;O3VubBcgoQfoHAW53AXhZ4/ocEjhdF7kT3kWxUpIeQs01vlPXHcoGBWWQDoCk9PW+UCElDeXkEfp&#10;jZAy6i0V6gF1kk9igNNSsHAZ3Jw97FfSohMJExO/WBXcPLpZfVQsgrWcsPXV9kTIwYbkUgU8KAXo&#10;XK1hJH7M0/l6tp4VoyKfrkdFWtejj5tVMZpusqdJ/aFerersZ6CWFWUrGOMqsLuNZ1b8nfzXhzIM&#10;1n1A721I3qLHfgHZ2z+SjloG+YZB2Gt22dmbxjCR0fn6esLIP+7Bfnzjy18AAAD//wMAUEsDBBQA&#10;BgAIAAAAIQAkF3wW3gAAAAsBAAAPAAAAZHJzL2Rvd25yZXYueG1sTI9BT8MwDIXvSPyHyEhcpi1Z&#10;p1ZTaTohoDcubCCuXmPaiibpmmwr/Ho8LnCyn/30/LnYTLYXJxpD552G5UKBIFd707lGw+uumq9B&#10;hIjOYO8dafiiAJvy+qrA3Pize6HTNjaCQ1zIUUMb45BLGeqWLIaFH8jx7sOPFiPLsZFmxDOH214m&#10;SmXSYuf4QosDPbRUf26PVkOo3uhQfc/qmXpfNZ6Sw+PzE2p9ezPd34GINMU/M1zwGR1KZtr7ozNB&#10;9KyzZcZWDaniejH8DvbcpKs0AVkW8v8P5Q8AAAD//wMAUEsBAi0AFAAGAAgAAAAhALaDOJL+AAAA&#10;4QEAABMAAAAAAAAAAAAAAAAAAAAAAFtDb250ZW50X1R5cGVzXS54bWxQSwECLQAUAAYACAAAACEA&#10;OP0h/9YAAACUAQAACwAAAAAAAAAAAAAAAAAvAQAAX3JlbHMvLnJlbHNQSwECLQAUAAYACAAAACEA&#10;kz97kBQCAAArBAAADgAAAAAAAAAAAAAAAAAuAgAAZHJzL2Uyb0RvYy54bWxQSwECLQAUAAYACAAA&#10;ACEAJBd8Ft4AAAALAQAADwAAAAAAAAAAAAAAAABuBAAAZHJzL2Rvd25yZXYueG1sUEsFBgAAAAAE&#10;AAQA8wAAAHkFAAAAAA==&#10;"/>
          </w:pict>
        </mc:Fallback>
      </mc:AlternateContent>
    </w:r>
    <w:r w:rsidRPr="0088461C">
      <w:rPr>
        <w:b/>
        <w:bCs/>
      </w:rPr>
      <w:t>Balance sheet</w:t>
    </w:r>
    <w:r w:rsidRPr="0088461C">
      <w:br/>
    </w:r>
    <w:r>
      <w:t xml:space="preserve">for the financial year ended </w:t>
    </w:r>
    <w:r w:rsidRPr="0088461C">
      <w:t xml:space="preserve">30 June </w:t>
    </w:r>
    <w:r>
      <w:t>2012</w:t>
    </w:r>
  </w:p>
  <w:p w:rsidR="00841B85" w:rsidRPr="007310F9" w:rsidRDefault="00841B85" w:rsidP="00D47C9F">
    <w:pPr>
      <w:pStyle w:val="Reference"/>
    </w:pPr>
    <w:r>
      <w:t>Source Reference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1">
    <w:nsid w:val="03D371EB"/>
    <w:multiLevelType w:val="hybridMultilevel"/>
    <w:tmpl w:val="2570A46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04AF57F4"/>
    <w:multiLevelType w:val="hybridMultilevel"/>
    <w:tmpl w:val="2660867C"/>
    <w:lvl w:ilvl="0" w:tplc="780267E8">
      <w:start w:val="1"/>
      <w:numFmt w:val="bullet"/>
      <w:pStyle w:val="BulletBlue"/>
      <w:lvlText w:val=""/>
      <w:lvlJc w:val="left"/>
      <w:pPr>
        <w:tabs>
          <w:tab w:val="num" w:pos="360"/>
        </w:tabs>
        <w:ind w:left="360" w:hanging="360"/>
      </w:pPr>
      <w:rPr>
        <w:rFonts w:ascii="Symbol" w:hAnsi="Symbol" w:cs="Symbol" w:hint="default"/>
        <w:sz w:val="20"/>
        <w:szCs w:val="20"/>
      </w:rPr>
    </w:lvl>
    <w:lvl w:ilvl="1" w:tplc="0C09000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nsid w:val="077841F7"/>
    <w:multiLevelType w:val="hybridMultilevel"/>
    <w:tmpl w:val="D924D316"/>
    <w:lvl w:ilvl="0" w:tplc="883E3516">
      <w:start w:val="1"/>
      <w:numFmt w:val="bullet"/>
      <w:pStyle w:val="ControlledEntities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AA1798"/>
    <w:multiLevelType w:val="hybridMultilevel"/>
    <w:tmpl w:val="97ECDF04"/>
    <w:lvl w:ilvl="0" w:tplc="56381CC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EB7617"/>
    <w:multiLevelType w:val="hybridMultilevel"/>
    <w:tmpl w:val="615808F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6">
    <w:nsid w:val="0D8B2D2E"/>
    <w:multiLevelType w:val="multilevel"/>
    <w:tmpl w:val="E31671E8"/>
    <w:lvl w:ilvl="0">
      <w:start w:val="1"/>
      <w:numFmt w:val="lowerLetter"/>
      <w:pStyle w:val="aalpha"/>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
    <w:nsid w:val="0F683D7D"/>
    <w:multiLevelType w:val="hybridMultilevel"/>
    <w:tmpl w:val="2C38DA32"/>
    <w:lvl w:ilvl="0" w:tplc="DC92776C">
      <w:start w:val="1"/>
      <w:numFmt w:val="bullet"/>
      <w:pStyle w:val="Commentary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5510034"/>
    <w:multiLevelType w:val="hybridMultilevel"/>
    <w:tmpl w:val="890E8290"/>
    <w:lvl w:ilvl="0" w:tplc="131C80CE">
      <w:start w:val="1"/>
      <w:numFmt w:val="lowerRoman"/>
      <w:lvlText w:val="(%1)"/>
      <w:lvlJc w:val="left"/>
      <w:pPr>
        <w:tabs>
          <w:tab w:val="num" w:pos="720"/>
        </w:tabs>
        <w:ind w:left="720" w:hanging="72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nsid w:val="17CF1596"/>
    <w:multiLevelType w:val="hybridMultilevel"/>
    <w:tmpl w:val="4A46C95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88F5FA9"/>
    <w:multiLevelType w:val="hybridMultilevel"/>
    <w:tmpl w:val="EBF84BB4"/>
    <w:lvl w:ilvl="0" w:tplc="73B0B60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AAC6564"/>
    <w:multiLevelType w:val="hybridMultilevel"/>
    <w:tmpl w:val="D84A0AFA"/>
    <w:lvl w:ilvl="0" w:tplc="131C80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219474C6"/>
    <w:multiLevelType w:val="hybridMultilevel"/>
    <w:tmpl w:val="574202E8"/>
    <w:lvl w:ilvl="0" w:tplc="AD3AFBD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2845570"/>
    <w:multiLevelType w:val="hybridMultilevel"/>
    <w:tmpl w:val="4710B96A"/>
    <w:lvl w:ilvl="0" w:tplc="E0D2879A">
      <w:start w:val="1"/>
      <w:numFmt w:val="bullet"/>
      <w:pStyle w:val="NotesBullet"/>
      <w:lvlText w:val=""/>
      <w:lvlJc w:val="left"/>
      <w:pPr>
        <w:tabs>
          <w:tab w:val="num" w:pos="786"/>
        </w:tabs>
        <w:ind w:left="786" w:hanging="360"/>
      </w:pPr>
      <w:rPr>
        <w:rFonts w:ascii="Symbol" w:hAnsi="Symbol" w:hint="default"/>
      </w:rPr>
    </w:lvl>
    <w:lvl w:ilvl="1" w:tplc="0C090003" w:tentative="1">
      <w:start w:val="1"/>
      <w:numFmt w:val="bullet"/>
      <w:lvlText w:val="o"/>
      <w:lvlJc w:val="left"/>
      <w:pPr>
        <w:tabs>
          <w:tab w:val="num" w:pos="1506"/>
        </w:tabs>
        <w:ind w:left="1506" w:hanging="360"/>
      </w:pPr>
      <w:rPr>
        <w:rFonts w:ascii="Courier New" w:hAnsi="Courier New" w:cs="Courier New" w:hint="default"/>
      </w:rPr>
    </w:lvl>
    <w:lvl w:ilvl="2" w:tplc="0C090005" w:tentative="1">
      <w:start w:val="1"/>
      <w:numFmt w:val="bullet"/>
      <w:lvlText w:val=""/>
      <w:lvlJc w:val="left"/>
      <w:pPr>
        <w:tabs>
          <w:tab w:val="num" w:pos="2226"/>
        </w:tabs>
        <w:ind w:left="2226" w:hanging="360"/>
      </w:pPr>
      <w:rPr>
        <w:rFonts w:ascii="Wingdings" w:hAnsi="Wingdings" w:hint="default"/>
      </w:rPr>
    </w:lvl>
    <w:lvl w:ilvl="3" w:tplc="0C090001" w:tentative="1">
      <w:start w:val="1"/>
      <w:numFmt w:val="bullet"/>
      <w:lvlText w:val=""/>
      <w:lvlJc w:val="left"/>
      <w:pPr>
        <w:tabs>
          <w:tab w:val="num" w:pos="2946"/>
        </w:tabs>
        <w:ind w:left="2946" w:hanging="360"/>
      </w:pPr>
      <w:rPr>
        <w:rFonts w:ascii="Symbol" w:hAnsi="Symbol" w:hint="default"/>
      </w:rPr>
    </w:lvl>
    <w:lvl w:ilvl="4" w:tplc="0C090003" w:tentative="1">
      <w:start w:val="1"/>
      <w:numFmt w:val="bullet"/>
      <w:lvlText w:val="o"/>
      <w:lvlJc w:val="left"/>
      <w:pPr>
        <w:tabs>
          <w:tab w:val="num" w:pos="3666"/>
        </w:tabs>
        <w:ind w:left="3666" w:hanging="360"/>
      </w:pPr>
      <w:rPr>
        <w:rFonts w:ascii="Courier New" w:hAnsi="Courier New" w:cs="Courier New" w:hint="default"/>
      </w:rPr>
    </w:lvl>
    <w:lvl w:ilvl="5" w:tplc="0C090005" w:tentative="1">
      <w:start w:val="1"/>
      <w:numFmt w:val="bullet"/>
      <w:lvlText w:val=""/>
      <w:lvlJc w:val="left"/>
      <w:pPr>
        <w:tabs>
          <w:tab w:val="num" w:pos="4386"/>
        </w:tabs>
        <w:ind w:left="4386" w:hanging="360"/>
      </w:pPr>
      <w:rPr>
        <w:rFonts w:ascii="Wingdings" w:hAnsi="Wingdings" w:hint="default"/>
      </w:rPr>
    </w:lvl>
    <w:lvl w:ilvl="6" w:tplc="0C090001" w:tentative="1">
      <w:start w:val="1"/>
      <w:numFmt w:val="bullet"/>
      <w:lvlText w:val=""/>
      <w:lvlJc w:val="left"/>
      <w:pPr>
        <w:tabs>
          <w:tab w:val="num" w:pos="5106"/>
        </w:tabs>
        <w:ind w:left="5106" w:hanging="360"/>
      </w:pPr>
      <w:rPr>
        <w:rFonts w:ascii="Symbol" w:hAnsi="Symbol" w:hint="default"/>
      </w:rPr>
    </w:lvl>
    <w:lvl w:ilvl="7" w:tplc="0C090003" w:tentative="1">
      <w:start w:val="1"/>
      <w:numFmt w:val="bullet"/>
      <w:lvlText w:val="o"/>
      <w:lvlJc w:val="left"/>
      <w:pPr>
        <w:tabs>
          <w:tab w:val="num" w:pos="5826"/>
        </w:tabs>
        <w:ind w:left="5826" w:hanging="360"/>
      </w:pPr>
      <w:rPr>
        <w:rFonts w:ascii="Courier New" w:hAnsi="Courier New" w:cs="Courier New" w:hint="default"/>
      </w:rPr>
    </w:lvl>
    <w:lvl w:ilvl="8" w:tplc="0C090005" w:tentative="1">
      <w:start w:val="1"/>
      <w:numFmt w:val="bullet"/>
      <w:lvlText w:val=""/>
      <w:lvlJc w:val="left"/>
      <w:pPr>
        <w:tabs>
          <w:tab w:val="num" w:pos="6546"/>
        </w:tabs>
        <w:ind w:left="6546" w:hanging="360"/>
      </w:pPr>
      <w:rPr>
        <w:rFonts w:ascii="Wingdings" w:hAnsi="Wingdings" w:hint="default"/>
      </w:rPr>
    </w:lvl>
  </w:abstractNum>
  <w:abstractNum w:abstractNumId="14">
    <w:nsid w:val="26960A47"/>
    <w:multiLevelType w:val="hybridMultilevel"/>
    <w:tmpl w:val="E1784FFC"/>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5">
    <w:nsid w:val="2E843435"/>
    <w:multiLevelType w:val="hybridMultilevel"/>
    <w:tmpl w:val="43F43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54406A"/>
    <w:multiLevelType w:val="hybridMultilevel"/>
    <w:tmpl w:val="C8062CCA"/>
    <w:lvl w:ilvl="0" w:tplc="F32C7F30">
      <w:start w:val="1"/>
      <w:numFmt w:val="lowerLetter"/>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34624471"/>
    <w:multiLevelType w:val="hybridMultilevel"/>
    <w:tmpl w:val="8ADA34A0"/>
    <w:lvl w:ilvl="0" w:tplc="FE746F40">
      <w:start w:val="1"/>
      <w:numFmt w:val="bullet"/>
      <w:pStyle w:val="TableBullet"/>
      <w:lvlText w:val=""/>
      <w:lvlJc w:val="left"/>
      <w:pPr>
        <w:ind w:left="900" w:hanging="360"/>
      </w:pPr>
      <w:rPr>
        <w:rFonts w:ascii="Symbol" w:hAnsi="Symbol" w:hint="default"/>
        <w:sz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8">
    <w:nsid w:val="41E410FB"/>
    <w:multiLevelType w:val="hybridMultilevel"/>
    <w:tmpl w:val="22FEDA16"/>
    <w:lvl w:ilvl="0" w:tplc="D11249CC">
      <w:start w:val="1"/>
      <w:numFmt w:val="bullet"/>
      <w:pStyle w:val="DashBlue"/>
      <w:lvlText w:val="—"/>
      <w:lvlJc w:val="left"/>
      <w:pPr>
        <w:tabs>
          <w:tab w:val="num" w:pos="720"/>
        </w:tabs>
        <w:ind w:left="720" w:hanging="360"/>
      </w:pPr>
      <w:rPr>
        <w:rFonts w:ascii="Calibri" w:hAnsi="Calibri"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46D3A6A"/>
    <w:multiLevelType w:val="multilevel"/>
    <w:tmpl w:val="C6589880"/>
    <w:lvl w:ilvl="0">
      <w:start w:val="1"/>
      <w:numFmt w:val="bullet"/>
      <w:lvlText w:val=""/>
      <w:lvlJc w:val="left"/>
      <w:pPr>
        <w:tabs>
          <w:tab w:val="num" w:pos="288"/>
        </w:tabs>
        <w:ind w:left="288" w:hanging="288"/>
      </w:pPr>
      <w:rPr>
        <w:rFonts w:ascii="Symbol" w:hAnsi="Symbol" w:hint="default"/>
        <w:b w:val="0"/>
        <w:i w:val="0"/>
        <w:vanish w:val="0"/>
        <w:color w:val="auto"/>
        <w:sz w:val="22"/>
      </w:rPr>
    </w:lvl>
    <w:lvl w:ilvl="1">
      <w:start w:val="1"/>
      <w:numFmt w:val="bullet"/>
      <w:lvlText w:val="–"/>
      <w:lvlJc w:val="left"/>
      <w:pPr>
        <w:tabs>
          <w:tab w:val="num" w:pos="576"/>
        </w:tabs>
        <w:ind w:left="576" w:hanging="288"/>
      </w:pPr>
      <w:rPr>
        <w:rFonts w:ascii="Calibri" w:hAnsi="Calibri" w:hint="default"/>
        <w:b w:val="0"/>
        <w:i w:val="0"/>
        <w:vanish w:val="0"/>
        <w:color w:val="auto"/>
        <w:sz w:val="22"/>
      </w:rPr>
    </w:lvl>
    <w:lvl w:ilvl="2">
      <w:start w:val="1"/>
      <w:numFmt w:val="bullet"/>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0">
    <w:nsid w:val="462B1063"/>
    <w:multiLevelType w:val="hybridMultilevel"/>
    <w:tmpl w:val="8D54430C"/>
    <w:lvl w:ilvl="0" w:tplc="1FFC8E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93D7E6C"/>
    <w:multiLevelType w:val="hybridMultilevel"/>
    <w:tmpl w:val="8DD8FA34"/>
    <w:lvl w:ilvl="0" w:tplc="D5C456EE">
      <w:start w:val="1"/>
      <w:numFmt w:val="bullet"/>
      <w:pStyle w:val="Dash"/>
      <w:lvlText w:val="—"/>
      <w:lvlJc w:val="left"/>
      <w:pPr>
        <w:tabs>
          <w:tab w:val="num" w:pos="720"/>
        </w:tabs>
        <w:ind w:left="720" w:hanging="360"/>
      </w:pPr>
      <w:rPr>
        <w:rFonts w:ascii="Calibri" w:hAnsi="Calibri" w:hint="default"/>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2">
    <w:nsid w:val="548948D6"/>
    <w:multiLevelType w:val="hybridMultilevel"/>
    <w:tmpl w:val="FD88099E"/>
    <w:lvl w:ilvl="0" w:tplc="86A854C8">
      <w:start w:val="1"/>
      <w:numFmt w:val="lowerRoman"/>
      <w:lvlText w:val="(%1)"/>
      <w:lvlJc w:val="left"/>
      <w:pPr>
        <w:tabs>
          <w:tab w:val="num" w:pos="720"/>
        </w:tabs>
        <w:ind w:left="720" w:hanging="72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nsid w:val="56FB2E0B"/>
    <w:multiLevelType w:val="hybridMultilevel"/>
    <w:tmpl w:val="EDCE7868"/>
    <w:lvl w:ilvl="0" w:tplc="69205F3C">
      <w:start w:val="1"/>
      <w:numFmt w:val="bullet"/>
      <w:pStyle w:val="HighlightBoxBullet"/>
      <w:lvlText w:val=""/>
      <w:lvlJc w:val="left"/>
      <w:pPr>
        <w:tabs>
          <w:tab w:val="num" w:pos="90"/>
        </w:tabs>
        <w:ind w:left="450" w:hanging="360"/>
      </w:pPr>
      <w:rPr>
        <w:rFonts w:ascii="Symbol" w:hAnsi="Symbol" w:hint="default"/>
        <w:sz w:val="20"/>
        <w:szCs w:val="20"/>
      </w:rPr>
    </w:lvl>
    <w:lvl w:ilvl="1" w:tplc="0C090003">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24">
    <w:nsid w:val="57DC5177"/>
    <w:multiLevelType w:val="hybridMultilevel"/>
    <w:tmpl w:val="F4BC9B72"/>
    <w:lvl w:ilvl="0" w:tplc="E6583B28">
      <w:start w:val="1"/>
      <w:numFmt w:val="upperLetter"/>
      <w:pStyle w:val="Heading3Numbering"/>
      <w:lvlText w:val="(%1)"/>
      <w:lvlJc w:val="left"/>
      <w:pPr>
        <w:tabs>
          <w:tab w:val="num" w:pos="720"/>
        </w:tabs>
        <w:ind w:left="720" w:hanging="720"/>
      </w:pPr>
      <w:rPr>
        <w:b/>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014"/>
        </w:tabs>
        <w:ind w:left="1014" w:hanging="360"/>
      </w:pPr>
    </w:lvl>
    <w:lvl w:ilvl="2" w:tplc="0C090005">
      <w:start w:val="1"/>
      <w:numFmt w:val="lowerRoman"/>
      <w:lvlText w:val="%3."/>
      <w:lvlJc w:val="right"/>
      <w:pPr>
        <w:tabs>
          <w:tab w:val="num" w:pos="1734"/>
        </w:tabs>
        <w:ind w:left="1734" w:hanging="180"/>
      </w:pPr>
    </w:lvl>
    <w:lvl w:ilvl="3" w:tplc="0C090001">
      <w:start w:val="1"/>
      <w:numFmt w:val="decimal"/>
      <w:lvlText w:val="%4."/>
      <w:lvlJc w:val="left"/>
      <w:pPr>
        <w:tabs>
          <w:tab w:val="num" w:pos="2454"/>
        </w:tabs>
        <w:ind w:left="2454" w:hanging="360"/>
      </w:pPr>
    </w:lvl>
    <w:lvl w:ilvl="4" w:tplc="0C090003">
      <w:start w:val="1"/>
      <w:numFmt w:val="lowerLetter"/>
      <w:lvlText w:val="%5."/>
      <w:lvlJc w:val="left"/>
      <w:pPr>
        <w:tabs>
          <w:tab w:val="num" w:pos="3174"/>
        </w:tabs>
        <w:ind w:left="3174" w:hanging="360"/>
      </w:pPr>
    </w:lvl>
    <w:lvl w:ilvl="5" w:tplc="0C090005">
      <w:start w:val="1"/>
      <w:numFmt w:val="lowerRoman"/>
      <w:lvlText w:val="%6."/>
      <w:lvlJc w:val="right"/>
      <w:pPr>
        <w:tabs>
          <w:tab w:val="num" w:pos="3894"/>
        </w:tabs>
        <w:ind w:left="3894" w:hanging="180"/>
      </w:pPr>
    </w:lvl>
    <w:lvl w:ilvl="6" w:tplc="0C090001">
      <w:start w:val="1"/>
      <w:numFmt w:val="decimal"/>
      <w:lvlText w:val="%7."/>
      <w:lvlJc w:val="left"/>
      <w:pPr>
        <w:tabs>
          <w:tab w:val="num" w:pos="4614"/>
        </w:tabs>
        <w:ind w:left="4614" w:hanging="360"/>
      </w:pPr>
    </w:lvl>
    <w:lvl w:ilvl="7" w:tplc="0C090003">
      <w:start w:val="1"/>
      <w:numFmt w:val="lowerLetter"/>
      <w:lvlText w:val="%8."/>
      <w:lvlJc w:val="left"/>
      <w:pPr>
        <w:tabs>
          <w:tab w:val="num" w:pos="5334"/>
        </w:tabs>
        <w:ind w:left="5334" w:hanging="360"/>
      </w:pPr>
    </w:lvl>
    <w:lvl w:ilvl="8" w:tplc="0C090005">
      <w:start w:val="1"/>
      <w:numFmt w:val="lowerRoman"/>
      <w:lvlText w:val="%9."/>
      <w:lvlJc w:val="right"/>
      <w:pPr>
        <w:tabs>
          <w:tab w:val="num" w:pos="6054"/>
        </w:tabs>
        <w:ind w:left="6054" w:hanging="180"/>
      </w:pPr>
    </w:lvl>
  </w:abstractNum>
  <w:abstractNum w:abstractNumId="25">
    <w:nsid w:val="637672EB"/>
    <w:multiLevelType w:val="hybridMultilevel"/>
    <w:tmpl w:val="AF66620C"/>
    <w:lvl w:ilvl="0" w:tplc="0C09000F">
      <w:start w:val="1"/>
      <w:numFmt w:val="decimal"/>
      <w:lvlText w:val="%1."/>
      <w:lvlJc w:val="left"/>
      <w:pPr>
        <w:ind w:left="1069"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6">
    <w:nsid w:val="66E416C6"/>
    <w:multiLevelType w:val="hybridMultilevel"/>
    <w:tmpl w:val="96F0DD4E"/>
    <w:lvl w:ilvl="0" w:tplc="A1E09834">
      <w:start w:val="1"/>
      <w:numFmt w:val="bullet"/>
      <w:pStyle w:val="Bullet1"/>
      <w:lvlText w:val=""/>
      <w:lvlJc w:val="left"/>
      <w:pPr>
        <w:ind w:left="360" w:hanging="360"/>
      </w:pPr>
      <w:rPr>
        <w:rFonts w:ascii="Wingdings" w:hAnsi="Wingdings"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83C2092"/>
    <w:multiLevelType w:val="hybridMultilevel"/>
    <w:tmpl w:val="666A7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8CC26B9"/>
    <w:multiLevelType w:val="hybridMultilevel"/>
    <w:tmpl w:val="DDBAE1CC"/>
    <w:lvl w:ilvl="0" w:tplc="9F6696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44666F5"/>
    <w:multiLevelType w:val="hybridMultilevel"/>
    <w:tmpl w:val="2E4A35B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tabs>
          <w:tab w:val="num" w:pos="2700"/>
        </w:tabs>
        <w:ind w:left="2700" w:hanging="360"/>
      </w:pPr>
      <w:rPr>
        <w:rFonts w:ascii="Courier New" w:hAnsi="Courier New" w:cs="Courier New" w:hint="default"/>
      </w:rPr>
    </w:lvl>
    <w:lvl w:ilvl="2" w:tplc="0C090005" w:tentative="1">
      <w:start w:val="1"/>
      <w:numFmt w:val="bullet"/>
      <w:lvlText w:val=""/>
      <w:lvlJc w:val="left"/>
      <w:pPr>
        <w:tabs>
          <w:tab w:val="num" w:pos="3420"/>
        </w:tabs>
        <w:ind w:left="3420" w:hanging="360"/>
      </w:pPr>
      <w:rPr>
        <w:rFonts w:ascii="Wingdings" w:hAnsi="Wingdings" w:hint="default"/>
      </w:rPr>
    </w:lvl>
    <w:lvl w:ilvl="3" w:tplc="0C090001" w:tentative="1">
      <w:start w:val="1"/>
      <w:numFmt w:val="bullet"/>
      <w:lvlText w:val=""/>
      <w:lvlJc w:val="left"/>
      <w:pPr>
        <w:tabs>
          <w:tab w:val="num" w:pos="4140"/>
        </w:tabs>
        <w:ind w:left="4140" w:hanging="360"/>
      </w:pPr>
      <w:rPr>
        <w:rFonts w:ascii="Symbol" w:hAnsi="Symbol" w:hint="default"/>
      </w:rPr>
    </w:lvl>
    <w:lvl w:ilvl="4" w:tplc="0C090003" w:tentative="1">
      <w:start w:val="1"/>
      <w:numFmt w:val="bullet"/>
      <w:lvlText w:val="o"/>
      <w:lvlJc w:val="left"/>
      <w:pPr>
        <w:tabs>
          <w:tab w:val="num" w:pos="4860"/>
        </w:tabs>
        <w:ind w:left="4860" w:hanging="360"/>
      </w:pPr>
      <w:rPr>
        <w:rFonts w:ascii="Courier New" w:hAnsi="Courier New" w:cs="Courier New" w:hint="default"/>
      </w:rPr>
    </w:lvl>
    <w:lvl w:ilvl="5" w:tplc="0C090005" w:tentative="1">
      <w:start w:val="1"/>
      <w:numFmt w:val="bullet"/>
      <w:lvlText w:val=""/>
      <w:lvlJc w:val="left"/>
      <w:pPr>
        <w:tabs>
          <w:tab w:val="num" w:pos="5580"/>
        </w:tabs>
        <w:ind w:left="5580" w:hanging="360"/>
      </w:pPr>
      <w:rPr>
        <w:rFonts w:ascii="Wingdings" w:hAnsi="Wingdings" w:hint="default"/>
      </w:rPr>
    </w:lvl>
    <w:lvl w:ilvl="6" w:tplc="0C090001" w:tentative="1">
      <w:start w:val="1"/>
      <w:numFmt w:val="bullet"/>
      <w:lvlText w:val=""/>
      <w:lvlJc w:val="left"/>
      <w:pPr>
        <w:tabs>
          <w:tab w:val="num" w:pos="6300"/>
        </w:tabs>
        <w:ind w:left="6300" w:hanging="360"/>
      </w:pPr>
      <w:rPr>
        <w:rFonts w:ascii="Symbol" w:hAnsi="Symbol" w:hint="default"/>
      </w:rPr>
    </w:lvl>
    <w:lvl w:ilvl="7" w:tplc="0C090003" w:tentative="1">
      <w:start w:val="1"/>
      <w:numFmt w:val="bullet"/>
      <w:lvlText w:val="o"/>
      <w:lvlJc w:val="left"/>
      <w:pPr>
        <w:tabs>
          <w:tab w:val="num" w:pos="7020"/>
        </w:tabs>
        <w:ind w:left="7020" w:hanging="360"/>
      </w:pPr>
      <w:rPr>
        <w:rFonts w:ascii="Courier New" w:hAnsi="Courier New" w:cs="Courier New" w:hint="default"/>
      </w:rPr>
    </w:lvl>
    <w:lvl w:ilvl="8" w:tplc="0C090005" w:tentative="1">
      <w:start w:val="1"/>
      <w:numFmt w:val="bullet"/>
      <w:lvlText w:val=""/>
      <w:lvlJc w:val="left"/>
      <w:pPr>
        <w:tabs>
          <w:tab w:val="num" w:pos="7740"/>
        </w:tabs>
        <w:ind w:left="7740" w:hanging="360"/>
      </w:pPr>
      <w:rPr>
        <w:rFonts w:ascii="Wingdings" w:hAnsi="Wingdings" w:hint="default"/>
      </w:rPr>
    </w:lvl>
  </w:abstractNum>
  <w:abstractNum w:abstractNumId="30">
    <w:nsid w:val="762D5F72"/>
    <w:multiLevelType w:val="hybridMultilevel"/>
    <w:tmpl w:val="F348D25C"/>
    <w:lvl w:ilvl="0" w:tplc="B9D0D914">
      <w:start w:val="1"/>
      <w:numFmt w:val="bullet"/>
      <w:pStyle w:val="Bullet"/>
      <w:lvlText w:val=""/>
      <w:lvlJc w:val="left"/>
      <w:pPr>
        <w:tabs>
          <w:tab w:val="num" w:pos="786"/>
        </w:tabs>
        <w:ind w:left="786"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31">
    <w:nsid w:val="76FF6E8A"/>
    <w:multiLevelType w:val="hybridMultilevel"/>
    <w:tmpl w:val="BCD0F7D8"/>
    <w:lvl w:ilvl="0" w:tplc="1762516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D7E1271"/>
    <w:multiLevelType w:val="hybridMultilevel"/>
    <w:tmpl w:val="8DA2F3C6"/>
    <w:lvl w:ilvl="0" w:tplc="817037B4">
      <w:start w:val="1"/>
      <w:numFmt w:val="bullet"/>
      <w:pStyle w:val="Text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2"/>
  </w:num>
  <w:num w:numId="4">
    <w:abstractNumId w:val="7"/>
  </w:num>
  <w:num w:numId="5">
    <w:abstractNumId w:val="21"/>
  </w:num>
  <w:num w:numId="6">
    <w:abstractNumId w:val="18"/>
  </w:num>
  <w:num w:numId="7">
    <w:abstractNumId w:val="24"/>
  </w:num>
  <w:num w:numId="8">
    <w:abstractNumId w:val="13"/>
  </w:num>
  <w:num w:numId="9">
    <w:abstractNumId w:val="17"/>
  </w:num>
  <w:num w:numId="10">
    <w:abstractNumId w:val="0"/>
  </w:num>
  <w:num w:numId="11">
    <w:abstractNumId w:val="1"/>
  </w:num>
  <w:num w:numId="12">
    <w:abstractNumId w:val="16"/>
  </w:num>
  <w:num w:numId="13">
    <w:abstractNumId w:val="22"/>
  </w:num>
  <w:num w:numId="14">
    <w:abstractNumId w:val="11"/>
  </w:num>
  <w:num w:numId="15">
    <w:abstractNumId w:val="29"/>
  </w:num>
  <w:num w:numId="16">
    <w:abstractNumId w:val="5"/>
  </w:num>
  <w:num w:numId="17">
    <w:abstractNumId w:val="28"/>
  </w:num>
  <w:num w:numId="18">
    <w:abstractNumId w:val="6"/>
    <w:lvlOverride w:ilvl="0">
      <w:startOverride w:val="1"/>
    </w:lvlOverride>
  </w:num>
  <w:num w:numId="19">
    <w:abstractNumId w:val="8"/>
  </w:num>
  <w:num w:numId="20">
    <w:abstractNumId w:val="10"/>
  </w:num>
  <w:num w:numId="21">
    <w:abstractNumId w:val="18"/>
    <w:lvlOverride w:ilvl="0">
      <w:startOverride w:val="1"/>
    </w:lvlOverride>
  </w:num>
  <w:num w:numId="22">
    <w:abstractNumId w:val="26"/>
  </w:num>
  <w:num w:numId="23">
    <w:abstractNumId w:val="9"/>
  </w:num>
  <w:num w:numId="24">
    <w:abstractNumId w:val="23"/>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30"/>
  </w:num>
  <w:num w:numId="35">
    <w:abstractNumId w:val="30"/>
  </w:num>
  <w:num w:numId="36">
    <w:abstractNumId w:val="19"/>
  </w:num>
  <w:num w:numId="37">
    <w:abstractNumId w:val="20"/>
  </w:num>
  <w:num w:numId="38">
    <w:abstractNumId w:val="27"/>
  </w:num>
  <w:num w:numId="39">
    <w:abstractNumId w:val="25"/>
  </w:num>
  <w:num w:numId="40">
    <w:abstractNumId w:val="31"/>
  </w:num>
  <w:num w:numId="41">
    <w:abstractNumId w:val="14"/>
  </w:num>
  <w:num w:numId="42">
    <w:abstractNumId w:val="4"/>
  </w:num>
  <w:num w:numId="43">
    <w:abstractNumId w:val="12"/>
  </w:num>
  <w:num w:numId="44">
    <w:abstractNumId w:val="15"/>
  </w:num>
  <w:num w:numId="45">
    <w:abstractNumId w:val="32"/>
  </w:num>
  <w:num w:numId="46">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oNotTrackFormatting/>
  <w:defaultTabStop w:val="720"/>
  <w:doNotHyphenateCaps/>
  <w:evenAndOddHeader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176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95C"/>
    <w:rsid w:val="00000211"/>
    <w:rsid w:val="000003A1"/>
    <w:rsid w:val="000015A3"/>
    <w:rsid w:val="000016DC"/>
    <w:rsid w:val="00002210"/>
    <w:rsid w:val="000023BE"/>
    <w:rsid w:val="00002756"/>
    <w:rsid w:val="00002DCB"/>
    <w:rsid w:val="000032B2"/>
    <w:rsid w:val="00003DA4"/>
    <w:rsid w:val="00003E16"/>
    <w:rsid w:val="00003EF2"/>
    <w:rsid w:val="00004A68"/>
    <w:rsid w:val="00004AB7"/>
    <w:rsid w:val="00004C5C"/>
    <w:rsid w:val="00005701"/>
    <w:rsid w:val="00005FE1"/>
    <w:rsid w:val="000060C4"/>
    <w:rsid w:val="000067F4"/>
    <w:rsid w:val="00006B07"/>
    <w:rsid w:val="00006C32"/>
    <w:rsid w:val="00006C7A"/>
    <w:rsid w:val="00007527"/>
    <w:rsid w:val="0000764C"/>
    <w:rsid w:val="00007BB0"/>
    <w:rsid w:val="00007DF9"/>
    <w:rsid w:val="000112A9"/>
    <w:rsid w:val="0001137A"/>
    <w:rsid w:val="000119EB"/>
    <w:rsid w:val="000121E9"/>
    <w:rsid w:val="00012EE5"/>
    <w:rsid w:val="00013344"/>
    <w:rsid w:val="00013E40"/>
    <w:rsid w:val="00013E8D"/>
    <w:rsid w:val="00015559"/>
    <w:rsid w:val="00015886"/>
    <w:rsid w:val="00015F2B"/>
    <w:rsid w:val="00015F93"/>
    <w:rsid w:val="00016985"/>
    <w:rsid w:val="00016A90"/>
    <w:rsid w:val="000177DB"/>
    <w:rsid w:val="00017A37"/>
    <w:rsid w:val="00017D36"/>
    <w:rsid w:val="00017EBF"/>
    <w:rsid w:val="0002044B"/>
    <w:rsid w:val="00020546"/>
    <w:rsid w:val="00020C8B"/>
    <w:rsid w:val="00020FF7"/>
    <w:rsid w:val="0002164A"/>
    <w:rsid w:val="00021DB7"/>
    <w:rsid w:val="000251D5"/>
    <w:rsid w:val="000257B6"/>
    <w:rsid w:val="000258E9"/>
    <w:rsid w:val="00025AE8"/>
    <w:rsid w:val="00026291"/>
    <w:rsid w:val="000262FD"/>
    <w:rsid w:val="00026ABB"/>
    <w:rsid w:val="00026DD4"/>
    <w:rsid w:val="00027186"/>
    <w:rsid w:val="000277E5"/>
    <w:rsid w:val="0002786D"/>
    <w:rsid w:val="000278A2"/>
    <w:rsid w:val="00027CF9"/>
    <w:rsid w:val="00030377"/>
    <w:rsid w:val="00030C8C"/>
    <w:rsid w:val="0003101F"/>
    <w:rsid w:val="00031357"/>
    <w:rsid w:val="00031BBE"/>
    <w:rsid w:val="00031D40"/>
    <w:rsid w:val="00032C6E"/>
    <w:rsid w:val="0003359F"/>
    <w:rsid w:val="00033716"/>
    <w:rsid w:val="00034007"/>
    <w:rsid w:val="00034622"/>
    <w:rsid w:val="00034D83"/>
    <w:rsid w:val="00034E42"/>
    <w:rsid w:val="000353DF"/>
    <w:rsid w:val="0003611C"/>
    <w:rsid w:val="00036225"/>
    <w:rsid w:val="0003662B"/>
    <w:rsid w:val="0003711C"/>
    <w:rsid w:val="000372C8"/>
    <w:rsid w:val="00037444"/>
    <w:rsid w:val="000374D1"/>
    <w:rsid w:val="00037522"/>
    <w:rsid w:val="0004010B"/>
    <w:rsid w:val="00040486"/>
    <w:rsid w:val="00040C67"/>
    <w:rsid w:val="00041160"/>
    <w:rsid w:val="00041214"/>
    <w:rsid w:val="000416B9"/>
    <w:rsid w:val="00041A77"/>
    <w:rsid w:val="00041DD4"/>
    <w:rsid w:val="00041F9A"/>
    <w:rsid w:val="00041FFF"/>
    <w:rsid w:val="000426A5"/>
    <w:rsid w:val="000427D1"/>
    <w:rsid w:val="00042BCD"/>
    <w:rsid w:val="00042C18"/>
    <w:rsid w:val="00042E29"/>
    <w:rsid w:val="00042FA4"/>
    <w:rsid w:val="000432D0"/>
    <w:rsid w:val="00043318"/>
    <w:rsid w:val="0004336C"/>
    <w:rsid w:val="0004445B"/>
    <w:rsid w:val="000445A2"/>
    <w:rsid w:val="00044973"/>
    <w:rsid w:val="00044B53"/>
    <w:rsid w:val="0004508A"/>
    <w:rsid w:val="00045161"/>
    <w:rsid w:val="00045179"/>
    <w:rsid w:val="0004543D"/>
    <w:rsid w:val="00045957"/>
    <w:rsid w:val="00045C3D"/>
    <w:rsid w:val="00045E2E"/>
    <w:rsid w:val="00046196"/>
    <w:rsid w:val="00046E67"/>
    <w:rsid w:val="00047202"/>
    <w:rsid w:val="00047ACA"/>
    <w:rsid w:val="00047C66"/>
    <w:rsid w:val="00047C7B"/>
    <w:rsid w:val="000502D2"/>
    <w:rsid w:val="0005095B"/>
    <w:rsid w:val="0005127B"/>
    <w:rsid w:val="000514A5"/>
    <w:rsid w:val="0005160D"/>
    <w:rsid w:val="00051686"/>
    <w:rsid w:val="00051812"/>
    <w:rsid w:val="00051F8F"/>
    <w:rsid w:val="00053217"/>
    <w:rsid w:val="000533E0"/>
    <w:rsid w:val="0005385B"/>
    <w:rsid w:val="000539AD"/>
    <w:rsid w:val="00053D44"/>
    <w:rsid w:val="00053E00"/>
    <w:rsid w:val="00054735"/>
    <w:rsid w:val="000547F7"/>
    <w:rsid w:val="00054AE5"/>
    <w:rsid w:val="00055297"/>
    <w:rsid w:val="000556CF"/>
    <w:rsid w:val="00055E31"/>
    <w:rsid w:val="00055EF1"/>
    <w:rsid w:val="0005695B"/>
    <w:rsid w:val="00056E43"/>
    <w:rsid w:val="0005738E"/>
    <w:rsid w:val="00057390"/>
    <w:rsid w:val="00057489"/>
    <w:rsid w:val="0005770E"/>
    <w:rsid w:val="00057913"/>
    <w:rsid w:val="00057BF5"/>
    <w:rsid w:val="00057D66"/>
    <w:rsid w:val="00057ED9"/>
    <w:rsid w:val="0006022A"/>
    <w:rsid w:val="0006178F"/>
    <w:rsid w:val="0006209A"/>
    <w:rsid w:val="00062549"/>
    <w:rsid w:val="00064683"/>
    <w:rsid w:val="00064BFD"/>
    <w:rsid w:val="00065286"/>
    <w:rsid w:val="00065588"/>
    <w:rsid w:val="00065671"/>
    <w:rsid w:val="0006599D"/>
    <w:rsid w:val="00065B02"/>
    <w:rsid w:val="00065D6C"/>
    <w:rsid w:val="00066C5B"/>
    <w:rsid w:val="00066FBF"/>
    <w:rsid w:val="0006766E"/>
    <w:rsid w:val="00067799"/>
    <w:rsid w:val="00067F40"/>
    <w:rsid w:val="000712F1"/>
    <w:rsid w:val="00071AAF"/>
    <w:rsid w:val="00071C84"/>
    <w:rsid w:val="00071CB4"/>
    <w:rsid w:val="00071D65"/>
    <w:rsid w:val="00072E16"/>
    <w:rsid w:val="00073222"/>
    <w:rsid w:val="00073342"/>
    <w:rsid w:val="00073402"/>
    <w:rsid w:val="000736E9"/>
    <w:rsid w:val="00073BC3"/>
    <w:rsid w:val="00073C0F"/>
    <w:rsid w:val="00073C91"/>
    <w:rsid w:val="00074079"/>
    <w:rsid w:val="00074168"/>
    <w:rsid w:val="00074EF4"/>
    <w:rsid w:val="00074FDB"/>
    <w:rsid w:val="00075171"/>
    <w:rsid w:val="00075249"/>
    <w:rsid w:val="000752BF"/>
    <w:rsid w:val="00075CD3"/>
    <w:rsid w:val="00075DBD"/>
    <w:rsid w:val="00075E8D"/>
    <w:rsid w:val="00076F35"/>
    <w:rsid w:val="0007730E"/>
    <w:rsid w:val="000774D3"/>
    <w:rsid w:val="00077DC6"/>
    <w:rsid w:val="0008006E"/>
    <w:rsid w:val="00080334"/>
    <w:rsid w:val="000809A0"/>
    <w:rsid w:val="00080CA5"/>
    <w:rsid w:val="00080F2D"/>
    <w:rsid w:val="00081074"/>
    <w:rsid w:val="00081811"/>
    <w:rsid w:val="00082762"/>
    <w:rsid w:val="0008281C"/>
    <w:rsid w:val="00082971"/>
    <w:rsid w:val="00082D03"/>
    <w:rsid w:val="000830B4"/>
    <w:rsid w:val="00083572"/>
    <w:rsid w:val="000840C2"/>
    <w:rsid w:val="00084749"/>
    <w:rsid w:val="00084A60"/>
    <w:rsid w:val="00085CED"/>
    <w:rsid w:val="00085D02"/>
    <w:rsid w:val="000865CE"/>
    <w:rsid w:val="0008693C"/>
    <w:rsid w:val="00090A98"/>
    <w:rsid w:val="0009118E"/>
    <w:rsid w:val="00091457"/>
    <w:rsid w:val="00091BAC"/>
    <w:rsid w:val="00091F5A"/>
    <w:rsid w:val="0009266C"/>
    <w:rsid w:val="00092AC2"/>
    <w:rsid w:val="00092DCE"/>
    <w:rsid w:val="00092EDA"/>
    <w:rsid w:val="00093182"/>
    <w:rsid w:val="000934D4"/>
    <w:rsid w:val="00093650"/>
    <w:rsid w:val="000936AE"/>
    <w:rsid w:val="00094212"/>
    <w:rsid w:val="000945A3"/>
    <w:rsid w:val="00094D0E"/>
    <w:rsid w:val="00094E02"/>
    <w:rsid w:val="0009599F"/>
    <w:rsid w:val="00095D9F"/>
    <w:rsid w:val="00095E9B"/>
    <w:rsid w:val="00096AA0"/>
    <w:rsid w:val="00096AE7"/>
    <w:rsid w:val="000973C1"/>
    <w:rsid w:val="000974FD"/>
    <w:rsid w:val="000A0394"/>
    <w:rsid w:val="000A05A0"/>
    <w:rsid w:val="000A1AB5"/>
    <w:rsid w:val="000A2B50"/>
    <w:rsid w:val="000A2CE3"/>
    <w:rsid w:val="000A2E57"/>
    <w:rsid w:val="000A2EEE"/>
    <w:rsid w:val="000A3A6D"/>
    <w:rsid w:val="000A3DAC"/>
    <w:rsid w:val="000A48CD"/>
    <w:rsid w:val="000A4E1F"/>
    <w:rsid w:val="000A5888"/>
    <w:rsid w:val="000A61EC"/>
    <w:rsid w:val="000A671A"/>
    <w:rsid w:val="000A6728"/>
    <w:rsid w:val="000A68E9"/>
    <w:rsid w:val="000A6B0F"/>
    <w:rsid w:val="000A722B"/>
    <w:rsid w:val="000A7DD3"/>
    <w:rsid w:val="000B0FC2"/>
    <w:rsid w:val="000B11E1"/>
    <w:rsid w:val="000B1620"/>
    <w:rsid w:val="000B174F"/>
    <w:rsid w:val="000B17F1"/>
    <w:rsid w:val="000B1814"/>
    <w:rsid w:val="000B1815"/>
    <w:rsid w:val="000B2047"/>
    <w:rsid w:val="000B2F66"/>
    <w:rsid w:val="000B3254"/>
    <w:rsid w:val="000B35F5"/>
    <w:rsid w:val="000B3AA8"/>
    <w:rsid w:val="000B497F"/>
    <w:rsid w:val="000B5772"/>
    <w:rsid w:val="000B5936"/>
    <w:rsid w:val="000B5E02"/>
    <w:rsid w:val="000B64BF"/>
    <w:rsid w:val="000B6616"/>
    <w:rsid w:val="000B713A"/>
    <w:rsid w:val="000B7390"/>
    <w:rsid w:val="000B7700"/>
    <w:rsid w:val="000B7789"/>
    <w:rsid w:val="000B7C9E"/>
    <w:rsid w:val="000C004E"/>
    <w:rsid w:val="000C08B7"/>
    <w:rsid w:val="000C0A55"/>
    <w:rsid w:val="000C0BA6"/>
    <w:rsid w:val="000C0CD7"/>
    <w:rsid w:val="000C1B12"/>
    <w:rsid w:val="000C20D4"/>
    <w:rsid w:val="000C39F2"/>
    <w:rsid w:val="000C3DE5"/>
    <w:rsid w:val="000C4D6A"/>
    <w:rsid w:val="000C4EC5"/>
    <w:rsid w:val="000C4ECE"/>
    <w:rsid w:val="000C5446"/>
    <w:rsid w:val="000C6717"/>
    <w:rsid w:val="000C683D"/>
    <w:rsid w:val="000C7A24"/>
    <w:rsid w:val="000C7BF1"/>
    <w:rsid w:val="000D0924"/>
    <w:rsid w:val="000D0EB2"/>
    <w:rsid w:val="000D0FF2"/>
    <w:rsid w:val="000D146D"/>
    <w:rsid w:val="000D1A35"/>
    <w:rsid w:val="000D1CA1"/>
    <w:rsid w:val="000D1D32"/>
    <w:rsid w:val="000D1E96"/>
    <w:rsid w:val="000D1EA2"/>
    <w:rsid w:val="000D236C"/>
    <w:rsid w:val="000D25C3"/>
    <w:rsid w:val="000D25DB"/>
    <w:rsid w:val="000D25E9"/>
    <w:rsid w:val="000D33BF"/>
    <w:rsid w:val="000D35A7"/>
    <w:rsid w:val="000D36BA"/>
    <w:rsid w:val="000D4247"/>
    <w:rsid w:val="000D42A3"/>
    <w:rsid w:val="000D45AE"/>
    <w:rsid w:val="000D4775"/>
    <w:rsid w:val="000D48FD"/>
    <w:rsid w:val="000D49F2"/>
    <w:rsid w:val="000D5279"/>
    <w:rsid w:val="000D5D38"/>
    <w:rsid w:val="000D6DB4"/>
    <w:rsid w:val="000D702C"/>
    <w:rsid w:val="000D73ED"/>
    <w:rsid w:val="000D7617"/>
    <w:rsid w:val="000E0B4B"/>
    <w:rsid w:val="000E0E2E"/>
    <w:rsid w:val="000E12CF"/>
    <w:rsid w:val="000E1446"/>
    <w:rsid w:val="000E1BF3"/>
    <w:rsid w:val="000E1E07"/>
    <w:rsid w:val="000E1E9D"/>
    <w:rsid w:val="000E20F8"/>
    <w:rsid w:val="000E2187"/>
    <w:rsid w:val="000E25F4"/>
    <w:rsid w:val="000E315C"/>
    <w:rsid w:val="000E3197"/>
    <w:rsid w:val="000E359C"/>
    <w:rsid w:val="000E38EC"/>
    <w:rsid w:val="000E3F96"/>
    <w:rsid w:val="000E41F7"/>
    <w:rsid w:val="000E4ADC"/>
    <w:rsid w:val="000E4D98"/>
    <w:rsid w:val="000E4FCA"/>
    <w:rsid w:val="000E5052"/>
    <w:rsid w:val="000E558B"/>
    <w:rsid w:val="000E57A3"/>
    <w:rsid w:val="000E583C"/>
    <w:rsid w:val="000E5EBA"/>
    <w:rsid w:val="000E619A"/>
    <w:rsid w:val="000E6DA1"/>
    <w:rsid w:val="000E74FB"/>
    <w:rsid w:val="000E773A"/>
    <w:rsid w:val="000E7AEB"/>
    <w:rsid w:val="000E7C9D"/>
    <w:rsid w:val="000E7D97"/>
    <w:rsid w:val="000F0096"/>
    <w:rsid w:val="000F0414"/>
    <w:rsid w:val="000F0822"/>
    <w:rsid w:val="000F08B9"/>
    <w:rsid w:val="000F0911"/>
    <w:rsid w:val="000F0C63"/>
    <w:rsid w:val="000F0FF4"/>
    <w:rsid w:val="000F13C4"/>
    <w:rsid w:val="000F1419"/>
    <w:rsid w:val="000F1524"/>
    <w:rsid w:val="000F1AB5"/>
    <w:rsid w:val="000F1B0A"/>
    <w:rsid w:val="000F1BEC"/>
    <w:rsid w:val="000F1DD6"/>
    <w:rsid w:val="000F37EE"/>
    <w:rsid w:val="000F3E35"/>
    <w:rsid w:val="000F4145"/>
    <w:rsid w:val="000F4732"/>
    <w:rsid w:val="000F4A37"/>
    <w:rsid w:val="000F4A84"/>
    <w:rsid w:val="000F4D32"/>
    <w:rsid w:val="000F4DF9"/>
    <w:rsid w:val="000F5119"/>
    <w:rsid w:val="000F52DF"/>
    <w:rsid w:val="000F5940"/>
    <w:rsid w:val="000F596C"/>
    <w:rsid w:val="000F59D5"/>
    <w:rsid w:val="000F64EF"/>
    <w:rsid w:val="000F6FBE"/>
    <w:rsid w:val="000F74E9"/>
    <w:rsid w:val="000F786A"/>
    <w:rsid w:val="000F7BDF"/>
    <w:rsid w:val="00100102"/>
    <w:rsid w:val="00100B0F"/>
    <w:rsid w:val="001017F9"/>
    <w:rsid w:val="00101F00"/>
    <w:rsid w:val="00102220"/>
    <w:rsid w:val="001024AD"/>
    <w:rsid w:val="001027FA"/>
    <w:rsid w:val="001028CA"/>
    <w:rsid w:val="00102A47"/>
    <w:rsid w:val="00102BF5"/>
    <w:rsid w:val="00102D29"/>
    <w:rsid w:val="00102F3F"/>
    <w:rsid w:val="001036CD"/>
    <w:rsid w:val="001038D2"/>
    <w:rsid w:val="001041D7"/>
    <w:rsid w:val="001042A5"/>
    <w:rsid w:val="0010441C"/>
    <w:rsid w:val="001048FE"/>
    <w:rsid w:val="00104A72"/>
    <w:rsid w:val="00104D04"/>
    <w:rsid w:val="00104E95"/>
    <w:rsid w:val="0010511E"/>
    <w:rsid w:val="001058D9"/>
    <w:rsid w:val="00105F09"/>
    <w:rsid w:val="00107144"/>
    <w:rsid w:val="0011003E"/>
    <w:rsid w:val="00110277"/>
    <w:rsid w:val="001108D0"/>
    <w:rsid w:val="00110A4C"/>
    <w:rsid w:val="001110FC"/>
    <w:rsid w:val="0011124F"/>
    <w:rsid w:val="0011130D"/>
    <w:rsid w:val="001113D1"/>
    <w:rsid w:val="001116B0"/>
    <w:rsid w:val="00111B84"/>
    <w:rsid w:val="00111B9A"/>
    <w:rsid w:val="00112578"/>
    <w:rsid w:val="00112810"/>
    <w:rsid w:val="00112B3C"/>
    <w:rsid w:val="00112E25"/>
    <w:rsid w:val="001133D0"/>
    <w:rsid w:val="001139D2"/>
    <w:rsid w:val="00113FE5"/>
    <w:rsid w:val="00114300"/>
    <w:rsid w:val="00114696"/>
    <w:rsid w:val="00114723"/>
    <w:rsid w:val="0011472B"/>
    <w:rsid w:val="00114B9C"/>
    <w:rsid w:val="001154CF"/>
    <w:rsid w:val="00115C44"/>
    <w:rsid w:val="00115D0B"/>
    <w:rsid w:val="00116D9A"/>
    <w:rsid w:val="00117206"/>
    <w:rsid w:val="001201C2"/>
    <w:rsid w:val="00120797"/>
    <w:rsid w:val="00121F12"/>
    <w:rsid w:val="001221BF"/>
    <w:rsid w:val="0012236F"/>
    <w:rsid w:val="00122741"/>
    <w:rsid w:val="0012335B"/>
    <w:rsid w:val="001234AD"/>
    <w:rsid w:val="0012385A"/>
    <w:rsid w:val="00123BD5"/>
    <w:rsid w:val="00124BEE"/>
    <w:rsid w:val="0012529E"/>
    <w:rsid w:val="0012545D"/>
    <w:rsid w:val="0012584C"/>
    <w:rsid w:val="00125DB9"/>
    <w:rsid w:val="001269D5"/>
    <w:rsid w:val="00127117"/>
    <w:rsid w:val="0012774E"/>
    <w:rsid w:val="00127C04"/>
    <w:rsid w:val="00127E62"/>
    <w:rsid w:val="001309CE"/>
    <w:rsid w:val="00130CAC"/>
    <w:rsid w:val="00130F86"/>
    <w:rsid w:val="00131494"/>
    <w:rsid w:val="00131734"/>
    <w:rsid w:val="00132EFE"/>
    <w:rsid w:val="001330DB"/>
    <w:rsid w:val="00134454"/>
    <w:rsid w:val="00134575"/>
    <w:rsid w:val="0013564E"/>
    <w:rsid w:val="0013594C"/>
    <w:rsid w:val="001360C1"/>
    <w:rsid w:val="0013614E"/>
    <w:rsid w:val="00136B50"/>
    <w:rsid w:val="001371A9"/>
    <w:rsid w:val="001373BD"/>
    <w:rsid w:val="001377CF"/>
    <w:rsid w:val="00137AB6"/>
    <w:rsid w:val="00137F64"/>
    <w:rsid w:val="00140E59"/>
    <w:rsid w:val="00140F84"/>
    <w:rsid w:val="0014129D"/>
    <w:rsid w:val="001412D2"/>
    <w:rsid w:val="001416F9"/>
    <w:rsid w:val="001418A0"/>
    <w:rsid w:val="00141F07"/>
    <w:rsid w:val="00142353"/>
    <w:rsid w:val="00142674"/>
    <w:rsid w:val="00142ED5"/>
    <w:rsid w:val="00143034"/>
    <w:rsid w:val="001431A1"/>
    <w:rsid w:val="00143857"/>
    <w:rsid w:val="00143A3F"/>
    <w:rsid w:val="00143AC8"/>
    <w:rsid w:val="001442BE"/>
    <w:rsid w:val="00144458"/>
    <w:rsid w:val="00144A72"/>
    <w:rsid w:val="0014532C"/>
    <w:rsid w:val="00145466"/>
    <w:rsid w:val="00145F7B"/>
    <w:rsid w:val="001466FC"/>
    <w:rsid w:val="00146734"/>
    <w:rsid w:val="00146C48"/>
    <w:rsid w:val="00146CE2"/>
    <w:rsid w:val="00146D3F"/>
    <w:rsid w:val="00147D2F"/>
    <w:rsid w:val="00147F37"/>
    <w:rsid w:val="00150427"/>
    <w:rsid w:val="00150C8E"/>
    <w:rsid w:val="0015129B"/>
    <w:rsid w:val="0015171C"/>
    <w:rsid w:val="001518D8"/>
    <w:rsid w:val="001521E7"/>
    <w:rsid w:val="001523E0"/>
    <w:rsid w:val="001527CC"/>
    <w:rsid w:val="00152C8D"/>
    <w:rsid w:val="00153268"/>
    <w:rsid w:val="001535E7"/>
    <w:rsid w:val="0015367B"/>
    <w:rsid w:val="0015378A"/>
    <w:rsid w:val="0015443F"/>
    <w:rsid w:val="001546D0"/>
    <w:rsid w:val="00154B95"/>
    <w:rsid w:val="001550AB"/>
    <w:rsid w:val="001555CC"/>
    <w:rsid w:val="001555D8"/>
    <w:rsid w:val="0015581E"/>
    <w:rsid w:val="00155B1D"/>
    <w:rsid w:val="00156FBA"/>
    <w:rsid w:val="0015726B"/>
    <w:rsid w:val="0015742C"/>
    <w:rsid w:val="001577D6"/>
    <w:rsid w:val="00157BB2"/>
    <w:rsid w:val="0016075C"/>
    <w:rsid w:val="00160AD4"/>
    <w:rsid w:val="00160CE0"/>
    <w:rsid w:val="00160F8F"/>
    <w:rsid w:val="001611D6"/>
    <w:rsid w:val="001627F1"/>
    <w:rsid w:val="00162AAA"/>
    <w:rsid w:val="00162D7D"/>
    <w:rsid w:val="00163DDE"/>
    <w:rsid w:val="00163FA3"/>
    <w:rsid w:val="001648BC"/>
    <w:rsid w:val="00164D88"/>
    <w:rsid w:val="00165440"/>
    <w:rsid w:val="00165715"/>
    <w:rsid w:val="0016597A"/>
    <w:rsid w:val="00166150"/>
    <w:rsid w:val="00166964"/>
    <w:rsid w:val="00166E60"/>
    <w:rsid w:val="00166FD4"/>
    <w:rsid w:val="0016787A"/>
    <w:rsid w:val="00167CD3"/>
    <w:rsid w:val="00171CF6"/>
    <w:rsid w:val="00172155"/>
    <w:rsid w:val="00172B20"/>
    <w:rsid w:val="00173383"/>
    <w:rsid w:val="001733FF"/>
    <w:rsid w:val="0017441A"/>
    <w:rsid w:val="001744DF"/>
    <w:rsid w:val="0017466D"/>
    <w:rsid w:val="001746E9"/>
    <w:rsid w:val="00174734"/>
    <w:rsid w:val="001749C9"/>
    <w:rsid w:val="00174AE1"/>
    <w:rsid w:val="001757FB"/>
    <w:rsid w:val="001759C2"/>
    <w:rsid w:val="00175D4A"/>
    <w:rsid w:val="001760D5"/>
    <w:rsid w:val="00176291"/>
    <w:rsid w:val="0017657D"/>
    <w:rsid w:val="00176D9C"/>
    <w:rsid w:val="00177122"/>
    <w:rsid w:val="001773C8"/>
    <w:rsid w:val="0017760D"/>
    <w:rsid w:val="001777B4"/>
    <w:rsid w:val="00177922"/>
    <w:rsid w:val="00180070"/>
    <w:rsid w:val="0018036D"/>
    <w:rsid w:val="00180397"/>
    <w:rsid w:val="00180B5E"/>
    <w:rsid w:val="00180FBB"/>
    <w:rsid w:val="0018117C"/>
    <w:rsid w:val="00181372"/>
    <w:rsid w:val="00181774"/>
    <w:rsid w:val="00181AA0"/>
    <w:rsid w:val="00181B97"/>
    <w:rsid w:val="00181E10"/>
    <w:rsid w:val="0018234F"/>
    <w:rsid w:val="00182601"/>
    <w:rsid w:val="001828C0"/>
    <w:rsid w:val="00182CDC"/>
    <w:rsid w:val="00183044"/>
    <w:rsid w:val="001832E3"/>
    <w:rsid w:val="00183303"/>
    <w:rsid w:val="0018330B"/>
    <w:rsid w:val="001838F2"/>
    <w:rsid w:val="0018406D"/>
    <w:rsid w:val="001841B0"/>
    <w:rsid w:val="00185277"/>
    <w:rsid w:val="001859E5"/>
    <w:rsid w:val="00185A2A"/>
    <w:rsid w:val="0018754B"/>
    <w:rsid w:val="001875F2"/>
    <w:rsid w:val="001878A7"/>
    <w:rsid w:val="00187D57"/>
    <w:rsid w:val="0019044E"/>
    <w:rsid w:val="00190A01"/>
    <w:rsid w:val="001913BE"/>
    <w:rsid w:val="00191683"/>
    <w:rsid w:val="00191EC6"/>
    <w:rsid w:val="00192074"/>
    <w:rsid w:val="00192119"/>
    <w:rsid w:val="0019219D"/>
    <w:rsid w:val="00192731"/>
    <w:rsid w:val="00192ABE"/>
    <w:rsid w:val="00192B4E"/>
    <w:rsid w:val="00193527"/>
    <w:rsid w:val="00193815"/>
    <w:rsid w:val="00193F4C"/>
    <w:rsid w:val="00193F7E"/>
    <w:rsid w:val="0019536E"/>
    <w:rsid w:val="00195A92"/>
    <w:rsid w:val="00197093"/>
    <w:rsid w:val="0019754F"/>
    <w:rsid w:val="00197827"/>
    <w:rsid w:val="00197AE6"/>
    <w:rsid w:val="001A019E"/>
    <w:rsid w:val="001A01B7"/>
    <w:rsid w:val="001A0592"/>
    <w:rsid w:val="001A082A"/>
    <w:rsid w:val="001A0BBC"/>
    <w:rsid w:val="001A1045"/>
    <w:rsid w:val="001A109D"/>
    <w:rsid w:val="001A1A11"/>
    <w:rsid w:val="001A1CCC"/>
    <w:rsid w:val="001A2AF1"/>
    <w:rsid w:val="001A2CA7"/>
    <w:rsid w:val="001A323A"/>
    <w:rsid w:val="001A3443"/>
    <w:rsid w:val="001A42A3"/>
    <w:rsid w:val="001A461D"/>
    <w:rsid w:val="001A4C55"/>
    <w:rsid w:val="001A5656"/>
    <w:rsid w:val="001A595B"/>
    <w:rsid w:val="001A5961"/>
    <w:rsid w:val="001A5B74"/>
    <w:rsid w:val="001A6732"/>
    <w:rsid w:val="001A69C0"/>
    <w:rsid w:val="001A6DDE"/>
    <w:rsid w:val="001A7B94"/>
    <w:rsid w:val="001A7D44"/>
    <w:rsid w:val="001A7F21"/>
    <w:rsid w:val="001B0175"/>
    <w:rsid w:val="001B0533"/>
    <w:rsid w:val="001B119A"/>
    <w:rsid w:val="001B123B"/>
    <w:rsid w:val="001B1304"/>
    <w:rsid w:val="001B14DC"/>
    <w:rsid w:val="001B158E"/>
    <w:rsid w:val="001B2706"/>
    <w:rsid w:val="001B2C9C"/>
    <w:rsid w:val="001B33FB"/>
    <w:rsid w:val="001B3477"/>
    <w:rsid w:val="001B3B0F"/>
    <w:rsid w:val="001B40D6"/>
    <w:rsid w:val="001B4787"/>
    <w:rsid w:val="001B4C4C"/>
    <w:rsid w:val="001B4D82"/>
    <w:rsid w:val="001B52DE"/>
    <w:rsid w:val="001B5D8E"/>
    <w:rsid w:val="001B6656"/>
    <w:rsid w:val="001B67C3"/>
    <w:rsid w:val="001B6969"/>
    <w:rsid w:val="001B6D34"/>
    <w:rsid w:val="001B72D2"/>
    <w:rsid w:val="001C01DC"/>
    <w:rsid w:val="001C05C4"/>
    <w:rsid w:val="001C098A"/>
    <w:rsid w:val="001C09C6"/>
    <w:rsid w:val="001C17A2"/>
    <w:rsid w:val="001C18C8"/>
    <w:rsid w:val="001C1943"/>
    <w:rsid w:val="001C1B87"/>
    <w:rsid w:val="001C1DB6"/>
    <w:rsid w:val="001C2353"/>
    <w:rsid w:val="001C27B1"/>
    <w:rsid w:val="001C369D"/>
    <w:rsid w:val="001C3814"/>
    <w:rsid w:val="001C3F80"/>
    <w:rsid w:val="001C4127"/>
    <w:rsid w:val="001C51A4"/>
    <w:rsid w:val="001C52CD"/>
    <w:rsid w:val="001C532E"/>
    <w:rsid w:val="001C5744"/>
    <w:rsid w:val="001C57FB"/>
    <w:rsid w:val="001C5C74"/>
    <w:rsid w:val="001C6929"/>
    <w:rsid w:val="001C6AD8"/>
    <w:rsid w:val="001C6EB3"/>
    <w:rsid w:val="001C738E"/>
    <w:rsid w:val="001C78D1"/>
    <w:rsid w:val="001C7FF6"/>
    <w:rsid w:val="001D1154"/>
    <w:rsid w:val="001D136A"/>
    <w:rsid w:val="001D1515"/>
    <w:rsid w:val="001D165A"/>
    <w:rsid w:val="001D18DB"/>
    <w:rsid w:val="001D270B"/>
    <w:rsid w:val="001D2D3C"/>
    <w:rsid w:val="001D2EDF"/>
    <w:rsid w:val="001D3440"/>
    <w:rsid w:val="001D3529"/>
    <w:rsid w:val="001D446A"/>
    <w:rsid w:val="001D5165"/>
    <w:rsid w:val="001D5281"/>
    <w:rsid w:val="001D5460"/>
    <w:rsid w:val="001D59E5"/>
    <w:rsid w:val="001D64B1"/>
    <w:rsid w:val="001D7637"/>
    <w:rsid w:val="001D7D65"/>
    <w:rsid w:val="001D7E21"/>
    <w:rsid w:val="001E0351"/>
    <w:rsid w:val="001E124B"/>
    <w:rsid w:val="001E1D43"/>
    <w:rsid w:val="001E1EEF"/>
    <w:rsid w:val="001E1FE6"/>
    <w:rsid w:val="001E30AD"/>
    <w:rsid w:val="001E322E"/>
    <w:rsid w:val="001E3B71"/>
    <w:rsid w:val="001E466A"/>
    <w:rsid w:val="001E46EB"/>
    <w:rsid w:val="001E4A1C"/>
    <w:rsid w:val="001E4A20"/>
    <w:rsid w:val="001E4A8F"/>
    <w:rsid w:val="001E4D58"/>
    <w:rsid w:val="001E5C34"/>
    <w:rsid w:val="001E6207"/>
    <w:rsid w:val="001E6345"/>
    <w:rsid w:val="001E6386"/>
    <w:rsid w:val="001E639A"/>
    <w:rsid w:val="001E6563"/>
    <w:rsid w:val="001E685A"/>
    <w:rsid w:val="001E7426"/>
    <w:rsid w:val="001E77BE"/>
    <w:rsid w:val="001F01CB"/>
    <w:rsid w:val="001F10E7"/>
    <w:rsid w:val="001F13EE"/>
    <w:rsid w:val="001F240E"/>
    <w:rsid w:val="001F252B"/>
    <w:rsid w:val="001F27AB"/>
    <w:rsid w:val="001F2863"/>
    <w:rsid w:val="001F2A72"/>
    <w:rsid w:val="001F3860"/>
    <w:rsid w:val="001F3A35"/>
    <w:rsid w:val="001F3F5F"/>
    <w:rsid w:val="001F4210"/>
    <w:rsid w:val="001F4879"/>
    <w:rsid w:val="001F49E1"/>
    <w:rsid w:val="001F4E4A"/>
    <w:rsid w:val="001F55F9"/>
    <w:rsid w:val="001F5A2B"/>
    <w:rsid w:val="001F60B3"/>
    <w:rsid w:val="001F62E1"/>
    <w:rsid w:val="001F675B"/>
    <w:rsid w:val="001F6AEA"/>
    <w:rsid w:val="001F6D3D"/>
    <w:rsid w:val="001F7329"/>
    <w:rsid w:val="001F7DD4"/>
    <w:rsid w:val="00200149"/>
    <w:rsid w:val="00200832"/>
    <w:rsid w:val="0020140D"/>
    <w:rsid w:val="0020141B"/>
    <w:rsid w:val="0020152A"/>
    <w:rsid w:val="00201A0E"/>
    <w:rsid w:val="002021A1"/>
    <w:rsid w:val="00202D4A"/>
    <w:rsid w:val="00202EF1"/>
    <w:rsid w:val="00202FA7"/>
    <w:rsid w:val="00203213"/>
    <w:rsid w:val="002033BE"/>
    <w:rsid w:val="0020346E"/>
    <w:rsid w:val="00203898"/>
    <w:rsid w:val="00203AFB"/>
    <w:rsid w:val="00203BE7"/>
    <w:rsid w:val="00203D31"/>
    <w:rsid w:val="00203EDA"/>
    <w:rsid w:val="00203F10"/>
    <w:rsid w:val="00203F1D"/>
    <w:rsid w:val="00204DB2"/>
    <w:rsid w:val="00204EC5"/>
    <w:rsid w:val="00205359"/>
    <w:rsid w:val="00205C1F"/>
    <w:rsid w:val="00205E0A"/>
    <w:rsid w:val="00205FEC"/>
    <w:rsid w:val="002068A6"/>
    <w:rsid w:val="002069A2"/>
    <w:rsid w:val="002078C8"/>
    <w:rsid w:val="002079C9"/>
    <w:rsid w:val="00210050"/>
    <w:rsid w:val="002103AE"/>
    <w:rsid w:val="0021046D"/>
    <w:rsid w:val="00210649"/>
    <w:rsid w:val="00210723"/>
    <w:rsid w:val="002107A3"/>
    <w:rsid w:val="002107BB"/>
    <w:rsid w:val="00211F75"/>
    <w:rsid w:val="002123B2"/>
    <w:rsid w:val="0021246D"/>
    <w:rsid w:val="00212832"/>
    <w:rsid w:val="00212B02"/>
    <w:rsid w:val="00212CCC"/>
    <w:rsid w:val="002133EA"/>
    <w:rsid w:val="00213C98"/>
    <w:rsid w:val="002142C7"/>
    <w:rsid w:val="002145C5"/>
    <w:rsid w:val="002145FD"/>
    <w:rsid w:val="00214617"/>
    <w:rsid w:val="00214728"/>
    <w:rsid w:val="00214EBD"/>
    <w:rsid w:val="0021521B"/>
    <w:rsid w:val="002157DC"/>
    <w:rsid w:val="00215A66"/>
    <w:rsid w:val="002168F0"/>
    <w:rsid w:val="00216E82"/>
    <w:rsid w:val="00217103"/>
    <w:rsid w:val="0021768E"/>
    <w:rsid w:val="002204B4"/>
    <w:rsid w:val="002210B9"/>
    <w:rsid w:val="002211BF"/>
    <w:rsid w:val="0022148D"/>
    <w:rsid w:val="00221616"/>
    <w:rsid w:val="002216C2"/>
    <w:rsid w:val="00221716"/>
    <w:rsid w:val="00221A25"/>
    <w:rsid w:val="00221D39"/>
    <w:rsid w:val="00222802"/>
    <w:rsid w:val="00222C73"/>
    <w:rsid w:val="00223248"/>
    <w:rsid w:val="002233C3"/>
    <w:rsid w:val="0022351D"/>
    <w:rsid w:val="00223C29"/>
    <w:rsid w:val="00224238"/>
    <w:rsid w:val="0022429C"/>
    <w:rsid w:val="002244E4"/>
    <w:rsid w:val="00224655"/>
    <w:rsid w:val="0022469A"/>
    <w:rsid w:val="0022594C"/>
    <w:rsid w:val="00226105"/>
    <w:rsid w:val="00226EFE"/>
    <w:rsid w:val="002274C5"/>
    <w:rsid w:val="002279B0"/>
    <w:rsid w:val="00230239"/>
    <w:rsid w:val="00230369"/>
    <w:rsid w:val="00230BD5"/>
    <w:rsid w:val="00230DC3"/>
    <w:rsid w:val="0023110F"/>
    <w:rsid w:val="002319C2"/>
    <w:rsid w:val="00231E52"/>
    <w:rsid w:val="00232228"/>
    <w:rsid w:val="00232AE2"/>
    <w:rsid w:val="002333B0"/>
    <w:rsid w:val="00233A70"/>
    <w:rsid w:val="002340B2"/>
    <w:rsid w:val="0023445C"/>
    <w:rsid w:val="002345D0"/>
    <w:rsid w:val="00234FB7"/>
    <w:rsid w:val="00235F13"/>
    <w:rsid w:val="00235FA6"/>
    <w:rsid w:val="00236637"/>
    <w:rsid w:val="002371A7"/>
    <w:rsid w:val="00237667"/>
    <w:rsid w:val="00237E33"/>
    <w:rsid w:val="00240AFC"/>
    <w:rsid w:val="00241143"/>
    <w:rsid w:val="002415B2"/>
    <w:rsid w:val="00241887"/>
    <w:rsid w:val="00241A85"/>
    <w:rsid w:val="00242062"/>
    <w:rsid w:val="0024262D"/>
    <w:rsid w:val="002435C9"/>
    <w:rsid w:val="002439A7"/>
    <w:rsid w:val="00244C8C"/>
    <w:rsid w:val="00244C9C"/>
    <w:rsid w:val="00244E7E"/>
    <w:rsid w:val="00244F5E"/>
    <w:rsid w:val="002451B5"/>
    <w:rsid w:val="00245472"/>
    <w:rsid w:val="00245900"/>
    <w:rsid w:val="00245F82"/>
    <w:rsid w:val="00246331"/>
    <w:rsid w:val="002463D9"/>
    <w:rsid w:val="00246C1B"/>
    <w:rsid w:val="00247ADE"/>
    <w:rsid w:val="00250269"/>
    <w:rsid w:val="0025044E"/>
    <w:rsid w:val="0025048E"/>
    <w:rsid w:val="00250B8A"/>
    <w:rsid w:val="00251243"/>
    <w:rsid w:val="0025184A"/>
    <w:rsid w:val="00251AB0"/>
    <w:rsid w:val="00251AFC"/>
    <w:rsid w:val="00251C15"/>
    <w:rsid w:val="00251E2D"/>
    <w:rsid w:val="002523F0"/>
    <w:rsid w:val="002529BC"/>
    <w:rsid w:val="0025330D"/>
    <w:rsid w:val="0025354E"/>
    <w:rsid w:val="00253731"/>
    <w:rsid w:val="00253738"/>
    <w:rsid w:val="00253894"/>
    <w:rsid w:val="00253B9F"/>
    <w:rsid w:val="00253E69"/>
    <w:rsid w:val="002542D6"/>
    <w:rsid w:val="0025482C"/>
    <w:rsid w:val="0025499C"/>
    <w:rsid w:val="00255C96"/>
    <w:rsid w:val="00255F6C"/>
    <w:rsid w:val="00256516"/>
    <w:rsid w:val="00256626"/>
    <w:rsid w:val="0025784A"/>
    <w:rsid w:val="00257C65"/>
    <w:rsid w:val="00257D65"/>
    <w:rsid w:val="00257F26"/>
    <w:rsid w:val="00257F88"/>
    <w:rsid w:val="00260F5C"/>
    <w:rsid w:val="002615ED"/>
    <w:rsid w:val="002616E9"/>
    <w:rsid w:val="002621BC"/>
    <w:rsid w:val="0026302D"/>
    <w:rsid w:val="002633B1"/>
    <w:rsid w:val="002634E3"/>
    <w:rsid w:val="00263777"/>
    <w:rsid w:val="002638A8"/>
    <w:rsid w:val="002639D9"/>
    <w:rsid w:val="00264395"/>
    <w:rsid w:val="0026459B"/>
    <w:rsid w:val="00265098"/>
    <w:rsid w:val="00265717"/>
    <w:rsid w:val="002669C3"/>
    <w:rsid w:val="002669DA"/>
    <w:rsid w:val="00266AFB"/>
    <w:rsid w:val="00266F84"/>
    <w:rsid w:val="00267164"/>
    <w:rsid w:val="002674B6"/>
    <w:rsid w:val="0026760E"/>
    <w:rsid w:val="002702E3"/>
    <w:rsid w:val="002704C6"/>
    <w:rsid w:val="00270B32"/>
    <w:rsid w:val="002720A3"/>
    <w:rsid w:val="002727CA"/>
    <w:rsid w:val="00272A75"/>
    <w:rsid w:val="0027305C"/>
    <w:rsid w:val="0027336A"/>
    <w:rsid w:val="00273875"/>
    <w:rsid w:val="0027405C"/>
    <w:rsid w:val="0027405F"/>
    <w:rsid w:val="00274118"/>
    <w:rsid w:val="00274238"/>
    <w:rsid w:val="00274A3A"/>
    <w:rsid w:val="0027531E"/>
    <w:rsid w:val="0027597C"/>
    <w:rsid w:val="00275A06"/>
    <w:rsid w:val="00276E2E"/>
    <w:rsid w:val="00277102"/>
    <w:rsid w:val="00277677"/>
    <w:rsid w:val="0028027B"/>
    <w:rsid w:val="002804C6"/>
    <w:rsid w:val="002807ED"/>
    <w:rsid w:val="00280B8B"/>
    <w:rsid w:val="002822EF"/>
    <w:rsid w:val="0028296F"/>
    <w:rsid w:val="002829A6"/>
    <w:rsid w:val="00283061"/>
    <w:rsid w:val="00283857"/>
    <w:rsid w:val="00283B43"/>
    <w:rsid w:val="00283C93"/>
    <w:rsid w:val="002848DD"/>
    <w:rsid w:val="002849BD"/>
    <w:rsid w:val="00284C26"/>
    <w:rsid w:val="00284D8A"/>
    <w:rsid w:val="00284EBB"/>
    <w:rsid w:val="00284ECC"/>
    <w:rsid w:val="00284F0E"/>
    <w:rsid w:val="00285155"/>
    <w:rsid w:val="0028518C"/>
    <w:rsid w:val="002860B9"/>
    <w:rsid w:val="00286336"/>
    <w:rsid w:val="00287359"/>
    <w:rsid w:val="00287AAC"/>
    <w:rsid w:val="00287C41"/>
    <w:rsid w:val="00290899"/>
    <w:rsid w:val="00291469"/>
    <w:rsid w:val="002918D3"/>
    <w:rsid w:val="00291C9E"/>
    <w:rsid w:val="00292B49"/>
    <w:rsid w:val="00292BB7"/>
    <w:rsid w:val="00293344"/>
    <w:rsid w:val="00293493"/>
    <w:rsid w:val="0029353A"/>
    <w:rsid w:val="0029354A"/>
    <w:rsid w:val="002938B2"/>
    <w:rsid w:val="00294103"/>
    <w:rsid w:val="002942B9"/>
    <w:rsid w:val="002942F4"/>
    <w:rsid w:val="002946EB"/>
    <w:rsid w:val="002948F9"/>
    <w:rsid w:val="00294FEB"/>
    <w:rsid w:val="002952B6"/>
    <w:rsid w:val="002953DD"/>
    <w:rsid w:val="002954AE"/>
    <w:rsid w:val="002955BB"/>
    <w:rsid w:val="00295935"/>
    <w:rsid w:val="00296502"/>
    <w:rsid w:val="002969C6"/>
    <w:rsid w:val="002A06A6"/>
    <w:rsid w:val="002A08CF"/>
    <w:rsid w:val="002A0FCF"/>
    <w:rsid w:val="002A14D3"/>
    <w:rsid w:val="002A1553"/>
    <w:rsid w:val="002A214B"/>
    <w:rsid w:val="002A27FE"/>
    <w:rsid w:val="002A2988"/>
    <w:rsid w:val="002A378F"/>
    <w:rsid w:val="002A3A30"/>
    <w:rsid w:val="002A3BDB"/>
    <w:rsid w:val="002A3D5E"/>
    <w:rsid w:val="002A4457"/>
    <w:rsid w:val="002A448C"/>
    <w:rsid w:val="002A469C"/>
    <w:rsid w:val="002A4C76"/>
    <w:rsid w:val="002A4D3A"/>
    <w:rsid w:val="002A4EB3"/>
    <w:rsid w:val="002A5598"/>
    <w:rsid w:val="002A5B24"/>
    <w:rsid w:val="002A5E2C"/>
    <w:rsid w:val="002A6037"/>
    <w:rsid w:val="002A611D"/>
    <w:rsid w:val="002A633B"/>
    <w:rsid w:val="002A65EF"/>
    <w:rsid w:val="002A6D9A"/>
    <w:rsid w:val="002A7AED"/>
    <w:rsid w:val="002A7CB9"/>
    <w:rsid w:val="002B0005"/>
    <w:rsid w:val="002B026E"/>
    <w:rsid w:val="002B0640"/>
    <w:rsid w:val="002B1160"/>
    <w:rsid w:val="002B2795"/>
    <w:rsid w:val="002B2ADC"/>
    <w:rsid w:val="002B2BC3"/>
    <w:rsid w:val="002B3493"/>
    <w:rsid w:val="002B3B8F"/>
    <w:rsid w:val="002B3C3E"/>
    <w:rsid w:val="002B4138"/>
    <w:rsid w:val="002B432A"/>
    <w:rsid w:val="002B4484"/>
    <w:rsid w:val="002B47C6"/>
    <w:rsid w:val="002B4924"/>
    <w:rsid w:val="002B4C6C"/>
    <w:rsid w:val="002B4E16"/>
    <w:rsid w:val="002B57C0"/>
    <w:rsid w:val="002B62D3"/>
    <w:rsid w:val="002B6609"/>
    <w:rsid w:val="002B6DCA"/>
    <w:rsid w:val="002B7760"/>
    <w:rsid w:val="002B7AB9"/>
    <w:rsid w:val="002B7B02"/>
    <w:rsid w:val="002C0046"/>
    <w:rsid w:val="002C05C7"/>
    <w:rsid w:val="002C0704"/>
    <w:rsid w:val="002C0B29"/>
    <w:rsid w:val="002C15C2"/>
    <w:rsid w:val="002C1D93"/>
    <w:rsid w:val="002C1D95"/>
    <w:rsid w:val="002C2435"/>
    <w:rsid w:val="002C32A3"/>
    <w:rsid w:val="002C3615"/>
    <w:rsid w:val="002C4474"/>
    <w:rsid w:val="002C5217"/>
    <w:rsid w:val="002C52E9"/>
    <w:rsid w:val="002C5BF7"/>
    <w:rsid w:val="002C5EB4"/>
    <w:rsid w:val="002C61D9"/>
    <w:rsid w:val="002C69C2"/>
    <w:rsid w:val="002C7FA1"/>
    <w:rsid w:val="002D04F1"/>
    <w:rsid w:val="002D06AF"/>
    <w:rsid w:val="002D0A9E"/>
    <w:rsid w:val="002D0AB8"/>
    <w:rsid w:val="002D0EBF"/>
    <w:rsid w:val="002D0F4E"/>
    <w:rsid w:val="002D130D"/>
    <w:rsid w:val="002D1426"/>
    <w:rsid w:val="002D1D50"/>
    <w:rsid w:val="002D2147"/>
    <w:rsid w:val="002D27FC"/>
    <w:rsid w:val="002D28D0"/>
    <w:rsid w:val="002D2EFF"/>
    <w:rsid w:val="002D37A3"/>
    <w:rsid w:val="002D3C2A"/>
    <w:rsid w:val="002D4178"/>
    <w:rsid w:val="002D475D"/>
    <w:rsid w:val="002D4872"/>
    <w:rsid w:val="002D4C8A"/>
    <w:rsid w:val="002D55F7"/>
    <w:rsid w:val="002D5606"/>
    <w:rsid w:val="002D6672"/>
    <w:rsid w:val="002D7043"/>
    <w:rsid w:val="002D7D02"/>
    <w:rsid w:val="002E0272"/>
    <w:rsid w:val="002E06BD"/>
    <w:rsid w:val="002E0CD0"/>
    <w:rsid w:val="002E1444"/>
    <w:rsid w:val="002E1568"/>
    <w:rsid w:val="002E1A68"/>
    <w:rsid w:val="002E1AF3"/>
    <w:rsid w:val="002E1C1A"/>
    <w:rsid w:val="002E1CF2"/>
    <w:rsid w:val="002E1D67"/>
    <w:rsid w:val="002E24EF"/>
    <w:rsid w:val="002E35F2"/>
    <w:rsid w:val="002E3B80"/>
    <w:rsid w:val="002E4047"/>
    <w:rsid w:val="002E41C6"/>
    <w:rsid w:val="002E43B2"/>
    <w:rsid w:val="002E4B5A"/>
    <w:rsid w:val="002E59BB"/>
    <w:rsid w:val="002E5B1F"/>
    <w:rsid w:val="002E5DD7"/>
    <w:rsid w:val="002E6E86"/>
    <w:rsid w:val="002E795E"/>
    <w:rsid w:val="002F0DFE"/>
    <w:rsid w:val="002F0E5C"/>
    <w:rsid w:val="002F1554"/>
    <w:rsid w:val="002F15DE"/>
    <w:rsid w:val="002F2534"/>
    <w:rsid w:val="002F25F6"/>
    <w:rsid w:val="002F2E59"/>
    <w:rsid w:val="002F2F11"/>
    <w:rsid w:val="002F3B4A"/>
    <w:rsid w:val="002F3DB1"/>
    <w:rsid w:val="002F5002"/>
    <w:rsid w:val="002F5225"/>
    <w:rsid w:val="002F57FB"/>
    <w:rsid w:val="002F5CC2"/>
    <w:rsid w:val="002F6386"/>
    <w:rsid w:val="002F670F"/>
    <w:rsid w:val="002F6A46"/>
    <w:rsid w:val="002F6C6F"/>
    <w:rsid w:val="002F7C08"/>
    <w:rsid w:val="00300B33"/>
    <w:rsid w:val="00300E6E"/>
    <w:rsid w:val="0030146C"/>
    <w:rsid w:val="00301515"/>
    <w:rsid w:val="003017EA"/>
    <w:rsid w:val="00301C64"/>
    <w:rsid w:val="003025DE"/>
    <w:rsid w:val="003034AF"/>
    <w:rsid w:val="0030382C"/>
    <w:rsid w:val="0030424C"/>
    <w:rsid w:val="00304733"/>
    <w:rsid w:val="003051AD"/>
    <w:rsid w:val="003056AD"/>
    <w:rsid w:val="003059AE"/>
    <w:rsid w:val="00305B93"/>
    <w:rsid w:val="00305DA1"/>
    <w:rsid w:val="00305DD7"/>
    <w:rsid w:val="00305E49"/>
    <w:rsid w:val="00305EC7"/>
    <w:rsid w:val="00306127"/>
    <w:rsid w:val="003062E0"/>
    <w:rsid w:val="00306F28"/>
    <w:rsid w:val="00306FD7"/>
    <w:rsid w:val="0030774D"/>
    <w:rsid w:val="00307771"/>
    <w:rsid w:val="00307942"/>
    <w:rsid w:val="00307D6B"/>
    <w:rsid w:val="003101AE"/>
    <w:rsid w:val="00310901"/>
    <w:rsid w:val="003117B4"/>
    <w:rsid w:val="003119FE"/>
    <w:rsid w:val="00311CC9"/>
    <w:rsid w:val="0031221B"/>
    <w:rsid w:val="00312507"/>
    <w:rsid w:val="0031251B"/>
    <w:rsid w:val="00312662"/>
    <w:rsid w:val="003126B6"/>
    <w:rsid w:val="003126DE"/>
    <w:rsid w:val="00312AFE"/>
    <w:rsid w:val="00312D16"/>
    <w:rsid w:val="003135BF"/>
    <w:rsid w:val="00313BA6"/>
    <w:rsid w:val="00313DFF"/>
    <w:rsid w:val="0031400E"/>
    <w:rsid w:val="003140F0"/>
    <w:rsid w:val="0031418A"/>
    <w:rsid w:val="0031439D"/>
    <w:rsid w:val="003145B2"/>
    <w:rsid w:val="0031468B"/>
    <w:rsid w:val="00314BD0"/>
    <w:rsid w:val="00314BE9"/>
    <w:rsid w:val="00314C9E"/>
    <w:rsid w:val="003154CD"/>
    <w:rsid w:val="0031562A"/>
    <w:rsid w:val="00315A2F"/>
    <w:rsid w:val="00315E18"/>
    <w:rsid w:val="0031642E"/>
    <w:rsid w:val="00316C1B"/>
    <w:rsid w:val="00316C87"/>
    <w:rsid w:val="00316F4C"/>
    <w:rsid w:val="003175FA"/>
    <w:rsid w:val="00317D01"/>
    <w:rsid w:val="00320048"/>
    <w:rsid w:val="00320673"/>
    <w:rsid w:val="0032096E"/>
    <w:rsid w:val="00321228"/>
    <w:rsid w:val="003214D9"/>
    <w:rsid w:val="00321904"/>
    <w:rsid w:val="0032210E"/>
    <w:rsid w:val="00322838"/>
    <w:rsid w:val="00322862"/>
    <w:rsid w:val="003236EA"/>
    <w:rsid w:val="00324452"/>
    <w:rsid w:val="00324568"/>
    <w:rsid w:val="00324AEC"/>
    <w:rsid w:val="00324B61"/>
    <w:rsid w:val="00324F6A"/>
    <w:rsid w:val="00324FD9"/>
    <w:rsid w:val="003251AB"/>
    <w:rsid w:val="00325562"/>
    <w:rsid w:val="00325731"/>
    <w:rsid w:val="00325E30"/>
    <w:rsid w:val="003261F1"/>
    <w:rsid w:val="00326E58"/>
    <w:rsid w:val="00327256"/>
    <w:rsid w:val="00327596"/>
    <w:rsid w:val="0033029C"/>
    <w:rsid w:val="00330769"/>
    <w:rsid w:val="00330B91"/>
    <w:rsid w:val="00330DFE"/>
    <w:rsid w:val="00330E49"/>
    <w:rsid w:val="00331498"/>
    <w:rsid w:val="00331B98"/>
    <w:rsid w:val="00331CB7"/>
    <w:rsid w:val="00331DB1"/>
    <w:rsid w:val="0033252D"/>
    <w:rsid w:val="00332A32"/>
    <w:rsid w:val="00332C30"/>
    <w:rsid w:val="00332E55"/>
    <w:rsid w:val="003332C6"/>
    <w:rsid w:val="00333391"/>
    <w:rsid w:val="00333828"/>
    <w:rsid w:val="00333A57"/>
    <w:rsid w:val="00334417"/>
    <w:rsid w:val="00334534"/>
    <w:rsid w:val="00334EBE"/>
    <w:rsid w:val="00335250"/>
    <w:rsid w:val="0033740F"/>
    <w:rsid w:val="003375E4"/>
    <w:rsid w:val="003376CC"/>
    <w:rsid w:val="00337E8D"/>
    <w:rsid w:val="00340127"/>
    <w:rsid w:val="00340A55"/>
    <w:rsid w:val="00342B01"/>
    <w:rsid w:val="0034308E"/>
    <w:rsid w:val="003431AD"/>
    <w:rsid w:val="0034411B"/>
    <w:rsid w:val="00344333"/>
    <w:rsid w:val="003445DB"/>
    <w:rsid w:val="00344EA6"/>
    <w:rsid w:val="00345E48"/>
    <w:rsid w:val="00345F80"/>
    <w:rsid w:val="003461D3"/>
    <w:rsid w:val="003469C6"/>
    <w:rsid w:val="00346AA8"/>
    <w:rsid w:val="00346D15"/>
    <w:rsid w:val="0034737B"/>
    <w:rsid w:val="00347A9D"/>
    <w:rsid w:val="00350399"/>
    <w:rsid w:val="0035087A"/>
    <w:rsid w:val="003509E8"/>
    <w:rsid w:val="003512E0"/>
    <w:rsid w:val="003516ED"/>
    <w:rsid w:val="00351B16"/>
    <w:rsid w:val="00351C73"/>
    <w:rsid w:val="00351EB0"/>
    <w:rsid w:val="003521F5"/>
    <w:rsid w:val="003529D9"/>
    <w:rsid w:val="00352D8E"/>
    <w:rsid w:val="00352E85"/>
    <w:rsid w:val="00353088"/>
    <w:rsid w:val="00353C67"/>
    <w:rsid w:val="00353F02"/>
    <w:rsid w:val="0035410F"/>
    <w:rsid w:val="0035411B"/>
    <w:rsid w:val="00355A44"/>
    <w:rsid w:val="00355BF8"/>
    <w:rsid w:val="0035611F"/>
    <w:rsid w:val="00356237"/>
    <w:rsid w:val="00356800"/>
    <w:rsid w:val="003568EA"/>
    <w:rsid w:val="00356B50"/>
    <w:rsid w:val="00357399"/>
    <w:rsid w:val="00357569"/>
    <w:rsid w:val="003577A0"/>
    <w:rsid w:val="003602F9"/>
    <w:rsid w:val="00360402"/>
    <w:rsid w:val="00360C50"/>
    <w:rsid w:val="00360DDA"/>
    <w:rsid w:val="00360E2F"/>
    <w:rsid w:val="00361182"/>
    <w:rsid w:val="00361EDF"/>
    <w:rsid w:val="00362385"/>
    <w:rsid w:val="003626A9"/>
    <w:rsid w:val="003629B2"/>
    <w:rsid w:val="00362A9F"/>
    <w:rsid w:val="00363152"/>
    <w:rsid w:val="003636B1"/>
    <w:rsid w:val="00363D9D"/>
    <w:rsid w:val="0036422C"/>
    <w:rsid w:val="00364679"/>
    <w:rsid w:val="00364ECF"/>
    <w:rsid w:val="00365E06"/>
    <w:rsid w:val="00365FFB"/>
    <w:rsid w:val="00366D27"/>
    <w:rsid w:val="00366DB0"/>
    <w:rsid w:val="0036723E"/>
    <w:rsid w:val="0036750C"/>
    <w:rsid w:val="00370217"/>
    <w:rsid w:val="003706C5"/>
    <w:rsid w:val="00370C0A"/>
    <w:rsid w:val="00371615"/>
    <w:rsid w:val="00371DAC"/>
    <w:rsid w:val="00372502"/>
    <w:rsid w:val="00372A1F"/>
    <w:rsid w:val="00373045"/>
    <w:rsid w:val="00373073"/>
    <w:rsid w:val="00373839"/>
    <w:rsid w:val="003739B4"/>
    <w:rsid w:val="00373D0F"/>
    <w:rsid w:val="00374159"/>
    <w:rsid w:val="00374918"/>
    <w:rsid w:val="003754D1"/>
    <w:rsid w:val="0037620E"/>
    <w:rsid w:val="00376872"/>
    <w:rsid w:val="0037693C"/>
    <w:rsid w:val="00377631"/>
    <w:rsid w:val="00377747"/>
    <w:rsid w:val="0038033B"/>
    <w:rsid w:val="00380D8E"/>
    <w:rsid w:val="003811F7"/>
    <w:rsid w:val="00381722"/>
    <w:rsid w:val="003824FC"/>
    <w:rsid w:val="00382904"/>
    <w:rsid w:val="00382B3E"/>
    <w:rsid w:val="0038337E"/>
    <w:rsid w:val="003833CB"/>
    <w:rsid w:val="00383A8D"/>
    <w:rsid w:val="00384236"/>
    <w:rsid w:val="00384DBE"/>
    <w:rsid w:val="00385CDC"/>
    <w:rsid w:val="00386786"/>
    <w:rsid w:val="003867E2"/>
    <w:rsid w:val="00387883"/>
    <w:rsid w:val="00387CAE"/>
    <w:rsid w:val="00387CC6"/>
    <w:rsid w:val="00387DD9"/>
    <w:rsid w:val="00387FEC"/>
    <w:rsid w:val="003901C2"/>
    <w:rsid w:val="003904A4"/>
    <w:rsid w:val="0039092F"/>
    <w:rsid w:val="003909A5"/>
    <w:rsid w:val="003912B4"/>
    <w:rsid w:val="00391C09"/>
    <w:rsid w:val="00392215"/>
    <w:rsid w:val="003926FF"/>
    <w:rsid w:val="00392BA6"/>
    <w:rsid w:val="00392DBA"/>
    <w:rsid w:val="00392EA3"/>
    <w:rsid w:val="003933EF"/>
    <w:rsid w:val="003938B9"/>
    <w:rsid w:val="003939E0"/>
    <w:rsid w:val="00393A01"/>
    <w:rsid w:val="00393E4A"/>
    <w:rsid w:val="00393FD9"/>
    <w:rsid w:val="00394E22"/>
    <w:rsid w:val="003953E6"/>
    <w:rsid w:val="00395528"/>
    <w:rsid w:val="00395775"/>
    <w:rsid w:val="00395B6B"/>
    <w:rsid w:val="00396615"/>
    <w:rsid w:val="00396F0B"/>
    <w:rsid w:val="003978C4"/>
    <w:rsid w:val="003979CA"/>
    <w:rsid w:val="00397E69"/>
    <w:rsid w:val="00397E70"/>
    <w:rsid w:val="003A0707"/>
    <w:rsid w:val="003A125F"/>
    <w:rsid w:val="003A1A5F"/>
    <w:rsid w:val="003A1A65"/>
    <w:rsid w:val="003A2381"/>
    <w:rsid w:val="003A2A87"/>
    <w:rsid w:val="003A2C06"/>
    <w:rsid w:val="003A2FDC"/>
    <w:rsid w:val="003A33D3"/>
    <w:rsid w:val="003A3554"/>
    <w:rsid w:val="003A3F84"/>
    <w:rsid w:val="003A4319"/>
    <w:rsid w:val="003A446A"/>
    <w:rsid w:val="003A4D12"/>
    <w:rsid w:val="003A55CA"/>
    <w:rsid w:val="003A5A75"/>
    <w:rsid w:val="003A6335"/>
    <w:rsid w:val="003A6D57"/>
    <w:rsid w:val="003A73CF"/>
    <w:rsid w:val="003A76BC"/>
    <w:rsid w:val="003A7B40"/>
    <w:rsid w:val="003A7B75"/>
    <w:rsid w:val="003B0530"/>
    <w:rsid w:val="003B05E5"/>
    <w:rsid w:val="003B0BC9"/>
    <w:rsid w:val="003B110A"/>
    <w:rsid w:val="003B1208"/>
    <w:rsid w:val="003B1D25"/>
    <w:rsid w:val="003B2724"/>
    <w:rsid w:val="003B279D"/>
    <w:rsid w:val="003B28F2"/>
    <w:rsid w:val="003B2FE4"/>
    <w:rsid w:val="003B2FEC"/>
    <w:rsid w:val="003B35C2"/>
    <w:rsid w:val="003B3B5E"/>
    <w:rsid w:val="003B3D4A"/>
    <w:rsid w:val="003B3EB1"/>
    <w:rsid w:val="003B482E"/>
    <w:rsid w:val="003B5A96"/>
    <w:rsid w:val="003B5AE9"/>
    <w:rsid w:val="003B5D66"/>
    <w:rsid w:val="003B622A"/>
    <w:rsid w:val="003B6760"/>
    <w:rsid w:val="003B72D5"/>
    <w:rsid w:val="003B7FFB"/>
    <w:rsid w:val="003C03C8"/>
    <w:rsid w:val="003C11D7"/>
    <w:rsid w:val="003C259B"/>
    <w:rsid w:val="003C27EC"/>
    <w:rsid w:val="003C2A6A"/>
    <w:rsid w:val="003C2A99"/>
    <w:rsid w:val="003C30FD"/>
    <w:rsid w:val="003C3E72"/>
    <w:rsid w:val="003C41A4"/>
    <w:rsid w:val="003C4F98"/>
    <w:rsid w:val="003C55A8"/>
    <w:rsid w:val="003C63FD"/>
    <w:rsid w:val="003C761E"/>
    <w:rsid w:val="003C7AD1"/>
    <w:rsid w:val="003C7F2E"/>
    <w:rsid w:val="003D06C9"/>
    <w:rsid w:val="003D0ED9"/>
    <w:rsid w:val="003D12E7"/>
    <w:rsid w:val="003D1724"/>
    <w:rsid w:val="003D2D70"/>
    <w:rsid w:val="003D2E72"/>
    <w:rsid w:val="003D30D8"/>
    <w:rsid w:val="003D3707"/>
    <w:rsid w:val="003D3BB5"/>
    <w:rsid w:val="003D3DC7"/>
    <w:rsid w:val="003D3EAB"/>
    <w:rsid w:val="003D474C"/>
    <w:rsid w:val="003D614F"/>
    <w:rsid w:val="003D67C1"/>
    <w:rsid w:val="003D6FB8"/>
    <w:rsid w:val="003D7144"/>
    <w:rsid w:val="003D72B4"/>
    <w:rsid w:val="003E0186"/>
    <w:rsid w:val="003E01C8"/>
    <w:rsid w:val="003E05E1"/>
    <w:rsid w:val="003E1293"/>
    <w:rsid w:val="003E3107"/>
    <w:rsid w:val="003E340D"/>
    <w:rsid w:val="003E36EA"/>
    <w:rsid w:val="003E3AF8"/>
    <w:rsid w:val="003E3D17"/>
    <w:rsid w:val="003E532F"/>
    <w:rsid w:val="003E58AE"/>
    <w:rsid w:val="003E5FF2"/>
    <w:rsid w:val="003E6682"/>
    <w:rsid w:val="003F02E4"/>
    <w:rsid w:val="003F0BBE"/>
    <w:rsid w:val="003F0E8E"/>
    <w:rsid w:val="003F113C"/>
    <w:rsid w:val="003F209E"/>
    <w:rsid w:val="003F239B"/>
    <w:rsid w:val="003F3933"/>
    <w:rsid w:val="003F3A3E"/>
    <w:rsid w:val="003F3D5F"/>
    <w:rsid w:val="003F41F8"/>
    <w:rsid w:val="003F4955"/>
    <w:rsid w:val="003F52CC"/>
    <w:rsid w:val="003F57B4"/>
    <w:rsid w:val="003F692D"/>
    <w:rsid w:val="003F6C64"/>
    <w:rsid w:val="003F70BE"/>
    <w:rsid w:val="003F792F"/>
    <w:rsid w:val="003F7E33"/>
    <w:rsid w:val="00400495"/>
    <w:rsid w:val="004007AB"/>
    <w:rsid w:val="004008A3"/>
    <w:rsid w:val="00400A03"/>
    <w:rsid w:val="00401285"/>
    <w:rsid w:val="00401F63"/>
    <w:rsid w:val="00402111"/>
    <w:rsid w:val="004021AF"/>
    <w:rsid w:val="004024B1"/>
    <w:rsid w:val="00403033"/>
    <w:rsid w:val="00403441"/>
    <w:rsid w:val="0040372C"/>
    <w:rsid w:val="00404C7C"/>
    <w:rsid w:val="00405085"/>
    <w:rsid w:val="00405A53"/>
    <w:rsid w:val="00405AB5"/>
    <w:rsid w:val="00405B00"/>
    <w:rsid w:val="00406A2B"/>
    <w:rsid w:val="00406C0E"/>
    <w:rsid w:val="0040714E"/>
    <w:rsid w:val="004073FC"/>
    <w:rsid w:val="0041007B"/>
    <w:rsid w:val="004101E8"/>
    <w:rsid w:val="004105CA"/>
    <w:rsid w:val="00410EF5"/>
    <w:rsid w:val="00411FCB"/>
    <w:rsid w:val="00412534"/>
    <w:rsid w:val="00412EFE"/>
    <w:rsid w:val="00413557"/>
    <w:rsid w:val="00413700"/>
    <w:rsid w:val="004138D8"/>
    <w:rsid w:val="00413B4F"/>
    <w:rsid w:val="00413E0C"/>
    <w:rsid w:val="0041407D"/>
    <w:rsid w:val="00414751"/>
    <w:rsid w:val="00414846"/>
    <w:rsid w:val="004148C2"/>
    <w:rsid w:val="004149E4"/>
    <w:rsid w:val="00414CF0"/>
    <w:rsid w:val="00414DC0"/>
    <w:rsid w:val="00415002"/>
    <w:rsid w:val="0041570B"/>
    <w:rsid w:val="00415B61"/>
    <w:rsid w:val="00415F12"/>
    <w:rsid w:val="00416081"/>
    <w:rsid w:val="004161B9"/>
    <w:rsid w:val="0041699C"/>
    <w:rsid w:val="00416C7C"/>
    <w:rsid w:val="00416D6E"/>
    <w:rsid w:val="0041735E"/>
    <w:rsid w:val="00417778"/>
    <w:rsid w:val="00417ACD"/>
    <w:rsid w:val="00417DDE"/>
    <w:rsid w:val="00417F9F"/>
    <w:rsid w:val="00420014"/>
    <w:rsid w:val="0042022F"/>
    <w:rsid w:val="00420612"/>
    <w:rsid w:val="0042085F"/>
    <w:rsid w:val="00420A85"/>
    <w:rsid w:val="00420B9C"/>
    <w:rsid w:val="00420FC4"/>
    <w:rsid w:val="00422017"/>
    <w:rsid w:val="0042217B"/>
    <w:rsid w:val="004226A9"/>
    <w:rsid w:val="0042289B"/>
    <w:rsid w:val="004233F5"/>
    <w:rsid w:val="004234C3"/>
    <w:rsid w:val="00423670"/>
    <w:rsid w:val="004236DA"/>
    <w:rsid w:val="00423A44"/>
    <w:rsid w:val="00425655"/>
    <w:rsid w:val="004257FF"/>
    <w:rsid w:val="0042604F"/>
    <w:rsid w:val="0042620E"/>
    <w:rsid w:val="004262C3"/>
    <w:rsid w:val="0042655D"/>
    <w:rsid w:val="00426659"/>
    <w:rsid w:val="004266E9"/>
    <w:rsid w:val="0042718B"/>
    <w:rsid w:val="00430105"/>
    <w:rsid w:val="004301B7"/>
    <w:rsid w:val="004307B8"/>
    <w:rsid w:val="004309D0"/>
    <w:rsid w:val="004318E6"/>
    <w:rsid w:val="0043190A"/>
    <w:rsid w:val="004319B7"/>
    <w:rsid w:val="00432089"/>
    <w:rsid w:val="00432229"/>
    <w:rsid w:val="00432406"/>
    <w:rsid w:val="00432E62"/>
    <w:rsid w:val="00433077"/>
    <w:rsid w:val="0043325E"/>
    <w:rsid w:val="00433BF7"/>
    <w:rsid w:val="00434D2B"/>
    <w:rsid w:val="00435CB4"/>
    <w:rsid w:val="0043691B"/>
    <w:rsid w:val="00436FF1"/>
    <w:rsid w:val="00437BF2"/>
    <w:rsid w:val="00437C8B"/>
    <w:rsid w:val="00437EE1"/>
    <w:rsid w:val="00440168"/>
    <w:rsid w:val="00440F01"/>
    <w:rsid w:val="00440FF0"/>
    <w:rsid w:val="004416FA"/>
    <w:rsid w:val="0044356E"/>
    <w:rsid w:val="00443ACD"/>
    <w:rsid w:val="00443B1B"/>
    <w:rsid w:val="00443C9F"/>
    <w:rsid w:val="00443F26"/>
    <w:rsid w:val="00444C52"/>
    <w:rsid w:val="00445730"/>
    <w:rsid w:val="0044611E"/>
    <w:rsid w:val="00446311"/>
    <w:rsid w:val="004464B3"/>
    <w:rsid w:val="0044720D"/>
    <w:rsid w:val="00447218"/>
    <w:rsid w:val="00447258"/>
    <w:rsid w:val="00447979"/>
    <w:rsid w:val="00447F84"/>
    <w:rsid w:val="0045022B"/>
    <w:rsid w:val="004502D3"/>
    <w:rsid w:val="00450B59"/>
    <w:rsid w:val="00451003"/>
    <w:rsid w:val="00451831"/>
    <w:rsid w:val="00451C1A"/>
    <w:rsid w:val="004523D8"/>
    <w:rsid w:val="004529DF"/>
    <w:rsid w:val="00452B62"/>
    <w:rsid w:val="0045377E"/>
    <w:rsid w:val="0045379B"/>
    <w:rsid w:val="00453A27"/>
    <w:rsid w:val="00453CE2"/>
    <w:rsid w:val="00454FA3"/>
    <w:rsid w:val="004550E7"/>
    <w:rsid w:val="00455159"/>
    <w:rsid w:val="004551C1"/>
    <w:rsid w:val="004557BE"/>
    <w:rsid w:val="0045581A"/>
    <w:rsid w:val="00455A65"/>
    <w:rsid w:val="004564FE"/>
    <w:rsid w:val="0045678F"/>
    <w:rsid w:val="00457A00"/>
    <w:rsid w:val="00457C75"/>
    <w:rsid w:val="00460778"/>
    <w:rsid w:val="004610E3"/>
    <w:rsid w:val="004617F4"/>
    <w:rsid w:val="00461A28"/>
    <w:rsid w:val="00461A50"/>
    <w:rsid w:val="00461FC7"/>
    <w:rsid w:val="004628C9"/>
    <w:rsid w:val="00462F28"/>
    <w:rsid w:val="00463D8F"/>
    <w:rsid w:val="00464DBA"/>
    <w:rsid w:val="00464FE4"/>
    <w:rsid w:val="00465DB8"/>
    <w:rsid w:val="00465F2C"/>
    <w:rsid w:val="004667F7"/>
    <w:rsid w:val="00466C70"/>
    <w:rsid w:val="00467A1B"/>
    <w:rsid w:val="00470161"/>
    <w:rsid w:val="004708C3"/>
    <w:rsid w:val="00470A5B"/>
    <w:rsid w:val="00470AF0"/>
    <w:rsid w:val="00470E95"/>
    <w:rsid w:val="0047132E"/>
    <w:rsid w:val="00472180"/>
    <w:rsid w:val="00472695"/>
    <w:rsid w:val="00474773"/>
    <w:rsid w:val="004756B0"/>
    <w:rsid w:val="00475E20"/>
    <w:rsid w:val="0047605D"/>
    <w:rsid w:val="004765B9"/>
    <w:rsid w:val="004769A4"/>
    <w:rsid w:val="00476A46"/>
    <w:rsid w:val="00477432"/>
    <w:rsid w:val="00477797"/>
    <w:rsid w:val="004801E2"/>
    <w:rsid w:val="004806C0"/>
    <w:rsid w:val="0048094E"/>
    <w:rsid w:val="0048095C"/>
    <w:rsid w:val="0048096E"/>
    <w:rsid w:val="00480E94"/>
    <w:rsid w:val="00480EA6"/>
    <w:rsid w:val="004810CF"/>
    <w:rsid w:val="004816B4"/>
    <w:rsid w:val="004817D1"/>
    <w:rsid w:val="00481A6E"/>
    <w:rsid w:val="00482094"/>
    <w:rsid w:val="004821AC"/>
    <w:rsid w:val="00482306"/>
    <w:rsid w:val="004825BF"/>
    <w:rsid w:val="0048269D"/>
    <w:rsid w:val="00482A90"/>
    <w:rsid w:val="00482E0C"/>
    <w:rsid w:val="00482F4A"/>
    <w:rsid w:val="00483B5B"/>
    <w:rsid w:val="00483C06"/>
    <w:rsid w:val="00483F19"/>
    <w:rsid w:val="00483F2F"/>
    <w:rsid w:val="00484173"/>
    <w:rsid w:val="004843DB"/>
    <w:rsid w:val="00484CEF"/>
    <w:rsid w:val="004853B2"/>
    <w:rsid w:val="00485922"/>
    <w:rsid w:val="00485A98"/>
    <w:rsid w:val="00485AD9"/>
    <w:rsid w:val="00485BCD"/>
    <w:rsid w:val="00486115"/>
    <w:rsid w:val="00486651"/>
    <w:rsid w:val="00486837"/>
    <w:rsid w:val="004876D4"/>
    <w:rsid w:val="00487A9D"/>
    <w:rsid w:val="00487D52"/>
    <w:rsid w:val="004917FA"/>
    <w:rsid w:val="0049186F"/>
    <w:rsid w:val="00491F64"/>
    <w:rsid w:val="00492631"/>
    <w:rsid w:val="00492760"/>
    <w:rsid w:val="00492CAE"/>
    <w:rsid w:val="00492F9A"/>
    <w:rsid w:val="004933A1"/>
    <w:rsid w:val="00493ACF"/>
    <w:rsid w:val="00493F21"/>
    <w:rsid w:val="00494382"/>
    <w:rsid w:val="00494621"/>
    <w:rsid w:val="004949B3"/>
    <w:rsid w:val="00494C88"/>
    <w:rsid w:val="00494DA9"/>
    <w:rsid w:val="00494DD5"/>
    <w:rsid w:val="00495225"/>
    <w:rsid w:val="00495269"/>
    <w:rsid w:val="004954BE"/>
    <w:rsid w:val="004955BE"/>
    <w:rsid w:val="00495958"/>
    <w:rsid w:val="00495B02"/>
    <w:rsid w:val="00495C21"/>
    <w:rsid w:val="00495C31"/>
    <w:rsid w:val="00496183"/>
    <w:rsid w:val="0049668B"/>
    <w:rsid w:val="0049682C"/>
    <w:rsid w:val="00497BA4"/>
    <w:rsid w:val="00497D99"/>
    <w:rsid w:val="004A00DA"/>
    <w:rsid w:val="004A1591"/>
    <w:rsid w:val="004A1AFC"/>
    <w:rsid w:val="004A2303"/>
    <w:rsid w:val="004A27CB"/>
    <w:rsid w:val="004A32C0"/>
    <w:rsid w:val="004A33C4"/>
    <w:rsid w:val="004A3A10"/>
    <w:rsid w:val="004A501C"/>
    <w:rsid w:val="004A51E6"/>
    <w:rsid w:val="004A62BD"/>
    <w:rsid w:val="004A64E8"/>
    <w:rsid w:val="004A6AF6"/>
    <w:rsid w:val="004A702C"/>
    <w:rsid w:val="004A761F"/>
    <w:rsid w:val="004A77FA"/>
    <w:rsid w:val="004B00F7"/>
    <w:rsid w:val="004B04E1"/>
    <w:rsid w:val="004B0A70"/>
    <w:rsid w:val="004B0AB1"/>
    <w:rsid w:val="004B0D9C"/>
    <w:rsid w:val="004B1021"/>
    <w:rsid w:val="004B11DB"/>
    <w:rsid w:val="004B12F2"/>
    <w:rsid w:val="004B17EB"/>
    <w:rsid w:val="004B1805"/>
    <w:rsid w:val="004B19E9"/>
    <w:rsid w:val="004B2994"/>
    <w:rsid w:val="004B2C99"/>
    <w:rsid w:val="004B3616"/>
    <w:rsid w:val="004B38F0"/>
    <w:rsid w:val="004B3E78"/>
    <w:rsid w:val="004B4719"/>
    <w:rsid w:val="004B4835"/>
    <w:rsid w:val="004B5470"/>
    <w:rsid w:val="004B5AB5"/>
    <w:rsid w:val="004B5C9A"/>
    <w:rsid w:val="004B65D5"/>
    <w:rsid w:val="004B6778"/>
    <w:rsid w:val="004B67E1"/>
    <w:rsid w:val="004B69EE"/>
    <w:rsid w:val="004B77B8"/>
    <w:rsid w:val="004B792D"/>
    <w:rsid w:val="004B79D3"/>
    <w:rsid w:val="004B7C11"/>
    <w:rsid w:val="004C0180"/>
    <w:rsid w:val="004C1231"/>
    <w:rsid w:val="004C1875"/>
    <w:rsid w:val="004C22AD"/>
    <w:rsid w:val="004C25A3"/>
    <w:rsid w:val="004C2C6C"/>
    <w:rsid w:val="004C329E"/>
    <w:rsid w:val="004C331B"/>
    <w:rsid w:val="004C3473"/>
    <w:rsid w:val="004C3FC7"/>
    <w:rsid w:val="004C5838"/>
    <w:rsid w:val="004C5849"/>
    <w:rsid w:val="004C598C"/>
    <w:rsid w:val="004C66C3"/>
    <w:rsid w:val="004C66DC"/>
    <w:rsid w:val="004C71C0"/>
    <w:rsid w:val="004C7C3B"/>
    <w:rsid w:val="004C7FE0"/>
    <w:rsid w:val="004D003F"/>
    <w:rsid w:val="004D073B"/>
    <w:rsid w:val="004D074A"/>
    <w:rsid w:val="004D0D98"/>
    <w:rsid w:val="004D15C5"/>
    <w:rsid w:val="004D1BF2"/>
    <w:rsid w:val="004D25EE"/>
    <w:rsid w:val="004D275E"/>
    <w:rsid w:val="004D2ACC"/>
    <w:rsid w:val="004D307E"/>
    <w:rsid w:val="004D30E0"/>
    <w:rsid w:val="004D37EB"/>
    <w:rsid w:val="004D3CD2"/>
    <w:rsid w:val="004D3E62"/>
    <w:rsid w:val="004D3FA7"/>
    <w:rsid w:val="004D4703"/>
    <w:rsid w:val="004D556C"/>
    <w:rsid w:val="004D567F"/>
    <w:rsid w:val="004D5C8D"/>
    <w:rsid w:val="004D618A"/>
    <w:rsid w:val="004D64E2"/>
    <w:rsid w:val="004D691B"/>
    <w:rsid w:val="004D6C1E"/>
    <w:rsid w:val="004D6EBA"/>
    <w:rsid w:val="004D6FE6"/>
    <w:rsid w:val="004D7A5F"/>
    <w:rsid w:val="004D7B98"/>
    <w:rsid w:val="004D7D29"/>
    <w:rsid w:val="004E053C"/>
    <w:rsid w:val="004E15AD"/>
    <w:rsid w:val="004E1A49"/>
    <w:rsid w:val="004E1C73"/>
    <w:rsid w:val="004E215F"/>
    <w:rsid w:val="004E3C68"/>
    <w:rsid w:val="004E433F"/>
    <w:rsid w:val="004E4EC6"/>
    <w:rsid w:val="004E51A2"/>
    <w:rsid w:val="004E5782"/>
    <w:rsid w:val="004E5AC8"/>
    <w:rsid w:val="004E5B92"/>
    <w:rsid w:val="004E5C81"/>
    <w:rsid w:val="004E61F9"/>
    <w:rsid w:val="004E6591"/>
    <w:rsid w:val="004E6826"/>
    <w:rsid w:val="004E6DF4"/>
    <w:rsid w:val="004E716E"/>
    <w:rsid w:val="004E76E1"/>
    <w:rsid w:val="004E7C9B"/>
    <w:rsid w:val="004E7F0F"/>
    <w:rsid w:val="004F07E9"/>
    <w:rsid w:val="004F1063"/>
    <w:rsid w:val="004F10BB"/>
    <w:rsid w:val="004F12A3"/>
    <w:rsid w:val="004F1748"/>
    <w:rsid w:val="004F1858"/>
    <w:rsid w:val="004F1DBE"/>
    <w:rsid w:val="004F2100"/>
    <w:rsid w:val="004F2418"/>
    <w:rsid w:val="004F2922"/>
    <w:rsid w:val="004F2AC9"/>
    <w:rsid w:val="004F2D5F"/>
    <w:rsid w:val="004F3150"/>
    <w:rsid w:val="004F3F41"/>
    <w:rsid w:val="004F4569"/>
    <w:rsid w:val="004F4A2E"/>
    <w:rsid w:val="004F4EED"/>
    <w:rsid w:val="004F5219"/>
    <w:rsid w:val="004F5295"/>
    <w:rsid w:val="004F5497"/>
    <w:rsid w:val="004F5E83"/>
    <w:rsid w:val="004F66DE"/>
    <w:rsid w:val="004F6768"/>
    <w:rsid w:val="004F6F4C"/>
    <w:rsid w:val="004F710F"/>
    <w:rsid w:val="004F7C16"/>
    <w:rsid w:val="004F7E39"/>
    <w:rsid w:val="005002CF"/>
    <w:rsid w:val="00500AAB"/>
    <w:rsid w:val="0050169E"/>
    <w:rsid w:val="0050171C"/>
    <w:rsid w:val="005019F5"/>
    <w:rsid w:val="00501E7C"/>
    <w:rsid w:val="00501E83"/>
    <w:rsid w:val="00502051"/>
    <w:rsid w:val="00502178"/>
    <w:rsid w:val="00502202"/>
    <w:rsid w:val="00502709"/>
    <w:rsid w:val="00502711"/>
    <w:rsid w:val="00502EF5"/>
    <w:rsid w:val="00503D1F"/>
    <w:rsid w:val="00503DC0"/>
    <w:rsid w:val="0050408E"/>
    <w:rsid w:val="00504C9E"/>
    <w:rsid w:val="00504EF9"/>
    <w:rsid w:val="00505016"/>
    <w:rsid w:val="0050532F"/>
    <w:rsid w:val="00505FF7"/>
    <w:rsid w:val="005062F7"/>
    <w:rsid w:val="0050642D"/>
    <w:rsid w:val="00506461"/>
    <w:rsid w:val="005064C7"/>
    <w:rsid w:val="00506811"/>
    <w:rsid w:val="0050769E"/>
    <w:rsid w:val="00507EF2"/>
    <w:rsid w:val="005101D5"/>
    <w:rsid w:val="00510365"/>
    <w:rsid w:val="00510AE8"/>
    <w:rsid w:val="00510D10"/>
    <w:rsid w:val="0051125E"/>
    <w:rsid w:val="00511A06"/>
    <w:rsid w:val="00511E79"/>
    <w:rsid w:val="00512956"/>
    <w:rsid w:val="005131BA"/>
    <w:rsid w:val="00513CDE"/>
    <w:rsid w:val="00513FCA"/>
    <w:rsid w:val="00514910"/>
    <w:rsid w:val="00515151"/>
    <w:rsid w:val="00515FEF"/>
    <w:rsid w:val="005161A9"/>
    <w:rsid w:val="005163DC"/>
    <w:rsid w:val="00516A58"/>
    <w:rsid w:val="00516CE2"/>
    <w:rsid w:val="00517159"/>
    <w:rsid w:val="00520F77"/>
    <w:rsid w:val="005210A3"/>
    <w:rsid w:val="00521175"/>
    <w:rsid w:val="005218DF"/>
    <w:rsid w:val="0052246A"/>
    <w:rsid w:val="00522A89"/>
    <w:rsid w:val="005234CA"/>
    <w:rsid w:val="0052399A"/>
    <w:rsid w:val="00523D46"/>
    <w:rsid w:val="0052445D"/>
    <w:rsid w:val="00524523"/>
    <w:rsid w:val="005249D5"/>
    <w:rsid w:val="00524EFC"/>
    <w:rsid w:val="0052535A"/>
    <w:rsid w:val="00525565"/>
    <w:rsid w:val="00525FBB"/>
    <w:rsid w:val="00526A45"/>
    <w:rsid w:val="00526A62"/>
    <w:rsid w:val="0052736A"/>
    <w:rsid w:val="005274FA"/>
    <w:rsid w:val="00527517"/>
    <w:rsid w:val="00527564"/>
    <w:rsid w:val="005276E7"/>
    <w:rsid w:val="0052774B"/>
    <w:rsid w:val="005279CD"/>
    <w:rsid w:val="00527F61"/>
    <w:rsid w:val="00531085"/>
    <w:rsid w:val="0053150C"/>
    <w:rsid w:val="005316A0"/>
    <w:rsid w:val="00532173"/>
    <w:rsid w:val="0053237C"/>
    <w:rsid w:val="005326C6"/>
    <w:rsid w:val="005329D4"/>
    <w:rsid w:val="00534720"/>
    <w:rsid w:val="00534F42"/>
    <w:rsid w:val="00535011"/>
    <w:rsid w:val="00535049"/>
    <w:rsid w:val="00535294"/>
    <w:rsid w:val="00535A99"/>
    <w:rsid w:val="00535BAE"/>
    <w:rsid w:val="00535D59"/>
    <w:rsid w:val="00536A05"/>
    <w:rsid w:val="00536FD4"/>
    <w:rsid w:val="00536FE1"/>
    <w:rsid w:val="005370E9"/>
    <w:rsid w:val="00537D01"/>
    <w:rsid w:val="00540246"/>
    <w:rsid w:val="00540543"/>
    <w:rsid w:val="00540F7E"/>
    <w:rsid w:val="005411B7"/>
    <w:rsid w:val="00541468"/>
    <w:rsid w:val="00541768"/>
    <w:rsid w:val="005418F9"/>
    <w:rsid w:val="00542743"/>
    <w:rsid w:val="00542BBC"/>
    <w:rsid w:val="005433CC"/>
    <w:rsid w:val="0054399B"/>
    <w:rsid w:val="00543AAC"/>
    <w:rsid w:val="00543F80"/>
    <w:rsid w:val="005440A3"/>
    <w:rsid w:val="00544233"/>
    <w:rsid w:val="00545893"/>
    <w:rsid w:val="00545E31"/>
    <w:rsid w:val="00545FAA"/>
    <w:rsid w:val="00547729"/>
    <w:rsid w:val="0054777F"/>
    <w:rsid w:val="005502ED"/>
    <w:rsid w:val="00550472"/>
    <w:rsid w:val="00550765"/>
    <w:rsid w:val="00550E8D"/>
    <w:rsid w:val="00552410"/>
    <w:rsid w:val="005527F5"/>
    <w:rsid w:val="00554772"/>
    <w:rsid w:val="0055478E"/>
    <w:rsid w:val="005552B3"/>
    <w:rsid w:val="00555932"/>
    <w:rsid w:val="00555A33"/>
    <w:rsid w:val="00556DAC"/>
    <w:rsid w:val="00556DCD"/>
    <w:rsid w:val="00556DD8"/>
    <w:rsid w:val="00556F2A"/>
    <w:rsid w:val="00557116"/>
    <w:rsid w:val="0055732F"/>
    <w:rsid w:val="00557583"/>
    <w:rsid w:val="005605F8"/>
    <w:rsid w:val="00560B06"/>
    <w:rsid w:val="00560F7B"/>
    <w:rsid w:val="00560FA6"/>
    <w:rsid w:val="00561847"/>
    <w:rsid w:val="0056187B"/>
    <w:rsid w:val="00562881"/>
    <w:rsid w:val="005629C9"/>
    <w:rsid w:val="00563245"/>
    <w:rsid w:val="005638DC"/>
    <w:rsid w:val="00563EF6"/>
    <w:rsid w:val="00564D4C"/>
    <w:rsid w:val="005652A4"/>
    <w:rsid w:val="005656EE"/>
    <w:rsid w:val="00566071"/>
    <w:rsid w:val="005664BB"/>
    <w:rsid w:val="005665EF"/>
    <w:rsid w:val="00566794"/>
    <w:rsid w:val="005673CA"/>
    <w:rsid w:val="005677D8"/>
    <w:rsid w:val="00570C01"/>
    <w:rsid w:val="00571259"/>
    <w:rsid w:val="005714D3"/>
    <w:rsid w:val="005714DB"/>
    <w:rsid w:val="00571C66"/>
    <w:rsid w:val="00571CCA"/>
    <w:rsid w:val="005720FB"/>
    <w:rsid w:val="00573236"/>
    <w:rsid w:val="005732E5"/>
    <w:rsid w:val="005737F9"/>
    <w:rsid w:val="0057397D"/>
    <w:rsid w:val="00573A01"/>
    <w:rsid w:val="00574597"/>
    <w:rsid w:val="00574FC0"/>
    <w:rsid w:val="00576764"/>
    <w:rsid w:val="00576E46"/>
    <w:rsid w:val="00577130"/>
    <w:rsid w:val="0057723E"/>
    <w:rsid w:val="0057757E"/>
    <w:rsid w:val="00577808"/>
    <w:rsid w:val="00577CA7"/>
    <w:rsid w:val="00577CDD"/>
    <w:rsid w:val="005805BA"/>
    <w:rsid w:val="005812B3"/>
    <w:rsid w:val="00581546"/>
    <w:rsid w:val="005819E2"/>
    <w:rsid w:val="00581CF8"/>
    <w:rsid w:val="005825B3"/>
    <w:rsid w:val="005825F9"/>
    <w:rsid w:val="005831FB"/>
    <w:rsid w:val="00583396"/>
    <w:rsid w:val="00583738"/>
    <w:rsid w:val="005837CD"/>
    <w:rsid w:val="00583951"/>
    <w:rsid w:val="00583E55"/>
    <w:rsid w:val="00584BEA"/>
    <w:rsid w:val="00584DF8"/>
    <w:rsid w:val="005858ED"/>
    <w:rsid w:val="00586024"/>
    <w:rsid w:val="00586670"/>
    <w:rsid w:val="005869AD"/>
    <w:rsid w:val="00586D32"/>
    <w:rsid w:val="00586F22"/>
    <w:rsid w:val="005870B4"/>
    <w:rsid w:val="00587BD0"/>
    <w:rsid w:val="00587ED4"/>
    <w:rsid w:val="005901EE"/>
    <w:rsid w:val="00590C75"/>
    <w:rsid w:val="00590D5B"/>
    <w:rsid w:val="00591E60"/>
    <w:rsid w:val="0059264B"/>
    <w:rsid w:val="00593470"/>
    <w:rsid w:val="005941EC"/>
    <w:rsid w:val="00594461"/>
    <w:rsid w:val="0059450E"/>
    <w:rsid w:val="00594D9B"/>
    <w:rsid w:val="00595064"/>
    <w:rsid w:val="005956DC"/>
    <w:rsid w:val="00595AE9"/>
    <w:rsid w:val="00596206"/>
    <w:rsid w:val="0059623A"/>
    <w:rsid w:val="00596773"/>
    <w:rsid w:val="00596823"/>
    <w:rsid w:val="005968F8"/>
    <w:rsid w:val="0059695E"/>
    <w:rsid w:val="00596E72"/>
    <w:rsid w:val="005972E4"/>
    <w:rsid w:val="005978DC"/>
    <w:rsid w:val="00597ED1"/>
    <w:rsid w:val="00597F09"/>
    <w:rsid w:val="005A018A"/>
    <w:rsid w:val="005A07EC"/>
    <w:rsid w:val="005A13E3"/>
    <w:rsid w:val="005A15EA"/>
    <w:rsid w:val="005A174A"/>
    <w:rsid w:val="005A36B0"/>
    <w:rsid w:val="005A3EE7"/>
    <w:rsid w:val="005A4031"/>
    <w:rsid w:val="005A44A5"/>
    <w:rsid w:val="005A4BB0"/>
    <w:rsid w:val="005A4EE2"/>
    <w:rsid w:val="005A4F2D"/>
    <w:rsid w:val="005A5BD8"/>
    <w:rsid w:val="005A60F8"/>
    <w:rsid w:val="005A67BA"/>
    <w:rsid w:val="005A6E51"/>
    <w:rsid w:val="005A6F1C"/>
    <w:rsid w:val="005A709B"/>
    <w:rsid w:val="005A7682"/>
    <w:rsid w:val="005A774F"/>
    <w:rsid w:val="005A7996"/>
    <w:rsid w:val="005A7DCE"/>
    <w:rsid w:val="005B09A8"/>
    <w:rsid w:val="005B198F"/>
    <w:rsid w:val="005B1C98"/>
    <w:rsid w:val="005B1D13"/>
    <w:rsid w:val="005B20E4"/>
    <w:rsid w:val="005B21ED"/>
    <w:rsid w:val="005B2293"/>
    <w:rsid w:val="005B23A3"/>
    <w:rsid w:val="005B30A3"/>
    <w:rsid w:val="005B352A"/>
    <w:rsid w:val="005B4865"/>
    <w:rsid w:val="005B49F0"/>
    <w:rsid w:val="005B4C34"/>
    <w:rsid w:val="005B4D39"/>
    <w:rsid w:val="005B4DA7"/>
    <w:rsid w:val="005B54A3"/>
    <w:rsid w:val="005B56B4"/>
    <w:rsid w:val="005B58BF"/>
    <w:rsid w:val="005B5FBC"/>
    <w:rsid w:val="005B6928"/>
    <w:rsid w:val="005B73EA"/>
    <w:rsid w:val="005B7E71"/>
    <w:rsid w:val="005C01A9"/>
    <w:rsid w:val="005C03A8"/>
    <w:rsid w:val="005C0660"/>
    <w:rsid w:val="005C0EB5"/>
    <w:rsid w:val="005C1B00"/>
    <w:rsid w:val="005C1C84"/>
    <w:rsid w:val="005C293C"/>
    <w:rsid w:val="005C332C"/>
    <w:rsid w:val="005C347B"/>
    <w:rsid w:val="005C3D13"/>
    <w:rsid w:val="005C40D8"/>
    <w:rsid w:val="005C48A0"/>
    <w:rsid w:val="005C4A8A"/>
    <w:rsid w:val="005C4C19"/>
    <w:rsid w:val="005C4F35"/>
    <w:rsid w:val="005C596D"/>
    <w:rsid w:val="005C65C9"/>
    <w:rsid w:val="005C6D55"/>
    <w:rsid w:val="005C6E78"/>
    <w:rsid w:val="005C6FD6"/>
    <w:rsid w:val="005D0190"/>
    <w:rsid w:val="005D0C84"/>
    <w:rsid w:val="005D1235"/>
    <w:rsid w:val="005D1737"/>
    <w:rsid w:val="005D1856"/>
    <w:rsid w:val="005D19DD"/>
    <w:rsid w:val="005D1E70"/>
    <w:rsid w:val="005D252A"/>
    <w:rsid w:val="005D2578"/>
    <w:rsid w:val="005D27A7"/>
    <w:rsid w:val="005D2C51"/>
    <w:rsid w:val="005D379A"/>
    <w:rsid w:val="005D3887"/>
    <w:rsid w:val="005D42CE"/>
    <w:rsid w:val="005D44B7"/>
    <w:rsid w:val="005D4978"/>
    <w:rsid w:val="005D4D94"/>
    <w:rsid w:val="005D5E73"/>
    <w:rsid w:val="005D5E7E"/>
    <w:rsid w:val="005D5F39"/>
    <w:rsid w:val="005D666F"/>
    <w:rsid w:val="005D68A8"/>
    <w:rsid w:val="005D781D"/>
    <w:rsid w:val="005D7E28"/>
    <w:rsid w:val="005E10D4"/>
    <w:rsid w:val="005E1802"/>
    <w:rsid w:val="005E1BBC"/>
    <w:rsid w:val="005E2057"/>
    <w:rsid w:val="005E214E"/>
    <w:rsid w:val="005E21C6"/>
    <w:rsid w:val="005E22D0"/>
    <w:rsid w:val="005E3165"/>
    <w:rsid w:val="005E3168"/>
    <w:rsid w:val="005E5B89"/>
    <w:rsid w:val="005E6003"/>
    <w:rsid w:val="005E6433"/>
    <w:rsid w:val="005E728C"/>
    <w:rsid w:val="005E73F8"/>
    <w:rsid w:val="005E7E9D"/>
    <w:rsid w:val="005F0183"/>
    <w:rsid w:val="005F0BA9"/>
    <w:rsid w:val="005F1116"/>
    <w:rsid w:val="005F173D"/>
    <w:rsid w:val="005F1A8D"/>
    <w:rsid w:val="005F1CEF"/>
    <w:rsid w:val="005F1E4E"/>
    <w:rsid w:val="005F290F"/>
    <w:rsid w:val="005F2C91"/>
    <w:rsid w:val="005F2D8A"/>
    <w:rsid w:val="005F43D4"/>
    <w:rsid w:val="005F4994"/>
    <w:rsid w:val="005F555C"/>
    <w:rsid w:val="005F5BB5"/>
    <w:rsid w:val="005F5BFC"/>
    <w:rsid w:val="005F6322"/>
    <w:rsid w:val="005F6512"/>
    <w:rsid w:val="005F6817"/>
    <w:rsid w:val="005F72FF"/>
    <w:rsid w:val="005F7EB9"/>
    <w:rsid w:val="006006E4"/>
    <w:rsid w:val="00600CEC"/>
    <w:rsid w:val="00601009"/>
    <w:rsid w:val="006016A8"/>
    <w:rsid w:val="00601A55"/>
    <w:rsid w:val="00601B95"/>
    <w:rsid w:val="00601BA5"/>
    <w:rsid w:val="0060244A"/>
    <w:rsid w:val="0060284D"/>
    <w:rsid w:val="0060288F"/>
    <w:rsid w:val="006030FD"/>
    <w:rsid w:val="00603550"/>
    <w:rsid w:val="00603551"/>
    <w:rsid w:val="00603C62"/>
    <w:rsid w:val="00603FE8"/>
    <w:rsid w:val="00604566"/>
    <w:rsid w:val="00604A82"/>
    <w:rsid w:val="00604FEB"/>
    <w:rsid w:val="00605CA8"/>
    <w:rsid w:val="006060B1"/>
    <w:rsid w:val="00606F80"/>
    <w:rsid w:val="00607543"/>
    <w:rsid w:val="00607962"/>
    <w:rsid w:val="00607C35"/>
    <w:rsid w:val="00607DB3"/>
    <w:rsid w:val="00607F06"/>
    <w:rsid w:val="00610565"/>
    <w:rsid w:val="006106DF"/>
    <w:rsid w:val="006108B2"/>
    <w:rsid w:val="0061097E"/>
    <w:rsid w:val="006117F5"/>
    <w:rsid w:val="00611BDA"/>
    <w:rsid w:val="00611C9D"/>
    <w:rsid w:val="006121D7"/>
    <w:rsid w:val="00612329"/>
    <w:rsid w:val="00612453"/>
    <w:rsid w:val="006126FE"/>
    <w:rsid w:val="00612DD9"/>
    <w:rsid w:val="00613429"/>
    <w:rsid w:val="0061401C"/>
    <w:rsid w:val="006142F9"/>
    <w:rsid w:val="00614AEB"/>
    <w:rsid w:val="006153A1"/>
    <w:rsid w:val="00615528"/>
    <w:rsid w:val="0061586F"/>
    <w:rsid w:val="00616605"/>
    <w:rsid w:val="006167EE"/>
    <w:rsid w:val="00616B20"/>
    <w:rsid w:val="0061769E"/>
    <w:rsid w:val="00617889"/>
    <w:rsid w:val="006202EB"/>
    <w:rsid w:val="00620420"/>
    <w:rsid w:val="00620449"/>
    <w:rsid w:val="006209A8"/>
    <w:rsid w:val="00621258"/>
    <w:rsid w:val="00621BD7"/>
    <w:rsid w:val="00622432"/>
    <w:rsid w:val="00622474"/>
    <w:rsid w:val="00622828"/>
    <w:rsid w:val="006229FD"/>
    <w:rsid w:val="00623B7D"/>
    <w:rsid w:val="00623C56"/>
    <w:rsid w:val="00624DD8"/>
    <w:rsid w:val="00625BAA"/>
    <w:rsid w:val="00625CD5"/>
    <w:rsid w:val="00625D55"/>
    <w:rsid w:val="00626E4E"/>
    <w:rsid w:val="006272CB"/>
    <w:rsid w:val="006272DB"/>
    <w:rsid w:val="0063027A"/>
    <w:rsid w:val="00630E77"/>
    <w:rsid w:val="00631484"/>
    <w:rsid w:val="00631621"/>
    <w:rsid w:val="006316FC"/>
    <w:rsid w:val="00631ADB"/>
    <w:rsid w:val="00632408"/>
    <w:rsid w:val="0063265B"/>
    <w:rsid w:val="006329AE"/>
    <w:rsid w:val="0063319C"/>
    <w:rsid w:val="00633B3B"/>
    <w:rsid w:val="00633DE0"/>
    <w:rsid w:val="00634103"/>
    <w:rsid w:val="00635256"/>
    <w:rsid w:val="006356C0"/>
    <w:rsid w:val="00635C95"/>
    <w:rsid w:val="00635F06"/>
    <w:rsid w:val="00636087"/>
    <w:rsid w:val="006360C5"/>
    <w:rsid w:val="00636E2C"/>
    <w:rsid w:val="006376E3"/>
    <w:rsid w:val="00637BBC"/>
    <w:rsid w:val="006406BA"/>
    <w:rsid w:val="00640749"/>
    <w:rsid w:val="00640A38"/>
    <w:rsid w:val="00640B19"/>
    <w:rsid w:val="00641106"/>
    <w:rsid w:val="0064110B"/>
    <w:rsid w:val="006419FB"/>
    <w:rsid w:val="00642639"/>
    <w:rsid w:val="00642CE1"/>
    <w:rsid w:val="00642FBA"/>
    <w:rsid w:val="006430F1"/>
    <w:rsid w:val="00643AB1"/>
    <w:rsid w:val="00643CE8"/>
    <w:rsid w:val="006447B2"/>
    <w:rsid w:val="00644D07"/>
    <w:rsid w:val="006450F8"/>
    <w:rsid w:val="00645BBC"/>
    <w:rsid w:val="0064680C"/>
    <w:rsid w:val="00647FE7"/>
    <w:rsid w:val="0065049B"/>
    <w:rsid w:val="00650E02"/>
    <w:rsid w:val="006510A2"/>
    <w:rsid w:val="0065114C"/>
    <w:rsid w:val="0065171E"/>
    <w:rsid w:val="00651938"/>
    <w:rsid w:val="00652182"/>
    <w:rsid w:val="00652B45"/>
    <w:rsid w:val="0065327A"/>
    <w:rsid w:val="006532A7"/>
    <w:rsid w:val="00653D60"/>
    <w:rsid w:val="00654438"/>
    <w:rsid w:val="00654D54"/>
    <w:rsid w:val="00654D9C"/>
    <w:rsid w:val="00654E49"/>
    <w:rsid w:val="006550A2"/>
    <w:rsid w:val="00655128"/>
    <w:rsid w:val="00656379"/>
    <w:rsid w:val="0065640D"/>
    <w:rsid w:val="006567EF"/>
    <w:rsid w:val="00656BA7"/>
    <w:rsid w:val="0065700F"/>
    <w:rsid w:val="00657190"/>
    <w:rsid w:val="00657300"/>
    <w:rsid w:val="006575E3"/>
    <w:rsid w:val="006577FE"/>
    <w:rsid w:val="00657C88"/>
    <w:rsid w:val="006605D3"/>
    <w:rsid w:val="00660972"/>
    <w:rsid w:val="00660D04"/>
    <w:rsid w:val="00660FE6"/>
    <w:rsid w:val="006616F1"/>
    <w:rsid w:val="00661A87"/>
    <w:rsid w:val="00661AF6"/>
    <w:rsid w:val="00661D99"/>
    <w:rsid w:val="00662337"/>
    <w:rsid w:val="0066288A"/>
    <w:rsid w:val="006629BD"/>
    <w:rsid w:val="00662BF6"/>
    <w:rsid w:val="00662D7E"/>
    <w:rsid w:val="006631C6"/>
    <w:rsid w:val="00663FD8"/>
    <w:rsid w:val="00664D72"/>
    <w:rsid w:val="006656B4"/>
    <w:rsid w:val="00665D16"/>
    <w:rsid w:val="006663EA"/>
    <w:rsid w:val="0066696D"/>
    <w:rsid w:val="00666BD2"/>
    <w:rsid w:val="00666F4E"/>
    <w:rsid w:val="0066713D"/>
    <w:rsid w:val="00667D10"/>
    <w:rsid w:val="0067081E"/>
    <w:rsid w:val="00670998"/>
    <w:rsid w:val="00670C97"/>
    <w:rsid w:val="00670D75"/>
    <w:rsid w:val="00670D97"/>
    <w:rsid w:val="00672750"/>
    <w:rsid w:val="00672829"/>
    <w:rsid w:val="00672BBA"/>
    <w:rsid w:val="00672D31"/>
    <w:rsid w:val="0067411E"/>
    <w:rsid w:val="00674298"/>
    <w:rsid w:val="00674462"/>
    <w:rsid w:val="00674477"/>
    <w:rsid w:val="006763B5"/>
    <w:rsid w:val="006769A0"/>
    <w:rsid w:val="00676A87"/>
    <w:rsid w:val="00676BC6"/>
    <w:rsid w:val="00676CC5"/>
    <w:rsid w:val="00677046"/>
    <w:rsid w:val="0068059E"/>
    <w:rsid w:val="00680742"/>
    <w:rsid w:val="00680DF8"/>
    <w:rsid w:val="00680E91"/>
    <w:rsid w:val="0068189B"/>
    <w:rsid w:val="006821C9"/>
    <w:rsid w:val="00683044"/>
    <w:rsid w:val="0068367A"/>
    <w:rsid w:val="00683C5F"/>
    <w:rsid w:val="00684946"/>
    <w:rsid w:val="00684E96"/>
    <w:rsid w:val="006852AE"/>
    <w:rsid w:val="00686F94"/>
    <w:rsid w:val="00687092"/>
    <w:rsid w:val="00687CF4"/>
    <w:rsid w:val="00687F20"/>
    <w:rsid w:val="00690551"/>
    <w:rsid w:val="006906C9"/>
    <w:rsid w:val="00690D59"/>
    <w:rsid w:val="006910DC"/>
    <w:rsid w:val="0069120C"/>
    <w:rsid w:val="006915E3"/>
    <w:rsid w:val="006918AC"/>
    <w:rsid w:val="00691EB7"/>
    <w:rsid w:val="00691EFB"/>
    <w:rsid w:val="006922C2"/>
    <w:rsid w:val="006927A0"/>
    <w:rsid w:val="00692A51"/>
    <w:rsid w:val="00692ACD"/>
    <w:rsid w:val="006933F8"/>
    <w:rsid w:val="006936DC"/>
    <w:rsid w:val="00694374"/>
    <w:rsid w:val="006944CC"/>
    <w:rsid w:val="00694A48"/>
    <w:rsid w:val="00694C4F"/>
    <w:rsid w:val="00695301"/>
    <w:rsid w:val="0069592D"/>
    <w:rsid w:val="00695B32"/>
    <w:rsid w:val="00695ED7"/>
    <w:rsid w:val="006968DD"/>
    <w:rsid w:val="00696B3C"/>
    <w:rsid w:val="006976D4"/>
    <w:rsid w:val="00697BF7"/>
    <w:rsid w:val="006A00CC"/>
    <w:rsid w:val="006A0237"/>
    <w:rsid w:val="006A02E5"/>
    <w:rsid w:val="006A0315"/>
    <w:rsid w:val="006A06DA"/>
    <w:rsid w:val="006A078F"/>
    <w:rsid w:val="006A0798"/>
    <w:rsid w:val="006A080D"/>
    <w:rsid w:val="006A0F99"/>
    <w:rsid w:val="006A1297"/>
    <w:rsid w:val="006A129C"/>
    <w:rsid w:val="006A17BF"/>
    <w:rsid w:val="006A1A2B"/>
    <w:rsid w:val="006A1E41"/>
    <w:rsid w:val="006A2138"/>
    <w:rsid w:val="006A2405"/>
    <w:rsid w:val="006A290B"/>
    <w:rsid w:val="006A32E5"/>
    <w:rsid w:val="006A419D"/>
    <w:rsid w:val="006A4D7F"/>
    <w:rsid w:val="006A4F7E"/>
    <w:rsid w:val="006A501B"/>
    <w:rsid w:val="006A50FC"/>
    <w:rsid w:val="006A53A1"/>
    <w:rsid w:val="006A545C"/>
    <w:rsid w:val="006A56C9"/>
    <w:rsid w:val="006A584E"/>
    <w:rsid w:val="006A58B6"/>
    <w:rsid w:val="006A6930"/>
    <w:rsid w:val="006A6E6C"/>
    <w:rsid w:val="006A6FE2"/>
    <w:rsid w:val="006A7266"/>
    <w:rsid w:val="006A735F"/>
    <w:rsid w:val="006A7593"/>
    <w:rsid w:val="006A7AA0"/>
    <w:rsid w:val="006B10FA"/>
    <w:rsid w:val="006B114D"/>
    <w:rsid w:val="006B168B"/>
    <w:rsid w:val="006B16B9"/>
    <w:rsid w:val="006B19F8"/>
    <w:rsid w:val="006B1A5B"/>
    <w:rsid w:val="006B1C1D"/>
    <w:rsid w:val="006B2711"/>
    <w:rsid w:val="006B2943"/>
    <w:rsid w:val="006B3A1D"/>
    <w:rsid w:val="006B3A7B"/>
    <w:rsid w:val="006B3ABD"/>
    <w:rsid w:val="006B3E35"/>
    <w:rsid w:val="006B4267"/>
    <w:rsid w:val="006B457A"/>
    <w:rsid w:val="006B48E9"/>
    <w:rsid w:val="006B5628"/>
    <w:rsid w:val="006B59F0"/>
    <w:rsid w:val="006B5A28"/>
    <w:rsid w:val="006B5FE9"/>
    <w:rsid w:val="006B631D"/>
    <w:rsid w:val="006B63CC"/>
    <w:rsid w:val="006B6D30"/>
    <w:rsid w:val="006B6E55"/>
    <w:rsid w:val="006B728B"/>
    <w:rsid w:val="006B7A3F"/>
    <w:rsid w:val="006B7DA5"/>
    <w:rsid w:val="006B7FCE"/>
    <w:rsid w:val="006C0F26"/>
    <w:rsid w:val="006C1050"/>
    <w:rsid w:val="006C19A5"/>
    <w:rsid w:val="006C223A"/>
    <w:rsid w:val="006C2288"/>
    <w:rsid w:val="006C2469"/>
    <w:rsid w:val="006C2A04"/>
    <w:rsid w:val="006C2A0A"/>
    <w:rsid w:val="006C2EA0"/>
    <w:rsid w:val="006C3190"/>
    <w:rsid w:val="006C330E"/>
    <w:rsid w:val="006C33B3"/>
    <w:rsid w:val="006C3436"/>
    <w:rsid w:val="006C3D7E"/>
    <w:rsid w:val="006C3EF8"/>
    <w:rsid w:val="006C41E6"/>
    <w:rsid w:val="006C47FB"/>
    <w:rsid w:val="006C582F"/>
    <w:rsid w:val="006C5BA3"/>
    <w:rsid w:val="006C5D3B"/>
    <w:rsid w:val="006C6E53"/>
    <w:rsid w:val="006C7213"/>
    <w:rsid w:val="006C73E1"/>
    <w:rsid w:val="006C7AD4"/>
    <w:rsid w:val="006C7C20"/>
    <w:rsid w:val="006C7D9D"/>
    <w:rsid w:val="006D06AF"/>
    <w:rsid w:val="006D0B2A"/>
    <w:rsid w:val="006D1021"/>
    <w:rsid w:val="006D10BF"/>
    <w:rsid w:val="006D10D1"/>
    <w:rsid w:val="006D18A0"/>
    <w:rsid w:val="006D1B91"/>
    <w:rsid w:val="006D2268"/>
    <w:rsid w:val="006D2584"/>
    <w:rsid w:val="006D2A15"/>
    <w:rsid w:val="006D3143"/>
    <w:rsid w:val="006D3189"/>
    <w:rsid w:val="006D31A8"/>
    <w:rsid w:val="006D330B"/>
    <w:rsid w:val="006D449C"/>
    <w:rsid w:val="006D5184"/>
    <w:rsid w:val="006D57FD"/>
    <w:rsid w:val="006D585D"/>
    <w:rsid w:val="006D5A1C"/>
    <w:rsid w:val="006D5CAE"/>
    <w:rsid w:val="006D5D46"/>
    <w:rsid w:val="006D62BC"/>
    <w:rsid w:val="006D6DE3"/>
    <w:rsid w:val="006D6F36"/>
    <w:rsid w:val="006D70EE"/>
    <w:rsid w:val="006D77F8"/>
    <w:rsid w:val="006D7D5E"/>
    <w:rsid w:val="006E030E"/>
    <w:rsid w:val="006E0A44"/>
    <w:rsid w:val="006E0BA4"/>
    <w:rsid w:val="006E1426"/>
    <w:rsid w:val="006E143C"/>
    <w:rsid w:val="006E197C"/>
    <w:rsid w:val="006E1A3A"/>
    <w:rsid w:val="006E1A61"/>
    <w:rsid w:val="006E1FF2"/>
    <w:rsid w:val="006E235A"/>
    <w:rsid w:val="006E2A3D"/>
    <w:rsid w:val="006E2F07"/>
    <w:rsid w:val="006E3003"/>
    <w:rsid w:val="006E32F3"/>
    <w:rsid w:val="006E38C2"/>
    <w:rsid w:val="006E3C4D"/>
    <w:rsid w:val="006E3FE4"/>
    <w:rsid w:val="006E4BD9"/>
    <w:rsid w:val="006E4C53"/>
    <w:rsid w:val="006E5221"/>
    <w:rsid w:val="006E53B3"/>
    <w:rsid w:val="006E6E86"/>
    <w:rsid w:val="006E7230"/>
    <w:rsid w:val="006E73B6"/>
    <w:rsid w:val="006E77C4"/>
    <w:rsid w:val="006E7AFF"/>
    <w:rsid w:val="006F0221"/>
    <w:rsid w:val="006F03C8"/>
    <w:rsid w:val="006F1135"/>
    <w:rsid w:val="006F2138"/>
    <w:rsid w:val="006F2749"/>
    <w:rsid w:val="006F2B8B"/>
    <w:rsid w:val="006F321C"/>
    <w:rsid w:val="006F321E"/>
    <w:rsid w:val="006F3D9B"/>
    <w:rsid w:val="006F3DCF"/>
    <w:rsid w:val="006F4A5A"/>
    <w:rsid w:val="006F4DCE"/>
    <w:rsid w:val="006F5581"/>
    <w:rsid w:val="006F5722"/>
    <w:rsid w:val="006F589C"/>
    <w:rsid w:val="006F5B13"/>
    <w:rsid w:val="006F5C51"/>
    <w:rsid w:val="006F74ED"/>
    <w:rsid w:val="00700073"/>
    <w:rsid w:val="007003A5"/>
    <w:rsid w:val="00701522"/>
    <w:rsid w:val="00701566"/>
    <w:rsid w:val="00701682"/>
    <w:rsid w:val="0070193E"/>
    <w:rsid w:val="00701F2D"/>
    <w:rsid w:val="007026CB"/>
    <w:rsid w:val="007028E2"/>
    <w:rsid w:val="00702DDB"/>
    <w:rsid w:val="007030E9"/>
    <w:rsid w:val="007039D0"/>
    <w:rsid w:val="00703BD3"/>
    <w:rsid w:val="00703E04"/>
    <w:rsid w:val="007041A9"/>
    <w:rsid w:val="00704476"/>
    <w:rsid w:val="0070463F"/>
    <w:rsid w:val="00704810"/>
    <w:rsid w:val="00704BA1"/>
    <w:rsid w:val="00704C39"/>
    <w:rsid w:val="00704FC2"/>
    <w:rsid w:val="007054F3"/>
    <w:rsid w:val="00705817"/>
    <w:rsid w:val="00705995"/>
    <w:rsid w:val="007059B6"/>
    <w:rsid w:val="00705AAE"/>
    <w:rsid w:val="00706394"/>
    <w:rsid w:val="00706689"/>
    <w:rsid w:val="007070EE"/>
    <w:rsid w:val="007075A6"/>
    <w:rsid w:val="007076E8"/>
    <w:rsid w:val="00707DDA"/>
    <w:rsid w:val="00710755"/>
    <w:rsid w:val="007107A5"/>
    <w:rsid w:val="007108C8"/>
    <w:rsid w:val="007114F8"/>
    <w:rsid w:val="0071193A"/>
    <w:rsid w:val="0071291F"/>
    <w:rsid w:val="00712C27"/>
    <w:rsid w:val="00712CC4"/>
    <w:rsid w:val="007137C9"/>
    <w:rsid w:val="00713B71"/>
    <w:rsid w:val="00713D96"/>
    <w:rsid w:val="00714191"/>
    <w:rsid w:val="00714880"/>
    <w:rsid w:val="007150E2"/>
    <w:rsid w:val="0071521E"/>
    <w:rsid w:val="00715D32"/>
    <w:rsid w:val="00715F5F"/>
    <w:rsid w:val="00715F77"/>
    <w:rsid w:val="00715F81"/>
    <w:rsid w:val="007169B9"/>
    <w:rsid w:val="00716E21"/>
    <w:rsid w:val="00716F87"/>
    <w:rsid w:val="0071786E"/>
    <w:rsid w:val="00717DE4"/>
    <w:rsid w:val="00717FC9"/>
    <w:rsid w:val="00720487"/>
    <w:rsid w:val="00720DD0"/>
    <w:rsid w:val="00721606"/>
    <w:rsid w:val="007223B8"/>
    <w:rsid w:val="007223C3"/>
    <w:rsid w:val="00722F8D"/>
    <w:rsid w:val="00722FBD"/>
    <w:rsid w:val="007231E5"/>
    <w:rsid w:val="007232AC"/>
    <w:rsid w:val="007235FC"/>
    <w:rsid w:val="007237E7"/>
    <w:rsid w:val="00723C46"/>
    <w:rsid w:val="00723F7B"/>
    <w:rsid w:val="0072454F"/>
    <w:rsid w:val="0072455D"/>
    <w:rsid w:val="0072477D"/>
    <w:rsid w:val="007249EC"/>
    <w:rsid w:val="00724E59"/>
    <w:rsid w:val="00724EC1"/>
    <w:rsid w:val="00725268"/>
    <w:rsid w:val="007253AF"/>
    <w:rsid w:val="00725CA9"/>
    <w:rsid w:val="0072620F"/>
    <w:rsid w:val="00726381"/>
    <w:rsid w:val="007265ED"/>
    <w:rsid w:val="00726B68"/>
    <w:rsid w:val="00726C99"/>
    <w:rsid w:val="00727296"/>
    <w:rsid w:val="0072749D"/>
    <w:rsid w:val="00727A0F"/>
    <w:rsid w:val="007300A0"/>
    <w:rsid w:val="00730291"/>
    <w:rsid w:val="0073051E"/>
    <w:rsid w:val="0073064A"/>
    <w:rsid w:val="007307AD"/>
    <w:rsid w:val="007307E9"/>
    <w:rsid w:val="00730981"/>
    <w:rsid w:val="007310F9"/>
    <w:rsid w:val="00731370"/>
    <w:rsid w:val="00731AF3"/>
    <w:rsid w:val="00731BDD"/>
    <w:rsid w:val="00731E46"/>
    <w:rsid w:val="00732681"/>
    <w:rsid w:val="007326E9"/>
    <w:rsid w:val="00732937"/>
    <w:rsid w:val="007329C3"/>
    <w:rsid w:val="007329FC"/>
    <w:rsid w:val="00732AA8"/>
    <w:rsid w:val="00732C2B"/>
    <w:rsid w:val="00732C6D"/>
    <w:rsid w:val="0073307A"/>
    <w:rsid w:val="00733240"/>
    <w:rsid w:val="00733D3B"/>
    <w:rsid w:val="00733F4F"/>
    <w:rsid w:val="00733F8E"/>
    <w:rsid w:val="007347CF"/>
    <w:rsid w:val="0073480A"/>
    <w:rsid w:val="00734BF3"/>
    <w:rsid w:val="007350F5"/>
    <w:rsid w:val="00735280"/>
    <w:rsid w:val="007354A1"/>
    <w:rsid w:val="007354A8"/>
    <w:rsid w:val="00735C8B"/>
    <w:rsid w:val="00735D24"/>
    <w:rsid w:val="00736969"/>
    <w:rsid w:val="00736F1D"/>
    <w:rsid w:val="00737469"/>
    <w:rsid w:val="00740742"/>
    <w:rsid w:val="00740783"/>
    <w:rsid w:val="00741D4C"/>
    <w:rsid w:val="00741FA5"/>
    <w:rsid w:val="0074222A"/>
    <w:rsid w:val="00742C33"/>
    <w:rsid w:val="00742C8C"/>
    <w:rsid w:val="00743168"/>
    <w:rsid w:val="007432FA"/>
    <w:rsid w:val="0074367A"/>
    <w:rsid w:val="00743B8D"/>
    <w:rsid w:val="00743CB3"/>
    <w:rsid w:val="0074434D"/>
    <w:rsid w:val="0074454C"/>
    <w:rsid w:val="007457EF"/>
    <w:rsid w:val="00745936"/>
    <w:rsid w:val="00746F05"/>
    <w:rsid w:val="00747D28"/>
    <w:rsid w:val="00751F65"/>
    <w:rsid w:val="0075270E"/>
    <w:rsid w:val="00752B0E"/>
    <w:rsid w:val="00752EA2"/>
    <w:rsid w:val="007532D9"/>
    <w:rsid w:val="00753586"/>
    <w:rsid w:val="007538FD"/>
    <w:rsid w:val="00753A2C"/>
    <w:rsid w:val="00754133"/>
    <w:rsid w:val="0075461F"/>
    <w:rsid w:val="00755706"/>
    <w:rsid w:val="00756814"/>
    <w:rsid w:val="00756AA3"/>
    <w:rsid w:val="00756B87"/>
    <w:rsid w:val="00757032"/>
    <w:rsid w:val="00757129"/>
    <w:rsid w:val="007574AB"/>
    <w:rsid w:val="00757B89"/>
    <w:rsid w:val="00757D7A"/>
    <w:rsid w:val="00761476"/>
    <w:rsid w:val="007619AB"/>
    <w:rsid w:val="00761BF3"/>
    <w:rsid w:val="00762638"/>
    <w:rsid w:val="0076290A"/>
    <w:rsid w:val="00762BB6"/>
    <w:rsid w:val="00762D48"/>
    <w:rsid w:val="00762DFB"/>
    <w:rsid w:val="00762F35"/>
    <w:rsid w:val="007630DB"/>
    <w:rsid w:val="00763CEC"/>
    <w:rsid w:val="00763DA2"/>
    <w:rsid w:val="0076477E"/>
    <w:rsid w:val="00764C88"/>
    <w:rsid w:val="00764D02"/>
    <w:rsid w:val="00765805"/>
    <w:rsid w:val="00765881"/>
    <w:rsid w:val="00765A6E"/>
    <w:rsid w:val="007666E6"/>
    <w:rsid w:val="007667D8"/>
    <w:rsid w:val="0076689E"/>
    <w:rsid w:val="007668CB"/>
    <w:rsid w:val="007674FB"/>
    <w:rsid w:val="007679CD"/>
    <w:rsid w:val="0077035C"/>
    <w:rsid w:val="00770BDE"/>
    <w:rsid w:val="0077125E"/>
    <w:rsid w:val="0077155E"/>
    <w:rsid w:val="00771699"/>
    <w:rsid w:val="00771CA6"/>
    <w:rsid w:val="007720A5"/>
    <w:rsid w:val="0077218E"/>
    <w:rsid w:val="007723A1"/>
    <w:rsid w:val="00772A2D"/>
    <w:rsid w:val="00773040"/>
    <w:rsid w:val="007733A4"/>
    <w:rsid w:val="0077613E"/>
    <w:rsid w:val="00776222"/>
    <w:rsid w:val="00776274"/>
    <w:rsid w:val="00776356"/>
    <w:rsid w:val="007766EC"/>
    <w:rsid w:val="00776754"/>
    <w:rsid w:val="00776762"/>
    <w:rsid w:val="007768F2"/>
    <w:rsid w:val="00776E4F"/>
    <w:rsid w:val="007770F8"/>
    <w:rsid w:val="007777CD"/>
    <w:rsid w:val="00777815"/>
    <w:rsid w:val="00777840"/>
    <w:rsid w:val="00780C43"/>
    <w:rsid w:val="00781B1B"/>
    <w:rsid w:val="007822A3"/>
    <w:rsid w:val="00783641"/>
    <w:rsid w:val="00784490"/>
    <w:rsid w:val="00784899"/>
    <w:rsid w:val="00784ECC"/>
    <w:rsid w:val="0078504C"/>
    <w:rsid w:val="00785A65"/>
    <w:rsid w:val="007861B5"/>
    <w:rsid w:val="00786330"/>
    <w:rsid w:val="0078645F"/>
    <w:rsid w:val="00786560"/>
    <w:rsid w:val="00786980"/>
    <w:rsid w:val="007869A7"/>
    <w:rsid w:val="00786D42"/>
    <w:rsid w:val="00787422"/>
    <w:rsid w:val="00787921"/>
    <w:rsid w:val="00790100"/>
    <w:rsid w:val="00790205"/>
    <w:rsid w:val="007902F6"/>
    <w:rsid w:val="00790585"/>
    <w:rsid w:val="00790CA3"/>
    <w:rsid w:val="00791D33"/>
    <w:rsid w:val="00792039"/>
    <w:rsid w:val="007920D7"/>
    <w:rsid w:val="00792200"/>
    <w:rsid w:val="00792276"/>
    <w:rsid w:val="00792774"/>
    <w:rsid w:val="007927DE"/>
    <w:rsid w:val="0079298E"/>
    <w:rsid w:val="00792A56"/>
    <w:rsid w:val="00792C14"/>
    <w:rsid w:val="007935DB"/>
    <w:rsid w:val="007937C6"/>
    <w:rsid w:val="00793BF3"/>
    <w:rsid w:val="007941E5"/>
    <w:rsid w:val="007945E9"/>
    <w:rsid w:val="007949FD"/>
    <w:rsid w:val="00794CB4"/>
    <w:rsid w:val="00795163"/>
    <w:rsid w:val="00795DB0"/>
    <w:rsid w:val="00795DF6"/>
    <w:rsid w:val="00795DFF"/>
    <w:rsid w:val="00795E9A"/>
    <w:rsid w:val="00795F66"/>
    <w:rsid w:val="007968A2"/>
    <w:rsid w:val="00796FD3"/>
    <w:rsid w:val="00797512"/>
    <w:rsid w:val="007A0899"/>
    <w:rsid w:val="007A10A3"/>
    <w:rsid w:val="007A18B3"/>
    <w:rsid w:val="007A2010"/>
    <w:rsid w:val="007A2184"/>
    <w:rsid w:val="007A269D"/>
    <w:rsid w:val="007A2823"/>
    <w:rsid w:val="007A2C7C"/>
    <w:rsid w:val="007A3246"/>
    <w:rsid w:val="007A3653"/>
    <w:rsid w:val="007A3962"/>
    <w:rsid w:val="007A3AEC"/>
    <w:rsid w:val="007A3D42"/>
    <w:rsid w:val="007A43A2"/>
    <w:rsid w:val="007A4A10"/>
    <w:rsid w:val="007A4A51"/>
    <w:rsid w:val="007A4ECE"/>
    <w:rsid w:val="007A51CD"/>
    <w:rsid w:val="007A6322"/>
    <w:rsid w:val="007A698F"/>
    <w:rsid w:val="007A6B78"/>
    <w:rsid w:val="007A74AB"/>
    <w:rsid w:val="007A7E1F"/>
    <w:rsid w:val="007B03EB"/>
    <w:rsid w:val="007B0758"/>
    <w:rsid w:val="007B075D"/>
    <w:rsid w:val="007B0C89"/>
    <w:rsid w:val="007B0DB9"/>
    <w:rsid w:val="007B10D6"/>
    <w:rsid w:val="007B119B"/>
    <w:rsid w:val="007B1253"/>
    <w:rsid w:val="007B14B7"/>
    <w:rsid w:val="007B2013"/>
    <w:rsid w:val="007B2486"/>
    <w:rsid w:val="007B38DD"/>
    <w:rsid w:val="007B3AE2"/>
    <w:rsid w:val="007B3D8B"/>
    <w:rsid w:val="007B4429"/>
    <w:rsid w:val="007B5BDF"/>
    <w:rsid w:val="007B5C4E"/>
    <w:rsid w:val="007B63AE"/>
    <w:rsid w:val="007B6658"/>
    <w:rsid w:val="007B6C58"/>
    <w:rsid w:val="007B708C"/>
    <w:rsid w:val="007B7350"/>
    <w:rsid w:val="007B7662"/>
    <w:rsid w:val="007B7C40"/>
    <w:rsid w:val="007B7D1E"/>
    <w:rsid w:val="007C11CB"/>
    <w:rsid w:val="007C13AF"/>
    <w:rsid w:val="007C154E"/>
    <w:rsid w:val="007C173F"/>
    <w:rsid w:val="007C22D8"/>
    <w:rsid w:val="007C2730"/>
    <w:rsid w:val="007C2756"/>
    <w:rsid w:val="007C326B"/>
    <w:rsid w:val="007C3FA0"/>
    <w:rsid w:val="007C425D"/>
    <w:rsid w:val="007C4539"/>
    <w:rsid w:val="007C4582"/>
    <w:rsid w:val="007C4C75"/>
    <w:rsid w:val="007C5E3C"/>
    <w:rsid w:val="007C662E"/>
    <w:rsid w:val="007C6816"/>
    <w:rsid w:val="007C697C"/>
    <w:rsid w:val="007C7017"/>
    <w:rsid w:val="007C7424"/>
    <w:rsid w:val="007C751E"/>
    <w:rsid w:val="007C78F8"/>
    <w:rsid w:val="007D009E"/>
    <w:rsid w:val="007D0729"/>
    <w:rsid w:val="007D091F"/>
    <w:rsid w:val="007D0AF6"/>
    <w:rsid w:val="007D1036"/>
    <w:rsid w:val="007D1404"/>
    <w:rsid w:val="007D1611"/>
    <w:rsid w:val="007D1C82"/>
    <w:rsid w:val="007D1C9B"/>
    <w:rsid w:val="007D236F"/>
    <w:rsid w:val="007D2EE5"/>
    <w:rsid w:val="007D33D2"/>
    <w:rsid w:val="007D38B1"/>
    <w:rsid w:val="007D3C0B"/>
    <w:rsid w:val="007D4086"/>
    <w:rsid w:val="007D41C3"/>
    <w:rsid w:val="007D4262"/>
    <w:rsid w:val="007D4ED2"/>
    <w:rsid w:val="007D5918"/>
    <w:rsid w:val="007D6370"/>
    <w:rsid w:val="007D7051"/>
    <w:rsid w:val="007D73CA"/>
    <w:rsid w:val="007D7A1B"/>
    <w:rsid w:val="007D7B5A"/>
    <w:rsid w:val="007D7CB7"/>
    <w:rsid w:val="007E0540"/>
    <w:rsid w:val="007E0B3D"/>
    <w:rsid w:val="007E0B63"/>
    <w:rsid w:val="007E0DD2"/>
    <w:rsid w:val="007E0FBD"/>
    <w:rsid w:val="007E129F"/>
    <w:rsid w:val="007E12C1"/>
    <w:rsid w:val="007E17C2"/>
    <w:rsid w:val="007E18AC"/>
    <w:rsid w:val="007E1BAB"/>
    <w:rsid w:val="007E1BEE"/>
    <w:rsid w:val="007E2043"/>
    <w:rsid w:val="007E209F"/>
    <w:rsid w:val="007E2AE7"/>
    <w:rsid w:val="007E5D8A"/>
    <w:rsid w:val="007E6952"/>
    <w:rsid w:val="007E6D10"/>
    <w:rsid w:val="007E6F13"/>
    <w:rsid w:val="007E785C"/>
    <w:rsid w:val="007E792A"/>
    <w:rsid w:val="007F0041"/>
    <w:rsid w:val="007F0566"/>
    <w:rsid w:val="007F0C0F"/>
    <w:rsid w:val="007F13B6"/>
    <w:rsid w:val="007F2A91"/>
    <w:rsid w:val="007F2DEC"/>
    <w:rsid w:val="007F33DF"/>
    <w:rsid w:val="007F380C"/>
    <w:rsid w:val="007F4AC7"/>
    <w:rsid w:val="007F4B48"/>
    <w:rsid w:val="007F5829"/>
    <w:rsid w:val="007F6064"/>
    <w:rsid w:val="007F6577"/>
    <w:rsid w:val="007F66C8"/>
    <w:rsid w:val="007F7A71"/>
    <w:rsid w:val="007F7D0F"/>
    <w:rsid w:val="007F7ED5"/>
    <w:rsid w:val="008002A8"/>
    <w:rsid w:val="008005ED"/>
    <w:rsid w:val="00800BC4"/>
    <w:rsid w:val="00800FD6"/>
    <w:rsid w:val="008013B4"/>
    <w:rsid w:val="008017B0"/>
    <w:rsid w:val="0080180E"/>
    <w:rsid w:val="00801F47"/>
    <w:rsid w:val="0080201B"/>
    <w:rsid w:val="0080236E"/>
    <w:rsid w:val="00802543"/>
    <w:rsid w:val="00802F34"/>
    <w:rsid w:val="008032B4"/>
    <w:rsid w:val="00803B6E"/>
    <w:rsid w:val="00803C80"/>
    <w:rsid w:val="00803CBB"/>
    <w:rsid w:val="00803DB7"/>
    <w:rsid w:val="00804748"/>
    <w:rsid w:val="008051D5"/>
    <w:rsid w:val="008051DD"/>
    <w:rsid w:val="0080660B"/>
    <w:rsid w:val="00806A8B"/>
    <w:rsid w:val="00807785"/>
    <w:rsid w:val="00807BEF"/>
    <w:rsid w:val="00807C5C"/>
    <w:rsid w:val="0081012F"/>
    <w:rsid w:val="008101B7"/>
    <w:rsid w:val="008104B5"/>
    <w:rsid w:val="008106DE"/>
    <w:rsid w:val="00810938"/>
    <w:rsid w:val="00811A81"/>
    <w:rsid w:val="00811C3E"/>
    <w:rsid w:val="00811DF1"/>
    <w:rsid w:val="00812344"/>
    <w:rsid w:val="00812887"/>
    <w:rsid w:val="00813EBA"/>
    <w:rsid w:val="0081457E"/>
    <w:rsid w:val="00814F02"/>
    <w:rsid w:val="0081507C"/>
    <w:rsid w:val="00815A3D"/>
    <w:rsid w:val="0081685F"/>
    <w:rsid w:val="00820005"/>
    <w:rsid w:val="0082044E"/>
    <w:rsid w:val="008205A7"/>
    <w:rsid w:val="0082082E"/>
    <w:rsid w:val="00820928"/>
    <w:rsid w:val="008211CD"/>
    <w:rsid w:val="00821483"/>
    <w:rsid w:val="00821AE5"/>
    <w:rsid w:val="00822E1F"/>
    <w:rsid w:val="0082322D"/>
    <w:rsid w:val="00824226"/>
    <w:rsid w:val="008245E1"/>
    <w:rsid w:val="008250E6"/>
    <w:rsid w:val="008259B7"/>
    <w:rsid w:val="00825EBC"/>
    <w:rsid w:val="0082604B"/>
    <w:rsid w:val="008261E9"/>
    <w:rsid w:val="0082661E"/>
    <w:rsid w:val="00826C7F"/>
    <w:rsid w:val="00827BE6"/>
    <w:rsid w:val="00827C6E"/>
    <w:rsid w:val="00827E29"/>
    <w:rsid w:val="008304E8"/>
    <w:rsid w:val="00830FC3"/>
    <w:rsid w:val="008311D4"/>
    <w:rsid w:val="0083147D"/>
    <w:rsid w:val="00831711"/>
    <w:rsid w:val="00832148"/>
    <w:rsid w:val="008329AF"/>
    <w:rsid w:val="00832AA9"/>
    <w:rsid w:val="00833E3E"/>
    <w:rsid w:val="008341F3"/>
    <w:rsid w:val="00835A14"/>
    <w:rsid w:val="008367A5"/>
    <w:rsid w:val="00836F03"/>
    <w:rsid w:val="00837293"/>
    <w:rsid w:val="00837665"/>
    <w:rsid w:val="00837C8D"/>
    <w:rsid w:val="0084015F"/>
    <w:rsid w:val="008405E1"/>
    <w:rsid w:val="00840AE8"/>
    <w:rsid w:val="00841411"/>
    <w:rsid w:val="008414DF"/>
    <w:rsid w:val="0084186E"/>
    <w:rsid w:val="00841B85"/>
    <w:rsid w:val="00842ED7"/>
    <w:rsid w:val="00843456"/>
    <w:rsid w:val="00843D9C"/>
    <w:rsid w:val="00844493"/>
    <w:rsid w:val="008444C1"/>
    <w:rsid w:val="0084538B"/>
    <w:rsid w:val="008454AD"/>
    <w:rsid w:val="008456F3"/>
    <w:rsid w:val="00845AFB"/>
    <w:rsid w:val="00845F34"/>
    <w:rsid w:val="00846263"/>
    <w:rsid w:val="00846494"/>
    <w:rsid w:val="00846752"/>
    <w:rsid w:val="00846CBC"/>
    <w:rsid w:val="0084743B"/>
    <w:rsid w:val="008479D2"/>
    <w:rsid w:val="00847A59"/>
    <w:rsid w:val="00850619"/>
    <w:rsid w:val="00850762"/>
    <w:rsid w:val="00850969"/>
    <w:rsid w:val="00850CBF"/>
    <w:rsid w:val="008512D4"/>
    <w:rsid w:val="00851447"/>
    <w:rsid w:val="00851754"/>
    <w:rsid w:val="008527B8"/>
    <w:rsid w:val="00853355"/>
    <w:rsid w:val="00853CA0"/>
    <w:rsid w:val="00854222"/>
    <w:rsid w:val="00854CEF"/>
    <w:rsid w:val="0085528C"/>
    <w:rsid w:val="00855709"/>
    <w:rsid w:val="00856158"/>
    <w:rsid w:val="008562FE"/>
    <w:rsid w:val="0085652E"/>
    <w:rsid w:val="00856A0A"/>
    <w:rsid w:val="00856F34"/>
    <w:rsid w:val="008571E5"/>
    <w:rsid w:val="00857201"/>
    <w:rsid w:val="008574A4"/>
    <w:rsid w:val="00857E53"/>
    <w:rsid w:val="008604D4"/>
    <w:rsid w:val="00860B52"/>
    <w:rsid w:val="008618A3"/>
    <w:rsid w:val="00861BA5"/>
    <w:rsid w:val="00862BD2"/>
    <w:rsid w:val="00862EEC"/>
    <w:rsid w:val="00862F11"/>
    <w:rsid w:val="008635EC"/>
    <w:rsid w:val="0086368C"/>
    <w:rsid w:val="00863A32"/>
    <w:rsid w:val="00863A34"/>
    <w:rsid w:val="00863DD5"/>
    <w:rsid w:val="00864087"/>
    <w:rsid w:val="0086492E"/>
    <w:rsid w:val="00865059"/>
    <w:rsid w:val="00865C50"/>
    <w:rsid w:val="00865F0F"/>
    <w:rsid w:val="00865FEE"/>
    <w:rsid w:val="008662F4"/>
    <w:rsid w:val="0086650F"/>
    <w:rsid w:val="00866752"/>
    <w:rsid w:val="00867247"/>
    <w:rsid w:val="008674F5"/>
    <w:rsid w:val="00867B68"/>
    <w:rsid w:val="00870F42"/>
    <w:rsid w:val="00871105"/>
    <w:rsid w:val="00871208"/>
    <w:rsid w:val="00871C5A"/>
    <w:rsid w:val="008727F7"/>
    <w:rsid w:val="00872B6B"/>
    <w:rsid w:val="008738F1"/>
    <w:rsid w:val="00874106"/>
    <w:rsid w:val="00874383"/>
    <w:rsid w:val="00874477"/>
    <w:rsid w:val="008748E4"/>
    <w:rsid w:val="00874D3E"/>
    <w:rsid w:val="0087538B"/>
    <w:rsid w:val="0087560D"/>
    <w:rsid w:val="008756A0"/>
    <w:rsid w:val="008768A5"/>
    <w:rsid w:val="00876A6C"/>
    <w:rsid w:val="00876C54"/>
    <w:rsid w:val="00877C8B"/>
    <w:rsid w:val="0088015D"/>
    <w:rsid w:val="00880682"/>
    <w:rsid w:val="008810AE"/>
    <w:rsid w:val="00881191"/>
    <w:rsid w:val="00881444"/>
    <w:rsid w:val="00881876"/>
    <w:rsid w:val="00881F71"/>
    <w:rsid w:val="00882442"/>
    <w:rsid w:val="0088249F"/>
    <w:rsid w:val="0088255C"/>
    <w:rsid w:val="008829D0"/>
    <w:rsid w:val="00882B0A"/>
    <w:rsid w:val="00883607"/>
    <w:rsid w:val="00883A0C"/>
    <w:rsid w:val="00883BB1"/>
    <w:rsid w:val="008840D4"/>
    <w:rsid w:val="0088419C"/>
    <w:rsid w:val="0088461C"/>
    <w:rsid w:val="008848F0"/>
    <w:rsid w:val="00884C3B"/>
    <w:rsid w:val="00884D0F"/>
    <w:rsid w:val="00884EFF"/>
    <w:rsid w:val="0088561B"/>
    <w:rsid w:val="00885F25"/>
    <w:rsid w:val="008865DC"/>
    <w:rsid w:val="0088721B"/>
    <w:rsid w:val="00890176"/>
    <w:rsid w:val="008907C4"/>
    <w:rsid w:val="00890EC8"/>
    <w:rsid w:val="00891CC2"/>
    <w:rsid w:val="00892265"/>
    <w:rsid w:val="00893C35"/>
    <w:rsid w:val="00893FAE"/>
    <w:rsid w:val="008947D0"/>
    <w:rsid w:val="00894883"/>
    <w:rsid w:val="00894F39"/>
    <w:rsid w:val="00895412"/>
    <w:rsid w:val="0089562B"/>
    <w:rsid w:val="008959D6"/>
    <w:rsid w:val="00895A1B"/>
    <w:rsid w:val="00896D63"/>
    <w:rsid w:val="008975E8"/>
    <w:rsid w:val="008976D0"/>
    <w:rsid w:val="0089784F"/>
    <w:rsid w:val="00897E00"/>
    <w:rsid w:val="008A0112"/>
    <w:rsid w:val="008A1696"/>
    <w:rsid w:val="008A1AE8"/>
    <w:rsid w:val="008A2763"/>
    <w:rsid w:val="008A2ED9"/>
    <w:rsid w:val="008A3569"/>
    <w:rsid w:val="008A3584"/>
    <w:rsid w:val="008A3829"/>
    <w:rsid w:val="008A4251"/>
    <w:rsid w:val="008A459F"/>
    <w:rsid w:val="008A467C"/>
    <w:rsid w:val="008A4FF7"/>
    <w:rsid w:val="008A5381"/>
    <w:rsid w:val="008A5D11"/>
    <w:rsid w:val="008A5D30"/>
    <w:rsid w:val="008A5E61"/>
    <w:rsid w:val="008A64ED"/>
    <w:rsid w:val="008A6ABE"/>
    <w:rsid w:val="008A6D77"/>
    <w:rsid w:val="008A70C6"/>
    <w:rsid w:val="008A7142"/>
    <w:rsid w:val="008A77CF"/>
    <w:rsid w:val="008A77FF"/>
    <w:rsid w:val="008B04C2"/>
    <w:rsid w:val="008B1EFA"/>
    <w:rsid w:val="008B2C3D"/>
    <w:rsid w:val="008B2DE7"/>
    <w:rsid w:val="008B327C"/>
    <w:rsid w:val="008B33D8"/>
    <w:rsid w:val="008B3939"/>
    <w:rsid w:val="008B4293"/>
    <w:rsid w:val="008B44BF"/>
    <w:rsid w:val="008B495C"/>
    <w:rsid w:val="008B5A81"/>
    <w:rsid w:val="008B6099"/>
    <w:rsid w:val="008B6228"/>
    <w:rsid w:val="008B6410"/>
    <w:rsid w:val="008B67F8"/>
    <w:rsid w:val="008B6E4D"/>
    <w:rsid w:val="008B7454"/>
    <w:rsid w:val="008B7632"/>
    <w:rsid w:val="008B78AB"/>
    <w:rsid w:val="008B7B0F"/>
    <w:rsid w:val="008B7FAD"/>
    <w:rsid w:val="008C02E4"/>
    <w:rsid w:val="008C03EB"/>
    <w:rsid w:val="008C0CB5"/>
    <w:rsid w:val="008C0D45"/>
    <w:rsid w:val="008C1100"/>
    <w:rsid w:val="008C18ED"/>
    <w:rsid w:val="008C1D20"/>
    <w:rsid w:val="008C24AB"/>
    <w:rsid w:val="008C26CB"/>
    <w:rsid w:val="008C272B"/>
    <w:rsid w:val="008C2E1D"/>
    <w:rsid w:val="008C3E41"/>
    <w:rsid w:val="008C4168"/>
    <w:rsid w:val="008C464F"/>
    <w:rsid w:val="008C4C22"/>
    <w:rsid w:val="008C5635"/>
    <w:rsid w:val="008C580B"/>
    <w:rsid w:val="008C5CD2"/>
    <w:rsid w:val="008C691C"/>
    <w:rsid w:val="008C693F"/>
    <w:rsid w:val="008C6BBE"/>
    <w:rsid w:val="008C6D3C"/>
    <w:rsid w:val="008C7050"/>
    <w:rsid w:val="008C7E9C"/>
    <w:rsid w:val="008D00FC"/>
    <w:rsid w:val="008D049D"/>
    <w:rsid w:val="008D04F0"/>
    <w:rsid w:val="008D095E"/>
    <w:rsid w:val="008D0F7A"/>
    <w:rsid w:val="008D16D2"/>
    <w:rsid w:val="008D328A"/>
    <w:rsid w:val="008D3774"/>
    <w:rsid w:val="008D383C"/>
    <w:rsid w:val="008D40D9"/>
    <w:rsid w:val="008D40F6"/>
    <w:rsid w:val="008D4605"/>
    <w:rsid w:val="008D4C9C"/>
    <w:rsid w:val="008D5009"/>
    <w:rsid w:val="008D50A9"/>
    <w:rsid w:val="008D511A"/>
    <w:rsid w:val="008D540B"/>
    <w:rsid w:val="008D543F"/>
    <w:rsid w:val="008D54D9"/>
    <w:rsid w:val="008D551D"/>
    <w:rsid w:val="008D5A97"/>
    <w:rsid w:val="008D66D8"/>
    <w:rsid w:val="008D6906"/>
    <w:rsid w:val="008D7341"/>
    <w:rsid w:val="008E029A"/>
    <w:rsid w:val="008E02D3"/>
    <w:rsid w:val="008E14ED"/>
    <w:rsid w:val="008E1A11"/>
    <w:rsid w:val="008E202C"/>
    <w:rsid w:val="008E29BB"/>
    <w:rsid w:val="008E2BE5"/>
    <w:rsid w:val="008E2FBA"/>
    <w:rsid w:val="008E30C5"/>
    <w:rsid w:val="008E3AC9"/>
    <w:rsid w:val="008E4634"/>
    <w:rsid w:val="008E5031"/>
    <w:rsid w:val="008E5961"/>
    <w:rsid w:val="008E5FAC"/>
    <w:rsid w:val="008E62A5"/>
    <w:rsid w:val="008E645C"/>
    <w:rsid w:val="008E6781"/>
    <w:rsid w:val="008E684C"/>
    <w:rsid w:val="008E7715"/>
    <w:rsid w:val="008F0028"/>
    <w:rsid w:val="008F04EE"/>
    <w:rsid w:val="008F078A"/>
    <w:rsid w:val="008F0A07"/>
    <w:rsid w:val="008F0B21"/>
    <w:rsid w:val="008F0D0D"/>
    <w:rsid w:val="008F118D"/>
    <w:rsid w:val="008F16CF"/>
    <w:rsid w:val="008F1C88"/>
    <w:rsid w:val="008F26F8"/>
    <w:rsid w:val="008F37BD"/>
    <w:rsid w:val="008F3E54"/>
    <w:rsid w:val="008F5287"/>
    <w:rsid w:val="008F5EA5"/>
    <w:rsid w:val="008F5ECF"/>
    <w:rsid w:val="008F5F74"/>
    <w:rsid w:val="008F6281"/>
    <w:rsid w:val="008F6D1B"/>
    <w:rsid w:val="008F7C4F"/>
    <w:rsid w:val="009000AB"/>
    <w:rsid w:val="00900B65"/>
    <w:rsid w:val="0090224C"/>
    <w:rsid w:val="009025E7"/>
    <w:rsid w:val="009035A2"/>
    <w:rsid w:val="00903C75"/>
    <w:rsid w:val="0090489E"/>
    <w:rsid w:val="009051A9"/>
    <w:rsid w:val="0090527D"/>
    <w:rsid w:val="00905295"/>
    <w:rsid w:val="00905469"/>
    <w:rsid w:val="00905EAF"/>
    <w:rsid w:val="00905F8F"/>
    <w:rsid w:val="00906053"/>
    <w:rsid w:val="0090693D"/>
    <w:rsid w:val="009069BD"/>
    <w:rsid w:val="00906DEF"/>
    <w:rsid w:val="0090717A"/>
    <w:rsid w:val="009106E5"/>
    <w:rsid w:val="0091088A"/>
    <w:rsid w:val="00910BFF"/>
    <w:rsid w:val="00910EAA"/>
    <w:rsid w:val="00911C1B"/>
    <w:rsid w:val="00912469"/>
    <w:rsid w:val="009125E6"/>
    <w:rsid w:val="00913568"/>
    <w:rsid w:val="0091359A"/>
    <w:rsid w:val="00913783"/>
    <w:rsid w:val="00914009"/>
    <w:rsid w:val="009141A0"/>
    <w:rsid w:val="00914B11"/>
    <w:rsid w:val="00914C5E"/>
    <w:rsid w:val="00915079"/>
    <w:rsid w:val="009152A7"/>
    <w:rsid w:val="00915BC7"/>
    <w:rsid w:val="009162C5"/>
    <w:rsid w:val="00917284"/>
    <w:rsid w:val="00917781"/>
    <w:rsid w:val="00917AEB"/>
    <w:rsid w:val="00917D83"/>
    <w:rsid w:val="00920A22"/>
    <w:rsid w:val="00920AE7"/>
    <w:rsid w:val="00920C06"/>
    <w:rsid w:val="0092122B"/>
    <w:rsid w:val="00921454"/>
    <w:rsid w:val="009215C4"/>
    <w:rsid w:val="009215C6"/>
    <w:rsid w:val="009218E3"/>
    <w:rsid w:val="00922498"/>
    <w:rsid w:val="00922841"/>
    <w:rsid w:val="00922F67"/>
    <w:rsid w:val="009233E7"/>
    <w:rsid w:val="0092358A"/>
    <w:rsid w:val="00923633"/>
    <w:rsid w:val="009239FA"/>
    <w:rsid w:val="00923E62"/>
    <w:rsid w:val="009240E9"/>
    <w:rsid w:val="009242F8"/>
    <w:rsid w:val="0092434F"/>
    <w:rsid w:val="0092438E"/>
    <w:rsid w:val="00924A4A"/>
    <w:rsid w:val="00924D53"/>
    <w:rsid w:val="009261AA"/>
    <w:rsid w:val="00926622"/>
    <w:rsid w:val="00926A56"/>
    <w:rsid w:val="00926A83"/>
    <w:rsid w:val="0092716D"/>
    <w:rsid w:val="009271F5"/>
    <w:rsid w:val="0093014F"/>
    <w:rsid w:val="00930734"/>
    <w:rsid w:val="00930AE5"/>
    <w:rsid w:val="00930D72"/>
    <w:rsid w:val="00931AAC"/>
    <w:rsid w:val="00932313"/>
    <w:rsid w:val="00932D7F"/>
    <w:rsid w:val="00932E01"/>
    <w:rsid w:val="0093377A"/>
    <w:rsid w:val="00933814"/>
    <w:rsid w:val="009338C6"/>
    <w:rsid w:val="00934AB2"/>
    <w:rsid w:val="00934AD4"/>
    <w:rsid w:val="009350AA"/>
    <w:rsid w:val="00935116"/>
    <w:rsid w:val="00935621"/>
    <w:rsid w:val="00935622"/>
    <w:rsid w:val="0093566C"/>
    <w:rsid w:val="00936719"/>
    <w:rsid w:val="009367CA"/>
    <w:rsid w:val="00936ADA"/>
    <w:rsid w:val="00936FEF"/>
    <w:rsid w:val="00937074"/>
    <w:rsid w:val="009372C9"/>
    <w:rsid w:val="0093746E"/>
    <w:rsid w:val="00937E2B"/>
    <w:rsid w:val="00937F52"/>
    <w:rsid w:val="009402D2"/>
    <w:rsid w:val="0094059B"/>
    <w:rsid w:val="009405F4"/>
    <w:rsid w:val="00940756"/>
    <w:rsid w:val="0094147B"/>
    <w:rsid w:val="00941ABD"/>
    <w:rsid w:val="00941C70"/>
    <w:rsid w:val="00942073"/>
    <w:rsid w:val="0094302A"/>
    <w:rsid w:val="0094322E"/>
    <w:rsid w:val="00943ADE"/>
    <w:rsid w:val="00943B06"/>
    <w:rsid w:val="00943CC2"/>
    <w:rsid w:val="00944020"/>
    <w:rsid w:val="00944704"/>
    <w:rsid w:val="009450AB"/>
    <w:rsid w:val="00945370"/>
    <w:rsid w:val="0094586E"/>
    <w:rsid w:val="00946413"/>
    <w:rsid w:val="00946511"/>
    <w:rsid w:val="009468DB"/>
    <w:rsid w:val="009477AA"/>
    <w:rsid w:val="009478FD"/>
    <w:rsid w:val="009502F6"/>
    <w:rsid w:val="0095045C"/>
    <w:rsid w:val="009506FE"/>
    <w:rsid w:val="00950F64"/>
    <w:rsid w:val="00951134"/>
    <w:rsid w:val="009511A4"/>
    <w:rsid w:val="009511FF"/>
    <w:rsid w:val="00951221"/>
    <w:rsid w:val="009513B1"/>
    <w:rsid w:val="0095158A"/>
    <w:rsid w:val="00951757"/>
    <w:rsid w:val="00952003"/>
    <w:rsid w:val="00952BFC"/>
    <w:rsid w:val="00952CF5"/>
    <w:rsid w:val="00952D7B"/>
    <w:rsid w:val="009531E5"/>
    <w:rsid w:val="00953373"/>
    <w:rsid w:val="0095399A"/>
    <w:rsid w:val="00953C52"/>
    <w:rsid w:val="00954B6B"/>
    <w:rsid w:val="00954F9F"/>
    <w:rsid w:val="00955BD6"/>
    <w:rsid w:val="00955F15"/>
    <w:rsid w:val="00955F17"/>
    <w:rsid w:val="009564C5"/>
    <w:rsid w:val="009566A8"/>
    <w:rsid w:val="00957384"/>
    <w:rsid w:val="0095746B"/>
    <w:rsid w:val="00957530"/>
    <w:rsid w:val="00957A8B"/>
    <w:rsid w:val="009600A6"/>
    <w:rsid w:val="0096084E"/>
    <w:rsid w:val="00960C7B"/>
    <w:rsid w:val="0096148C"/>
    <w:rsid w:val="00961A32"/>
    <w:rsid w:val="00961C2F"/>
    <w:rsid w:val="00961EA4"/>
    <w:rsid w:val="00961EE6"/>
    <w:rsid w:val="009623C1"/>
    <w:rsid w:val="00962B16"/>
    <w:rsid w:val="00962EC1"/>
    <w:rsid w:val="009634A1"/>
    <w:rsid w:val="00963ED5"/>
    <w:rsid w:val="0096405D"/>
    <w:rsid w:val="00964DFB"/>
    <w:rsid w:val="00964E57"/>
    <w:rsid w:val="00965999"/>
    <w:rsid w:val="00966192"/>
    <w:rsid w:val="009669E2"/>
    <w:rsid w:val="00966B6A"/>
    <w:rsid w:val="00966C53"/>
    <w:rsid w:val="00967279"/>
    <w:rsid w:val="00967518"/>
    <w:rsid w:val="00967CC1"/>
    <w:rsid w:val="00967D80"/>
    <w:rsid w:val="00970172"/>
    <w:rsid w:val="009717E5"/>
    <w:rsid w:val="00971BD5"/>
    <w:rsid w:val="00971C49"/>
    <w:rsid w:val="00972124"/>
    <w:rsid w:val="009721D4"/>
    <w:rsid w:val="0097221B"/>
    <w:rsid w:val="0097357F"/>
    <w:rsid w:val="00973595"/>
    <w:rsid w:val="009735FB"/>
    <w:rsid w:val="0097417F"/>
    <w:rsid w:val="00974301"/>
    <w:rsid w:val="00974552"/>
    <w:rsid w:val="009745AA"/>
    <w:rsid w:val="009748EA"/>
    <w:rsid w:val="00975039"/>
    <w:rsid w:val="00975228"/>
    <w:rsid w:val="009758CC"/>
    <w:rsid w:val="00975914"/>
    <w:rsid w:val="00975FF9"/>
    <w:rsid w:val="00976C78"/>
    <w:rsid w:val="00976F3F"/>
    <w:rsid w:val="00977240"/>
    <w:rsid w:val="00977263"/>
    <w:rsid w:val="00977481"/>
    <w:rsid w:val="009807C4"/>
    <w:rsid w:val="00980814"/>
    <w:rsid w:val="00981300"/>
    <w:rsid w:val="009813F3"/>
    <w:rsid w:val="009819D8"/>
    <w:rsid w:val="00981BB4"/>
    <w:rsid w:val="00981FFC"/>
    <w:rsid w:val="00982384"/>
    <w:rsid w:val="009823C2"/>
    <w:rsid w:val="0098252F"/>
    <w:rsid w:val="009828DD"/>
    <w:rsid w:val="00982C7B"/>
    <w:rsid w:val="009834AA"/>
    <w:rsid w:val="009837F5"/>
    <w:rsid w:val="00983811"/>
    <w:rsid w:val="00983E15"/>
    <w:rsid w:val="00984338"/>
    <w:rsid w:val="00984422"/>
    <w:rsid w:val="009845E6"/>
    <w:rsid w:val="00984E95"/>
    <w:rsid w:val="00985917"/>
    <w:rsid w:val="009864F0"/>
    <w:rsid w:val="00986959"/>
    <w:rsid w:val="00986BBC"/>
    <w:rsid w:val="009871AB"/>
    <w:rsid w:val="00987565"/>
    <w:rsid w:val="009876D4"/>
    <w:rsid w:val="00987719"/>
    <w:rsid w:val="0099078C"/>
    <w:rsid w:val="0099113A"/>
    <w:rsid w:val="009912D9"/>
    <w:rsid w:val="00991661"/>
    <w:rsid w:val="00991E65"/>
    <w:rsid w:val="00991EAB"/>
    <w:rsid w:val="009920A4"/>
    <w:rsid w:val="00992AB9"/>
    <w:rsid w:val="00992CCB"/>
    <w:rsid w:val="00993601"/>
    <w:rsid w:val="00993A6E"/>
    <w:rsid w:val="00993DE0"/>
    <w:rsid w:val="00993E0C"/>
    <w:rsid w:val="00993EE2"/>
    <w:rsid w:val="00994161"/>
    <w:rsid w:val="009945B0"/>
    <w:rsid w:val="00994606"/>
    <w:rsid w:val="00994F2B"/>
    <w:rsid w:val="009950F4"/>
    <w:rsid w:val="00995775"/>
    <w:rsid w:val="00995AF3"/>
    <w:rsid w:val="00995C7D"/>
    <w:rsid w:val="00995EC7"/>
    <w:rsid w:val="009962EE"/>
    <w:rsid w:val="009963B5"/>
    <w:rsid w:val="0099667C"/>
    <w:rsid w:val="00996D5B"/>
    <w:rsid w:val="00997522"/>
    <w:rsid w:val="009A0CE9"/>
    <w:rsid w:val="009A0DF5"/>
    <w:rsid w:val="009A106F"/>
    <w:rsid w:val="009A14BE"/>
    <w:rsid w:val="009A1A9C"/>
    <w:rsid w:val="009A1BE8"/>
    <w:rsid w:val="009A2091"/>
    <w:rsid w:val="009A3225"/>
    <w:rsid w:val="009A3261"/>
    <w:rsid w:val="009A36CA"/>
    <w:rsid w:val="009A49FB"/>
    <w:rsid w:val="009A4F1A"/>
    <w:rsid w:val="009A5762"/>
    <w:rsid w:val="009A58A3"/>
    <w:rsid w:val="009A5A55"/>
    <w:rsid w:val="009A61F1"/>
    <w:rsid w:val="009A6664"/>
    <w:rsid w:val="009A67CE"/>
    <w:rsid w:val="009A68B1"/>
    <w:rsid w:val="009A6BD7"/>
    <w:rsid w:val="009A73D9"/>
    <w:rsid w:val="009A7EFA"/>
    <w:rsid w:val="009A7F4D"/>
    <w:rsid w:val="009A7FC3"/>
    <w:rsid w:val="009B038C"/>
    <w:rsid w:val="009B09E8"/>
    <w:rsid w:val="009B0EAA"/>
    <w:rsid w:val="009B11B0"/>
    <w:rsid w:val="009B11F1"/>
    <w:rsid w:val="009B15BA"/>
    <w:rsid w:val="009B1796"/>
    <w:rsid w:val="009B1A46"/>
    <w:rsid w:val="009B1A51"/>
    <w:rsid w:val="009B1AF8"/>
    <w:rsid w:val="009B1EE0"/>
    <w:rsid w:val="009B2E47"/>
    <w:rsid w:val="009B3007"/>
    <w:rsid w:val="009B33F8"/>
    <w:rsid w:val="009B37DD"/>
    <w:rsid w:val="009B3A2E"/>
    <w:rsid w:val="009B3A50"/>
    <w:rsid w:val="009B3C2C"/>
    <w:rsid w:val="009B3E9E"/>
    <w:rsid w:val="009B48A5"/>
    <w:rsid w:val="009B4936"/>
    <w:rsid w:val="009B4AC5"/>
    <w:rsid w:val="009B4C48"/>
    <w:rsid w:val="009B5FD7"/>
    <w:rsid w:val="009B63DE"/>
    <w:rsid w:val="009B70EA"/>
    <w:rsid w:val="009B710E"/>
    <w:rsid w:val="009B74CA"/>
    <w:rsid w:val="009B77AA"/>
    <w:rsid w:val="009C00F6"/>
    <w:rsid w:val="009C027B"/>
    <w:rsid w:val="009C0F25"/>
    <w:rsid w:val="009C1116"/>
    <w:rsid w:val="009C15D5"/>
    <w:rsid w:val="009C2C00"/>
    <w:rsid w:val="009C2DE5"/>
    <w:rsid w:val="009C2F8C"/>
    <w:rsid w:val="009C30D7"/>
    <w:rsid w:val="009C336F"/>
    <w:rsid w:val="009C3483"/>
    <w:rsid w:val="009C354A"/>
    <w:rsid w:val="009C39B9"/>
    <w:rsid w:val="009C3BF4"/>
    <w:rsid w:val="009C405B"/>
    <w:rsid w:val="009C4BAF"/>
    <w:rsid w:val="009C4D53"/>
    <w:rsid w:val="009C5936"/>
    <w:rsid w:val="009C59BB"/>
    <w:rsid w:val="009C6BFB"/>
    <w:rsid w:val="009C70A8"/>
    <w:rsid w:val="009C76DD"/>
    <w:rsid w:val="009C77CE"/>
    <w:rsid w:val="009D0624"/>
    <w:rsid w:val="009D1497"/>
    <w:rsid w:val="009D18F4"/>
    <w:rsid w:val="009D1CC9"/>
    <w:rsid w:val="009D234A"/>
    <w:rsid w:val="009D2764"/>
    <w:rsid w:val="009D299E"/>
    <w:rsid w:val="009D2F2D"/>
    <w:rsid w:val="009D332E"/>
    <w:rsid w:val="009D3AF7"/>
    <w:rsid w:val="009D4666"/>
    <w:rsid w:val="009D4E0E"/>
    <w:rsid w:val="009D5A41"/>
    <w:rsid w:val="009D5A45"/>
    <w:rsid w:val="009D5CA6"/>
    <w:rsid w:val="009D6275"/>
    <w:rsid w:val="009D65B3"/>
    <w:rsid w:val="009D6672"/>
    <w:rsid w:val="009D6F7E"/>
    <w:rsid w:val="009D73AE"/>
    <w:rsid w:val="009D7A6E"/>
    <w:rsid w:val="009E07C2"/>
    <w:rsid w:val="009E0CBA"/>
    <w:rsid w:val="009E1036"/>
    <w:rsid w:val="009E18D1"/>
    <w:rsid w:val="009E1DCA"/>
    <w:rsid w:val="009E1F47"/>
    <w:rsid w:val="009E26C4"/>
    <w:rsid w:val="009E29D1"/>
    <w:rsid w:val="009E31F1"/>
    <w:rsid w:val="009E4039"/>
    <w:rsid w:val="009E43F3"/>
    <w:rsid w:val="009E4D4A"/>
    <w:rsid w:val="009E4F87"/>
    <w:rsid w:val="009E4FCA"/>
    <w:rsid w:val="009E5735"/>
    <w:rsid w:val="009E5B5B"/>
    <w:rsid w:val="009E5F4A"/>
    <w:rsid w:val="009E62E9"/>
    <w:rsid w:val="009E633C"/>
    <w:rsid w:val="009E6B16"/>
    <w:rsid w:val="009E6B46"/>
    <w:rsid w:val="009E75E6"/>
    <w:rsid w:val="009E780A"/>
    <w:rsid w:val="009E7FB0"/>
    <w:rsid w:val="009F0510"/>
    <w:rsid w:val="009F0622"/>
    <w:rsid w:val="009F07A7"/>
    <w:rsid w:val="009F0B9D"/>
    <w:rsid w:val="009F1224"/>
    <w:rsid w:val="009F1961"/>
    <w:rsid w:val="009F212D"/>
    <w:rsid w:val="009F241D"/>
    <w:rsid w:val="009F261E"/>
    <w:rsid w:val="009F27E1"/>
    <w:rsid w:val="009F2834"/>
    <w:rsid w:val="009F28C5"/>
    <w:rsid w:val="009F2AC3"/>
    <w:rsid w:val="009F2C41"/>
    <w:rsid w:val="009F31EC"/>
    <w:rsid w:val="009F32FE"/>
    <w:rsid w:val="009F38DE"/>
    <w:rsid w:val="009F3CC1"/>
    <w:rsid w:val="009F3F16"/>
    <w:rsid w:val="009F3F57"/>
    <w:rsid w:val="009F46DC"/>
    <w:rsid w:val="009F4896"/>
    <w:rsid w:val="009F4EF2"/>
    <w:rsid w:val="009F5241"/>
    <w:rsid w:val="009F5485"/>
    <w:rsid w:val="009F5F05"/>
    <w:rsid w:val="009F61CD"/>
    <w:rsid w:val="009F705A"/>
    <w:rsid w:val="009F7218"/>
    <w:rsid w:val="009F77E2"/>
    <w:rsid w:val="009F7B90"/>
    <w:rsid w:val="009F7DD2"/>
    <w:rsid w:val="00A000E5"/>
    <w:rsid w:val="00A0064D"/>
    <w:rsid w:val="00A00DF3"/>
    <w:rsid w:val="00A011DD"/>
    <w:rsid w:val="00A016A9"/>
    <w:rsid w:val="00A01F37"/>
    <w:rsid w:val="00A01F6A"/>
    <w:rsid w:val="00A02223"/>
    <w:rsid w:val="00A02823"/>
    <w:rsid w:val="00A02A5A"/>
    <w:rsid w:val="00A02E45"/>
    <w:rsid w:val="00A02E5E"/>
    <w:rsid w:val="00A03BC6"/>
    <w:rsid w:val="00A03CD5"/>
    <w:rsid w:val="00A03E6D"/>
    <w:rsid w:val="00A04308"/>
    <w:rsid w:val="00A05567"/>
    <w:rsid w:val="00A05A12"/>
    <w:rsid w:val="00A05B15"/>
    <w:rsid w:val="00A05E17"/>
    <w:rsid w:val="00A05F0A"/>
    <w:rsid w:val="00A05FA4"/>
    <w:rsid w:val="00A064A7"/>
    <w:rsid w:val="00A06511"/>
    <w:rsid w:val="00A06C5D"/>
    <w:rsid w:val="00A06DA7"/>
    <w:rsid w:val="00A076CC"/>
    <w:rsid w:val="00A07951"/>
    <w:rsid w:val="00A1036D"/>
    <w:rsid w:val="00A10399"/>
    <w:rsid w:val="00A10A37"/>
    <w:rsid w:val="00A10B72"/>
    <w:rsid w:val="00A10FB6"/>
    <w:rsid w:val="00A11707"/>
    <w:rsid w:val="00A11882"/>
    <w:rsid w:val="00A1211E"/>
    <w:rsid w:val="00A12665"/>
    <w:rsid w:val="00A12A4C"/>
    <w:rsid w:val="00A12E6B"/>
    <w:rsid w:val="00A13A90"/>
    <w:rsid w:val="00A13CF7"/>
    <w:rsid w:val="00A13EDC"/>
    <w:rsid w:val="00A14528"/>
    <w:rsid w:val="00A14548"/>
    <w:rsid w:val="00A1471A"/>
    <w:rsid w:val="00A149B9"/>
    <w:rsid w:val="00A14ACF"/>
    <w:rsid w:val="00A14B6F"/>
    <w:rsid w:val="00A151A6"/>
    <w:rsid w:val="00A157CE"/>
    <w:rsid w:val="00A15853"/>
    <w:rsid w:val="00A161C8"/>
    <w:rsid w:val="00A170DB"/>
    <w:rsid w:val="00A17227"/>
    <w:rsid w:val="00A17695"/>
    <w:rsid w:val="00A17BE8"/>
    <w:rsid w:val="00A20066"/>
    <w:rsid w:val="00A202DD"/>
    <w:rsid w:val="00A2035E"/>
    <w:rsid w:val="00A20AFB"/>
    <w:rsid w:val="00A21286"/>
    <w:rsid w:val="00A21402"/>
    <w:rsid w:val="00A2158B"/>
    <w:rsid w:val="00A217AA"/>
    <w:rsid w:val="00A21EB2"/>
    <w:rsid w:val="00A22C0B"/>
    <w:rsid w:val="00A22E46"/>
    <w:rsid w:val="00A234AD"/>
    <w:rsid w:val="00A236E3"/>
    <w:rsid w:val="00A237E7"/>
    <w:rsid w:val="00A23884"/>
    <w:rsid w:val="00A24BF0"/>
    <w:rsid w:val="00A24E40"/>
    <w:rsid w:val="00A24E8E"/>
    <w:rsid w:val="00A256E8"/>
    <w:rsid w:val="00A263FA"/>
    <w:rsid w:val="00A26C3A"/>
    <w:rsid w:val="00A26E43"/>
    <w:rsid w:val="00A2792C"/>
    <w:rsid w:val="00A27AA7"/>
    <w:rsid w:val="00A27C87"/>
    <w:rsid w:val="00A3005D"/>
    <w:rsid w:val="00A3039B"/>
    <w:rsid w:val="00A30BB4"/>
    <w:rsid w:val="00A30FE6"/>
    <w:rsid w:val="00A31665"/>
    <w:rsid w:val="00A31919"/>
    <w:rsid w:val="00A321B0"/>
    <w:rsid w:val="00A33174"/>
    <w:rsid w:val="00A33483"/>
    <w:rsid w:val="00A33796"/>
    <w:rsid w:val="00A337BA"/>
    <w:rsid w:val="00A33B09"/>
    <w:rsid w:val="00A346A5"/>
    <w:rsid w:val="00A34B99"/>
    <w:rsid w:val="00A352BD"/>
    <w:rsid w:val="00A35587"/>
    <w:rsid w:val="00A35598"/>
    <w:rsid w:val="00A362CB"/>
    <w:rsid w:val="00A363A3"/>
    <w:rsid w:val="00A367E5"/>
    <w:rsid w:val="00A37964"/>
    <w:rsid w:val="00A407AB"/>
    <w:rsid w:val="00A40B4D"/>
    <w:rsid w:val="00A40F78"/>
    <w:rsid w:val="00A41B95"/>
    <w:rsid w:val="00A4266D"/>
    <w:rsid w:val="00A42DF9"/>
    <w:rsid w:val="00A431CE"/>
    <w:rsid w:val="00A435B0"/>
    <w:rsid w:val="00A436CF"/>
    <w:rsid w:val="00A44463"/>
    <w:rsid w:val="00A44B8B"/>
    <w:rsid w:val="00A45311"/>
    <w:rsid w:val="00A4531C"/>
    <w:rsid w:val="00A4539F"/>
    <w:rsid w:val="00A45A1F"/>
    <w:rsid w:val="00A45C78"/>
    <w:rsid w:val="00A4608C"/>
    <w:rsid w:val="00A4632A"/>
    <w:rsid w:val="00A468E0"/>
    <w:rsid w:val="00A4730F"/>
    <w:rsid w:val="00A473B4"/>
    <w:rsid w:val="00A476E1"/>
    <w:rsid w:val="00A47E3E"/>
    <w:rsid w:val="00A508BA"/>
    <w:rsid w:val="00A5139A"/>
    <w:rsid w:val="00A5184E"/>
    <w:rsid w:val="00A51C3A"/>
    <w:rsid w:val="00A51E67"/>
    <w:rsid w:val="00A52257"/>
    <w:rsid w:val="00A52300"/>
    <w:rsid w:val="00A524FA"/>
    <w:rsid w:val="00A52580"/>
    <w:rsid w:val="00A52D5F"/>
    <w:rsid w:val="00A5325B"/>
    <w:rsid w:val="00A5399E"/>
    <w:rsid w:val="00A546CB"/>
    <w:rsid w:val="00A5494D"/>
    <w:rsid w:val="00A54EE5"/>
    <w:rsid w:val="00A54FAF"/>
    <w:rsid w:val="00A557D2"/>
    <w:rsid w:val="00A55810"/>
    <w:rsid w:val="00A55A92"/>
    <w:rsid w:val="00A55C83"/>
    <w:rsid w:val="00A55FFF"/>
    <w:rsid w:val="00A5635E"/>
    <w:rsid w:val="00A56695"/>
    <w:rsid w:val="00A56879"/>
    <w:rsid w:val="00A56AF9"/>
    <w:rsid w:val="00A56F78"/>
    <w:rsid w:val="00A57B35"/>
    <w:rsid w:val="00A6055F"/>
    <w:rsid w:val="00A607E2"/>
    <w:rsid w:val="00A60D5D"/>
    <w:rsid w:val="00A61239"/>
    <w:rsid w:val="00A61357"/>
    <w:rsid w:val="00A6167F"/>
    <w:rsid w:val="00A61769"/>
    <w:rsid w:val="00A618F0"/>
    <w:rsid w:val="00A61976"/>
    <w:rsid w:val="00A61B33"/>
    <w:rsid w:val="00A61FD6"/>
    <w:rsid w:val="00A62C8C"/>
    <w:rsid w:val="00A644E6"/>
    <w:rsid w:val="00A644F3"/>
    <w:rsid w:val="00A647CD"/>
    <w:rsid w:val="00A66A5C"/>
    <w:rsid w:val="00A66AF8"/>
    <w:rsid w:val="00A66B51"/>
    <w:rsid w:val="00A66C46"/>
    <w:rsid w:val="00A66D01"/>
    <w:rsid w:val="00A66DDC"/>
    <w:rsid w:val="00A670FA"/>
    <w:rsid w:val="00A677B6"/>
    <w:rsid w:val="00A67B11"/>
    <w:rsid w:val="00A700AD"/>
    <w:rsid w:val="00A704D8"/>
    <w:rsid w:val="00A71108"/>
    <w:rsid w:val="00A7215C"/>
    <w:rsid w:val="00A722ED"/>
    <w:rsid w:val="00A7239E"/>
    <w:rsid w:val="00A73502"/>
    <w:rsid w:val="00A738E7"/>
    <w:rsid w:val="00A74269"/>
    <w:rsid w:val="00A74DEE"/>
    <w:rsid w:val="00A74F0B"/>
    <w:rsid w:val="00A75175"/>
    <w:rsid w:val="00A75D4D"/>
    <w:rsid w:val="00A764E2"/>
    <w:rsid w:val="00A7694E"/>
    <w:rsid w:val="00A7707C"/>
    <w:rsid w:val="00A77734"/>
    <w:rsid w:val="00A77AB0"/>
    <w:rsid w:val="00A77D66"/>
    <w:rsid w:val="00A8040F"/>
    <w:rsid w:val="00A80445"/>
    <w:rsid w:val="00A80595"/>
    <w:rsid w:val="00A805F2"/>
    <w:rsid w:val="00A80F33"/>
    <w:rsid w:val="00A82296"/>
    <w:rsid w:val="00A826E0"/>
    <w:rsid w:val="00A82BEB"/>
    <w:rsid w:val="00A835F9"/>
    <w:rsid w:val="00A8379C"/>
    <w:rsid w:val="00A837BA"/>
    <w:rsid w:val="00A840DC"/>
    <w:rsid w:val="00A843FD"/>
    <w:rsid w:val="00A85EAB"/>
    <w:rsid w:val="00A86342"/>
    <w:rsid w:val="00A865F9"/>
    <w:rsid w:val="00A86841"/>
    <w:rsid w:val="00A86AFA"/>
    <w:rsid w:val="00A872D0"/>
    <w:rsid w:val="00A905EB"/>
    <w:rsid w:val="00A90629"/>
    <w:rsid w:val="00A90695"/>
    <w:rsid w:val="00A908A1"/>
    <w:rsid w:val="00A90F19"/>
    <w:rsid w:val="00A91C91"/>
    <w:rsid w:val="00A93131"/>
    <w:rsid w:val="00A931FB"/>
    <w:rsid w:val="00A939CB"/>
    <w:rsid w:val="00A93C5B"/>
    <w:rsid w:val="00A94431"/>
    <w:rsid w:val="00A9480E"/>
    <w:rsid w:val="00A94B33"/>
    <w:rsid w:val="00A94C16"/>
    <w:rsid w:val="00A95384"/>
    <w:rsid w:val="00A956EE"/>
    <w:rsid w:val="00A957BE"/>
    <w:rsid w:val="00A9603F"/>
    <w:rsid w:val="00A961C8"/>
    <w:rsid w:val="00A96D2F"/>
    <w:rsid w:val="00A976D6"/>
    <w:rsid w:val="00A97B04"/>
    <w:rsid w:val="00A97C4B"/>
    <w:rsid w:val="00AA07AB"/>
    <w:rsid w:val="00AA10E7"/>
    <w:rsid w:val="00AA12D6"/>
    <w:rsid w:val="00AA15B4"/>
    <w:rsid w:val="00AA1841"/>
    <w:rsid w:val="00AA1BEB"/>
    <w:rsid w:val="00AA2A2D"/>
    <w:rsid w:val="00AA2AFD"/>
    <w:rsid w:val="00AA2B09"/>
    <w:rsid w:val="00AA32B0"/>
    <w:rsid w:val="00AA359A"/>
    <w:rsid w:val="00AA3BAF"/>
    <w:rsid w:val="00AA42F0"/>
    <w:rsid w:val="00AA5D76"/>
    <w:rsid w:val="00AA67D8"/>
    <w:rsid w:val="00AA6B18"/>
    <w:rsid w:val="00AA7573"/>
    <w:rsid w:val="00AA76A6"/>
    <w:rsid w:val="00AB05EE"/>
    <w:rsid w:val="00AB0B71"/>
    <w:rsid w:val="00AB0E04"/>
    <w:rsid w:val="00AB1BAA"/>
    <w:rsid w:val="00AB25D0"/>
    <w:rsid w:val="00AB274D"/>
    <w:rsid w:val="00AB2A1A"/>
    <w:rsid w:val="00AB2DC6"/>
    <w:rsid w:val="00AB2FDF"/>
    <w:rsid w:val="00AB3173"/>
    <w:rsid w:val="00AB336B"/>
    <w:rsid w:val="00AB405C"/>
    <w:rsid w:val="00AB4479"/>
    <w:rsid w:val="00AB5779"/>
    <w:rsid w:val="00AB6561"/>
    <w:rsid w:val="00AB65F1"/>
    <w:rsid w:val="00AB67CA"/>
    <w:rsid w:val="00AB6D85"/>
    <w:rsid w:val="00AB74D3"/>
    <w:rsid w:val="00AB7615"/>
    <w:rsid w:val="00AB7C02"/>
    <w:rsid w:val="00AC008D"/>
    <w:rsid w:val="00AC0BB2"/>
    <w:rsid w:val="00AC0C6A"/>
    <w:rsid w:val="00AC11F9"/>
    <w:rsid w:val="00AC18B6"/>
    <w:rsid w:val="00AC1C28"/>
    <w:rsid w:val="00AC1DA5"/>
    <w:rsid w:val="00AC2250"/>
    <w:rsid w:val="00AC2D7A"/>
    <w:rsid w:val="00AC2FC8"/>
    <w:rsid w:val="00AC34AC"/>
    <w:rsid w:val="00AC35A8"/>
    <w:rsid w:val="00AC38E0"/>
    <w:rsid w:val="00AC5E38"/>
    <w:rsid w:val="00AC61C7"/>
    <w:rsid w:val="00AC6EF2"/>
    <w:rsid w:val="00AC79FE"/>
    <w:rsid w:val="00AD12F1"/>
    <w:rsid w:val="00AD196E"/>
    <w:rsid w:val="00AD1F12"/>
    <w:rsid w:val="00AD1FA3"/>
    <w:rsid w:val="00AD238B"/>
    <w:rsid w:val="00AD26B7"/>
    <w:rsid w:val="00AD37D2"/>
    <w:rsid w:val="00AD3FE1"/>
    <w:rsid w:val="00AD4429"/>
    <w:rsid w:val="00AD49A5"/>
    <w:rsid w:val="00AD4C55"/>
    <w:rsid w:val="00AD4FF4"/>
    <w:rsid w:val="00AD504D"/>
    <w:rsid w:val="00AD5077"/>
    <w:rsid w:val="00AD53E8"/>
    <w:rsid w:val="00AD54A2"/>
    <w:rsid w:val="00AD554A"/>
    <w:rsid w:val="00AD571A"/>
    <w:rsid w:val="00AD5C2A"/>
    <w:rsid w:val="00AD5F2E"/>
    <w:rsid w:val="00AD5F85"/>
    <w:rsid w:val="00AD6069"/>
    <w:rsid w:val="00AD6482"/>
    <w:rsid w:val="00AD6D22"/>
    <w:rsid w:val="00AD6EC5"/>
    <w:rsid w:val="00AD6F11"/>
    <w:rsid w:val="00AD7748"/>
    <w:rsid w:val="00AD7A05"/>
    <w:rsid w:val="00AD7CC3"/>
    <w:rsid w:val="00AD7E0F"/>
    <w:rsid w:val="00AE08B6"/>
    <w:rsid w:val="00AE0938"/>
    <w:rsid w:val="00AE0BEE"/>
    <w:rsid w:val="00AE0D01"/>
    <w:rsid w:val="00AE10EF"/>
    <w:rsid w:val="00AE125B"/>
    <w:rsid w:val="00AE2C5B"/>
    <w:rsid w:val="00AE3212"/>
    <w:rsid w:val="00AE3243"/>
    <w:rsid w:val="00AE3416"/>
    <w:rsid w:val="00AE41C1"/>
    <w:rsid w:val="00AE4426"/>
    <w:rsid w:val="00AE49B4"/>
    <w:rsid w:val="00AE4A80"/>
    <w:rsid w:val="00AE53BD"/>
    <w:rsid w:val="00AE589B"/>
    <w:rsid w:val="00AE5E32"/>
    <w:rsid w:val="00AE642E"/>
    <w:rsid w:val="00AE671C"/>
    <w:rsid w:val="00AE67FB"/>
    <w:rsid w:val="00AE6B08"/>
    <w:rsid w:val="00AE6B77"/>
    <w:rsid w:val="00AE725C"/>
    <w:rsid w:val="00AF0232"/>
    <w:rsid w:val="00AF0577"/>
    <w:rsid w:val="00AF0680"/>
    <w:rsid w:val="00AF0880"/>
    <w:rsid w:val="00AF0986"/>
    <w:rsid w:val="00AF0BE6"/>
    <w:rsid w:val="00AF107D"/>
    <w:rsid w:val="00AF14EB"/>
    <w:rsid w:val="00AF160E"/>
    <w:rsid w:val="00AF2A96"/>
    <w:rsid w:val="00AF2B35"/>
    <w:rsid w:val="00AF3345"/>
    <w:rsid w:val="00AF365A"/>
    <w:rsid w:val="00AF3814"/>
    <w:rsid w:val="00AF39FE"/>
    <w:rsid w:val="00AF4187"/>
    <w:rsid w:val="00AF456A"/>
    <w:rsid w:val="00AF48ED"/>
    <w:rsid w:val="00AF4952"/>
    <w:rsid w:val="00AF4E9E"/>
    <w:rsid w:val="00AF50C7"/>
    <w:rsid w:val="00AF5763"/>
    <w:rsid w:val="00AF64A7"/>
    <w:rsid w:val="00AF64CF"/>
    <w:rsid w:val="00AF69AB"/>
    <w:rsid w:val="00AF71F8"/>
    <w:rsid w:val="00AF72B7"/>
    <w:rsid w:val="00AF7416"/>
    <w:rsid w:val="00AF76A9"/>
    <w:rsid w:val="00B00095"/>
    <w:rsid w:val="00B00AE4"/>
    <w:rsid w:val="00B011D0"/>
    <w:rsid w:val="00B01CF0"/>
    <w:rsid w:val="00B026F6"/>
    <w:rsid w:val="00B029F5"/>
    <w:rsid w:val="00B03050"/>
    <w:rsid w:val="00B030D7"/>
    <w:rsid w:val="00B036E8"/>
    <w:rsid w:val="00B039C3"/>
    <w:rsid w:val="00B03E11"/>
    <w:rsid w:val="00B0430F"/>
    <w:rsid w:val="00B043F4"/>
    <w:rsid w:val="00B057C1"/>
    <w:rsid w:val="00B059EF"/>
    <w:rsid w:val="00B06C68"/>
    <w:rsid w:val="00B07256"/>
    <w:rsid w:val="00B0727C"/>
    <w:rsid w:val="00B07A7C"/>
    <w:rsid w:val="00B07AC7"/>
    <w:rsid w:val="00B07E4B"/>
    <w:rsid w:val="00B07E66"/>
    <w:rsid w:val="00B103D3"/>
    <w:rsid w:val="00B109C5"/>
    <w:rsid w:val="00B11E0C"/>
    <w:rsid w:val="00B11EF3"/>
    <w:rsid w:val="00B1265A"/>
    <w:rsid w:val="00B1365D"/>
    <w:rsid w:val="00B13CC0"/>
    <w:rsid w:val="00B13FE7"/>
    <w:rsid w:val="00B13FE9"/>
    <w:rsid w:val="00B14443"/>
    <w:rsid w:val="00B14DCA"/>
    <w:rsid w:val="00B1534C"/>
    <w:rsid w:val="00B15573"/>
    <w:rsid w:val="00B156C8"/>
    <w:rsid w:val="00B15736"/>
    <w:rsid w:val="00B15C98"/>
    <w:rsid w:val="00B1616E"/>
    <w:rsid w:val="00B1686A"/>
    <w:rsid w:val="00B16D27"/>
    <w:rsid w:val="00B16D30"/>
    <w:rsid w:val="00B16D56"/>
    <w:rsid w:val="00B16E2D"/>
    <w:rsid w:val="00B17640"/>
    <w:rsid w:val="00B200BC"/>
    <w:rsid w:val="00B20221"/>
    <w:rsid w:val="00B20236"/>
    <w:rsid w:val="00B206EB"/>
    <w:rsid w:val="00B20E70"/>
    <w:rsid w:val="00B20EDE"/>
    <w:rsid w:val="00B21441"/>
    <w:rsid w:val="00B22647"/>
    <w:rsid w:val="00B226B3"/>
    <w:rsid w:val="00B22ECA"/>
    <w:rsid w:val="00B22ECF"/>
    <w:rsid w:val="00B230EB"/>
    <w:rsid w:val="00B232CC"/>
    <w:rsid w:val="00B234BC"/>
    <w:rsid w:val="00B238D2"/>
    <w:rsid w:val="00B23D4D"/>
    <w:rsid w:val="00B23F00"/>
    <w:rsid w:val="00B2404E"/>
    <w:rsid w:val="00B24836"/>
    <w:rsid w:val="00B25B5D"/>
    <w:rsid w:val="00B25F13"/>
    <w:rsid w:val="00B25F9F"/>
    <w:rsid w:val="00B26AE7"/>
    <w:rsid w:val="00B26B23"/>
    <w:rsid w:val="00B26CF1"/>
    <w:rsid w:val="00B26D0D"/>
    <w:rsid w:val="00B2782A"/>
    <w:rsid w:val="00B278B6"/>
    <w:rsid w:val="00B30600"/>
    <w:rsid w:val="00B3088A"/>
    <w:rsid w:val="00B30B08"/>
    <w:rsid w:val="00B31335"/>
    <w:rsid w:val="00B317BB"/>
    <w:rsid w:val="00B32BD1"/>
    <w:rsid w:val="00B3335B"/>
    <w:rsid w:val="00B349B0"/>
    <w:rsid w:val="00B34F50"/>
    <w:rsid w:val="00B35985"/>
    <w:rsid w:val="00B35C81"/>
    <w:rsid w:val="00B35E6A"/>
    <w:rsid w:val="00B3622A"/>
    <w:rsid w:val="00B3733A"/>
    <w:rsid w:val="00B37568"/>
    <w:rsid w:val="00B4056A"/>
    <w:rsid w:val="00B40677"/>
    <w:rsid w:val="00B4070A"/>
    <w:rsid w:val="00B40AE1"/>
    <w:rsid w:val="00B412CE"/>
    <w:rsid w:val="00B41520"/>
    <w:rsid w:val="00B41889"/>
    <w:rsid w:val="00B41BDF"/>
    <w:rsid w:val="00B41C8B"/>
    <w:rsid w:val="00B42283"/>
    <w:rsid w:val="00B42B75"/>
    <w:rsid w:val="00B4306D"/>
    <w:rsid w:val="00B43589"/>
    <w:rsid w:val="00B43B00"/>
    <w:rsid w:val="00B4455A"/>
    <w:rsid w:val="00B4483A"/>
    <w:rsid w:val="00B44F04"/>
    <w:rsid w:val="00B4579C"/>
    <w:rsid w:val="00B4626D"/>
    <w:rsid w:val="00B4676B"/>
    <w:rsid w:val="00B47790"/>
    <w:rsid w:val="00B47944"/>
    <w:rsid w:val="00B47BA5"/>
    <w:rsid w:val="00B47F36"/>
    <w:rsid w:val="00B47FFA"/>
    <w:rsid w:val="00B50718"/>
    <w:rsid w:val="00B50AA9"/>
    <w:rsid w:val="00B510C3"/>
    <w:rsid w:val="00B512AF"/>
    <w:rsid w:val="00B514BD"/>
    <w:rsid w:val="00B51812"/>
    <w:rsid w:val="00B51A34"/>
    <w:rsid w:val="00B51D49"/>
    <w:rsid w:val="00B520A5"/>
    <w:rsid w:val="00B5231B"/>
    <w:rsid w:val="00B524DF"/>
    <w:rsid w:val="00B54458"/>
    <w:rsid w:val="00B54578"/>
    <w:rsid w:val="00B547FB"/>
    <w:rsid w:val="00B54850"/>
    <w:rsid w:val="00B55412"/>
    <w:rsid w:val="00B55485"/>
    <w:rsid w:val="00B554CD"/>
    <w:rsid w:val="00B562BF"/>
    <w:rsid w:val="00B562FA"/>
    <w:rsid w:val="00B56F9F"/>
    <w:rsid w:val="00B57A31"/>
    <w:rsid w:val="00B57DDA"/>
    <w:rsid w:val="00B60CFA"/>
    <w:rsid w:val="00B60D26"/>
    <w:rsid w:val="00B60DEF"/>
    <w:rsid w:val="00B6141E"/>
    <w:rsid w:val="00B6221D"/>
    <w:rsid w:val="00B624C2"/>
    <w:rsid w:val="00B62D68"/>
    <w:rsid w:val="00B62E56"/>
    <w:rsid w:val="00B63B7D"/>
    <w:rsid w:val="00B63E2A"/>
    <w:rsid w:val="00B64559"/>
    <w:rsid w:val="00B64B24"/>
    <w:rsid w:val="00B64C3B"/>
    <w:rsid w:val="00B64F04"/>
    <w:rsid w:val="00B65609"/>
    <w:rsid w:val="00B6578B"/>
    <w:rsid w:val="00B65A2D"/>
    <w:rsid w:val="00B65C3C"/>
    <w:rsid w:val="00B65F88"/>
    <w:rsid w:val="00B66403"/>
    <w:rsid w:val="00B665D1"/>
    <w:rsid w:val="00B6685E"/>
    <w:rsid w:val="00B66B4B"/>
    <w:rsid w:val="00B673D5"/>
    <w:rsid w:val="00B67554"/>
    <w:rsid w:val="00B6778E"/>
    <w:rsid w:val="00B678C9"/>
    <w:rsid w:val="00B67BF8"/>
    <w:rsid w:val="00B70043"/>
    <w:rsid w:val="00B70059"/>
    <w:rsid w:val="00B701EE"/>
    <w:rsid w:val="00B70432"/>
    <w:rsid w:val="00B7043C"/>
    <w:rsid w:val="00B70988"/>
    <w:rsid w:val="00B709AC"/>
    <w:rsid w:val="00B70B02"/>
    <w:rsid w:val="00B710FB"/>
    <w:rsid w:val="00B715B2"/>
    <w:rsid w:val="00B71724"/>
    <w:rsid w:val="00B71CA7"/>
    <w:rsid w:val="00B71EEC"/>
    <w:rsid w:val="00B7230A"/>
    <w:rsid w:val="00B724D2"/>
    <w:rsid w:val="00B72951"/>
    <w:rsid w:val="00B736A6"/>
    <w:rsid w:val="00B7392B"/>
    <w:rsid w:val="00B747C7"/>
    <w:rsid w:val="00B74944"/>
    <w:rsid w:val="00B74C84"/>
    <w:rsid w:val="00B74EFF"/>
    <w:rsid w:val="00B751D9"/>
    <w:rsid w:val="00B75D94"/>
    <w:rsid w:val="00B760C6"/>
    <w:rsid w:val="00B765C5"/>
    <w:rsid w:val="00B76D03"/>
    <w:rsid w:val="00B77107"/>
    <w:rsid w:val="00B77247"/>
    <w:rsid w:val="00B774BD"/>
    <w:rsid w:val="00B77517"/>
    <w:rsid w:val="00B77888"/>
    <w:rsid w:val="00B779FE"/>
    <w:rsid w:val="00B77B05"/>
    <w:rsid w:val="00B77E97"/>
    <w:rsid w:val="00B80677"/>
    <w:rsid w:val="00B8182F"/>
    <w:rsid w:val="00B818D1"/>
    <w:rsid w:val="00B81C4A"/>
    <w:rsid w:val="00B81CF1"/>
    <w:rsid w:val="00B823F3"/>
    <w:rsid w:val="00B82893"/>
    <w:rsid w:val="00B837CD"/>
    <w:rsid w:val="00B83983"/>
    <w:rsid w:val="00B8435B"/>
    <w:rsid w:val="00B843AE"/>
    <w:rsid w:val="00B844B7"/>
    <w:rsid w:val="00B845F9"/>
    <w:rsid w:val="00B84CCC"/>
    <w:rsid w:val="00B85042"/>
    <w:rsid w:val="00B85630"/>
    <w:rsid w:val="00B8603D"/>
    <w:rsid w:val="00B868A9"/>
    <w:rsid w:val="00B87D8D"/>
    <w:rsid w:val="00B87E7C"/>
    <w:rsid w:val="00B90F5A"/>
    <w:rsid w:val="00B914D9"/>
    <w:rsid w:val="00B919FC"/>
    <w:rsid w:val="00B9213C"/>
    <w:rsid w:val="00B921E8"/>
    <w:rsid w:val="00B92476"/>
    <w:rsid w:val="00B934BC"/>
    <w:rsid w:val="00B9364B"/>
    <w:rsid w:val="00B93DC2"/>
    <w:rsid w:val="00B9407A"/>
    <w:rsid w:val="00B942A3"/>
    <w:rsid w:val="00B9479D"/>
    <w:rsid w:val="00B94868"/>
    <w:rsid w:val="00B94B97"/>
    <w:rsid w:val="00B94F51"/>
    <w:rsid w:val="00B955E4"/>
    <w:rsid w:val="00B956C9"/>
    <w:rsid w:val="00B9593A"/>
    <w:rsid w:val="00B963AD"/>
    <w:rsid w:val="00B96420"/>
    <w:rsid w:val="00B96806"/>
    <w:rsid w:val="00B96A12"/>
    <w:rsid w:val="00B96DDF"/>
    <w:rsid w:val="00B97066"/>
    <w:rsid w:val="00BA0022"/>
    <w:rsid w:val="00BA0075"/>
    <w:rsid w:val="00BA087B"/>
    <w:rsid w:val="00BA0E82"/>
    <w:rsid w:val="00BA18CA"/>
    <w:rsid w:val="00BA1A93"/>
    <w:rsid w:val="00BA1D2C"/>
    <w:rsid w:val="00BA2BEB"/>
    <w:rsid w:val="00BA2DE1"/>
    <w:rsid w:val="00BA3D32"/>
    <w:rsid w:val="00BA3E74"/>
    <w:rsid w:val="00BA3E91"/>
    <w:rsid w:val="00BA482A"/>
    <w:rsid w:val="00BA4CCD"/>
    <w:rsid w:val="00BA4EB3"/>
    <w:rsid w:val="00BA5447"/>
    <w:rsid w:val="00BA5736"/>
    <w:rsid w:val="00BA5CAB"/>
    <w:rsid w:val="00BA5FE9"/>
    <w:rsid w:val="00BA67F0"/>
    <w:rsid w:val="00BA6951"/>
    <w:rsid w:val="00BA695E"/>
    <w:rsid w:val="00BA726E"/>
    <w:rsid w:val="00BA77EF"/>
    <w:rsid w:val="00BA785A"/>
    <w:rsid w:val="00BA7891"/>
    <w:rsid w:val="00BA78EA"/>
    <w:rsid w:val="00BB0376"/>
    <w:rsid w:val="00BB06A0"/>
    <w:rsid w:val="00BB0976"/>
    <w:rsid w:val="00BB1944"/>
    <w:rsid w:val="00BB1E52"/>
    <w:rsid w:val="00BB23AA"/>
    <w:rsid w:val="00BB25B9"/>
    <w:rsid w:val="00BB2EAF"/>
    <w:rsid w:val="00BB4BB2"/>
    <w:rsid w:val="00BB5914"/>
    <w:rsid w:val="00BB5C16"/>
    <w:rsid w:val="00BB610C"/>
    <w:rsid w:val="00BB7316"/>
    <w:rsid w:val="00BB7975"/>
    <w:rsid w:val="00BC00CF"/>
    <w:rsid w:val="00BC041F"/>
    <w:rsid w:val="00BC0A3E"/>
    <w:rsid w:val="00BC12BA"/>
    <w:rsid w:val="00BC1348"/>
    <w:rsid w:val="00BC13B0"/>
    <w:rsid w:val="00BC1BB5"/>
    <w:rsid w:val="00BC1EF4"/>
    <w:rsid w:val="00BC258E"/>
    <w:rsid w:val="00BC2781"/>
    <w:rsid w:val="00BC2A7A"/>
    <w:rsid w:val="00BC2CC2"/>
    <w:rsid w:val="00BC2EB6"/>
    <w:rsid w:val="00BC2F38"/>
    <w:rsid w:val="00BC2F7E"/>
    <w:rsid w:val="00BC32A4"/>
    <w:rsid w:val="00BC397F"/>
    <w:rsid w:val="00BC4BDE"/>
    <w:rsid w:val="00BC54B3"/>
    <w:rsid w:val="00BC567D"/>
    <w:rsid w:val="00BC5C9F"/>
    <w:rsid w:val="00BC6A18"/>
    <w:rsid w:val="00BC6E8C"/>
    <w:rsid w:val="00BC7246"/>
    <w:rsid w:val="00BC7D46"/>
    <w:rsid w:val="00BC7F1B"/>
    <w:rsid w:val="00BD053F"/>
    <w:rsid w:val="00BD20B5"/>
    <w:rsid w:val="00BD21C3"/>
    <w:rsid w:val="00BD2723"/>
    <w:rsid w:val="00BD280A"/>
    <w:rsid w:val="00BD2A34"/>
    <w:rsid w:val="00BD2E14"/>
    <w:rsid w:val="00BD30A0"/>
    <w:rsid w:val="00BD3C87"/>
    <w:rsid w:val="00BD4067"/>
    <w:rsid w:val="00BD4547"/>
    <w:rsid w:val="00BD4583"/>
    <w:rsid w:val="00BD493B"/>
    <w:rsid w:val="00BD4ACC"/>
    <w:rsid w:val="00BD5729"/>
    <w:rsid w:val="00BD584D"/>
    <w:rsid w:val="00BD5C8D"/>
    <w:rsid w:val="00BD64CB"/>
    <w:rsid w:val="00BD6593"/>
    <w:rsid w:val="00BD7032"/>
    <w:rsid w:val="00BD72AF"/>
    <w:rsid w:val="00BD7BE2"/>
    <w:rsid w:val="00BD7CF3"/>
    <w:rsid w:val="00BE1389"/>
    <w:rsid w:val="00BE19A5"/>
    <w:rsid w:val="00BE1E0E"/>
    <w:rsid w:val="00BE2786"/>
    <w:rsid w:val="00BE2BDF"/>
    <w:rsid w:val="00BE2DFD"/>
    <w:rsid w:val="00BE3440"/>
    <w:rsid w:val="00BE3513"/>
    <w:rsid w:val="00BE41E4"/>
    <w:rsid w:val="00BE4527"/>
    <w:rsid w:val="00BE4704"/>
    <w:rsid w:val="00BE481A"/>
    <w:rsid w:val="00BE4A5F"/>
    <w:rsid w:val="00BE4DE5"/>
    <w:rsid w:val="00BE5AB3"/>
    <w:rsid w:val="00BE5B36"/>
    <w:rsid w:val="00BE5E53"/>
    <w:rsid w:val="00BE5F40"/>
    <w:rsid w:val="00BE5FCA"/>
    <w:rsid w:val="00BE6DB0"/>
    <w:rsid w:val="00BE7AF0"/>
    <w:rsid w:val="00BF0321"/>
    <w:rsid w:val="00BF086D"/>
    <w:rsid w:val="00BF0E5E"/>
    <w:rsid w:val="00BF11A8"/>
    <w:rsid w:val="00BF26B3"/>
    <w:rsid w:val="00BF2C05"/>
    <w:rsid w:val="00BF2E48"/>
    <w:rsid w:val="00BF3A9B"/>
    <w:rsid w:val="00BF3B35"/>
    <w:rsid w:val="00BF44EA"/>
    <w:rsid w:val="00BF44F3"/>
    <w:rsid w:val="00BF4901"/>
    <w:rsid w:val="00BF537C"/>
    <w:rsid w:val="00BF5EC0"/>
    <w:rsid w:val="00BF73F9"/>
    <w:rsid w:val="00BF7BE9"/>
    <w:rsid w:val="00C00554"/>
    <w:rsid w:val="00C00609"/>
    <w:rsid w:val="00C00FF4"/>
    <w:rsid w:val="00C015B1"/>
    <w:rsid w:val="00C01665"/>
    <w:rsid w:val="00C02047"/>
    <w:rsid w:val="00C023D8"/>
    <w:rsid w:val="00C02637"/>
    <w:rsid w:val="00C030DF"/>
    <w:rsid w:val="00C030E3"/>
    <w:rsid w:val="00C038AA"/>
    <w:rsid w:val="00C03F9E"/>
    <w:rsid w:val="00C046EC"/>
    <w:rsid w:val="00C04827"/>
    <w:rsid w:val="00C04869"/>
    <w:rsid w:val="00C04ED0"/>
    <w:rsid w:val="00C05419"/>
    <w:rsid w:val="00C0612C"/>
    <w:rsid w:val="00C064B5"/>
    <w:rsid w:val="00C0669A"/>
    <w:rsid w:val="00C068D2"/>
    <w:rsid w:val="00C073E9"/>
    <w:rsid w:val="00C0749B"/>
    <w:rsid w:val="00C07561"/>
    <w:rsid w:val="00C075C6"/>
    <w:rsid w:val="00C07DB7"/>
    <w:rsid w:val="00C07E2E"/>
    <w:rsid w:val="00C07ED0"/>
    <w:rsid w:val="00C07EEA"/>
    <w:rsid w:val="00C07FDB"/>
    <w:rsid w:val="00C1070C"/>
    <w:rsid w:val="00C10D2A"/>
    <w:rsid w:val="00C11DF3"/>
    <w:rsid w:val="00C12024"/>
    <w:rsid w:val="00C127D4"/>
    <w:rsid w:val="00C1286B"/>
    <w:rsid w:val="00C130C6"/>
    <w:rsid w:val="00C132FF"/>
    <w:rsid w:val="00C13490"/>
    <w:rsid w:val="00C13D7B"/>
    <w:rsid w:val="00C14176"/>
    <w:rsid w:val="00C1466A"/>
    <w:rsid w:val="00C148A0"/>
    <w:rsid w:val="00C156A8"/>
    <w:rsid w:val="00C16620"/>
    <w:rsid w:val="00C16F3C"/>
    <w:rsid w:val="00C17077"/>
    <w:rsid w:val="00C17D9D"/>
    <w:rsid w:val="00C2018F"/>
    <w:rsid w:val="00C20FAB"/>
    <w:rsid w:val="00C2107B"/>
    <w:rsid w:val="00C210D8"/>
    <w:rsid w:val="00C211DB"/>
    <w:rsid w:val="00C21953"/>
    <w:rsid w:val="00C21D8D"/>
    <w:rsid w:val="00C222D5"/>
    <w:rsid w:val="00C22320"/>
    <w:rsid w:val="00C22C72"/>
    <w:rsid w:val="00C23580"/>
    <w:rsid w:val="00C23B3A"/>
    <w:rsid w:val="00C24273"/>
    <w:rsid w:val="00C245BB"/>
    <w:rsid w:val="00C24E7D"/>
    <w:rsid w:val="00C25171"/>
    <w:rsid w:val="00C25543"/>
    <w:rsid w:val="00C25810"/>
    <w:rsid w:val="00C25839"/>
    <w:rsid w:val="00C263DE"/>
    <w:rsid w:val="00C265AA"/>
    <w:rsid w:val="00C266BD"/>
    <w:rsid w:val="00C26DDE"/>
    <w:rsid w:val="00C26E0A"/>
    <w:rsid w:val="00C26FE5"/>
    <w:rsid w:val="00C27F98"/>
    <w:rsid w:val="00C3013A"/>
    <w:rsid w:val="00C3052A"/>
    <w:rsid w:val="00C30609"/>
    <w:rsid w:val="00C30726"/>
    <w:rsid w:val="00C307D5"/>
    <w:rsid w:val="00C30D13"/>
    <w:rsid w:val="00C31897"/>
    <w:rsid w:val="00C3199F"/>
    <w:rsid w:val="00C31DBF"/>
    <w:rsid w:val="00C3207B"/>
    <w:rsid w:val="00C32461"/>
    <w:rsid w:val="00C325AB"/>
    <w:rsid w:val="00C334DF"/>
    <w:rsid w:val="00C336A1"/>
    <w:rsid w:val="00C33770"/>
    <w:rsid w:val="00C337DB"/>
    <w:rsid w:val="00C34A9A"/>
    <w:rsid w:val="00C34AD2"/>
    <w:rsid w:val="00C34D75"/>
    <w:rsid w:val="00C35060"/>
    <w:rsid w:val="00C35319"/>
    <w:rsid w:val="00C3534E"/>
    <w:rsid w:val="00C35DEB"/>
    <w:rsid w:val="00C35F6C"/>
    <w:rsid w:val="00C36DDC"/>
    <w:rsid w:val="00C36F8B"/>
    <w:rsid w:val="00C3765E"/>
    <w:rsid w:val="00C376E3"/>
    <w:rsid w:val="00C402AE"/>
    <w:rsid w:val="00C40F7F"/>
    <w:rsid w:val="00C410EF"/>
    <w:rsid w:val="00C41990"/>
    <w:rsid w:val="00C42BEF"/>
    <w:rsid w:val="00C43406"/>
    <w:rsid w:val="00C43471"/>
    <w:rsid w:val="00C4402F"/>
    <w:rsid w:val="00C4455E"/>
    <w:rsid w:val="00C44612"/>
    <w:rsid w:val="00C457F5"/>
    <w:rsid w:val="00C46B37"/>
    <w:rsid w:val="00C46C71"/>
    <w:rsid w:val="00C4717C"/>
    <w:rsid w:val="00C47ACC"/>
    <w:rsid w:val="00C47B8A"/>
    <w:rsid w:val="00C50327"/>
    <w:rsid w:val="00C50C2D"/>
    <w:rsid w:val="00C50D81"/>
    <w:rsid w:val="00C51043"/>
    <w:rsid w:val="00C511F4"/>
    <w:rsid w:val="00C51282"/>
    <w:rsid w:val="00C51665"/>
    <w:rsid w:val="00C5199F"/>
    <w:rsid w:val="00C52985"/>
    <w:rsid w:val="00C52C62"/>
    <w:rsid w:val="00C534F0"/>
    <w:rsid w:val="00C53B57"/>
    <w:rsid w:val="00C53E8E"/>
    <w:rsid w:val="00C53EF4"/>
    <w:rsid w:val="00C540DF"/>
    <w:rsid w:val="00C543CE"/>
    <w:rsid w:val="00C544BE"/>
    <w:rsid w:val="00C544F3"/>
    <w:rsid w:val="00C54970"/>
    <w:rsid w:val="00C54A1A"/>
    <w:rsid w:val="00C54BDE"/>
    <w:rsid w:val="00C54CA9"/>
    <w:rsid w:val="00C54F03"/>
    <w:rsid w:val="00C551CA"/>
    <w:rsid w:val="00C557C2"/>
    <w:rsid w:val="00C56533"/>
    <w:rsid w:val="00C56581"/>
    <w:rsid w:val="00C56B25"/>
    <w:rsid w:val="00C57553"/>
    <w:rsid w:val="00C577DC"/>
    <w:rsid w:val="00C579BE"/>
    <w:rsid w:val="00C57A24"/>
    <w:rsid w:val="00C57C9B"/>
    <w:rsid w:val="00C601ED"/>
    <w:rsid w:val="00C6067C"/>
    <w:rsid w:val="00C60B17"/>
    <w:rsid w:val="00C60B93"/>
    <w:rsid w:val="00C620E9"/>
    <w:rsid w:val="00C62227"/>
    <w:rsid w:val="00C626CF"/>
    <w:rsid w:val="00C627F0"/>
    <w:rsid w:val="00C62E17"/>
    <w:rsid w:val="00C63663"/>
    <w:rsid w:val="00C64660"/>
    <w:rsid w:val="00C649A0"/>
    <w:rsid w:val="00C64FFB"/>
    <w:rsid w:val="00C655F4"/>
    <w:rsid w:val="00C65C8A"/>
    <w:rsid w:val="00C66DF1"/>
    <w:rsid w:val="00C672CB"/>
    <w:rsid w:val="00C67343"/>
    <w:rsid w:val="00C67654"/>
    <w:rsid w:val="00C677F8"/>
    <w:rsid w:val="00C72302"/>
    <w:rsid w:val="00C724A5"/>
    <w:rsid w:val="00C72557"/>
    <w:rsid w:val="00C72B55"/>
    <w:rsid w:val="00C72C1D"/>
    <w:rsid w:val="00C72EC8"/>
    <w:rsid w:val="00C7361A"/>
    <w:rsid w:val="00C74C0C"/>
    <w:rsid w:val="00C74CF2"/>
    <w:rsid w:val="00C759F3"/>
    <w:rsid w:val="00C76668"/>
    <w:rsid w:val="00C76759"/>
    <w:rsid w:val="00C7677C"/>
    <w:rsid w:val="00C7685A"/>
    <w:rsid w:val="00C76AD8"/>
    <w:rsid w:val="00C7704E"/>
    <w:rsid w:val="00C773CF"/>
    <w:rsid w:val="00C77E95"/>
    <w:rsid w:val="00C80096"/>
    <w:rsid w:val="00C8030A"/>
    <w:rsid w:val="00C8031A"/>
    <w:rsid w:val="00C80B0E"/>
    <w:rsid w:val="00C80EAA"/>
    <w:rsid w:val="00C818F4"/>
    <w:rsid w:val="00C81D46"/>
    <w:rsid w:val="00C822F3"/>
    <w:rsid w:val="00C823C5"/>
    <w:rsid w:val="00C83DDC"/>
    <w:rsid w:val="00C84DC7"/>
    <w:rsid w:val="00C85099"/>
    <w:rsid w:val="00C860FA"/>
    <w:rsid w:val="00C862D5"/>
    <w:rsid w:val="00C866D5"/>
    <w:rsid w:val="00C869EA"/>
    <w:rsid w:val="00C86F5D"/>
    <w:rsid w:val="00C86FCD"/>
    <w:rsid w:val="00C90193"/>
    <w:rsid w:val="00C90E0C"/>
    <w:rsid w:val="00C915F7"/>
    <w:rsid w:val="00C92300"/>
    <w:rsid w:val="00C9298C"/>
    <w:rsid w:val="00C93387"/>
    <w:rsid w:val="00C93C06"/>
    <w:rsid w:val="00C9447F"/>
    <w:rsid w:val="00C94509"/>
    <w:rsid w:val="00C94B0F"/>
    <w:rsid w:val="00C94F75"/>
    <w:rsid w:val="00C9528B"/>
    <w:rsid w:val="00C95861"/>
    <w:rsid w:val="00C96439"/>
    <w:rsid w:val="00C97128"/>
    <w:rsid w:val="00C97F77"/>
    <w:rsid w:val="00CA0448"/>
    <w:rsid w:val="00CA05D6"/>
    <w:rsid w:val="00CA06CA"/>
    <w:rsid w:val="00CA0C19"/>
    <w:rsid w:val="00CA0E32"/>
    <w:rsid w:val="00CA2884"/>
    <w:rsid w:val="00CA337E"/>
    <w:rsid w:val="00CA3C24"/>
    <w:rsid w:val="00CA3CFF"/>
    <w:rsid w:val="00CA44B1"/>
    <w:rsid w:val="00CA53B8"/>
    <w:rsid w:val="00CA5407"/>
    <w:rsid w:val="00CA5C14"/>
    <w:rsid w:val="00CA5E1E"/>
    <w:rsid w:val="00CA6471"/>
    <w:rsid w:val="00CA6916"/>
    <w:rsid w:val="00CA70EE"/>
    <w:rsid w:val="00CA73E0"/>
    <w:rsid w:val="00CA765F"/>
    <w:rsid w:val="00CA770A"/>
    <w:rsid w:val="00CA7F1B"/>
    <w:rsid w:val="00CB04C8"/>
    <w:rsid w:val="00CB1757"/>
    <w:rsid w:val="00CB1830"/>
    <w:rsid w:val="00CB19AD"/>
    <w:rsid w:val="00CB1B61"/>
    <w:rsid w:val="00CB1DA0"/>
    <w:rsid w:val="00CB1EA9"/>
    <w:rsid w:val="00CB20A3"/>
    <w:rsid w:val="00CB235D"/>
    <w:rsid w:val="00CB2A30"/>
    <w:rsid w:val="00CB2ADF"/>
    <w:rsid w:val="00CB38A5"/>
    <w:rsid w:val="00CB3950"/>
    <w:rsid w:val="00CB44E1"/>
    <w:rsid w:val="00CB51E9"/>
    <w:rsid w:val="00CB57EE"/>
    <w:rsid w:val="00CB5959"/>
    <w:rsid w:val="00CB5E30"/>
    <w:rsid w:val="00CB61ED"/>
    <w:rsid w:val="00CB6C7F"/>
    <w:rsid w:val="00CB7827"/>
    <w:rsid w:val="00CB7B45"/>
    <w:rsid w:val="00CB7B84"/>
    <w:rsid w:val="00CC04D4"/>
    <w:rsid w:val="00CC0644"/>
    <w:rsid w:val="00CC1033"/>
    <w:rsid w:val="00CC1444"/>
    <w:rsid w:val="00CC15C2"/>
    <w:rsid w:val="00CC1A76"/>
    <w:rsid w:val="00CC1BE7"/>
    <w:rsid w:val="00CC2BC5"/>
    <w:rsid w:val="00CC2E57"/>
    <w:rsid w:val="00CC34D6"/>
    <w:rsid w:val="00CC3AAD"/>
    <w:rsid w:val="00CC3B4F"/>
    <w:rsid w:val="00CC409D"/>
    <w:rsid w:val="00CC468A"/>
    <w:rsid w:val="00CC4827"/>
    <w:rsid w:val="00CC4AEB"/>
    <w:rsid w:val="00CC4E04"/>
    <w:rsid w:val="00CC4E8A"/>
    <w:rsid w:val="00CC4FCD"/>
    <w:rsid w:val="00CC5461"/>
    <w:rsid w:val="00CC5841"/>
    <w:rsid w:val="00CC600E"/>
    <w:rsid w:val="00CC6FC1"/>
    <w:rsid w:val="00CC7687"/>
    <w:rsid w:val="00CC7D8E"/>
    <w:rsid w:val="00CC7F53"/>
    <w:rsid w:val="00CD04A3"/>
    <w:rsid w:val="00CD07A3"/>
    <w:rsid w:val="00CD0F68"/>
    <w:rsid w:val="00CD1206"/>
    <w:rsid w:val="00CD1299"/>
    <w:rsid w:val="00CD1461"/>
    <w:rsid w:val="00CD33BA"/>
    <w:rsid w:val="00CD3FEC"/>
    <w:rsid w:val="00CD4007"/>
    <w:rsid w:val="00CD41AA"/>
    <w:rsid w:val="00CD4823"/>
    <w:rsid w:val="00CD4862"/>
    <w:rsid w:val="00CD4C7D"/>
    <w:rsid w:val="00CD4DAA"/>
    <w:rsid w:val="00CD51AE"/>
    <w:rsid w:val="00CD5413"/>
    <w:rsid w:val="00CD55E0"/>
    <w:rsid w:val="00CD674E"/>
    <w:rsid w:val="00CD6EE8"/>
    <w:rsid w:val="00CD7610"/>
    <w:rsid w:val="00CE06B9"/>
    <w:rsid w:val="00CE0779"/>
    <w:rsid w:val="00CE0C22"/>
    <w:rsid w:val="00CE0CC0"/>
    <w:rsid w:val="00CE1666"/>
    <w:rsid w:val="00CE185D"/>
    <w:rsid w:val="00CE18B8"/>
    <w:rsid w:val="00CE1DCB"/>
    <w:rsid w:val="00CE20BF"/>
    <w:rsid w:val="00CE292B"/>
    <w:rsid w:val="00CE3279"/>
    <w:rsid w:val="00CE33EA"/>
    <w:rsid w:val="00CE4260"/>
    <w:rsid w:val="00CE4486"/>
    <w:rsid w:val="00CE48D6"/>
    <w:rsid w:val="00CE4EFE"/>
    <w:rsid w:val="00CE5039"/>
    <w:rsid w:val="00CE5126"/>
    <w:rsid w:val="00CE56DD"/>
    <w:rsid w:val="00CE5DE4"/>
    <w:rsid w:val="00CE620D"/>
    <w:rsid w:val="00CE6476"/>
    <w:rsid w:val="00CE78F1"/>
    <w:rsid w:val="00CE7DA2"/>
    <w:rsid w:val="00CF01E2"/>
    <w:rsid w:val="00CF0DF9"/>
    <w:rsid w:val="00CF13DA"/>
    <w:rsid w:val="00CF173A"/>
    <w:rsid w:val="00CF22B7"/>
    <w:rsid w:val="00CF2829"/>
    <w:rsid w:val="00CF33EB"/>
    <w:rsid w:val="00CF38FD"/>
    <w:rsid w:val="00CF39CB"/>
    <w:rsid w:val="00CF3D48"/>
    <w:rsid w:val="00CF3D71"/>
    <w:rsid w:val="00CF459B"/>
    <w:rsid w:val="00CF4805"/>
    <w:rsid w:val="00CF5A09"/>
    <w:rsid w:val="00CF61F8"/>
    <w:rsid w:val="00CF63DD"/>
    <w:rsid w:val="00CF6D14"/>
    <w:rsid w:val="00CF6DB2"/>
    <w:rsid w:val="00CF7A60"/>
    <w:rsid w:val="00CF7BF4"/>
    <w:rsid w:val="00CF7C4B"/>
    <w:rsid w:val="00D0022F"/>
    <w:rsid w:val="00D0036F"/>
    <w:rsid w:val="00D003AB"/>
    <w:rsid w:val="00D005B8"/>
    <w:rsid w:val="00D0098A"/>
    <w:rsid w:val="00D00DED"/>
    <w:rsid w:val="00D00E34"/>
    <w:rsid w:val="00D0185F"/>
    <w:rsid w:val="00D018A6"/>
    <w:rsid w:val="00D01C78"/>
    <w:rsid w:val="00D0200C"/>
    <w:rsid w:val="00D02257"/>
    <w:rsid w:val="00D02C44"/>
    <w:rsid w:val="00D032E0"/>
    <w:rsid w:val="00D03421"/>
    <w:rsid w:val="00D038A4"/>
    <w:rsid w:val="00D0399B"/>
    <w:rsid w:val="00D03B13"/>
    <w:rsid w:val="00D03F53"/>
    <w:rsid w:val="00D0515E"/>
    <w:rsid w:val="00D05EFA"/>
    <w:rsid w:val="00D0630F"/>
    <w:rsid w:val="00D06C3A"/>
    <w:rsid w:val="00D06C6E"/>
    <w:rsid w:val="00D06FFB"/>
    <w:rsid w:val="00D07C43"/>
    <w:rsid w:val="00D1008F"/>
    <w:rsid w:val="00D10632"/>
    <w:rsid w:val="00D109AB"/>
    <w:rsid w:val="00D118EE"/>
    <w:rsid w:val="00D11A6E"/>
    <w:rsid w:val="00D121D3"/>
    <w:rsid w:val="00D126B8"/>
    <w:rsid w:val="00D129E2"/>
    <w:rsid w:val="00D12B13"/>
    <w:rsid w:val="00D12D6A"/>
    <w:rsid w:val="00D13DF1"/>
    <w:rsid w:val="00D151DC"/>
    <w:rsid w:val="00D159ED"/>
    <w:rsid w:val="00D162F8"/>
    <w:rsid w:val="00D16BC6"/>
    <w:rsid w:val="00D176A1"/>
    <w:rsid w:val="00D178BE"/>
    <w:rsid w:val="00D178E9"/>
    <w:rsid w:val="00D17F44"/>
    <w:rsid w:val="00D2026A"/>
    <w:rsid w:val="00D209F0"/>
    <w:rsid w:val="00D20F73"/>
    <w:rsid w:val="00D2136E"/>
    <w:rsid w:val="00D21941"/>
    <w:rsid w:val="00D21D85"/>
    <w:rsid w:val="00D2219E"/>
    <w:rsid w:val="00D22442"/>
    <w:rsid w:val="00D2271A"/>
    <w:rsid w:val="00D230CE"/>
    <w:rsid w:val="00D248F8"/>
    <w:rsid w:val="00D24982"/>
    <w:rsid w:val="00D24986"/>
    <w:rsid w:val="00D24B5C"/>
    <w:rsid w:val="00D25645"/>
    <w:rsid w:val="00D25DB6"/>
    <w:rsid w:val="00D25FB9"/>
    <w:rsid w:val="00D26219"/>
    <w:rsid w:val="00D2652E"/>
    <w:rsid w:val="00D265EB"/>
    <w:rsid w:val="00D26D3F"/>
    <w:rsid w:val="00D27065"/>
    <w:rsid w:val="00D2707C"/>
    <w:rsid w:val="00D274BA"/>
    <w:rsid w:val="00D279F9"/>
    <w:rsid w:val="00D27C2D"/>
    <w:rsid w:val="00D27D5A"/>
    <w:rsid w:val="00D304F7"/>
    <w:rsid w:val="00D311BD"/>
    <w:rsid w:val="00D31705"/>
    <w:rsid w:val="00D3289B"/>
    <w:rsid w:val="00D32996"/>
    <w:rsid w:val="00D32BEA"/>
    <w:rsid w:val="00D32D62"/>
    <w:rsid w:val="00D3320E"/>
    <w:rsid w:val="00D33730"/>
    <w:rsid w:val="00D33CE3"/>
    <w:rsid w:val="00D33EA6"/>
    <w:rsid w:val="00D34885"/>
    <w:rsid w:val="00D3500B"/>
    <w:rsid w:val="00D356D3"/>
    <w:rsid w:val="00D359D5"/>
    <w:rsid w:val="00D35E92"/>
    <w:rsid w:val="00D35EA9"/>
    <w:rsid w:val="00D362B0"/>
    <w:rsid w:val="00D36378"/>
    <w:rsid w:val="00D367AC"/>
    <w:rsid w:val="00D37518"/>
    <w:rsid w:val="00D375C7"/>
    <w:rsid w:val="00D37894"/>
    <w:rsid w:val="00D37CD5"/>
    <w:rsid w:val="00D37DC4"/>
    <w:rsid w:val="00D40300"/>
    <w:rsid w:val="00D40464"/>
    <w:rsid w:val="00D4081C"/>
    <w:rsid w:val="00D40C52"/>
    <w:rsid w:val="00D40DC7"/>
    <w:rsid w:val="00D41679"/>
    <w:rsid w:val="00D421A1"/>
    <w:rsid w:val="00D4254B"/>
    <w:rsid w:val="00D42F5A"/>
    <w:rsid w:val="00D4385E"/>
    <w:rsid w:val="00D43A7E"/>
    <w:rsid w:val="00D44126"/>
    <w:rsid w:val="00D442E5"/>
    <w:rsid w:val="00D44F32"/>
    <w:rsid w:val="00D44FD9"/>
    <w:rsid w:val="00D45467"/>
    <w:rsid w:val="00D456D6"/>
    <w:rsid w:val="00D45B8B"/>
    <w:rsid w:val="00D46149"/>
    <w:rsid w:val="00D46452"/>
    <w:rsid w:val="00D466EA"/>
    <w:rsid w:val="00D47C9F"/>
    <w:rsid w:val="00D50513"/>
    <w:rsid w:val="00D5134A"/>
    <w:rsid w:val="00D5145B"/>
    <w:rsid w:val="00D51D26"/>
    <w:rsid w:val="00D51DBA"/>
    <w:rsid w:val="00D521FE"/>
    <w:rsid w:val="00D525D6"/>
    <w:rsid w:val="00D52CA1"/>
    <w:rsid w:val="00D52CE5"/>
    <w:rsid w:val="00D5300B"/>
    <w:rsid w:val="00D53161"/>
    <w:rsid w:val="00D53B26"/>
    <w:rsid w:val="00D557FA"/>
    <w:rsid w:val="00D55CFA"/>
    <w:rsid w:val="00D55ECC"/>
    <w:rsid w:val="00D55F11"/>
    <w:rsid w:val="00D5691D"/>
    <w:rsid w:val="00D56AEE"/>
    <w:rsid w:val="00D56E14"/>
    <w:rsid w:val="00D56E67"/>
    <w:rsid w:val="00D56FD6"/>
    <w:rsid w:val="00D57331"/>
    <w:rsid w:val="00D57386"/>
    <w:rsid w:val="00D5753F"/>
    <w:rsid w:val="00D57B55"/>
    <w:rsid w:val="00D600AA"/>
    <w:rsid w:val="00D60E59"/>
    <w:rsid w:val="00D617D1"/>
    <w:rsid w:val="00D62979"/>
    <w:rsid w:val="00D62AA5"/>
    <w:rsid w:val="00D62D4B"/>
    <w:rsid w:val="00D62D66"/>
    <w:rsid w:val="00D636E7"/>
    <w:rsid w:val="00D63B10"/>
    <w:rsid w:val="00D64168"/>
    <w:rsid w:val="00D6441D"/>
    <w:rsid w:val="00D64762"/>
    <w:rsid w:val="00D65099"/>
    <w:rsid w:val="00D65286"/>
    <w:rsid w:val="00D66393"/>
    <w:rsid w:val="00D6642F"/>
    <w:rsid w:val="00D66575"/>
    <w:rsid w:val="00D668DE"/>
    <w:rsid w:val="00D67642"/>
    <w:rsid w:val="00D70A14"/>
    <w:rsid w:val="00D7159B"/>
    <w:rsid w:val="00D72136"/>
    <w:rsid w:val="00D72952"/>
    <w:rsid w:val="00D72D31"/>
    <w:rsid w:val="00D73082"/>
    <w:rsid w:val="00D738FE"/>
    <w:rsid w:val="00D7444C"/>
    <w:rsid w:val="00D7515C"/>
    <w:rsid w:val="00D754D4"/>
    <w:rsid w:val="00D75F46"/>
    <w:rsid w:val="00D75FCF"/>
    <w:rsid w:val="00D76FC0"/>
    <w:rsid w:val="00D7771F"/>
    <w:rsid w:val="00D77E07"/>
    <w:rsid w:val="00D8150F"/>
    <w:rsid w:val="00D81512"/>
    <w:rsid w:val="00D819DA"/>
    <w:rsid w:val="00D81E36"/>
    <w:rsid w:val="00D8217D"/>
    <w:rsid w:val="00D835B6"/>
    <w:rsid w:val="00D8390E"/>
    <w:rsid w:val="00D83D5F"/>
    <w:rsid w:val="00D83DDF"/>
    <w:rsid w:val="00D83E7A"/>
    <w:rsid w:val="00D841B6"/>
    <w:rsid w:val="00D85365"/>
    <w:rsid w:val="00D856E0"/>
    <w:rsid w:val="00D8579C"/>
    <w:rsid w:val="00D8697B"/>
    <w:rsid w:val="00D86FF2"/>
    <w:rsid w:val="00D877D4"/>
    <w:rsid w:val="00D87E6C"/>
    <w:rsid w:val="00D90290"/>
    <w:rsid w:val="00D905EB"/>
    <w:rsid w:val="00D90F5A"/>
    <w:rsid w:val="00D9168F"/>
    <w:rsid w:val="00D920B4"/>
    <w:rsid w:val="00D92107"/>
    <w:rsid w:val="00D92F88"/>
    <w:rsid w:val="00D931AA"/>
    <w:rsid w:val="00D934A1"/>
    <w:rsid w:val="00D93859"/>
    <w:rsid w:val="00D93F9B"/>
    <w:rsid w:val="00D940ED"/>
    <w:rsid w:val="00D94F3E"/>
    <w:rsid w:val="00D95071"/>
    <w:rsid w:val="00D95829"/>
    <w:rsid w:val="00D95A1A"/>
    <w:rsid w:val="00D95C3E"/>
    <w:rsid w:val="00D965CF"/>
    <w:rsid w:val="00D97178"/>
    <w:rsid w:val="00D977FA"/>
    <w:rsid w:val="00D97C73"/>
    <w:rsid w:val="00DA07A8"/>
    <w:rsid w:val="00DA0B29"/>
    <w:rsid w:val="00DA0EBC"/>
    <w:rsid w:val="00DA1594"/>
    <w:rsid w:val="00DA1EBA"/>
    <w:rsid w:val="00DA1F2B"/>
    <w:rsid w:val="00DA20D9"/>
    <w:rsid w:val="00DA24C3"/>
    <w:rsid w:val="00DA2555"/>
    <w:rsid w:val="00DA2A57"/>
    <w:rsid w:val="00DA2EE9"/>
    <w:rsid w:val="00DA34B9"/>
    <w:rsid w:val="00DA3A2D"/>
    <w:rsid w:val="00DA3C92"/>
    <w:rsid w:val="00DA417E"/>
    <w:rsid w:val="00DA4C97"/>
    <w:rsid w:val="00DA5065"/>
    <w:rsid w:val="00DA51C1"/>
    <w:rsid w:val="00DA6246"/>
    <w:rsid w:val="00DA66ED"/>
    <w:rsid w:val="00DA6A29"/>
    <w:rsid w:val="00DA7159"/>
    <w:rsid w:val="00DB0117"/>
    <w:rsid w:val="00DB0D37"/>
    <w:rsid w:val="00DB0E5E"/>
    <w:rsid w:val="00DB1902"/>
    <w:rsid w:val="00DB1A09"/>
    <w:rsid w:val="00DB1F01"/>
    <w:rsid w:val="00DB22E4"/>
    <w:rsid w:val="00DB26FC"/>
    <w:rsid w:val="00DB28FD"/>
    <w:rsid w:val="00DB344A"/>
    <w:rsid w:val="00DB34F5"/>
    <w:rsid w:val="00DB352A"/>
    <w:rsid w:val="00DB37D2"/>
    <w:rsid w:val="00DB3C81"/>
    <w:rsid w:val="00DB3F7B"/>
    <w:rsid w:val="00DB3FDE"/>
    <w:rsid w:val="00DB55C8"/>
    <w:rsid w:val="00DB56EF"/>
    <w:rsid w:val="00DB5B99"/>
    <w:rsid w:val="00DB6194"/>
    <w:rsid w:val="00DB62E0"/>
    <w:rsid w:val="00DB6631"/>
    <w:rsid w:val="00DB671D"/>
    <w:rsid w:val="00DB7239"/>
    <w:rsid w:val="00DB725A"/>
    <w:rsid w:val="00DB72A5"/>
    <w:rsid w:val="00DB74A1"/>
    <w:rsid w:val="00DB74CF"/>
    <w:rsid w:val="00DB7576"/>
    <w:rsid w:val="00DB7605"/>
    <w:rsid w:val="00DB7D8B"/>
    <w:rsid w:val="00DB7F90"/>
    <w:rsid w:val="00DC0156"/>
    <w:rsid w:val="00DC06DC"/>
    <w:rsid w:val="00DC1014"/>
    <w:rsid w:val="00DC108D"/>
    <w:rsid w:val="00DC1139"/>
    <w:rsid w:val="00DC1153"/>
    <w:rsid w:val="00DC11A2"/>
    <w:rsid w:val="00DC1FA4"/>
    <w:rsid w:val="00DC209B"/>
    <w:rsid w:val="00DC212C"/>
    <w:rsid w:val="00DC290E"/>
    <w:rsid w:val="00DC2F5E"/>
    <w:rsid w:val="00DC32A0"/>
    <w:rsid w:val="00DC34C1"/>
    <w:rsid w:val="00DC34F1"/>
    <w:rsid w:val="00DC383E"/>
    <w:rsid w:val="00DC3C18"/>
    <w:rsid w:val="00DC3CFD"/>
    <w:rsid w:val="00DC4A1E"/>
    <w:rsid w:val="00DC4BAA"/>
    <w:rsid w:val="00DC4F02"/>
    <w:rsid w:val="00DC639A"/>
    <w:rsid w:val="00DC74AB"/>
    <w:rsid w:val="00DC7EC1"/>
    <w:rsid w:val="00DD0568"/>
    <w:rsid w:val="00DD0A22"/>
    <w:rsid w:val="00DD1788"/>
    <w:rsid w:val="00DD180F"/>
    <w:rsid w:val="00DD21B9"/>
    <w:rsid w:val="00DD24B0"/>
    <w:rsid w:val="00DD2D02"/>
    <w:rsid w:val="00DD2E5A"/>
    <w:rsid w:val="00DD37D1"/>
    <w:rsid w:val="00DD39A2"/>
    <w:rsid w:val="00DD3F07"/>
    <w:rsid w:val="00DD41D0"/>
    <w:rsid w:val="00DD4700"/>
    <w:rsid w:val="00DD4F48"/>
    <w:rsid w:val="00DD523F"/>
    <w:rsid w:val="00DD58B0"/>
    <w:rsid w:val="00DD680C"/>
    <w:rsid w:val="00DD6A50"/>
    <w:rsid w:val="00DD732D"/>
    <w:rsid w:val="00DD77AF"/>
    <w:rsid w:val="00DD7E5A"/>
    <w:rsid w:val="00DD7EE8"/>
    <w:rsid w:val="00DE0436"/>
    <w:rsid w:val="00DE0EBE"/>
    <w:rsid w:val="00DE17F3"/>
    <w:rsid w:val="00DE1DB4"/>
    <w:rsid w:val="00DE1EE1"/>
    <w:rsid w:val="00DE1F31"/>
    <w:rsid w:val="00DE2164"/>
    <w:rsid w:val="00DE2624"/>
    <w:rsid w:val="00DE2897"/>
    <w:rsid w:val="00DE28B9"/>
    <w:rsid w:val="00DE36BF"/>
    <w:rsid w:val="00DE3A56"/>
    <w:rsid w:val="00DE3F10"/>
    <w:rsid w:val="00DE40F3"/>
    <w:rsid w:val="00DE44D0"/>
    <w:rsid w:val="00DE482D"/>
    <w:rsid w:val="00DE4A7B"/>
    <w:rsid w:val="00DE5605"/>
    <w:rsid w:val="00DE57EE"/>
    <w:rsid w:val="00DE5C76"/>
    <w:rsid w:val="00DE63D8"/>
    <w:rsid w:val="00DE6F47"/>
    <w:rsid w:val="00DE71A2"/>
    <w:rsid w:val="00DE7282"/>
    <w:rsid w:val="00DE734E"/>
    <w:rsid w:val="00DF05DE"/>
    <w:rsid w:val="00DF082B"/>
    <w:rsid w:val="00DF13EC"/>
    <w:rsid w:val="00DF1496"/>
    <w:rsid w:val="00DF191A"/>
    <w:rsid w:val="00DF1FE4"/>
    <w:rsid w:val="00DF2ABC"/>
    <w:rsid w:val="00DF363C"/>
    <w:rsid w:val="00DF3BD9"/>
    <w:rsid w:val="00DF3EC4"/>
    <w:rsid w:val="00DF40DB"/>
    <w:rsid w:val="00DF4D92"/>
    <w:rsid w:val="00DF4EA4"/>
    <w:rsid w:val="00DF579A"/>
    <w:rsid w:val="00DF5A03"/>
    <w:rsid w:val="00DF5C71"/>
    <w:rsid w:val="00DF5E93"/>
    <w:rsid w:val="00DF5F3F"/>
    <w:rsid w:val="00DF6099"/>
    <w:rsid w:val="00DF6717"/>
    <w:rsid w:val="00DF6806"/>
    <w:rsid w:val="00DF6A36"/>
    <w:rsid w:val="00DF6E03"/>
    <w:rsid w:val="00DF7113"/>
    <w:rsid w:val="00DF746D"/>
    <w:rsid w:val="00DF7A38"/>
    <w:rsid w:val="00DF7F3E"/>
    <w:rsid w:val="00E00227"/>
    <w:rsid w:val="00E0113B"/>
    <w:rsid w:val="00E015FA"/>
    <w:rsid w:val="00E016DE"/>
    <w:rsid w:val="00E020E1"/>
    <w:rsid w:val="00E021C8"/>
    <w:rsid w:val="00E02DAC"/>
    <w:rsid w:val="00E03107"/>
    <w:rsid w:val="00E03912"/>
    <w:rsid w:val="00E03BA4"/>
    <w:rsid w:val="00E04468"/>
    <w:rsid w:val="00E05254"/>
    <w:rsid w:val="00E05CDE"/>
    <w:rsid w:val="00E05EE1"/>
    <w:rsid w:val="00E06152"/>
    <w:rsid w:val="00E06305"/>
    <w:rsid w:val="00E06F80"/>
    <w:rsid w:val="00E073A2"/>
    <w:rsid w:val="00E07840"/>
    <w:rsid w:val="00E07BA9"/>
    <w:rsid w:val="00E10470"/>
    <w:rsid w:val="00E105AC"/>
    <w:rsid w:val="00E10735"/>
    <w:rsid w:val="00E10CA1"/>
    <w:rsid w:val="00E10D3C"/>
    <w:rsid w:val="00E10FFD"/>
    <w:rsid w:val="00E117C3"/>
    <w:rsid w:val="00E11EA1"/>
    <w:rsid w:val="00E12B56"/>
    <w:rsid w:val="00E12E4B"/>
    <w:rsid w:val="00E1343D"/>
    <w:rsid w:val="00E14C42"/>
    <w:rsid w:val="00E14E47"/>
    <w:rsid w:val="00E16DF7"/>
    <w:rsid w:val="00E1709B"/>
    <w:rsid w:val="00E1729E"/>
    <w:rsid w:val="00E1779E"/>
    <w:rsid w:val="00E1792D"/>
    <w:rsid w:val="00E17B91"/>
    <w:rsid w:val="00E17B9D"/>
    <w:rsid w:val="00E17D92"/>
    <w:rsid w:val="00E203F3"/>
    <w:rsid w:val="00E205C4"/>
    <w:rsid w:val="00E20854"/>
    <w:rsid w:val="00E20DE0"/>
    <w:rsid w:val="00E20EC4"/>
    <w:rsid w:val="00E2156D"/>
    <w:rsid w:val="00E21670"/>
    <w:rsid w:val="00E21808"/>
    <w:rsid w:val="00E21B9D"/>
    <w:rsid w:val="00E21FF4"/>
    <w:rsid w:val="00E22254"/>
    <w:rsid w:val="00E22F14"/>
    <w:rsid w:val="00E23392"/>
    <w:rsid w:val="00E24E44"/>
    <w:rsid w:val="00E24EA2"/>
    <w:rsid w:val="00E253C8"/>
    <w:rsid w:val="00E2554C"/>
    <w:rsid w:val="00E25875"/>
    <w:rsid w:val="00E25AA2"/>
    <w:rsid w:val="00E25F34"/>
    <w:rsid w:val="00E26610"/>
    <w:rsid w:val="00E269B4"/>
    <w:rsid w:val="00E26D01"/>
    <w:rsid w:val="00E26D70"/>
    <w:rsid w:val="00E27B92"/>
    <w:rsid w:val="00E303DD"/>
    <w:rsid w:val="00E30A51"/>
    <w:rsid w:val="00E30B58"/>
    <w:rsid w:val="00E3130D"/>
    <w:rsid w:val="00E3151E"/>
    <w:rsid w:val="00E31AFC"/>
    <w:rsid w:val="00E31EB5"/>
    <w:rsid w:val="00E32AC5"/>
    <w:rsid w:val="00E32FFA"/>
    <w:rsid w:val="00E342CE"/>
    <w:rsid w:val="00E348C3"/>
    <w:rsid w:val="00E34E53"/>
    <w:rsid w:val="00E354EF"/>
    <w:rsid w:val="00E35F6C"/>
    <w:rsid w:val="00E3650C"/>
    <w:rsid w:val="00E36B62"/>
    <w:rsid w:val="00E36CE4"/>
    <w:rsid w:val="00E374DA"/>
    <w:rsid w:val="00E3754F"/>
    <w:rsid w:val="00E37D26"/>
    <w:rsid w:val="00E37EEE"/>
    <w:rsid w:val="00E40BDA"/>
    <w:rsid w:val="00E40DB3"/>
    <w:rsid w:val="00E41277"/>
    <w:rsid w:val="00E419C3"/>
    <w:rsid w:val="00E420E4"/>
    <w:rsid w:val="00E4218E"/>
    <w:rsid w:val="00E422AA"/>
    <w:rsid w:val="00E427FD"/>
    <w:rsid w:val="00E428C4"/>
    <w:rsid w:val="00E42F9D"/>
    <w:rsid w:val="00E43404"/>
    <w:rsid w:val="00E439DA"/>
    <w:rsid w:val="00E43BB4"/>
    <w:rsid w:val="00E43CD2"/>
    <w:rsid w:val="00E4448C"/>
    <w:rsid w:val="00E457E7"/>
    <w:rsid w:val="00E45C87"/>
    <w:rsid w:val="00E45DCD"/>
    <w:rsid w:val="00E46296"/>
    <w:rsid w:val="00E46382"/>
    <w:rsid w:val="00E466E2"/>
    <w:rsid w:val="00E46B4E"/>
    <w:rsid w:val="00E4717F"/>
    <w:rsid w:val="00E474CC"/>
    <w:rsid w:val="00E47DA9"/>
    <w:rsid w:val="00E50303"/>
    <w:rsid w:val="00E506EC"/>
    <w:rsid w:val="00E50EC5"/>
    <w:rsid w:val="00E51622"/>
    <w:rsid w:val="00E52222"/>
    <w:rsid w:val="00E52410"/>
    <w:rsid w:val="00E52AF4"/>
    <w:rsid w:val="00E53980"/>
    <w:rsid w:val="00E53B1D"/>
    <w:rsid w:val="00E53C74"/>
    <w:rsid w:val="00E53DC8"/>
    <w:rsid w:val="00E54429"/>
    <w:rsid w:val="00E551AE"/>
    <w:rsid w:val="00E55320"/>
    <w:rsid w:val="00E559A6"/>
    <w:rsid w:val="00E55A70"/>
    <w:rsid w:val="00E55B48"/>
    <w:rsid w:val="00E55D4A"/>
    <w:rsid w:val="00E55F53"/>
    <w:rsid w:val="00E56269"/>
    <w:rsid w:val="00E562C3"/>
    <w:rsid w:val="00E56423"/>
    <w:rsid w:val="00E57497"/>
    <w:rsid w:val="00E57A73"/>
    <w:rsid w:val="00E600AB"/>
    <w:rsid w:val="00E603D8"/>
    <w:rsid w:val="00E618DC"/>
    <w:rsid w:val="00E61BD7"/>
    <w:rsid w:val="00E61D75"/>
    <w:rsid w:val="00E61EC2"/>
    <w:rsid w:val="00E6231E"/>
    <w:rsid w:val="00E6248F"/>
    <w:rsid w:val="00E63335"/>
    <w:rsid w:val="00E6392B"/>
    <w:rsid w:val="00E63A03"/>
    <w:rsid w:val="00E6433A"/>
    <w:rsid w:val="00E64A22"/>
    <w:rsid w:val="00E64B9C"/>
    <w:rsid w:val="00E65EC8"/>
    <w:rsid w:val="00E66960"/>
    <w:rsid w:val="00E6701C"/>
    <w:rsid w:val="00E67264"/>
    <w:rsid w:val="00E6753E"/>
    <w:rsid w:val="00E675C3"/>
    <w:rsid w:val="00E6762E"/>
    <w:rsid w:val="00E67B9B"/>
    <w:rsid w:val="00E7019E"/>
    <w:rsid w:val="00E703B3"/>
    <w:rsid w:val="00E70549"/>
    <w:rsid w:val="00E71403"/>
    <w:rsid w:val="00E7169E"/>
    <w:rsid w:val="00E719A5"/>
    <w:rsid w:val="00E7211A"/>
    <w:rsid w:val="00E734CB"/>
    <w:rsid w:val="00E7367D"/>
    <w:rsid w:val="00E738FD"/>
    <w:rsid w:val="00E73992"/>
    <w:rsid w:val="00E73A3E"/>
    <w:rsid w:val="00E750B4"/>
    <w:rsid w:val="00E75B1E"/>
    <w:rsid w:val="00E76AD6"/>
    <w:rsid w:val="00E76D10"/>
    <w:rsid w:val="00E76EF4"/>
    <w:rsid w:val="00E77791"/>
    <w:rsid w:val="00E778EA"/>
    <w:rsid w:val="00E77B6F"/>
    <w:rsid w:val="00E77FA0"/>
    <w:rsid w:val="00E77FE5"/>
    <w:rsid w:val="00E8014A"/>
    <w:rsid w:val="00E80710"/>
    <w:rsid w:val="00E80E68"/>
    <w:rsid w:val="00E810E9"/>
    <w:rsid w:val="00E81556"/>
    <w:rsid w:val="00E81944"/>
    <w:rsid w:val="00E821F7"/>
    <w:rsid w:val="00E8252F"/>
    <w:rsid w:val="00E82842"/>
    <w:rsid w:val="00E82A39"/>
    <w:rsid w:val="00E82A99"/>
    <w:rsid w:val="00E82D69"/>
    <w:rsid w:val="00E842D6"/>
    <w:rsid w:val="00E84799"/>
    <w:rsid w:val="00E85EC5"/>
    <w:rsid w:val="00E8667C"/>
    <w:rsid w:val="00E86788"/>
    <w:rsid w:val="00E86B04"/>
    <w:rsid w:val="00E8737B"/>
    <w:rsid w:val="00E87780"/>
    <w:rsid w:val="00E900EC"/>
    <w:rsid w:val="00E901F7"/>
    <w:rsid w:val="00E906C3"/>
    <w:rsid w:val="00E90770"/>
    <w:rsid w:val="00E91742"/>
    <w:rsid w:val="00E918F2"/>
    <w:rsid w:val="00E91A36"/>
    <w:rsid w:val="00E91F96"/>
    <w:rsid w:val="00E92594"/>
    <w:rsid w:val="00E92623"/>
    <w:rsid w:val="00E9374D"/>
    <w:rsid w:val="00E94668"/>
    <w:rsid w:val="00E94DD8"/>
    <w:rsid w:val="00E95096"/>
    <w:rsid w:val="00E955AD"/>
    <w:rsid w:val="00E95A5D"/>
    <w:rsid w:val="00E95B63"/>
    <w:rsid w:val="00E96142"/>
    <w:rsid w:val="00E96209"/>
    <w:rsid w:val="00E96464"/>
    <w:rsid w:val="00E9649A"/>
    <w:rsid w:val="00E96D1B"/>
    <w:rsid w:val="00E9705C"/>
    <w:rsid w:val="00E97109"/>
    <w:rsid w:val="00EA06B9"/>
    <w:rsid w:val="00EA09E8"/>
    <w:rsid w:val="00EA09E9"/>
    <w:rsid w:val="00EA0D19"/>
    <w:rsid w:val="00EA0FCC"/>
    <w:rsid w:val="00EA1301"/>
    <w:rsid w:val="00EA168F"/>
    <w:rsid w:val="00EA200F"/>
    <w:rsid w:val="00EA2273"/>
    <w:rsid w:val="00EA2382"/>
    <w:rsid w:val="00EA2685"/>
    <w:rsid w:val="00EA2888"/>
    <w:rsid w:val="00EA3009"/>
    <w:rsid w:val="00EA354B"/>
    <w:rsid w:val="00EA3A04"/>
    <w:rsid w:val="00EA3B59"/>
    <w:rsid w:val="00EA3F4A"/>
    <w:rsid w:val="00EA4109"/>
    <w:rsid w:val="00EA572A"/>
    <w:rsid w:val="00EA58CC"/>
    <w:rsid w:val="00EA597F"/>
    <w:rsid w:val="00EA6229"/>
    <w:rsid w:val="00EA6487"/>
    <w:rsid w:val="00EA6535"/>
    <w:rsid w:val="00EA66AD"/>
    <w:rsid w:val="00EA69DC"/>
    <w:rsid w:val="00EA6A1A"/>
    <w:rsid w:val="00EA6C49"/>
    <w:rsid w:val="00EA759A"/>
    <w:rsid w:val="00EA78AE"/>
    <w:rsid w:val="00EA7F85"/>
    <w:rsid w:val="00EB002F"/>
    <w:rsid w:val="00EB12EE"/>
    <w:rsid w:val="00EB2216"/>
    <w:rsid w:val="00EB2775"/>
    <w:rsid w:val="00EB28F9"/>
    <w:rsid w:val="00EB2A65"/>
    <w:rsid w:val="00EB2C0B"/>
    <w:rsid w:val="00EB3B3B"/>
    <w:rsid w:val="00EB3BE5"/>
    <w:rsid w:val="00EB4B11"/>
    <w:rsid w:val="00EB4F14"/>
    <w:rsid w:val="00EB5990"/>
    <w:rsid w:val="00EB61D3"/>
    <w:rsid w:val="00EB641B"/>
    <w:rsid w:val="00EB6878"/>
    <w:rsid w:val="00EB74C8"/>
    <w:rsid w:val="00EB7C46"/>
    <w:rsid w:val="00EC02DF"/>
    <w:rsid w:val="00EC038A"/>
    <w:rsid w:val="00EC0499"/>
    <w:rsid w:val="00EC04C8"/>
    <w:rsid w:val="00EC0709"/>
    <w:rsid w:val="00EC0819"/>
    <w:rsid w:val="00EC0828"/>
    <w:rsid w:val="00EC08F3"/>
    <w:rsid w:val="00EC0C1D"/>
    <w:rsid w:val="00EC15E4"/>
    <w:rsid w:val="00EC1636"/>
    <w:rsid w:val="00EC17EE"/>
    <w:rsid w:val="00EC1C78"/>
    <w:rsid w:val="00EC1D00"/>
    <w:rsid w:val="00EC1F9D"/>
    <w:rsid w:val="00EC2DF9"/>
    <w:rsid w:val="00EC3168"/>
    <w:rsid w:val="00EC3311"/>
    <w:rsid w:val="00EC3538"/>
    <w:rsid w:val="00EC3EC4"/>
    <w:rsid w:val="00EC4127"/>
    <w:rsid w:val="00EC42D6"/>
    <w:rsid w:val="00EC4528"/>
    <w:rsid w:val="00EC49AE"/>
    <w:rsid w:val="00EC4EDC"/>
    <w:rsid w:val="00EC5112"/>
    <w:rsid w:val="00EC58A9"/>
    <w:rsid w:val="00EC5A19"/>
    <w:rsid w:val="00EC5BB0"/>
    <w:rsid w:val="00EC7074"/>
    <w:rsid w:val="00EC722A"/>
    <w:rsid w:val="00EC7352"/>
    <w:rsid w:val="00ED0260"/>
    <w:rsid w:val="00ED0488"/>
    <w:rsid w:val="00ED06CC"/>
    <w:rsid w:val="00ED072C"/>
    <w:rsid w:val="00ED0C57"/>
    <w:rsid w:val="00ED12D0"/>
    <w:rsid w:val="00ED16A1"/>
    <w:rsid w:val="00ED17F4"/>
    <w:rsid w:val="00ED1F81"/>
    <w:rsid w:val="00ED249D"/>
    <w:rsid w:val="00ED373B"/>
    <w:rsid w:val="00ED3A43"/>
    <w:rsid w:val="00ED3EEF"/>
    <w:rsid w:val="00ED480B"/>
    <w:rsid w:val="00ED520B"/>
    <w:rsid w:val="00ED522C"/>
    <w:rsid w:val="00ED528E"/>
    <w:rsid w:val="00ED54EF"/>
    <w:rsid w:val="00ED57D1"/>
    <w:rsid w:val="00ED648B"/>
    <w:rsid w:val="00ED6518"/>
    <w:rsid w:val="00ED6687"/>
    <w:rsid w:val="00ED68FB"/>
    <w:rsid w:val="00ED6AB4"/>
    <w:rsid w:val="00EE001E"/>
    <w:rsid w:val="00EE0080"/>
    <w:rsid w:val="00EE038C"/>
    <w:rsid w:val="00EE09C3"/>
    <w:rsid w:val="00EE160F"/>
    <w:rsid w:val="00EE22FB"/>
    <w:rsid w:val="00EE4521"/>
    <w:rsid w:val="00EE470D"/>
    <w:rsid w:val="00EE55EA"/>
    <w:rsid w:val="00EE5972"/>
    <w:rsid w:val="00EE5D4E"/>
    <w:rsid w:val="00EE6141"/>
    <w:rsid w:val="00EE6187"/>
    <w:rsid w:val="00EE6816"/>
    <w:rsid w:val="00EE6DB7"/>
    <w:rsid w:val="00EE7577"/>
    <w:rsid w:val="00EE76B3"/>
    <w:rsid w:val="00EE7BCA"/>
    <w:rsid w:val="00EE7EB6"/>
    <w:rsid w:val="00EF0512"/>
    <w:rsid w:val="00EF102C"/>
    <w:rsid w:val="00EF164A"/>
    <w:rsid w:val="00EF1A8D"/>
    <w:rsid w:val="00EF2330"/>
    <w:rsid w:val="00EF25D2"/>
    <w:rsid w:val="00EF2BFA"/>
    <w:rsid w:val="00EF2EB4"/>
    <w:rsid w:val="00EF32EA"/>
    <w:rsid w:val="00EF374E"/>
    <w:rsid w:val="00EF3787"/>
    <w:rsid w:val="00EF37FE"/>
    <w:rsid w:val="00EF3B8C"/>
    <w:rsid w:val="00EF3E2B"/>
    <w:rsid w:val="00EF4428"/>
    <w:rsid w:val="00EF4B9E"/>
    <w:rsid w:val="00EF5181"/>
    <w:rsid w:val="00EF5343"/>
    <w:rsid w:val="00EF542D"/>
    <w:rsid w:val="00EF59A8"/>
    <w:rsid w:val="00EF6638"/>
    <w:rsid w:val="00EF683B"/>
    <w:rsid w:val="00EF6D67"/>
    <w:rsid w:val="00EF6E88"/>
    <w:rsid w:val="00EF70C8"/>
    <w:rsid w:val="00EF7E0D"/>
    <w:rsid w:val="00F003B2"/>
    <w:rsid w:val="00F00403"/>
    <w:rsid w:val="00F00F7E"/>
    <w:rsid w:val="00F010CE"/>
    <w:rsid w:val="00F01551"/>
    <w:rsid w:val="00F015EA"/>
    <w:rsid w:val="00F019EA"/>
    <w:rsid w:val="00F01B5F"/>
    <w:rsid w:val="00F01B6F"/>
    <w:rsid w:val="00F02D52"/>
    <w:rsid w:val="00F032D7"/>
    <w:rsid w:val="00F0343D"/>
    <w:rsid w:val="00F036F7"/>
    <w:rsid w:val="00F03C05"/>
    <w:rsid w:val="00F0449E"/>
    <w:rsid w:val="00F046EC"/>
    <w:rsid w:val="00F046F9"/>
    <w:rsid w:val="00F047BF"/>
    <w:rsid w:val="00F04DE9"/>
    <w:rsid w:val="00F04EE9"/>
    <w:rsid w:val="00F059A5"/>
    <w:rsid w:val="00F05BF2"/>
    <w:rsid w:val="00F05F17"/>
    <w:rsid w:val="00F0655F"/>
    <w:rsid w:val="00F0667C"/>
    <w:rsid w:val="00F06D44"/>
    <w:rsid w:val="00F07177"/>
    <w:rsid w:val="00F07199"/>
    <w:rsid w:val="00F111BE"/>
    <w:rsid w:val="00F113D2"/>
    <w:rsid w:val="00F11C22"/>
    <w:rsid w:val="00F12810"/>
    <w:rsid w:val="00F13129"/>
    <w:rsid w:val="00F1320A"/>
    <w:rsid w:val="00F1341C"/>
    <w:rsid w:val="00F13661"/>
    <w:rsid w:val="00F136BF"/>
    <w:rsid w:val="00F13A28"/>
    <w:rsid w:val="00F13BDE"/>
    <w:rsid w:val="00F15206"/>
    <w:rsid w:val="00F15534"/>
    <w:rsid w:val="00F1586F"/>
    <w:rsid w:val="00F1599F"/>
    <w:rsid w:val="00F15B10"/>
    <w:rsid w:val="00F15E87"/>
    <w:rsid w:val="00F160DB"/>
    <w:rsid w:val="00F16292"/>
    <w:rsid w:val="00F16646"/>
    <w:rsid w:val="00F1696A"/>
    <w:rsid w:val="00F16D27"/>
    <w:rsid w:val="00F16F0D"/>
    <w:rsid w:val="00F174BF"/>
    <w:rsid w:val="00F178F4"/>
    <w:rsid w:val="00F20237"/>
    <w:rsid w:val="00F215A3"/>
    <w:rsid w:val="00F2203A"/>
    <w:rsid w:val="00F220F8"/>
    <w:rsid w:val="00F223B0"/>
    <w:rsid w:val="00F23E06"/>
    <w:rsid w:val="00F23F92"/>
    <w:rsid w:val="00F24185"/>
    <w:rsid w:val="00F24717"/>
    <w:rsid w:val="00F2477D"/>
    <w:rsid w:val="00F24ADD"/>
    <w:rsid w:val="00F24F33"/>
    <w:rsid w:val="00F259BC"/>
    <w:rsid w:val="00F263C6"/>
    <w:rsid w:val="00F266CD"/>
    <w:rsid w:val="00F271C0"/>
    <w:rsid w:val="00F27397"/>
    <w:rsid w:val="00F27DF3"/>
    <w:rsid w:val="00F30285"/>
    <w:rsid w:val="00F30B09"/>
    <w:rsid w:val="00F3158A"/>
    <w:rsid w:val="00F315FD"/>
    <w:rsid w:val="00F31F59"/>
    <w:rsid w:val="00F33257"/>
    <w:rsid w:val="00F3353C"/>
    <w:rsid w:val="00F344D4"/>
    <w:rsid w:val="00F34771"/>
    <w:rsid w:val="00F34EC2"/>
    <w:rsid w:val="00F356E5"/>
    <w:rsid w:val="00F35C17"/>
    <w:rsid w:val="00F35F8C"/>
    <w:rsid w:val="00F360F0"/>
    <w:rsid w:val="00F362D2"/>
    <w:rsid w:val="00F3660E"/>
    <w:rsid w:val="00F36AF2"/>
    <w:rsid w:val="00F36BC8"/>
    <w:rsid w:val="00F36F39"/>
    <w:rsid w:val="00F36F40"/>
    <w:rsid w:val="00F37D80"/>
    <w:rsid w:val="00F40AF5"/>
    <w:rsid w:val="00F40E40"/>
    <w:rsid w:val="00F4177B"/>
    <w:rsid w:val="00F419B9"/>
    <w:rsid w:val="00F42288"/>
    <w:rsid w:val="00F42B4B"/>
    <w:rsid w:val="00F42B6A"/>
    <w:rsid w:val="00F42C52"/>
    <w:rsid w:val="00F42FF4"/>
    <w:rsid w:val="00F439E7"/>
    <w:rsid w:val="00F43AEC"/>
    <w:rsid w:val="00F44003"/>
    <w:rsid w:val="00F44330"/>
    <w:rsid w:val="00F4468F"/>
    <w:rsid w:val="00F44F0D"/>
    <w:rsid w:val="00F45596"/>
    <w:rsid w:val="00F467B2"/>
    <w:rsid w:val="00F46B09"/>
    <w:rsid w:val="00F46C38"/>
    <w:rsid w:val="00F46FCE"/>
    <w:rsid w:val="00F47338"/>
    <w:rsid w:val="00F477EB"/>
    <w:rsid w:val="00F47BB6"/>
    <w:rsid w:val="00F5065E"/>
    <w:rsid w:val="00F50B55"/>
    <w:rsid w:val="00F50B91"/>
    <w:rsid w:val="00F50FB5"/>
    <w:rsid w:val="00F512D5"/>
    <w:rsid w:val="00F51747"/>
    <w:rsid w:val="00F52058"/>
    <w:rsid w:val="00F5241D"/>
    <w:rsid w:val="00F52533"/>
    <w:rsid w:val="00F52731"/>
    <w:rsid w:val="00F53E74"/>
    <w:rsid w:val="00F53FAD"/>
    <w:rsid w:val="00F5468B"/>
    <w:rsid w:val="00F55593"/>
    <w:rsid w:val="00F55681"/>
    <w:rsid w:val="00F5586E"/>
    <w:rsid w:val="00F5596B"/>
    <w:rsid w:val="00F560EA"/>
    <w:rsid w:val="00F562B2"/>
    <w:rsid w:val="00F57315"/>
    <w:rsid w:val="00F577CA"/>
    <w:rsid w:val="00F57A69"/>
    <w:rsid w:val="00F57BCE"/>
    <w:rsid w:val="00F60204"/>
    <w:rsid w:val="00F6070B"/>
    <w:rsid w:val="00F6075D"/>
    <w:rsid w:val="00F608AC"/>
    <w:rsid w:val="00F60A98"/>
    <w:rsid w:val="00F60E35"/>
    <w:rsid w:val="00F610FC"/>
    <w:rsid w:val="00F6195A"/>
    <w:rsid w:val="00F61C45"/>
    <w:rsid w:val="00F624C7"/>
    <w:rsid w:val="00F62916"/>
    <w:rsid w:val="00F62BB3"/>
    <w:rsid w:val="00F62D17"/>
    <w:rsid w:val="00F62F4A"/>
    <w:rsid w:val="00F631A6"/>
    <w:rsid w:val="00F6370C"/>
    <w:rsid w:val="00F641C4"/>
    <w:rsid w:val="00F64265"/>
    <w:rsid w:val="00F64323"/>
    <w:rsid w:val="00F64347"/>
    <w:rsid w:val="00F64A60"/>
    <w:rsid w:val="00F64BC8"/>
    <w:rsid w:val="00F64BFD"/>
    <w:rsid w:val="00F64D44"/>
    <w:rsid w:val="00F652D6"/>
    <w:rsid w:val="00F6540E"/>
    <w:rsid w:val="00F65663"/>
    <w:rsid w:val="00F65DDD"/>
    <w:rsid w:val="00F66111"/>
    <w:rsid w:val="00F663DA"/>
    <w:rsid w:val="00F66CEF"/>
    <w:rsid w:val="00F66D51"/>
    <w:rsid w:val="00F66E22"/>
    <w:rsid w:val="00F674A9"/>
    <w:rsid w:val="00F67680"/>
    <w:rsid w:val="00F67DD8"/>
    <w:rsid w:val="00F70366"/>
    <w:rsid w:val="00F703F5"/>
    <w:rsid w:val="00F70B2E"/>
    <w:rsid w:val="00F7151D"/>
    <w:rsid w:val="00F71F16"/>
    <w:rsid w:val="00F7249B"/>
    <w:rsid w:val="00F72886"/>
    <w:rsid w:val="00F72A1A"/>
    <w:rsid w:val="00F73691"/>
    <w:rsid w:val="00F73AA2"/>
    <w:rsid w:val="00F73D8E"/>
    <w:rsid w:val="00F747A0"/>
    <w:rsid w:val="00F7553B"/>
    <w:rsid w:val="00F757BB"/>
    <w:rsid w:val="00F75940"/>
    <w:rsid w:val="00F76047"/>
    <w:rsid w:val="00F760FA"/>
    <w:rsid w:val="00F761BB"/>
    <w:rsid w:val="00F76461"/>
    <w:rsid w:val="00F76D1A"/>
    <w:rsid w:val="00F77137"/>
    <w:rsid w:val="00F775B1"/>
    <w:rsid w:val="00F77C2D"/>
    <w:rsid w:val="00F77E2A"/>
    <w:rsid w:val="00F8033E"/>
    <w:rsid w:val="00F8061E"/>
    <w:rsid w:val="00F80DB4"/>
    <w:rsid w:val="00F8118B"/>
    <w:rsid w:val="00F81333"/>
    <w:rsid w:val="00F8141B"/>
    <w:rsid w:val="00F814E7"/>
    <w:rsid w:val="00F8222F"/>
    <w:rsid w:val="00F825AD"/>
    <w:rsid w:val="00F83081"/>
    <w:rsid w:val="00F832F4"/>
    <w:rsid w:val="00F83809"/>
    <w:rsid w:val="00F848B9"/>
    <w:rsid w:val="00F84960"/>
    <w:rsid w:val="00F84BE8"/>
    <w:rsid w:val="00F84CCC"/>
    <w:rsid w:val="00F863EC"/>
    <w:rsid w:val="00F863F5"/>
    <w:rsid w:val="00F8658B"/>
    <w:rsid w:val="00F8770B"/>
    <w:rsid w:val="00F87963"/>
    <w:rsid w:val="00F87B36"/>
    <w:rsid w:val="00F87DD1"/>
    <w:rsid w:val="00F90B7F"/>
    <w:rsid w:val="00F91925"/>
    <w:rsid w:val="00F92245"/>
    <w:rsid w:val="00F92324"/>
    <w:rsid w:val="00F92A61"/>
    <w:rsid w:val="00F92E2D"/>
    <w:rsid w:val="00F92E2E"/>
    <w:rsid w:val="00F92ED7"/>
    <w:rsid w:val="00F931B1"/>
    <w:rsid w:val="00F931BF"/>
    <w:rsid w:val="00F93C25"/>
    <w:rsid w:val="00F94919"/>
    <w:rsid w:val="00F94E80"/>
    <w:rsid w:val="00F9543D"/>
    <w:rsid w:val="00F95752"/>
    <w:rsid w:val="00F959FB"/>
    <w:rsid w:val="00F95C4C"/>
    <w:rsid w:val="00F95E69"/>
    <w:rsid w:val="00F96B55"/>
    <w:rsid w:val="00F97306"/>
    <w:rsid w:val="00F97539"/>
    <w:rsid w:val="00F97DF2"/>
    <w:rsid w:val="00FA098C"/>
    <w:rsid w:val="00FA0E18"/>
    <w:rsid w:val="00FA1027"/>
    <w:rsid w:val="00FA142C"/>
    <w:rsid w:val="00FA15EA"/>
    <w:rsid w:val="00FA161C"/>
    <w:rsid w:val="00FA19AE"/>
    <w:rsid w:val="00FA1A56"/>
    <w:rsid w:val="00FA245E"/>
    <w:rsid w:val="00FA45EC"/>
    <w:rsid w:val="00FA56C5"/>
    <w:rsid w:val="00FA5739"/>
    <w:rsid w:val="00FA5853"/>
    <w:rsid w:val="00FA5A4D"/>
    <w:rsid w:val="00FA5BD2"/>
    <w:rsid w:val="00FA5C84"/>
    <w:rsid w:val="00FA636D"/>
    <w:rsid w:val="00FA6653"/>
    <w:rsid w:val="00FA67A3"/>
    <w:rsid w:val="00FA6BFA"/>
    <w:rsid w:val="00FB033D"/>
    <w:rsid w:val="00FB0DA3"/>
    <w:rsid w:val="00FB14B1"/>
    <w:rsid w:val="00FB1831"/>
    <w:rsid w:val="00FB186C"/>
    <w:rsid w:val="00FB1C75"/>
    <w:rsid w:val="00FB1DE0"/>
    <w:rsid w:val="00FB2875"/>
    <w:rsid w:val="00FB2B57"/>
    <w:rsid w:val="00FB2E9E"/>
    <w:rsid w:val="00FB2FDA"/>
    <w:rsid w:val="00FB30E9"/>
    <w:rsid w:val="00FB39C7"/>
    <w:rsid w:val="00FB39E7"/>
    <w:rsid w:val="00FB3C1C"/>
    <w:rsid w:val="00FB3D44"/>
    <w:rsid w:val="00FB479C"/>
    <w:rsid w:val="00FB5246"/>
    <w:rsid w:val="00FB65F3"/>
    <w:rsid w:val="00FB66A4"/>
    <w:rsid w:val="00FB6F4F"/>
    <w:rsid w:val="00FB7054"/>
    <w:rsid w:val="00FB70DC"/>
    <w:rsid w:val="00FB7579"/>
    <w:rsid w:val="00FB7987"/>
    <w:rsid w:val="00FB7BBB"/>
    <w:rsid w:val="00FB7E4A"/>
    <w:rsid w:val="00FC0880"/>
    <w:rsid w:val="00FC1A2A"/>
    <w:rsid w:val="00FC2402"/>
    <w:rsid w:val="00FC241B"/>
    <w:rsid w:val="00FC3269"/>
    <w:rsid w:val="00FC33AC"/>
    <w:rsid w:val="00FC3524"/>
    <w:rsid w:val="00FC382E"/>
    <w:rsid w:val="00FC3BA3"/>
    <w:rsid w:val="00FC3D4E"/>
    <w:rsid w:val="00FC3E46"/>
    <w:rsid w:val="00FC45BB"/>
    <w:rsid w:val="00FC46F8"/>
    <w:rsid w:val="00FC4973"/>
    <w:rsid w:val="00FC4D51"/>
    <w:rsid w:val="00FC5036"/>
    <w:rsid w:val="00FC59D3"/>
    <w:rsid w:val="00FC5ADC"/>
    <w:rsid w:val="00FC5DBC"/>
    <w:rsid w:val="00FC5FE7"/>
    <w:rsid w:val="00FC601A"/>
    <w:rsid w:val="00FC6128"/>
    <w:rsid w:val="00FC6701"/>
    <w:rsid w:val="00FC6E82"/>
    <w:rsid w:val="00FC6F04"/>
    <w:rsid w:val="00FC70B3"/>
    <w:rsid w:val="00FC7E4F"/>
    <w:rsid w:val="00FD0485"/>
    <w:rsid w:val="00FD0788"/>
    <w:rsid w:val="00FD0A5A"/>
    <w:rsid w:val="00FD0CE9"/>
    <w:rsid w:val="00FD0F43"/>
    <w:rsid w:val="00FD19AC"/>
    <w:rsid w:val="00FD3526"/>
    <w:rsid w:val="00FD375F"/>
    <w:rsid w:val="00FD38F6"/>
    <w:rsid w:val="00FD4105"/>
    <w:rsid w:val="00FD4260"/>
    <w:rsid w:val="00FD485D"/>
    <w:rsid w:val="00FD48C6"/>
    <w:rsid w:val="00FD4E7B"/>
    <w:rsid w:val="00FD5BB5"/>
    <w:rsid w:val="00FD67BF"/>
    <w:rsid w:val="00FD731F"/>
    <w:rsid w:val="00FD7B16"/>
    <w:rsid w:val="00FD7C44"/>
    <w:rsid w:val="00FD7EC7"/>
    <w:rsid w:val="00FE0B30"/>
    <w:rsid w:val="00FE0B5A"/>
    <w:rsid w:val="00FE14B7"/>
    <w:rsid w:val="00FE1AAD"/>
    <w:rsid w:val="00FE2B36"/>
    <w:rsid w:val="00FE3A61"/>
    <w:rsid w:val="00FE3E02"/>
    <w:rsid w:val="00FE4658"/>
    <w:rsid w:val="00FE4EBC"/>
    <w:rsid w:val="00FE5DDC"/>
    <w:rsid w:val="00FE6305"/>
    <w:rsid w:val="00FE7AE2"/>
    <w:rsid w:val="00FE7E55"/>
    <w:rsid w:val="00FF0539"/>
    <w:rsid w:val="00FF079E"/>
    <w:rsid w:val="00FF08E7"/>
    <w:rsid w:val="00FF29FC"/>
    <w:rsid w:val="00FF2FFC"/>
    <w:rsid w:val="00FF3978"/>
    <w:rsid w:val="00FF41D2"/>
    <w:rsid w:val="00FF52BC"/>
    <w:rsid w:val="00FF561D"/>
    <w:rsid w:val="00FF57E7"/>
    <w:rsid w:val="00FF5AAC"/>
    <w:rsid w:val="00FF5C67"/>
    <w:rsid w:val="00FF61C1"/>
    <w:rsid w:val="00FF62FC"/>
    <w:rsid w:val="00FF6579"/>
    <w:rsid w:val="00FF6791"/>
    <w:rsid w:val="00FF70E4"/>
    <w:rsid w:val="00FF746F"/>
    <w:rsid w:val="00FF7933"/>
    <w:rsid w:val="00FF7A1F"/>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ahoma" w:hAnsi="Garamond" w:cs="Tahoma"/>
        <w:sz w:val="22"/>
        <w:szCs w:val="22"/>
        <w:lang w:val="en-AU" w:eastAsia="en-AU" w:bidi="ar-SA"/>
      </w:rPr>
    </w:rPrDefault>
    <w:pPrDefault>
      <w:pPr>
        <w:spacing w:before="120" w:line="24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4" w:qFormat="1"/>
    <w:lsdException w:name="heading 5" w:qFormat="1"/>
    <w:lsdException w:name="heading 6" w:qFormat="1"/>
    <w:lsdException w:name="heading 7" w:semiHidden="1" w:qFormat="1"/>
    <w:lsdException w:name="heading 8" w:semiHidden="1" w:qFormat="1"/>
    <w:lsdException w:name="heading 9" w:semiHidden="1"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uiPriority="39"/>
    <w:lsdException w:name="toc 2" w:uiPriority="39"/>
    <w:lsdException w:name="toc 3" w:uiPriority="39"/>
    <w:lsdException w:name="toc 4" w:uiPriority="39"/>
    <w:lsdException w:name="toc 5" w:locked="1"/>
    <w:lsdException w:name="toc 6" w:locked="1" w:semiHidden="1"/>
    <w:lsdException w:name="toc 7" w:locked="1" w:semiHidden="1"/>
    <w:lsdException w:name="toc 9" w:locked="1" w:semiHidden="1"/>
    <w:lsdException w:name="footnote text" w:uiPriority="99"/>
    <w:lsdException w:name="annotation text" w:semiHidden="1" w:uiPriority="99"/>
    <w:lsdException w:name="footer" w:uiPriority="99"/>
    <w:lsdException w:name="index heading" w:locked="1" w:semiHidden="1"/>
    <w:lsdException w:name="caption" w:uiPriority="35" w:qFormat="1"/>
    <w:lsdException w:name="table of figures" w:qFormat="1"/>
    <w:lsdException w:name="envelope address" w:semiHidden="1"/>
    <w:lsdException w:name="envelope return" w:semiHidden="1"/>
    <w:lsdException w:name="footnote reference" w:uiPriority="99"/>
    <w:lsdException w:name="annotation reference" w:semiHidden="1" w:uiPriority="99"/>
    <w:lsdException w:name="line number" w:locked="1" w:semiHidden="1"/>
    <w:lsdException w:name="page number" w:semiHidden="1" w:unhideWhenUsed="1"/>
    <w:lsdException w:name="endnote reference" w:semiHidden="1"/>
    <w:lsdException w:name="endnote text"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semiHidden="1"/>
    <w:lsdException w:name="Closing" w:semiHidden="1"/>
    <w:lsdException w:name="Signature" w:locked="1" w:semiHidden="1"/>
    <w:lsdException w:name="Body Text" w:semiHidden="1"/>
    <w:lsdException w:name="Body Text Indent"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semiHidden="1"/>
    <w:lsdException w:name="Salutation" w:locked="1"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locked="1" w:semiHidden="1"/>
    <w:lsdException w:name="Emphasis" w:semiHidden="1"/>
    <w:lsdException w:name="Document Map" w:semiHidden="1"/>
    <w:lsdException w:name="Plain Text" w:semiHidden="1"/>
    <w:lsdException w:name="E-mail Signature" w:semiHidden="1"/>
    <w:lsdException w:name="Normal (Web)" w:semiHidden="1" w:uiPriority="99" w:unhideWhenUsed="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annotation subject" w:semiHidden="1"/>
    <w:lsdException w:name="No List" w:uiPriority="99"/>
    <w:lsdException w:name="Outline List 1" w:locked="1"/>
    <w:lsdException w:name="Outline List 2" w:locked="1"/>
    <w:lsdException w:name="Outline List 3"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nhideWhenUsed="1" w:qFormat="1"/>
  </w:latentStyles>
  <w:style w:type="paragraph" w:default="1" w:styleId="Normal">
    <w:name w:val="Normal"/>
    <w:qFormat/>
    <w:rsid w:val="00002DCB"/>
    <w:pPr>
      <w:spacing w:line="240" w:lineRule="auto"/>
    </w:pPr>
  </w:style>
  <w:style w:type="paragraph" w:styleId="Heading1">
    <w:name w:val="heading 1"/>
    <w:basedOn w:val="Normal"/>
    <w:next w:val="Normal"/>
    <w:link w:val="Heading1Char"/>
    <w:unhideWhenUsed/>
    <w:qFormat/>
    <w:rsid w:val="00002DCB"/>
    <w:pPr>
      <w:keepNext/>
      <w:spacing w:before="360"/>
      <w:outlineLvl w:val="0"/>
    </w:pPr>
    <w:rPr>
      <w:rFonts w:ascii="Calibri" w:hAnsi="Calibri" w:cs="Arial Bold"/>
      <w:b/>
      <w:bCs/>
      <w:sz w:val="28"/>
      <w:szCs w:val="28"/>
    </w:rPr>
  </w:style>
  <w:style w:type="paragraph" w:styleId="Heading2">
    <w:name w:val="heading 2"/>
    <w:basedOn w:val="Normal"/>
    <w:next w:val="Normal"/>
    <w:link w:val="Heading2Char"/>
    <w:qFormat/>
    <w:rsid w:val="00002DCB"/>
    <w:pPr>
      <w:keepNext/>
      <w:spacing w:before="160"/>
      <w:outlineLvl w:val="1"/>
    </w:pPr>
    <w:rPr>
      <w:rFonts w:ascii="Calibri" w:hAnsi="Calibri" w:cs="Arial Bold"/>
      <w:b/>
      <w:bCs/>
      <w:kern w:val="28"/>
      <w:sz w:val="24"/>
      <w:szCs w:val="24"/>
    </w:rPr>
  </w:style>
  <w:style w:type="paragraph" w:styleId="Heading3">
    <w:name w:val="heading 3"/>
    <w:basedOn w:val="Normal"/>
    <w:next w:val="Normal"/>
    <w:link w:val="Heading3Char"/>
    <w:rsid w:val="00F23F92"/>
    <w:pPr>
      <w:keepNext/>
      <w:spacing w:before="240"/>
      <w:outlineLvl w:val="2"/>
    </w:pPr>
    <w:rPr>
      <w:rFonts w:ascii="Calibri" w:hAnsi="Calibri" w:cs="Arial"/>
      <w:b/>
      <w:bCs/>
      <w:i/>
      <w:iCs/>
      <w:kern w:val="28"/>
      <w:sz w:val="24"/>
    </w:rPr>
  </w:style>
  <w:style w:type="paragraph" w:styleId="Heading4">
    <w:name w:val="heading 4"/>
    <w:basedOn w:val="Normal"/>
    <w:next w:val="Normal"/>
    <w:link w:val="Heading4Char"/>
    <w:qFormat/>
    <w:rsid w:val="00002DCB"/>
    <w:pPr>
      <w:keepNext/>
      <w:ind w:left="450" w:hanging="450"/>
      <w:outlineLvl w:val="3"/>
    </w:pPr>
    <w:rPr>
      <w:rFonts w:ascii="Calibri" w:hAnsi="Calibri" w:cs="Arial"/>
      <w:i/>
      <w:iCs/>
      <w:sz w:val="24"/>
      <w:szCs w:val="24"/>
    </w:rPr>
  </w:style>
  <w:style w:type="paragraph" w:styleId="Heading5">
    <w:name w:val="heading 5"/>
    <w:basedOn w:val="Normal"/>
    <w:next w:val="Normal"/>
    <w:link w:val="Heading5Char"/>
    <w:qFormat/>
    <w:rsid w:val="00002DCB"/>
    <w:pPr>
      <w:keepNext/>
      <w:tabs>
        <w:tab w:val="left" w:pos="450"/>
      </w:tabs>
      <w:spacing w:before="100" w:after="40"/>
      <w:ind w:left="446" w:hanging="446"/>
      <w:outlineLvl w:val="4"/>
    </w:pPr>
    <w:rPr>
      <w:rFonts w:ascii="Calibri" w:hAnsi="Calibri" w:cs="Arial"/>
      <w:b/>
      <w:bCs/>
      <w:sz w:val="21"/>
      <w:szCs w:val="20"/>
    </w:rPr>
  </w:style>
  <w:style w:type="paragraph" w:styleId="Heading6">
    <w:name w:val="heading 6"/>
    <w:basedOn w:val="Normal"/>
    <w:next w:val="Normal"/>
    <w:semiHidden/>
    <w:qFormat/>
    <w:rsid w:val="00495958"/>
    <w:pPr>
      <w:keepNext/>
      <w:tabs>
        <w:tab w:val="num" w:pos="1152"/>
      </w:tabs>
      <w:ind w:left="1152" w:hanging="432"/>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02DCB"/>
    <w:rPr>
      <w:rFonts w:ascii="Calibri" w:hAnsi="Calibri" w:cs="Arial Bold"/>
      <w:b/>
      <w:bCs/>
      <w:sz w:val="28"/>
      <w:szCs w:val="28"/>
    </w:rPr>
  </w:style>
  <w:style w:type="character" w:customStyle="1" w:styleId="Heading2Char">
    <w:name w:val="Heading 2 Char"/>
    <w:link w:val="Heading2"/>
    <w:locked/>
    <w:rsid w:val="00002DCB"/>
    <w:rPr>
      <w:rFonts w:ascii="Calibri" w:hAnsi="Calibri" w:cs="Arial Bold"/>
      <w:b/>
      <w:bCs/>
      <w:kern w:val="28"/>
      <w:sz w:val="24"/>
      <w:szCs w:val="24"/>
    </w:rPr>
  </w:style>
  <w:style w:type="character" w:customStyle="1" w:styleId="Heading3Char">
    <w:name w:val="Heading 3 Char"/>
    <w:link w:val="Heading3"/>
    <w:locked/>
    <w:rsid w:val="00F23F92"/>
    <w:rPr>
      <w:rFonts w:ascii="Calibri" w:hAnsi="Calibri" w:cs="Arial"/>
      <w:b/>
      <w:bCs/>
      <w:i/>
      <w:iCs/>
      <w:kern w:val="28"/>
      <w:sz w:val="24"/>
    </w:rPr>
  </w:style>
  <w:style w:type="character" w:customStyle="1" w:styleId="Heading4Char">
    <w:name w:val="Heading 4 Char"/>
    <w:link w:val="Heading4"/>
    <w:locked/>
    <w:rsid w:val="00002DCB"/>
    <w:rPr>
      <w:rFonts w:ascii="Calibri" w:hAnsi="Calibri" w:cs="Arial"/>
      <w:i/>
      <w:iCs/>
      <w:sz w:val="24"/>
      <w:szCs w:val="24"/>
    </w:rPr>
  </w:style>
  <w:style w:type="character" w:customStyle="1" w:styleId="Heading5Char">
    <w:name w:val="Heading 5 Char"/>
    <w:link w:val="Heading5"/>
    <w:locked/>
    <w:rsid w:val="00002DCB"/>
    <w:rPr>
      <w:rFonts w:ascii="Calibri" w:hAnsi="Calibri" w:cs="Arial"/>
      <w:b/>
      <w:bCs/>
      <w:sz w:val="21"/>
      <w:szCs w:val="20"/>
    </w:rPr>
  </w:style>
  <w:style w:type="paragraph" w:customStyle="1" w:styleId="Tabletextblue">
    <w:name w:val="Table text blue"/>
    <w:basedOn w:val="Tabletext"/>
    <w:link w:val="TabletextblueChar"/>
    <w:rsid w:val="00002DCB"/>
    <w:pPr>
      <w:spacing w:before="60" w:after="60"/>
    </w:pPr>
    <w:rPr>
      <w:color w:val="0000FF"/>
    </w:rPr>
  </w:style>
  <w:style w:type="paragraph" w:customStyle="1" w:styleId="Tabletext">
    <w:name w:val="Table text"/>
    <w:basedOn w:val="TableofFigures"/>
    <w:link w:val="TabletextChar"/>
    <w:qFormat/>
    <w:rsid w:val="00002DCB"/>
    <w:pPr>
      <w:jc w:val="left"/>
    </w:pPr>
    <w:rPr>
      <w:noProof/>
    </w:rPr>
  </w:style>
  <w:style w:type="paragraph" w:styleId="TableofFigures">
    <w:name w:val="table of figures"/>
    <w:basedOn w:val="Normal"/>
    <w:next w:val="Normal"/>
    <w:link w:val="TableofFiguresChar"/>
    <w:qFormat/>
    <w:rsid w:val="00002DCB"/>
    <w:pPr>
      <w:spacing w:before="30" w:after="30"/>
      <w:jc w:val="right"/>
    </w:pPr>
    <w:rPr>
      <w:rFonts w:ascii="Calibri" w:hAnsi="Calibri" w:cs="Arial"/>
      <w:sz w:val="18"/>
      <w:szCs w:val="18"/>
    </w:rPr>
  </w:style>
  <w:style w:type="character" w:customStyle="1" w:styleId="TableofFiguresChar">
    <w:name w:val="Table of Figures Char"/>
    <w:link w:val="TableofFigures"/>
    <w:rsid w:val="00002DCB"/>
    <w:rPr>
      <w:rFonts w:ascii="Calibri" w:hAnsi="Calibri" w:cs="Arial"/>
      <w:sz w:val="18"/>
      <w:szCs w:val="18"/>
    </w:rPr>
  </w:style>
  <w:style w:type="character" w:customStyle="1" w:styleId="TabletextChar">
    <w:name w:val="Table text Char"/>
    <w:link w:val="Tabletext"/>
    <w:rsid w:val="00002DCB"/>
    <w:rPr>
      <w:rFonts w:ascii="Calibri" w:hAnsi="Calibri" w:cs="Arial"/>
      <w:noProof/>
      <w:sz w:val="18"/>
      <w:szCs w:val="18"/>
    </w:rPr>
  </w:style>
  <w:style w:type="character" w:customStyle="1" w:styleId="TabletextblueChar">
    <w:name w:val="Table text blue Char"/>
    <w:link w:val="Tabletextblue"/>
    <w:rsid w:val="00002DCB"/>
    <w:rPr>
      <w:rFonts w:ascii="Calibri" w:hAnsi="Calibri" w:cs="Arial"/>
      <w:noProof/>
      <w:color w:val="0000FF"/>
      <w:sz w:val="18"/>
      <w:szCs w:val="18"/>
    </w:rPr>
  </w:style>
  <w:style w:type="paragraph" w:customStyle="1" w:styleId="million">
    <w:name w:val="$million"/>
    <w:basedOn w:val="Normal"/>
    <w:link w:val="millionChar"/>
    <w:qFormat/>
    <w:rsid w:val="00002DCB"/>
    <w:pPr>
      <w:jc w:val="center"/>
    </w:pPr>
    <w:rPr>
      <w:rFonts w:ascii="Calibri" w:hAnsi="Calibri" w:cs="Arial"/>
      <w:i/>
      <w:iCs/>
      <w:sz w:val="18"/>
      <w:szCs w:val="18"/>
    </w:rPr>
  </w:style>
  <w:style w:type="character" w:customStyle="1" w:styleId="millionChar">
    <w:name w:val="$million Char"/>
    <w:link w:val="million"/>
    <w:rsid w:val="00002DCB"/>
    <w:rPr>
      <w:rFonts w:ascii="Calibri" w:hAnsi="Calibri" w:cs="Arial"/>
      <w:i/>
      <w:iCs/>
      <w:sz w:val="18"/>
      <w:szCs w:val="18"/>
    </w:rPr>
  </w:style>
  <w:style w:type="paragraph" w:customStyle="1" w:styleId="NormalBlue">
    <w:name w:val="Normal Blue"/>
    <w:basedOn w:val="Normal"/>
    <w:link w:val="NormalBlueChar"/>
    <w:qFormat/>
    <w:rsid w:val="00002DCB"/>
    <w:rPr>
      <w:color w:val="0000FF"/>
    </w:rPr>
  </w:style>
  <w:style w:type="character" w:customStyle="1" w:styleId="NormalBlueChar">
    <w:name w:val="Normal Blue Char"/>
    <w:link w:val="NormalBlue"/>
    <w:locked/>
    <w:rsid w:val="00002DCB"/>
    <w:rPr>
      <w:color w:val="0000FF"/>
    </w:rPr>
  </w:style>
  <w:style w:type="paragraph" w:customStyle="1" w:styleId="aalphablue">
    <w:name w:val="(a) alpha blue"/>
    <w:basedOn w:val="NormalBlue"/>
    <w:link w:val="aalphablueChar"/>
    <w:rsid w:val="00002DCB"/>
    <w:pPr>
      <w:ind w:left="357" w:hanging="357"/>
    </w:pPr>
  </w:style>
  <w:style w:type="character" w:customStyle="1" w:styleId="aalphablueChar">
    <w:name w:val="(a) alpha blue Char"/>
    <w:link w:val="aalphablue"/>
    <w:locked/>
    <w:rsid w:val="00002DCB"/>
    <w:rPr>
      <w:color w:val="0000FF"/>
    </w:rPr>
  </w:style>
  <w:style w:type="paragraph" w:customStyle="1" w:styleId="Bullet">
    <w:name w:val="Bullet"/>
    <w:basedOn w:val="Normal"/>
    <w:link w:val="BulletCharChar"/>
    <w:qFormat/>
    <w:rsid w:val="00791D33"/>
    <w:pPr>
      <w:numPr>
        <w:numId w:val="1"/>
      </w:numPr>
      <w:tabs>
        <w:tab w:val="clear" w:pos="786"/>
        <w:tab w:val="num" w:pos="360"/>
      </w:tabs>
      <w:ind w:left="360"/>
    </w:pPr>
  </w:style>
  <w:style w:type="character" w:customStyle="1" w:styleId="BulletCharChar">
    <w:name w:val="Bullet Char Char"/>
    <w:link w:val="Bullet"/>
    <w:locked/>
    <w:rsid w:val="00791D33"/>
  </w:style>
  <w:style w:type="paragraph" w:customStyle="1" w:styleId="BulletBlue">
    <w:name w:val="Bullet Blue"/>
    <w:basedOn w:val="Normal"/>
    <w:link w:val="BulletBlueChar"/>
    <w:qFormat/>
    <w:rsid w:val="00002DCB"/>
    <w:pPr>
      <w:numPr>
        <w:numId w:val="3"/>
      </w:numPr>
    </w:pPr>
    <w:rPr>
      <w:color w:val="0000FF"/>
    </w:rPr>
  </w:style>
  <w:style w:type="character" w:customStyle="1" w:styleId="BulletBlueChar">
    <w:name w:val="Bullet Blue Char"/>
    <w:link w:val="BulletBlue"/>
    <w:rsid w:val="00002DCB"/>
    <w:rPr>
      <w:color w:val="0000FF"/>
    </w:rPr>
  </w:style>
  <w:style w:type="paragraph" w:customStyle="1" w:styleId="ChapterHeading">
    <w:name w:val="Chapter Heading"/>
    <w:basedOn w:val="Normal"/>
    <w:next w:val="Heading1"/>
    <w:qFormat/>
    <w:rsid w:val="00002DCB"/>
    <w:pPr>
      <w:keepNext/>
      <w:keepLines/>
      <w:spacing w:after="240" w:line="520" w:lineRule="exact"/>
      <w:outlineLvl w:val="0"/>
    </w:pPr>
    <w:rPr>
      <w:rFonts w:ascii="Calibri" w:hAnsi="Calibri" w:cs="Arial"/>
      <w:b/>
      <w:bCs/>
      <w:sz w:val="40"/>
      <w:szCs w:val="40"/>
    </w:rPr>
  </w:style>
  <w:style w:type="paragraph" w:customStyle="1" w:styleId="Tableheading">
    <w:name w:val="Table heading"/>
    <w:basedOn w:val="Heading5"/>
    <w:link w:val="TableheadingChar"/>
    <w:qFormat/>
    <w:rsid w:val="00E348C3"/>
    <w:pPr>
      <w:tabs>
        <w:tab w:val="clear" w:pos="450"/>
      </w:tabs>
      <w:ind w:left="1233" w:hanging="1233"/>
    </w:pPr>
  </w:style>
  <w:style w:type="character" w:customStyle="1" w:styleId="TableheadingChar">
    <w:name w:val="Table heading Char"/>
    <w:link w:val="Tableheading"/>
    <w:rsid w:val="00E348C3"/>
    <w:rPr>
      <w:rFonts w:ascii="Calibri" w:hAnsi="Calibri" w:cs="Arial"/>
      <w:b/>
      <w:bCs/>
      <w:sz w:val="21"/>
      <w:szCs w:val="20"/>
    </w:rPr>
  </w:style>
  <w:style w:type="paragraph" w:customStyle="1" w:styleId="CommentaryTextIndent">
    <w:name w:val="Commentary Text Indent"/>
    <w:basedOn w:val="CommentaryText"/>
    <w:link w:val="CommentaryTextIndentChar"/>
    <w:qFormat/>
    <w:rsid w:val="00002DCB"/>
    <w:pPr>
      <w:ind w:left="450" w:hanging="450"/>
    </w:pPr>
  </w:style>
  <w:style w:type="paragraph" w:customStyle="1" w:styleId="CommentaryText">
    <w:name w:val="Commentary Text"/>
    <w:basedOn w:val="Normal"/>
    <w:link w:val="CommentaryTextChar"/>
    <w:rsid w:val="00002DCB"/>
    <w:pPr>
      <w:pBdr>
        <w:top w:val="single" w:sz="4" w:space="1" w:color="0000FF"/>
        <w:left w:val="single" w:sz="4" w:space="4" w:color="0000FF"/>
        <w:bottom w:val="single" w:sz="4" w:space="1" w:color="0000FF"/>
        <w:right w:val="single" w:sz="4" w:space="4" w:color="0000FF"/>
      </w:pBdr>
    </w:pPr>
    <w:rPr>
      <w:noProof/>
      <w:color w:val="0000FF"/>
    </w:rPr>
  </w:style>
  <w:style w:type="character" w:customStyle="1" w:styleId="CommentaryTextChar">
    <w:name w:val="Commentary Text Char"/>
    <w:link w:val="CommentaryText"/>
    <w:locked/>
    <w:rsid w:val="00002DCB"/>
    <w:rPr>
      <w:noProof/>
      <w:color w:val="0000FF"/>
    </w:rPr>
  </w:style>
  <w:style w:type="character" w:customStyle="1" w:styleId="CommentaryTextIndentChar">
    <w:name w:val="Commentary Text Indent Char"/>
    <w:basedOn w:val="CommentaryTextChar"/>
    <w:link w:val="CommentaryTextIndent"/>
    <w:locked/>
    <w:rsid w:val="00002DCB"/>
    <w:rPr>
      <w:noProof/>
      <w:color w:val="0000FF"/>
    </w:rPr>
  </w:style>
  <w:style w:type="paragraph" w:customStyle="1" w:styleId="CommentaryHeading1">
    <w:name w:val="Commentary Heading 1"/>
    <w:basedOn w:val="CommentaryText"/>
    <w:link w:val="CommentaryHeading1Char"/>
    <w:rsid w:val="00002DCB"/>
    <w:pPr>
      <w:spacing w:before="160"/>
    </w:pPr>
    <w:rPr>
      <w:rFonts w:ascii="Calibri" w:hAnsi="Calibri" w:cs="Arial"/>
      <w:b/>
      <w:bCs/>
    </w:rPr>
  </w:style>
  <w:style w:type="character" w:customStyle="1" w:styleId="CommentaryHeading1Char">
    <w:name w:val="Commentary Heading 1 Char"/>
    <w:link w:val="CommentaryHeading1"/>
    <w:rsid w:val="00002DCB"/>
    <w:rPr>
      <w:rFonts w:ascii="Calibri" w:hAnsi="Calibri" w:cs="Arial"/>
      <w:b/>
      <w:bCs/>
      <w:noProof/>
      <w:color w:val="0000FF"/>
    </w:rPr>
  </w:style>
  <w:style w:type="paragraph" w:styleId="BalloonText">
    <w:name w:val="Balloon Text"/>
    <w:basedOn w:val="Normal"/>
    <w:link w:val="BalloonTextChar"/>
    <w:uiPriority w:val="99"/>
    <w:rsid w:val="00CD1206"/>
    <w:pPr>
      <w:spacing w:before="0"/>
    </w:pPr>
    <w:rPr>
      <w:rFonts w:ascii="Tahoma" w:hAnsi="Tahoma"/>
      <w:sz w:val="16"/>
      <w:szCs w:val="16"/>
    </w:rPr>
  </w:style>
  <w:style w:type="character" w:customStyle="1" w:styleId="BalloonTextChar">
    <w:name w:val="Balloon Text Char"/>
    <w:basedOn w:val="DefaultParagraphFont"/>
    <w:link w:val="BalloonText"/>
    <w:uiPriority w:val="99"/>
    <w:rsid w:val="00FD7B16"/>
    <w:rPr>
      <w:rFonts w:eastAsia="Times New Roman"/>
      <w:sz w:val="16"/>
      <w:szCs w:val="16"/>
      <w:lang w:eastAsia="en-US"/>
    </w:rPr>
  </w:style>
  <w:style w:type="paragraph" w:customStyle="1" w:styleId="CommentaryBullet">
    <w:name w:val="Commentary Bullet"/>
    <w:basedOn w:val="BulletBlue"/>
    <w:link w:val="CommentaryBulletCharChar"/>
    <w:qFormat/>
    <w:rsid w:val="00002DCB"/>
    <w:pPr>
      <w:numPr>
        <w:numId w:val="4"/>
      </w:numPr>
      <w:pBdr>
        <w:left w:val="single" w:sz="4" w:space="4" w:color="0000FF"/>
        <w:right w:val="single" w:sz="4" w:space="4" w:color="0000FF"/>
      </w:pBdr>
      <w:spacing w:before="60" w:after="60"/>
    </w:pPr>
  </w:style>
  <w:style w:type="character" w:customStyle="1" w:styleId="CommentaryBulletCharChar">
    <w:name w:val="Commentary Bullet Char Char"/>
    <w:basedOn w:val="BulletBlueChar"/>
    <w:link w:val="CommentaryBullet"/>
    <w:rsid w:val="00002DCB"/>
    <w:rPr>
      <w:color w:val="0000FF"/>
    </w:rPr>
  </w:style>
  <w:style w:type="paragraph" w:customStyle="1" w:styleId="Dash">
    <w:name w:val="Dash"/>
    <w:basedOn w:val="Bullet"/>
    <w:link w:val="DashCharChar"/>
    <w:rsid w:val="00002DCB"/>
    <w:pPr>
      <w:numPr>
        <w:numId w:val="5"/>
      </w:numPr>
    </w:pPr>
  </w:style>
  <w:style w:type="character" w:customStyle="1" w:styleId="DashCharChar">
    <w:name w:val="Dash Char Char"/>
    <w:basedOn w:val="BulletCharChar"/>
    <w:link w:val="Dash"/>
    <w:locked/>
    <w:rsid w:val="00002DCB"/>
  </w:style>
  <w:style w:type="paragraph" w:customStyle="1" w:styleId="DashBlue">
    <w:name w:val="Dash Blue"/>
    <w:basedOn w:val="Dash"/>
    <w:link w:val="DashBlueCharChar"/>
    <w:rsid w:val="00002DCB"/>
    <w:pPr>
      <w:numPr>
        <w:numId w:val="6"/>
      </w:numPr>
    </w:pPr>
    <w:rPr>
      <w:color w:val="0000FF"/>
    </w:rPr>
  </w:style>
  <w:style w:type="character" w:customStyle="1" w:styleId="DashBlueCharChar">
    <w:name w:val="Dash Blue Char Char"/>
    <w:link w:val="DashBlue"/>
    <w:rsid w:val="00002DCB"/>
    <w:rPr>
      <w:color w:val="0000FF"/>
    </w:rPr>
  </w:style>
  <w:style w:type="paragraph" w:styleId="Footer">
    <w:name w:val="footer"/>
    <w:basedOn w:val="Normal"/>
    <w:link w:val="FooterChar"/>
    <w:uiPriority w:val="99"/>
    <w:rsid w:val="00002DCB"/>
    <w:pPr>
      <w:tabs>
        <w:tab w:val="right" w:pos="7085"/>
      </w:tabs>
    </w:pPr>
    <w:rPr>
      <w:rFonts w:ascii="Calibri" w:hAnsi="Calibri" w:cs="Arial Narrow"/>
      <w:sz w:val="20"/>
      <w:szCs w:val="20"/>
    </w:rPr>
  </w:style>
  <w:style w:type="character" w:customStyle="1" w:styleId="FooterChar">
    <w:name w:val="Footer Char"/>
    <w:link w:val="Footer"/>
    <w:uiPriority w:val="99"/>
    <w:rsid w:val="00002DCB"/>
    <w:rPr>
      <w:rFonts w:ascii="Calibri" w:hAnsi="Calibri" w:cs="Arial Narrow"/>
      <w:sz w:val="20"/>
      <w:szCs w:val="20"/>
    </w:rPr>
  </w:style>
  <w:style w:type="paragraph" w:styleId="FootnoteText">
    <w:name w:val="footnote text"/>
    <w:basedOn w:val="Normal"/>
    <w:link w:val="FootnoteTextChar"/>
    <w:uiPriority w:val="99"/>
    <w:semiHidden/>
    <w:rsid w:val="00002DCB"/>
    <w:pPr>
      <w:spacing w:before="60"/>
    </w:pPr>
    <w:rPr>
      <w:sz w:val="18"/>
      <w:szCs w:val="18"/>
    </w:rPr>
  </w:style>
  <w:style w:type="paragraph" w:styleId="Header">
    <w:name w:val="header"/>
    <w:basedOn w:val="Footer"/>
    <w:link w:val="HeaderChar"/>
    <w:rsid w:val="00002DCB"/>
    <w:pPr>
      <w:tabs>
        <w:tab w:val="clear" w:pos="7085"/>
      </w:tabs>
      <w:spacing w:before="0" w:after="120"/>
      <w:jc w:val="right"/>
    </w:pPr>
    <w:rPr>
      <w:rFonts w:cs="Arial"/>
    </w:rPr>
  </w:style>
  <w:style w:type="character" w:customStyle="1" w:styleId="HeaderChar">
    <w:name w:val="Header Char"/>
    <w:link w:val="Header"/>
    <w:rsid w:val="00002DCB"/>
    <w:rPr>
      <w:rFonts w:ascii="Calibri" w:hAnsi="Calibri" w:cs="Arial"/>
      <w:sz w:val="20"/>
      <w:szCs w:val="20"/>
    </w:rPr>
  </w:style>
  <w:style w:type="paragraph" w:customStyle="1" w:styleId="CommentaryHeading">
    <w:name w:val="Commentary Heading"/>
    <w:basedOn w:val="Heading3"/>
    <w:rsid w:val="00B40AE1"/>
    <w:pPr>
      <w:pBdr>
        <w:top w:val="single" w:sz="4" w:space="1" w:color="0000FF"/>
        <w:left w:val="single" w:sz="4" w:space="4" w:color="0000FF"/>
        <w:bottom w:val="single" w:sz="4" w:space="1" w:color="0000FF"/>
        <w:right w:val="single" w:sz="4" w:space="4" w:color="0000FF"/>
      </w:pBdr>
      <w:shd w:val="clear" w:color="auto" w:fill="0000FF"/>
      <w:spacing w:before="0" w:line="320" w:lineRule="exact"/>
    </w:pPr>
    <w:rPr>
      <w:rFonts w:cs="Arial Bold"/>
      <w:i w:val="0"/>
      <w:iCs w:val="0"/>
      <w:color w:val="FFFFFF"/>
      <w:kern w:val="0"/>
      <w:szCs w:val="24"/>
    </w:rPr>
  </w:style>
  <w:style w:type="paragraph" w:customStyle="1" w:styleId="Heading3Numbering">
    <w:name w:val="Heading 3 Numbering"/>
    <w:basedOn w:val="Heading3"/>
    <w:link w:val="Heading3NumberingCharChar1"/>
    <w:rsid w:val="00002DCB"/>
    <w:pPr>
      <w:numPr>
        <w:numId w:val="7"/>
      </w:numPr>
      <w:tabs>
        <w:tab w:val="left" w:pos="448"/>
      </w:tabs>
      <w:spacing w:before="160"/>
    </w:pPr>
    <w:rPr>
      <w:i w:val="0"/>
    </w:rPr>
  </w:style>
  <w:style w:type="character" w:customStyle="1" w:styleId="Heading3NumberingCharChar1">
    <w:name w:val="Heading 3 Numbering Char Char1"/>
    <w:link w:val="Heading3Numbering"/>
    <w:rsid w:val="00002DCB"/>
    <w:rPr>
      <w:rFonts w:ascii="Calibri" w:hAnsi="Calibri" w:cs="Arial"/>
      <w:b/>
      <w:bCs/>
      <w:iCs/>
      <w:kern w:val="28"/>
      <w:sz w:val="24"/>
    </w:rPr>
  </w:style>
  <w:style w:type="paragraph" w:customStyle="1" w:styleId="Heading4Blue">
    <w:name w:val="Heading 4 Blue"/>
    <w:basedOn w:val="Heading4"/>
    <w:qFormat/>
    <w:rsid w:val="00002DCB"/>
    <w:pPr>
      <w:keepLines/>
    </w:pPr>
    <w:rPr>
      <w:rFonts w:cs="Arial Bold"/>
      <w:b/>
      <w:bCs/>
      <w:color w:val="0000FF"/>
      <w:sz w:val="22"/>
      <w:szCs w:val="22"/>
    </w:rPr>
  </w:style>
  <w:style w:type="paragraph" w:customStyle="1" w:styleId="ReferenceRed">
    <w:name w:val="Reference Red"/>
    <w:basedOn w:val="Reference"/>
    <w:link w:val="ReferenceRedChar"/>
    <w:qFormat/>
    <w:rsid w:val="00002DCB"/>
    <w:rPr>
      <w:color w:val="FF0000"/>
    </w:rPr>
  </w:style>
  <w:style w:type="paragraph" w:customStyle="1" w:styleId="Reference">
    <w:name w:val="Reference"/>
    <w:basedOn w:val="Normal"/>
    <w:link w:val="ReferenceChar"/>
    <w:qFormat/>
    <w:rsid w:val="00002DCB"/>
    <w:pPr>
      <w:keepNext/>
      <w:spacing w:before="160"/>
    </w:pPr>
    <w:rPr>
      <w:rFonts w:ascii="Calibri" w:hAnsi="Calibri" w:cs="Arial Narrow"/>
      <w:color w:val="0000FF"/>
      <w:sz w:val="16"/>
      <w:szCs w:val="16"/>
      <w:lang w:val="en-GB"/>
    </w:rPr>
  </w:style>
  <w:style w:type="character" w:customStyle="1" w:styleId="ReferenceChar">
    <w:name w:val="Reference Char"/>
    <w:link w:val="Reference"/>
    <w:locked/>
    <w:rsid w:val="00002DCB"/>
    <w:rPr>
      <w:rFonts w:ascii="Calibri" w:hAnsi="Calibri" w:cs="Arial Narrow"/>
      <w:color w:val="0000FF"/>
      <w:sz w:val="16"/>
      <w:szCs w:val="16"/>
      <w:lang w:val="en-GB"/>
    </w:rPr>
  </w:style>
  <w:style w:type="character" w:customStyle="1" w:styleId="ReferenceRedChar">
    <w:name w:val="Reference Red Char"/>
    <w:link w:val="ReferenceRed"/>
    <w:locked/>
    <w:rsid w:val="00002DCB"/>
    <w:rPr>
      <w:rFonts w:ascii="Calibri" w:hAnsi="Calibri" w:cs="Arial Narrow"/>
      <w:color w:val="FF0000"/>
      <w:sz w:val="16"/>
      <w:szCs w:val="16"/>
      <w:lang w:val="en-GB"/>
    </w:rPr>
  </w:style>
  <w:style w:type="paragraph" w:customStyle="1" w:styleId="Notes">
    <w:name w:val="Notes"/>
    <w:basedOn w:val="Normal"/>
    <w:link w:val="NotesChar"/>
    <w:qFormat/>
    <w:rsid w:val="00762638"/>
    <w:pPr>
      <w:tabs>
        <w:tab w:val="left" w:pos="454"/>
      </w:tabs>
      <w:spacing w:before="0"/>
      <w:ind w:left="459" w:hanging="459"/>
    </w:pPr>
    <w:rPr>
      <w:rFonts w:ascii="Calibri" w:hAnsi="Calibri"/>
      <w:i/>
      <w:iCs/>
      <w:sz w:val="16"/>
      <w:szCs w:val="18"/>
    </w:rPr>
  </w:style>
  <w:style w:type="character" w:customStyle="1" w:styleId="NotesChar">
    <w:name w:val="Notes Char"/>
    <w:link w:val="Notes"/>
    <w:locked/>
    <w:rsid w:val="00762638"/>
    <w:rPr>
      <w:rFonts w:ascii="Calibri" w:hAnsi="Calibri"/>
      <w:i/>
      <w:iCs/>
      <w:sz w:val="16"/>
      <w:szCs w:val="18"/>
    </w:rPr>
  </w:style>
  <w:style w:type="paragraph" w:customStyle="1" w:styleId="SmallLine">
    <w:name w:val="Small Line"/>
    <w:basedOn w:val="Normal"/>
    <w:link w:val="SmallLineChar"/>
    <w:rsid w:val="00002DCB"/>
    <w:pPr>
      <w:spacing w:before="0"/>
    </w:pPr>
    <w:rPr>
      <w:sz w:val="4"/>
      <w:szCs w:val="4"/>
    </w:rPr>
  </w:style>
  <w:style w:type="character" w:customStyle="1" w:styleId="SmallLineChar">
    <w:name w:val="Small Line Char"/>
    <w:link w:val="SmallLine"/>
    <w:locked/>
    <w:rsid w:val="00002DCB"/>
    <w:rPr>
      <w:sz w:val="4"/>
      <w:szCs w:val="4"/>
    </w:rPr>
  </w:style>
  <w:style w:type="paragraph" w:customStyle="1" w:styleId="Source">
    <w:name w:val="Source"/>
    <w:basedOn w:val="Normal"/>
    <w:next w:val="Normal"/>
    <w:link w:val="SourceChar"/>
    <w:qFormat/>
    <w:rsid w:val="00762638"/>
    <w:pPr>
      <w:spacing w:before="0" w:after="120"/>
    </w:pPr>
    <w:rPr>
      <w:rFonts w:ascii="Calibri" w:hAnsi="Calibri"/>
      <w:i/>
      <w:iCs/>
      <w:sz w:val="16"/>
      <w:szCs w:val="18"/>
    </w:rPr>
  </w:style>
  <w:style w:type="character" w:customStyle="1" w:styleId="SourceChar">
    <w:name w:val="Source Char"/>
    <w:link w:val="Source"/>
    <w:locked/>
    <w:rsid w:val="00762638"/>
    <w:rPr>
      <w:rFonts w:ascii="Calibri" w:hAnsi="Calibri"/>
      <w:i/>
      <w:iCs/>
      <w:sz w:val="16"/>
      <w:szCs w:val="18"/>
    </w:rPr>
  </w:style>
  <w:style w:type="paragraph" w:styleId="TOC1">
    <w:name w:val="toc 1"/>
    <w:basedOn w:val="Normal"/>
    <w:next w:val="Normal"/>
    <w:uiPriority w:val="39"/>
    <w:unhideWhenUsed/>
    <w:rsid w:val="001C05C4"/>
    <w:pPr>
      <w:tabs>
        <w:tab w:val="right" w:leader="dot" w:pos="9720"/>
      </w:tabs>
      <w:spacing w:before="180" w:after="120"/>
      <w:ind w:left="360" w:right="908"/>
    </w:pPr>
    <w:rPr>
      <w:rFonts w:ascii="Calibri" w:hAnsi="Calibri" w:cs="Arial"/>
      <w:b/>
      <w:noProof/>
      <w:sz w:val="24"/>
      <w:szCs w:val="24"/>
    </w:rPr>
  </w:style>
  <w:style w:type="paragraph" w:styleId="TOC2">
    <w:name w:val="toc 2"/>
    <w:basedOn w:val="Normal"/>
    <w:next w:val="Normal"/>
    <w:uiPriority w:val="39"/>
    <w:rsid w:val="00DA1EBA"/>
    <w:pPr>
      <w:tabs>
        <w:tab w:val="right" w:leader="dot" w:pos="9720"/>
      </w:tabs>
      <w:spacing w:before="40" w:after="40"/>
      <w:ind w:left="547" w:right="821"/>
    </w:pPr>
    <w:rPr>
      <w:rFonts w:ascii="Calibri" w:hAnsi="Calibri" w:cs="Arial"/>
      <w:noProof/>
      <w:sz w:val="20"/>
      <w:szCs w:val="20"/>
    </w:rPr>
  </w:style>
  <w:style w:type="paragraph" w:styleId="TOC3">
    <w:name w:val="toc 3"/>
    <w:basedOn w:val="Normal"/>
    <w:next w:val="Normal"/>
    <w:uiPriority w:val="39"/>
    <w:unhideWhenUsed/>
    <w:rsid w:val="004234C3"/>
    <w:pPr>
      <w:tabs>
        <w:tab w:val="right" w:leader="dot" w:pos="7920"/>
      </w:tabs>
      <w:spacing w:before="40" w:after="40"/>
      <w:ind w:left="547" w:right="821"/>
    </w:pPr>
    <w:rPr>
      <w:rFonts w:ascii="Calibri" w:hAnsi="Calibri" w:cs="Arial"/>
      <w:noProof/>
      <w:sz w:val="20"/>
      <w:szCs w:val="20"/>
    </w:rPr>
  </w:style>
  <w:style w:type="paragraph" w:customStyle="1" w:styleId="TableofContentsheading">
    <w:name w:val="Table of Contents heading"/>
    <w:basedOn w:val="ChapterHeading"/>
    <w:next w:val="Normal"/>
    <w:rsid w:val="00002DCB"/>
    <w:rPr>
      <w:sz w:val="36"/>
    </w:rPr>
  </w:style>
  <w:style w:type="paragraph" w:customStyle="1" w:styleId="SmallLineBlue">
    <w:name w:val="Small Line Blue"/>
    <w:basedOn w:val="SmallLine"/>
    <w:link w:val="SmallLineBlueChar"/>
    <w:rsid w:val="00002DCB"/>
    <w:pPr>
      <w:pBdr>
        <w:top w:val="single" w:sz="4" w:space="1" w:color="0000FF"/>
        <w:left w:val="single" w:sz="4" w:space="4" w:color="0000FF"/>
        <w:bottom w:val="single" w:sz="4" w:space="1" w:color="0000FF"/>
        <w:right w:val="single" w:sz="4" w:space="4" w:color="0000FF"/>
      </w:pBdr>
      <w:shd w:val="clear" w:color="auto" w:fill="0000FF"/>
    </w:pPr>
  </w:style>
  <w:style w:type="character" w:customStyle="1" w:styleId="SmallLineBlueChar">
    <w:name w:val="Small Line Blue Char"/>
    <w:link w:val="SmallLineBlue"/>
    <w:rsid w:val="00002DCB"/>
    <w:rPr>
      <w:sz w:val="4"/>
      <w:szCs w:val="4"/>
      <w:shd w:val="clear" w:color="auto" w:fill="0000FF"/>
    </w:rPr>
  </w:style>
  <w:style w:type="paragraph" w:customStyle="1" w:styleId="Heading2Blue">
    <w:name w:val="Heading 2 Blue"/>
    <w:basedOn w:val="Heading2"/>
    <w:link w:val="Heading2BlueChar"/>
    <w:unhideWhenUsed/>
    <w:qFormat/>
    <w:rsid w:val="00002DCB"/>
    <w:rPr>
      <w:color w:val="0000FF"/>
    </w:rPr>
  </w:style>
  <w:style w:type="character" w:customStyle="1" w:styleId="Heading2BlueChar">
    <w:name w:val="Heading 2 Blue Char"/>
    <w:link w:val="Heading2Blue"/>
    <w:rsid w:val="00002DCB"/>
    <w:rPr>
      <w:rFonts w:ascii="Calibri" w:hAnsi="Calibri" w:cs="Arial Bold"/>
      <w:b/>
      <w:bCs/>
      <w:color w:val="0000FF"/>
      <w:kern w:val="28"/>
      <w:sz w:val="24"/>
      <w:szCs w:val="24"/>
    </w:rPr>
  </w:style>
  <w:style w:type="paragraph" w:customStyle="1" w:styleId="TableTextCentred">
    <w:name w:val="Table Text Centred"/>
    <w:basedOn w:val="Tabletext"/>
    <w:rsid w:val="00002DCB"/>
    <w:pPr>
      <w:jc w:val="center"/>
    </w:pPr>
  </w:style>
  <w:style w:type="paragraph" w:styleId="TOC8">
    <w:name w:val="toc 8"/>
    <w:basedOn w:val="TOC2"/>
    <w:next w:val="Normal"/>
    <w:autoRedefine/>
    <w:semiHidden/>
    <w:rsid w:val="00495958"/>
  </w:style>
  <w:style w:type="paragraph" w:customStyle="1" w:styleId="CommentaryHeading2">
    <w:name w:val="Commentary Heading 2"/>
    <w:basedOn w:val="CommentaryHeading1"/>
    <w:link w:val="CommentaryHeading2Char"/>
    <w:qFormat/>
    <w:rsid w:val="00002DCB"/>
    <w:pPr>
      <w:pBdr>
        <w:top w:val="none" w:sz="0" w:space="0" w:color="auto"/>
        <w:bottom w:val="none" w:sz="0" w:space="0" w:color="auto"/>
      </w:pBdr>
    </w:pPr>
    <w:rPr>
      <w:i/>
    </w:rPr>
  </w:style>
  <w:style w:type="paragraph" w:customStyle="1" w:styleId="CommentaryDashBlue">
    <w:name w:val="Commentary Dash Blue"/>
    <w:basedOn w:val="DashBlue"/>
    <w:link w:val="CommentaryDashBlueChar"/>
    <w:rsid w:val="00002DCB"/>
    <w:pPr>
      <w:numPr>
        <w:numId w:val="0"/>
      </w:numPr>
      <w:pBdr>
        <w:left w:val="single" w:sz="4" w:space="4" w:color="0000FF"/>
        <w:right w:val="single" w:sz="4" w:space="4" w:color="0000FF"/>
      </w:pBdr>
      <w:tabs>
        <w:tab w:val="left" w:pos="426"/>
      </w:tabs>
      <w:ind w:left="720" w:hanging="720"/>
    </w:pPr>
  </w:style>
  <w:style w:type="character" w:customStyle="1" w:styleId="CommentaryDashBlueChar">
    <w:name w:val="Commentary Dash Blue Char"/>
    <w:basedOn w:val="DashBlueCharChar"/>
    <w:link w:val="CommentaryDashBlue"/>
    <w:rsid w:val="00002DCB"/>
    <w:rPr>
      <w:color w:val="0000FF"/>
    </w:rPr>
  </w:style>
  <w:style w:type="paragraph" w:customStyle="1" w:styleId="Tabletextheading">
    <w:name w:val="Table text heading"/>
    <w:basedOn w:val="TableofFigures"/>
    <w:link w:val="TabletextheadingChar"/>
    <w:qFormat/>
    <w:rsid w:val="00002DCB"/>
    <w:rPr>
      <w:i/>
      <w:iCs/>
      <w:noProof/>
    </w:rPr>
  </w:style>
  <w:style w:type="character" w:customStyle="1" w:styleId="TabletextheadingChar">
    <w:name w:val="Table text heading Char"/>
    <w:link w:val="Tabletextheading"/>
    <w:rsid w:val="00002DCB"/>
    <w:rPr>
      <w:rFonts w:ascii="Calibri" w:hAnsi="Calibri" w:cs="Arial"/>
      <w:i/>
      <w:iCs/>
      <w:noProof/>
      <w:sz w:val="18"/>
      <w:szCs w:val="18"/>
    </w:rPr>
  </w:style>
  <w:style w:type="paragraph" w:styleId="TOC4">
    <w:name w:val="toc 4"/>
    <w:basedOn w:val="TOC1"/>
    <w:next w:val="Normal"/>
    <w:uiPriority w:val="39"/>
    <w:unhideWhenUsed/>
    <w:rsid w:val="00002DCB"/>
    <w:pPr>
      <w:tabs>
        <w:tab w:val="right" w:leader="dot" w:pos="7920"/>
      </w:tabs>
      <w:spacing w:before="10" w:after="10"/>
      <w:ind w:left="1152" w:hanging="1152"/>
    </w:pPr>
    <w:rPr>
      <w:b w:val="0"/>
      <w:sz w:val="18"/>
      <w:szCs w:val="18"/>
    </w:rPr>
  </w:style>
  <w:style w:type="character" w:styleId="Hyperlink">
    <w:name w:val="Hyperlink"/>
    <w:uiPriority w:val="99"/>
    <w:rsid w:val="00F72886"/>
    <w:rPr>
      <w:rFonts w:ascii="Calibri" w:hAnsi="Calibri"/>
      <w:color w:val="0000FF"/>
      <w:sz w:val="20"/>
      <w:u w:val="single"/>
    </w:rPr>
  </w:style>
  <w:style w:type="table" w:styleId="TableGrid">
    <w:name w:val="Table Grid"/>
    <w:aliases w:val="CV table"/>
    <w:basedOn w:val="TableNormal"/>
    <w:uiPriority w:val="59"/>
    <w:rsid w:val="00A24E4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ing">
    <w:name w:val="NoteHeading"/>
    <w:basedOn w:val="Normal"/>
    <w:link w:val="NoteHeadingChar"/>
    <w:qFormat/>
    <w:rsid w:val="00002DCB"/>
    <w:pPr>
      <w:tabs>
        <w:tab w:val="left" w:pos="1224"/>
      </w:tabs>
      <w:spacing w:after="120"/>
      <w:ind w:left="1225" w:hanging="1225"/>
    </w:pPr>
    <w:rPr>
      <w:rFonts w:ascii="Calibri" w:hAnsi="Calibri" w:cs="Arial"/>
      <w:b/>
      <w:bCs/>
      <w:sz w:val="26"/>
      <w:szCs w:val="28"/>
      <w:lang w:val="en-GB"/>
    </w:rPr>
  </w:style>
  <w:style w:type="character" w:customStyle="1" w:styleId="NoteHeadingChar">
    <w:name w:val="NoteHeading Char"/>
    <w:link w:val="NoteHeading"/>
    <w:locked/>
    <w:rsid w:val="00002DCB"/>
    <w:rPr>
      <w:rFonts w:ascii="Calibri" w:hAnsi="Calibri" w:cs="Arial"/>
      <w:b/>
      <w:bCs/>
      <w:sz w:val="26"/>
      <w:szCs w:val="28"/>
      <w:lang w:val="en-GB"/>
    </w:rPr>
  </w:style>
  <w:style w:type="paragraph" w:customStyle="1" w:styleId="NoteHeadingcontinued">
    <w:name w:val="NoteHeading continued"/>
    <w:basedOn w:val="NoteHeading"/>
    <w:link w:val="NoteHeadingcontinuedChar"/>
    <w:rsid w:val="00002DCB"/>
  </w:style>
  <w:style w:type="character" w:customStyle="1" w:styleId="NoteHeadingcontinuedChar">
    <w:name w:val="NoteHeading continued Char"/>
    <w:basedOn w:val="NoteHeadingChar"/>
    <w:link w:val="NoteHeadingcontinued"/>
    <w:locked/>
    <w:rsid w:val="00002DCB"/>
    <w:rPr>
      <w:rFonts w:ascii="Calibri" w:hAnsi="Calibri" w:cs="Arial"/>
      <w:b/>
      <w:bCs/>
      <w:sz w:val="26"/>
      <w:szCs w:val="28"/>
      <w:lang w:val="en-GB"/>
    </w:rPr>
  </w:style>
  <w:style w:type="paragraph" w:customStyle="1" w:styleId="aalpha">
    <w:name w:val="(a) alpha"/>
    <w:basedOn w:val="Normal"/>
    <w:rsid w:val="00002DCB"/>
    <w:pPr>
      <w:numPr>
        <w:numId w:val="2"/>
      </w:numPr>
      <w:autoSpaceDE w:val="0"/>
      <w:autoSpaceDN w:val="0"/>
      <w:adjustRightInd w:val="0"/>
      <w:spacing w:line="240" w:lineRule="atLeast"/>
    </w:pPr>
  </w:style>
  <w:style w:type="paragraph" w:customStyle="1" w:styleId="Heading2BluePt3">
    <w:name w:val="Heading 2 Blue Pt3"/>
    <w:basedOn w:val="Heading2Blue"/>
    <w:link w:val="Heading2BluePt3Char"/>
    <w:rsid w:val="00002DCB"/>
  </w:style>
  <w:style w:type="character" w:customStyle="1" w:styleId="Heading2BluePt3Char">
    <w:name w:val="Heading 2 Blue Pt3 Char"/>
    <w:basedOn w:val="Heading2BlueChar"/>
    <w:link w:val="Heading2BluePt3"/>
    <w:rsid w:val="00002DCB"/>
    <w:rPr>
      <w:rFonts w:ascii="Calibri" w:hAnsi="Calibri" w:cs="Arial Bold"/>
      <w:b/>
      <w:bCs/>
      <w:color w:val="0000FF"/>
      <w:kern w:val="28"/>
      <w:sz w:val="24"/>
      <w:szCs w:val="24"/>
    </w:rPr>
  </w:style>
  <w:style w:type="paragraph" w:customStyle="1" w:styleId="Heading1BluePt3">
    <w:name w:val="Heading 1 Blue Pt3"/>
    <w:basedOn w:val="Normal"/>
    <w:link w:val="Heading1BluePt3Char"/>
    <w:qFormat/>
    <w:rsid w:val="00002DCB"/>
    <w:pPr>
      <w:keepNext/>
      <w:spacing w:before="360"/>
      <w:outlineLvl w:val="0"/>
    </w:pPr>
    <w:rPr>
      <w:rFonts w:ascii="Calibri" w:hAnsi="Calibri" w:cs="Arial Bold"/>
      <w:b/>
      <w:bCs/>
      <w:color w:val="0000FF"/>
      <w:sz w:val="28"/>
      <w:szCs w:val="28"/>
    </w:rPr>
  </w:style>
  <w:style w:type="character" w:customStyle="1" w:styleId="Heading1BluePt3Char">
    <w:name w:val="Heading 1 Blue Pt3 Char"/>
    <w:basedOn w:val="DefaultParagraphFont"/>
    <w:link w:val="Heading1BluePt3"/>
    <w:locked/>
    <w:rsid w:val="00002DCB"/>
    <w:rPr>
      <w:rFonts w:ascii="Calibri" w:hAnsi="Calibri" w:cs="Arial Bold"/>
      <w:b/>
      <w:bCs/>
      <w:color w:val="0000FF"/>
      <w:sz w:val="28"/>
      <w:szCs w:val="28"/>
    </w:rPr>
  </w:style>
  <w:style w:type="paragraph" w:styleId="TOC5">
    <w:name w:val="toc 5"/>
    <w:basedOn w:val="TOC3"/>
    <w:next w:val="Normal"/>
    <w:autoRedefine/>
    <w:locked/>
    <w:rsid w:val="00002DCB"/>
  </w:style>
  <w:style w:type="paragraph" w:styleId="Caption">
    <w:name w:val="caption"/>
    <w:basedOn w:val="Normal"/>
    <w:next w:val="Normal"/>
    <w:uiPriority w:val="35"/>
    <w:qFormat/>
    <w:rsid w:val="00002DCB"/>
    <w:rPr>
      <w:rFonts w:asciiTheme="minorHAnsi" w:hAnsiTheme="minorHAnsi"/>
      <w:b/>
      <w:bCs/>
    </w:rPr>
  </w:style>
  <w:style w:type="paragraph" w:customStyle="1" w:styleId="TabletextheadingCentred">
    <w:name w:val="Table text heading Centred"/>
    <w:basedOn w:val="Tabletextheading"/>
    <w:link w:val="TabletextheadingCentredChar"/>
    <w:rsid w:val="00002DCB"/>
    <w:pPr>
      <w:jc w:val="center"/>
    </w:pPr>
    <w:rPr>
      <w:noProof w:val="0"/>
      <w:szCs w:val="20"/>
    </w:rPr>
  </w:style>
  <w:style w:type="character" w:customStyle="1" w:styleId="TabletextheadingCentredChar">
    <w:name w:val="Table text heading Centred Char"/>
    <w:link w:val="TabletextheadingCentred"/>
    <w:locked/>
    <w:rsid w:val="00002DCB"/>
    <w:rPr>
      <w:rFonts w:ascii="Calibri" w:hAnsi="Calibri" w:cs="Arial"/>
      <w:i/>
      <w:iCs/>
      <w:sz w:val="18"/>
      <w:szCs w:val="20"/>
    </w:rPr>
  </w:style>
  <w:style w:type="paragraph" w:customStyle="1" w:styleId="Default">
    <w:name w:val="Default"/>
    <w:autoRedefine/>
    <w:rsid w:val="00FC6E82"/>
    <w:pPr>
      <w:autoSpaceDE w:val="0"/>
      <w:autoSpaceDN w:val="0"/>
      <w:adjustRightInd w:val="0"/>
    </w:pPr>
    <w:rPr>
      <w:rFonts w:eastAsia="Times New Roman" w:cs="Times New Roman"/>
      <w:color w:val="000000"/>
      <w:szCs w:val="24"/>
    </w:rPr>
  </w:style>
  <w:style w:type="paragraph" w:customStyle="1" w:styleId="NormalBlueIndent">
    <w:name w:val="Normal Blue Indent"/>
    <w:basedOn w:val="NormalBlue"/>
    <w:rsid w:val="00002DCB"/>
    <w:pPr>
      <w:ind w:left="357"/>
    </w:pPr>
  </w:style>
  <w:style w:type="table" w:customStyle="1" w:styleId="TableGrid1">
    <w:name w:val="Table Grid1"/>
    <w:basedOn w:val="TableNormal"/>
    <w:next w:val="TableGrid"/>
    <w:rsid w:val="0049595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Blue">
    <w:name w:val="Notes Blue"/>
    <w:basedOn w:val="Notes"/>
    <w:rsid w:val="00002DCB"/>
    <w:rPr>
      <w:color w:val="0000FF"/>
    </w:rPr>
  </w:style>
  <w:style w:type="paragraph" w:customStyle="1" w:styleId="NormalIndent2">
    <w:name w:val="Normal Indent 2"/>
    <w:basedOn w:val="Normal"/>
    <w:rsid w:val="00002DCB"/>
    <w:pPr>
      <w:ind w:left="446"/>
    </w:pPr>
  </w:style>
  <w:style w:type="paragraph" w:styleId="NormalIndent">
    <w:name w:val="Normal Indent"/>
    <w:basedOn w:val="Normal"/>
    <w:rsid w:val="00002DCB"/>
    <w:pPr>
      <w:ind w:left="720"/>
    </w:pPr>
  </w:style>
  <w:style w:type="paragraph" w:customStyle="1" w:styleId="NotesBullet">
    <w:name w:val="Notes Bullet"/>
    <w:basedOn w:val="Notes"/>
    <w:rsid w:val="00002DCB"/>
    <w:pPr>
      <w:numPr>
        <w:numId w:val="8"/>
      </w:numPr>
      <w:tabs>
        <w:tab w:val="clear" w:pos="454"/>
      </w:tabs>
    </w:pPr>
    <w:rPr>
      <w:color w:val="0000FF"/>
    </w:rPr>
  </w:style>
  <w:style w:type="paragraph" w:customStyle="1" w:styleId="TabletextheadingLeft">
    <w:name w:val="Table text heading Left"/>
    <w:basedOn w:val="Tabletextheading"/>
    <w:rsid w:val="00002DCB"/>
    <w:pPr>
      <w:jc w:val="left"/>
    </w:pPr>
  </w:style>
  <w:style w:type="paragraph" w:customStyle="1" w:styleId="TabletextIndent">
    <w:name w:val="Table text Indent"/>
    <w:basedOn w:val="Normal"/>
    <w:rsid w:val="00002DCB"/>
    <w:pPr>
      <w:spacing w:before="30" w:after="30"/>
      <w:ind w:left="266"/>
    </w:pPr>
    <w:rPr>
      <w:rFonts w:ascii="Calibri" w:hAnsi="Calibri" w:cs="Arial"/>
      <w:sz w:val="18"/>
      <w:szCs w:val="18"/>
    </w:rPr>
  </w:style>
  <w:style w:type="paragraph" w:customStyle="1" w:styleId="CommentaryTextIndent2">
    <w:name w:val="Commentary Text Indent 2"/>
    <w:basedOn w:val="CommentaryDashBlue"/>
    <w:link w:val="CommentaryTextIndent2CharChar"/>
    <w:rsid w:val="00002DCB"/>
    <w:pPr>
      <w:pBdr>
        <w:top w:val="single" w:sz="4" w:space="1" w:color="0000FF"/>
        <w:bottom w:val="single" w:sz="4" w:space="1" w:color="0000FF"/>
      </w:pBdr>
      <w:tabs>
        <w:tab w:val="clear" w:pos="426"/>
        <w:tab w:val="left" w:pos="450"/>
      </w:tabs>
      <w:ind w:left="900" w:hanging="900"/>
    </w:pPr>
  </w:style>
  <w:style w:type="character" w:customStyle="1" w:styleId="CommentaryTextIndent2CharChar">
    <w:name w:val="Commentary Text Indent 2 Char Char"/>
    <w:link w:val="CommentaryTextIndent2"/>
    <w:rsid w:val="00002DCB"/>
    <w:rPr>
      <w:color w:val="0000FF"/>
    </w:rPr>
  </w:style>
  <w:style w:type="table" w:styleId="TableClassic1">
    <w:name w:val="Table Classic 1"/>
    <w:basedOn w:val="TableNormal"/>
    <w:rsid w:val="006E3C4D"/>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Bullet"/>
    <w:qFormat/>
    <w:rsid w:val="00002DCB"/>
    <w:pPr>
      <w:numPr>
        <w:numId w:val="9"/>
      </w:numPr>
      <w:spacing w:before="0"/>
    </w:pPr>
    <w:rPr>
      <w:rFonts w:ascii="Calibri" w:hAnsi="Calibri"/>
      <w:sz w:val="18"/>
    </w:rPr>
  </w:style>
  <w:style w:type="paragraph" w:customStyle="1" w:styleId="Heading1BluePt3Contd">
    <w:name w:val="Heading 1 Blue Pt3 Cont'd"/>
    <w:basedOn w:val="Heading1BluePt3"/>
    <w:rsid w:val="00002DCB"/>
  </w:style>
  <w:style w:type="paragraph" w:styleId="Revision">
    <w:name w:val="Revision"/>
    <w:hidden/>
    <w:uiPriority w:val="99"/>
    <w:semiHidden/>
    <w:rsid w:val="001041D7"/>
    <w:rPr>
      <w:rFonts w:eastAsia="Times New Roman" w:cs="Times New Roman"/>
      <w:lang w:eastAsia="en-US"/>
    </w:rPr>
  </w:style>
  <w:style w:type="paragraph" w:customStyle="1" w:styleId="Heading1Pt3">
    <w:name w:val="Heading 1 Pt3"/>
    <w:basedOn w:val="Heading1"/>
    <w:next w:val="Normal"/>
    <w:qFormat/>
    <w:rsid w:val="00002DCB"/>
  </w:style>
  <w:style w:type="character" w:styleId="CommentReference">
    <w:name w:val="annotation reference"/>
    <w:basedOn w:val="DefaultParagraphFont"/>
    <w:uiPriority w:val="99"/>
    <w:rsid w:val="00031BBE"/>
    <w:rPr>
      <w:sz w:val="16"/>
      <w:szCs w:val="16"/>
    </w:rPr>
  </w:style>
  <w:style w:type="paragraph" w:styleId="CommentText">
    <w:name w:val="annotation text"/>
    <w:basedOn w:val="Normal"/>
    <w:link w:val="CommentTextChar"/>
    <w:uiPriority w:val="99"/>
    <w:rsid w:val="00031BBE"/>
    <w:rPr>
      <w:sz w:val="20"/>
      <w:szCs w:val="20"/>
    </w:rPr>
  </w:style>
  <w:style w:type="character" w:customStyle="1" w:styleId="CommentTextChar">
    <w:name w:val="Comment Text Char"/>
    <w:basedOn w:val="DefaultParagraphFont"/>
    <w:link w:val="CommentText"/>
    <w:uiPriority w:val="99"/>
    <w:rsid w:val="00031BBE"/>
    <w:rPr>
      <w:sz w:val="20"/>
      <w:szCs w:val="20"/>
    </w:rPr>
  </w:style>
  <w:style w:type="paragraph" w:styleId="CommentSubject">
    <w:name w:val="annotation subject"/>
    <w:basedOn w:val="Normal"/>
    <w:link w:val="CommentSubjectChar"/>
    <w:semiHidden/>
    <w:rsid w:val="00002DCB"/>
    <w:rPr>
      <w:b/>
      <w:bCs/>
      <w:sz w:val="20"/>
      <w:szCs w:val="20"/>
    </w:rPr>
  </w:style>
  <w:style w:type="character" w:customStyle="1" w:styleId="CommentSubjectChar">
    <w:name w:val="Comment Subject Char"/>
    <w:basedOn w:val="DefaultParagraphFont"/>
    <w:link w:val="CommentSubject"/>
    <w:semiHidden/>
    <w:rsid w:val="00002DCB"/>
    <w:rPr>
      <w:b/>
      <w:bCs/>
      <w:sz w:val="20"/>
      <w:szCs w:val="20"/>
    </w:rPr>
  </w:style>
  <w:style w:type="paragraph" w:styleId="TOCHeading">
    <w:name w:val="TOC Heading"/>
    <w:basedOn w:val="Heading1"/>
    <w:next w:val="Normal"/>
    <w:unhideWhenUsed/>
    <w:qFormat/>
    <w:rsid w:val="00837665"/>
    <w:pPr>
      <w:keepNext w:val="0"/>
      <w:spacing w:before="80" w:after="400" w:line="520" w:lineRule="exact"/>
      <w:ind w:left="432" w:right="113"/>
      <w:jc w:val="both"/>
      <w:outlineLvl w:val="9"/>
    </w:pPr>
    <w:rPr>
      <w:rFonts w:eastAsia="Times New Roman"/>
      <w:sz w:val="32"/>
      <w:szCs w:val="32"/>
      <w:lang w:eastAsia="en-US"/>
    </w:rPr>
  </w:style>
  <w:style w:type="paragraph" w:customStyle="1" w:styleId="TableText0">
    <w:name w:val="Table Text"/>
    <w:basedOn w:val="Normal"/>
    <w:rsid w:val="00837665"/>
    <w:pPr>
      <w:spacing w:before="30" w:after="30"/>
    </w:pPr>
    <w:rPr>
      <w:rFonts w:ascii="Calibri" w:eastAsia="Times New Roman" w:hAnsi="Calibri" w:cs="Arial"/>
      <w:sz w:val="18"/>
      <w:szCs w:val="18"/>
    </w:rPr>
  </w:style>
  <w:style w:type="paragraph" w:customStyle="1" w:styleId="BulletIndent">
    <w:name w:val="Bullet Indent"/>
    <w:basedOn w:val="Bullet"/>
    <w:rsid w:val="00244E7E"/>
    <w:pPr>
      <w:ind w:left="810"/>
    </w:pPr>
    <w:rPr>
      <w:rFonts w:eastAsia="Times New Roman" w:cs="Times New Roman"/>
      <w:lang w:eastAsia="en-US"/>
    </w:rPr>
  </w:style>
  <w:style w:type="paragraph" w:customStyle="1" w:styleId="Chartheading">
    <w:name w:val="Chart heading"/>
    <w:basedOn w:val="Tableheading"/>
    <w:next w:val="Normal"/>
    <w:rsid w:val="00002DCB"/>
    <w:rPr>
      <w:rFonts w:eastAsia="Times New Roman"/>
      <w:lang w:eastAsia="en-US"/>
    </w:rPr>
  </w:style>
  <w:style w:type="paragraph" w:customStyle="1" w:styleId="CommentaryHeading3">
    <w:name w:val="Commentary Heading 3"/>
    <w:basedOn w:val="CommentaryText"/>
    <w:link w:val="CommentaryHeading3Char"/>
    <w:rsid w:val="00002DCB"/>
    <w:rPr>
      <w:rFonts w:ascii="Calibri" w:eastAsia="Times New Roman" w:hAnsi="Calibri" w:cs="Arial"/>
      <w:b/>
      <w:bCs/>
      <w:lang w:eastAsia="en-US"/>
    </w:rPr>
  </w:style>
  <w:style w:type="character" w:customStyle="1" w:styleId="CommentaryHeading3Char">
    <w:name w:val="Commentary Heading 3 Char"/>
    <w:link w:val="CommentaryHeading3"/>
    <w:locked/>
    <w:rsid w:val="00002DCB"/>
    <w:rPr>
      <w:rFonts w:ascii="Calibri" w:eastAsia="Times New Roman" w:hAnsi="Calibri" w:cs="Arial"/>
      <w:b/>
      <w:bCs/>
      <w:noProof/>
      <w:color w:val="0000FF"/>
      <w:lang w:eastAsia="en-US"/>
    </w:rPr>
  </w:style>
  <w:style w:type="paragraph" w:customStyle="1" w:styleId="Heading1a">
    <w:name w:val="Heading 1a"/>
    <w:basedOn w:val="Heading1"/>
    <w:rsid w:val="00002DCB"/>
    <w:rPr>
      <w:rFonts w:eastAsia="Times New Roman"/>
      <w:lang w:eastAsia="en-US"/>
    </w:rPr>
  </w:style>
  <w:style w:type="paragraph" w:customStyle="1" w:styleId="Heading2pt2">
    <w:name w:val="Heading 2 pt2"/>
    <w:basedOn w:val="Heading2"/>
    <w:link w:val="Heading2pt2Char"/>
    <w:rsid w:val="00002DCB"/>
    <w:pPr>
      <w:spacing w:before="240"/>
    </w:pPr>
    <w:rPr>
      <w:rFonts w:eastAsia="Times New Roman"/>
      <w:lang w:eastAsia="en-US"/>
    </w:rPr>
  </w:style>
  <w:style w:type="character" w:customStyle="1" w:styleId="Heading2pt2Char">
    <w:name w:val="Heading 2 pt2 Char"/>
    <w:basedOn w:val="Heading2Char"/>
    <w:link w:val="Heading2pt2"/>
    <w:rsid w:val="00002DCB"/>
    <w:rPr>
      <w:rFonts w:ascii="Calibri" w:eastAsia="Times New Roman" w:hAnsi="Calibri" w:cs="Arial Bold"/>
      <w:b/>
      <w:bCs/>
      <w:kern w:val="28"/>
      <w:sz w:val="24"/>
      <w:szCs w:val="24"/>
      <w:lang w:eastAsia="en-US"/>
    </w:rPr>
  </w:style>
  <w:style w:type="paragraph" w:customStyle="1" w:styleId="Heading5a">
    <w:name w:val="Heading 5a"/>
    <w:basedOn w:val="Heading5"/>
    <w:rsid w:val="00002DCB"/>
    <w:pPr>
      <w:tabs>
        <w:tab w:val="clear" w:pos="450"/>
      </w:tabs>
      <w:spacing w:before="180" w:after="60"/>
      <w:ind w:left="0" w:firstLine="0"/>
    </w:pPr>
    <w:rPr>
      <w:rFonts w:eastAsia="Times New Roman"/>
      <w:b w:val="0"/>
      <w:bCs w:val="0"/>
      <w:i/>
      <w:iCs/>
      <w:lang w:eastAsia="en-US"/>
    </w:rPr>
  </w:style>
  <w:style w:type="paragraph" w:customStyle="1" w:styleId="Tabletextcentred0">
    <w:name w:val="Table text centred"/>
    <w:basedOn w:val="Tabletext"/>
    <w:rsid w:val="00C030DF"/>
    <w:pPr>
      <w:spacing w:before="0" w:after="0"/>
      <w:jc w:val="center"/>
    </w:pPr>
    <w:rPr>
      <w:rFonts w:cs="Calibri"/>
      <w:noProof w:val="0"/>
      <w:sz w:val="22"/>
      <w:lang w:eastAsia="en-US"/>
    </w:rPr>
  </w:style>
  <w:style w:type="paragraph" w:customStyle="1" w:styleId="Tabletextheadingcentred0">
    <w:name w:val="Table text heading centred"/>
    <w:basedOn w:val="Tabletextheading"/>
    <w:rsid w:val="00C030DF"/>
    <w:pPr>
      <w:spacing w:before="0" w:after="0"/>
      <w:jc w:val="center"/>
    </w:pPr>
    <w:rPr>
      <w:rFonts w:cs="Calibri"/>
      <w:iCs w:val="0"/>
      <w:noProof w:val="0"/>
      <w:sz w:val="22"/>
      <w:lang w:eastAsia="en-US"/>
    </w:rPr>
  </w:style>
  <w:style w:type="paragraph" w:customStyle="1" w:styleId="OGBullet">
    <w:name w:val="OGBullet"/>
    <w:basedOn w:val="Normal"/>
    <w:semiHidden/>
    <w:rsid w:val="00C030DF"/>
    <w:pPr>
      <w:numPr>
        <w:numId w:val="10"/>
      </w:numPr>
      <w:spacing w:before="0" w:after="120"/>
    </w:pPr>
    <w:rPr>
      <w:rFonts w:ascii="Calibri" w:eastAsia="Times New Roman" w:hAnsi="Calibri" w:cs="Times New Roman"/>
      <w:szCs w:val="18"/>
      <w:lang w:eastAsia="en-US"/>
    </w:rPr>
  </w:style>
  <w:style w:type="paragraph" w:customStyle="1" w:styleId="Heading2NotesContd">
    <w:name w:val="Heading 2 Notes Cont'd"/>
    <w:basedOn w:val="Normal"/>
    <w:rsid w:val="00C030DF"/>
    <w:pPr>
      <w:keepNext/>
      <w:tabs>
        <w:tab w:val="left" w:pos="1152"/>
      </w:tabs>
      <w:spacing w:before="240" w:after="120"/>
      <w:ind w:left="1152" w:hanging="1152"/>
      <w:outlineLvl w:val="1"/>
    </w:pPr>
    <w:rPr>
      <w:rFonts w:ascii="Calibri" w:eastAsia="Times New Roman" w:hAnsi="Calibri" w:cs="Times New Roman"/>
      <w:b/>
      <w:kern w:val="28"/>
      <w:sz w:val="28"/>
      <w:lang w:eastAsia="en-US"/>
    </w:rPr>
  </w:style>
  <w:style w:type="character" w:styleId="PageNumber">
    <w:name w:val="page number"/>
    <w:rsid w:val="00C030DF"/>
    <w:rPr>
      <w:rFonts w:ascii="Calibri" w:hAnsi="Calibri"/>
    </w:rPr>
  </w:style>
  <w:style w:type="paragraph" w:customStyle="1" w:styleId="heading">
    <w:name w:val="heading"/>
    <w:basedOn w:val="Heading2"/>
    <w:link w:val="headingChar"/>
    <w:semiHidden/>
    <w:rsid w:val="00C030DF"/>
    <w:pPr>
      <w:keepNext w:val="0"/>
      <w:overflowPunct w:val="0"/>
      <w:autoSpaceDE w:val="0"/>
      <w:autoSpaceDN w:val="0"/>
      <w:adjustRightInd w:val="0"/>
      <w:spacing w:before="240" w:after="120"/>
      <w:textAlignment w:val="baseline"/>
    </w:pPr>
    <w:rPr>
      <w:rFonts w:ascii="EY Gothic Cond MedPS" w:eastAsiaTheme="majorEastAsia" w:hAnsi="EY Gothic Cond MedPS" w:cstheme="majorBidi"/>
      <w:bCs w:val="0"/>
      <w:color w:val="4F81BD" w:themeColor="accent1"/>
      <w:szCs w:val="26"/>
      <w:lang w:val="en-GB" w:eastAsia="en-US"/>
    </w:rPr>
  </w:style>
  <w:style w:type="character" w:customStyle="1" w:styleId="headingChar">
    <w:name w:val="heading Char"/>
    <w:basedOn w:val="Heading2Char"/>
    <w:link w:val="heading"/>
    <w:semiHidden/>
    <w:rsid w:val="00C030DF"/>
    <w:rPr>
      <w:rFonts w:ascii="EY Gothic Cond MedPS" w:eastAsiaTheme="majorEastAsia" w:hAnsi="EY Gothic Cond MedPS" w:cstheme="majorBidi"/>
      <w:b/>
      <w:bCs w:val="0"/>
      <w:color w:val="4F81BD" w:themeColor="accent1"/>
      <w:kern w:val="28"/>
      <w:sz w:val="24"/>
      <w:szCs w:val="26"/>
      <w:lang w:val="en-GB" w:eastAsia="en-US"/>
    </w:rPr>
  </w:style>
  <w:style w:type="character" w:styleId="FootnoteReference">
    <w:name w:val="footnote reference"/>
    <w:uiPriority w:val="99"/>
    <w:rsid w:val="00C030DF"/>
    <w:rPr>
      <w:vertAlign w:val="superscript"/>
    </w:rPr>
  </w:style>
  <w:style w:type="paragraph" w:customStyle="1" w:styleId="Heading4a">
    <w:name w:val="Heading 4a"/>
    <w:basedOn w:val="Heading4"/>
    <w:rsid w:val="00C030DF"/>
    <w:pPr>
      <w:keepLines/>
      <w:spacing w:after="60"/>
      <w:ind w:left="720" w:hanging="720"/>
    </w:pPr>
    <w:rPr>
      <w:sz w:val="22"/>
      <w:szCs w:val="22"/>
    </w:rPr>
  </w:style>
  <w:style w:type="paragraph" w:customStyle="1" w:styleId="Heading1Blue">
    <w:name w:val="Heading 1 Blue"/>
    <w:basedOn w:val="Heading1"/>
    <w:link w:val="Heading1BlueChar"/>
    <w:rsid w:val="00C030DF"/>
    <w:rPr>
      <w:color w:val="0000FF"/>
    </w:rPr>
  </w:style>
  <w:style w:type="character" w:customStyle="1" w:styleId="Heading1BlueChar">
    <w:name w:val="Heading 1 Blue Char"/>
    <w:link w:val="Heading1Blue"/>
    <w:locked/>
    <w:rsid w:val="00C030DF"/>
    <w:rPr>
      <w:rFonts w:ascii="Calibri" w:hAnsi="Calibri" w:cs="Arial Bold"/>
      <w:b/>
      <w:bCs/>
      <w:color w:val="0000FF"/>
      <w:sz w:val="28"/>
      <w:szCs w:val="28"/>
    </w:rPr>
  </w:style>
  <w:style w:type="paragraph" w:customStyle="1" w:styleId="SourceReference">
    <w:name w:val="Source Reference"/>
    <w:basedOn w:val="Reference"/>
    <w:link w:val="SourceReferenceChar"/>
    <w:rsid w:val="00C030DF"/>
    <w:pPr>
      <w:spacing w:before="0"/>
    </w:pPr>
    <w:rPr>
      <w:lang w:val="en-AU"/>
    </w:rPr>
  </w:style>
  <w:style w:type="character" w:customStyle="1" w:styleId="SourceReferenceChar">
    <w:name w:val="Source Reference Char"/>
    <w:link w:val="SourceReference"/>
    <w:rsid w:val="00C030DF"/>
    <w:rPr>
      <w:rFonts w:ascii="Calibri" w:hAnsi="Calibri" w:cs="Arial Narrow"/>
      <w:color w:val="0000FF"/>
      <w:sz w:val="16"/>
      <w:szCs w:val="16"/>
    </w:rPr>
  </w:style>
  <w:style w:type="paragraph" w:customStyle="1" w:styleId="Heading3a">
    <w:name w:val="Heading 3a"/>
    <w:basedOn w:val="Normal"/>
    <w:link w:val="Heading3aChar"/>
    <w:rsid w:val="00C030DF"/>
    <w:pPr>
      <w:keepNext/>
      <w:tabs>
        <w:tab w:val="left" w:pos="1260"/>
      </w:tabs>
      <w:spacing w:before="180" w:after="60"/>
      <w:ind w:left="1260" w:hanging="1260"/>
      <w:outlineLvl w:val="1"/>
    </w:pPr>
    <w:rPr>
      <w:rFonts w:ascii="Calibri" w:hAnsi="Calibri" w:cs="Times New Roman"/>
      <w:b/>
      <w:bCs/>
      <w:kern w:val="28"/>
      <w:sz w:val="26"/>
      <w:szCs w:val="24"/>
    </w:rPr>
  </w:style>
  <w:style w:type="character" w:customStyle="1" w:styleId="Heading3aChar">
    <w:name w:val="Heading 3a Char"/>
    <w:link w:val="Heading3a"/>
    <w:locked/>
    <w:rsid w:val="00C030DF"/>
    <w:rPr>
      <w:rFonts w:ascii="Calibri" w:hAnsi="Calibri" w:cs="Times New Roman"/>
      <w:b/>
      <w:bCs/>
      <w:kern w:val="28"/>
      <w:sz w:val="26"/>
      <w:szCs w:val="24"/>
    </w:rPr>
  </w:style>
  <w:style w:type="character" w:customStyle="1" w:styleId="CommentaryHeading2Char">
    <w:name w:val="Commentary Heading 2 Char"/>
    <w:link w:val="CommentaryHeading2"/>
    <w:rsid w:val="00C030DF"/>
    <w:rPr>
      <w:rFonts w:ascii="Calibri" w:hAnsi="Calibri" w:cs="Arial"/>
      <w:b/>
      <w:bCs/>
      <w:i/>
      <w:noProof/>
      <w:color w:val="0000FF"/>
    </w:rPr>
  </w:style>
  <w:style w:type="paragraph" w:customStyle="1" w:styleId="Heading5Blue">
    <w:name w:val="Heading 5 Blue"/>
    <w:basedOn w:val="Heading5"/>
    <w:rsid w:val="00C030DF"/>
    <w:pPr>
      <w:keepNext w:val="0"/>
      <w:numPr>
        <w:ilvl w:val="4"/>
      </w:numPr>
      <w:tabs>
        <w:tab w:val="num" w:pos="716"/>
      </w:tabs>
      <w:spacing w:after="0"/>
      <w:ind w:left="716" w:hanging="432"/>
    </w:pPr>
    <w:rPr>
      <w:rFonts w:cs="Arial Bold"/>
      <w:color w:val="0000FF"/>
      <w:sz w:val="22"/>
      <w:szCs w:val="22"/>
    </w:rPr>
  </w:style>
  <w:style w:type="paragraph" w:customStyle="1" w:styleId="CharCharCharChar">
    <w:name w:val="Char Char Char Char"/>
    <w:basedOn w:val="Normal"/>
    <w:semiHidden/>
    <w:rsid w:val="00C030DF"/>
    <w:pPr>
      <w:spacing w:before="0" w:after="160" w:line="240" w:lineRule="exact"/>
    </w:pPr>
    <w:rPr>
      <w:rFonts w:ascii="Tahoma" w:hAnsi="Tahoma"/>
      <w:sz w:val="20"/>
      <w:szCs w:val="20"/>
      <w:lang w:val="en-US"/>
    </w:rPr>
  </w:style>
  <w:style w:type="paragraph" w:styleId="DocumentMap">
    <w:name w:val="Document Map"/>
    <w:basedOn w:val="Normal"/>
    <w:link w:val="DocumentMapChar"/>
    <w:semiHidden/>
    <w:rsid w:val="00C030DF"/>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C030DF"/>
    <w:rPr>
      <w:rFonts w:ascii="Tahoma" w:hAnsi="Tahoma"/>
      <w:sz w:val="20"/>
      <w:szCs w:val="20"/>
      <w:shd w:val="clear" w:color="auto" w:fill="000080"/>
    </w:rPr>
  </w:style>
  <w:style w:type="paragraph" w:customStyle="1" w:styleId="Char1">
    <w:name w:val="Char1"/>
    <w:basedOn w:val="Normal"/>
    <w:semiHidden/>
    <w:rsid w:val="00C030DF"/>
    <w:pPr>
      <w:spacing w:before="0" w:after="160" w:line="240" w:lineRule="exact"/>
    </w:pPr>
    <w:rPr>
      <w:rFonts w:ascii="Tahoma" w:hAnsi="Tahoma"/>
      <w:sz w:val="20"/>
      <w:szCs w:val="20"/>
      <w:lang w:val="en-US"/>
    </w:rPr>
  </w:style>
  <w:style w:type="paragraph" w:customStyle="1" w:styleId="CharCharCharChar1">
    <w:name w:val="Char Char Char Char1"/>
    <w:basedOn w:val="Normal"/>
    <w:semiHidden/>
    <w:rsid w:val="00C030DF"/>
    <w:pPr>
      <w:spacing w:before="0" w:after="160" w:line="240" w:lineRule="exact"/>
    </w:pPr>
    <w:rPr>
      <w:rFonts w:ascii="Tahoma" w:hAnsi="Tahoma"/>
      <w:sz w:val="20"/>
      <w:szCs w:val="20"/>
      <w:lang w:val="en-US"/>
    </w:rPr>
  </w:style>
  <w:style w:type="paragraph" w:customStyle="1" w:styleId="Char2">
    <w:name w:val="Char2"/>
    <w:basedOn w:val="Normal"/>
    <w:semiHidden/>
    <w:rsid w:val="00C030DF"/>
    <w:pPr>
      <w:spacing w:before="0" w:after="160" w:line="240" w:lineRule="exact"/>
    </w:pPr>
    <w:rPr>
      <w:rFonts w:ascii="Tahoma" w:hAnsi="Tahoma"/>
      <w:sz w:val="20"/>
      <w:szCs w:val="20"/>
      <w:lang w:val="en-US"/>
    </w:rPr>
  </w:style>
  <w:style w:type="paragraph" w:customStyle="1" w:styleId="CharCharCharChar2">
    <w:name w:val="Char Char Char Char2"/>
    <w:basedOn w:val="Normal"/>
    <w:semiHidden/>
    <w:rsid w:val="00C030DF"/>
    <w:pPr>
      <w:spacing w:before="0" w:after="160" w:line="240" w:lineRule="exact"/>
    </w:pPr>
    <w:rPr>
      <w:rFonts w:ascii="Tahoma" w:hAnsi="Tahoma"/>
      <w:sz w:val="20"/>
      <w:szCs w:val="20"/>
      <w:lang w:val="en-US"/>
    </w:rPr>
  </w:style>
  <w:style w:type="paragraph" w:customStyle="1" w:styleId="Char3">
    <w:name w:val="Char3"/>
    <w:basedOn w:val="Normal"/>
    <w:semiHidden/>
    <w:rsid w:val="00C030DF"/>
    <w:pPr>
      <w:spacing w:before="0" w:after="160" w:line="240" w:lineRule="exact"/>
    </w:pPr>
    <w:rPr>
      <w:rFonts w:ascii="Tahoma" w:hAnsi="Tahoma"/>
      <w:sz w:val="20"/>
      <w:szCs w:val="20"/>
      <w:lang w:val="en-US"/>
    </w:rPr>
  </w:style>
  <w:style w:type="paragraph" w:customStyle="1" w:styleId="CharCharCharChar3">
    <w:name w:val="Char Char Char Char3"/>
    <w:basedOn w:val="Normal"/>
    <w:semiHidden/>
    <w:rsid w:val="00C030DF"/>
    <w:pPr>
      <w:spacing w:before="0" w:after="160" w:line="240" w:lineRule="exact"/>
    </w:pPr>
    <w:rPr>
      <w:rFonts w:ascii="Tahoma" w:hAnsi="Tahoma"/>
      <w:sz w:val="20"/>
      <w:szCs w:val="20"/>
      <w:lang w:val="en-US"/>
    </w:rPr>
  </w:style>
  <w:style w:type="paragraph" w:customStyle="1" w:styleId="CommentaryHeading4">
    <w:name w:val="Commentary Heading 4"/>
    <w:basedOn w:val="CommentaryHeading3"/>
    <w:link w:val="CommentaryHeading4Char"/>
    <w:rsid w:val="00C030DF"/>
    <w:pPr>
      <w:pBdr>
        <w:top w:val="none" w:sz="0" w:space="0" w:color="auto"/>
        <w:bottom w:val="none" w:sz="0" w:space="0" w:color="auto"/>
      </w:pBdr>
    </w:pPr>
    <w:rPr>
      <w:i/>
    </w:rPr>
  </w:style>
  <w:style w:type="character" w:customStyle="1" w:styleId="CommentaryHeading4Char">
    <w:name w:val="Commentary Heading 4 Char"/>
    <w:link w:val="CommentaryHeading4"/>
    <w:rsid w:val="00C030DF"/>
    <w:rPr>
      <w:rFonts w:ascii="Calibri" w:eastAsia="Times New Roman" w:hAnsi="Calibri" w:cs="Arial"/>
      <w:b/>
      <w:bCs/>
      <w:i/>
      <w:noProof/>
      <w:color w:val="0000FF"/>
      <w:lang w:eastAsia="en-US"/>
    </w:rPr>
  </w:style>
  <w:style w:type="paragraph" w:customStyle="1" w:styleId="Pa210">
    <w:name w:val="Pa2++10"/>
    <w:basedOn w:val="Normal"/>
    <w:next w:val="Normal"/>
    <w:semiHidden/>
    <w:rsid w:val="00C030DF"/>
    <w:pPr>
      <w:autoSpaceDE w:val="0"/>
      <w:autoSpaceDN w:val="0"/>
      <w:adjustRightInd w:val="0"/>
      <w:spacing w:before="0" w:line="201" w:lineRule="atLeast"/>
    </w:pPr>
    <w:rPr>
      <w:rFonts w:ascii="Stag Medium" w:hAnsi="Stag Medium"/>
      <w:sz w:val="24"/>
      <w:szCs w:val="24"/>
    </w:rPr>
  </w:style>
  <w:style w:type="paragraph" w:customStyle="1" w:styleId="Footer1">
    <w:name w:val="Footer1"/>
    <w:basedOn w:val="Footer"/>
    <w:rsid w:val="00C030DF"/>
    <w:pPr>
      <w:tabs>
        <w:tab w:val="clear" w:pos="7085"/>
        <w:tab w:val="right" w:pos="10206"/>
      </w:tabs>
    </w:pPr>
  </w:style>
  <w:style w:type="paragraph" w:customStyle="1" w:styleId="NotesIndent">
    <w:name w:val="NotesIndent"/>
    <w:basedOn w:val="Notes"/>
    <w:link w:val="NotesIndentChar"/>
    <w:rsid w:val="00C030DF"/>
    <w:pPr>
      <w:ind w:left="915"/>
    </w:pPr>
    <w:rPr>
      <w:iCs w:val="0"/>
      <w:szCs w:val="20"/>
    </w:rPr>
  </w:style>
  <w:style w:type="character" w:customStyle="1" w:styleId="NotesIndentChar">
    <w:name w:val="NotesIndent Char"/>
    <w:link w:val="NotesIndent"/>
    <w:rsid w:val="00C030DF"/>
    <w:rPr>
      <w:rFonts w:ascii="Calibri" w:hAnsi="Calibri"/>
      <w:i/>
      <w:sz w:val="16"/>
      <w:szCs w:val="20"/>
    </w:rPr>
  </w:style>
  <w:style w:type="paragraph" w:customStyle="1" w:styleId="Chartpara">
    <w:name w:val="Chart para"/>
    <w:basedOn w:val="Normal"/>
    <w:semiHidden/>
    <w:rsid w:val="00C030DF"/>
    <w:pPr>
      <w:spacing w:before="0"/>
    </w:pPr>
    <w:rPr>
      <w:szCs w:val="20"/>
    </w:rPr>
  </w:style>
  <w:style w:type="paragraph" w:customStyle="1" w:styleId="Tabletextbold">
    <w:name w:val="Table text bold"/>
    <w:basedOn w:val="Normal"/>
    <w:qFormat/>
    <w:rsid w:val="00C030DF"/>
    <w:pPr>
      <w:spacing w:before="30" w:after="30"/>
    </w:pPr>
    <w:rPr>
      <w:rFonts w:ascii="Calibri" w:hAnsi="Calibri" w:cs="Arial"/>
      <w:b/>
      <w:sz w:val="18"/>
      <w:szCs w:val="18"/>
    </w:rPr>
  </w:style>
  <w:style w:type="paragraph" w:styleId="ListParagraph">
    <w:name w:val="List Paragraph"/>
    <w:basedOn w:val="Normal"/>
    <w:uiPriority w:val="34"/>
    <w:qFormat/>
    <w:locked/>
    <w:rsid w:val="00C030DF"/>
    <w:pPr>
      <w:ind w:left="720"/>
      <w:contextualSpacing/>
    </w:pPr>
  </w:style>
  <w:style w:type="table" w:customStyle="1" w:styleId="TableGrid2">
    <w:name w:val="Table Grid2"/>
    <w:basedOn w:val="TableNormal"/>
    <w:next w:val="TableGrid"/>
    <w:rsid w:val="00C030DF"/>
    <w:pPr>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next w:val="Normal"/>
    <w:rsid w:val="00C030DF"/>
    <w:pPr>
      <w:overflowPunct w:val="0"/>
      <w:autoSpaceDE w:val="0"/>
      <w:autoSpaceDN w:val="0"/>
      <w:adjustRightInd w:val="0"/>
      <w:spacing w:before="0" w:line="220" w:lineRule="exact"/>
      <w:jc w:val="right"/>
      <w:textAlignment w:val="baseline"/>
    </w:pPr>
    <w:rPr>
      <w:rFonts w:ascii="EYInterstate" w:eastAsia="Times New Roman" w:hAnsi="EYInterstate" w:cs="Arial"/>
      <w:b/>
      <w:color w:val="000000"/>
      <w:sz w:val="18"/>
      <w:szCs w:val="18"/>
      <w:lang w:val="en-GB" w:eastAsia="en-US"/>
    </w:rPr>
  </w:style>
  <w:style w:type="table" w:customStyle="1" w:styleId="CVtable1">
    <w:name w:val="CV table1"/>
    <w:basedOn w:val="TableNormal"/>
    <w:next w:val="TableGrid"/>
    <w:rsid w:val="00C030DF"/>
    <w:pPr>
      <w:spacing w:before="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centred">
    <w:name w:val="Text box centred"/>
    <w:qFormat/>
    <w:rsid w:val="00C030DF"/>
    <w:pPr>
      <w:spacing w:before="0" w:line="240" w:lineRule="auto"/>
      <w:jc w:val="center"/>
    </w:pPr>
    <w:rPr>
      <w:rFonts w:ascii="Calibri" w:eastAsia="Times New Roman" w:hAnsi="Calibri" w:cs="Calibri"/>
      <w:sz w:val="16"/>
      <w:szCs w:val="16"/>
    </w:rPr>
  </w:style>
  <w:style w:type="paragraph" w:customStyle="1" w:styleId="Textboxtext">
    <w:name w:val="Text box text"/>
    <w:qFormat/>
    <w:rsid w:val="00C030DF"/>
    <w:pPr>
      <w:spacing w:before="0" w:line="240" w:lineRule="auto"/>
    </w:pPr>
    <w:rPr>
      <w:rFonts w:ascii="Calibri" w:eastAsiaTheme="minorEastAsia" w:hAnsi="Calibri" w:cs="Calibri"/>
      <w:sz w:val="16"/>
      <w:szCs w:val="16"/>
    </w:rPr>
  </w:style>
  <w:style w:type="paragraph" w:customStyle="1" w:styleId="CharCharCharChar4">
    <w:name w:val="Char Char Char Char4"/>
    <w:basedOn w:val="Normal"/>
    <w:semiHidden/>
    <w:rsid w:val="0027405F"/>
    <w:pPr>
      <w:spacing w:before="0" w:after="160" w:line="240" w:lineRule="exact"/>
    </w:pPr>
    <w:rPr>
      <w:rFonts w:ascii="Times New Roman" w:hAnsi="Times New Roman" w:cs="Times New Roman"/>
      <w:sz w:val="20"/>
      <w:szCs w:val="20"/>
      <w:lang w:val="en-US"/>
    </w:rPr>
  </w:style>
  <w:style w:type="paragraph" w:customStyle="1" w:styleId="PMNotes">
    <w:name w:val="PMNotes"/>
    <w:basedOn w:val="NotesIndent"/>
    <w:rsid w:val="0027405F"/>
    <w:pPr>
      <w:tabs>
        <w:tab w:val="clear" w:pos="454"/>
      </w:tabs>
      <w:spacing w:after="60"/>
      <w:ind w:left="360" w:right="115" w:firstLine="0"/>
    </w:pPr>
    <w:rPr>
      <w:rFonts w:eastAsia="Times New Roman" w:cs="Times New Roman"/>
    </w:rPr>
  </w:style>
  <w:style w:type="paragraph" w:customStyle="1" w:styleId="Normalhanging">
    <w:name w:val="Normal hanging"/>
    <w:basedOn w:val="Normal"/>
    <w:qFormat/>
    <w:rsid w:val="0027405F"/>
    <w:pPr>
      <w:ind w:left="360" w:hanging="360"/>
    </w:pPr>
  </w:style>
  <w:style w:type="paragraph" w:styleId="EndnoteText">
    <w:name w:val="endnote text"/>
    <w:basedOn w:val="Normal"/>
    <w:link w:val="EndnoteTextChar"/>
    <w:rsid w:val="0027405F"/>
    <w:pPr>
      <w:spacing w:before="0"/>
    </w:pPr>
    <w:rPr>
      <w:sz w:val="20"/>
      <w:szCs w:val="20"/>
    </w:rPr>
  </w:style>
  <w:style w:type="character" w:customStyle="1" w:styleId="EndnoteTextChar">
    <w:name w:val="Endnote Text Char"/>
    <w:basedOn w:val="DefaultParagraphFont"/>
    <w:link w:val="EndnoteText"/>
    <w:rsid w:val="0027405F"/>
    <w:rPr>
      <w:sz w:val="20"/>
      <w:szCs w:val="20"/>
    </w:rPr>
  </w:style>
  <w:style w:type="character" w:styleId="EndnoteReference">
    <w:name w:val="endnote reference"/>
    <w:basedOn w:val="DefaultParagraphFont"/>
    <w:rsid w:val="0027405F"/>
    <w:rPr>
      <w:vertAlign w:val="superscript"/>
    </w:rPr>
  </w:style>
  <w:style w:type="character" w:customStyle="1" w:styleId="FootnoteTextChar">
    <w:name w:val="Footnote Text Char"/>
    <w:basedOn w:val="DefaultParagraphFont"/>
    <w:link w:val="FootnoteText"/>
    <w:uiPriority w:val="99"/>
    <w:semiHidden/>
    <w:rsid w:val="0027405F"/>
    <w:rPr>
      <w:sz w:val="18"/>
      <w:szCs w:val="18"/>
    </w:rPr>
  </w:style>
  <w:style w:type="paragraph" w:styleId="BodyText">
    <w:name w:val="Body Text"/>
    <w:basedOn w:val="Normal"/>
    <w:link w:val="BodyTextChar"/>
    <w:semiHidden/>
    <w:unhideWhenUsed/>
    <w:rsid w:val="0027405F"/>
    <w:pPr>
      <w:spacing w:before="60" w:after="60" w:line="240" w:lineRule="atLeast"/>
      <w:jc w:val="both"/>
    </w:pPr>
    <w:rPr>
      <w:rFonts w:ascii="Times New Roman" w:eastAsia="Times New Roman" w:hAnsi="Times New Roman" w:cs="Times New Roman"/>
      <w:b/>
      <w:bCs/>
      <w:szCs w:val="20"/>
      <w:lang w:val="x-none" w:eastAsia="en-US"/>
    </w:rPr>
  </w:style>
  <w:style w:type="character" w:customStyle="1" w:styleId="BodyTextChar">
    <w:name w:val="Body Text Char"/>
    <w:basedOn w:val="DefaultParagraphFont"/>
    <w:link w:val="BodyText"/>
    <w:semiHidden/>
    <w:rsid w:val="0027405F"/>
    <w:rPr>
      <w:rFonts w:ascii="Times New Roman" w:eastAsia="Times New Roman" w:hAnsi="Times New Roman" w:cs="Times New Roman"/>
      <w:b/>
      <w:bCs/>
      <w:szCs w:val="20"/>
      <w:lang w:val="x-none" w:eastAsia="en-US"/>
    </w:rPr>
  </w:style>
  <w:style w:type="paragraph" w:customStyle="1" w:styleId="Char">
    <w:name w:val="Char"/>
    <w:basedOn w:val="Normal"/>
    <w:rsid w:val="0027405F"/>
    <w:pPr>
      <w:spacing w:before="0" w:after="160" w:line="240" w:lineRule="exact"/>
    </w:pPr>
    <w:rPr>
      <w:rFonts w:ascii="Tahoma" w:eastAsia="Times New Roman" w:hAnsi="Tahoma"/>
      <w:sz w:val="20"/>
      <w:szCs w:val="20"/>
      <w:lang w:val="en-US" w:eastAsia="en-US"/>
    </w:rPr>
  </w:style>
  <w:style w:type="paragraph" w:customStyle="1" w:styleId="a">
    <w:name w:val="+"/>
    <w:basedOn w:val="SmallLine"/>
    <w:qFormat/>
    <w:rsid w:val="0027405F"/>
  </w:style>
  <w:style w:type="paragraph" w:customStyle="1" w:styleId="Tabletextheadingleft0">
    <w:name w:val="Table text heading left"/>
    <w:basedOn w:val="Tabletextheading"/>
    <w:rsid w:val="0027405F"/>
    <w:pPr>
      <w:spacing w:before="0" w:after="0"/>
      <w:jc w:val="left"/>
    </w:pPr>
    <w:rPr>
      <w:rFonts w:eastAsia="Times New Roman" w:cs="Times New Roman"/>
      <w:iCs w:val="0"/>
      <w:noProof w:val="0"/>
      <w:sz w:val="20"/>
      <w:lang w:eastAsia="en-US"/>
    </w:rPr>
  </w:style>
  <w:style w:type="paragraph" w:customStyle="1" w:styleId="Bullet1">
    <w:name w:val="Bullet 1"/>
    <w:uiPriority w:val="2"/>
    <w:qFormat/>
    <w:rsid w:val="0027405F"/>
    <w:pPr>
      <w:numPr>
        <w:numId w:val="22"/>
      </w:numPr>
      <w:tabs>
        <w:tab w:val="left" w:pos="360"/>
      </w:tabs>
      <w:spacing w:before="60" w:after="40" w:line="240" w:lineRule="auto"/>
    </w:pPr>
    <w:rPr>
      <w:rFonts w:ascii="Calibri" w:eastAsia="Calibri" w:hAnsi="Calibri" w:cs="Times New Roman"/>
      <w:lang w:eastAsia="en-US"/>
    </w:rPr>
  </w:style>
  <w:style w:type="paragraph" w:customStyle="1" w:styleId="Bullet1grey">
    <w:name w:val="Bullet 1 grey"/>
    <w:basedOn w:val="Bullet1"/>
    <w:uiPriority w:val="1"/>
    <w:qFormat/>
    <w:rsid w:val="0027405F"/>
    <w:rPr>
      <w:color w:val="6E6E64"/>
    </w:rPr>
  </w:style>
  <w:style w:type="paragraph" w:customStyle="1" w:styleId="Normalgrey">
    <w:name w:val="Normal grey"/>
    <w:basedOn w:val="Normal"/>
    <w:qFormat/>
    <w:rsid w:val="0027405F"/>
    <w:pPr>
      <w:spacing w:before="60" w:after="60"/>
    </w:pPr>
    <w:rPr>
      <w:rFonts w:ascii="Calibri" w:eastAsia="Calibri" w:hAnsi="Calibri" w:cs="Times New Roman"/>
      <w:color w:val="6E6E64"/>
      <w:szCs w:val="21"/>
      <w:lang w:eastAsia="en-US"/>
    </w:rPr>
  </w:style>
  <w:style w:type="table" w:customStyle="1" w:styleId="TableGrid3">
    <w:name w:val="Table Grid3"/>
    <w:basedOn w:val="TableNormal"/>
    <w:next w:val="TableGrid"/>
    <w:uiPriority w:val="59"/>
    <w:rsid w:val="0027405F"/>
    <w:pPr>
      <w:spacing w:before="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BoxBullet">
    <w:name w:val="Highlight Box Bullet"/>
    <w:basedOn w:val="Normal"/>
    <w:qFormat/>
    <w:rsid w:val="0027405F"/>
    <w:pPr>
      <w:numPr>
        <w:numId w:val="24"/>
      </w:numPr>
      <w:shd w:val="pct10" w:color="auto" w:fill="FFFFFF"/>
      <w:spacing w:before="0" w:after="120"/>
      <w:ind w:left="360"/>
    </w:pPr>
    <w:rPr>
      <w:rFonts w:eastAsia="Times New Roman" w:cs="Times New Roman"/>
      <w:sz w:val="24"/>
      <w:szCs w:val="20"/>
      <w:lang w:eastAsia="en-US"/>
    </w:rPr>
  </w:style>
  <w:style w:type="paragraph" w:customStyle="1" w:styleId="BP4headingl">
    <w:name w:val="BP4 heading l"/>
    <w:basedOn w:val="Normal"/>
    <w:rsid w:val="0027405F"/>
    <w:pPr>
      <w:spacing w:before="0"/>
    </w:pPr>
    <w:rPr>
      <w:rFonts w:ascii="Calibri" w:eastAsia="Times New Roman" w:hAnsi="Calibri" w:cs="Times New Roman"/>
      <w:i/>
      <w:sz w:val="18"/>
      <w:szCs w:val="18"/>
      <w:lang w:eastAsia="en-US"/>
    </w:rPr>
  </w:style>
  <w:style w:type="character" w:styleId="FollowedHyperlink">
    <w:name w:val="FollowedHyperlink"/>
    <w:basedOn w:val="DefaultParagraphFont"/>
    <w:semiHidden/>
    <w:rsid w:val="00142353"/>
    <w:rPr>
      <w:color w:val="800080" w:themeColor="followedHyperlink"/>
      <w:u w:val="single"/>
    </w:rPr>
  </w:style>
  <w:style w:type="character" w:customStyle="1" w:styleId="BulletChar">
    <w:name w:val="Bullet Char"/>
    <w:rsid w:val="004843DB"/>
    <w:rPr>
      <w:rFonts w:ascii="Calibri" w:eastAsia="Times New Roman" w:hAnsi="Calibri" w:cs="Calibri"/>
      <w:sz w:val="24"/>
      <w:lang w:eastAsia="en-AU"/>
    </w:rPr>
  </w:style>
  <w:style w:type="paragraph" w:customStyle="1" w:styleId="Tableheader">
    <w:name w:val="Table header"/>
    <w:basedOn w:val="TabletextheadingLeft"/>
    <w:qFormat/>
    <w:rsid w:val="0028027B"/>
    <w:rPr>
      <w:rFonts w:eastAsiaTheme="minorHAnsi"/>
      <w:b/>
      <w:color w:val="FFFFFF" w:themeColor="background1"/>
      <w:lang w:eastAsia="en-US"/>
    </w:rPr>
  </w:style>
  <w:style w:type="paragraph" w:customStyle="1" w:styleId="Textboxbullet">
    <w:name w:val="Text box bullet"/>
    <w:basedOn w:val="Textboxtext"/>
    <w:qFormat/>
    <w:rsid w:val="0028027B"/>
    <w:pPr>
      <w:numPr>
        <w:numId w:val="45"/>
      </w:numPr>
      <w:ind w:left="227" w:hanging="227"/>
    </w:pPr>
    <w:rPr>
      <w:i/>
    </w:rPr>
  </w:style>
  <w:style w:type="paragraph" w:customStyle="1" w:styleId="TableTextindent0">
    <w:name w:val="Table Text indent"/>
    <w:basedOn w:val="Normal"/>
    <w:rsid w:val="0028027B"/>
    <w:pPr>
      <w:spacing w:before="0"/>
      <w:ind w:left="360"/>
    </w:pPr>
    <w:rPr>
      <w:rFonts w:ascii="Calibri" w:eastAsia="Times New Roman" w:hAnsi="Calibri" w:cs="Times New Roman"/>
      <w:szCs w:val="18"/>
      <w:lang w:eastAsia="en-US"/>
    </w:rPr>
  </w:style>
  <w:style w:type="paragraph" w:customStyle="1" w:styleId="ControlledEntitiesHeading1">
    <w:name w:val="ControlledEntitiesHeading1"/>
    <w:qFormat/>
    <w:rsid w:val="0028027B"/>
    <w:pPr>
      <w:shd w:val="clear" w:color="auto" w:fill="000000" w:themeFill="text1"/>
      <w:spacing w:before="0" w:after="120" w:line="240" w:lineRule="auto"/>
      <w:jc w:val="center"/>
    </w:pPr>
    <w:rPr>
      <w:rFonts w:asciiTheme="minorHAnsi" w:eastAsia="Times New Roman" w:hAnsiTheme="minorHAnsi" w:cstheme="minorHAnsi"/>
      <w:i/>
      <w:color w:val="FFFFFF" w:themeColor="background1"/>
    </w:rPr>
  </w:style>
  <w:style w:type="paragraph" w:customStyle="1" w:styleId="Smallline0">
    <w:name w:val="Small line"/>
    <w:basedOn w:val="Normal"/>
    <w:qFormat/>
    <w:rsid w:val="0028027B"/>
    <w:pPr>
      <w:shd w:val="clear" w:color="auto" w:fill="FFFFFF" w:themeFill="background1"/>
      <w:spacing w:before="0"/>
    </w:pPr>
    <w:rPr>
      <w:rFonts w:ascii="Calibri" w:eastAsia="Times New Roman" w:hAnsi="Calibri" w:cs="Times New Roman"/>
      <w:b/>
      <w:bCs/>
      <w:color w:val="000000" w:themeColor="text1"/>
      <w:sz w:val="4"/>
      <w:szCs w:val="18"/>
      <w:shd w:val="clear" w:color="auto" w:fill="FFFFFF" w:themeFill="background1"/>
    </w:rPr>
  </w:style>
  <w:style w:type="paragraph" w:customStyle="1" w:styleId="ControlledEntitiesHeading2">
    <w:name w:val="ControlledEntitiesHeading2"/>
    <w:qFormat/>
    <w:rsid w:val="0028027B"/>
    <w:pPr>
      <w:shd w:val="clear" w:color="auto" w:fill="D9D9D9" w:themeFill="background1" w:themeFillShade="D9"/>
      <w:spacing w:before="0" w:line="240" w:lineRule="auto"/>
    </w:pPr>
    <w:rPr>
      <w:rFonts w:ascii="Calibri" w:eastAsia="Times New Roman" w:hAnsi="Calibri" w:cs="Times New Roman"/>
      <w:b/>
      <w:bCs/>
      <w:color w:val="000000" w:themeColor="text1"/>
      <w:sz w:val="18"/>
      <w:szCs w:val="18"/>
    </w:rPr>
  </w:style>
  <w:style w:type="paragraph" w:customStyle="1" w:styleId="ControlledEntitiesText">
    <w:name w:val="ControlledEntitiesText"/>
    <w:qFormat/>
    <w:rsid w:val="0028027B"/>
    <w:pPr>
      <w:spacing w:before="20" w:after="20" w:line="240" w:lineRule="auto"/>
    </w:pPr>
    <w:rPr>
      <w:rFonts w:ascii="Calibri" w:eastAsia="Times New Roman" w:hAnsi="Calibri" w:cs="Times New Roman"/>
      <w:color w:val="000000" w:themeColor="text1"/>
      <w:sz w:val="18"/>
      <w:szCs w:val="18"/>
    </w:rPr>
  </w:style>
  <w:style w:type="paragraph" w:customStyle="1" w:styleId="ControlledEntitiesDash">
    <w:name w:val="ControlledEntitiesDash"/>
    <w:qFormat/>
    <w:rsid w:val="0028027B"/>
    <w:pPr>
      <w:numPr>
        <w:numId w:val="46"/>
      </w:numPr>
      <w:spacing w:before="20" w:after="20" w:line="240" w:lineRule="auto"/>
      <w:ind w:left="216" w:hanging="216"/>
      <w:contextualSpacing/>
    </w:pPr>
    <w:rPr>
      <w:rFonts w:ascii="Calibri" w:eastAsia="Times New Roman" w:hAnsi="Calibri" w:cs="Times New Roman"/>
      <w:iCs/>
      <w:color w:val="000000" w:themeColor="text1"/>
      <w:sz w:val="18"/>
      <w:szCs w:val="18"/>
    </w:rPr>
  </w:style>
  <w:style w:type="paragraph" w:styleId="NormalWeb">
    <w:name w:val="Normal (Web)"/>
    <w:basedOn w:val="Normal"/>
    <w:uiPriority w:val="99"/>
    <w:semiHidden/>
    <w:unhideWhenUsed/>
    <w:rsid w:val="003126DE"/>
    <w:pPr>
      <w:spacing w:before="100" w:beforeAutospacing="1" w:after="100" w:afterAutospacing="1"/>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ahoma" w:hAnsi="Garamond" w:cs="Tahoma"/>
        <w:sz w:val="22"/>
        <w:szCs w:val="22"/>
        <w:lang w:val="en-AU" w:eastAsia="en-AU" w:bidi="ar-SA"/>
      </w:rPr>
    </w:rPrDefault>
    <w:pPrDefault>
      <w:pPr>
        <w:spacing w:before="120" w:line="24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4" w:qFormat="1"/>
    <w:lsdException w:name="heading 5" w:qFormat="1"/>
    <w:lsdException w:name="heading 6" w:qFormat="1"/>
    <w:lsdException w:name="heading 7" w:semiHidden="1" w:qFormat="1"/>
    <w:lsdException w:name="heading 8" w:semiHidden="1" w:qFormat="1"/>
    <w:lsdException w:name="heading 9" w:semiHidden="1"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uiPriority="39"/>
    <w:lsdException w:name="toc 2" w:uiPriority="39"/>
    <w:lsdException w:name="toc 3" w:uiPriority="39"/>
    <w:lsdException w:name="toc 4" w:uiPriority="39"/>
    <w:lsdException w:name="toc 5" w:locked="1"/>
    <w:lsdException w:name="toc 6" w:locked="1" w:semiHidden="1"/>
    <w:lsdException w:name="toc 7" w:locked="1" w:semiHidden="1"/>
    <w:lsdException w:name="toc 9" w:locked="1" w:semiHidden="1"/>
    <w:lsdException w:name="footnote text" w:uiPriority="99"/>
    <w:lsdException w:name="annotation text" w:semiHidden="1" w:uiPriority="99"/>
    <w:lsdException w:name="footer" w:uiPriority="99"/>
    <w:lsdException w:name="index heading" w:locked="1" w:semiHidden="1"/>
    <w:lsdException w:name="caption" w:uiPriority="35" w:qFormat="1"/>
    <w:lsdException w:name="table of figures" w:qFormat="1"/>
    <w:lsdException w:name="envelope address" w:semiHidden="1"/>
    <w:lsdException w:name="envelope return" w:semiHidden="1"/>
    <w:lsdException w:name="footnote reference" w:uiPriority="99"/>
    <w:lsdException w:name="annotation reference" w:semiHidden="1" w:uiPriority="99"/>
    <w:lsdException w:name="line number" w:locked="1" w:semiHidden="1"/>
    <w:lsdException w:name="page number" w:semiHidden="1" w:unhideWhenUsed="1"/>
    <w:lsdException w:name="endnote reference" w:semiHidden="1"/>
    <w:lsdException w:name="endnote text"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semiHidden="1"/>
    <w:lsdException w:name="Closing" w:semiHidden="1"/>
    <w:lsdException w:name="Signature" w:locked="1" w:semiHidden="1"/>
    <w:lsdException w:name="Body Text" w:semiHidden="1"/>
    <w:lsdException w:name="Body Text Indent"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semiHidden="1"/>
    <w:lsdException w:name="Salutation" w:locked="1"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locked="1" w:semiHidden="1"/>
    <w:lsdException w:name="Emphasis" w:semiHidden="1"/>
    <w:lsdException w:name="Document Map" w:semiHidden="1"/>
    <w:lsdException w:name="Plain Text" w:semiHidden="1"/>
    <w:lsdException w:name="E-mail Signature" w:semiHidden="1"/>
    <w:lsdException w:name="Normal (Web)" w:semiHidden="1" w:uiPriority="99" w:unhideWhenUsed="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annotation subject" w:semiHidden="1"/>
    <w:lsdException w:name="No List" w:uiPriority="99"/>
    <w:lsdException w:name="Outline List 1" w:locked="1"/>
    <w:lsdException w:name="Outline List 2" w:locked="1"/>
    <w:lsdException w:name="Outline List 3"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nhideWhenUsed="1" w:qFormat="1"/>
  </w:latentStyles>
  <w:style w:type="paragraph" w:default="1" w:styleId="Normal">
    <w:name w:val="Normal"/>
    <w:qFormat/>
    <w:rsid w:val="00002DCB"/>
    <w:pPr>
      <w:spacing w:line="240" w:lineRule="auto"/>
    </w:pPr>
  </w:style>
  <w:style w:type="paragraph" w:styleId="Heading1">
    <w:name w:val="heading 1"/>
    <w:basedOn w:val="Normal"/>
    <w:next w:val="Normal"/>
    <w:link w:val="Heading1Char"/>
    <w:unhideWhenUsed/>
    <w:qFormat/>
    <w:rsid w:val="00002DCB"/>
    <w:pPr>
      <w:keepNext/>
      <w:spacing w:before="360"/>
      <w:outlineLvl w:val="0"/>
    </w:pPr>
    <w:rPr>
      <w:rFonts w:ascii="Calibri" w:hAnsi="Calibri" w:cs="Arial Bold"/>
      <w:b/>
      <w:bCs/>
      <w:sz w:val="28"/>
      <w:szCs w:val="28"/>
    </w:rPr>
  </w:style>
  <w:style w:type="paragraph" w:styleId="Heading2">
    <w:name w:val="heading 2"/>
    <w:basedOn w:val="Normal"/>
    <w:next w:val="Normal"/>
    <w:link w:val="Heading2Char"/>
    <w:qFormat/>
    <w:rsid w:val="00002DCB"/>
    <w:pPr>
      <w:keepNext/>
      <w:spacing w:before="160"/>
      <w:outlineLvl w:val="1"/>
    </w:pPr>
    <w:rPr>
      <w:rFonts w:ascii="Calibri" w:hAnsi="Calibri" w:cs="Arial Bold"/>
      <w:b/>
      <w:bCs/>
      <w:kern w:val="28"/>
      <w:sz w:val="24"/>
      <w:szCs w:val="24"/>
    </w:rPr>
  </w:style>
  <w:style w:type="paragraph" w:styleId="Heading3">
    <w:name w:val="heading 3"/>
    <w:basedOn w:val="Normal"/>
    <w:next w:val="Normal"/>
    <w:link w:val="Heading3Char"/>
    <w:rsid w:val="00F23F92"/>
    <w:pPr>
      <w:keepNext/>
      <w:spacing w:before="240"/>
      <w:outlineLvl w:val="2"/>
    </w:pPr>
    <w:rPr>
      <w:rFonts w:ascii="Calibri" w:hAnsi="Calibri" w:cs="Arial"/>
      <w:b/>
      <w:bCs/>
      <w:i/>
      <w:iCs/>
      <w:kern w:val="28"/>
      <w:sz w:val="24"/>
    </w:rPr>
  </w:style>
  <w:style w:type="paragraph" w:styleId="Heading4">
    <w:name w:val="heading 4"/>
    <w:basedOn w:val="Normal"/>
    <w:next w:val="Normal"/>
    <w:link w:val="Heading4Char"/>
    <w:qFormat/>
    <w:rsid w:val="00002DCB"/>
    <w:pPr>
      <w:keepNext/>
      <w:ind w:left="450" w:hanging="450"/>
      <w:outlineLvl w:val="3"/>
    </w:pPr>
    <w:rPr>
      <w:rFonts w:ascii="Calibri" w:hAnsi="Calibri" w:cs="Arial"/>
      <w:i/>
      <w:iCs/>
      <w:sz w:val="24"/>
      <w:szCs w:val="24"/>
    </w:rPr>
  </w:style>
  <w:style w:type="paragraph" w:styleId="Heading5">
    <w:name w:val="heading 5"/>
    <w:basedOn w:val="Normal"/>
    <w:next w:val="Normal"/>
    <w:link w:val="Heading5Char"/>
    <w:qFormat/>
    <w:rsid w:val="00002DCB"/>
    <w:pPr>
      <w:keepNext/>
      <w:tabs>
        <w:tab w:val="left" w:pos="450"/>
      </w:tabs>
      <w:spacing w:before="100" w:after="40"/>
      <w:ind w:left="446" w:hanging="446"/>
      <w:outlineLvl w:val="4"/>
    </w:pPr>
    <w:rPr>
      <w:rFonts w:ascii="Calibri" w:hAnsi="Calibri" w:cs="Arial"/>
      <w:b/>
      <w:bCs/>
      <w:sz w:val="21"/>
      <w:szCs w:val="20"/>
    </w:rPr>
  </w:style>
  <w:style w:type="paragraph" w:styleId="Heading6">
    <w:name w:val="heading 6"/>
    <w:basedOn w:val="Normal"/>
    <w:next w:val="Normal"/>
    <w:semiHidden/>
    <w:qFormat/>
    <w:rsid w:val="00495958"/>
    <w:pPr>
      <w:keepNext/>
      <w:tabs>
        <w:tab w:val="num" w:pos="1152"/>
      </w:tabs>
      <w:ind w:left="1152" w:hanging="432"/>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02DCB"/>
    <w:rPr>
      <w:rFonts w:ascii="Calibri" w:hAnsi="Calibri" w:cs="Arial Bold"/>
      <w:b/>
      <w:bCs/>
      <w:sz w:val="28"/>
      <w:szCs w:val="28"/>
    </w:rPr>
  </w:style>
  <w:style w:type="character" w:customStyle="1" w:styleId="Heading2Char">
    <w:name w:val="Heading 2 Char"/>
    <w:link w:val="Heading2"/>
    <w:locked/>
    <w:rsid w:val="00002DCB"/>
    <w:rPr>
      <w:rFonts w:ascii="Calibri" w:hAnsi="Calibri" w:cs="Arial Bold"/>
      <w:b/>
      <w:bCs/>
      <w:kern w:val="28"/>
      <w:sz w:val="24"/>
      <w:szCs w:val="24"/>
    </w:rPr>
  </w:style>
  <w:style w:type="character" w:customStyle="1" w:styleId="Heading3Char">
    <w:name w:val="Heading 3 Char"/>
    <w:link w:val="Heading3"/>
    <w:locked/>
    <w:rsid w:val="00F23F92"/>
    <w:rPr>
      <w:rFonts w:ascii="Calibri" w:hAnsi="Calibri" w:cs="Arial"/>
      <w:b/>
      <w:bCs/>
      <w:i/>
      <w:iCs/>
      <w:kern w:val="28"/>
      <w:sz w:val="24"/>
    </w:rPr>
  </w:style>
  <w:style w:type="character" w:customStyle="1" w:styleId="Heading4Char">
    <w:name w:val="Heading 4 Char"/>
    <w:link w:val="Heading4"/>
    <w:locked/>
    <w:rsid w:val="00002DCB"/>
    <w:rPr>
      <w:rFonts w:ascii="Calibri" w:hAnsi="Calibri" w:cs="Arial"/>
      <w:i/>
      <w:iCs/>
      <w:sz w:val="24"/>
      <w:szCs w:val="24"/>
    </w:rPr>
  </w:style>
  <w:style w:type="character" w:customStyle="1" w:styleId="Heading5Char">
    <w:name w:val="Heading 5 Char"/>
    <w:link w:val="Heading5"/>
    <w:locked/>
    <w:rsid w:val="00002DCB"/>
    <w:rPr>
      <w:rFonts w:ascii="Calibri" w:hAnsi="Calibri" w:cs="Arial"/>
      <w:b/>
      <w:bCs/>
      <w:sz w:val="21"/>
      <w:szCs w:val="20"/>
    </w:rPr>
  </w:style>
  <w:style w:type="paragraph" w:customStyle="1" w:styleId="Tabletextblue">
    <w:name w:val="Table text blue"/>
    <w:basedOn w:val="Tabletext"/>
    <w:link w:val="TabletextblueChar"/>
    <w:rsid w:val="00002DCB"/>
    <w:pPr>
      <w:spacing w:before="60" w:after="60"/>
    </w:pPr>
    <w:rPr>
      <w:color w:val="0000FF"/>
    </w:rPr>
  </w:style>
  <w:style w:type="paragraph" w:customStyle="1" w:styleId="Tabletext">
    <w:name w:val="Table text"/>
    <w:basedOn w:val="TableofFigures"/>
    <w:link w:val="TabletextChar"/>
    <w:qFormat/>
    <w:rsid w:val="00002DCB"/>
    <w:pPr>
      <w:jc w:val="left"/>
    </w:pPr>
    <w:rPr>
      <w:noProof/>
    </w:rPr>
  </w:style>
  <w:style w:type="paragraph" w:styleId="TableofFigures">
    <w:name w:val="table of figures"/>
    <w:basedOn w:val="Normal"/>
    <w:next w:val="Normal"/>
    <w:link w:val="TableofFiguresChar"/>
    <w:qFormat/>
    <w:rsid w:val="00002DCB"/>
    <w:pPr>
      <w:spacing w:before="30" w:after="30"/>
      <w:jc w:val="right"/>
    </w:pPr>
    <w:rPr>
      <w:rFonts w:ascii="Calibri" w:hAnsi="Calibri" w:cs="Arial"/>
      <w:sz w:val="18"/>
      <w:szCs w:val="18"/>
    </w:rPr>
  </w:style>
  <w:style w:type="character" w:customStyle="1" w:styleId="TableofFiguresChar">
    <w:name w:val="Table of Figures Char"/>
    <w:link w:val="TableofFigures"/>
    <w:rsid w:val="00002DCB"/>
    <w:rPr>
      <w:rFonts w:ascii="Calibri" w:hAnsi="Calibri" w:cs="Arial"/>
      <w:sz w:val="18"/>
      <w:szCs w:val="18"/>
    </w:rPr>
  </w:style>
  <w:style w:type="character" w:customStyle="1" w:styleId="TabletextChar">
    <w:name w:val="Table text Char"/>
    <w:link w:val="Tabletext"/>
    <w:rsid w:val="00002DCB"/>
    <w:rPr>
      <w:rFonts w:ascii="Calibri" w:hAnsi="Calibri" w:cs="Arial"/>
      <w:noProof/>
      <w:sz w:val="18"/>
      <w:szCs w:val="18"/>
    </w:rPr>
  </w:style>
  <w:style w:type="character" w:customStyle="1" w:styleId="TabletextblueChar">
    <w:name w:val="Table text blue Char"/>
    <w:link w:val="Tabletextblue"/>
    <w:rsid w:val="00002DCB"/>
    <w:rPr>
      <w:rFonts w:ascii="Calibri" w:hAnsi="Calibri" w:cs="Arial"/>
      <w:noProof/>
      <w:color w:val="0000FF"/>
      <w:sz w:val="18"/>
      <w:szCs w:val="18"/>
    </w:rPr>
  </w:style>
  <w:style w:type="paragraph" w:customStyle="1" w:styleId="million">
    <w:name w:val="$million"/>
    <w:basedOn w:val="Normal"/>
    <w:link w:val="millionChar"/>
    <w:qFormat/>
    <w:rsid w:val="00002DCB"/>
    <w:pPr>
      <w:jc w:val="center"/>
    </w:pPr>
    <w:rPr>
      <w:rFonts w:ascii="Calibri" w:hAnsi="Calibri" w:cs="Arial"/>
      <w:i/>
      <w:iCs/>
      <w:sz w:val="18"/>
      <w:szCs w:val="18"/>
    </w:rPr>
  </w:style>
  <w:style w:type="character" w:customStyle="1" w:styleId="millionChar">
    <w:name w:val="$million Char"/>
    <w:link w:val="million"/>
    <w:rsid w:val="00002DCB"/>
    <w:rPr>
      <w:rFonts w:ascii="Calibri" w:hAnsi="Calibri" w:cs="Arial"/>
      <w:i/>
      <w:iCs/>
      <w:sz w:val="18"/>
      <w:szCs w:val="18"/>
    </w:rPr>
  </w:style>
  <w:style w:type="paragraph" w:customStyle="1" w:styleId="NormalBlue">
    <w:name w:val="Normal Blue"/>
    <w:basedOn w:val="Normal"/>
    <w:link w:val="NormalBlueChar"/>
    <w:qFormat/>
    <w:rsid w:val="00002DCB"/>
    <w:rPr>
      <w:color w:val="0000FF"/>
    </w:rPr>
  </w:style>
  <w:style w:type="character" w:customStyle="1" w:styleId="NormalBlueChar">
    <w:name w:val="Normal Blue Char"/>
    <w:link w:val="NormalBlue"/>
    <w:locked/>
    <w:rsid w:val="00002DCB"/>
    <w:rPr>
      <w:color w:val="0000FF"/>
    </w:rPr>
  </w:style>
  <w:style w:type="paragraph" w:customStyle="1" w:styleId="aalphablue">
    <w:name w:val="(a) alpha blue"/>
    <w:basedOn w:val="NormalBlue"/>
    <w:link w:val="aalphablueChar"/>
    <w:rsid w:val="00002DCB"/>
    <w:pPr>
      <w:ind w:left="357" w:hanging="357"/>
    </w:pPr>
  </w:style>
  <w:style w:type="character" w:customStyle="1" w:styleId="aalphablueChar">
    <w:name w:val="(a) alpha blue Char"/>
    <w:link w:val="aalphablue"/>
    <w:locked/>
    <w:rsid w:val="00002DCB"/>
    <w:rPr>
      <w:color w:val="0000FF"/>
    </w:rPr>
  </w:style>
  <w:style w:type="paragraph" w:customStyle="1" w:styleId="Bullet">
    <w:name w:val="Bullet"/>
    <w:basedOn w:val="Normal"/>
    <w:link w:val="BulletCharChar"/>
    <w:qFormat/>
    <w:rsid w:val="00791D33"/>
    <w:pPr>
      <w:numPr>
        <w:numId w:val="1"/>
      </w:numPr>
      <w:tabs>
        <w:tab w:val="clear" w:pos="786"/>
        <w:tab w:val="num" w:pos="360"/>
      </w:tabs>
      <w:ind w:left="360"/>
    </w:pPr>
  </w:style>
  <w:style w:type="character" w:customStyle="1" w:styleId="BulletCharChar">
    <w:name w:val="Bullet Char Char"/>
    <w:link w:val="Bullet"/>
    <w:locked/>
    <w:rsid w:val="00791D33"/>
  </w:style>
  <w:style w:type="paragraph" w:customStyle="1" w:styleId="BulletBlue">
    <w:name w:val="Bullet Blue"/>
    <w:basedOn w:val="Normal"/>
    <w:link w:val="BulletBlueChar"/>
    <w:qFormat/>
    <w:rsid w:val="00002DCB"/>
    <w:pPr>
      <w:numPr>
        <w:numId w:val="3"/>
      </w:numPr>
    </w:pPr>
    <w:rPr>
      <w:color w:val="0000FF"/>
    </w:rPr>
  </w:style>
  <w:style w:type="character" w:customStyle="1" w:styleId="BulletBlueChar">
    <w:name w:val="Bullet Blue Char"/>
    <w:link w:val="BulletBlue"/>
    <w:rsid w:val="00002DCB"/>
    <w:rPr>
      <w:color w:val="0000FF"/>
    </w:rPr>
  </w:style>
  <w:style w:type="paragraph" w:customStyle="1" w:styleId="ChapterHeading">
    <w:name w:val="Chapter Heading"/>
    <w:basedOn w:val="Normal"/>
    <w:next w:val="Heading1"/>
    <w:qFormat/>
    <w:rsid w:val="00002DCB"/>
    <w:pPr>
      <w:keepNext/>
      <w:keepLines/>
      <w:spacing w:after="240" w:line="520" w:lineRule="exact"/>
      <w:outlineLvl w:val="0"/>
    </w:pPr>
    <w:rPr>
      <w:rFonts w:ascii="Calibri" w:hAnsi="Calibri" w:cs="Arial"/>
      <w:b/>
      <w:bCs/>
      <w:sz w:val="40"/>
      <w:szCs w:val="40"/>
    </w:rPr>
  </w:style>
  <w:style w:type="paragraph" w:customStyle="1" w:styleId="Tableheading">
    <w:name w:val="Table heading"/>
    <w:basedOn w:val="Heading5"/>
    <w:link w:val="TableheadingChar"/>
    <w:qFormat/>
    <w:rsid w:val="00E348C3"/>
    <w:pPr>
      <w:tabs>
        <w:tab w:val="clear" w:pos="450"/>
      </w:tabs>
      <w:ind w:left="1233" w:hanging="1233"/>
    </w:pPr>
  </w:style>
  <w:style w:type="character" w:customStyle="1" w:styleId="TableheadingChar">
    <w:name w:val="Table heading Char"/>
    <w:link w:val="Tableheading"/>
    <w:rsid w:val="00E348C3"/>
    <w:rPr>
      <w:rFonts w:ascii="Calibri" w:hAnsi="Calibri" w:cs="Arial"/>
      <w:b/>
      <w:bCs/>
      <w:sz w:val="21"/>
      <w:szCs w:val="20"/>
    </w:rPr>
  </w:style>
  <w:style w:type="paragraph" w:customStyle="1" w:styleId="CommentaryTextIndent">
    <w:name w:val="Commentary Text Indent"/>
    <w:basedOn w:val="CommentaryText"/>
    <w:link w:val="CommentaryTextIndentChar"/>
    <w:qFormat/>
    <w:rsid w:val="00002DCB"/>
    <w:pPr>
      <w:ind w:left="450" w:hanging="450"/>
    </w:pPr>
  </w:style>
  <w:style w:type="paragraph" w:customStyle="1" w:styleId="CommentaryText">
    <w:name w:val="Commentary Text"/>
    <w:basedOn w:val="Normal"/>
    <w:link w:val="CommentaryTextChar"/>
    <w:rsid w:val="00002DCB"/>
    <w:pPr>
      <w:pBdr>
        <w:top w:val="single" w:sz="4" w:space="1" w:color="0000FF"/>
        <w:left w:val="single" w:sz="4" w:space="4" w:color="0000FF"/>
        <w:bottom w:val="single" w:sz="4" w:space="1" w:color="0000FF"/>
        <w:right w:val="single" w:sz="4" w:space="4" w:color="0000FF"/>
      </w:pBdr>
    </w:pPr>
    <w:rPr>
      <w:noProof/>
      <w:color w:val="0000FF"/>
    </w:rPr>
  </w:style>
  <w:style w:type="character" w:customStyle="1" w:styleId="CommentaryTextChar">
    <w:name w:val="Commentary Text Char"/>
    <w:link w:val="CommentaryText"/>
    <w:locked/>
    <w:rsid w:val="00002DCB"/>
    <w:rPr>
      <w:noProof/>
      <w:color w:val="0000FF"/>
    </w:rPr>
  </w:style>
  <w:style w:type="character" w:customStyle="1" w:styleId="CommentaryTextIndentChar">
    <w:name w:val="Commentary Text Indent Char"/>
    <w:basedOn w:val="CommentaryTextChar"/>
    <w:link w:val="CommentaryTextIndent"/>
    <w:locked/>
    <w:rsid w:val="00002DCB"/>
    <w:rPr>
      <w:noProof/>
      <w:color w:val="0000FF"/>
    </w:rPr>
  </w:style>
  <w:style w:type="paragraph" w:customStyle="1" w:styleId="CommentaryHeading1">
    <w:name w:val="Commentary Heading 1"/>
    <w:basedOn w:val="CommentaryText"/>
    <w:link w:val="CommentaryHeading1Char"/>
    <w:rsid w:val="00002DCB"/>
    <w:pPr>
      <w:spacing w:before="160"/>
    </w:pPr>
    <w:rPr>
      <w:rFonts w:ascii="Calibri" w:hAnsi="Calibri" w:cs="Arial"/>
      <w:b/>
      <w:bCs/>
    </w:rPr>
  </w:style>
  <w:style w:type="character" w:customStyle="1" w:styleId="CommentaryHeading1Char">
    <w:name w:val="Commentary Heading 1 Char"/>
    <w:link w:val="CommentaryHeading1"/>
    <w:rsid w:val="00002DCB"/>
    <w:rPr>
      <w:rFonts w:ascii="Calibri" w:hAnsi="Calibri" w:cs="Arial"/>
      <w:b/>
      <w:bCs/>
      <w:noProof/>
      <w:color w:val="0000FF"/>
    </w:rPr>
  </w:style>
  <w:style w:type="paragraph" w:styleId="BalloonText">
    <w:name w:val="Balloon Text"/>
    <w:basedOn w:val="Normal"/>
    <w:link w:val="BalloonTextChar"/>
    <w:uiPriority w:val="99"/>
    <w:rsid w:val="00CD1206"/>
    <w:pPr>
      <w:spacing w:before="0"/>
    </w:pPr>
    <w:rPr>
      <w:rFonts w:ascii="Tahoma" w:hAnsi="Tahoma"/>
      <w:sz w:val="16"/>
      <w:szCs w:val="16"/>
    </w:rPr>
  </w:style>
  <w:style w:type="character" w:customStyle="1" w:styleId="BalloonTextChar">
    <w:name w:val="Balloon Text Char"/>
    <w:basedOn w:val="DefaultParagraphFont"/>
    <w:link w:val="BalloonText"/>
    <w:uiPriority w:val="99"/>
    <w:rsid w:val="00FD7B16"/>
    <w:rPr>
      <w:rFonts w:eastAsia="Times New Roman"/>
      <w:sz w:val="16"/>
      <w:szCs w:val="16"/>
      <w:lang w:eastAsia="en-US"/>
    </w:rPr>
  </w:style>
  <w:style w:type="paragraph" w:customStyle="1" w:styleId="CommentaryBullet">
    <w:name w:val="Commentary Bullet"/>
    <w:basedOn w:val="BulletBlue"/>
    <w:link w:val="CommentaryBulletCharChar"/>
    <w:qFormat/>
    <w:rsid w:val="00002DCB"/>
    <w:pPr>
      <w:numPr>
        <w:numId w:val="4"/>
      </w:numPr>
      <w:pBdr>
        <w:left w:val="single" w:sz="4" w:space="4" w:color="0000FF"/>
        <w:right w:val="single" w:sz="4" w:space="4" w:color="0000FF"/>
      </w:pBdr>
      <w:spacing w:before="60" w:after="60"/>
    </w:pPr>
  </w:style>
  <w:style w:type="character" w:customStyle="1" w:styleId="CommentaryBulletCharChar">
    <w:name w:val="Commentary Bullet Char Char"/>
    <w:basedOn w:val="BulletBlueChar"/>
    <w:link w:val="CommentaryBullet"/>
    <w:rsid w:val="00002DCB"/>
    <w:rPr>
      <w:color w:val="0000FF"/>
    </w:rPr>
  </w:style>
  <w:style w:type="paragraph" w:customStyle="1" w:styleId="Dash">
    <w:name w:val="Dash"/>
    <w:basedOn w:val="Bullet"/>
    <w:link w:val="DashCharChar"/>
    <w:rsid w:val="00002DCB"/>
    <w:pPr>
      <w:numPr>
        <w:numId w:val="5"/>
      </w:numPr>
    </w:pPr>
  </w:style>
  <w:style w:type="character" w:customStyle="1" w:styleId="DashCharChar">
    <w:name w:val="Dash Char Char"/>
    <w:basedOn w:val="BulletCharChar"/>
    <w:link w:val="Dash"/>
    <w:locked/>
    <w:rsid w:val="00002DCB"/>
  </w:style>
  <w:style w:type="paragraph" w:customStyle="1" w:styleId="DashBlue">
    <w:name w:val="Dash Blue"/>
    <w:basedOn w:val="Dash"/>
    <w:link w:val="DashBlueCharChar"/>
    <w:rsid w:val="00002DCB"/>
    <w:pPr>
      <w:numPr>
        <w:numId w:val="6"/>
      </w:numPr>
    </w:pPr>
    <w:rPr>
      <w:color w:val="0000FF"/>
    </w:rPr>
  </w:style>
  <w:style w:type="character" w:customStyle="1" w:styleId="DashBlueCharChar">
    <w:name w:val="Dash Blue Char Char"/>
    <w:link w:val="DashBlue"/>
    <w:rsid w:val="00002DCB"/>
    <w:rPr>
      <w:color w:val="0000FF"/>
    </w:rPr>
  </w:style>
  <w:style w:type="paragraph" w:styleId="Footer">
    <w:name w:val="footer"/>
    <w:basedOn w:val="Normal"/>
    <w:link w:val="FooterChar"/>
    <w:uiPriority w:val="99"/>
    <w:rsid w:val="00002DCB"/>
    <w:pPr>
      <w:tabs>
        <w:tab w:val="right" w:pos="7085"/>
      </w:tabs>
    </w:pPr>
    <w:rPr>
      <w:rFonts w:ascii="Calibri" w:hAnsi="Calibri" w:cs="Arial Narrow"/>
      <w:sz w:val="20"/>
      <w:szCs w:val="20"/>
    </w:rPr>
  </w:style>
  <w:style w:type="character" w:customStyle="1" w:styleId="FooterChar">
    <w:name w:val="Footer Char"/>
    <w:link w:val="Footer"/>
    <w:uiPriority w:val="99"/>
    <w:rsid w:val="00002DCB"/>
    <w:rPr>
      <w:rFonts w:ascii="Calibri" w:hAnsi="Calibri" w:cs="Arial Narrow"/>
      <w:sz w:val="20"/>
      <w:szCs w:val="20"/>
    </w:rPr>
  </w:style>
  <w:style w:type="paragraph" w:styleId="FootnoteText">
    <w:name w:val="footnote text"/>
    <w:basedOn w:val="Normal"/>
    <w:link w:val="FootnoteTextChar"/>
    <w:uiPriority w:val="99"/>
    <w:semiHidden/>
    <w:rsid w:val="00002DCB"/>
    <w:pPr>
      <w:spacing w:before="60"/>
    </w:pPr>
    <w:rPr>
      <w:sz w:val="18"/>
      <w:szCs w:val="18"/>
    </w:rPr>
  </w:style>
  <w:style w:type="paragraph" w:styleId="Header">
    <w:name w:val="header"/>
    <w:basedOn w:val="Footer"/>
    <w:link w:val="HeaderChar"/>
    <w:rsid w:val="00002DCB"/>
    <w:pPr>
      <w:tabs>
        <w:tab w:val="clear" w:pos="7085"/>
      </w:tabs>
      <w:spacing w:before="0" w:after="120"/>
      <w:jc w:val="right"/>
    </w:pPr>
    <w:rPr>
      <w:rFonts w:cs="Arial"/>
    </w:rPr>
  </w:style>
  <w:style w:type="character" w:customStyle="1" w:styleId="HeaderChar">
    <w:name w:val="Header Char"/>
    <w:link w:val="Header"/>
    <w:rsid w:val="00002DCB"/>
    <w:rPr>
      <w:rFonts w:ascii="Calibri" w:hAnsi="Calibri" w:cs="Arial"/>
      <w:sz w:val="20"/>
      <w:szCs w:val="20"/>
    </w:rPr>
  </w:style>
  <w:style w:type="paragraph" w:customStyle="1" w:styleId="CommentaryHeading">
    <w:name w:val="Commentary Heading"/>
    <w:basedOn w:val="Heading3"/>
    <w:rsid w:val="00B40AE1"/>
    <w:pPr>
      <w:pBdr>
        <w:top w:val="single" w:sz="4" w:space="1" w:color="0000FF"/>
        <w:left w:val="single" w:sz="4" w:space="4" w:color="0000FF"/>
        <w:bottom w:val="single" w:sz="4" w:space="1" w:color="0000FF"/>
        <w:right w:val="single" w:sz="4" w:space="4" w:color="0000FF"/>
      </w:pBdr>
      <w:shd w:val="clear" w:color="auto" w:fill="0000FF"/>
      <w:spacing w:before="0" w:line="320" w:lineRule="exact"/>
    </w:pPr>
    <w:rPr>
      <w:rFonts w:cs="Arial Bold"/>
      <w:i w:val="0"/>
      <w:iCs w:val="0"/>
      <w:color w:val="FFFFFF"/>
      <w:kern w:val="0"/>
      <w:szCs w:val="24"/>
    </w:rPr>
  </w:style>
  <w:style w:type="paragraph" w:customStyle="1" w:styleId="Heading3Numbering">
    <w:name w:val="Heading 3 Numbering"/>
    <w:basedOn w:val="Heading3"/>
    <w:link w:val="Heading3NumberingCharChar1"/>
    <w:rsid w:val="00002DCB"/>
    <w:pPr>
      <w:numPr>
        <w:numId w:val="7"/>
      </w:numPr>
      <w:tabs>
        <w:tab w:val="left" w:pos="448"/>
      </w:tabs>
      <w:spacing w:before="160"/>
    </w:pPr>
    <w:rPr>
      <w:i w:val="0"/>
    </w:rPr>
  </w:style>
  <w:style w:type="character" w:customStyle="1" w:styleId="Heading3NumberingCharChar1">
    <w:name w:val="Heading 3 Numbering Char Char1"/>
    <w:link w:val="Heading3Numbering"/>
    <w:rsid w:val="00002DCB"/>
    <w:rPr>
      <w:rFonts w:ascii="Calibri" w:hAnsi="Calibri" w:cs="Arial"/>
      <w:b/>
      <w:bCs/>
      <w:iCs/>
      <w:kern w:val="28"/>
      <w:sz w:val="24"/>
    </w:rPr>
  </w:style>
  <w:style w:type="paragraph" w:customStyle="1" w:styleId="Heading4Blue">
    <w:name w:val="Heading 4 Blue"/>
    <w:basedOn w:val="Heading4"/>
    <w:qFormat/>
    <w:rsid w:val="00002DCB"/>
    <w:pPr>
      <w:keepLines/>
    </w:pPr>
    <w:rPr>
      <w:rFonts w:cs="Arial Bold"/>
      <w:b/>
      <w:bCs/>
      <w:color w:val="0000FF"/>
      <w:sz w:val="22"/>
      <w:szCs w:val="22"/>
    </w:rPr>
  </w:style>
  <w:style w:type="paragraph" w:customStyle="1" w:styleId="ReferenceRed">
    <w:name w:val="Reference Red"/>
    <w:basedOn w:val="Reference"/>
    <w:link w:val="ReferenceRedChar"/>
    <w:qFormat/>
    <w:rsid w:val="00002DCB"/>
    <w:rPr>
      <w:color w:val="FF0000"/>
    </w:rPr>
  </w:style>
  <w:style w:type="paragraph" w:customStyle="1" w:styleId="Reference">
    <w:name w:val="Reference"/>
    <w:basedOn w:val="Normal"/>
    <w:link w:val="ReferenceChar"/>
    <w:qFormat/>
    <w:rsid w:val="00002DCB"/>
    <w:pPr>
      <w:keepNext/>
      <w:spacing w:before="160"/>
    </w:pPr>
    <w:rPr>
      <w:rFonts w:ascii="Calibri" w:hAnsi="Calibri" w:cs="Arial Narrow"/>
      <w:color w:val="0000FF"/>
      <w:sz w:val="16"/>
      <w:szCs w:val="16"/>
      <w:lang w:val="en-GB"/>
    </w:rPr>
  </w:style>
  <w:style w:type="character" w:customStyle="1" w:styleId="ReferenceChar">
    <w:name w:val="Reference Char"/>
    <w:link w:val="Reference"/>
    <w:locked/>
    <w:rsid w:val="00002DCB"/>
    <w:rPr>
      <w:rFonts w:ascii="Calibri" w:hAnsi="Calibri" w:cs="Arial Narrow"/>
      <w:color w:val="0000FF"/>
      <w:sz w:val="16"/>
      <w:szCs w:val="16"/>
      <w:lang w:val="en-GB"/>
    </w:rPr>
  </w:style>
  <w:style w:type="character" w:customStyle="1" w:styleId="ReferenceRedChar">
    <w:name w:val="Reference Red Char"/>
    <w:link w:val="ReferenceRed"/>
    <w:locked/>
    <w:rsid w:val="00002DCB"/>
    <w:rPr>
      <w:rFonts w:ascii="Calibri" w:hAnsi="Calibri" w:cs="Arial Narrow"/>
      <w:color w:val="FF0000"/>
      <w:sz w:val="16"/>
      <w:szCs w:val="16"/>
      <w:lang w:val="en-GB"/>
    </w:rPr>
  </w:style>
  <w:style w:type="paragraph" w:customStyle="1" w:styleId="Notes">
    <w:name w:val="Notes"/>
    <w:basedOn w:val="Normal"/>
    <w:link w:val="NotesChar"/>
    <w:qFormat/>
    <w:rsid w:val="00762638"/>
    <w:pPr>
      <w:tabs>
        <w:tab w:val="left" w:pos="454"/>
      </w:tabs>
      <w:spacing w:before="0"/>
      <w:ind w:left="459" w:hanging="459"/>
    </w:pPr>
    <w:rPr>
      <w:rFonts w:ascii="Calibri" w:hAnsi="Calibri"/>
      <w:i/>
      <w:iCs/>
      <w:sz w:val="16"/>
      <w:szCs w:val="18"/>
    </w:rPr>
  </w:style>
  <w:style w:type="character" w:customStyle="1" w:styleId="NotesChar">
    <w:name w:val="Notes Char"/>
    <w:link w:val="Notes"/>
    <w:locked/>
    <w:rsid w:val="00762638"/>
    <w:rPr>
      <w:rFonts w:ascii="Calibri" w:hAnsi="Calibri"/>
      <w:i/>
      <w:iCs/>
      <w:sz w:val="16"/>
      <w:szCs w:val="18"/>
    </w:rPr>
  </w:style>
  <w:style w:type="paragraph" w:customStyle="1" w:styleId="SmallLine">
    <w:name w:val="Small Line"/>
    <w:basedOn w:val="Normal"/>
    <w:link w:val="SmallLineChar"/>
    <w:rsid w:val="00002DCB"/>
    <w:pPr>
      <w:spacing w:before="0"/>
    </w:pPr>
    <w:rPr>
      <w:sz w:val="4"/>
      <w:szCs w:val="4"/>
    </w:rPr>
  </w:style>
  <w:style w:type="character" w:customStyle="1" w:styleId="SmallLineChar">
    <w:name w:val="Small Line Char"/>
    <w:link w:val="SmallLine"/>
    <w:locked/>
    <w:rsid w:val="00002DCB"/>
    <w:rPr>
      <w:sz w:val="4"/>
      <w:szCs w:val="4"/>
    </w:rPr>
  </w:style>
  <w:style w:type="paragraph" w:customStyle="1" w:styleId="Source">
    <w:name w:val="Source"/>
    <w:basedOn w:val="Normal"/>
    <w:next w:val="Normal"/>
    <w:link w:val="SourceChar"/>
    <w:qFormat/>
    <w:rsid w:val="00762638"/>
    <w:pPr>
      <w:spacing w:before="0" w:after="120"/>
    </w:pPr>
    <w:rPr>
      <w:rFonts w:ascii="Calibri" w:hAnsi="Calibri"/>
      <w:i/>
      <w:iCs/>
      <w:sz w:val="16"/>
      <w:szCs w:val="18"/>
    </w:rPr>
  </w:style>
  <w:style w:type="character" w:customStyle="1" w:styleId="SourceChar">
    <w:name w:val="Source Char"/>
    <w:link w:val="Source"/>
    <w:locked/>
    <w:rsid w:val="00762638"/>
    <w:rPr>
      <w:rFonts w:ascii="Calibri" w:hAnsi="Calibri"/>
      <w:i/>
      <w:iCs/>
      <w:sz w:val="16"/>
      <w:szCs w:val="18"/>
    </w:rPr>
  </w:style>
  <w:style w:type="paragraph" w:styleId="TOC1">
    <w:name w:val="toc 1"/>
    <w:basedOn w:val="Normal"/>
    <w:next w:val="Normal"/>
    <w:uiPriority w:val="39"/>
    <w:unhideWhenUsed/>
    <w:rsid w:val="001C05C4"/>
    <w:pPr>
      <w:tabs>
        <w:tab w:val="right" w:leader="dot" w:pos="9720"/>
      </w:tabs>
      <w:spacing w:before="180" w:after="120"/>
      <w:ind w:left="360" w:right="908"/>
    </w:pPr>
    <w:rPr>
      <w:rFonts w:ascii="Calibri" w:hAnsi="Calibri" w:cs="Arial"/>
      <w:b/>
      <w:noProof/>
      <w:sz w:val="24"/>
      <w:szCs w:val="24"/>
    </w:rPr>
  </w:style>
  <w:style w:type="paragraph" w:styleId="TOC2">
    <w:name w:val="toc 2"/>
    <w:basedOn w:val="Normal"/>
    <w:next w:val="Normal"/>
    <w:uiPriority w:val="39"/>
    <w:rsid w:val="00DA1EBA"/>
    <w:pPr>
      <w:tabs>
        <w:tab w:val="right" w:leader="dot" w:pos="9720"/>
      </w:tabs>
      <w:spacing w:before="40" w:after="40"/>
      <w:ind w:left="547" w:right="821"/>
    </w:pPr>
    <w:rPr>
      <w:rFonts w:ascii="Calibri" w:hAnsi="Calibri" w:cs="Arial"/>
      <w:noProof/>
      <w:sz w:val="20"/>
      <w:szCs w:val="20"/>
    </w:rPr>
  </w:style>
  <w:style w:type="paragraph" w:styleId="TOC3">
    <w:name w:val="toc 3"/>
    <w:basedOn w:val="Normal"/>
    <w:next w:val="Normal"/>
    <w:uiPriority w:val="39"/>
    <w:unhideWhenUsed/>
    <w:rsid w:val="004234C3"/>
    <w:pPr>
      <w:tabs>
        <w:tab w:val="right" w:leader="dot" w:pos="7920"/>
      </w:tabs>
      <w:spacing w:before="40" w:after="40"/>
      <w:ind w:left="547" w:right="821"/>
    </w:pPr>
    <w:rPr>
      <w:rFonts w:ascii="Calibri" w:hAnsi="Calibri" w:cs="Arial"/>
      <w:noProof/>
      <w:sz w:val="20"/>
      <w:szCs w:val="20"/>
    </w:rPr>
  </w:style>
  <w:style w:type="paragraph" w:customStyle="1" w:styleId="TableofContentsheading">
    <w:name w:val="Table of Contents heading"/>
    <w:basedOn w:val="ChapterHeading"/>
    <w:next w:val="Normal"/>
    <w:rsid w:val="00002DCB"/>
    <w:rPr>
      <w:sz w:val="36"/>
    </w:rPr>
  </w:style>
  <w:style w:type="paragraph" w:customStyle="1" w:styleId="SmallLineBlue">
    <w:name w:val="Small Line Blue"/>
    <w:basedOn w:val="SmallLine"/>
    <w:link w:val="SmallLineBlueChar"/>
    <w:rsid w:val="00002DCB"/>
    <w:pPr>
      <w:pBdr>
        <w:top w:val="single" w:sz="4" w:space="1" w:color="0000FF"/>
        <w:left w:val="single" w:sz="4" w:space="4" w:color="0000FF"/>
        <w:bottom w:val="single" w:sz="4" w:space="1" w:color="0000FF"/>
        <w:right w:val="single" w:sz="4" w:space="4" w:color="0000FF"/>
      </w:pBdr>
      <w:shd w:val="clear" w:color="auto" w:fill="0000FF"/>
    </w:pPr>
  </w:style>
  <w:style w:type="character" w:customStyle="1" w:styleId="SmallLineBlueChar">
    <w:name w:val="Small Line Blue Char"/>
    <w:link w:val="SmallLineBlue"/>
    <w:rsid w:val="00002DCB"/>
    <w:rPr>
      <w:sz w:val="4"/>
      <w:szCs w:val="4"/>
      <w:shd w:val="clear" w:color="auto" w:fill="0000FF"/>
    </w:rPr>
  </w:style>
  <w:style w:type="paragraph" w:customStyle="1" w:styleId="Heading2Blue">
    <w:name w:val="Heading 2 Blue"/>
    <w:basedOn w:val="Heading2"/>
    <w:link w:val="Heading2BlueChar"/>
    <w:unhideWhenUsed/>
    <w:qFormat/>
    <w:rsid w:val="00002DCB"/>
    <w:rPr>
      <w:color w:val="0000FF"/>
    </w:rPr>
  </w:style>
  <w:style w:type="character" w:customStyle="1" w:styleId="Heading2BlueChar">
    <w:name w:val="Heading 2 Blue Char"/>
    <w:link w:val="Heading2Blue"/>
    <w:rsid w:val="00002DCB"/>
    <w:rPr>
      <w:rFonts w:ascii="Calibri" w:hAnsi="Calibri" w:cs="Arial Bold"/>
      <w:b/>
      <w:bCs/>
      <w:color w:val="0000FF"/>
      <w:kern w:val="28"/>
      <w:sz w:val="24"/>
      <w:szCs w:val="24"/>
    </w:rPr>
  </w:style>
  <w:style w:type="paragraph" w:customStyle="1" w:styleId="TableTextCentred">
    <w:name w:val="Table Text Centred"/>
    <w:basedOn w:val="Tabletext"/>
    <w:rsid w:val="00002DCB"/>
    <w:pPr>
      <w:jc w:val="center"/>
    </w:pPr>
  </w:style>
  <w:style w:type="paragraph" w:styleId="TOC8">
    <w:name w:val="toc 8"/>
    <w:basedOn w:val="TOC2"/>
    <w:next w:val="Normal"/>
    <w:autoRedefine/>
    <w:semiHidden/>
    <w:rsid w:val="00495958"/>
  </w:style>
  <w:style w:type="paragraph" w:customStyle="1" w:styleId="CommentaryHeading2">
    <w:name w:val="Commentary Heading 2"/>
    <w:basedOn w:val="CommentaryHeading1"/>
    <w:link w:val="CommentaryHeading2Char"/>
    <w:qFormat/>
    <w:rsid w:val="00002DCB"/>
    <w:pPr>
      <w:pBdr>
        <w:top w:val="none" w:sz="0" w:space="0" w:color="auto"/>
        <w:bottom w:val="none" w:sz="0" w:space="0" w:color="auto"/>
      </w:pBdr>
    </w:pPr>
    <w:rPr>
      <w:i/>
    </w:rPr>
  </w:style>
  <w:style w:type="paragraph" w:customStyle="1" w:styleId="CommentaryDashBlue">
    <w:name w:val="Commentary Dash Blue"/>
    <w:basedOn w:val="DashBlue"/>
    <w:link w:val="CommentaryDashBlueChar"/>
    <w:rsid w:val="00002DCB"/>
    <w:pPr>
      <w:numPr>
        <w:numId w:val="0"/>
      </w:numPr>
      <w:pBdr>
        <w:left w:val="single" w:sz="4" w:space="4" w:color="0000FF"/>
        <w:right w:val="single" w:sz="4" w:space="4" w:color="0000FF"/>
      </w:pBdr>
      <w:tabs>
        <w:tab w:val="left" w:pos="426"/>
      </w:tabs>
      <w:ind w:left="720" w:hanging="720"/>
    </w:pPr>
  </w:style>
  <w:style w:type="character" w:customStyle="1" w:styleId="CommentaryDashBlueChar">
    <w:name w:val="Commentary Dash Blue Char"/>
    <w:basedOn w:val="DashBlueCharChar"/>
    <w:link w:val="CommentaryDashBlue"/>
    <w:rsid w:val="00002DCB"/>
    <w:rPr>
      <w:color w:val="0000FF"/>
    </w:rPr>
  </w:style>
  <w:style w:type="paragraph" w:customStyle="1" w:styleId="Tabletextheading">
    <w:name w:val="Table text heading"/>
    <w:basedOn w:val="TableofFigures"/>
    <w:link w:val="TabletextheadingChar"/>
    <w:qFormat/>
    <w:rsid w:val="00002DCB"/>
    <w:rPr>
      <w:i/>
      <w:iCs/>
      <w:noProof/>
    </w:rPr>
  </w:style>
  <w:style w:type="character" w:customStyle="1" w:styleId="TabletextheadingChar">
    <w:name w:val="Table text heading Char"/>
    <w:link w:val="Tabletextheading"/>
    <w:rsid w:val="00002DCB"/>
    <w:rPr>
      <w:rFonts w:ascii="Calibri" w:hAnsi="Calibri" w:cs="Arial"/>
      <w:i/>
      <w:iCs/>
      <w:noProof/>
      <w:sz w:val="18"/>
      <w:szCs w:val="18"/>
    </w:rPr>
  </w:style>
  <w:style w:type="paragraph" w:styleId="TOC4">
    <w:name w:val="toc 4"/>
    <w:basedOn w:val="TOC1"/>
    <w:next w:val="Normal"/>
    <w:uiPriority w:val="39"/>
    <w:unhideWhenUsed/>
    <w:rsid w:val="00002DCB"/>
    <w:pPr>
      <w:tabs>
        <w:tab w:val="right" w:leader="dot" w:pos="7920"/>
      </w:tabs>
      <w:spacing w:before="10" w:after="10"/>
      <w:ind w:left="1152" w:hanging="1152"/>
    </w:pPr>
    <w:rPr>
      <w:b w:val="0"/>
      <w:sz w:val="18"/>
      <w:szCs w:val="18"/>
    </w:rPr>
  </w:style>
  <w:style w:type="character" w:styleId="Hyperlink">
    <w:name w:val="Hyperlink"/>
    <w:uiPriority w:val="99"/>
    <w:rsid w:val="00F72886"/>
    <w:rPr>
      <w:rFonts w:ascii="Calibri" w:hAnsi="Calibri"/>
      <w:color w:val="0000FF"/>
      <w:sz w:val="20"/>
      <w:u w:val="single"/>
    </w:rPr>
  </w:style>
  <w:style w:type="table" w:styleId="TableGrid">
    <w:name w:val="Table Grid"/>
    <w:aliases w:val="CV table"/>
    <w:basedOn w:val="TableNormal"/>
    <w:uiPriority w:val="59"/>
    <w:rsid w:val="00A24E4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ing">
    <w:name w:val="NoteHeading"/>
    <w:basedOn w:val="Normal"/>
    <w:link w:val="NoteHeadingChar"/>
    <w:qFormat/>
    <w:rsid w:val="00002DCB"/>
    <w:pPr>
      <w:tabs>
        <w:tab w:val="left" w:pos="1224"/>
      </w:tabs>
      <w:spacing w:after="120"/>
      <w:ind w:left="1225" w:hanging="1225"/>
    </w:pPr>
    <w:rPr>
      <w:rFonts w:ascii="Calibri" w:hAnsi="Calibri" w:cs="Arial"/>
      <w:b/>
      <w:bCs/>
      <w:sz w:val="26"/>
      <w:szCs w:val="28"/>
      <w:lang w:val="en-GB"/>
    </w:rPr>
  </w:style>
  <w:style w:type="character" w:customStyle="1" w:styleId="NoteHeadingChar">
    <w:name w:val="NoteHeading Char"/>
    <w:link w:val="NoteHeading"/>
    <w:locked/>
    <w:rsid w:val="00002DCB"/>
    <w:rPr>
      <w:rFonts w:ascii="Calibri" w:hAnsi="Calibri" w:cs="Arial"/>
      <w:b/>
      <w:bCs/>
      <w:sz w:val="26"/>
      <w:szCs w:val="28"/>
      <w:lang w:val="en-GB"/>
    </w:rPr>
  </w:style>
  <w:style w:type="paragraph" w:customStyle="1" w:styleId="NoteHeadingcontinued">
    <w:name w:val="NoteHeading continued"/>
    <w:basedOn w:val="NoteHeading"/>
    <w:link w:val="NoteHeadingcontinuedChar"/>
    <w:rsid w:val="00002DCB"/>
  </w:style>
  <w:style w:type="character" w:customStyle="1" w:styleId="NoteHeadingcontinuedChar">
    <w:name w:val="NoteHeading continued Char"/>
    <w:basedOn w:val="NoteHeadingChar"/>
    <w:link w:val="NoteHeadingcontinued"/>
    <w:locked/>
    <w:rsid w:val="00002DCB"/>
    <w:rPr>
      <w:rFonts w:ascii="Calibri" w:hAnsi="Calibri" w:cs="Arial"/>
      <w:b/>
      <w:bCs/>
      <w:sz w:val="26"/>
      <w:szCs w:val="28"/>
      <w:lang w:val="en-GB"/>
    </w:rPr>
  </w:style>
  <w:style w:type="paragraph" w:customStyle="1" w:styleId="aalpha">
    <w:name w:val="(a) alpha"/>
    <w:basedOn w:val="Normal"/>
    <w:rsid w:val="00002DCB"/>
    <w:pPr>
      <w:numPr>
        <w:numId w:val="2"/>
      </w:numPr>
      <w:autoSpaceDE w:val="0"/>
      <w:autoSpaceDN w:val="0"/>
      <w:adjustRightInd w:val="0"/>
      <w:spacing w:line="240" w:lineRule="atLeast"/>
    </w:pPr>
  </w:style>
  <w:style w:type="paragraph" w:customStyle="1" w:styleId="Heading2BluePt3">
    <w:name w:val="Heading 2 Blue Pt3"/>
    <w:basedOn w:val="Heading2Blue"/>
    <w:link w:val="Heading2BluePt3Char"/>
    <w:rsid w:val="00002DCB"/>
  </w:style>
  <w:style w:type="character" w:customStyle="1" w:styleId="Heading2BluePt3Char">
    <w:name w:val="Heading 2 Blue Pt3 Char"/>
    <w:basedOn w:val="Heading2BlueChar"/>
    <w:link w:val="Heading2BluePt3"/>
    <w:rsid w:val="00002DCB"/>
    <w:rPr>
      <w:rFonts w:ascii="Calibri" w:hAnsi="Calibri" w:cs="Arial Bold"/>
      <w:b/>
      <w:bCs/>
      <w:color w:val="0000FF"/>
      <w:kern w:val="28"/>
      <w:sz w:val="24"/>
      <w:szCs w:val="24"/>
    </w:rPr>
  </w:style>
  <w:style w:type="paragraph" w:customStyle="1" w:styleId="Heading1BluePt3">
    <w:name w:val="Heading 1 Blue Pt3"/>
    <w:basedOn w:val="Normal"/>
    <w:link w:val="Heading1BluePt3Char"/>
    <w:qFormat/>
    <w:rsid w:val="00002DCB"/>
    <w:pPr>
      <w:keepNext/>
      <w:spacing w:before="360"/>
      <w:outlineLvl w:val="0"/>
    </w:pPr>
    <w:rPr>
      <w:rFonts w:ascii="Calibri" w:hAnsi="Calibri" w:cs="Arial Bold"/>
      <w:b/>
      <w:bCs/>
      <w:color w:val="0000FF"/>
      <w:sz w:val="28"/>
      <w:szCs w:val="28"/>
    </w:rPr>
  </w:style>
  <w:style w:type="character" w:customStyle="1" w:styleId="Heading1BluePt3Char">
    <w:name w:val="Heading 1 Blue Pt3 Char"/>
    <w:basedOn w:val="DefaultParagraphFont"/>
    <w:link w:val="Heading1BluePt3"/>
    <w:locked/>
    <w:rsid w:val="00002DCB"/>
    <w:rPr>
      <w:rFonts w:ascii="Calibri" w:hAnsi="Calibri" w:cs="Arial Bold"/>
      <w:b/>
      <w:bCs/>
      <w:color w:val="0000FF"/>
      <w:sz w:val="28"/>
      <w:szCs w:val="28"/>
    </w:rPr>
  </w:style>
  <w:style w:type="paragraph" w:styleId="TOC5">
    <w:name w:val="toc 5"/>
    <w:basedOn w:val="TOC3"/>
    <w:next w:val="Normal"/>
    <w:autoRedefine/>
    <w:locked/>
    <w:rsid w:val="00002DCB"/>
  </w:style>
  <w:style w:type="paragraph" w:styleId="Caption">
    <w:name w:val="caption"/>
    <w:basedOn w:val="Normal"/>
    <w:next w:val="Normal"/>
    <w:uiPriority w:val="35"/>
    <w:qFormat/>
    <w:rsid w:val="00002DCB"/>
    <w:rPr>
      <w:rFonts w:asciiTheme="minorHAnsi" w:hAnsiTheme="minorHAnsi"/>
      <w:b/>
      <w:bCs/>
    </w:rPr>
  </w:style>
  <w:style w:type="paragraph" w:customStyle="1" w:styleId="TabletextheadingCentred">
    <w:name w:val="Table text heading Centred"/>
    <w:basedOn w:val="Tabletextheading"/>
    <w:link w:val="TabletextheadingCentredChar"/>
    <w:rsid w:val="00002DCB"/>
    <w:pPr>
      <w:jc w:val="center"/>
    </w:pPr>
    <w:rPr>
      <w:noProof w:val="0"/>
      <w:szCs w:val="20"/>
    </w:rPr>
  </w:style>
  <w:style w:type="character" w:customStyle="1" w:styleId="TabletextheadingCentredChar">
    <w:name w:val="Table text heading Centred Char"/>
    <w:link w:val="TabletextheadingCentred"/>
    <w:locked/>
    <w:rsid w:val="00002DCB"/>
    <w:rPr>
      <w:rFonts w:ascii="Calibri" w:hAnsi="Calibri" w:cs="Arial"/>
      <w:i/>
      <w:iCs/>
      <w:sz w:val="18"/>
      <w:szCs w:val="20"/>
    </w:rPr>
  </w:style>
  <w:style w:type="paragraph" w:customStyle="1" w:styleId="Default">
    <w:name w:val="Default"/>
    <w:autoRedefine/>
    <w:rsid w:val="00FC6E82"/>
    <w:pPr>
      <w:autoSpaceDE w:val="0"/>
      <w:autoSpaceDN w:val="0"/>
      <w:adjustRightInd w:val="0"/>
    </w:pPr>
    <w:rPr>
      <w:rFonts w:eastAsia="Times New Roman" w:cs="Times New Roman"/>
      <w:color w:val="000000"/>
      <w:szCs w:val="24"/>
    </w:rPr>
  </w:style>
  <w:style w:type="paragraph" w:customStyle="1" w:styleId="NormalBlueIndent">
    <w:name w:val="Normal Blue Indent"/>
    <w:basedOn w:val="NormalBlue"/>
    <w:rsid w:val="00002DCB"/>
    <w:pPr>
      <w:ind w:left="357"/>
    </w:pPr>
  </w:style>
  <w:style w:type="table" w:customStyle="1" w:styleId="TableGrid1">
    <w:name w:val="Table Grid1"/>
    <w:basedOn w:val="TableNormal"/>
    <w:next w:val="TableGrid"/>
    <w:rsid w:val="0049595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Blue">
    <w:name w:val="Notes Blue"/>
    <w:basedOn w:val="Notes"/>
    <w:rsid w:val="00002DCB"/>
    <w:rPr>
      <w:color w:val="0000FF"/>
    </w:rPr>
  </w:style>
  <w:style w:type="paragraph" w:customStyle="1" w:styleId="NormalIndent2">
    <w:name w:val="Normal Indent 2"/>
    <w:basedOn w:val="Normal"/>
    <w:rsid w:val="00002DCB"/>
    <w:pPr>
      <w:ind w:left="446"/>
    </w:pPr>
  </w:style>
  <w:style w:type="paragraph" w:styleId="NormalIndent">
    <w:name w:val="Normal Indent"/>
    <w:basedOn w:val="Normal"/>
    <w:rsid w:val="00002DCB"/>
    <w:pPr>
      <w:ind w:left="720"/>
    </w:pPr>
  </w:style>
  <w:style w:type="paragraph" w:customStyle="1" w:styleId="NotesBullet">
    <w:name w:val="Notes Bullet"/>
    <w:basedOn w:val="Notes"/>
    <w:rsid w:val="00002DCB"/>
    <w:pPr>
      <w:numPr>
        <w:numId w:val="8"/>
      </w:numPr>
      <w:tabs>
        <w:tab w:val="clear" w:pos="454"/>
      </w:tabs>
    </w:pPr>
    <w:rPr>
      <w:color w:val="0000FF"/>
    </w:rPr>
  </w:style>
  <w:style w:type="paragraph" w:customStyle="1" w:styleId="TabletextheadingLeft">
    <w:name w:val="Table text heading Left"/>
    <w:basedOn w:val="Tabletextheading"/>
    <w:rsid w:val="00002DCB"/>
    <w:pPr>
      <w:jc w:val="left"/>
    </w:pPr>
  </w:style>
  <w:style w:type="paragraph" w:customStyle="1" w:styleId="TabletextIndent">
    <w:name w:val="Table text Indent"/>
    <w:basedOn w:val="Normal"/>
    <w:rsid w:val="00002DCB"/>
    <w:pPr>
      <w:spacing w:before="30" w:after="30"/>
      <w:ind w:left="266"/>
    </w:pPr>
    <w:rPr>
      <w:rFonts w:ascii="Calibri" w:hAnsi="Calibri" w:cs="Arial"/>
      <w:sz w:val="18"/>
      <w:szCs w:val="18"/>
    </w:rPr>
  </w:style>
  <w:style w:type="paragraph" w:customStyle="1" w:styleId="CommentaryTextIndent2">
    <w:name w:val="Commentary Text Indent 2"/>
    <w:basedOn w:val="CommentaryDashBlue"/>
    <w:link w:val="CommentaryTextIndent2CharChar"/>
    <w:rsid w:val="00002DCB"/>
    <w:pPr>
      <w:pBdr>
        <w:top w:val="single" w:sz="4" w:space="1" w:color="0000FF"/>
        <w:bottom w:val="single" w:sz="4" w:space="1" w:color="0000FF"/>
      </w:pBdr>
      <w:tabs>
        <w:tab w:val="clear" w:pos="426"/>
        <w:tab w:val="left" w:pos="450"/>
      </w:tabs>
      <w:ind w:left="900" w:hanging="900"/>
    </w:pPr>
  </w:style>
  <w:style w:type="character" w:customStyle="1" w:styleId="CommentaryTextIndent2CharChar">
    <w:name w:val="Commentary Text Indent 2 Char Char"/>
    <w:link w:val="CommentaryTextIndent2"/>
    <w:rsid w:val="00002DCB"/>
    <w:rPr>
      <w:color w:val="0000FF"/>
    </w:rPr>
  </w:style>
  <w:style w:type="table" w:styleId="TableClassic1">
    <w:name w:val="Table Classic 1"/>
    <w:basedOn w:val="TableNormal"/>
    <w:rsid w:val="006E3C4D"/>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Bullet"/>
    <w:qFormat/>
    <w:rsid w:val="00002DCB"/>
    <w:pPr>
      <w:numPr>
        <w:numId w:val="9"/>
      </w:numPr>
      <w:spacing w:before="0"/>
    </w:pPr>
    <w:rPr>
      <w:rFonts w:ascii="Calibri" w:hAnsi="Calibri"/>
      <w:sz w:val="18"/>
    </w:rPr>
  </w:style>
  <w:style w:type="paragraph" w:customStyle="1" w:styleId="Heading1BluePt3Contd">
    <w:name w:val="Heading 1 Blue Pt3 Cont'd"/>
    <w:basedOn w:val="Heading1BluePt3"/>
    <w:rsid w:val="00002DCB"/>
  </w:style>
  <w:style w:type="paragraph" w:styleId="Revision">
    <w:name w:val="Revision"/>
    <w:hidden/>
    <w:uiPriority w:val="99"/>
    <w:semiHidden/>
    <w:rsid w:val="001041D7"/>
    <w:rPr>
      <w:rFonts w:eastAsia="Times New Roman" w:cs="Times New Roman"/>
      <w:lang w:eastAsia="en-US"/>
    </w:rPr>
  </w:style>
  <w:style w:type="paragraph" w:customStyle="1" w:styleId="Heading1Pt3">
    <w:name w:val="Heading 1 Pt3"/>
    <w:basedOn w:val="Heading1"/>
    <w:next w:val="Normal"/>
    <w:qFormat/>
    <w:rsid w:val="00002DCB"/>
  </w:style>
  <w:style w:type="character" w:styleId="CommentReference">
    <w:name w:val="annotation reference"/>
    <w:basedOn w:val="DefaultParagraphFont"/>
    <w:uiPriority w:val="99"/>
    <w:rsid w:val="00031BBE"/>
    <w:rPr>
      <w:sz w:val="16"/>
      <w:szCs w:val="16"/>
    </w:rPr>
  </w:style>
  <w:style w:type="paragraph" w:styleId="CommentText">
    <w:name w:val="annotation text"/>
    <w:basedOn w:val="Normal"/>
    <w:link w:val="CommentTextChar"/>
    <w:uiPriority w:val="99"/>
    <w:rsid w:val="00031BBE"/>
    <w:rPr>
      <w:sz w:val="20"/>
      <w:szCs w:val="20"/>
    </w:rPr>
  </w:style>
  <w:style w:type="character" w:customStyle="1" w:styleId="CommentTextChar">
    <w:name w:val="Comment Text Char"/>
    <w:basedOn w:val="DefaultParagraphFont"/>
    <w:link w:val="CommentText"/>
    <w:uiPriority w:val="99"/>
    <w:rsid w:val="00031BBE"/>
    <w:rPr>
      <w:sz w:val="20"/>
      <w:szCs w:val="20"/>
    </w:rPr>
  </w:style>
  <w:style w:type="paragraph" w:styleId="CommentSubject">
    <w:name w:val="annotation subject"/>
    <w:basedOn w:val="Normal"/>
    <w:link w:val="CommentSubjectChar"/>
    <w:semiHidden/>
    <w:rsid w:val="00002DCB"/>
    <w:rPr>
      <w:b/>
      <w:bCs/>
      <w:sz w:val="20"/>
      <w:szCs w:val="20"/>
    </w:rPr>
  </w:style>
  <w:style w:type="character" w:customStyle="1" w:styleId="CommentSubjectChar">
    <w:name w:val="Comment Subject Char"/>
    <w:basedOn w:val="DefaultParagraphFont"/>
    <w:link w:val="CommentSubject"/>
    <w:semiHidden/>
    <w:rsid w:val="00002DCB"/>
    <w:rPr>
      <w:b/>
      <w:bCs/>
      <w:sz w:val="20"/>
      <w:szCs w:val="20"/>
    </w:rPr>
  </w:style>
  <w:style w:type="paragraph" w:styleId="TOCHeading">
    <w:name w:val="TOC Heading"/>
    <w:basedOn w:val="Heading1"/>
    <w:next w:val="Normal"/>
    <w:unhideWhenUsed/>
    <w:qFormat/>
    <w:rsid w:val="00837665"/>
    <w:pPr>
      <w:keepNext w:val="0"/>
      <w:spacing w:before="80" w:after="400" w:line="520" w:lineRule="exact"/>
      <w:ind w:left="432" w:right="113"/>
      <w:jc w:val="both"/>
      <w:outlineLvl w:val="9"/>
    </w:pPr>
    <w:rPr>
      <w:rFonts w:eastAsia="Times New Roman"/>
      <w:sz w:val="32"/>
      <w:szCs w:val="32"/>
      <w:lang w:eastAsia="en-US"/>
    </w:rPr>
  </w:style>
  <w:style w:type="paragraph" w:customStyle="1" w:styleId="TableText0">
    <w:name w:val="Table Text"/>
    <w:basedOn w:val="Normal"/>
    <w:rsid w:val="00837665"/>
    <w:pPr>
      <w:spacing w:before="30" w:after="30"/>
    </w:pPr>
    <w:rPr>
      <w:rFonts w:ascii="Calibri" w:eastAsia="Times New Roman" w:hAnsi="Calibri" w:cs="Arial"/>
      <w:sz w:val="18"/>
      <w:szCs w:val="18"/>
    </w:rPr>
  </w:style>
  <w:style w:type="paragraph" w:customStyle="1" w:styleId="BulletIndent">
    <w:name w:val="Bullet Indent"/>
    <w:basedOn w:val="Bullet"/>
    <w:rsid w:val="00244E7E"/>
    <w:pPr>
      <w:ind w:left="810"/>
    </w:pPr>
    <w:rPr>
      <w:rFonts w:eastAsia="Times New Roman" w:cs="Times New Roman"/>
      <w:lang w:eastAsia="en-US"/>
    </w:rPr>
  </w:style>
  <w:style w:type="paragraph" w:customStyle="1" w:styleId="Chartheading">
    <w:name w:val="Chart heading"/>
    <w:basedOn w:val="Tableheading"/>
    <w:next w:val="Normal"/>
    <w:rsid w:val="00002DCB"/>
    <w:rPr>
      <w:rFonts w:eastAsia="Times New Roman"/>
      <w:lang w:eastAsia="en-US"/>
    </w:rPr>
  </w:style>
  <w:style w:type="paragraph" w:customStyle="1" w:styleId="CommentaryHeading3">
    <w:name w:val="Commentary Heading 3"/>
    <w:basedOn w:val="CommentaryText"/>
    <w:link w:val="CommentaryHeading3Char"/>
    <w:rsid w:val="00002DCB"/>
    <w:rPr>
      <w:rFonts w:ascii="Calibri" w:eastAsia="Times New Roman" w:hAnsi="Calibri" w:cs="Arial"/>
      <w:b/>
      <w:bCs/>
      <w:lang w:eastAsia="en-US"/>
    </w:rPr>
  </w:style>
  <w:style w:type="character" w:customStyle="1" w:styleId="CommentaryHeading3Char">
    <w:name w:val="Commentary Heading 3 Char"/>
    <w:link w:val="CommentaryHeading3"/>
    <w:locked/>
    <w:rsid w:val="00002DCB"/>
    <w:rPr>
      <w:rFonts w:ascii="Calibri" w:eastAsia="Times New Roman" w:hAnsi="Calibri" w:cs="Arial"/>
      <w:b/>
      <w:bCs/>
      <w:noProof/>
      <w:color w:val="0000FF"/>
      <w:lang w:eastAsia="en-US"/>
    </w:rPr>
  </w:style>
  <w:style w:type="paragraph" w:customStyle="1" w:styleId="Heading1a">
    <w:name w:val="Heading 1a"/>
    <w:basedOn w:val="Heading1"/>
    <w:rsid w:val="00002DCB"/>
    <w:rPr>
      <w:rFonts w:eastAsia="Times New Roman"/>
      <w:lang w:eastAsia="en-US"/>
    </w:rPr>
  </w:style>
  <w:style w:type="paragraph" w:customStyle="1" w:styleId="Heading2pt2">
    <w:name w:val="Heading 2 pt2"/>
    <w:basedOn w:val="Heading2"/>
    <w:link w:val="Heading2pt2Char"/>
    <w:rsid w:val="00002DCB"/>
    <w:pPr>
      <w:spacing w:before="240"/>
    </w:pPr>
    <w:rPr>
      <w:rFonts w:eastAsia="Times New Roman"/>
      <w:lang w:eastAsia="en-US"/>
    </w:rPr>
  </w:style>
  <w:style w:type="character" w:customStyle="1" w:styleId="Heading2pt2Char">
    <w:name w:val="Heading 2 pt2 Char"/>
    <w:basedOn w:val="Heading2Char"/>
    <w:link w:val="Heading2pt2"/>
    <w:rsid w:val="00002DCB"/>
    <w:rPr>
      <w:rFonts w:ascii="Calibri" w:eastAsia="Times New Roman" w:hAnsi="Calibri" w:cs="Arial Bold"/>
      <w:b/>
      <w:bCs/>
      <w:kern w:val="28"/>
      <w:sz w:val="24"/>
      <w:szCs w:val="24"/>
      <w:lang w:eastAsia="en-US"/>
    </w:rPr>
  </w:style>
  <w:style w:type="paragraph" w:customStyle="1" w:styleId="Heading5a">
    <w:name w:val="Heading 5a"/>
    <w:basedOn w:val="Heading5"/>
    <w:rsid w:val="00002DCB"/>
    <w:pPr>
      <w:tabs>
        <w:tab w:val="clear" w:pos="450"/>
      </w:tabs>
      <w:spacing w:before="180" w:after="60"/>
      <w:ind w:left="0" w:firstLine="0"/>
    </w:pPr>
    <w:rPr>
      <w:rFonts w:eastAsia="Times New Roman"/>
      <w:b w:val="0"/>
      <w:bCs w:val="0"/>
      <w:i/>
      <w:iCs/>
      <w:lang w:eastAsia="en-US"/>
    </w:rPr>
  </w:style>
  <w:style w:type="paragraph" w:customStyle="1" w:styleId="Tabletextcentred0">
    <w:name w:val="Table text centred"/>
    <w:basedOn w:val="Tabletext"/>
    <w:rsid w:val="00C030DF"/>
    <w:pPr>
      <w:spacing w:before="0" w:after="0"/>
      <w:jc w:val="center"/>
    </w:pPr>
    <w:rPr>
      <w:rFonts w:cs="Calibri"/>
      <w:noProof w:val="0"/>
      <w:sz w:val="22"/>
      <w:lang w:eastAsia="en-US"/>
    </w:rPr>
  </w:style>
  <w:style w:type="paragraph" w:customStyle="1" w:styleId="Tabletextheadingcentred0">
    <w:name w:val="Table text heading centred"/>
    <w:basedOn w:val="Tabletextheading"/>
    <w:rsid w:val="00C030DF"/>
    <w:pPr>
      <w:spacing w:before="0" w:after="0"/>
      <w:jc w:val="center"/>
    </w:pPr>
    <w:rPr>
      <w:rFonts w:cs="Calibri"/>
      <w:iCs w:val="0"/>
      <w:noProof w:val="0"/>
      <w:sz w:val="22"/>
      <w:lang w:eastAsia="en-US"/>
    </w:rPr>
  </w:style>
  <w:style w:type="paragraph" w:customStyle="1" w:styleId="OGBullet">
    <w:name w:val="OGBullet"/>
    <w:basedOn w:val="Normal"/>
    <w:semiHidden/>
    <w:rsid w:val="00C030DF"/>
    <w:pPr>
      <w:numPr>
        <w:numId w:val="10"/>
      </w:numPr>
      <w:spacing w:before="0" w:after="120"/>
    </w:pPr>
    <w:rPr>
      <w:rFonts w:ascii="Calibri" w:eastAsia="Times New Roman" w:hAnsi="Calibri" w:cs="Times New Roman"/>
      <w:szCs w:val="18"/>
      <w:lang w:eastAsia="en-US"/>
    </w:rPr>
  </w:style>
  <w:style w:type="paragraph" w:customStyle="1" w:styleId="Heading2NotesContd">
    <w:name w:val="Heading 2 Notes Cont'd"/>
    <w:basedOn w:val="Normal"/>
    <w:rsid w:val="00C030DF"/>
    <w:pPr>
      <w:keepNext/>
      <w:tabs>
        <w:tab w:val="left" w:pos="1152"/>
      </w:tabs>
      <w:spacing w:before="240" w:after="120"/>
      <w:ind w:left="1152" w:hanging="1152"/>
      <w:outlineLvl w:val="1"/>
    </w:pPr>
    <w:rPr>
      <w:rFonts w:ascii="Calibri" w:eastAsia="Times New Roman" w:hAnsi="Calibri" w:cs="Times New Roman"/>
      <w:b/>
      <w:kern w:val="28"/>
      <w:sz w:val="28"/>
      <w:lang w:eastAsia="en-US"/>
    </w:rPr>
  </w:style>
  <w:style w:type="character" w:styleId="PageNumber">
    <w:name w:val="page number"/>
    <w:rsid w:val="00C030DF"/>
    <w:rPr>
      <w:rFonts w:ascii="Calibri" w:hAnsi="Calibri"/>
    </w:rPr>
  </w:style>
  <w:style w:type="paragraph" w:customStyle="1" w:styleId="heading">
    <w:name w:val="heading"/>
    <w:basedOn w:val="Heading2"/>
    <w:link w:val="headingChar"/>
    <w:semiHidden/>
    <w:rsid w:val="00C030DF"/>
    <w:pPr>
      <w:keepNext w:val="0"/>
      <w:overflowPunct w:val="0"/>
      <w:autoSpaceDE w:val="0"/>
      <w:autoSpaceDN w:val="0"/>
      <w:adjustRightInd w:val="0"/>
      <w:spacing w:before="240" w:after="120"/>
      <w:textAlignment w:val="baseline"/>
    </w:pPr>
    <w:rPr>
      <w:rFonts w:ascii="EY Gothic Cond MedPS" w:eastAsiaTheme="majorEastAsia" w:hAnsi="EY Gothic Cond MedPS" w:cstheme="majorBidi"/>
      <w:bCs w:val="0"/>
      <w:color w:val="4F81BD" w:themeColor="accent1"/>
      <w:szCs w:val="26"/>
      <w:lang w:val="en-GB" w:eastAsia="en-US"/>
    </w:rPr>
  </w:style>
  <w:style w:type="character" w:customStyle="1" w:styleId="headingChar">
    <w:name w:val="heading Char"/>
    <w:basedOn w:val="Heading2Char"/>
    <w:link w:val="heading"/>
    <w:semiHidden/>
    <w:rsid w:val="00C030DF"/>
    <w:rPr>
      <w:rFonts w:ascii="EY Gothic Cond MedPS" w:eastAsiaTheme="majorEastAsia" w:hAnsi="EY Gothic Cond MedPS" w:cstheme="majorBidi"/>
      <w:b/>
      <w:bCs w:val="0"/>
      <w:color w:val="4F81BD" w:themeColor="accent1"/>
      <w:kern w:val="28"/>
      <w:sz w:val="24"/>
      <w:szCs w:val="26"/>
      <w:lang w:val="en-GB" w:eastAsia="en-US"/>
    </w:rPr>
  </w:style>
  <w:style w:type="character" w:styleId="FootnoteReference">
    <w:name w:val="footnote reference"/>
    <w:uiPriority w:val="99"/>
    <w:rsid w:val="00C030DF"/>
    <w:rPr>
      <w:vertAlign w:val="superscript"/>
    </w:rPr>
  </w:style>
  <w:style w:type="paragraph" w:customStyle="1" w:styleId="Heading4a">
    <w:name w:val="Heading 4a"/>
    <w:basedOn w:val="Heading4"/>
    <w:rsid w:val="00C030DF"/>
    <w:pPr>
      <w:keepLines/>
      <w:spacing w:after="60"/>
      <w:ind w:left="720" w:hanging="720"/>
    </w:pPr>
    <w:rPr>
      <w:sz w:val="22"/>
      <w:szCs w:val="22"/>
    </w:rPr>
  </w:style>
  <w:style w:type="paragraph" w:customStyle="1" w:styleId="Heading1Blue">
    <w:name w:val="Heading 1 Blue"/>
    <w:basedOn w:val="Heading1"/>
    <w:link w:val="Heading1BlueChar"/>
    <w:rsid w:val="00C030DF"/>
    <w:rPr>
      <w:color w:val="0000FF"/>
    </w:rPr>
  </w:style>
  <w:style w:type="character" w:customStyle="1" w:styleId="Heading1BlueChar">
    <w:name w:val="Heading 1 Blue Char"/>
    <w:link w:val="Heading1Blue"/>
    <w:locked/>
    <w:rsid w:val="00C030DF"/>
    <w:rPr>
      <w:rFonts w:ascii="Calibri" w:hAnsi="Calibri" w:cs="Arial Bold"/>
      <w:b/>
      <w:bCs/>
      <w:color w:val="0000FF"/>
      <w:sz w:val="28"/>
      <w:szCs w:val="28"/>
    </w:rPr>
  </w:style>
  <w:style w:type="paragraph" w:customStyle="1" w:styleId="SourceReference">
    <w:name w:val="Source Reference"/>
    <w:basedOn w:val="Reference"/>
    <w:link w:val="SourceReferenceChar"/>
    <w:rsid w:val="00C030DF"/>
    <w:pPr>
      <w:spacing w:before="0"/>
    </w:pPr>
    <w:rPr>
      <w:lang w:val="en-AU"/>
    </w:rPr>
  </w:style>
  <w:style w:type="character" w:customStyle="1" w:styleId="SourceReferenceChar">
    <w:name w:val="Source Reference Char"/>
    <w:link w:val="SourceReference"/>
    <w:rsid w:val="00C030DF"/>
    <w:rPr>
      <w:rFonts w:ascii="Calibri" w:hAnsi="Calibri" w:cs="Arial Narrow"/>
      <w:color w:val="0000FF"/>
      <w:sz w:val="16"/>
      <w:szCs w:val="16"/>
    </w:rPr>
  </w:style>
  <w:style w:type="paragraph" w:customStyle="1" w:styleId="Heading3a">
    <w:name w:val="Heading 3a"/>
    <w:basedOn w:val="Normal"/>
    <w:link w:val="Heading3aChar"/>
    <w:rsid w:val="00C030DF"/>
    <w:pPr>
      <w:keepNext/>
      <w:tabs>
        <w:tab w:val="left" w:pos="1260"/>
      </w:tabs>
      <w:spacing w:before="180" w:after="60"/>
      <w:ind w:left="1260" w:hanging="1260"/>
      <w:outlineLvl w:val="1"/>
    </w:pPr>
    <w:rPr>
      <w:rFonts w:ascii="Calibri" w:hAnsi="Calibri" w:cs="Times New Roman"/>
      <w:b/>
      <w:bCs/>
      <w:kern w:val="28"/>
      <w:sz w:val="26"/>
      <w:szCs w:val="24"/>
    </w:rPr>
  </w:style>
  <w:style w:type="character" w:customStyle="1" w:styleId="Heading3aChar">
    <w:name w:val="Heading 3a Char"/>
    <w:link w:val="Heading3a"/>
    <w:locked/>
    <w:rsid w:val="00C030DF"/>
    <w:rPr>
      <w:rFonts w:ascii="Calibri" w:hAnsi="Calibri" w:cs="Times New Roman"/>
      <w:b/>
      <w:bCs/>
      <w:kern w:val="28"/>
      <w:sz w:val="26"/>
      <w:szCs w:val="24"/>
    </w:rPr>
  </w:style>
  <w:style w:type="character" w:customStyle="1" w:styleId="CommentaryHeading2Char">
    <w:name w:val="Commentary Heading 2 Char"/>
    <w:link w:val="CommentaryHeading2"/>
    <w:rsid w:val="00C030DF"/>
    <w:rPr>
      <w:rFonts w:ascii="Calibri" w:hAnsi="Calibri" w:cs="Arial"/>
      <w:b/>
      <w:bCs/>
      <w:i/>
      <w:noProof/>
      <w:color w:val="0000FF"/>
    </w:rPr>
  </w:style>
  <w:style w:type="paragraph" w:customStyle="1" w:styleId="Heading5Blue">
    <w:name w:val="Heading 5 Blue"/>
    <w:basedOn w:val="Heading5"/>
    <w:rsid w:val="00C030DF"/>
    <w:pPr>
      <w:keepNext w:val="0"/>
      <w:numPr>
        <w:ilvl w:val="4"/>
      </w:numPr>
      <w:tabs>
        <w:tab w:val="num" w:pos="716"/>
      </w:tabs>
      <w:spacing w:after="0"/>
      <w:ind w:left="716" w:hanging="432"/>
    </w:pPr>
    <w:rPr>
      <w:rFonts w:cs="Arial Bold"/>
      <w:color w:val="0000FF"/>
      <w:sz w:val="22"/>
      <w:szCs w:val="22"/>
    </w:rPr>
  </w:style>
  <w:style w:type="paragraph" w:customStyle="1" w:styleId="CharCharCharChar">
    <w:name w:val="Char Char Char Char"/>
    <w:basedOn w:val="Normal"/>
    <w:semiHidden/>
    <w:rsid w:val="00C030DF"/>
    <w:pPr>
      <w:spacing w:before="0" w:after="160" w:line="240" w:lineRule="exact"/>
    </w:pPr>
    <w:rPr>
      <w:rFonts w:ascii="Tahoma" w:hAnsi="Tahoma"/>
      <w:sz w:val="20"/>
      <w:szCs w:val="20"/>
      <w:lang w:val="en-US"/>
    </w:rPr>
  </w:style>
  <w:style w:type="paragraph" w:styleId="DocumentMap">
    <w:name w:val="Document Map"/>
    <w:basedOn w:val="Normal"/>
    <w:link w:val="DocumentMapChar"/>
    <w:semiHidden/>
    <w:rsid w:val="00C030DF"/>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C030DF"/>
    <w:rPr>
      <w:rFonts w:ascii="Tahoma" w:hAnsi="Tahoma"/>
      <w:sz w:val="20"/>
      <w:szCs w:val="20"/>
      <w:shd w:val="clear" w:color="auto" w:fill="000080"/>
    </w:rPr>
  </w:style>
  <w:style w:type="paragraph" w:customStyle="1" w:styleId="Char1">
    <w:name w:val="Char1"/>
    <w:basedOn w:val="Normal"/>
    <w:semiHidden/>
    <w:rsid w:val="00C030DF"/>
    <w:pPr>
      <w:spacing w:before="0" w:after="160" w:line="240" w:lineRule="exact"/>
    </w:pPr>
    <w:rPr>
      <w:rFonts w:ascii="Tahoma" w:hAnsi="Tahoma"/>
      <w:sz w:val="20"/>
      <w:szCs w:val="20"/>
      <w:lang w:val="en-US"/>
    </w:rPr>
  </w:style>
  <w:style w:type="paragraph" w:customStyle="1" w:styleId="CharCharCharChar1">
    <w:name w:val="Char Char Char Char1"/>
    <w:basedOn w:val="Normal"/>
    <w:semiHidden/>
    <w:rsid w:val="00C030DF"/>
    <w:pPr>
      <w:spacing w:before="0" w:after="160" w:line="240" w:lineRule="exact"/>
    </w:pPr>
    <w:rPr>
      <w:rFonts w:ascii="Tahoma" w:hAnsi="Tahoma"/>
      <w:sz w:val="20"/>
      <w:szCs w:val="20"/>
      <w:lang w:val="en-US"/>
    </w:rPr>
  </w:style>
  <w:style w:type="paragraph" w:customStyle="1" w:styleId="Char2">
    <w:name w:val="Char2"/>
    <w:basedOn w:val="Normal"/>
    <w:semiHidden/>
    <w:rsid w:val="00C030DF"/>
    <w:pPr>
      <w:spacing w:before="0" w:after="160" w:line="240" w:lineRule="exact"/>
    </w:pPr>
    <w:rPr>
      <w:rFonts w:ascii="Tahoma" w:hAnsi="Tahoma"/>
      <w:sz w:val="20"/>
      <w:szCs w:val="20"/>
      <w:lang w:val="en-US"/>
    </w:rPr>
  </w:style>
  <w:style w:type="paragraph" w:customStyle="1" w:styleId="CharCharCharChar2">
    <w:name w:val="Char Char Char Char2"/>
    <w:basedOn w:val="Normal"/>
    <w:semiHidden/>
    <w:rsid w:val="00C030DF"/>
    <w:pPr>
      <w:spacing w:before="0" w:after="160" w:line="240" w:lineRule="exact"/>
    </w:pPr>
    <w:rPr>
      <w:rFonts w:ascii="Tahoma" w:hAnsi="Tahoma"/>
      <w:sz w:val="20"/>
      <w:szCs w:val="20"/>
      <w:lang w:val="en-US"/>
    </w:rPr>
  </w:style>
  <w:style w:type="paragraph" w:customStyle="1" w:styleId="Char3">
    <w:name w:val="Char3"/>
    <w:basedOn w:val="Normal"/>
    <w:semiHidden/>
    <w:rsid w:val="00C030DF"/>
    <w:pPr>
      <w:spacing w:before="0" w:after="160" w:line="240" w:lineRule="exact"/>
    </w:pPr>
    <w:rPr>
      <w:rFonts w:ascii="Tahoma" w:hAnsi="Tahoma"/>
      <w:sz w:val="20"/>
      <w:szCs w:val="20"/>
      <w:lang w:val="en-US"/>
    </w:rPr>
  </w:style>
  <w:style w:type="paragraph" w:customStyle="1" w:styleId="CharCharCharChar3">
    <w:name w:val="Char Char Char Char3"/>
    <w:basedOn w:val="Normal"/>
    <w:semiHidden/>
    <w:rsid w:val="00C030DF"/>
    <w:pPr>
      <w:spacing w:before="0" w:after="160" w:line="240" w:lineRule="exact"/>
    </w:pPr>
    <w:rPr>
      <w:rFonts w:ascii="Tahoma" w:hAnsi="Tahoma"/>
      <w:sz w:val="20"/>
      <w:szCs w:val="20"/>
      <w:lang w:val="en-US"/>
    </w:rPr>
  </w:style>
  <w:style w:type="paragraph" w:customStyle="1" w:styleId="CommentaryHeading4">
    <w:name w:val="Commentary Heading 4"/>
    <w:basedOn w:val="CommentaryHeading3"/>
    <w:link w:val="CommentaryHeading4Char"/>
    <w:rsid w:val="00C030DF"/>
    <w:pPr>
      <w:pBdr>
        <w:top w:val="none" w:sz="0" w:space="0" w:color="auto"/>
        <w:bottom w:val="none" w:sz="0" w:space="0" w:color="auto"/>
      </w:pBdr>
    </w:pPr>
    <w:rPr>
      <w:i/>
    </w:rPr>
  </w:style>
  <w:style w:type="character" w:customStyle="1" w:styleId="CommentaryHeading4Char">
    <w:name w:val="Commentary Heading 4 Char"/>
    <w:link w:val="CommentaryHeading4"/>
    <w:rsid w:val="00C030DF"/>
    <w:rPr>
      <w:rFonts w:ascii="Calibri" w:eastAsia="Times New Roman" w:hAnsi="Calibri" w:cs="Arial"/>
      <w:b/>
      <w:bCs/>
      <w:i/>
      <w:noProof/>
      <w:color w:val="0000FF"/>
      <w:lang w:eastAsia="en-US"/>
    </w:rPr>
  </w:style>
  <w:style w:type="paragraph" w:customStyle="1" w:styleId="Pa210">
    <w:name w:val="Pa2++10"/>
    <w:basedOn w:val="Normal"/>
    <w:next w:val="Normal"/>
    <w:semiHidden/>
    <w:rsid w:val="00C030DF"/>
    <w:pPr>
      <w:autoSpaceDE w:val="0"/>
      <w:autoSpaceDN w:val="0"/>
      <w:adjustRightInd w:val="0"/>
      <w:spacing w:before="0" w:line="201" w:lineRule="atLeast"/>
    </w:pPr>
    <w:rPr>
      <w:rFonts w:ascii="Stag Medium" w:hAnsi="Stag Medium"/>
      <w:sz w:val="24"/>
      <w:szCs w:val="24"/>
    </w:rPr>
  </w:style>
  <w:style w:type="paragraph" w:customStyle="1" w:styleId="Footer1">
    <w:name w:val="Footer1"/>
    <w:basedOn w:val="Footer"/>
    <w:rsid w:val="00C030DF"/>
    <w:pPr>
      <w:tabs>
        <w:tab w:val="clear" w:pos="7085"/>
        <w:tab w:val="right" w:pos="10206"/>
      </w:tabs>
    </w:pPr>
  </w:style>
  <w:style w:type="paragraph" w:customStyle="1" w:styleId="NotesIndent">
    <w:name w:val="NotesIndent"/>
    <w:basedOn w:val="Notes"/>
    <w:link w:val="NotesIndentChar"/>
    <w:rsid w:val="00C030DF"/>
    <w:pPr>
      <w:ind w:left="915"/>
    </w:pPr>
    <w:rPr>
      <w:iCs w:val="0"/>
      <w:szCs w:val="20"/>
    </w:rPr>
  </w:style>
  <w:style w:type="character" w:customStyle="1" w:styleId="NotesIndentChar">
    <w:name w:val="NotesIndent Char"/>
    <w:link w:val="NotesIndent"/>
    <w:rsid w:val="00C030DF"/>
    <w:rPr>
      <w:rFonts w:ascii="Calibri" w:hAnsi="Calibri"/>
      <w:i/>
      <w:sz w:val="16"/>
      <w:szCs w:val="20"/>
    </w:rPr>
  </w:style>
  <w:style w:type="paragraph" w:customStyle="1" w:styleId="Chartpara">
    <w:name w:val="Chart para"/>
    <w:basedOn w:val="Normal"/>
    <w:semiHidden/>
    <w:rsid w:val="00C030DF"/>
    <w:pPr>
      <w:spacing w:before="0"/>
    </w:pPr>
    <w:rPr>
      <w:szCs w:val="20"/>
    </w:rPr>
  </w:style>
  <w:style w:type="paragraph" w:customStyle="1" w:styleId="Tabletextbold">
    <w:name w:val="Table text bold"/>
    <w:basedOn w:val="Normal"/>
    <w:qFormat/>
    <w:rsid w:val="00C030DF"/>
    <w:pPr>
      <w:spacing w:before="30" w:after="30"/>
    </w:pPr>
    <w:rPr>
      <w:rFonts w:ascii="Calibri" w:hAnsi="Calibri" w:cs="Arial"/>
      <w:b/>
      <w:sz w:val="18"/>
      <w:szCs w:val="18"/>
    </w:rPr>
  </w:style>
  <w:style w:type="paragraph" w:styleId="ListParagraph">
    <w:name w:val="List Paragraph"/>
    <w:basedOn w:val="Normal"/>
    <w:uiPriority w:val="34"/>
    <w:qFormat/>
    <w:locked/>
    <w:rsid w:val="00C030DF"/>
    <w:pPr>
      <w:ind w:left="720"/>
      <w:contextualSpacing/>
    </w:pPr>
  </w:style>
  <w:style w:type="table" w:customStyle="1" w:styleId="TableGrid2">
    <w:name w:val="Table Grid2"/>
    <w:basedOn w:val="TableNormal"/>
    <w:next w:val="TableGrid"/>
    <w:rsid w:val="00C030DF"/>
    <w:pPr>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next w:val="Normal"/>
    <w:rsid w:val="00C030DF"/>
    <w:pPr>
      <w:overflowPunct w:val="0"/>
      <w:autoSpaceDE w:val="0"/>
      <w:autoSpaceDN w:val="0"/>
      <w:adjustRightInd w:val="0"/>
      <w:spacing w:before="0" w:line="220" w:lineRule="exact"/>
      <w:jc w:val="right"/>
      <w:textAlignment w:val="baseline"/>
    </w:pPr>
    <w:rPr>
      <w:rFonts w:ascii="EYInterstate" w:eastAsia="Times New Roman" w:hAnsi="EYInterstate" w:cs="Arial"/>
      <w:b/>
      <w:color w:val="000000"/>
      <w:sz w:val="18"/>
      <w:szCs w:val="18"/>
      <w:lang w:val="en-GB" w:eastAsia="en-US"/>
    </w:rPr>
  </w:style>
  <w:style w:type="table" w:customStyle="1" w:styleId="CVtable1">
    <w:name w:val="CV table1"/>
    <w:basedOn w:val="TableNormal"/>
    <w:next w:val="TableGrid"/>
    <w:rsid w:val="00C030DF"/>
    <w:pPr>
      <w:spacing w:before="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centred">
    <w:name w:val="Text box centred"/>
    <w:qFormat/>
    <w:rsid w:val="00C030DF"/>
    <w:pPr>
      <w:spacing w:before="0" w:line="240" w:lineRule="auto"/>
      <w:jc w:val="center"/>
    </w:pPr>
    <w:rPr>
      <w:rFonts w:ascii="Calibri" w:eastAsia="Times New Roman" w:hAnsi="Calibri" w:cs="Calibri"/>
      <w:sz w:val="16"/>
      <w:szCs w:val="16"/>
    </w:rPr>
  </w:style>
  <w:style w:type="paragraph" w:customStyle="1" w:styleId="Textboxtext">
    <w:name w:val="Text box text"/>
    <w:qFormat/>
    <w:rsid w:val="00C030DF"/>
    <w:pPr>
      <w:spacing w:before="0" w:line="240" w:lineRule="auto"/>
    </w:pPr>
    <w:rPr>
      <w:rFonts w:ascii="Calibri" w:eastAsiaTheme="minorEastAsia" w:hAnsi="Calibri" w:cs="Calibri"/>
      <w:sz w:val="16"/>
      <w:szCs w:val="16"/>
    </w:rPr>
  </w:style>
  <w:style w:type="paragraph" w:customStyle="1" w:styleId="CharCharCharChar4">
    <w:name w:val="Char Char Char Char4"/>
    <w:basedOn w:val="Normal"/>
    <w:semiHidden/>
    <w:rsid w:val="0027405F"/>
    <w:pPr>
      <w:spacing w:before="0" w:after="160" w:line="240" w:lineRule="exact"/>
    </w:pPr>
    <w:rPr>
      <w:rFonts w:ascii="Times New Roman" w:hAnsi="Times New Roman" w:cs="Times New Roman"/>
      <w:sz w:val="20"/>
      <w:szCs w:val="20"/>
      <w:lang w:val="en-US"/>
    </w:rPr>
  </w:style>
  <w:style w:type="paragraph" w:customStyle="1" w:styleId="PMNotes">
    <w:name w:val="PMNotes"/>
    <w:basedOn w:val="NotesIndent"/>
    <w:rsid w:val="0027405F"/>
    <w:pPr>
      <w:tabs>
        <w:tab w:val="clear" w:pos="454"/>
      </w:tabs>
      <w:spacing w:after="60"/>
      <w:ind w:left="360" w:right="115" w:firstLine="0"/>
    </w:pPr>
    <w:rPr>
      <w:rFonts w:eastAsia="Times New Roman" w:cs="Times New Roman"/>
    </w:rPr>
  </w:style>
  <w:style w:type="paragraph" w:customStyle="1" w:styleId="Normalhanging">
    <w:name w:val="Normal hanging"/>
    <w:basedOn w:val="Normal"/>
    <w:qFormat/>
    <w:rsid w:val="0027405F"/>
    <w:pPr>
      <w:ind w:left="360" w:hanging="360"/>
    </w:pPr>
  </w:style>
  <w:style w:type="paragraph" w:styleId="EndnoteText">
    <w:name w:val="endnote text"/>
    <w:basedOn w:val="Normal"/>
    <w:link w:val="EndnoteTextChar"/>
    <w:rsid w:val="0027405F"/>
    <w:pPr>
      <w:spacing w:before="0"/>
    </w:pPr>
    <w:rPr>
      <w:sz w:val="20"/>
      <w:szCs w:val="20"/>
    </w:rPr>
  </w:style>
  <w:style w:type="character" w:customStyle="1" w:styleId="EndnoteTextChar">
    <w:name w:val="Endnote Text Char"/>
    <w:basedOn w:val="DefaultParagraphFont"/>
    <w:link w:val="EndnoteText"/>
    <w:rsid w:val="0027405F"/>
    <w:rPr>
      <w:sz w:val="20"/>
      <w:szCs w:val="20"/>
    </w:rPr>
  </w:style>
  <w:style w:type="character" w:styleId="EndnoteReference">
    <w:name w:val="endnote reference"/>
    <w:basedOn w:val="DefaultParagraphFont"/>
    <w:rsid w:val="0027405F"/>
    <w:rPr>
      <w:vertAlign w:val="superscript"/>
    </w:rPr>
  </w:style>
  <w:style w:type="character" w:customStyle="1" w:styleId="FootnoteTextChar">
    <w:name w:val="Footnote Text Char"/>
    <w:basedOn w:val="DefaultParagraphFont"/>
    <w:link w:val="FootnoteText"/>
    <w:uiPriority w:val="99"/>
    <w:semiHidden/>
    <w:rsid w:val="0027405F"/>
    <w:rPr>
      <w:sz w:val="18"/>
      <w:szCs w:val="18"/>
    </w:rPr>
  </w:style>
  <w:style w:type="paragraph" w:styleId="BodyText">
    <w:name w:val="Body Text"/>
    <w:basedOn w:val="Normal"/>
    <w:link w:val="BodyTextChar"/>
    <w:semiHidden/>
    <w:unhideWhenUsed/>
    <w:rsid w:val="0027405F"/>
    <w:pPr>
      <w:spacing w:before="60" w:after="60" w:line="240" w:lineRule="atLeast"/>
      <w:jc w:val="both"/>
    </w:pPr>
    <w:rPr>
      <w:rFonts w:ascii="Times New Roman" w:eastAsia="Times New Roman" w:hAnsi="Times New Roman" w:cs="Times New Roman"/>
      <w:b/>
      <w:bCs/>
      <w:szCs w:val="20"/>
      <w:lang w:val="x-none" w:eastAsia="en-US"/>
    </w:rPr>
  </w:style>
  <w:style w:type="character" w:customStyle="1" w:styleId="BodyTextChar">
    <w:name w:val="Body Text Char"/>
    <w:basedOn w:val="DefaultParagraphFont"/>
    <w:link w:val="BodyText"/>
    <w:semiHidden/>
    <w:rsid w:val="0027405F"/>
    <w:rPr>
      <w:rFonts w:ascii="Times New Roman" w:eastAsia="Times New Roman" w:hAnsi="Times New Roman" w:cs="Times New Roman"/>
      <w:b/>
      <w:bCs/>
      <w:szCs w:val="20"/>
      <w:lang w:val="x-none" w:eastAsia="en-US"/>
    </w:rPr>
  </w:style>
  <w:style w:type="paragraph" w:customStyle="1" w:styleId="Char">
    <w:name w:val="Char"/>
    <w:basedOn w:val="Normal"/>
    <w:rsid w:val="0027405F"/>
    <w:pPr>
      <w:spacing w:before="0" w:after="160" w:line="240" w:lineRule="exact"/>
    </w:pPr>
    <w:rPr>
      <w:rFonts w:ascii="Tahoma" w:eastAsia="Times New Roman" w:hAnsi="Tahoma"/>
      <w:sz w:val="20"/>
      <w:szCs w:val="20"/>
      <w:lang w:val="en-US" w:eastAsia="en-US"/>
    </w:rPr>
  </w:style>
  <w:style w:type="paragraph" w:customStyle="1" w:styleId="a">
    <w:name w:val="+"/>
    <w:basedOn w:val="SmallLine"/>
    <w:qFormat/>
    <w:rsid w:val="0027405F"/>
  </w:style>
  <w:style w:type="paragraph" w:customStyle="1" w:styleId="Tabletextheadingleft0">
    <w:name w:val="Table text heading left"/>
    <w:basedOn w:val="Tabletextheading"/>
    <w:rsid w:val="0027405F"/>
    <w:pPr>
      <w:spacing w:before="0" w:after="0"/>
      <w:jc w:val="left"/>
    </w:pPr>
    <w:rPr>
      <w:rFonts w:eastAsia="Times New Roman" w:cs="Times New Roman"/>
      <w:iCs w:val="0"/>
      <w:noProof w:val="0"/>
      <w:sz w:val="20"/>
      <w:lang w:eastAsia="en-US"/>
    </w:rPr>
  </w:style>
  <w:style w:type="paragraph" w:customStyle="1" w:styleId="Bullet1">
    <w:name w:val="Bullet 1"/>
    <w:uiPriority w:val="2"/>
    <w:qFormat/>
    <w:rsid w:val="0027405F"/>
    <w:pPr>
      <w:numPr>
        <w:numId w:val="22"/>
      </w:numPr>
      <w:tabs>
        <w:tab w:val="left" w:pos="360"/>
      </w:tabs>
      <w:spacing w:before="60" w:after="40" w:line="240" w:lineRule="auto"/>
    </w:pPr>
    <w:rPr>
      <w:rFonts w:ascii="Calibri" w:eastAsia="Calibri" w:hAnsi="Calibri" w:cs="Times New Roman"/>
      <w:lang w:eastAsia="en-US"/>
    </w:rPr>
  </w:style>
  <w:style w:type="paragraph" w:customStyle="1" w:styleId="Bullet1grey">
    <w:name w:val="Bullet 1 grey"/>
    <w:basedOn w:val="Bullet1"/>
    <w:uiPriority w:val="1"/>
    <w:qFormat/>
    <w:rsid w:val="0027405F"/>
    <w:rPr>
      <w:color w:val="6E6E64"/>
    </w:rPr>
  </w:style>
  <w:style w:type="paragraph" w:customStyle="1" w:styleId="Normalgrey">
    <w:name w:val="Normal grey"/>
    <w:basedOn w:val="Normal"/>
    <w:qFormat/>
    <w:rsid w:val="0027405F"/>
    <w:pPr>
      <w:spacing w:before="60" w:after="60"/>
    </w:pPr>
    <w:rPr>
      <w:rFonts w:ascii="Calibri" w:eastAsia="Calibri" w:hAnsi="Calibri" w:cs="Times New Roman"/>
      <w:color w:val="6E6E64"/>
      <w:szCs w:val="21"/>
      <w:lang w:eastAsia="en-US"/>
    </w:rPr>
  </w:style>
  <w:style w:type="table" w:customStyle="1" w:styleId="TableGrid3">
    <w:name w:val="Table Grid3"/>
    <w:basedOn w:val="TableNormal"/>
    <w:next w:val="TableGrid"/>
    <w:uiPriority w:val="59"/>
    <w:rsid w:val="0027405F"/>
    <w:pPr>
      <w:spacing w:before="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BoxBullet">
    <w:name w:val="Highlight Box Bullet"/>
    <w:basedOn w:val="Normal"/>
    <w:qFormat/>
    <w:rsid w:val="0027405F"/>
    <w:pPr>
      <w:numPr>
        <w:numId w:val="24"/>
      </w:numPr>
      <w:shd w:val="pct10" w:color="auto" w:fill="FFFFFF"/>
      <w:spacing w:before="0" w:after="120"/>
      <w:ind w:left="360"/>
    </w:pPr>
    <w:rPr>
      <w:rFonts w:eastAsia="Times New Roman" w:cs="Times New Roman"/>
      <w:sz w:val="24"/>
      <w:szCs w:val="20"/>
      <w:lang w:eastAsia="en-US"/>
    </w:rPr>
  </w:style>
  <w:style w:type="paragraph" w:customStyle="1" w:styleId="BP4headingl">
    <w:name w:val="BP4 heading l"/>
    <w:basedOn w:val="Normal"/>
    <w:rsid w:val="0027405F"/>
    <w:pPr>
      <w:spacing w:before="0"/>
    </w:pPr>
    <w:rPr>
      <w:rFonts w:ascii="Calibri" w:eastAsia="Times New Roman" w:hAnsi="Calibri" w:cs="Times New Roman"/>
      <w:i/>
      <w:sz w:val="18"/>
      <w:szCs w:val="18"/>
      <w:lang w:eastAsia="en-US"/>
    </w:rPr>
  </w:style>
  <w:style w:type="character" w:styleId="FollowedHyperlink">
    <w:name w:val="FollowedHyperlink"/>
    <w:basedOn w:val="DefaultParagraphFont"/>
    <w:semiHidden/>
    <w:rsid w:val="00142353"/>
    <w:rPr>
      <w:color w:val="800080" w:themeColor="followedHyperlink"/>
      <w:u w:val="single"/>
    </w:rPr>
  </w:style>
  <w:style w:type="character" w:customStyle="1" w:styleId="BulletChar">
    <w:name w:val="Bullet Char"/>
    <w:rsid w:val="004843DB"/>
    <w:rPr>
      <w:rFonts w:ascii="Calibri" w:eastAsia="Times New Roman" w:hAnsi="Calibri" w:cs="Calibri"/>
      <w:sz w:val="24"/>
      <w:lang w:eastAsia="en-AU"/>
    </w:rPr>
  </w:style>
  <w:style w:type="paragraph" w:customStyle="1" w:styleId="Tableheader">
    <w:name w:val="Table header"/>
    <w:basedOn w:val="TabletextheadingLeft"/>
    <w:qFormat/>
    <w:rsid w:val="0028027B"/>
    <w:rPr>
      <w:rFonts w:eastAsiaTheme="minorHAnsi"/>
      <w:b/>
      <w:color w:val="FFFFFF" w:themeColor="background1"/>
      <w:lang w:eastAsia="en-US"/>
    </w:rPr>
  </w:style>
  <w:style w:type="paragraph" w:customStyle="1" w:styleId="Textboxbullet">
    <w:name w:val="Text box bullet"/>
    <w:basedOn w:val="Textboxtext"/>
    <w:qFormat/>
    <w:rsid w:val="0028027B"/>
    <w:pPr>
      <w:numPr>
        <w:numId w:val="45"/>
      </w:numPr>
      <w:ind w:left="227" w:hanging="227"/>
    </w:pPr>
    <w:rPr>
      <w:i/>
    </w:rPr>
  </w:style>
  <w:style w:type="paragraph" w:customStyle="1" w:styleId="TableTextindent0">
    <w:name w:val="Table Text indent"/>
    <w:basedOn w:val="Normal"/>
    <w:rsid w:val="0028027B"/>
    <w:pPr>
      <w:spacing w:before="0"/>
      <w:ind w:left="360"/>
    </w:pPr>
    <w:rPr>
      <w:rFonts w:ascii="Calibri" w:eastAsia="Times New Roman" w:hAnsi="Calibri" w:cs="Times New Roman"/>
      <w:szCs w:val="18"/>
      <w:lang w:eastAsia="en-US"/>
    </w:rPr>
  </w:style>
  <w:style w:type="paragraph" w:customStyle="1" w:styleId="ControlledEntitiesHeading1">
    <w:name w:val="ControlledEntitiesHeading1"/>
    <w:qFormat/>
    <w:rsid w:val="0028027B"/>
    <w:pPr>
      <w:shd w:val="clear" w:color="auto" w:fill="000000" w:themeFill="text1"/>
      <w:spacing w:before="0" w:after="120" w:line="240" w:lineRule="auto"/>
      <w:jc w:val="center"/>
    </w:pPr>
    <w:rPr>
      <w:rFonts w:asciiTheme="minorHAnsi" w:eastAsia="Times New Roman" w:hAnsiTheme="minorHAnsi" w:cstheme="minorHAnsi"/>
      <w:i/>
      <w:color w:val="FFFFFF" w:themeColor="background1"/>
    </w:rPr>
  </w:style>
  <w:style w:type="paragraph" w:customStyle="1" w:styleId="Smallline0">
    <w:name w:val="Small line"/>
    <w:basedOn w:val="Normal"/>
    <w:qFormat/>
    <w:rsid w:val="0028027B"/>
    <w:pPr>
      <w:shd w:val="clear" w:color="auto" w:fill="FFFFFF" w:themeFill="background1"/>
      <w:spacing w:before="0"/>
    </w:pPr>
    <w:rPr>
      <w:rFonts w:ascii="Calibri" w:eastAsia="Times New Roman" w:hAnsi="Calibri" w:cs="Times New Roman"/>
      <w:b/>
      <w:bCs/>
      <w:color w:val="000000" w:themeColor="text1"/>
      <w:sz w:val="4"/>
      <w:szCs w:val="18"/>
      <w:shd w:val="clear" w:color="auto" w:fill="FFFFFF" w:themeFill="background1"/>
    </w:rPr>
  </w:style>
  <w:style w:type="paragraph" w:customStyle="1" w:styleId="ControlledEntitiesHeading2">
    <w:name w:val="ControlledEntitiesHeading2"/>
    <w:qFormat/>
    <w:rsid w:val="0028027B"/>
    <w:pPr>
      <w:shd w:val="clear" w:color="auto" w:fill="D9D9D9" w:themeFill="background1" w:themeFillShade="D9"/>
      <w:spacing w:before="0" w:line="240" w:lineRule="auto"/>
    </w:pPr>
    <w:rPr>
      <w:rFonts w:ascii="Calibri" w:eastAsia="Times New Roman" w:hAnsi="Calibri" w:cs="Times New Roman"/>
      <w:b/>
      <w:bCs/>
      <w:color w:val="000000" w:themeColor="text1"/>
      <w:sz w:val="18"/>
      <w:szCs w:val="18"/>
    </w:rPr>
  </w:style>
  <w:style w:type="paragraph" w:customStyle="1" w:styleId="ControlledEntitiesText">
    <w:name w:val="ControlledEntitiesText"/>
    <w:qFormat/>
    <w:rsid w:val="0028027B"/>
    <w:pPr>
      <w:spacing w:before="20" w:after="20" w:line="240" w:lineRule="auto"/>
    </w:pPr>
    <w:rPr>
      <w:rFonts w:ascii="Calibri" w:eastAsia="Times New Roman" w:hAnsi="Calibri" w:cs="Times New Roman"/>
      <w:color w:val="000000" w:themeColor="text1"/>
      <w:sz w:val="18"/>
      <w:szCs w:val="18"/>
    </w:rPr>
  </w:style>
  <w:style w:type="paragraph" w:customStyle="1" w:styleId="ControlledEntitiesDash">
    <w:name w:val="ControlledEntitiesDash"/>
    <w:qFormat/>
    <w:rsid w:val="0028027B"/>
    <w:pPr>
      <w:numPr>
        <w:numId w:val="46"/>
      </w:numPr>
      <w:spacing w:before="20" w:after="20" w:line="240" w:lineRule="auto"/>
      <w:ind w:left="216" w:hanging="216"/>
      <w:contextualSpacing/>
    </w:pPr>
    <w:rPr>
      <w:rFonts w:ascii="Calibri" w:eastAsia="Times New Roman" w:hAnsi="Calibri" w:cs="Times New Roman"/>
      <w:iCs/>
      <w:color w:val="000000" w:themeColor="text1"/>
      <w:sz w:val="18"/>
      <w:szCs w:val="18"/>
    </w:rPr>
  </w:style>
  <w:style w:type="paragraph" w:styleId="NormalWeb">
    <w:name w:val="Normal (Web)"/>
    <w:basedOn w:val="Normal"/>
    <w:uiPriority w:val="99"/>
    <w:semiHidden/>
    <w:unhideWhenUsed/>
    <w:rsid w:val="003126DE"/>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33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99" Type="http://schemas.openxmlformats.org/officeDocument/2006/relationships/header" Target="header210.xml"/><Relationship Id="rId303" Type="http://schemas.openxmlformats.org/officeDocument/2006/relationships/footer" Target="footer44.xml"/><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hyperlink" Target="http://www.dtf.vic.gov.au/CA25713E0002EF43/WebObj/FRD8BConsistencyofbudgetanddepartmentalreporting/$File/FRD8BConsistency%20of%20budget%20and%20departmental%20reporting.pdf" TargetMode="External"/><Relationship Id="rId84" Type="http://schemas.openxmlformats.org/officeDocument/2006/relationships/footer" Target="footer19.xml"/><Relationship Id="rId138" Type="http://schemas.openxmlformats.org/officeDocument/2006/relationships/header" Target="header70.xml"/><Relationship Id="rId159" Type="http://schemas.openxmlformats.org/officeDocument/2006/relationships/header" Target="header90.xml"/><Relationship Id="rId324" Type="http://schemas.openxmlformats.org/officeDocument/2006/relationships/header" Target="header225.xml"/><Relationship Id="rId345" Type="http://schemas.openxmlformats.org/officeDocument/2006/relationships/header" Target="header240.xml"/><Relationship Id="rId366" Type="http://schemas.openxmlformats.org/officeDocument/2006/relationships/header" Target="header257.xml"/><Relationship Id="rId170" Type="http://schemas.openxmlformats.org/officeDocument/2006/relationships/header" Target="header101.xml"/><Relationship Id="rId191" Type="http://schemas.openxmlformats.org/officeDocument/2006/relationships/header" Target="header122.xml"/><Relationship Id="rId205" Type="http://schemas.openxmlformats.org/officeDocument/2006/relationships/header" Target="header136.xml"/><Relationship Id="rId226" Type="http://schemas.openxmlformats.org/officeDocument/2006/relationships/header" Target="header153.xml"/><Relationship Id="rId247" Type="http://schemas.openxmlformats.org/officeDocument/2006/relationships/footer" Target="footer34.xml"/><Relationship Id="rId107" Type="http://schemas.openxmlformats.org/officeDocument/2006/relationships/footer" Target="footer24.xml"/><Relationship Id="rId268" Type="http://schemas.openxmlformats.org/officeDocument/2006/relationships/header" Target="header184.xml"/><Relationship Id="rId289" Type="http://schemas.openxmlformats.org/officeDocument/2006/relationships/header" Target="header205.xml"/><Relationship Id="rId11" Type="http://schemas.openxmlformats.org/officeDocument/2006/relationships/image" Target="media/image2.png"/><Relationship Id="rId32" Type="http://schemas.openxmlformats.org/officeDocument/2006/relationships/header" Target="header9.xml"/><Relationship Id="rId53" Type="http://schemas.openxmlformats.org/officeDocument/2006/relationships/header" Target="header25.xml"/><Relationship Id="rId74" Type="http://schemas.openxmlformats.org/officeDocument/2006/relationships/package" Target="embeddings/Microsoft_Excel_Worksheet3.xlsx"/><Relationship Id="rId128" Type="http://schemas.openxmlformats.org/officeDocument/2006/relationships/header" Target="header62.xml"/><Relationship Id="rId149" Type="http://schemas.openxmlformats.org/officeDocument/2006/relationships/header" Target="header80.xml"/><Relationship Id="rId314" Type="http://schemas.openxmlformats.org/officeDocument/2006/relationships/header" Target="header218.xml"/><Relationship Id="rId335" Type="http://schemas.openxmlformats.org/officeDocument/2006/relationships/footer" Target="footer54.xml"/><Relationship Id="rId356" Type="http://schemas.openxmlformats.org/officeDocument/2006/relationships/header" Target="header248.xml"/><Relationship Id="rId377" Type="http://schemas.openxmlformats.org/officeDocument/2006/relationships/hyperlink" Target="mailto:accpol@dtf.vic.gov.au" TargetMode="External"/><Relationship Id="rId5" Type="http://schemas.openxmlformats.org/officeDocument/2006/relationships/settings" Target="settings.xml"/><Relationship Id="rId95" Type="http://schemas.openxmlformats.org/officeDocument/2006/relationships/footer" Target="footer22.xml"/><Relationship Id="rId160" Type="http://schemas.openxmlformats.org/officeDocument/2006/relationships/header" Target="header91.xml"/><Relationship Id="rId181" Type="http://schemas.openxmlformats.org/officeDocument/2006/relationships/header" Target="header112.xml"/><Relationship Id="rId216" Type="http://schemas.openxmlformats.org/officeDocument/2006/relationships/header" Target="header147.xml"/><Relationship Id="rId237" Type="http://schemas.openxmlformats.org/officeDocument/2006/relationships/header" Target="header164.xml"/><Relationship Id="rId258" Type="http://schemas.openxmlformats.org/officeDocument/2006/relationships/footer" Target="footer38.xml"/><Relationship Id="rId279" Type="http://schemas.openxmlformats.org/officeDocument/2006/relationships/header" Target="header195.xml"/><Relationship Id="rId22" Type="http://schemas.openxmlformats.org/officeDocument/2006/relationships/footer" Target="footer6.xml"/><Relationship Id="rId43" Type="http://schemas.openxmlformats.org/officeDocument/2006/relationships/header" Target="header16.xml"/><Relationship Id="rId64" Type="http://schemas.openxmlformats.org/officeDocument/2006/relationships/header" Target="header31.xml"/><Relationship Id="rId118" Type="http://schemas.openxmlformats.org/officeDocument/2006/relationships/header" Target="header54.xml"/><Relationship Id="rId139" Type="http://schemas.openxmlformats.org/officeDocument/2006/relationships/header" Target="header71.xml"/><Relationship Id="rId290" Type="http://schemas.openxmlformats.org/officeDocument/2006/relationships/header" Target="header206.xml"/><Relationship Id="rId304" Type="http://schemas.openxmlformats.org/officeDocument/2006/relationships/header" Target="header212.xml"/><Relationship Id="rId325" Type="http://schemas.openxmlformats.org/officeDocument/2006/relationships/header" Target="header226.xml"/><Relationship Id="rId346" Type="http://schemas.openxmlformats.org/officeDocument/2006/relationships/header" Target="header241.xml"/><Relationship Id="rId367" Type="http://schemas.openxmlformats.org/officeDocument/2006/relationships/header" Target="header258.xml"/><Relationship Id="rId85" Type="http://schemas.openxmlformats.org/officeDocument/2006/relationships/header" Target="header36.xml"/><Relationship Id="rId150" Type="http://schemas.openxmlformats.org/officeDocument/2006/relationships/header" Target="header81.xml"/><Relationship Id="rId171" Type="http://schemas.openxmlformats.org/officeDocument/2006/relationships/header" Target="header102.xml"/><Relationship Id="rId192" Type="http://schemas.openxmlformats.org/officeDocument/2006/relationships/header" Target="header123.xml"/><Relationship Id="rId206" Type="http://schemas.openxmlformats.org/officeDocument/2006/relationships/header" Target="header137.xml"/><Relationship Id="rId227" Type="http://schemas.openxmlformats.org/officeDocument/2006/relationships/header" Target="header154.xml"/><Relationship Id="rId248" Type="http://schemas.openxmlformats.org/officeDocument/2006/relationships/footer" Target="footer35.xml"/><Relationship Id="rId269" Type="http://schemas.openxmlformats.org/officeDocument/2006/relationships/header" Target="header185.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yperlink" Target="http://www.dtf.vic.gov.au/Publications/Victoria-Economy-publications/Victorian-risk-management-framework-and-insurance-management-policy" TargetMode="External"/><Relationship Id="rId129" Type="http://schemas.openxmlformats.org/officeDocument/2006/relationships/header" Target="header63.xml"/><Relationship Id="rId280" Type="http://schemas.openxmlformats.org/officeDocument/2006/relationships/header" Target="header196.xml"/><Relationship Id="rId315" Type="http://schemas.openxmlformats.org/officeDocument/2006/relationships/footer" Target="footer49.xml"/><Relationship Id="rId336" Type="http://schemas.openxmlformats.org/officeDocument/2006/relationships/footer" Target="footer55.xml"/><Relationship Id="rId357" Type="http://schemas.openxmlformats.org/officeDocument/2006/relationships/footer" Target="footer59.xml"/><Relationship Id="rId54" Type="http://schemas.openxmlformats.org/officeDocument/2006/relationships/footer" Target="footer15.xml"/><Relationship Id="rId75" Type="http://schemas.openxmlformats.org/officeDocument/2006/relationships/image" Target="media/image10.emf"/><Relationship Id="rId96" Type="http://schemas.openxmlformats.org/officeDocument/2006/relationships/header" Target="header43.xml"/><Relationship Id="rId140" Type="http://schemas.openxmlformats.org/officeDocument/2006/relationships/image" Target="media/image12.emf"/><Relationship Id="rId161" Type="http://schemas.openxmlformats.org/officeDocument/2006/relationships/header" Target="header92.xml"/><Relationship Id="rId182" Type="http://schemas.openxmlformats.org/officeDocument/2006/relationships/header" Target="header113.xml"/><Relationship Id="rId217" Type="http://schemas.openxmlformats.org/officeDocument/2006/relationships/header" Target="header148.xml"/><Relationship Id="rId378" Type="http://schemas.openxmlformats.org/officeDocument/2006/relationships/header" Target="header268.xml"/><Relationship Id="rId6" Type="http://schemas.openxmlformats.org/officeDocument/2006/relationships/webSettings" Target="webSettings.xml"/><Relationship Id="rId238" Type="http://schemas.openxmlformats.org/officeDocument/2006/relationships/header" Target="header165.xml"/><Relationship Id="rId259" Type="http://schemas.openxmlformats.org/officeDocument/2006/relationships/footer" Target="footer39.xml"/><Relationship Id="rId23" Type="http://schemas.openxmlformats.org/officeDocument/2006/relationships/footer" Target="footer7.xml"/><Relationship Id="rId119" Type="http://schemas.openxmlformats.org/officeDocument/2006/relationships/footer" Target="footer27.xml"/><Relationship Id="rId270" Type="http://schemas.openxmlformats.org/officeDocument/2006/relationships/header" Target="header186.xml"/><Relationship Id="rId291" Type="http://schemas.openxmlformats.org/officeDocument/2006/relationships/header" Target="header207.xml"/><Relationship Id="rId305" Type="http://schemas.openxmlformats.org/officeDocument/2006/relationships/header" Target="header213.xml"/><Relationship Id="rId326" Type="http://schemas.openxmlformats.org/officeDocument/2006/relationships/header" Target="header227.xml"/><Relationship Id="rId347" Type="http://schemas.openxmlformats.org/officeDocument/2006/relationships/footer" Target="footer56.xml"/><Relationship Id="rId44" Type="http://schemas.openxmlformats.org/officeDocument/2006/relationships/header" Target="header17.xml"/><Relationship Id="rId65" Type="http://schemas.openxmlformats.org/officeDocument/2006/relationships/header" Target="header32.xml"/><Relationship Id="rId86" Type="http://schemas.openxmlformats.org/officeDocument/2006/relationships/footer" Target="footer20.xml"/><Relationship Id="rId130" Type="http://schemas.openxmlformats.org/officeDocument/2006/relationships/header" Target="header64.xml"/><Relationship Id="rId151" Type="http://schemas.openxmlformats.org/officeDocument/2006/relationships/header" Target="header82.xml"/><Relationship Id="rId368" Type="http://schemas.openxmlformats.org/officeDocument/2006/relationships/header" Target="header259.xml"/><Relationship Id="rId172" Type="http://schemas.openxmlformats.org/officeDocument/2006/relationships/header" Target="header103.xml"/><Relationship Id="rId193" Type="http://schemas.openxmlformats.org/officeDocument/2006/relationships/header" Target="header124.xml"/><Relationship Id="rId207" Type="http://schemas.openxmlformats.org/officeDocument/2006/relationships/header" Target="header138.xml"/><Relationship Id="rId228" Type="http://schemas.openxmlformats.org/officeDocument/2006/relationships/header" Target="header155.xml"/><Relationship Id="rId249" Type="http://schemas.openxmlformats.org/officeDocument/2006/relationships/header" Target="header172.xml"/><Relationship Id="rId13" Type="http://schemas.openxmlformats.org/officeDocument/2006/relationships/header" Target="header2.xml"/><Relationship Id="rId109" Type="http://schemas.openxmlformats.org/officeDocument/2006/relationships/header" Target="header49.xml"/><Relationship Id="rId260" Type="http://schemas.openxmlformats.org/officeDocument/2006/relationships/header" Target="header179.xml"/><Relationship Id="rId281" Type="http://schemas.openxmlformats.org/officeDocument/2006/relationships/header" Target="header197.xml"/><Relationship Id="rId316" Type="http://schemas.openxmlformats.org/officeDocument/2006/relationships/footer" Target="footer50.xml"/><Relationship Id="rId337" Type="http://schemas.openxmlformats.org/officeDocument/2006/relationships/header" Target="header234.xml"/><Relationship Id="rId34" Type="http://schemas.openxmlformats.org/officeDocument/2006/relationships/footer" Target="footer12.xml"/><Relationship Id="rId55" Type="http://schemas.openxmlformats.org/officeDocument/2006/relationships/header" Target="header26.xml"/><Relationship Id="rId76" Type="http://schemas.openxmlformats.org/officeDocument/2006/relationships/package" Target="embeddings/Microsoft_Excel_Worksheet4.xlsx"/><Relationship Id="rId97" Type="http://schemas.openxmlformats.org/officeDocument/2006/relationships/hyperlink" Target="http://www.ibac.vic.gov.au" TargetMode="External"/><Relationship Id="rId120" Type="http://schemas.openxmlformats.org/officeDocument/2006/relationships/header" Target="header55.xml"/><Relationship Id="rId141" Type="http://schemas.openxmlformats.org/officeDocument/2006/relationships/header" Target="header72.xml"/><Relationship Id="rId358" Type="http://schemas.openxmlformats.org/officeDocument/2006/relationships/header" Target="header249.xml"/><Relationship Id="rId379" Type="http://schemas.openxmlformats.org/officeDocument/2006/relationships/header" Target="header269.xml"/><Relationship Id="rId7" Type="http://schemas.openxmlformats.org/officeDocument/2006/relationships/footnotes" Target="footnotes.xml"/><Relationship Id="rId162" Type="http://schemas.openxmlformats.org/officeDocument/2006/relationships/header" Target="header93.xml"/><Relationship Id="rId183" Type="http://schemas.openxmlformats.org/officeDocument/2006/relationships/header" Target="header114.xml"/><Relationship Id="rId218" Type="http://schemas.openxmlformats.org/officeDocument/2006/relationships/header" Target="header149.xml"/><Relationship Id="rId239" Type="http://schemas.openxmlformats.org/officeDocument/2006/relationships/header" Target="header166.xml"/><Relationship Id="rId250" Type="http://schemas.openxmlformats.org/officeDocument/2006/relationships/footer" Target="footer36.xml"/><Relationship Id="rId271" Type="http://schemas.openxmlformats.org/officeDocument/2006/relationships/header" Target="header187.xml"/><Relationship Id="rId292" Type="http://schemas.openxmlformats.org/officeDocument/2006/relationships/footer" Target="footer41.xml"/><Relationship Id="rId306" Type="http://schemas.openxmlformats.org/officeDocument/2006/relationships/footer" Target="footer45.xml"/><Relationship Id="rId24" Type="http://schemas.openxmlformats.org/officeDocument/2006/relationships/image" Target="media/image4.jpeg"/><Relationship Id="rId45" Type="http://schemas.openxmlformats.org/officeDocument/2006/relationships/header" Target="header18.xml"/><Relationship Id="rId66" Type="http://schemas.openxmlformats.org/officeDocument/2006/relationships/header" Target="header33.xml"/><Relationship Id="rId87" Type="http://schemas.openxmlformats.org/officeDocument/2006/relationships/hyperlink" Target="http://www.foi.vic.gov.au" TargetMode="External"/><Relationship Id="rId110" Type="http://schemas.openxmlformats.org/officeDocument/2006/relationships/header" Target="header50.xml"/><Relationship Id="rId131" Type="http://schemas.openxmlformats.org/officeDocument/2006/relationships/hyperlink" Target="http://www.dtf.vic.gov.au/Publications/Government-Financial-Management-publications/Financial-Reporting-Policy/Accounting-policy-update-newsletters" TargetMode="External"/><Relationship Id="rId327" Type="http://schemas.openxmlformats.org/officeDocument/2006/relationships/header" Target="header228.xml"/><Relationship Id="rId348" Type="http://schemas.openxmlformats.org/officeDocument/2006/relationships/header" Target="header242.xml"/><Relationship Id="rId369" Type="http://schemas.openxmlformats.org/officeDocument/2006/relationships/header" Target="header260.xml"/><Relationship Id="rId152" Type="http://schemas.openxmlformats.org/officeDocument/2006/relationships/header" Target="header83.xml"/><Relationship Id="rId173" Type="http://schemas.openxmlformats.org/officeDocument/2006/relationships/header" Target="header104.xml"/><Relationship Id="rId194" Type="http://schemas.openxmlformats.org/officeDocument/2006/relationships/header" Target="header125.xml"/><Relationship Id="rId208" Type="http://schemas.openxmlformats.org/officeDocument/2006/relationships/header" Target="header139.xml"/><Relationship Id="rId229" Type="http://schemas.openxmlformats.org/officeDocument/2006/relationships/header" Target="header156.xml"/><Relationship Id="rId380" Type="http://schemas.openxmlformats.org/officeDocument/2006/relationships/fontTable" Target="fontTable.xml"/><Relationship Id="rId240" Type="http://schemas.openxmlformats.org/officeDocument/2006/relationships/header" Target="header167.xml"/><Relationship Id="rId261" Type="http://schemas.openxmlformats.org/officeDocument/2006/relationships/header" Target="header180.xml"/><Relationship Id="rId14" Type="http://schemas.openxmlformats.org/officeDocument/2006/relationships/footer" Target="footer1.xml"/><Relationship Id="rId35" Type="http://schemas.openxmlformats.org/officeDocument/2006/relationships/header" Target="header10.xml"/><Relationship Id="rId56" Type="http://schemas.openxmlformats.org/officeDocument/2006/relationships/header" Target="header27.xml"/><Relationship Id="rId77" Type="http://schemas.openxmlformats.org/officeDocument/2006/relationships/image" Target="media/image11.emf"/><Relationship Id="rId100" Type="http://schemas.openxmlformats.org/officeDocument/2006/relationships/footer" Target="footer23.xml"/><Relationship Id="rId282" Type="http://schemas.openxmlformats.org/officeDocument/2006/relationships/header" Target="header198.xml"/><Relationship Id="rId317" Type="http://schemas.openxmlformats.org/officeDocument/2006/relationships/header" Target="header219.xml"/><Relationship Id="rId338" Type="http://schemas.openxmlformats.org/officeDocument/2006/relationships/image" Target="media/image15.emf"/><Relationship Id="rId359" Type="http://schemas.openxmlformats.org/officeDocument/2006/relationships/header" Target="header250.xml"/><Relationship Id="rId8" Type="http://schemas.openxmlformats.org/officeDocument/2006/relationships/endnotes" Target="endnotes.xml"/><Relationship Id="rId98" Type="http://schemas.openxmlformats.org/officeDocument/2006/relationships/header" Target="header44.xml"/><Relationship Id="rId121" Type="http://schemas.openxmlformats.org/officeDocument/2006/relationships/header" Target="header56.xml"/><Relationship Id="rId142" Type="http://schemas.openxmlformats.org/officeDocument/2006/relationships/header" Target="header73.xml"/><Relationship Id="rId163" Type="http://schemas.openxmlformats.org/officeDocument/2006/relationships/header" Target="header94.xml"/><Relationship Id="rId184" Type="http://schemas.openxmlformats.org/officeDocument/2006/relationships/header" Target="header115.xml"/><Relationship Id="rId219" Type="http://schemas.openxmlformats.org/officeDocument/2006/relationships/footer" Target="footer28.xml"/><Relationship Id="rId370" Type="http://schemas.openxmlformats.org/officeDocument/2006/relationships/header" Target="header261.xml"/><Relationship Id="rId230" Type="http://schemas.openxmlformats.org/officeDocument/2006/relationships/header" Target="header157.xml"/><Relationship Id="rId251" Type="http://schemas.openxmlformats.org/officeDocument/2006/relationships/header" Target="header173.xml"/><Relationship Id="rId25" Type="http://schemas.openxmlformats.org/officeDocument/2006/relationships/hyperlink" Target="http://www.dtf.vic.gov.au" TargetMode="External"/><Relationship Id="rId46" Type="http://schemas.openxmlformats.org/officeDocument/2006/relationships/header" Target="header19.xml"/><Relationship Id="rId67" Type="http://schemas.openxmlformats.org/officeDocument/2006/relationships/image" Target="media/image6.emf"/><Relationship Id="rId272" Type="http://schemas.openxmlformats.org/officeDocument/2006/relationships/header" Target="header188.xml"/><Relationship Id="rId293" Type="http://schemas.openxmlformats.org/officeDocument/2006/relationships/header" Target="header208.xml"/><Relationship Id="rId307" Type="http://schemas.openxmlformats.org/officeDocument/2006/relationships/footer" Target="footer46.xml"/><Relationship Id="rId328" Type="http://schemas.openxmlformats.org/officeDocument/2006/relationships/header" Target="header229.xml"/><Relationship Id="rId349" Type="http://schemas.openxmlformats.org/officeDocument/2006/relationships/header" Target="header243.xml"/><Relationship Id="rId88" Type="http://schemas.openxmlformats.org/officeDocument/2006/relationships/header" Target="header37.xml"/><Relationship Id="rId111" Type="http://schemas.openxmlformats.org/officeDocument/2006/relationships/hyperlink" Target="http://www.data.vic.gov.au/" TargetMode="External"/><Relationship Id="rId132" Type="http://schemas.openxmlformats.org/officeDocument/2006/relationships/hyperlink" Target="http://www.dtf.vic.gov.au/Government-Financial-Management/Budgeting" TargetMode="External"/><Relationship Id="rId153" Type="http://schemas.openxmlformats.org/officeDocument/2006/relationships/header" Target="header84.xml"/><Relationship Id="rId174" Type="http://schemas.openxmlformats.org/officeDocument/2006/relationships/header" Target="header105.xml"/><Relationship Id="rId195" Type="http://schemas.openxmlformats.org/officeDocument/2006/relationships/header" Target="header126.xml"/><Relationship Id="rId209" Type="http://schemas.openxmlformats.org/officeDocument/2006/relationships/header" Target="header140.xml"/><Relationship Id="rId360" Type="http://schemas.openxmlformats.org/officeDocument/2006/relationships/header" Target="header251.xml"/><Relationship Id="rId381" Type="http://schemas.openxmlformats.org/officeDocument/2006/relationships/theme" Target="theme/theme1.xml"/><Relationship Id="rId220" Type="http://schemas.openxmlformats.org/officeDocument/2006/relationships/footer" Target="footer29.xml"/><Relationship Id="rId241" Type="http://schemas.openxmlformats.org/officeDocument/2006/relationships/header" Target="header168.xml"/><Relationship Id="rId15" Type="http://schemas.openxmlformats.org/officeDocument/2006/relationships/footer" Target="footer2.xml"/><Relationship Id="rId36" Type="http://schemas.openxmlformats.org/officeDocument/2006/relationships/footer" Target="footer13.xml"/><Relationship Id="rId57" Type="http://schemas.openxmlformats.org/officeDocument/2006/relationships/footer" Target="footer16.xml"/><Relationship Id="rId262" Type="http://schemas.openxmlformats.org/officeDocument/2006/relationships/footer" Target="footer40.xml"/><Relationship Id="rId283" Type="http://schemas.openxmlformats.org/officeDocument/2006/relationships/header" Target="header199.xml"/><Relationship Id="rId318" Type="http://schemas.openxmlformats.org/officeDocument/2006/relationships/header" Target="header220.xml"/><Relationship Id="rId339" Type="http://schemas.openxmlformats.org/officeDocument/2006/relationships/oleObject" Target="embeddings/Microsoft_Excel_97-2003_Worksheet1.xls"/><Relationship Id="rId78" Type="http://schemas.openxmlformats.org/officeDocument/2006/relationships/package" Target="embeddings/Microsoft_Excel_Worksheet5.xlsx"/><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header" Target="header57.xml"/><Relationship Id="rId143" Type="http://schemas.openxmlformats.org/officeDocument/2006/relationships/header" Target="header74.xml"/><Relationship Id="rId164" Type="http://schemas.openxmlformats.org/officeDocument/2006/relationships/header" Target="header95.xml"/><Relationship Id="rId185" Type="http://schemas.openxmlformats.org/officeDocument/2006/relationships/header" Target="header116.xml"/><Relationship Id="rId350" Type="http://schemas.openxmlformats.org/officeDocument/2006/relationships/header" Target="header244.xml"/><Relationship Id="rId371" Type="http://schemas.openxmlformats.org/officeDocument/2006/relationships/header" Target="header262.xml"/><Relationship Id="rId9" Type="http://schemas.openxmlformats.org/officeDocument/2006/relationships/hyperlink" Target="http://creativecommons.org/licenses/by/4.0/" TargetMode="External"/><Relationship Id="rId210" Type="http://schemas.openxmlformats.org/officeDocument/2006/relationships/header" Target="header141.xml"/><Relationship Id="rId26" Type="http://schemas.openxmlformats.org/officeDocument/2006/relationships/header" Target="header6.xml"/><Relationship Id="rId231" Type="http://schemas.openxmlformats.org/officeDocument/2006/relationships/header" Target="header158.xml"/><Relationship Id="rId252" Type="http://schemas.openxmlformats.org/officeDocument/2006/relationships/header" Target="header174.xml"/><Relationship Id="rId273" Type="http://schemas.openxmlformats.org/officeDocument/2006/relationships/header" Target="header189.xml"/><Relationship Id="rId294" Type="http://schemas.openxmlformats.org/officeDocument/2006/relationships/hyperlink" Target="http://www.dtf.vic.gov.au/Publications/Government-Financial-Management-publications/Financial-reporting-policy/Financial-reporting-directions-and-guidance" TargetMode="External"/><Relationship Id="rId308" Type="http://schemas.openxmlformats.org/officeDocument/2006/relationships/header" Target="header214.xml"/><Relationship Id="rId329" Type="http://schemas.openxmlformats.org/officeDocument/2006/relationships/header" Target="header230.xml"/><Relationship Id="rId47" Type="http://schemas.openxmlformats.org/officeDocument/2006/relationships/header" Target="header20.xml"/><Relationship Id="rId68" Type="http://schemas.openxmlformats.org/officeDocument/2006/relationships/oleObject" Target="embeddings/oleObject1.bin"/><Relationship Id="rId89" Type="http://schemas.openxmlformats.org/officeDocument/2006/relationships/header" Target="header38.xml"/><Relationship Id="rId112" Type="http://schemas.openxmlformats.org/officeDocument/2006/relationships/hyperlink" Target="http://www.data.vic.gov.au/../../../../cms/policy/285" TargetMode="External"/><Relationship Id="rId133" Type="http://schemas.openxmlformats.org/officeDocument/2006/relationships/header" Target="header65.xml"/><Relationship Id="rId154" Type="http://schemas.openxmlformats.org/officeDocument/2006/relationships/header" Target="header85.xml"/><Relationship Id="rId175" Type="http://schemas.openxmlformats.org/officeDocument/2006/relationships/header" Target="header106.xml"/><Relationship Id="rId340" Type="http://schemas.openxmlformats.org/officeDocument/2006/relationships/header" Target="header235.xml"/><Relationship Id="rId361" Type="http://schemas.openxmlformats.org/officeDocument/2006/relationships/header" Target="header252.xml"/><Relationship Id="rId196" Type="http://schemas.openxmlformats.org/officeDocument/2006/relationships/header" Target="header127.xml"/><Relationship Id="rId200" Type="http://schemas.openxmlformats.org/officeDocument/2006/relationships/header" Target="header131.xml"/><Relationship Id="rId16" Type="http://schemas.openxmlformats.org/officeDocument/2006/relationships/header" Target="header3.xml"/><Relationship Id="rId221" Type="http://schemas.openxmlformats.org/officeDocument/2006/relationships/header" Target="header150.xml"/><Relationship Id="rId242" Type="http://schemas.openxmlformats.org/officeDocument/2006/relationships/header" Target="header169.xml"/><Relationship Id="rId263" Type="http://schemas.openxmlformats.org/officeDocument/2006/relationships/hyperlink" Target="mailto:gazette@bluestargroup.com.au" TargetMode="External"/><Relationship Id="rId284" Type="http://schemas.openxmlformats.org/officeDocument/2006/relationships/header" Target="header200.xml"/><Relationship Id="rId319" Type="http://schemas.openxmlformats.org/officeDocument/2006/relationships/header" Target="header221.xml"/><Relationship Id="rId37" Type="http://schemas.openxmlformats.org/officeDocument/2006/relationships/header" Target="header11.xml"/><Relationship Id="rId58" Type="http://schemas.openxmlformats.org/officeDocument/2006/relationships/header" Target="header28.xml"/><Relationship Id="rId79" Type="http://schemas.openxmlformats.org/officeDocument/2006/relationships/hyperlink" Target="http://www.enterprisesolutions.vic.gov.au" TargetMode="External"/><Relationship Id="rId102" Type="http://schemas.openxmlformats.org/officeDocument/2006/relationships/hyperlink" Target="http://www.dtf.vic.gov.au/Publications/Government-Financial-Management-publications/Financial-Reporting-Policy/Financial-reporting-directions-and-guidance" TargetMode="External"/><Relationship Id="rId123" Type="http://schemas.openxmlformats.org/officeDocument/2006/relationships/hyperlink" Target="http://www.dtf.vic.gov.au" TargetMode="External"/><Relationship Id="rId144" Type="http://schemas.openxmlformats.org/officeDocument/2006/relationships/header" Target="header75.xml"/><Relationship Id="rId330" Type="http://schemas.openxmlformats.org/officeDocument/2006/relationships/header" Target="header231.xml"/><Relationship Id="rId90" Type="http://schemas.openxmlformats.org/officeDocument/2006/relationships/footer" Target="footer21.xml"/><Relationship Id="rId165" Type="http://schemas.openxmlformats.org/officeDocument/2006/relationships/header" Target="header96.xml"/><Relationship Id="rId186" Type="http://schemas.openxmlformats.org/officeDocument/2006/relationships/header" Target="header117.xml"/><Relationship Id="rId351" Type="http://schemas.openxmlformats.org/officeDocument/2006/relationships/header" Target="header245.xml"/><Relationship Id="rId372" Type="http://schemas.openxmlformats.org/officeDocument/2006/relationships/header" Target="header263.xml"/><Relationship Id="rId211" Type="http://schemas.openxmlformats.org/officeDocument/2006/relationships/header" Target="header142.xml"/><Relationship Id="rId232" Type="http://schemas.openxmlformats.org/officeDocument/2006/relationships/header" Target="header159.xml"/><Relationship Id="rId253" Type="http://schemas.openxmlformats.org/officeDocument/2006/relationships/header" Target="header175.xml"/><Relationship Id="rId274" Type="http://schemas.openxmlformats.org/officeDocument/2006/relationships/header" Target="header190.xml"/><Relationship Id="rId295" Type="http://schemas.openxmlformats.org/officeDocument/2006/relationships/hyperlink" Target="http://localhost:49158/NXT/gateway.dll?f=id$id=TPS.AAAS_AASB_108.20110701$cid=accounting_standards$fn=document-frameset.htm$t=document-frameset.htm$an=TPS.AAAS_AASB_108" TargetMode="External"/><Relationship Id="rId309" Type="http://schemas.openxmlformats.org/officeDocument/2006/relationships/header" Target="header215.xml"/><Relationship Id="rId27" Type="http://schemas.openxmlformats.org/officeDocument/2006/relationships/header" Target="header7.xml"/><Relationship Id="rId48" Type="http://schemas.openxmlformats.org/officeDocument/2006/relationships/header" Target="header21.xml"/><Relationship Id="rId69" Type="http://schemas.openxmlformats.org/officeDocument/2006/relationships/image" Target="media/image7.emf"/><Relationship Id="rId113" Type="http://schemas.openxmlformats.org/officeDocument/2006/relationships/header" Target="header51.xml"/><Relationship Id="rId134" Type="http://schemas.openxmlformats.org/officeDocument/2006/relationships/header" Target="header66.xml"/><Relationship Id="rId320" Type="http://schemas.openxmlformats.org/officeDocument/2006/relationships/footer" Target="footer51.xml"/><Relationship Id="rId80" Type="http://schemas.openxmlformats.org/officeDocument/2006/relationships/hyperlink" Target="http://www.contracts.vic.gov.au" TargetMode="External"/><Relationship Id="rId155" Type="http://schemas.openxmlformats.org/officeDocument/2006/relationships/header" Target="header86.xml"/><Relationship Id="rId176" Type="http://schemas.openxmlformats.org/officeDocument/2006/relationships/header" Target="header107.xml"/><Relationship Id="rId197" Type="http://schemas.openxmlformats.org/officeDocument/2006/relationships/header" Target="header128.xml"/><Relationship Id="rId341" Type="http://schemas.openxmlformats.org/officeDocument/2006/relationships/header" Target="header236.xml"/><Relationship Id="rId362" Type="http://schemas.openxmlformats.org/officeDocument/2006/relationships/header" Target="header253.xml"/><Relationship Id="rId201" Type="http://schemas.openxmlformats.org/officeDocument/2006/relationships/header" Target="header132.xml"/><Relationship Id="rId222" Type="http://schemas.openxmlformats.org/officeDocument/2006/relationships/header" Target="header151.xml"/><Relationship Id="rId243" Type="http://schemas.openxmlformats.org/officeDocument/2006/relationships/footer" Target="footer32.xml"/><Relationship Id="rId264" Type="http://schemas.openxmlformats.org/officeDocument/2006/relationships/image" Target="media/image13.png"/><Relationship Id="rId285" Type="http://schemas.openxmlformats.org/officeDocument/2006/relationships/header" Target="header201.xml"/><Relationship Id="rId17" Type="http://schemas.openxmlformats.org/officeDocument/2006/relationships/footer" Target="footer3.xml"/><Relationship Id="rId38" Type="http://schemas.openxmlformats.org/officeDocument/2006/relationships/header" Target="header12.xml"/><Relationship Id="rId59" Type="http://schemas.openxmlformats.org/officeDocument/2006/relationships/image" Target="media/image5.png"/><Relationship Id="rId103" Type="http://schemas.openxmlformats.org/officeDocument/2006/relationships/hyperlink" Target="mailto:information@dot.vic.gov.au" TargetMode="External"/><Relationship Id="rId124" Type="http://schemas.openxmlformats.org/officeDocument/2006/relationships/header" Target="header58.xml"/><Relationship Id="rId310" Type="http://schemas.openxmlformats.org/officeDocument/2006/relationships/header" Target="header216.xml"/><Relationship Id="rId70" Type="http://schemas.openxmlformats.org/officeDocument/2006/relationships/package" Target="embeddings/Microsoft_Excel_Worksheet1.xlsx"/><Relationship Id="rId91" Type="http://schemas.openxmlformats.org/officeDocument/2006/relationships/header" Target="header39.xml"/><Relationship Id="rId145" Type="http://schemas.openxmlformats.org/officeDocument/2006/relationships/header" Target="header76.xml"/><Relationship Id="rId166" Type="http://schemas.openxmlformats.org/officeDocument/2006/relationships/header" Target="header97.xml"/><Relationship Id="rId187" Type="http://schemas.openxmlformats.org/officeDocument/2006/relationships/header" Target="header118.xml"/><Relationship Id="rId331" Type="http://schemas.openxmlformats.org/officeDocument/2006/relationships/footer" Target="footer52.xml"/><Relationship Id="rId352" Type="http://schemas.openxmlformats.org/officeDocument/2006/relationships/header" Target="header246.xml"/><Relationship Id="rId373" Type="http://schemas.openxmlformats.org/officeDocument/2006/relationships/header" Target="header264.xml"/><Relationship Id="rId1" Type="http://schemas.openxmlformats.org/officeDocument/2006/relationships/customXml" Target="../customXml/item1.xml"/><Relationship Id="rId212" Type="http://schemas.openxmlformats.org/officeDocument/2006/relationships/header" Target="header143.xml"/><Relationship Id="rId233" Type="http://schemas.openxmlformats.org/officeDocument/2006/relationships/header" Target="header160.xml"/><Relationship Id="rId254" Type="http://schemas.openxmlformats.org/officeDocument/2006/relationships/header" Target="header176.xml"/><Relationship Id="rId28" Type="http://schemas.openxmlformats.org/officeDocument/2006/relationships/footer" Target="footer8.xml"/><Relationship Id="rId49" Type="http://schemas.openxmlformats.org/officeDocument/2006/relationships/footer" Target="footer14.xml"/><Relationship Id="rId114" Type="http://schemas.openxmlformats.org/officeDocument/2006/relationships/header" Target="header52.xml"/><Relationship Id="rId275" Type="http://schemas.openxmlformats.org/officeDocument/2006/relationships/header" Target="header191.xml"/><Relationship Id="rId296" Type="http://schemas.openxmlformats.org/officeDocument/2006/relationships/hyperlink" Target="http://localhost:49158/NXT/gateway.dll?f=id$id=TPS.AAAS_AASB_108.20110701$cid=accounting_standards$fn=document-frameset.htm$t=document-frameset.htm$an=TPS.AAAS_AASB_108" TargetMode="External"/><Relationship Id="rId300" Type="http://schemas.openxmlformats.org/officeDocument/2006/relationships/footer" Target="footer42.xml"/><Relationship Id="rId60" Type="http://schemas.openxmlformats.org/officeDocument/2006/relationships/header" Target="header29.xml"/><Relationship Id="rId81" Type="http://schemas.openxmlformats.org/officeDocument/2006/relationships/header" Target="header34.xml"/><Relationship Id="rId135" Type="http://schemas.openxmlformats.org/officeDocument/2006/relationships/header" Target="header67.xml"/><Relationship Id="rId156" Type="http://schemas.openxmlformats.org/officeDocument/2006/relationships/header" Target="header87.xml"/><Relationship Id="rId177" Type="http://schemas.openxmlformats.org/officeDocument/2006/relationships/header" Target="header108.xml"/><Relationship Id="rId198" Type="http://schemas.openxmlformats.org/officeDocument/2006/relationships/header" Target="header129.xml"/><Relationship Id="rId321" Type="http://schemas.openxmlformats.org/officeDocument/2006/relationships/header" Target="header222.xml"/><Relationship Id="rId342" Type="http://schemas.openxmlformats.org/officeDocument/2006/relationships/header" Target="header237.xml"/><Relationship Id="rId363" Type="http://schemas.openxmlformats.org/officeDocument/2006/relationships/header" Target="header254.xml"/><Relationship Id="rId202" Type="http://schemas.openxmlformats.org/officeDocument/2006/relationships/header" Target="header133.xml"/><Relationship Id="rId223" Type="http://schemas.openxmlformats.org/officeDocument/2006/relationships/header" Target="header152.xml"/><Relationship Id="rId244" Type="http://schemas.openxmlformats.org/officeDocument/2006/relationships/footer" Target="footer33.xml"/><Relationship Id="rId18" Type="http://schemas.openxmlformats.org/officeDocument/2006/relationships/header" Target="header4.xml"/><Relationship Id="rId39" Type="http://schemas.openxmlformats.org/officeDocument/2006/relationships/header" Target="header13.xml"/><Relationship Id="rId265" Type="http://schemas.openxmlformats.org/officeDocument/2006/relationships/header" Target="header181.xml"/><Relationship Id="rId286" Type="http://schemas.openxmlformats.org/officeDocument/2006/relationships/header" Target="header202.xml"/><Relationship Id="rId50" Type="http://schemas.openxmlformats.org/officeDocument/2006/relationships/header" Target="header22.xml"/><Relationship Id="rId104" Type="http://schemas.openxmlformats.org/officeDocument/2006/relationships/hyperlink" Target="http://www.dtf.vic.gov.au/Publications/Government-Financial-Management-publications/Financial-Reporting-Policy/Financial-reporting-directions-and-guidance" TargetMode="External"/><Relationship Id="rId125" Type="http://schemas.openxmlformats.org/officeDocument/2006/relationships/header" Target="header59.xml"/><Relationship Id="rId146" Type="http://schemas.openxmlformats.org/officeDocument/2006/relationships/header" Target="header77.xml"/><Relationship Id="rId167" Type="http://schemas.openxmlformats.org/officeDocument/2006/relationships/header" Target="header98.xml"/><Relationship Id="rId188" Type="http://schemas.openxmlformats.org/officeDocument/2006/relationships/header" Target="header119.xml"/><Relationship Id="rId311" Type="http://schemas.openxmlformats.org/officeDocument/2006/relationships/footer" Target="footer47.xml"/><Relationship Id="rId332" Type="http://schemas.openxmlformats.org/officeDocument/2006/relationships/footer" Target="footer53.xml"/><Relationship Id="rId353" Type="http://schemas.openxmlformats.org/officeDocument/2006/relationships/header" Target="header247.xml"/><Relationship Id="rId374" Type="http://schemas.openxmlformats.org/officeDocument/2006/relationships/header" Target="header265.xml"/><Relationship Id="rId71" Type="http://schemas.openxmlformats.org/officeDocument/2006/relationships/image" Target="media/image8.emf"/><Relationship Id="rId92" Type="http://schemas.openxmlformats.org/officeDocument/2006/relationships/header" Target="header40.xml"/><Relationship Id="rId213" Type="http://schemas.openxmlformats.org/officeDocument/2006/relationships/header" Target="header144.xml"/><Relationship Id="rId234" Type="http://schemas.openxmlformats.org/officeDocument/2006/relationships/header" Target="header161.xml"/><Relationship Id="rId2" Type="http://schemas.openxmlformats.org/officeDocument/2006/relationships/numbering" Target="numbering.xml"/><Relationship Id="rId29" Type="http://schemas.openxmlformats.org/officeDocument/2006/relationships/footer" Target="footer9.xml"/><Relationship Id="rId255" Type="http://schemas.openxmlformats.org/officeDocument/2006/relationships/footer" Target="footer37.xml"/><Relationship Id="rId276" Type="http://schemas.openxmlformats.org/officeDocument/2006/relationships/header" Target="header192.xml"/><Relationship Id="rId297" Type="http://schemas.openxmlformats.org/officeDocument/2006/relationships/image" Target="media/image14.png"/><Relationship Id="rId40" Type="http://schemas.openxmlformats.org/officeDocument/2006/relationships/hyperlink" Target="http://www.dtf.vic.gov.au" TargetMode="External"/><Relationship Id="rId115" Type="http://schemas.openxmlformats.org/officeDocument/2006/relationships/header" Target="header53.xml"/><Relationship Id="rId136" Type="http://schemas.openxmlformats.org/officeDocument/2006/relationships/header" Target="header68.xml"/><Relationship Id="rId157" Type="http://schemas.openxmlformats.org/officeDocument/2006/relationships/header" Target="header88.xml"/><Relationship Id="rId178" Type="http://schemas.openxmlformats.org/officeDocument/2006/relationships/header" Target="header109.xml"/><Relationship Id="rId301" Type="http://schemas.openxmlformats.org/officeDocument/2006/relationships/footer" Target="footer43.xml"/><Relationship Id="rId322" Type="http://schemas.openxmlformats.org/officeDocument/2006/relationships/header" Target="header223.xml"/><Relationship Id="rId343" Type="http://schemas.openxmlformats.org/officeDocument/2006/relationships/header" Target="header238.xml"/><Relationship Id="rId364" Type="http://schemas.openxmlformats.org/officeDocument/2006/relationships/header" Target="header255.xml"/><Relationship Id="rId61" Type="http://schemas.openxmlformats.org/officeDocument/2006/relationships/footer" Target="footer17.xml"/><Relationship Id="rId82" Type="http://schemas.openxmlformats.org/officeDocument/2006/relationships/header" Target="header35.xml"/><Relationship Id="rId199" Type="http://schemas.openxmlformats.org/officeDocument/2006/relationships/header" Target="header130.xml"/><Relationship Id="rId203" Type="http://schemas.openxmlformats.org/officeDocument/2006/relationships/header" Target="header134.xml"/><Relationship Id="rId19" Type="http://schemas.openxmlformats.org/officeDocument/2006/relationships/footer" Target="footer4.xml"/><Relationship Id="rId224" Type="http://schemas.openxmlformats.org/officeDocument/2006/relationships/footer" Target="footer30.xml"/><Relationship Id="rId245" Type="http://schemas.openxmlformats.org/officeDocument/2006/relationships/header" Target="header170.xml"/><Relationship Id="rId266" Type="http://schemas.openxmlformats.org/officeDocument/2006/relationships/header" Target="header182.xml"/><Relationship Id="rId287" Type="http://schemas.openxmlformats.org/officeDocument/2006/relationships/header" Target="header203.xml"/><Relationship Id="rId30" Type="http://schemas.openxmlformats.org/officeDocument/2006/relationships/footer" Target="footer10.xml"/><Relationship Id="rId105" Type="http://schemas.openxmlformats.org/officeDocument/2006/relationships/header" Target="header47.xml"/><Relationship Id="rId126" Type="http://schemas.openxmlformats.org/officeDocument/2006/relationships/header" Target="header60.xml"/><Relationship Id="rId147" Type="http://schemas.openxmlformats.org/officeDocument/2006/relationships/header" Target="header78.xml"/><Relationship Id="rId168" Type="http://schemas.openxmlformats.org/officeDocument/2006/relationships/header" Target="header99.xml"/><Relationship Id="rId312" Type="http://schemas.openxmlformats.org/officeDocument/2006/relationships/footer" Target="footer48.xml"/><Relationship Id="rId333" Type="http://schemas.openxmlformats.org/officeDocument/2006/relationships/header" Target="header232.xml"/><Relationship Id="rId354" Type="http://schemas.openxmlformats.org/officeDocument/2006/relationships/footer" Target="footer57.xml"/><Relationship Id="rId51" Type="http://schemas.openxmlformats.org/officeDocument/2006/relationships/header" Target="header23.xml"/><Relationship Id="rId72" Type="http://schemas.openxmlformats.org/officeDocument/2006/relationships/package" Target="embeddings/Microsoft_Excel_Worksheet2.xlsx"/><Relationship Id="rId93" Type="http://schemas.openxmlformats.org/officeDocument/2006/relationships/header" Target="header41.xml"/><Relationship Id="rId189" Type="http://schemas.openxmlformats.org/officeDocument/2006/relationships/header" Target="header120.xml"/><Relationship Id="rId375" Type="http://schemas.openxmlformats.org/officeDocument/2006/relationships/header" Target="header266.xml"/><Relationship Id="rId3" Type="http://schemas.openxmlformats.org/officeDocument/2006/relationships/styles" Target="styles.xml"/><Relationship Id="rId214" Type="http://schemas.openxmlformats.org/officeDocument/2006/relationships/header" Target="header145.xml"/><Relationship Id="rId235" Type="http://schemas.openxmlformats.org/officeDocument/2006/relationships/header" Target="header162.xml"/><Relationship Id="rId256" Type="http://schemas.openxmlformats.org/officeDocument/2006/relationships/header" Target="header177.xml"/><Relationship Id="rId277" Type="http://schemas.openxmlformats.org/officeDocument/2006/relationships/header" Target="header193.xml"/><Relationship Id="rId298" Type="http://schemas.openxmlformats.org/officeDocument/2006/relationships/header" Target="header209.xml"/><Relationship Id="rId116" Type="http://schemas.openxmlformats.org/officeDocument/2006/relationships/footer" Target="footer25.xml"/><Relationship Id="rId137" Type="http://schemas.openxmlformats.org/officeDocument/2006/relationships/header" Target="header69.xml"/><Relationship Id="rId158" Type="http://schemas.openxmlformats.org/officeDocument/2006/relationships/header" Target="header89.xml"/><Relationship Id="rId302" Type="http://schemas.openxmlformats.org/officeDocument/2006/relationships/header" Target="header211.xml"/><Relationship Id="rId323" Type="http://schemas.openxmlformats.org/officeDocument/2006/relationships/header" Target="header224.xml"/><Relationship Id="rId344" Type="http://schemas.openxmlformats.org/officeDocument/2006/relationships/header" Target="header239.xml"/><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header" Target="header30.xml"/><Relationship Id="rId83" Type="http://schemas.openxmlformats.org/officeDocument/2006/relationships/footer" Target="footer18.xml"/><Relationship Id="rId179" Type="http://schemas.openxmlformats.org/officeDocument/2006/relationships/header" Target="header110.xml"/><Relationship Id="rId365" Type="http://schemas.openxmlformats.org/officeDocument/2006/relationships/header" Target="header256.xml"/><Relationship Id="rId190" Type="http://schemas.openxmlformats.org/officeDocument/2006/relationships/header" Target="header121.xml"/><Relationship Id="rId204" Type="http://schemas.openxmlformats.org/officeDocument/2006/relationships/header" Target="header135.xml"/><Relationship Id="rId225" Type="http://schemas.openxmlformats.org/officeDocument/2006/relationships/footer" Target="footer31.xml"/><Relationship Id="rId246" Type="http://schemas.openxmlformats.org/officeDocument/2006/relationships/header" Target="header171.xml"/><Relationship Id="rId267" Type="http://schemas.openxmlformats.org/officeDocument/2006/relationships/header" Target="header183.xml"/><Relationship Id="rId288" Type="http://schemas.openxmlformats.org/officeDocument/2006/relationships/header" Target="header204.xml"/><Relationship Id="rId106" Type="http://schemas.openxmlformats.org/officeDocument/2006/relationships/header" Target="header48.xml"/><Relationship Id="rId127" Type="http://schemas.openxmlformats.org/officeDocument/2006/relationships/header" Target="header61.xml"/><Relationship Id="rId313" Type="http://schemas.openxmlformats.org/officeDocument/2006/relationships/header" Target="header217.xml"/><Relationship Id="rId10" Type="http://schemas.openxmlformats.org/officeDocument/2006/relationships/image" Target="media/image1.png"/><Relationship Id="rId31" Type="http://schemas.openxmlformats.org/officeDocument/2006/relationships/header" Target="header8.xml"/><Relationship Id="rId52" Type="http://schemas.openxmlformats.org/officeDocument/2006/relationships/header" Target="header24.xml"/><Relationship Id="rId73" Type="http://schemas.openxmlformats.org/officeDocument/2006/relationships/image" Target="media/image9.emf"/><Relationship Id="rId94" Type="http://schemas.openxmlformats.org/officeDocument/2006/relationships/header" Target="header42.xml"/><Relationship Id="rId148" Type="http://schemas.openxmlformats.org/officeDocument/2006/relationships/header" Target="header79.xml"/><Relationship Id="rId169" Type="http://schemas.openxmlformats.org/officeDocument/2006/relationships/header" Target="header100.xml"/><Relationship Id="rId334" Type="http://schemas.openxmlformats.org/officeDocument/2006/relationships/header" Target="header233.xml"/><Relationship Id="rId355" Type="http://schemas.openxmlformats.org/officeDocument/2006/relationships/footer" Target="footer58.xml"/><Relationship Id="rId376" Type="http://schemas.openxmlformats.org/officeDocument/2006/relationships/header" Target="header267.xml"/><Relationship Id="rId4" Type="http://schemas.microsoft.com/office/2007/relationships/stylesWithEffects" Target="stylesWithEffects.xml"/><Relationship Id="rId180" Type="http://schemas.openxmlformats.org/officeDocument/2006/relationships/header" Target="header111.xml"/><Relationship Id="rId215" Type="http://schemas.openxmlformats.org/officeDocument/2006/relationships/header" Target="header146.xml"/><Relationship Id="rId236" Type="http://schemas.openxmlformats.org/officeDocument/2006/relationships/header" Target="header163.xml"/><Relationship Id="rId257" Type="http://schemas.openxmlformats.org/officeDocument/2006/relationships/header" Target="header178.xml"/><Relationship Id="rId278" Type="http://schemas.openxmlformats.org/officeDocument/2006/relationships/header" Target="header194.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7E974-FE0B-48FA-8D00-F28664112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165</Pages>
  <Words>127761</Words>
  <Characters>728240</Characters>
  <Application>Microsoft Office Word</Application>
  <DocSecurity>0</DocSecurity>
  <Lines>6068</Lines>
  <Paragraphs>1708</Paragraphs>
  <ScaleCrop>false</ScaleCrop>
  <HeadingPairs>
    <vt:vector size="2" baseType="variant">
      <vt:variant>
        <vt:lpstr>Title</vt:lpstr>
      </vt:variant>
      <vt:variant>
        <vt:i4>1</vt:i4>
      </vt:variant>
    </vt:vector>
  </HeadingPairs>
  <TitlesOfParts>
    <vt:vector size="1" baseType="lpstr">
      <vt:lpstr>A message from the Minister for Finance</vt:lpstr>
    </vt:vector>
  </TitlesOfParts>
  <Company>SGOP</Company>
  <LinksUpToDate>false</LinksUpToDate>
  <CharactersWithSpaces>854293</CharactersWithSpaces>
  <SharedDoc>false</SharedDoc>
  <HLinks>
    <vt:vector size="162" baseType="variant">
      <vt:variant>
        <vt:i4>6488185</vt:i4>
      </vt:variant>
      <vt:variant>
        <vt:i4>162</vt:i4>
      </vt:variant>
      <vt:variant>
        <vt:i4>0</vt:i4>
      </vt:variant>
      <vt:variant>
        <vt:i4>5</vt:i4>
      </vt:variant>
      <vt:variant>
        <vt:lpwstr>http://www.dtf.vic.gov.au/</vt:lpwstr>
      </vt:variant>
      <vt:variant>
        <vt:lpwstr/>
      </vt:variant>
      <vt:variant>
        <vt:i4>1703998</vt:i4>
      </vt:variant>
      <vt:variant>
        <vt:i4>152</vt:i4>
      </vt:variant>
      <vt:variant>
        <vt:i4>0</vt:i4>
      </vt:variant>
      <vt:variant>
        <vt:i4>5</vt:i4>
      </vt:variant>
      <vt:variant>
        <vt:lpwstr/>
      </vt:variant>
      <vt:variant>
        <vt:lpwstr>_Toc353964855</vt:lpwstr>
      </vt:variant>
      <vt:variant>
        <vt:i4>1703998</vt:i4>
      </vt:variant>
      <vt:variant>
        <vt:i4>146</vt:i4>
      </vt:variant>
      <vt:variant>
        <vt:i4>0</vt:i4>
      </vt:variant>
      <vt:variant>
        <vt:i4>5</vt:i4>
      </vt:variant>
      <vt:variant>
        <vt:lpwstr/>
      </vt:variant>
      <vt:variant>
        <vt:lpwstr>_Toc353964854</vt:lpwstr>
      </vt:variant>
      <vt:variant>
        <vt:i4>1703998</vt:i4>
      </vt:variant>
      <vt:variant>
        <vt:i4>140</vt:i4>
      </vt:variant>
      <vt:variant>
        <vt:i4>0</vt:i4>
      </vt:variant>
      <vt:variant>
        <vt:i4>5</vt:i4>
      </vt:variant>
      <vt:variant>
        <vt:lpwstr/>
      </vt:variant>
      <vt:variant>
        <vt:lpwstr>_Toc353964853</vt:lpwstr>
      </vt:variant>
      <vt:variant>
        <vt:i4>1703998</vt:i4>
      </vt:variant>
      <vt:variant>
        <vt:i4>134</vt:i4>
      </vt:variant>
      <vt:variant>
        <vt:i4>0</vt:i4>
      </vt:variant>
      <vt:variant>
        <vt:i4>5</vt:i4>
      </vt:variant>
      <vt:variant>
        <vt:lpwstr/>
      </vt:variant>
      <vt:variant>
        <vt:lpwstr>_Toc353964852</vt:lpwstr>
      </vt:variant>
      <vt:variant>
        <vt:i4>1703998</vt:i4>
      </vt:variant>
      <vt:variant>
        <vt:i4>128</vt:i4>
      </vt:variant>
      <vt:variant>
        <vt:i4>0</vt:i4>
      </vt:variant>
      <vt:variant>
        <vt:i4>5</vt:i4>
      </vt:variant>
      <vt:variant>
        <vt:lpwstr/>
      </vt:variant>
      <vt:variant>
        <vt:lpwstr>_Toc353964851</vt:lpwstr>
      </vt:variant>
      <vt:variant>
        <vt:i4>1703998</vt:i4>
      </vt:variant>
      <vt:variant>
        <vt:i4>122</vt:i4>
      </vt:variant>
      <vt:variant>
        <vt:i4>0</vt:i4>
      </vt:variant>
      <vt:variant>
        <vt:i4>5</vt:i4>
      </vt:variant>
      <vt:variant>
        <vt:lpwstr/>
      </vt:variant>
      <vt:variant>
        <vt:lpwstr>_Toc353964850</vt:lpwstr>
      </vt:variant>
      <vt:variant>
        <vt:i4>1769534</vt:i4>
      </vt:variant>
      <vt:variant>
        <vt:i4>116</vt:i4>
      </vt:variant>
      <vt:variant>
        <vt:i4>0</vt:i4>
      </vt:variant>
      <vt:variant>
        <vt:i4>5</vt:i4>
      </vt:variant>
      <vt:variant>
        <vt:lpwstr/>
      </vt:variant>
      <vt:variant>
        <vt:lpwstr>_Toc353964849</vt:lpwstr>
      </vt:variant>
      <vt:variant>
        <vt:i4>1769534</vt:i4>
      </vt:variant>
      <vt:variant>
        <vt:i4>110</vt:i4>
      </vt:variant>
      <vt:variant>
        <vt:i4>0</vt:i4>
      </vt:variant>
      <vt:variant>
        <vt:i4>5</vt:i4>
      </vt:variant>
      <vt:variant>
        <vt:lpwstr/>
      </vt:variant>
      <vt:variant>
        <vt:lpwstr>_Toc353964848</vt:lpwstr>
      </vt:variant>
      <vt:variant>
        <vt:i4>1769534</vt:i4>
      </vt:variant>
      <vt:variant>
        <vt:i4>104</vt:i4>
      </vt:variant>
      <vt:variant>
        <vt:i4>0</vt:i4>
      </vt:variant>
      <vt:variant>
        <vt:i4>5</vt:i4>
      </vt:variant>
      <vt:variant>
        <vt:lpwstr/>
      </vt:variant>
      <vt:variant>
        <vt:lpwstr>_Toc353964847</vt:lpwstr>
      </vt:variant>
      <vt:variant>
        <vt:i4>1769534</vt:i4>
      </vt:variant>
      <vt:variant>
        <vt:i4>98</vt:i4>
      </vt:variant>
      <vt:variant>
        <vt:i4>0</vt:i4>
      </vt:variant>
      <vt:variant>
        <vt:i4>5</vt:i4>
      </vt:variant>
      <vt:variant>
        <vt:lpwstr/>
      </vt:variant>
      <vt:variant>
        <vt:lpwstr>_Toc353964846</vt:lpwstr>
      </vt:variant>
      <vt:variant>
        <vt:i4>1769534</vt:i4>
      </vt:variant>
      <vt:variant>
        <vt:i4>92</vt:i4>
      </vt:variant>
      <vt:variant>
        <vt:i4>0</vt:i4>
      </vt:variant>
      <vt:variant>
        <vt:i4>5</vt:i4>
      </vt:variant>
      <vt:variant>
        <vt:lpwstr/>
      </vt:variant>
      <vt:variant>
        <vt:lpwstr>_Toc353964845</vt:lpwstr>
      </vt:variant>
      <vt:variant>
        <vt:i4>1769534</vt:i4>
      </vt:variant>
      <vt:variant>
        <vt:i4>86</vt:i4>
      </vt:variant>
      <vt:variant>
        <vt:i4>0</vt:i4>
      </vt:variant>
      <vt:variant>
        <vt:i4>5</vt:i4>
      </vt:variant>
      <vt:variant>
        <vt:lpwstr/>
      </vt:variant>
      <vt:variant>
        <vt:lpwstr>_Toc353964844</vt:lpwstr>
      </vt:variant>
      <vt:variant>
        <vt:i4>1769534</vt:i4>
      </vt:variant>
      <vt:variant>
        <vt:i4>80</vt:i4>
      </vt:variant>
      <vt:variant>
        <vt:i4>0</vt:i4>
      </vt:variant>
      <vt:variant>
        <vt:i4>5</vt:i4>
      </vt:variant>
      <vt:variant>
        <vt:lpwstr/>
      </vt:variant>
      <vt:variant>
        <vt:lpwstr>_Toc353964843</vt:lpwstr>
      </vt:variant>
      <vt:variant>
        <vt:i4>1769534</vt:i4>
      </vt:variant>
      <vt:variant>
        <vt:i4>74</vt:i4>
      </vt:variant>
      <vt:variant>
        <vt:i4>0</vt:i4>
      </vt:variant>
      <vt:variant>
        <vt:i4>5</vt:i4>
      </vt:variant>
      <vt:variant>
        <vt:lpwstr/>
      </vt:variant>
      <vt:variant>
        <vt:lpwstr>_Toc353964842</vt:lpwstr>
      </vt:variant>
      <vt:variant>
        <vt:i4>1769534</vt:i4>
      </vt:variant>
      <vt:variant>
        <vt:i4>68</vt:i4>
      </vt:variant>
      <vt:variant>
        <vt:i4>0</vt:i4>
      </vt:variant>
      <vt:variant>
        <vt:i4>5</vt:i4>
      </vt:variant>
      <vt:variant>
        <vt:lpwstr/>
      </vt:variant>
      <vt:variant>
        <vt:lpwstr>_Toc353964841</vt:lpwstr>
      </vt:variant>
      <vt:variant>
        <vt:i4>1769534</vt:i4>
      </vt:variant>
      <vt:variant>
        <vt:i4>62</vt:i4>
      </vt:variant>
      <vt:variant>
        <vt:i4>0</vt:i4>
      </vt:variant>
      <vt:variant>
        <vt:i4>5</vt:i4>
      </vt:variant>
      <vt:variant>
        <vt:lpwstr/>
      </vt:variant>
      <vt:variant>
        <vt:lpwstr>_Toc353964840</vt:lpwstr>
      </vt:variant>
      <vt:variant>
        <vt:i4>1835070</vt:i4>
      </vt:variant>
      <vt:variant>
        <vt:i4>56</vt:i4>
      </vt:variant>
      <vt:variant>
        <vt:i4>0</vt:i4>
      </vt:variant>
      <vt:variant>
        <vt:i4>5</vt:i4>
      </vt:variant>
      <vt:variant>
        <vt:lpwstr/>
      </vt:variant>
      <vt:variant>
        <vt:lpwstr>_Toc353964839</vt:lpwstr>
      </vt:variant>
      <vt:variant>
        <vt:i4>1835070</vt:i4>
      </vt:variant>
      <vt:variant>
        <vt:i4>50</vt:i4>
      </vt:variant>
      <vt:variant>
        <vt:i4>0</vt:i4>
      </vt:variant>
      <vt:variant>
        <vt:i4>5</vt:i4>
      </vt:variant>
      <vt:variant>
        <vt:lpwstr/>
      </vt:variant>
      <vt:variant>
        <vt:lpwstr>_Toc353964838</vt:lpwstr>
      </vt:variant>
      <vt:variant>
        <vt:i4>1835070</vt:i4>
      </vt:variant>
      <vt:variant>
        <vt:i4>44</vt:i4>
      </vt:variant>
      <vt:variant>
        <vt:i4>0</vt:i4>
      </vt:variant>
      <vt:variant>
        <vt:i4>5</vt:i4>
      </vt:variant>
      <vt:variant>
        <vt:lpwstr/>
      </vt:variant>
      <vt:variant>
        <vt:lpwstr>_Toc353964837</vt:lpwstr>
      </vt:variant>
      <vt:variant>
        <vt:i4>1835070</vt:i4>
      </vt:variant>
      <vt:variant>
        <vt:i4>38</vt:i4>
      </vt:variant>
      <vt:variant>
        <vt:i4>0</vt:i4>
      </vt:variant>
      <vt:variant>
        <vt:i4>5</vt:i4>
      </vt:variant>
      <vt:variant>
        <vt:lpwstr/>
      </vt:variant>
      <vt:variant>
        <vt:lpwstr>_Toc353964836</vt:lpwstr>
      </vt:variant>
      <vt:variant>
        <vt:i4>1835070</vt:i4>
      </vt:variant>
      <vt:variant>
        <vt:i4>32</vt:i4>
      </vt:variant>
      <vt:variant>
        <vt:i4>0</vt:i4>
      </vt:variant>
      <vt:variant>
        <vt:i4>5</vt:i4>
      </vt:variant>
      <vt:variant>
        <vt:lpwstr/>
      </vt:variant>
      <vt:variant>
        <vt:lpwstr>_Toc353964835</vt:lpwstr>
      </vt:variant>
      <vt:variant>
        <vt:i4>1835070</vt:i4>
      </vt:variant>
      <vt:variant>
        <vt:i4>26</vt:i4>
      </vt:variant>
      <vt:variant>
        <vt:i4>0</vt:i4>
      </vt:variant>
      <vt:variant>
        <vt:i4>5</vt:i4>
      </vt:variant>
      <vt:variant>
        <vt:lpwstr/>
      </vt:variant>
      <vt:variant>
        <vt:lpwstr>_Toc353964834</vt:lpwstr>
      </vt:variant>
      <vt:variant>
        <vt:i4>1835070</vt:i4>
      </vt:variant>
      <vt:variant>
        <vt:i4>20</vt:i4>
      </vt:variant>
      <vt:variant>
        <vt:i4>0</vt:i4>
      </vt:variant>
      <vt:variant>
        <vt:i4>5</vt:i4>
      </vt:variant>
      <vt:variant>
        <vt:lpwstr/>
      </vt:variant>
      <vt:variant>
        <vt:lpwstr>_Toc353964833</vt:lpwstr>
      </vt:variant>
      <vt:variant>
        <vt:i4>1835070</vt:i4>
      </vt:variant>
      <vt:variant>
        <vt:i4>14</vt:i4>
      </vt:variant>
      <vt:variant>
        <vt:i4>0</vt:i4>
      </vt:variant>
      <vt:variant>
        <vt:i4>5</vt:i4>
      </vt:variant>
      <vt:variant>
        <vt:lpwstr/>
      </vt:variant>
      <vt:variant>
        <vt:lpwstr>_Toc353964832</vt:lpwstr>
      </vt:variant>
      <vt:variant>
        <vt:i4>1835070</vt:i4>
      </vt:variant>
      <vt:variant>
        <vt:i4>8</vt:i4>
      </vt:variant>
      <vt:variant>
        <vt:i4>0</vt:i4>
      </vt:variant>
      <vt:variant>
        <vt:i4>5</vt:i4>
      </vt:variant>
      <vt:variant>
        <vt:lpwstr/>
      </vt:variant>
      <vt:variant>
        <vt:lpwstr>_Toc353964831</vt:lpwstr>
      </vt:variant>
      <vt:variant>
        <vt:i4>1835070</vt:i4>
      </vt:variant>
      <vt:variant>
        <vt:i4>2</vt:i4>
      </vt:variant>
      <vt:variant>
        <vt:i4>0</vt:i4>
      </vt:variant>
      <vt:variant>
        <vt:i4>5</vt:i4>
      </vt:variant>
      <vt:variant>
        <vt:lpwstr/>
      </vt:variant>
      <vt:variant>
        <vt:lpwstr>_Toc353964830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message from the Minister for Finance</dc:title>
  <dc:creator>Deidre Steain</dc:creator>
  <cp:lastModifiedBy>Louise Koschmann</cp:lastModifiedBy>
  <cp:revision>2</cp:revision>
  <cp:lastPrinted>2016-04-15T04:16:00Z</cp:lastPrinted>
  <dcterms:created xsi:type="dcterms:W3CDTF">2018-01-25T04:03:00Z</dcterms:created>
  <dcterms:modified xsi:type="dcterms:W3CDTF">2018-01-25T04:03:00Z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53654664</vt:i4>
  </property>
  <property fmtid="{D5CDD505-2E9C-101B-9397-08002B2CF9AE}" pid="3" name="TitusGUID">
    <vt:lpwstr>58c03082-0df8-478f-8c8c-38aa9cb3e5e1</vt:lpwstr>
  </property>
  <property fmtid="{D5CDD505-2E9C-101B-9397-08002B2CF9AE}" pid="4" name="PSPFClassification">
    <vt:lpwstr>Do Not Mark</vt:lpwstr>
  </property>
</Properties>
</file>